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7E659" w14:textId="20980872" w:rsidR="00620838" w:rsidRPr="0044451C" w:rsidRDefault="00501532" w:rsidP="00501532">
      <w:pPr>
        <w:pStyle w:val="Pagedecouverture"/>
        <w:rPr>
          <w:noProof/>
        </w:rPr>
      </w:pPr>
      <w:bookmarkStart w:id="0" w:name="LW_BM_COVERPAGE"/>
      <w:r>
        <w:rPr>
          <w:noProof/>
        </w:rPr>
        <w:pict w14:anchorId="66F42E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CB06661-B6D4-4537-963B-F21F6EC167BB" style="width:455.25pt;height:310.5pt">
            <v:imagedata r:id="rId11" o:title=""/>
          </v:shape>
        </w:pict>
      </w:r>
    </w:p>
    <w:bookmarkEnd w:id="0"/>
    <w:p w14:paraId="4A2CCDAE" w14:textId="77777777" w:rsidR="00F60BB8" w:rsidRDefault="00F60BB8" w:rsidP="00F60BB8">
      <w:pPr>
        <w:rPr>
          <w:noProof/>
        </w:rPr>
        <w:sectPr w:rsidR="00F60BB8" w:rsidSect="00501532">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33DB74E3" w14:textId="77777777" w:rsidR="005F3223" w:rsidRDefault="001B3F70" w:rsidP="00C97375">
      <w:pPr>
        <w:pStyle w:val="Default"/>
        <w:jc w:val="both"/>
        <w:rPr>
          <w:noProof/>
          <w:color w:val="auto"/>
        </w:rPr>
      </w:pPr>
      <w:bookmarkStart w:id="1" w:name="_GoBack"/>
      <w:bookmarkEnd w:id="1"/>
      <w:r>
        <w:rPr>
          <w:noProof/>
        </w:rPr>
        <w:lastRenderedPageBreak/>
        <w:t xml:space="preserve">Настоящият документ е отговорът на Комисията на заключенията на Съвета относно укрепването на европейската финансова архитектура за развитие, приети на 14 юни 2021 г., в които Съветът прикани Комисията да представи пътна карта за изпълнението на целите и препоръките, съдържащи се в заключенията, и да докладва ежегодно за постигнатия напредък. Целта на пътната карта </w:t>
      </w:r>
      <w:r>
        <w:rPr>
          <w:noProof/>
          <w:color w:val="auto"/>
        </w:rPr>
        <w:t>за подобряване на финансовата архитектура е да се разширят въздействието, ефективността и видимостта на европейската финансова архитектура за развитие чрез:</w:t>
      </w:r>
    </w:p>
    <w:p w14:paraId="051FF8CB" w14:textId="77777777" w:rsidR="002E0E0D" w:rsidRPr="0044451C" w:rsidRDefault="002E0E0D" w:rsidP="00C97375">
      <w:pPr>
        <w:pStyle w:val="Default"/>
        <w:jc w:val="both"/>
        <w:rPr>
          <w:noProof/>
          <w:spacing w:val="-2"/>
        </w:rPr>
      </w:pPr>
    </w:p>
    <w:p w14:paraId="36982C6F" w14:textId="77777777" w:rsidR="00B22DDF" w:rsidRPr="0044451C" w:rsidRDefault="00B22DDF" w:rsidP="006607A8">
      <w:pPr>
        <w:pStyle w:val="Default"/>
        <w:numPr>
          <w:ilvl w:val="0"/>
          <w:numId w:val="6"/>
        </w:numPr>
        <w:jc w:val="both"/>
        <w:rPr>
          <w:noProof/>
          <w:spacing w:val="-2"/>
        </w:rPr>
      </w:pPr>
      <w:r>
        <w:rPr>
          <w:noProof/>
        </w:rPr>
        <w:t>утвърждаване на стабилно управление на политиката на ЕС;</w:t>
      </w:r>
    </w:p>
    <w:p w14:paraId="06ED6A01" w14:textId="77777777" w:rsidR="00B22DDF" w:rsidRPr="0044451C" w:rsidRDefault="00B22DDF" w:rsidP="006607A8">
      <w:pPr>
        <w:pStyle w:val="Default"/>
        <w:numPr>
          <w:ilvl w:val="0"/>
          <w:numId w:val="6"/>
        </w:numPr>
        <w:jc w:val="both"/>
        <w:rPr>
          <w:noProof/>
          <w:spacing w:val="-2"/>
        </w:rPr>
      </w:pPr>
      <w:r>
        <w:rPr>
          <w:noProof/>
        </w:rPr>
        <w:t>насърчаване на засилената координация;</w:t>
      </w:r>
    </w:p>
    <w:p w14:paraId="5D086D5F" w14:textId="77777777" w:rsidR="00B22DDF" w:rsidRPr="0044451C" w:rsidRDefault="00B22DDF" w:rsidP="006607A8">
      <w:pPr>
        <w:pStyle w:val="Default"/>
        <w:numPr>
          <w:ilvl w:val="0"/>
          <w:numId w:val="6"/>
        </w:numPr>
        <w:jc w:val="both"/>
        <w:rPr>
          <w:noProof/>
          <w:spacing w:val="-2"/>
        </w:rPr>
      </w:pPr>
      <w:r>
        <w:rPr>
          <w:noProof/>
        </w:rPr>
        <w:t>изграждане на по-приобщаваща финансова архитектура;</w:t>
      </w:r>
    </w:p>
    <w:p w14:paraId="2758BA84" w14:textId="77777777" w:rsidR="00B22DDF" w:rsidRPr="0044451C" w:rsidRDefault="00B22DDF" w:rsidP="006607A8">
      <w:pPr>
        <w:pStyle w:val="Default"/>
        <w:numPr>
          <w:ilvl w:val="0"/>
          <w:numId w:val="6"/>
        </w:numPr>
        <w:jc w:val="both"/>
        <w:rPr>
          <w:noProof/>
          <w:spacing w:val="-2"/>
        </w:rPr>
      </w:pPr>
      <w:r>
        <w:rPr>
          <w:noProof/>
        </w:rPr>
        <w:t xml:space="preserve">осигуряване на по-голяма видимост и влияние на ЕС и неговите държави членки в рамките на подхода „Екип Европа“. </w:t>
      </w:r>
    </w:p>
    <w:p w14:paraId="11F82E1A" w14:textId="77777777" w:rsidR="002E0E0D" w:rsidRPr="00E74CFA" w:rsidRDefault="002E0E0D" w:rsidP="005B44B1">
      <w:pPr>
        <w:pStyle w:val="Default"/>
        <w:jc w:val="both"/>
        <w:rPr>
          <w:noProof/>
          <w:spacing w:val="-2"/>
        </w:rPr>
      </w:pPr>
    </w:p>
    <w:p w14:paraId="790D4E3E" w14:textId="77777777" w:rsidR="005B44B1" w:rsidRPr="0044451C" w:rsidRDefault="00F7311E" w:rsidP="00E74CFA">
      <w:pPr>
        <w:pStyle w:val="Default"/>
        <w:jc w:val="both"/>
        <w:rPr>
          <w:noProof/>
          <w:spacing w:val="-2"/>
        </w:rPr>
      </w:pPr>
      <w:r>
        <w:rPr>
          <w:noProof/>
        </w:rPr>
        <w:t>В документа се акцентира върху действията, които са от компетентността на Комисията в сътрудничество с върховния представител на ЕС/заместник-председател (ВП/ЗП). Освен това в настоящия доклад е представено състоянието на изпълнението на тези действия към края на 2021 г.</w:t>
      </w:r>
    </w:p>
    <w:p w14:paraId="0E7FA693" w14:textId="77777777" w:rsidR="00B22DDF" w:rsidRPr="00C6212B" w:rsidRDefault="00B22DDF" w:rsidP="00C97375">
      <w:pPr>
        <w:pStyle w:val="Default"/>
        <w:jc w:val="both"/>
        <w:rPr>
          <w:noProof/>
          <w:spacing w:val="-2"/>
          <w:szCs w:val="36"/>
        </w:rPr>
      </w:pPr>
    </w:p>
    <w:p w14:paraId="5226073B" w14:textId="77777777" w:rsidR="00B77EEE" w:rsidRPr="0044451C" w:rsidRDefault="00FD508A" w:rsidP="00D224F0">
      <w:pPr>
        <w:pStyle w:val="Heading2"/>
        <w:ind w:left="284" w:hanging="284"/>
        <w:rPr>
          <w:rFonts w:ascii="Times New Roman" w:hAnsi="Times New Roman" w:cs="Times New Roman"/>
          <w:noProof/>
        </w:rPr>
      </w:pPr>
      <w:r>
        <w:rPr>
          <w:rFonts w:ascii="Times New Roman" w:hAnsi="Times New Roman"/>
          <w:noProof/>
        </w:rPr>
        <w:t xml:space="preserve">НЕОБХОДИМОСТ ОТ ПОДОБРЯВАНЕ НА ЕВРОПЕЙСКАТА ФИНАНСОВА АРХИТЕКТУРА </w:t>
      </w:r>
    </w:p>
    <w:p w14:paraId="17F03442" w14:textId="77777777" w:rsidR="00D506A1" w:rsidRPr="0044451C" w:rsidRDefault="00B77EEE" w:rsidP="00446901">
      <w:pPr>
        <w:pStyle w:val="Heading3"/>
        <w:spacing w:after="120"/>
        <w:ind w:left="567" w:hanging="567"/>
        <w:jc w:val="both"/>
        <w:rPr>
          <w:rFonts w:ascii="Times New Roman" w:hAnsi="Times New Roman" w:cs="Times New Roman"/>
          <w:noProof/>
        </w:rPr>
      </w:pPr>
      <w:r>
        <w:rPr>
          <w:rFonts w:ascii="Times New Roman" w:hAnsi="Times New Roman"/>
          <w:noProof/>
        </w:rPr>
        <w:t>Контекст</w:t>
      </w:r>
    </w:p>
    <w:p w14:paraId="751188F0" w14:textId="77777777" w:rsidR="00DF7615" w:rsidRPr="0044451C" w:rsidRDefault="00DF7615" w:rsidP="00C97375">
      <w:pPr>
        <w:pStyle w:val="Default"/>
        <w:jc w:val="both"/>
        <w:rPr>
          <w:noProof/>
          <w:spacing w:val="-2"/>
        </w:rPr>
      </w:pPr>
      <w:r>
        <w:rPr>
          <w:noProof/>
        </w:rPr>
        <w:t>ЕС и неговите държави членки традиционно са най-големият донор на помощ за развитие в света, като през 2020 г. на тях се падат около 46 % от световната помощ (66,8 млрд. евро)</w:t>
      </w:r>
      <w:r w:rsidR="00291E22">
        <w:rPr>
          <w:rStyle w:val="FootnoteReference"/>
          <w:noProof/>
          <w:spacing w:val="-2"/>
        </w:rPr>
        <w:footnoteReference w:id="2"/>
      </w:r>
      <w:r>
        <w:rPr>
          <w:noProof/>
        </w:rPr>
        <w:t xml:space="preserve">. Помощта на ЕС е от съществено значение за изкореняването на бедността, намаляването на уязвимостта и неравенството и подпомагането на държавите партньори да постигнат целите за устойчиво развитие (ЦУР) и целите на Парижкото споразумение. </w:t>
      </w:r>
    </w:p>
    <w:p w14:paraId="3CBF4B89" w14:textId="77777777" w:rsidR="00C321A3" w:rsidRPr="0044451C" w:rsidRDefault="00C321A3" w:rsidP="00C97375">
      <w:pPr>
        <w:pStyle w:val="Default"/>
        <w:jc w:val="both"/>
        <w:rPr>
          <w:noProof/>
          <w:spacing w:val="-2"/>
        </w:rPr>
      </w:pPr>
    </w:p>
    <w:p w14:paraId="11C1936D" w14:textId="77777777" w:rsidR="00DF7615" w:rsidRPr="006A2DF5" w:rsidRDefault="008737C0" w:rsidP="00C97375">
      <w:pPr>
        <w:pStyle w:val="Default"/>
        <w:jc w:val="both"/>
        <w:rPr>
          <w:noProof/>
        </w:rPr>
      </w:pPr>
      <w:r>
        <w:rPr>
          <w:noProof/>
        </w:rPr>
        <w:t xml:space="preserve">Публичните ресурси обаче не са достатъчни за справяне с мащаба на постоянно нарастващите нужди за постигане на ЦУР. В резултат на това ЕС и неговите държави членки все по-често излизат извън рамките на по-традиционните канали за помощ и използват официалната помощ за развитие (ОПР) за генериране на допълнителни източници на финансиране, по-специално чрез привличане на частен капитал. Поради тази причина те все по-често работят в сътрудничество с финансови институции и разчитат в по-голяма степен на иновативни финансови инструменти, като използват публични средства за стимулиране на инвестициите, например чрез смесено финансиране или чрез гаранции. </w:t>
      </w:r>
    </w:p>
    <w:p w14:paraId="4A41691B" w14:textId="77777777" w:rsidR="00C321A3" w:rsidRPr="0044451C" w:rsidRDefault="00C321A3" w:rsidP="00C97375">
      <w:pPr>
        <w:pStyle w:val="Default"/>
        <w:jc w:val="both"/>
        <w:rPr>
          <w:noProof/>
          <w:spacing w:val="-2"/>
        </w:rPr>
      </w:pPr>
    </w:p>
    <w:p w14:paraId="4A6A069A" w14:textId="77777777" w:rsidR="00DF7615" w:rsidRPr="00057616" w:rsidRDefault="00DF7615" w:rsidP="00C97375">
      <w:pPr>
        <w:pStyle w:val="Default"/>
        <w:jc w:val="both"/>
        <w:rPr>
          <w:noProof/>
          <w:spacing w:val="-2"/>
        </w:rPr>
      </w:pPr>
      <w:r>
        <w:rPr>
          <w:noProof/>
        </w:rPr>
        <w:t xml:space="preserve">По такъв начин европейската финансова архитектура за развитие се усложни с годините поради появата на тези нови инструменти и нарастващия брой участници в нея, в това число Комисията, ВП/ЗП, държавите — членки на ЕС, и националните им финансови институции и организации в областта на развитието, както и Европейската инвестиционна банка (ЕИБ) и Европейската банка за възстановяване и развитие (ЕБВР). Освен това Комисията работи усилено и с различни международни финансови участници. Всички те работят за постигане на ЦУР, но имат специфични приоритети и начини на намеса, като предлагат различни силни страни и сравнителни предимства, особено по отношение на географски, секторен или финансов опит. </w:t>
      </w:r>
    </w:p>
    <w:p w14:paraId="608C1AF5" w14:textId="77777777" w:rsidR="00C321A3" w:rsidRPr="00057616" w:rsidRDefault="00C321A3" w:rsidP="00C97375">
      <w:pPr>
        <w:pStyle w:val="Default"/>
        <w:jc w:val="both"/>
        <w:rPr>
          <w:noProof/>
          <w:spacing w:val="-4"/>
        </w:rPr>
      </w:pPr>
    </w:p>
    <w:p w14:paraId="79F3211C" w14:textId="77777777" w:rsidR="009914A2" w:rsidRDefault="009914A2" w:rsidP="009914A2">
      <w:pPr>
        <w:pStyle w:val="Default"/>
        <w:jc w:val="both"/>
        <w:rPr>
          <w:noProof/>
        </w:rPr>
      </w:pPr>
      <w:r>
        <w:rPr>
          <w:noProof/>
        </w:rPr>
        <w:t>Пандемията от COVID-19 доведе до още по-неотложно справяне с предизвикателствата пред развитието и следователно до по-спешно укрепване на европейската финансова архитектура за развитие. Икономическите последици от COVID-19 изостриха необходимостта от финансиране и оказаха драматично въздействие върху държавите — партньори на ЕС, което доведе до обрат в постигнатия през годините напредък в осъществяването на ЦУР. През 2020 г. годишният недостиг на финансиране на ЦУР в развиващите се страни се оценява на 3,7 трилиона евро</w:t>
      </w:r>
      <w:r w:rsidRPr="00057616">
        <w:rPr>
          <w:noProof/>
          <w:vertAlign w:val="superscript"/>
        </w:rPr>
        <w:footnoteReference w:id="3"/>
      </w:r>
      <w:r>
        <w:rPr>
          <w:noProof/>
        </w:rPr>
        <w:t>. Повече от всякога са необходими мащабни инвестиции, за да се преодолее този недостиг. Всички източници на финансиране (публични/частни, национални/международни), съчетани с ефективни политически реформи, трябва да бъдат ефикасно използвани с цел възстановяване, без никой да бъде изоставен. Ето защо финансирането за устойчиво развитие ще бъде от решаващо значение за мобилизирането на международен и вътрешен частен капитал за финансиране на инвестиции в устойчива инфраструктура.</w:t>
      </w:r>
    </w:p>
    <w:p w14:paraId="7F4A35E4" w14:textId="77777777" w:rsidR="009914A2" w:rsidRDefault="009914A2" w:rsidP="004546FE">
      <w:pPr>
        <w:pStyle w:val="Default"/>
        <w:jc w:val="both"/>
        <w:rPr>
          <w:noProof/>
        </w:rPr>
      </w:pPr>
    </w:p>
    <w:p w14:paraId="5D025C72" w14:textId="77777777" w:rsidR="00843C78" w:rsidRDefault="00843C78" w:rsidP="00C97375">
      <w:pPr>
        <w:pStyle w:val="Default"/>
        <w:jc w:val="both"/>
        <w:rPr>
          <w:noProof/>
        </w:rPr>
      </w:pPr>
      <w:r>
        <w:rPr>
          <w:noProof/>
        </w:rPr>
        <w:t xml:space="preserve">Освен това на фона на сериозните глобални геополитически предизвикателства и нарастващата роля на нововъзникващи донори ЕС се нуждае от нов подход за популяризиране на модела си на развитие, основан на ценности и ориентиран към човека, както и за защита и насърчаване на политическите, икономическите и свързаните със сигурността интереси на ЕС по света. </w:t>
      </w:r>
    </w:p>
    <w:p w14:paraId="3EA15B8E" w14:textId="77777777" w:rsidR="00843C78" w:rsidRDefault="00843C78" w:rsidP="00C97375">
      <w:pPr>
        <w:pStyle w:val="Default"/>
        <w:jc w:val="both"/>
        <w:rPr>
          <w:noProof/>
        </w:rPr>
      </w:pPr>
    </w:p>
    <w:p w14:paraId="4F421DC4" w14:textId="77777777" w:rsidR="00D26E62" w:rsidRPr="00CB27E2" w:rsidRDefault="00E5284A" w:rsidP="00CD17DC">
      <w:pPr>
        <w:pStyle w:val="Default"/>
        <w:jc w:val="both"/>
        <w:rPr>
          <w:noProof/>
          <w:spacing w:val="-2"/>
        </w:rPr>
      </w:pPr>
      <w:r>
        <w:rPr>
          <w:noProof/>
        </w:rPr>
        <w:t xml:space="preserve">С оглед на тези глобални предизвикателства пред развитието </w:t>
      </w:r>
      <w:r>
        <w:rPr>
          <w:b/>
          <w:noProof/>
        </w:rPr>
        <w:t xml:space="preserve">европейската финансова архитектура за развитие трябва да бъде още по-ефективна, ефикасна, съгласувана и въздействаща. Засилената координация чрез подхода „Екип Европа“ е по-важна от всякога, за да се избегнат разпокъсани действия и да се осигурят по-добро взаимодействие и ефикасност. </w:t>
      </w:r>
      <w:r>
        <w:rPr>
          <w:noProof/>
        </w:rPr>
        <w:t xml:space="preserve">Това включва също така по-добро оползотворяване на дългогодишния опит на различните участници и когато е възможно, обединяване на финансови ресурси с цел по-голямо въздействие и засилена мобилизация на инвестициите от частния сектор. </w:t>
      </w:r>
    </w:p>
    <w:p w14:paraId="367CD779" w14:textId="77777777" w:rsidR="00CD17DC" w:rsidRPr="00CB27E2" w:rsidRDefault="00CD17DC" w:rsidP="00CD17DC">
      <w:pPr>
        <w:pStyle w:val="Default"/>
        <w:jc w:val="both"/>
        <w:rPr>
          <w:noProof/>
        </w:rPr>
      </w:pPr>
    </w:p>
    <w:p w14:paraId="6E630CAE" w14:textId="77777777" w:rsidR="00843C78" w:rsidRPr="00CB27E2" w:rsidRDefault="006D090B" w:rsidP="00843C78">
      <w:pPr>
        <w:pStyle w:val="Text1"/>
        <w:spacing w:after="80"/>
        <w:ind w:left="0"/>
        <w:rPr>
          <w:rFonts w:ascii="Times New Roman" w:hAnsi="Times New Roman" w:cs="Times New Roman"/>
          <w:noProof/>
          <w:spacing w:val="-2"/>
        </w:rPr>
      </w:pPr>
      <w:r>
        <w:rPr>
          <w:rFonts w:ascii="Times New Roman" w:hAnsi="Times New Roman"/>
          <w:noProof/>
        </w:rPr>
        <w:t xml:space="preserve">Освен това подобрената европейска финансова архитектура за развитие със </w:t>
      </w:r>
      <w:r>
        <w:rPr>
          <w:rFonts w:ascii="Times New Roman" w:hAnsi="Times New Roman"/>
          <w:b/>
          <w:noProof/>
        </w:rPr>
        <w:t>засилено управление на политиката</w:t>
      </w:r>
      <w:r>
        <w:rPr>
          <w:rFonts w:ascii="Times New Roman" w:hAnsi="Times New Roman"/>
          <w:noProof/>
        </w:rPr>
        <w:t xml:space="preserve"> е от първостепенно значение за </w:t>
      </w:r>
      <w:r>
        <w:rPr>
          <w:rFonts w:ascii="Times New Roman" w:hAnsi="Times New Roman"/>
          <w:b/>
          <w:noProof/>
        </w:rPr>
        <w:t>укрепване на ролята на ЕС като глобален фактор и може да изиграе решаваща роля по отношение на геополитическите ни амбиции, по-специално за насърчаване на стратегическите ни интереси и ценности по света</w:t>
      </w:r>
      <w:r>
        <w:rPr>
          <w:rFonts w:ascii="Times New Roman" w:hAnsi="Times New Roman"/>
          <w:noProof/>
        </w:rPr>
        <w:t xml:space="preserve">. Европейската финансова архитектура за развитие следва да доведе до по-добро взаимно допълване между помощта, инвестициите за развитие, програмата за реформи и дипломацията. </w:t>
      </w:r>
      <w:r>
        <w:rPr>
          <w:rFonts w:ascii="Times New Roman" w:hAnsi="Times New Roman"/>
          <w:b/>
          <w:noProof/>
        </w:rPr>
        <w:t>Само по този начин европейската финансова архитектура за развитие може да увеличи в максимална степен използването на съществуващите ресурси за ОПР и да ускори капиталовите потоци към областите на най-голяма необходимост, да увеличи въздействието върху развитието и да направи по-видими усилията на целия ЕС и на неговите държави членки за постигане на ЦУР.</w:t>
      </w:r>
      <w:r>
        <w:rPr>
          <w:rFonts w:ascii="Times New Roman" w:hAnsi="Times New Roman"/>
          <w:noProof/>
        </w:rPr>
        <w:t xml:space="preserve"> </w:t>
      </w:r>
    </w:p>
    <w:p w14:paraId="68EA533D" w14:textId="77777777" w:rsidR="00843C78" w:rsidRPr="00CB27E2" w:rsidRDefault="00843C78" w:rsidP="00C97375">
      <w:pPr>
        <w:pStyle w:val="Default"/>
        <w:jc w:val="both"/>
        <w:rPr>
          <w:noProof/>
        </w:rPr>
      </w:pPr>
    </w:p>
    <w:p w14:paraId="008837E3" w14:textId="77777777" w:rsidR="007014E8" w:rsidRPr="00F50B3C" w:rsidRDefault="006D090B" w:rsidP="009C5BF1">
      <w:pPr>
        <w:pStyle w:val="Default"/>
        <w:spacing w:after="240"/>
        <w:jc w:val="both"/>
        <w:rPr>
          <w:noProof/>
          <w:spacing w:val="-4"/>
        </w:rPr>
      </w:pPr>
      <w:r w:rsidRPr="00F50B3C">
        <w:rPr>
          <w:noProof/>
          <w:spacing w:val="-4"/>
        </w:rPr>
        <w:t>В настоящия документ са очертани редица действия, които Комисията възнамерява да предприеме за укрепване на европейската финансова архитектура за развитие. Докладът показва и важните стъпки, които вече са предприети в тази посока. В това отношение стартирането през декември 2021 г. на стратегията „Global Gateway“ (Глобален портал)</w:t>
      </w:r>
      <w:r w:rsidR="004546FE" w:rsidRPr="00F50B3C">
        <w:rPr>
          <w:rStyle w:val="FootnoteReference"/>
          <w:noProof/>
          <w:spacing w:val="-4"/>
        </w:rPr>
        <w:footnoteReference w:id="4"/>
      </w:r>
      <w:r w:rsidRPr="00F50B3C">
        <w:rPr>
          <w:noProof/>
          <w:spacing w:val="-4"/>
        </w:rPr>
        <w:t xml:space="preserve"> и нейният пакет за инвестиции „Global Gateway Африка — Европа“</w:t>
      </w:r>
      <w:r w:rsidR="00843C78" w:rsidRPr="00F50B3C">
        <w:rPr>
          <w:rStyle w:val="FootnoteReference"/>
          <w:noProof/>
          <w:spacing w:val="-4"/>
        </w:rPr>
        <w:footnoteReference w:id="5"/>
      </w:r>
      <w:r w:rsidRPr="00F50B3C">
        <w:rPr>
          <w:noProof/>
          <w:spacing w:val="-4"/>
        </w:rPr>
        <w:t xml:space="preserve"> са ключово отражение на новата среда и указват бъдещото развитие на начина, по който ЕС ще осъществява външната си дейност през следващите години. Подкрепен от основан на ценности подход, Global Gateway е план за мащабни инвестиции в развитието на инфраструктурата по света с цел укрепване на цифровите, транспортните и енергийните мрежи чрез устойчиви и висококачествени проекти. Чрез него се предлагат сигурност и еднакви условия на конкуренция за инвеститорите и предприятията, както и високи равнища на прозрачност и стандарти, за да се постигнат трайни социални и икономически ползи за хората. </w:t>
      </w:r>
    </w:p>
    <w:p w14:paraId="04D4A216" w14:textId="77777777" w:rsidR="005C12C4" w:rsidRPr="00EA481A" w:rsidRDefault="00CD17DC" w:rsidP="00950E88">
      <w:pPr>
        <w:pStyle w:val="Default"/>
        <w:jc w:val="both"/>
        <w:rPr>
          <w:rFonts w:eastAsia="Calibri"/>
          <w:noProof/>
          <w:color w:val="000000" w:themeColor="text1"/>
          <w:spacing w:val="-4"/>
        </w:rPr>
      </w:pPr>
      <w:r>
        <w:rPr>
          <w:noProof/>
        </w:rPr>
        <w:t>Освен това Инструментът за съседство, сътрудничество за развитие и международно сътрудничество (ИССРМС) — Глобална Европа</w:t>
      </w:r>
      <w:r w:rsidR="00843C78" w:rsidRPr="00EA481A">
        <w:rPr>
          <w:rStyle w:val="FootnoteReference"/>
          <w:bCs/>
          <w:noProof/>
          <w:spacing w:val="-4"/>
        </w:rPr>
        <w:footnoteReference w:id="6"/>
      </w:r>
      <w:r>
        <w:rPr>
          <w:noProof/>
        </w:rPr>
        <w:t xml:space="preserve"> (с общ бюджет от 79 млрд. евро) и </w:t>
      </w:r>
      <w:r>
        <w:rPr>
          <w:rStyle w:val="xnormaltextrun"/>
          <w:noProof/>
          <w:bdr w:val="none" w:sz="0" w:space="0" w:color="auto" w:frame="1"/>
        </w:rPr>
        <w:t>Инструментът за предприсъединителна помощ III</w:t>
      </w:r>
      <w:r w:rsidR="00843C78" w:rsidRPr="00EA481A">
        <w:rPr>
          <w:rStyle w:val="FootnoteReference"/>
          <w:noProof/>
          <w:spacing w:val="-4"/>
          <w:bdr w:val="none" w:sz="0" w:space="0" w:color="auto" w:frame="1"/>
        </w:rPr>
        <w:footnoteReference w:id="7"/>
      </w:r>
      <w:r>
        <w:rPr>
          <w:rStyle w:val="xnormaltextrun"/>
          <w:noProof/>
          <w:bdr w:val="none" w:sz="0" w:space="0" w:color="auto" w:frame="1"/>
        </w:rPr>
        <w:t xml:space="preserve"> (14 млрд. евро), приет през 2021 г., </w:t>
      </w:r>
      <w:r>
        <w:rPr>
          <w:noProof/>
        </w:rPr>
        <w:t>са важни ориентири, които ще бъдат от основно значение за подобряване на настоящата финансова архитектура. Те водят до съществени</w:t>
      </w:r>
      <w:r>
        <w:rPr>
          <w:rStyle w:val="xnormaltextrun"/>
          <w:noProof/>
          <w:bdr w:val="none" w:sz="0" w:space="0" w:color="auto" w:frame="1"/>
        </w:rPr>
        <w:t xml:space="preserve"> подобрения по отношение на </w:t>
      </w:r>
      <w:r>
        <w:rPr>
          <w:noProof/>
        </w:rPr>
        <w:t xml:space="preserve">опростяването, стратегическото насочване на политиката на ЕС, като също така осигуряват </w:t>
      </w:r>
      <w:r>
        <w:rPr>
          <w:rStyle w:val="xnormaltextrun"/>
          <w:noProof/>
          <w:bdr w:val="none" w:sz="0" w:space="0" w:color="auto" w:frame="1"/>
        </w:rPr>
        <w:t xml:space="preserve">стимули за по-добра стратегическа и геополитическа координация между европейските участници и увеличават потенциала за </w:t>
      </w:r>
      <w:r>
        <w:rPr>
          <w:noProof/>
        </w:rPr>
        <w:t>привличане на капитал от частния сектор, така че да се постигне трансформиращо</w:t>
      </w:r>
      <w:r>
        <w:rPr>
          <w:noProof/>
          <w:color w:val="000000" w:themeColor="text1"/>
        </w:rPr>
        <w:t xml:space="preserve"> въздействие на място.</w:t>
      </w:r>
    </w:p>
    <w:p w14:paraId="6C5AD652" w14:textId="77777777" w:rsidR="00EE5FBE" w:rsidRPr="00CB27E2" w:rsidRDefault="00EE5FBE" w:rsidP="005C12C4">
      <w:pPr>
        <w:pStyle w:val="Default"/>
        <w:jc w:val="both"/>
        <w:rPr>
          <w:rFonts w:eastAsia="Calibri"/>
          <w:noProof/>
          <w:color w:val="000000" w:themeColor="text1"/>
          <w:spacing w:val="-4"/>
        </w:rPr>
      </w:pPr>
    </w:p>
    <w:p w14:paraId="73DCF331" w14:textId="77777777" w:rsidR="00AC32AB" w:rsidRPr="00CB27E2" w:rsidRDefault="006D090B" w:rsidP="005C12C4">
      <w:pPr>
        <w:pStyle w:val="Default"/>
        <w:jc w:val="both"/>
        <w:rPr>
          <w:noProof/>
        </w:rPr>
      </w:pPr>
      <w:bookmarkStart w:id="2" w:name="_Hlk97992973"/>
      <w:r>
        <w:rPr>
          <w:noProof/>
          <w:color w:val="000000" w:themeColor="text1"/>
        </w:rPr>
        <w:t xml:space="preserve">И накрая, имайки предвид огромния недостиг на финансиране за ЦУР, Комисията съвсем наскоро обяви покана за представяне на предложения с оглед на създаването на експертна група на високо равнище, </w:t>
      </w:r>
      <w:r>
        <w:rPr>
          <w:rStyle w:val="normaltextrun"/>
          <w:noProof/>
        </w:rPr>
        <w:t xml:space="preserve">която </w:t>
      </w:r>
      <w:r>
        <w:rPr>
          <w:rStyle w:val="normaltextrun"/>
          <w:noProof/>
          <w:szCs w:val="22"/>
          <w:shd w:val="clear" w:color="auto" w:fill="FFFFFF"/>
        </w:rPr>
        <w:t>ще</w:t>
      </w:r>
      <w:r>
        <w:rPr>
          <w:rStyle w:val="normaltextrun"/>
          <w:noProof/>
        </w:rPr>
        <w:t xml:space="preserve"> ѝ представи препоръки </w:t>
      </w:r>
      <w:r>
        <w:rPr>
          <w:noProof/>
          <w:color w:val="000000" w:themeColor="text1"/>
        </w:rPr>
        <w:t>за по-нататъшно ускоряване на притока на частен капитал към държавите с ниски и средни доходи</w:t>
      </w:r>
      <w:r>
        <w:rPr>
          <w:rStyle w:val="normaltextrun"/>
          <w:noProof/>
        </w:rPr>
        <w:t>.</w:t>
      </w:r>
    </w:p>
    <w:bookmarkEnd w:id="2"/>
    <w:p w14:paraId="7E6A92DC" w14:textId="77777777" w:rsidR="008E2695" w:rsidRPr="00CB27E2" w:rsidRDefault="008E2695" w:rsidP="00C97375">
      <w:pPr>
        <w:pStyle w:val="CommentText"/>
        <w:spacing w:after="0"/>
        <w:jc w:val="both"/>
        <w:rPr>
          <w:rFonts w:ascii="Times New Roman" w:hAnsi="Times New Roman" w:cs="Times New Roman"/>
          <w:noProof/>
          <w:spacing w:val="-4"/>
          <w:sz w:val="24"/>
          <w:szCs w:val="22"/>
        </w:rPr>
      </w:pPr>
    </w:p>
    <w:p w14:paraId="5991100F" w14:textId="77777777" w:rsidR="00DF7615" w:rsidRPr="00CB27E2" w:rsidRDefault="00B77EEE" w:rsidP="00446901">
      <w:pPr>
        <w:pStyle w:val="Heading3"/>
        <w:spacing w:after="120"/>
        <w:ind w:left="567" w:hanging="567"/>
        <w:jc w:val="both"/>
        <w:rPr>
          <w:rFonts w:ascii="Times New Roman" w:hAnsi="Times New Roman" w:cs="Times New Roman"/>
          <w:noProof/>
        </w:rPr>
      </w:pPr>
      <w:r>
        <w:rPr>
          <w:rFonts w:ascii="Times New Roman" w:hAnsi="Times New Roman"/>
          <w:noProof/>
        </w:rPr>
        <w:t>Подновяване на дискусиите относно начините за подобряване на европейската финансова архитектура за развитие</w:t>
      </w:r>
    </w:p>
    <w:p w14:paraId="2D21FF52" w14:textId="77777777" w:rsidR="00DF7615" w:rsidRPr="00CB27E2" w:rsidRDefault="00DF7615" w:rsidP="00C97375">
      <w:pPr>
        <w:pStyle w:val="Text1"/>
        <w:keepLines/>
        <w:spacing w:after="0"/>
        <w:ind w:left="0"/>
        <w:rPr>
          <w:rFonts w:ascii="Times New Roman" w:hAnsi="Times New Roman" w:cs="Times New Roman"/>
          <w:noProof/>
          <w:spacing w:val="-2"/>
          <w:szCs w:val="24"/>
        </w:rPr>
      </w:pPr>
      <w:r>
        <w:rPr>
          <w:rFonts w:ascii="Times New Roman" w:hAnsi="Times New Roman"/>
          <w:noProof/>
          <w:szCs w:val="24"/>
        </w:rPr>
        <w:t>Дискусиите относно начините за подобряване на европейската финансова архитектура за развитие се водят повече от десетилетие</w:t>
      </w:r>
      <w:r w:rsidR="001E6ECC" w:rsidRPr="00CB27E2">
        <w:rPr>
          <w:rStyle w:val="FootnoteReference"/>
          <w:rFonts w:ascii="Times New Roman" w:hAnsi="Times New Roman" w:cs="Times New Roman"/>
          <w:noProof/>
          <w:spacing w:val="-2"/>
          <w:szCs w:val="24"/>
        </w:rPr>
        <w:footnoteReference w:id="8"/>
      </w:r>
      <w:r>
        <w:rPr>
          <w:rFonts w:ascii="Times New Roman" w:hAnsi="Times New Roman"/>
          <w:noProof/>
          <w:szCs w:val="24"/>
        </w:rPr>
        <w:t xml:space="preserve"> на различни нива и с участието на различни групи заинтересовани страни. През 2018 г. Комисията прие </w:t>
      </w:r>
      <w:hyperlink r:id="rId18" w:history="1">
        <w:r>
          <w:rPr>
            <w:rFonts w:ascii="Times New Roman" w:hAnsi="Times New Roman"/>
            <w:noProof/>
            <w:szCs w:val="24"/>
          </w:rPr>
          <w:t>съобщението „Към по-ефективна финансова архитектура за инвестиции извън Европейския съюз</w:t>
        </w:r>
      </w:hyperlink>
      <w:r>
        <w:rPr>
          <w:rFonts w:ascii="Times New Roman" w:hAnsi="Times New Roman"/>
          <w:noProof/>
          <w:szCs w:val="24"/>
        </w:rPr>
        <w:t>“</w:t>
      </w:r>
      <w:r w:rsidR="001E6ECC" w:rsidRPr="00CB27E2">
        <w:rPr>
          <w:rStyle w:val="FootnoteReference"/>
          <w:rFonts w:ascii="Times New Roman" w:hAnsi="Times New Roman" w:cs="Times New Roman"/>
          <w:noProof/>
          <w:spacing w:val="-2"/>
          <w:szCs w:val="24"/>
        </w:rPr>
        <w:footnoteReference w:id="9"/>
      </w:r>
      <w:r>
        <w:rPr>
          <w:rFonts w:ascii="Times New Roman" w:hAnsi="Times New Roman"/>
          <w:noProof/>
          <w:szCs w:val="24"/>
        </w:rPr>
        <w:t xml:space="preserve">, в което се изтъкват </w:t>
      </w:r>
      <w:r>
        <w:rPr>
          <w:rFonts w:ascii="Times New Roman" w:hAnsi="Times New Roman"/>
          <w:noProof/>
          <w:color w:val="000000" w:themeColor="text1"/>
          <w:szCs w:val="24"/>
        </w:rPr>
        <w:t>някои от недостатъците на съществуващата структура и са очертани първоначални мерки за нейното подобряване</w:t>
      </w:r>
      <w:r>
        <w:rPr>
          <w:rFonts w:ascii="Times New Roman" w:hAnsi="Times New Roman"/>
          <w:noProof/>
          <w:szCs w:val="24"/>
        </w:rPr>
        <w:t>.</w:t>
      </w:r>
    </w:p>
    <w:p w14:paraId="0C4CA789" w14:textId="77777777" w:rsidR="005621C5" w:rsidRPr="00CB27E2" w:rsidRDefault="005621C5" w:rsidP="00C97375">
      <w:pPr>
        <w:pStyle w:val="Text1"/>
        <w:keepLines/>
        <w:spacing w:after="0"/>
        <w:ind w:left="0"/>
        <w:rPr>
          <w:rFonts w:ascii="Times New Roman" w:hAnsi="Times New Roman" w:cs="Times New Roman"/>
          <w:noProof/>
          <w:spacing w:val="-2"/>
        </w:rPr>
      </w:pPr>
    </w:p>
    <w:p w14:paraId="73C3F5D4" w14:textId="77777777" w:rsidR="00DF7615" w:rsidRPr="00EA481A" w:rsidRDefault="00DF7615" w:rsidP="00C97375">
      <w:pPr>
        <w:pStyle w:val="Text1"/>
        <w:spacing w:after="0"/>
        <w:ind w:left="0"/>
        <w:rPr>
          <w:rFonts w:ascii="Times New Roman" w:hAnsi="Times New Roman" w:cs="Times New Roman"/>
          <w:noProof/>
        </w:rPr>
      </w:pPr>
      <w:r>
        <w:rPr>
          <w:rFonts w:ascii="Times New Roman" w:hAnsi="Times New Roman"/>
          <w:noProof/>
        </w:rPr>
        <w:t>След доклада от 2019 г. на експертната група на високо равнище</w:t>
      </w:r>
      <w:r w:rsidRPr="00EA481A">
        <w:rPr>
          <w:rStyle w:val="FootnoteReference"/>
          <w:rFonts w:ascii="Times New Roman" w:hAnsi="Times New Roman" w:cs="Times New Roman"/>
          <w:noProof/>
        </w:rPr>
        <w:footnoteReference w:id="10"/>
      </w:r>
      <w:r>
        <w:rPr>
          <w:rFonts w:ascii="Times New Roman" w:hAnsi="Times New Roman"/>
          <w:noProof/>
        </w:rPr>
        <w:t xml:space="preserve"> и проучването от 2021 г. за осъществимост</w:t>
      </w:r>
      <w:r w:rsidR="00E74CFA" w:rsidRPr="00EA481A">
        <w:rPr>
          <w:rStyle w:val="FootnoteReference"/>
          <w:rFonts w:ascii="Times New Roman" w:hAnsi="Times New Roman" w:cs="Times New Roman"/>
          <w:noProof/>
        </w:rPr>
        <w:footnoteReference w:id="11"/>
      </w:r>
      <w:r>
        <w:rPr>
          <w:rFonts w:ascii="Times New Roman" w:hAnsi="Times New Roman"/>
          <w:noProof/>
        </w:rPr>
        <w:t xml:space="preserve"> относно вариантите за укрепване на бъдещата европейска финансова архитектура за развитие, в заключенията на Съвета от юни 2021 г.</w:t>
      </w:r>
      <w:r w:rsidR="00167C5A" w:rsidRPr="00EA481A">
        <w:rPr>
          <w:rStyle w:val="FootnoteReference"/>
          <w:rFonts w:ascii="Times New Roman" w:hAnsi="Times New Roman" w:cs="Times New Roman"/>
          <w:noProof/>
        </w:rPr>
        <w:footnoteReference w:id="12"/>
      </w:r>
      <w:r>
        <w:rPr>
          <w:rFonts w:ascii="Times New Roman" w:hAnsi="Times New Roman"/>
          <w:noProof/>
        </w:rPr>
        <w:t xml:space="preserve"> се подчертава значението на укрепването и подобряването на настоящата институционална структура на европейската финансова архитектура за развитие (Status Quo+) и се подчертава „</w:t>
      </w:r>
      <w:r>
        <w:rPr>
          <w:rFonts w:ascii="Times New Roman" w:hAnsi="Times New Roman"/>
          <w:b/>
          <w:noProof/>
        </w:rPr>
        <w:t>необходимостта европейската финансова архитектура за развитие да стане по-ефективна, ефикасна, насочена към развитието, съгласувана и видима, в съответствие с принципа „политиката на първо място“ и със стратегическите интереси и ценности на ЕС“</w:t>
      </w:r>
      <w:r>
        <w:rPr>
          <w:rFonts w:ascii="Times New Roman" w:hAnsi="Times New Roman"/>
          <w:noProof/>
        </w:rPr>
        <w:t>. Съветът също така постигна съгласие, че финансовата архитектура на ЕС „следва да се основава на</w:t>
      </w:r>
      <w:r>
        <w:rPr>
          <w:rFonts w:ascii="Times New Roman" w:hAnsi="Times New Roman"/>
          <w:b/>
          <w:noProof/>
        </w:rPr>
        <w:t xml:space="preserve"> отворена, съвместна и приобщаваща структура, работа с всички европейски банки за развитие и финансови институции въз основа на съответните им национални, секторни или финансови експертни познания, добавена стойност и ресурси</w:t>
      </w:r>
      <w:r>
        <w:rPr>
          <w:rFonts w:ascii="Times New Roman" w:hAnsi="Times New Roman"/>
          <w:noProof/>
        </w:rPr>
        <w:t xml:space="preserve">“. </w:t>
      </w:r>
    </w:p>
    <w:p w14:paraId="3FBAB5A9" w14:textId="77777777" w:rsidR="005621C5" w:rsidRPr="00CB27E2" w:rsidRDefault="005621C5" w:rsidP="00C97375">
      <w:pPr>
        <w:pStyle w:val="Text1"/>
        <w:spacing w:after="0"/>
        <w:ind w:left="0"/>
        <w:rPr>
          <w:rFonts w:ascii="Times New Roman" w:hAnsi="Times New Roman" w:cs="Times New Roman"/>
          <w:noProof/>
          <w:spacing w:val="-4"/>
        </w:rPr>
      </w:pPr>
    </w:p>
    <w:p w14:paraId="78D7E0BE" w14:textId="77777777" w:rsidR="00BD2AC0" w:rsidRPr="00CB27E2" w:rsidRDefault="00BD2AC0" w:rsidP="00BD2AC0">
      <w:pPr>
        <w:spacing w:after="0" w:line="240" w:lineRule="auto"/>
        <w:jc w:val="both"/>
        <w:rPr>
          <w:rFonts w:ascii="Times New Roman" w:hAnsi="Times New Roman" w:cs="Times New Roman"/>
          <w:noProof/>
          <w:spacing w:val="-2"/>
          <w:sz w:val="24"/>
        </w:rPr>
      </w:pPr>
      <w:r>
        <w:rPr>
          <w:rFonts w:ascii="Times New Roman" w:hAnsi="Times New Roman"/>
          <w:noProof/>
          <w:sz w:val="24"/>
        </w:rPr>
        <w:t xml:space="preserve">В заключенията си </w:t>
      </w:r>
      <w:r>
        <w:rPr>
          <w:rFonts w:ascii="Times New Roman" w:hAnsi="Times New Roman"/>
          <w:noProof/>
          <w:color w:val="000000" w:themeColor="text1"/>
          <w:sz w:val="24"/>
          <w:szCs w:val="24"/>
        </w:rPr>
        <w:t xml:space="preserve">Съветът </w:t>
      </w:r>
      <w:r>
        <w:rPr>
          <w:rFonts w:ascii="Times New Roman" w:hAnsi="Times New Roman"/>
          <w:noProof/>
          <w:sz w:val="24"/>
        </w:rPr>
        <w:t>подчерта необходимостта от „</w:t>
      </w:r>
      <w:r>
        <w:rPr>
          <w:rFonts w:ascii="Times New Roman" w:hAnsi="Times New Roman"/>
          <w:noProof/>
          <w:sz w:val="24"/>
          <w:szCs w:val="24"/>
        </w:rPr>
        <w:t>мобилизиране</w:t>
      </w:r>
      <w:r>
        <w:rPr>
          <w:rFonts w:ascii="Times New Roman" w:hAnsi="Times New Roman"/>
          <w:noProof/>
          <w:sz w:val="24"/>
        </w:rPr>
        <w:t xml:space="preserve"> на устойчивото финансиране от частния сектор“. Въпреки че частният сектор традиционно не е в центъра на инвестиционните стратегии за развитие, все повече се налага мнението, че неговият принос е от решаващо значение за финансирането за развитие (в допълнение към ограничените ресурси на публичния сектор) и за насърчаването на устойчиви работни места и растеж в държавите партньори. </w:t>
      </w:r>
    </w:p>
    <w:p w14:paraId="0CD5DCC0" w14:textId="77777777" w:rsidR="00BD2AC0" w:rsidRPr="00CB27E2" w:rsidRDefault="00BD2AC0" w:rsidP="00BD2AC0">
      <w:pPr>
        <w:spacing w:after="0" w:line="240" w:lineRule="auto"/>
        <w:jc w:val="both"/>
        <w:rPr>
          <w:rFonts w:ascii="Times New Roman" w:hAnsi="Times New Roman" w:cs="Times New Roman"/>
          <w:noProof/>
          <w:spacing w:val="-2"/>
          <w:sz w:val="24"/>
        </w:rPr>
      </w:pPr>
    </w:p>
    <w:p w14:paraId="038271D1" w14:textId="77777777" w:rsidR="00485DAC" w:rsidRPr="00CB27E2" w:rsidRDefault="00DF7615" w:rsidP="00C97375">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Съветът прикани ЕИБ и ЕБВР </w:t>
      </w:r>
      <w:r>
        <w:rPr>
          <w:rFonts w:ascii="Times New Roman" w:hAnsi="Times New Roman"/>
          <w:noProof/>
          <w:sz w:val="24"/>
          <w:szCs w:val="24"/>
        </w:rPr>
        <w:t xml:space="preserve">„да продължат систематичното задълбочаване на координацията си както на стратегическо, така и на техническо равнище“, „да осъществяват координация с други глобални финансови институции, функциониращи в държавите, в които те извършват дейността си“, както и „да засилят сравнителните си предимства във финансирането за развитие, да избягват фрагментацията и да увеличат в максимална степен въздействието си върху развитието“. В по-общ план Съветът призовава всички европейски </w:t>
      </w:r>
      <w:r>
        <w:rPr>
          <w:rFonts w:ascii="Times New Roman" w:hAnsi="Times New Roman"/>
          <w:noProof/>
          <w:color w:val="000000" w:themeColor="text1"/>
          <w:sz w:val="24"/>
          <w:szCs w:val="24"/>
        </w:rPr>
        <w:t xml:space="preserve">участници в областта на развитието да засилят сътрудничеството си. </w:t>
      </w:r>
    </w:p>
    <w:p w14:paraId="3E551E04" w14:textId="77777777" w:rsidR="005621C5" w:rsidRPr="00CB27E2" w:rsidRDefault="005621C5" w:rsidP="00C97375">
      <w:pPr>
        <w:spacing w:after="0" w:line="240" w:lineRule="auto"/>
        <w:jc w:val="both"/>
        <w:rPr>
          <w:rFonts w:ascii="Times New Roman" w:hAnsi="Times New Roman" w:cs="Times New Roman"/>
          <w:noProof/>
          <w:sz w:val="24"/>
          <w:szCs w:val="24"/>
        </w:rPr>
      </w:pPr>
    </w:p>
    <w:p w14:paraId="626D570B" w14:textId="77777777" w:rsidR="00DF7615" w:rsidRPr="00CB27E2" w:rsidRDefault="00BD2AC0" w:rsidP="00BD2AC0">
      <w:pPr>
        <w:pStyle w:val="Default"/>
        <w:jc w:val="both"/>
        <w:rPr>
          <w:noProof/>
          <w:sz w:val="23"/>
          <w:szCs w:val="23"/>
        </w:rPr>
      </w:pPr>
      <w:r>
        <w:rPr>
          <w:noProof/>
          <w:color w:val="auto"/>
        </w:rPr>
        <w:t xml:space="preserve">Съветът прикани Комисията да представи пътна карта </w:t>
      </w:r>
      <w:r>
        <w:rPr>
          <w:noProof/>
        </w:rPr>
        <w:t>за подобряване на европейската финансова архитектура за развитие</w:t>
      </w:r>
      <w:r>
        <w:rPr>
          <w:noProof/>
          <w:color w:val="auto"/>
        </w:rPr>
        <w:t xml:space="preserve">. </w:t>
      </w:r>
      <w:r>
        <w:rPr>
          <w:noProof/>
        </w:rPr>
        <w:t xml:space="preserve">Наред с това Съветът посочи следните области за постигане на подобрения: </w:t>
      </w:r>
      <w:r>
        <w:rPr>
          <w:noProof/>
          <w:sz w:val="23"/>
          <w:szCs w:val="23"/>
        </w:rPr>
        <w:t xml:space="preserve">координация и насочване на политиката от страна на Комисията при прилагането на политиката на ЕС за развитие, </w:t>
      </w:r>
      <w:r>
        <w:rPr>
          <w:noProof/>
        </w:rPr>
        <w:t xml:space="preserve">като се предоставят повече стимули за съфинансиране и споделяне на риска; засилване на ролята на стратегическия съвет на ЕФУР+; опростяване на достъпа до финансиране; укрепване на приобщаването; подкрепа за по-малките участници в тяхната оценка по стълбове; подпомагане на създаването на канали за проекти чрез техническа помощ; укрепване на подхода „Екип Европа“ с цел повишаване на видимостта на общата ангажираност. </w:t>
      </w:r>
    </w:p>
    <w:p w14:paraId="17B127CD" w14:textId="77777777" w:rsidR="00296291" w:rsidRPr="00CB27E2" w:rsidRDefault="00296291" w:rsidP="00C97375">
      <w:pPr>
        <w:spacing w:after="0" w:line="240" w:lineRule="auto"/>
        <w:jc w:val="both"/>
        <w:rPr>
          <w:rFonts w:ascii="Times New Roman" w:hAnsi="Times New Roman" w:cs="Times New Roman"/>
          <w:noProof/>
          <w:spacing w:val="-4"/>
          <w:sz w:val="24"/>
        </w:rPr>
      </w:pPr>
    </w:p>
    <w:p w14:paraId="02509F0B" w14:textId="77777777" w:rsidR="00DF7615" w:rsidRPr="00CB27E2" w:rsidRDefault="00EA53DA" w:rsidP="00446901">
      <w:pPr>
        <w:pStyle w:val="Heading3"/>
        <w:spacing w:after="120"/>
        <w:ind w:left="567" w:hanging="567"/>
        <w:jc w:val="both"/>
        <w:rPr>
          <w:rFonts w:ascii="Times New Roman" w:hAnsi="Times New Roman" w:cs="Times New Roman"/>
          <w:noProof/>
        </w:rPr>
      </w:pPr>
      <w:r>
        <w:rPr>
          <w:rFonts w:ascii="Times New Roman" w:hAnsi="Times New Roman"/>
          <w:noProof/>
        </w:rPr>
        <w:t xml:space="preserve">Инициативи, ръководени от партньорски институции, за засилване на сътрудничеството между тях </w:t>
      </w:r>
    </w:p>
    <w:p w14:paraId="69F22BFB" w14:textId="77777777" w:rsidR="000F08BB" w:rsidRPr="00CB27E2" w:rsidRDefault="00DF7615" w:rsidP="00C97375">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Европейската финансова архитектура за развитие обхваща множество участници (вж. приложението за временен списък). </w:t>
      </w:r>
    </w:p>
    <w:p w14:paraId="0A8E24DD" w14:textId="77777777" w:rsidR="00296291" w:rsidRPr="00CB27E2" w:rsidRDefault="00296291" w:rsidP="00C97375">
      <w:pPr>
        <w:spacing w:after="0" w:line="240" w:lineRule="auto"/>
        <w:jc w:val="both"/>
        <w:rPr>
          <w:rFonts w:ascii="Times New Roman" w:hAnsi="Times New Roman" w:cs="Times New Roman"/>
          <w:noProof/>
          <w:sz w:val="24"/>
          <w:szCs w:val="24"/>
        </w:rPr>
      </w:pPr>
    </w:p>
    <w:p w14:paraId="0A28F340" w14:textId="77777777" w:rsidR="00DF7615" w:rsidRPr="00CB27E2" w:rsidRDefault="00DF7615" w:rsidP="00C97375">
      <w:pPr>
        <w:spacing w:after="0" w:line="240" w:lineRule="auto"/>
        <w:jc w:val="both"/>
        <w:rPr>
          <w:rFonts w:ascii="Times New Roman" w:hAnsi="Times New Roman" w:cs="Times New Roman"/>
          <w:noProof/>
          <w:sz w:val="24"/>
          <w:szCs w:val="24"/>
        </w:rPr>
      </w:pPr>
      <w:r>
        <w:rPr>
          <w:rFonts w:ascii="Times New Roman" w:hAnsi="Times New Roman"/>
          <w:noProof/>
          <w:sz w:val="24"/>
          <w:szCs w:val="24"/>
        </w:rPr>
        <w:t>В съответствие с посочените по-горе обсъждания и въз основа на извлечените поуки европейските участници в областта на развитието се стремят да засилят сътрудничеството си чрез различни инициативи. Държавите членки, техните национални банки и организации за развитие, европейските и международните финансови институции си партнират в рамките на различни мрежи в зависимост от обсега им на намеса, стратегически приоритети, интереси и нужди.</w:t>
      </w:r>
    </w:p>
    <w:p w14:paraId="6008A43B" w14:textId="77777777" w:rsidR="00296291" w:rsidRPr="00CB27E2" w:rsidRDefault="00296291" w:rsidP="00C97375">
      <w:pPr>
        <w:spacing w:after="0" w:line="240" w:lineRule="auto"/>
        <w:jc w:val="both"/>
        <w:rPr>
          <w:rFonts w:ascii="Times New Roman" w:hAnsi="Times New Roman" w:cs="Times New Roman"/>
          <w:noProof/>
          <w:sz w:val="24"/>
          <w:szCs w:val="24"/>
        </w:rPr>
      </w:pPr>
    </w:p>
    <w:p w14:paraId="46915E4C" w14:textId="77777777" w:rsidR="00DF7615" w:rsidRPr="00CB27E2" w:rsidRDefault="00426AAE" w:rsidP="00C97375">
      <w:pPr>
        <w:spacing w:after="0" w:line="240" w:lineRule="auto"/>
        <w:jc w:val="both"/>
        <w:rPr>
          <w:rFonts w:ascii="Times New Roman" w:hAnsi="Times New Roman" w:cs="Times New Roman"/>
          <w:noProof/>
          <w:sz w:val="24"/>
          <w:szCs w:val="24"/>
        </w:rPr>
      </w:pPr>
      <w:r>
        <w:rPr>
          <w:rFonts w:ascii="Times New Roman" w:hAnsi="Times New Roman"/>
          <w:noProof/>
          <w:sz w:val="24"/>
          <w:szCs w:val="24"/>
        </w:rPr>
        <w:t>Заинтересованите страни са обединени в няколко инициативи в зависимост от тяхното естество/обхват и с различни степени на сътрудничество:</w:t>
      </w:r>
    </w:p>
    <w:p w14:paraId="51DB74E8" w14:textId="77777777" w:rsidR="00DF7615" w:rsidRPr="00CB27E2" w:rsidRDefault="00DF7615" w:rsidP="00C97375">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b/>
          <w:bCs/>
          <w:noProof/>
          <w:color w:val="2E74B5"/>
          <w:sz w:val="24"/>
          <w:szCs w:val="24"/>
        </w:rPr>
        <w:t>Асоциация на европейските финансови институции за развитие (EDFI)</w:t>
      </w:r>
      <w:r w:rsidRPr="00CB27E2">
        <w:rPr>
          <w:rStyle w:val="FootnoteReference"/>
          <w:rFonts w:ascii="Times New Roman" w:hAnsi="Times New Roman" w:cs="Times New Roman"/>
          <w:noProof/>
          <w:sz w:val="24"/>
          <w:szCs w:val="24"/>
        </w:rPr>
        <w:footnoteReference w:id="13"/>
      </w:r>
      <w:r>
        <w:rPr>
          <w:rFonts w:ascii="Times New Roman" w:hAnsi="Times New Roman"/>
          <w:b/>
          <w:bCs/>
          <w:noProof/>
          <w:color w:val="2E74B5"/>
          <w:sz w:val="24"/>
          <w:szCs w:val="24"/>
        </w:rPr>
        <w:t xml:space="preserve"> </w:t>
      </w:r>
      <w:r>
        <w:rPr>
          <w:rFonts w:ascii="Times New Roman" w:hAnsi="Times New Roman"/>
          <w:noProof/>
          <w:sz w:val="24"/>
          <w:szCs w:val="24"/>
        </w:rPr>
        <w:t>(1992 г.): обединява финансовите институции за развитие (ФИР) (включително някои членове от държави извън ЕС), чийто мандат е да подпомагат частния сектор. Създадено е и дружество за управление на европейските финансови институции за развитие (EDFI MC).</w:t>
      </w:r>
    </w:p>
    <w:p w14:paraId="6B20C650" w14:textId="77777777" w:rsidR="00DF7615" w:rsidRPr="00CB27E2" w:rsidRDefault="00DF7615" w:rsidP="00C97375">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b/>
          <w:bCs/>
          <w:noProof/>
          <w:color w:val="2E74B5"/>
          <w:sz w:val="24"/>
          <w:szCs w:val="24"/>
        </w:rPr>
        <w:t>Засилено партньорство</w:t>
      </w:r>
      <w:r w:rsidRPr="00CB27E2">
        <w:rPr>
          <w:rStyle w:val="FootnoteReference"/>
          <w:rFonts w:ascii="Times New Roman" w:hAnsi="Times New Roman" w:cs="Times New Roman"/>
          <w:noProof/>
          <w:sz w:val="24"/>
          <w:szCs w:val="24"/>
        </w:rPr>
        <w:footnoteReference w:id="14"/>
      </w:r>
      <w:r>
        <w:rPr>
          <w:rFonts w:ascii="Times New Roman" w:hAnsi="Times New Roman"/>
          <w:b/>
          <w:bCs/>
          <w:noProof/>
          <w:sz w:val="24"/>
          <w:szCs w:val="24"/>
        </w:rPr>
        <w:t xml:space="preserve"> </w:t>
      </w:r>
      <w:r>
        <w:rPr>
          <w:rFonts w:ascii="Times New Roman" w:hAnsi="Times New Roman"/>
          <w:noProof/>
          <w:sz w:val="24"/>
          <w:szCs w:val="24"/>
        </w:rPr>
        <w:t>(2016 г.): включва Комисията, три държавни банки за развитие и една агенция за развитие (всички с извършена оценка по стълбове).</w:t>
      </w:r>
    </w:p>
    <w:p w14:paraId="6364E9B1" w14:textId="77777777" w:rsidR="004A5062" w:rsidRPr="00CB27E2" w:rsidRDefault="00DF7615" w:rsidP="00C97375">
      <w:pPr>
        <w:pStyle w:val="ListParagraph"/>
        <w:numPr>
          <w:ilvl w:val="0"/>
          <w:numId w:val="3"/>
        </w:numPr>
        <w:spacing w:after="0" w:line="240" w:lineRule="auto"/>
        <w:jc w:val="both"/>
        <w:rPr>
          <w:rFonts w:ascii="Times New Roman" w:hAnsi="Times New Roman" w:cs="Times New Roman"/>
          <w:noProof/>
          <w:color w:val="000000" w:themeColor="text1"/>
          <w:sz w:val="24"/>
          <w:szCs w:val="24"/>
        </w:rPr>
      </w:pPr>
      <w:r>
        <w:rPr>
          <w:rFonts w:ascii="Times New Roman" w:hAnsi="Times New Roman"/>
          <w:b/>
          <w:bCs/>
          <w:noProof/>
          <w:color w:val="2E74B5" w:themeColor="accent1" w:themeShade="BF"/>
          <w:sz w:val="24"/>
          <w:szCs w:val="24"/>
        </w:rPr>
        <w:t>Мрежа от специалисти</w:t>
      </w:r>
      <w:r w:rsidRPr="00CB27E2">
        <w:rPr>
          <w:rStyle w:val="FootnoteReference"/>
          <w:rFonts w:ascii="Times New Roman" w:hAnsi="Times New Roman" w:cs="Times New Roman"/>
          <w:noProof/>
          <w:sz w:val="24"/>
          <w:szCs w:val="24"/>
        </w:rPr>
        <w:footnoteReference w:id="15"/>
      </w:r>
      <w:r>
        <w:rPr>
          <w:rFonts w:ascii="Times New Roman" w:hAnsi="Times New Roman"/>
          <w:b/>
          <w:bCs/>
          <w:noProof/>
          <w:color w:val="2E74B5" w:themeColor="accent1" w:themeShade="BF"/>
          <w:sz w:val="24"/>
          <w:szCs w:val="24"/>
        </w:rPr>
        <w:t xml:space="preserve"> </w:t>
      </w:r>
      <w:r>
        <w:rPr>
          <w:rFonts w:ascii="Times New Roman" w:hAnsi="Times New Roman"/>
          <w:noProof/>
          <w:sz w:val="24"/>
          <w:szCs w:val="24"/>
        </w:rPr>
        <w:t xml:space="preserve">(2007 г.): съставена предимно от европейски организации за сътрудничество за развитие, за които се извършва оценка по стълбове (включително някои членове от държави извън ЕС), които съсредоточават усилията си върху изграждането на капацитет и предоставянето на техническа помощ. </w:t>
      </w:r>
    </w:p>
    <w:p w14:paraId="3166043E" w14:textId="77777777" w:rsidR="00296291" w:rsidRPr="00CB27E2" w:rsidRDefault="00296291" w:rsidP="00C97375">
      <w:pPr>
        <w:pStyle w:val="ListParagraph"/>
        <w:spacing w:after="0" w:line="240" w:lineRule="auto"/>
        <w:jc w:val="both"/>
        <w:rPr>
          <w:rFonts w:ascii="Times New Roman" w:hAnsi="Times New Roman" w:cs="Times New Roman"/>
          <w:noProof/>
          <w:color w:val="000000" w:themeColor="text1"/>
          <w:sz w:val="24"/>
          <w:szCs w:val="24"/>
        </w:rPr>
      </w:pPr>
    </w:p>
    <w:p w14:paraId="31BD894E" w14:textId="77777777" w:rsidR="00DF7615" w:rsidRPr="00CB27E2" w:rsidRDefault="00DF7615" w:rsidP="00C97375">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Успоредно с това през </w:t>
      </w:r>
      <w:r>
        <w:rPr>
          <w:rFonts w:ascii="Times New Roman" w:hAnsi="Times New Roman"/>
          <w:bCs/>
          <w:noProof/>
          <w:color w:val="2E74B5"/>
          <w:sz w:val="24"/>
          <w:szCs w:val="24"/>
        </w:rPr>
        <w:t xml:space="preserve">2012 г. </w:t>
      </w:r>
      <w:r>
        <w:rPr>
          <w:rFonts w:ascii="Times New Roman" w:hAnsi="Times New Roman"/>
          <w:b/>
          <w:bCs/>
          <w:noProof/>
          <w:color w:val="2E74B5"/>
          <w:sz w:val="24"/>
          <w:szCs w:val="24"/>
        </w:rPr>
        <w:t>беше подписан и меморандумът за разбирателство</w:t>
      </w:r>
      <w:r w:rsidRPr="00CB27E2">
        <w:rPr>
          <w:rStyle w:val="FootnoteReference"/>
          <w:rFonts w:ascii="Times New Roman" w:hAnsi="Times New Roman" w:cs="Times New Roman"/>
          <w:b/>
          <w:bCs/>
          <w:noProof/>
          <w:color w:val="2E74B5"/>
          <w:sz w:val="24"/>
          <w:szCs w:val="24"/>
        </w:rPr>
        <w:footnoteReference w:id="16"/>
      </w:r>
      <w:r>
        <w:rPr>
          <w:rFonts w:ascii="Times New Roman" w:hAnsi="Times New Roman"/>
          <w:b/>
          <w:bCs/>
          <w:noProof/>
          <w:color w:val="2E74B5"/>
          <w:sz w:val="24"/>
          <w:szCs w:val="24"/>
        </w:rPr>
        <w:t xml:space="preserve"> между</w:t>
      </w:r>
      <w:r>
        <w:rPr>
          <w:rFonts w:ascii="Times New Roman" w:hAnsi="Times New Roman"/>
          <w:bCs/>
          <w:noProof/>
          <w:color w:val="2E74B5"/>
          <w:sz w:val="24"/>
          <w:szCs w:val="24"/>
        </w:rPr>
        <w:t xml:space="preserve"> </w:t>
      </w:r>
      <w:r>
        <w:rPr>
          <w:rFonts w:ascii="Times New Roman" w:hAnsi="Times New Roman"/>
          <w:b/>
          <w:bCs/>
          <w:noProof/>
          <w:color w:val="2E74B5"/>
          <w:sz w:val="24"/>
          <w:szCs w:val="24"/>
        </w:rPr>
        <w:t>ЕИБ и ЕБВР</w:t>
      </w:r>
      <w:r>
        <w:rPr>
          <w:rFonts w:ascii="Times New Roman" w:hAnsi="Times New Roman"/>
          <w:bCs/>
          <w:noProof/>
          <w:color w:val="2E74B5"/>
          <w:sz w:val="24"/>
          <w:szCs w:val="24"/>
        </w:rPr>
        <w:t xml:space="preserve"> </w:t>
      </w:r>
      <w:r>
        <w:rPr>
          <w:rFonts w:ascii="Times New Roman" w:hAnsi="Times New Roman"/>
          <w:noProof/>
          <w:sz w:val="24"/>
          <w:szCs w:val="24"/>
        </w:rPr>
        <w:t xml:space="preserve">заедно с Комисията, който доведе до редовни координационни срещи между банките. С него също така беше проправен </w:t>
      </w:r>
      <w:r>
        <w:rPr>
          <w:rFonts w:ascii="Times New Roman" w:hAnsi="Times New Roman"/>
          <w:noProof/>
          <w:color w:val="000000" w:themeColor="text1"/>
          <w:sz w:val="24"/>
          <w:szCs w:val="24"/>
        </w:rPr>
        <w:t xml:space="preserve">пътят към „Рамковото споразумение за сътрудничество по проекти“, сключено от двете банки през октомври 2021 г. (вж. по-долу). </w:t>
      </w:r>
    </w:p>
    <w:p w14:paraId="4F493373" w14:textId="77777777" w:rsidR="0087483B" w:rsidRPr="00CB27E2" w:rsidRDefault="0087483B" w:rsidP="00C97375">
      <w:pPr>
        <w:spacing w:after="0" w:line="240" w:lineRule="auto"/>
        <w:jc w:val="both"/>
        <w:rPr>
          <w:rFonts w:ascii="Times New Roman" w:hAnsi="Times New Roman" w:cs="Times New Roman"/>
          <w:noProof/>
          <w:sz w:val="24"/>
          <w:szCs w:val="24"/>
        </w:rPr>
      </w:pPr>
    </w:p>
    <w:p w14:paraId="42420475" w14:textId="1FFFD6C9" w:rsidR="009F46C1" w:rsidRDefault="00DF7615" w:rsidP="00C97375">
      <w:pPr>
        <w:spacing w:after="0" w:line="240" w:lineRule="auto"/>
        <w:jc w:val="both"/>
        <w:rPr>
          <w:rFonts w:ascii="Times New Roman" w:hAnsi="Times New Roman" w:cs="Times New Roman"/>
          <w:noProof/>
          <w:sz w:val="24"/>
          <w:szCs w:val="24"/>
        </w:rPr>
      </w:pPr>
      <w:r>
        <w:rPr>
          <w:rFonts w:ascii="Times New Roman" w:hAnsi="Times New Roman"/>
          <w:noProof/>
          <w:sz w:val="24"/>
          <w:szCs w:val="24"/>
        </w:rPr>
        <w:t>Графиката по-долу</w:t>
      </w:r>
      <w:r w:rsidR="000D4659">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предоставя ориентировъчна и неизчерпателна визуална информация за съществуващите инициативи за сътрудничество, ръководени от държавите членки и финансовите институции за развитие: </w:t>
      </w:r>
    </w:p>
    <w:p w14:paraId="34DFA819" w14:textId="77777777" w:rsidR="00E83FFE" w:rsidRPr="00E83FFE" w:rsidRDefault="00E83FFE" w:rsidP="00C97375">
      <w:pPr>
        <w:spacing w:after="0" w:line="240" w:lineRule="auto"/>
        <w:jc w:val="both"/>
        <w:rPr>
          <w:rFonts w:ascii="Times New Roman" w:hAnsi="Times New Roman" w:cs="Times New Roman"/>
          <w:noProof/>
          <w:sz w:val="24"/>
          <w:szCs w:val="24"/>
        </w:rPr>
      </w:pPr>
    </w:p>
    <w:p w14:paraId="0B559273" w14:textId="793ADFCC" w:rsidR="00E83FFE" w:rsidRPr="00CB27E2" w:rsidRDefault="00E83FFE" w:rsidP="00C97375">
      <w:pPr>
        <w:spacing w:after="0" w:line="240" w:lineRule="auto"/>
        <w:jc w:val="both"/>
        <w:rPr>
          <w:rFonts w:ascii="Times New Roman" w:hAnsi="Times New Roman" w:cs="Times New Roman"/>
          <w:noProof/>
          <w:sz w:val="24"/>
          <w:szCs w:val="24"/>
        </w:rPr>
      </w:pPr>
      <w:r>
        <w:rPr>
          <w:noProof/>
          <w:lang w:val="en-GB" w:eastAsia="en-GB"/>
        </w:rPr>
        <w:drawing>
          <wp:inline distT="0" distB="0" distL="0" distR="0" wp14:anchorId="62A89FCD" wp14:editId="75513C9C">
            <wp:extent cx="5731510" cy="26155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2615565"/>
                    </a:xfrm>
                    <a:prstGeom prst="rect">
                      <a:avLst/>
                    </a:prstGeom>
                  </pic:spPr>
                </pic:pic>
              </a:graphicData>
            </a:graphic>
          </wp:inline>
        </w:drawing>
      </w:r>
    </w:p>
    <w:p w14:paraId="79B1C6E8" w14:textId="77777777" w:rsidR="004503E7" w:rsidRPr="00CB27E2" w:rsidRDefault="004503E7" w:rsidP="00C97375">
      <w:pPr>
        <w:spacing w:after="0" w:line="240" w:lineRule="auto"/>
        <w:jc w:val="both"/>
        <w:rPr>
          <w:rFonts w:ascii="Times New Roman" w:hAnsi="Times New Roman" w:cs="Times New Roman"/>
          <w:noProof/>
          <w:spacing w:val="-4"/>
          <w:sz w:val="24"/>
          <w:szCs w:val="24"/>
        </w:rPr>
      </w:pPr>
    </w:p>
    <w:p w14:paraId="34289A48" w14:textId="63E36331" w:rsidR="0083010F" w:rsidRPr="00CB27E2" w:rsidRDefault="0083010F" w:rsidP="00C97375">
      <w:pPr>
        <w:spacing w:after="0" w:line="240" w:lineRule="auto"/>
        <w:jc w:val="both"/>
        <w:rPr>
          <w:rFonts w:ascii="Times New Roman" w:hAnsi="Times New Roman" w:cs="Times New Roman"/>
          <w:noProof/>
          <w:spacing w:val="-4"/>
          <w:sz w:val="24"/>
          <w:szCs w:val="24"/>
        </w:rPr>
      </w:pPr>
      <w:r>
        <w:rPr>
          <w:rFonts w:ascii="Times New Roman" w:hAnsi="Times New Roman"/>
          <w:noProof/>
          <w:sz w:val="24"/>
          <w:szCs w:val="24"/>
        </w:rPr>
        <w:t>Други инициативи включват например</w:t>
      </w:r>
      <w:r>
        <w:rPr>
          <w:rFonts w:ascii="Times New Roman" w:hAnsi="Times New Roman"/>
          <w:noProof/>
        </w:rPr>
        <w:t xml:space="preserve"> </w:t>
      </w:r>
      <w:r>
        <w:rPr>
          <w:rFonts w:ascii="Times New Roman" w:hAnsi="Times New Roman"/>
          <w:noProof/>
          <w:sz w:val="24"/>
          <w:szCs w:val="24"/>
        </w:rPr>
        <w:t>инициативата за взаимно доверие</w:t>
      </w:r>
      <w:r w:rsidRPr="00CB27E2">
        <w:rPr>
          <w:rStyle w:val="FootnoteReference"/>
          <w:rFonts w:ascii="Times New Roman" w:hAnsi="Times New Roman" w:cs="Times New Roman"/>
          <w:noProof/>
          <w:spacing w:val="-4"/>
          <w:sz w:val="24"/>
          <w:szCs w:val="24"/>
        </w:rPr>
        <w:footnoteReference w:id="18"/>
      </w:r>
      <w:r>
        <w:rPr>
          <w:rFonts w:ascii="Times New Roman" w:hAnsi="Times New Roman"/>
          <w:noProof/>
          <w:sz w:val="24"/>
          <w:szCs w:val="24"/>
        </w:rPr>
        <w:t xml:space="preserve"> на ЕИБ/KfW/AFD или рамката на ЕИБ и ЕБВР за процедурите за възлагане на обществени поръчки. Редица инициативи за съфинансиране бяха стартирани и от партньорски институции</w:t>
      </w:r>
      <w:r w:rsidRPr="00CB27E2">
        <w:rPr>
          <w:rStyle w:val="FootnoteReference"/>
          <w:rFonts w:ascii="Times New Roman" w:hAnsi="Times New Roman" w:cs="Times New Roman"/>
          <w:noProof/>
          <w:spacing w:val="-4"/>
          <w:sz w:val="24"/>
          <w:szCs w:val="24"/>
        </w:rPr>
        <w:footnoteReference w:id="19"/>
      </w:r>
      <w:r w:rsidRPr="00CB27E2">
        <w:rPr>
          <w:rStyle w:val="FootnoteReference"/>
          <w:rFonts w:ascii="Times New Roman" w:hAnsi="Times New Roman" w:cs="Times New Roman"/>
          <w:noProof/>
          <w:spacing w:val="-4"/>
          <w:sz w:val="24"/>
          <w:szCs w:val="24"/>
          <w:vertAlign w:val="baseline"/>
        </w:rPr>
        <w:t>.</w:t>
      </w:r>
    </w:p>
    <w:p w14:paraId="14B39A7E" w14:textId="77777777" w:rsidR="0000365F" w:rsidRPr="00CB27E2" w:rsidRDefault="0000365F" w:rsidP="00C97375">
      <w:pPr>
        <w:spacing w:after="0" w:line="240" w:lineRule="auto"/>
        <w:jc w:val="both"/>
        <w:rPr>
          <w:rFonts w:ascii="Times New Roman" w:hAnsi="Times New Roman" w:cs="Times New Roman"/>
          <w:noProof/>
          <w:spacing w:val="-4"/>
          <w:sz w:val="24"/>
          <w:szCs w:val="24"/>
        </w:rPr>
      </w:pPr>
    </w:p>
    <w:tbl>
      <w:tblPr>
        <w:tblStyle w:val="TableGrid"/>
        <w:tblW w:w="0" w:type="auto"/>
        <w:shd w:val="clear" w:color="auto" w:fill="DEEAF6" w:themeFill="accent1" w:themeFillTint="33"/>
        <w:tblLook w:val="04A0" w:firstRow="1" w:lastRow="0" w:firstColumn="1" w:lastColumn="0" w:noHBand="0" w:noVBand="1"/>
      </w:tblPr>
      <w:tblGrid>
        <w:gridCol w:w="9210"/>
      </w:tblGrid>
      <w:tr w:rsidR="00C6212B" w:rsidRPr="00CB27E2" w14:paraId="18F9DE46" w14:textId="77777777" w:rsidTr="00417132">
        <w:trPr>
          <w:trHeight w:val="5609"/>
        </w:trPr>
        <w:tc>
          <w:tcPr>
            <w:tcW w:w="9210" w:type="dxa"/>
            <w:shd w:val="clear" w:color="auto" w:fill="DEEAF6" w:themeFill="accent1" w:themeFillTint="33"/>
          </w:tcPr>
          <w:p w14:paraId="493AA18C" w14:textId="77777777" w:rsidR="00FE17B8" w:rsidRPr="00CB27E2" w:rsidRDefault="00FE17B8" w:rsidP="00FE17B8">
            <w:pPr>
              <w:keepNext/>
              <w:jc w:val="both"/>
              <w:rPr>
                <w:rFonts w:ascii="Times New Roman" w:hAnsi="Times New Roman" w:cs="Times New Roman"/>
                <w:b/>
                <w:noProof/>
              </w:rPr>
            </w:pPr>
            <w:r>
              <w:rPr>
                <w:rFonts w:ascii="Times New Roman" w:hAnsi="Times New Roman"/>
                <w:b/>
                <w:noProof/>
              </w:rPr>
              <w:t xml:space="preserve">Промени през 2021 г. сред европейските финансови институции </w:t>
            </w:r>
          </w:p>
          <w:p w14:paraId="69546687" w14:textId="77777777" w:rsidR="00FE17B8" w:rsidRPr="00CB27E2" w:rsidRDefault="00FE17B8" w:rsidP="00FE17B8">
            <w:pPr>
              <w:jc w:val="both"/>
              <w:rPr>
                <w:rFonts w:ascii="Times New Roman" w:hAnsi="Times New Roman" w:cs="Times New Roman"/>
                <w:noProof/>
              </w:rPr>
            </w:pPr>
            <w:r>
              <w:rPr>
                <w:rFonts w:ascii="Times New Roman" w:hAnsi="Times New Roman"/>
                <w:noProof/>
              </w:rPr>
              <w:t>През ноември 2021 г. ЕИБ и ЕБВР докладваха съвместно на Съвета за действията, предприети като последващи стъпки във връзка със заключенията на Съвета относно укрепването на европейската финансова архитектура за развитие</w:t>
            </w:r>
            <w:r w:rsidRPr="00CB27E2">
              <w:rPr>
                <w:rStyle w:val="FootnoteReference"/>
                <w:rFonts w:ascii="Times New Roman" w:hAnsi="Times New Roman" w:cs="Times New Roman"/>
                <w:noProof/>
              </w:rPr>
              <w:footnoteReference w:id="20"/>
            </w:r>
            <w:r>
              <w:rPr>
                <w:rFonts w:ascii="Times New Roman" w:hAnsi="Times New Roman"/>
                <w:noProof/>
              </w:rPr>
              <w:t xml:space="preserve">. </w:t>
            </w:r>
          </w:p>
          <w:p w14:paraId="65EE2DBF" w14:textId="77777777" w:rsidR="00FE17B8" w:rsidRPr="00CB27E2" w:rsidRDefault="00FE17B8" w:rsidP="00FE17B8">
            <w:pPr>
              <w:jc w:val="both"/>
              <w:rPr>
                <w:rFonts w:ascii="Times New Roman" w:hAnsi="Times New Roman" w:cs="Times New Roman"/>
                <w:noProof/>
              </w:rPr>
            </w:pPr>
          </w:p>
          <w:p w14:paraId="7D5DD705" w14:textId="77777777" w:rsidR="00FE17B8" w:rsidRPr="00CB27E2" w:rsidRDefault="00FE17B8" w:rsidP="00FE17B8">
            <w:pPr>
              <w:jc w:val="both"/>
              <w:rPr>
                <w:rFonts w:ascii="Times New Roman" w:hAnsi="Times New Roman" w:cs="Times New Roman"/>
                <w:noProof/>
                <w:spacing w:val="-3"/>
              </w:rPr>
            </w:pPr>
            <w:r>
              <w:rPr>
                <w:rFonts w:ascii="Times New Roman" w:hAnsi="Times New Roman"/>
                <w:noProof/>
              </w:rPr>
              <w:t>Освен това ЕИБ и ЕБВР отскоро планират стратегически насоки, които биха могли да окажат въздействие върху европейската финансова архитектура за развитие:</w:t>
            </w:r>
          </w:p>
          <w:p w14:paraId="140EC478" w14:textId="77777777" w:rsidR="00FE17B8" w:rsidRPr="00FE17B8" w:rsidRDefault="00FE17B8" w:rsidP="00FE17B8">
            <w:pPr>
              <w:pStyle w:val="ListParagraph"/>
              <w:numPr>
                <w:ilvl w:val="0"/>
                <w:numId w:val="18"/>
              </w:numPr>
              <w:jc w:val="both"/>
              <w:rPr>
                <w:rFonts w:ascii="Times New Roman" w:hAnsi="Times New Roman" w:cs="Times New Roman"/>
                <w:noProof/>
              </w:rPr>
            </w:pPr>
            <w:r>
              <w:rPr>
                <w:rFonts w:ascii="Times New Roman" w:hAnsi="Times New Roman"/>
                <w:noProof/>
              </w:rPr>
              <w:t>ЕБВР обмисля евентуално ограничено и постепенно разширяване на операциите си спрямо избрани държави, за което следва да бъде взето решение на годишното заседание на Съвета на гуверньорите през май 2022 г.</w:t>
            </w:r>
          </w:p>
          <w:p w14:paraId="1593E791" w14:textId="77777777" w:rsidR="0000365F" w:rsidRDefault="0000365F" w:rsidP="0000365F">
            <w:pPr>
              <w:pStyle w:val="ListParagraph"/>
              <w:numPr>
                <w:ilvl w:val="0"/>
                <w:numId w:val="5"/>
              </w:numPr>
              <w:jc w:val="both"/>
              <w:rPr>
                <w:rFonts w:ascii="Times New Roman" w:hAnsi="Times New Roman" w:cs="Times New Roman"/>
                <w:noProof/>
              </w:rPr>
            </w:pPr>
            <w:r>
              <w:rPr>
                <w:rFonts w:ascii="Times New Roman" w:hAnsi="Times New Roman"/>
                <w:noProof/>
              </w:rPr>
              <w:t>Що се отнася до ЕИБ, нейният Съвет на директорите одобри създаването на глобален клон — ЕИБ Глобал — за всички операции извън ЕС, който започна да функционира през януари 2022 г.</w:t>
            </w:r>
          </w:p>
          <w:p w14:paraId="66277373" w14:textId="77777777" w:rsidR="0000365F" w:rsidRDefault="0000365F" w:rsidP="00A14905">
            <w:pPr>
              <w:jc w:val="both"/>
              <w:rPr>
                <w:rFonts w:ascii="Times New Roman" w:hAnsi="Times New Roman" w:cs="Times New Roman"/>
                <w:noProof/>
              </w:rPr>
            </w:pPr>
          </w:p>
          <w:p w14:paraId="1284F173" w14:textId="77777777" w:rsidR="00A14905" w:rsidRPr="00CB27E2" w:rsidRDefault="00A14905" w:rsidP="00A14905">
            <w:pPr>
              <w:jc w:val="both"/>
              <w:rPr>
                <w:rFonts w:ascii="Times New Roman" w:hAnsi="Times New Roman" w:cs="Times New Roman"/>
                <w:noProof/>
              </w:rPr>
            </w:pPr>
            <w:r>
              <w:rPr>
                <w:rFonts w:ascii="Times New Roman" w:hAnsi="Times New Roman"/>
                <w:noProof/>
              </w:rPr>
              <w:t xml:space="preserve">Финансовите институции напоследък се стремят да засилят координацията и съвместните дейности. Сред последните примери може да се посочат: </w:t>
            </w:r>
          </w:p>
          <w:p w14:paraId="112F871F" w14:textId="77777777" w:rsidR="00A14905" w:rsidRPr="00CB27E2" w:rsidRDefault="00A14905" w:rsidP="00A14905">
            <w:pPr>
              <w:pStyle w:val="CommentText"/>
              <w:numPr>
                <w:ilvl w:val="0"/>
                <w:numId w:val="4"/>
              </w:numPr>
              <w:jc w:val="both"/>
              <w:rPr>
                <w:rFonts w:ascii="Times New Roman" w:hAnsi="Times New Roman" w:cs="Times New Roman"/>
                <w:noProof/>
                <w:spacing w:val="-2"/>
                <w:sz w:val="22"/>
                <w:szCs w:val="22"/>
              </w:rPr>
            </w:pPr>
            <w:r>
              <w:rPr>
                <w:rFonts w:ascii="Times New Roman" w:hAnsi="Times New Roman"/>
                <w:b/>
                <w:noProof/>
                <w:sz w:val="22"/>
                <w:szCs w:val="22"/>
              </w:rPr>
              <w:t>ЕБВР и Асоциацията на европейските финансови институции за развитие подписаха меморандум за разбирателство</w:t>
            </w:r>
            <w:r>
              <w:rPr>
                <w:rFonts w:ascii="Times New Roman" w:hAnsi="Times New Roman"/>
                <w:noProof/>
                <w:sz w:val="22"/>
                <w:szCs w:val="22"/>
              </w:rPr>
              <w:t xml:space="preserve"> (февруари 2021 г.) с цел ускоряване на сътрудничеството между европейските ФИР със силен акцент върху частния сектор, по-специално чрез обмен на знания и съфинансиране.</w:t>
            </w:r>
          </w:p>
          <w:p w14:paraId="675F6888" w14:textId="77777777" w:rsidR="002E0E0D" w:rsidRPr="00CB27E2" w:rsidRDefault="002E0E0D" w:rsidP="002E0E0D">
            <w:pPr>
              <w:pStyle w:val="CommentText"/>
              <w:numPr>
                <w:ilvl w:val="0"/>
                <w:numId w:val="4"/>
              </w:numPr>
              <w:spacing w:after="160"/>
              <w:jc w:val="both"/>
              <w:rPr>
                <w:rFonts w:ascii="Times New Roman" w:hAnsi="Times New Roman" w:cs="Times New Roman"/>
                <w:noProof/>
                <w:sz w:val="22"/>
                <w:szCs w:val="22"/>
              </w:rPr>
            </w:pPr>
            <w:r>
              <w:rPr>
                <w:rFonts w:ascii="Times New Roman" w:hAnsi="Times New Roman"/>
                <w:noProof/>
                <w:sz w:val="22"/>
                <w:szCs w:val="22"/>
              </w:rPr>
              <w:t xml:space="preserve">Членовете на засиленото партньорство стартираха </w:t>
            </w:r>
            <w:r>
              <w:rPr>
                <w:rFonts w:ascii="Times New Roman" w:hAnsi="Times New Roman"/>
                <w:bCs/>
                <w:noProof/>
                <w:sz w:val="22"/>
                <w:szCs w:val="22"/>
              </w:rPr>
              <w:t>инициатива</w:t>
            </w:r>
            <w:r>
              <w:rPr>
                <w:rFonts w:ascii="Times New Roman" w:hAnsi="Times New Roman"/>
                <w:noProof/>
                <w:sz w:val="22"/>
                <w:szCs w:val="22"/>
              </w:rPr>
              <w:t xml:space="preserve"> за съфинансиране, наречена „</w:t>
            </w:r>
            <w:r>
              <w:rPr>
                <w:rFonts w:ascii="Times New Roman" w:hAnsi="Times New Roman"/>
                <w:b/>
                <w:noProof/>
                <w:sz w:val="22"/>
                <w:szCs w:val="22"/>
              </w:rPr>
              <w:t>Платформа за финансиране „Екип Европа</w:t>
            </w:r>
            <w:r>
              <w:rPr>
                <w:rFonts w:ascii="Times New Roman" w:hAnsi="Times New Roman"/>
                <w:noProof/>
                <w:sz w:val="22"/>
                <w:szCs w:val="22"/>
              </w:rPr>
              <w:t>“ (май 2021 г.), с цел укрепване на ефективното сътрудничество между тях, по-специално чрез общи процедури и започването на общи проекти. През 2022 г. AECID, AFD, CDP и KfW ще стартират рамка за съфинансиране като част от платформата.</w:t>
            </w:r>
          </w:p>
          <w:p w14:paraId="523A130E" w14:textId="77777777" w:rsidR="00A14905" w:rsidRPr="00F50B3C" w:rsidRDefault="002E0E0D" w:rsidP="002E0E0D">
            <w:pPr>
              <w:pStyle w:val="CommentText"/>
              <w:numPr>
                <w:ilvl w:val="0"/>
                <w:numId w:val="4"/>
              </w:numPr>
              <w:spacing w:after="160"/>
              <w:jc w:val="both"/>
              <w:rPr>
                <w:rFonts w:ascii="Times New Roman" w:hAnsi="Times New Roman" w:cs="Times New Roman"/>
                <w:noProof/>
                <w:spacing w:val="-6"/>
              </w:rPr>
            </w:pPr>
            <w:r w:rsidRPr="00F50B3C">
              <w:rPr>
                <w:rFonts w:ascii="Times New Roman" w:hAnsi="Times New Roman"/>
                <w:noProof/>
                <w:spacing w:val="-6"/>
                <w:sz w:val="22"/>
                <w:szCs w:val="22"/>
              </w:rPr>
              <w:t>ЕБВР и ЕИБ сключиха „</w:t>
            </w:r>
            <w:r w:rsidRPr="00F50B3C">
              <w:rPr>
                <w:rFonts w:ascii="Times New Roman" w:hAnsi="Times New Roman"/>
                <w:b/>
                <w:noProof/>
                <w:spacing w:val="-6"/>
                <w:sz w:val="22"/>
                <w:szCs w:val="22"/>
              </w:rPr>
              <w:t>Рамково споразумение за сътрудничество по проекти</w:t>
            </w:r>
            <w:r w:rsidRPr="00F50B3C">
              <w:rPr>
                <w:rFonts w:ascii="Times New Roman" w:hAnsi="Times New Roman"/>
                <w:noProof/>
                <w:spacing w:val="-6"/>
                <w:sz w:val="22"/>
                <w:szCs w:val="22"/>
              </w:rPr>
              <w:t>“ (октомври 2021 г.), което осигурява рамка за засилено сътрудничество по съвместни проекти и платформи за финансиране извън Европейския съюз. Рамката има за цел да обхване всички видове структури за дългово финансиране в частния или публичния сектор.</w:t>
            </w:r>
          </w:p>
        </w:tc>
      </w:tr>
    </w:tbl>
    <w:p w14:paraId="44D0E345" w14:textId="77777777" w:rsidR="00413430" w:rsidRPr="00CB27E2" w:rsidRDefault="00413430" w:rsidP="00413430">
      <w:pPr>
        <w:rPr>
          <w:rFonts w:ascii="Times New Roman" w:hAnsi="Times New Roman" w:cs="Times New Roman"/>
          <w:noProof/>
        </w:rPr>
      </w:pPr>
      <w:bookmarkStart w:id="3" w:name="_Toc82611565"/>
    </w:p>
    <w:p w14:paraId="1CAB9E9E" w14:textId="77777777" w:rsidR="00296291" w:rsidRPr="00CB27E2" w:rsidRDefault="00F56A03" w:rsidP="00446901">
      <w:pPr>
        <w:pStyle w:val="Heading3"/>
        <w:spacing w:after="120"/>
        <w:ind w:left="567" w:hanging="567"/>
        <w:jc w:val="both"/>
        <w:rPr>
          <w:rFonts w:ascii="Times New Roman" w:hAnsi="Times New Roman" w:cs="Times New Roman"/>
          <w:noProof/>
        </w:rPr>
      </w:pPr>
      <w:r>
        <w:rPr>
          <w:rFonts w:ascii="Times New Roman" w:hAnsi="Times New Roman"/>
          <w:noProof/>
        </w:rPr>
        <w:t xml:space="preserve">Предишни усилия на Комисията за подобряване на европейската финансова архитектура за развитие </w:t>
      </w:r>
      <w:bookmarkEnd w:id="3"/>
    </w:p>
    <w:p w14:paraId="7EF0D0FC" w14:textId="374429B2" w:rsidR="0060163D" w:rsidRPr="00F50B3C" w:rsidRDefault="00DF7615" w:rsidP="00C97375">
      <w:pPr>
        <w:pStyle w:val="Default"/>
        <w:jc w:val="both"/>
        <w:rPr>
          <w:rFonts w:eastAsia="Times New Roman"/>
          <w:noProof/>
          <w:spacing w:val="-8"/>
        </w:rPr>
      </w:pPr>
      <w:r w:rsidRPr="00F50B3C">
        <w:rPr>
          <w:noProof/>
          <w:spacing w:val="-8"/>
        </w:rPr>
        <w:t xml:space="preserve">В съответствие със споменатите по-горе обсъждания и въз основа на извлечените поуки през годините Комисията въведе значителни подобрения в европейската финансова архитектура за развитие. Ключова стъпка напред беше стартирането през 2016—2017 г. на </w:t>
      </w:r>
      <w:r w:rsidRPr="00F50B3C">
        <w:rPr>
          <w:b/>
          <w:noProof/>
          <w:spacing w:val="-8"/>
        </w:rPr>
        <w:t>Европейския план за външни инвестиции</w:t>
      </w:r>
      <w:r w:rsidRPr="00F50B3C">
        <w:rPr>
          <w:rStyle w:val="FootnoteReference"/>
          <w:noProof/>
          <w:spacing w:val="-8"/>
        </w:rPr>
        <w:footnoteReference w:id="21"/>
      </w:r>
      <w:r w:rsidRPr="00F50B3C">
        <w:rPr>
          <w:noProof/>
          <w:spacing w:val="-8"/>
        </w:rPr>
        <w:t xml:space="preserve"> и на </w:t>
      </w:r>
      <w:r w:rsidRPr="00F50B3C">
        <w:rPr>
          <w:b/>
          <w:noProof/>
          <w:spacing w:val="-8"/>
        </w:rPr>
        <w:t>Европейския фонд за устойчиво развитие (ЕФУР)</w:t>
      </w:r>
      <w:r w:rsidR="00413430" w:rsidRPr="00F50B3C">
        <w:rPr>
          <w:rStyle w:val="FootnoteReference"/>
          <w:b/>
          <w:noProof/>
          <w:spacing w:val="-8"/>
        </w:rPr>
        <w:footnoteReference w:id="22"/>
      </w:r>
      <w:r w:rsidRPr="00F50B3C">
        <w:rPr>
          <w:noProof/>
          <w:spacing w:val="-8"/>
        </w:rPr>
        <w:t>, които</w:t>
      </w:r>
      <w:r w:rsidRPr="00F50B3C">
        <w:rPr>
          <w:b/>
          <w:noProof/>
          <w:spacing w:val="-8"/>
        </w:rPr>
        <w:t xml:space="preserve"> </w:t>
      </w:r>
      <w:r w:rsidRPr="00F50B3C">
        <w:rPr>
          <w:noProof/>
          <w:spacing w:val="-8"/>
        </w:rPr>
        <w:t>се основават на</w:t>
      </w:r>
      <w:r w:rsidRPr="00F50B3C">
        <w:rPr>
          <w:b/>
          <w:noProof/>
          <w:spacing w:val="-8"/>
        </w:rPr>
        <w:t xml:space="preserve"> </w:t>
      </w:r>
      <w:r w:rsidRPr="00F50B3C">
        <w:rPr>
          <w:rStyle w:val="statereasonstickers"/>
          <w:noProof/>
          <w:spacing w:val="-8"/>
        </w:rPr>
        <w:t xml:space="preserve">добре установените </w:t>
      </w:r>
      <w:r w:rsidRPr="00F50B3C">
        <w:rPr>
          <w:rStyle w:val="statereasonstickers"/>
          <w:b/>
          <w:noProof/>
          <w:spacing w:val="-8"/>
        </w:rPr>
        <w:t>механизми на ЕС за смесено финансиране</w:t>
      </w:r>
      <w:r w:rsidR="009B23B6" w:rsidRPr="00F50B3C">
        <w:rPr>
          <w:rStyle w:val="FootnoteReference"/>
          <w:noProof/>
          <w:spacing w:val="-8"/>
        </w:rPr>
        <w:footnoteReference w:id="23"/>
      </w:r>
      <w:r w:rsidRPr="00F50B3C">
        <w:rPr>
          <w:rStyle w:val="statereasonstickers"/>
          <w:noProof/>
          <w:spacing w:val="-8"/>
        </w:rPr>
        <w:t xml:space="preserve"> и предлагат нова </w:t>
      </w:r>
      <w:r w:rsidRPr="00F50B3C">
        <w:rPr>
          <w:rStyle w:val="statereasonstickers"/>
          <w:b/>
          <w:noProof/>
          <w:spacing w:val="-8"/>
        </w:rPr>
        <w:t>бюджетна гаранция</w:t>
      </w:r>
      <w:r w:rsidRPr="00F50B3C">
        <w:rPr>
          <w:rStyle w:val="statereasonstickers"/>
          <w:noProof/>
          <w:spacing w:val="-8"/>
        </w:rPr>
        <w:t xml:space="preserve"> от страна на ЕС за покриване на инвестициите в африканските държави и в държавите, попадащи в обхвата на политиката на съседство на ЕС, </w:t>
      </w:r>
      <w:r w:rsidRPr="00F50B3C">
        <w:rPr>
          <w:noProof/>
          <w:spacing w:val="-8"/>
        </w:rPr>
        <w:t xml:space="preserve">като се използва експертният опит на съответните публични и частни участници, за да се подпомогне привличането на инвестиции от частния сектор въз основа на три допълващи се стълба. </w:t>
      </w:r>
      <w:r w:rsidRPr="00F50B3C">
        <w:rPr>
          <w:b/>
          <w:noProof/>
          <w:spacing w:val="-8"/>
        </w:rPr>
        <w:t>Инвестиционната рамка за Западните Балкани</w:t>
      </w:r>
      <w:r w:rsidRPr="00F50B3C">
        <w:rPr>
          <w:noProof/>
          <w:spacing w:val="-8"/>
        </w:rPr>
        <w:t xml:space="preserve"> също е добър пример за засилен диалог и сътрудничество, тъй като обединява държавите бенефициери, Комисията, държавите членки и европейски и международни финансови институции.</w:t>
      </w:r>
    </w:p>
    <w:p w14:paraId="778E5F96" w14:textId="77777777" w:rsidR="00F56A03" w:rsidRPr="00CB27E2" w:rsidRDefault="00F56A03" w:rsidP="00C97375">
      <w:pPr>
        <w:pStyle w:val="Default"/>
        <w:jc w:val="both"/>
        <w:rPr>
          <w:noProof/>
        </w:rPr>
      </w:pPr>
    </w:p>
    <w:p w14:paraId="2BF5EA11" w14:textId="77777777" w:rsidR="00B548A7" w:rsidRPr="00CB27E2" w:rsidRDefault="00DF7615" w:rsidP="00C97375">
      <w:pPr>
        <w:spacing w:after="0" w:line="240" w:lineRule="auto"/>
        <w:jc w:val="both"/>
        <w:rPr>
          <w:rFonts w:ascii="Times New Roman" w:hAnsi="Times New Roman" w:cs="Times New Roman"/>
          <w:noProof/>
          <w:spacing w:val="-4"/>
          <w:sz w:val="24"/>
          <w:szCs w:val="24"/>
        </w:rPr>
      </w:pPr>
      <w:r>
        <w:rPr>
          <w:rFonts w:ascii="Times New Roman" w:hAnsi="Times New Roman"/>
          <w:noProof/>
          <w:sz w:val="24"/>
          <w:szCs w:val="24"/>
        </w:rPr>
        <w:t xml:space="preserve">Следва да се спомене по-специално </w:t>
      </w:r>
      <w:r>
        <w:rPr>
          <w:rFonts w:ascii="Times New Roman" w:hAnsi="Times New Roman"/>
          <w:b/>
          <w:noProof/>
          <w:sz w:val="24"/>
          <w:szCs w:val="24"/>
        </w:rPr>
        <w:t>Платформата на ЕС за смесено финансиране в областта на външното сътрудничество (EUBEC)</w:t>
      </w:r>
      <w:r w:rsidRPr="00CB27E2">
        <w:rPr>
          <w:rStyle w:val="FootnoteReference"/>
          <w:rFonts w:ascii="Times New Roman" w:hAnsi="Times New Roman" w:cs="Times New Roman"/>
          <w:noProof/>
          <w:spacing w:val="-4"/>
          <w:sz w:val="24"/>
          <w:szCs w:val="24"/>
        </w:rPr>
        <w:footnoteReference w:id="24"/>
      </w:r>
      <w:r>
        <w:rPr>
          <w:rFonts w:ascii="Times New Roman" w:hAnsi="Times New Roman"/>
          <w:noProof/>
          <w:sz w:val="24"/>
          <w:szCs w:val="24"/>
        </w:rPr>
        <w:t>, стартирана от Комисията през 2012 г.</w:t>
      </w:r>
      <w:r>
        <w:rPr>
          <w:rFonts w:ascii="Times New Roman" w:hAnsi="Times New Roman"/>
          <w:b/>
          <w:noProof/>
          <w:sz w:val="24"/>
          <w:szCs w:val="24"/>
        </w:rPr>
        <w:t xml:space="preserve"> </w:t>
      </w:r>
      <w:r>
        <w:rPr>
          <w:rFonts w:ascii="Times New Roman" w:hAnsi="Times New Roman"/>
          <w:noProof/>
          <w:sz w:val="24"/>
          <w:szCs w:val="24"/>
        </w:rPr>
        <w:t>с цел оптимизиране на функционирането на механизмите за съчетаване на безвъзмездни средства и заеми в областта на външната дейност.</w:t>
      </w:r>
    </w:p>
    <w:p w14:paraId="1421494C" w14:textId="77777777" w:rsidR="00296291" w:rsidRPr="00CB27E2" w:rsidRDefault="00296291" w:rsidP="00C97375">
      <w:pPr>
        <w:spacing w:after="0" w:line="240" w:lineRule="auto"/>
        <w:jc w:val="both"/>
        <w:rPr>
          <w:rFonts w:ascii="Times New Roman" w:hAnsi="Times New Roman" w:cs="Times New Roman"/>
          <w:noProof/>
          <w:spacing w:val="-2"/>
          <w:sz w:val="24"/>
          <w:szCs w:val="24"/>
        </w:rPr>
      </w:pPr>
    </w:p>
    <w:p w14:paraId="5C05A826" w14:textId="77777777" w:rsidR="00CA3FD1" w:rsidRPr="00CB27E2" w:rsidRDefault="00E408CD" w:rsidP="00C97375">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Комисията също така установи редовни стратегически </w:t>
      </w:r>
      <w:r>
        <w:rPr>
          <w:rFonts w:ascii="Times New Roman" w:hAnsi="Times New Roman"/>
          <w:b/>
          <w:noProof/>
          <w:sz w:val="24"/>
          <w:szCs w:val="24"/>
        </w:rPr>
        <w:t>диалози на високо равнище</w:t>
      </w:r>
      <w:r>
        <w:rPr>
          <w:rFonts w:ascii="Times New Roman" w:hAnsi="Times New Roman"/>
          <w:noProof/>
          <w:sz w:val="24"/>
          <w:szCs w:val="24"/>
        </w:rPr>
        <w:t xml:space="preserve"> с европейски и международни финансови институции (напр. ЕИБ, ЕБВР, Групата на Световната банка, Международния валутен фонд, Азиатската банка за развитие, Междуамериканската банка за развитие) за обсъждане на съвместни политически и стратегически цели. </w:t>
      </w:r>
    </w:p>
    <w:p w14:paraId="601094D7" w14:textId="77777777" w:rsidR="00296291" w:rsidRPr="00CB27E2" w:rsidRDefault="00296291" w:rsidP="00C97375">
      <w:pPr>
        <w:spacing w:after="0" w:line="240" w:lineRule="auto"/>
        <w:jc w:val="both"/>
        <w:rPr>
          <w:rFonts w:ascii="Times New Roman" w:hAnsi="Times New Roman" w:cs="Times New Roman"/>
          <w:noProof/>
          <w:sz w:val="24"/>
          <w:szCs w:val="24"/>
        </w:rPr>
      </w:pPr>
    </w:p>
    <w:p w14:paraId="772AF08A" w14:textId="77777777" w:rsidR="00DF7615" w:rsidRPr="00CB27E2" w:rsidRDefault="00B548A7" w:rsidP="00C97375">
      <w:pPr>
        <w:pStyle w:val="Default"/>
        <w:jc w:val="both"/>
        <w:rPr>
          <w:noProof/>
        </w:rPr>
      </w:pPr>
      <w:r>
        <w:rPr>
          <w:noProof/>
        </w:rPr>
        <w:t>През 2015 г. Комисията стартира инициативата за засилена координация и сътрудничество с ЕИБ, ЕБВР, Групата на Световната банка и Международния валутен фонд с цел засилване на въздействието и съгласуването на политиките. Тя включва съвместни мисии в конкретни държави, обхванати от политиката за съседство и разширяване, и съвместна работа в ключови сектори, като енергийната ефективност и инвестициите в областта на климата.</w:t>
      </w:r>
    </w:p>
    <w:p w14:paraId="455AE8AD" w14:textId="77777777" w:rsidR="00296291" w:rsidRPr="00CB27E2" w:rsidRDefault="00296291" w:rsidP="00C97375">
      <w:pPr>
        <w:pStyle w:val="Default"/>
        <w:jc w:val="both"/>
        <w:rPr>
          <w:noProof/>
        </w:rPr>
      </w:pPr>
    </w:p>
    <w:p w14:paraId="4B9D0924" w14:textId="77777777" w:rsidR="00DF7615" w:rsidRPr="00F50B3C" w:rsidRDefault="00DF7615" w:rsidP="00C97375">
      <w:pPr>
        <w:pStyle w:val="CommentText"/>
        <w:spacing w:after="0"/>
        <w:jc w:val="both"/>
        <w:rPr>
          <w:rFonts w:ascii="Times New Roman" w:hAnsi="Times New Roman" w:cs="Times New Roman"/>
          <w:noProof/>
          <w:spacing w:val="-4"/>
          <w:sz w:val="24"/>
          <w:szCs w:val="24"/>
        </w:rPr>
      </w:pPr>
      <w:r w:rsidRPr="00F50B3C">
        <w:rPr>
          <w:rFonts w:ascii="Times New Roman" w:hAnsi="Times New Roman"/>
          <w:noProof/>
          <w:spacing w:val="-4"/>
          <w:sz w:val="24"/>
          <w:szCs w:val="24"/>
        </w:rPr>
        <w:t xml:space="preserve">Важно нововъведение беше направено и през 2020 г., точно когато пандемията от COVID-19 постави външната дейност на ЕС на изпитание. Мащабът на кризата изискваше обединяване на усилията, ресурсите и експертния опит от страна на всички европейски участници. ЕС лансира </w:t>
      </w:r>
      <w:r w:rsidRPr="00F50B3C">
        <w:rPr>
          <w:rFonts w:ascii="Times New Roman" w:hAnsi="Times New Roman"/>
          <w:b/>
          <w:bCs/>
          <w:noProof/>
          <w:spacing w:val="-4"/>
          <w:sz w:val="24"/>
          <w:szCs w:val="24"/>
        </w:rPr>
        <w:t>подхода „Екип Европа“</w:t>
      </w:r>
      <w:r w:rsidR="00235E9A" w:rsidRPr="00F50B3C">
        <w:rPr>
          <w:rStyle w:val="FootnoteReference"/>
          <w:rFonts w:ascii="Times New Roman" w:hAnsi="Times New Roman" w:cs="Times New Roman"/>
          <w:b/>
          <w:bCs/>
          <w:noProof/>
          <w:spacing w:val="-4"/>
          <w:sz w:val="24"/>
          <w:szCs w:val="24"/>
          <w:lang w:eastAsia="en-GB"/>
        </w:rPr>
        <w:footnoteReference w:id="25"/>
      </w:r>
      <w:r w:rsidRPr="00F50B3C">
        <w:rPr>
          <w:rFonts w:ascii="Times New Roman" w:hAnsi="Times New Roman"/>
          <w:noProof/>
          <w:spacing w:val="-4"/>
          <w:sz w:val="24"/>
          <w:szCs w:val="24"/>
        </w:rPr>
        <w:t>, който позволи да се предложи значителна колективна подкрепа на държавите — партньори на ЕС, като им се предостави хуманитарна помощ, като се подкрепят техните системи за здравеопазване, водоснабдяване и канализация и се преодолеят негативните социално-икономически последици. Реакцията на ЕС и на неговите държави членки на кризата с COVID-19 в рамките на подхода „Екип Европа“</w:t>
      </w:r>
      <w:r w:rsidRPr="00F50B3C">
        <w:rPr>
          <w:rStyle w:val="FootnoteReference"/>
          <w:rFonts w:ascii="Times New Roman" w:hAnsi="Times New Roman" w:cs="Times New Roman"/>
          <w:noProof/>
          <w:spacing w:val="-4"/>
          <w:sz w:val="24"/>
          <w:szCs w:val="24"/>
        </w:rPr>
        <w:footnoteReference w:id="26"/>
      </w:r>
      <w:r w:rsidRPr="00F50B3C">
        <w:rPr>
          <w:rFonts w:ascii="Times New Roman" w:hAnsi="Times New Roman"/>
          <w:noProof/>
          <w:spacing w:val="-4"/>
          <w:sz w:val="24"/>
          <w:szCs w:val="24"/>
        </w:rPr>
        <w:t xml:space="preserve"> демонстрира мащаба и видимостта, които могат да бъдат постигнати в резултат на съвместна работа. Подобно тясно сътрудничество следва да бъде източник на вдъхновение за засилена координация между ЕС и неговите държави членки в сътрудничеството им със страните — партньори на ЕС. </w:t>
      </w:r>
    </w:p>
    <w:p w14:paraId="6274912D" w14:textId="77777777" w:rsidR="00B73496" w:rsidRPr="00CB27E2" w:rsidRDefault="00B73496" w:rsidP="00C97375">
      <w:pPr>
        <w:pStyle w:val="CommentText"/>
        <w:spacing w:after="0"/>
        <w:jc w:val="both"/>
        <w:rPr>
          <w:rFonts w:ascii="Times New Roman" w:hAnsi="Times New Roman" w:cs="Times New Roman"/>
          <w:noProof/>
          <w:spacing w:val="-4"/>
          <w:sz w:val="24"/>
          <w:szCs w:val="24"/>
          <w:lang w:eastAsia="en-GB"/>
        </w:rPr>
      </w:pPr>
    </w:p>
    <w:p w14:paraId="2CF26927" w14:textId="77777777" w:rsidR="006C7E63" w:rsidRPr="00CB27E2" w:rsidRDefault="006C7E63" w:rsidP="00D224F0">
      <w:pPr>
        <w:pStyle w:val="Heading2"/>
        <w:ind w:left="284" w:hanging="284"/>
        <w:rPr>
          <w:rFonts w:ascii="Times New Roman" w:hAnsi="Times New Roman" w:cs="Times New Roman"/>
          <w:noProof/>
        </w:rPr>
      </w:pPr>
      <w:r>
        <w:rPr>
          <w:rFonts w:ascii="Times New Roman" w:hAnsi="Times New Roman"/>
          <w:noProof/>
        </w:rPr>
        <w:t>ПЪТНА КАРТА ЗА ПОДОБРЯВАНЕ НА ЕВРОПЕЙСКАТА ФИНАНСОВА АРХИТЕКТУРА ЗА РАЗВИТИЕ</w:t>
      </w:r>
    </w:p>
    <w:p w14:paraId="6AB8D608" w14:textId="77777777" w:rsidR="004428CA" w:rsidRPr="00CB27E2" w:rsidRDefault="00D146E6" w:rsidP="006607A8">
      <w:pPr>
        <w:pStyle w:val="Heading3"/>
        <w:spacing w:after="120"/>
        <w:ind w:left="567" w:hanging="567"/>
        <w:rPr>
          <w:rFonts w:ascii="Times New Roman" w:hAnsi="Times New Roman" w:cs="Times New Roman"/>
          <w:noProof/>
        </w:rPr>
      </w:pPr>
      <w:r>
        <w:rPr>
          <w:rFonts w:ascii="Times New Roman" w:hAnsi="Times New Roman"/>
          <w:noProof/>
        </w:rPr>
        <w:t>Цели</w:t>
      </w:r>
    </w:p>
    <w:p w14:paraId="4FF7DB14" w14:textId="0CE65D5E" w:rsidR="00DF7615" w:rsidRPr="00F50B3C" w:rsidRDefault="00DF7615" w:rsidP="00C97375">
      <w:pPr>
        <w:pStyle w:val="CommentText"/>
        <w:spacing w:after="0"/>
        <w:jc w:val="both"/>
        <w:rPr>
          <w:rFonts w:ascii="Times New Roman" w:hAnsi="Times New Roman" w:cs="Times New Roman"/>
          <w:noProof/>
          <w:color w:val="000000"/>
          <w:spacing w:val="-4"/>
          <w:sz w:val="24"/>
          <w:szCs w:val="24"/>
        </w:rPr>
      </w:pPr>
      <w:r w:rsidRPr="00F50B3C">
        <w:rPr>
          <w:rFonts w:ascii="Times New Roman" w:hAnsi="Times New Roman"/>
          <w:noProof/>
          <w:color w:val="000000"/>
          <w:spacing w:val="-4"/>
          <w:sz w:val="24"/>
          <w:szCs w:val="24"/>
        </w:rPr>
        <w:t xml:space="preserve">Пътната карта на Комисията има за цел да подобри европейската финансова архитектура за развитие чрез надграждане на подхода „Екип Европа“. Комисията се стреми да осигури по-ефективна, ефикасна, координирана, основана на политиката, приобщаваща и видима европейска финансова архитектура за развитие. Подобна подобрена финансова архитектура е необходима, за да се създават инициативи за промяна, да се стимулират публичните инвестиции в държавите партньори и да се гарантира, че те имат каталитичния и демонстрационен ефект, необходим за привличането на частни инвеститори, включително да се насърчи процъфтяването на частния сектор, които са от ключово значение за разкриването на устойчиви работни места и за растеж. </w:t>
      </w:r>
    </w:p>
    <w:p w14:paraId="729C76DD" w14:textId="77777777" w:rsidR="00296291" w:rsidRPr="00CB27E2" w:rsidRDefault="00296291" w:rsidP="00C97375">
      <w:pPr>
        <w:pStyle w:val="CommentText"/>
        <w:spacing w:after="0"/>
        <w:jc w:val="both"/>
        <w:rPr>
          <w:rFonts w:ascii="Times New Roman" w:hAnsi="Times New Roman" w:cs="Times New Roman"/>
          <w:noProof/>
          <w:color w:val="000000"/>
          <w:sz w:val="24"/>
          <w:szCs w:val="24"/>
        </w:rPr>
      </w:pPr>
    </w:p>
    <w:p w14:paraId="7788EC00" w14:textId="77777777" w:rsidR="00DF7615" w:rsidRPr="00CB27E2" w:rsidRDefault="00DF7615" w:rsidP="00C97375">
      <w:pPr>
        <w:pStyle w:val="Default"/>
        <w:jc w:val="both"/>
        <w:rPr>
          <w:noProof/>
          <w:spacing w:val="-4"/>
        </w:rPr>
      </w:pPr>
      <w:r>
        <w:rPr>
          <w:noProof/>
        </w:rPr>
        <w:t>Пътната карта почива на констатациите от проучването за осъществимост и препоръките в доклада на експертната група, на свързания с него доклад на Комисията</w:t>
      </w:r>
      <w:r w:rsidRPr="00CB27E2">
        <w:rPr>
          <w:rStyle w:val="FootnoteReference"/>
          <w:noProof/>
          <w:spacing w:val="-4"/>
        </w:rPr>
        <w:footnoteReference w:id="27"/>
      </w:r>
      <w:r>
        <w:rPr>
          <w:noProof/>
        </w:rPr>
        <w:t xml:space="preserve">, както и на различни неофициални документи или документи за изразяване на позиция, представени от финансовите институции. Тя се основава също на признатия успех на подхода „Екип Европа“ и на усилията за координация между финансовите институции на ЕС. </w:t>
      </w:r>
    </w:p>
    <w:p w14:paraId="5AD2B59B" w14:textId="77777777" w:rsidR="00296291" w:rsidRPr="00CB27E2" w:rsidRDefault="00296291" w:rsidP="00C97375">
      <w:pPr>
        <w:pStyle w:val="Default"/>
        <w:jc w:val="both"/>
        <w:rPr>
          <w:noProof/>
          <w:spacing w:val="-4"/>
        </w:rPr>
      </w:pPr>
    </w:p>
    <w:p w14:paraId="608DF404" w14:textId="77777777" w:rsidR="00120C43" w:rsidRPr="00CB27E2" w:rsidRDefault="00DF7615" w:rsidP="00C97375">
      <w:pPr>
        <w:pStyle w:val="Default"/>
        <w:jc w:val="both"/>
        <w:rPr>
          <w:noProof/>
        </w:rPr>
      </w:pPr>
      <w:r>
        <w:rPr>
          <w:noProof/>
        </w:rPr>
        <w:t>Освен това в нея се разглежда европейската финансова архитектура за развитие в по-широк международен контекст, в който координацията и взаимното допълване с международните заинтересовани страни могат да допринесат за подобряване на международната финансова архитектура.</w:t>
      </w:r>
    </w:p>
    <w:p w14:paraId="40D72F32" w14:textId="77777777" w:rsidR="00296291" w:rsidRPr="00CB27E2" w:rsidRDefault="00296291" w:rsidP="00C97375">
      <w:pPr>
        <w:pStyle w:val="Default"/>
        <w:jc w:val="both"/>
        <w:rPr>
          <w:noProof/>
        </w:rPr>
      </w:pPr>
    </w:p>
    <w:p w14:paraId="1A3A60AA" w14:textId="77777777" w:rsidR="00DF7615" w:rsidRPr="00CB27E2" w:rsidRDefault="00DF7615" w:rsidP="00C97375">
      <w:pPr>
        <w:pStyle w:val="CommentText"/>
        <w:keepNext/>
        <w:spacing w:after="0"/>
        <w:jc w:val="both"/>
        <w:rPr>
          <w:rFonts w:ascii="Times New Roman" w:hAnsi="Times New Roman" w:cs="Times New Roman"/>
          <w:noProof/>
          <w:color w:val="000000"/>
          <w:sz w:val="24"/>
          <w:szCs w:val="24"/>
        </w:rPr>
      </w:pPr>
      <w:r>
        <w:rPr>
          <w:rFonts w:ascii="Times New Roman" w:hAnsi="Times New Roman"/>
          <w:noProof/>
          <w:color w:val="000000"/>
          <w:sz w:val="24"/>
          <w:szCs w:val="24"/>
        </w:rPr>
        <w:t>Предложените подобрения целят постигането на следните четири цели:</w:t>
      </w:r>
    </w:p>
    <w:p w14:paraId="4C9B28E2" w14:textId="77777777" w:rsidR="00296291" w:rsidRPr="00CB27E2" w:rsidRDefault="00296291" w:rsidP="00C97375">
      <w:pPr>
        <w:pStyle w:val="CommentText"/>
        <w:keepNext/>
        <w:spacing w:after="0"/>
        <w:jc w:val="both"/>
        <w:rPr>
          <w:rFonts w:ascii="Times New Roman" w:hAnsi="Times New Roman" w:cs="Times New Roman"/>
          <w:noProof/>
          <w:color w:val="000000"/>
          <w:sz w:val="24"/>
          <w:szCs w:val="24"/>
        </w:rPr>
      </w:pPr>
    </w:p>
    <w:p w14:paraId="777C38BF" w14:textId="77777777" w:rsidR="00341CC0" w:rsidRPr="00CB27E2" w:rsidRDefault="00DF7615" w:rsidP="00341CC0">
      <w:pPr>
        <w:pStyle w:val="Heading4"/>
        <w:numPr>
          <w:ilvl w:val="3"/>
          <w:numId w:val="0"/>
        </w:numPr>
        <w:spacing w:before="0" w:after="120" w:line="240" w:lineRule="auto"/>
        <w:ind w:left="720"/>
        <w:rPr>
          <w:rFonts w:ascii="Times New Roman" w:hAnsi="Times New Roman" w:cs="Times New Roman"/>
          <w:b/>
          <w:bCs/>
          <w:noProof/>
        </w:rPr>
      </w:pPr>
      <w:r>
        <w:rPr>
          <w:rFonts w:ascii="Times New Roman" w:hAnsi="Times New Roman"/>
          <w:b/>
          <w:bCs/>
          <w:noProof/>
        </w:rPr>
        <w:t xml:space="preserve">Утвърждаване на стабилно управление на политиката на ЕС </w:t>
      </w:r>
    </w:p>
    <w:p w14:paraId="7399DEA3" w14:textId="77777777" w:rsidR="00DF7615" w:rsidRPr="00CB27E2" w:rsidRDefault="00410D56" w:rsidP="00341CC0">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По-ефективната европейска финансова архитектура за развитие изисква още по-стабилно управление на политиката на ЕС. Необходимо е да се засили съгласуваността на действията на финансовите институции с целите на външната политика на ЕС, така че да се постигне максимално въздействие на дейностите на ЕС в трети държави върху развитието и съответствието им със стратегическите интереси на ЕС. </w:t>
      </w:r>
    </w:p>
    <w:p w14:paraId="70FEF8BD" w14:textId="77777777" w:rsidR="00DF7615" w:rsidRPr="00CB27E2" w:rsidRDefault="00DF7615" w:rsidP="00341CC0">
      <w:pPr>
        <w:pStyle w:val="Heading4"/>
        <w:spacing w:before="0" w:after="120" w:line="240" w:lineRule="auto"/>
        <w:ind w:left="720"/>
        <w:rPr>
          <w:rFonts w:ascii="Times New Roman" w:hAnsi="Times New Roman" w:cs="Times New Roman"/>
          <w:b/>
          <w:noProof/>
        </w:rPr>
      </w:pPr>
      <w:r>
        <w:rPr>
          <w:rFonts w:ascii="Times New Roman" w:hAnsi="Times New Roman"/>
          <w:b/>
          <w:noProof/>
        </w:rPr>
        <w:t xml:space="preserve">Насърчаване на засилената координация </w:t>
      </w:r>
    </w:p>
    <w:p w14:paraId="00996FA9" w14:textId="77777777" w:rsidR="00DF7615" w:rsidRPr="00CB27E2" w:rsidRDefault="00DF7615" w:rsidP="00341CC0">
      <w:pPr>
        <w:pStyle w:val="ListParagraph"/>
        <w:spacing w:after="120" w:line="240" w:lineRule="auto"/>
        <w:ind w:left="0"/>
        <w:contextualSpacing w:val="0"/>
        <w:jc w:val="both"/>
        <w:rPr>
          <w:rFonts w:ascii="Times New Roman" w:hAnsi="Times New Roman" w:cs="Times New Roman"/>
          <w:noProof/>
          <w:spacing w:val="-2"/>
          <w:sz w:val="24"/>
          <w:szCs w:val="24"/>
        </w:rPr>
      </w:pPr>
      <w:r>
        <w:rPr>
          <w:rFonts w:ascii="Times New Roman" w:hAnsi="Times New Roman"/>
          <w:noProof/>
          <w:sz w:val="24"/>
          <w:szCs w:val="24"/>
        </w:rPr>
        <w:t xml:space="preserve">Европейската финансова архитектура за развитие следва да се основава на засилена координация, като се използва разнообразието на всички участници в нея, така че да се постигне „единно действие“ и да се повиши съгласуваността на действията на ЕС в страните партньори за по-голяма ефективност и трансформиращо въздействие върху развитието, като същевременно се привлекат частни инвеститори. </w:t>
      </w:r>
    </w:p>
    <w:p w14:paraId="195D69C2" w14:textId="77777777" w:rsidR="00DF7615" w:rsidRPr="00CB27E2" w:rsidRDefault="00DF7615" w:rsidP="00341CC0">
      <w:pPr>
        <w:pStyle w:val="Heading4"/>
        <w:spacing w:before="0" w:after="120" w:line="240" w:lineRule="auto"/>
        <w:ind w:left="720"/>
        <w:rPr>
          <w:rFonts w:ascii="Times New Roman" w:hAnsi="Times New Roman" w:cs="Times New Roman"/>
          <w:b/>
          <w:noProof/>
        </w:rPr>
      </w:pPr>
      <w:r>
        <w:rPr>
          <w:rFonts w:ascii="Times New Roman" w:hAnsi="Times New Roman"/>
          <w:b/>
          <w:noProof/>
        </w:rPr>
        <w:t>Изграждане на по-приобщаваща финансова архитектура</w:t>
      </w:r>
    </w:p>
    <w:p w14:paraId="2FAEF645" w14:textId="77777777" w:rsidR="00DF7615" w:rsidRPr="00CB27E2" w:rsidRDefault="00DF7615" w:rsidP="00341CC0">
      <w:pPr>
        <w:pStyle w:val="ListParagraph"/>
        <w:spacing w:after="120" w:line="240" w:lineRule="auto"/>
        <w:ind w:left="0"/>
        <w:contextualSpacing w:val="0"/>
        <w:jc w:val="both"/>
        <w:rPr>
          <w:rFonts w:ascii="Times New Roman" w:hAnsi="Times New Roman" w:cs="Times New Roman"/>
          <w:noProof/>
          <w:spacing w:val="-4"/>
          <w:sz w:val="24"/>
          <w:szCs w:val="24"/>
        </w:rPr>
      </w:pPr>
      <w:r>
        <w:rPr>
          <w:rFonts w:ascii="Times New Roman" w:hAnsi="Times New Roman"/>
          <w:noProof/>
          <w:sz w:val="24"/>
          <w:szCs w:val="24"/>
        </w:rPr>
        <w:t>Европейската финансова архитектура за развитие следва да бъде приобщаваща и да дава възможност за участие на всички заинтересовани финансови институции за развитие, включително на по-малките и средните партньори.</w:t>
      </w:r>
    </w:p>
    <w:p w14:paraId="662A7C49" w14:textId="77777777" w:rsidR="00DF7615" w:rsidRPr="00CB27E2" w:rsidRDefault="00DF7615" w:rsidP="00341CC0">
      <w:pPr>
        <w:pStyle w:val="Heading4"/>
        <w:numPr>
          <w:ilvl w:val="3"/>
          <w:numId w:val="0"/>
        </w:numPr>
        <w:spacing w:before="0" w:after="120" w:line="240" w:lineRule="auto"/>
        <w:ind w:left="720"/>
        <w:rPr>
          <w:rFonts w:ascii="Times New Roman" w:hAnsi="Times New Roman" w:cs="Times New Roman"/>
          <w:b/>
          <w:bCs/>
          <w:noProof/>
        </w:rPr>
      </w:pPr>
      <w:r>
        <w:rPr>
          <w:rFonts w:ascii="Times New Roman" w:hAnsi="Times New Roman"/>
          <w:b/>
          <w:bCs/>
          <w:noProof/>
        </w:rPr>
        <w:t>Осигуряване на по-голяма видимост и влияние на действията на ЕС и на държавите членки в рамките на подхода „Екип Европа“</w:t>
      </w:r>
    </w:p>
    <w:p w14:paraId="06EEDC18" w14:textId="3C10CBC1" w:rsidR="00296291" w:rsidRPr="00CB27E2" w:rsidRDefault="00DF7615" w:rsidP="00341CC0">
      <w:pPr>
        <w:pStyle w:val="ListParagraph"/>
        <w:spacing w:after="120" w:line="240" w:lineRule="auto"/>
        <w:ind w:left="0"/>
        <w:contextualSpacing w:val="0"/>
        <w:jc w:val="both"/>
        <w:rPr>
          <w:rFonts w:ascii="Times New Roman" w:eastAsia="Calibri" w:hAnsi="Times New Roman" w:cs="Times New Roman"/>
          <w:noProof/>
          <w:color w:val="000000" w:themeColor="text1"/>
          <w:sz w:val="24"/>
          <w:szCs w:val="24"/>
        </w:rPr>
      </w:pPr>
      <w:r>
        <w:rPr>
          <w:rFonts w:ascii="Times New Roman" w:hAnsi="Times New Roman"/>
          <w:noProof/>
          <w:sz w:val="24"/>
          <w:szCs w:val="24"/>
        </w:rPr>
        <w:t>По-голямата видимост по света на действията на ЕС и на държавите членки изисква по-силно популяризиране на „марката на ЕС“, включително чрез подхода „Екип Европа“ и приноса за създаването на новата марка „Global Gateway“. Това е необходимо, за да се гарантира, че усещането за ролята на ЕС в света съответства на мащаба на оказваната от него подкрепа. Значителното дялово участие на ЕС в международните финансови институции</w:t>
      </w:r>
      <w:r>
        <w:rPr>
          <w:rFonts w:ascii="Times New Roman" w:hAnsi="Times New Roman"/>
          <w:noProof/>
          <w:color w:val="000000" w:themeColor="text1"/>
          <w:sz w:val="24"/>
          <w:szCs w:val="24"/>
        </w:rPr>
        <w:t xml:space="preserve"> изисква по-съгласуван и последователен „глас на ЕС“ за по-ефективна защита на стратегическите му интереси.</w:t>
      </w:r>
    </w:p>
    <w:p w14:paraId="147E3F2A" w14:textId="77777777" w:rsidR="0070737E" w:rsidRPr="00CB27E2" w:rsidRDefault="0070737E" w:rsidP="00C97375">
      <w:pPr>
        <w:pStyle w:val="ListParagraph"/>
        <w:spacing w:after="0" w:line="240" w:lineRule="auto"/>
        <w:ind w:left="0"/>
        <w:contextualSpacing w:val="0"/>
        <w:jc w:val="both"/>
        <w:rPr>
          <w:rFonts w:ascii="Times New Roman" w:hAnsi="Times New Roman" w:cs="Times New Roman"/>
          <w:noProof/>
          <w:sz w:val="24"/>
          <w:szCs w:val="24"/>
        </w:rPr>
      </w:pPr>
    </w:p>
    <w:p w14:paraId="4A49FBCF" w14:textId="77777777" w:rsidR="007A56AD" w:rsidRPr="00CB27E2" w:rsidRDefault="00C01BFA" w:rsidP="006607A8">
      <w:pPr>
        <w:pStyle w:val="Heading3"/>
        <w:spacing w:after="120"/>
        <w:ind w:left="567" w:hanging="567"/>
        <w:rPr>
          <w:rFonts w:ascii="Times New Roman" w:hAnsi="Times New Roman" w:cs="Times New Roman"/>
          <w:noProof/>
        </w:rPr>
      </w:pPr>
      <w:r>
        <w:rPr>
          <w:rFonts w:ascii="Times New Roman" w:hAnsi="Times New Roman"/>
          <w:noProof/>
        </w:rPr>
        <w:t>Мерки</w:t>
      </w:r>
    </w:p>
    <w:p w14:paraId="134E0DF7" w14:textId="77777777" w:rsidR="00DF7615" w:rsidRPr="00CB27E2" w:rsidRDefault="00C01BFA" w:rsidP="00C97375">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В подкрепа на тези цели в пътната карта подробно са описани конкретните мерки, които Комисията предлага, за да се постигнат четирите цели. Те се превръщат в конкретни мерки, произтичащи от приетите наскоро ИССРМС — Глобална Европа и други стратегически документи, като намират израз и в допълнителни действия, които допринасят съответно за подобренията в стратегическото насочване, координацията, приобщаването и видимостта. </w:t>
      </w:r>
    </w:p>
    <w:p w14:paraId="347A876F" w14:textId="77777777" w:rsidR="00296291" w:rsidRPr="00CB27E2" w:rsidRDefault="00296291" w:rsidP="00C97375">
      <w:pPr>
        <w:spacing w:after="0" w:line="240" w:lineRule="auto"/>
        <w:jc w:val="both"/>
        <w:rPr>
          <w:rFonts w:ascii="Times New Roman" w:hAnsi="Times New Roman" w:cs="Times New Roman"/>
          <w:noProof/>
          <w:sz w:val="24"/>
          <w:szCs w:val="24"/>
        </w:rPr>
      </w:pPr>
    </w:p>
    <w:p w14:paraId="5BAA8AD5" w14:textId="005B494E" w:rsidR="009D2370" w:rsidRPr="00CB27E2" w:rsidRDefault="00446B41" w:rsidP="00446B41">
      <w:pPr>
        <w:pStyle w:val="Heading4"/>
        <w:rPr>
          <w:rFonts w:cs="Times New Roman"/>
          <w:noProof/>
        </w:rPr>
      </w:pPr>
      <w:r w:rsidRPr="00446B41">
        <w:t>2.2.1</w:t>
      </w:r>
      <w:r w:rsidRPr="00446B41">
        <w:tab/>
      </w:r>
      <w:r w:rsidR="009D2370">
        <w:rPr>
          <w:noProof/>
        </w:rPr>
        <w:t xml:space="preserve">ИССРМС — Глобална Европа и други стратегически документи </w:t>
      </w:r>
    </w:p>
    <w:p w14:paraId="389D0198" w14:textId="77777777" w:rsidR="003B6EBA" w:rsidRPr="00CB27E2" w:rsidRDefault="003B6EBA" w:rsidP="00C97375">
      <w:pPr>
        <w:spacing w:after="0" w:line="240" w:lineRule="auto"/>
        <w:jc w:val="both"/>
        <w:rPr>
          <w:rStyle w:val="xnormaltextrun"/>
          <w:rFonts w:ascii="Times New Roman" w:hAnsi="Times New Roman" w:cs="Times New Roman"/>
          <w:noProof/>
          <w:sz w:val="24"/>
          <w:szCs w:val="24"/>
          <w:bdr w:val="none" w:sz="0" w:space="0" w:color="auto" w:frame="1"/>
        </w:rPr>
      </w:pPr>
    </w:p>
    <w:p w14:paraId="7A52F37D" w14:textId="77777777" w:rsidR="005B44B1" w:rsidRPr="00CB27E2" w:rsidRDefault="005B44B1" w:rsidP="005B44B1">
      <w:pPr>
        <w:spacing w:after="0" w:line="240" w:lineRule="auto"/>
        <w:jc w:val="both"/>
        <w:rPr>
          <w:rFonts w:ascii="Times New Roman" w:hAnsi="Times New Roman" w:cs="Times New Roman"/>
          <w:b/>
          <w:noProof/>
          <w:color w:val="0070C0"/>
          <w:spacing w:val="-2"/>
          <w:sz w:val="24"/>
        </w:rPr>
      </w:pPr>
      <w:r>
        <w:rPr>
          <w:rFonts w:ascii="Times New Roman" w:hAnsi="Times New Roman"/>
          <w:b/>
          <w:noProof/>
          <w:color w:val="0070C0"/>
          <w:sz w:val="24"/>
        </w:rPr>
        <w:t xml:space="preserve">По-ясна насока и ориентация на политиката </w:t>
      </w:r>
    </w:p>
    <w:p w14:paraId="5B54095B" w14:textId="77777777" w:rsidR="00A53B48" w:rsidRPr="00CB27E2" w:rsidRDefault="00A53B48" w:rsidP="00C97375">
      <w:pPr>
        <w:spacing w:after="0" w:line="240" w:lineRule="auto"/>
        <w:jc w:val="both"/>
        <w:rPr>
          <w:rFonts w:ascii="Times New Roman" w:hAnsi="Times New Roman" w:cs="Times New Roman"/>
          <w:noProof/>
          <w:color w:val="000000" w:themeColor="text1"/>
          <w:spacing w:val="-2"/>
          <w:sz w:val="24"/>
          <w:szCs w:val="24"/>
        </w:rPr>
      </w:pPr>
    </w:p>
    <w:p w14:paraId="41F7C725" w14:textId="77777777" w:rsidR="00C506B7" w:rsidRPr="00F50B3C" w:rsidRDefault="00992B04" w:rsidP="00C97375">
      <w:pPr>
        <w:spacing w:after="0" w:line="240" w:lineRule="auto"/>
        <w:jc w:val="both"/>
        <w:rPr>
          <w:rFonts w:ascii="Times New Roman" w:hAnsi="Times New Roman" w:cs="Times New Roman"/>
          <w:b/>
          <w:noProof/>
          <w:color w:val="0070C0"/>
          <w:spacing w:val="-8"/>
          <w:sz w:val="24"/>
        </w:rPr>
      </w:pPr>
      <w:r w:rsidRPr="00F50B3C">
        <w:rPr>
          <w:rFonts w:ascii="Times New Roman" w:hAnsi="Times New Roman"/>
          <w:noProof/>
          <w:spacing w:val="-8"/>
          <w:sz w:val="24"/>
          <w:szCs w:val="24"/>
        </w:rPr>
        <w:t xml:space="preserve">Както беше посочено по-горе, засиленото управление на политиката и насоките за нейното развитие са от съществено значение за увеличаване в максимална степен на въздействието на външната дейност на ЕС и за гарантиране на силен принос към постигането на общите политически цели и задачи. В регламентите за </w:t>
      </w:r>
      <w:r w:rsidRPr="00F50B3C">
        <w:rPr>
          <w:rFonts w:ascii="Times New Roman" w:hAnsi="Times New Roman"/>
          <w:b/>
          <w:noProof/>
          <w:spacing w:val="-8"/>
          <w:sz w:val="24"/>
        </w:rPr>
        <w:t>ИССРМС — Глобална</w:t>
      </w:r>
      <w:r w:rsidRPr="00F50B3C">
        <w:rPr>
          <w:rFonts w:ascii="Times New Roman" w:hAnsi="Times New Roman"/>
          <w:b/>
          <w:noProof/>
          <w:color w:val="000000" w:themeColor="text1"/>
          <w:spacing w:val="-8"/>
          <w:sz w:val="24"/>
          <w:szCs w:val="24"/>
        </w:rPr>
        <w:t xml:space="preserve"> Европа </w:t>
      </w:r>
      <w:r w:rsidRPr="00F50B3C">
        <w:rPr>
          <w:rFonts w:ascii="Times New Roman" w:hAnsi="Times New Roman"/>
          <w:noProof/>
          <w:color w:val="000000" w:themeColor="text1"/>
          <w:spacing w:val="-8"/>
          <w:sz w:val="24"/>
          <w:szCs w:val="24"/>
        </w:rPr>
        <w:t xml:space="preserve">и </w:t>
      </w:r>
      <w:r w:rsidRPr="00F50B3C">
        <w:rPr>
          <w:rStyle w:val="xnormaltextrun"/>
          <w:rFonts w:ascii="Times New Roman" w:hAnsi="Times New Roman"/>
          <w:b/>
          <w:noProof/>
          <w:color w:val="000000"/>
          <w:spacing w:val="-8"/>
          <w:sz w:val="24"/>
          <w:szCs w:val="24"/>
          <w:bdr w:val="none" w:sz="0" w:space="0" w:color="auto" w:frame="1"/>
        </w:rPr>
        <w:t>Инструмента за предприсъединителна помощ</w:t>
      </w:r>
      <w:r w:rsidRPr="00F50B3C">
        <w:rPr>
          <w:rStyle w:val="xnormaltextrun"/>
          <w:rFonts w:ascii="Times New Roman" w:hAnsi="Times New Roman"/>
          <w:noProof/>
          <w:color w:val="000000"/>
          <w:spacing w:val="-8"/>
          <w:sz w:val="24"/>
          <w:szCs w:val="24"/>
          <w:bdr w:val="none" w:sz="0" w:space="0" w:color="auto" w:frame="1"/>
        </w:rPr>
        <w:t xml:space="preserve"> (ИПП III)</w:t>
      </w:r>
      <w:r w:rsidRPr="00F50B3C">
        <w:rPr>
          <w:rFonts w:ascii="Times New Roman" w:hAnsi="Times New Roman"/>
          <w:noProof/>
          <w:spacing w:val="-8"/>
          <w:sz w:val="24"/>
          <w:szCs w:val="24"/>
        </w:rPr>
        <w:t xml:space="preserve"> </w:t>
      </w:r>
      <w:r w:rsidRPr="00F50B3C">
        <w:rPr>
          <w:rFonts w:ascii="Times New Roman" w:hAnsi="Times New Roman"/>
          <w:noProof/>
          <w:color w:val="000000" w:themeColor="text1"/>
          <w:spacing w:val="-8"/>
          <w:sz w:val="24"/>
          <w:szCs w:val="24"/>
        </w:rPr>
        <w:t xml:space="preserve">се посочват приоритетите, които ЕС има за цел да подкрепи, и се уточняват целите за извършване на разходи в области като климата, миграцията и принудителното разселване на населението или човешкото развитие. В </w:t>
      </w:r>
      <w:r w:rsidRPr="00F50B3C">
        <w:rPr>
          <w:rFonts w:ascii="Times New Roman" w:hAnsi="Times New Roman"/>
          <w:b/>
          <w:noProof/>
          <w:color w:val="000000" w:themeColor="text1"/>
          <w:spacing w:val="-8"/>
          <w:sz w:val="24"/>
          <w:szCs w:val="24"/>
        </w:rPr>
        <w:t>Съобщението за Global Gateway</w:t>
      </w:r>
      <w:r w:rsidR="001F13F1" w:rsidRPr="00F50B3C">
        <w:rPr>
          <w:rStyle w:val="FootnoteReference"/>
          <w:rFonts w:ascii="Times New Roman" w:hAnsi="Times New Roman" w:cs="Times New Roman"/>
          <w:noProof/>
          <w:spacing w:val="-8"/>
        </w:rPr>
        <w:footnoteReference w:id="28"/>
      </w:r>
      <w:r w:rsidRPr="00F50B3C">
        <w:rPr>
          <w:rFonts w:ascii="Times New Roman" w:hAnsi="Times New Roman"/>
          <w:noProof/>
          <w:color w:val="000000" w:themeColor="text1"/>
          <w:spacing w:val="-8"/>
          <w:sz w:val="24"/>
          <w:szCs w:val="24"/>
        </w:rPr>
        <w:t xml:space="preserve"> бяха предоставени допълнителни насоки за справяне с неотложните глобални предизвикателства — от изменение на климата и опазване на околната среда до засилване на цифровизацията, подобряване на сигурността на общественото здраве, повишаване на конкурентоспособността на ЕС и подсигуряване на световните вериги на доставки. </w:t>
      </w:r>
      <w:r w:rsidRPr="00F50B3C">
        <w:rPr>
          <w:rFonts w:ascii="Times New Roman" w:hAnsi="Times New Roman"/>
          <w:noProof/>
          <w:spacing w:val="-8"/>
          <w:sz w:val="24"/>
          <w:szCs w:val="24"/>
        </w:rPr>
        <w:t xml:space="preserve">В </w:t>
      </w:r>
      <w:r w:rsidRPr="00F50B3C">
        <w:rPr>
          <w:rFonts w:ascii="Times New Roman" w:hAnsi="Times New Roman"/>
          <w:b/>
          <w:noProof/>
          <w:spacing w:val="-8"/>
          <w:sz w:val="24"/>
          <w:szCs w:val="24"/>
        </w:rPr>
        <w:t>„ЕС — Африка: Пакет за инвестиции по линия на Global Gateway“</w:t>
      </w:r>
      <w:r w:rsidR="00FA4C5F" w:rsidRPr="00F50B3C">
        <w:rPr>
          <w:rStyle w:val="FootnoteReference"/>
          <w:rFonts w:ascii="Times New Roman" w:hAnsi="Times New Roman" w:cs="Times New Roman"/>
          <w:noProof/>
          <w:spacing w:val="-8"/>
          <w:sz w:val="24"/>
          <w:szCs w:val="24"/>
        </w:rPr>
        <w:footnoteReference w:id="29"/>
      </w:r>
      <w:r w:rsidRPr="00F50B3C">
        <w:rPr>
          <w:rFonts w:ascii="Times New Roman" w:hAnsi="Times New Roman"/>
          <w:noProof/>
          <w:spacing w:val="-8"/>
          <w:sz w:val="24"/>
          <w:szCs w:val="24"/>
        </w:rPr>
        <w:t>, чието начало беше поставено на срещата на върха между ЕС и Африканския съюз през февруари 2022 г., допълнително се уточняват приоритетите за ангажираност в Африка в подкрепа на силно, приобщаващо, екологосъобразно и цифрово възстановяване и трансформация.</w:t>
      </w:r>
      <w:r w:rsidRPr="00F50B3C">
        <w:rPr>
          <w:rFonts w:ascii="Times New Roman" w:hAnsi="Times New Roman"/>
          <w:noProof/>
          <w:color w:val="000000" w:themeColor="text1"/>
          <w:spacing w:val="-8"/>
          <w:sz w:val="24"/>
          <w:szCs w:val="24"/>
        </w:rPr>
        <w:t xml:space="preserve"> И накрая, </w:t>
      </w:r>
      <w:r w:rsidRPr="00F50B3C">
        <w:rPr>
          <w:rFonts w:ascii="Times New Roman" w:hAnsi="Times New Roman"/>
          <w:b/>
          <w:noProof/>
          <w:color w:val="000000" w:themeColor="text1"/>
          <w:spacing w:val="-8"/>
          <w:sz w:val="24"/>
          <w:szCs w:val="24"/>
        </w:rPr>
        <w:t>Стратегията на ЕС за сътрудничество в Индийско-Тихоокеанския регион</w:t>
      </w:r>
      <w:r w:rsidRPr="00F50B3C">
        <w:rPr>
          <w:rFonts w:ascii="Times New Roman" w:hAnsi="Times New Roman"/>
          <w:noProof/>
          <w:color w:val="000000" w:themeColor="text1"/>
          <w:spacing w:val="-8"/>
          <w:sz w:val="24"/>
          <w:szCs w:val="24"/>
        </w:rPr>
        <w:t xml:space="preserve"> (септември 2021 г.) дава основата за инвестиции в региона на Азия и Тихоокеанския басейн. Що се отнася до съседните на ЕС държави, новите резултати от Източното партньорство и Съвместното съобщение относно подновеното партньорство с Южното съседство, както и двата съпътстващи </w:t>
      </w:r>
      <w:r w:rsidRPr="00F50B3C">
        <w:rPr>
          <w:rFonts w:ascii="Times New Roman" w:hAnsi="Times New Roman"/>
          <w:b/>
          <w:noProof/>
          <w:color w:val="000000" w:themeColor="text1"/>
          <w:spacing w:val="-8"/>
          <w:sz w:val="24"/>
          <w:szCs w:val="24"/>
        </w:rPr>
        <w:t>икономически и инвестиционни планове</w:t>
      </w:r>
      <w:r w:rsidRPr="00F50B3C">
        <w:rPr>
          <w:rFonts w:ascii="Times New Roman" w:hAnsi="Times New Roman"/>
          <w:noProof/>
          <w:color w:val="000000" w:themeColor="text1"/>
          <w:spacing w:val="-8"/>
          <w:sz w:val="24"/>
          <w:szCs w:val="24"/>
        </w:rPr>
        <w:t xml:space="preserve"> имат за цел да стимулират дългосрочното възстановяване на тези региони и тяхната икономическа конвергенция с ЕС.</w:t>
      </w:r>
    </w:p>
    <w:p w14:paraId="599F9D2C" w14:textId="77777777" w:rsidR="007A7431" w:rsidRPr="00CB27E2" w:rsidRDefault="007A7431" w:rsidP="00C97375">
      <w:pPr>
        <w:spacing w:after="0" w:line="240" w:lineRule="auto"/>
        <w:jc w:val="both"/>
        <w:rPr>
          <w:rFonts w:ascii="Times New Roman" w:hAnsi="Times New Roman" w:cs="Times New Roman"/>
          <w:noProof/>
          <w:color w:val="000000" w:themeColor="text1"/>
          <w:spacing w:val="-2"/>
          <w:sz w:val="24"/>
          <w:szCs w:val="24"/>
        </w:rPr>
      </w:pPr>
    </w:p>
    <w:p w14:paraId="5B5D8CCE" w14:textId="77777777" w:rsidR="00B4440F" w:rsidRPr="00CB27E2" w:rsidRDefault="007A7431" w:rsidP="00C97375">
      <w:pPr>
        <w:spacing w:after="0" w:line="240" w:lineRule="auto"/>
        <w:jc w:val="both"/>
        <w:rPr>
          <w:rFonts w:ascii="Times New Roman" w:hAnsi="Times New Roman" w:cs="Times New Roman"/>
          <w:noProof/>
          <w:color w:val="000000" w:themeColor="text1"/>
          <w:spacing w:val="-2"/>
          <w:sz w:val="24"/>
          <w:szCs w:val="24"/>
        </w:rPr>
      </w:pPr>
      <w:r>
        <w:rPr>
          <w:rStyle w:val="xnormaltextrun"/>
          <w:rFonts w:ascii="Times New Roman" w:hAnsi="Times New Roman"/>
          <w:b/>
          <w:bCs/>
          <w:noProof/>
          <w:color w:val="000000"/>
          <w:sz w:val="24"/>
          <w:szCs w:val="24"/>
          <w:bdr w:val="none" w:sz="0" w:space="0" w:color="auto" w:frame="1"/>
        </w:rPr>
        <w:t>Принципът</w:t>
      </w:r>
      <w:r>
        <w:rPr>
          <w:rStyle w:val="xnormaltextrun"/>
          <w:rFonts w:ascii="Times New Roman" w:hAnsi="Times New Roman"/>
          <w:noProof/>
          <w:color w:val="000000"/>
          <w:sz w:val="24"/>
          <w:szCs w:val="24"/>
          <w:bdr w:val="none" w:sz="0" w:space="0" w:color="auto" w:frame="1"/>
        </w:rPr>
        <w:t xml:space="preserve"> „</w:t>
      </w:r>
      <w:r>
        <w:rPr>
          <w:rStyle w:val="xnormaltextrun"/>
          <w:rFonts w:ascii="Times New Roman" w:hAnsi="Times New Roman"/>
          <w:b/>
          <w:bCs/>
          <w:noProof/>
          <w:color w:val="000000"/>
          <w:sz w:val="24"/>
          <w:szCs w:val="24"/>
          <w:bdr w:val="none" w:sz="0" w:space="0" w:color="auto" w:frame="1"/>
        </w:rPr>
        <w:t>политиката на първо място</w:t>
      </w:r>
      <w:r>
        <w:rPr>
          <w:rStyle w:val="xnormaltextrun"/>
          <w:rFonts w:ascii="Times New Roman" w:hAnsi="Times New Roman"/>
          <w:bCs/>
          <w:noProof/>
          <w:color w:val="000000"/>
          <w:sz w:val="24"/>
          <w:szCs w:val="24"/>
          <w:bdr w:val="none" w:sz="0" w:space="0" w:color="auto" w:frame="1"/>
        </w:rPr>
        <w:t>“ е залегнал в</w:t>
      </w:r>
      <w:r>
        <w:rPr>
          <w:rStyle w:val="xnormaltextrun"/>
          <w:rFonts w:ascii="Times New Roman" w:hAnsi="Times New Roman"/>
          <w:b/>
          <w:bCs/>
          <w:noProof/>
          <w:color w:val="000000"/>
          <w:sz w:val="24"/>
          <w:szCs w:val="24"/>
          <w:bdr w:val="none" w:sz="0" w:space="0" w:color="auto" w:frame="1"/>
        </w:rPr>
        <w:t xml:space="preserve"> </w:t>
      </w:r>
      <w:r>
        <w:rPr>
          <w:rStyle w:val="xnormaltextrun"/>
          <w:rFonts w:ascii="Times New Roman" w:hAnsi="Times New Roman"/>
          <w:bCs/>
          <w:noProof/>
          <w:color w:val="000000"/>
          <w:sz w:val="24"/>
          <w:szCs w:val="24"/>
          <w:bdr w:val="none" w:sz="0" w:space="0" w:color="auto" w:frame="1"/>
        </w:rPr>
        <w:t xml:space="preserve">ИССРМС — </w:t>
      </w:r>
      <w:r>
        <w:rPr>
          <w:rStyle w:val="xnormaltextrun"/>
          <w:rFonts w:ascii="Times New Roman" w:hAnsi="Times New Roman"/>
          <w:noProof/>
          <w:color w:val="000000"/>
          <w:sz w:val="24"/>
          <w:szCs w:val="24"/>
          <w:bdr w:val="none" w:sz="0" w:space="0" w:color="auto" w:frame="1"/>
        </w:rPr>
        <w:t>Глобална Европа и в ИПП III</w:t>
      </w:r>
      <w:r>
        <w:rPr>
          <w:rStyle w:val="xnormaltextrun"/>
          <w:rFonts w:ascii="Times New Roman" w:hAnsi="Times New Roman"/>
          <w:bCs/>
          <w:noProof/>
          <w:color w:val="000000"/>
          <w:sz w:val="24"/>
          <w:szCs w:val="24"/>
          <w:bdr w:val="none" w:sz="0" w:space="0" w:color="auto" w:frame="1"/>
        </w:rPr>
        <w:t>.</w:t>
      </w:r>
      <w:r>
        <w:rPr>
          <w:rFonts w:ascii="Times New Roman" w:hAnsi="Times New Roman"/>
          <w:noProof/>
          <w:sz w:val="24"/>
          <w:szCs w:val="24"/>
        </w:rPr>
        <w:t xml:space="preserve"> </w:t>
      </w:r>
      <w:r>
        <w:rPr>
          <w:rFonts w:ascii="Times New Roman" w:hAnsi="Times New Roman"/>
          <w:noProof/>
          <w:color w:val="000000" w:themeColor="text1"/>
          <w:sz w:val="24"/>
          <w:szCs w:val="24"/>
        </w:rPr>
        <w:t xml:space="preserve">Това означава, че всички външни действия на ЕС, включително тези, обхванати от бюджетните гаранции на ЕС, трябва да са в подкрепа на приоритетите на политиката, които ЕС и неговите партньорски държави са договорили съвместно и които са определени в съответните </w:t>
      </w:r>
      <w:r>
        <w:rPr>
          <w:rFonts w:ascii="Times New Roman" w:hAnsi="Times New Roman"/>
          <w:b/>
          <w:bCs/>
          <w:noProof/>
          <w:color w:val="000000" w:themeColor="text1"/>
          <w:sz w:val="24"/>
          <w:szCs w:val="24"/>
        </w:rPr>
        <w:t>документи</w:t>
      </w:r>
      <w:r>
        <w:rPr>
          <w:rFonts w:ascii="Times New Roman" w:hAnsi="Times New Roman"/>
          <w:noProof/>
          <w:color w:val="000000" w:themeColor="text1"/>
          <w:sz w:val="24"/>
          <w:szCs w:val="24"/>
        </w:rPr>
        <w:t xml:space="preserve"> </w:t>
      </w:r>
      <w:r>
        <w:rPr>
          <w:rFonts w:ascii="Times New Roman" w:hAnsi="Times New Roman"/>
          <w:b/>
          <w:noProof/>
          <w:color w:val="000000" w:themeColor="text1"/>
          <w:sz w:val="24"/>
          <w:szCs w:val="24"/>
        </w:rPr>
        <w:t>за програмиране</w:t>
      </w:r>
      <w:r>
        <w:rPr>
          <w:rFonts w:ascii="Times New Roman" w:hAnsi="Times New Roman"/>
          <w:noProof/>
          <w:color w:val="000000" w:themeColor="text1"/>
          <w:sz w:val="24"/>
          <w:szCs w:val="24"/>
        </w:rPr>
        <w:t xml:space="preserve">. Тези документи за програмиране, както и инвестиционните планове, дават ясна насока на политиката за всички дейности на ЕС в областта на сътрудничеството. </w:t>
      </w:r>
      <w:r>
        <w:rPr>
          <w:rFonts w:ascii="Times New Roman" w:hAnsi="Times New Roman"/>
          <w:noProof/>
          <w:sz w:val="24"/>
          <w:szCs w:val="24"/>
        </w:rPr>
        <w:t xml:space="preserve">Наред с това географската диференциация между дейностите в областта на сътрудничеството също допринася за по-голямо въздействие върху развитието, като предлага мерки за подкрепа и инвестиционни дейности, които са съобразени с държавите и регионите бенефициери, като по този начин </w:t>
      </w:r>
      <w:r>
        <w:rPr>
          <w:rFonts w:ascii="Times New Roman" w:hAnsi="Times New Roman"/>
          <w:noProof/>
          <w:color w:val="000000" w:themeColor="text1"/>
          <w:sz w:val="24"/>
          <w:szCs w:val="24"/>
        </w:rPr>
        <w:t>подобрява стратегическия и последователен подход на инвестиционната архитектура</w:t>
      </w:r>
      <w:r>
        <w:rPr>
          <w:rFonts w:ascii="Times New Roman" w:hAnsi="Times New Roman"/>
          <w:noProof/>
          <w:sz w:val="24"/>
          <w:szCs w:val="24"/>
        </w:rPr>
        <w:t>.</w:t>
      </w:r>
    </w:p>
    <w:p w14:paraId="2EEFA34A" w14:textId="77777777" w:rsidR="00FA4C5F" w:rsidRPr="00CB27E2" w:rsidRDefault="00FA4C5F" w:rsidP="00FA4C5F">
      <w:pPr>
        <w:spacing w:after="0" w:line="240" w:lineRule="auto"/>
        <w:jc w:val="both"/>
        <w:rPr>
          <w:rFonts w:ascii="Times New Roman" w:eastAsia="Calibri" w:hAnsi="Times New Roman" w:cs="Times New Roman"/>
          <w:noProof/>
          <w:sz w:val="24"/>
          <w:szCs w:val="24"/>
        </w:rPr>
      </w:pPr>
    </w:p>
    <w:p w14:paraId="3A58094D" w14:textId="77777777" w:rsidR="00CD718D" w:rsidRPr="00CB27E2" w:rsidRDefault="00CD718D" w:rsidP="00CD718D">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При прилагането на принципа „политиката на първо място“ в контекста на ЕФУР+ Комисията и ВП/ЗП са съпредседатели на Стратегическия съвет на ЕФУР+, който дава политически насоки за предстоящите операции. Благодарение на ИССРМС — Глобална Европа Стратегическият съвет на ЕФУР+ и регионалните оперативни съвети играят още по-важна роля, като насочват както операциите за смесено финансиране, така и бюджетните гаранции (включително тези, които преди това са били управлявани непряко в рамките на мандата за външно кредитиране или Инвестиционния инструмент за АКТБ). Освен това инвестиционната рамка за Западните Балкани продължава да бъде водещият орган за насочване на подкрепата и инвестициите в Западните Балкани чрез открит и приобщаващ </w:t>
      </w:r>
      <w:r>
        <w:rPr>
          <w:rFonts w:ascii="Times New Roman" w:hAnsi="Times New Roman"/>
          <w:noProof/>
          <w:color w:val="000000" w:themeColor="text1"/>
          <w:sz w:val="24"/>
          <w:szCs w:val="24"/>
        </w:rPr>
        <w:t>подход „Екип Европа“ (и отвъд него), като работи в пълна съгласуваност със Стратегическия съвет на ЕФУР+.</w:t>
      </w:r>
    </w:p>
    <w:p w14:paraId="5E69AA62" w14:textId="77777777" w:rsidR="00B4440F" w:rsidRDefault="00B4440F" w:rsidP="00C97375">
      <w:pPr>
        <w:spacing w:after="0" w:line="240" w:lineRule="auto"/>
        <w:jc w:val="both"/>
        <w:rPr>
          <w:rFonts w:ascii="Times New Roman" w:hAnsi="Times New Roman" w:cs="Times New Roman"/>
          <w:noProof/>
          <w:color w:val="000000" w:themeColor="text1"/>
          <w:spacing w:val="-2"/>
          <w:sz w:val="24"/>
          <w:szCs w:val="24"/>
        </w:rPr>
      </w:pPr>
    </w:p>
    <w:p w14:paraId="16BA6285" w14:textId="40201056" w:rsidR="00FE17B8" w:rsidRPr="00CB27E2" w:rsidRDefault="00FE17B8" w:rsidP="00C97375">
      <w:pPr>
        <w:spacing w:after="0" w:line="240" w:lineRule="auto"/>
        <w:jc w:val="both"/>
        <w:rPr>
          <w:rFonts w:ascii="Times New Roman" w:hAnsi="Times New Roman" w:cs="Times New Roman"/>
          <w:noProof/>
          <w:color w:val="000000" w:themeColor="text1"/>
          <w:spacing w:val="-2"/>
          <w:sz w:val="24"/>
          <w:szCs w:val="24"/>
        </w:rPr>
      </w:pPr>
    </w:p>
    <w:tbl>
      <w:tblPr>
        <w:tblStyle w:val="TableGrid"/>
        <w:tblW w:w="0" w:type="auto"/>
        <w:shd w:val="clear" w:color="auto" w:fill="DEEAF6" w:themeFill="accent1" w:themeFillTint="33"/>
        <w:tblLook w:val="04A0" w:firstRow="1" w:lastRow="0" w:firstColumn="1" w:lastColumn="0" w:noHBand="0" w:noVBand="1"/>
      </w:tblPr>
      <w:tblGrid>
        <w:gridCol w:w="9210"/>
      </w:tblGrid>
      <w:tr w:rsidR="007A7431" w:rsidRPr="00CB27E2" w14:paraId="54DC48FE" w14:textId="77777777" w:rsidTr="0000365F">
        <w:trPr>
          <w:trHeight w:val="1124"/>
        </w:trPr>
        <w:tc>
          <w:tcPr>
            <w:tcW w:w="9210" w:type="dxa"/>
            <w:shd w:val="clear" w:color="auto" w:fill="DEEAF6" w:themeFill="accent1" w:themeFillTint="33"/>
          </w:tcPr>
          <w:p w14:paraId="076257E5" w14:textId="77777777" w:rsidR="00425D98" w:rsidRPr="00CB27E2" w:rsidRDefault="00425D98" w:rsidP="000642CF">
            <w:pPr>
              <w:jc w:val="both"/>
              <w:rPr>
                <w:rFonts w:ascii="Times New Roman" w:hAnsi="Times New Roman" w:cs="Times New Roman"/>
                <w:noProof/>
                <w:color w:val="000000" w:themeColor="text1"/>
                <w:spacing w:val="-2"/>
                <w:sz w:val="24"/>
                <w:szCs w:val="24"/>
                <w:u w:val="single"/>
              </w:rPr>
            </w:pPr>
            <w:r>
              <w:rPr>
                <w:rFonts w:ascii="Times New Roman" w:hAnsi="Times New Roman"/>
                <w:bCs/>
                <w:noProof/>
                <w:color w:val="000000" w:themeColor="text1"/>
                <w:sz w:val="24"/>
                <w:szCs w:val="24"/>
                <w:u w:val="single"/>
              </w:rPr>
              <w:t>Пътна карта</w:t>
            </w:r>
            <w:r>
              <w:rPr>
                <w:rFonts w:ascii="Times New Roman" w:hAnsi="Times New Roman"/>
                <w:noProof/>
                <w:color w:val="000000" w:themeColor="text1"/>
                <w:sz w:val="24"/>
                <w:szCs w:val="24"/>
                <w:u w:val="single"/>
              </w:rPr>
              <w:t xml:space="preserve">: </w:t>
            </w:r>
          </w:p>
          <w:p w14:paraId="62D29BEB" w14:textId="77777777" w:rsidR="005935D6" w:rsidRPr="00CB27E2" w:rsidRDefault="005935D6" w:rsidP="005935D6">
            <w:pPr>
              <w:keepNext/>
              <w:jc w:val="both"/>
              <w:rPr>
                <w:rFonts w:ascii="Times New Roman" w:hAnsi="Times New Roman" w:cs="Times New Roman"/>
                <w:noProof/>
                <w:color w:val="000000" w:themeColor="text1"/>
                <w:spacing w:val="-2"/>
                <w:sz w:val="24"/>
                <w:szCs w:val="24"/>
              </w:rPr>
            </w:pPr>
            <w:r>
              <w:rPr>
                <w:rFonts w:ascii="Times New Roman" w:hAnsi="Times New Roman"/>
                <w:noProof/>
                <w:color w:val="000000" w:themeColor="text1"/>
                <w:sz w:val="24"/>
                <w:szCs w:val="24"/>
              </w:rPr>
              <w:t xml:space="preserve">Комисията в сътрудничество с ВП/ЗП ще: </w:t>
            </w:r>
          </w:p>
          <w:p w14:paraId="44B47B42" w14:textId="77777777" w:rsidR="0033434D" w:rsidRPr="00CB27E2" w:rsidRDefault="0033434D" w:rsidP="006607A8">
            <w:pPr>
              <w:pStyle w:val="ListParagraph"/>
              <w:numPr>
                <w:ilvl w:val="0"/>
                <w:numId w:val="6"/>
              </w:numPr>
              <w:jc w:val="both"/>
              <w:rPr>
                <w:rFonts w:ascii="Times New Roman" w:hAnsi="Times New Roman" w:cs="Times New Roman"/>
                <w:bCs/>
                <w:noProof/>
                <w:color w:val="000000" w:themeColor="text1"/>
                <w:spacing w:val="-2"/>
                <w:sz w:val="24"/>
                <w:szCs w:val="24"/>
              </w:rPr>
            </w:pPr>
            <w:r>
              <w:rPr>
                <w:rFonts w:ascii="Times New Roman" w:hAnsi="Times New Roman"/>
                <w:bCs/>
                <w:noProof/>
                <w:color w:val="000000" w:themeColor="text1"/>
                <w:sz w:val="24"/>
                <w:szCs w:val="24"/>
              </w:rPr>
              <w:t>даде ясна насока на политиката в документите за програмиране и в икономическите и инвестиционните планове и ще гарантира, че всички инвестиционни действия на ЕС в рамките на ИССРМС — Глобална Европа и ИПП III са в съответствие с приоритетите, определени в документите за програмиране;</w:t>
            </w:r>
          </w:p>
          <w:p w14:paraId="5AE97A9A" w14:textId="77777777" w:rsidR="00FA4C5F" w:rsidRPr="00CB27E2" w:rsidRDefault="007A7431" w:rsidP="006607A8">
            <w:pPr>
              <w:pStyle w:val="ListParagraph"/>
              <w:numPr>
                <w:ilvl w:val="0"/>
                <w:numId w:val="6"/>
              </w:numPr>
              <w:jc w:val="both"/>
              <w:rPr>
                <w:rFonts w:ascii="Times New Roman" w:hAnsi="Times New Roman" w:cs="Times New Roman"/>
                <w:noProof/>
                <w:color w:val="000000" w:themeColor="text1"/>
                <w:spacing w:val="-2"/>
                <w:sz w:val="24"/>
                <w:szCs w:val="24"/>
              </w:rPr>
            </w:pPr>
            <w:r>
              <w:rPr>
                <w:rFonts w:ascii="Times New Roman" w:hAnsi="Times New Roman"/>
                <w:bCs/>
                <w:noProof/>
                <w:color w:val="000000" w:themeColor="text1"/>
                <w:sz w:val="24"/>
                <w:szCs w:val="24"/>
              </w:rPr>
              <w:t>публикува всички документи за програмиране</w:t>
            </w:r>
            <w:r>
              <w:rPr>
                <w:rFonts w:ascii="Times New Roman" w:hAnsi="Times New Roman"/>
                <w:noProof/>
                <w:color w:val="000000" w:themeColor="text1"/>
                <w:sz w:val="24"/>
                <w:szCs w:val="24"/>
              </w:rPr>
              <w:t xml:space="preserve">, така че </w:t>
            </w:r>
            <w:r>
              <w:rPr>
                <w:rFonts w:ascii="Times New Roman" w:hAnsi="Times New Roman"/>
                <w:bCs/>
                <w:noProof/>
                <w:color w:val="000000" w:themeColor="text1"/>
                <w:sz w:val="24"/>
                <w:szCs w:val="24"/>
              </w:rPr>
              <w:t>приоритетите на политиката да бъдат ясни за всички участници във финансовата архитектура на ЕС за развитие</w:t>
            </w:r>
            <w:r>
              <w:rPr>
                <w:rFonts w:ascii="Times New Roman" w:hAnsi="Times New Roman"/>
                <w:noProof/>
                <w:color w:val="000000" w:themeColor="text1"/>
                <w:sz w:val="24"/>
                <w:szCs w:val="24"/>
              </w:rPr>
              <w:t xml:space="preserve">; </w:t>
            </w:r>
          </w:p>
          <w:p w14:paraId="4A1147CD" w14:textId="77777777" w:rsidR="00CD718D" w:rsidRPr="00CB27E2" w:rsidRDefault="00CD718D" w:rsidP="006607A8">
            <w:pPr>
              <w:pStyle w:val="ListParagraph"/>
              <w:numPr>
                <w:ilvl w:val="0"/>
                <w:numId w:val="6"/>
              </w:numPr>
              <w:jc w:val="both"/>
              <w:rPr>
                <w:rFonts w:ascii="Times New Roman" w:hAnsi="Times New Roman" w:cs="Times New Roman"/>
                <w:b/>
                <w:noProof/>
                <w:spacing w:val="-2"/>
                <w:sz w:val="24"/>
              </w:rPr>
            </w:pPr>
            <w:r>
              <w:rPr>
                <w:rFonts w:ascii="Times New Roman" w:hAnsi="Times New Roman"/>
                <w:noProof/>
                <w:sz w:val="24"/>
                <w:szCs w:val="24"/>
              </w:rPr>
              <w:t xml:space="preserve">гарантира, </w:t>
            </w:r>
            <w:r>
              <w:rPr>
                <w:rFonts w:ascii="Times New Roman" w:hAnsi="Times New Roman"/>
                <w:noProof/>
                <w:color w:val="000000" w:themeColor="text1"/>
                <w:sz w:val="24"/>
                <w:szCs w:val="24"/>
              </w:rPr>
              <w:t>че</w:t>
            </w:r>
            <w:r>
              <w:rPr>
                <w:rFonts w:ascii="Times New Roman" w:hAnsi="Times New Roman"/>
                <w:noProof/>
                <w:sz w:val="24"/>
                <w:szCs w:val="24"/>
              </w:rPr>
              <w:t xml:space="preserve"> Стратегическият съвет на ЕФУР+</w:t>
            </w:r>
            <w:r w:rsidRPr="00CB27E2">
              <w:rPr>
                <w:rStyle w:val="FootnoteReference"/>
                <w:rFonts w:ascii="Times New Roman" w:hAnsi="Times New Roman" w:cs="Times New Roman"/>
                <w:noProof/>
                <w:spacing w:val="-2"/>
                <w:sz w:val="24"/>
                <w:szCs w:val="24"/>
              </w:rPr>
              <w:footnoteReference w:id="30"/>
            </w:r>
            <w:r>
              <w:rPr>
                <w:rFonts w:ascii="Times New Roman" w:hAnsi="Times New Roman"/>
                <w:noProof/>
                <w:sz w:val="24"/>
                <w:szCs w:val="24"/>
              </w:rPr>
              <w:t xml:space="preserve"> подкрепя цялостната координация, взаимното допълване и съгласуваността на операциите, изпълнявани в рамките на ЕФУР+; </w:t>
            </w:r>
          </w:p>
          <w:p w14:paraId="13FC65DB" w14:textId="77777777" w:rsidR="007A7431" w:rsidRPr="00A41F54" w:rsidRDefault="00FA4C5F" w:rsidP="006607A8">
            <w:pPr>
              <w:pStyle w:val="ListParagraph"/>
              <w:numPr>
                <w:ilvl w:val="0"/>
                <w:numId w:val="6"/>
              </w:numPr>
              <w:jc w:val="both"/>
              <w:rPr>
                <w:rFonts w:ascii="Times New Roman" w:hAnsi="Times New Roman" w:cs="Times New Roman"/>
                <w:noProof/>
                <w:color w:val="000000" w:themeColor="text1"/>
                <w:spacing w:val="-4"/>
                <w:sz w:val="24"/>
                <w:szCs w:val="24"/>
              </w:rPr>
            </w:pPr>
            <w:r w:rsidRPr="00A41F54">
              <w:rPr>
                <w:rFonts w:ascii="Times New Roman" w:hAnsi="Times New Roman"/>
                <w:noProof/>
                <w:spacing w:val="-4"/>
                <w:sz w:val="24"/>
                <w:szCs w:val="24"/>
              </w:rPr>
              <w:t xml:space="preserve">продължи </w:t>
            </w:r>
            <w:r w:rsidRPr="00A41F54">
              <w:rPr>
                <w:rFonts w:ascii="Times New Roman" w:hAnsi="Times New Roman"/>
                <w:noProof/>
                <w:color w:val="000000" w:themeColor="text1"/>
                <w:spacing w:val="-4"/>
                <w:sz w:val="24"/>
                <w:szCs w:val="24"/>
              </w:rPr>
              <w:t>да въвежда</w:t>
            </w:r>
            <w:r w:rsidRPr="00A41F54">
              <w:rPr>
                <w:rFonts w:ascii="Times New Roman" w:hAnsi="Times New Roman"/>
                <w:noProof/>
                <w:spacing w:val="-4"/>
                <w:sz w:val="24"/>
                <w:szCs w:val="24"/>
              </w:rPr>
              <w:t xml:space="preserve"> стимули за насърчаване на</w:t>
            </w:r>
            <w:r w:rsidRPr="00A41F54">
              <w:rPr>
                <w:rFonts w:ascii="Times New Roman" w:hAnsi="Times New Roman"/>
                <w:bCs/>
                <w:noProof/>
                <w:spacing w:val="-4"/>
                <w:sz w:val="24"/>
                <w:szCs w:val="24"/>
              </w:rPr>
              <w:t xml:space="preserve"> конкретни политически приоритети и постигане на по-силно въздействие</w:t>
            </w:r>
            <w:r w:rsidRPr="00A41F54">
              <w:rPr>
                <w:rFonts w:ascii="Times New Roman" w:hAnsi="Times New Roman"/>
                <w:noProof/>
                <w:spacing w:val="-4"/>
                <w:sz w:val="24"/>
                <w:szCs w:val="24"/>
              </w:rPr>
              <w:t>, например за да се гарантира, че инвестициите са насочени към онези региони, държави (включително най-слаборазвитите държави и други приоритетни региони/държави според случая), тематични приоритети (например климат, свързаност и др.) или групи (например младежи, жени, мигранти и др.), които са политически приоритет за ЕС.</w:t>
            </w:r>
          </w:p>
        </w:tc>
      </w:tr>
    </w:tbl>
    <w:p w14:paraId="21E90839" w14:textId="77777777" w:rsidR="00E465FF" w:rsidRPr="00CB27E2" w:rsidRDefault="00E465FF" w:rsidP="00C97375">
      <w:pPr>
        <w:spacing w:after="0" w:line="240" w:lineRule="auto"/>
        <w:jc w:val="both"/>
        <w:rPr>
          <w:rFonts w:ascii="Times New Roman" w:hAnsi="Times New Roman" w:cs="Times New Roman"/>
          <w:noProof/>
          <w:color w:val="000000" w:themeColor="text1"/>
          <w:spacing w:val="-2"/>
          <w:sz w:val="24"/>
          <w:szCs w:val="24"/>
        </w:rPr>
      </w:pP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7F474E" w:rsidRPr="00CB27E2" w14:paraId="436A8634" w14:textId="77777777" w:rsidTr="00883A2B">
        <w:tc>
          <w:tcPr>
            <w:tcW w:w="9210" w:type="dxa"/>
            <w:shd w:val="clear" w:color="auto" w:fill="D9D9D9" w:themeFill="background1" w:themeFillShade="D9"/>
          </w:tcPr>
          <w:p w14:paraId="03ED4548" w14:textId="77777777" w:rsidR="007F474E" w:rsidRPr="00CB27E2" w:rsidRDefault="007F474E" w:rsidP="00C97375">
            <w:pPr>
              <w:jc w:val="both"/>
              <w:rPr>
                <w:rFonts w:ascii="Times New Roman" w:hAnsi="Times New Roman" w:cs="Times New Roman"/>
                <w:noProof/>
                <w:color w:val="000000" w:themeColor="text1"/>
                <w:spacing w:val="-2"/>
                <w:sz w:val="24"/>
                <w:szCs w:val="24"/>
                <w:u w:val="single"/>
              </w:rPr>
            </w:pPr>
            <w:r>
              <w:rPr>
                <w:rFonts w:ascii="Times New Roman" w:hAnsi="Times New Roman"/>
                <w:noProof/>
                <w:color w:val="000000" w:themeColor="text1"/>
                <w:sz w:val="24"/>
                <w:szCs w:val="24"/>
                <w:u w:val="single"/>
              </w:rPr>
              <w:t xml:space="preserve">Доклад за </w:t>
            </w:r>
            <w:r>
              <w:rPr>
                <w:rFonts w:ascii="Times New Roman" w:hAnsi="Times New Roman"/>
                <w:bCs/>
                <w:noProof/>
                <w:color w:val="000000" w:themeColor="text1"/>
                <w:sz w:val="24"/>
                <w:szCs w:val="24"/>
                <w:u w:val="single"/>
              </w:rPr>
              <w:t>напредъка</w:t>
            </w:r>
            <w:r>
              <w:rPr>
                <w:rFonts w:ascii="Times New Roman" w:hAnsi="Times New Roman"/>
                <w:noProof/>
                <w:color w:val="000000" w:themeColor="text1"/>
                <w:sz w:val="24"/>
                <w:szCs w:val="24"/>
                <w:u w:val="single"/>
              </w:rPr>
              <w:t xml:space="preserve"> за 2021 г.: </w:t>
            </w:r>
          </w:p>
          <w:p w14:paraId="40879513" w14:textId="77777777" w:rsidR="005935D6" w:rsidRPr="00CB27E2" w:rsidRDefault="005935D6" w:rsidP="005935D6">
            <w:pPr>
              <w:jc w:val="both"/>
              <w:rPr>
                <w:rFonts w:ascii="Times New Roman" w:hAnsi="Times New Roman" w:cs="Times New Roman"/>
                <w:noProof/>
                <w:spacing w:val="-3"/>
                <w:sz w:val="24"/>
              </w:rPr>
            </w:pPr>
            <w:r>
              <w:rPr>
                <w:rFonts w:ascii="Times New Roman" w:hAnsi="Times New Roman"/>
                <w:noProof/>
                <w:sz w:val="24"/>
              </w:rPr>
              <w:t xml:space="preserve">Комисията в сътрудничество с ВП/ЗП: </w:t>
            </w:r>
          </w:p>
          <w:p w14:paraId="2C6EE367" w14:textId="377297E4" w:rsidR="007F474E" w:rsidRPr="00CB27E2" w:rsidRDefault="007F474E" w:rsidP="006607A8">
            <w:pPr>
              <w:pStyle w:val="ListParagraph"/>
              <w:numPr>
                <w:ilvl w:val="0"/>
                <w:numId w:val="6"/>
              </w:numPr>
              <w:jc w:val="both"/>
              <w:rPr>
                <w:rFonts w:ascii="Times New Roman" w:hAnsi="Times New Roman" w:cs="Times New Roman"/>
                <w:noProof/>
                <w:spacing w:val="-3"/>
                <w:sz w:val="24"/>
              </w:rPr>
            </w:pPr>
            <w:r>
              <w:rPr>
                <w:rFonts w:ascii="Times New Roman" w:hAnsi="Times New Roman"/>
                <w:noProof/>
                <w:sz w:val="24"/>
              </w:rPr>
              <w:t>прие и публикува онлайн всички многогодишни индикативни програми (МИП) за над 130 партньорски държави и региони, както и икономическите и инвестиционни планове</w:t>
            </w:r>
            <w:r w:rsidR="0058701C">
              <w:rPr>
                <w:rStyle w:val="FootnoteReference"/>
                <w:rFonts w:ascii="Times New Roman" w:hAnsi="Times New Roman" w:cs="Times New Roman"/>
                <w:noProof/>
                <w:sz w:val="24"/>
              </w:rPr>
              <w:footnoteReference w:id="31"/>
            </w:r>
            <w:r>
              <w:rPr>
                <w:rFonts w:ascii="Times New Roman" w:hAnsi="Times New Roman"/>
                <w:noProof/>
                <w:sz w:val="24"/>
              </w:rPr>
              <w:t>;</w:t>
            </w:r>
          </w:p>
          <w:p w14:paraId="3516B6AB" w14:textId="77777777" w:rsidR="00BC49E1" w:rsidRPr="00CB27E2" w:rsidRDefault="00384871" w:rsidP="00D4136C">
            <w:pPr>
              <w:pStyle w:val="ListParagraph"/>
              <w:numPr>
                <w:ilvl w:val="0"/>
                <w:numId w:val="6"/>
              </w:numPr>
              <w:jc w:val="both"/>
              <w:rPr>
                <w:rFonts w:ascii="Times New Roman" w:hAnsi="Times New Roman" w:cs="Times New Roman"/>
                <w:noProof/>
                <w:color w:val="000000" w:themeColor="text1"/>
                <w:spacing w:val="-2"/>
                <w:sz w:val="24"/>
                <w:szCs w:val="24"/>
              </w:rPr>
            </w:pPr>
            <w:r>
              <w:rPr>
                <w:rFonts w:ascii="Times New Roman" w:hAnsi="Times New Roman"/>
                <w:noProof/>
                <w:sz w:val="24"/>
              </w:rPr>
              <w:t>представи през ноември 2021 г. на Стратегическия съвет на ЕФУР+ стратегически насоки и области на приоритетни инвестиции (инвестиционни прозорци), включително инициативите „Екип Европа“ за използване на гаранциите от ЕФУР+, които ще служат като ръководство за финансовите институции при изготвянето на предложените инвестиционни програми (ПИП)</w:t>
            </w:r>
            <w:r>
              <w:rPr>
                <w:rFonts w:ascii="Times New Roman" w:hAnsi="Times New Roman"/>
                <w:noProof/>
                <w:color w:val="000000" w:themeColor="text1"/>
                <w:sz w:val="24"/>
                <w:szCs w:val="24"/>
              </w:rPr>
              <w:t xml:space="preserve">. </w:t>
            </w:r>
          </w:p>
        </w:tc>
      </w:tr>
    </w:tbl>
    <w:p w14:paraId="68AB48B0" w14:textId="77777777" w:rsidR="007F474E" w:rsidRPr="00CB27E2" w:rsidRDefault="007F474E" w:rsidP="007F474E">
      <w:pPr>
        <w:spacing w:after="0" w:line="240" w:lineRule="auto"/>
        <w:jc w:val="both"/>
        <w:rPr>
          <w:rFonts w:ascii="Times New Roman" w:hAnsi="Times New Roman" w:cs="Times New Roman"/>
          <w:noProof/>
          <w:color w:val="000000" w:themeColor="text1"/>
          <w:spacing w:val="-2"/>
          <w:sz w:val="24"/>
          <w:szCs w:val="24"/>
        </w:rPr>
      </w:pPr>
    </w:p>
    <w:p w14:paraId="0E1072F0" w14:textId="77777777" w:rsidR="005B44B1" w:rsidRPr="00CB27E2" w:rsidRDefault="005B44B1" w:rsidP="00B317DC">
      <w:pPr>
        <w:keepNext/>
        <w:spacing w:after="0" w:line="240" w:lineRule="auto"/>
        <w:jc w:val="both"/>
        <w:rPr>
          <w:rFonts w:ascii="Times New Roman" w:hAnsi="Times New Roman" w:cs="Times New Roman"/>
          <w:b/>
          <w:noProof/>
          <w:color w:val="0070C0"/>
          <w:spacing w:val="-2"/>
          <w:sz w:val="24"/>
        </w:rPr>
      </w:pPr>
      <w:r>
        <w:rPr>
          <w:rFonts w:ascii="Times New Roman" w:hAnsi="Times New Roman"/>
          <w:b/>
          <w:noProof/>
          <w:color w:val="0070C0"/>
          <w:sz w:val="24"/>
        </w:rPr>
        <w:t>Портал за инициативи „Екип Европа“, водещи инициативи и партньорства</w:t>
      </w:r>
    </w:p>
    <w:p w14:paraId="2816235A" w14:textId="77777777" w:rsidR="00B4440F" w:rsidRPr="00CB27E2" w:rsidRDefault="00B4440F" w:rsidP="00B317DC">
      <w:pPr>
        <w:keepNext/>
        <w:spacing w:after="0" w:line="240" w:lineRule="auto"/>
        <w:jc w:val="both"/>
        <w:rPr>
          <w:rFonts w:ascii="Times New Roman" w:hAnsi="Times New Roman" w:cs="Times New Roman"/>
          <w:b/>
          <w:noProof/>
          <w:spacing w:val="-2"/>
          <w:sz w:val="24"/>
        </w:rPr>
      </w:pPr>
    </w:p>
    <w:p w14:paraId="7456F614" w14:textId="47323681" w:rsidR="00DF7615" w:rsidRPr="006C2D11" w:rsidRDefault="00DF7615" w:rsidP="00337E78">
      <w:pPr>
        <w:spacing w:after="0" w:line="240" w:lineRule="auto"/>
        <w:jc w:val="both"/>
        <w:rPr>
          <w:rFonts w:ascii="Times New Roman" w:eastAsia="Calibri" w:hAnsi="Times New Roman" w:cs="Times New Roman"/>
          <w:noProof/>
          <w:spacing w:val="-12"/>
          <w:sz w:val="24"/>
          <w:szCs w:val="24"/>
        </w:rPr>
      </w:pPr>
      <w:r w:rsidRPr="006C2D11">
        <w:rPr>
          <w:rFonts w:ascii="Times New Roman" w:hAnsi="Times New Roman"/>
          <w:b/>
          <w:bCs/>
          <w:noProof/>
          <w:spacing w:val="-12"/>
          <w:sz w:val="24"/>
          <w:szCs w:val="24"/>
        </w:rPr>
        <w:t>Засилената координация на европейско равнище</w:t>
      </w:r>
      <w:r w:rsidRPr="006C2D11">
        <w:rPr>
          <w:rFonts w:ascii="Times New Roman" w:hAnsi="Times New Roman"/>
          <w:bCs/>
          <w:noProof/>
          <w:spacing w:val="-12"/>
          <w:sz w:val="24"/>
          <w:szCs w:val="24"/>
        </w:rPr>
        <w:t>, която е от съществено значение за</w:t>
      </w:r>
      <w:r w:rsidRPr="006C2D11">
        <w:rPr>
          <w:rFonts w:ascii="Times New Roman" w:hAnsi="Times New Roman"/>
          <w:b/>
          <w:bCs/>
          <w:noProof/>
          <w:spacing w:val="-12"/>
          <w:sz w:val="24"/>
          <w:szCs w:val="24"/>
        </w:rPr>
        <w:t xml:space="preserve"> </w:t>
      </w:r>
      <w:r w:rsidRPr="006C2D11">
        <w:rPr>
          <w:rFonts w:ascii="Times New Roman" w:hAnsi="Times New Roman"/>
          <w:noProof/>
          <w:spacing w:val="-12"/>
          <w:sz w:val="24"/>
          <w:szCs w:val="24"/>
        </w:rPr>
        <w:t xml:space="preserve">осигуряването на по-добри полезни взаимодействия и ефективност, ще бъде насърчавана чрез </w:t>
      </w:r>
      <w:r w:rsidRPr="006C2D11">
        <w:rPr>
          <w:rFonts w:ascii="Times New Roman" w:hAnsi="Times New Roman"/>
          <w:b/>
          <w:noProof/>
          <w:spacing w:val="-12"/>
          <w:sz w:val="24"/>
          <w:szCs w:val="24"/>
        </w:rPr>
        <w:t>съвместно програмиране и съвместно изпълнение</w:t>
      </w:r>
      <w:r w:rsidRPr="006C2D11">
        <w:rPr>
          <w:rFonts w:ascii="Times New Roman" w:hAnsi="Times New Roman"/>
          <w:noProof/>
          <w:spacing w:val="-12"/>
          <w:sz w:val="24"/>
          <w:szCs w:val="24"/>
        </w:rPr>
        <w:t xml:space="preserve">. Активната координация между държавите членки и техните ФИР следва също така да надхвърля използването на средства от ЕС и да се осъществява систематично, включително когато се използват собствените им ресурси. </w:t>
      </w:r>
      <w:r w:rsidRPr="006C2D11">
        <w:rPr>
          <w:rFonts w:ascii="Times New Roman" w:hAnsi="Times New Roman"/>
          <w:b/>
          <w:noProof/>
          <w:spacing w:val="-12"/>
          <w:sz w:val="24"/>
          <w:szCs w:val="24"/>
        </w:rPr>
        <w:t>Програмирането</w:t>
      </w:r>
      <w:r w:rsidRPr="006C2D11">
        <w:rPr>
          <w:rStyle w:val="FootnoteReference"/>
          <w:rFonts w:ascii="Times New Roman" w:hAnsi="Times New Roman" w:cs="Times New Roman"/>
          <w:b/>
          <w:bCs/>
          <w:noProof/>
          <w:spacing w:val="-12"/>
          <w:sz w:val="24"/>
          <w:szCs w:val="24"/>
        </w:rPr>
        <w:footnoteReference w:id="32"/>
      </w:r>
      <w:r w:rsidRPr="006C2D11">
        <w:rPr>
          <w:rStyle w:val="FootnoteReference"/>
          <w:rFonts w:ascii="Times New Roman" w:hAnsi="Times New Roman" w:cs="Times New Roman"/>
          <w:b/>
          <w:bCs/>
          <w:noProof/>
          <w:spacing w:val="-12"/>
          <w:sz w:val="24"/>
          <w:szCs w:val="24"/>
        </w:rPr>
        <w:t xml:space="preserve"> </w:t>
      </w:r>
      <w:r w:rsidRPr="006C2D11">
        <w:rPr>
          <w:rFonts w:ascii="Times New Roman" w:hAnsi="Times New Roman"/>
          <w:noProof/>
          <w:spacing w:val="-12"/>
          <w:sz w:val="24"/>
          <w:szCs w:val="24"/>
        </w:rPr>
        <w:t xml:space="preserve">на национално и регионално равнище включва също така подкрепа за </w:t>
      </w:r>
      <w:r w:rsidRPr="006C2D11">
        <w:rPr>
          <w:rFonts w:ascii="Times New Roman" w:hAnsi="Times New Roman"/>
          <w:b/>
          <w:bCs/>
          <w:noProof/>
          <w:spacing w:val="-12"/>
          <w:sz w:val="24"/>
          <w:szCs w:val="24"/>
        </w:rPr>
        <w:t xml:space="preserve">инициативите „Екип Европа“ (ИЕЕ) и за водещите инициативи </w:t>
      </w:r>
      <w:r w:rsidRPr="006C2D11">
        <w:rPr>
          <w:rFonts w:ascii="Times New Roman" w:hAnsi="Times New Roman"/>
          <w:noProof/>
          <w:spacing w:val="-12"/>
          <w:sz w:val="24"/>
          <w:szCs w:val="24"/>
        </w:rPr>
        <w:t xml:space="preserve">(съгласно икономическите и инвестиционни планове, Global Gateway и пакета за инвестиции „Африка — Европа“), в рамките на които институциите на ЕС, държавите членки и европейските финансови институции работят заедно с цел постигане на системна промяна в съответствие с принципа „политиката на първо място“ и стратегическите цели и ценности на ЕС. ИЕЕ свързват действията на ЕС и държавите членки за програмиране с финансовия им принос посредством координиран и стратегически подход на място. В рамките на съвместно договорени приоритети на политиката в конкретни държави и региони по света ИЕЕ насърчават предприемането на координирани действия с трансформиращо въздействие в партньорските държави/региони, като се използват комбинирани ресурси от всички участници. ИЕЕ са изцяло интегрирани в документи на ЕС за програмиране, като съществена част от многогодишните бюджети са предназначени за тях. </w:t>
      </w:r>
    </w:p>
    <w:p w14:paraId="472B5AEC" w14:textId="77777777" w:rsidR="003C54DD" w:rsidRPr="00CB27E2" w:rsidRDefault="003C54DD" w:rsidP="00C97375">
      <w:pPr>
        <w:spacing w:after="0" w:line="240" w:lineRule="auto"/>
        <w:jc w:val="both"/>
        <w:rPr>
          <w:rFonts w:ascii="Times New Roman" w:eastAsia="Calibri" w:hAnsi="Times New Roman" w:cs="Times New Roman"/>
          <w:noProof/>
          <w:sz w:val="24"/>
          <w:szCs w:val="24"/>
        </w:rPr>
      </w:pPr>
    </w:p>
    <w:p w14:paraId="654BDABC" w14:textId="77777777" w:rsidR="00E3520A" w:rsidRPr="006C2D11" w:rsidRDefault="00E3520A" w:rsidP="00C97375">
      <w:pPr>
        <w:spacing w:after="0" w:line="240" w:lineRule="auto"/>
        <w:jc w:val="both"/>
        <w:rPr>
          <w:rFonts w:ascii="Times New Roman" w:hAnsi="Times New Roman" w:cs="Times New Roman"/>
          <w:noProof/>
          <w:spacing w:val="-4"/>
          <w:sz w:val="24"/>
          <w:szCs w:val="24"/>
        </w:rPr>
      </w:pPr>
      <w:r w:rsidRPr="006C2D11">
        <w:rPr>
          <w:rFonts w:ascii="Times New Roman" w:hAnsi="Times New Roman"/>
          <w:noProof/>
          <w:spacing w:val="-4"/>
          <w:sz w:val="24"/>
          <w:szCs w:val="24"/>
        </w:rPr>
        <w:t xml:space="preserve">В съответствие с този подход и що се отнася до съседните на ЕС държави и Западните Балкани, икономическите и инвестиционни планове за всеки регион, разработени след интензивни консултации с партньорските държави и държавите членки, задават основните цели и </w:t>
      </w:r>
      <w:r w:rsidRPr="006C2D11">
        <w:rPr>
          <w:rFonts w:ascii="Times New Roman" w:hAnsi="Times New Roman"/>
          <w:b/>
          <w:noProof/>
          <w:spacing w:val="-4"/>
          <w:sz w:val="24"/>
          <w:szCs w:val="24"/>
        </w:rPr>
        <w:t>водещите инициативи</w:t>
      </w:r>
      <w:r w:rsidRPr="006C2D11">
        <w:rPr>
          <w:rFonts w:ascii="Times New Roman" w:hAnsi="Times New Roman"/>
          <w:noProof/>
          <w:spacing w:val="-4"/>
          <w:sz w:val="24"/>
          <w:szCs w:val="24"/>
        </w:rPr>
        <w:t xml:space="preserve"> с оглед постигане на максимално въздействие в региона. Те са изцяло интегрирани в двустранните и регионалните документи за програмиране за съседните на ЕС държави и в рамката за програмиране по ИПП III.</w:t>
      </w:r>
    </w:p>
    <w:p w14:paraId="2A1357AF" w14:textId="77777777" w:rsidR="00804F02" w:rsidRPr="00CB27E2" w:rsidRDefault="00804F02" w:rsidP="00C97375">
      <w:pPr>
        <w:spacing w:after="0" w:line="240" w:lineRule="auto"/>
        <w:jc w:val="both"/>
        <w:rPr>
          <w:rFonts w:ascii="Times New Roman" w:eastAsia="Calibri" w:hAnsi="Times New Roman" w:cs="Times New Roman"/>
          <w:noProof/>
          <w:spacing w:val="-2"/>
          <w:sz w:val="24"/>
          <w:szCs w:val="24"/>
        </w:rPr>
      </w:pPr>
    </w:p>
    <w:p w14:paraId="431791F1" w14:textId="77777777" w:rsidR="00A70C88" w:rsidRPr="00CB27E2" w:rsidRDefault="00292C6C" w:rsidP="00A70C88">
      <w:pPr>
        <w:spacing w:after="0" w:line="240" w:lineRule="auto"/>
        <w:jc w:val="both"/>
        <w:rPr>
          <w:rStyle w:val="xnormaltextrun"/>
          <w:rFonts w:ascii="Times New Roman" w:hAnsi="Times New Roman" w:cs="Times New Roman"/>
          <w:noProof/>
          <w:color w:val="000000"/>
          <w:sz w:val="24"/>
          <w:szCs w:val="24"/>
          <w:bdr w:val="none" w:sz="0" w:space="0" w:color="auto" w:frame="1"/>
        </w:rPr>
      </w:pPr>
      <w:r>
        <w:rPr>
          <w:rStyle w:val="xnormaltextrun"/>
          <w:rFonts w:ascii="Times New Roman" w:hAnsi="Times New Roman"/>
          <w:noProof/>
          <w:color w:val="000000"/>
          <w:sz w:val="24"/>
          <w:szCs w:val="24"/>
          <w:bdr w:val="none" w:sz="0" w:space="0" w:color="auto" w:frame="1"/>
        </w:rPr>
        <w:t xml:space="preserve">ИССРМС — Глобална Европа формулира принципа за </w:t>
      </w:r>
      <w:r>
        <w:rPr>
          <w:rStyle w:val="xnormaltextrun"/>
          <w:rFonts w:ascii="Times New Roman" w:hAnsi="Times New Roman"/>
          <w:b/>
          <w:bCs/>
          <w:noProof/>
          <w:color w:val="000000"/>
          <w:sz w:val="24"/>
          <w:szCs w:val="24"/>
          <w:bdr w:val="none" w:sz="0" w:space="0" w:color="auto" w:frame="1"/>
        </w:rPr>
        <w:t>открита и основана на сътрудничеството финансова архитектура</w:t>
      </w:r>
      <w:r>
        <w:rPr>
          <w:rStyle w:val="xnormaltextrun"/>
          <w:rFonts w:ascii="Times New Roman" w:hAnsi="Times New Roman"/>
          <w:b/>
          <w:noProof/>
          <w:color w:val="000000"/>
          <w:sz w:val="24"/>
          <w:szCs w:val="24"/>
          <w:bdr w:val="none" w:sz="0" w:space="0" w:color="auto" w:frame="1"/>
        </w:rPr>
        <w:t xml:space="preserve"> за развитие. </w:t>
      </w:r>
      <w:r>
        <w:rPr>
          <w:rStyle w:val="xnormaltextrun"/>
          <w:rFonts w:ascii="Times New Roman" w:hAnsi="Times New Roman"/>
          <w:noProof/>
          <w:color w:val="000000"/>
          <w:sz w:val="24"/>
          <w:szCs w:val="24"/>
          <w:bdr w:val="none" w:sz="0" w:space="0" w:color="auto" w:frame="1"/>
        </w:rPr>
        <w:t xml:space="preserve">Комисията ще се възползва от дългогодишния опит на подходящите финансови институции в областта на развитието на държавите членки, за да гарантира оптималното използване на техните широки секторни и географски експертни познания. </w:t>
      </w:r>
    </w:p>
    <w:p w14:paraId="7A469B52" w14:textId="77777777" w:rsidR="00C80AA3" w:rsidRPr="00CB27E2" w:rsidRDefault="00C80AA3" w:rsidP="00C97375">
      <w:pPr>
        <w:spacing w:after="0" w:line="240" w:lineRule="auto"/>
        <w:jc w:val="both"/>
        <w:rPr>
          <w:rFonts w:ascii="Times New Roman" w:eastAsia="Calibri" w:hAnsi="Times New Roman" w:cs="Times New Roman"/>
          <w:noProof/>
          <w:spacing w:val="-2"/>
          <w:sz w:val="24"/>
          <w:szCs w:val="24"/>
        </w:rPr>
      </w:pPr>
    </w:p>
    <w:p w14:paraId="01C191A7" w14:textId="77777777" w:rsidR="00A64230" w:rsidRPr="00CB27E2" w:rsidRDefault="00A64230" w:rsidP="00A64230">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В допълнение към инструментите за институционално изграждане, които дават възможност за обмен на знания между държавните администрации в рамките на програми като TAIEX или туининг, Комисията ще продължава да подкрепя започването на партньорства. </w:t>
      </w:r>
    </w:p>
    <w:p w14:paraId="79FD66B1" w14:textId="77777777" w:rsidR="00A64230" w:rsidRPr="00CB27E2" w:rsidRDefault="00A64230" w:rsidP="00C97375">
      <w:pPr>
        <w:spacing w:after="0" w:line="240" w:lineRule="auto"/>
        <w:jc w:val="both"/>
        <w:rPr>
          <w:rFonts w:ascii="Times New Roman" w:eastAsia="Calibri" w:hAnsi="Times New Roman" w:cs="Times New Roman"/>
          <w:noProof/>
          <w:spacing w:val="-2"/>
          <w:sz w:val="24"/>
          <w:szCs w:val="24"/>
        </w:rPr>
      </w:pPr>
    </w:p>
    <w:tbl>
      <w:tblPr>
        <w:tblStyle w:val="TableGrid"/>
        <w:tblW w:w="0" w:type="auto"/>
        <w:shd w:val="clear" w:color="auto" w:fill="DEEAF6" w:themeFill="accent1" w:themeFillTint="33"/>
        <w:tblLook w:val="04A0" w:firstRow="1" w:lastRow="0" w:firstColumn="1" w:lastColumn="0" w:noHBand="0" w:noVBand="1"/>
      </w:tblPr>
      <w:tblGrid>
        <w:gridCol w:w="9210"/>
      </w:tblGrid>
      <w:tr w:rsidR="007729D5" w:rsidRPr="00CB27E2" w14:paraId="4F16A77B" w14:textId="77777777" w:rsidTr="007729D5">
        <w:tc>
          <w:tcPr>
            <w:tcW w:w="9210" w:type="dxa"/>
            <w:shd w:val="clear" w:color="auto" w:fill="DEEAF6" w:themeFill="accent1" w:themeFillTint="33"/>
          </w:tcPr>
          <w:p w14:paraId="095988E5" w14:textId="77777777" w:rsidR="007729D5" w:rsidRPr="00CB27E2" w:rsidRDefault="007729D5" w:rsidP="00B938FD">
            <w:pPr>
              <w:jc w:val="both"/>
              <w:rPr>
                <w:rFonts w:ascii="Times New Roman" w:hAnsi="Times New Roman" w:cs="Times New Roman"/>
                <w:noProof/>
                <w:color w:val="000000" w:themeColor="text1"/>
                <w:spacing w:val="-2"/>
                <w:sz w:val="24"/>
                <w:szCs w:val="24"/>
                <w:u w:val="single"/>
              </w:rPr>
            </w:pPr>
            <w:r>
              <w:rPr>
                <w:rFonts w:ascii="Times New Roman" w:hAnsi="Times New Roman"/>
                <w:bCs/>
                <w:noProof/>
                <w:color w:val="000000" w:themeColor="text1"/>
                <w:sz w:val="24"/>
                <w:szCs w:val="24"/>
                <w:u w:val="single"/>
              </w:rPr>
              <w:t>Пътна карта</w:t>
            </w:r>
            <w:r>
              <w:rPr>
                <w:rFonts w:ascii="Times New Roman" w:hAnsi="Times New Roman"/>
                <w:noProof/>
                <w:color w:val="000000" w:themeColor="text1"/>
                <w:sz w:val="24"/>
                <w:szCs w:val="24"/>
                <w:u w:val="single"/>
              </w:rPr>
              <w:t xml:space="preserve">: </w:t>
            </w:r>
          </w:p>
          <w:p w14:paraId="4AE575A8" w14:textId="77777777" w:rsidR="007729D5" w:rsidRPr="00CB27E2" w:rsidRDefault="007729D5" w:rsidP="007729D5">
            <w:pPr>
              <w:keepNext/>
              <w:jc w:val="both"/>
              <w:rPr>
                <w:rFonts w:ascii="Times New Roman" w:hAnsi="Times New Roman" w:cs="Times New Roman"/>
                <w:noProof/>
                <w:sz w:val="24"/>
                <w:szCs w:val="24"/>
              </w:rPr>
            </w:pPr>
            <w:r>
              <w:rPr>
                <w:rFonts w:ascii="Times New Roman" w:hAnsi="Times New Roman"/>
                <w:noProof/>
                <w:sz w:val="24"/>
                <w:szCs w:val="24"/>
              </w:rPr>
              <w:t xml:space="preserve">Комисията в сътрудничество с ВП/ЗП ще: </w:t>
            </w:r>
          </w:p>
          <w:p w14:paraId="5FDF9E46" w14:textId="6D7E34CC" w:rsidR="007729D5" w:rsidRPr="00CB27E2" w:rsidRDefault="007729D5" w:rsidP="007729D5">
            <w:pPr>
              <w:pStyle w:val="ListParagraph"/>
              <w:numPr>
                <w:ilvl w:val="0"/>
                <w:numId w:val="6"/>
              </w:numPr>
              <w:jc w:val="both"/>
              <w:rPr>
                <w:rFonts w:ascii="Times New Roman" w:hAnsi="Times New Roman" w:cs="Times New Roman"/>
                <w:noProof/>
                <w:sz w:val="24"/>
                <w:szCs w:val="24"/>
              </w:rPr>
            </w:pPr>
            <w:r>
              <w:rPr>
                <w:rFonts w:ascii="Times New Roman" w:hAnsi="Times New Roman"/>
                <w:bCs/>
                <w:noProof/>
                <w:sz w:val="24"/>
                <w:szCs w:val="24"/>
              </w:rPr>
              <w:t>поощрява водещи инициативи, инициативите „Екип Европа“ или предложения, основани на подхода „Екип Европа“ (в това число напр. консорциуми или инвестиционни платформи);</w:t>
            </w:r>
          </w:p>
          <w:p w14:paraId="20C7C104" w14:textId="77777777" w:rsidR="007729D5" w:rsidRPr="00CB27E2" w:rsidRDefault="007729D5" w:rsidP="007729D5">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проучва възможностите за въвеждане на стимули в рамките на ЕФУР+ за насърчаване на съвместни предложения, представени от няколко финансови институции, които имат общ интерес да постигнат поставените цели на политиката, по-специално такива от по-малък мащаб, нови участници или такива, за които не се извършва оценка по стълбове (стига за водещата институция да е извършена оценка по стълбове);</w:t>
            </w:r>
          </w:p>
          <w:p w14:paraId="2A448B46" w14:textId="77777777" w:rsidR="007729D5" w:rsidRPr="00CB27E2" w:rsidRDefault="007729D5" w:rsidP="007729D5">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укрепва инструментите за институционално изграждане в рамките на TAIEX и туининг с оглед на това да се ускори изграждането на капацитет в ключови области на реформи и привеждане в съответствие;</w:t>
            </w:r>
          </w:p>
          <w:p w14:paraId="229FC796" w14:textId="77777777" w:rsidR="007729D5" w:rsidRPr="00CB27E2" w:rsidRDefault="007729D5" w:rsidP="007729D5">
            <w:pPr>
              <w:pStyle w:val="ListParagraph"/>
              <w:numPr>
                <w:ilvl w:val="0"/>
                <w:numId w:val="6"/>
              </w:numPr>
              <w:jc w:val="both"/>
              <w:rPr>
                <w:rFonts w:ascii="Times New Roman" w:hAnsi="Times New Roman" w:cs="Times New Roman"/>
                <w:noProof/>
                <w:sz w:val="24"/>
              </w:rPr>
            </w:pPr>
            <w:r>
              <w:rPr>
                <w:rFonts w:ascii="Times New Roman" w:hAnsi="Times New Roman"/>
                <w:noProof/>
                <w:sz w:val="24"/>
              </w:rPr>
              <w:t>осигурява по-голяма прозрачност на инициативите „Екип Европа“;</w:t>
            </w:r>
          </w:p>
          <w:p w14:paraId="66B88016" w14:textId="333B1F25" w:rsidR="007729D5" w:rsidRPr="00CB27E2" w:rsidRDefault="007729D5" w:rsidP="00F924A5">
            <w:pPr>
              <w:pStyle w:val="ListParagraph"/>
              <w:keepLines/>
              <w:numPr>
                <w:ilvl w:val="0"/>
                <w:numId w:val="6"/>
              </w:numPr>
              <w:spacing w:after="120"/>
              <w:ind w:left="714" w:hanging="357"/>
              <w:jc w:val="both"/>
              <w:rPr>
                <w:rFonts w:ascii="Times New Roman" w:hAnsi="Times New Roman" w:cs="Times New Roman"/>
                <w:noProof/>
                <w:color w:val="000000" w:themeColor="text1"/>
                <w:spacing w:val="-2"/>
                <w:sz w:val="24"/>
                <w:szCs w:val="24"/>
              </w:rPr>
            </w:pPr>
            <w:r>
              <w:rPr>
                <w:rFonts w:ascii="Times New Roman" w:hAnsi="Times New Roman"/>
                <w:noProof/>
                <w:sz w:val="24"/>
                <w:szCs w:val="24"/>
              </w:rPr>
              <w:t xml:space="preserve">стартира </w:t>
            </w:r>
            <w:r>
              <w:rPr>
                <w:rFonts w:ascii="Times New Roman" w:hAnsi="Times New Roman"/>
                <w:bCs/>
                <w:noProof/>
                <w:sz w:val="24"/>
                <w:szCs w:val="24"/>
              </w:rPr>
              <w:t>портал за партньорства</w:t>
            </w:r>
            <w:r>
              <w:rPr>
                <w:noProof/>
              </w:rPr>
              <w:t xml:space="preserve"> </w:t>
            </w:r>
            <w:r>
              <w:rPr>
                <w:rFonts w:ascii="Times New Roman" w:hAnsi="Times New Roman"/>
                <w:noProof/>
                <w:sz w:val="24"/>
                <w:szCs w:val="24"/>
              </w:rPr>
              <w:t>през 2022 г., за да улесни постигането на съответствие между търсенето от страна на партньорските държави и предлагането на помощ от страна на европейските участници.</w:t>
            </w:r>
          </w:p>
        </w:tc>
      </w:tr>
    </w:tbl>
    <w:p w14:paraId="3323EB35" w14:textId="77777777" w:rsidR="00756A3D" w:rsidRPr="00CB27E2" w:rsidRDefault="00756A3D" w:rsidP="00C97375">
      <w:pPr>
        <w:spacing w:after="0" w:line="240" w:lineRule="auto"/>
        <w:jc w:val="both"/>
        <w:rPr>
          <w:rFonts w:ascii="Times New Roman" w:hAnsi="Times New Roman" w:cs="Times New Roman"/>
          <w:noProof/>
          <w:sz w:val="24"/>
          <w:szCs w:val="24"/>
        </w:rPr>
      </w:pP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EF68FE" w:rsidRPr="00CB27E2" w14:paraId="513D86EF" w14:textId="77777777" w:rsidTr="00AF0F49">
        <w:tc>
          <w:tcPr>
            <w:tcW w:w="9210" w:type="dxa"/>
            <w:shd w:val="clear" w:color="auto" w:fill="D9D9D9" w:themeFill="background1" w:themeFillShade="D9"/>
          </w:tcPr>
          <w:p w14:paraId="04031BB6" w14:textId="77777777" w:rsidR="00EF68FE" w:rsidRPr="00CB27E2" w:rsidRDefault="00EF68FE" w:rsidP="00AF0F49">
            <w:pPr>
              <w:jc w:val="both"/>
              <w:rPr>
                <w:rFonts w:ascii="Times New Roman" w:hAnsi="Times New Roman" w:cs="Times New Roman"/>
                <w:noProof/>
                <w:color w:val="000000" w:themeColor="text1"/>
                <w:spacing w:val="-2"/>
                <w:sz w:val="24"/>
                <w:szCs w:val="24"/>
                <w:u w:val="single"/>
              </w:rPr>
            </w:pPr>
            <w:r>
              <w:rPr>
                <w:rFonts w:ascii="Times New Roman" w:hAnsi="Times New Roman"/>
                <w:bCs/>
                <w:noProof/>
                <w:color w:val="000000" w:themeColor="text1"/>
                <w:sz w:val="24"/>
                <w:szCs w:val="24"/>
                <w:u w:val="single"/>
              </w:rPr>
              <w:t>Доклад</w:t>
            </w:r>
            <w:r>
              <w:rPr>
                <w:rFonts w:ascii="Times New Roman" w:hAnsi="Times New Roman"/>
                <w:noProof/>
                <w:color w:val="000000" w:themeColor="text1"/>
                <w:sz w:val="24"/>
                <w:szCs w:val="24"/>
                <w:u w:val="single"/>
              </w:rPr>
              <w:t xml:space="preserve"> за напредъка за 2021 г.: </w:t>
            </w:r>
          </w:p>
          <w:p w14:paraId="064AC53A" w14:textId="77777777" w:rsidR="00EF68FE" w:rsidRPr="00CB27E2" w:rsidRDefault="00EF68FE" w:rsidP="00AF0F49">
            <w:pPr>
              <w:jc w:val="both"/>
              <w:rPr>
                <w:rFonts w:ascii="Times New Roman" w:hAnsi="Times New Roman" w:cs="Times New Roman"/>
                <w:noProof/>
                <w:spacing w:val="-3"/>
                <w:sz w:val="24"/>
              </w:rPr>
            </w:pPr>
            <w:r>
              <w:rPr>
                <w:rFonts w:ascii="Times New Roman" w:hAnsi="Times New Roman"/>
                <w:noProof/>
                <w:sz w:val="24"/>
              </w:rPr>
              <w:t xml:space="preserve">Комисията: </w:t>
            </w:r>
          </w:p>
          <w:p w14:paraId="7D7CE6B5" w14:textId="5CA81780" w:rsidR="00EF68FE" w:rsidRPr="00CB27E2" w:rsidRDefault="00EF68FE" w:rsidP="006607A8">
            <w:pPr>
              <w:pStyle w:val="ListParagraph"/>
              <w:numPr>
                <w:ilvl w:val="0"/>
                <w:numId w:val="6"/>
              </w:numPr>
              <w:jc w:val="both"/>
              <w:rPr>
                <w:rFonts w:ascii="Times New Roman" w:hAnsi="Times New Roman" w:cs="Times New Roman"/>
                <w:noProof/>
                <w:color w:val="000000" w:themeColor="text1"/>
                <w:spacing w:val="-2"/>
                <w:sz w:val="24"/>
                <w:szCs w:val="24"/>
              </w:rPr>
            </w:pPr>
            <w:r>
              <w:rPr>
                <w:rFonts w:ascii="Times New Roman" w:hAnsi="Times New Roman"/>
                <w:noProof/>
                <w:color w:val="000000" w:themeColor="text1"/>
                <w:sz w:val="24"/>
                <w:szCs w:val="24"/>
              </w:rPr>
              <w:t>започна разработването на множество инициативи „Екип Европа“ на национално, регионално и глобално равнище заедно с държавите членки, техните финансови институции в областта на развитието, ЕБВР и ЕИБ;</w:t>
            </w:r>
          </w:p>
          <w:p w14:paraId="3BABA723" w14:textId="44DD89AC" w:rsidR="00EF68FE" w:rsidRPr="00CB27E2" w:rsidRDefault="00EF68FE" w:rsidP="006607A8">
            <w:pPr>
              <w:pStyle w:val="ListParagraph"/>
              <w:numPr>
                <w:ilvl w:val="0"/>
                <w:numId w:val="6"/>
              </w:numPr>
              <w:jc w:val="both"/>
              <w:rPr>
                <w:rFonts w:ascii="Times New Roman" w:hAnsi="Times New Roman" w:cs="Times New Roman"/>
                <w:noProof/>
                <w:color w:val="000000" w:themeColor="text1"/>
                <w:spacing w:val="-2"/>
                <w:sz w:val="24"/>
                <w:szCs w:val="24"/>
              </w:rPr>
            </w:pPr>
            <w:r>
              <w:rPr>
                <w:rFonts w:ascii="Times New Roman" w:hAnsi="Times New Roman"/>
                <w:noProof/>
                <w:sz w:val="24"/>
                <w:szCs w:val="24"/>
              </w:rPr>
              <w:t>извърши подбор заедно с държавите членки на водещите инициативи, представени като част от Global Gateway и пакета за инвестиции „Африка — Европа“;</w:t>
            </w:r>
          </w:p>
          <w:p w14:paraId="4337CD72" w14:textId="77777777" w:rsidR="00EF68FE" w:rsidRPr="00CB27E2" w:rsidRDefault="005F2396" w:rsidP="006607A8">
            <w:pPr>
              <w:pStyle w:val="ListParagraph"/>
              <w:numPr>
                <w:ilvl w:val="0"/>
                <w:numId w:val="6"/>
              </w:numPr>
              <w:jc w:val="both"/>
              <w:rPr>
                <w:rFonts w:ascii="Times New Roman" w:hAnsi="Times New Roman" w:cs="Times New Roman"/>
                <w:noProof/>
                <w:color w:val="000000" w:themeColor="text1"/>
                <w:spacing w:val="-2"/>
                <w:sz w:val="24"/>
                <w:szCs w:val="24"/>
              </w:rPr>
            </w:pPr>
            <w:r>
              <w:rPr>
                <w:rFonts w:ascii="Times New Roman" w:hAnsi="Times New Roman"/>
                <w:noProof/>
                <w:color w:val="000000" w:themeColor="text1"/>
                <w:sz w:val="24"/>
                <w:szCs w:val="24"/>
              </w:rPr>
              <w:t xml:space="preserve">заедно с държавите членки започна да разработва </w:t>
            </w:r>
            <w:hyperlink r:id="rId20" w:history="1">
              <w:r>
                <w:rPr>
                  <w:rStyle w:val="Hyperlink"/>
                  <w:rFonts w:ascii="Times New Roman" w:hAnsi="Times New Roman"/>
                  <w:noProof/>
                  <w:sz w:val="24"/>
                  <w:szCs w:val="24"/>
                </w:rPr>
                <w:t>съвместен механизъм за мониторинг и докладване</w:t>
              </w:r>
            </w:hyperlink>
            <w:r>
              <w:rPr>
                <w:rFonts w:ascii="Times New Roman" w:hAnsi="Times New Roman"/>
                <w:noProof/>
                <w:color w:val="000000" w:themeColor="text1"/>
                <w:sz w:val="24"/>
                <w:szCs w:val="24"/>
              </w:rPr>
              <w:t xml:space="preserve"> на финансовото участие и резултатите от инициативите „Екип Европа“;</w:t>
            </w:r>
          </w:p>
          <w:p w14:paraId="4ED15F30" w14:textId="49E3424D" w:rsidR="00EF68FE" w:rsidRPr="00CB27E2" w:rsidRDefault="00EF68FE" w:rsidP="008D7932">
            <w:pPr>
              <w:pStyle w:val="ListParagraph"/>
              <w:numPr>
                <w:ilvl w:val="0"/>
                <w:numId w:val="6"/>
              </w:numPr>
              <w:spacing w:after="120"/>
              <w:jc w:val="both"/>
              <w:rPr>
                <w:rFonts w:ascii="Times New Roman" w:hAnsi="Times New Roman" w:cs="Times New Roman"/>
                <w:noProof/>
                <w:color w:val="000000" w:themeColor="text1"/>
                <w:spacing w:val="-2"/>
                <w:sz w:val="24"/>
                <w:szCs w:val="24"/>
              </w:rPr>
            </w:pPr>
            <w:r>
              <w:rPr>
                <w:rFonts w:ascii="Times New Roman" w:hAnsi="Times New Roman"/>
                <w:noProof/>
                <w:sz w:val="24"/>
                <w:szCs w:val="24"/>
              </w:rPr>
              <w:t>създаде прототип на портал за партньорства, който предоставя информация от ключово значение за стоките и услугите, предлагани от доставчици от ЕС и от държавите членки, действащи в рамките на подхода „Екип Европа“. Порталът ще започне да функционира от април 2022 г.</w:t>
            </w:r>
          </w:p>
        </w:tc>
      </w:tr>
    </w:tbl>
    <w:p w14:paraId="406E5824" w14:textId="77777777" w:rsidR="00E5284A" w:rsidRPr="00F47A86" w:rsidRDefault="00E5284A" w:rsidP="00533E2F">
      <w:pPr>
        <w:spacing w:after="0" w:line="240" w:lineRule="auto"/>
        <w:jc w:val="both"/>
        <w:rPr>
          <w:rFonts w:ascii="Times New Roman" w:hAnsi="Times New Roman" w:cs="Times New Roman"/>
          <w:b/>
          <w:noProof/>
          <w:spacing w:val="-2"/>
          <w:sz w:val="24"/>
        </w:rPr>
      </w:pPr>
    </w:p>
    <w:p w14:paraId="64382455" w14:textId="77777777" w:rsidR="00533E2F" w:rsidRPr="00CB27E2" w:rsidRDefault="00304D31" w:rsidP="00043CAD">
      <w:pPr>
        <w:keepNext/>
        <w:spacing w:after="0" w:line="240" w:lineRule="auto"/>
        <w:jc w:val="both"/>
        <w:rPr>
          <w:rFonts w:ascii="Times New Roman" w:hAnsi="Times New Roman" w:cs="Times New Roman"/>
          <w:noProof/>
          <w:color w:val="0070C0"/>
          <w:sz w:val="24"/>
          <w:szCs w:val="24"/>
        </w:rPr>
      </w:pPr>
      <w:r>
        <w:rPr>
          <w:rFonts w:ascii="Times New Roman" w:hAnsi="Times New Roman"/>
          <w:b/>
          <w:noProof/>
          <w:color w:val="0070C0"/>
          <w:sz w:val="24"/>
        </w:rPr>
        <w:t xml:space="preserve">Към по-голяма мобилизация на инвестициите от частния сектор </w:t>
      </w:r>
    </w:p>
    <w:p w14:paraId="58D6C71D" w14:textId="77777777" w:rsidR="00533E2F" w:rsidRPr="00CB27E2" w:rsidRDefault="00533E2F" w:rsidP="00043CAD">
      <w:pPr>
        <w:keepNext/>
        <w:spacing w:after="0" w:line="240" w:lineRule="auto"/>
        <w:jc w:val="both"/>
        <w:rPr>
          <w:rStyle w:val="xnormaltextrun"/>
          <w:rFonts w:ascii="Times New Roman" w:hAnsi="Times New Roman" w:cs="Times New Roman"/>
          <w:noProof/>
          <w:bdr w:val="none" w:sz="0" w:space="0" w:color="auto" w:frame="1"/>
        </w:rPr>
      </w:pPr>
    </w:p>
    <w:p w14:paraId="42A19580" w14:textId="77777777" w:rsidR="005C2585" w:rsidRPr="00AA3E7A" w:rsidRDefault="0009568D" w:rsidP="005C2585">
      <w:pPr>
        <w:spacing w:after="0" w:line="240" w:lineRule="auto"/>
        <w:jc w:val="both"/>
        <w:rPr>
          <w:rFonts w:ascii="Times New Roman" w:hAnsi="Times New Roman" w:cs="Times New Roman"/>
          <w:b/>
          <w:noProof/>
          <w:spacing w:val="-4"/>
          <w:sz w:val="24"/>
        </w:rPr>
      </w:pPr>
      <w:r w:rsidRPr="00AA3E7A">
        <w:rPr>
          <w:rStyle w:val="xnormaltextrun"/>
          <w:rFonts w:ascii="Times New Roman" w:hAnsi="Times New Roman"/>
          <w:noProof/>
          <w:color w:val="000000"/>
          <w:spacing w:val="-4"/>
          <w:sz w:val="24"/>
          <w:szCs w:val="24"/>
          <w:bdr w:val="none" w:sz="0" w:space="0" w:color="auto" w:frame="1"/>
        </w:rPr>
        <w:t xml:space="preserve">Още преди началото на пандемията от COVID-19 публичните ресурси изобщо не бяха достатъчни за преодоляване на огромния дисбаланс на финансирането на ЦУР, а финансирането за развитие все повече се използваше за мобилизиране на необходимите трилиони. На фона на кризата, нарастващите нужди и намаляващите ресурси е по-неотложно от всякога да се мобилизират собствени ресурси на база БНД, за да се помогне на държавите партньори да посрещнат финансовите си нужди и да постигнат ЦУР и целите на Парижкото споразумение. От решаващо значение е ЕС да мобилизира финансиране от частния сектор, за да се подпомогне финансирането на екологосъобразно, устойчиво и приобщаващо възстановяване и да се ускори напредъкът в постигането на различните ЦУР. По-доброто използване на официалното финансиране за развитие е крайно необходимо, за да се подпомогне привличането на частно финансиране и използването на капиталовите пазари в подкрепа на ЦУР в развиващите се страни. В това отношение финансирането за устойчиво развитие е от ключово значение за мобилизирането на международен и вътрешен частен капитал за финансиране на устойчиви инвестиции в държавите партньори. </w:t>
      </w:r>
      <w:r w:rsidRPr="00AA3E7A">
        <w:rPr>
          <w:rFonts w:ascii="Times New Roman" w:hAnsi="Times New Roman"/>
          <w:noProof/>
          <w:spacing w:val="-4"/>
          <w:sz w:val="24"/>
          <w:szCs w:val="24"/>
        </w:rPr>
        <w:t xml:space="preserve">Финансовото рамо на </w:t>
      </w:r>
      <w:r w:rsidRPr="00AA3E7A">
        <w:rPr>
          <w:rFonts w:ascii="Times New Roman" w:hAnsi="Times New Roman"/>
          <w:bCs/>
          <w:noProof/>
          <w:color w:val="000000" w:themeColor="text1"/>
          <w:spacing w:val="-4"/>
          <w:sz w:val="24"/>
          <w:szCs w:val="24"/>
        </w:rPr>
        <w:t>ИССРМС —</w:t>
      </w:r>
      <w:r w:rsidRPr="00AA3E7A">
        <w:rPr>
          <w:rStyle w:val="xnormaltextrun"/>
          <w:rFonts w:ascii="Times New Roman" w:hAnsi="Times New Roman"/>
          <w:noProof/>
          <w:color w:val="000000"/>
          <w:spacing w:val="-4"/>
          <w:sz w:val="24"/>
          <w:szCs w:val="24"/>
          <w:bdr w:val="none" w:sz="0" w:space="0" w:color="auto" w:frame="1"/>
        </w:rPr>
        <w:t xml:space="preserve"> Глобална Европа беше подсилено, за да се придаде по-голяма мощ на финансовите инструменти особено чрез гаранцията за външна дейност (ГВД), чрез която ще се осигурят инвестиции в размер до 53,4 милиарда евро, включително 40 милиарда евро в операции по линия на ЕФУР+ за периода 2021—2027 г., и по-специално — за да се подпомогне мобилизирането на допълнителни инвестиции от публичния и частния сектор. Благодарение на Global Gateway Европа ще изиграе пълноценно своята роля за ограничаване на недостига на инвестиции в световен мащаб и за по-успешно </w:t>
      </w:r>
      <w:r w:rsidRPr="00AA3E7A">
        <w:rPr>
          <w:rFonts w:ascii="Times New Roman" w:hAnsi="Times New Roman"/>
          <w:noProof/>
          <w:color w:val="000000" w:themeColor="text1"/>
          <w:spacing w:val="-4"/>
          <w:sz w:val="24"/>
          <w:szCs w:val="24"/>
        </w:rPr>
        <w:t xml:space="preserve">привличане на заемни средства в подкрепа на финансирането на ЦУР в развиващите се държави, по-специално чрез проучване на възможната роля на други заинтересовани страни освен традиционните участници във финансирането на устойчивото </w:t>
      </w:r>
      <w:r w:rsidRPr="00AA3E7A">
        <w:rPr>
          <w:rFonts w:ascii="Times New Roman" w:hAnsi="Times New Roman"/>
          <w:noProof/>
          <w:spacing w:val="-4"/>
          <w:sz w:val="24"/>
          <w:szCs w:val="24"/>
        </w:rPr>
        <w:t xml:space="preserve">развитие. </w:t>
      </w:r>
    </w:p>
    <w:p w14:paraId="4BF133E7" w14:textId="77777777" w:rsidR="00DB1A69" w:rsidRPr="00CB27E2" w:rsidRDefault="00DB1A69" w:rsidP="00DB1A69">
      <w:pPr>
        <w:pStyle w:val="CommentText"/>
        <w:rPr>
          <w:noProof/>
        </w:rPr>
      </w:pPr>
    </w:p>
    <w:tbl>
      <w:tblPr>
        <w:tblStyle w:val="TableGrid"/>
        <w:tblW w:w="0" w:type="auto"/>
        <w:shd w:val="clear" w:color="auto" w:fill="DEEAF6" w:themeFill="accent1" w:themeFillTint="33"/>
        <w:tblLook w:val="04A0" w:firstRow="1" w:lastRow="0" w:firstColumn="1" w:lastColumn="0" w:noHBand="0" w:noVBand="1"/>
      </w:tblPr>
      <w:tblGrid>
        <w:gridCol w:w="9210"/>
      </w:tblGrid>
      <w:tr w:rsidR="00533E2F" w:rsidRPr="00CB27E2" w14:paraId="273037ED" w14:textId="77777777" w:rsidTr="00883A2B">
        <w:tc>
          <w:tcPr>
            <w:tcW w:w="9210" w:type="dxa"/>
            <w:shd w:val="clear" w:color="auto" w:fill="DEEAF6" w:themeFill="accent1" w:themeFillTint="33"/>
          </w:tcPr>
          <w:p w14:paraId="7F610E0A" w14:textId="77777777" w:rsidR="00425D98" w:rsidRPr="00CB27E2" w:rsidRDefault="00425D98" w:rsidP="005C2585">
            <w:pPr>
              <w:jc w:val="both"/>
              <w:rPr>
                <w:rFonts w:ascii="Times New Roman" w:hAnsi="Times New Roman" w:cs="Times New Roman"/>
                <w:noProof/>
                <w:color w:val="000000" w:themeColor="text1"/>
                <w:spacing w:val="-2"/>
                <w:sz w:val="24"/>
                <w:szCs w:val="24"/>
                <w:u w:val="single"/>
              </w:rPr>
            </w:pPr>
            <w:r>
              <w:rPr>
                <w:rFonts w:ascii="Times New Roman" w:hAnsi="Times New Roman"/>
                <w:bCs/>
                <w:noProof/>
                <w:color w:val="000000" w:themeColor="text1"/>
                <w:sz w:val="24"/>
                <w:szCs w:val="24"/>
                <w:u w:val="single"/>
              </w:rPr>
              <w:t>Пътна карта</w:t>
            </w:r>
            <w:r>
              <w:rPr>
                <w:rFonts w:ascii="Times New Roman" w:hAnsi="Times New Roman"/>
                <w:noProof/>
                <w:color w:val="000000" w:themeColor="text1"/>
                <w:sz w:val="24"/>
                <w:szCs w:val="24"/>
                <w:u w:val="single"/>
              </w:rPr>
              <w:t>:</w:t>
            </w:r>
          </w:p>
          <w:p w14:paraId="49648FC4" w14:textId="77777777" w:rsidR="00533E2F" w:rsidRPr="00CB27E2" w:rsidRDefault="00533E2F" w:rsidP="00901730">
            <w:pPr>
              <w:keepNext/>
              <w:jc w:val="both"/>
              <w:rPr>
                <w:rFonts w:ascii="Times New Roman" w:hAnsi="Times New Roman" w:cs="Times New Roman"/>
                <w:noProof/>
                <w:sz w:val="24"/>
                <w:szCs w:val="24"/>
              </w:rPr>
            </w:pPr>
            <w:r>
              <w:rPr>
                <w:rFonts w:ascii="Times New Roman" w:hAnsi="Times New Roman"/>
                <w:noProof/>
                <w:sz w:val="24"/>
                <w:szCs w:val="24"/>
              </w:rPr>
              <w:t xml:space="preserve">Комисията ще: </w:t>
            </w:r>
          </w:p>
          <w:p w14:paraId="31EC2F0A" w14:textId="77777777" w:rsidR="00E97437" w:rsidRPr="00CB27E2" w:rsidRDefault="00533E2F" w:rsidP="006607A8">
            <w:pPr>
              <w:pStyle w:val="ListParagraph"/>
              <w:numPr>
                <w:ilvl w:val="0"/>
                <w:numId w:val="6"/>
              </w:numPr>
              <w:jc w:val="both"/>
              <w:rPr>
                <w:rFonts w:ascii="Times New Roman" w:eastAsia="MS Gothic" w:hAnsi="Times New Roman" w:cs="Times New Roman"/>
                <w:noProof/>
                <w:spacing w:val="-2"/>
                <w:sz w:val="24"/>
                <w:szCs w:val="24"/>
              </w:rPr>
            </w:pPr>
            <w:r>
              <w:rPr>
                <w:rFonts w:ascii="Times New Roman" w:hAnsi="Times New Roman"/>
                <w:noProof/>
                <w:sz w:val="24"/>
                <w:szCs w:val="24"/>
              </w:rPr>
              <w:t>се стреми да привлече допълнителни инвестиции благодарение на възможностите за смесено финансиране и повишаването на капацитета на ЕФУР+ за предоставяне на гаранции, както и ще подкрепи усилията за увеличаване на финансовите инструменти, които имат отношение към устойчивостта, в партньорските ни държави;</w:t>
            </w:r>
          </w:p>
          <w:p w14:paraId="4CD56E7F" w14:textId="7834A0E1" w:rsidR="000642CF" w:rsidRPr="00CB27E2" w:rsidRDefault="00E97437" w:rsidP="004052CF">
            <w:pPr>
              <w:pStyle w:val="ListParagraph"/>
              <w:numPr>
                <w:ilvl w:val="0"/>
                <w:numId w:val="6"/>
              </w:numPr>
              <w:jc w:val="both"/>
              <w:rPr>
                <w:rFonts w:ascii="Times New Roman" w:hAnsi="Times New Roman" w:cs="Times New Roman"/>
                <w:bCs/>
                <w:noProof/>
                <w:sz w:val="24"/>
                <w:szCs w:val="24"/>
              </w:rPr>
            </w:pPr>
            <w:r>
              <w:rPr>
                <w:rFonts w:ascii="Times New Roman" w:hAnsi="Times New Roman"/>
                <w:noProof/>
                <w:color w:val="000000" w:themeColor="text1"/>
                <w:sz w:val="24"/>
                <w:szCs w:val="24"/>
              </w:rPr>
              <w:t xml:space="preserve">разработи </w:t>
            </w:r>
            <w:r>
              <w:rPr>
                <w:rFonts w:ascii="Times New Roman" w:hAnsi="Times New Roman"/>
                <w:noProof/>
                <w:sz w:val="24"/>
                <w:szCs w:val="24"/>
              </w:rPr>
              <w:t>цялостна стратегия</w:t>
            </w:r>
            <w:r w:rsidR="004623F7" w:rsidRPr="00CB27E2">
              <w:rPr>
                <w:rStyle w:val="FootnoteReference"/>
                <w:rFonts w:ascii="Times New Roman" w:hAnsi="Times New Roman" w:cs="Times New Roman"/>
                <w:noProof/>
                <w:sz w:val="24"/>
                <w:szCs w:val="24"/>
              </w:rPr>
              <w:footnoteReference w:id="33"/>
            </w:r>
            <w:r>
              <w:rPr>
                <w:rFonts w:ascii="Times New Roman" w:hAnsi="Times New Roman"/>
                <w:noProof/>
                <w:sz w:val="24"/>
                <w:szCs w:val="24"/>
              </w:rPr>
              <w:t>, насочена към подпомагане на държавите с ниски и средни доходи, за да се ускори притокът на вътрешен и международен частен капитал за извършването на устойчиви инвестиции в тези държави</w:t>
            </w:r>
            <w:r>
              <w:rPr>
                <w:rFonts w:ascii="Times New Roman" w:hAnsi="Times New Roman"/>
                <w:noProof/>
                <w:color w:val="000000" w:themeColor="text1"/>
                <w:sz w:val="24"/>
                <w:szCs w:val="24"/>
              </w:rPr>
              <w:t xml:space="preserve">, </w:t>
            </w:r>
            <w:r>
              <w:rPr>
                <w:rFonts w:ascii="Times New Roman" w:hAnsi="Times New Roman"/>
                <w:noProof/>
                <w:sz w:val="24"/>
                <w:szCs w:val="24"/>
              </w:rPr>
              <w:t xml:space="preserve">като се възползва от помощта на експертна група на високо равнище; </w:t>
            </w:r>
          </w:p>
          <w:p w14:paraId="32FCCC23" w14:textId="77777777" w:rsidR="00E97437" w:rsidRPr="00AA3E7A" w:rsidRDefault="000642CF" w:rsidP="000642CF">
            <w:pPr>
              <w:pStyle w:val="ListParagraph"/>
              <w:numPr>
                <w:ilvl w:val="0"/>
                <w:numId w:val="6"/>
              </w:numPr>
              <w:jc w:val="both"/>
              <w:rPr>
                <w:rFonts w:ascii="Times New Roman" w:hAnsi="Times New Roman" w:cs="Times New Roman"/>
                <w:bCs/>
                <w:noProof/>
                <w:spacing w:val="-4"/>
                <w:sz w:val="24"/>
                <w:szCs w:val="24"/>
              </w:rPr>
            </w:pPr>
            <w:r w:rsidRPr="00AA3E7A">
              <w:rPr>
                <w:rFonts w:ascii="Times New Roman" w:hAnsi="Times New Roman"/>
                <w:noProof/>
                <w:color w:val="000000" w:themeColor="text1"/>
                <w:spacing w:val="-4"/>
                <w:sz w:val="24"/>
                <w:szCs w:val="24"/>
              </w:rPr>
              <w:t xml:space="preserve">проучи в контекста на стратегията „Global Gateway“ възможността за създаване на европейски механизъм за експортен кредит с цел допълване на съществуващите договорености за експортен кредит на равнището на държавите членки и увеличаване на общата финансова мощ </w:t>
            </w:r>
            <w:r w:rsidRPr="00AA3E7A">
              <w:rPr>
                <w:rFonts w:ascii="Times New Roman" w:hAnsi="Times New Roman"/>
                <w:bCs/>
                <w:noProof/>
                <w:color w:val="000000" w:themeColor="text1"/>
                <w:spacing w:val="-4"/>
                <w:sz w:val="24"/>
                <w:szCs w:val="24"/>
              </w:rPr>
              <w:t>на ЕС</w:t>
            </w:r>
            <w:r w:rsidRPr="00AA3E7A">
              <w:rPr>
                <w:rFonts w:ascii="Times New Roman" w:hAnsi="Times New Roman"/>
                <w:noProof/>
                <w:color w:val="000000" w:themeColor="text1"/>
                <w:spacing w:val="-4"/>
                <w:sz w:val="24"/>
                <w:szCs w:val="24"/>
              </w:rPr>
              <w:t xml:space="preserve"> в тази област.</w:t>
            </w:r>
          </w:p>
        </w:tc>
      </w:tr>
    </w:tbl>
    <w:p w14:paraId="7FDE576F" w14:textId="77777777" w:rsidR="00533E2F" w:rsidRPr="00F47A86" w:rsidRDefault="00533E2F" w:rsidP="00C97375">
      <w:pPr>
        <w:spacing w:after="0" w:line="240" w:lineRule="auto"/>
        <w:jc w:val="both"/>
        <w:rPr>
          <w:rFonts w:ascii="Times New Roman" w:hAnsi="Times New Roman" w:cs="Times New Roman"/>
          <w:b/>
          <w:noProof/>
          <w:spacing w:val="-2"/>
          <w:sz w:val="24"/>
        </w:rPr>
      </w:pP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AF0F49" w:rsidRPr="00CB27E2" w14:paraId="7E42BFB6" w14:textId="77777777" w:rsidTr="00AF0F49">
        <w:tc>
          <w:tcPr>
            <w:tcW w:w="9210" w:type="dxa"/>
            <w:shd w:val="clear" w:color="auto" w:fill="D9D9D9" w:themeFill="background1" w:themeFillShade="D9"/>
          </w:tcPr>
          <w:p w14:paraId="0FCD4373" w14:textId="77777777" w:rsidR="00AF0F49" w:rsidRPr="00CB27E2" w:rsidRDefault="00AF0F49" w:rsidP="00AF0F49">
            <w:pPr>
              <w:jc w:val="both"/>
              <w:rPr>
                <w:rFonts w:ascii="Times New Roman" w:hAnsi="Times New Roman" w:cs="Times New Roman"/>
                <w:noProof/>
                <w:color w:val="000000" w:themeColor="text1"/>
                <w:spacing w:val="-2"/>
                <w:sz w:val="24"/>
                <w:szCs w:val="24"/>
                <w:u w:val="single"/>
              </w:rPr>
            </w:pPr>
            <w:r>
              <w:rPr>
                <w:rFonts w:ascii="Times New Roman" w:hAnsi="Times New Roman"/>
                <w:bCs/>
                <w:noProof/>
                <w:color w:val="000000" w:themeColor="text1"/>
                <w:sz w:val="24"/>
                <w:szCs w:val="24"/>
                <w:u w:val="single"/>
              </w:rPr>
              <w:t>Доклад</w:t>
            </w:r>
            <w:r>
              <w:rPr>
                <w:rFonts w:ascii="Times New Roman" w:hAnsi="Times New Roman"/>
                <w:noProof/>
                <w:color w:val="000000" w:themeColor="text1"/>
                <w:sz w:val="24"/>
                <w:szCs w:val="24"/>
                <w:u w:val="single"/>
              </w:rPr>
              <w:t xml:space="preserve"> за напредъка за 2021 г.: </w:t>
            </w:r>
          </w:p>
          <w:p w14:paraId="50A14BA6" w14:textId="77777777" w:rsidR="00AF0F49" w:rsidRPr="00CB27E2" w:rsidRDefault="00AF0F49" w:rsidP="00AF0F49">
            <w:pPr>
              <w:jc w:val="both"/>
              <w:rPr>
                <w:rFonts w:ascii="Times New Roman" w:hAnsi="Times New Roman" w:cs="Times New Roman"/>
                <w:noProof/>
                <w:spacing w:val="-3"/>
                <w:sz w:val="24"/>
              </w:rPr>
            </w:pPr>
            <w:r>
              <w:rPr>
                <w:rFonts w:ascii="Times New Roman" w:hAnsi="Times New Roman"/>
                <w:noProof/>
                <w:sz w:val="24"/>
              </w:rPr>
              <w:t xml:space="preserve">Комисията: </w:t>
            </w:r>
          </w:p>
          <w:p w14:paraId="56DFF3F9" w14:textId="77777777" w:rsidR="003C1C5C" w:rsidRPr="00CB27E2" w:rsidRDefault="00986EB4" w:rsidP="006607A8">
            <w:pPr>
              <w:pStyle w:val="ListParagraph"/>
              <w:numPr>
                <w:ilvl w:val="0"/>
                <w:numId w:val="6"/>
              </w:numPr>
              <w:contextualSpacing w:val="0"/>
              <w:jc w:val="both"/>
              <w:rPr>
                <w:rFonts w:ascii="Times New Roman" w:hAnsi="Times New Roman" w:cs="Times New Roman"/>
                <w:noProof/>
                <w:color w:val="000000" w:themeColor="text1"/>
                <w:sz w:val="24"/>
                <w:szCs w:val="24"/>
              </w:rPr>
            </w:pPr>
            <w:r>
              <w:rPr>
                <w:rFonts w:ascii="Times New Roman" w:hAnsi="Times New Roman"/>
                <w:noProof/>
                <w:sz w:val="24"/>
                <w:szCs w:val="24"/>
              </w:rPr>
              <w:t>подготви почвата за предстоящата покана за представяне на предложения в рамките на новата гаранция от ЕФУР+, като с поканата се цели да се получат новаторски, преобразуващи и въздействащи предложения, които ще послужат като средство за привличането на допълнително финансиране за партньорските държави</w:t>
            </w:r>
            <w:r>
              <w:rPr>
                <w:rFonts w:ascii="Times New Roman" w:hAnsi="Times New Roman"/>
                <w:noProof/>
                <w:color w:val="000000" w:themeColor="text1"/>
                <w:sz w:val="24"/>
                <w:szCs w:val="24"/>
              </w:rPr>
              <w:t xml:space="preserve">; </w:t>
            </w:r>
          </w:p>
          <w:p w14:paraId="689F7B09" w14:textId="77777777" w:rsidR="001C72B1" w:rsidRPr="00CB27E2" w:rsidRDefault="001C72B1" w:rsidP="006607A8">
            <w:pPr>
              <w:pStyle w:val="ListParagraph"/>
              <w:numPr>
                <w:ilvl w:val="0"/>
                <w:numId w:val="6"/>
              </w:numPr>
              <w:contextualSpacing w:val="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започна преговорите по гаранционните споразумения в рамките на изключителния прозорец за ЕИБ за държавни заеми и нетърговско кредитиране на поддържавно равнище и двата специални прозореца за търговско кредитиране на поддържавно равнище и кредитиране на частния сектор;</w:t>
            </w:r>
          </w:p>
          <w:p w14:paraId="493FF178" w14:textId="77777777" w:rsidR="000642CF" w:rsidRPr="00CB27E2" w:rsidRDefault="00337119" w:rsidP="000642CF">
            <w:pPr>
              <w:pStyle w:val="ListParagraph"/>
              <w:numPr>
                <w:ilvl w:val="0"/>
                <w:numId w:val="6"/>
              </w:numPr>
              <w:contextualSpacing w:val="0"/>
              <w:jc w:val="both"/>
              <w:rPr>
                <w:rFonts w:ascii="Times New Roman" w:hAnsi="Times New Roman" w:cs="Times New Roman"/>
                <w:noProof/>
                <w:sz w:val="24"/>
                <w:szCs w:val="24"/>
              </w:rPr>
            </w:pPr>
            <w:r>
              <w:rPr>
                <w:rFonts w:ascii="Times New Roman" w:hAnsi="Times New Roman"/>
                <w:noProof/>
                <w:sz w:val="24"/>
              </w:rPr>
              <w:t xml:space="preserve">предложи на Стратегическия съвет на ЕФУР+ </w:t>
            </w:r>
            <w:r>
              <w:rPr>
                <w:rFonts w:ascii="Times New Roman" w:hAnsi="Times New Roman"/>
                <w:noProof/>
                <w:color w:val="000000" w:themeColor="text1"/>
                <w:sz w:val="24"/>
                <w:szCs w:val="24"/>
              </w:rPr>
              <w:t>специален прозорец за устойчиво финансиране от ЕФУР+, насочен към укрепване на финансовите инструменти, свързани с устойчивостта, и по-специално „зелените“ облигации, за да се мобилизира мащабен частен капитал, като същевременно се оказва въздействие върху развитието;</w:t>
            </w:r>
          </w:p>
          <w:p w14:paraId="351F6355" w14:textId="77777777" w:rsidR="000642CF" w:rsidRPr="00CB27E2" w:rsidRDefault="000642CF" w:rsidP="000642CF">
            <w:pPr>
              <w:pStyle w:val="ListParagraph"/>
              <w:numPr>
                <w:ilvl w:val="0"/>
                <w:numId w:val="6"/>
              </w:numPr>
              <w:contextualSpacing w:val="0"/>
              <w:jc w:val="both"/>
              <w:rPr>
                <w:rFonts w:ascii="Times New Roman" w:hAnsi="Times New Roman" w:cs="Times New Roman"/>
                <w:noProof/>
                <w:sz w:val="24"/>
                <w:szCs w:val="24"/>
              </w:rPr>
            </w:pPr>
            <w:r>
              <w:rPr>
                <w:rFonts w:ascii="Times New Roman" w:hAnsi="Times New Roman"/>
                <w:noProof/>
                <w:sz w:val="24"/>
                <w:szCs w:val="24"/>
              </w:rPr>
              <w:t>започна да подготвя карта на финансовите инструменти на ЕС с оглед насърчаване на засилената им координация, включително на възможните връзки с експортните кредити на ЕС;</w:t>
            </w:r>
          </w:p>
          <w:p w14:paraId="10328C73" w14:textId="77777777" w:rsidR="00AF0F49" w:rsidRPr="00CB27E2" w:rsidRDefault="000642CF" w:rsidP="000642CF">
            <w:pPr>
              <w:pStyle w:val="ListParagraph"/>
              <w:numPr>
                <w:ilvl w:val="0"/>
                <w:numId w:val="6"/>
              </w:numPr>
              <w:contextualSpacing w:val="0"/>
              <w:jc w:val="both"/>
              <w:rPr>
                <w:rFonts w:ascii="Times New Roman" w:hAnsi="Times New Roman" w:cs="Times New Roman"/>
                <w:noProof/>
                <w:color w:val="000000" w:themeColor="text1"/>
                <w:spacing w:val="-2"/>
                <w:sz w:val="24"/>
                <w:szCs w:val="24"/>
              </w:rPr>
            </w:pPr>
            <w:r>
              <w:rPr>
                <w:rFonts w:ascii="Times New Roman" w:hAnsi="Times New Roman"/>
                <w:noProof/>
                <w:sz w:val="24"/>
                <w:szCs w:val="24"/>
              </w:rPr>
              <w:t>започна да проучва възможността за създаване на европейски механизъм за експортно кредитиране, който да допълни съществуващите договорености за експортно кредитиране на равнището на държавите членки и да увеличи общата финансова мощ на ЕС в тази област, като спомогне за осигуряването на по-равнопоставени условия на конкуренция за предприятията от ЕС на пазарите на трети държави и по този начин улесни участието им в инфраструктурни проекти.</w:t>
            </w:r>
          </w:p>
        </w:tc>
      </w:tr>
    </w:tbl>
    <w:p w14:paraId="61C1A233" w14:textId="77777777" w:rsidR="00AF0F49" w:rsidRPr="00F47A86" w:rsidRDefault="00AF0F49" w:rsidP="00965192">
      <w:pPr>
        <w:keepNext/>
        <w:spacing w:after="0" w:line="240" w:lineRule="auto"/>
        <w:jc w:val="both"/>
        <w:rPr>
          <w:rFonts w:ascii="Times New Roman" w:hAnsi="Times New Roman" w:cs="Times New Roman"/>
          <w:noProof/>
          <w:spacing w:val="-2"/>
          <w:sz w:val="24"/>
        </w:rPr>
      </w:pPr>
    </w:p>
    <w:p w14:paraId="5C786CBF" w14:textId="77777777" w:rsidR="00A91650" w:rsidRPr="00CB27E2" w:rsidRDefault="00613314" w:rsidP="00965192">
      <w:pPr>
        <w:keepNext/>
        <w:spacing w:after="0" w:line="240" w:lineRule="auto"/>
        <w:jc w:val="both"/>
        <w:rPr>
          <w:rFonts w:ascii="Times New Roman" w:hAnsi="Times New Roman" w:cs="Times New Roman"/>
          <w:b/>
          <w:noProof/>
          <w:color w:val="0070C0"/>
          <w:spacing w:val="-2"/>
          <w:sz w:val="24"/>
        </w:rPr>
      </w:pPr>
      <w:r>
        <w:rPr>
          <w:rFonts w:ascii="Times New Roman" w:hAnsi="Times New Roman"/>
          <w:b/>
          <w:noProof/>
          <w:color w:val="0070C0"/>
          <w:sz w:val="24"/>
        </w:rPr>
        <w:t xml:space="preserve">Подобрена правна рамка и процедури за по-ефективно изпълнение </w:t>
      </w:r>
    </w:p>
    <w:p w14:paraId="12F0BCA6" w14:textId="77777777" w:rsidR="003C54DD" w:rsidRPr="00CB27E2" w:rsidRDefault="003C54DD" w:rsidP="00965192">
      <w:pPr>
        <w:keepNext/>
        <w:spacing w:after="0" w:line="240" w:lineRule="auto"/>
        <w:jc w:val="both"/>
        <w:rPr>
          <w:rStyle w:val="xnormaltextrun"/>
          <w:rFonts w:ascii="Times New Roman" w:hAnsi="Times New Roman" w:cs="Times New Roman"/>
          <w:noProof/>
          <w:color w:val="000000"/>
          <w:sz w:val="24"/>
          <w:szCs w:val="24"/>
          <w:bdr w:val="none" w:sz="0" w:space="0" w:color="auto" w:frame="1"/>
        </w:rPr>
      </w:pPr>
    </w:p>
    <w:p w14:paraId="3881D6F1" w14:textId="77777777" w:rsidR="00DF7615" w:rsidRPr="00CB27E2" w:rsidRDefault="00A91650" w:rsidP="00C97375">
      <w:pPr>
        <w:spacing w:after="0" w:line="240" w:lineRule="auto"/>
        <w:jc w:val="both"/>
        <w:rPr>
          <w:rFonts w:ascii="Times New Roman" w:hAnsi="Times New Roman" w:cs="Times New Roman"/>
          <w:noProof/>
          <w:spacing w:val="-4"/>
          <w:sz w:val="24"/>
          <w:szCs w:val="24"/>
        </w:rPr>
      </w:pPr>
      <w:r>
        <w:rPr>
          <w:rStyle w:val="xnormaltextrun"/>
          <w:rFonts w:ascii="Times New Roman" w:hAnsi="Times New Roman"/>
          <w:noProof/>
          <w:sz w:val="24"/>
          <w:szCs w:val="24"/>
          <w:bdr w:val="none" w:sz="0" w:space="0" w:color="auto" w:frame="1"/>
        </w:rPr>
        <w:t xml:space="preserve">Чрез </w:t>
      </w:r>
      <w:r>
        <w:rPr>
          <w:rFonts w:ascii="Times New Roman" w:hAnsi="Times New Roman"/>
          <w:bCs/>
          <w:noProof/>
          <w:color w:val="000000" w:themeColor="text1"/>
          <w:sz w:val="24"/>
          <w:szCs w:val="24"/>
        </w:rPr>
        <w:t xml:space="preserve">ИССРМС — </w:t>
      </w:r>
      <w:r>
        <w:rPr>
          <w:rStyle w:val="xnormaltextrun"/>
          <w:rFonts w:ascii="Times New Roman" w:hAnsi="Times New Roman"/>
          <w:noProof/>
          <w:sz w:val="24"/>
          <w:szCs w:val="24"/>
          <w:bdr w:val="none" w:sz="0" w:space="0" w:color="auto" w:frame="1"/>
        </w:rPr>
        <w:t>Глобална Европа правната рамка на ЕС за външна дейност e значително рационализирана и ще бъде от съществено значение за постигането на подобрена европейска финансова архитектура за развитие. В регламента са обединени няколко финансови инструмента и условия (за които през предходния програмен период са били налице различни механизми за управление и различни правни основания</w:t>
      </w:r>
      <w:r w:rsidR="00DF7615" w:rsidRPr="00CB27E2">
        <w:rPr>
          <w:rStyle w:val="FootnoteReference"/>
          <w:rFonts w:ascii="Times New Roman" w:hAnsi="Times New Roman" w:cs="Times New Roman"/>
          <w:noProof/>
          <w:spacing w:val="-2"/>
          <w:sz w:val="24"/>
          <w:szCs w:val="24"/>
          <w:bdr w:val="none" w:sz="0" w:space="0" w:color="auto" w:frame="1"/>
        </w:rPr>
        <w:footnoteReference w:id="34"/>
      </w:r>
      <w:r>
        <w:rPr>
          <w:rStyle w:val="xnormaltextrun"/>
          <w:rFonts w:ascii="Times New Roman" w:hAnsi="Times New Roman"/>
          <w:noProof/>
          <w:sz w:val="24"/>
          <w:szCs w:val="24"/>
          <w:bdr w:val="none" w:sz="0" w:space="0" w:color="auto" w:frame="1"/>
        </w:rPr>
        <w:t xml:space="preserve">) в </w:t>
      </w:r>
      <w:r>
        <w:rPr>
          <w:rStyle w:val="xnormaltextrun"/>
          <w:rFonts w:ascii="Times New Roman" w:hAnsi="Times New Roman"/>
          <w:b/>
          <w:bCs/>
          <w:noProof/>
          <w:sz w:val="24"/>
          <w:szCs w:val="24"/>
          <w:bdr w:val="none" w:sz="0" w:space="0" w:color="auto" w:frame="1"/>
        </w:rPr>
        <w:t>една-единствена правна рамка и механизъм за управление.</w:t>
      </w:r>
      <w:r>
        <w:rPr>
          <w:rStyle w:val="xnormaltextrun"/>
          <w:rFonts w:ascii="Times New Roman" w:hAnsi="Times New Roman"/>
          <w:noProof/>
          <w:sz w:val="24"/>
          <w:szCs w:val="24"/>
          <w:bdr w:val="none" w:sz="0" w:space="0" w:color="auto" w:frame="1"/>
        </w:rPr>
        <w:t xml:space="preserve"> Предишната структура доведе до разпокъсаност на външните действия, което затрудни осигуряването на полезни взаимодействия и съгласуваност на финансовите инструменти. </w:t>
      </w:r>
      <w:r>
        <w:rPr>
          <w:rFonts w:ascii="Times New Roman" w:hAnsi="Times New Roman"/>
          <w:noProof/>
          <w:sz w:val="24"/>
          <w:szCs w:val="24"/>
        </w:rPr>
        <w:t xml:space="preserve">С новата рамка </w:t>
      </w:r>
      <w:r>
        <w:rPr>
          <w:rFonts w:ascii="Times New Roman" w:hAnsi="Times New Roman"/>
          <w:bCs/>
          <w:noProof/>
          <w:sz w:val="24"/>
          <w:szCs w:val="24"/>
        </w:rPr>
        <w:t>се опростява</w:t>
      </w:r>
      <w:r>
        <w:rPr>
          <w:rFonts w:ascii="Times New Roman" w:hAnsi="Times New Roman"/>
          <w:b/>
          <w:bCs/>
          <w:noProof/>
          <w:sz w:val="24"/>
          <w:szCs w:val="24"/>
        </w:rPr>
        <w:t xml:space="preserve"> </w:t>
      </w:r>
      <w:r>
        <w:rPr>
          <w:rFonts w:ascii="Times New Roman" w:hAnsi="Times New Roman"/>
          <w:noProof/>
          <w:sz w:val="24"/>
          <w:szCs w:val="24"/>
        </w:rPr>
        <w:t xml:space="preserve">оказването на инвестиционна подкрепа, </w:t>
      </w:r>
      <w:r>
        <w:rPr>
          <w:rStyle w:val="xnormaltextrun"/>
          <w:rFonts w:ascii="Times New Roman" w:hAnsi="Times New Roman"/>
          <w:noProof/>
          <w:color w:val="000000"/>
          <w:sz w:val="24"/>
          <w:szCs w:val="24"/>
          <w:bdr w:val="none" w:sz="0" w:space="0" w:color="auto" w:frame="1"/>
        </w:rPr>
        <w:t xml:space="preserve">като </w:t>
      </w:r>
      <w:r>
        <w:rPr>
          <w:rFonts w:ascii="Times New Roman" w:hAnsi="Times New Roman"/>
          <w:noProof/>
          <w:sz w:val="24"/>
          <w:szCs w:val="24"/>
        </w:rPr>
        <w:t xml:space="preserve">се осигурява </w:t>
      </w:r>
      <w:r>
        <w:rPr>
          <w:rFonts w:ascii="Times New Roman" w:hAnsi="Times New Roman"/>
          <w:b/>
          <w:bCs/>
          <w:noProof/>
          <w:sz w:val="24"/>
          <w:szCs w:val="24"/>
        </w:rPr>
        <w:t>съгласуван набор от правила</w:t>
      </w:r>
      <w:r>
        <w:rPr>
          <w:rFonts w:ascii="Times New Roman" w:hAnsi="Times New Roman"/>
          <w:noProof/>
          <w:sz w:val="24"/>
          <w:szCs w:val="24"/>
        </w:rPr>
        <w:t xml:space="preserve">, процедури и управление, </w:t>
      </w:r>
      <w:r>
        <w:rPr>
          <w:rStyle w:val="xnormaltextrun"/>
          <w:rFonts w:ascii="Times New Roman" w:hAnsi="Times New Roman"/>
          <w:noProof/>
          <w:color w:val="000000"/>
          <w:sz w:val="24"/>
          <w:szCs w:val="24"/>
          <w:bdr w:val="none" w:sz="0" w:space="0" w:color="auto" w:frame="1"/>
        </w:rPr>
        <w:t xml:space="preserve">и се създават еднакви условия на конкуренция за финансовите институции в областта на развитието на двустранно и многостранно равнище. </w:t>
      </w:r>
      <w:r>
        <w:rPr>
          <w:rFonts w:ascii="Times New Roman" w:hAnsi="Times New Roman"/>
          <w:noProof/>
          <w:sz w:val="24"/>
          <w:szCs w:val="24"/>
        </w:rPr>
        <w:t>Комисията също така работи по няколко нови инициативи, за да улесни партньорските институции в представянето на предложения за подпомагане по линия на ЕФУР+, като по този начин подкрепя целите за приобщаване.</w:t>
      </w:r>
    </w:p>
    <w:p w14:paraId="681F9C96" w14:textId="77777777" w:rsidR="00533E2F" w:rsidRPr="00CB27E2" w:rsidRDefault="00533E2F" w:rsidP="00533E2F">
      <w:pPr>
        <w:spacing w:after="0" w:line="240" w:lineRule="auto"/>
        <w:jc w:val="both"/>
        <w:rPr>
          <w:rFonts w:ascii="Times New Roman" w:hAnsi="Times New Roman" w:cs="Times New Roman"/>
          <w:noProof/>
          <w:spacing w:val="-2"/>
          <w:sz w:val="24"/>
          <w:szCs w:val="24"/>
        </w:rPr>
      </w:pPr>
    </w:p>
    <w:p w14:paraId="1FC719CF" w14:textId="68C19D14" w:rsidR="00533E2F" w:rsidRPr="00CB27E2" w:rsidRDefault="00CE6F48" w:rsidP="00533E2F">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Освен това с регламента за ИССРМС — Глобална Европа се създава независима, безпристрастна, приобщаваща и прозрачна</w:t>
      </w:r>
      <w:r>
        <w:rPr>
          <w:rFonts w:ascii="Times New Roman" w:hAnsi="Times New Roman"/>
          <w:b/>
          <w:noProof/>
          <w:sz w:val="24"/>
          <w:szCs w:val="24"/>
        </w:rPr>
        <w:t xml:space="preserve"> система за управление на риска </w:t>
      </w:r>
      <w:r>
        <w:rPr>
          <w:rFonts w:ascii="Times New Roman" w:hAnsi="Times New Roman"/>
          <w:noProof/>
          <w:sz w:val="24"/>
          <w:szCs w:val="24"/>
        </w:rPr>
        <w:t>чрез</w:t>
      </w:r>
      <w:r>
        <w:rPr>
          <w:rFonts w:ascii="Times New Roman" w:hAnsi="Times New Roman"/>
          <w:b/>
          <w:noProof/>
          <w:sz w:val="24"/>
          <w:szCs w:val="24"/>
        </w:rPr>
        <w:t xml:space="preserve"> </w:t>
      </w:r>
      <w:r>
        <w:rPr>
          <w:rFonts w:ascii="Times New Roman" w:hAnsi="Times New Roman"/>
          <w:noProof/>
          <w:sz w:val="24"/>
          <w:szCs w:val="24"/>
        </w:rPr>
        <w:t>Групата за техническа оценка на гаранциите плюс (GTAG+), която е открита за експерти от партньорските институции и заинтересованите държави членки и се организира и ръководи от Комисията. Оценката на риска и методологиите за възнаграждение следва да се прилагат последователно за всички прозорци за инвестиции. GTAG+ ще насърчава общото разбиране сред финансовите институции относно</w:t>
      </w:r>
      <w:r>
        <w:rPr>
          <w:rFonts w:ascii="Times New Roman" w:hAnsi="Times New Roman"/>
          <w:noProof/>
          <w:color w:val="000000" w:themeColor="text1"/>
          <w:sz w:val="24"/>
          <w:szCs w:val="24"/>
        </w:rPr>
        <w:t xml:space="preserve"> методологията за оценка на риска и нейните основни допускания, като по този начин ще подобри цялостната прозрачност и в крайна сметка — ефективността на процеса на управление на риска</w:t>
      </w:r>
      <w:r>
        <w:rPr>
          <w:rFonts w:ascii="Times New Roman" w:hAnsi="Times New Roman"/>
          <w:noProof/>
          <w:color w:val="000000" w:themeColor="text1"/>
          <w:sz w:val="20"/>
          <w:szCs w:val="20"/>
        </w:rPr>
        <w:t xml:space="preserve">. </w:t>
      </w:r>
    </w:p>
    <w:p w14:paraId="3435E295" w14:textId="77777777" w:rsidR="00EA490B" w:rsidRPr="00CB27E2" w:rsidRDefault="00EA490B" w:rsidP="00533E2F">
      <w:pPr>
        <w:spacing w:after="0" w:line="240" w:lineRule="auto"/>
        <w:jc w:val="both"/>
        <w:rPr>
          <w:rFonts w:ascii="Times New Roman" w:hAnsi="Times New Roman" w:cs="Times New Roman"/>
          <w:noProof/>
          <w:sz w:val="24"/>
          <w:szCs w:val="24"/>
        </w:rPr>
      </w:pPr>
    </w:p>
    <w:p w14:paraId="12423371" w14:textId="77777777" w:rsidR="00533E2F" w:rsidRPr="00CB27E2" w:rsidRDefault="00CE6F48" w:rsidP="00C97375">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И накрая, ИССРМС — Глобална Европа и ИПП III включват разпоредби за </w:t>
      </w:r>
      <w:r>
        <w:rPr>
          <w:rFonts w:ascii="Times New Roman" w:hAnsi="Times New Roman"/>
          <w:b/>
          <w:noProof/>
          <w:sz w:val="24"/>
          <w:szCs w:val="24"/>
        </w:rPr>
        <w:t>засилено наблюдение и докладване</w:t>
      </w:r>
      <w:r>
        <w:rPr>
          <w:rFonts w:ascii="Times New Roman" w:hAnsi="Times New Roman"/>
          <w:noProof/>
          <w:sz w:val="24"/>
          <w:szCs w:val="24"/>
        </w:rPr>
        <w:t xml:space="preserve">. </w:t>
      </w:r>
      <w:r>
        <w:rPr>
          <w:rFonts w:ascii="Times New Roman" w:hAnsi="Times New Roman"/>
          <w:noProof/>
          <w:color w:val="000000" w:themeColor="text1"/>
          <w:sz w:val="24"/>
          <w:szCs w:val="24"/>
        </w:rPr>
        <w:t>Мониторингът на резултатите въз основа на доказателства и оценки може също така да подпомогне комуникацията и видимостта в съответствие с приоритетите, определени в стратегическите планове на национално, регионално и глобално равнище.</w:t>
      </w:r>
    </w:p>
    <w:p w14:paraId="10BC2A34" w14:textId="77777777" w:rsidR="00A53B48" w:rsidRPr="00CB27E2" w:rsidRDefault="00A53B48" w:rsidP="00C97375">
      <w:pPr>
        <w:pStyle w:val="ListParagraph"/>
        <w:spacing w:after="0" w:line="240" w:lineRule="auto"/>
        <w:ind w:left="0"/>
        <w:contextualSpacing w:val="0"/>
        <w:jc w:val="both"/>
        <w:rPr>
          <w:rFonts w:ascii="Times New Roman" w:hAnsi="Times New Roman" w:cs="Times New Roman"/>
          <w:noProof/>
          <w:color w:val="000000" w:themeColor="text1"/>
          <w:sz w:val="24"/>
          <w:szCs w:val="24"/>
        </w:rPr>
      </w:pPr>
    </w:p>
    <w:tbl>
      <w:tblPr>
        <w:tblStyle w:val="TableGrid"/>
        <w:tblW w:w="0" w:type="auto"/>
        <w:shd w:val="clear" w:color="auto" w:fill="DEEAF6" w:themeFill="accent1" w:themeFillTint="33"/>
        <w:tblLook w:val="04A0" w:firstRow="1" w:lastRow="0" w:firstColumn="1" w:lastColumn="0" w:noHBand="0" w:noVBand="1"/>
      </w:tblPr>
      <w:tblGrid>
        <w:gridCol w:w="9210"/>
      </w:tblGrid>
      <w:tr w:rsidR="00A70C88" w:rsidRPr="00CB27E2" w14:paraId="2ACE87D2" w14:textId="77777777" w:rsidTr="00883A2B">
        <w:tc>
          <w:tcPr>
            <w:tcW w:w="9210" w:type="dxa"/>
            <w:shd w:val="clear" w:color="auto" w:fill="DEEAF6" w:themeFill="accent1" w:themeFillTint="33"/>
          </w:tcPr>
          <w:p w14:paraId="1DABD08E" w14:textId="77777777" w:rsidR="00425D98" w:rsidRPr="00CB27E2" w:rsidRDefault="00425D98" w:rsidP="00E74CFA">
            <w:pPr>
              <w:keepNext/>
              <w:jc w:val="both"/>
              <w:rPr>
                <w:rFonts w:ascii="Times New Roman" w:hAnsi="Times New Roman" w:cs="Times New Roman"/>
                <w:noProof/>
                <w:color w:val="000000" w:themeColor="text1"/>
                <w:spacing w:val="-2"/>
                <w:sz w:val="24"/>
                <w:szCs w:val="24"/>
                <w:u w:val="single"/>
              </w:rPr>
            </w:pPr>
            <w:r>
              <w:rPr>
                <w:rFonts w:ascii="Times New Roman" w:hAnsi="Times New Roman"/>
                <w:bCs/>
                <w:noProof/>
                <w:color w:val="000000" w:themeColor="text1"/>
                <w:sz w:val="24"/>
                <w:szCs w:val="24"/>
                <w:u w:val="single"/>
              </w:rPr>
              <w:t>Пътна карта</w:t>
            </w:r>
            <w:r>
              <w:rPr>
                <w:rFonts w:ascii="Times New Roman" w:hAnsi="Times New Roman"/>
                <w:noProof/>
                <w:color w:val="000000" w:themeColor="text1"/>
                <w:sz w:val="24"/>
                <w:szCs w:val="24"/>
                <w:u w:val="single"/>
              </w:rPr>
              <w:t>:</w:t>
            </w:r>
          </w:p>
          <w:p w14:paraId="636C8BE2" w14:textId="77777777" w:rsidR="00A70C88" w:rsidRPr="00CB27E2" w:rsidRDefault="00A70C88" w:rsidP="0018164E">
            <w:pPr>
              <w:keepNext/>
              <w:jc w:val="both"/>
              <w:rPr>
                <w:rFonts w:ascii="Times New Roman" w:hAnsi="Times New Roman" w:cs="Times New Roman"/>
                <w:noProof/>
                <w:sz w:val="24"/>
                <w:szCs w:val="24"/>
              </w:rPr>
            </w:pPr>
            <w:r>
              <w:rPr>
                <w:rFonts w:ascii="Times New Roman" w:hAnsi="Times New Roman"/>
                <w:noProof/>
                <w:sz w:val="24"/>
                <w:szCs w:val="24"/>
              </w:rPr>
              <w:t xml:space="preserve">Комисията ще: </w:t>
            </w:r>
          </w:p>
          <w:p w14:paraId="563F5510" w14:textId="191160AD" w:rsidR="0000168C" w:rsidRPr="00CB27E2" w:rsidRDefault="00803215" w:rsidP="00C6212B">
            <w:pPr>
              <w:pStyle w:val="ListParagraph"/>
              <w:numPr>
                <w:ilvl w:val="0"/>
                <w:numId w:val="7"/>
              </w:numPr>
              <w:ind w:left="567" w:hanging="283"/>
              <w:jc w:val="both"/>
              <w:rPr>
                <w:rFonts w:ascii="Times New Roman" w:hAnsi="Times New Roman" w:cs="Times New Roman"/>
                <w:noProof/>
                <w:spacing w:val="-4"/>
                <w:sz w:val="24"/>
                <w:szCs w:val="24"/>
              </w:rPr>
            </w:pPr>
            <w:r>
              <w:rPr>
                <w:rFonts w:ascii="Times New Roman" w:hAnsi="Times New Roman"/>
                <w:noProof/>
                <w:sz w:val="24"/>
                <w:szCs w:val="24"/>
              </w:rPr>
              <w:t>създаде нова регулаторна рамка със съгласуван и опростен набор от правила и процедури за улесняване на подпомагането на инвестициите;</w:t>
            </w:r>
          </w:p>
          <w:p w14:paraId="56AF193C" w14:textId="77777777" w:rsidR="00533E2F" w:rsidRPr="00CB27E2" w:rsidRDefault="00CD718D" w:rsidP="00C6212B">
            <w:pPr>
              <w:pStyle w:val="ListParagraph"/>
              <w:numPr>
                <w:ilvl w:val="0"/>
                <w:numId w:val="7"/>
              </w:numPr>
              <w:ind w:left="567" w:hanging="283"/>
              <w:jc w:val="both"/>
              <w:rPr>
                <w:rFonts w:ascii="Times New Roman" w:hAnsi="Times New Roman" w:cs="Times New Roman"/>
                <w:noProof/>
                <w:spacing w:val="-4"/>
                <w:sz w:val="24"/>
                <w:szCs w:val="24"/>
              </w:rPr>
            </w:pPr>
            <w:r>
              <w:rPr>
                <w:rFonts w:ascii="Times New Roman" w:hAnsi="Times New Roman"/>
                <w:noProof/>
                <w:color w:val="000000" w:themeColor="text1"/>
                <w:sz w:val="24"/>
                <w:szCs w:val="24"/>
              </w:rPr>
              <w:t>изгради подобрен капацитет за управление на риска (Група за техническа оценка на гаранциите плюс — GTAG+) въз основа на системи и методологии, които са открити и прозрачни за партньорските финансови институции;</w:t>
            </w:r>
          </w:p>
          <w:p w14:paraId="1667E525" w14:textId="77777777" w:rsidR="00A70C88" w:rsidRPr="00CB27E2" w:rsidRDefault="00533E2F" w:rsidP="00C6212B">
            <w:pPr>
              <w:pStyle w:val="ListParagraph"/>
              <w:keepLines/>
              <w:numPr>
                <w:ilvl w:val="0"/>
                <w:numId w:val="7"/>
              </w:numPr>
              <w:ind w:left="567" w:hanging="283"/>
              <w:jc w:val="both"/>
              <w:rPr>
                <w:rFonts w:ascii="Times New Roman" w:hAnsi="Times New Roman" w:cs="Times New Roman"/>
                <w:b/>
                <w:noProof/>
                <w:spacing w:val="-2"/>
                <w:sz w:val="24"/>
              </w:rPr>
            </w:pPr>
            <w:r>
              <w:rPr>
                <w:rFonts w:ascii="Times New Roman" w:hAnsi="Times New Roman"/>
                <w:noProof/>
                <w:sz w:val="24"/>
                <w:szCs w:val="24"/>
              </w:rPr>
              <w:t xml:space="preserve">следи междинните цели и резултатите от инвестиционните си операции в съответствие със своята </w:t>
            </w:r>
            <w:r>
              <w:rPr>
                <w:rFonts w:ascii="Times New Roman" w:hAnsi="Times New Roman"/>
                <w:bCs/>
                <w:noProof/>
                <w:color w:val="000000" w:themeColor="text1"/>
                <w:sz w:val="24"/>
                <w:szCs w:val="24"/>
              </w:rPr>
              <w:t>система</w:t>
            </w:r>
            <w:r>
              <w:rPr>
                <w:rFonts w:ascii="Times New Roman" w:hAnsi="Times New Roman"/>
                <w:noProof/>
                <w:sz w:val="24"/>
                <w:szCs w:val="24"/>
              </w:rPr>
              <w:t xml:space="preserve"> за мониторинг на качеството на изпълнението на ИССРМС — Глобална Европа (част от по-широката </w:t>
            </w:r>
            <w:r>
              <w:rPr>
                <w:rFonts w:ascii="Times New Roman" w:hAnsi="Times New Roman"/>
                <w:noProof/>
                <w:color w:val="000000" w:themeColor="text1"/>
                <w:sz w:val="24"/>
                <w:szCs w:val="24"/>
              </w:rPr>
              <w:t xml:space="preserve">рамка за мониторинг </w:t>
            </w:r>
            <w:r>
              <w:rPr>
                <w:rFonts w:ascii="Times New Roman" w:hAnsi="Times New Roman"/>
                <w:bCs/>
                <w:noProof/>
                <w:color w:val="000000" w:themeColor="text1"/>
                <w:sz w:val="24"/>
                <w:szCs w:val="24"/>
              </w:rPr>
              <w:t>и</w:t>
            </w:r>
            <w:r>
              <w:rPr>
                <w:rFonts w:ascii="Times New Roman" w:hAnsi="Times New Roman"/>
                <w:noProof/>
                <w:color w:val="000000" w:themeColor="text1"/>
                <w:sz w:val="24"/>
                <w:szCs w:val="24"/>
              </w:rPr>
              <w:t xml:space="preserve"> оценка на ИССРМС — Глобална Европа) и рамката за качество на изпълнението на ИПП III.</w:t>
            </w:r>
          </w:p>
        </w:tc>
      </w:tr>
    </w:tbl>
    <w:p w14:paraId="503D52CA" w14:textId="77777777" w:rsidR="00E11840" w:rsidRPr="00CB27E2" w:rsidRDefault="00E11840" w:rsidP="00C97375">
      <w:pPr>
        <w:spacing w:after="0" w:line="240" w:lineRule="auto"/>
        <w:jc w:val="both"/>
        <w:rPr>
          <w:rFonts w:ascii="Times New Roman" w:hAnsi="Times New Roman" w:cs="Times New Roman"/>
          <w:bCs/>
          <w:noProof/>
          <w:sz w:val="24"/>
          <w:szCs w:val="24"/>
        </w:rPr>
      </w:pP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AF0F49" w:rsidRPr="00CB27E2" w14:paraId="689B4E13" w14:textId="77777777" w:rsidTr="00AF0F49">
        <w:tc>
          <w:tcPr>
            <w:tcW w:w="9210" w:type="dxa"/>
            <w:shd w:val="clear" w:color="auto" w:fill="D9D9D9" w:themeFill="background1" w:themeFillShade="D9"/>
          </w:tcPr>
          <w:p w14:paraId="5B9DDE81" w14:textId="77777777" w:rsidR="00AF0F49" w:rsidRPr="00CB27E2" w:rsidRDefault="00AF0F49" w:rsidP="00AF0F49">
            <w:pPr>
              <w:jc w:val="both"/>
              <w:rPr>
                <w:rFonts w:ascii="Times New Roman" w:hAnsi="Times New Roman" w:cs="Times New Roman"/>
                <w:noProof/>
                <w:color w:val="000000" w:themeColor="text1"/>
                <w:spacing w:val="-2"/>
                <w:sz w:val="24"/>
                <w:szCs w:val="24"/>
                <w:u w:val="single"/>
              </w:rPr>
            </w:pPr>
            <w:r>
              <w:rPr>
                <w:rFonts w:ascii="Times New Roman" w:hAnsi="Times New Roman"/>
                <w:noProof/>
                <w:color w:val="000000" w:themeColor="text1"/>
                <w:sz w:val="24"/>
                <w:szCs w:val="24"/>
                <w:u w:val="single"/>
              </w:rPr>
              <w:t xml:space="preserve">Доклад за </w:t>
            </w:r>
            <w:r>
              <w:rPr>
                <w:rFonts w:ascii="Times New Roman" w:hAnsi="Times New Roman"/>
                <w:bCs/>
                <w:noProof/>
                <w:color w:val="000000" w:themeColor="text1"/>
                <w:sz w:val="24"/>
                <w:szCs w:val="24"/>
                <w:u w:val="single"/>
              </w:rPr>
              <w:t>напредъка</w:t>
            </w:r>
            <w:r>
              <w:rPr>
                <w:rFonts w:ascii="Times New Roman" w:hAnsi="Times New Roman"/>
                <w:noProof/>
                <w:color w:val="000000" w:themeColor="text1"/>
                <w:sz w:val="24"/>
                <w:szCs w:val="24"/>
                <w:u w:val="single"/>
              </w:rPr>
              <w:t xml:space="preserve"> за 2021 г.: </w:t>
            </w:r>
          </w:p>
          <w:p w14:paraId="526DF3DF" w14:textId="77777777" w:rsidR="00AF0F49" w:rsidRPr="00CB27E2" w:rsidRDefault="00AF0F49" w:rsidP="00AF0F49">
            <w:pPr>
              <w:jc w:val="both"/>
              <w:rPr>
                <w:rFonts w:ascii="Times New Roman" w:hAnsi="Times New Roman" w:cs="Times New Roman"/>
                <w:noProof/>
                <w:spacing w:val="-3"/>
                <w:sz w:val="24"/>
              </w:rPr>
            </w:pPr>
            <w:r>
              <w:rPr>
                <w:rFonts w:ascii="Times New Roman" w:hAnsi="Times New Roman"/>
                <w:noProof/>
                <w:sz w:val="24"/>
              </w:rPr>
              <w:t xml:space="preserve">Комисията: </w:t>
            </w:r>
          </w:p>
          <w:p w14:paraId="5F319943" w14:textId="77777777" w:rsidR="0000168C" w:rsidRPr="00CB27E2" w:rsidRDefault="00803215" w:rsidP="0000168C">
            <w:pPr>
              <w:pStyle w:val="ListParagraph"/>
              <w:numPr>
                <w:ilvl w:val="0"/>
                <w:numId w:val="7"/>
              </w:numPr>
              <w:ind w:left="567" w:hanging="283"/>
              <w:jc w:val="both"/>
              <w:rPr>
                <w:rFonts w:ascii="Times New Roman" w:hAnsi="Times New Roman" w:cs="Times New Roman"/>
                <w:noProof/>
                <w:color w:val="000000" w:themeColor="text1"/>
                <w:spacing w:val="-2"/>
                <w:sz w:val="24"/>
                <w:szCs w:val="24"/>
              </w:rPr>
            </w:pPr>
            <w:r>
              <w:rPr>
                <w:rFonts w:ascii="Times New Roman" w:hAnsi="Times New Roman"/>
                <w:noProof/>
                <w:color w:val="000000" w:themeColor="text1"/>
                <w:sz w:val="24"/>
                <w:szCs w:val="24"/>
              </w:rPr>
              <w:t>прие през юни регламента за ИССРМС — Глобална Европа, с който се опростяват правилата и по този начин се улеснява изпълнението на помощта за инвестиции чрез гаранцията от ЕФУР+;</w:t>
            </w:r>
          </w:p>
          <w:p w14:paraId="0CD184B9" w14:textId="77777777" w:rsidR="00BC49E1" w:rsidRPr="00CB27E2" w:rsidRDefault="007845D9" w:rsidP="00C6212B">
            <w:pPr>
              <w:pStyle w:val="ListParagraph"/>
              <w:numPr>
                <w:ilvl w:val="0"/>
                <w:numId w:val="7"/>
              </w:numPr>
              <w:ind w:left="567" w:hanging="283"/>
              <w:jc w:val="both"/>
              <w:rPr>
                <w:rFonts w:ascii="Times New Roman" w:hAnsi="Times New Roman" w:cs="Times New Roman"/>
                <w:noProof/>
                <w:color w:val="000000" w:themeColor="text1"/>
                <w:spacing w:val="-2"/>
                <w:sz w:val="24"/>
                <w:szCs w:val="24"/>
              </w:rPr>
            </w:pPr>
            <w:r>
              <w:rPr>
                <w:rFonts w:ascii="Times New Roman" w:hAnsi="Times New Roman"/>
                <w:noProof/>
                <w:sz w:val="24"/>
                <w:szCs w:val="24"/>
              </w:rPr>
              <w:t>създаде</w:t>
            </w:r>
            <w:r>
              <w:rPr>
                <w:rFonts w:ascii="Times New Roman" w:hAnsi="Times New Roman"/>
                <w:noProof/>
                <w:color w:val="000000" w:themeColor="text1"/>
                <w:sz w:val="24"/>
                <w:szCs w:val="24"/>
              </w:rPr>
              <w:t xml:space="preserve"> подходящи структури за управление на риска, които включват:</w:t>
            </w:r>
          </w:p>
          <w:p w14:paraId="5CDD5777" w14:textId="77777777" w:rsidR="00BC49E1" w:rsidRPr="00CB27E2" w:rsidRDefault="00BC49E1" w:rsidP="00D446EB">
            <w:pPr>
              <w:pStyle w:val="ListParagraph"/>
              <w:numPr>
                <w:ilvl w:val="1"/>
                <w:numId w:val="6"/>
              </w:numPr>
              <w:spacing w:after="120"/>
              <w:ind w:left="1134" w:hanging="425"/>
              <w:jc w:val="both"/>
              <w:rPr>
                <w:rFonts w:ascii="Times New Roman" w:hAnsi="Times New Roman" w:cs="Times New Roman"/>
                <w:noProof/>
                <w:color w:val="000000" w:themeColor="text1"/>
                <w:spacing w:val="-2"/>
                <w:sz w:val="24"/>
                <w:szCs w:val="24"/>
              </w:rPr>
            </w:pPr>
            <w:r>
              <w:rPr>
                <w:rFonts w:ascii="Times New Roman" w:hAnsi="Times New Roman"/>
                <w:noProof/>
                <w:color w:val="000000" w:themeColor="text1"/>
                <w:sz w:val="24"/>
                <w:szCs w:val="24"/>
              </w:rPr>
              <w:t>звено за управление на риска, което функционира като GTAG+ и носи цялата отговорност за осигуряването на стабилно и независимо управление на риска на ЕФУР+;</w:t>
            </w:r>
          </w:p>
          <w:p w14:paraId="32715B27" w14:textId="77777777" w:rsidR="00BC49E1" w:rsidRPr="00CB27E2" w:rsidRDefault="00BC49E1" w:rsidP="00D446EB">
            <w:pPr>
              <w:pStyle w:val="ListParagraph"/>
              <w:numPr>
                <w:ilvl w:val="1"/>
                <w:numId w:val="6"/>
              </w:numPr>
              <w:spacing w:after="120"/>
              <w:ind w:left="1134" w:hanging="425"/>
              <w:jc w:val="both"/>
              <w:rPr>
                <w:rFonts w:ascii="Times New Roman" w:hAnsi="Times New Roman" w:cs="Times New Roman"/>
                <w:noProof/>
                <w:color w:val="000000" w:themeColor="text1"/>
                <w:spacing w:val="-2"/>
                <w:sz w:val="24"/>
                <w:szCs w:val="24"/>
              </w:rPr>
            </w:pPr>
            <w:r>
              <w:rPr>
                <w:rFonts w:ascii="Times New Roman" w:hAnsi="Times New Roman"/>
                <w:noProof/>
                <w:color w:val="000000" w:themeColor="text1"/>
                <w:sz w:val="24"/>
                <w:szCs w:val="24"/>
              </w:rPr>
              <w:t>в рамките на GTAG+, независима и приобщаваща експертна група по гаранциите (ЕГГ), която е открита за участие на експерти в областта на риска от финансови институции и заинтересовани държави членки и която отговаря за оценката и наблюдението на рисковия профил на програмите за еднократно обезпечение;</w:t>
            </w:r>
          </w:p>
          <w:p w14:paraId="41C2C8BA" w14:textId="77777777" w:rsidR="007E13EA" w:rsidRPr="00CB27E2" w:rsidRDefault="007E13EA" w:rsidP="000861DB">
            <w:pPr>
              <w:pStyle w:val="ListParagraph"/>
              <w:numPr>
                <w:ilvl w:val="0"/>
                <w:numId w:val="7"/>
              </w:numPr>
              <w:ind w:left="567" w:hanging="283"/>
              <w:jc w:val="both"/>
              <w:rPr>
                <w:rFonts w:ascii="Times New Roman" w:hAnsi="Times New Roman" w:cs="Times New Roman"/>
                <w:noProof/>
                <w:color w:val="000000" w:themeColor="text1"/>
                <w:spacing w:val="-2"/>
                <w:sz w:val="24"/>
                <w:szCs w:val="24"/>
              </w:rPr>
            </w:pPr>
            <w:r>
              <w:rPr>
                <w:rFonts w:ascii="Times New Roman" w:hAnsi="Times New Roman"/>
                <w:noProof/>
                <w:sz w:val="24"/>
                <w:szCs w:val="24"/>
              </w:rPr>
              <w:t xml:space="preserve">стартира </w:t>
            </w:r>
            <w:r>
              <w:rPr>
                <w:rFonts w:ascii="Times New Roman" w:hAnsi="Times New Roman"/>
                <w:bCs/>
                <w:noProof/>
                <w:color w:val="000000" w:themeColor="text1"/>
                <w:sz w:val="24"/>
                <w:szCs w:val="24"/>
              </w:rPr>
              <w:t>система</w:t>
            </w:r>
            <w:r>
              <w:rPr>
                <w:rFonts w:ascii="Times New Roman" w:hAnsi="Times New Roman"/>
                <w:noProof/>
                <w:sz w:val="24"/>
                <w:szCs w:val="24"/>
              </w:rPr>
              <w:t xml:space="preserve"> за мониторинг на качеството на изпълнението на ИССРМС — Глобална Европа</w:t>
            </w:r>
            <w:r w:rsidR="000861DB" w:rsidRPr="00CB27E2">
              <w:rPr>
                <w:rStyle w:val="FootnoteReference"/>
                <w:rFonts w:ascii="Times New Roman" w:hAnsi="Times New Roman" w:cs="Times New Roman"/>
                <w:noProof/>
                <w:sz w:val="24"/>
                <w:szCs w:val="24"/>
              </w:rPr>
              <w:footnoteReference w:id="35"/>
            </w:r>
            <w:r>
              <w:rPr>
                <w:rFonts w:ascii="Times New Roman" w:hAnsi="Times New Roman"/>
                <w:noProof/>
                <w:sz w:val="24"/>
                <w:szCs w:val="24"/>
              </w:rPr>
              <w:t xml:space="preserve">. </w:t>
            </w:r>
          </w:p>
        </w:tc>
      </w:tr>
    </w:tbl>
    <w:p w14:paraId="290F2C2F" w14:textId="77777777" w:rsidR="00AF0F49" w:rsidRPr="009C5BF1" w:rsidRDefault="00AF0F49" w:rsidP="00C97375">
      <w:pPr>
        <w:spacing w:after="0" w:line="240" w:lineRule="auto"/>
        <w:jc w:val="both"/>
        <w:rPr>
          <w:rFonts w:ascii="Times New Roman" w:hAnsi="Times New Roman" w:cs="Times New Roman"/>
          <w:bCs/>
          <w:noProof/>
          <w:sz w:val="40"/>
          <w:szCs w:val="36"/>
        </w:rPr>
      </w:pPr>
    </w:p>
    <w:p w14:paraId="461ED586" w14:textId="77777777" w:rsidR="00DF7615" w:rsidRPr="00CB27E2" w:rsidRDefault="00DF7615" w:rsidP="00195439">
      <w:pPr>
        <w:spacing w:after="0" w:line="240" w:lineRule="auto"/>
        <w:ind w:firstLine="426"/>
        <w:jc w:val="both"/>
        <w:rPr>
          <w:rFonts w:ascii="Times New Roman" w:hAnsi="Times New Roman" w:cs="Times New Roman"/>
          <w:bCs/>
          <w:noProof/>
          <w:sz w:val="24"/>
          <w:szCs w:val="24"/>
        </w:rPr>
      </w:pPr>
      <w:r>
        <w:rPr>
          <w:rFonts w:ascii="Times New Roman" w:hAnsi="Times New Roman"/>
          <w:bCs/>
          <w:noProof/>
          <w:sz w:val="24"/>
          <w:szCs w:val="24"/>
        </w:rPr>
        <w:t xml:space="preserve">Въпреки че </w:t>
      </w:r>
      <w:r>
        <w:rPr>
          <w:rFonts w:ascii="Times New Roman" w:hAnsi="Times New Roman"/>
          <w:bCs/>
          <w:noProof/>
          <w:color w:val="000000" w:themeColor="text1"/>
          <w:sz w:val="24"/>
          <w:szCs w:val="24"/>
        </w:rPr>
        <w:t>ИССРМС — </w:t>
      </w:r>
      <w:r>
        <w:rPr>
          <w:rFonts w:ascii="Times New Roman" w:hAnsi="Times New Roman"/>
          <w:bCs/>
          <w:noProof/>
          <w:sz w:val="24"/>
          <w:szCs w:val="24"/>
        </w:rPr>
        <w:t xml:space="preserve">Глобална Европа е в основата на </w:t>
      </w:r>
      <w:r>
        <w:rPr>
          <w:rFonts w:ascii="Times New Roman" w:hAnsi="Times New Roman"/>
          <w:noProof/>
          <w:sz w:val="24"/>
          <w:szCs w:val="24"/>
        </w:rPr>
        <w:t>подобренията</w:t>
      </w:r>
      <w:r>
        <w:rPr>
          <w:rFonts w:ascii="Times New Roman" w:hAnsi="Times New Roman"/>
          <w:bCs/>
          <w:noProof/>
          <w:sz w:val="24"/>
          <w:szCs w:val="24"/>
        </w:rPr>
        <w:t xml:space="preserve"> на настоящата финансова архитектура, Комисията ще предприеме допълнителни действия за постигане на по-голямо въздействие и подобряване на управлението на политиката, координацията, приобщаването и видимостта.</w:t>
      </w:r>
    </w:p>
    <w:p w14:paraId="27F25657" w14:textId="77777777" w:rsidR="00AF0F49" w:rsidRPr="00CB27E2" w:rsidRDefault="00AF0F49" w:rsidP="00C97375">
      <w:pPr>
        <w:spacing w:after="0" w:line="240" w:lineRule="auto"/>
        <w:jc w:val="both"/>
        <w:rPr>
          <w:rFonts w:ascii="Times New Roman" w:hAnsi="Times New Roman" w:cs="Times New Roman"/>
          <w:bCs/>
          <w:noProof/>
          <w:sz w:val="24"/>
          <w:szCs w:val="24"/>
        </w:rPr>
      </w:pPr>
    </w:p>
    <w:p w14:paraId="16E70739" w14:textId="0048B52E" w:rsidR="00DF7615" w:rsidRPr="00CB27E2" w:rsidRDefault="00446B41" w:rsidP="00446B41">
      <w:pPr>
        <w:pStyle w:val="Heading4"/>
        <w:rPr>
          <w:rFonts w:cs="Times New Roman"/>
          <w:noProof/>
        </w:rPr>
      </w:pPr>
      <w:r w:rsidRPr="00446B41">
        <w:t>2.2.2</w:t>
      </w:r>
      <w:r w:rsidRPr="00446B41">
        <w:tab/>
      </w:r>
      <w:r w:rsidR="006C7E63">
        <w:rPr>
          <w:noProof/>
        </w:rPr>
        <w:t>Мерки за утвърждаване на стабилно управление на политиката на ЕС</w:t>
      </w:r>
    </w:p>
    <w:p w14:paraId="380CD15A" w14:textId="77777777" w:rsidR="00DF7615" w:rsidRPr="00CB27E2" w:rsidRDefault="00DF7615" w:rsidP="009C5BF1">
      <w:pPr>
        <w:spacing w:after="200" w:line="240" w:lineRule="auto"/>
        <w:jc w:val="both"/>
        <w:rPr>
          <w:rFonts w:ascii="Times New Roman" w:hAnsi="Times New Roman" w:cs="Times New Roman"/>
          <w:noProof/>
          <w:color w:val="000000" w:themeColor="text1"/>
          <w:spacing w:val="-2"/>
          <w:sz w:val="24"/>
          <w:szCs w:val="24"/>
        </w:rPr>
      </w:pPr>
      <w:r>
        <w:rPr>
          <w:rFonts w:ascii="Times New Roman" w:hAnsi="Times New Roman"/>
          <w:noProof/>
          <w:sz w:val="24"/>
          <w:szCs w:val="24"/>
        </w:rPr>
        <w:t xml:space="preserve">В настоящия раздел са представени допълнителните действия, насочени към укрепване на „управлението на политиката на ЕС“, в допълнение към посочените в раздела, свързан с </w:t>
      </w:r>
      <w:r>
        <w:rPr>
          <w:rFonts w:ascii="Times New Roman" w:hAnsi="Times New Roman"/>
          <w:bCs/>
          <w:noProof/>
          <w:color w:val="000000" w:themeColor="text1"/>
          <w:sz w:val="24"/>
          <w:szCs w:val="24"/>
        </w:rPr>
        <w:t>ИССРМС — </w:t>
      </w:r>
      <w:r>
        <w:rPr>
          <w:rFonts w:ascii="Times New Roman" w:hAnsi="Times New Roman"/>
          <w:noProof/>
          <w:sz w:val="24"/>
          <w:szCs w:val="24"/>
        </w:rPr>
        <w:t>Глобална Европа и с други стратегически документи</w:t>
      </w:r>
      <w:r>
        <w:rPr>
          <w:rFonts w:ascii="Times New Roman" w:hAnsi="Times New Roman"/>
          <w:noProof/>
          <w:color w:val="000000" w:themeColor="text1"/>
          <w:sz w:val="24"/>
          <w:szCs w:val="24"/>
        </w:rPr>
        <w:t>.</w:t>
      </w:r>
    </w:p>
    <w:p w14:paraId="5EC833A6" w14:textId="77777777" w:rsidR="003F16E5" w:rsidRPr="00CB27E2" w:rsidRDefault="00132567" w:rsidP="009C5BF1">
      <w:pPr>
        <w:keepNext/>
        <w:spacing w:after="200" w:line="240" w:lineRule="auto"/>
        <w:jc w:val="both"/>
        <w:rPr>
          <w:rFonts w:ascii="Times New Roman" w:hAnsi="Times New Roman" w:cs="Times New Roman"/>
          <w:b/>
          <w:noProof/>
          <w:color w:val="0070C0"/>
          <w:spacing w:val="-2"/>
          <w:sz w:val="24"/>
        </w:rPr>
      </w:pPr>
      <w:r>
        <w:rPr>
          <w:rFonts w:ascii="Times New Roman" w:hAnsi="Times New Roman"/>
          <w:b/>
          <w:noProof/>
          <w:color w:val="0070C0"/>
          <w:sz w:val="24"/>
        </w:rPr>
        <w:t>Заемане на единна позиция в многостранните финансови институции</w:t>
      </w:r>
    </w:p>
    <w:p w14:paraId="41724BDC" w14:textId="77777777" w:rsidR="00DF7615" w:rsidRPr="00AA3E7A" w:rsidRDefault="003F16E5" w:rsidP="00C97375">
      <w:pPr>
        <w:spacing w:after="0" w:line="240" w:lineRule="auto"/>
        <w:jc w:val="both"/>
        <w:rPr>
          <w:rFonts w:ascii="Times New Roman" w:hAnsi="Times New Roman" w:cs="Times New Roman"/>
          <w:noProof/>
          <w:color w:val="000000" w:themeColor="text1"/>
          <w:spacing w:val="-12"/>
          <w:sz w:val="24"/>
          <w:szCs w:val="24"/>
        </w:rPr>
      </w:pPr>
      <w:r w:rsidRPr="00AA3E7A">
        <w:rPr>
          <w:rFonts w:ascii="Times New Roman" w:hAnsi="Times New Roman"/>
          <w:noProof/>
          <w:color w:val="000000" w:themeColor="text1"/>
          <w:spacing w:val="-12"/>
          <w:sz w:val="24"/>
          <w:szCs w:val="24"/>
        </w:rPr>
        <w:t xml:space="preserve">В рамките на ЕС, що се отнася до съставите на Съвета, Комисията и ВП/ЗП подкрепят искането, изразено от няколко държави членки, че в обсъжданията в рамките на Съвета на финансирането за развитието следва да участват съответните два състава: Съветът по икономически и финансови въпроси (ECOFIN) и Съветът по външни работи (СВР — състав „Развитие“). По такъв начин ще се гарантира, че всички относими аспекти (финансова устойчивост, външна политика и въздействие върху развитието) са отчетени по въпросите, свързани с финансирането за развитие, и ще се улесни изработването на позиция на ЕС. Това може да допринесе за заемането на обща позиция в многостранните финансови институции. </w:t>
      </w:r>
      <w:r w:rsidRPr="00AA3E7A">
        <w:rPr>
          <w:rFonts w:ascii="Times New Roman" w:hAnsi="Times New Roman"/>
          <w:noProof/>
          <w:spacing w:val="-12"/>
          <w:sz w:val="24"/>
          <w:szCs w:val="24"/>
        </w:rPr>
        <w:t>Последното придобива още по-голямо значение със стартирането на Global Gateway, чрез който се цели прилагане на хоризонтален подход за постигане на стратегическите приоритети на ЕС чрез подкрепа за инвестиции в трети държави, обхващащи както помощта за развитие, така и тази, която не е за развитие.</w:t>
      </w:r>
    </w:p>
    <w:p w14:paraId="58D5079E" w14:textId="77777777" w:rsidR="000E732F" w:rsidRPr="00CB27E2" w:rsidRDefault="000E732F" w:rsidP="00C97375">
      <w:pPr>
        <w:spacing w:after="0" w:line="240" w:lineRule="auto"/>
        <w:jc w:val="both"/>
        <w:rPr>
          <w:rFonts w:ascii="Times New Roman" w:hAnsi="Times New Roman" w:cs="Times New Roman"/>
          <w:noProof/>
          <w:color w:val="000000" w:themeColor="text1"/>
          <w:sz w:val="24"/>
          <w:szCs w:val="24"/>
        </w:rPr>
      </w:pPr>
    </w:p>
    <w:p w14:paraId="7F922A49" w14:textId="77777777" w:rsidR="00560CF7" w:rsidRPr="00CB27E2" w:rsidRDefault="000E732F" w:rsidP="00C97375">
      <w:pPr>
        <w:spacing w:after="0" w:line="240" w:lineRule="auto"/>
        <w:jc w:val="both"/>
        <w:rPr>
          <w:rFonts w:ascii="Times New Roman" w:hAnsi="Times New Roman" w:cs="Times New Roman"/>
          <w:noProof/>
          <w:color w:val="000000" w:themeColor="text1"/>
          <w:spacing w:val="-4"/>
          <w:sz w:val="24"/>
          <w:szCs w:val="24"/>
        </w:rPr>
      </w:pPr>
      <w:r>
        <w:rPr>
          <w:rFonts w:ascii="Times New Roman" w:hAnsi="Times New Roman"/>
          <w:noProof/>
          <w:color w:val="000000" w:themeColor="text1"/>
          <w:sz w:val="24"/>
          <w:szCs w:val="24"/>
        </w:rPr>
        <w:t xml:space="preserve">На международно равнище е от съществено значение да се осигури </w:t>
      </w:r>
      <w:r>
        <w:rPr>
          <w:rFonts w:ascii="Times New Roman" w:hAnsi="Times New Roman"/>
          <w:b/>
          <w:noProof/>
          <w:color w:val="000000" w:themeColor="text1"/>
          <w:sz w:val="24"/>
          <w:szCs w:val="24"/>
        </w:rPr>
        <w:t>ефикасна, координирана и съгласувана комуникация относно политическите приоритети на ЕС в рамките на форумите и органите, в които са представени множество европейски участници.</w:t>
      </w:r>
      <w:r>
        <w:rPr>
          <w:rFonts w:ascii="Times New Roman" w:hAnsi="Times New Roman"/>
          <w:noProof/>
          <w:color w:val="000000" w:themeColor="text1"/>
          <w:sz w:val="24"/>
          <w:szCs w:val="24"/>
        </w:rPr>
        <w:t xml:space="preserve"> ЕС и неговите държави членки</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 xml:space="preserve">следва </w:t>
      </w:r>
      <w:r>
        <w:rPr>
          <w:rFonts w:ascii="Times New Roman" w:hAnsi="Times New Roman"/>
          <w:b/>
          <w:noProof/>
          <w:color w:val="000000" w:themeColor="text1"/>
          <w:sz w:val="24"/>
          <w:szCs w:val="24"/>
        </w:rPr>
        <w:t>да заемат единна позиция</w:t>
      </w:r>
      <w:r>
        <w:rPr>
          <w:rFonts w:ascii="Times New Roman" w:hAnsi="Times New Roman"/>
          <w:noProof/>
          <w:color w:val="000000" w:themeColor="text1"/>
          <w:sz w:val="24"/>
          <w:szCs w:val="24"/>
        </w:rPr>
        <w:t xml:space="preserve">, за да увеличат в максимална степен своето въздействие и влияние. ЕС следва да продължи да насърчава партньорствата с различни европейски и международни финансови институции в рамките на широка програма за реформи и ключови политически приоритети. По същия начин следва да се търсят общи позиции относно стратегическите планове на всички многостранни банки за развитие, в които като акционери участват държави — членки на ЕС. </w:t>
      </w:r>
    </w:p>
    <w:p w14:paraId="256D3652" w14:textId="77777777" w:rsidR="00560CF7" w:rsidRPr="00CB27E2" w:rsidRDefault="00560CF7" w:rsidP="00C97375">
      <w:pPr>
        <w:spacing w:after="0" w:line="240" w:lineRule="auto"/>
        <w:jc w:val="both"/>
        <w:rPr>
          <w:rFonts w:ascii="Times New Roman" w:hAnsi="Times New Roman" w:cs="Times New Roman"/>
          <w:noProof/>
          <w:color w:val="000000" w:themeColor="text1"/>
          <w:spacing w:val="-4"/>
          <w:sz w:val="24"/>
          <w:szCs w:val="24"/>
        </w:rPr>
      </w:pPr>
    </w:p>
    <w:tbl>
      <w:tblPr>
        <w:tblStyle w:val="TableGrid"/>
        <w:tblW w:w="0" w:type="auto"/>
        <w:shd w:val="clear" w:color="auto" w:fill="DEEAF6" w:themeFill="accent1" w:themeFillTint="33"/>
        <w:tblLook w:val="04A0" w:firstRow="1" w:lastRow="0" w:firstColumn="1" w:lastColumn="0" w:noHBand="0" w:noVBand="1"/>
      </w:tblPr>
      <w:tblGrid>
        <w:gridCol w:w="9210"/>
      </w:tblGrid>
      <w:tr w:rsidR="00A70C88" w:rsidRPr="00CB27E2" w14:paraId="6AF7D8B8" w14:textId="77777777" w:rsidTr="00883A2B">
        <w:tc>
          <w:tcPr>
            <w:tcW w:w="9210" w:type="dxa"/>
            <w:shd w:val="clear" w:color="auto" w:fill="DEEAF6" w:themeFill="accent1" w:themeFillTint="33"/>
          </w:tcPr>
          <w:p w14:paraId="69C9AEBE" w14:textId="77777777" w:rsidR="00425D98" w:rsidRPr="00CB27E2" w:rsidRDefault="00425D98" w:rsidP="00A70C88">
            <w:pPr>
              <w:jc w:val="both"/>
              <w:rPr>
                <w:rFonts w:ascii="Times New Roman" w:hAnsi="Times New Roman" w:cs="Times New Roman"/>
                <w:noProof/>
                <w:color w:val="000000" w:themeColor="text1"/>
                <w:spacing w:val="-2"/>
                <w:sz w:val="24"/>
                <w:szCs w:val="24"/>
                <w:u w:val="single"/>
              </w:rPr>
            </w:pPr>
            <w:r>
              <w:rPr>
                <w:rFonts w:ascii="Times New Roman" w:hAnsi="Times New Roman"/>
                <w:bCs/>
                <w:noProof/>
                <w:color w:val="000000" w:themeColor="text1"/>
                <w:sz w:val="24"/>
                <w:szCs w:val="24"/>
                <w:u w:val="single"/>
              </w:rPr>
              <w:t>Пътна карта</w:t>
            </w:r>
            <w:r>
              <w:rPr>
                <w:rFonts w:ascii="Times New Roman" w:hAnsi="Times New Roman"/>
                <w:noProof/>
                <w:color w:val="000000" w:themeColor="text1"/>
                <w:sz w:val="24"/>
                <w:szCs w:val="24"/>
                <w:u w:val="single"/>
              </w:rPr>
              <w:t>:</w:t>
            </w:r>
          </w:p>
          <w:p w14:paraId="7941AFBF" w14:textId="77777777" w:rsidR="005935D6" w:rsidRPr="00CB27E2" w:rsidRDefault="005935D6" w:rsidP="005935D6">
            <w:pPr>
              <w:jc w:val="both"/>
              <w:rPr>
                <w:rFonts w:ascii="Times New Roman" w:hAnsi="Times New Roman" w:cs="Times New Roman"/>
                <w:noProof/>
                <w:sz w:val="24"/>
                <w:szCs w:val="24"/>
              </w:rPr>
            </w:pPr>
            <w:r>
              <w:rPr>
                <w:rFonts w:ascii="Times New Roman" w:hAnsi="Times New Roman"/>
                <w:noProof/>
                <w:sz w:val="24"/>
                <w:szCs w:val="24"/>
              </w:rPr>
              <w:t xml:space="preserve">Комисията ще: </w:t>
            </w:r>
          </w:p>
          <w:p w14:paraId="680034D6" w14:textId="77777777" w:rsidR="00A70C88" w:rsidRPr="00AA3E7A" w:rsidRDefault="00E11840" w:rsidP="006607A8">
            <w:pPr>
              <w:pStyle w:val="ListParagraph"/>
              <w:numPr>
                <w:ilvl w:val="0"/>
                <w:numId w:val="6"/>
              </w:numPr>
              <w:jc w:val="both"/>
              <w:rPr>
                <w:rFonts w:ascii="Times New Roman" w:hAnsi="Times New Roman" w:cs="Times New Roman"/>
                <w:noProof/>
                <w:color w:val="000000" w:themeColor="text1"/>
                <w:spacing w:val="-12"/>
                <w:sz w:val="24"/>
                <w:szCs w:val="24"/>
              </w:rPr>
            </w:pPr>
            <w:r w:rsidRPr="00AA3E7A">
              <w:rPr>
                <w:rFonts w:ascii="Times New Roman" w:hAnsi="Times New Roman"/>
                <w:noProof/>
                <w:color w:val="000000" w:themeColor="text1"/>
                <w:spacing w:val="-12"/>
                <w:sz w:val="24"/>
                <w:szCs w:val="24"/>
              </w:rPr>
              <w:t xml:space="preserve">извърши допълнително проучване на възможностите за координация между ЕС и неговите държави членки, за да се гарантира популяризирането на ценностите и стратегическите цели на ЕС, както и постигането на </w:t>
            </w:r>
            <w:r w:rsidRPr="00AA3E7A">
              <w:rPr>
                <w:rFonts w:ascii="Times New Roman" w:hAnsi="Times New Roman"/>
                <w:bCs/>
                <w:noProof/>
                <w:color w:val="000000" w:themeColor="text1"/>
                <w:spacing w:val="-12"/>
                <w:sz w:val="24"/>
                <w:szCs w:val="24"/>
              </w:rPr>
              <w:t xml:space="preserve">общи позиции в международните и многостранните финансови институции. </w:t>
            </w:r>
            <w:r w:rsidRPr="00AA3E7A">
              <w:rPr>
                <w:rFonts w:ascii="Times New Roman" w:hAnsi="Times New Roman"/>
                <w:noProof/>
                <w:color w:val="000000" w:themeColor="text1"/>
                <w:spacing w:val="-12"/>
                <w:sz w:val="24"/>
                <w:szCs w:val="24"/>
              </w:rPr>
              <w:t xml:space="preserve">За тази цел Комисията ще се възползва от натрупания опит в областта на координацията с европейските изпълнителни директори в Международния валутен фонд (МВФ), Групата на Световната банка (ГСБ) и </w:t>
            </w:r>
            <w:r w:rsidRPr="00AA3E7A">
              <w:rPr>
                <w:rFonts w:ascii="Times New Roman" w:hAnsi="Times New Roman"/>
                <w:bCs/>
                <w:noProof/>
                <w:color w:val="000000" w:themeColor="text1"/>
                <w:spacing w:val="-12"/>
                <w:sz w:val="24"/>
                <w:szCs w:val="24"/>
              </w:rPr>
              <w:t>ЕБВР</w:t>
            </w:r>
            <w:r w:rsidRPr="00AA3E7A">
              <w:rPr>
                <w:rFonts w:ascii="Times New Roman" w:hAnsi="Times New Roman"/>
                <w:noProof/>
                <w:color w:val="000000" w:themeColor="text1"/>
                <w:spacing w:val="-12"/>
                <w:sz w:val="24"/>
                <w:szCs w:val="24"/>
              </w:rPr>
              <w:t>.</w:t>
            </w:r>
          </w:p>
        </w:tc>
      </w:tr>
    </w:tbl>
    <w:p w14:paraId="41420906" w14:textId="77777777" w:rsidR="00A70C88" w:rsidRPr="00CB27E2" w:rsidRDefault="00A70C88" w:rsidP="00C97375">
      <w:pPr>
        <w:spacing w:after="0" w:line="240" w:lineRule="auto"/>
        <w:jc w:val="both"/>
        <w:rPr>
          <w:rFonts w:ascii="Times New Roman" w:hAnsi="Times New Roman" w:cs="Times New Roman"/>
          <w:noProof/>
          <w:color w:val="000000" w:themeColor="text1"/>
          <w:spacing w:val="-4"/>
          <w:sz w:val="24"/>
          <w:szCs w:val="24"/>
        </w:rPr>
      </w:pP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AF0F49" w:rsidRPr="00CB27E2" w14:paraId="4E3A7088" w14:textId="77777777" w:rsidTr="00AF0F49">
        <w:tc>
          <w:tcPr>
            <w:tcW w:w="9210" w:type="dxa"/>
            <w:shd w:val="clear" w:color="auto" w:fill="D9D9D9" w:themeFill="background1" w:themeFillShade="D9"/>
          </w:tcPr>
          <w:p w14:paraId="1D610087" w14:textId="77777777" w:rsidR="00AF0F49" w:rsidRPr="00CB27E2" w:rsidRDefault="00AF0F49" w:rsidP="005C2585">
            <w:pPr>
              <w:jc w:val="both"/>
              <w:rPr>
                <w:rFonts w:ascii="Times New Roman" w:hAnsi="Times New Roman" w:cs="Times New Roman"/>
                <w:noProof/>
                <w:spacing w:val="-2"/>
                <w:sz w:val="24"/>
                <w:szCs w:val="24"/>
                <w:u w:val="single"/>
              </w:rPr>
            </w:pPr>
            <w:r>
              <w:rPr>
                <w:rFonts w:ascii="Times New Roman" w:hAnsi="Times New Roman"/>
                <w:noProof/>
                <w:sz w:val="24"/>
                <w:szCs w:val="24"/>
                <w:u w:val="single"/>
              </w:rPr>
              <w:t xml:space="preserve">Доклад за </w:t>
            </w:r>
            <w:r>
              <w:rPr>
                <w:rFonts w:ascii="Times New Roman" w:hAnsi="Times New Roman"/>
                <w:bCs/>
                <w:noProof/>
                <w:sz w:val="24"/>
                <w:szCs w:val="24"/>
                <w:u w:val="single"/>
              </w:rPr>
              <w:t>напредъка</w:t>
            </w:r>
            <w:r>
              <w:rPr>
                <w:rFonts w:ascii="Times New Roman" w:hAnsi="Times New Roman"/>
                <w:noProof/>
                <w:sz w:val="24"/>
                <w:szCs w:val="24"/>
                <w:u w:val="single"/>
              </w:rPr>
              <w:t xml:space="preserve"> за 2021 г.: </w:t>
            </w:r>
          </w:p>
          <w:p w14:paraId="2D5DEA40" w14:textId="77777777" w:rsidR="00AF0F49" w:rsidRPr="00CB27E2" w:rsidRDefault="00AF0F49" w:rsidP="001C64DC">
            <w:pPr>
              <w:keepNext/>
              <w:jc w:val="both"/>
              <w:rPr>
                <w:rFonts w:ascii="Times New Roman" w:hAnsi="Times New Roman" w:cs="Times New Roman"/>
                <w:noProof/>
                <w:spacing w:val="-3"/>
                <w:sz w:val="24"/>
              </w:rPr>
            </w:pPr>
            <w:r>
              <w:rPr>
                <w:rFonts w:ascii="Times New Roman" w:hAnsi="Times New Roman"/>
                <w:noProof/>
                <w:sz w:val="24"/>
              </w:rPr>
              <w:t xml:space="preserve">Комисията: </w:t>
            </w:r>
          </w:p>
          <w:p w14:paraId="06F05D5D" w14:textId="77777777" w:rsidR="00AF0F49" w:rsidRPr="00AA3E7A" w:rsidRDefault="000B1252" w:rsidP="000B1252">
            <w:pPr>
              <w:pStyle w:val="ListParagraph"/>
              <w:numPr>
                <w:ilvl w:val="0"/>
                <w:numId w:val="6"/>
              </w:numPr>
              <w:spacing w:after="120"/>
              <w:jc w:val="both"/>
              <w:rPr>
                <w:rFonts w:ascii="Times New Roman" w:hAnsi="Times New Roman" w:cs="Times New Roman"/>
                <w:noProof/>
                <w:spacing w:val="-8"/>
                <w:sz w:val="24"/>
                <w:szCs w:val="24"/>
              </w:rPr>
            </w:pPr>
            <w:r w:rsidRPr="00AA3E7A">
              <w:rPr>
                <w:rFonts w:ascii="Times New Roman" w:hAnsi="Times New Roman"/>
                <w:noProof/>
                <w:spacing w:val="-8"/>
                <w:sz w:val="24"/>
                <w:szCs w:val="24"/>
              </w:rPr>
              <w:t xml:space="preserve">предостави предварителна информация преди заседанията на управителния съвет и проведе координационни срещи с изпълнителни директори от ЕС съответно в Групата на Световната банка, ЕБВР и МВФ, като призова за общи позиции по редица въпроси. </w:t>
            </w:r>
          </w:p>
        </w:tc>
      </w:tr>
    </w:tbl>
    <w:p w14:paraId="32FBF0A4" w14:textId="77777777" w:rsidR="00AF0F49" w:rsidRPr="00CB27E2" w:rsidRDefault="00AF0F49" w:rsidP="00C97375">
      <w:pPr>
        <w:spacing w:after="0" w:line="240" w:lineRule="auto"/>
        <w:jc w:val="both"/>
        <w:rPr>
          <w:rFonts w:ascii="Times New Roman" w:hAnsi="Times New Roman" w:cs="Times New Roman"/>
          <w:noProof/>
          <w:color w:val="000000" w:themeColor="text1"/>
          <w:spacing w:val="-4"/>
          <w:sz w:val="24"/>
          <w:szCs w:val="24"/>
        </w:rPr>
      </w:pPr>
    </w:p>
    <w:p w14:paraId="064B9840" w14:textId="6E2E4638" w:rsidR="006C7E63" w:rsidRPr="00CB27E2" w:rsidRDefault="00446B41" w:rsidP="00446B41">
      <w:pPr>
        <w:pStyle w:val="Heading4"/>
        <w:rPr>
          <w:rFonts w:cs="Times New Roman"/>
          <w:noProof/>
        </w:rPr>
      </w:pPr>
      <w:r w:rsidRPr="00446B41">
        <w:t>2.2.3</w:t>
      </w:r>
      <w:r w:rsidRPr="00446B41">
        <w:tab/>
      </w:r>
      <w:r w:rsidR="006C7E63">
        <w:rPr>
          <w:noProof/>
        </w:rPr>
        <w:t>Мерки за насърчаване на засилената координация</w:t>
      </w:r>
    </w:p>
    <w:p w14:paraId="1D1C8C78" w14:textId="51BBB8D5" w:rsidR="00DF7615" w:rsidRPr="00CB27E2" w:rsidRDefault="00DF7615" w:rsidP="00C97375">
      <w:pPr>
        <w:spacing w:after="0" w:line="240" w:lineRule="auto"/>
        <w:jc w:val="both"/>
        <w:rPr>
          <w:rFonts w:ascii="Times New Roman" w:hAnsi="Times New Roman" w:cs="Times New Roman"/>
          <w:noProof/>
          <w:color w:val="000000" w:themeColor="text1"/>
          <w:spacing w:val="-2"/>
          <w:sz w:val="24"/>
          <w:szCs w:val="24"/>
        </w:rPr>
      </w:pPr>
      <w:r>
        <w:rPr>
          <w:rFonts w:ascii="Times New Roman" w:hAnsi="Times New Roman"/>
          <w:noProof/>
          <w:color w:val="000000" w:themeColor="text1"/>
          <w:sz w:val="24"/>
          <w:szCs w:val="24"/>
        </w:rPr>
        <w:t xml:space="preserve">В този раздел са представени допълнителните действия, насочени към засилване на координацията между заинтересованите страни в европейската финансова архитектура за развитие, освен вече посочените </w:t>
      </w:r>
      <w:r>
        <w:rPr>
          <w:rFonts w:ascii="Times New Roman" w:hAnsi="Times New Roman"/>
          <w:noProof/>
          <w:sz w:val="24"/>
          <w:szCs w:val="24"/>
        </w:rPr>
        <w:t>в раздела относно</w:t>
      </w:r>
      <w:r w:rsidR="00C743E4" w:rsidRPr="00C743E4">
        <w:rPr>
          <w:rFonts w:ascii="Times New Roman" w:hAnsi="Times New Roman"/>
          <w:noProof/>
          <w:sz w:val="24"/>
          <w:szCs w:val="24"/>
        </w:rPr>
        <w:t xml:space="preserve"> </w:t>
      </w:r>
      <w:r>
        <w:rPr>
          <w:rFonts w:ascii="Times New Roman" w:hAnsi="Times New Roman"/>
          <w:bCs/>
          <w:noProof/>
          <w:color w:val="000000" w:themeColor="text1"/>
          <w:sz w:val="24"/>
          <w:szCs w:val="24"/>
        </w:rPr>
        <w:t xml:space="preserve">ИССРМС — </w:t>
      </w:r>
      <w:r>
        <w:rPr>
          <w:rFonts w:ascii="Times New Roman" w:hAnsi="Times New Roman"/>
          <w:noProof/>
          <w:sz w:val="24"/>
          <w:szCs w:val="24"/>
        </w:rPr>
        <w:t xml:space="preserve">Глобална Европа и в други стратегически документи </w:t>
      </w:r>
      <w:r>
        <w:rPr>
          <w:rFonts w:ascii="Times New Roman" w:hAnsi="Times New Roman"/>
          <w:noProof/>
          <w:color w:val="000000" w:themeColor="text1"/>
          <w:sz w:val="24"/>
          <w:szCs w:val="24"/>
        </w:rPr>
        <w:t>.</w:t>
      </w:r>
    </w:p>
    <w:p w14:paraId="6B459A6D" w14:textId="77777777" w:rsidR="006C7E63" w:rsidRPr="00CB27E2" w:rsidRDefault="006C7E63" w:rsidP="00C97375">
      <w:pPr>
        <w:spacing w:after="0" w:line="240" w:lineRule="auto"/>
        <w:jc w:val="both"/>
        <w:rPr>
          <w:rFonts w:ascii="Times New Roman" w:hAnsi="Times New Roman" w:cs="Times New Roman"/>
          <w:noProof/>
          <w:color w:val="000000" w:themeColor="text1"/>
          <w:spacing w:val="-2"/>
          <w:sz w:val="24"/>
          <w:szCs w:val="24"/>
        </w:rPr>
      </w:pPr>
    </w:p>
    <w:p w14:paraId="684248B2" w14:textId="77777777" w:rsidR="00114805" w:rsidRPr="00CB27E2" w:rsidRDefault="00C0020F" w:rsidP="00C6212B">
      <w:pPr>
        <w:keepNext/>
        <w:spacing w:after="0" w:line="240" w:lineRule="auto"/>
        <w:jc w:val="both"/>
        <w:rPr>
          <w:rFonts w:ascii="Times New Roman" w:hAnsi="Times New Roman" w:cs="Times New Roman"/>
          <w:b/>
          <w:noProof/>
          <w:color w:val="0070C0"/>
          <w:spacing w:val="-2"/>
          <w:sz w:val="24"/>
          <w:szCs w:val="24"/>
        </w:rPr>
      </w:pPr>
      <w:r>
        <w:rPr>
          <w:rFonts w:ascii="Times New Roman" w:hAnsi="Times New Roman"/>
          <w:b/>
          <w:noProof/>
          <w:color w:val="0070C0"/>
          <w:sz w:val="24"/>
          <w:szCs w:val="24"/>
        </w:rPr>
        <w:t>Засилена координация на национално и регионално равнище</w:t>
      </w:r>
    </w:p>
    <w:p w14:paraId="51EBD3AB" w14:textId="77777777" w:rsidR="00114805" w:rsidRPr="00CB27E2" w:rsidRDefault="00114805" w:rsidP="00C6212B">
      <w:pPr>
        <w:keepNext/>
        <w:spacing w:after="0" w:line="240" w:lineRule="auto"/>
        <w:jc w:val="both"/>
        <w:rPr>
          <w:rFonts w:ascii="Times New Roman" w:hAnsi="Times New Roman" w:cs="Times New Roman"/>
          <w:noProof/>
          <w:color w:val="000000" w:themeColor="text1"/>
          <w:spacing w:val="-2"/>
          <w:sz w:val="24"/>
          <w:szCs w:val="24"/>
        </w:rPr>
      </w:pPr>
    </w:p>
    <w:p w14:paraId="5F241C63" w14:textId="77777777" w:rsidR="00533E2F" w:rsidRPr="00CB27E2" w:rsidRDefault="00533E2F" w:rsidP="00533E2F">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В съответствие със засиления акцент върху географския подход, когато се взимат решения относно проекти, които да бъдат обхванати от финансови инструменти, трябва да бъдат отчетени специфичните особености на държавата или региона (включително например въпросите, свързани с устойчивостта на обслужването на дълга), видът на необходимите инвестиции и финансовата(ите) институция(и), която(ито) ще участва(т). </w:t>
      </w:r>
      <w:r>
        <w:rPr>
          <w:rFonts w:ascii="Times New Roman" w:hAnsi="Times New Roman"/>
          <w:noProof/>
          <w:sz w:val="24"/>
          <w:szCs w:val="24"/>
        </w:rPr>
        <w:t xml:space="preserve">Насърчаването на по-тясна координация на национално и регионално равнище </w:t>
      </w:r>
      <w:r>
        <w:rPr>
          <w:rFonts w:ascii="Times New Roman" w:hAnsi="Times New Roman"/>
          <w:noProof/>
          <w:color w:val="000000" w:themeColor="text1"/>
          <w:sz w:val="24"/>
          <w:szCs w:val="24"/>
        </w:rPr>
        <w:t xml:space="preserve">следователно ще е от решаващо значение. </w:t>
      </w:r>
    </w:p>
    <w:p w14:paraId="0761F6EF" w14:textId="77777777" w:rsidR="00533E2F" w:rsidRPr="00CB27E2" w:rsidRDefault="00533E2F" w:rsidP="00C97375">
      <w:pPr>
        <w:spacing w:after="0" w:line="240" w:lineRule="auto"/>
        <w:jc w:val="both"/>
        <w:rPr>
          <w:rFonts w:ascii="Times New Roman" w:hAnsi="Times New Roman" w:cs="Times New Roman"/>
          <w:noProof/>
          <w:color w:val="000000" w:themeColor="text1"/>
          <w:spacing w:val="-4"/>
          <w:sz w:val="24"/>
          <w:szCs w:val="24"/>
        </w:rPr>
      </w:pPr>
    </w:p>
    <w:p w14:paraId="544AD0B1" w14:textId="77777777" w:rsidR="00DF7615" w:rsidRPr="00C743E4" w:rsidRDefault="002D2A05" w:rsidP="00C97375">
      <w:pPr>
        <w:spacing w:after="0" w:line="240" w:lineRule="auto"/>
        <w:jc w:val="both"/>
        <w:rPr>
          <w:rFonts w:ascii="Times New Roman" w:eastAsia="Calibri" w:hAnsi="Times New Roman" w:cs="Times New Roman"/>
          <w:noProof/>
          <w:color w:val="000000" w:themeColor="text1"/>
          <w:spacing w:val="-4"/>
          <w:sz w:val="24"/>
          <w:szCs w:val="24"/>
        </w:rPr>
      </w:pPr>
      <w:r w:rsidRPr="00C743E4">
        <w:rPr>
          <w:rFonts w:ascii="Times New Roman" w:hAnsi="Times New Roman"/>
          <w:noProof/>
          <w:color w:val="000000" w:themeColor="text1"/>
          <w:spacing w:val="-4"/>
          <w:sz w:val="24"/>
          <w:szCs w:val="24"/>
        </w:rPr>
        <w:t xml:space="preserve">Въз основа на експертния си опит, придобит на място, делегациите на ЕС следва да играят централна роля за оформянето на инициативите „Екип Европа“ и на други съвместни дейности за сътрудничество в държавите — партньори на ЕС, и в подкрепа на конкретни реформи на политиката. Европейските участници в областта на развитието и финансовите институции следва да разчитат особено и в по-голяма степен на делегациите на ЕС при изграждането на канали за инвестиционни проекти, които могат да имат трансформиращо въздействие върху развитието. Диалогът нагоре по веригата между делегациите на ЕС и ключовите участници в областта на развитието също ще засили съвместното програмиране и изпълнение на национално равнище с европейските партньори. </w:t>
      </w:r>
    </w:p>
    <w:p w14:paraId="5534F409" w14:textId="77777777" w:rsidR="00AA07BE" w:rsidRPr="00CB27E2" w:rsidRDefault="00AA07BE" w:rsidP="00C97375">
      <w:pPr>
        <w:spacing w:after="0" w:line="240" w:lineRule="auto"/>
        <w:jc w:val="both"/>
        <w:rPr>
          <w:rFonts w:ascii="Times New Roman" w:hAnsi="Times New Roman" w:cs="Times New Roman"/>
          <w:noProof/>
          <w:color w:val="000000" w:themeColor="text1"/>
          <w:sz w:val="24"/>
          <w:szCs w:val="24"/>
        </w:rPr>
      </w:pPr>
    </w:p>
    <w:p w14:paraId="6B82E006" w14:textId="77777777" w:rsidR="00AA07BE" w:rsidRPr="00CB27E2" w:rsidRDefault="00AA07BE" w:rsidP="009C5BF1">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Отвъд финансовите инструменти и с цел ускоряване на изграждането на капацитет в партньорските държави </w:t>
      </w:r>
      <w:r>
        <w:rPr>
          <w:rFonts w:ascii="Times New Roman" w:hAnsi="Times New Roman"/>
          <w:bCs/>
          <w:noProof/>
          <w:color w:val="000000" w:themeColor="text1"/>
          <w:sz w:val="24"/>
          <w:szCs w:val="24"/>
        </w:rPr>
        <w:t xml:space="preserve">техническата помощ </w:t>
      </w:r>
      <w:r>
        <w:rPr>
          <w:rFonts w:ascii="Times New Roman" w:hAnsi="Times New Roman"/>
          <w:noProof/>
          <w:color w:val="000000" w:themeColor="text1"/>
          <w:sz w:val="24"/>
          <w:szCs w:val="24"/>
        </w:rPr>
        <w:t xml:space="preserve">също ще бъде засилена, включително чрез мобилизиране на експертния опит на европейския публичен сектор, по-специално в подкрепа на административните и регулативните реформи в държавите партньори и за насърчаване на спазването на европейските и международните стандарти. </w:t>
      </w:r>
    </w:p>
    <w:tbl>
      <w:tblPr>
        <w:tblStyle w:val="TableGrid"/>
        <w:tblW w:w="0" w:type="auto"/>
        <w:shd w:val="clear" w:color="auto" w:fill="DEEAF6" w:themeFill="accent1" w:themeFillTint="33"/>
        <w:tblLook w:val="04A0" w:firstRow="1" w:lastRow="0" w:firstColumn="1" w:lastColumn="0" w:noHBand="0" w:noVBand="1"/>
      </w:tblPr>
      <w:tblGrid>
        <w:gridCol w:w="9166"/>
      </w:tblGrid>
      <w:tr w:rsidR="0000365F" w14:paraId="42BD1B89" w14:textId="77777777" w:rsidTr="0000365F">
        <w:tc>
          <w:tcPr>
            <w:tcW w:w="9166" w:type="dxa"/>
            <w:shd w:val="clear" w:color="auto" w:fill="DEEAF6" w:themeFill="accent1" w:themeFillTint="33"/>
          </w:tcPr>
          <w:p w14:paraId="16D92F75" w14:textId="77777777" w:rsidR="0000365F" w:rsidRPr="00CB27E2" w:rsidRDefault="0000365F" w:rsidP="0000365F">
            <w:pPr>
              <w:jc w:val="both"/>
              <w:rPr>
                <w:rFonts w:ascii="Times New Roman" w:hAnsi="Times New Roman" w:cs="Times New Roman"/>
                <w:noProof/>
                <w:color w:val="000000" w:themeColor="text1"/>
                <w:spacing w:val="-2"/>
                <w:sz w:val="24"/>
                <w:szCs w:val="24"/>
                <w:u w:val="single"/>
              </w:rPr>
            </w:pPr>
            <w:r>
              <w:rPr>
                <w:rFonts w:ascii="Times New Roman" w:hAnsi="Times New Roman"/>
                <w:bCs/>
                <w:noProof/>
                <w:color w:val="000000" w:themeColor="text1"/>
                <w:sz w:val="24"/>
                <w:szCs w:val="24"/>
                <w:u w:val="single"/>
              </w:rPr>
              <w:t>Пътна карта</w:t>
            </w:r>
            <w:r>
              <w:rPr>
                <w:rFonts w:ascii="Times New Roman" w:hAnsi="Times New Roman"/>
                <w:noProof/>
                <w:color w:val="000000" w:themeColor="text1"/>
                <w:sz w:val="24"/>
                <w:szCs w:val="24"/>
                <w:u w:val="single"/>
              </w:rPr>
              <w:t>:</w:t>
            </w:r>
          </w:p>
          <w:p w14:paraId="24FE56ED" w14:textId="77777777" w:rsidR="0000365F" w:rsidRPr="00CB27E2" w:rsidRDefault="0000365F" w:rsidP="0000365F">
            <w:pPr>
              <w:jc w:val="both"/>
              <w:rPr>
                <w:rFonts w:ascii="Times New Roman" w:hAnsi="Times New Roman" w:cs="Times New Roman"/>
                <w:noProof/>
                <w:sz w:val="24"/>
                <w:szCs w:val="24"/>
              </w:rPr>
            </w:pPr>
            <w:r>
              <w:rPr>
                <w:rFonts w:ascii="Times New Roman" w:hAnsi="Times New Roman"/>
                <w:noProof/>
                <w:sz w:val="24"/>
                <w:szCs w:val="24"/>
              </w:rPr>
              <w:t xml:space="preserve">Комисията в координация с ВП/ЗП ще: </w:t>
            </w:r>
          </w:p>
          <w:p w14:paraId="4C597725" w14:textId="77777777" w:rsidR="0000365F" w:rsidRPr="00C743E4" w:rsidRDefault="0000365F" w:rsidP="0000365F">
            <w:pPr>
              <w:pStyle w:val="ListParagraph"/>
              <w:numPr>
                <w:ilvl w:val="0"/>
                <w:numId w:val="6"/>
              </w:numPr>
              <w:jc w:val="both"/>
              <w:rPr>
                <w:rFonts w:ascii="Times New Roman" w:hAnsi="Times New Roman" w:cs="Times New Roman"/>
                <w:noProof/>
                <w:spacing w:val="-4"/>
                <w:sz w:val="24"/>
                <w:szCs w:val="24"/>
              </w:rPr>
            </w:pPr>
            <w:r w:rsidRPr="00C743E4">
              <w:rPr>
                <w:rFonts w:ascii="Times New Roman" w:hAnsi="Times New Roman"/>
                <w:noProof/>
                <w:color w:val="000000" w:themeColor="text1"/>
                <w:spacing w:val="-4"/>
                <w:sz w:val="24"/>
                <w:szCs w:val="24"/>
              </w:rPr>
              <w:t xml:space="preserve">засили </w:t>
            </w:r>
            <w:r w:rsidRPr="00C743E4">
              <w:rPr>
                <w:rFonts w:ascii="Times New Roman" w:hAnsi="Times New Roman"/>
                <w:bCs/>
                <w:noProof/>
                <w:color w:val="000000" w:themeColor="text1"/>
                <w:spacing w:val="-4"/>
                <w:sz w:val="24"/>
                <w:szCs w:val="24"/>
              </w:rPr>
              <w:t xml:space="preserve">допълнително ролята на делегациите на ЕС като координатори/фокусни точки </w:t>
            </w:r>
            <w:r w:rsidRPr="00C743E4">
              <w:rPr>
                <w:rFonts w:ascii="Times New Roman" w:hAnsi="Times New Roman"/>
                <w:noProof/>
                <w:color w:val="000000" w:themeColor="text1"/>
                <w:spacing w:val="-4"/>
                <w:sz w:val="24"/>
                <w:szCs w:val="24"/>
              </w:rPr>
              <w:t xml:space="preserve">, за да се улеснят дискусиите нагоре по веригата с държавите членки, техните финансови институции и другите заинтересовани страни на място, както и за да се </w:t>
            </w:r>
            <w:r w:rsidRPr="00C743E4">
              <w:rPr>
                <w:rFonts w:ascii="Times New Roman" w:hAnsi="Times New Roman"/>
                <w:bCs/>
                <w:noProof/>
                <w:color w:val="000000" w:themeColor="text1"/>
                <w:spacing w:val="-4"/>
                <w:sz w:val="24"/>
                <w:szCs w:val="24"/>
              </w:rPr>
              <w:t>засили сътрудничеството на национално и регионално равнище;</w:t>
            </w:r>
          </w:p>
          <w:p w14:paraId="1F3CB75C" w14:textId="77777777" w:rsidR="0000365F" w:rsidRPr="001A615D" w:rsidRDefault="0000365F" w:rsidP="00C97375">
            <w:pPr>
              <w:pStyle w:val="ListParagraph"/>
              <w:numPr>
                <w:ilvl w:val="0"/>
                <w:numId w:val="6"/>
              </w:numPr>
              <w:jc w:val="both"/>
              <w:rPr>
                <w:rFonts w:ascii="Times New Roman" w:hAnsi="Times New Roman" w:cs="Times New Roman"/>
                <w:noProof/>
                <w:sz w:val="24"/>
                <w:szCs w:val="24"/>
              </w:rPr>
            </w:pPr>
            <w:r>
              <w:rPr>
                <w:rFonts w:ascii="Times New Roman" w:hAnsi="Times New Roman"/>
                <w:noProof/>
                <w:color w:val="000000" w:themeColor="text1"/>
                <w:sz w:val="24"/>
                <w:szCs w:val="24"/>
              </w:rPr>
              <w:t>проучи възможността за въвеждане на механизми за техническа помощ, прилагани от различни финансови институции в областта на развитието, които работят съвместно, когато е възможно, с цел да се подпомогне разработването на подходящи за финансиране проекти в развиващите се страни и да се създаде благоприятна среда за частния сектор;</w:t>
            </w:r>
          </w:p>
          <w:p w14:paraId="775313FE" w14:textId="77777777" w:rsidR="001A615D" w:rsidRPr="00C743E4" w:rsidRDefault="001A615D" w:rsidP="001A615D">
            <w:pPr>
              <w:pStyle w:val="ListParagraph"/>
              <w:numPr>
                <w:ilvl w:val="0"/>
                <w:numId w:val="6"/>
              </w:numPr>
              <w:jc w:val="both"/>
              <w:rPr>
                <w:rFonts w:ascii="Times New Roman" w:hAnsi="Times New Roman" w:cs="Times New Roman"/>
                <w:noProof/>
                <w:spacing w:val="-8"/>
                <w:sz w:val="24"/>
                <w:szCs w:val="24"/>
              </w:rPr>
            </w:pPr>
            <w:r w:rsidRPr="00C743E4">
              <w:rPr>
                <w:rFonts w:ascii="Times New Roman" w:hAnsi="Times New Roman"/>
                <w:noProof/>
                <w:spacing w:val="-8"/>
                <w:sz w:val="24"/>
                <w:szCs w:val="24"/>
              </w:rPr>
              <w:t>организира</w:t>
            </w:r>
            <w:r w:rsidRPr="00C743E4">
              <w:rPr>
                <w:rFonts w:ascii="Times New Roman" w:hAnsi="Times New Roman"/>
                <w:b/>
                <w:noProof/>
                <w:spacing w:val="-8"/>
                <w:sz w:val="24"/>
                <w:szCs w:val="24"/>
              </w:rPr>
              <w:t xml:space="preserve"> </w:t>
            </w:r>
            <w:r w:rsidRPr="00C743E4">
              <w:rPr>
                <w:rFonts w:ascii="Times New Roman" w:hAnsi="Times New Roman"/>
                <w:noProof/>
                <w:spacing w:val="-8"/>
                <w:sz w:val="24"/>
                <w:szCs w:val="24"/>
              </w:rPr>
              <w:t xml:space="preserve">редовни координационни срещи на регионално/подрегионално/национално равнище с участието на делегации на ЕС и на съответните финансови </w:t>
            </w:r>
            <w:r w:rsidRPr="00C743E4">
              <w:rPr>
                <w:rFonts w:ascii="Times New Roman" w:hAnsi="Times New Roman"/>
                <w:noProof/>
                <w:color w:val="000000" w:themeColor="text1"/>
                <w:spacing w:val="-8"/>
                <w:sz w:val="24"/>
                <w:szCs w:val="24"/>
              </w:rPr>
              <w:t>институции и централи/столици</w:t>
            </w:r>
            <w:r w:rsidRPr="00C743E4">
              <w:rPr>
                <w:rFonts w:ascii="Times New Roman" w:hAnsi="Times New Roman"/>
                <w:noProof/>
                <w:spacing w:val="-8"/>
                <w:sz w:val="24"/>
                <w:szCs w:val="24"/>
              </w:rPr>
              <w:t xml:space="preserve"> в областта на развитието;</w:t>
            </w:r>
          </w:p>
          <w:p w14:paraId="4932F3BB" w14:textId="77777777" w:rsidR="001A615D" w:rsidRPr="0000365F" w:rsidRDefault="001A615D" w:rsidP="001A615D">
            <w:pPr>
              <w:pStyle w:val="ListParagraph"/>
              <w:numPr>
                <w:ilvl w:val="0"/>
                <w:numId w:val="6"/>
              </w:numPr>
              <w:jc w:val="both"/>
              <w:rPr>
                <w:rFonts w:ascii="Times New Roman" w:hAnsi="Times New Roman" w:cs="Times New Roman"/>
                <w:noProof/>
                <w:sz w:val="24"/>
                <w:szCs w:val="24"/>
              </w:rPr>
            </w:pPr>
            <w:r>
              <w:rPr>
                <w:rFonts w:ascii="Times New Roman" w:hAnsi="Times New Roman"/>
                <w:noProof/>
                <w:color w:val="000000" w:themeColor="text1"/>
                <w:sz w:val="24"/>
                <w:szCs w:val="24"/>
              </w:rPr>
              <w:t>продължава да организира съвместни мисии и дни на държавата в някои региони.</w:t>
            </w:r>
          </w:p>
        </w:tc>
      </w:tr>
    </w:tbl>
    <w:p w14:paraId="6BD61F00" w14:textId="77777777" w:rsidR="00AA07BE" w:rsidRPr="00CB27E2" w:rsidRDefault="00AA07BE" w:rsidP="009B207F">
      <w:pPr>
        <w:spacing w:after="0" w:line="240" w:lineRule="auto"/>
        <w:jc w:val="both"/>
        <w:rPr>
          <w:rFonts w:ascii="Times New Roman" w:hAnsi="Times New Roman" w:cs="Times New Roman"/>
          <w:b/>
          <w:noProof/>
          <w:color w:val="000000" w:themeColor="text1"/>
          <w:spacing w:val="-2"/>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210"/>
      </w:tblGrid>
      <w:tr w:rsidR="009B207F" w:rsidRPr="00CB27E2" w14:paraId="2A8FAA20" w14:textId="77777777" w:rsidTr="009B207F">
        <w:tc>
          <w:tcPr>
            <w:tcW w:w="9210" w:type="dxa"/>
            <w:shd w:val="clear" w:color="auto" w:fill="D9D9D9" w:themeFill="background1" w:themeFillShade="D9"/>
          </w:tcPr>
          <w:p w14:paraId="107020BD" w14:textId="77777777" w:rsidR="009B207F" w:rsidRPr="00CB27E2" w:rsidRDefault="009B207F" w:rsidP="00B938FD">
            <w:pPr>
              <w:jc w:val="both"/>
              <w:rPr>
                <w:rFonts w:ascii="Times New Roman" w:hAnsi="Times New Roman" w:cs="Times New Roman"/>
                <w:noProof/>
                <w:color w:val="000000" w:themeColor="text1"/>
                <w:spacing w:val="-2"/>
                <w:sz w:val="24"/>
                <w:szCs w:val="24"/>
                <w:u w:val="single"/>
              </w:rPr>
            </w:pPr>
            <w:r>
              <w:rPr>
                <w:rFonts w:ascii="Times New Roman" w:hAnsi="Times New Roman"/>
                <w:noProof/>
                <w:color w:val="000000" w:themeColor="text1"/>
                <w:sz w:val="24"/>
                <w:szCs w:val="24"/>
                <w:u w:val="single"/>
              </w:rPr>
              <w:t xml:space="preserve">Доклад за </w:t>
            </w:r>
            <w:r>
              <w:rPr>
                <w:rFonts w:ascii="Times New Roman" w:hAnsi="Times New Roman"/>
                <w:bCs/>
                <w:noProof/>
                <w:color w:val="000000" w:themeColor="text1"/>
                <w:sz w:val="24"/>
                <w:szCs w:val="24"/>
                <w:u w:val="single"/>
              </w:rPr>
              <w:t>напредъка</w:t>
            </w:r>
            <w:r>
              <w:rPr>
                <w:rFonts w:ascii="Times New Roman" w:hAnsi="Times New Roman"/>
                <w:noProof/>
                <w:color w:val="000000" w:themeColor="text1"/>
                <w:sz w:val="24"/>
                <w:szCs w:val="24"/>
                <w:u w:val="single"/>
              </w:rPr>
              <w:t xml:space="preserve"> за 2021 г.: </w:t>
            </w:r>
          </w:p>
          <w:p w14:paraId="38A4AF21" w14:textId="77777777" w:rsidR="009B207F" w:rsidRPr="00CB27E2" w:rsidRDefault="009B207F" w:rsidP="00B938FD">
            <w:pPr>
              <w:jc w:val="both"/>
              <w:rPr>
                <w:rFonts w:ascii="Times New Roman" w:hAnsi="Times New Roman" w:cs="Times New Roman"/>
                <w:noProof/>
                <w:spacing w:val="-3"/>
                <w:sz w:val="24"/>
              </w:rPr>
            </w:pPr>
            <w:r>
              <w:rPr>
                <w:rFonts w:ascii="Times New Roman" w:hAnsi="Times New Roman"/>
                <w:noProof/>
                <w:sz w:val="24"/>
              </w:rPr>
              <w:t xml:space="preserve">Комисията: </w:t>
            </w:r>
          </w:p>
          <w:p w14:paraId="20DF4EDF" w14:textId="77777777" w:rsidR="009B207F" w:rsidRPr="004F115F" w:rsidRDefault="009B207F" w:rsidP="009B207F">
            <w:pPr>
              <w:pStyle w:val="ListParagraph"/>
              <w:numPr>
                <w:ilvl w:val="0"/>
                <w:numId w:val="6"/>
              </w:numPr>
              <w:jc w:val="both"/>
              <w:rPr>
                <w:rFonts w:ascii="Times New Roman" w:hAnsi="Times New Roman" w:cs="Times New Roman"/>
                <w:noProof/>
                <w:spacing w:val="-4"/>
                <w:sz w:val="24"/>
                <w:szCs w:val="24"/>
              </w:rPr>
            </w:pPr>
            <w:r w:rsidRPr="004F115F">
              <w:rPr>
                <w:rFonts w:ascii="Times New Roman" w:hAnsi="Times New Roman"/>
                <w:noProof/>
                <w:spacing w:val="-4"/>
                <w:sz w:val="24"/>
                <w:szCs w:val="24"/>
              </w:rPr>
              <w:t xml:space="preserve">повиши равнището на взаимодействие между делегациите на ЕС и финансовите институции, включително чрез консултации в рамките на етапа на програмиране и чрез общи усилия за създаването на канали от подходящи за финансиране проекти; </w:t>
            </w:r>
          </w:p>
          <w:p w14:paraId="31E1783C" w14:textId="77777777" w:rsidR="009B207F" w:rsidRPr="004F115F" w:rsidRDefault="009B207F" w:rsidP="009B207F">
            <w:pPr>
              <w:pStyle w:val="ListParagraph"/>
              <w:numPr>
                <w:ilvl w:val="0"/>
                <w:numId w:val="6"/>
              </w:numPr>
              <w:jc w:val="both"/>
              <w:rPr>
                <w:rFonts w:ascii="Times New Roman" w:hAnsi="Times New Roman" w:cs="Times New Roman"/>
                <w:noProof/>
                <w:spacing w:val="-4"/>
                <w:sz w:val="24"/>
                <w:szCs w:val="24"/>
              </w:rPr>
            </w:pPr>
            <w:r w:rsidRPr="004F115F">
              <w:rPr>
                <w:rFonts w:ascii="Times New Roman" w:hAnsi="Times New Roman"/>
                <w:noProof/>
                <w:spacing w:val="-4"/>
                <w:sz w:val="24"/>
                <w:szCs w:val="24"/>
              </w:rPr>
              <w:t>проведе редовни координационни срещи с финансовите институции (и делегациите на ЕС) по региони/държави, на които бяха обсъдени приоритетите на политиката, политическият диалог с партньорските държави относно реформите и прегледите на механизмите за смесено финансиране и гаранционните операции (както е предвидено във всички гаранционни споразумения);</w:t>
            </w:r>
          </w:p>
          <w:p w14:paraId="31CE6A9E" w14:textId="77777777" w:rsidR="009B207F" w:rsidRPr="00CB27E2" w:rsidRDefault="009B207F" w:rsidP="009B207F">
            <w:pPr>
              <w:pStyle w:val="ListParagraph"/>
              <w:numPr>
                <w:ilvl w:val="0"/>
                <w:numId w:val="6"/>
              </w:numPr>
              <w:jc w:val="both"/>
              <w:rPr>
                <w:rFonts w:ascii="Times New Roman" w:hAnsi="Times New Roman" w:cs="Times New Roman"/>
                <w:noProof/>
                <w:color w:val="000000" w:themeColor="text1"/>
                <w:spacing w:val="-2"/>
                <w:sz w:val="24"/>
                <w:szCs w:val="24"/>
              </w:rPr>
            </w:pPr>
            <w:r>
              <w:rPr>
                <w:rFonts w:ascii="Times New Roman" w:hAnsi="Times New Roman"/>
                <w:noProof/>
                <w:sz w:val="24"/>
                <w:szCs w:val="24"/>
              </w:rPr>
              <w:t>въведе компонента за техническа помощ на новия инвестиционен механизъм за Латинска Америка и Карибския басейн;</w:t>
            </w:r>
          </w:p>
          <w:p w14:paraId="56DCFA8D" w14:textId="77777777" w:rsidR="009B207F" w:rsidRPr="00CB27E2" w:rsidRDefault="009B207F" w:rsidP="009B207F">
            <w:pPr>
              <w:pStyle w:val="ListParagraph"/>
              <w:numPr>
                <w:ilvl w:val="0"/>
                <w:numId w:val="6"/>
              </w:numPr>
              <w:contextualSpacing w:val="0"/>
              <w:jc w:val="both"/>
              <w:rPr>
                <w:rFonts w:ascii="Times New Roman" w:hAnsi="Times New Roman" w:cs="Times New Roman"/>
                <w:noProof/>
                <w:sz w:val="24"/>
                <w:szCs w:val="24"/>
              </w:rPr>
            </w:pPr>
            <w:r>
              <w:rPr>
                <w:rFonts w:ascii="Times New Roman" w:hAnsi="Times New Roman"/>
                <w:noProof/>
                <w:sz w:val="24"/>
                <w:szCs w:val="24"/>
              </w:rPr>
              <w:t>започна кампания за обучение на служителите в делегациите на ЕС, за да разположи дискусиите относно ЕФУР+ в по-широкия контекст на работата им;</w:t>
            </w:r>
          </w:p>
          <w:p w14:paraId="7684D42D" w14:textId="77777777" w:rsidR="009B207F" w:rsidRPr="00CB27E2" w:rsidRDefault="009B207F" w:rsidP="009B207F">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организира съвместни мисии и дни на държавата в някои африкански държави (напр. Того, Кот д'Ивоар), в съседни на ЕС държави (по-специално на изток) и в регионите, обхванати от процеса на разширяване;</w:t>
            </w:r>
          </w:p>
          <w:p w14:paraId="60CCC432" w14:textId="77777777" w:rsidR="009B207F" w:rsidRPr="00CB27E2" w:rsidRDefault="009B207F" w:rsidP="009B207F">
            <w:pPr>
              <w:pStyle w:val="ListParagraph"/>
              <w:keepLines/>
              <w:numPr>
                <w:ilvl w:val="0"/>
                <w:numId w:val="6"/>
              </w:numPr>
              <w:spacing w:after="120"/>
              <w:ind w:left="714" w:hanging="357"/>
              <w:jc w:val="both"/>
              <w:rPr>
                <w:rFonts w:ascii="Times New Roman" w:hAnsi="Times New Roman" w:cs="Times New Roman"/>
                <w:noProof/>
                <w:color w:val="000000" w:themeColor="text1"/>
                <w:spacing w:val="-2"/>
                <w:sz w:val="24"/>
                <w:szCs w:val="24"/>
              </w:rPr>
            </w:pPr>
            <w:r>
              <w:rPr>
                <w:rFonts w:ascii="Times New Roman" w:hAnsi="Times New Roman"/>
                <w:noProof/>
                <w:sz w:val="24"/>
                <w:szCs w:val="24"/>
              </w:rPr>
              <w:t>проведе първите заседания в контекста на инвестиционната рамка за Западните Балкани за прилагане на ЕФУР+.</w:t>
            </w:r>
            <w:r>
              <w:rPr>
                <w:rFonts w:ascii="Times New Roman" w:hAnsi="Times New Roman"/>
                <w:noProof/>
                <w:color w:val="000000" w:themeColor="text1"/>
                <w:sz w:val="24"/>
                <w:szCs w:val="24"/>
              </w:rPr>
              <w:t xml:space="preserve"> </w:t>
            </w:r>
          </w:p>
        </w:tc>
      </w:tr>
    </w:tbl>
    <w:p w14:paraId="647E600B" w14:textId="77777777" w:rsidR="00AF0F49" w:rsidRPr="00CB27E2" w:rsidRDefault="00AF0F49" w:rsidP="00C97375">
      <w:pPr>
        <w:keepNext/>
        <w:spacing w:after="0" w:line="240" w:lineRule="auto"/>
        <w:jc w:val="both"/>
        <w:rPr>
          <w:rFonts w:ascii="Times New Roman" w:hAnsi="Times New Roman" w:cs="Times New Roman"/>
          <w:b/>
          <w:noProof/>
          <w:color w:val="000000" w:themeColor="text1"/>
          <w:spacing w:val="-2"/>
          <w:sz w:val="24"/>
          <w:szCs w:val="24"/>
        </w:rPr>
      </w:pPr>
    </w:p>
    <w:p w14:paraId="5F377EB4" w14:textId="77777777" w:rsidR="00BB7EA3" w:rsidRPr="00CB27E2" w:rsidRDefault="00E26500" w:rsidP="00C97375">
      <w:pPr>
        <w:keepNext/>
        <w:spacing w:after="0" w:line="240" w:lineRule="auto"/>
        <w:jc w:val="both"/>
        <w:rPr>
          <w:rFonts w:ascii="Times New Roman" w:hAnsi="Times New Roman" w:cs="Times New Roman"/>
          <w:b/>
          <w:noProof/>
          <w:color w:val="0070C0"/>
          <w:spacing w:val="-2"/>
          <w:sz w:val="24"/>
          <w:szCs w:val="24"/>
        </w:rPr>
      </w:pPr>
      <w:r>
        <w:rPr>
          <w:rFonts w:ascii="Times New Roman" w:hAnsi="Times New Roman"/>
          <w:b/>
          <w:noProof/>
          <w:color w:val="0070C0"/>
          <w:sz w:val="24"/>
          <w:szCs w:val="24"/>
        </w:rPr>
        <w:t xml:space="preserve">Разширен диалог и сътрудничество с финансови институции от държави извън ЕС </w:t>
      </w:r>
    </w:p>
    <w:p w14:paraId="6F04B121" w14:textId="77777777" w:rsidR="00BB7EA3" w:rsidRPr="00CB27E2" w:rsidRDefault="00BB7EA3" w:rsidP="00C97375">
      <w:pPr>
        <w:keepNext/>
        <w:spacing w:after="0" w:line="240" w:lineRule="auto"/>
        <w:jc w:val="both"/>
        <w:rPr>
          <w:rFonts w:ascii="Times New Roman" w:hAnsi="Times New Roman" w:cs="Times New Roman"/>
          <w:b/>
          <w:noProof/>
          <w:color w:val="000000" w:themeColor="text1"/>
          <w:spacing w:val="-2"/>
          <w:sz w:val="24"/>
          <w:szCs w:val="24"/>
        </w:rPr>
      </w:pPr>
    </w:p>
    <w:p w14:paraId="220C34DA" w14:textId="77777777" w:rsidR="00B27CA6" w:rsidRPr="00CB27E2" w:rsidRDefault="00B27CA6" w:rsidP="00C97375">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Успешната глобална ангажираност означава също така, че ЕС трябва да разшири диалога и сътрудничеството с банките за развитие от държавите извън ЕС и да задълбочи партньорствата и съюзите със заинтересованите страни извън ЕС.</w:t>
      </w:r>
    </w:p>
    <w:p w14:paraId="49545E65" w14:textId="77777777" w:rsidR="00BB7EA3" w:rsidRDefault="00BB7EA3" w:rsidP="00C97375">
      <w:pPr>
        <w:spacing w:after="0" w:line="240" w:lineRule="auto"/>
        <w:jc w:val="both"/>
        <w:rPr>
          <w:rFonts w:ascii="Times New Roman" w:hAnsi="Times New Roman" w:cs="Times New Roman"/>
          <w:noProof/>
          <w:sz w:val="24"/>
          <w:szCs w:val="24"/>
        </w:rPr>
      </w:pPr>
    </w:p>
    <w:tbl>
      <w:tblPr>
        <w:tblStyle w:val="TableGrid"/>
        <w:tblW w:w="0" w:type="auto"/>
        <w:shd w:val="clear" w:color="auto" w:fill="DEEAF6" w:themeFill="accent1" w:themeFillTint="33"/>
        <w:tblLook w:val="04A0" w:firstRow="1" w:lastRow="0" w:firstColumn="1" w:lastColumn="0" w:noHBand="0" w:noVBand="1"/>
      </w:tblPr>
      <w:tblGrid>
        <w:gridCol w:w="9166"/>
      </w:tblGrid>
      <w:tr w:rsidR="009C5BF1" w14:paraId="4208B19F" w14:textId="77777777" w:rsidTr="0015519E">
        <w:trPr>
          <w:trHeight w:val="2523"/>
        </w:trPr>
        <w:tc>
          <w:tcPr>
            <w:tcW w:w="9166" w:type="dxa"/>
            <w:shd w:val="clear" w:color="auto" w:fill="DEEAF6" w:themeFill="accent1" w:themeFillTint="33"/>
          </w:tcPr>
          <w:p w14:paraId="44B6224E" w14:textId="77777777" w:rsidR="009C5BF1" w:rsidRPr="00CB27E2" w:rsidRDefault="009C5BF1" w:rsidP="009C5BF1">
            <w:pPr>
              <w:jc w:val="both"/>
              <w:rPr>
                <w:rFonts w:ascii="Times New Roman" w:hAnsi="Times New Roman" w:cs="Times New Roman"/>
                <w:noProof/>
                <w:color w:val="000000" w:themeColor="text1"/>
                <w:spacing w:val="-2"/>
                <w:sz w:val="24"/>
                <w:szCs w:val="24"/>
                <w:u w:val="single"/>
              </w:rPr>
            </w:pPr>
            <w:r>
              <w:rPr>
                <w:rFonts w:ascii="Times New Roman" w:hAnsi="Times New Roman"/>
                <w:bCs/>
                <w:noProof/>
                <w:color w:val="000000" w:themeColor="text1"/>
                <w:sz w:val="24"/>
                <w:szCs w:val="24"/>
                <w:u w:val="single"/>
              </w:rPr>
              <w:t>Пътна карта</w:t>
            </w:r>
            <w:r>
              <w:rPr>
                <w:rFonts w:ascii="Times New Roman" w:hAnsi="Times New Roman"/>
                <w:noProof/>
                <w:color w:val="000000" w:themeColor="text1"/>
                <w:sz w:val="24"/>
                <w:szCs w:val="24"/>
                <w:u w:val="single"/>
              </w:rPr>
              <w:t>:</w:t>
            </w:r>
          </w:p>
          <w:p w14:paraId="1A4EED78" w14:textId="77777777" w:rsidR="009C5BF1" w:rsidRPr="00CB27E2" w:rsidRDefault="009C5BF1" w:rsidP="009C5BF1">
            <w:pPr>
              <w:jc w:val="both"/>
              <w:rPr>
                <w:rFonts w:ascii="Times New Roman" w:hAnsi="Times New Roman" w:cs="Times New Roman"/>
                <w:noProof/>
                <w:sz w:val="24"/>
                <w:szCs w:val="24"/>
              </w:rPr>
            </w:pPr>
            <w:r>
              <w:rPr>
                <w:rFonts w:ascii="Times New Roman" w:hAnsi="Times New Roman"/>
                <w:noProof/>
                <w:sz w:val="24"/>
                <w:szCs w:val="24"/>
              </w:rPr>
              <w:t xml:space="preserve">Комисията ще: </w:t>
            </w:r>
          </w:p>
          <w:p w14:paraId="60F8D3FB" w14:textId="77777777" w:rsidR="009C5BF1" w:rsidRPr="00CB27E2" w:rsidRDefault="009C5BF1" w:rsidP="009C5BF1">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проведе диалози на високо равнище с международни финансови институции извън сферата на ЕС, като диалога за задълбочено проучване с Групата на Световната банка, или други срещи на високо равнище с Международния валутен фонд, Африканската банка за развитие, Азиатската банка за развитие, Междуамериканската банка за развитие;</w:t>
            </w:r>
          </w:p>
          <w:p w14:paraId="44E937A6" w14:textId="77777777" w:rsidR="009C5BF1" w:rsidRPr="004F115F" w:rsidRDefault="009C5BF1" w:rsidP="009C5BF1">
            <w:pPr>
              <w:pStyle w:val="ListParagraph"/>
              <w:numPr>
                <w:ilvl w:val="0"/>
                <w:numId w:val="6"/>
              </w:numPr>
              <w:spacing w:after="160" w:line="259" w:lineRule="auto"/>
              <w:jc w:val="both"/>
              <w:rPr>
                <w:rFonts w:ascii="Times New Roman" w:hAnsi="Times New Roman" w:cs="Times New Roman"/>
                <w:noProof/>
                <w:spacing w:val="-4"/>
                <w:sz w:val="24"/>
                <w:szCs w:val="24"/>
              </w:rPr>
            </w:pPr>
            <w:r w:rsidRPr="004F115F">
              <w:rPr>
                <w:rFonts w:ascii="Times New Roman" w:hAnsi="Times New Roman"/>
                <w:noProof/>
                <w:spacing w:val="-4"/>
                <w:sz w:val="24"/>
                <w:szCs w:val="24"/>
              </w:rPr>
              <w:t xml:space="preserve">проучи възможни области на сътрудничество с други международни финансови институции в областта на развитието (като напр. Скандинавския фонд за развитие, Ислямската банка за развитие, Арабската координационна група, </w:t>
            </w:r>
            <w:r w:rsidRPr="004F115F">
              <w:rPr>
                <w:rFonts w:ascii="Times New Roman" w:hAnsi="Times New Roman"/>
                <w:bCs/>
                <w:noProof/>
                <w:color w:val="000000" w:themeColor="text1"/>
                <w:spacing w:val="-4"/>
                <w:sz w:val="24"/>
                <w:szCs w:val="24"/>
              </w:rPr>
              <w:t>наред</w:t>
            </w:r>
            <w:r w:rsidRPr="004F115F">
              <w:rPr>
                <w:rFonts w:ascii="Times New Roman" w:hAnsi="Times New Roman"/>
                <w:noProof/>
                <w:spacing w:val="-4"/>
                <w:sz w:val="24"/>
                <w:szCs w:val="24"/>
              </w:rPr>
              <w:t xml:space="preserve"> с други).</w:t>
            </w:r>
          </w:p>
        </w:tc>
      </w:tr>
    </w:tbl>
    <w:p w14:paraId="62930431" w14:textId="77777777" w:rsidR="00B27CA6" w:rsidRPr="00CB27E2" w:rsidRDefault="00B27CA6" w:rsidP="00C97375">
      <w:pPr>
        <w:spacing w:after="0" w:line="240" w:lineRule="auto"/>
        <w:jc w:val="both"/>
        <w:rPr>
          <w:rFonts w:ascii="Times New Roman" w:hAnsi="Times New Roman" w:cs="Times New Roman"/>
          <w:b/>
          <w:noProof/>
          <w:color w:val="000000" w:themeColor="text1"/>
          <w:spacing w:val="-2"/>
          <w:sz w:val="24"/>
          <w:szCs w:val="24"/>
        </w:rPr>
      </w:pP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AF0F49" w:rsidRPr="00CB27E2" w14:paraId="1DD28BA9" w14:textId="77777777" w:rsidTr="00AF0F49">
        <w:tc>
          <w:tcPr>
            <w:tcW w:w="9210" w:type="dxa"/>
            <w:shd w:val="clear" w:color="auto" w:fill="D9D9D9" w:themeFill="background1" w:themeFillShade="D9"/>
          </w:tcPr>
          <w:p w14:paraId="3D14A710" w14:textId="77777777" w:rsidR="00AF0F49" w:rsidRPr="00CB27E2" w:rsidRDefault="00AF0F49" w:rsidP="00D634C4">
            <w:pPr>
              <w:keepNext/>
              <w:jc w:val="both"/>
              <w:rPr>
                <w:rFonts w:ascii="Times New Roman" w:hAnsi="Times New Roman" w:cs="Times New Roman"/>
                <w:noProof/>
                <w:color w:val="000000" w:themeColor="text1"/>
                <w:spacing w:val="-2"/>
                <w:sz w:val="24"/>
                <w:szCs w:val="24"/>
                <w:u w:val="single"/>
              </w:rPr>
            </w:pPr>
            <w:r>
              <w:rPr>
                <w:rFonts w:ascii="Times New Roman" w:hAnsi="Times New Roman"/>
                <w:noProof/>
                <w:color w:val="000000" w:themeColor="text1"/>
                <w:sz w:val="24"/>
                <w:szCs w:val="24"/>
                <w:u w:val="single"/>
              </w:rPr>
              <w:t xml:space="preserve">Доклад за напредъка за 2021 г.: </w:t>
            </w:r>
          </w:p>
          <w:p w14:paraId="5C59F3CB" w14:textId="77777777" w:rsidR="00AF0F49" w:rsidRPr="00CB27E2" w:rsidRDefault="00AF0F49" w:rsidP="00D634C4">
            <w:pPr>
              <w:keepNext/>
              <w:jc w:val="both"/>
              <w:rPr>
                <w:rFonts w:ascii="Times New Roman" w:hAnsi="Times New Roman" w:cs="Times New Roman"/>
                <w:noProof/>
                <w:spacing w:val="-3"/>
                <w:sz w:val="24"/>
              </w:rPr>
            </w:pPr>
            <w:r>
              <w:rPr>
                <w:rFonts w:ascii="Times New Roman" w:hAnsi="Times New Roman"/>
                <w:noProof/>
                <w:sz w:val="24"/>
              </w:rPr>
              <w:t xml:space="preserve">Комисията: </w:t>
            </w:r>
          </w:p>
          <w:p w14:paraId="01EA8A91" w14:textId="470F8A6C" w:rsidR="00AF0F49" w:rsidRPr="004F115F" w:rsidRDefault="001B0B83" w:rsidP="006607A8">
            <w:pPr>
              <w:pStyle w:val="ListParagraph"/>
              <w:numPr>
                <w:ilvl w:val="0"/>
                <w:numId w:val="6"/>
              </w:numPr>
              <w:spacing w:after="120"/>
              <w:contextualSpacing w:val="0"/>
              <w:jc w:val="both"/>
              <w:rPr>
                <w:rFonts w:ascii="Times New Roman" w:hAnsi="Times New Roman" w:cs="Times New Roman"/>
                <w:noProof/>
                <w:color w:val="000000" w:themeColor="text1"/>
                <w:spacing w:val="-4"/>
                <w:sz w:val="24"/>
                <w:szCs w:val="24"/>
              </w:rPr>
            </w:pPr>
            <w:r w:rsidRPr="004F115F">
              <w:rPr>
                <w:rFonts w:ascii="Times New Roman" w:hAnsi="Times New Roman"/>
                <w:noProof/>
                <w:spacing w:val="-4"/>
                <w:sz w:val="24"/>
                <w:szCs w:val="24"/>
              </w:rPr>
              <w:t xml:space="preserve">продължи диалога с други финансови институции освен тези с оценка по стълбове, включително Западноафриканската банка за развитие, Азиатската банка за инфраструктурни инвестиции, Азиатската банка за развитие, Ислямската банка за развитие, Арабската координационна група, Централноамериканската банка за икономическа интеграция, Карибската банка за развитие, Междуамериканската банка за развитие и Банката за развитие на Латинска Америка. </w:t>
            </w:r>
          </w:p>
        </w:tc>
      </w:tr>
    </w:tbl>
    <w:p w14:paraId="3144819A" w14:textId="77777777" w:rsidR="00AF0F49" w:rsidRPr="00CB27E2" w:rsidRDefault="00AF0F49" w:rsidP="00C97375">
      <w:pPr>
        <w:spacing w:after="0" w:line="240" w:lineRule="auto"/>
        <w:jc w:val="both"/>
        <w:rPr>
          <w:rFonts w:ascii="Times New Roman" w:hAnsi="Times New Roman" w:cs="Times New Roman"/>
          <w:noProof/>
          <w:color w:val="000000" w:themeColor="text1"/>
          <w:sz w:val="24"/>
          <w:szCs w:val="24"/>
        </w:rPr>
      </w:pPr>
    </w:p>
    <w:p w14:paraId="2C2CCC0F" w14:textId="6F280AAB" w:rsidR="0023391C" w:rsidRPr="00CB27E2" w:rsidRDefault="00446B41" w:rsidP="00446B41">
      <w:pPr>
        <w:pStyle w:val="Heading4"/>
        <w:rPr>
          <w:rFonts w:cs="Times New Roman"/>
          <w:noProof/>
        </w:rPr>
      </w:pPr>
      <w:r w:rsidRPr="00446B41">
        <w:t>2.2.4</w:t>
      </w:r>
      <w:r w:rsidRPr="00446B41">
        <w:tab/>
      </w:r>
      <w:r w:rsidR="0023391C">
        <w:rPr>
          <w:noProof/>
        </w:rPr>
        <w:t>Мерки за изграждане на по-приобщаваща финансова архитектура</w:t>
      </w:r>
    </w:p>
    <w:p w14:paraId="4D9D307E" w14:textId="02DA6249" w:rsidR="00DF7615" w:rsidRPr="00CB27E2" w:rsidRDefault="00DF7615" w:rsidP="005C2585">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В този </w:t>
      </w:r>
      <w:r>
        <w:rPr>
          <w:rFonts w:ascii="Times New Roman" w:hAnsi="Times New Roman"/>
          <w:noProof/>
          <w:color w:val="000000" w:themeColor="text1"/>
          <w:sz w:val="24"/>
          <w:szCs w:val="24"/>
        </w:rPr>
        <w:t xml:space="preserve">раздел са представени допълнителните действия, насочени към засилване на приобщаването към европейската финансова архитектура за развитие, освен вече посочените </w:t>
      </w:r>
      <w:r>
        <w:rPr>
          <w:rFonts w:ascii="Times New Roman" w:hAnsi="Times New Roman"/>
          <w:noProof/>
          <w:sz w:val="24"/>
          <w:szCs w:val="24"/>
        </w:rPr>
        <w:t>в раздела относно</w:t>
      </w:r>
      <w:r w:rsidR="00560B1A" w:rsidRPr="00560B1A">
        <w:rPr>
          <w:rFonts w:ascii="Times New Roman" w:hAnsi="Times New Roman"/>
          <w:noProof/>
          <w:sz w:val="24"/>
          <w:szCs w:val="24"/>
        </w:rPr>
        <w:t xml:space="preserve"> </w:t>
      </w:r>
      <w:r>
        <w:rPr>
          <w:rFonts w:ascii="Times New Roman" w:hAnsi="Times New Roman"/>
          <w:bCs/>
          <w:noProof/>
          <w:color w:val="000000" w:themeColor="text1"/>
          <w:sz w:val="24"/>
          <w:szCs w:val="24"/>
        </w:rPr>
        <w:t xml:space="preserve">ИССРМС — </w:t>
      </w:r>
      <w:r>
        <w:rPr>
          <w:rFonts w:ascii="Times New Roman" w:hAnsi="Times New Roman"/>
          <w:noProof/>
          <w:sz w:val="24"/>
          <w:szCs w:val="24"/>
        </w:rPr>
        <w:t xml:space="preserve">Глобална Европа и в други стратегически документи </w:t>
      </w:r>
      <w:r>
        <w:rPr>
          <w:rFonts w:ascii="Times New Roman" w:hAnsi="Times New Roman"/>
          <w:noProof/>
          <w:color w:val="000000" w:themeColor="text1"/>
          <w:sz w:val="24"/>
          <w:szCs w:val="24"/>
        </w:rPr>
        <w:t>.</w:t>
      </w:r>
    </w:p>
    <w:p w14:paraId="225A31D5" w14:textId="77777777" w:rsidR="0023391C" w:rsidRPr="00CB27E2" w:rsidRDefault="0023391C" w:rsidP="00C97375">
      <w:pPr>
        <w:spacing w:after="0" w:line="240" w:lineRule="auto"/>
        <w:jc w:val="both"/>
        <w:rPr>
          <w:rFonts w:ascii="Times New Roman" w:hAnsi="Times New Roman" w:cs="Times New Roman"/>
          <w:noProof/>
          <w:color w:val="000000" w:themeColor="text1"/>
          <w:sz w:val="24"/>
          <w:szCs w:val="24"/>
        </w:rPr>
      </w:pPr>
    </w:p>
    <w:p w14:paraId="79368CF8" w14:textId="77777777" w:rsidR="00DF7615" w:rsidRPr="00CB27E2" w:rsidRDefault="00DF7615" w:rsidP="00C97375">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Амбицията </w:t>
      </w:r>
      <w:r>
        <w:rPr>
          <w:rFonts w:ascii="Times New Roman" w:hAnsi="Times New Roman"/>
          <w:noProof/>
          <w:color w:val="000000" w:themeColor="text1"/>
          <w:sz w:val="24"/>
          <w:szCs w:val="24"/>
        </w:rPr>
        <w:t xml:space="preserve">на Комисията </w:t>
      </w:r>
      <w:r>
        <w:rPr>
          <w:rFonts w:ascii="Times New Roman" w:hAnsi="Times New Roman"/>
          <w:noProof/>
          <w:sz w:val="24"/>
          <w:szCs w:val="24"/>
        </w:rPr>
        <w:t>е да постигне приобщаваща и интегрирана система, в която всички участници могат да участват със своите инструменти и експертен опит за увеличаване на публичното финансиране, привличане на частни инвеститори и подобряване на изграждането на капацитет и техническата помощ.</w:t>
      </w:r>
    </w:p>
    <w:p w14:paraId="3CCB0912" w14:textId="77777777" w:rsidR="0068403E" w:rsidRPr="00CB27E2" w:rsidRDefault="0068403E" w:rsidP="00C97375">
      <w:pPr>
        <w:spacing w:after="0" w:line="240" w:lineRule="auto"/>
        <w:jc w:val="both"/>
        <w:rPr>
          <w:rFonts w:ascii="Times New Roman" w:hAnsi="Times New Roman" w:cs="Times New Roman"/>
          <w:noProof/>
          <w:sz w:val="24"/>
          <w:szCs w:val="24"/>
        </w:rPr>
      </w:pPr>
    </w:p>
    <w:p w14:paraId="5427BE7F" w14:textId="77777777" w:rsidR="00DF7615" w:rsidRPr="00560B1A" w:rsidRDefault="00DF7615" w:rsidP="00C97375">
      <w:pPr>
        <w:pStyle w:val="ListParagraph"/>
        <w:spacing w:after="0" w:line="240" w:lineRule="auto"/>
        <w:ind w:left="0"/>
        <w:contextualSpacing w:val="0"/>
        <w:jc w:val="both"/>
        <w:rPr>
          <w:rFonts w:ascii="Times New Roman" w:hAnsi="Times New Roman" w:cs="Times New Roman"/>
          <w:noProof/>
          <w:spacing w:val="-6"/>
          <w:sz w:val="24"/>
          <w:szCs w:val="24"/>
        </w:rPr>
      </w:pPr>
      <w:r w:rsidRPr="00560B1A">
        <w:rPr>
          <w:rFonts w:ascii="Times New Roman" w:hAnsi="Times New Roman"/>
          <w:noProof/>
          <w:spacing w:val="-6"/>
          <w:sz w:val="24"/>
          <w:szCs w:val="24"/>
        </w:rPr>
        <w:t>По-добрият поток на информация и редовният обмен, както е предложено в раздела за координацията, ще допринесат да се проправи пътят за приобщаване в по-голяма степен, като се гарантира, че всички държави членки и техните участници в областта на развитието са запознати с възможностите за инвестиране, както и че за постигане на по-голямо въздействие на място се използва най-ефикасното съчетание от инструменти и участници.</w:t>
      </w:r>
    </w:p>
    <w:p w14:paraId="13C3E881" w14:textId="77777777" w:rsidR="0068403E" w:rsidRPr="00CB27E2" w:rsidRDefault="0068403E" w:rsidP="00C97375">
      <w:pPr>
        <w:pStyle w:val="ListParagraph"/>
        <w:spacing w:after="0" w:line="240" w:lineRule="auto"/>
        <w:ind w:left="0"/>
        <w:contextualSpacing w:val="0"/>
        <w:jc w:val="both"/>
        <w:rPr>
          <w:rFonts w:ascii="Times New Roman" w:hAnsi="Times New Roman" w:cs="Times New Roman"/>
          <w:noProof/>
          <w:spacing w:val="-2"/>
          <w:sz w:val="24"/>
          <w:szCs w:val="24"/>
        </w:rPr>
      </w:pPr>
    </w:p>
    <w:p w14:paraId="5DBB5296" w14:textId="77777777" w:rsidR="0068403E" w:rsidRPr="00CB27E2" w:rsidRDefault="00613314" w:rsidP="00883A2B">
      <w:pPr>
        <w:keepNext/>
        <w:spacing w:after="0" w:line="240" w:lineRule="auto"/>
        <w:jc w:val="both"/>
        <w:rPr>
          <w:rFonts w:ascii="Times New Roman" w:hAnsi="Times New Roman" w:cs="Times New Roman"/>
          <w:b/>
          <w:noProof/>
          <w:color w:val="0070C0"/>
          <w:spacing w:val="-2"/>
          <w:sz w:val="24"/>
          <w:szCs w:val="24"/>
        </w:rPr>
      </w:pPr>
      <w:r>
        <w:rPr>
          <w:rFonts w:ascii="Times New Roman" w:hAnsi="Times New Roman"/>
          <w:b/>
          <w:noProof/>
          <w:color w:val="0070C0"/>
          <w:sz w:val="24"/>
          <w:szCs w:val="24"/>
        </w:rPr>
        <w:t xml:space="preserve">Осигуряване на приобщаващи дискусии на всички равнища </w:t>
      </w:r>
    </w:p>
    <w:p w14:paraId="765C2765" w14:textId="77777777" w:rsidR="004D6345" w:rsidRPr="00CB27E2" w:rsidRDefault="004D6345" w:rsidP="00883A2B">
      <w:pPr>
        <w:pStyle w:val="ListParagraph"/>
        <w:keepNext/>
        <w:spacing w:after="0" w:line="240" w:lineRule="auto"/>
        <w:ind w:left="0"/>
        <w:contextualSpacing w:val="0"/>
        <w:jc w:val="both"/>
        <w:rPr>
          <w:rFonts w:ascii="Times New Roman" w:hAnsi="Times New Roman" w:cs="Times New Roman"/>
          <w:noProof/>
          <w:spacing w:val="-2"/>
          <w:sz w:val="24"/>
          <w:szCs w:val="24"/>
        </w:rPr>
      </w:pPr>
    </w:p>
    <w:p w14:paraId="486044E7" w14:textId="77777777" w:rsidR="00DF7615" w:rsidRPr="00CB27E2" w:rsidRDefault="00DF7615" w:rsidP="00C97375">
      <w:pPr>
        <w:spacing w:after="0" w:line="240" w:lineRule="auto"/>
        <w:jc w:val="both"/>
        <w:rPr>
          <w:rFonts w:ascii="Times New Roman" w:hAnsi="Times New Roman" w:cs="Times New Roman"/>
          <w:noProof/>
          <w:color w:val="000000" w:themeColor="text1"/>
          <w:spacing w:val="-4"/>
          <w:sz w:val="24"/>
          <w:szCs w:val="24"/>
        </w:rPr>
      </w:pPr>
      <w:r>
        <w:rPr>
          <w:rFonts w:ascii="Times New Roman" w:hAnsi="Times New Roman"/>
          <w:noProof/>
          <w:sz w:val="24"/>
          <w:szCs w:val="24"/>
        </w:rPr>
        <w:t xml:space="preserve">Всички заинтересовани страни — и по-специално Комисията, представителите на държавите членки в областта на развитието, европейските многостранни и двустранни финансови институции и организациите за сътрудничество за развитие — редовно ще правят преглед на постигнатия напредък в подобряването на европейската финансова архитектура за развитие. Това ще гарантира приобщаване в по-голяма степен чрез обединяване на всички представители на държавите членки в областта на развитието, европейските многостранни и двустранни </w:t>
      </w:r>
      <w:r>
        <w:rPr>
          <w:rFonts w:ascii="Times New Roman" w:hAnsi="Times New Roman"/>
          <w:noProof/>
          <w:color w:val="000000" w:themeColor="text1"/>
          <w:sz w:val="24"/>
          <w:szCs w:val="24"/>
        </w:rPr>
        <w:t>финансови институции и организациите за сътрудничество за развитие заедно с Комисията.</w:t>
      </w:r>
      <w:r>
        <w:rPr>
          <w:rFonts w:ascii="Times New Roman" w:hAnsi="Times New Roman"/>
          <w:noProof/>
          <w:color w:val="000000" w:themeColor="text1"/>
        </w:rPr>
        <w:t xml:space="preserve"> </w:t>
      </w:r>
    </w:p>
    <w:p w14:paraId="30402B75" w14:textId="77777777" w:rsidR="006212D2" w:rsidRPr="00CB27E2" w:rsidRDefault="006212D2" w:rsidP="006212D2">
      <w:pPr>
        <w:spacing w:after="0" w:line="240" w:lineRule="auto"/>
        <w:jc w:val="both"/>
        <w:rPr>
          <w:rFonts w:ascii="Times New Roman" w:hAnsi="Times New Roman" w:cs="Times New Roman"/>
          <w:noProof/>
          <w:sz w:val="24"/>
          <w:szCs w:val="24"/>
        </w:rPr>
      </w:pPr>
    </w:p>
    <w:p w14:paraId="28D003AB" w14:textId="77777777" w:rsidR="006212D2" w:rsidRPr="00CB27E2" w:rsidRDefault="006212D2" w:rsidP="006212D2">
      <w:pPr>
        <w:spacing w:after="0" w:line="240" w:lineRule="auto"/>
        <w:jc w:val="both"/>
        <w:rPr>
          <w:rFonts w:ascii="Times New Roman" w:hAnsi="Times New Roman" w:cs="Times New Roman"/>
          <w:bCs/>
          <w:noProof/>
          <w:sz w:val="24"/>
          <w:szCs w:val="24"/>
        </w:rPr>
      </w:pPr>
      <w:r>
        <w:rPr>
          <w:rFonts w:ascii="Times New Roman" w:hAnsi="Times New Roman"/>
          <w:noProof/>
          <w:sz w:val="24"/>
          <w:szCs w:val="24"/>
        </w:rPr>
        <w:t xml:space="preserve">Освен обсъжданията на високо равнище за преглед и насочване е необходимо да се засили приобщаващата координация на техническо равнище по </w:t>
      </w:r>
      <w:r>
        <w:rPr>
          <w:rFonts w:ascii="Times New Roman" w:hAnsi="Times New Roman"/>
          <w:bCs/>
          <w:noProof/>
          <w:sz w:val="24"/>
          <w:szCs w:val="24"/>
        </w:rPr>
        <w:t xml:space="preserve">хоризонтални въпроси. </w:t>
      </w:r>
    </w:p>
    <w:p w14:paraId="4F297AA2" w14:textId="77777777" w:rsidR="0068403E" w:rsidRDefault="0068403E" w:rsidP="00C97375">
      <w:pPr>
        <w:spacing w:after="0" w:line="240" w:lineRule="auto"/>
        <w:jc w:val="both"/>
        <w:rPr>
          <w:rFonts w:ascii="Times New Roman" w:hAnsi="Times New Roman" w:cs="Times New Roman"/>
          <w:noProof/>
          <w:color w:val="000000" w:themeColor="text1"/>
          <w:spacing w:val="-2"/>
          <w:sz w:val="24"/>
          <w:szCs w:val="24"/>
        </w:rPr>
      </w:pPr>
    </w:p>
    <w:tbl>
      <w:tblPr>
        <w:tblStyle w:val="TableGrid"/>
        <w:tblW w:w="0" w:type="auto"/>
        <w:shd w:val="clear" w:color="auto" w:fill="DEEAF6" w:themeFill="accent1" w:themeFillTint="33"/>
        <w:tblLook w:val="04A0" w:firstRow="1" w:lastRow="0" w:firstColumn="1" w:lastColumn="0" w:noHBand="0" w:noVBand="1"/>
      </w:tblPr>
      <w:tblGrid>
        <w:gridCol w:w="9166"/>
      </w:tblGrid>
      <w:tr w:rsidR="0015519E" w14:paraId="6D1BED92" w14:textId="77777777" w:rsidTr="00440720">
        <w:trPr>
          <w:trHeight w:val="274"/>
        </w:trPr>
        <w:tc>
          <w:tcPr>
            <w:tcW w:w="9166" w:type="dxa"/>
            <w:shd w:val="clear" w:color="auto" w:fill="DEEAF6" w:themeFill="accent1" w:themeFillTint="33"/>
          </w:tcPr>
          <w:p w14:paraId="05526595" w14:textId="77777777" w:rsidR="0015519E" w:rsidRPr="00CB27E2" w:rsidRDefault="0015519E" w:rsidP="0015519E">
            <w:pPr>
              <w:jc w:val="both"/>
              <w:rPr>
                <w:rFonts w:ascii="Times New Roman" w:hAnsi="Times New Roman" w:cs="Times New Roman"/>
                <w:noProof/>
                <w:color w:val="000000" w:themeColor="text1"/>
                <w:spacing w:val="-2"/>
                <w:sz w:val="24"/>
                <w:szCs w:val="24"/>
                <w:u w:val="single"/>
              </w:rPr>
            </w:pPr>
            <w:r>
              <w:rPr>
                <w:rFonts w:ascii="Times New Roman" w:hAnsi="Times New Roman"/>
                <w:bCs/>
                <w:noProof/>
                <w:color w:val="000000" w:themeColor="text1"/>
                <w:sz w:val="24"/>
                <w:szCs w:val="24"/>
                <w:u w:val="single"/>
              </w:rPr>
              <w:t>Пътна карта</w:t>
            </w:r>
            <w:r>
              <w:rPr>
                <w:rFonts w:ascii="Times New Roman" w:hAnsi="Times New Roman"/>
                <w:noProof/>
                <w:color w:val="000000" w:themeColor="text1"/>
                <w:sz w:val="24"/>
                <w:szCs w:val="24"/>
                <w:u w:val="single"/>
              </w:rPr>
              <w:t>:</w:t>
            </w:r>
          </w:p>
          <w:p w14:paraId="450FB89B" w14:textId="77777777" w:rsidR="0015519E" w:rsidRPr="00CB27E2" w:rsidRDefault="0015519E" w:rsidP="0015519E">
            <w:pPr>
              <w:jc w:val="both"/>
              <w:rPr>
                <w:rFonts w:ascii="Times New Roman" w:hAnsi="Times New Roman" w:cs="Times New Roman"/>
                <w:noProof/>
                <w:sz w:val="24"/>
                <w:szCs w:val="24"/>
              </w:rPr>
            </w:pPr>
            <w:r>
              <w:rPr>
                <w:rFonts w:ascii="Times New Roman" w:hAnsi="Times New Roman"/>
                <w:noProof/>
                <w:sz w:val="24"/>
                <w:szCs w:val="24"/>
              </w:rPr>
              <w:t xml:space="preserve">Комисията ще: </w:t>
            </w:r>
          </w:p>
          <w:p w14:paraId="0729E3FC" w14:textId="5CDC61E5" w:rsidR="0015519E" w:rsidRPr="00560B1A" w:rsidRDefault="0015519E" w:rsidP="00AF7DDA">
            <w:pPr>
              <w:pStyle w:val="ListParagraph"/>
              <w:numPr>
                <w:ilvl w:val="0"/>
                <w:numId w:val="6"/>
              </w:numPr>
              <w:jc w:val="both"/>
              <w:rPr>
                <w:rFonts w:ascii="Times New Roman" w:hAnsi="Times New Roman" w:cs="Times New Roman"/>
                <w:noProof/>
                <w:color w:val="000000" w:themeColor="text1"/>
                <w:spacing w:val="-6"/>
                <w:sz w:val="24"/>
                <w:szCs w:val="24"/>
              </w:rPr>
            </w:pPr>
            <w:r w:rsidRPr="00560B1A">
              <w:rPr>
                <w:rFonts w:ascii="Times New Roman" w:hAnsi="Times New Roman"/>
                <w:noProof/>
                <w:spacing w:val="-6"/>
                <w:sz w:val="24"/>
                <w:szCs w:val="24"/>
              </w:rPr>
              <w:t>ще гарантира, че стратегическите аспекти, свързани с европейската финансова архитектура за развитие, се обсъждат от генералните директори на ЕС по въпросите на развитието на техните заседания — приобщаващ форум</w:t>
            </w:r>
            <w:r w:rsidRPr="00560B1A">
              <w:rPr>
                <w:rStyle w:val="FootnoteReference"/>
                <w:rFonts w:ascii="Times New Roman" w:hAnsi="Times New Roman" w:cs="Times New Roman"/>
                <w:noProof/>
                <w:spacing w:val="-6"/>
                <w:sz w:val="24"/>
                <w:szCs w:val="24"/>
              </w:rPr>
              <w:footnoteReference w:id="36"/>
            </w:r>
            <w:r w:rsidRPr="00560B1A">
              <w:rPr>
                <w:rFonts w:ascii="Times New Roman" w:hAnsi="Times New Roman"/>
                <w:noProof/>
                <w:spacing w:val="-6"/>
                <w:sz w:val="24"/>
                <w:szCs w:val="24"/>
              </w:rPr>
              <w:t xml:space="preserve">, който се свиква при необходимост, но поне веднъж </w:t>
            </w:r>
            <w:r w:rsidRPr="00560B1A">
              <w:rPr>
                <w:rFonts w:ascii="Times New Roman" w:hAnsi="Times New Roman"/>
                <w:bCs/>
                <w:noProof/>
                <w:color w:val="000000" w:themeColor="text1"/>
                <w:spacing w:val="-6"/>
                <w:sz w:val="24"/>
                <w:szCs w:val="24"/>
              </w:rPr>
              <w:t>годишно</w:t>
            </w:r>
            <w:r w:rsidRPr="00560B1A">
              <w:rPr>
                <w:rFonts w:ascii="Times New Roman" w:hAnsi="Times New Roman"/>
                <w:noProof/>
                <w:spacing w:val="-6"/>
                <w:sz w:val="24"/>
                <w:szCs w:val="24"/>
              </w:rPr>
              <w:t xml:space="preserve">, както и че техническите въпроси се обсъждат по време на приобщаващи тристранни срещи на техническо равнище (напр. </w:t>
            </w:r>
            <w:r w:rsidRPr="00560B1A">
              <w:rPr>
                <w:rFonts w:ascii="Times New Roman" w:hAnsi="Times New Roman"/>
                <w:bCs/>
                <w:noProof/>
                <w:spacing w:val="-6"/>
                <w:sz w:val="24"/>
                <w:szCs w:val="24"/>
              </w:rPr>
              <w:t>опростяване на заявленията за финансиране от ЕФУР+</w:t>
            </w:r>
            <w:r w:rsidR="00440720" w:rsidRPr="00560B1A">
              <w:rPr>
                <w:rStyle w:val="FootnoteReference"/>
                <w:rFonts w:ascii="Times New Roman" w:hAnsi="Times New Roman" w:cs="Times New Roman"/>
                <w:noProof/>
                <w:spacing w:val="-6"/>
                <w:sz w:val="24"/>
                <w:szCs w:val="24"/>
              </w:rPr>
              <w:footnoteReference w:id="37"/>
            </w:r>
            <w:r w:rsidRPr="00560B1A">
              <w:rPr>
                <w:rFonts w:ascii="Times New Roman" w:hAnsi="Times New Roman"/>
                <w:bCs/>
                <w:noProof/>
                <w:spacing w:val="-6"/>
                <w:sz w:val="24"/>
                <w:szCs w:val="24"/>
              </w:rPr>
              <w:t xml:space="preserve">, </w:t>
            </w:r>
            <w:r w:rsidRPr="00560B1A">
              <w:rPr>
                <w:rFonts w:ascii="Times New Roman" w:hAnsi="Times New Roman"/>
                <w:noProof/>
                <w:spacing w:val="-6"/>
                <w:sz w:val="24"/>
                <w:szCs w:val="24"/>
              </w:rPr>
              <w:t>споразумения за сътрудничество, съфинансиране</w:t>
            </w:r>
            <w:r w:rsidRPr="00560B1A">
              <w:rPr>
                <w:rFonts w:ascii="Times New Roman" w:hAnsi="Times New Roman"/>
                <w:bCs/>
                <w:noProof/>
                <w:spacing w:val="-6"/>
                <w:sz w:val="24"/>
                <w:szCs w:val="24"/>
              </w:rPr>
              <w:t xml:space="preserve">, хармонизирани стратегии, процедури за взаимно доверие и признаване, </w:t>
            </w:r>
            <w:r w:rsidRPr="00560B1A">
              <w:rPr>
                <w:rFonts w:ascii="Times New Roman" w:hAnsi="Times New Roman"/>
                <w:noProof/>
                <w:spacing w:val="-6"/>
                <w:sz w:val="24"/>
                <w:szCs w:val="24"/>
              </w:rPr>
              <w:t>екологични, социални и управленски</w:t>
            </w:r>
            <w:r w:rsidRPr="00560B1A">
              <w:rPr>
                <w:rFonts w:ascii="Times New Roman" w:hAnsi="Times New Roman"/>
                <w:bCs/>
                <w:noProof/>
                <w:spacing w:val="-6"/>
                <w:sz w:val="24"/>
                <w:szCs w:val="24"/>
              </w:rPr>
              <w:t xml:space="preserve"> въпроси и др.).</w:t>
            </w:r>
          </w:p>
        </w:tc>
      </w:tr>
    </w:tbl>
    <w:p w14:paraId="6375EEA0" w14:textId="77777777" w:rsidR="008827AC" w:rsidRPr="00F47A86" w:rsidRDefault="008827AC" w:rsidP="00C97375">
      <w:pPr>
        <w:spacing w:after="0" w:line="240" w:lineRule="auto"/>
        <w:jc w:val="both"/>
        <w:rPr>
          <w:rFonts w:ascii="Times New Roman" w:hAnsi="Times New Roman" w:cs="Times New Roman"/>
          <w:b/>
          <w:noProof/>
          <w:color w:val="000000" w:themeColor="text1"/>
          <w:spacing w:val="-2"/>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212"/>
      </w:tblGrid>
      <w:tr w:rsidR="00D634C4" w:rsidRPr="00F47A86" w14:paraId="1393A5E8" w14:textId="77777777" w:rsidTr="00D634C4">
        <w:tc>
          <w:tcPr>
            <w:tcW w:w="9212" w:type="dxa"/>
            <w:shd w:val="clear" w:color="auto" w:fill="D9D9D9" w:themeFill="background1" w:themeFillShade="D9"/>
          </w:tcPr>
          <w:p w14:paraId="3E50623E" w14:textId="77777777" w:rsidR="00D634C4" w:rsidRPr="00F47A86" w:rsidRDefault="00D634C4" w:rsidP="00D634C4">
            <w:pPr>
              <w:keepNext/>
              <w:jc w:val="both"/>
              <w:rPr>
                <w:rFonts w:ascii="Times New Roman" w:hAnsi="Times New Roman" w:cs="Times New Roman"/>
                <w:noProof/>
                <w:color w:val="000000" w:themeColor="text1"/>
                <w:spacing w:val="-2"/>
                <w:sz w:val="24"/>
                <w:szCs w:val="24"/>
                <w:u w:val="single"/>
              </w:rPr>
            </w:pPr>
            <w:r>
              <w:rPr>
                <w:rFonts w:ascii="Times New Roman" w:hAnsi="Times New Roman"/>
                <w:noProof/>
                <w:color w:val="000000" w:themeColor="text1"/>
                <w:sz w:val="24"/>
                <w:szCs w:val="24"/>
                <w:u w:val="single"/>
              </w:rPr>
              <w:t xml:space="preserve">Доклад за напредъка за 2021 г.: </w:t>
            </w:r>
          </w:p>
          <w:p w14:paraId="2CD5B081" w14:textId="77777777" w:rsidR="00D634C4" w:rsidRPr="00F47A86" w:rsidRDefault="00EB4AC9" w:rsidP="00D634C4">
            <w:pPr>
              <w:jc w:val="both"/>
              <w:rPr>
                <w:rFonts w:ascii="Times New Roman" w:hAnsi="Times New Roman" w:cs="Times New Roman"/>
                <w:noProof/>
                <w:color w:val="000000" w:themeColor="text1"/>
                <w:spacing w:val="-3"/>
                <w:sz w:val="24"/>
                <w:szCs w:val="24"/>
              </w:rPr>
            </w:pPr>
            <w:r>
              <w:rPr>
                <w:rFonts w:ascii="Times New Roman" w:hAnsi="Times New Roman"/>
                <w:noProof/>
                <w:color w:val="000000" w:themeColor="text1"/>
                <w:sz w:val="24"/>
                <w:szCs w:val="24"/>
              </w:rPr>
              <w:t xml:space="preserve">Службите на Комисията: </w:t>
            </w:r>
          </w:p>
          <w:p w14:paraId="1CE0FF62" w14:textId="00255894" w:rsidR="008D4F51" w:rsidRPr="00F47A86" w:rsidRDefault="00D634C4" w:rsidP="00440720">
            <w:pPr>
              <w:pStyle w:val="ListParagraph"/>
              <w:numPr>
                <w:ilvl w:val="0"/>
                <w:numId w:val="6"/>
              </w:numPr>
              <w:jc w:val="both"/>
              <w:rPr>
                <w:rFonts w:ascii="Times New Roman" w:hAnsi="Times New Roman" w:cs="Times New Roman"/>
                <w:b/>
                <w:noProof/>
                <w:color w:val="000000" w:themeColor="text1"/>
                <w:spacing w:val="-2"/>
                <w:sz w:val="24"/>
                <w:szCs w:val="24"/>
              </w:rPr>
            </w:pPr>
            <w:r>
              <w:rPr>
                <w:rFonts w:ascii="Times New Roman" w:hAnsi="Times New Roman"/>
                <w:noProof/>
                <w:color w:val="000000" w:themeColor="text1"/>
                <w:sz w:val="24"/>
                <w:szCs w:val="24"/>
              </w:rPr>
              <w:t>обсъдиха с генералните директори на ЕС, отговарящи за развитието, на заседанието им, проведено на 5 октомври, промените, които са необходими за преразглеждане и подобряване на европейската финансова архитектура за развитие;</w:t>
            </w:r>
          </w:p>
          <w:p w14:paraId="7EB2271E" w14:textId="77777777" w:rsidR="00D634C4" w:rsidRPr="00F47A86" w:rsidRDefault="008D4F51" w:rsidP="00440720">
            <w:pPr>
              <w:pStyle w:val="ListParagraph"/>
              <w:numPr>
                <w:ilvl w:val="0"/>
                <w:numId w:val="6"/>
              </w:numPr>
              <w:jc w:val="both"/>
              <w:rPr>
                <w:rFonts w:ascii="Times New Roman" w:hAnsi="Times New Roman" w:cs="Times New Roman"/>
                <w:b/>
                <w:noProof/>
                <w:color w:val="000000" w:themeColor="text1"/>
                <w:spacing w:val="-2"/>
                <w:sz w:val="24"/>
                <w:szCs w:val="24"/>
              </w:rPr>
            </w:pPr>
            <w:r>
              <w:rPr>
                <w:rFonts w:ascii="Times New Roman" w:hAnsi="Times New Roman"/>
                <w:noProof/>
                <w:color w:val="000000" w:themeColor="text1"/>
                <w:sz w:val="24"/>
                <w:szCs w:val="24"/>
              </w:rPr>
              <w:t xml:space="preserve">проведоха техническа сесия на 9 декември 2021 г. с партньорските финансови институции, </w:t>
            </w:r>
            <w:r w:rsidRPr="00E250A8">
              <w:rPr>
                <w:rFonts w:ascii="Times New Roman" w:hAnsi="Times New Roman"/>
                <w:noProof/>
                <w:color w:val="000000" w:themeColor="text1"/>
                <w:sz w:val="24"/>
                <w:szCs w:val="24"/>
              </w:rPr>
              <w:t>като наред с другото</w:t>
            </w:r>
            <w:r>
              <w:rPr>
                <w:rFonts w:ascii="Times New Roman" w:hAnsi="Times New Roman"/>
                <w:noProof/>
                <w:color w:val="000000" w:themeColor="text1"/>
                <w:sz w:val="24"/>
                <w:szCs w:val="24"/>
              </w:rPr>
              <w:t xml:space="preserve"> поставиха акцента върху процеса на кандидатстване за гаранция от ЕФУР+.</w:t>
            </w:r>
          </w:p>
        </w:tc>
      </w:tr>
    </w:tbl>
    <w:p w14:paraId="22508070" w14:textId="77777777" w:rsidR="00D634C4" w:rsidRPr="00F47A86" w:rsidRDefault="00D634C4" w:rsidP="00C97375">
      <w:pPr>
        <w:spacing w:after="0" w:line="240" w:lineRule="auto"/>
        <w:jc w:val="both"/>
        <w:rPr>
          <w:rFonts w:ascii="Times New Roman" w:hAnsi="Times New Roman" w:cs="Times New Roman"/>
          <w:noProof/>
          <w:color w:val="000000" w:themeColor="text1"/>
          <w:sz w:val="24"/>
          <w:szCs w:val="24"/>
        </w:rPr>
      </w:pPr>
    </w:p>
    <w:p w14:paraId="055C0349" w14:textId="77777777" w:rsidR="0068403E" w:rsidRPr="00F47A86" w:rsidRDefault="00304D31" w:rsidP="00CE6F48">
      <w:pPr>
        <w:keepNext/>
        <w:spacing w:after="0" w:line="240" w:lineRule="auto"/>
        <w:jc w:val="both"/>
        <w:rPr>
          <w:rFonts w:ascii="Times New Roman" w:hAnsi="Times New Roman" w:cs="Times New Roman"/>
          <w:b/>
          <w:noProof/>
          <w:color w:val="0070C0"/>
          <w:spacing w:val="-2"/>
          <w:sz w:val="24"/>
          <w:szCs w:val="24"/>
        </w:rPr>
      </w:pPr>
      <w:r>
        <w:rPr>
          <w:rFonts w:ascii="Times New Roman" w:hAnsi="Times New Roman"/>
          <w:b/>
          <w:noProof/>
          <w:color w:val="0070C0"/>
          <w:sz w:val="24"/>
          <w:szCs w:val="24"/>
        </w:rPr>
        <w:t>Засилена подкрепа за оценката по стълбове</w:t>
      </w:r>
    </w:p>
    <w:p w14:paraId="35F6BCA5" w14:textId="77777777" w:rsidR="0023391C" w:rsidRPr="00F47A86" w:rsidRDefault="0023391C" w:rsidP="00F47A86">
      <w:pPr>
        <w:spacing w:after="0" w:line="240" w:lineRule="auto"/>
        <w:jc w:val="both"/>
        <w:rPr>
          <w:rFonts w:ascii="Times New Roman" w:hAnsi="Times New Roman" w:cs="Times New Roman"/>
          <w:noProof/>
          <w:color w:val="000000" w:themeColor="text1"/>
          <w:sz w:val="24"/>
          <w:szCs w:val="24"/>
        </w:rPr>
      </w:pPr>
    </w:p>
    <w:p w14:paraId="55AFD776" w14:textId="77777777" w:rsidR="00DF7615" w:rsidRPr="00F47A86" w:rsidRDefault="00B1141B" w:rsidP="00D634C4">
      <w:pPr>
        <w:spacing w:after="0"/>
        <w:jc w:val="both"/>
        <w:rPr>
          <w:rFonts w:ascii="Times New Roman" w:hAnsi="Times New Roman" w:cs="Times New Roman"/>
          <w:noProof/>
          <w:color w:val="000000" w:themeColor="text1"/>
          <w:spacing w:val="-4"/>
          <w:sz w:val="24"/>
          <w:szCs w:val="24"/>
        </w:rPr>
      </w:pPr>
      <w:r>
        <w:rPr>
          <w:rFonts w:ascii="Times New Roman" w:hAnsi="Times New Roman"/>
          <w:noProof/>
          <w:sz w:val="24"/>
          <w:szCs w:val="24"/>
        </w:rPr>
        <w:t>Комисията цени високо възможността всички европейски финансови институции</w:t>
      </w:r>
      <w:r>
        <w:rPr>
          <w:rFonts w:ascii="Times New Roman" w:hAnsi="Times New Roman"/>
          <w:b/>
          <w:noProof/>
          <w:sz w:val="24"/>
          <w:szCs w:val="24"/>
        </w:rPr>
        <w:t xml:space="preserve"> </w:t>
      </w:r>
      <w:r>
        <w:rPr>
          <w:rFonts w:ascii="Times New Roman" w:hAnsi="Times New Roman"/>
          <w:noProof/>
          <w:sz w:val="24"/>
          <w:szCs w:val="24"/>
        </w:rPr>
        <w:t xml:space="preserve">да играят своята роля във финансовата архитектура за развитие. Трябва да се отбележи, че оценката по стълбове не е предварително условие за участие в съвместни инвестиции (като ИЕЕ), </w:t>
      </w:r>
      <w:r>
        <w:rPr>
          <w:rFonts w:ascii="Times New Roman" w:hAnsi="Times New Roman"/>
          <w:noProof/>
          <w:color w:val="000000" w:themeColor="text1"/>
          <w:sz w:val="24"/>
          <w:szCs w:val="24"/>
        </w:rPr>
        <w:t xml:space="preserve">и както беше посочено по-горе, </w:t>
      </w:r>
      <w:r>
        <w:rPr>
          <w:rFonts w:ascii="Times New Roman" w:hAnsi="Times New Roman"/>
          <w:noProof/>
          <w:sz w:val="24"/>
          <w:szCs w:val="24"/>
        </w:rPr>
        <w:t>Комисията ще проучи възможността за въвеждане на стимули за поощряване на съвместни предложения с европейски субекти, за които не се извършва оценка по стълбове (стига за водещия субект да е извършена оценка по стълбове).</w:t>
      </w:r>
    </w:p>
    <w:p w14:paraId="55E9BBAF" w14:textId="77777777" w:rsidR="00A70C88" w:rsidRPr="00F47A86" w:rsidRDefault="00A70C88" w:rsidP="00F47A86">
      <w:pPr>
        <w:spacing w:after="0" w:line="240" w:lineRule="auto"/>
        <w:jc w:val="both"/>
        <w:rPr>
          <w:rFonts w:ascii="Times New Roman" w:hAnsi="Times New Roman" w:cs="Times New Roman"/>
          <w:noProof/>
          <w:color w:val="000000" w:themeColor="text1"/>
          <w:sz w:val="24"/>
          <w:szCs w:val="24"/>
        </w:rPr>
      </w:pPr>
    </w:p>
    <w:tbl>
      <w:tblPr>
        <w:tblStyle w:val="TableGrid"/>
        <w:tblW w:w="0" w:type="auto"/>
        <w:shd w:val="clear" w:color="auto" w:fill="DEEAF6" w:themeFill="accent1" w:themeFillTint="33"/>
        <w:tblLook w:val="04A0" w:firstRow="1" w:lastRow="0" w:firstColumn="1" w:lastColumn="0" w:noHBand="0" w:noVBand="1"/>
      </w:tblPr>
      <w:tblGrid>
        <w:gridCol w:w="9210"/>
      </w:tblGrid>
      <w:tr w:rsidR="00A70C88" w:rsidRPr="00F47A86" w14:paraId="571E158C" w14:textId="77777777" w:rsidTr="00883A2B">
        <w:tc>
          <w:tcPr>
            <w:tcW w:w="9210" w:type="dxa"/>
            <w:shd w:val="clear" w:color="auto" w:fill="DEEAF6" w:themeFill="accent1" w:themeFillTint="33"/>
          </w:tcPr>
          <w:p w14:paraId="02D1FF0C" w14:textId="77777777" w:rsidR="00425D98" w:rsidRPr="00F47A86" w:rsidRDefault="00425D98" w:rsidP="00A70C88">
            <w:pPr>
              <w:jc w:val="both"/>
              <w:rPr>
                <w:rFonts w:ascii="Times New Roman" w:hAnsi="Times New Roman" w:cs="Times New Roman"/>
                <w:noProof/>
                <w:color w:val="000000" w:themeColor="text1"/>
                <w:spacing w:val="-2"/>
                <w:sz w:val="24"/>
                <w:szCs w:val="24"/>
                <w:u w:val="single"/>
              </w:rPr>
            </w:pPr>
            <w:r>
              <w:rPr>
                <w:rFonts w:ascii="Times New Roman" w:hAnsi="Times New Roman"/>
                <w:noProof/>
                <w:color w:val="000000" w:themeColor="text1"/>
                <w:sz w:val="24"/>
                <w:szCs w:val="24"/>
                <w:u w:val="single"/>
              </w:rPr>
              <w:t>Пътна карта</w:t>
            </w:r>
          </w:p>
          <w:p w14:paraId="4D321400" w14:textId="77777777" w:rsidR="00A70C88" w:rsidRPr="00F47A86" w:rsidRDefault="00A70C88" w:rsidP="00A70C88">
            <w:pPr>
              <w:jc w:val="both"/>
              <w:rPr>
                <w:rFonts w:ascii="Times New Roman" w:hAnsi="Times New Roman" w:cs="Times New Roman"/>
                <w:noProof/>
                <w:sz w:val="24"/>
                <w:szCs w:val="24"/>
              </w:rPr>
            </w:pPr>
            <w:r>
              <w:rPr>
                <w:rFonts w:ascii="Times New Roman" w:hAnsi="Times New Roman"/>
                <w:noProof/>
                <w:sz w:val="24"/>
                <w:szCs w:val="24"/>
              </w:rPr>
              <w:t xml:space="preserve">Комисията ще: </w:t>
            </w:r>
          </w:p>
          <w:p w14:paraId="15361707" w14:textId="77777777" w:rsidR="00A70C88" w:rsidRPr="00F47A86" w:rsidRDefault="004F3116" w:rsidP="006607A8">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 xml:space="preserve">продължи да подпомага и да предоставя методически насоки на европейските финансови институции, които са обект </w:t>
            </w:r>
            <w:r>
              <w:rPr>
                <w:rFonts w:ascii="Times New Roman" w:hAnsi="Times New Roman"/>
                <w:bCs/>
                <w:noProof/>
                <w:color w:val="000000" w:themeColor="text1"/>
                <w:sz w:val="24"/>
                <w:szCs w:val="24"/>
              </w:rPr>
              <w:t>на</w:t>
            </w:r>
            <w:r>
              <w:rPr>
                <w:rFonts w:ascii="Times New Roman" w:hAnsi="Times New Roman"/>
                <w:noProof/>
                <w:sz w:val="24"/>
                <w:szCs w:val="24"/>
              </w:rPr>
              <w:t xml:space="preserve"> оценка по стълбове.</w:t>
            </w:r>
          </w:p>
        </w:tc>
      </w:tr>
    </w:tbl>
    <w:p w14:paraId="382D89EE" w14:textId="77777777" w:rsidR="00A70C88" w:rsidRPr="00F47A86" w:rsidRDefault="00A70C88" w:rsidP="00F47A86">
      <w:pPr>
        <w:spacing w:after="0" w:line="240" w:lineRule="auto"/>
        <w:jc w:val="both"/>
        <w:rPr>
          <w:rFonts w:ascii="Times New Roman" w:hAnsi="Times New Roman" w:cs="Times New Roman"/>
          <w:noProof/>
          <w:color w:val="000000" w:themeColor="text1"/>
          <w:sz w:val="24"/>
          <w:szCs w:val="24"/>
        </w:rPr>
      </w:pP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AF0F49" w:rsidRPr="00F47A86" w14:paraId="1D4F9077" w14:textId="77777777" w:rsidTr="00AF0F49">
        <w:tc>
          <w:tcPr>
            <w:tcW w:w="9210" w:type="dxa"/>
            <w:shd w:val="clear" w:color="auto" w:fill="D9D9D9" w:themeFill="background1" w:themeFillShade="D9"/>
          </w:tcPr>
          <w:p w14:paraId="461142C8" w14:textId="77777777" w:rsidR="00AF0F49" w:rsidRPr="00F47A86" w:rsidRDefault="00AF0F49" w:rsidP="00AF0F49">
            <w:pPr>
              <w:jc w:val="both"/>
              <w:rPr>
                <w:rFonts w:ascii="Times New Roman" w:hAnsi="Times New Roman" w:cs="Times New Roman"/>
                <w:noProof/>
                <w:color w:val="000000" w:themeColor="text1"/>
                <w:spacing w:val="-2"/>
                <w:sz w:val="24"/>
                <w:szCs w:val="24"/>
                <w:u w:val="single"/>
              </w:rPr>
            </w:pPr>
            <w:r>
              <w:rPr>
                <w:rFonts w:ascii="Times New Roman" w:hAnsi="Times New Roman"/>
                <w:noProof/>
                <w:color w:val="000000" w:themeColor="text1"/>
                <w:sz w:val="24"/>
                <w:szCs w:val="24"/>
                <w:u w:val="single"/>
              </w:rPr>
              <w:t xml:space="preserve">Доклад за напредъка за 2021 г.: </w:t>
            </w:r>
          </w:p>
          <w:p w14:paraId="1F3BCBE6" w14:textId="77777777" w:rsidR="00AF0F49" w:rsidRPr="00F47A86" w:rsidRDefault="00AF0F49" w:rsidP="00AF0F49">
            <w:pPr>
              <w:jc w:val="both"/>
              <w:rPr>
                <w:rFonts w:ascii="Times New Roman" w:hAnsi="Times New Roman" w:cs="Times New Roman"/>
                <w:noProof/>
                <w:spacing w:val="-3"/>
                <w:sz w:val="24"/>
                <w:szCs w:val="24"/>
              </w:rPr>
            </w:pPr>
            <w:r>
              <w:rPr>
                <w:rFonts w:ascii="Times New Roman" w:hAnsi="Times New Roman"/>
                <w:noProof/>
                <w:sz w:val="24"/>
                <w:szCs w:val="24"/>
              </w:rPr>
              <w:t xml:space="preserve">Комисията: </w:t>
            </w:r>
          </w:p>
          <w:p w14:paraId="5409F6D8" w14:textId="77777777" w:rsidR="00AF0F49" w:rsidRPr="00F47A86" w:rsidRDefault="00DF1C22" w:rsidP="006607A8">
            <w:pPr>
              <w:pStyle w:val="ListParagraph"/>
              <w:numPr>
                <w:ilvl w:val="0"/>
                <w:numId w:val="6"/>
              </w:numPr>
              <w:spacing w:after="120"/>
              <w:jc w:val="both"/>
              <w:rPr>
                <w:rFonts w:ascii="Times New Roman" w:hAnsi="Times New Roman" w:cs="Times New Roman"/>
                <w:noProof/>
                <w:color w:val="000000" w:themeColor="text1"/>
                <w:spacing w:val="-2"/>
                <w:sz w:val="24"/>
                <w:szCs w:val="24"/>
              </w:rPr>
            </w:pPr>
            <w:r>
              <w:rPr>
                <w:rFonts w:ascii="Times New Roman" w:hAnsi="Times New Roman"/>
                <w:noProof/>
                <w:sz w:val="24"/>
                <w:szCs w:val="24"/>
              </w:rPr>
              <w:t>предостави методически насоки на 7 европейски ФИР, които са обект на допълнителни оценки по стълбове, и на 2 нови кандидатстващи ФИР, включително на специални информационни срещи и чрез проверки за допустимост на новите заявления.</w:t>
            </w:r>
          </w:p>
        </w:tc>
      </w:tr>
    </w:tbl>
    <w:p w14:paraId="1065F076" w14:textId="77777777" w:rsidR="00AF0F49" w:rsidRPr="00F47A86" w:rsidRDefault="00AF0F49" w:rsidP="0015519E">
      <w:pPr>
        <w:spacing w:after="0" w:line="240" w:lineRule="auto"/>
        <w:jc w:val="both"/>
        <w:rPr>
          <w:rFonts w:ascii="Times New Roman" w:hAnsi="Times New Roman" w:cs="Times New Roman"/>
          <w:noProof/>
          <w:color w:val="000000" w:themeColor="text1"/>
          <w:sz w:val="24"/>
          <w:szCs w:val="24"/>
        </w:rPr>
      </w:pPr>
    </w:p>
    <w:p w14:paraId="31C6A06E" w14:textId="6B993235" w:rsidR="0023391C" w:rsidRPr="00F47A86" w:rsidRDefault="00446B41" w:rsidP="00446B41">
      <w:pPr>
        <w:pStyle w:val="Heading4"/>
        <w:rPr>
          <w:rFonts w:cs="Times New Roman"/>
          <w:noProof/>
        </w:rPr>
      </w:pPr>
      <w:r w:rsidRPr="00446B41">
        <w:t>2.2.5</w:t>
      </w:r>
      <w:r w:rsidRPr="00446B41">
        <w:tab/>
      </w:r>
      <w:r w:rsidR="0023391C">
        <w:rPr>
          <w:noProof/>
        </w:rPr>
        <w:t>Мерки за повишаване на видимостта и влиянието на ЕС</w:t>
      </w:r>
    </w:p>
    <w:p w14:paraId="2C057354" w14:textId="77777777" w:rsidR="00DF7615" w:rsidRPr="00F47A86" w:rsidRDefault="00DF7615" w:rsidP="00C97375">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В настоящия раздел са представени допълнителните действия, насочени към укрепване на </w:t>
      </w:r>
      <w:r>
        <w:rPr>
          <w:rFonts w:ascii="Times New Roman" w:hAnsi="Times New Roman"/>
          <w:noProof/>
          <w:color w:val="000000" w:themeColor="text1"/>
          <w:sz w:val="24"/>
          <w:szCs w:val="24"/>
        </w:rPr>
        <w:t xml:space="preserve">комуникацията и цялостната видимост на ЕС, освен вече посочените </w:t>
      </w:r>
      <w:r>
        <w:rPr>
          <w:rFonts w:ascii="Times New Roman" w:hAnsi="Times New Roman"/>
          <w:noProof/>
          <w:sz w:val="24"/>
          <w:szCs w:val="24"/>
        </w:rPr>
        <w:t xml:space="preserve">в раздела, свързан с </w:t>
      </w:r>
      <w:r>
        <w:rPr>
          <w:rFonts w:ascii="Times New Roman" w:hAnsi="Times New Roman"/>
          <w:bCs/>
          <w:noProof/>
          <w:color w:val="000000" w:themeColor="text1"/>
          <w:sz w:val="24"/>
          <w:szCs w:val="24"/>
        </w:rPr>
        <w:t xml:space="preserve">ИССРМС — </w:t>
      </w:r>
      <w:r>
        <w:rPr>
          <w:rFonts w:ascii="Times New Roman" w:hAnsi="Times New Roman"/>
          <w:noProof/>
          <w:sz w:val="24"/>
          <w:szCs w:val="24"/>
        </w:rPr>
        <w:t>Глобална Европа и в други стратегически документи</w:t>
      </w:r>
      <w:r>
        <w:rPr>
          <w:rFonts w:ascii="Times New Roman" w:hAnsi="Times New Roman"/>
          <w:noProof/>
          <w:color w:val="000000" w:themeColor="text1"/>
          <w:sz w:val="24"/>
          <w:szCs w:val="24"/>
        </w:rPr>
        <w:t>.</w:t>
      </w:r>
    </w:p>
    <w:p w14:paraId="68262F69" w14:textId="77777777" w:rsidR="0023391C" w:rsidRPr="00F47A86" w:rsidRDefault="0023391C" w:rsidP="00C97375">
      <w:pPr>
        <w:spacing w:after="0" w:line="240" w:lineRule="auto"/>
        <w:jc w:val="both"/>
        <w:rPr>
          <w:rFonts w:ascii="Times New Roman" w:hAnsi="Times New Roman" w:cs="Times New Roman"/>
          <w:noProof/>
          <w:color w:val="000000" w:themeColor="text1"/>
          <w:sz w:val="24"/>
          <w:szCs w:val="24"/>
        </w:rPr>
      </w:pPr>
    </w:p>
    <w:p w14:paraId="1BF5BD71" w14:textId="77777777" w:rsidR="0068403E" w:rsidRPr="00F47A86" w:rsidRDefault="0056441E" w:rsidP="00C97375">
      <w:pPr>
        <w:spacing w:after="0" w:line="240" w:lineRule="auto"/>
        <w:jc w:val="both"/>
        <w:rPr>
          <w:rFonts w:ascii="Times New Roman" w:hAnsi="Times New Roman" w:cs="Times New Roman"/>
          <w:b/>
          <w:noProof/>
          <w:color w:val="0070C0"/>
          <w:spacing w:val="-2"/>
          <w:sz w:val="24"/>
          <w:szCs w:val="24"/>
        </w:rPr>
      </w:pPr>
      <w:r>
        <w:rPr>
          <w:rFonts w:ascii="Times New Roman" w:hAnsi="Times New Roman"/>
          <w:b/>
          <w:noProof/>
          <w:color w:val="0070C0"/>
          <w:sz w:val="24"/>
          <w:szCs w:val="24"/>
        </w:rPr>
        <w:t xml:space="preserve">Укрепване на комуникационните усилия в рамките на подхода „Екип Европа“ </w:t>
      </w:r>
    </w:p>
    <w:p w14:paraId="3D7159EA" w14:textId="77777777" w:rsidR="0068403E" w:rsidRPr="00F47A86" w:rsidRDefault="0068403E" w:rsidP="00F47A86">
      <w:pPr>
        <w:spacing w:after="0" w:line="240" w:lineRule="auto"/>
        <w:jc w:val="both"/>
        <w:rPr>
          <w:rFonts w:ascii="Times New Roman" w:hAnsi="Times New Roman" w:cs="Times New Roman"/>
          <w:noProof/>
          <w:color w:val="000000" w:themeColor="text1"/>
          <w:sz w:val="24"/>
          <w:szCs w:val="24"/>
        </w:rPr>
      </w:pPr>
    </w:p>
    <w:p w14:paraId="409332E2" w14:textId="77777777" w:rsidR="00D4736C" w:rsidRPr="00F47A86" w:rsidRDefault="0055798D" w:rsidP="00C97375">
      <w:pPr>
        <w:pStyle w:val="ListParagraph"/>
        <w:spacing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С цел увеличаване на видимостта на действията на ЕС и на държавите членки в областта на развитието, както на глобално, така и на местно равнище, и за да се гарантира, че на Европа се гледа като на участник, чието влияние в световен мащаб отговаря на значимостта на финансовата му интервенция, е от съществено значение участниците в европейската финансова архитектура за развитие да обединят сили в комуникационните си усилия. </w:t>
      </w:r>
    </w:p>
    <w:p w14:paraId="6A13EFE0" w14:textId="77777777" w:rsidR="0055798D" w:rsidRPr="00F47A86" w:rsidRDefault="0055798D" w:rsidP="00F47A86">
      <w:pPr>
        <w:spacing w:after="0" w:line="240" w:lineRule="auto"/>
        <w:jc w:val="both"/>
        <w:rPr>
          <w:rFonts w:ascii="Times New Roman" w:hAnsi="Times New Roman" w:cs="Times New Roman"/>
          <w:noProof/>
          <w:color w:val="000000" w:themeColor="text1"/>
          <w:sz w:val="24"/>
          <w:szCs w:val="24"/>
        </w:rPr>
      </w:pPr>
    </w:p>
    <w:p w14:paraId="19E6542C" w14:textId="77777777" w:rsidR="005C2585" w:rsidRPr="00E250A8" w:rsidRDefault="005C2585" w:rsidP="005C2585">
      <w:pPr>
        <w:pStyle w:val="ListParagraph"/>
        <w:spacing w:after="0" w:line="240" w:lineRule="auto"/>
        <w:ind w:left="0"/>
        <w:contextualSpacing w:val="0"/>
        <w:jc w:val="both"/>
        <w:rPr>
          <w:rFonts w:ascii="Times New Roman" w:hAnsi="Times New Roman" w:cs="Times New Roman"/>
          <w:noProof/>
          <w:spacing w:val="-6"/>
          <w:sz w:val="24"/>
          <w:szCs w:val="24"/>
        </w:rPr>
      </w:pPr>
      <w:r w:rsidRPr="00E250A8">
        <w:rPr>
          <w:rFonts w:ascii="Times New Roman" w:hAnsi="Times New Roman"/>
          <w:noProof/>
          <w:spacing w:val="-6"/>
          <w:sz w:val="24"/>
          <w:szCs w:val="24"/>
        </w:rPr>
        <w:t xml:space="preserve">С появата на нови донори е важно да можем точно да </w:t>
      </w:r>
      <w:r w:rsidRPr="00E250A8">
        <w:rPr>
          <w:rFonts w:ascii="Times New Roman" w:hAnsi="Times New Roman"/>
          <w:bCs/>
          <w:noProof/>
          <w:spacing w:val="-6"/>
          <w:sz w:val="24"/>
          <w:szCs w:val="24"/>
        </w:rPr>
        <w:t>покажем степента на европейска подкрепа за държавите партньори</w:t>
      </w:r>
      <w:r w:rsidRPr="00E250A8">
        <w:rPr>
          <w:rFonts w:ascii="Times New Roman" w:hAnsi="Times New Roman"/>
          <w:noProof/>
          <w:spacing w:val="-6"/>
          <w:sz w:val="24"/>
          <w:szCs w:val="24"/>
        </w:rPr>
        <w:t xml:space="preserve">. Ефективната комуникация относно цялостната подкрепа, мобилизирана от ЕС и неговите държави членки, ще изисква преодоляване на недостига на съпоставими данни между държавите членки и европейските финансови институции. </w:t>
      </w:r>
    </w:p>
    <w:p w14:paraId="3437CFC3" w14:textId="77777777" w:rsidR="005C2585" w:rsidRPr="00F47A86" w:rsidRDefault="005C2585" w:rsidP="00C97375">
      <w:pPr>
        <w:spacing w:after="0" w:line="240" w:lineRule="auto"/>
        <w:jc w:val="both"/>
        <w:rPr>
          <w:rFonts w:ascii="Times New Roman" w:hAnsi="Times New Roman" w:cs="Times New Roman"/>
          <w:noProof/>
          <w:color w:val="000000" w:themeColor="text1"/>
          <w:sz w:val="24"/>
          <w:szCs w:val="24"/>
        </w:rPr>
      </w:pPr>
    </w:p>
    <w:p w14:paraId="5C2A3305" w14:textId="77777777" w:rsidR="00837727" w:rsidRPr="00F47A86" w:rsidRDefault="00837727" w:rsidP="00F47A86">
      <w:pPr>
        <w:pStyle w:val="ListParagraph"/>
        <w:keepLines/>
        <w:spacing w:after="0" w:line="240" w:lineRule="auto"/>
        <w:ind w:left="0"/>
        <w:contextualSpacing w:val="0"/>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Подходът „Екип Европа“ ще бъде ключов елемент от усилията на равнището на ЕС за стратегическа комуникация и публична дипломация както в световен мащаб, така и на национално и регионално равнище. В това отношение чрез ИЕЕ може да се предостави полезна и видима възможност за насочване на комуникационните усилия. За съседните на ЕС държави и за Западните Балкани фокусът на посланието ще е върху икономическите и инвестиционните планове като ключови инструменти за постигане на резултати в рамките на подхода „Екип Европа“. </w:t>
      </w:r>
    </w:p>
    <w:p w14:paraId="59F43615" w14:textId="77777777" w:rsidR="00837727" w:rsidRPr="00CB27E2" w:rsidRDefault="00837727" w:rsidP="00C97375">
      <w:pPr>
        <w:spacing w:after="0" w:line="240" w:lineRule="auto"/>
        <w:jc w:val="both"/>
        <w:rPr>
          <w:rFonts w:ascii="Times New Roman" w:hAnsi="Times New Roman" w:cs="Times New Roman"/>
          <w:noProof/>
          <w:color w:val="000000" w:themeColor="text1"/>
          <w:sz w:val="24"/>
          <w:szCs w:val="24"/>
        </w:rPr>
      </w:pPr>
    </w:p>
    <w:tbl>
      <w:tblPr>
        <w:tblStyle w:val="TableGrid"/>
        <w:tblW w:w="0" w:type="auto"/>
        <w:shd w:val="clear" w:color="auto" w:fill="DEEAF6" w:themeFill="accent1" w:themeFillTint="33"/>
        <w:tblLook w:val="04A0" w:firstRow="1" w:lastRow="0" w:firstColumn="1" w:lastColumn="0" w:noHBand="0" w:noVBand="1"/>
      </w:tblPr>
      <w:tblGrid>
        <w:gridCol w:w="9210"/>
      </w:tblGrid>
      <w:tr w:rsidR="00A70C88" w:rsidRPr="00CB27E2" w14:paraId="6651C842" w14:textId="77777777" w:rsidTr="00883A2B">
        <w:tc>
          <w:tcPr>
            <w:tcW w:w="9210" w:type="dxa"/>
            <w:shd w:val="clear" w:color="auto" w:fill="DEEAF6" w:themeFill="accent1" w:themeFillTint="33"/>
          </w:tcPr>
          <w:p w14:paraId="08CBB9B8" w14:textId="77777777" w:rsidR="00425D98" w:rsidRPr="00CB27E2" w:rsidRDefault="00425D98" w:rsidP="005C2585">
            <w:pPr>
              <w:jc w:val="both"/>
              <w:rPr>
                <w:rFonts w:ascii="Times New Roman" w:hAnsi="Times New Roman" w:cs="Times New Roman"/>
                <w:noProof/>
                <w:color w:val="000000" w:themeColor="text1"/>
                <w:spacing w:val="-2"/>
                <w:sz w:val="24"/>
                <w:szCs w:val="24"/>
                <w:u w:val="single"/>
              </w:rPr>
            </w:pPr>
            <w:r>
              <w:rPr>
                <w:rFonts w:ascii="Times New Roman" w:hAnsi="Times New Roman"/>
                <w:bCs/>
                <w:noProof/>
                <w:color w:val="000000" w:themeColor="text1"/>
                <w:sz w:val="24"/>
                <w:szCs w:val="24"/>
                <w:u w:val="single"/>
              </w:rPr>
              <w:t>Пътна карта</w:t>
            </w:r>
            <w:r>
              <w:rPr>
                <w:rFonts w:ascii="Times New Roman" w:hAnsi="Times New Roman"/>
                <w:noProof/>
                <w:color w:val="000000" w:themeColor="text1"/>
                <w:sz w:val="24"/>
                <w:szCs w:val="24"/>
                <w:u w:val="single"/>
              </w:rPr>
              <w:t>:</w:t>
            </w:r>
          </w:p>
          <w:p w14:paraId="0AA08583" w14:textId="77777777" w:rsidR="005935D6" w:rsidRPr="00CB27E2" w:rsidRDefault="005935D6" w:rsidP="005935D6">
            <w:pPr>
              <w:keepNext/>
              <w:jc w:val="both"/>
              <w:rPr>
                <w:rFonts w:ascii="Times New Roman" w:hAnsi="Times New Roman" w:cs="Times New Roman"/>
                <w:noProof/>
                <w:sz w:val="24"/>
                <w:szCs w:val="24"/>
              </w:rPr>
            </w:pPr>
            <w:r>
              <w:rPr>
                <w:rFonts w:ascii="Times New Roman" w:hAnsi="Times New Roman"/>
                <w:noProof/>
                <w:sz w:val="24"/>
                <w:szCs w:val="24"/>
              </w:rPr>
              <w:t xml:space="preserve">Комисията в сътрудничество с ВП/ЗП ще: </w:t>
            </w:r>
          </w:p>
          <w:p w14:paraId="4B2EB8DF" w14:textId="77777777" w:rsidR="005C2585" w:rsidRPr="00CB27E2" w:rsidRDefault="005C2585" w:rsidP="006607A8">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 xml:space="preserve">проучи възможността за разработване заедно с държавите членки и ФИР на съвместна рамка за отчитане на годишна основа на операциите за финансиране за развитие, осъществявани от ЕС и държавите членки в цял свят, така че да бъдат представени обобщени, </w:t>
            </w:r>
            <w:r>
              <w:rPr>
                <w:rFonts w:ascii="Times New Roman" w:hAnsi="Times New Roman"/>
                <w:bCs/>
                <w:noProof/>
                <w:sz w:val="24"/>
                <w:szCs w:val="24"/>
              </w:rPr>
              <w:t xml:space="preserve">консолидирани и съпоставими </w:t>
            </w:r>
            <w:r>
              <w:rPr>
                <w:rFonts w:ascii="Times New Roman" w:hAnsi="Times New Roman"/>
                <w:noProof/>
                <w:sz w:val="24"/>
                <w:szCs w:val="24"/>
              </w:rPr>
              <w:t xml:space="preserve">данни и постижения на ЕС и държавите членки в областта на финансирането за развитие </w:t>
            </w:r>
            <w:r>
              <w:rPr>
                <w:rFonts w:ascii="Times New Roman" w:hAnsi="Times New Roman"/>
                <w:noProof/>
                <w:color w:val="000000" w:themeColor="text1"/>
                <w:sz w:val="24"/>
                <w:szCs w:val="24"/>
              </w:rPr>
              <w:t xml:space="preserve">в </w:t>
            </w:r>
            <w:r>
              <w:rPr>
                <w:rFonts w:ascii="Times New Roman" w:hAnsi="Times New Roman"/>
                <w:noProof/>
                <w:sz w:val="24"/>
                <w:szCs w:val="24"/>
              </w:rPr>
              <w:t>подкрепа</w:t>
            </w:r>
            <w:r>
              <w:rPr>
                <w:rFonts w:ascii="Times New Roman" w:hAnsi="Times New Roman"/>
                <w:noProof/>
                <w:color w:val="000000" w:themeColor="text1"/>
                <w:sz w:val="24"/>
                <w:szCs w:val="24"/>
              </w:rPr>
              <w:t xml:space="preserve"> на приоритетите за стратегическа комуникация;</w:t>
            </w:r>
            <w:r>
              <w:rPr>
                <w:rFonts w:ascii="Times New Roman" w:hAnsi="Times New Roman"/>
                <w:b/>
                <w:noProof/>
                <w:color w:val="000000" w:themeColor="text1"/>
                <w:sz w:val="24"/>
                <w:szCs w:val="24"/>
              </w:rPr>
              <w:t xml:space="preserve"> </w:t>
            </w:r>
          </w:p>
          <w:p w14:paraId="5A772B63" w14:textId="77777777" w:rsidR="004F3116" w:rsidRPr="00CB27E2" w:rsidRDefault="004F3116" w:rsidP="006607A8">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 xml:space="preserve">изготви стратегически комуникационни планове за държавите партньори, обединяващи дейности в областта на стратегическата комуникация и публичната дипломация, така че да се изгради дългосрочна мрежа, за да се демонстрират ценностите и принципите на ЕС, както и мащабът и обхватът на европейската ангажираност спрямо местната </w:t>
            </w:r>
            <w:r>
              <w:rPr>
                <w:rFonts w:ascii="Times New Roman" w:hAnsi="Times New Roman"/>
                <w:noProof/>
                <w:color w:val="000000" w:themeColor="text1"/>
                <w:sz w:val="24"/>
                <w:szCs w:val="24"/>
              </w:rPr>
              <w:t>аудитория;</w:t>
            </w:r>
          </w:p>
          <w:p w14:paraId="28C84FC8" w14:textId="77777777" w:rsidR="007C19A1" w:rsidRPr="00E250A8" w:rsidRDefault="007C19A1" w:rsidP="006607A8">
            <w:pPr>
              <w:pStyle w:val="ListParagraph"/>
              <w:numPr>
                <w:ilvl w:val="0"/>
                <w:numId w:val="6"/>
              </w:numPr>
              <w:jc w:val="both"/>
              <w:rPr>
                <w:rFonts w:ascii="Times New Roman" w:hAnsi="Times New Roman" w:cs="Times New Roman"/>
                <w:noProof/>
                <w:spacing w:val="-4"/>
                <w:sz w:val="24"/>
                <w:szCs w:val="24"/>
              </w:rPr>
            </w:pPr>
            <w:r w:rsidRPr="00E250A8">
              <w:rPr>
                <w:rFonts w:ascii="Times New Roman" w:hAnsi="Times New Roman"/>
                <w:noProof/>
                <w:spacing w:val="-4"/>
                <w:sz w:val="24"/>
                <w:szCs w:val="24"/>
              </w:rPr>
              <w:t>предостави допълнителни комуникационни насоки и материали на делегациите на ЕС, държавите членки и европейските финансови институции относно подхода „Екип Европа“, които могат да бъдат използвани в комуникационните им дейности (напр. успешни примери на ЕС и на държавите членки в резултат на прилагането на подхода „Екип Европа“, които илюстрират действията ни и това какво отстояваме (местна призма, общи ценности, ориентиран към човека подход);</w:t>
            </w:r>
          </w:p>
          <w:p w14:paraId="27A964D4" w14:textId="77777777" w:rsidR="00A473E1" w:rsidRPr="00CB27E2" w:rsidRDefault="00A473E1" w:rsidP="006607A8">
            <w:pPr>
              <w:pStyle w:val="ListParagraph"/>
              <w:numPr>
                <w:ilvl w:val="0"/>
                <w:numId w:val="6"/>
              </w:numPr>
              <w:jc w:val="both"/>
              <w:rPr>
                <w:rFonts w:ascii="Times New Roman" w:hAnsi="Times New Roman" w:cs="Times New Roman"/>
                <w:noProof/>
                <w:sz w:val="24"/>
                <w:szCs w:val="24"/>
              </w:rPr>
            </w:pPr>
            <w:r>
              <w:rPr>
                <w:rFonts w:ascii="Times New Roman" w:hAnsi="Times New Roman"/>
                <w:noProof/>
                <w:color w:val="000000" w:themeColor="text1"/>
                <w:sz w:val="24"/>
                <w:szCs w:val="24"/>
              </w:rPr>
              <w:t xml:space="preserve">координира с участващите финансови институции на ЕС и с държавите членки обявяването на нови операции в рамките на </w:t>
            </w:r>
            <w:r>
              <w:rPr>
                <w:rFonts w:ascii="Times New Roman" w:hAnsi="Times New Roman"/>
                <w:noProof/>
                <w:sz w:val="24"/>
                <w:szCs w:val="24"/>
              </w:rPr>
              <w:t xml:space="preserve">подхода „Екип Европа“ </w:t>
            </w:r>
            <w:r>
              <w:rPr>
                <w:rFonts w:ascii="Times New Roman" w:hAnsi="Times New Roman"/>
                <w:noProof/>
                <w:color w:val="000000" w:themeColor="text1"/>
                <w:sz w:val="24"/>
                <w:szCs w:val="24"/>
              </w:rPr>
              <w:t xml:space="preserve">чрез новини (съобщения за медиите или канали в </w:t>
            </w:r>
            <w:r>
              <w:rPr>
                <w:rFonts w:ascii="Times New Roman" w:hAnsi="Times New Roman"/>
                <w:bCs/>
                <w:noProof/>
                <w:color w:val="000000" w:themeColor="text1"/>
                <w:sz w:val="24"/>
                <w:szCs w:val="24"/>
              </w:rPr>
              <w:t>социалните</w:t>
            </w:r>
            <w:r>
              <w:rPr>
                <w:rFonts w:ascii="Times New Roman" w:hAnsi="Times New Roman"/>
                <w:noProof/>
                <w:color w:val="000000" w:themeColor="text1"/>
                <w:sz w:val="24"/>
                <w:szCs w:val="24"/>
              </w:rPr>
              <w:t xml:space="preserve"> медии) и съвместно участие, когато е целесъобразно, по време на церемониите по подписване на операциите, включени в портфейлите, обхванати от гаранцията от ЕФУР+;</w:t>
            </w:r>
          </w:p>
          <w:p w14:paraId="288DE332" w14:textId="77777777" w:rsidR="005B0AB0" w:rsidRPr="00CB27E2" w:rsidRDefault="00A473E1" w:rsidP="006607A8">
            <w:pPr>
              <w:pStyle w:val="ListParagraph"/>
              <w:numPr>
                <w:ilvl w:val="0"/>
                <w:numId w:val="6"/>
              </w:numPr>
              <w:jc w:val="both"/>
              <w:rPr>
                <w:rFonts w:ascii="Times New Roman" w:hAnsi="Times New Roman" w:cs="Times New Roman"/>
                <w:noProof/>
                <w:sz w:val="24"/>
                <w:szCs w:val="24"/>
              </w:rPr>
            </w:pPr>
            <w:r>
              <w:rPr>
                <w:rFonts w:ascii="Times New Roman" w:hAnsi="Times New Roman"/>
                <w:bCs/>
                <w:noProof/>
                <w:color w:val="000000" w:themeColor="text1"/>
                <w:sz w:val="24"/>
                <w:szCs w:val="24"/>
              </w:rPr>
              <w:t>разработи</w:t>
            </w:r>
            <w:r>
              <w:rPr>
                <w:rFonts w:ascii="Times New Roman" w:hAnsi="Times New Roman"/>
                <w:noProof/>
                <w:color w:val="000000" w:themeColor="text1"/>
                <w:sz w:val="24"/>
                <w:szCs w:val="24"/>
              </w:rPr>
              <w:t xml:space="preserve"> ясен профил в интернет пространството за всички проекти, финансирани от ЕС, за които се използват смесено финансиране, бюджетни </w:t>
            </w:r>
            <w:r>
              <w:rPr>
                <w:rFonts w:ascii="Times New Roman" w:hAnsi="Times New Roman"/>
                <w:noProof/>
                <w:sz w:val="24"/>
                <w:szCs w:val="24"/>
              </w:rPr>
              <w:t>гаранции</w:t>
            </w:r>
            <w:r>
              <w:rPr>
                <w:rFonts w:ascii="Times New Roman" w:hAnsi="Times New Roman"/>
                <w:noProof/>
                <w:color w:val="000000" w:themeColor="text1"/>
                <w:sz w:val="24"/>
                <w:szCs w:val="24"/>
              </w:rPr>
              <w:t xml:space="preserve"> и техническа помощ.</w:t>
            </w:r>
          </w:p>
        </w:tc>
      </w:tr>
    </w:tbl>
    <w:p w14:paraId="6A7C76AC" w14:textId="77777777" w:rsidR="007D099B" w:rsidRPr="0015519E" w:rsidRDefault="007D099B" w:rsidP="0015519E">
      <w:pPr>
        <w:pStyle w:val="ListParagraph"/>
        <w:spacing w:after="0" w:line="240" w:lineRule="auto"/>
        <w:ind w:left="0"/>
        <w:contextualSpacing w:val="0"/>
        <w:jc w:val="both"/>
        <w:rPr>
          <w:rFonts w:ascii="Times New Roman" w:hAnsi="Times New Roman" w:cs="Times New Roman"/>
          <w:noProof/>
          <w:sz w:val="24"/>
          <w:szCs w:val="24"/>
        </w:rPr>
      </w:pP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AF0F49" w:rsidRPr="00CB27E2" w14:paraId="5339DAB1" w14:textId="77777777" w:rsidTr="00AF0F49">
        <w:tc>
          <w:tcPr>
            <w:tcW w:w="9210" w:type="dxa"/>
            <w:shd w:val="clear" w:color="auto" w:fill="D9D9D9" w:themeFill="background1" w:themeFillShade="D9"/>
          </w:tcPr>
          <w:p w14:paraId="43E19780" w14:textId="77777777" w:rsidR="00AF0F49" w:rsidRPr="00CB27E2" w:rsidRDefault="00AF0F49" w:rsidP="00AF0F49">
            <w:pPr>
              <w:jc w:val="both"/>
              <w:rPr>
                <w:rFonts w:ascii="Times New Roman" w:hAnsi="Times New Roman" w:cs="Times New Roman"/>
                <w:noProof/>
                <w:color w:val="000000" w:themeColor="text1"/>
                <w:spacing w:val="-2"/>
                <w:sz w:val="24"/>
                <w:szCs w:val="24"/>
                <w:u w:val="single"/>
              </w:rPr>
            </w:pPr>
            <w:r>
              <w:rPr>
                <w:rFonts w:ascii="Times New Roman" w:hAnsi="Times New Roman"/>
                <w:noProof/>
                <w:color w:val="000000" w:themeColor="text1"/>
                <w:sz w:val="24"/>
                <w:szCs w:val="24"/>
                <w:u w:val="single"/>
              </w:rPr>
              <w:t xml:space="preserve">Доклад за напредъка за 2021 г.: </w:t>
            </w:r>
          </w:p>
          <w:p w14:paraId="407DDC5F" w14:textId="77777777" w:rsidR="00AF0F49" w:rsidRPr="00CB27E2" w:rsidRDefault="005935D6" w:rsidP="00AF0F49">
            <w:pPr>
              <w:jc w:val="both"/>
              <w:rPr>
                <w:rFonts w:ascii="Times New Roman" w:hAnsi="Times New Roman" w:cs="Times New Roman"/>
                <w:noProof/>
                <w:spacing w:val="-3"/>
                <w:sz w:val="24"/>
              </w:rPr>
            </w:pPr>
            <w:r>
              <w:rPr>
                <w:rFonts w:ascii="Times New Roman" w:hAnsi="Times New Roman"/>
                <w:noProof/>
                <w:sz w:val="24"/>
              </w:rPr>
              <w:t xml:space="preserve">Комисията в сътрудничество с ВП/ЗП: </w:t>
            </w:r>
          </w:p>
          <w:p w14:paraId="377BFE4E" w14:textId="77777777" w:rsidR="00244364" w:rsidRPr="00CB27E2" w:rsidRDefault="00244364" w:rsidP="00244364">
            <w:pPr>
              <w:pStyle w:val="ListParagraph"/>
              <w:numPr>
                <w:ilvl w:val="0"/>
                <w:numId w:val="6"/>
              </w:numPr>
              <w:spacing w:after="120"/>
              <w:jc w:val="both"/>
              <w:rPr>
                <w:rFonts w:ascii="Times New Roman" w:hAnsi="Times New Roman" w:cs="Times New Roman"/>
                <w:noProof/>
                <w:color w:val="000000" w:themeColor="text1"/>
                <w:spacing w:val="-2"/>
                <w:sz w:val="24"/>
                <w:szCs w:val="24"/>
              </w:rPr>
            </w:pPr>
            <w:r>
              <w:rPr>
                <w:rFonts w:ascii="Times New Roman" w:hAnsi="Times New Roman"/>
                <w:noProof/>
                <w:color w:val="000000" w:themeColor="text1"/>
                <w:sz w:val="24"/>
                <w:szCs w:val="24"/>
              </w:rPr>
              <w:t>засили координацията в областта на комуникацията, включително чрез:</w:t>
            </w:r>
          </w:p>
          <w:p w14:paraId="2AD7CF5A" w14:textId="77777777" w:rsidR="00AF0F49" w:rsidRDefault="00244364" w:rsidP="007D099B">
            <w:pPr>
              <w:pStyle w:val="ListParagraph"/>
              <w:numPr>
                <w:ilvl w:val="1"/>
                <w:numId w:val="6"/>
              </w:numPr>
              <w:spacing w:after="120"/>
              <w:ind w:left="1134" w:hanging="425"/>
              <w:jc w:val="both"/>
              <w:rPr>
                <w:rFonts w:ascii="Times New Roman" w:hAnsi="Times New Roman" w:cs="Times New Roman"/>
                <w:noProof/>
                <w:color w:val="000000" w:themeColor="text1"/>
                <w:spacing w:val="-2"/>
                <w:sz w:val="24"/>
                <w:szCs w:val="24"/>
              </w:rPr>
            </w:pPr>
            <w:r>
              <w:rPr>
                <w:rFonts w:ascii="Times New Roman" w:hAnsi="Times New Roman"/>
                <w:noProof/>
                <w:color w:val="000000" w:themeColor="text1"/>
                <w:sz w:val="24"/>
                <w:szCs w:val="24"/>
              </w:rPr>
              <w:t>съвместна мисия на високо равнище на длъжностни лица от Комисията и от публични банки за развитие в Того през ноември 2021 г.;</w:t>
            </w:r>
          </w:p>
          <w:p w14:paraId="343A8171" w14:textId="77777777" w:rsidR="0015519E" w:rsidRPr="00E250A8" w:rsidRDefault="0015519E" w:rsidP="0015519E">
            <w:pPr>
              <w:pStyle w:val="ListParagraph"/>
              <w:numPr>
                <w:ilvl w:val="1"/>
                <w:numId w:val="6"/>
              </w:numPr>
              <w:spacing w:after="120"/>
              <w:ind w:left="1134" w:hanging="425"/>
              <w:jc w:val="both"/>
              <w:rPr>
                <w:rFonts w:ascii="Times New Roman" w:hAnsi="Times New Roman" w:cs="Times New Roman"/>
                <w:noProof/>
                <w:color w:val="000000" w:themeColor="text1"/>
                <w:spacing w:val="-12"/>
                <w:sz w:val="24"/>
                <w:szCs w:val="24"/>
              </w:rPr>
            </w:pPr>
            <w:r w:rsidRPr="00E250A8">
              <w:rPr>
                <w:rFonts w:ascii="Times New Roman" w:hAnsi="Times New Roman"/>
                <w:noProof/>
                <w:color w:val="000000" w:themeColor="text1"/>
                <w:spacing w:val="-12"/>
                <w:sz w:val="24"/>
                <w:szCs w:val="24"/>
              </w:rPr>
              <w:t xml:space="preserve">съобщения за инициативи „Екип Европа“ в присъствието на представители на ЕС и на всички участващи държави членки (напр. ИЕЕ за производство на ваксини, за инвестиции в прохождащи предприятия в Африка, за „зелената“ ИЕЕ в партньорство с Югоизточна Азия или за Глобалната инициатива за демокрация „Екип Европа“); </w:t>
            </w:r>
          </w:p>
          <w:p w14:paraId="4384AC69" w14:textId="77777777" w:rsidR="0015519E" w:rsidRPr="00CB27E2" w:rsidRDefault="0015519E" w:rsidP="0015519E">
            <w:pPr>
              <w:pStyle w:val="ListParagraph"/>
              <w:numPr>
                <w:ilvl w:val="1"/>
                <w:numId w:val="6"/>
              </w:numPr>
              <w:spacing w:after="120"/>
              <w:ind w:left="1134" w:hanging="425"/>
              <w:jc w:val="both"/>
              <w:rPr>
                <w:rFonts w:ascii="Times New Roman" w:hAnsi="Times New Roman" w:cs="Times New Roman"/>
                <w:noProof/>
                <w:color w:val="000000" w:themeColor="text1"/>
                <w:spacing w:val="-2"/>
                <w:sz w:val="24"/>
                <w:szCs w:val="24"/>
              </w:rPr>
            </w:pPr>
            <w:r>
              <w:rPr>
                <w:rFonts w:ascii="Times New Roman" w:hAnsi="Times New Roman"/>
                <w:noProof/>
                <w:color w:val="000000" w:themeColor="text1"/>
                <w:sz w:val="24"/>
                <w:szCs w:val="24"/>
              </w:rPr>
              <w:t xml:space="preserve">церемонии по подписване в присъствието на представители на ЕС, държавите членки и финансовите институции (например Инструментът за управление на водите и природните ресурси за предотвратяване на наводнения в град Dien Bien Phu във Виетнам); </w:t>
            </w:r>
          </w:p>
          <w:p w14:paraId="53D7023F" w14:textId="77777777" w:rsidR="0015519E" w:rsidRPr="00CB27E2" w:rsidRDefault="0015519E" w:rsidP="0015519E">
            <w:pPr>
              <w:pStyle w:val="ListParagraph"/>
              <w:numPr>
                <w:ilvl w:val="0"/>
                <w:numId w:val="6"/>
              </w:numPr>
              <w:spacing w:after="120"/>
              <w:jc w:val="both"/>
              <w:rPr>
                <w:rFonts w:ascii="Times New Roman" w:hAnsi="Times New Roman" w:cs="Times New Roman"/>
                <w:noProof/>
                <w:color w:val="000000" w:themeColor="text1"/>
                <w:spacing w:val="-2"/>
                <w:sz w:val="24"/>
                <w:szCs w:val="24"/>
              </w:rPr>
            </w:pPr>
            <w:r>
              <w:rPr>
                <w:rFonts w:ascii="Times New Roman" w:hAnsi="Times New Roman"/>
                <w:noProof/>
                <w:color w:val="000000" w:themeColor="text1"/>
                <w:sz w:val="24"/>
                <w:szCs w:val="24"/>
              </w:rPr>
              <w:t>предостави на делегациите на ЕС насоки и образци по отношение на стратегическата комуникация и публичната дипломация в помощ на изготвянето на стратегическите им планове;</w:t>
            </w:r>
          </w:p>
          <w:p w14:paraId="7A7E1D60" w14:textId="77777777" w:rsidR="0015519E" w:rsidRPr="007D099B" w:rsidRDefault="0015519E" w:rsidP="0015519E">
            <w:pPr>
              <w:pStyle w:val="ListParagraph"/>
              <w:numPr>
                <w:ilvl w:val="1"/>
                <w:numId w:val="6"/>
              </w:numPr>
              <w:spacing w:after="120"/>
              <w:ind w:left="1134" w:hanging="425"/>
              <w:jc w:val="both"/>
              <w:rPr>
                <w:rFonts w:ascii="Times New Roman" w:hAnsi="Times New Roman" w:cs="Times New Roman"/>
                <w:noProof/>
                <w:color w:val="000000" w:themeColor="text1"/>
                <w:spacing w:val="-2"/>
                <w:sz w:val="24"/>
                <w:szCs w:val="24"/>
              </w:rPr>
            </w:pPr>
            <w:r>
              <w:rPr>
                <w:rFonts w:ascii="Times New Roman" w:hAnsi="Times New Roman"/>
                <w:noProof/>
                <w:color w:val="000000" w:themeColor="text1"/>
                <w:sz w:val="24"/>
                <w:szCs w:val="24"/>
              </w:rPr>
              <w:t>преразгледа цялата си уеб среда относно сътрудничеството за развитие, за да гарантира, че подходът „Екип Европа“ и въздействието на ИЕЕ са изцяло отразени на външния уебсайт.</w:t>
            </w:r>
          </w:p>
        </w:tc>
      </w:tr>
    </w:tbl>
    <w:p w14:paraId="6D87AB03" w14:textId="77777777" w:rsidR="00AF0F49" w:rsidRPr="0015519E" w:rsidRDefault="00AF0F49" w:rsidP="00C97375">
      <w:pPr>
        <w:pStyle w:val="ListParagraph"/>
        <w:spacing w:after="0" w:line="240" w:lineRule="auto"/>
        <w:ind w:left="0"/>
        <w:contextualSpacing w:val="0"/>
        <w:jc w:val="both"/>
        <w:rPr>
          <w:rFonts w:ascii="Times New Roman" w:hAnsi="Times New Roman" w:cs="Times New Roman"/>
          <w:noProof/>
          <w:sz w:val="24"/>
          <w:szCs w:val="24"/>
        </w:rPr>
      </w:pPr>
    </w:p>
    <w:p w14:paraId="08B895D1" w14:textId="77777777" w:rsidR="00DF7615" w:rsidRPr="00CB27E2" w:rsidRDefault="00DF7615" w:rsidP="00D224F0">
      <w:pPr>
        <w:pStyle w:val="Heading2"/>
        <w:ind w:left="284" w:hanging="284"/>
        <w:rPr>
          <w:rFonts w:ascii="Times New Roman" w:hAnsi="Times New Roman" w:cs="Times New Roman"/>
          <w:noProof/>
        </w:rPr>
      </w:pPr>
      <w:bookmarkStart w:id="4" w:name="_Toc82611574"/>
      <w:r>
        <w:rPr>
          <w:rFonts w:ascii="Times New Roman" w:hAnsi="Times New Roman"/>
          <w:noProof/>
        </w:rPr>
        <w:t>ЗАКЛЮЧЕНИЕ</w:t>
      </w:r>
      <w:bookmarkEnd w:id="4"/>
    </w:p>
    <w:p w14:paraId="2C5832FE" w14:textId="77777777" w:rsidR="00DF7615" w:rsidRPr="00CB27E2" w:rsidRDefault="00DF7615" w:rsidP="00C97375">
      <w:pPr>
        <w:spacing w:after="0" w:line="240" w:lineRule="auto"/>
        <w:jc w:val="both"/>
        <w:rPr>
          <w:rFonts w:ascii="Times New Roman" w:hAnsi="Times New Roman" w:cs="Times New Roman"/>
          <w:noProof/>
          <w:spacing w:val="-4"/>
          <w:sz w:val="24"/>
          <w:szCs w:val="24"/>
        </w:rPr>
      </w:pPr>
      <w:r>
        <w:rPr>
          <w:rFonts w:ascii="Times New Roman" w:hAnsi="Times New Roman"/>
          <w:noProof/>
          <w:sz w:val="24"/>
          <w:szCs w:val="24"/>
        </w:rPr>
        <w:t xml:space="preserve">Необходими са бързи, координирани и амбициозни действия, за да се гарантира подобряването на европейската финансова архитектура за развитие и постигането чрез нея на желаното въздействие както за ЕС, така и за неговите партньори. </w:t>
      </w:r>
    </w:p>
    <w:p w14:paraId="4EA8F95D" w14:textId="77777777" w:rsidR="00D3040C" w:rsidRPr="00CB27E2" w:rsidRDefault="00D3040C" w:rsidP="00C97375">
      <w:pPr>
        <w:spacing w:after="0" w:line="240" w:lineRule="auto"/>
        <w:jc w:val="both"/>
        <w:rPr>
          <w:rFonts w:ascii="Times New Roman" w:hAnsi="Times New Roman" w:cs="Times New Roman"/>
          <w:noProof/>
          <w:spacing w:val="-4"/>
          <w:sz w:val="24"/>
          <w:szCs w:val="24"/>
        </w:rPr>
      </w:pPr>
    </w:p>
    <w:p w14:paraId="43733C60" w14:textId="77777777" w:rsidR="00DF7615" w:rsidRPr="00CB27E2" w:rsidRDefault="00CB1F59" w:rsidP="00F47A86">
      <w:pPr>
        <w:keepLines/>
        <w:spacing w:after="0" w:line="240" w:lineRule="auto"/>
        <w:jc w:val="both"/>
        <w:rPr>
          <w:rFonts w:ascii="Times New Roman" w:hAnsi="Times New Roman" w:cs="Times New Roman"/>
          <w:noProof/>
          <w:sz w:val="24"/>
          <w:szCs w:val="24"/>
        </w:rPr>
      </w:pPr>
      <w:r>
        <w:rPr>
          <w:rFonts w:ascii="Times New Roman" w:hAnsi="Times New Roman"/>
          <w:noProof/>
          <w:sz w:val="24"/>
          <w:szCs w:val="24"/>
        </w:rPr>
        <w:t>Отговорът, който беше даден чрез „Екип Европа“ на кризата, предизвикана от COVID-19, показа, че ЕС, неговите държави членки и техните финансови институции са по-силни, когато работят заедно и следват общи цели. Финансовата архитектура трябва да се основава на този подход, за да се гарантира, че финансовите партньори и съответните заинтересовани страни, основавайки се на съответната своя национална, секторна или финансова експертиза, обменят своевременно информация и работят заедно, като се започне от предоставянето на техническа помощ, инициирането на проекти и предварителната оценка и се стигне до цялостната преценка. Действията им трябва да бъдат подчинени на общи цели и силно политическо управление на ЕС. Това ще доведе и до видимост и признание на ЕС като ключов международен партньор.</w:t>
      </w:r>
    </w:p>
    <w:p w14:paraId="36E015AD" w14:textId="77777777" w:rsidR="00D536E9" w:rsidRPr="00CB27E2" w:rsidRDefault="00D536E9" w:rsidP="00C97375">
      <w:pPr>
        <w:spacing w:after="0" w:line="240" w:lineRule="auto"/>
        <w:jc w:val="both"/>
        <w:rPr>
          <w:rFonts w:ascii="Times New Roman" w:hAnsi="Times New Roman" w:cs="Times New Roman"/>
          <w:noProof/>
          <w:sz w:val="24"/>
          <w:szCs w:val="24"/>
        </w:rPr>
      </w:pPr>
    </w:p>
    <w:p w14:paraId="4DAC6FC7" w14:textId="77777777" w:rsidR="00CA1A67" w:rsidRPr="00CB27E2" w:rsidRDefault="00DF7615" w:rsidP="0000365F">
      <w:pPr>
        <w:jc w:val="both"/>
        <w:rPr>
          <w:rFonts w:ascii="Times New Roman" w:eastAsiaTheme="majorEastAsia" w:hAnsi="Times New Roman" w:cs="Times New Roman"/>
          <w:noProof/>
          <w:color w:val="002060"/>
          <w:sz w:val="28"/>
          <w:szCs w:val="28"/>
        </w:rPr>
      </w:pPr>
      <w:r>
        <w:rPr>
          <w:rFonts w:ascii="Times New Roman" w:hAnsi="Times New Roman"/>
          <w:noProof/>
          <w:sz w:val="24"/>
          <w:szCs w:val="24"/>
        </w:rPr>
        <w:t>Активното участие и усилията на всички ангажирани партньори са от решаващо значение за оптимизирането на европейската финансова архитектура за развитие, за укрепване на сътрудничеството, за постигане на въздействие в максимална степен и за да се гарантира, че ЕС ще получи подобаващо признание като глобален играч от първостепенно значение. Комисията и ВП/ЗП са готови да играят централна роля в това начинание в тясно партньорство с всички европейски заинтересовани страни и вече са започнали да осъществяват предложените от нея действия по усъвършенстване.</w:t>
      </w:r>
      <w:r>
        <w:rPr>
          <w:rFonts w:ascii="Times New Roman" w:hAnsi="Times New Roman"/>
          <w:noProof/>
        </w:rPr>
        <w:br w:type="page"/>
      </w:r>
    </w:p>
    <w:p w14:paraId="6B490EA4" w14:textId="77777777" w:rsidR="000D4659" w:rsidRPr="00CB27E2" w:rsidRDefault="000D4659" w:rsidP="000D4659">
      <w:pPr>
        <w:pStyle w:val="Heading2"/>
        <w:numPr>
          <w:ilvl w:val="0"/>
          <w:numId w:val="0"/>
        </w:numPr>
        <w:spacing w:after="0"/>
        <w:rPr>
          <w:rFonts w:ascii="Times New Roman" w:hAnsi="Times New Roman" w:cs="Times New Roman"/>
          <w:noProof/>
        </w:rPr>
      </w:pPr>
      <w:r>
        <w:rPr>
          <w:rFonts w:ascii="Times New Roman" w:hAnsi="Times New Roman"/>
          <w:noProof/>
        </w:rPr>
        <w:t xml:space="preserve"> Приложение: Участници в европейската финансова архитектура за развитие</w:t>
      </w:r>
    </w:p>
    <w:p w14:paraId="6CC39240" w14:textId="77777777" w:rsidR="000D4659" w:rsidRPr="00CB27E2" w:rsidRDefault="000D4659" w:rsidP="000D4659">
      <w:pPr>
        <w:spacing w:after="0"/>
        <w:rPr>
          <w:rFonts w:ascii="Times New Roman" w:hAnsi="Times New Roman" w:cs="Times New Roman"/>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2022"/>
        <w:gridCol w:w="2459"/>
        <w:gridCol w:w="1740"/>
        <w:gridCol w:w="1742"/>
      </w:tblGrid>
      <w:tr w:rsidR="000D4659" w:rsidRPr="00CB27E2" w14:paraId="299E311B" w14:textId="77777777" w:rsidTr="00FE17B8">
        <w:trPr>
          <w:trHeight w:val="59"/>
        </w:trPr>
        <w:tc>
          <w:tcPr>
            <w:tcW w:w="755" w:type="pct"/>
            <w:shd w:val="clear" w:color="auto" w:fill="FFFFFF" w:themeFill="background1"/>
            <w:noWrap/>
            <w:vAlign w:val="center"/>
            <w:hideMark/>
          </w:tcPr>
          <w:p w14:paraId="25CE9803" w14:textId="77777777" w:rsidR="000D4659" w:rsidRPr="00CB27E2" w:rsidRDefault="000D4659" w:rsidP="00FE17B8">
            <w:pPr>
              <w:spacing w:after="0" w:line="240" w:lineRule="auto"/>
              <w:jc w:val="center"/>
              <w:rPr>
                <w:rFonts w:ascii="Times New Roman" w:eastAsia="Times New Roman" w:hAnsi="Times New Roman" w:cs="Times New Roman"/>
                <w:b/>
                <w:bCs/>
                <w:noProof/>
                <w:color w:val="262626"/>
                <w:sz w:val="18"/>
                <w:szCs w:val="18"/>
              </w:rPr>
            </w:pPr>
            <w:r>
              <w:rPr>
                <w:rFonts w:ascii="Times New Roman" w:hAnsi="Times New Roman"/>
                <w:b/>
                <w:bCs/>
                <w:noProof/>
                <w:color w:val="262626"/>
                <w:sz w:val="18"/>
                <w:szCs w:val="18"/>
              </w:rPr>
              <w:t>Държави членки</w:t>
            </w:r>
          </w:p>
        </w:tc>
        <w:tc>
          <w:tcPr>
            <w:tcW w:w="531" w:type="pct"/>
            <w:shd w:val="clear" w:color="auto" w:fill="E20000"/>
            <w:noWrap/>
            <w:vAlign w:val="center"/>
            <w:hideMark/>
          </w:tcPr>
          <w:p w14:paraId="01AA8130" w14:textId="77777777" w:rsidR="000D4659" w:rsidRPr="00CB27E2" w:rsidRDefault="000D4659" w:rsidP="00FE17B8">
            <w:pPr>
              <w:spacing w:after="0" w:line="240" w:lineRule="auto"/>
              <w:jc w:val="center"/>
              <w:rPr>
                <w:rFonts w:ascii="Times New Roman" w:eastAsia="Times New Roman" w:hAnsi="Times New Roman" w:cs="Times New Roman"/>
                <w:b/>
                <w:bCs/>
                <w:noProof/>
                <w:color w:val="262626"/>
                <w:sz w:val="18"/>
                <w:szCs w:val="18"/>
              </w:rPr>
            </w:pPr>
            <w:r>
              <w:rPr>
                <w:rFonts w:ascii="Times New Roman" w:hAnsi="Times New Roman"/>
                <w:b/>
                <w:bCs/>
                <w:noProof/>
                <w:color w:val="262626"/>
                <w:sz w:val="18"/>
                <w:szCs w:val="18"/>
              </w:rPr>
              <w:t>Публични банки за развитие</w:t>
            </w:r>
          </w:p>
        </w:tc>
        <w:tc>
          <w:tcPr>
            <w:tcW w:w="1551" w:type="pct"/>
            <w:shd w:val="clear" w:color="auto" w:fill="548235"/>
            <w:noWrap/>
            <w:vAlign w:val="center"/>
            <w:hideMark/>
          </w:tcPr>
          <w:p w14:paraId="052AB69A" w14:textId="77777777" w:rsidR="000D4659" w:rsidRPr="00CB27E2" w:rsidRDefault="000D4659" w:rsidP="00FE17B8">
            <w:pPr>
              <w:spacing w:after="0" w:line="240" w:lineRule="auto"/>
              <w:jc w:val="center"/>
              <w:rPr>
                <w:rFonts w:ascii="Times New Roman" w:eastAsia="Times New Roman" w:hAnsi="Times New Roman" w:cs="Times New Roman"/>
                <w:b/>
                <w:bCs/>
                <w:noProof/>
                <w:color w:val="0D0D0D"/>
                <w:sz w:val="18"/>
                <w:szCs w:val="18"/>
              </w:rPr>
            </w:pPr>
            <w:r>
              <w:rPr>
                <w:rFonts w:ascii="Times New Roman" w:hAnsi="Times New Roman"/>
                <w:b/>
                <w:bCs/>
                <w:noProof/>
                <w:color w:val="0D0D0D"/>
                <w:sz w:val="18"/>
                <w:szCs w:val="18"/>
              </w:rPr>
              <w:t>Финансови институции за развитие</w:t>
            </w:r>
          </w:p>
        </w:tc>
        <w:tc>
          <w:tcPr>
            <w:tcW w:w="2163" w:type="pct"/>
            <w:gridSpan w:val="2"/>
            <w:shd w:val="clear" w:color="auto" w:fill="FF9900"/>
            <w:noWrap/>
            <w:vAlign w:val="center"/>
            <w:hideMark/>
          </w:tcPr>
          <w:p w14:paraId="52ABF336" w14:textId="77777777" w:rsidR="000D4659" w:rsidRPr="00CB27E2" w:rsidRDefault="000D4659" w:rsidP="00FE17B8">
            <w:pPr>
              <w:spacing w:after="0" w:line="240" w:lineRule="auto"/>
              <w:jc w:val="center"/>
              <w:rPr>
                <w:rFonts w:ascii="Times New Roman" w:eastAsia="Times New Roman" w:hAnsi="Times New Roman" w:cs="Times New Roman"/>
                <w:b/>
                <w:bCs/>
                <w:noProof/>
                <w:color w:val="0D0D0D"/>
                <w:sz w:val="18"/>
                <w:szCs w:val="18"/>
              </w:rPr>
            </w:pPr>
            <w:r>
              <w:rPr>
                <w:rFonts w:ascii="Times New Roman" w:hAnsi="Times New Roman"/>
                <w:b/>
                <w:bCs/>
                <w:noProof/>
                <w:color w:val="0D0D0D"/>
                <w:sz w:val="18"/>
                <w:szCs w:val="18"/>
              </w:rPr>
              <w:t>Агенция за развитие</w:t>
            </w:r>
          </w:p>
        </w:tc>
      </w:tr>
      <w:tr w:rsidR="000D4659" w:rsidRPr="00752974" w14:paraId="28292F1B" w14:textId="77777777" w:rsidTr="00FE17B8">
        <w:trPr>
          <w:trHeight w:val="59"/>
        </w:trPr>
        <w:tc>
          <w:tcPr>
            <w:tcW w:w="755" w:type="pct"/>
            <w:noWrap/>
            <w:vAlign w:val="center"/>
            <w:hideMark/>
          </w:tcPr>
          <w:p w14:paraId="34CEA2D7"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Австрия</w:t>
            </w:r>
          </w:p>
        </w:tc>
        <w:tc>
          <w:tcPr>
            <w:tcW w:w="531" w:type="pct"/>
            <w:noWrap/>
            <w:vAlign w:val="center"/>
            <w:hideMark/>
          </w:tcPr>
          <w:p w14:paraId="7649D743"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AWS</w:t>
            </w:r>
          </w:p>
        </w:tc>
        <w:tc>
          <w:tcPr>
            <w:tcW w:w="1551" w:type="pct"/>
            <w:shd w:val="clear" w:color="auto" w:fill="C6E0B4"/>
            <w:noWrap/>
            <w:vAlign w:val="center"/>
            <w:hideMark/>
          </w:tcPr>
          <w:p w14:paraId="09D41849"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OeEB</w:t>
            </w:r>
          </w:p>
        </w:tc>
        <w:tc>
          <w:tcPr>
            <w:tcW w:w="2163" w:type="pct"/>
            <w:gridSpan w:val="2"/>
            <w:shd w:val="clear" w:color="auto" w:fill="FFD08B"/>
            <w:noWrap/>
            <w:vAlign w:val="center"/>
            <w:hideMark/>
          </w:tcPr>
          <w:p w14:paraId="28B44E36"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rPr>
            </w:pPr>
            <w:r>
              <w:rPr>
                <w:rFonts w:ascii="Times New Roman" w:hAnsi="Times New Roman"/>
                <w:bCs/>
                <w:noProof/>
                <w:sz w:val="18"/>
                <w:szCs w:val="18"/>
              </w:rPr>
              <w:t>ADA</w:t>
            </w:r>
          </w:p>
        </w:tc>
      </w:tr>
      <w:tr w:rsidR="000D4659" w:rsidRPr="00752974" w14:paraId="38C2F799" w14:textId="77777777" w:rsidTr="00FE17B8">
        <w:trPr>
          <w:trHeight w:val="59"/>
        </w:trPr>
        <w:tc>
          <w:tcPr>
            <w:tcW w:w="755" w:type="pct"/>
            <w:noWrap/>
            <w:vAlign w:val="center"/>
            <w:hideMark/>
          </w:tcPr>
          <w:p w14:paraId="4F00EF35"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Белгия</w:t>
            </w:r>
          </w:p>
        </w:tc>
        <w:tc>
          <w:tcPr>
            <w:tcW w:w="531" w:type="pct"/>
            <w:shd w:val="clear" w:color="auto" w:fill="auto"/>
            <w:noWrap/>
            <w:vAlign w:val="center"/>
            <w:hideMark/>
          </w:tcPr>
          <w:p w14:paraId="71E59A45"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lang w:eastAsia="en-GB"/>
              </w:rPr>
            </w:pPr>
          </w:p>
        </w:tc>
        <w:tc>
          <w:tcPr>
            <w:tcW w:w="1551" w:type="pct"/>
            <w:shd w:val="clear" w:color="auto" w:fill="C6E0B4"/>
            <w:noWrap/>
            <w:vAlign w:val="center"/>
            <w:hideMark/>
          </w:tcPr>
          <w:p w14:paraId="105C36FD"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BIO</w:t>
            </w:r>
          </w:p>
        </w:tc>
        <w:tc>
          <w:tcPr>
            <w:tcW w:w="2163" w:type="pct"/>
            <w:gridSpan w:val="2"/>
            <w:shd w:val="clear" w:color="auto" w:fill="FFD08B"/>
            <w:noWrap/>
            <w:vAlign w:val="center"/>
            <w:hideMark/>
          </w:tcPr>
          <w:p w14:paraId="3CB64D5F"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rPr>
            </w:pPr>
            <w:r>
              <w:rPr>
                <w:rFonts w:ascii="Times New Roman" w:hAnsi="Times New Roman"/>
                <w:bCs/>
                <w:noProof/>
                <w:sz w:val="18"/>
                <w:szCs w:val="18"/>
              </w:rPr>
              <w:t>Enabel</w:t>
            </w:r>
          </w:p>
        </w:tc>
      </w:tr>
      <w:tr w:rsidR="000D4659" w:rsidRPr="00752974" w14:paraId="4BC269FC" w14:textId="77777777" w:rsidTr="00FE17B8">
        <w:trPr>
          <w:trHeight w:val="236"/>
        </w:trPr>
        <w:tc>
          <w:tcPr>
            <w:tcW w:w="755" w:type="pct"/>
            <w:shd w:val="clear" w:color="auto" w:fill="auto"/>
            <w:noWrap/>
            <w:vAlign w:val="center"/>
            <w:hideMark/>
          </w:tcPr>
          <w:p w14:paraId="2AA18A5D"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България</w:t>
            </w:r>
          </w:p>
        </w:tc>
        <w:tc>
          <w:tcPr>
            <w:tcW w:w="531" w:type="pct"/>
            <w:shd w:val="clear" w:color="auto" w:fill="auto"/>
            <w:noWrap/>
            <w:vAlign w:val="center"/>
            <w:hideMark/>
          </w:tcPr>
          <w:p w14:paraId="1245ED33"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 </w:t>
            </w:r>
          </w:p>
        </w:tc>
        <w:tc>
          <w:tcPr>
            <w:tcW w:w="1551" w:type="pct"/>
            <w:shd w:val="clear" w:color="auto" w:fill="auto"/>
            <w:noWrap/>
            <w:vAlign w:val="center"/>
            <w:hideMark/>
          </w:tcPr>
          <w:p w14:paraId="1FA98815"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 </w:t>
            </w:r>
          </w:p>
        </w:tc>
        <w:tc>
          <w:tcPr>
            <w:tcW w:w="2163" w:type="pct"/>
            <w:gridSpan w:val="2"/>
            <w:shd w:val="clear" w:color="auto" w:fill="auto"/>
            <w:vAlign w:val="center"/>
            <w:hideMark/>
          </w:tcPr>
          <w:p w14:paraId="45D65D34"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Генерална дирекция „Глобални въпроси“ — МВнР</w:t>
            </w:r>
          </w:p>
        </w:tc>
      </w:tr>
      <w:tr w:rsidR="000D4659" w:rsidRPr="00752974" w14:paraId="235837B2" w14:textId="77777777" w:rsidTr="00FE17B8">
        <w:trPr>
          <w:trHeight w:val="141"/>
        </w:trPr>
        <w:tc>
          <w:tcPr>
            <w:tcW w:w="755" w:type="pct"/>
            <w:shd w:val="clear" w:color="auto" w:fill="auto"/>
            <w:noWrap/>
            <w:vAlign w:val="center"/>
            <w:hideMark/>
          </w:tcPr>
          <w:p w14:paraId="7C68B712"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Хърватия</w:t>
            </w:r>
          </w:p>
        </w:tc>
        <w:tc>
          <w:tcPr>
            <w:tcW w:w="531" w:type="pct"/>
            <w:shd w:val="clear" w:color="auto" w:fill="auto"/>
            <w:vAlign w:val="center"/>
            <w:hideMark/>
          </w:tcPr>
          <w:p w14:paraId="5844152A"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 </w:t>
            </w:r>
          </w:p>
        </w:tc>
        <w:tc>
          <w:tcPr>
            <w:tcW w:w="1551" w:type="pct"/>
            <w:shd w:val="clear" w:color="auto" w:fill="auto"/>
            <w:noWrap/>
            <w:vAlign w:val="center"/>
            <w:hideMark/>
          </w:tcPr>
          <w:p w14:paraId="46ECCE30"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 </w:t>
            </w:r>
          </w:p>
        </w:tc>
        <w:tc>
          <w:tcPr>
            <w:tcW w:w="2163" w:type="pct"/>
            <w:gridSpan w:val="2"/>
            <w:shd w:val="clear" w:color="auto" w:fill="auto"/>
            <w:vAlign w:val="center"/>
            <w:hideMark/>
          </w:tcPr>
          <w:p w14:paraId="05AEF0CA"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Генерална дирекция „Икономически въпроси и сътрудничество за развитие“ — Министерство на външните работи и европейските въпроси</w:t>
            </w:r>
          </w:p>
        </w:tc>
      </w:tr>
      <w:tr w:rsidR="000D4659" w:rsidRPr="00752974" w14:paraId="749B1839" w14:textId="77777777" w:rsidTr="00FE17B8">
        <w:trPr>
          <w:trHeight w:val="59"/>
        </w:trPr>
        <w:tc>
          <w:tcPr>
            <w:tcW w:w="755" w:type="pct"/>
            <w:shd w:val="clear" w:color="auto" w:fill="auto"/>
            <w:noWrap/>
            <w:vAlign w:val="center"/>
            <w:hideMark/>
          </w:tcPr>
          <w:p w14:paraId="0A5D77FE"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Кипър</w:t>
            </w:r>
          </w:p>
        </w:tc>
        <w:tc>
          <w:tcPr>
            <w:tcW w:w="531" w:type="pct"/>
            <w:shd w:val="clear" w:color="auto" w:fill="auto"/>
            <w:noWrap/>
            <w:vAlign w:val="center"/>
            <w:hideMark/>
          </w:tcPr>
          <w:p w14:paraId="3ED0F3F6"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 </w:t>
            </w:r>
          </w:p>
        </w:tc>
        <w:tc>
          <w:tcPr>
            <w:tcW w:w="1551" w:type="pct"/>
            <w:shd w:val="clear" w:color="auto" w:fill="auto"/>
            <w:noWrap/>
            <w:vAlign w:val="center"/>
            <w:hideMark/>
          </w:tcPr>
          <w:p w14:paraId="712BF00B"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 </w:t>
            </w:r>
          </w:p>
        </w:tc>
        <w:tc>
          <w:tcPr>
            <w:tcW w:w="2163" w:type="pct"/>
            <w:gridSpan w:val="2"/>
            <w:shd w:val="clear" w:color="auto" w:fill="auto"/>
            <w:noWrap/>
            <w:vAlign w:val="center"/>
            <w:hideMark/>
          </w:tcPr>
          <w:p w14:paraId="3DA4C15E"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МВнР</w:t>
            </w:r>
          </w:p>
        </w:tc>
      </w:tr>
      <w:tr w:rsidR="000D4659" w:rsidRPr="00752974" w14:paraId="19986516" w14:textId="77777777" w:rsidTr="00FE17B8">
        <w:trPr>
          <w:trHeight w:val="103"/>
        </w:trPr>
        <w:tc>
          <w:tcPr>
            <w:tcW w:w="755" w:type="pct"/>
            <w:noWrap/>
            <w:vAlign w:val="center"/>
            <w:hideMark/>
          </w:tcPr>
          <w:p w14:paraId="7CFD442E"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Чешка република</w:t>
            </w:r>
          </w:p>
        </w:tc>
        <w:tc>
          <w:tcPr>
            <w:tcW w:w="531" w:type="pct"/>
            <w:noWrap/>
            <w:vAlign w:val="center"/>
            <w:hideMark/>
          </w:tcPr>
          <w:p w14:paraId="1B2D941F"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 </w:t>
            </w:r>
          </w:p>
        </w:tc>
        <w:tc>
          <w:tcPr>
            <w:tcW w:w="1551" w:type="pct"/>
            <w:noWrap/>
            <w:vAlign w:val="center"/>
            <w:hideMark/>
          </w:tcPr>
          <w:p w14:paraId="3E982308"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Национална банка за развитие (НБР) </w:t>
            </w:r>
          </w:p>
        </w:tc>
        <w:tc>
          <w:tcPr>
            <w:tcW w:w="2163" w:type="pct"/>
            <w:gridSpan w:val="2"/>
            <w:shd w:val="clear" w:color="auto" w:fill="FFD08B"/>
            <w:noWrap/>
            <w:vAlign w:val="center"/>
            <w:hideMark/>
          </w:tcPr>
          <w:p w14:paraId="6D84C577"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rPr>
            </w:pPr>
            <w:r>
              <w:rPr>
                <w:rFonts w:ascii="Times New Roman" w:hAnsi="Times New Roman"/>
                <w:bCs/>
                <w:noProof/>
                <w:sz w:val="18"/>
                <w:szCs w:val="18"/>
              </w:rPr>
              <w:t>CzechAid</w:t>
            </w:r>
          </w:p>
        </w:tc>
      </w:tr>
      <w:tr w:rsidR="000D4659" w:rsidRPr="00752974" w14:paraId="388E70D2" w14:textId="77777777" w:rsidTr="00FE17B8">
        <w:trPr>
          <w:trHeight w:val="59"/>
        </w:trPr>
        <w:tc>
          <w:tcPr>
            <w:tcW w:w="755" w:type="pct"/>
            <w:vMerge w:val="restart"/>
            <w:noWrap/>
            <w:vAlign w:val="center"/>
            <w:hideMark/>
          </w:tcPr>
          <w:p w14:paraId="066AC467"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Дания</w:t>
            </w:r>
          </w:p>
        </w:tc>
        <w:tc>
          <w:tcPr>
            <w:tcW w:w="531" w:type="pct"/>
            <w:vMerge w:val="restart"/>
            <w:noWrap/>
            <w:vAlign w:val="center"/>
            <w:hideMark/>
          </w:tcPr>
          <w:p w14:paraId="48FD5ADD"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 </w:t>
            </w:r>
          </w:p>
        </w:tc>
        <w:tc>
          <w:tcPr>
            <w:tcW w:w="1551" w:type="pct"/>
            <w:shd w:val="clear" w:color="auto" w:fill="C6E0B4"/>
            <w:noWrap/>
            <w:vAlign w:val="center"/>
            <w:hideMark/>
          </w:tcPr>
          <w:p w14:paraId="3A93BA02"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rPr>
            </w:pPr>
            <w:r>
              <w:rPr>
                <w:rFonts w:ascii="Times New Roman" w:hAnsi="Times New Roman"/>
                <w:bCs/>
                <w:noProof/>
                <w:sz w:val="18"/>
                <w:szCs w:val="18"/>
              </w:rPr>
              <w:t>IFU</w:t>
            </w:r>
          </w:p>
        </w:tc>
        <w:tc>
          <w:tcPr>
            <w:tcW w:w="2163" w:type="pct"/>
            <w:gridSpan w:val="2"/>
            <w:vMerge w:val="restart"/>
            <w:shd w:val="clear" w:color="auto" w:fill="FFD08B"/>
            <w:noWrap/>
            <w:vAlign w:val="center"/>
            <w:hideMark/>
          </w:tcPr>
          <w:p w14:paraId="5053C3E1"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rPr>
            </w:pPr>
            <w:r>
              <w:rPr>
                <w:rFonts w:ascii="Times New Roman" w:hAnsi="Times New Roman"/>
                <w:bCs/>
                <w:noProof/>
                <w:sz w:val="18"/>
                <w:szCs w:val="18"/>
              </w:rPr>
              <w:t>Danida — МВнР</w:t>
            </w:r>
          </w:p>
        </w:tc>
      </w:tr>
      <w:tr w:rsidR="000D4659" w:rsidRPr="00752974" w14:paraId="128835BB" w14:textId="77777777" w:rsidTr="00FE17B8">
        <w:trPr>
          <w:trHeight w:val="64"/>
        </w:trPr>
        <w:tc>
          <w:tcPr>
            <w:tcW w:w="755" w:type="pct"/>
            <w:vMerge/>
            <w:vAlign w:val="center"/>
            <w:hideMark/>
          </w:tcPr>
          <w:p w14:paraId="4B8AF936" w14:textId="77777777" w:rsidR="000D4659" w:rsidRPr="00752974" w:rsidRDefault="000D4659" w:rsidP="00FE17B8">
            <w:pPr>
              <w:spacing w:after="0" w:line="240" w:lineRule="auto"/>
              <w:rPr>
                <w:rFonts w:ascii="Times New Roman" w:eastAsia="Times New Roman" w:hAnsi="Times New Roman" w:cs="Times New Roman"/>
                <w:noProof/>
                <w:sz w:val="18"/>
                <w:szCs w:val="18"/>
                <w:lang w:eastAsia="en-GB"/>
              </w:rPr>
            </w:pPr>
          </w:p>
        </w:tc>
        <w:tc>
          <w:tcPr>
            <w:tcW w:w="531" w:type="pct"/>
            <w:vMerge/>
            <w:vAlign w:val="center"/>
            <w:hideMark/>
          </w:tcPr>
          <w:p w14:paraId="2D876D0D" w14:textId="77777777" w:rsidR="000D4659" w:rsidRPr="00752974" w:rsidRDefault="000D4659" w:rsidP="00FE17B8">
            <w:pPr>
              <w:spacing w:after="0" w:line="240" w:lineRule="auto"/>
              <w:rPr>
                <w:rFonts w:ascii="Times New Roman" w:eastAsia="Times New Roman" w:hAnsi="Times New Roman" w:cs="Times New Roman"/>
                <w:noProof/>
                <w:sz w:val="18"/>
                <w:szCs w:val="18"/>
                <w:lang w:eastAsia="en-GB"/>
              </w:rPr>
            </w:pPr>
          </w:p>
        </w:tc>
        <w:tc>
          <w:tcPr>
            <w:tcW w:w="1551" w:type="pct"/>
            <w:vAlign w:val="center"/>
            <w:hideMark/>
          </w:tcPr>
          <w:p w14:paraId="3F6F5CCC" w14:textId="77777777" w:rsidR="000D4659" w:rsidRPr="00752974" w:rsidRDefault="000D4659" w:rsidP="00FE17B8">
            <w:pPr>
              <w:spacing w:after="0" w:line="240" w:lineRule="auto"/>
              <w:ind w:right="-192" w:hanging="112"/>
              <w:jc w:val="center"/>
              <w:rPr>
                <w:rFonts w:ascii="Times New Roman" w:eastAsia="Times New Roman" w:hAnsi="Times New Roman" w:cs="Times New Roman"/>
                <w:noProof/>
                <w:spacing w:val="-2"/>
                <w:sz w:val="18"/>
                <w:szCs w:val="18"/>
              </w:rPr>
            </w:pPr>
            <w:r>
              <w:rPr>
                <w:rFonts w:ascii="Times New Roman" w:hAnsi="Times New Roman"/>
                <w:noProof/>
                <w:sz w:val="18"/>
                <w:szCs w:val="18"/>
              </w:rPr>
              <w:t>(СФР) Скандинавски фонд за развитие</w:t>
            </w:r>
          </w:p>
        </w:tc>
        <w:tc>
          <w:tcPr>
            <w:tcW w:w="2163" w:type="pct"/>
            <w:gridSpan w:val="2"/>
            <w:vMerge/>
            <w:vAlign w:val="center"/>
            <w:hideMark/>
          </w:tcPr>
          <w:p w14:paraId="2E47C61E" w14:textId="77777777" w:rsidR="000D4659" w:rsidRPr="00752974" w:rsidRDefault="000D4659" w:rsidP="00FE17B8">
            <w:pPr>
              <w:spacing w:after="0" w:line="240" w:lineRule="auto"/>
              <w:rPr>
                <w:rFonts w:ascii="Times New Roman" w:eastAsia="Times New Roman" w:hAnsi="Times New Roman" w:cs="Times New Roman"/>
                <w:bCs/>
                <w:noProof/>
                <w:sz w:val="18"/>
                <w:szCs w:val="18"/>
                <w:lang w:eastAsia="en-GB"/>
              </w:rPr>
            </w:pPr>
          </w:p>
        </w:tc>
      </w:tr>
      <w:tr w:rsidR="000D4659" w:rsidRPr="00752974" w14:paraId="7840EA36" w14:textId="77777777" w:rsidTr="00FE17B8">
        <w:trPr>
          <w:trHeight w:val="64"/>
        </w:trPr>
        <w:tc>
          <w:tcPr>
            <w:tcW w:w="755" w:type="pct"/>
            <w:vMerge/>
            <w:vAlign w:val="center"/>
            <w:hideMark/>
          </w:tcPr>
          <w:p w14:paraId="0E820FB1" w14:textId="77777777" w:rsidR="000D4659" w:rsidRPr="00752974" w:rsidRDefault="000D4659" w:rsidP="00FE17B8">
            <w:pPr>
              <w:spacing w:after="0" w:line="240" w:lineRule="auto"/>
              <w:rPr>
                <w:rFonts w:ascii="Times New Roman" w:eastAsia="Times New Roman" w:hAnsi="Times New Roman" w:cs="Times New Roman"/>
                <w:noProof/>
                <w:sz w:val="18"/>
                <w:szCs w:val="18"/>
                <w:lang w:eastAsia="en-GB"/>
              </w:rPr>
            </w:pPr>
          </w:p>
        </w:tc>
        <w:tc>
          <w:tcPr>
            <w:tcW w:w="531" w:type="pct"/>
            <w:vMerge/>
            <w:vAlign w:val="center"/>
            <w:hideMark/>
          </w:tcPr>
          <w:p w14:paraId="2EA0BB17" w14:textId="77777777" w:rsidR="000D4659" w:rsidRPr="00752974" w:rsidRDefault="000D4659" w:rsidP="00FE17B8">
            <w:pPr>
              <w:spacing w:after="0" w:line="240" w:lineRule="auto"/>
              <w:rPr>
                <w:rFonts w:ascii="Times New Roman" w:eastAsia="Times New Roman" w:hAnsi="Times New Roman" w:cs="Times New Roman"/>
                <w:noProof/>
                <w:sz w:val="18"/>
                <w:szCs w:val="18"/>
                <w:lang w:eastAsia="en-GB"/>
              </w:rPr>
            </w:pPr>
          </w:p>
        </w:tc>
        <w:tc>
          <w:tcPr>
            <w:tcW w:w="1551" w:type="pct"/>
            <w:vAlign w:val="center"/>
            <w:hideMark/>
          </w:tcPr>
          <w:p w14:paraId="67362743"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rPr>
            </w:pPr>
            <w:r>
              <w:rPr>
                <w:rFonts w:ascii="Times New Roman" w:hAnsi="Times New Roman"/>
                <w:bCs/>
                <w:noProof/>
                <w:sz w:val="18"/>
                <w:szCs w:val="18"/>
              </w:rPr>
              <w:t>(СИБ) Скандинавска инвестиционна банка</w:t>
            </w:r>
          </w:p>
        </w:tc>
        <w:tc>
          <w:tcPr>
            <w:tcW w:w="2163" w:type="pct"/>
            <w:gridSpan w:val="2"/>
            <w:vMerge/>
            <w:vAlign w:val="center"/>
            <w:hideMark/>
          </w:tcPr>
          <w:p w14:paraId="238D213D" w14:textId="77777777" w:rsidR="000D4659" w:rsidRPr="00752974" w:rsidRDefault="000D4659" w:rsidP="00FE17B8">
            <w:pPr>
              <w:spacing w:after="0" w:line="240" w:lineRule="auto"/>
              <w:rPr>
                <w:rFonts w:ascii="Times New Roman" w:eastAsia="Times New Roman" w:hAnsi="Times New Roman" w:cs="Times New Roman"/>
                <w:bCs/>
                <w:noProof/>
                <w:sz w:val="18"/>
                <w:szCs w:val="18"/>
                <w:lang w:eastAsia="en-GB"/>
              </w:rPr>
            </w:pPr>
          </w:p>
        </w:tc>
      </w:tr>
      <w:tr w:rsidR="000D4659" w:rsidRPr="00752974" w14:paraId="1F3CDECD" w14:textId="77777777" w:rsidTr="00FE17B8">
        <w:trPr>
          <w:trHeight w:val="59"/>
        </w:trPr>
        <w:tc>
          <w:tcPr>
            <w:tcW w:w="755" w:type="pct"/>
            <w:noWrap/>
            <w:vAlign w:val="center"/>
            <w:hideMark/>
          </w:tcPr>
          <w:p w14:paraId="6D661DA3"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Естония</w:t>
            </w:r>
          </w:p>
        </w:tc>
        <w:tc>
          <w:tcPr>
            <w:tcW w:w="531" w:type="pct"/>
            <w:noWrap/>
            <w:vAlign w:val="center"/>
            <w:hideMark/>
          </w:tcPr>
          <w:p w14:paraId="018BF885"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 </w:t>
            </w:r>
          </w:p>
        </w:tc>
        <w:tc>
          <w:tcPr>
            <w:tcW w:w="1551" w:type="pct"/>
            <w:noWrap/>
            <w:vAlign w:val="center"/>
            <w:hideMark/>
          </w:tcPr>
          <w:p w14:paraId="71C9B4FE"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rPr>
            </w:pPr>
            <w:r>
              <w:rPr>
                <w:rFonts w:ascii="Times New Roman" w:hAnsi="Times New Roman"/>
                <w:bCs/>
                <w:noProof/>
                <w:sz w:val="18"/>
                <w:szCs w:val="18"/>
              </w:rPr>
              <w:t>СИБ</w:t>
            </w:r>
          </w:p>
        </w:tc>
        <w:tc>
          <w:tcPr>
            <w:tcW w:w="2163" w:type="pct"/>
            <w:gridSpan w:val="2"/>
            <w:shd w:val="clear" w:color="auto" w:fill="FFD08B"/>
            <w:noWrap/>
            <w:vAlign w:val="center"/>
            <w:hideMark/>
          </w:tcPr>
          <w:p w14:paraId="62317AB2"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МВнР</w:t>
            </w:r>
          </w:p>
        </w:tc>
      </w:tr>
      <w:tr w:rsidR="000D4659" w:rsidRPr="00752974" w14:paraId="10317E77" w14:textId="77777777" w:rsidTr="00FE17B8">
        <w:trPr>
          <w:trHeight w:val="59"/>
        </w:trPr>
        <w:tc>
          <w:tcPr>
            <w:tcW w:w="755" w:type="pct"/>
            <w:vMerge w:val="restart"/>
            <w:noWrap/>
            <w:vAlign w:val="center"/>
            <w:hideMark/>
          </w:tcPr>
          <w:p w14:paraId="7D3C13AB"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Финландия</w:t>
            </w:r>
          </w:p>
        </w:tc>
        <w:tc>
          <w:tcPr>
            <w:tcW w:w="531" w:type="pct"/>
            <w:vMerge w:val="restart"/>
            <w:noWrap/>
            <w:vAlign w:val="center"/>
            <w:hideMark/>
          </w:tcPr>
          <w:p w14:paraId="04CB85FB"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 </w:t>
            </w:r>
          </w:p>
        </w:tc>
        <w:tc>
          <w:tcPr>
            <w:tcW w:w="1551" w:type="pct"/>
            <w:shd w:val="clear" w:color="auto" w:fill="C6E0B4"/>
            <w:noWrap/>
            <w:vAlign w:val="center"/>
            <w:hideMark/>
          </w:tcPr>
          <w:p w14:paraId="0EDF8F3B"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rPr>
            </w:pPr>
            <w:r>
              <w:rPr>
                <w:rFonts w:ascii="Times New Roman" w:hAnsi="Times New Roman"/>
                <w:bCs/>
                <w:noProof/>
                <w:sz w:val="18"/>
                <w:szCs w:val="18"/>
              </w:rPr>
              <w:t>Finnfund</w:t>
            </w:r>
          </w:p>
        </w:tc>
        <w:tc>
          <w:tcPr>
            <w:tcW w:w="2163" w:type="pct"/>
            <w:gridSpan w:val="2"/>
            <w:vMerge w:val="restart"/>
            <w:noWrap/>
            <w:vAlign w:val="center"/>
            <w:hideMark/>
          </w:tcPr>
          <w:p w14:paraId="318681E2"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rPr>
            </w:pPr>
            <w:r>
              <w:rPr>
                <w:rFonts w:ascii="Times New Roman" w:hAnsi="Times New Roman"/>
                <w:bCs/>
                <w:noProof/>
                <w:sz w:val="18"/>
                <w:szCs w:val="18"/>
              </w:rPr>
              <w:t>МВнР на Финландия</w:t>
            </w:r>
          </w:p>
        </w:tc>
      </w:tr>
      <w:tr w:rsidR="000D4659" w:rsidRPr="00752974" w14:paraId="599B6C2F" w14:textId="77777777" w:rsidTr="00FE17B8">
        <w:trPr>
          <w:trHeight w:val="59"/>
        </w:trPr>
        <w:tc>
          <w:tcPr>
            <w:tcW w:w="755" w:type="pct"/>
            <w:vMerge/>
            <w:vAlign w:val="center"/>
            <w:hideMark/>
          </w:tcPr>
          <w:p w14:paraId="55CD5A05" w14:textId="77777777" w:rsidR="000D4659" w:rsidRPr="00752974" w:rsidRDefault="000D4659" w:rsidP="00FE17B8">
            <w:pPr>
              <w:spacing w:after="0" w:line="240" w:lineRule="auto"/>
              <w:rPr>
                <w:rFonts w:ascii="Times New Roman" w:eastAsia="Times New Roman" w:hAnsi="Times New Roman" w:cs="Times New Roman"/>
                <w:noProof/>
                <w:sz w:val="18"/>
                <w:szCs w:val="18"/>
                <w:lang w:eastAsia="en-GB"/>
              </w:rPr>
            </w:pPr>
          </w:p>
        </w:tc>
        <w:tc>
          <w:tcPr>
            <w:tcW w:w="531" w:type="pct"/>
            <w:vMerge/>
            <w:vAlign w:val="center"/>
            <w:hideMark/>
          </w:tcPr>
          <w:p w14:paraId="420353E6" w14:textId="77777777" w:rsidR="000D4659" w:rsidRPr="00752974" w:rsidRDefault="000D4659" w:rsidP="00FE17B8">
            <w:pPr>
              <w:spacing w:after="0" w:line="240" w:lineRule="auto"/>
              <w:rPr>
                <w:rFonts w:ascii="Times New Roman" w:eastAsia="Times New Roman" w:hAnsi="Times New Roman" w:cs="Times New Roman"/>
                <w:noProof/>
                <w:sz w:val="18"/>
                <w:szCs w:val="18"/>
                <w:lang w:eastAsia="en-GB"/>
              </w:rPr>
            </w:pPr>
          </w:p>
        </w:tc>
        <w:tc>
          <w:tcPr>
            <w:tcW w:w="1551" w:type="pct"/>
            <w:noWrap/>
            <w:vAlign w:val="center"/>
            <w:hideMark/>
          </w:tcPr>
          <w:p w14:paraId="14B66F7B"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СФР</w:t>
            </w:r>
          </w:p>
        </w:tc>
        <w:tc>
          <w:tcPr>
            <w:tcW w:w="2163" w:type="pct"/>
            <w:gridSpan w:val="2"/>
            <w:vMerge/>
            <w:vAlign w:val="center"/>
            <w:hideMark/>
          </w:tcPr>
          <w:p w14:paraId="35DF7BC1" w14:textId="77777777" w:rsidR="000D4659" w:rsidRPr="00752974" w:rsidRDefault="000D4659" w:rsidP="00FE17B8">
            <w:pPr>
              <w:spacing w:after="0" w:line="240" w:lineRule="auto"/>
              <w:rPr>
                <w:rFonts w:ascii="Times New Roman" w:eastAsia="Times New Roman" w:hAnsi="Times New Roman" w:cs="Times New Roman"/>
                <w:bCs/>
                <w:noProof/>
                <w:sz w:val="18"/>
                <w:szCs w:val="18"/>
                <w:lang w:eastAsia="en-GB"/>
              </w:rPr>
            </w:pPr>
          </w:p>
        </w:tc>
      </w:tr>
      <w:tr w:rsidR="000D4659" w:rsidRPr="00752974" w14:paraId="5745D6D7" w14:textId="77777777" w:rsidTr="00FE17B8">
        <w:trPr>
          <w:trHeight w:val="59"/>
        </w:trPr>
        <w:tc>
          <w:tcPr>
            <w:tcW w:w="755" w:type="pct"/>
            <w:vMerge/>
            <w:vAlign w:val="center"/>
            <w:hideMark/>
          </w:tcPr>
          <w:p w14:paraId="3A923572" w14:textId="77777777" w:rsidR="000D4659" w:rsidRPr="00752974" w:rsidRDefault="000D4659" w:rsidP="00FE17B8">
            <w:pPr>
              <w:spacing w:after="0" w:line="240" w:lineRule="auto"/>
              <w:rPr>
                <w:rFonts w:ascii="Times New Roman" w:eastAsia="Times New Roman" w:hAnsi="Times New Roman" w:cs="Times New Roman"/>
                <w:noProof/>
                <w:sz w:val="18"/>
                <w:szCs w:val="18"/>
                <w:lang w:eastAsia="en-GB"/>
              </w:rPr>
            </w:pPr>
          </w:p>
        </w:tc>
        <w:tc>
          <w:tcPr>
            <w:tcW w:w="531" w:type="pct"/>
            <w:vMerge/>
            <w:vAlign w:val="center"/>
            <w:hideMark/>
          </w:tcPr>
          <w:p w14:paraId="16191F3F" w14:textId="77777777" w:rsidR="000D4659" w:rsidRPr="00752974" w:rsidRDefault="000D4659" w:rsidP="00FE17B8">
            <w:pPr>
              <w:spacing w:after="0" w:line="240" w:lineRule="auto"/>
              <w:rPr>
                <w:rFonts w:ascii="Times New Roman" w:eastAsia="Times New Roman" w:hAnsi="Times New Roman" w:cs="Times New Roman"/>
                <w:noProof/>
                <w:sz w:val="18"/>
                <w:szCs w:val="18"/>
                <w:lang w:eastAsia="en-GB"/>
              </w:rPr>
            </w:pPr>
          </w:p>
        </w:tc>
        <w:tc>
          <w:tcPr>
            <w:tcW w:w="1551" w:type="pct"/>
            <w:noWrap/>
            <w:vAlign w:val="center"/>
            <w:hideMark/>
          </w:tcPr>
          <w:p w14:paraId="5CD07CA4"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rPr>
            </w:pPr>
            <w:r>
              <w:rPr>
                <w:rFonts w:ascii="Times New Roman" w:hAnsi="Times New Roman"/>
                <w:bCs/>
                <w:noProof/>
                <w:sz w:val="18"/>
                <w:szCs w:val="18"/>
              </w:rPr>
              <w:t>СИБ</w:t>
            </w:r>
          </w:p>
        </w:tc>
        <w:tc>
          <w:tcPr>
            <w:tcW w:w="2163" w:type="pct"/>
            <w:gridSpan w:val="2"/>
            <w:vMerge/>
            <w:vAlign w:val="center"/>
            <w:hideMark/>
          </w:tcPr>
          <w:p w14:paraId="454A87BA" w14:textId="77777777" w:rsidR="000D4659" w:rsidRPr="00752974" w:rsidRDefault="000D4659" w:rsidP="00FE17B8">
            <w:pPr>
              <w:spacing w:after="0" w:line="240" w:lineRule="auto"/>
              <w:rPr>
                <w:rFonts w:ascii="Times New Roman" w:eastAsia="Times New Roman" w:hAnsi="Times New Roman" w:cs="Times New Roman"/>
                <w:bCs/>
                <w:noProof/>
                <w:sz w:val="18"/>
                <w:szCs w:val="18"/>
                <w:lang w:eastAsia="en-GB"/>
              </w:rPr>
            </w:pPr>
          </w:p>
        </w:tc>
      </w:tr>
      <w:tr w:rsidR="000D4659" w:rsidRPr="00752974" w14:paraId="1FD7F0F1" w14:textId="77777777" w:rsidTr="00FE17B8">
        <w:trPr>
          <w:trHeight w:val="59"/>
        </w:trPr>
        <w:tc>
          <w:tcPr>
            <w:tcW w:w="755" w:type="pct"/>
            <w:vMerge w:val="restart"/>
            <w:noWrap/>
            <w:vAlign w:val="center"/>
            <w:hideMark/>
          </w:tcPr>
          <w:p w14:paraId="2D4FE201"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Франция</w:t>
            </w:r>
          </w:p>
        </w:tc>
        <w:tc>
          <w:tcPr>
            <w:tcW w:w="531" w:type="pct"/>
            <w:shd w:val="clear" w:color="auto" w:fill="FF6D6D"/>
            <w:noWrap/>
            <w:vAlign w:val="center"/>
            <w:hideMark/>
          </w:tcPr>
          <w:p w14:paraId="6C9E096A"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rPr>
            </w:pPr>
            <w:r>
              <w:rPr>
                <w:rFonts w:ascii="Times New Roman" w:hAnsi="Times New Roman"/>
                <w:bCs/>
                <w:noProof/>
                <w:sz w:val="18"/>
                <w:szCs w:val="18"/>
              </w:rPr>
              <w:t>AFD</w:t>
            </w:r>
          </w:p>
        </w:tc>
        <w:tc>
          <w:tcPr>
            <w:tcW w:w="1551" w:type="pct"/>
            <w:shd w:val="clear" w:color="auto" w:fill="C6E0B4"/>
            <w:noWrap/>
            <w:vAlign w:val="center"/>
            <w:hideMark/>
          </w:tcPr>
          <w:p w14:paraId="05DC2B89"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rPr>
            </w:pPr>
            <w:r>
              <w:rPr>
                <w:rFonts w:ascii="Times New Roman" w:hAnsi="Times New Roman"/>
                <w:bCs/>
                <w:noProof/>
                <w:sz w:val="18"/>
                <w:szCs w:val="18"/>
              </w:rPr>
              <w:t>Proparco</w:t>
            </w:r>
          </w:p>
        </w:tc>
        <w:tc>
          <w:tcPr>
            <w:tcW w:w="2163" w:type="pct"/>
            <w:gridSpan w:val="2"/>
            <w:shd w:val="clear" w:color="auto" w:fill="FFD08B"/>
            <w:noWrap/>
            <w:vAlign w:val="center"/>
            <w:hideMark/>
          </w:tcPr>
          <w:p w14:paraId="6A7EDC57"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rPr>
            </w:pPr>
            <w:r>
              <w:rPr>
                <w:rFonts w:ascii="Times New Roman" w:hAnsi="Times New Roman"/>
                <w:bCs/>
                <w:noProof/>
                <w:sz w:val="18"/>
                <w:szCs w:val="18"/>
              </w:rPr>
              <w:t>AFD</w:t>
            </w:r>
          </w:p>
        </w:tc>
      </w:tr>
      <w:tr w:rsidR="000D4659" w:rsidRPr="00752974" w14:paraId="30898CB9" w14:textId="77777777" w:rsidTr="00FE17B8">
        <w:trPr>
          <w:trHeight w:val="59"/>
        </w:trPr>
        <w:tc>
          <w:tcPr>
            <w:tcW w:w="755" w:type="pct"/>
            <w:vMerge/>
            <w:vAlign w:val="center"/>
            <w:hideMark/>
          </w:tcPr>
          <w:p w14:paraId="3A430047" w14:textId="77777777" w:rsidR="000D4659" w:rsidRPr="00752974" w:rsidRDefault="000D4659" w:rsidP="00FE17B8">
            <w:pPr>
              <w:spacing w:after="0" w:line="240" w:lineRule="auto"/>
              <w:rPr>
                <w:rFonts w:ascii="Times New Roman" w:eastAsia="Times New Roman" w:hAnsi="Times New Roman" w:cs="Times New Roman"/>
                <w:noProof/>
                <w:sz w:val="18"/>
                <w:szCs w:val="18"/>
                <w:lang w:eastAsia="en-GB"/>
              </w:rPr>
            </w:pPr>
          </w:p>
        </w:tc>
        <w:tc>
          <w:tcPr>
            <w:tcW w:w="531" w:type="pct"/>
            <w:noWrap/>
            <w:vAlign w:val="center"/>
            <w:hideMark/>
          </w:tcPr>
          <w:p w14:paraId="376E7C82"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 </w:t>
            </w:r>
          </w:p>
        </w:tc>
        <w:tc>
          <w:tcPr>
            <w:tcW w:w="1551" w:type="pct"/>
            <w:noWrap/>
            <w:vAlign w:val="center"/>
            <w:hideMark/>
          </w:tcPr>
          <w:p w14:paraId="24AB6377" w14:textId="77777777" w:rsidR="000D4659" w:rsidRPr="00752974" w:rsidRDefault="000D4659" w:rsidP="00FE17B8">
            <w:pPr>
              <w:spacing w:after="0" w:line="240" w:lineRule="auto"/>
              <w:rPr>
                <w:rFonts w:ascii="Times New Roman" w:eastAsia="Times New Roman" w:hAnsi="Times New Roman" w:cs="Times New Roman"/>
                <w:noProof/>
                <w:sz w:val="18"/>
                <w:szCs w:val="18"/>
                <w:lang w:eastAsia="en-GB"/>
              </w:rPr>
            </w:pPr>
          </w:p>
        </w:tc>
        <w:tc>
          <w:tcPr>
            <w:tcW w:w="2163" w:type="pct"/>
            <w:gridSpan w:val="2"/>
            <w:shd w:val="clear" w:color="auto" w:fill="FFD08B"/>
            <w:noWrap/>
            <w:vAlign w:val="center"/>
            <w:hideMark/>
          </w:tcPr>
          <w:p w14:paraId="5E1396B5"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rPr>
            </w:pPr>
            <w:r>
              <w:rPr>
                <w:rFonts w:ascii="Times New Roman" w:hAnsi="Times New Roman"/>
                <w:bCs/>
                <w:noProof/>
                <w:sz w:val="18"/>
                <w:szCs w:val="18"/>
              </w:rPr>
              <w:t>Expertise France — Министерство на външните работи</w:t>
            </w:r>
          </w:p>
        </w:tc>
      </w:tr>
      <w:tr w:rsidR="000D4659" w:rsidRPr="00752974" w14:paraId="62690057" w14:textId="77777777" w:rsidTr="00FE17B8">
        <w:trPr>
          <w:trHeight w:val="59"/>
        </w:trPr>
        <w:tc>
          <w:tcPr>
            <w:tcW w:w="755" w:type="pct"/>
            <w:noWrap/>
            <w:vAlign w:val="center"/>
            <w:hideMark/>
          </w:tcPr>
          <w:p w14:paraId="27E86F6C"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Германия</w:t>
            </w:r>
          </w:p>
        </w:tc>
        <w:tc>
          <w:tcPr>
            <w:tcW w:w="531" w:type="pct"/>
            <w:shd w:val="clear" w:color="auto" w:fill="FF6D6D"/>
            <w:noWrap/>
            <w:vAlign w:val="center"/>
            <w:hideMark/>
          </w:tcPr>
          <w:p w14:paraId="1B075063"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rPr>
            </w:pPr>
            <w:r>
              <w:rPr>
                <w:rFonts w:ascii="Times New Roman" w:hAnsi="Times New Roman"/>
                <w:bCs/>
                <w:noProof/>
                <w:sz w:val="18"/>
                <w:szCs w:val="18"/>
              </w:rPr>
              <w:t>KfW</w:t>
            </w:r>
          </w:p>
        </w:tc>
        <w:tc>
          <w:tcPr>
            <w:tcW w:w="1551" w:type="pct"/>
            <w:shd w:val="clear" w:color="auto" w:fill="C6E0B4"/>
            <w:noWrap/>
            <w:vAlign w:val="center"/>
            <w:hideMark/>
          </w:tcPr>
          <w:p w14:paraId="02A3AAC1"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rPr>
            </w:pPr>
            <w:r>
              <w:rPr>
                <w:rFonts w:ascii="Times New Roman" w:hAnsi="Times New Roman"/>
                <w:bCs/>
                <w:noProof/>
                <w:sz w:val="18"/>
                <w:szCs w:val="18"/>
              </w:rPr>
              <w:t>DEG</w:t>
            </w:r>
          </w:p>
        </w:tc>
        <w:tc>
          <w:tcPr>
            <w:tcW w:w="2163" w:type="pct"/>
            <w:gridSpan w:val="2"/>
            <w:shd w:val="clear" w:color="auto" w:fill="FFD08B"/>
            <w:noWrap/>
            <w:vAlign w:val="center"/>
            <w:hideMark/>
          </w:tcPr>
          <w:p w14:paraId="5BDA57D9"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rPr>
            </w:pPr>
            <w:r>
              <w:rPr>
                <w:rFonts w:ascii="Times New Roman" w:hAnsi="Times New Roman"/>
                <w:bCs/>
                <w:noProof/>
                <w:sz w:val="18"/>
                <w:szCs w:val="18"/>
              </w:rPr>
              <w:t>GIZ</w:t>
            </w:r>
          </w:p>
        </w:tc>
      </w:tr>
      <w:tr w:rsidR="000D4659" w:rsidRPr="00752974" w14:paraId="7B835C15" w14:textId="77777777" w:rsidTr="00FE17B8">
        <w:trPr>
          <w:trHeight w:val="63"/>
        </w:trPr>
        <w:tc>
          <w:tcPr>
            <w:tcW w:w="755" w:type="pct"/>
            <w:shd w:val="clear" w:color="auto" w:fill="auto"/>
            <w:noWrap/>
            <w:vAlign w:val="center"/>
            <w:hideMark/>
          </w:tcPr>
          <w:p w14:paraId="713EF8A6"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Гърция</w:t>
            </w:r>
          </w:p>
        </w:tc>
        <w:tc>
          <w:tcPr>
            <w:tcW w:w="531" w:type="pct"/>
            <w:shd w:val="clear" w:color="auto" w:fill="auto"/>
            <w:noWrap/>
            <w:vAlign w:val="center"/>
            <w:hideMark/>
          </w:tcPr>
          <w:p w14:paraId="17D5D97D"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 </w:t>
            </w:r>
          </w:p>
        </w:tc>
        <w:tc>
          <w:tcPr>
            <w:tcW w:w="1551" w:type="pct"/>
            <w:shd w:val="clear" w:color="auto" w:fill="auto"/>
            <w:noWrap/>
            <w:vAlign w:val="center"/>
            <w:hideMark/>
          </w:tcPr>
          <w:p w14:paraId="02055A85"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 </w:t>
            </w:r>
          </w:p>
        </w:tc>
        <w:tc>
          <w:tcPr>
            <w:tcW w:w="2163" w:type="pct"/>
            <w:gridSpan w:val="2"/>
            <w:shd w:val="clear" w:color="auto" w:fill="auto"/>
            <w:vAlign w:val="center"/>
            <w:hideMark/>
          </w:tcPr>
          <w:p w14:paraId="226E4615"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Hellenic Aid — Генерална дирекция „Международно сътрудничество за развитие“ — МВнР</w:t>
            </w:r>
          </w:p>
        </w:tc>
      </w:tr>
      <w:tr w:rsidR="000D4659" w:rsidRPr="00752974" w14:paraId="43F9E2DF" w14:textId="77777777" w:rsidTr="00FE17B8">
        <w:trPr>
          <w:trHeight w:val="64"/>
        </w:trPr>
        <w:tc>
          <w:tcPr>
            <w:tcW w:w="755" w:type="pct"/>
            <w:noWrap/>
            <w:vAlign w:val="center"/>
            <w:hideMark/>
          </w:tcPr>
          <w:p w14:paraId="79709B45"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Унгария</w:t>
            </w:r>
          </w:p>
        </w:tc>
        <w:tc>
          <w:tcPr>
            <w:tcW w:w="531" w:type="pct"/>
            <w:noWrap/>
            <w:vAlign w:val="center"/>
            <w:hideMark/>
          </w:tcPr>
          <w:p w14:paraId="700199D4"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 </w:t>
            </w:r>
          </w:p>
        </w:tc>
        <w:tc>
          <w:tcPr>
            <w:tcW w:w="1551" w:type="pct"/>
            <w:noWrap/>
            <w:vAlign w:val="center"/>
            <w:hideMark/>
          </w:tcPr>
          <w:p w14:paraId="08774C49"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EXIM Унгария</w:t>
            </w:r>
          </w:p>
        </w:tc>
        <w:tc>
          <w:tcPr>
            <w:tcW w:w="2163" w:type="pct"/>
            <w:gridSpan w:val="2"/>
            <w:vAlign w:val="center"/>
            <w:hideMark/>
          </w:tcPr>
          <w:p w14:paraId="63B64025"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MFAT</w:t>
            </w:r>
          </w:p>
          <w:p w14:paraId="61C7AB0C" w14:textId="77777777" w:rsidR="000D4659" w:rsidRPr="00AF7DDA" w:rsidRDefault="000D4659" w:rsidP="00FE17B8">
            <w:pPr>
              <w:spacing w:after="0" w:line="240" w:lineRule="auto"/>
              <w:jc w:val="center"/>
              <w:rPr>
                <w:rFonts w:ascii="Times New Roman" w:eastAsia="Times New Roman" w:hAnsi="Times New Roman" w:cs="Times New Roman"/>
                <w:noProof/>
                <w:spacing w:val="-8"/>
                <w:sz w:val="18"/>
                <w:szCs w:val="18"/>
              </w:rPr>
            </w:pPr>
            <w:r w:rsidRPr="00AF7DDA">
              <w:rPr>
                <w:rFonts w:ascii="Times New Roman" w:hAnsi="Times New Roman"/>
                <w:noProof/>
                <w:spacing w:val="-8"/>
                <w:sz w:val="18"/>
                <w:szCs w:val="18"/>
              </w:rPr>
              <w:t>Агенция „Помощ за Унгария“ — координация под егидата на министър-председателя</w:t>
            </w:r>
          </w:p>
        </w:tc>
      </w:tr>
      <w:tr w:rsidR="000D4659" w:rsidRPr="00752974" w14:paraId="3242782C" w14:textId="77777777" w:rsidTr="00FE17B8">
        <w:trPr>
          <w:trHeight w:val="59"/>
        </w:trPr>
        <w:tc>
          <w:tcPr>
            <w:tcW w:w="755" w:type="pct"/>
            <w:noWrap/>
            <w:vAlign w:val="center"/>
            <w:hideMark/>
          </w:tcPr>
          <w:p w14:paraId="648153FC"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Ирландия</w:t>
            </w:r>
          </w:p>
        </w:tc>
        <w:tc>
          <w:tcPr>
            <w:tcW w:w="531" w:type="pct"/>
            <w:noWrap/>
            <w:vAlign w:val="center"/>
            <w:hideMark/>
          </w:tcPr>
          <w:p w14:paraId="507FD59E"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 </w:t>
            </w:r>
          </w:p>
        </w:tc>
        <w:tc>
          <w:tcPr>
            <w:tcW w:w="1551" w:type="pct"/>
            <w:noWrap/>
            <w:vAlign w:val="center"/>
            <w:hideMark/>
          </w:tcPr>
          <w:p w14:paraId="5332FDE4"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 </w:t>
            </w:r>
          </w:p>
        </w:tc>
        <w:tc>
          <w:tcPr>
            <w:tcW w:w="2163" w:type="pct"/>
            <w:gridSpan w:val="2"/>
            <w:noWrap/>
            <w:vAlign w:val="center"/>
            <w:hideMark/>
          </w:tcPr>
          <w:p w14:paraId="6642F874"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IrishAid — отдел в МВнР</w:t>
            </w:r>
          </w:p>
        </w:tc>
      </w:tr>
      <w:tr w:rsidR="000D4659" w:rsidRPr="00752974" w14:paraId="02FA4431" w14:textId="77777777" w:rsidTr="00FE17B8">
        <w:trPr>
          <w:trHeight w:val="59"/>
        </w:trPr>
        <w:tc>
          <w:tcPr>
            <w:tcW w:w="755" w:type="pct"/>
            <w:vMerge w:val="restart"/>
            <w:noWrap/>
            <w:vAlign w:val="center"/>
            <w:hideMark/>
          </w:tcPr>
          <w:p w14:paraId="3B08F764"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Италия</w:t>
            </w:r>
          </w:p>
        </w:tc>
        <w:tc>
          <w:tcPr>
            <w:tcW w:w="531" w:type="pct"/>
            <w:vMerge w:val="restart"/>
            <w:shd w:val="clear" w:color="auto" w:fill="FF6D6D"/>
            <w:noWrap/>
            <w:vAlign w:val="center"/>
            <w:hideMark/>
          </w:tcPr>
          <w:p w14:paraId="62079523"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rPr>
            </w:pPr>
            <w:r>
              <w:rPr>
                <w:rFonts w:ascii="Times New Roman" w:hAnsi="Times New Roman"/>
                <w:bCs/>
                <w:noProof/>
                <w:sz w:val="18"/>
                <w:szCs w:val="18"/>
              </w:rPr>
              <w:t>CDP</w:t>
            </w:r>
          </w:p>
        </w:tc>
        <w:tc>
          <w:tcPr>
            <w:tcW w:w="1551" w:type="pct"/>
            <w:vMerge w:val="restart"/>
            <w:shd w:val="clear" w:color="auto" w:fill="C6E0B4"/>
            <w:noWrap/>
            <w:vAlign w:val="center"/>
            <w:hideMark/>
          </w:tcPr>
          <w:p w14:paraId="57F14970"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rPr>
            </w:pPr>
            <w:r>
              <w:rPr>
                <w:rFonts w:ascii="Times New Roman" w:hAnsi="Times New Roman"/>
                <w:bCs/>
                <w:noProof/>
                <w:sz w:val="18"/>
                <w:szCs w:val="18"/>
              </w:rPr>
              <w:t>SIMEST</w:t>
            </w:r>
          </w:p>
        </w:tc>
        <w:tc>
          <w:tcPr>
            <w:tcW w:w="2163" w:type="pct"/>
            <w:gridSpan w:val="2"/>
            <w:shd w:val="clear" w:color="auto" w:fill="FFD08B"/>
            <w:noWrap/>
            <w:vAlign w:val="center"/>
            <w:hideMark/>
          </w:tcPr>
          <w:p w14:paraId="5E9B32D7"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rPr>
            </w:pPr>
            <w:r>
              <w:rPr>
                <w:rFonts w:ascii="Times New Roman" w:hAnsi="Times New Roman"/>
                <w:bCs/>
                <w:noProof/>
                <w:sz w:val="18"/>
                <w:szCs w:val="18"/>
              </w:rPr>
              <w:t>AICS</w:t>
            </w:r>
          </w:p>
        </w:tc>
      </w:tr>
      <w:tr w:rsidR="000D4659" w:rsidRPr="00752974" w14:paraId="6DE8E82F" w14:textId="77777777" w:rsidTr="00FE17B8">
        <w:trPr>
          <w:trHeight w:val="59"/>
        </w:trPr>
        <w:tc>
          <w:tcPr>
            <w:tcW w:w="755" w:type="pct"/>
            <w:vMerge/>
            <w:vAlign w:val="center"/>
            <w:hideMark/>
          </w:tcPr>
          <w:p w14:paraId="5616B65C" w14:textId="77777777" w:rsidR="000D4659" w:rsidRPr="00752974" w:rsidRDefault="000D4659" w:rsidP="00FE17B8">
            <w:pPr>
              <w:spacing w:after="0" w:line="240" w:lineRule="auto"/>
              <w:rPr>
                <w:rFonts w:ascii="Times New Roman" w:eastAsia="Times New Roman" w:hAnsi="Times New Roman" w:cs="Times New Roman"/>
                <w:noProof/>
                <w:sz w:val="18"/>
                <w:szCs w:val="18"/>
                <w:lang w:eastAsia="en-GB"/>
              </w:rPr>
            </w:pPr>
          </w:p>
        </w:tc>
        <w:tc>
          <w:tcPr>
            <w:tcW w:w="531" w:type="pct"/>
            <w:vMerge/>
            <w:vAlign w:val="center"/>
            <w:hideMark/>
          </w:tcPr>
          <w:p w14:paraId="405EC7DB" w14:textId="77777777" w:rsidR="000D4659" w:rsidRPr="00752974" w:rsidRDefault="000D4659" w:rsidP="00FE17B8">
            <w:pPr>
              <w:spacing w:after="0" w:line="240" w:lineRule="auto"/>
              <w:rPr>
                <w:rFonts w:ascii="Times New Roman" w:eastAsia="Times New Roman" w:hAnsi="Times New Roman" w:cs="Times New Roman"/>
                <w:bCs/>
                <w:noProof/>
                <w:sz w:val="18"/>
                <w:szCs w:val="18"/>
                <w:lang w:eastAsia="en-GB"/>
              </w:rPr>
            </w:pPr>
          </w:p>
        </w:tc>
        <w:tc>
          <w:tcPr>
            <w:tcW w:w="1551" w:type="pct"/>
            <w:vMerge/>
            <w:vAlign w:val="center"/>
            <w:hideMark/>
          </w:tcPr>
          <w:p w14:paraId="0F2604A3" w14:textId="77777777" w:rsidR="000D4659" w:rsidRPr="00752974" w:rsidRDefault="000D4659" w:rsidP="00FE17B8">
            <w:pPr>
              <w:spacing w:after="0" w:line="240" w:lineRule="auto"/>
              <w:rPr>
                <w:rFonts w:ascii="Times New Roman" w:eastAsia="Times New Roman" w:hAnsi="Times New Roman" w:cs="Times New Roman"/>
                <w:bCs/>
                <w:noProof/>
                <w:sz w:val="18"/>
                <w:szCs w:val="18"/>
                <w:lang w:eastAsia="en-GB"/>
              </w:rPr>
            </w:pPr>
          </w:p>
        </w:tc>
        <w:tc>
          <w:tcPr>
            <w:tcW w:w="2163" w:type="pct"/>
            <w:gridSpan w:val="2"/>
            <w:noWrap/>
            <w:vAlign w:val="center"/>
            <w:hideMark/>
          </w:tcPr>
          <w:p w14:paraId="408CA028"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rPr>
            </w:pPr>
            <w:r>
              <w:rPr>
                <w:rFonts w:ascii="Times New Roman" w:hAnsi="Times New Roman"/>
                <w:bCs/>
                <w:noProof/>
                <w:sz w:val="18"/>
                <w:szCs w:val="18"/>
              </w:rPr>
              <w:t>МВнР на Италия</w:t>
            </w:r>
          </w:p>
        </w:tc>
      </w:tr>
      <w:tr w:rsidR="000D4659" w:rsidRPr="00752974" w14:paraId="1451D592" w14:textId="77777777" w:rsidTr="00FE17B8">
        <w:trPr>
          <w:trHeight w:val="59"/>
        </w:trPr>
        <w:tc>
          <w:tcPr>
            <w:tcW w:w="755" w:type="pct"/>
            <w:noWrap/>
            <w:vAlign w:val="center"/>
            <w:hideMark/>
          </w:tcPr>
          <w:p w14:paraId="1B20421F"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Латвия</w:t>
            </w:r>
          </w:p>
        </w:tc>
        <w:tc>
          <w:tcPr>
            <w:tcW w:w="531" w:type="pct"/>
            <w:noWrap/>
            <w:vAlign w:val="center"/>
            <w:hideMark/>
          </w:tcPr>
          <w:p w14:paraId="3F955A3B"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 </w:t>
            </w:r>
          </w:p>
        </w:tc>
        <w:tc>
          <w:tcPr>
            <w:tcW w:w="1551" w:type="pct"/>
            <w:noWrap/>
            <w:vAlign w:val="center"/>
            <w:hideMark/>
          </w:tcPr>
          <w:p w14:paraId="5FB36166"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rPr>
            </w:pPr>
            <w:r>
              <w:rPr>
                <w:rFonts w:ascii="Times New Roman" w:hAnsi="Times New Roman"/>
                <w:bCs/>
                <w:noProof/>
                <w:sz w:val="18"/>
                <w:szCs w:val="18"/>
              </w:rPr>
              <w:t>СИБ</w:t>
            </w:r>
          </w:p>
        </w:tc>
        <w:tc>
          <w:tcPr>
            <w:tcW w:w="2163" w:type="pct"/>
            <w:gridSpan w:val="2"/>
            <w:noWrap/>
            <w:vAlign w:val="center"/>
            <w:hideMark/>
          </w:tcPr>
          <w:p w14:paraId="7FAC6955"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МВнР</w:t>
            </w:r>
          </w:p>
        </w:tc>
      </w:tr>
      <w:tr w:rsidR="000D4659" w:rsidRPr="00752974" w14:paraId="13C20913" w14:textId="77777777" w:rsidTr="00FE17B8">
        <w:trPr>
          <w:trHeight w:val="59"/>
        </w:trPr>
        <w:tc>
          <w:tcPr>
            <w:tcW w:w="755" w:type="pct"/>
            <w:noWrap/>
            <w:vAlign w:val="center"/>
            <w:hideMark/>
          </w:tcPr>
          <w:p w14:paraId="227B06E6"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Литва</w:t>
            </w:r>
          </w:p>
        </w:tc>
        <w:tc>
          <w:tcPr>
            <w:tcW w:w="531" w:type="pct"/>
            <w:noWrap/>
            <w:vAlign w:val="center"/>
            <w:hideMark/>
          </w:tcPr>
          <w:p w14:paraId="64C47C9F"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 </w:t>
            </w:r>
          </w:p>
        </w:tc>
        <w:tc>
          <w:tcPr>
            <w:tcW w:w="1551" w:type="pct"/>
            <w:noWrap/>
            <w:vAlign w:val="center"/>
            <w:hideMark/>
          </w:tcPr>
          <w:p w14:paraId="60EDBC26"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rPr>
            </w:pPr>
            <w:r>
              <w:rPr>
                <w:rFonts w:ascii="Times New Roman" w:hAnsi="Times New Roman"/>
                <w:bCs/>
                <w:noProof/>
                <w:sz w:val="18"/>
                <w:szCs w:val="18"/>
              </w:rPr>
              <w:t>СИБ</w:t>
            </w:r>
          </w:p>
        </w:tc>
        <w:tc>
          <w:tcPr>
            <w:tcW w:w="2163" w:type="pct"/>
            <w:gridSpan w:val="2"/>
            <w:shd w:val="clear" w:color="auto" w:fill="FFD08B"/>
            <w:noWrap/>
            <w:vAlign w:val="center"/>
            <w:hideMark/>
          </w:tcPr>
          <w:p w14:paraId="1B57D639"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rPr>
            </w:pPr>
            <w:r>
              <w:rPr>
                <w:rFonts w:ascii="Times New Roman" w:hAnsi="Times New Roman"/>
                <w:bCs/>
                <w:noProof/>
                <w:sz w:val="18"/>
                <w:szCs w:val="18"/>
              </w:rPr>
              <w:t>CPMA</w:t>
            </w:r>
          </w:p>
        </w:tc>
      </w:tr>
      <w:tr w:rsidR="000D4659" w:rsidRPr="00752974" w14:paraId="18CBE46D" w14:textId="77777777" w:rsidTr="00FE17B8">
        <w:trPr>
          <w:trHeight w:val="59"/>
        </w:trPr>
        <w:tc>
          <w:tcPr>
            <w:tcW w:w="755" w:type="pct"/>
            <w:noWrap/>
            <w:vAlign w:val="center"/>
            <w:hideMark/>
          </w:tcPr>
          <w:p w14:paraId="15E2D281"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Люксембург</w:t>
            </w:r>
          </w:p>
        </w:tc>
        <w:tc>
          <w:tcPr>
            <w:tcW w:w="531" w:type="pct"/>
            <w:noWrap/>
            <w:vAlign w:val="center"/>
            <w:hideMark/>
          </w:tcPr>
          <w:p w14:paraId="39B265F9"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 </w:t>
            </w:r>
          </w:p>
        </w:tc>
        <w:tc>
          <w:tcPr>
            <w:tcW w:w="1551" w:type="pct"/>
            <w:noWrap/>
            <w:vAlign w:val="center"/>
            <w:hideMark/>
          </w:tcPr>
          <w:p w14:paraId="0BFEC366"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 </w:t>
            </w:r>
          </w:p>
        </w:tc>
        <w:tc>
          <w:tcPr>
            <w:tcW w:w="2163" w:type="pct"/>
            <w:gridSpan w:val="2"/>
            <w:shd w:val="clear" w:color="auto" w:fill="FFD08B"/>
            <w:noWrap/>
            <w:vAlign w:val="center"/>
            <w:hideMark/>
          </w:tcPr>
          <w:p w14:paraId="479ACD89"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rPr>
            </w:pPr>
            <w:r>
              <w:rPr>
                <w:rFonts w:ascii="Times New Roman" w:hAnsi="Times New Roman"/>
                <w:bCs/>
                <w:noProof/>
                <w:sz w:val="18"/>
                <w:szCs w:val="18"/>
              </w:rPr>
              <w:t>LuxDev</w:t>
            </w:r>
          </w:p>
        </w:tc>
      </w:tr>
      <w:tr w:rsidR="000D4659" w:rsidRPr="00752974" w14:paraId="44FC242C" w14:textId="77777777" w:rsidTr="00FE17B8">
        <w:trPr>
          <w:trHeight w:val="114"/>
        </w:trPr>
        <w:tc>
          <w:tcPr>
            <w:tcW w:w="755" w:type="pct"/>
            <w:shd w:val="clear" w:color="auto" w:fill="auto"/>
            <w:noWrap/>
            <w:vAlign w:val="center"/>
            <w:hideMark/>
          </w:tcPr>
          <w:p w14:paraId="6106F366"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Малта</w:t>
            </w:r>
          </w:p>
        </w:tc>
        <w:tc>
          <w:tcPr>
            <w:tcW w:w="531" w:type="pct"/>
            <w:shd w:val="clear" w:color="auto" w:fill="auto"/>
            <w:noWrap/>
            <w:vAlign w:val="center"/>
            <w:hideMark/>
          </w:tcPr>
          <w:p w14:paraId="62B48D09"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 </w:t>
            </w:r>
          </w:p>
        </w:tc>
        <w:tc>
          <w:tcPr>
            <w:tcW w:w="1551" w:type="pct"/>
            <w:shd w:val="clear" w:color="auto" w:fill="auto"/>
            <w:noWrap/>
            <w:vAlign w:val="center"/>
            <w:hideMark/>
          </w:tcPr>
          <w:p w14:paraId="43936B36"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 </w:t>
            </w:r>
          </w:p>
        </w:tc>
        <w:tc>
          <w:tcPr>
            <w:tcW w:w="2163" w:type="pct"/>
            <w:gridSpan w:val="2"/>
            <w:shd w:val="clear" w:color="auto" w:fill="auto"/>
            <w:vAlign w:val="center"/>
            <w:hideMark/>
          </w:tcPr>
          <w:p w14:paraId="0984C166"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Министерство на външните работи и европейските въпроси</w:t>
            </w:r>
          </w:p>
        </w:tc>
      </w:tr>
      <w:tr w:rsidR="000D4659" w:rsidRPr="00752974" w14:paraId="68AE545D" w14:textId="77777777" w:rsidTr="00FE17B8">
        <w:trPr>
          <w:trHeight w:val="59"/>
        </w:trPr>
        <w:tc>
          <w:tcPr>
            <w:tcW w:w="755" w:type="pct"/>
            <w:vMerge w:val="restart"/>
            <w:noWrap/>
            <w:vAlign w:val="center"/>
            <w:hideMark/>
          </w:tcPr>
          <w:p w14:paraId="180475B7"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Нидерландия</w:t>
            </w:r>
          </w:p>
        </w:tc>
        <w:tc>
          <w:tcPr>
            <w:tcW w:w="531" w:type="pct"/>
            <w:vMerge w:val="restart"/>
            <w:noWrap/>
            <w:vAlign w:val="center"/>
            <w:hideMark/>
          </w:tcPr>
          <w:p w14:paraId="7E24BD20"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 </w:t>
            </w:r>
          </w:p>
        </w:tc>
        <w:tc>
          <w:tcPr>
            <w:tcW w:w="1551" w:type="pct"/>
            <w:vMerge w:val="restart"/>
            <w:shd w:val="clear" w:color="auto" w:fill="C6E0B4"/>
            <w:noWrap/>
            <w:vAlign w:val="center"/>
            <w:hideMark/>
          </w:tcPr>
          <w:p w14:paraId="6278780C"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rPr>
            </w:pPr>
            <w:r>
              <w:rPr>
                <w:rFonts w:ascii="Times New Roman" w:hAnsi="Times New Roman"/>
                <w:bCs/>
                <w:noProof/>
                <w:sz w:val="18"/>
                <w:szCs w:val="18"/>
              </w:rPr>
              <w:t>FMO</w:t>
            </w:r>
          </w:p>
        </w:tc>
        <w:tc>
          <w:tcPr>
            <w:tcW w:w="2163" w:type="pct"/>
            <w:gridSpan w:val="2"/>
            <w:shd w:val="clear" w:color="auto" w:fill="FFD08B"/>
            <w:noWrap/>
            <w:vAlign w:val="center"/>
            <w:hideMark/>
          </w:tcPr>
          <w:p w14:paraId="42A25547"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SNV</w:t>
            </w:r>
          </w:p>
        </w:tc>
      </w:tr>
      <w:tr w:rsidR="000D4659" w:rsidRPr="00752974" w14:paraId="0D1CD72A" w14:textId="77777777" w:rsidTr="00FE17B8">
        <w:trPr>
          <w:trHeight w:val="59"/>
        </w:trPr>
        <w:tc>
          <w:tcPr>
            <w:tcW w:w="755" w:type="pct"/>
            <w:vMerge/>
            <w:vAlign w:val="center"/>
            <w:hideMark/>
          </w:tcPr>
          <w:p w14:paraId="02E7703F" w14:textId="77777777" w:rsidR="000D4659" w:rsidRPr="00752974" w:rsidRDefault="000D4659" w:rsidP="00FE17B8">
            <w:pPr>
              <w:spacing w:after="0" w:line="240" w:lineRule="auto"/>
              <w:rPr>
                <w:rFonts w:ascii="Times New Roman" w:eastAsia="Times New Roman" w:hAnsi="Times New Roman" w:cs="Times New Roman"/>
                <w:noProof/>
                <w:sz w:val="18"/>
                <w:szCs w:val="18"/>
                <w:lang w:eastAsia="en-GB"/>
              </w:rPr>
            </w:pPr>
          </w:p>
        </w:tc>
        <w:tc>
          <w:tcPr>
            <w:tcW w:w="531" w:type="pct"/>
            <w:vMerge/>
            <w:vAlign w:val="center"/>
            <w:hideMark/>
          </w:tcPr>
          <w:p w14:paraId="03C9C90D" w14:textId="77777777" w:rsidR="000D4659" w:rsidRPr="00752974" w:rsidRDefault="000D4659" w:rsidP="00FE17B8">
            <w:pPr>
              <w:spacing w:after="0" w:line="240" w:lineRule="auto"/>
              <w:rPr>
                <w:rFonts w:ascii="Times New Roman" w:eastAsia="Times New Roman" w:hAnsi="Times New Roman" w:cs="Times New Roman"/>
                <w:noProof/>
                <w:sz w:val="18"/>
                <w:szCs w:val="18"/>
                <w:lang w:eastAsia="en-GB"/>
              </w:rPr>
            </w:pPr>
          </w:p>
        </w:tc>
        <w:tc>
          <w:tcPr>
            <w:tcW w:w="1551" w:type="pct"/>
            <w:vMerge/>
            <w:vAlign w:val="center"/>
            <w:hideMark/>
          </w:tcPr>
          <w:p w14:paraId="6F32B8FC" w14:textId="77777777" w:rsidR="000D4659" w:rsidRPr="00752974" w:rsidRDefault="000D4659" w:rsidP="00FE17B8">
            <w:pPr>
              <w:spacing w:after="0" w:line="240" w:lineRule="auto"/>
              <w:rPr>
                <w:rFonts w:ascii="Times New Roman" w:eastAsia="Times New Roman" w:hAnsi="Times New Roman" w:cs="Times New Roman"/>
                <w:bCs/>
                <w:noProof/>
                <w:sz w:val="18"/>
                <w:szCs w:val="18"/>
                <w:lang w:eastAsia="en-GB"/>
              </w:rPr>
            </w:pPr>
          </w:p>
        </w:tc>
        <w:tc>
          <w:tcPr>
            <w:tcW w:w="2163" w:type="pct"/>
            <w:gridSpan w:val="2"/>
            <w:shd w:val="clear" w:color="auto" w:fill="FFD08B"/>
            <w:noWrap/>
            <w:vAlign w:val="center"/>
            <w:hideMark/>
          </w:tcPr>
          <w:p w14:paraId="07EF9467"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rPr>
            </w:pPr>
            <w:r>
              <w:rPr>
                <w:rFonts w:ascii="Times New Roman" w:hAnsi="Times New Roman"/>
                <w:bCs/>
                <w:noProof/>
                <w:sz w:val="18"/>
                <w:szCs w:val="18"/>
              </w:rPr>
              <w:t>МВнР на Нидерландия</w:t>
            </w:r>
          </w:p>
        </w:tc>
      </w:tr>
      <w:tr w:rsidR="000D4659" w:rsidRPr="00752974" w14:paraId="6B7100A8" w14:textId="77777777" w:rsidTr="00FE17B8">
        <w:trPr>
          <w:trHeight w:val="313"/>
        </w:trPr>
        <w:tc>
          <w:tcPr>
            <w:tcW w:w="755" w:type="pct"/>
            <w:noWrap/>
            <w:vAlign w:val="center"/>
            <w:hideMark/>
          </w:tcPr>
          <w:p w14:paraId="26770C06"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Полша</w:t>
            </w:r>
          </w:p>
        </w:tc>
        <w:tc>
          <w:tcPr>
            <w:tcW w:w="531" w:type="pct"/>
            <w:noWrap/>
            <w:vAlign w:val="center"/>
            <w:hideMark/>
          </w:tcPr>
          <w:p w14:paraId="40150AA3"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 </w:t>
            </w:r>
          </w:p>
        </w:tc>
        <w:tc>
          <w:tcPr>
            <w:tcW w:w="1551" w:type="pct"/>
            <w:noWrap/>
            <w:vAlign w:val="center"/>
            <w:hideMark/>
          </w:tcPr>
          <w:p w14:paraId="0245DB7F"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 </w:t>
            </w:r>
          </w:p>
        </w:tc>
        <w:tc>
          <w:tcPr>
            <w:tcW w:w="2163" w:type="pct"/>
            <w:gridSpan w:val="2"/>
            <w:vAlign w:val="center"/>
            <w:hideMark/>
          </w:tcPr>
          <w:p w14:paraId="4D02472A"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PolishAid — Отдел за сътрудничество за развитие — МВнР</w:t>
            </w:r>
          </w:p>
        </w:tc>
      </w:tr>
      <w:tr w:rsidR="000D4659" w:rsidRPr="00752974" w14:paraId="48FD4129" w14:textId="77777777" w:rsidTr="00FE17B8">
        <w:trPr>
          <w:trHeight w:val="59"/>
        </w:trPr>
        <w:tc>
          <w:tcPr>
            <w:tcW w:w="755" w:type="pct"/>
            <w:noWrap/>
            <w:vAlign w:val="center"/>
            <w:hideMark/>
          </w:tcPr>
          <w:p w14:paraId="69331B2C"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Португалия</w:t>
            </w:r>
          </w:p>
        </w:tc>
        <w:tc>
          <w:tcPr>
            <w:tcW w:w="531" w:type="pct"/>
            <w:noWrap/>
            <w:vAlign w:val="center"/>
            <w:hideMark/>
          </w:tcPr>
          <w:p w14:paraId="68A667C9"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 </w:t>
            </w:r>
          </w:p>
        </w:tc>
        <w:tc>
          <w:tcPr>
            <w:tcW w:w="1551" w:type="pct"/>
            <w:shd w:val="clear" w:color="auto" w:fill="C6E0B4"/>
            <w:noWrap/>
            <w:vAlign w:val="center"/>
            <w:hideMark/>
          </w:tcPr>
          <w:p w14:paraId="52E86D13"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SOFID</w:t>
            </w:r>
          </w:p>
        </w:tc>
        <w:tc>
          <w:tcPr>
            <w:tcW w:w="2163" w:type="pct"/>
            <w:gridSpan w:val="2"/>
            <w:shd w:val="clear" w:color="auto" w:fill="FFD08B"/>
            <w:noWrap/>
            <w:vAlign w:val="center"/>
            <w:hideMark/>
          </w:tcPr>
          <w:p w14:paraId="39AD50B0"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rPr>
            </w:pPr>
            <w:r>
              <w:rPr>
                <w:rFonts w:ascii="Times New Roman" w:hAnsi="Times New Roman"/>
                <w:bCs/>
                <w:noProof/>
                <w:sz w:val="18"/>
                <w:szCs w:val="18"/>
              </w:rPr>
              <w:t>Camões</w:t>
            </w:r>
          </w:p>
        </w:tc>
      </w:tr>
      <w:tr w:rsidR="000D4659" w:rsidRPr="00752974" w14:paraId="185957FF" w14:textId="77777777" w:rsidTr="00FE17B8">
        <w:trPr>
          <w:trHeight w:val="59"/>
        </w:trPr>
        <w:tc>
          <w:tcPr>
            <w:tcW w:w="755" w:type="pct"/>
            <w:noWrap/>
            <w:vAlign w:val="center"/>
            <w:hideMark/>
          </w:tcPr>
          <w:p w14:paraId="36B997D7"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Румъния </w:t>
            </w:r>
          </w:p>
        </w:tc>
        <w:tc>
          <w:tcPr>
            <w:tcW w:w="531" w:type="pct"/>
            <w:noWrap/>
            <w:vAlign w:val="center"/>
            <w:hideMark/>
          </w:tcPr>
          <w:p w14:paraId="0902D3B3"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 </w:t>
            </w:r>
          </w:p>
        </w:tc>
        <w:tc>
          <w:tcPr>
            <w:tcW w:w="1551" w:type="pct"/>
            <w:noWrap/>
            <w:vAlign w:val="center"/>
            <w:hideMark/>
          </w:tcPr>
          <w:p w14:paraId="4C801D2B"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 </w:t>
            </w:r>
          </w:p>
        </w:tc>
        <w:tc>
          <w:tcPr>
            <w:tcW w:w="2163" w:type="pct"/>
            <w:gridSpan w:val="2"/>
            <w:shd w:val="clear" w:color="auto" w:fill="FFD08B"/>
            <w:noWrap/>
            <w:vAlign w:val="center"/>
            <w:hideMark/>
          </w:tcPr>
          <w:p w14:paraId="69EBDBBA"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RoAid</w:t>
            </w:r>
          </w:p>
        </w:tc>
      </w:tr>
      <w:tr w:rsidR="000D4659" w:rsidRPr="00752974" w14:paraId="2CA576C1" w14:textId="77777777" w:rsidTr="00FE17B8">
        <w:trPr>
          <w:trHeight w:val="59"/>
        </w:trPr>
        <w:tc>
          <w:tcPr>
            <w:tcW w:w="755" w:type="pct"/>
            <w:noWrap/>
            <w:vAlign w:val="center"/>
            <w:hideMark/>
          </w:tcPr>
          <w:p w14:paraId="36919AEB"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Словакия</w:t>
            </w:r>
          </w:p>
        </w:tc>
        <w:tc>
          <w:tcPr>
            <w:tcW w:w="531" w:type="pct"/>
            <w:noWrap/>
            <w:vAlign w:val="center"/>
            <w:hideMark/>
          </w:tcPr>
          <w:p w14:paraId="0AF0F594" w14:textId="77777777" w:rsidR="000D4659" w:rsidRPr="00752974" w:rsidRDefault="000D4659" w:rsidP="00FE17B8">
            <w:pPr>
              <w:spacing w:after="0" w:line="240" w:lineRule="auto"/>
              <w:rPr>
                <w:rFonts w:ascii="Times New Roman" w:eastAsia="Times New Roman" w:hAnsi="Times New Roman" w:cs="Times New Roman"/>
                <w:noProof/>
                <w:sz w:val="18"/>
                <w:szCs w:val="18"/>
                <w:lang w:eastAsia="en-GB"/>
              </w:rPr>
            </w:pPr>
          </w:p>
        </w:tc>
        <w:tc>
          <w:tcPr>
            <w:tcW w:w="1551" w:type="pct"/>
            <w:noWrap/>
            <w:vAlign w:val="center"/>
            <w:hideMark/>
          </w:tcPr>
          <w:p w14:paraId="5909D7D3"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EXIMBANKA SR </w:t>
            </w:r>
          </w:p>
        </w:tc>
        <w:tc>
          <w:tcPr>
            <w:tcW w:w="2163" w:type="pct"/>
            <w:gridSpan w:val="2"/>
            <w:shd w:val="clear" w:color="auto" w:fill="FFD08B"/>
            <w:noWrap/>
            <w:vAlign w:val="center"/>
            <w:hideMark/>
          </w:tcPr>
          <w:p w14:paraId="69A9A82B"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rPr>
            </w:pPr>
            <w:r>
              <w:rPr>
                <w:rFonts w:ascii="Times New Roman" w:hAnsi="Times New Roman"/>
                <w:bCs/>
                <w:noProof/>
                <w:sz w:val="18"/>
                <w:szCs w:val="18"/>
              </w:rPr>
              <w:t>SAIDC — SlovakAid</w:t>
            </w:r>
          </w:p>
        </w:tc>
      </w:tr>
      <w:tr w:rsidR="000D4659" w:rsidRPr="00752974" w14:paraId="000DFA2F" w14:textId="77777777" w:rsidTr="00FE17B8">
        <w:trPr>
          <w:trHeight w:val="64"/>
        </w:trPr>
        <w:tc>
          <w:tcPr>
            <w:tcW w:w="755" w:type="pct"/>
            <w:noWrap/>
            <w:vAlign w:val="center"/>
            <w:hideMark/>
          </w:tcPr>
          <w:p w14:paraId="62C98AA0"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Словения</w:t>
            </w:r>
          </w:p>
        </w:tc>
        <w:tc>
          <w:tcPr>
            <w:tcW w:w="531" w:type="pct"/>
            <w:noWrap/>
            <w:vAlign w:val="center"/>
            <w:hideMark/>
          </w:tcPr>
          <w:p w14:paraId="68D80506"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 </w:t>
            </w:r>
          </w:p>
        </w:tc>
        <w:tc>
          <w:tcPr>
            <w:tcW w:w="1551" w:type="pct"/>
            <w:noWrap/>
            <w:vAlign w:val="center"/>
            <w:hideMark/>
          </w:tcPr>
          <w:p w14:paraId="42459C68" w14:textId="77777777" w:rsidR="000D4659" w:rsidRPr="00752974" w:rsidRDefault="000D4659" w:rsidP="00FE17B8">
            <w:pPr>
              <w:spacing w:after="0" w:line="240" w:lineRule="auto"/>
              <w:rPr>
                <w:rFonts w:ascii="Times New Roman" w:eastAsia="Times New Roman" w:hAnsi="Times New Roman" w:cs="Times New Roman"/>
                <w:noProof/>
                <w:sz w:val="18"/>
                <w:szCs w:val="18"/>
                <w:lang w:eastAsia="en-GB"/>
              </w:rPr>
            </w:pPr>
          </w:p>
        </w:tc>
        <w:tc>
          <w:tcPr>
            <w:tcW w:w="2163" w:type="pct"/>
            <w:gridSpan w:val="2"/>
            <w:tcBorders>
              <w:bottom w:val="single" w:sz="4" w:space="0" w:color="auto"/>
            </w:tcBorders>
            <w:vAlign w:val="center"/>
            <w:hideMark/>
          </w:tcPr>
          <w:p w14:paraId="038E2AD6"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Отдел за сътрудничество за развитие и хуманитарна помощ — МВнР</w:t>
            </w:r>
          </w:p>
        </w:tc>
      </w:tr>
      <w:tr w:rsidR="000D4659" w:rsidRPr="00752974" w14:paraId="234DA6BF" w14:textId="77777777" w:rsidTr="00FE17B8">
        <w:trPr>
          <w:trHeight w:val="59"/>
        </w:trPr>
        <w:tc>
          <w:tcPr>
            <w:tcW w:w="755" w:type="pct"/>
            <w:vMerge w:val="restart"/>
            <w:noWrap/>
            <w:vAlign w:val="center"/>
            <w:hideMark/>
          </w:tcPr>
          <w:p w14:paraId="33439785"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Испания</w:t>
            </w:r>
          </w:p>
        </w:tc>
        <w:tc>
          <w:tcPr>
            <w:tcW w:w="531" w:type="pct"/>
            <w:vMerge w:val="restart"/>
            <w:noWrap/>
            <w:vAlign w:val="center"/>
            <w:hideMark/>
          </w:tcPr>
          <w:p w14:paraId="431896DE"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 </w:t>
            </w:r>
          </w:p>
        </w:tc>
        <w:tc>
          <w:tcPr>
            <w:tcW w:w="1551" w:type="pct"/>
            <w:vMerge w:val="restart"/>
            <w:tcBorders>
              <w:right w:val="single" w:sz="4" w:space="0" w:color="auto"/>
            </w:tcBorders>
            <w:shd w:val="clear" w:color="auto" w:fill="C6E0B4"/>
            <w:noWrap/>
            <w:vAlign w:val="center"/>
            <w:hideMark/>
          </w:tcPr>
          <w:p w14:paraId="2160AA0D"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rPr>
            </w:pPr>
            <w:r>
              <w:rPr>
                <w:rFonts w:ascii="Times New Roman" w:hAnsi="Times New Roman"/>
                <w:bCs/>
                <w:noProof/>
                <w:sz w:val="18"/>
                <w:szCs w:val="18"/>
              </w:rPr>
              <w:t>COFIDES</w:t>
            </w:r>
          </w:p>
        </w:tc>
        <w:tc>
          <w:tcPr>
            <w:tcW w:w="1081" w:type="pct"/>
            <w:tcBorders>
              <w:top w:val="single" w:sz="4" w:space="0" w:color="auto"/>
              <w:left w:val="single" w:sz="4" w:space="0" w:color="auto"/>
              <w:bottom w:val="single" w:sz="4" w:space="0" w:color="auto"/>
              <w:right w:val="nil"/>
            </w:tcBorders>
            <w:shd w:val="clear" w:color="auto" w:fill="FFD08B"/>
            <w:noWrap/>
            <w:vAlign w:val="center"/>
            <w:hideMark/>
          </w:tcPr>
          <w:p w14:paraId="146881AD" w14:textId="77777777" w:rsidR="000D4659" w:rsidRPr="00752974" w:rsidRDefault="000D4659" w:rsidP="00FE17B8">
            <w:pPr>
              <w:spacing w:after="0" w:line="240" w:lineRule="auto"/>
              <w:ind w:right="-85"/>
              <w:jc w:val="right"/>
              <w:rPr>
                <w:rFonts w:ascii="Times New Roman" w:eastAsia="Times New Roman" w:hAnsi="Times New Roman" w:cs="Times New Roman"/>
                <w:bCs/>
                <w:noProof/>
                <w:sz w:val="18"/>
                <w:szCs w:val="18"/>
              </w:rPr>
            </w:pPr>
            <w:r>
              <w:rPr>
                <w:rFonts w:ascii="Times New Roman" w:hAnsi="Times New Roman"/>
                <w:bCs/>
                <w:noProof/>
                <w:sz w:val="18"/>
                <w:szCs w:val="18"/>
              </w:rPr>
              <w:t>AE</w:t>
            </w:r>
          </w:p>
        </w:tc>
        <w:tc>
          <w:tcPr>
            <w:tcW w:w="1081" w:type="pct"/>
            <w:tcBorders>
              <w:top w:val="single" w:sz="4" w:space="0" w:color="auto"/>
              <w:left w:val="nil"/>
              <w:bottom w:val="single" w:sz="4" w:space="0" w:color="auto"/>
              <w:right w:val="single" w:sz="4" w:space="0" w:color="auto"/>
            </w:tcBorders>
            <w:shd w:val="clear" w:color="auto" w:fill="FF5050"/>
            <w:vAlign w:val="center"/>
          </w:tcPr>
          <w:p w14:paraId="0843923B" w14:textId="77777777" w:rsidR="000D4659" w:rsidRPr="00752974" w:rsidRDefault="000D4659" w:rsidP="00FE17B8">
            <w:pPr>
              <w:spacing w:after="0" w:line="240" w:lineRule="auto"/>
              <w:ind w:left="-40" w:hanging="17"/>
              <w:rPr>
                <w:rFonts w:ascii="Times New Roman" w:eastAsia="Times New Roman" w:hAnsi="Times New Roman" w:cs="Times New Roman"/>
                <w:bCs/>
                <w:noProof/>
                <w:sz w:val="18"/>
                <w:szCs w:val="18"/>
              </w:rPr>
            </w:pPr>
            <w:r>
              <w:rPr>
                <w:rFonts w:ascii="Times New Roman" w:hAnsi="Times New Roman"/>
                <w:bCs/>
                <w:noProof/>
                <w:sz w:val="18"/>
                <w:szCs w:val="18"/>
              </w:rPr>
              <w:t>CID</w:t>
            </w:r>
          </w:p>
        </w:tc>
      </w:tr>
      <w:tr w:rsidR="000D4659" w:rsidRPr="00752974" w14:paraId="224095CD" w14:textId="77777777" w:rsidTr="00FE17B8">
        <w:trPr>
          <w:trHeight w:val="59"/>
        </w:trPr>
        <w:tc>
          <w:tcPr>
            <w:tcW w:w="755" w:type="pct"/>
            <w:vMerge/>
            <w:vAlign w:val="center"/>
            <w:hideMark/>
          </w:tcPr>
          <w:p w14:paraId="7502A189" w14:textId="77777777" w:rsidR="000D4659" w:rsidRPr="00752974" w:rsidRDefault="000D4659" w:rsidP="00FE17B8">
            <w:pPr>
              <w:spacing w:after="0" w:line="240" w:lineRule="auto"/>
              <w:rPr>
                <w:rFonts w:ascii="Times New Roman" w:eastAsia="Times New Roman" w:hAnsi="Times New Roman" w:cs="Times New Roman"/>
                <w:noProof/>
                <w:sz w:val="18"/>
                <w:szCs w:val="18"/>
                <w:lang w:eastAsia="en-GB"/>
              </w:rPr>
            </w:pPr>
          </w:p>
        </w:tc>
        <w:tc>
          <w:tcPr>
            <w:tcW w:w="531" w:type="pct"/>
            <w:vMerge/>
            <w:vAlign w:val="center"/>
            <w:hideMark/>
          </w:tcPr>
          <w:p w14:paraId="00FBEECC" w14:textId="77777777" w:rsidR="000D4659" w:rsidRPr="00752974" w:rsidRDefault="000D4659" w:rsidP="00FE17B8">
            <w:pPr>
              <w:spacing w:after="0" w:line="240" w:lineRule="auto"/>
              <w:rPr>
                <w:rFonts w:ascii="Times New Roman" w:eastAsia="Times New Roman" w:hAnsi="Times New Roman" w:cs="Times New Roman"/>
                <w:noProof/>
                <w:sz w:val="18"/>
                <w:szCs w:val="18"/>
                <w:lang w:eastAsia="en-GB"/>
              </w:rPr>
            </w:pPr>
          </w:p>
        </w:tc>
        <w:tc>
          <w:tcPr>
            <w:tcW w:w="1551" w:type="pct"/>
            <w:vMerge/>
            <w:vAlign w:val="center"/>
            <w:hideMark/>
          </w:tcPr>
          <w:p w14:paraId="5C04BC7C" w14:textId="77777777" w:rsidR="000D4659" w:rsidRPr="00752974" w:rsidRDefault="000D4659" w:rsidP="00FE17B8">
            <w:pPr>
              <w:spacing w:after="0" w:line="240" w:lineRule="auto"/>
              <w:rPr>
                <w:rFonts w:ascii="Times New Roman" w:eastAsia="Times New Roman" w:hAnsi="Times New Roman" w:cs="Times New Roman"/>
                <w:bCs/>
                <w:noProof/>
                <w:sz w:val="18"/>
                <w:szCs w:val="18"/>
                <w:lang w:eastAsia="en-GB"/>
              </w:rPr>
            </w:pPr>
          </w:p>
        </w:tc>
        <w:tc>
          <w:tcPr>
            <w:tcW w:w="2163" w:type="pct"/>
            <w:gridSpan w:val="2"/>
            <w:tcBorders>
              <w:top w:val="single" w:sz="4" w:space="0" w:color="auto"/>
            </w:tcBorders>
            <w:shd w:val="clear" w:color="auto" w:fill="FFD08B"/>
            <w:noWrap/>
            <w:vAlign w:val="center"/>
            <w:hideMark/>
          </w:tcPr>
          <w:p w14:paraId="3CBFB99D"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rPr>
            </w:pPr>
            <w:r>
              <w:rPr>
                <w:rFonts w:ascii="Times New Roman" w:hAnsi="Times New Roman"/>
                <w:bCs/>
                <w:noProof/>
                <w:sz w:val="18"/>
                <w:szCs w:val="18"/>
              </w:rPr>
              <w:t>FIIAPP</w:t>
            </w:r>
          </w:p>
        </w:tc>
      </w:tr>
      <w:tr w:rsidR="000D4659" w:rsidRPr="00752974" w14:paraId="7710F29F" w14:textId="77777777" w:rsidTr="00FE17B8">
        <w:trPr>
          <w:trHeight w:val="59"/>
        </w:trPr>
        <w:tc>
          <w:tcPr>
            <w:tcW w:w="755" w:type="pct"/>
            <w:vMerge w:val="restart"/>
            <w:noWrap/>
            <w:vAlign w:val="center"/>
            <w:hideMark/>
          </w:tcPr>
          <w:p w14:paraId="22BFA42E"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Швеция</w:t>
            </w:r>
          </w:p>
        </w:tc>
        <w:tc>
          <w:tcPr>
            <w:tcW w:w="531" w:type="pct"/>
            <w:vMerge w:val="restart"/>
            <w:noWrap/>
            <w:vAlign w:val="center"/>
            <w:hideMark/>
          </w:tcPr>
          <w:p w14:paraId="2D0A2FDC"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 </w:t>
            </w:r>
          </w:p>
        </w:tc>
        <w:tc>
          <w:tcPr>
            <w:tcW w:w="1551" w:type="pct"/>
            <w:shd w:val="clear" w:color="auto" w:fill="C6E0B4"/>
            <w:noWrap/>
            <w:vAlign w:val="center"/>
            <w:hideMark/>
          </w:tcPr>
          <w:p w14:paraId="7ADAD8C5"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Swedfund</w:t>
            </w:r>
          </w:p>
        </w:tc>
        <w:tc>
          <w:tcPr>
            <w:tcW w:w="2163" w:type="pct"/>
            <w:gridSpan w:val="2"/>
            <w:vMerge w:val="restart"/>
            <w:shd w:val="clear" w:color="auto" w:fill="FFD08B"/>
            <w:noWrap/>
            <w:vAlign w:val="center"/>
            <w:hideMark/>
          </w:tcPr>
          <w:p w14:paraId="38BAF334"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18"/>
              </w:rPr>
            </w:pPr>
            <w:r>
              <w:rPr>
                <w:rFonts w:ascii="Times New Roman" w:hAnsi="Times New Roman"/>
                <w:bCs/>
                <w:noProof/>
                <w:sz w:val="18"/>
                <w:szCs w:val="18"/>
              </w:rPr>
              <w:t>SIDA</w:t>
            </w:r>
          </w:p>
        </w:tc>
      </w:tr>
      <w:tr w:rsidR="000D4659" w:rsidRPr="00752974" w14:paraId="449BF0AA" w14:textId="77777777" w:rsidTr="00FE17B8">
        <w:trPr>
          <w:trHeight w:val="59"/>
        </w:trPr>
        <w:tc>
          <w:tcPr>
            <w:tcW w:w="755" w:type="pct"/>
            <w:vMerge/>
            <w:vAlign w:val="center"/>
            <w:hideMark/>
          </w:tcPr>
          <w:p w14:paraId="6038AAB5" w14:textId="77777777" w:rsidR="000D4659" w:rsidRPr="00752974" w:rsidRDefault="000D4659" w:rsidP="00FE17B8">
            <w:pPr>
              <w:spacing w:after="0" w:line="240" w:lineRule="auto"/>
              <w:rPr>
                <w:rFonts w:ascii="Times New Roman" w:eastAsia="Times New Roman" w:hAnsi="Times New Roman" w:cs="Times New Roman"/>
                <w:noProof/>
                <w:sz w:val="18"/>
                <w:szCs w:val="18"/>
                <w:lang w:eastAsia="en-GB"/>
              </w:rPr>
            </w:pPr>
          </w:p>
        </w:tc>
        <w:tc>
          <w:tcPr>
            <w:tcW w:w="531" w:type="pct"/>
            <w:vMerge/>
            <w:vAlign w:val="center"/>
            <w:hideMark/>
          </w:tcPr>
          <w:p w14:paraId="78F9BFC9" w14:textId="77777777" w:rsidR="000D4659" w:rsidRPr="00752974" w:rsidRDefault="000D4659" w:rsidP="00FE17B8">
            <w:pPr>
              <w:spacing w:after="0" w:line="240" w:lineRule="auto"/>
              <w:rPr>
                <w:rFonts w:ascii="Times New Roman" w:eastAsia="Times New Roman" w:hAnsi="Times New Roman" w:cs="Times New Roman"/>
                <w:noProof/>
                <w:sz w:val="18"/>
                <w:szCs w:val="18"/>
                <w:lang w:eastAsia="en-GB"/>
              </w:rPr>
            </w:pPr>
          </w:p>
        </w:tc>
        <w:tc>
          <w:tcPr>
            <w:tcW w:w="1551" w:type="pct"/>
            <w:noWrap/>
            <w:vAlign w:val="center"/>
            <w:hideMark/>
          </w:tcPr>
          <w:p w14:paraId="203F80A7" w14:textId="77777777" w:rsidR="000D4659" w:rsidRPr="00752974" w:rsidRDefault="000D4659" w:rsidP="00FE17B8">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СФР</w:t>
            </w:r>
          </w:p>
        </w:tc>
        <w:tc>
          <w:tcPr>
            <w:tcW w:w="2163" w:type="pct"/>
            <w:gridSpan w:val="2"/>
            <w:vMerge/>
            <w:vAlign w:val="center"/>
            <w:hideMark/>
          </w:tcPr>
          <w:p w14:paraId="3F37393F" w14:textId="77777777" w:rsidR="000D4659" w:rsidRPr="00752974" w:rsidRDefault="000D4659" w:rsidP="00FE17B8">
            <w:pPr>
              <w:spacing w:after="0" w:line="240" w:lineRule="auto"/>
              <w:rPr>
                <w:rFonts w:ascii="Times New Roman" w:eastAsia="Times New Roman" w:hAnsi="Times New Roman" w:cs="Times New Roman"/>
                <w:b/>
                <w:bCs/>
                <w:noProof/>
                <w:sz w:val="18"/>
                <w:szCs w:val="18"/>
                <w:lang w:eastAsia="en-GB"/>
              </w:rPr>
            </w:pPr>
          </w:p>
        </w:tc>
      </w:tr>
      <w:tr w:rsidR="000D4659" w:rsidRPr="00752974" w14:paraId="23B5C428" w14:textId="77777777" w:rsidTr="00FE17B8">
        <w:trPr>
          <w:trHeight w:val="59"/>
        </w:trPr>
        <w:tc>
          <w:tcPr>
            <w:tcW w:w="755" w:type="pct"/>
            <w:vMerge/>
            <w:vAlign w:val="center"/>
            <w:hideMark/>
          </w:tcPr>
          <w:p w14:paraId="2D6C8E3D" w14:textId="77777777" w:rsidR="000D4659" w:rsidRPr="00752974" w:rsidRDefault="000D4659" w:rsidP="00FE17B8">
            <w:pPr>
              <w:spacing w:after="0" w:line="240" w:lineRule="auto"/>
              <w:rPr>
                <w:rFonts w:ascii="Times New Roman" w:eastAsia="Times New Roman" w:hAnsi="Times New Roman" w:cs="Times New Roman"/>
                <w:noProof/>
                <w:sz w:val="18"/>
                <w:szCs w:val="18"/>
                <w:lang w:eastAsia="en-GB"/>
              </w:rPr>
            </w:pPr>
          </w:p>
        </w:tc>
        <w:tc>
          <w:tcPr>
            <w:tcW w:w="531" w:type="pct"/>
            <w:vMerge/>
            <w:vAlign w:val="center"/>
            <w:hideMark/>
          </w:tcPr>
          <w:p w14:paraId="389983E4" w14:textId="77777777" w:rsidR="000D4659" w:rsidRPr="00752974" w:rsidRDefault="000D4659" w:rsidP="00FE17B8">
            <w:pPr>
              <w:spacing w:after="0" w:line="240" w:lineRule="auto"/>
              <w:rPr>
                <w:rFonts w:ascii="Times New Roman" w:eastAsia="Times New Roman" w:hAnsi="Times New Roman" w:cs="Times New Roman"/>
                <w:noProof/>
                <w:sz w:val="18"/>
                <w:szCs w:val="18"/>
                <w:lang w:eastAsia="en-GB"/>
              </w:rPr>
            </w:pPr>
          </w:p>
        </w:tc>
        <w:tc>
          <w:tcPr>
            <w:tcW w:w="1551" w:type="pct"/>
            <w:noWrap/>
            <w:vAlign w:val="center"/>
            <w:hideMark/>
          </w:tcPr>
          <w:p w14:paraId="74659179" w14:textId="77777777" w:rsidR="000D4659" w:rsidRPr="00752974" w:rsidRDefault="000D4659" w:rsidP="00FE17B8">
            <w:pPr>
              <w:spacing w:after="0" w:line="240" w:lineRule="auto"/>
              <w:jc w:val="center"/>
              <w:rPr>
                <w:rFonts w:ascii="Times New Roman" w:eastAsia="Times New Roman" w:hAnsi="Times New Roman" w:cs="Times New Roman"/>
                <w:b/>
                <w:bCs/>
                <w:noProof/>
                <w:sz w:val="18"/>
                <w:szCs w:val="18"/>
              </w:rPr>
            </w:pPr>
            <w:r>
              <w:rPr>
                <w:rFonts w:ascii="Times New Roman" w:hAnsi="Times New Roman"/>
                <w:bCs/>
                <w:noProof/>
                <w:sz w:val="18"/>
                <w:szCs w:val="18"/>
              </w:rPr>
              <w:t>СИБ</w:t>
            </w:r>
          </w:p>
        </w:tc>
        <w:tc>
          <w:tcPr>
            <w:tcW w:w="2163" w:type="pct"/>
            <w:gridSpan w:val="2"/>
            <w:vMerge/>
            <w:vAlign w:val="center"/>
            <w:hideMark/>
          </w:tcPr>
          <w:p w14:paraId="778AD261" w14:textId="77777777" w:rsidR="000D4659" w:rsidRPr="00752974" w:rsidRDefault="000D4659" w:rsidP="00FE17B8">
            <w:pPr>
              <w:spacing w:after="0" w:line="240" w:lineRule="auto"/>
              <w:rPr>
                <w:rFonts w:ascii="Times New Roman" w:eastAsia="Times New Roman" w:hAnsi="Times New Roman" w:cs="Times New Roman"/>
                <w:b/>
                <w:bCs/>
                <w:noProof/>
                <w:sz w:val="18"/>
                <w:szCs w:val="18"/>
                <w:lang w:eastAsia="en-GB"/>
              </w:rPr>
            </w:pPr>
          </w:p>
        </w:tc>
      </w:tr>
    </w:tbl>
    <w:p w14:paraId="0F33022F" w14:textId="77777777" w:rsidR="000D4659" w:rsidRPr="00752974" w:rsidRDefault="000D4659" w:rsidP="000D4659">
      <w:pPr>
        <w:spacing w:after="0" w:line="240" w:lineRule="auto"/>
        <w:rPr>
          <w:rFonts w:ascii="Times New Roman" w:hAnsi="Times New Roman" w:cs="Times New Roman"/>
          <w:noProof/>
        </w:rPr>
      </w:pPr>
      <w:r>
        <w:rPr>
          <w:rFonts w:ascii="Times New Roman" w:hAnsi="Times New Roman"/>
          <w:b/>
          <w:bCs/>
          <w:noProof/>
          <w:sz w:val="20"/>
          <w:szCs w:val="20"/>
        </w:rPr>
        <w:t>Държави извън ЕС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987"/>
        <w:gridCol w:w="2821"/>
        <w:gridCol w:w="4057"/>
      </w:tblGrid>
      <w:tr w:rsidR="000D4659" w:rsidRPr="00752974" w14:paraId="7DF2A1AD" w14:textId="77777777" w:rsidTr="00FE17B8">
        <w:trPr>
          <w:trHeight w:val="59"/>
        </w:trPr>
        <w:tc>
          <w:tcPr>
            <w:tcW w:w="745" w:type="pct"/>
            <w:vMerge w:val="restart"/>
            <w:noWrap/>
            <w:vAlign w:val="center"/>
            <w:hideMark/>
          </w:tcPr>
          <w:p w14:paraId="32E77BC6" w14:textId="77777777" w:rsidR="000D4659" w:rsidRPr="00752974" w:rsidRDefault="000D4659" w:rsidP="00FE17B8">
            <w:pPr>
              <w:spacing w:after="0" w:line="240" w:lineRule="auto"/>
              <w:jc w:val="center"/>
              <w:rPr>
                <w:rFonts w:ascii="Times New Roman" w:eastAsia="Times New Roman" w:hAnsi="Times New Roman" w:cs="Times New Roman"/>
                <w:noProof/>
                <w:sz w:val="18"/>
                <w:szCs w:val="20"/>
              </w:rPr>
            </w:pPr>
            <w:r>
              <w:rPr>
                <w:rFonts w:ascii="Times New Roman" w:hAnsi="Times New Roman"/>
                <w:noProof/>
                <w:sz w:val="18"/>
                <w:szCs w:val="20"/>
              </w:rPr>
              <w:t>Норвегия</w:t>
            </w:r>
          </w:p>
        </w:tc>
        <w:tc>
          <w:tcPr>
            <w:tcW w:w="534" w:type="pct"/>
            <w:vMerge w:val="restart"/>
            <w:noWrap/>
            <w:vAlign w:val="center"/>
            <w:hideMark/>
          </w:tcPr>
          <w:p w14:paraId="75842555" w14:textId="77777777" w:rsidR="000D4659" w:rsidRPr="00752974" w:rsidRDefault="000D4659" w:rsidP="00FE17B8">
            <w:pPr>
              <w:spacing w:after="0" w:line="240" w:lineRule="auto"/>
              <w:jc w:val="center"/>
              <w:rPr>
                <w:rFonts w:ascii="Times New Roman" w:eastAsia="Times New Roman" w:hAnsi="Times New Roman" w:cs="Times New Roman"/>
                <w:noProof/>
                <w:sz w:val="18"/>
                <w:szCs w:val="20"/>
              </w:rPr>
            </w:pPr>
            <w:r>
              <w:rPr>
                <w:rFonts w:ascii="Times New Roman" w:hAnsi="Times New Roman"/>
                <w:noProof/>
                <w:sz w:val="18"/>
                <w:szCs w:val="20"/>
              </w:rPr>
              <w:t> </w:t>
            </w:r>
          </w:p>
        </w:tc>
        <w:tc>
          <w:tcPr>
            <w:tcW w:w="1526" w:type="pct"/>
            <w:noWrap/>
            <w:vAlign w:val="center"/>
            <w:hideMark/>
          </w:tcPr>
          <w:p w14:paraId="699915E1" w14:textId="77777777" w:rsidR="000D4659" w:rsidRPr="00752974" w:rsidRDefault="000D4659" w:rsidP="00FE17B8">
            <w:pPr>
              <w:spacing w:after="0" w:line="240" w:lineRule="auto"/>
              <w:jc w:val="center"/>
              <w:rPr>
                <w:rFonts w:ascii="Times New Roman" w:eastAsia="Times New Roman" w:hAnsi="Times New Roman" w:cs="Times New Roman"/>
                <w:b/>
                <w:bCs/>
                <w:noProof/>
                <w:sz w:val="18"/>
                <w:szCs w:val="20"/>
              </w:rPr>
            </w:pPr>
            <w:r>
              <w:rPr>
                <w:rFonts w:ascii="Times New Roman" w:hAnsi="Times New Roman"/>
                <w:bCs/>
                <w:noProof/>
                <w:sz w:val="18"/>
                <w:szCs w:val="20"/>
              </w:rPr>
              <w:t>СИБ</w:t>
            </w:r>
          </w:p>
        </w:tc>
        <w:tc>
          <w:tcPr>
            <w:tcW w:w="2195" w:type="pct"/>
            <w:vMerge w:val="restart"/>
            <w:noWrap/>
            <w:vAlign w:val="center"/>
            <w:hideMark/>
          </w:tcPr>
          <w:p w14:paraId="30E93713" w14:textId="77777777" w:rsidR="000D4659" w:rsidRPr="00752974" w:rsidRDefault="000D4659" w:rsidP="00FE17B8">
            <w:pPr>
              <w:spacing w:after="0" w:line="240" w:lineRule="auto"/>
              <w:jc w:val="center"/>
              <w:rPr>
                <w:rFonts w:ascii="Times New Roman" w:eastAsia="Times New Roman" w:hAnsi="Times New Roman" w:cs="Times New Roman"/>
                <w:noProof/>
                <w:sz w:val="18"/>
                <w:szCs w:val="20"/>
              </w:rPr>
            </w:pPr>
            <w:r>
              <w:rPr>
                <w:rFonts w:ascii="Times New Roman" w:hAnsi="Times New Roman"/>
                <w:noProof/>
                <w:sz w:val="18"/>
                <w:szCs w:val="20"/>
              </w:rPr>
              <w:t>NORAD</w:t>
            </w:r>
          </w:p>
        </w:tc>
      </w:tr>
      <w:tr w:rsidR="000D4659" w:rsidRPr="00752974" w14:paraId="7EBE923E" w14:textId="77777777" w:rsidTr="00FE17B8">
        <w:trPr>
          <w:trHeight w:val="59"/>
        </w:trPr>
        <w:tc>
          <w:tcPr>
            <w:tcW w:w="745" w:type="pct"/>
            <w:vMerge/>
            <w:vAlign w:val="center"/>
            <w:hideMark/>
          </w:tcPr>
          <w:p w14:paraId="60315884" w14:textId="77777777" w:rsidR="000D4659" w:rsidRPr="00752974" w:rsidRDefault="000D4659" w:rsidP="00FE17B8">
            <w:pPr>
              <w:spacing w:after="0" w:line="240" w:lineRule="auto"/>
              <w:rPr>
                <w:rFonts w:ascii="Times New Roman" w:eastAsia="Times New Roman" w:hAnsi="Times New Roman" w:cs="Times New Roman"/>
                <w:noProof/>
                <w:sz w:val="18"/>
                <w:szCs w:val="20"/>
                <w:lang w:eastAsia="en-GB"/>
              </w:rPr>
            </w:pPr>
          </w:p>
        </w:tc>
        <w:tc>
          <w:tcPr>
            <w:tcW w:w="534" w:type="pct"/>
            <w:vMerge/>
            <w:vAlign w:val="center"/>
            <w:hideMark/>
          </w:tcPr>
          <w:p w14:paraId="601DA4BB" w14:textId="77777777" w:rsidR="000D4659" w:rsidRPr="00752974" w:rsidRDefault="000D4659" w:rsidP="00FE17B8">
            <w:pPr>
              <w:spacing w:after="0" w:line="240" w:lineRule="auto"/>
              <w:rPr>
                <w:rFonts w:ascii="Times New Roman" w:eastAsia="Times New Roman" w:hAnsi="Times New Roman" w:cs="Times New Roman"/>
                <w:noProof/>
                <w:sz w:val="18"/>
                <w:szCs w:val="20"/>
                <w:lang w:eastAsia="en-GB"/>
              </w:rPr>
            </w:pPr>
          </w:p>
        </w:tc>
        <w:tc>
          <w:tcPr>
            <w:tcW w:w="1526" w:type="pct"/>
            <w:shd w:val="clear" w:color="auto" w:fill="C6E0B4"/>
            <w:noWrap/>
            <w:vAlign w:val="center"/>
            <w:hideMark/>
          </w:tcPr>
          <w:p w14:paraId="6C457F89" w14:textId="77777777" w:rsidR="000D4659" w:rsidRPr="00752974" w:rsidRDefault="000D4659" w:rsidP="00FE17B8">
            <w:pPr>
              <w:spacing w:after="0" w:line="240" w:lineRule="auto"/>
              <w:jc w:val="center"/>
              <w:rPr>
                <w:rFonts w:ascii="Times New Roman" w:eastAsia="Times New Roman" w:hAnsi="Times New Roman" w:cs="Times New Roman"/>
                <w:noProof/>
                <w:sz w:val="18"/>
                <w:szCs w:val="20"/>
              </w:rPr>
            </w:pPr>
            <w:r>
              <w:rPr>
                <w:rFonts w:ascii="Times New Roman" w:hAnsi="Times New Roman"/>
                <w:noProof/>
                <w:sz w:val="18"/>
                <w:szCs w:val="20"/>
              </w:rPr>
              <w:t>Norfund</w:t>
            </w:r>
          </w:p>
        </w:tc>
        <w:tc>
          <w:tcPr>
            <w:tcW w:w="2195" w:type="pct"/>
            <w:vMerge/>
            <w:vAlign w:val="center"/>
            <w:hideMark/>
          </w:tcPr>
          <w:p w14:paraId="413A904C" w14:textId="77777777" w:rsidR="000D4659" w:rsidRPr="00752974" w:rsidRDefault="000D4659" w:rsidP="00FE17B8">
            <w:pPr>
              <w:spacing w:after="0" w:line="240" w:lineRule="auto"/>
              <w:rPr>
                <w:rFonts w:ascii="Times New Roman" w:eastAsia="Times New Roman" w:hAnsi="Times New Roman" w:cs="Times New Roman"/>
                <w:noProof/>
                <w:sz w:val="18"/>
                <w:szCs w:val="20"/>
                <w:lang w:eastAsia="en-GB"/>
              </w:rPr>
            </w:pPr>
          </w:p>
        </w:tc>
      </w:tr>
      <w:tr w:rsidR="000D4659" w:rsidRPr="00752974" w14:paraId="093F20EE" w14:textId="77777777" w:rsidTr="00FE17B8">
        <w:trPr>
          <w:trHeight w:val="59"/>
        </w:trPr>
        <w:tc>
          <w:tcPr>
            <w:tcW w:w="745" w:type="pct"/>
            <w:noWrap/>
            <w:vAlign w:val="center"/>
            <w:hideMark/>
          </w:tcPr>
          <w:p w14:paraId="6FFD3E2B" w14:textId="77777777" w:rsidR="000D4659" w:rsidRPr="00752974" w:rsidRDefault="000D4659" w:rsidP="00FE17B8">
            <w:pPr>
              <w:spacing w:after="0" w:line="240" w:lineRule="auto"/>
              <w:jc w:val="center"/>
              <w:rPr>
                <w:rFonts w:ascii="Times New Roman" w:eastAsia="Times New Roman" w:hAnsi="Times New Roman" w:cs="Times New Roman"/>
                <w:noProof/>
                <w:sz w:val="18"/>
                <w:szCs w:val="20"/>
              </w:rPr>
            </w:pPr>
            <w:r>
              <w:rPr>
                <w:rFonts w:ascii="Times New Roman" w:hAnsi="Times New Roman"/>
                <w:noProof/>
                <w:sz w:val="18"/>
                <w:szCs w:val="20"/>
              </w:rPr>
              <w:t>Швейцария</w:t>
            </w:r>
          </w:p>
        </w:tc>
        <w:tc>
          <w:tcPr>
            <w:tcW w:w="534" w:type="pct"/>
            <w:noWrap/>
            <w:vAlign w:val="center"/>
            <w:hideMark/>
          </w:tcPr>
          <w:p w14:paraId="6146FC51" w14:textId="77777777" w:rsidR="000D4659" w:rsidRPr="00752974" w:rsidRDefault="000D4659" w:rsidP="00FE17B8">
            <w:pPr>
              <w:spacing w:after="0" w:line="240" w:lineRule="auto"/>
              <w:jc w:val="center"/>
              <w:rPr>
                <w:rFonts w:ascii="Times New Roman" w:eastAsia="Times New Roman" w:hAnsi="Times New Roman" w:cs="Times New Roman"/>
                <w:noProof/>
                <w:sz w:val="18"/>
                <w:szCs w:val="20"/>
              </w:rPr>
            </w:pPr>
            <w:r>
              <w:rPr>
                <w:rFonts w:ascii="Times New Roman" w:hAnsi="Times New Roman"/>
                <w:noProof/>
                <w:sz w:val="18"/>
                <w:szCs w:val="20"/>
              </w:rPr>
              <w:t> </w:t>
            </w:r>
          </w:p>
        </w:tc>
        <w:tc>
          <w:tcPr>
            <w:tcW w:w="1526" w:type="pct"/>
            <w:shd w:val="clear" w:color="auto" w:fill="C6E0B4"/>
            <w:noWrap/>
            <w:vAlign w:val="center"/>
            <w:hideMark/>
          </w:tcPr>
          <w:p w14:paraId="7B4AA3A3" w14:textId="77777777" w:rsidR="000D4659" w:rsidRPr="00752974" w:rsidRDefault="000D4659" w:rsidP="00FE17B8">
            <w:pPr>
              <w:spacing w:after="0" w:line="240" w:lineRule="auto"/>
              <w:jc w:val="center"/>
              <w:rPr>
                <w:rFonts w:ascii="Times New Roman" w:eastAsia="Times New Roman" w:hAnsi="Times New Roman" w:cs="Times New Roman"/>
                <w:noProof/>
                <w:sz w:val="18"/>
                <w:szCs w:val="20"/>
              </w:rPr>
            </w:pPr>
            <w:r>
              <w:rPr>
                <w:rFonts w:ascii="Times New Roman" w:hAnsi="Times New Roman"/>
                <w:noProof/>
                <w:sz w:val="18"/>
                <w:szCs w:val="20"/>
              </w:rPr>
              <w:t>SIFEM</w:t>
            </w:r>
          </w:p>
        </w:tc>
        <w:tc>
          <w:tcPr>
            <w:tcW w:w="2195" w:type="pct"/>
            <w:noWrap/>
            <w:vAlign w:val="center"/>
            <w:hideMark/>
          </w:tcPr>
          <w:p w14:paraId="797499D9"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20"/>
              </w:rPr>
            </w:pPr>
            <w:r>
              <w:rPr>
                <w:rFonts w:ascii="Times New Roman" w:hAnsi="Times New Roman"/>
                <w:bCs/>
                <w:noProof/>
                <w:sz w:val="18"/>
                <w:szCs w:val="20"/>
              </w:rPr>
              <w:t>SDC</w:t>
            </w:r>
          </w:p>
        </w:tc>
      </w:tr>
      <w:tr w:rsidR="000D4659" w:rsidRPr="00752974" w14:paraId="4A648E19" w14:textId="77777777" w:rsidTr="00FE17B8">
        <w:trPr>
          <w:trHeight w:val="59"/>
        </w:trPr>
        <w:tc>
          <w:tcPr>
            <w:tcW w:w="745" w:type="pct"/>
            <w:vMerge w:val="restart"/>
            <w:vAlign w:val="center"/>
            <w:hideMark/>
          </w:tcPr>
          <w:p w14:paraId="55DF111E" w14:textId="77777777" w:rsidR="000D4659" w:rsidRPr="00752974" w:rsidRDefault="000D4659" w:rsidP="00FE17B8">
            <w:pPr>
              <w:spacing w:after="0" w:line="240" w:lineRule="auto"/>
              <w:jc w:val="center"/>
              <w:rPr>
                <w:rFonts w:ascii="Times New Roman" w:eastAsia="Times New Roman" w:hAnsi="Times New Roman" w:cs="Times New Roman"/>
                <w:noProof/>
                <w:sz w:val="18"/>
                <w:szCs w:val="20"/>
              </w:rPr>
            </w:pPr>
            <w:r>
              <w:rPr>
                <w:rFonts w:ascii="Times New Roman" w:hAnsi="Times New Roman"/>
                <w:noProof/>
                <w:sz w:val="18"/>
                <w:szCs w:val="20"/>
              </w:rPr>
              <w:t>Обединено кралство</w:t>
            </w:r>
          </w:p>
        </w:tc>
        <w:tc>
          <w:tcPr>
            <w:tcW w:w="534" w:type="pct"/>
            <w:vMerge w:val="restart"/>
            <w:noWrap/>
            <w:vAlign w:val="center"/>
            <w:hideMark/>
          </w:tcPr>
          <w:p w14:paraId="69A090C0" w14:textId="77777777" w:rsidR="000D4659" w:rsidRPr="00752974" w:rsidRDefault="000D4659" w:rsidP="00FE17B8">
            <w:pPr>
              <w:spacing w:after="0" w:line="240" w:lineRule="auto"/>
              <w:jc w:val="center"/>
              <w:rPr>
                <w:rFonts w:ascii="Times New Roman" w:eastAsia="Times New Roman" w:hAnsi="Times New Roman" w:cs="Times New Roman"/>
                <w:noProof/>
                <w:sz w:val="18"/>
                <w:szCs w:val="20"/>
              </w:rPr>
            </w:pPr>
            <w:r>
              <w:rPr>
                <w:rFonts w:ascii="Times New Roman" w:hAnsi="Times New Roman"/>
                <w:noProof/>
                <w:sz w:val="18"/>
                <w:szCs w:val="20"/>
              </w:rPr>
              <w:t> </w:t>
            </w:r>
          </w:p>
        </w:tc>
        <w:tc>
          <w:tcPr>
            <w:tcW w:w="1526" w:type="pct"/>
            <w:vMerge w:val="restart"/>
            <w:shd w:val="clear" w:color="auto" w:fill="C6E0B4"/>
            <w:noWrap/>
            <w:vAlign w:val="center"/>
            <w:hideMark/>
          </w:tcPr>
          <w:p w14:paraId="4FDE0252" w14:textId="77777777" w:rsidR="000D4659" w:rsidRPr="00752974" w:rsidRDefault="000D4659" w:rsidP="00FE17B8">
            <w:pPr>
              <w:spacing w:after="0" w:line="240" w:lineRule="auto"/>
              <w:jc w:val="center"/>
              <w:rPr>
                <w:rFonts w:ascii="Times New Roman" w:eastAsia="Times New Roman" w:hAnsi="Times New Roman" w:cs="Times New Roman"/>
                <w:noProof/>
                <w:sz w:val="18"/>
                <w:szCs w:val="20"/>
              </w:rPr>
            </w:pPr>
            <w:r>
              <w:rPr>
                <w:rFonts w:ascii="Times New Roman" w:hAnsi="Times New Roman"/>
                <w:noProof/>
                <w:sz w:val="18"/>
                <w:szCs w:val="20"/>
              </w:rPr>
              <w:t>CDC</w:t>
            </w:r>
          </w:p>
        </w:tc>
        <w:tc>
          <w:tcPr>
            <w:tcW w:w="2195" w:type="pct"/>
            <w:shd w:val="clear" w:color="auto" w:fill="FFD08B"/>
            <w:noWrap/>
            <w:vAlign w:val="center"/>
            <w:hideMark/>
          </w:tcPr>
          <w:p w14:paraId="130BE533" w14:textId="77777777" w:rsidR="000D4659" w:rsidRPr="00752974" w:rsidRDefault="000D4659" w:rsidP="00FE17B8">
            <w:pPr>
              <w:spacing w:after="0" w:line="240" w:lineRule="auto"/>
              <w:jc w:val="center"/>
              <w:rPr>
                <w:rFonts w:ascii="Times New Roman" w:eastAsia="Times New Roman" w:hAnsi="Times New Roman" w:cs="Times New Roman"/>
                <w:bCs/>
                <w:noProof/>
                <w:sz w:val="18"/>
                <w:szCs w:val="20"/>
              </w:rPr>
            </w:pPr>
            <w:r>
              <w:rPr>
                <w:rFonts w:ascii="Times New Roman" w:hAnsi="Times New Roman"/>
                <w:bCs/>
                <w:noProof/>
                <w:sz w:val="18"/>
                <w:szCs w:val="20"/>
              </w:rPr>
              <w:t>DFID (FCDO)</w:t>
            </w:r>
          </w:p>
        </w:tc>
      </w:tr>
      <w:tr w:rsidR="000D4659" w:rsidRPr="00A6776B" w14:paraId="2BE34C92" w14:textId="77777777" w:rsidTr="00FE17B8">
        <w:trPr>
          <w:trHeight w:val="33"/>
        </w:trPr>
        <w:tc>
          <w:tcPr>
            <w:tcW w:w="745" w:type="pct"/>
            <w:vMerge/>
            <w:vAlign w:val="center"/>
            <w:hideMark/>
          </w:tcPr>
          <w:p w14:paraId="0EAC343F" w14:textId="77777777" w:rsidR="000D4659" w:rsidRPr="00A6776B" w:rsidRDefault="000D4659" w:rsidP="00FE17B8">
            <w:pPr>
              <w:spacing w:after="0" w:line="240" w:lineRule="auto"/>
              <w:rPr>
                <w:rFonts w:ascii="Times New Roman" w:eastAsia="Times New Roman" w:hAnsi="Times New Roman" w:cs="Times New Roman"/>
                <w:noProof/>
                <w:sz w:val="18"/>
                <w:szCs w:val="20"/>
                <w:lang w:eastAsia="en-GB"/>
              </w:rPr>
            </w:pPr>
          </w:p>
        </w:tc>
        <w:tc>
          <w:tcPr>
            <w:tcW w:w="534" w:type="pct"/>
            <w:vMerge/>
            <w:vAlign w:val="center"/>
            <w:hideMark/>
          </w:tcPr>
          <w:p w14:paraId="7F5CFC38" w14:textId="77777777" w:rsidR="000D4659" w:rsidRPr="00A6776B" w:rsidRDefault="000D4659" w:rsidP="00FE17B8">
            <w:pPr>
              <w:spacing w:after="0" w:line="240" w:lineRule="auto"/>
              <w:rPr>
                <w:rFonts w:ascii="Times New Roman" w:eastAsia="Times New Roman" w:hAnsi="Times New Roman" w:cs="Times New Roman"/>
                <w:noProof/>
                <w:sz w:val="18"/>
                <w:szCs w:val="20"/>
                <w:lang w:eastAsia="en-GB"/>
              </w:rPr>
            </w:pPr>
          </w:p>
        </w:tc>
        <w:tc>
          <w:tcPr>
            <w:tcW w:w="1526" w:type="pct"/>
            <w:vMerge/>
            <w:vAlign w:val="center"/>
            <w:hideMark/>
          </w:tcPr>
          <w:p w14:paraId="2D44FE69" w14:textId="77777777" w:rsidR="000D4659" w:rsidRPr="00A6776B" w:rsidRDefault="000D4659" w:rsidP="00FE17B8">
            <w:pPr>
              <w:spacing w:after="0" w:line="240" w:lineRule="auto"/>
              <w:rPr>
                <w:rFonts w:ascii="Times New Roman" w:eastAsia="Times New Roman" w:hAnsi="Times New Roman" w:cs="Times New Roman"/>
                <w:noProof/>
                <w:sz w:val="18"/>
                <w:szCs w:val="20"/>
                <w:lang w:eastAsia="en-GB"/>
              </w:rPr>
            </w:pPr>
          </w:p>
        </w:tc>
        <w:tc>
          <w:tcPr>
            <w:tcW w:w="2195" w:type="pct"/>
            <w:shd w:val="clear" w:color="auto" w:fill="FFD08B"/>
            <w:noWrap/>
            <w:vAlign w:val="center"/>
            <w:hideMark/>
          </w:tcPr>
          <w:p w14:paraId="4AE0C49B" w14:textId="77777777" w:rsidR="000D4659" w:rsidRPr="00A6776B" w:rsidRDefault="000D4659" w:rsidP="00FE17B8">
            <w:pPr>
              <w:spacing w:after="0" w:line="240" w:lineRule="auto"/>
              <w:jc w:val="center"/>
              <w:rPr>
                <w:rFonts w:ascii="Times New Roman" w:eastAsia="Times New Roman" w:hAnsi="Times New Roman" w:cs="Times New Roman"/>
                <w:bCs/>
                <w:noProof/>
                <w:sz w:val="18"/>
                <w:szCs w:val="20"/>
              </w:rPr>
            </w:pPr>
            <w:r>
              <w:rPr>
                <w:rFonts w:ascii="Times New Roman" w:hAnsi="Times New Roman"/>
                <w:bCs/>
                <w:noProof/>
                <w:sz w:val="18"/>
                <w:szCs w:val="20"/>
              </w:rPr>
              <w:t>Британски съвет</w:t>
            </w:r>
          </w:p>
        </w:tc>
      </w:tr>
    </w:tbl>
    <w:p w14:paraId="49FD43D9" w14:textId="77777777" w:rsidR="000D4659" w:rsidRPr="00CB27E2" w:rsidRDefault="000D4659" w:rsidP="000D4659">
      <w:pPr>
        <w:spacing w:after="0" w:line="240" w:lineRule="auto"/>
        <w:rPr>
          <w:rFonts w:ascii="Times New Roman" w:hAnsi="Times New Roman" w:cs="Times New Roman"/>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D4659" w:rsidRPr="00CB27E2" w14:paraId="43E3D04E" w14:textId="77777777" w:rsidTr="00FE17B8">
        <w:trPr>
          <w:trHeight w:val="277"/>
        </w:trPr>
        <w:tc>
          <w:tcPr>
            <w:tcW w:w="5000" w:type="pct"/>
            <w:shd w:val="clear" w:color="auto" w:fill="FF6D6D"/>
            <w:noWrap/>
            <w:vAlign w:val="center"/>
            <w:hideMark/>
          </w:tcPr>
          <w:p w14:paraId="1420A843" w14:textId="77777777" w:rsidR="000D4659" w:rsidRPr="00CB27E2" w:rsidRDefault="000D4659" w:rsidP="00FE17B8">
            <w:pPr>
              <w:spacing w:after="0" w:line="240" w:lineRule="auto"/>
              <w:jc w:val="cente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Членове на засиленото партньорство</w:t>
            </w:r>
          </w:p>
        </w:tc>
      </w:tr>
      <w:tr w:rsidR="000D4659" w:rsidRPr="00CB27E2" w14:paraId="472713AA" w14:textId="77777777" w:rsidTr="00FE17B8">
        <w:trPr>
          <w:trHeight w:val="277"/>
        </w:trPr>
        <w:tc>
          <w:tcPr>
            <w:tcW w:w="5000" w:type="pct"/>
            <w:shd w:val="clear" w:color="auto" w:fill="C6E0B4"/>
            <w:noWrap/>
            <w:vAlign w:val="center"/>
            <w:hideMark/>
          </w:tcPr>
          <w:p w14:paraId="15BB227F" w14:textId="77777777" w:rsidR="000D4659" w:rsidRPr="00CB27E2" w:rsidRDefault="000D4659" w:rsidP="00FE17B8">
            <w:pPr>
              <w:spacing w:after="0" w:line="240" w:lineRule="auto"/>
              <w:jc w:val="cente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Членове на Асоциацията на европейските финансови институции за развитие</w:t>
            </w:r>
          </w:p>
        </w:tc>
      </w:tr>
      <w:tr w:rsidR="000D4659" w:rsidRPr="00CB27E2" w14:paraId="0C75ACFD" w14:textId="77777777" w:rsidTr="00FE17B8">
        <w:trPr>
          <w:trHeight w:val="277"/>
        </w:trPr>
        <w:tc>
          <w:tcPr>
            <w:tcW w:w="5000" w:type="pct"/>
            <w:shd w:val="clear" w:color="auto" w:fill="FFD08B"/>
            <w:noWrap/>
            <w:vAlign w:val="center"/>
            <w:hideMark/>
          </w:tcPr>
          <w:p w14:paraId="412A3D12" w14:textId="77777777" w:rsidR="000D4659" w:rsidRPr="00CB27E2" w:rsidRDefault="000D4659" w:rsidP="00FE17B8">
            <w:pPr>
              <w:spacing w:after="0" w:line="240" w:lineRule="auto"/>
              <w:jc w:val="center"/>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Членове на мрежата от специалисти</w:t>
            </w:r>
          </w:p>
        </w:tc>
      </w:tr>
    </w:tbl>
    <w:p w14:paraId="197A2A66" w14:textId="77777777" w:rsidR="000D4659" w:rsidRDefault="000D4659" w:rsidP="000D4659">
      <w:pPr>
        <w:spacing w:after="0" w:line="240" w:lineRule="auto"/>
        <w:ind w:left="-57"/>
        <w:rPr>
          <w:rFonts w:ascii="Times New Roman" w:hAnsi="Times New Roman" w:cs="Times New Roman"/>
          <w:b/>
          <w:noProof/>
          <w:spacing w:val="-4"/>
          <w:sz w:val="18"/>
          <w:szCs w:val="18"/>
        </w:rPr>
      </w:pPr>
    </w:p>
    <w:p w14:paraId="7EB93F47" w14:textId="77777777" w:rsidR="000D4659" w:rsidRPr="00CB27E2" w:rsidRDefault="000D4659" w:rsidP="000D4659">
      <w:pPr>
        <w:spacing w:after="0" w:line="240" w:lineRule="auto"/>
        <w:ind w:left="-57"/>
        <w:rPr>
          <w:rFonts w:ascii="Times New Roman" w:hAnsi="Times New Roman" w:cs="Times New Roman"/>
          <w:noProof/>
          <w:spacing w:val="-4"/>
          <w:sz w:val="18"/>
          <w:szCs w:val="18"/>
        </w:rPr>
      </w:pPr>
      <w:r>
        <w:rPr>
          <w:rFonts w:ascii="Times New Roman" w:hAnsi="Times New Roman"/>
          <w:b/>
          <w:noProof/>
          <w:sz w:val="18"/>
          <w:szCs w:val="18"/>
        </w:rPr>
        <w:t>Многостранни банки за развитие</w:t>
      </w:r>
      <w:r>
        <w:rPr>
          <w:rFonts w:ascii="Times New Roman" w:hAnsi="Times New Roman"/>
          <w:noProof/>
          <w:sz w:val="18"/>
          <w:szCs w:val="18"/>
        </w:rPr>
        <w:t>: Европейска инвестиционна банка (ЕИБ), Европейска банка за възстановяване и развитие (ЕБВР)</w:t>
      </w:r>
    </w:p>
    <w:p w14:paraId="23BD77C9" w14:textId="77777777" w:rsidR="000D4659" w:rsidRDefault="000D4659" w:rsidP="000D4659">
      <w:pPr>
        <w:spacing w:after="0" w:line="240" w:lineRule="auto"/>
        <w:ind w:left="-57"/>
        <w:rPr>
          <w:rFonts w:ascii="Times New Roman" w:hAnsi="Times New Roman" w:cs="Times New Roman"/>
          <w:b/>
          <w:noProof/>
          <w:spacing w:val="-4"/>
          <w:sz w:val="18"/>
          <w:szCs w:val="18"/>
        </w:rPr>
      </w:pPr>
    </w:p>
    <w:p w14:paraId="36A93090" w14:textId="77777777" w:rsidR="000D4659" w:rsidRPr="0044451C" w:rsidRDefault="000D4659" w:rsidP="000D4659">
      <w:pPr>
        <w:spacing w:after="0" w:line="240" w:lineRule="auto"/>
        <w:ind w:left="-57"/>
        <w:rPr>
          <w:rFonts w:ascii="Times New Roman" w:hAnsi="Times New Roman" w:cs="Times New Roman"/>
          <w:noProof/>
        </w:rPr>
      </w:pPr>
      <w:r>
        <w:rPr>
          <w:rFonts w:ascii="Times New Roman" w:hAnsi="Times New Roman"/>
          <w:b/>
          <w:noProof/>
          <w:sz w:val="18"/>
          <w:szCs w:val="18"/>
        </w:rPr>
        <w:t>Световни/регионални/международни банки:</w:t>
      </w:r>
      <w:r>
        <w:rPr>
          <w:rFonts w:ascii="Times New Roman" w:hAnsi="Times New Roman"/>
          <w:noProof/>
          <w:sz w:val="18"/>
          <w:szCs w:val="18"/>
        </w:rPr>
        <w:t xml:space="preserve"> Група на Световната банка (ГСБ), Африканска банка за развитие (АБР), Азиатска банка за развитие (АБР), Междуамериканска банка за развитие (МБР) и др.</w:t>
      </w:r>
    </w:p>
    <w:p w14:paraId="13B8D649" w14:textId="77777777" w:rsidR="00E62F98" w:rsidRPr="0044451C" w:rsidRDefault="00E62F98" w:rsidP="000D4659">
      <w:pPr>
        <w:keepNext/>
        <w:spacing w:after="0" w:line="240" w:lineRule="auto"/>
        <w:outlineLvl w:val="1"/>
        <w:rPr>
          <w:rFonts w:ascii="Times New Roman" w:hAnsi="Times New Roman" w:cs="Times New Roman"/>
          <w:noProof/>
        </w:rPr>
      </w:pPr>
    </w:p>
    <w:sectPr w:rsidR="00E62F98" w:rsidRPr="0044451C" w:rsidSect="00D526A4">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7769F" w16cex:dateUtc="2022-03-12T18:44:00Z"/>
  <w16cex:commentExtensible w16cex:durableId="25D77929" w16cex:dateUtc="2022-03-12T1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DB4BB2" w16cid:durableId="25D74094"/>
  <w16cid:commentId w16cid:paraId="711D3948" w16cid:durableId="25D7769F"/>
  <w16cid:commentId w16cid:paraId="73F3C5CD" w16cid:durableId="25D74095"/>
  <w16cid:commentId w16cid:paraId="2268F54C" w16cid:durableId="25D779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ABE3C" w14:textId="77777777" w:rsidR="00646315" w:rsidRDefault="00646315" w:rsidP="00FC1539">
      <w:pPr>
        <w:spacing w:after="0" w:line="240" w:lineRule="auto"/>
      </w:pPr>
      <w:r>
        <w:separator/>
      </w:r>
    </w:p>
  </w:endnote>
  <w:endnote w:type="continuationSeparator" w:id="0">
    <w:p w14:paraId="7B928F80" w14:textId="77777777" w:rsidR="00646315" w:rsidRDefault="00646315" w:rsidP="00FC1539">
      <w:pPr>
        <w:spacing w:after="0" w:line="240" w:lineRule="auto"/>
      </w:pPr>
      <w:r>
        <w:continuationSeparator/>
      </w:r>
    </w:p>
  </w:endnote>
  <w:endnote w:type="continuationNotice" w:id="1">
    <w:p w14:paraId="24804886" w14:textId="77777777" w:rsidR="00646315" w:rsidRDefault="006463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51C39" w14:textId="77777777" w:rsidR="00501532" w:rsidRPr="00501532" w:rsidRDefault="00501532" w:rsidP="00501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96398" w14:textId="389BF348" w:rsidR="00E83FFE" w:rsidRPr="00501532" w:rsidRDefault="00501532" w:rsidP="00501532">
    <w:pPr>
      <w:pStyle w:val="FooterCoverPage"/>
      <w:rPr>
        <w:rFonts w:ascii="Arial" w:hAnsi="Arial" w:cs="Arial"/>
        <w:b/>
        <w:sz w:val="48"/>
      </w:rPr>
    </w:pPr>
    <w:r w:rsidRPr="00501532">
      <w:rPr>
        <w:rFonts w:ascii="Arial" w:hAnsi="Arial" w:cs="Arial"/>
        <w:b/>
        <w:sz w:val="48"/>
      </w:rPr>
      <w:t>BG</w:t>
    </w:r>
    <w:r w:rsidRPr="00501532">
      <w:rPr>
        <w:rFonts w:ascii="Arial" w:hAnsi="Arial" w:cs="Arial"/>
        <w:b/>
        <w:sz w:val="48"/>
      </w:rPr>
      <w:tab/>
    </w:r>
    <w:r w:rsidRPr="00501532">
      <w:rPr>
        <w:rFonts w:ascii="Arial" w:hAnsi="Arial" w:cs="Arial"/>
        <w:b/>
        <w:sz w:val="48"/>
      </w:rPr>
      <w:tab/>
    </w:r>
    <w:r w:rsidRPr="00501532">
      <w:tab/>
    </w:r>
    <w:r w:rsidRPr="00501532">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F2BF0" w14:textId="77777777" w:rsidR="00501532" w:rsidRPr="00501532" w:rsidRDefault="00501532" w:rsidP="0050153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D2F73" w14:textId="77777777" w:rsidR="00E83FFE" w:rsidRDefault="00E83F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413353"/>
      <w:docPartObj>
        <w:docPartGallery w:val="Page Numbers (Bottom of Page)"/>
        <w:docPartUnique/>
      </w:docPartObj>
    </w:sdtPr>
    <w:sdtEndPr>
      <w:rPr>
        <w:noProof/>
      </w:rPr>
    </w:sdtEndPr>
    <w:sdtContent>
      <w:p w14:paraId="655EBE6B" w14:textId="4DEEF1B1" w:rsidR="00E83FFE" w:rsidRDefault="00E83FFE">
        <w:pPr>
          <w:pStyle w:val="Footer"/>
          <w:jc w:val="center"/>
        </w:pPr>
        <w:r>
          <w:fldChar w:fldCharType="begin"/>
        </w:r>
        <w:r>
          <w:instrText xml:space="preserve"> PAGE   \* MERGEFORMAT </w:instrText>
        </w:r>
        <w:r>
          <w:fldChar w:fldCharType="separate"/>
        </w:r>
        <w:r w:rsidR="00501532">
          <w:rPr>
            <w:noProof/>
          </w:rPr>
          <w:t>25</w:t>
        </w:r>
        <w:r>
          <w:fldChar w:fldCharType="end"/>
        </w:r>
      </w:p>
    </w:sdtContent>
  </w:sdt>
  <w:p w14:paraId="7EBC0DB9" w14:textId="77777777" w:rsidR="00E83FFE" w:rsidRDefault="00E83F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501008"/>
      <w:docPartObj>
        <w:docPartGallery w:val="Page Numbers (Bottom of Page)"/>
        <w:docPartUnique/>
      </w:docPartObj>
    </w:sdtPr>
    <w:sdtEndPr>
      <w:rPr>
        <w:noProof/>
      </w:rPr>
    </w:sdtEndPr>
    <w:sdtContent>
      <w:p w14:paraId="7E7E1D90" w14:textId="09364B1A" w:rsidR="00E83FFE" w:rsidRDefault="00E83FFE">
        <w:pPr>
          <w:pStyle w:val="Footer"/>
          <w:jc w:val="center"/>
        </w:pPr>
        <w:r w:rsidRPr="004B6B6E">
          <w:rPr>
            <w:rFonts w:ascii="Times New Roman" w:hAnsi="Times New Roman" w:cs="Times New Roman"/>
          </w:rPr>
          <w:fldChar w:fldCharType="begin"/>
        </w:r>
        <w:r w:rsidRPr="004B6B6E">
          <w:rPr>
            <w:rFonts w:ascii="Times New Roman" w:hAnsi="Times New Roman" w:cs="Times New Roman"/>
          </w:rPr>
          <w:instrText xml:space="preserve"> PAGE   \* MERGEFORMAT </w:instrText>
        </w:r>
        <w:r w:rsidRPr="004B6B6E">
          <w:rPr>
            <w:rFonts w:ascii="Times New Roman" w:hAnsi="Times New Roman" w:cs="Times New Roman"/>
          </w:rPr>
          <w:fldChar w:fldCharType="separate"/>
        </w:r>
        <w:r w:rsidR="00501532">
          <w:rPr>
            <w:rFonts w:ascii="Times New Roman" w:hAnsi="Times New Roman" w:cs="Times New Roman"/>
            <w:noProof/>
          </w:rPr>
          <w:t>1</w:t>
        </w:r>
        <w:r w:rsidRPr="004B6B6E">
          <w:rPr>
            <w:rFonts w:ascii="Times New Roman" w:hAnsi="Times New Roman" w:cs="Times New Roman"/>
          </w:rPr>
          <w:fldChar w:fldCharType="end"/>
        </w:r>
      </w:p>
    </w:sdtContent>
  </w:sdt>
  <w:p w14:paraId="47412947" w14:textId="77777777" w:rsidR="00E83FFE" w:rsidRDefault="00E83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1856B" w14:textId="77777777" w:rsidR="00646315" w:rsidRDefault="00646315" w:rsidP="00FC1539">
      <w:pPr>
        <w:spacing w:after="0" w:line="240" w:lineRule="auto"/>
      </w:pPr>
      <w:r>
        <w:separator/>
      </w:r>
    </w:p>
  </w:footnote>
  <w:footnote w:type="continuationSeparator" w:id="0">
    <w:p w14:paraId="34A845C2" w14:textId="77777777" w:rsidR="00646315" w:rsidRDefault="00646315" w:rsidP="00FC1539">
      <w:pPr>
        <w:spacing w:after="0" w:line="240" w:lineRule="auto"/>
      </w:pPr>
      <w:r>
        <w:continuationSeparator/>
      </w:r>
    </w:p>
  </w:footnote>
  <w:footnote w:type="continuationNotice" w:id="1">
    <w:p w14:paraId="3E349793" w14:textId="77777777" w:rsidR="00646315" w:rsidRDefault="00646315">
      <w:pPr>
        <w:spacing w:after="0" w:line="240" w:lineRule="auto"/>
      </w:pPr>
    </w:p>
  </w:footnote>
  <w:footnote w:id="2">
    <w:p w14:paraId="62819865" w14:textId="43699F39" w:rsidR="00E83FFE" w:rsidRPr="00B83665" w:rsidRDefault="00E83FFE" w:rsidP="008D7932">
      <w:pPr>
        <w:pStyle w:val="FootnoteText"/>
        <w:tabs>
          <w:tab w:val="left" w:pos="142"/>
        </w:tabs>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18"/>
          <w:szCs w:val="18"/>
        </w:rPr>
        <w:t xml:space="preserve">Европейска комисия (2021 г.), </w:t>
      </w:r>
      <w:hyperlink r:id="rId1" w:history="1">
        <w:r>
          <w:rPr>
            <w:rStyle w:val="Hyperlink"/>
            <w:rFonts w:ascii="Times New Roman" w:hAnsi="Times New Roman"/>
            <w:sz w:val="18"/>
            <w:szCs w:val="18"/>
          </w:rPr>
          <w:t>„Екип Европа“, водещият световен донор през 2020 г., увеличи официалната помощ за развитие на 66,8 милиарда евро</w:t>
        </w:r>
      </w:hyperlink>
      <w:r>
        <w:rPr>
          <w:rFonts w:ascii="Times New Roman" w:hAnsi="Times New Roman"/>
          <w:sz w:val="18"/>
          <w:szCs w:val="18"/>
        </w:rPr>
        <w:t xml:space="preserve">, </w:t>
      </w:r>
      <w:r>
        <w:rPr>
          <w:rStyle w:val="ecl-metaitem"/>
          <w:rFonts w:ascii="Times New Roman" w:hAnsi="Times New Roman"/>
          <w:sz w:val="18"/>
          <w:szCs w:val="18"/>
        </w:rPr>
        <w:t>13 април 2021 г</w:t>
      </w:r>
      <w:r>
        <w:rPr>
          <w:rStyle w:val="Hyperlink"/>
          <w:rFonts w:ascii="Times New Roman" w:hAnsi="Times New Roman"/>
          <w:color w:val="auto"/>
          <w:sz w:val="18"/>
          <w:szCs w:val="18"/>
          <w:u w:val="none"/>
        </w:rPr>
        <w:t>.</w:t>
      </w:r>
    </w:p>
  </w:footnote>
  <w:footnote w:id="3">
    <w:p w14:paraId="20C04085" w14:textId="77777777" w:rsidR="00E83FFE" w:rsidRPr="00B83665" w:rsidRDefault="00E83FFE" w:rsidP="00B83665">
      <w:pPr>
        <w:pStyle w:val="FootnoteText"/>
        <w:tabs>
          <w:tab w:val="left" w:pos="142"/>
        </w:tabs>
        <w:ind w:left="142" w:hanging="142"/>
        <w:jc w:val="both"/>
        <w:rPr>
          <w:rFonts w:ascii="Times New Roman" w:hAnsi="Times New Roman" w:cs="Times New Roman"/>
          <w:spacing w:val="-6"/>
          <w:sz w:val="18"/>
          <w:szCs w:val="18"/>
        </w:rPr>
      </w:pPr>
      <w:r>
        <w:rPr>
          <w:rStyle w:val="FootnoteReference"/>
          <w:rFonts w:ascii="Times New Roman" w:hAnsi="Times New Roman" w:cs="Times New Roman"/>
          <w:spacing w:val="-6"/>
          <w:sz w:val="18"/>
          <w:szCs w:val="18"/>
        </w:rPr>
        <w:footnoteRef/>
      </w:r>
      <w:r>
        <w:rPr>
          <w:rFonts w:ascii="Times New Roman" w:hAnsi="Times New Roman"/>
          <w:sz w:val="18"/>
          <w:szCs w:val="18"/>
        </w:rPr>
        <w:t xml:space="preserve"> ОИСР</w:t>
      </w:r>
      <w:r>
        <w:rPr>
          <w:rFonts w:ascii="Times New Roman" w:hAnsi="Times New Roman"/>
          <w:color w:val="000000"/>
          <w:sz w:val="18"/>
          <w:szCs w:val="18"/>
        </w:rPr>
        <w:t xml:space="preserve"> (2020 г.), </w:t>
      </w:r>
      <w:hyperlink r:id="rId2" w:history="1">
        <w:r>
          <w:rPr>
            <w:rStyle w:val="Hyperlink"/>
            <w:rFonts w:ascii="Times New Roman" w:hAnsi="Times New Roman"/>
            <w:sz w:val="18"/>
            <w:szCs w:val="18"/>
          </w:rPr>
          <w:t>Глобална перспектива за финансиране на устойчивото развитие за 2021 г:</w:t>
        </w:r>
      </w:hyperlink>
      <w:hyperlink r:id="rId3" w:history="1">
        <w:r>
          <w:rPr>
            <w:rStyle w:val="Hyperlink"/>
            <w:rFonts w:ascii="Times New Roman" w:hAnsi="Times New Roman"/>
            <w:sz w:val="18"/>
            <w:szCs w:val="18"/>
          </w:rPr>
          <w:t xml:space="preserve"> Нов начин за инвестиране в полза на хората и планетата</w:t>
        </w:r>
      </w:hyperlink>
      <w:r>
        <w:rPr>
          <w:rFonts w:ascii="Times New Roman" w:hAnsi="Times New Roman"/>
          <w:sz w:val="18"/>
          <w:szCs w:val="18"/>
        </w:rPr>
        <w:t xml:space="preserve">, OECD Publishing, </w:t>
      </w:r>
      <w:r>
        <w:rPr>
          <w:rFonts w:ascii="Times New Roman" w:hAnsi="Times New Roman"/>
          <w:color w:val="000000"/>
          <w:sz w:val="18"/>
          <w:szCs w:val="18"/>
        </w:rPr>
        <w:t>Париж.</w:t>
      </w:r>
    </w:p>
  </w:footnote>
  <w:footnote w:id="4">
    <w:p w14:paraId="0A780264" w14:textId="77777777" w:rsidR="00E83FFE" w:rsidRPr="00B83665" w:rsidRDefault="00E83FFE"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18"/>
          <w:szCs w:val="18"/>
        </w:rPr>
        <w:t xml:space="preserve">Съвместно съобщение до Европейския парламент, Съвета, Европейския икономически и социален комитет, Комитета на регионите и ЕИБ относно </w:t>
      </w:r>
      <w:hyperlink r:id="rId4" w:history="1">
        <w:r>
          <w:rPr>
            <w:rStyle w:val="Hyperlink"/>
            <w:rFonts w:ascii="Times New Roman" w:hAnsi="Times New Roman"/>
            <w:sz w:val="18"/>
            <w:szCs w:val="18"/>
          </w:rPr>
          <w:t>Global Gateway</w:t>
        </w:r>
      </w:hyperlink>
      <w:r>
        <w:rPr>
          <w:rFonts w:ascii="Times New Roman" w:hAnsi="Times New Roman"/>
          <w:sz w:val="18"/>
          <w:szCs w:val="18"/>
        </w:rPr>
        <w:t>, 1 декември 2021 г., JOIN(2021) 30 final.</w:t>
      </w:r>
    </w:p>
  </w:footnote>
  <w:footnote w:id="5">
    <w:p w14:paraId="39006229" w14:textId="77777777" w:rsidR="00E83FFE" w:rsidRPr="00F50B3C" w:rsidRDefault="00E83FFE" w:rsidP="00B83665">
      <w:pPr>
        <w:pStyle w:val="FootnoteText"/>
        <w:tabs>
          <w:tab w:val="left" w:pos="142"/>
        </w:tabs>
        <w:ind w:left="142" w:hanging="142"/>
        <w:jc w:val="both"/>
        <w:rPr>
          <w:rFonts w:ascii="Times New Roman" w:hAnsi="Times New Roman" w:cs="Times New Roman"/>
          <w:spacing w:val="-4"/>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sidRPr="00F50B3C">
        <w:rPr>
          <w:rFonts w:ascii="Times New Roman" w:hAnsi="Times New Roman"/>
          <w:spacing w:val="-4"/>
          <w:sz w:val="18"/>
          <w:szCs w:val="18"/>
        </w:rPr>
        <w:t xml:space="preserve">Европейска комисия (2022 г.), </w:t>
      </w:r>
      <w:hyperlink r:id="rId5" w:history="1">
        <w:r w:rsidRPr="00F50B3C">
          <w:rPr>
            <w:rStyle w:val="Hyperlink"/>
            <w:rFonts w:ascii="Times New Roman" w:hAnsi="Times New Roman"/>
            <w:spacing w:val="-4"/>
            <w:sz w:val="18"/>
            <w:szCs w:val="18"/>
          </w:rPr>
          <w:t>ЕС — Африка:</w:t>
        </w:r>
      </w:hyperlink>
      <w:hyperlink r:id="rId6" w:history="1">
        <w:r w:rsidRPr="00F50B3C">
          <w:rPr>
            <w:rStyle w:val="Hyperlink"/>
            <w:rFonts w:ascii="Times New Roman" w:hAnsi="Times New Roman"/>
            <w:spacing w:val="-4"/>
            <w:sz w:val="18"/>
            <w:szCs w:val="18"/>
          </w:rPr>
          <w:t xml:space="preserve"> Пакет за инвестиции по линия на Global Gateway</w:t>
        </w:r>
      </w:hyperlink>
      <w:r w:rsidRPr="00F50B3C">
        <w:rPr>
          <w:rFonts w:ascii="Times New Roman" w:hAnsi="Times New Roman"/>
          <w:spacing w:val="-4"/>
          <w:sz w:val="18"/>
          <w:szCs w:val="18"/>
        </w:rPr>
        <w:t>, 18 февруари 2022 г.</w:t>
      </w:r>
    </w:p>
  </w:footnote>
  <w:footnote w:id="6">
    <w:p w14:paraId="5EC2A2B3" w14:textId="77777777" w:rsidR="00E83FFE" w:rsidRPr="00B83665" w:rsidRDefault="00E83FFE"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 xml:space="preserve"> </w:t>
      </w:r>
      <w:r>
        <w:rPr>
          <w:rFonts w:ascii="Times New Roman" w:hAnsi="Times New Roman"/>
          <w:sz w:val="18"/>
          <w:szCs w:val="18"/>
        </w:rPr>
        <w:t>Регламент (ЕС) 2021/947 на Европейския парламент и на Съвета от 9 юни 2021 г. за създаване на Инструмента за съседство, сътрудничество за развитие и международно сътрудничество — Глобална Европа, за изменение и отмяна на Решение № 466/2014/ЕС на Европейския парламент и на Съвета и за отмяна на Регламент (ЕС) 2017/1601 на Европейския парламент и на Съвета и на Регламент (ЕО, Евратом) № 480/2009 на Съвета (ОВ L 209, 14.6.2021 г., стр. 1—78).</w:t>
      </w:r>
    </w:p>
  </w:footnote>
  <w:footnote w:id="7">
    <w:p w14:paraId="6BE884C4" w14:textId="77777777" w:rsidR="00E83FFE" w:rsidRPr="00B83665" w:rsidRDefault="00E83FFE"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 xml:space="preserve"> </w:t>
      </w:r>
      <w:r>
        <w:rPr>
          <w:rFonts w:ascii="Times New Roman" w:hAnsi="Times New Roman"/>
          <w:sz w:val="18"/>
          <w:szCs w:val="18"/>
        </w:rPr>
        <w:t>Регламент (ЕС) 2021/1529 на Европейския парламент и на Съвета от 15 септември 2021 г. за създаване на Инструмент за предприсъединителна помощ (ИПП III) (</w:t>
      </w:r>
      <w:r>
        <w:rPr>
          <w:rFonts w:ascii="Times New Roman" w:hAnsi="Times New Roman"/>
          <w:iCs/>
          <w:sz w:val="18"/>
          <w:szCs w:val="18"/>
        </w:rPr>
        <w:t>ОВ L 330, 20.9.2021 г., стр. 1).</w:t>
      </w:r>
    </w:p>
  </w:footnote>
  <w:footnote w:id="8">
    <w:p w14:paraId="523A47F1" w14:textId="77777777" w:rsidR="00E83FFE" w:rsidRPr="00B83665" w:rsidRDefault="00E83FFE" w:rsidP="00B83665">
      <w:pPr>
        <w:pStyle w:val="FootnoteText"/>
        <w:tabs>
          <w:tab w:val="left" w:pos="142"/>
        </w:tabs>
        <w:ind w:left="142" w:hanging="142"/>
        <w:jc w:val="both"/>
        <w:rPr>
          <w:rFonts w:ascii="Times New Roman" w:hAnsi="Times New Roman" w:cs="Times New Roman"/>
          <w:spacing w:val="-4"/>
          <w:sz w:val="18"/>
          <w:szCs w:val="18"/>
        </w:rPr>
      </w:pPr>
      <w:r>
        <w:rPr>
          <w:rStyle w:val="FootnoteReference"/>
          <w:rFonts w:ascii="Times New Roman" w:hAnsi="Times New Roman" w:cs="Times New Roman"/>
          <w:spacing w:val="-4"/>
          <w:sz w:val="18"/>
          <w:szCs w:val="18"/>
        </w:rPr>
        <w:footnoteRef/>
      </w:r>
      <w:r>
        <w:rPr>
          <w:rFonts w:ascii="Times New Roman" w:hAnsi="Times New Roman"/>
          <w:sz w:val="18"/>
          <w:szCs w:val="18"/>
        </w:rPr>
        <w:t xml:space="preserve"> Вж. например </w:t>
      </w:r>
      <w:r>
        <w:rPr>
          <w:rFonts w:ascii="Times New Roman" w:hAnsi="Times New Roman"/>
          <w:color w:val="000000"/>
          <w:sz w:val="18"/>
          <w:szCs w:val="18"/>
        </w:rPr>
        <w:t xml:space="preserve">Camdessus, M (2010), </w:t>
      </w:r>
      <w:hyperlink r:id="rId7" w:history="1">
        <w:r>
          <w:rPr>
            <w:rStyle w:val="Hyperlink"/>
            <w:rFonts w:ascii="Times New Roman" w:hAnsi="Times New Roman"/>
            <w:sz w:val="18"/>
            <w:szCs w:val="18"/>
          </w:rPr>
          <w:t>European Investment Bank’s external mandate 2007‐2013 Mid‐Term Review</w:t>
        </w:r>
      </w:hyperlink>
      <w:r>
        <w:rPr>
          <w:rFonts w:ascii="Times New Roman" w:hAnsi="Times New Roman"/>
          <w:color w:val="000000"/>
          <w:sz w:val="18"/>
          <w:szCs w:val="18"/>
        </w:rPr>
        <w:t> — Report and recommendations of the Steering Committee of “wise persons”</w:t>
      </w:r>
      <w:r>
        <w:rPr>
          <w:rFonts w:ascii="Times New Roman" w:hAnsi="Times New Roman"/>
          <w:iCs/>
          <w:color w:val="000000"/>
          <w:sz w:val="18"/>
          <w:szCs w:val="18"/>
        </w:rPr>
        <w:t xml:space="preserve">, </w:t>
      </w:r>
      <w:r>
        <w:rPr>
          <w:rFonts w:ascii="Times New Roman" w:hAnsi="Times New Roman"/>
          <w:color w:val="000000"/>
          <w:sz w:val="18"/>
          <w:szCs w:val="18"/>
        </w:rPr>
        <w:t>EIB Publishing, Люксембург.</w:t>
      </w:r>
    </w:p>
  </w:footnote>
  <w:footnote w:id="9">
    <w:p w14:paraId="20E6C264" w14:textId="77777777" w:rsidR="00E83FFE" w:rsidRPr="00B83665" w:rsidRDefault="00E83FFE" w:rsidP="00B83665">
      <w:pPr>
        <w:pStyle w:val="FootnoteText"/>
        <w:tabs>
          <w:tab w:val="left" w:pos="142"/>
        </w:tabs>
        <w:ind w:left="142" w:hanging="142"/>
        <w:jc w:val="both"/>
        <w:rPr>
          <w:rFonts w:ascii="Times New Roman" w:hAnsi="Times New Roman" w:cs="Times New Roman"/>
          <w:spacing w:val="-4"/>
          <w:sz w:val="18"/>
          <w:szCs w:val="18"/>
        </w:rPr>
      </w:pPr>
      <w:r>
        <w:rPr>
          <w:rStyle w:val="FootnoteReference"/>
          <w:rFonts w:ascii="Times New Roman" w:hAnsi="Times New Roman" w:cs="Times New Roman"/>
          <w:spacing w:val="-4"/>
          <w:sz w:val="18"/>
          <w:szCs w:val="18"/>
        </w:rPr>
        <w:footnoteRef/>
      </w:r>
      <w:r>
        <w:rPr>
          <w:rFonts w:ascii="Times New Roman" w:hAnsi="Times New Roman"/>
          <w:sz w:val="18"/>
          <w:szCs w:val="18"/>
        </w:rPr>
        <w:t xml:space="preserve"> Съобщение</w:t>
      </w:r>
      <w:r>
        <w:rPr>
          <w:rFonts w:ascii="Times New Roman" w:hAnsi="Times New Roman"/>
          <w:color w:val="000000"/>
          <w:sz w:val="18"/>
          <w:szCs w:val="18"/>
        </w:rPr>
        <w:t xml:space="preserve"> на Комисията до Европейския парламент, Европейския съвет, Съвета и ЕИБ </w:t>
      </w:r>
      <w:hyperlink r:id="rId8" w:history="1">
        <w:r>
          <w:rPr>
            <w:rStyle w:val="Hyperlink"/>
            <w:rFonts w:ascii="Times New Roman" w:hAnsi="Times New Roman"/>
            <w:sz w:val="18"/>
            <w:szCs w:val="18"/>
          </w:rPr>
          <w:t>„Към по-ефективна финансова архитектура за инвестиции извън Европейския съюз“</w:t>
        </w:r>
      </w:hyperlink>
      <w:r>
        <w:rPr>
          <w:rFonts w:ascii="Times New Roman" w:hAnsi="Times New Roman"/>
          <w:color w:val="000000"/>
          <w:sz w:val="18"/>
          <w:szCs w:val="18"/>
        </w:rPr>
        <w:t>, 12 септември 2018 г., COM (2018) 644 final.</w:t>
      </w:r>
    </w:p>
  </w:footnote>
  <w:footnote w:id="10">
    <w:p w14:paraId="4FBC4800" w14:textId="77777777" w:rsidR="00E83FFE" w:rsidRPr="00B83665" w:rsidRDefault="00E83FFE"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Експертна група на високо равнище във връзка с европейската финансова архитектура за развитие (2019 г.), </w:t>
      </w:r>
      <w:hyperlink r:id="rId9" w:history="1">
        <w:r>
          <w:rPr>
            <w:rStyle w:val="Hyperlink"/>
            <w:rFonts w:ascii="Times New Roman" w:hAnsi="Times New Roman"/>
            <w:sz w:val="18"/>
            <w:szCs w:val="18"/>
          </w:rPr>
          <w:t>Европа в света — бъдещето на европейската финансова архитектура за развитие</w:t>
        </w:r>
      </w:hyperlink>
      <w:r>
        <w:rPr>
          <w:rFonts w:ascii="Times New Roman" w:hAnsi="Times New Roman"/>
          <w:sz w:val="18"/>
          <w:szCs w:val="18"/>
        </w:rPr>
        <w:t>, Генерален секретариат на Съвета на ЕС, Брюксел.</w:t>
      </w:r>
    </w:p>
  </w:footnote>
  <w:footnote w:id="11">
    <w:p w14:paraId="05230165" w14:textId="77777777" w:rsidR="00E83FFE" w:rsidRPr="00B83665" w:rsidRDefault="00E83FFE"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Бележка от Генералния секретариат на Съвета до делегациите на ЕС по повод </w:t>
      </w:r>
      <w:hyperlink r:id="rId10" w:history="1">
        <w:r>
          <w:rPr>
            <w:rStyle w:val="Hyperlink"/>
            <w:rFonts w:ascii="Times New Roman" w:hAnsi="Times New Roman"/>
            <w:sz w:val="18"/>
            <w:szCs w:val="18"/>
          </w:rPr>
          <w:t>проучване за осъществимост относно вариантите за укрепване на бъдещата европейска финансова архитектура за развитие — общ преглед</w:t>
        </w:r>
      </w:hyperlink>
      <w:r>
        <w:rPr>
          <w:rFonts w:ascii="Times New Roman" w:hAnsi="Times New Roman"/>
          <w:color w:val="000000"/>
          <w:sz w:val="18"/>
          <w:szCs w:val="18"/>
        </w:rPr>
        <w:t xml:space="preserve">, 14 април 2021 г., GSC(2021) 6961/1/21 REV 1. </w:t>
      </w:r>
    </w:p>
  </w:footnote>
  <w:footnote w:id="12">
    <w:p w14:paraId="2AF9278E" w14:textId="77777777" w:rsidR="00E83FFE" w:rsidRPr="00B83665" w:rsidRDefault="00E83FFE" w:rsidP="00B83665">
      <w:pPr>
        <w:pStyle w:val="FootnoteText"/>
        <w:tabs>
          <w:tab w:val="left" w:pos="142"/>
        </w:tabs>
        <w:ind w:left="142" w:hanging="142"/>
        <w:jc w:val="both"/>
        <w:rPr>
          <w:rFonts w:ascii="Times New Roman" w:eastAsia="Times New Roman" w:hAnsi="Times New Roman" w:cs="Times New Roman"/>
          <w:color w:val="000000"/>
          <w:spacing w:val="-4"/>
          <w:sz w:val="18"/>
          <w:szCs w:val="18"/>
        </w:rPr>
      </w:pPr>
      <w:r>
        <w:rPr>
          <w:rStyle w:val="FootnoteReference"/>
          <w:rFonts w:ascii="Times New Roman" w:hAnsi="Times New Roman" w:cs="Times New Roman"/>
          <w:spacing w:val="-4"/>
          <w:sz w:val="18"/>
          <w:szCs w:val="18"/>
        </w:rPr>
        <w:footnoteRef/>
      </w:r>
      <w:r>
        <w:rPr>
          <w:rFonts w:ascii="Times New Roman" w:hAnsi="Times New Roman"/>
          <w:sz w:val="18"/>
          <w:szCs w:val="18"/>
        </w:rPr>
        <w:t xml:space="preserve"> </w:t>
      </w:r>
      <w:r>
        <w:rPr>
          <w:rFonts w:ascii="Times New Roman" w:hAnsi="Times New Roman"/>
          <w:color w:val="000000"/>
          <w:sz w:val="18"/>
          <w:szCs w:val="18"/>
        </w:rPr>
        <w:t xml:space="preserve">Заключения на Съвета относно </w:t>
      </w:r>
      <w:hyperlink r:id="rId11" w:history="1">
        <w:r>
          <w:rPr>
            <w:rStyle w:val="Hyperlink"/>
            <w:rFonts w:ascii="Times New Roman" w:hAnsi="Times New Roman"/>
            <w:sz w:val="18"/>
            <w:szCs w:val="18"/>
          </w:rPr>
          <w:t>укрепването на европейската финансова архитектура за развитие</w:t>
        </w:r>
      </w:hyperlink>
      <w:r>
        <w:rPr>
          <w:rFonts w:ascii="Times New Roman" w:hAnsi="Times New Roman"/>
          <w:color w:val="000000"/>
          <w:sz w:val="18"/>
          <w:szCs w:val="18"/>
        </w:rPr>
        <w:t xml:space="preserve">, </w:t>
      </w:r>
      <w:r>
        <w:rPr>
          <w:rFonts w:ascii="Times New Roman" w:hAnsi="Times New Roman"/>
          <w:sz w:val="18"/>
          <w:szCs w:val="18"/>
        </w:rPr>
        <w:t xml:space="preserve">14 юни 2021 г., GSC(2021) 9462/1/21 </w:t>
      </w:r>
      <w:r>
        <w:rPr>
          <w:rFonts w:ascii="Times New Roman" w:hAnsi="Times New Roman"/>
          <w:color w:val="000000"/>
          <w:sz w:val="18"/>
          <w:szCs w:val="18"/>
        </w:rPr>
        <w:t>REV 1.</w:t>
      </w:r>
    </w:p>
    <w:p w14:paraId="336F3E57" w14:textId="77777777" w:rsidR="00E83FFE" w:rsidRPr="00B83665" w:rsidRDefault="00E83FFE" w:rsidP="00B83665">
      <w:pPr>
        <w:pStyle w:val="FootnoteText"/>
        <w:tabs>
          <w:tab w:val="left" w:pos="142"/>
        </w:tabs>
        <w:ind w:left="142" w:hanging="142"/>
        <w:jc w:val="both"/>
        <w:rPr>
          <w:rFonts w:ascii="Times New Roman" w:hAnsi="Times New Roman" w:cs="Times New Roman"/>
          <w:sz w:val="18"/>
          <w:szCs w:val="18"/>
        </w:rPr>
      </w:pPr>
      <w:r>
        <w:rPr>
          <w:rFonts w:ascii="Times New Roman" w:hAnsi="Times New Roman"/>
          <w:sz w:val="18"/>
          <w:szCs w:val="18"/>
        </w:rPr>
        <w:tab/>
        <w:t xml:space="preserve">Вж. също заключенията на Съвета относно </w:t>
      </w:r>
      <w:hyperlink r:id="rId12" w:history="1">
        <w:r>
          <w:rPr>
            <w:rStyle w:val="Hyperlink"/>
            <w:rFonts w:ascii="Times New Roman" w:hAnsi="Times New Roman"/>
            <w:sz w:val="18"/>
            <w:szCs w:val="18"/>
          </w:rPr>
          <w:t>укрепването на европейската финансова архитектура за развитие</w:t>
        </w:r>
      </w:hyperlink>
      <w:r>
        <w:rPr>
          <w:rStyle w:val="Hyperlink"/>
          <w:rFonts w:ascii="Times New Roman" w:hAnsi="Times New Roman"/>
          <w:color w:val="auto"/>
          <w:sz w:val="18"/>
          <w:szCs w:val="18"/>
          <w:u w:val="none"/>
        </w:rPr>
        <w:t>, 5 декември 2019 г., GSC(2019) 14434/19.</w:t>
      </w:r>
    </w:p>
  </w:footnote>
  <w:footnote w:id="13">
    <w:p w14:paraId="4DB75B95" w14:textId="77777777" w:rsidR="00E83FFE" w:rsidRPr="00B83665" w:rsidRDefault="00E83FFE"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15 членове: Bio (Белгия), CDC (Обединено кралство), COFIDES (Испания), DEG (Германия), Finnfund (Финландия), FMO (Нидерландия), IFU (Дания), Norfund (Норвегия), OeEB (Австрия), Proparco (Франция), SBI/BMI (Белгия), SIFEM (Швейцария), Sace Simest (Италия), SOFID (Португалия), Swedfund (Швеция). </w:t>
      </w:r>
    </w:p>
  </w:footnote>
  <w:footnote w:id="14">
    <w:p w14:paraId="0E414404" w14:textId="77777777" w:rsidR="00E83FFE" w:rsidRPr="00B83665" w:rsidRDefault="00E83FFE"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AFD, KfW, CDP, AECID и Европейската комисия.</w:t>
      </w:r>
    </w:p>
  </w:footnote>
  <w:footnote w:id="15">
    <w:p w14:paraId="78DAFB9B" w14:textId="77777777" w:rsidR="00E83FFE" w:rsidRPr="00B83665" w:rsidRDefault="00E83FFE" w:rsidP="001A615D">
      <w:pPr>
        <w:pStyle w:val="FootnoteText"/>
        <w:keepLines/>
        <w:tabs>
          <w:tab w:val="left" w:pos="142"/>
        </w:tabs>
        <w:ind w:left="142" w:hanging="142"/>
        <w:jc w:val="both"/>
        <w:rPr>
          <w:rFonts w:ascii="Times New Roman" w:hAnsi="Times New Roman" w:cs="Times New Roman"/>
          <w:spacing w:val="-2"/>
          <w:sz w:val="18"/>
          <w:szCs w:val="18"/>
        </w:rPr>
      </w:pPr>
      <w:r>
        <w:rPr>
          <w:rStyle w:val="FootnoteReference"/>
          <w:rFonts w:ascii="Times New Roman" w:hAnsi="Times New Roman" w:cs="Times New Roman"/>
          <w:spacing w:val="-2"/>
          <w:sz w:val="18"/>
          <w:szCs w:val="18"/>
        </w:rPr>
        <w:footnoteRef/>
      </w:r>
      <w:r>
        <w:rPr>
          <w:rFonts w:ascii="Times New Roman" w:hAnsi="Times New Roman"/>
          <w:sz w:val="18"/>
          <w:szCs w:val="18"/>
        </w:rPr>
        <w:t xml:space="preserve"> </w:t>
      </w:r>
      <w:r>
        <w:rPr>
          <w:rFonts w:ascii="Times New Roman" w:hAnsi="Times New Roman"/>
          <w:sz w:val="18"/>
          <w:szCs w:val="18"/>
          <w:u w:val="single"/>
        </w:rPr>
        <w:t>Членове</w:t>
      </w:r>
      <w:r>
        <w:rPr>
          <w:rFonts w:ascii="Times New Roman" w:hAnsi="Times New Roman"/>
          <w:sz w:val="18"/>
          <w:szCs w:val="18"/>
        </w:rPr>
        <w:t xml:space="preserve">: ADA (Австрия), AECID (Испания), AICS (Италия), AFD (Франция), Британски съвет (Обединено кралство), Camoes (Португалия), CPVA (Литва), CzechAid (Чехия), Enabel (Белгия), Expertise France (Франция), FIIAPP (Испания), GIZ (Германия), LuxDev (Люксембург), SlovakAid (Словакия), Sida (Швеция), SNV (Нидерландия), RoAid (Румъния); </w:t>
      </w:r>
      <w:r>
        <w:rPr>
          <w:rFonts w:ascii="Times New Roman" w:hAnsi="Times New Roman"/>
          <w:sz w:val="18"/>
          <w:szCs w:val="18"/>
          <w:u w:val="single"/>
        </w:rPr>
        <w:t>Асоциирани участници:</w:t>
      </w:r>
      <w:r>
        <w:rPr>
          <w:rFonts w:ascii="Times New Roman" w:hAnsi="Times New Roman"/>
          <w:sz w:val="18"/>
          <w:szCs w:val="18"/>
        </w:rPr>
        <w:t xml:space="preserve"> Danida (Дания), FCDO (Обединено кралство), Министерство на външните работи (Естония) и Министерство на външните работи (Нидерландия); </w:t>
      </w:r>
      <w:r>
        <w:rPr>
          <w:rFonts w:ascii="Times New Roman" w:hAnsi="Times New Roman"/>
          <w:sz w:val="18"/>
          <w:szCs w:val="18"/>
          <w:u w:val="single"/>
        </w:rPr>
        <w:t>Наблюдател:</w:t>
      </w:r>
      <w:r>
        <w:rPr>
          <w:rFonts w:ascii="Times New Roman" w:hAnsi="Times New Roman"/>
          <w:sz w:val="18"/>
          <w:szCs w:val="18"/>
        </w:rPr>
        <w:t xml:space="preserve"> Комисията. Мрежата от специалисти предоставя обратна връзка относно политиките от гледна точка на практикуващите специалисти.</w:t>
      </w:r>
    </w:p>
  </w:footnote>
  <w:footnote w:id="16">
    <w:p w14:paraId="03F36552" w14:textId="46F5FB69" w:rsidR="00E83FFE" w:rsidRPr="00B83665" w:rsidRDefault="00E83FFE" w:rsidP="00B83665">
      <w:pPr>
        <w:pStyle w:val="FootnoteText"/>
        <w:tabs>
          <w:tab w:val="left" w:pos="142"/>
        </w:tabs>
        <w:ind w:left="142" w:hanging="142"/>
        <w:jc w:val="both"/>
        <w:rPr>
          <w:rFonts w:ascii="Times New Roman" w:eastAsia="Times New Roman" w:hAnsi="Times New Roman" w:cs="Times New Roman"/>
          <w:color w:val="000000"/>
          <w:sz w:val="18"/>
          <w:szCs w:val="18"/>
        </w:rPr>
      </w:pPr>
      <w:r>
        <w:rPr>
          <w:rStyle w:val="FootnoteReference"/>
          <w:rFonts w:ascii="Times New Roman" w:hAnsi="Times New Roman" w:cs="Times New Roman"/>
          <w:sz w:val="18"/>
          <w:szCs w:val="18"/>
        </w:rPr>
        <w:footnoteRef/>
      </w:r>
      <w:hyperlink r:id="rId13" w:history="1">
        <w:r>
          <w:rPr>
            <w:rStyle w:val="Hyperlink"/>
            <w:rFonts w:ascii="Times New Roman" w:hAnsi="Times New Roman"/>
            <w:sz w:val="18"/>
            <w:szCs w:val="18"/>
          </w:rPr>
          <w:t>Меморандум за разбирателство между Европейската комисия, ЕИБ и ЕБВР (2012 г.) по отношение на сътрудничеството извън Европейския съюз</w:t>
        </w:r>
      </w:hyperlink>
      <w:r>
        <w:rPr>
          <w:rFonts w:ascii="Times New Roman" w:hAnsi="Times New Roman"/>
          <w:sz w:val="18"/>
          <w:szCs w:val="18"/>
        </w:rPr>
        <w:t>, Брюксел.</w:t>
      </w:r>
    </w:p>
  </w:footnote>
  <w:footnote w:id="17">
    <w:p w14:paraId="2B829F95" w14:textId="77777777" w:rsidR="00E83FFE" w:rsidRPr="00B83665" w:rsidRDefault="00E83FFE" w:rsidP="00B83665">
      <w:pPr>
        <w:pStyle w:val="FootnoteText"/>
        <w:tabs>
          <w:tab w:val="left" w:pos="142"/>
        </w:tabs>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18"/>
          <w:szCs w:val="18"/>
        </w:rPr>
        <w:t>За пълния списък направете справка в приложението.</w:t>
      </w:r>
    </w:p>
  </w:footnote>
  <w:footnote w:id="18">
    <w:p w14:paraId="4D30D1B9" w14:textId="77777777" w:rsidR="00E83FFE" w:rsidRPr="00B83665" w:rsidRDefault="00E83FFE"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ЕИБ, KfW, AFD — дейности по съфинансиране и обединяване на ресурси за оценка и мониторинг на проекти, обмен на </w:t>
      </w:r>
      <w:r>
        <w:rPr>
          <w:rFonts w:ascii="Times New Roman" w:hAnsi="Times New Roman"/>
          <w:color w:val="000000"/>
          <w:sz w:val="18"/>
          <w:szCs w:val="18"/>
        </w:rPr>
        <w:t>информация</w:t>
      </w:r>
      <w:r>
        <w:rPr>
          <w:rFonts w:ascii="Times New Roman" w:hAnsi="Times New Roman"/>
          <w:sz w:val="18"/>
          <w:szCs w:val="18"/>
        </w:rPr>
        <w:t xml:space="preserve"> и консултации.</w:t>
      </w:r>
    </w:p>
  </w:footnote>
  <w:footnote w:id="19">
    <w:p w14:paraId="64EA81B1" w14:textId="77777777" w:rsidR="00E83FFE" w:rsidRPr="00B83665" w:rsidRDefault="00E83FFE" w:rsidP="00B83665">
      <w:pPr>
        <w:pStyle w:val="FootnoteText"/>
        <w:tabs>
          <w:tab w:val="left" w:pos="142"/>
        </w:tabs>
        <w:ind w:left="142" w:hanging="142"/>
        <w:jc w:val="both"/>
        <w:rPr>
          <w:rFonts w:ascii="Times New Roman" w:hAnsi="Times New Roman" w:cs="Times New Roman"/>
          <w:spacing w:val="-2"/>
          <w:sz w:val="18"/>
          <w:szCs w:val="18"/>
        </w:rPr>
      </w:pPr>
      <w:r>
        <w:rPr>
          <w:rStyle w:val="FootnoteReference"/>
          <w:rFonts w:ascii="Times New Roman" w:hAnsi="Times New Roman" w:cs="Times New Roman"/>
          <w:spacing w:val="-2"/>
          <w:sz w:val="18"/>
          <w:szCs w:val="18"/>
        </w:rPr>
        <w:footnoteRef/>
      </w:r>
      <w:r>
        <w:t xml:space="preserve"> </w:t>
      </w:r>
      <w:r>
        <w:rPr>
          <w:rFonts w:ascii="Times New Roman" w:hAnsi="Times New Roman"/>
          <w:sz w:val="18"/>
          <w:szCs w:val="18"/>
        </w:rPr>
        <w:t xml:space="preserve">Като например </w:t>
      </w:r>
      <w:r>
        <w:rPr>
          <w:rFonts w:ascii="Times New Roman" w:hAnsi="Times New Roman"/>
          <w:color w:val="000000"/>
          <w:sz w:val="18"/>
          <w:szCs w:val="18"/>
        </w:rPr>
        <w:t>„</w:t>
      </w:r>
      <w:r>
        <w:rPr>
          <w:rFonts w:ascii="Times New Roman" w:hAnsi="Times New Roman"/>
          <w:sz w:val="18"/>
          <w:szCs w:val="18"/>
        </w:rPr>
        <w:t>Механизмът за взаимодействие в областта на изменението на климата“, сред участниците в който понастоящем са: AFD, ЕИБ, CDC, DEG, PROPARCO, BIO, Finnfund, COFIDES, Norfund, OeEB, SIFEM, Swedfund, „Европейски финансови партньори“; участници са ЕИБ и 13 ФИР от ЕС: Bio, CDC, COFIDES, DEG, Finnfund, FMO, IFU, PROPARCO, Norfund, SBI-BMI, Swedfund, SIFEM и OeEB, или механизмът за приятелство (PROPARCO — Франция, FMO — Нидерландия и DEG — Германия).</w:t>
      </w:r>
    </w:p>
  </w:footnote>
  <w:footnote w:id="20">
    <w:p w14:paraId="137E5B30" w14:textId="36B73584" w:rsidR="00E83FFE" w:rsidRPr="00B83665" w:rsidRDefault="00E83FFE" w:rsidP="00FE17B8">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sidRPr="00F50B3C">
        <w:rPr>
          <w:rFonts w:ascii="Times New Roman" w:hAnsi="Times New Roman"/>
          <w:sz w:val="18"/>
          <w:szCs w:val="18"/>
        </w:rPr>
        <w:t xml:space="preserve"> </w:t>
      </w:r>
      <w:r>
        <w:rPr>
          <w:rFonts w:ascii="Times New Roman" w:hAnsi="Times New Roman"/>
          <w:color w:val="000000"/>
          <w:sz w:val="18"/>
          <w:szCs w:val="18"/>
        </w:rPr>
        <w:t xml:space="preserve">Бележка от Генералния секретариат на </w:t>
      </w:r>
      <w:r>
        <w:rPr>
          <w:rFonts w:ascii="Times New Roman" w:hAnsi="Times New Roman"/>
          <w:sz w:val="18"/>
          <w:szCs w:val="18"/>
        </w:rPr>
        <w:t>Съвета до</w:t>
      </w:r>
      <w:r>
        <w:rPr>
          <w:rFonts w:ascii="Times New Roman" w:hAnsi="Times New Roman"/>
          <w:color w:val="000000"/>
          <w:sz w:val="18"/>
          <w:szCs w:val="18"/>
        </w:rPr>
        <w:t xml:space="preserve"> делегациите на ЕС относно </w:t>
      </w:r>
      <w:hyperlink r:id="rId14" w:history="1">
        <w:r>
          <w:rPr>
            <w:rStyle w:val="Hyperlink"/>
            <w:rFonts w:ascii="Times New Roman" w:hAnsi="Times New Roman"/>
            <w:sz w:val="18"/>
            <w:szCs w:val="18"/>
          </w:rPr>
          <w:t>европейската финансова архитектура за развитие — съвместен доклад на ЕИБ и ЕБВР</w:t>
        </w:r>
      </w:hyperlink>
      <w:r>
        <w:rPr>
          <w:rFonts w:ascii="Times New Roman" w:hAnsi="Times New Roman"/>
          <w:color w:val="000000"/>
          <w:sz w:val="18"/>
          <w:szCs w:val="18"/>
        </w:rPr>
        <w:t>, 25 ноември 2021 г., GSC(2021) 14398/21.</w:t>
      </w:r>
    </w:p>
  </w:footnote>
  <w:footnote w:id="21">
    <w:p w14:paraId="717D0BE3" w14:textId="77777777" w:rsidR="00E83FFE" w:rsidRPr="00F50B3C" w:rsidRDefault="00E83FFE" w:rsidP="00B83665">
      <w:pPr>
        <w:pStyle w:val="FootnoteText"/>
        <w:tabs>
          <w:tab w:val="left" w:pos="142"/>
        </w:tabs>
        <w:ind w:left="142" w:hanging="142"/>
        <w:jc w:val="both"/>
        <w:rPr>
          <w:rFonts w:ascii="Times New Roman" w:hAnsi="Times New Roman" w:cs="Times New Roman"/>
          <w:spacing w:val="-4"/>
          <w:sz w:val="18"/>
          <w:szCs w:val="18"/>
        </w:rPr>
      </w:pPr>
      <w:r>
        <w:rPr>
          <w:rStyle w:val="FootnoteReference"/>
          <w:rFonts w:ascii="Times New Roman" w:hAnsi="Times New Roman" w:cs="Times New Roman"/>
          <w:spacing w:val="-5"/>
          <w:sz w:val="18"/>
          <w:szCs w:val="18"/>
        </w:rPr>
        <w:footnoteRef/>
      </w:r>
      <w:r>
        <w:rPr>
          <w:rFonts w:ascii="Times New Roman" w:hAnsi="Times New Roman"/>
          <w:sz w:val="18"/>
          <w:szCs w:val="18"/>
        </w:rPr>
        <w:t xml:space="preserve"> </w:t>
      </w:r>
      <w:r w:rsidRPr="00F50B3C">
        <w:rPr>
          <w:rFonts w:ascii="Times New Roman" w:hAnsi="Times New Roman"/>
          <w:spacing w:val="-4"/>
          <w:sz w:val="18"/>
          <w:szCs w:val="18"/>
        </w:rPr>
        <w:t xml:space="preserve">ЕПИ обединява в цялостен подход три допълващи се стълба (финансиране за привличане на допълнителни ресурси чрез смесено финансиране и гаранция от ЕФУР, техническа помощ, инвестиционен климат). Вж. </w:t>
      </w:r>
      <w:r w:rsidRPr="00F50B3C">
        <w:rPr>
          <w:rFonts w:ascii="Times New Roman" w:hAnsi="Times New Roman"/>
          <w:color w:val="000000"/>
          <w:spacing w:val="-4"/>
          <w:sz w:val="18"/>
          <w:szCs w:val="18"/>
        </w:rPr>
        <w:t>Съобщение на Комисията до Европейския парламент, Съвета, Европейския икономически и социален комитет, Комитета на регионите и ЕИБ „</w:t>
      </w:r>
      <w:hyperlink r:id="rId15" w:history="1">
        <w:r w:rsidRPr="00F50B3C">
          <w:rPr>
            <w:rStyle w:val="Hyperlink"/>
            <w:rFonts w:ascii="Times New Roman" w:hAnsi="Times New Roman"/>
            <w:spacing w:val="-4"/>
            <w:sz w:val="18"/>
            <w:szCs w:val="18"/>
          </w:rPr>
          <w:t>Засилване на европейските инвестиции за създаване на заетост и растеж:</w:t>
        </w:r>
      </w:hyperlink>
      <w:hyperlink r:id="rId16" w:history="1">
        <w:r w:rsidRPr="00F50B3C">
          <w:rPr>
            <w:rStyle w:val="Hyperlink"/>
            <w:rFonts w:ascii="Times New Roman" w:hAnsi="Times New Roman"/>
            <w:spacing w:val="-4"/>
            <w:sz w:val="18"/>
            <w:szCs w:val="18"/>
          </w:rPr>
          <w:t xml:space="preserve"> към втора фаза на Европейския фонд за стратегически инвестиции и нов Европейски план за външни инвестиции</w:t>
        </w:r>
      </w:hyperlink>
      <w:r w:rsidRPr="00F50B3C">
        <w:rPr>
          <w:rFonts w:ascii="Times New Roman" w:hAnsi="Times New Roman"/>
          <w:spacing w:val="-4"/>
          <w:sz w:val="18"/>
          <w:szCs w:val="18"/>
        </w:rPr>
        <w:t>“</w:t>
      </w:r>
      <w:r w:rsidRPr="00F50B3C">
        <w:rPr>
          <w:rFonts w:ascii="Times New Roman" w:hAnsi="Times New Roman"/>
          <w:color w:val="000000"/>
          <w:spacing w:val="-4"/>
          <w:sz w:val="18"/>
          <w:szCs w:val="18"/>
        </w:rPr>
        <w:t>, 14 септември 2016 г., COM(2016) 581 final.</w:t>
      </w:r>
    </w:p>
  </w:footnote>
  <w:footnote w:id="22">
    <w:p w14:paraId="653E004B" w14:textId="3FF78091" w:rsidR="00E83FFE" w:rsidRPr="00F50B3C" w:rsidRDefault="00E83FFE" w:rsidP="00B83665">
      <w:pPr>
        <w:pStyle w:val="FootnoteText"/>
        <w:tabs>
          <w:tab w:val="left" w:pos="142"/>
        </w:tabs>
        <w:ind w:left="142" w:hanging="142"/>
        <w:jc w:val="both"/>
        <w:rPr>
          <w:rFonts w:ascii="Times New Roman" w:hAnsi="Times New Roman" w:cs="Times New Roman"/>
          <w:spacing w:val="-4"/>
          <w:sz w:val="18"/>
          <w:szCs w:val="18"/>
        </w:rPr>
      </w:pPr>
      <w:r>
        <w:rPr>
          <w:rStyle w:val="FootnoteReference"/>
          <w:rFonts w:ascii="Times New Roman" w:hAnsi="Times New Roman" w:cs="Times New Roman"/>
          <w:sz w:val="18"/>
          <w:szCs w:val="18"/>
        </w:rPr>
        <w:footnoteRef/>
      </w:r>
      <w:r w:rsidR="00F50B3C" w:rsidRPr="00F50B3C">
        <w:rPr>
          <w:rFonts w:ascii="Times New Roman" w:hAnsi="Times New Roman"/>
          <w:sz w:val="18"/>
          <w:szCs w:val="18"/>
        </w:rPr>
        <w:t xml:space="preserve"> </w:t>
      </w:r>
      <w:r w:rsidRPr="00F50B3C">
        <w:rPr>
          <w:rFonts w:ascii="Times New Roman" w:hAnsi="Times New Roman"/>
          <w:spacing w:val="-4"/>
          <w:sz w:val="18"/>
          <w:szCs w:val="18"/>
        </w:rPr>
        <w:t xml:space="preserve">Регламент (ЕС) 2017/1601 на Европейския парламент и на Съвета от 26 септември 2017 г. за създаване на Европейски фонд за устойчиво развитие (ЕФУР), гаранция от ЕФУР и Гаранционен фонд на ЕФУР (ОВ L 249, 27.9.2017 г., стр. 1). </w:t>
      </w:r>
    </w:p>
  </w:footnote>
  <w:footnote w:id="23">
    <w:p w14:paraId="169E2EC4" w14:textId="4DAB5E5A" w:rsidR="00E83FFE" w:rsidRPr="00B83665" w:rsidRDefault="00E83FFE" w:rsidP="00B83665">
      <w:pPr>
        <w:pStyle w:val="FootnoteText"/>
        <w:tabs>
          <w:tab w:val="left" w:pos="142"/>
        </w:tabs>
        <w:ind w:left="142" w:hanging="142"/>
        <w:jc w:val="both"/>
        <w:rPr>
          <w:rFonts w:ascii="Times New Roman" w:eastAsia="Times New Roman" w:hAnsi="Times New Roman" w:cs="Times New Roman"/>
          <w:spacing w:val="1"/>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Регионални механизми: Платформа за инвестиции в Африка, Карибски инвестиционен механизъм, Механизъм за инвестиции в Тихоокеанския басейн, Механизъм за инвестиции в Азия, Механизъм за инвестиции за Централна Азия, Механизъм за инвестиции в Латинска Америка, Платформа за инвестиции в рамките на политиката за съседство и Инвестиционна рамка за Западните Балкани. От тематична гледна точка: инициативите за финансиране на селското стопанство и на електрификацията — agriFI и electriFI. </w:t>
      </w:r>
    </w:p>
  </w:footnote>
  <w:footnote w:id="24">
    <w:p w14:paraId="4D74CFCC" w14:textId="77777777" w:rsidR="00E83FFE" w:rsidRPr="00B83665" w:rsidRDefault="00E83FFE"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Европейска комисия (2019 г.), </w:t>
      </w:r>
      <w:hyperlink r:id="rId17" w:history="1">
        <w:r>
          <w:rPr>
            <w:rStyle w:val="Hyperlink"/>
            <w:rFonts w:ascii="Times New Roman" w:hAnsi="Times New Roman"/>
            <w:sz w:val="18"/>
            <w:szCs w:val="18"/>
          </w:rPr>
          <w:t>Платформа на ЕС за смесено финансиране в областта на външното сътрудничество</w:t>
        </w:r>
      </w:hyperlink>
      <w:r>
        <w:t>.</w:t>
      </w:r>
    </w:p>
  </w:footnote>
  <w:footnote w:id="25">
    <w:p w14:paraId="1554A09A" w14:textId="7605431C" w:rsidR="00E83FFE" w:rsidRPr="00F50B3C" w:rsidRDefault="00E83FFE" w:rsidP="00B83665">
      <w:pPr>
        <w:pStyle w:val="FootnoteText"/>
        <w:tabs>
          <w:tab w:val="left" w:pos="142"/>
        </w:tabs>
        <w:ind w:left="142" w:hanging="142"/>
        <w:jc w:val="both"/>
        <w:rPr>
          <w:rFonts w:ascii="Times New Roman" w:hAnsi="Times New Roman" w:cs="Times New Roman"/>
          <w:spacing w:val="-4"/>
          <w:sz w:val="18"/>
          <w:szCs w:val="18"/>
        </w:rPr>
      </w:pPr>
      <w:r w:rsidRPr="00F50B3C">
        <w:rPr>
          <w:rStyle w:val="FootnoteReference"/>
          <w:rFonts w:ascii="Times New Roman" w:hAnsi="Times New Roman" w:cs="Times New Roman"/>
          <w:spacing w:val="-4"/>
          <w:sz w:val="18"/>
          <w:szCs w:val="18"/>
        </w:rPr>
        <w:footnoteRef/>
      </w:r>
      <w:r w:rsidRPr="00F50B3C">
        <w:rPr>
          <w:rFonts w:ascii="Times New Roman" w:hAnsi="Times New Roman"/>
          <w:spacing w:val="-4"/>
          <w:sz w:val="18"/>
          <w:szCs w:val="18"/>
        </w:rPr>
        <w:t xml:space="preserve"> „Екип Европа“ е подход, който се основава на приноса на Европейския съюз и съчетава ресурси, мобилизирани от държавите — членки на ЕС, и от финансови институции, като същевременно се зачитат правомощията и процедурите за вземане на решения на ЕС, включително правилата за гласуване, установени с Договорите на ЕС. Подходът „Екип Европа“ разчита на ЕС, на неговите държави членки, техните финансови институции, включително националните банки за развитие и изпълнителните агенции, както и на ЕИБ и ЕБВР. Той се прилага и в страните партньори на ЕС, включително чрез делегациите на ЕС, за да се улесни координацията на ЕС на място. </w:t>
      </w:r>
    </w:p>
  </w:footnote>
  <w:footnote w:id="26">
    <w:p w14:paraId="6AA1DF1A" w14:textId="77777777" w:rsidR="00E83FFE" w:rsidRPr="00F50B3C" w:rsidRDefault="00E83FFE" w:rsidP="00B83665">
      <w:pPr>
        <w:pStyle w:val="FootnoteText"/>
        <w:tabs>
          <w:tab w:val="left" w:pos="142"/>
        </w:tabs>
        <w:ind w:left="142" w:hanging="142"/>
        <w:jc w:val="both"/>
        <w:rPr>
          <w:rFonts w:ascii="Times New Roman" w:hAnsi="Times New Roman" w:cs="Times New Roman"/>
          <w:spacing w:val="-8"/>
          <w:sz w:val="18"/>
          <w:szCs w:val="18"/>
        </w:rPr>
      </w:pPr>
      <w:r>
        <w:rPr>
          <w:rStyle w:val="FootnoteReference"/>
          <w:rFonts w:ascii="Times New Roman" w:hAnsi="Times New Roman" w:cs="Times New Roman"/>
          <w:spacing w:val="-2"/>
          <w:sz w:val="18"/>
          <w:szCs w:val="18"/>
        </w:rPr>
        <w:footnoteRef/>
      </w:r>
      <w:r>
        <w:rPr>
          <w:rFonts w:ascii="Times New Roman" w:hAnsi="Times New Roman"/>
          <w:sz w:val="18"/>
          <w:szCs w:val="18"/>
        </w:rPr>
        <w:t xml:space="preserve"> </w:t>
      </w:r>
      <w:r w:rsidRPr="00F50B3C">
        <w:rPr>
          <w:rFonts w:ascii="Times New Roman" w:hAnsi="Times New Roman"/>
          <w:spacing w:val="-8"/>
          <w:sz w:val="18"/>
          <w:szCs w:val="18"/>
        </w:rPr>
        <w:t xml:space="preserve">Съвместно съобщение на Комисията до Европейския парламент, Съвета, Европейския икономически и социален комитет и Комитета на регионите относно </w:t>
      </w:r>
      <w:hyperlink r:id="rId18" w:history="1">
        <w:r w:rsidRPr="00F50B3C">
          <w:rPr>
            <w:rStyle w:val="Hyperlink"/>
            <w:rFonts w:ascii="Times New Roman" w:hAnsi="Times New Roman"/>
            <w:spacing w:val="-8"/>
            <w:sz w:val="18"/>
            <w:szCs w:val="18"/>
          </w:rPr>
          <w:t>действията на ЕС за глобално реагиране на COVID-19</w:t>
        </w:r>
      </w:hyperlink>
      <w:r w:rsidRPr="00F50B3C">
        <w:rPr>
          <w:rFonts w:ascii="Times New Roman" w:hAnsi="Times New Roman"/>
          <w:spacing w:val="-8"/>
          <w:sz w:val="18"/>
          <w:szCs w:val="18"/>
        </w:rPr>
        <w:t>, 8 април 2020 г., JOIN(2020) 11 final.</w:t>
      </w:r>
    </w:p>
  </w:footnote>
  <w:footnote w:id="27">
    <w:p w14:paraId="5EF8DA43" w14:textId="77777777" w:rsidR="00E83FFE" w:rsidRPr="00B83665" w:rsidRDefault="00E83FFE"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19" w:history="1">
        <w:r>
          <w:rPr>
            <w:rStyle w:val="Hyperlink"/>
            <w:rFonts w:ascii="Times New Roman" w:hAnsi="Times New Roman"/>
            <w:sz w:val="18"/>
            <w:szCs w:val="18"/>
          </w:rPr>
          <w:t>Доклад на Комисията до Съвета относно препоръките на групата на високо равнище от експерти във връзка с европейската финансова архитектура за развитие</w:t>
        </w:r>
      </w:hyperlink>
      <w:r>
        <w:rPr>
          <w:rFonts w:ascii="Times New Roman" w:hAnsi="Times New Roman"/>
          <w:color w:val="000000"/>
          <w:sz w:val="18"/>
          <w:szCs w:val="18"/>
        </w:rPr>
        <w:t xml:space="preserve">, 31 януари 2020 г., COM(2020) 43 final. </w:t>
      </w:r>
    </w:p>
  </w:footnote>
  <w:footnote w:id="28">
    <w:p w14:paraId="0BDA12D0" w14:textId="77777777" w:rsidR="00E83FFE" w:rsidRPr="00B83665" w:rsidRDefault="00E83FFE"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Съвместно съобщение до Европейския парламент, Съвета, Европейския икономически и социален комитет, Комитета на регионите и ЕИБ относно </w:t>
      </w:r>
      <w:hyperlink r:id="rId20" w:history="1">
        <w:r>
          <w:rPr>
            <w:rStyle w:val="Hyperlink"/>
            <w:rFonts w:ascii="Times New Roman" w:hAnsi="Times New Roman"/>
            <w:sz w:val="18"/>
            <w:szCs w:val="18"/>
          </w:rPr>
          <w:t>Global Gateway</w:t>
        </w:r>
      </w:hyperlink>
      <w:r>
        <w:rPr>
          <w:rFonts w:ascii="Times New Roman" w:hAnsi="Times New Roman"/>
          <w:sz w:val="18"/>
          <w:szCs w:val="18"/>
        </w:rPr>
        <w:t>, 1 декември 2021 г., JOIN(2021) 30 final.</w:t>
      </w:r>
    </w:p>
  </w:footnote>
  <w:footnote w:id="29">
    <w:p w14:paraId="48105A34" w14:textId="77777777" w:rsidR="00E83FFE" w:rsidRPr="00F50B3C" w:rsidRDefault="00E83FFE" w:rsidP="00B83665">
      <w:pPr>
        <w:pStyle w:val="FootnoteText"/>
        <w:tabs>
          <w:tab w:val="left" w:pos="142"/>
        </w:tabs>
        <w:ind w:left="142" w:hanging="142"/>
        <w:jc w:val="both"/>
        <w:rPr>
          <w:rFonts w:ascii="Times New Roman" w:hAnsi="Times New Roman" w:cs="Times New Roman"/>
          <w:spacing w:val="-4"/>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sidRPr="00F50B3C">
        <w:rPr>
          <w:rFonts w:ascii="Times New Roman" w:hAnsi="Times New Roman"/>
          <w:spacing w:val="-4"/>
          <w:sz w:val="18"/>
          <w:szCs w:val="18"/>
        </w:rPr>
        <w:t xml:space="preserve">Европейска комисия (2022 г.), </w:t>
      </w:r>
      <w:hyperlink r:id="rId21" w:history="1">
        <w:r w:rsidRPr="00F50B3C">
          <w:rPr>
            <w:rStyle w:val="Hyperlink"/>
            <w:rFonts w:ascii="Times New Roman" w:hAnsi="Times New Roman"/>
            <w:spacing w:val="-4"/>
            <w:sz w:val="18"/>
            <w:szCs w:val="18"/>
          </w:rPr>
          <w:t>ЕС — Африка:</w:t>
        </w:r>
      </w:hyperlink>
      <w:hyperlink r:id="rId22" w:history="1">
        <w:r w:rsidRPr="00F50B3C">
          <w:rPr>
            <w:rStyle w:val="Hyperlink"/>
            <w:rFonts w:ascii="Times New Roman" w:hAnsi="Times New Roman"/>
            <w:spacing w:val="-4"/>
            <w:sz w:val="18"/>
            <w:szCs w:val="18"/>
          </w:rPr>
          <w:t xml:space="preserve"> Пакет за инвестиции по линия на Global Gateway</w:t>
        </w:r>
      </w:hyperlink>
      <w:r w:rsidRPr="00F50B3C">
        <w:rPr>
          <w:rFonts w:ascii="Times New Roman" w:hAnsi="Times New Roman"/>
          <w:spacing w:val="-4"/>
          <w:sz w:val="18"/>
          <w:szCs w:val="18"/>
        </w:rPr>
        <w:t>, 18 февруари 2022 г.</w:t>
      </w:r>
    </w:p>
  </w:footnote>
  <w:footnote w:id="30">
    <w:p w14:paraId="36614FE9" w14:textId="77777777" w:rsidR="00E83FFE" w:rsidRPr="00B83665" w:rsidRDefault="00E83FFE"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 xml:space="preserve"> </w:t>
      </w:r>
      <w:r>
        <w:rPr>
          <w:rFonts w:ascii="Times New Roman" w:hAnsi="Times New Roman"/>
          <w:sz w:val="18"/>
          <w:szCs w:val="18"/>
        </w:rPr>
        <w:t>Финансиращите субекти, допустимите контрагенти, държавите партньори, съответните регионални организации и други заинтересовани страни може да получат статут на наблюдатели, когато е целесъобразно.</w:t>
      </w:r>
    </w:p>
  </w:footnote>
  <w:footnote w:id="31">
    <w:p w14:paraId="35232327" w14:textId="12BEF87A" w:rsidR="00E83FFE" w:rsidRPr="005F7D79" w:rsidRDefault="00E83FFE" w:rsidP="006C2D11">
      <w:pPr>
        <w:pStyle w:val="FootnoteText"/>
        <w:tabs>
          <w:tab w:val="left" w:pos="142"/>
        </w:tabs>
        <w:ind w:left="142" w:hanging="142"/>
        <w:jc w:val="both"/>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sz w:val="18"/>
        </w:rPr>
        <w:t xml:space="preserve"> </w:t>
      </w:r>
      <w:r w:rsidRPr="006C2D11">
        <w:rPr>
          <w:rFonts w:ascii="Times New Roman" w:hAnsi="Times New Roman"/>
          <w:spacing w:val="-10"/>
          <w:sz w:val="18"/>
        </w:rPr>
        <w:t xml:space="preserve">Вж. тук: </w:t>
      </w:r>
      <w:hyperlink r:id="rId23" w:history="1">
        <w:r w:rsidRPr="006C2D11">
          <w:rPr>
            <w:rStyle w:val="Hyperlink"/>
            <w:rFonts w:ascii="Times New Roman" w:hAnsi="Times New Roman"/>
            <w:spacing w:val="-10"/>
            <w:sz w:val="18"/>
          </w:rPr>
          <w:t>https://ec.europa.eu/international-partnerships/global-europe-programming_en</w:t>
        </w:r>
      </w:hyperlink>
      <w:r w:rsidRPr="006C2D11">
        <w:rPr>
          <w:rFonts w:ascii="Times New Roman" w:hAnsi="Times New Roman"/>
          <w:spacing w:val="-10"/>
          <w:sz w:val="18"/>
        </w:rPr>
        <w:t xml:space="preserve">, </w:t>
      </w:r>
      <w:hyperlink r:id="rId24" w:history="1">
        <w:r w:rsidRPr="006C2D11">
          <w:rPr>
            <w:rStyle w:val="Hyperlink"/>
            <w:rFonts w:ascii="Times New Roman" w:hAnsi="Times New Roman"/>
            <w:spacing w:val="-10"/>
            <w:sz w:val="18"/>
          </w:rPr>
          <w:t>https://ec.europa.eu/neighbourhood-enlargement/funding-and-technical-assistance/neighbourhood-development-and-international-cooperation-instrument-global-europe-ndici-global-europe_en</w:t>
        </w:r>
      </w:hyperlink>
      <w:r w:rsidRPr="006C2D11">
        <w:rPr>
          <w:rFonts w:ascii="Times New Roman" w:hAnsi="Times New Roman"/>
          <w:spacing w:val="-10"/>
          <w:sz w:val="18"/>
        </w:rPr>
        <w:t xml:space="preserve"> и </w:t>
      </w:r>
      <w:hyperlink r:id="rId25" w:history="1">
        <w:r w:rsidRPr="006C2D11">
          <w:rPr>
            <w:rStyle w:val="Hyperlink"/>
            <w:rFonts w:ascii="Times New Roman" w:hAnsi="Times New Roman"/>
            <w:spacing w:val="-10"/>
            <w:sz w:val="18"/>
          </w:rPr>
          <w:t>https://ec.europa.eu/neighbourhood-enlargement/enlargement-policy/overview-instrument-pre-accession-assistance_en</w:t>
        </w:r>
      </w:hyperlink>
      <w:r w:rsidR="006C2D11" w:rsidRPr="006C2D11">
        <w:rPr>
          <w:rStyle w:val="Hyperlink"/>
          <w:rFonts w:ascii="Times New Roman" w:hAnsi="Times New Roman"/>
          <w:color w:val="auto"/>
          <w:spacing w:val="-10"/>
          <w:sz w:val="18"/>
          <w:u w:val="none"/>
        </w:rPr>
        <w:t>.</w:t>
      </w:r>
      <w:r>
        <w:rPr>
          <w:rFonts w:ascii="Times New Roman" w:hAnsi="Times New Roman"/>
          <w:sz w:val="18"/>
        </w:rPr>
        <w:t xml:space="preserve"> </w:t>
      </w:r>
    </w:p>
  </w:footnote>
  <w:footnote w:id="32">
    <w:p w14:paraId="0EC710A7" w14:textId="77777777" w:rsidR="00E83FFE" w:rsidRPr="006C2D11" w:rsidRDefault="00E83FFE" w:rsidP="00B83665">
      <w:pPr>
        <w:pStyle w:val="FootnoteText"/>
        <w:tabs>
          <w:tab w:val="left" w:pos="142"/>
        </w:tabs>
        <w:ind w:left="142" w:hanging="142"/>
        <w:jc w:val="both"/>
        <w:rPr>
          <w:rFonts w:ascii="Times New Roman" w:hAnsi="Times New Roman" w:cs="Times New Roman"/>
          <w:spacing w:val="-8"/>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sidRPr="006C2D11">
        <w:rPr>
          <w:rFonts w:ascii="Times New Roman" w:hAnsi="Times New Roman"/>
          <w:spacing w:val="-8"/>
          <w:sz w:val="18"/>
          <w:szCs w:val="18"/>
        </w:rPr>
        <w:t xml:space="preserve">Независимо дали става въпрос за съвместно или двустранно програмиране. Чрез съвместното програмиране ЕС и държавите членки се споразумяват да дадат </w:t>
      </w:r>
      <w:r w:rsidRPr="006C2D11">
        <w:rPr>
          <w:rFonts w:ascii="Times New Roman" w:hAnsi="Times New Roman"/>
          <w:spacing w:val="-8"/>
          <w:sz w:val="18"/>
          <w:szCs w:val="18"/>
          <w:shd w:val="clear" w:color="auto" w:fill="FFFFFF"/>
        </w:rPr>
        <w:t xml:space="preserve">съвместен отговор на </w:t>
      </w:r>
      <w:r w:rsidRPr="006C2D11">
        <w:rPr>
          <w:rFonts w:ascii="Times New Roman" w:hAnsi="Times New Roman"/>
          <w:spacing w:val="-8"/>
          <w:sz w:val="18"/>
          <w:szCs w:val="18"/>
        </w:rPr>
        <w:t>стратегията</w:t>
      </w:r>
      <w:r w:rsidRPr="006C2D11">
        <w:rPr>
          <w:rFonts w:ascii="Times New Roman" w:hAnsi="Times New Roman"/>
          <w:spacing w:val="-8"/>
          <w:sz w:val="18"/>
          <w:szCs w:val="18"/>
          <w:shd w:val="clear" w:color="auto" w:fill="FFFFFF"/>
        </w:rPr>
        <w:t xml:space="preserve"> за развитие на партньорската държава/регион, </w:t>
      </w:r>
      <w:r w:rsidRPr="006C2D11">
        <w:rPr>
          <w:rFonts w:ascii="Times New Roman" w:hAnsi="Times New Roman"/>
          <w:spacing w:val="-8"/>
          <w:sz w:val="18"/>
          <w:szCs w:val="18"/>
        </w:rPr>
        <w:t>като по този начин предоставят незабавна възможност за повишаване на координацията, ефикасността и въздействието.</w:t>
      </w:r>
    </w:p>
  </w:footnote>
  <w:footnote w:id="33">
    <w:p w14:paraId="1164CBCA" w14:textId="77777777" w:rsidR="00E83FFE" w:rsidRPr="00B83665" w:rsidRDefault="00E83FFE" w:rsidP="00B83665">
      <w:pPr>
        <w:pStyle w:val="FootnoteText"/>
        <w:tabs>
          <w:tab w:val="left" w:pos="142"/>
        </w:tabs>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18"/>
          <w:szCs w:val="18"/>
        </w:rPr>
        <w:t xml:space="preserve">Както е обявено в </w:t>
      </w:r>
      <w:hyperlink r:id="rId26" w:history="1">
        <w:r>
          <w:rPr>
            <w:rStyle w:val="Hyperlink"/>
            <w:rFonts w:ascii="Times New Roman" w:hAnsi="Times New Roman"/>
            <w:sz w:val="18"/>
            <w:szCs w:val="18"/>
          </w:rPr>
          <w:t>Стратегията за финансиране на прехода към устойчива икономика</w:t>
        </w:r>
      </w:hyperlink>
      <w:r>
        <w:rPr>
          <w:rFonts w:ascii="Times New Roman" w:hAnsi="Times New Roman"/>
          <w:sz w:val="18"/>
          <w:szCs w:val="18"/>
        </w:rPr>
        <w:t>, публикувана на 6 юли 2021 г.</w:t>
      </w:r>
    </w:p>
  </w:footnote>
  <w:footnote w:id="34">
    <w:p w14:paraId="62EACBA3" w14:textId="77777777" w:rsidR="00E83FFE" w:rsidRPr="00B83665" w:rsidRDefault="00E83FFE"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В многогодишната финансова рамка за периода 2014 — 2020 г. позицията „Глобална Европа“ се изпълнява чрез няколко финансови инструмента. Те включват: </w:t>
      </w:r>
    </w:p>
    <w:p w14:paraId="64932273" w14:textId="77777777" w:rsidR="00E83FFE" w:rsidRPr="00B83665" w:rsidRDefault="00E83FFE" w:rsidP="00AA3E7A">
      <w:pPr>
        <w:pStyle w:val="FootnoteText"/>
        <w:tabs>
          <w:tab w:val="left" w:pos="142"/>
        </w:tabs>
        <w:ind w:left="142" w:hanging="142"/>
        <w:jc w:val="both"/>
        <w:rPr>
          <w:rFonts w:ascii="Times New Roman" w:hAnsi="Times New Roman" w:cs="Times New Roman"/>
          <w:sz w:val="18"/>
          <w:szCs w:val="18"/>
        </w:rPr>
      </w:pPr>
      <w:r>
        <w:rPr>
          <w:rFonts w:ascii="Times New Roman" w:hAnsi="Times New Roman"/>
          <w:sz w:val="18"/>
          <w:szCs w:val="18"/>
        </w:rPr>
        <w:t xml:space="preserve">• Регламент (ЕС) 2015/322 относно изпълнението на 11-ия европейски фонд за развитие; </w:t>
      </w:r>
    </w:p>
    <w:p w14:paraId="7B9D87BD" w14:textId="77777777" w:rsidR="00E83FFE" w:rsidRPr="00B83665" w:rsidRDefault="00E83FFE" w:rsidP="00AA3E7A">
      <w:pPr>
        <w:pStyle w:val="FootnoteText"/>
        <w:tabs>
          <w:tab w:val="left" w:pos="142"/>
        </w:tabs>
        <w:ind w:left="142" w:hanging="142"/>
        <w:jc w:val="both"/>
        <w:rPr>
          <w:rFonts w:ascii="Times New Roman" w:hAnsi="Times New Roman" w:cs="Times New Roman"/>
          <w:sz w:val="18"/>
          <w:szCs w:val="18"/>
        </w:rPr>
      </w:pPr>
      <w:r>
        <w:rPr>
          <w:rFonts w:ascii="Times New Roman" w:hAnsi="Times New Roman"/>
          <w:sz w:val="18"/>
          <w:szCs w:val="18"/>
        </w:rPr>
        <w:t xml:space="preserve">• Регламент (ЕС) 230/2014 за създаване на инструмент, допринасящ за стабилността и мира; </w:t>
      </w:r>
    </w:p>
    <w:p w14:paraId="656D686D" w14:textId="77777777" w:rsidR="00E83FFE" w:rsidRPr="00B83665" w:rsidRDefault="00E83FFE" w:rsidP="00AA3E7A">
      <w:pPr>
        <w:pStyle w:val="FootnoteText"/>
        <w:tabs>
          <w:tab w:val="left" w:pos="142"/>
        </w:tabs>
        <w:ind w:left="142" w:hanging="142"/>
        <w:jc w:val="both"/>
        <w:rPr>
          <w:rFonts w:ascii="Times New Roman" w:hAnsi="Times New Roman" w:cs="Times New Roman"/>
          <w:sz w:val="18"/>
          <w:szCs w:val="18"/>
        </w:rPr>
      </w:pPr>
      <w:r>
        <w:rPr>
          <w:rFonts w:ascii="Times New Roman" w:hAnsi="Times New Roman"/>
          <w:sz w:val="18"/>
          <w:szCs w:val="18"/>
        </w:rPr>
        <w:t xml:space="preserve">• Регламент (ЕС) 232/2014 за създаване на Европейски инструмент за съседство; </w:t>
      </w:r>
    </w:p>
    <w:p w14:paraId="314C06B9" w14:textId="77777777" w:rsidR="00E83FFE" w:rsidRPr="00B83665" w:rsidRDefault="00E83FFE" w:rsidP="00AA3E7A">
      <w:pPr>
        <w:pStyle w:val="FootnoteText"/>
        <w:tabs>
          <w:tab w:val="left" w:pos="142"/>
        </w:tabs>
        <w:ind w:left="142" w:hanging="142"/>
        <w:jc w:val="both"/>
        <w:rPr>
          <w:rFonts w:ascii="Times New Roman" w:hAnsi="Times New Roman" w:cs="Times New Roman"/>
          <w:sz w:val="18"/>
          <w:szCs w:val="18"/>
        </w:rPr>
      </w:pPr>
      <w:r>
        <w:rPr>
          <w:rFonts w:ascii="Times New Roman" w:hAnsi="Times New Roman"/>
          <w:sz w:val="18"/>
          <w:szCs w:val="18"/>
        </w:rPr>
        <w:t xml:space="preserve">• Регламент (ЕС) № 233/2014 за създаване на финансов инструмент за сътрудничество; </w:t>
      </w:r>
    </w:p>
    <w:p w14:paraId="4CAABAFA" w14:textId="77777777" w:rsidR="00E83FFE" w:rsidRPr="00B83665" w:rsidRDefault="00E83FFE" w:rsidP="00AA3E7A">
      <w:pPr>
        <w:pStyle w:val="FootnoteText"/>
        <w:tabs>
          <w:tab w:val="left" w:pos="142"/>
        </w:tabs>
        <w:ind w:left="142" w:hanging="142"/>
        <w:jc w:val="both"/>
        <w:rPr>
          <w:rFonts w:ascii="Times New Roman" w:hAnsi="Times New Roman" w:cs="Times New Roman"/>
          <w:sz w:val="18"/>
          <w:szCs w:val="18"/>
        </w:rPr>
      </w:pPr>
      <w:r>
        <w:rPr>
          <w:rFonts w:ascii="Times New Roman" w:hAnsi="Times New Roman"/>
          <w:sz w:val="18"/>
          <w:szCs w:val="18"/>
        </w:rPr>
        <w:t xml:space="preserve">• Регламент (ЕС) 234/2014 за създаване на Инструмент за партньорство за сътрудничество с трети държави; </w:t>
      </w:r>
    </w:p>
    <w:p w14:paraId="4CD3E582" w14:textId="77777777" w:rsidR="00E83FFE" w:rsidRPr="00B83665" w:rsidRDefault="00E83FFE" w:rsidP="00AA3E7A">
      <w:pPr>
        <w:pStyle w:val="FootnoteText"/>
        <w:tabs>
          <w:tab w:val="left" w:pos="142"/>
        </w:tabs>
        <w:ind w:left="142" w:hanging="142"/>
        <w:jc w:val="both"/>
        <w:rPr>
          <w:rFonts w:ascii="Times New Roman" w:hAnsi="Times New Roman" w:cs="Times New Roman"/>
          <w:sz w:val="18"/>
          <w:szCs w:val="18"/>
        </w:rPr>
      </w:pPr>
      <w:r>
        <w:rPr>
          <w:rFonts w:ascii="Times New Roman" w:hAnsi="Times New Roman"/>
          <w:sz w:val="18"/>
          <w:szCs w:val="18"/>
        </w:rPr>
        <w:t>• Регламент (ЕС) 235/2014 за създаване на Европейски инструмент за демокрация и права на човека;</w:t>
      </w:r>
    </w:p>
    <w:p w14:paraId="78187A26" w14:textId="77777777" w:rsidR="00E83FFE" w:rsidRPr="00B83665" w:rsidRDefault="00E83FFE" w:rsidP="00AA3E7A">
      <w:pPr>
        <w:pStyle w:val="FootnoteText"/>
        <w:tabs>
          <w:tab w:val="left" w:pos="142"/>
        </w:tabs>
        <w:ind w:left="142" w:hanging="142"/>
        <w:jc w:val="both"/>
        <w:rPr>
          <w:rFonts w:ascii="Times New Roman" w:hAnsi="Times New Roman" w:cs="Times New Roman"/>
          <w:sz w:val="18"/>
          <w:szCs w:val="18"/>
        </w:rPr>
      </w:pPr>
      <w:r>
        <w:rPr>
          <w:rFonts w:ascii="Times New Roman" w:hAnsi="Times New Roman"/>
          <w:sz w:val="18"/>
          <w:szCs w:val="18"/>
        </w:rPr>
        <w:t xml:space="preserve">• Регламент (ЕС) 2017/1601 за създаване на Европейски фонд за устойчиво развитие (ЕФУР), гаранция от ЕФУР и Гаранционен фонд на ЕФУР; </w:t>
      </w:r>
    </w:p>
    <w:p w14:paraId="5E130069" w14:textId="7C1C8F07" w:rsidR="00E83FFE" w:rsidRPr="00B83665" w:rsidRDefault="00AA3E7A" w:rsidP="00AA3E7A">
      <w:pPr>
        <w:pStyle w:val="FootnoteText"/>
        <w:tabs>
          <w:tab w:val="left" w:pos="142"/>
        </w:tabs>
        <w:ind w:left="142" w:hanging="142"/>
        <w:jc w:val="both"/>
        <w:rPr>
          <w:rFonts w:ascii="Times New Roman" w:hAnsi="Times New Roman" w:cs="Times New Roman"/>
          <w:spacing w:val="-2"/>
          <w:sz w:val="18"/>
          <w:szCs w:val="18"/>
        </w:rPr>
      </w:pPr>
      <w:r>
        <w:rPr>
          <w:rFonts w:ascii="Times New Roman" w:hAnsi="Times New Roman"/>
          <w:sz w:val="18"/>
          <w:szCs w:val="18"/>
        </w:rPr>
        <w:t xml:space="preserve">• </w:t>
      </w:r>
      <w:r w:rsidR="00E83FFE">
        <w:rPr>
          <w:rFonts w:ascii="Times New Roman" w:hAnsi="Times New Roman"/>
          <w:sz w:val="18"/>
          <w:szCs w:val="18"/>
        </w:rPr>
        <w:t>Решение (ЕС) 2018/412 за изменение на Решение № 466/2014/ЕС за предоставяне на гаранция от ЕС на Европейската инвестиционна банка за загуби по операции по финансиране на инвестиционни проекти извън Съюза (мандат за външно кредитиране);</w:t>
      </w:r>
    </w:p>
    <w:p w14:paraId="1A0398AF" w14:textId="77777777" w:rsidR="00E83FFE" w:rsidRPr="00B83665" w:rsidRDefault="00E83FFE" w:rsidP="00AA3E7A">
      <w:pPr>
        <w:pStyle w:val="FootnoteText"/>
        <w:tabs>
          <w:tab w:val="left" w:pos="142"/>
        </w:tabs>
        <w:ind w:left="142" w:hanging="142"/>
        <w:jc w:val="both"/>
        <w:rPr>
          <w:rFonts w:ascii="Times New Roman" w:hAnsi="Times New Roman" w:cs="Times New Roman"/>
          <w:spacing w:val="-2"/>
          <w:sz w:val="18"/>
          <w:szCs w:val="18"/>
          <w:shd w:val="clear" w:color="auto" w:fill="FFFFFF"/>
        </w:rPr>
      </w:pPr>
      <w:r>
        <w:rPr>
          <w:rFonts w:ascii="Times New Roman" w:hAnsi="Times New Roman"/>
          <w:sz w:val="18"/>
          <w:szCs w:val="18"/>
        </w:rPr>
        <w:t>• Регламент (ЕС) 2018/409 за изменение на Регламент 480/2009 на Съвета относно създаване на Гаранционен фонд за външни дейности.</w:t>
      </w:r>
    </w:p>
  </w:footnote>
  <w:footnote w:id="35">
    <w:p w14:paraId="17053191" w14:textId="77777777" w:rsidR="00E83FFE" w:rsidRPr="00B83665" w:rsidRDefault="00E83FFE" w:rsidP="00B83665">
      <w:pPr>
        <w:pStyle w:val="FootnoteText"/>
        <w:tabs>
          <w:tab w:val="left" w:pos="142"/>
        </w:tabs>
        <w:ind w:left="142" w:hanging="142"/>
        <w:jc w:val="both"/>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18"/>
          <w:szCs w:val="18"/>
        </w:rPr>
        <w:t xml:space="preserve">Работен документ на службите на Комисията относно </w:t>
      </w:r>
      <w:hyperlink r:id="rId27" w:history="1">
        <w:r>
          <w:rPr>
            <w:rStyle w:val="Hyperlink"/>
            <w:rFonts w:ascii="Times New Roman" w:hAnsi="Times New Roman"/>
            <w:sz w:val="18"/>
            <w:szCs w:val="18"/>
          </w:rPr>
          <w:t>стартирането на системата за мониторинг на качеството на изпълнението на Глобална Европа с включена ревизирана рамка за резултатите от Глобална Европа</w:t>
        </w:r>
      </w:hyperlink>
      <w:r>
        <w:rPr>
          <w:rFonts w:ascii="Times New Roman" w:hAnsi="Times New Roman"/>
          <w:sz w:val="18"/>
          <w:szCs w:val="18"/>
        </w:rPr>
        <w:t>, 25 януари 2022 г., SWD (2022) 22 final.</w:t>
      </w:r>
    </w:p>
  </w:footnote>
  <w:footnote w:id="36">
    <w:p w14:paraId="3D4B3FCC" w14:textId="2C29C71F" w:rsidR="00E83FFE" w:rsidRPr="00B83665" w:rsidRDefault="00E83FFE" w:rsidP="0015519E">
      <w:pPr>
        <w:pStyle w:val="FootnoteText"/>
        <w:tabs>
          <w:tab w:val="left" w:pos="142"/>
        </w:tabs>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18"/>
          <w:szCs w:val="18"/>
        </w:rPr>
        <w:t>Във форума участват генералните директори с ресор развитие от всички държави членки, както и съответните генерални директори на Комисията, отговарящи за международните партньорства, за преговорите за съседство и разширяване, за европейските операции за гражданска защита и хуманитарна помощ, както и генералният секретар на Европейската служба за външна дейност. В разширения формат на „Екип Европа“ форумът включва също така висшето ръководство на агенциите за развитие и финансовите институции на държавите членки, както и на ЕИБ и ЕБВР.</w:t>
      </w:r>
    </w:p>
  </w:footnote>
  <w:footnote w:id="37">
    <w:p w14:paraId="735DBB14" w14:textId="77777777" w:rsidR="00E83FFE" w:rsidRPr="00B83665" w:rsidRDefault="00E83FFE" w:rsidP="00440720">
      <w:pPr>
        <w:pStyle w:val="FootnoteText"/>
        <w:tabs>
          <w:tab w:val="left" w:pos="142"/>
        </w:tabs>
        <w:ind w:left="142" w:hanging="142"/>
        <w:jc w:val="both"/>
        <w:rPr>
          <w:rFonts w:ascii="Times New Roman" w:hAnsi="Times New Roman" w:cs="Times New Roman"/>
          <w:sz w:val="18"/>
          <w:szCs w:val="18"/>
          <w:shd w:val="clear" w:color="auto" w:fill="FFFFFF"/>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18"/>
          <w:szCs w:val="18"/>
          <w:shd w:val="clear" w:color="auto" w:fill="FFFFFF"/>
        </w:rPr>
        <w:t>Опростените начини за финансиране следва все пак да са в съответствие с принципа на добро финансово управление, и по-специално с принципите на икономичност, ефективност и избягване на двойно финансиране.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861A3" w14:textId="77777777" w:rsidR="00501532" w:rsidRPr="00501532" w:rsidRDefault="00501532" w:rsidP="00501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12116" w14:textId="77777777" w:rsidR="00501532" w:rsidRPr="00501532" w:rsidRDefault="00501532" w:rsidP="0050153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1C9A6" w14:textId="77777777" w:rsidR="00501532" w:rsidRPr="00501532" w:rsidRDefault="00501532" w:rsidP="0050153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4B1B7" w14:textId="77777777" w:rsidR="00E83FFE" w:rsidRDefault="00E83F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88064" w14:textId="77777777" w:rsidR="00E83FFE" w:rsidRDefault="00E83F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6F7C3" w14:textId="77777777" w:rsidR="00E83FFE" w:rsidRDefault="00E83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B4455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C066C"/>
    <w:multiLevelType w:val="hybridMultilevel"/>
    <w:tmpl w:val="34562E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792CA2"/>
    <w:multiLevelType w:val="hybridMultilevel"/>
    <w:tmpl w:val="F2D0D6A2"/>
    <w:lvl w:ilvl="0" w:tplc="695204D0">
      <w:numFmt w:val="bullet"/>
      <w:lvlText w:val="-"/>
      <w:lvlJc w:val="left"/>
      <w:pPr>
        <w:ind w:left="720" w:hanging="360"/>
      </w:pPr>
      <w:rPr>
        <w:rFonts w:ascii="Times New Roman" w:eastAsiaTheme="minorEastAsia" w:hAnsi="Times New Roman" w:cs="Times New Roman"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0B936F8"/>
    <w:multiLevelType w:val="hybridMultilevel"/>
    <w:tmpl w:val="075EEA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2DF1CF5"/>
    <w:multiLevelType w:val="hybridMultilevel"/>
    <w:tmpl w:val="7876D87E"/>
    <w:lvl w:ilvl="0" w:tplc="F51243E0">
      <w:start w:val="1"/>
      <w:numFmt w:val="bullet"/>
      <w:lvlText w:val=""/>
      <w:lvlJc w:val="left"/>
      <w:pPr>
        <w:ind w:left="720" w:hanging="360"/>
      </w:pPr>
      <w:rPr>
        <w:rFonts w:ascii="Symbol" w:hAnsi="Symbol"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DC00CFC"/>
    <w:multiLevelType w:val="multilevel"/>
    <w:tmpl w:val="3B36DE12"/>
    <w:lvl w:ilvl="0">
      <w:start w:val="1"/>
      <w:numFmt w:val="decimal"/>
      <w:pStyle w:val="Heading2"/>
      <w:lvlText w:val="%1."/>
      <w:lvlJc w:val="left"/>
      <w:pPr>
        <w:ind w:left="786" w:hanging="360"/>
      </w:pPr>
      <w:rPr>
        <w:rFonts w:hint="default"/>
      </w:rPr>
    </w:lvl>
    <w:lvl w:ilvl="1">
      <w:start w:val="1"/>
      <w:numFmt w:val="decimal"/>
      <w:pStyle w:val="Heading3"/>
      <w:isLgl/>
      <w:lvlText w:val="%1.%2"/>
      <w:lvlJc w:val="left"/>
      <w:pPr>
        <w:ind w:left="589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946" w:hanging="2520"/>
      </w:pPr>
      <w:rPr>
        <w:rFonts w:hint="default"/>
      </w:rPr>
    </w:lvl>
  </w:abstractNum>
  <w:abstractNum w:abstractNumId="6" w15:restartNumberingAfterBreak="0">
    <w:nsid w:val="29DC1093"/>
    <w:multiLevelType w:val="hybridMultilevel"/>
    <w:tmpl w:val="2564D0F8"/>
    <w:lvl w:ilvl="0" w:tplc="695204D0">
      <w:numFmt w:val="bullet"/>
      <w:lvlText w:val="-"/>
      <w:lvlJc w:val="left"/>
      <w:pPr>
        <w:ind w:left="720" w:hanging="360"/>
      </w:pPr>
      <w:rPr>
        <w:rFonts w:ascii="Times New Roman" w:eastAsiaTheme="minorEastAsia"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AF76E7A"/>
    <w:multiLevelType w:val="singleLevel"/>
    <w:tmpl w:val="C74C5A32"/>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8" w15:restartNumberingAfterBreak="0">
    <w:nsid w:val="47C0459B"/>
    <w:multiLevelType w:val="hybridMultilevel"/>
    <w:tmpl w:val="21DE8FB0"/>
    <w:lvl w:ilvl="0" w:tplc="001C70AE">
      <w:start w:val="1"/>
      <w:numFmt w:val="bullet"/>
      <w:lvlText w:val=""/>
      <w:lvlJc w:val="left"/>
      <w:pPr>
        <w:ind w:left="720" w:hanging="360"/>
      </w:pPr>
      <w:rPr>
        <w:rFonts w:ascii="Symbol" w:hAnsi="Symbol" w:hint="default"/>
        <w:color w:val="000000" w:themeColor="text1"/>
        <w:sz w:val="24"/>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58D36C44"/>
    <w:multiLevelType w:val="hybridMultilevel"/>
    <w:tmpl w:val="8BEED218"/>
    <w:lvl w:ilvl="0" w:tplc="16340B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2BA4881"/>
    <w:multiLevelType w:val="multilevel"/>
    <w:tmpl w:val="04090027"/>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0"/>
  </w:num>
  <w:num w:numId="2">
    <w:abstractNumId w:val="5"/>
  </w:num>
  <w:num w:numId="3">
    <w:abstractNumId w:val="8"/>
  </w:num>
  <w:num w:numId="4">
    <w:abstractNumId w:val="4"/>
  </w:num>
  <w:num w:numId="5">
    <w:abstractNumId w:val="3"/>
  </w:num>
  <w:num w:numId="6">
    <w:abstractNumId w:val="2"/>
  </w:num>
  <w:num w:numId="7">
    <w:abstractNumId w:val="6"/>
  </w:num>
  <w:num w:numId="8">
    <w:abstractNumId w:val="10"/>
  </w:num>
  <w:num w:numId="9">
    <w:abstractNumId w:val="10"/>
  </w:num>
  <w:num w:numId="10">
    <w:abstractNumId w:val="10"/>
  </w:num>
  <w:num w:numId="11">
    <w:abstractNumId w:val="10"/>
  </w:num>
  <w:num w:numId="12">
    <w:abstractNumId w:val="10"/>
  </w:num>
  <w:num w:numId="13">
    <w:abstractNumId w:val="5"/>
  </w:num>
  <w:num w:numId="14">
    <w:abstractNumId w:val="5"/>
  </w:num>
  <w:num w:numId="15">
    <w:abstractNumId w:val="9"/>
  </w:num>
  <w:num w:numId="16">
    <w:abstractNumId w:val="2"/>
  </w:num>
  <w:num w:numId="17">
    <w:abstractNumId w:val="0"/>
  </w:num>
  <w:num w:numId="1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revisionView w:markup="0"/>
  <w:doNotTrackFormatting/>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2CB06661-B6D4-4537-963B-F21F6EC167BB"/>
    <w:docVar w:name="LW_COVERPAGE_TYPE" w:val="1"/>
    <w:docVar w:name="LW_CROSSREFERENCE" w:val="&lt;UNUSED&gt;"/>
    <w:docVar w:name="LW_DocType" w:val="NORMAL"/>
    <w:docVar w:name="LW_EMISSION" w:val="24.3.2022"/>
    <w:docVar w:name="LW_EMISSION_ISODATE" w:val="2022-03-24"/>
    <w:docVar w:name="LW_EMISSION_LOCATION" w:val="BRX"/>
    <w:docVar w:name="LW_EMISSION_PREFIX" w:val="\u1041?\u1088?\u1102?\u1082?\u1089?\u1077?\u1083?, "/>
    <w:docVar w:name="LW_EMISSION_SUFFIX" w:val=" \u1075?."/>
    <w:docVar w:name="LW_ID_DOCTYPE_NONLW" w:val="CP-00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2) 1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Пътна карта на Комисията за подобряване на европейската финансова архитектура за развитие и доклад за напредъка за 2021 г."/>
    <w:docVar w:name="LW_TYPE.DOC.CP" w:val="ДОКЛАД НА КОМИСИЯТА ДО СЪВЕТА"/>
    <w:docVar w:name="LwApiVersions" w:val="LW4CoDe 1.23.2.0; LW 8.0, Build 20211117"/>
  </w:docVars>
  <w:rsids>
    <w:rsidRoot w:val="003F3FA8"/>
    <w:rsid w:val="00000061"/>
    <w:rsid w:val="0000168C"/>
    <w:rsid w:val="000019CB"/>
    <w:rsid w:val="00002398"/>
    <w:rsid w:val="0000243D"/>
    <w:rsid w:val="00002873"/>
    <w:rsid w:val="00003000"/>
    <w:rsid w:val="0000365F"/>
    <w:rsid w:val="0000381D"/>
    <w:rsid w:val="00003E64"/>
    <w:rsid w:val="000044DD"/>
    <w:rsid w:val="000058BD"/>
    <w:rsid w:val="00005A1A"/>
    <w:rsid w:val="00005C09"/>
    <w:rsid w:val="0000655C"/>
    <w:rsid w:val="0000679D"/>
    <w:rsid w:val="00007910"/>
    <w:rsid w:val="00010C80"/>
    <w:rsid w:val="00011CE9"/>
    <w:rsid w:val="00011D0A"/>
    <w:rsid w:val="0001213D"/>
    <w:rsid w:val="0001255F"/>
    <w:rsid w:val="00012976"/>
    <w:rsid w:val="00012EF1"/>
    <w:rsid w:val="00013844"/>
    <w:rsid w:val="00013B57"/>
    <w:rsid w:val="00013DA7"/>
    <w:rsid w:val="0001410F"/>
    <w:rsid w:val="000149FD"/>
    <w:rsid w:val="00014C75"/>
    <w:rsid w:val="00014F96"/>
    <w:rsid w:val="00015356"/>
    <w:rsid w:val="00015519"/>
    <w:rsid w:val="00016168"/>
    <w:rsid w:val="00016BBD"/>
    <w:rsid w:val="00017C0A"/>
    <w:rsid w:val="00017C4D"/>
    <w:rsid w:val="00020311"/>
    <w:rsid w:val="0002034C"/>
    <w:rsid w:val="00020765"/>
    <w:rsid w:val="00020A40"/>
    <w:rsid w:val="00020AC0"/>
    <w:rsid w:val="00020F5B"/>
    <w:rsid w:val="00021BF1"/>
    <w:rsid w:val="0002226F"/>
    <w:rsid w:val="0002287A"/>
    <w:rsid w:val="000231C8"/>
    <w:rsid w:val="00023A67"/>
    <w:rsid w:val="000244A6"/>
    <w:rsid w:val="000246CA"/>
    <w:rsid w:val="00025344"/>
    <w:rsid w:val="00026216"/>
    <w:rsid w:val="00026415"/>
    <w:rsid w:val="00026F95"/>
    <w:rsid w:val="000303E7"/>
    <w:rsid w:val="00030F6B"/>
    <w:rsid w:val="0003167A"/>
    <w:rsid w:val="00031832"/>
    <w:rsid w:val="00032219"/>
    <w:rsid w:val="00033195"/>
    <w:rsid w:val="00033D81"/>
    <w:rsid w:val="00033E4A"/>
    <w:rsid w:val="000346A3"/>
    <w:rsid w:val="00034ABD"/>
    <w:rsid w:val="00035BEE"/>
    <w:rsid w:val="00036039"/>
    <w:rsid w:val="00036663"/>
    <w:rsid w:val="0003745C"/>
    <w:rsid w:val="00037E98"/>
    <w:rsid w:val="0004005D"/>
    <w:rsid w:val="000409C2"/>
    <w:rsid w:val="00040C59"/>
    <w:rsid w:val="00040E09"/>
    <w:rsid w:val="00041142"/>
    <w:rsid w:val="000420E9"/>
    <w:rsid w:val="000424CA"/>
    <w:rsid w:val="0004299B"/>
    <w:rsid w:val="00043CAD"/>
    <w:rsid w:val="00045142"/>
    <w:rsid w:val="00045678"/>
    <w:rsid w:val="0004581D"/>
    <w:rsid w:val="00045CB4"/>
    <w:rsid w:val="00045EA2"/>
    <w:rsid w:val="0004673B"/>
    <w:rsid w:val="00046A39"/>
    <w:rsid w:val="0004709F"/>
    <w:rsid w:val="00047254"/>
    <w:rsid w:val="00047653"/>
    <w:rsid w:val="000479B9"/>
    <w:rsid w:val="00051624"/>
    <w:rsid w:val="00051C66"/>
    <w:rsid w:val="000522F4"/>
    <w:rsid w:val="000540F7"/>
    <w:rsid w:val="00054236"/>
    <w:rsid w:val="000547D6"/>
    <w:rsid w:val="00054CF0"/>
    <w:rsid w:val="0005511A"/>
    <w:rsid w:val="000554E8"/>
    <w:rsid w:val="00056004"/>
    <w:rsid w:val="000567D4"/>
    <w:rsid w:val="00056C1D"/>
    <w:rsid w:val="00057616"/>
    <w:rsid w:val="00057FB7"/>
    <w:rsid w:val="00060364"/>
    <w:rsid w:val="0006124C"/>
    <w:rsid w:val="00062098"/>
    <w:rsid w:val="00062AFE"/>
    <w:rsid w:val="00062B04"/>
    <w:rsid w:val="00063918"/>
    <w:rsid w:val="000642CF"/>
    <w:rsid w:val="00065442"/>
    <w:rsid w:val="00066294"/>
    <w:rsid w:val="00070169"/>
    <w:rsid w:val="0007044E"/>
    <w:rsid w:val="00070ACC"/>
    <w:rsid w:val="000714F4"/>
    <w:rsid w:val="00071C33"/>
    <w:rsid w:val="00074BCC"/>
    <w:rsid w:val="00075050"/>
    <w:rsid w:val="00075405"/>
    <w:rsid w:val="00075CE8"/>
    <w:rsid w:val="000770E4"/>
    <w:rsid w:val="000774BB"/>
    <w:rsid w:val="00080593"/>
    <w:rsid w:val="00080981"/>
    <w:rsid w:val="00080D3F"/>
    <w:rsid w:val="00080E8E"/>
    <w:rsid w:val="00081059"/>
    <w:rsid w:val="00082317"/>
    <w:rsid w:val="00082D71"/>
    <w:rsid w:val="000830E6"/>
    <w:rsid w:val="00083936"/>
    <w:rsid w:val="0008475D"/>
    <w:rsid w:val="00084E92"/>
    <w:rsid w:val="00085132"/>
    <w:rsid w:val="0008591D"/>
    <w:rsid w:val="000861DB"/>
    <w:rsid w:val="00086B2C"/>
    <w:rsid w:val="00086F60"/>
    <w:rsid w:val="000871FB"/>
    <w:rsid w:val="000874E3"/>
    <w:rsid w:val="00087972"/>
    <w:rsid w:val="0009025C"/>
    <w:rsid w:val="00090988"/>
    <w:rsid w:val="00090F7D"/>
    <w:rsid w:val="000919A9"/>
    <w:rsid w:val="00092C39"/>
    <w:rsid w:val="0009447B"/>
    <w:rsid w:val="000952D4"/>
    <w:rsid w:val="0009568D"/>
    <w:rsid w:val="00095A65"/>
    <w:rsid w:val="00095B5B"/>
    <w:rsid w:val="00095EE9"/>
    <w:rsid w:val="0009602C"/>
    <w:rsid w:val="000975CE"/>
    <w:rsid w:val="000979FF"/>
    <w:rsid w:val="000A006D"/>
    <w:rsid w:val="000A02B0"/>
    <w:rsid w:val="000A0473"/>
    <w:rsid w:val="000A053D"/>
    <w:rsid w:val="000A0D0D"/>
    <w:rsid w:val="000A2A54"/>
    <w:rsid w:val="000A2AD8"/>
    <w:rsid w:val="000A35DC"/>
    <w:rsid w:val="000A3718"/>
    <w:rsid w:val="000A4787"/>
    <w:rsid w:val="000A5857"/>
    <w:rsid w:val="000A7489"/>
    <w:rsid w:val="000B02D4"/>
    <w:rsid w:val="000B07D6"/>
    <w:rsid w:val="000B09F5"/>
    <w:rsid w:val="000B1252"/>
    <w:rsid w:val="000B1466"/>
    <w:rsid w:val="000B18E0"/>
    <w:rsid w:val="000B20FE"/>
    <w:rsid w:val="000B2AD0"/>
    <w:rsid w:val="000B2DCD"/>
    <w:rsid w:val="000B3267"/>
    <w:rsid w:val="000B36E1"/>
    <w:rsid w:val="000B3787"/>
    <w:rsid w:val="000B4118"/>
    <w:rsid w:val="000B44C8"/>
    <w:rsid w:val="000B5586"/>
    <w:rsid w:val="000B575B"/>
    <w:rsid w:val="000B5A78"/>
    <w:rsid w:val="000B612A"/>
    <w:rsid w:val="000B6177"/>
    <w:rsid w:val="000B70EF"/>
    <w:rsid w:val="000B7136"/>
    <w:rsid w:val="000B762D"/>
    <w:rsid w:val="000B763B"/>
    <w:rsid w:val="000C0872"/>
    <w:rsid w:val="000C16F2"/>
    <w:rsid w:val="000C213D"/>
    <w:rsid w:val="000C23D8"/>
    <w:rsid w:val="000C2D4A"/>
    <w:rsid w:val="000C3409"/>
    <w:rsid w:val="000C393F"/>
    <w:rsid w:val="000C48C4"/>
    <w:rsid w:val="000C4A94"/>
    <w:rsid w:val="000C4E9A"/>
    <w:rsid w:val="000C5E10"/>
    <w:rsid w:val="000C7405"/>
    <w:rsid w:val="000D03B8"/>
    <w:rsid w:val="000D05FE"/>
    <w:rsid w:val="000D07B8"/>
    <w:rsid w:val="000D0815"/>
    <w:rsid w:val="000D144A"/>
    <w:rsid w:val="000D1600"/>
    <w:rsid w:val="000D17D7"/>
    <w:rsid w:val="000D1F1C"/>
    <w:rsid w:val="000D2A5E"/>
    <w:rsid w:val="000D32B4"/>
    <w:rsid w:val="000D3854"/>
    <w:rsid w:val="000D4659"/>
    <w:rsid w:val="000D4B75"/>
    <w:rsid w:val="000D524B"/>
    <w:rsid w:val="000D56E6"/>
    <w:rsid w:val="000D5E1B"/>
    <w:rsid w:val="000D6455"/>
    <w:rsid w:val="000D6581"/>
    <w:rsid w:val="000D6902"/>
    <w:rsid w:val="000D6D9C"/>
    <w:rsid w:val="000E04F2"/>
    <w:rsid w:val="000E06DD"/>
    <w:rsid w:val="000E0CF4"/>
    <w:rsid w:val="000E137D"/>
    <w:rsid w:val="000E14C8"/>
    <w:rsid w:val="000E1E27"/>
    <w:rsid w:val="000E3573"/>
    <w:rsid w:val="000E38D3"/>
    <w:rsid w:val="000E3940"/>
    <w:rsid w:val="000E4ABD"/>
    <w:rsid w:val="000E4E80"/>
    <w:rsid w:val="000E56F8"/>
    <w:rsid w:val="000E60A2"/>
    <w:rsid w:val="000E732F"/>
    <w:rsid w:val="000E7B17"/>
    <w:rsid w:val="000E7DE2"/>
    <w:rsid w:val="000F00AD"/>
    <w:rsid w:val="000F022C"/>
    <w:rsid w:val="000F08BB"/>
    <w:rsid w:val="000F119E"/>
    <w:rsid w:val="000F12E9"/>
    <w:rsid w:val="000F13BE"/>
    <w:rsid w:val="000F1A1D"/>
    <w:rsid w:val="000F23A8"/>
    <w:rsid w:val="000F302F"/>
    <w:rsid w:val="000F39BD"/>
    <w:rsid w:val="000F3A96"/>
    <w:rsid w:val="000F40A3"/>
    <w:rsid w:val="000F46AA"/>
    <w:rsid w:val="000F4E2C"/>
    <w:rsid w:val="000F55D4"/>
    <w:rsid w:val="000F563A"/>
    <w:rsid w:val="000F734D"/>
    <w:rsid w:val="0010058B"/>
    <w:rsid w:val="00100891"/>
    <w:rsid w:val="00100CDD"/>
    <w:rsid w:val="001011DB"/>
    <w:rsid w:val="00101523"/>
    <w:rsid w:val="00101E9F"/>
    <w:rsid w:val="0010264A"/>
    <w:rsid w:val="00102805"/>
    <w:rsid w:val="00102B2D"/>
    <w:rsid w:val="00104E5B"/>
    <w:rsid w:val="00105649"/>
    <w:rsid w:val="00105676"/>
    <w:rsid w:val="00105F6C"/>
    <w:rsid w:val="001066A3"/>
    <w:rsid w:val="00106F69"/>
    <w:rsid w:val="00107004"/>
    <w:rsid w:val="00107346"/>
    <w:rsid w:val="001073E1"/>
    <w:rsid w:val="00110169"/>
    <w:rsid w:val="00110D12"/>
    <w:rsid w:val="001119BE"/>
    <w:rsid w:val="00111B29"/>
    <w:rsid w:val="00111C42"/>
    <w:rsid w:val="0011258F"/>
    <w:rsid w:val="00112644"/>
    <w:rsid w:val="00113770"/>
    <w:rsid w:val="001139FF"/>
    <w:rsid w:val="00113AC7"/>
    <w:rsid w:val="0011416C"/>
    <w:rsid w:val="001143BD"/>
    <w:rsid w:val="00114805"/>
    <w:rsid w:val="00114F8A"/>
    <w:rsid w:val="0011585B"/>
    <w:rsid w:val="00115C9F"/>
    <w:rsid w:val="0011741D"/>
    <w:rsid w:val="00117D8A"/>
    <w:rsid w:val="0012078D"/>
    <w:rsid w:val="00120C43"/>
    <w:rsid w:val="001211EC"/>
    <w:rsid w:val="00121EA5"/>
    <w:rsid w:val="0012265F"/>
    <w:rsid w:val="0012271A"/>
    <w:rsid w:val="001231A9"/>
    <w:rsid w:val="001235AB"/>
    <w:rsid w:val="00124C0F"/>
    <w:rsid w:val="00125A5B"/>
    <w:rsid w:val="00126678"/>
    <w:rsid w:val="00126B98"/>
    <w:rsid w:val="0013083D"/>
    <w:rsid w:val="00130D55"/>
    <w:rsid w:val="001319AF"/>
    <w:rsid w:val="00131B8E"/>
    <w:rsid w:val="00131D63"/>
    <w:rsid w:val="001320AA"/>
    <w:rsid w:val="00132567"/>
    <w:rsid w:val="0013277D"/>
    <w:rsid w:val="0013298C"/>
    <w:rsid w:val="00132BF2"/>
    <w:rsid w:val="00132D85"/>
    <w:rsid w:val="00132FD0"/>
    <w:rsid w:val="00133367"/>
    <w:rsid w:val="0013390E"/>
    <w:rsid w:val="001341E4"/>
    <w:rsid w:val="001342B0"/>
    <w:rsid w:val="00134799"/>
    <w:rsid w:val="00135014"/>
    <w:rsid w:val="00135228"/>
    <w:rsid w:val="00135A90"/>
    <w:rsid w:val="001360F4"/>
    <w:rsid w:val="00136821"/>
    <w:rsid w:val="001371EA"/>
    <w:rsid w:val="00137577"/>
    <w:rsid w:val="00137D6C"/>
    <w:rsid w:val="00137ED0"/>
    <w:rsid w:val="00140387"/>
    <w:rsid w:val="00140C3E"/>
    <w:rsid w:val="00141753"/>
    <w:rsid w:val="00142039"/>
    <w:rsid w:val="001420D2"/>
    <w:rsid w:val="0014241E"/>
    <w:rsid w:val="0014380E"/>
    <w:rsid w:val="00143815"/>
    <w:rsid w:val="00143BA5"/>
    <w:rsid w:val="00143D52"/>
    <w:rsid w:val="001450D6"/>
    <w:rsid w:val="001457B3"/>
    <w:rsid w:val="00145A29"/>
    <w:rsid w:val="001476EC"/>
    <w:rsid w:val="0015016E"/>
    <w:rsid w:val="00150818"/>
    <w:rsid w:val="00150DD5"/>
    <w:rsid w:val="00150E1C"/>
    <w:rsid w:val="00151BFD"/>
    <w:rsid w:val="00152B50"/>
    <w:rsid w:val="00153159"/>
    <w:rsid w:val="001537A7"/>
    <w:rsid w:val="00154DD3"/>
    <w:rsid w:val="00155008"/>
    <w:rsid w:val="0015519E"/>
    <w:rsid w:val="00155382"/>
    <w:rsid w:val="00155819"/>
    <w:rsid w:val="0015589D"/>
    <w:rsid w:val="00155DD2"/>
    <w:rsid w:val="00156279"/>
    <w:rsid w:val="00156412"/>
    <w:rsid w:val="001567A7"/>
    <w:rsid w:val="00157392"/>
    <w:rsid w:val="00157D39"/>
    <w:rsid w:val="00157F54"/>
    <w:rsid w:val="0016054A"/>
    <w:rsid w:val="001605C9"/>
    <w:rsid w:val="00160716"/>
    <w:rsid w:val="00161B1C"/>
    <w:rsid w:val="00161D20"/>
    <w:rsid w:val="00161F8C"/>
    <w:rsid w:val="00162775"/>
    <w:rsid w:val="00162FD8"/>
    <w:rsid w:val="00164732"/>
    <w:rsid w:val="001649F2"/>
    <w:rsid w:val="0016505F"/>
    <w:rsid w:val="00165861"/>
    <w:rsid w:val="00167625"/>
    <w:rsid w:val="0016783F"/>
    <w:rsid w:val="00167C56"/>
    <w:rsid w:val="00167C5A"/>
    <w:rsid w:val="001706F4"/>
    <w:rsid w:val="001708CD"/>
    <w:rsid w:val="00170C43"/>
    <w:rsid w:val="00170E7F"/>
    <w:rsid w:val="00171715"/>
    <w:rsid w:val="001718D0"/>
    <w:rsid w:val="00173C6C"/>
    <w:rsid w:val="00173F84"/>
    <w:rsid w:val="001749F3"/>
    <w:rsid w:val="00176216"/>
    <w:rsid w:val="0017697C"/>
    <w:rsid w:val="00177CDB"/>
    <w:rsid w:val="00180340"/>
    <w:rsid w:val="00180611"/>
    <w:rsid w:val="00180AF6"/>
    <w:rsid w:val="0018164E"/>
    <w:rsid w:val="00181F30"/>
    <w:rsid w:val="001826E0"/>
    <w:rsid w:val="001835FB"/>
    <w:rsid w:val="00183BD5"/>
    <w:rsid w:val="00184648"/>
    <w:rsid w:val="00184683"/>
    <w:rsid w:val="001846F7"/>
    <w:rsid w:val="001862B7"/>
    <w:rsid w:val="00186741"/>
    <w:rsid w:val="00186953"/>
    <w:rsid w:val="001879B8"/>
    <w:rsid w:val="001884AE"/>
    <w:rsid w:val="00190040"/>
    <w:rsid w:val="00190530"/>
    <w:rsid w:val="001910BD"/>
    <w:rsid w:val="001916C3"/>
    <w:rsid w:val="001920A1"/>
    <w:rsid w:val="00192488"/>
    <w:rsid w:val="00193518"/>
    <w:rsid w:val="001944F2"/>
    <w:rsid w:val="001947B9"/>
    <w:rsid w:val="001948C6"/>
    <w:rsid w:val="00194F57"/>
    <w:rsid w:val="00195439"/>
    <w:rsid w:val="001954DB"/>
    <w:rsid w:val="001962B1"/>
    <w:rsid w:val="00197446"/>
    <w:rsid w:val="00197B46"/>
    <w:rsid w:val="00197C56"/>
    <w:rsid w:val="001A000D"/>
    <w:rsid w:val="001A06F1"/>
    <w:rsid w:val="001A0B7E"/>
    <w:rsid w:val="001A10F4"/>
    <w:rsid w:val="001A1954"/>
    <w:rsid w:val="001A2DE0"/>
    <w:rsid w:val="001A2EF0"/>
    <w:rsid w:val="001A3F05"/>
    <w:rsid w:val="001A3F51"/>
    <w:rsid w:val="001A55AD"/>
    <w:rsid w:val="001A566A"/>
    <w:rsid w:val="001A615D"/>
    <w:rsid w:val="001A63C5"/>
    <w:rsid w:val="001A78A2"/>
    <w:rsid w:val="001A7B4E"/>
    <w:rsid w:val="001B0917"/>
    <w:rsid w:val="001B0B83"/>
    <w:rsid w:val="001B1946"/>
    <w:rsid w:val="001B1E5A"/>
    <w:rsid w:val="001B26E1"/>
    <w:rsid w:val="001B28B3"/>
    <w:rsid w:val="001B2C03"/>
    <w:rsid w:val="001B2CF8"/>
    <w:rsid w:val="001B3AF9"/>
    <w:rsid w:val="001B3F70"/>
    <w:rsid w:val="001B43CC"/>
    <w:rsid w:val="001B4724"/>
    <w:rsid w:val="001B47F8"/>
    <w:rsid w:val="001B5C39"/>
    <w:rsid w:val="001B5DF6"/>
    <w:rsid w:val="001B5EA0"/>
    <w:rsid w:val="001B61E7"/>
    <w:rsid w:val="001B70E9"/>
    <w:rsid w:val="001B7104"/>
    <w:rsid w:val="001B747B"/>
    <w:rsid w:val="001B77F4"/>
    <w:rsid w:val="001B7D90"/>
    <w:rsid w:val="001C0115"/>
    <w:rsid w:val="001C1AF0"/>
    <w:rsid w:val="001C1D0D"/>
    <w:rsid w:val="001C2D30"/>
    <w:rsid w:val="001C36DF"/>
    <w:rsid w:val="001C3CA7"/>
    <w:rsid w:val="001C3E5A"/>
    <w:rsid w:val="001C407A"/>
    <w:rsid w:val="001C57CF"/>
    <w:rsid w:val="001C5A29"/>
    <w:rsid w:val="001C5AC3"/>
    <w:rsid w:val="001C5B57"/>
    <w:rsid w:val="001C5EEE"/>
    <w:rsid w:val="001C64DC"/>
    <w:rsid w:val="001C7216"/>
    <w:rsid w:val="001C72B1"/>
    <w:rsid w:val="001C74C0"/>
    <w:rsid w:val="001C7673"/>
    <w:rsid w:val="001C7A92"/>
    <w:rsid w:val="001D0588"/>
    <w:rsid w:val="001D0C8C"/>
    <w:rsid w:val="001D12B4"/>
    <w:rsid w:val="001D1C3F"/>
    <w:rsid w:val="001D1EB2"/>
    <w:rsid w:val="001D26E4"/>
    <w:rsid w:val="001D2C7D"/>
    <w:rsid w:val="001D2DD0"/>
    <w:rsid w:val="001D2EB1"/>
    <w:rsid w:val="001D31B1"/>
    <w:rsid w:val="001D4817"/>
    <w:rsid w:val="001D48BE"/>
    <w:rsid w:val="001D4BB3"/>
    <w:rsid w:val="001D4E9B"/>
    <w:rsid w:val="001D518F"/>
    <w:rsid w:val="001D5969"/>
    <w:rsid w:val="001D5C99"/>
    <w:rsid w:val="001D5EE4"/>
    <w:rsid w:val="001D625B"/>
    <w:rsid w:val="001D74F5"/>
    <w:rsid w:val="001D7828"/>
    <w:rsid w:val="001E0AAE"/>
    <w:rsid w:val="001E0CEC"/>
    <w:rsid w:val="001E1052"/>
    <w:rsid w:val="001E1443"/>
    <w:rsid w:val="001E18B9"/>
    <w:rsid w:val="001E1B3A"/>
    <w:rsid w:val="001E1F08"/>
    <w:rsid w:val="001E21E9"/>
    <w:rsid w:val="001E2BB5"/>
    <w:rsid w:val="001E3865"/>
    <w:rsid w:val="001E4457"/>
    <w:rsid w:val="001E44D5"/>
    <w:rsid w:val="001E65B9"/>
    <w:rsid w:val="001E6E53"/>
    <w:rsid w:val="001E6ECC"/>
    <w:rsid w:val="001E799F"/>
    <w:rsid w:val="001E7C7F"/>
    <w:rsid w:val="001F0267"/>
    <w:rsid w:val="001F0851"/>
    <w:rsid w:val="001F13F1"/>
    <w:rsid w:val="001F1B5A"/>
    <w:rsid w:val="001F1FEB"/>
    <w:rsid w:val="001F230D"/>
    <w:rsid w:val="001F3336"/>
    <w:rsid w:val="001F37DC"/>
    <w:rsid w:val="001F4203"/>
    <w:rsid w:val="001F4AF5"/>
    <w:rsid w:val="001F5437"/>
    <w:rsid w:val="001F5FE5"/>
    <w:rsid w:val="001F6054"/>
    <w:rsid w:val="001F726D"/>
    <w:rsid w:val="00200040"/>
    <w:rsid w:val="0020070C"/>
    <w:rsid w:val="002008C3"/>
    <w:rsid w:val="0020100A"/>
    <w:rsid w:val="00202085"/>
    <w:rsid w:val="00202807"/>
    <w:rsid w:val="00202D82"/>
    <w:rsid w:val="00203842"/>
    <w:rsid w:val="00204061"/>
    <w:rsid w:val="002044AF"/>
    <w:rsid w:val="00204567"/>
    <w:rsid w:val="00204C53"/>
    <w:rsid w:val="00204E42"/>
    <w:rsid w:val="0020530C"/>
    <w:rsid w:val="0020549D"/>
    <w:rsid w:val="00205D5D"/>
    <w:rsid w:val="0020671C"/>
    <w:rsid w:val="0021029C"/>
    <w:rsid w:val="00210E06"/>
    <w:rsid w:val="0021136D"/>
    <w:rsid w:val="0021198A"/>
    <w:rsid w:val="00211B3B"/>
    <w:rsid w:val="00212835"/>
    <w:rsid w:val="002129C0"/>
    <w:rsid w:val="002133DA"/>
    <w:rsid w:val="0021360A"/>
    <w:rsid w:val="00213D29"/>
    <w:rsid w:val="00214963"/>
    <w:rsid w:val="002161E7"/>
    <w:rsid w:val="002169BE"/>
    <w:rsid w:val="00216FB0"/>
    <w:rsid w:val="00220682"/>
    <w:rsid w:val="0022121D"/>
    <w:rsid w:val="002214AF"/>
    <w:rsid w:val="00221BDC"/>
    <w:rsid w:val="00221ED1"/>
    <w:rsid w:val="00222479"/>
    <w:rsid w:val="00222650"/>
    <w:rsid w:val="00222EC9"/>
    <w:rsid w:val="00223066"/>
    <w:rsid w:val="002246F7"/>
    <w:rsid w:val="00224C25"/>
    <w:rsid w:val="00225098"/>
    <w:rsid w:val="00225A83"/>
    <w:rsid w:val="0022652A"/>
    <w:rsid w:val="00226B38"/>
    <w:rsid w:val="00226BF8"/>
    <w:rsid w:val="0022724C"/>
    <w:rsid w:val="00230320"/>
    <w:rsid w:val="00230773"/>
    <w:rsid w:val="002320B0"/>
    <w:rsid w:val="0023239C"/>
    <w:rsid w:val="0023252E"/>
    <w:rsid w:val="002326B1"/>
    <w:rsid w:val="00232743"/>
    <w:rsid w:val="00232784"/>
    <w:rsid w:val="0023319E"/>
    <w:rsid w:val="0023391C"/>
    <w:rsid w:val="00234629"/>
    <w:rsid w:val="0023505A"/>
    <w:rsid w:val="00235717"/>
    <w:rsid w:val="002357E2"/>
    <w:rsid w:val="00235960"/>
    <w:rsid w:val="00235E9A"/>
    <w:rsid w:val="002367DA"/>
    <w:rsid w:val="0023681E"/>
    <w:rsid w:val="00237B88"/>
    <w:rsid w:val="00240D4F"/>
    <w:rsid w:val="002416EC"/>
    <w:rsid w:val="00242F47"/>
    <w:rsid w:val="00243DFC"/>
    <w:rsid w:val="00244364"/>
    <w:rsid w:val="00244689"/>
    <w:rsid w:val="00245002"/>
    <w:rsid w:val="00245052"/>
    <w:rsid w:val="00245ABD"/>
    <w:rsid w:val="0024670D"/>
    <w:rsid w:val="00247064"/>
    <w:rsid w:val="00247899"/>
    <w:rsid w:val="002500E4"/>
    <w:rsid w:val="00250352"/>
    <w:rsid w:val="00250B08"/>
    <w:rsid w:val="00251577"/>
    <w:rsid w:val="002516A0"/>
    <w:rsid w:val="00251D28"/>
    <w:rsid w:val="0025273C"/>
    <w:rsid w:val="00252F1D"/>
    <w:rsid w:val="00255571"/>
    <w:rsid w:val="0025608B"/>
    <w:rsid w:val="00256699"/>
    <w:rsid w:val="00256BDD"/>
    <w:rsid w:val="0025732E"/>
    <w:rsid w:val="00257F6E"/>
    <w:rsid w:val="00257FAB"/>
    <w:rsid w:val="002601B1"/>
    <w:rsid w:val="00260D77"/>
    <w:rsid w:val="00261C53"/>
    <w:rsid w:val="00263274"/>
    <w:rsid w:val="00263BD7"/>
    <w:rsid w:val="002644E4"/>
    <w:rsid w:val="00267228"/>
    <w:rsid w:val="00267D3A"/>
    <w:rsid w:val="002704BB"/>
    <w:rsid w:val="00270735"/>
    <w:rsid w:val="002709C7"/>
    <w:rsid w:val="002714F8"/>
    <w:rsid w:val="002719F5"/>
    <w:rsid w:val="002722AE"/>
    <w:rsid w:val="002728B6"/>
    <w:rsid w:val="00272987"/>
    <w:rsid w:val="00272A31"/>
    <w:rsid w:val="0027302C"/>
    <w:rsid w:val="0027323C"/>
    <w:rsid w:val="002733CC"/>
    <w:rsid w:val="00273871"/>
    <w:rsid w:val="002746C5"/>
    <w:rsid w:val="00274932"/>
    <w:rsid w:val="002765D9"/>
    <w:rsid w:val="0027793B"/>
    <w:rsid w:val="00277E0B"/>
    <w:rsid w:val="00277E11"/>
    <w:rsid w:val="002801A9"/>
    <w:rsid w:val="00280D96"/>
    <w:rsid w:val="0028159D"/>
    <w:rsid w:val="00281C3B"/>
    <w:rsid w:val="00281CB6"/>
    <w:rsid w:val="0028327C"/>
    <w:rsid w:val="00283A37"/>
    <w:rsid w:val="00283E37"/>
    <w:rsid w:val="002842A6"/>
    <w:rsid w:val="00285168"/>
    <w:rsid w:val="00285DEE"/>
    <w:rsid w:val="00285F22"/>
    <w:rsid w:val="00286498"/>
    <w:rsid w:val="00291188"/>
    <w:rsid w:val="00291E22"/>
    <w:rsid w:val="002920BC"/>
    <w:rsid w:val="002926AB"/>
    <w:rsid w:val="002928F2"/>
    <w:rsid w:val="00292C6C"/>
    <w:rsid w:val="0029338F"/>
    <w:rsid w:val="00293864"/>
    <w:rsid w:val="00293897"/>
    <w:rsid w:val="00293C8C"/>
    <w:rsid w:val="002948E6"/>
    <w:rsid w:val="002949A6"/>
    <w:rsid w:val="00295AFE"/>
    <w:rsid w:val="00295F11"/>
    <w:rsid w:val="00296291"/>
    <w:rsid w:val="0029643F"/>
    <w:rsid w:val="00296DEE"/>
    <w:rsid w:val="00297E46"/>
    <w:rsid w:val="002A014B"/>
    <w:rsid w:val="002A01D6"/>
    <w:rsid w:val="002A02C9"/>
    <w:rsid w:val="002A03BD"/>
    <w:rsid w:val="002A0BD5"/>
    <w:rsid w:val="002A18F6"/>
    <w:rsid w:val="002A22C2"/>
    <w:rsid w:val="002A485C"/>
    <w:rsid w:val="002A4D27"/>
    <w:rsid w:val="002A50E5"/>
    <w:rsid w:val="002A56ED"/>
    <w:rsid w:val="002A6BB1"/>
    <w:rsid w:val="002A7874"/>
    <w:rsid w:val="002A7A94"/>
    <w:rsid w:val="002B07C4"/>
    <w:rsid w:val="002B1AB5"/>
    <w:rsid w:val="002B22FF"/>
    <w:rsid w:val="002B3190"/>
    <w:rsid w:val="002B3ADF"/>
    <w:rsid w:val="002B3B07"/>
    <w:rsid w:val="002B3E78"/>
    <w:rsid w:val="002B5945"/>
    <w:rsid w:val="002B5E2B"/>
    <w:rsid w:val="002B60EE"/>
    <w:rsid w:val="002B7BB9"/>
    <w:rsid w:val="002C0601"/>
    <w:rsid w:val="002C0736"/>
    <w:rsid w:val="002C1E50"/>
    <w:rsid w:val="002C2034"/>
    <w:rsid w:val="002C28B5"/>
    <w:rsid w:val="002C2B9A"/>
    <w:rsid w:val="002C33E8"/>
    <w:rsid w:val="002C3E87"/>
    <w:rsid w:val="002C436A"/>
    <w:rsid w:val="002C4F79"/>
    <w:rsid w:val="002C50A9"/>
    <w:rsid w:val="002C6243"/>
    <w:rsid w:val="002C6A26"/>
    <w:rsid w:val="002C6E7C"/>
    <w:rsid w:val="002C7CBA"/>
    <w:rsid w:val="002D025B"/>
    <w:rsid w:val="002D2295"/>
    <w:rsid w:val="002D252E"/>
    <w:rsid w:val="002D2A05"/>
    <w:rsid w:val="002D3A94"/>
    <w:rsid w:val="002D4257"/>
    <w:rsid w:val="002D42F3"/>
    <w:rsid w:val="002D45F4"/>
    <w:rsid w:val="002D4DB7"/>
    <w:rsid w:val="002D4E99"/>
    <w:rsid w:val="002D549C"/>
    <w:rsid w:val="002D5CB7"/>
    <w:rsid w:val="002D705B"/>
    <w:rsid w:val="002D72FF"/>
    <w:rsid w:val="002E024F"/>
    <w:rsid w:val="002E07A1"/>
    <w:rsid w:val="002E09FA"/>
    <w:rsid w:val="002E0B7A"/>
    <w:rsid w:val="002E0E0D"/>
    <w:rsid w:val="002E1486"/>
    <w:rsid w:val="002E2165"/>
    <w:rsid w:val="002E2AB4"/>
    <w:rsid w:val="002E2B0F"/>
    <w:rsid w:val="002E3DEF"/>
    <w:rsid w:val="002E4A92"/>
    <w:rsid w:val="002E5020"/>
    <w:rsid w:val="002E51A2"/>
    <w:rsid w:val="002E524F"/>
    <w:rsid w:val="002E5D03"/>
    <w:rsid w:val="002E6391"/>
    <w:rsid w:val="002E6BD5"/>
    <w:rsid w:val="002E786C"/>
    <w:rsid w:val="002F0267"/>
    <w:rsid w:val="002F079A"/>
    <w:rsid w:val="002F1AE9"/>
    <w:rsid w:val="002F1B77"/>
    <w:rsid w:val="002F2997"/>
    <w:rsid w:val="002F3094"/>
    <w:rsid w:val="002F35E5"/>
    <w:rsid w:val="002F36C4"/>
    <w:rsid w:val="002F3DB0"/>
    <w:rsid w:val="002F40CE"/>
    <w:rsid w:val="002F43EB"/>
    <w:rsid w:val="002F52ED"/>
    <w:rsid w:val="002F63C7"/>
    <w:rsid w:val="002F6777"/>
    <w:rsid w:val="002F7311"/>
    <w:rsid w:val="002F7B4C"/>
    <w:rsid w:val="003001F3"/>
    <w:rsid w:val="0030071D"/>
    <w:rsid w:val="00300EB6"/>
    <w:rsid w:val="0030232C"/>
    <w:rsid w:val="00302A81"/>
    <w:rsid w:val="00303DDF"/>
    <w:rsid w:val="00304D31"/>
    <w:rsid w:val="00305790"/>
    <w:rsid w:val="00305E43"/>
    <w:rsid w:val="00306F44"/>
    <w:rsid w:val="003074BC"/>
    <w:rsid w:val="0031024E"/>
    <w:rsid w:val="003119BB"/>
    <w:rsid w:val="00311FDD"/>
    <w:rsid w:val="003120AF"/>
    <w:rsid w:val="0031269B"/>
    <w:rsid w:val="00312DEA"/>
    <w:rsid w:val="00313299"/>
    <w:rsid w:val="00313323"/>
    <w:rsid w:val="0031454E"/>
    <w:rsid w:val="00314B86"/>
    <w:rsid w:val="00314D6D"/>
    <w:rsid w:val="00314EF6"/>
    <w:rsid w:val="003153CB"/>
    <w:rsid w:val="003158F2"/>
    <w:rsid w:val="00315EF7"/>
    <w:rsid w:val="0031611E"/>
    <w:rsid w:val="0032050E"/>
    <w:rsid w:val="003205B2"/>
    <w:rsid w:val="0032159E"/>
    <w:rsid w:val="00322BBE"/>
    <w:rsid w:val="00322D84"/>
    <w:rsid w:val="00324866"/>
    <w:rsid w:val="003250C6"/>
    <w:rsid w:val="00325BCA"/>
    <w:rsid w:val="00326E21"/>
    <w:rsid w:val="0032715B"/>
    <w:rsid w:val="003277F7"/>
    <w:rsid w:val="003300E8"/>
    <w:rsid w:val="003306C8"/>
    <w:rsid w:val="00333E89"/>
    <w:rsid w:val="0033434D"/>
    <w:rsid w:val="0033498E"/>
    <w:rsid w:val="00334A4B"/>
    <w:rsid w:val="00334AEE"/>
    <w:rsid w:val="00334E98"/>
    <w:rsid w:val="00334FEA"/>
    <w:rsid w:val="003364F7"/>
    <w:rsid w:val="00336664"/>
    <w:rsid w:val="00336F3E"/>
    <w:rsid w:val="00337119"/>
    <w:rsid w:val="00337DD7"/>
    <w:rsid w:val="00337E60"/>
    <w:rsid w:val="00337E78"/>
    <w:rsid w:val="00340300"/>
    <w:rsid w:val="00341CC0"/>
    <w:rsid w:val="00341F83"/>
    <w:rsid w:val="00344D7C"/>
    <w:rsid w:val="003455CB"/>
    <w:rsid w:val="00345BD0"/>
    <w:rsid w:val="00345C8A"/>
    <w:rsid w:val="00345F52"/>
    <w:rsid w:val="00347151"/>
    <w:rsid w:val="00347449"/>
    <w:rsid w:val="00347BDC"/>
    <w:rsid w:val="00350C61"/>
    <w:rsid w:val="003538C5"/>
    <w:rsid w:val="003545DE"/>
    <w:rsid w:val="00354703"/>
    <w:rsid w:val="00354FE3"/>
    <w:rsid w:val="00355755"/>
    <w:rsid w:val="00355E96"/>
    <w:rsid w:val="003569FE"/>
    <w:rsid w:val="00361E64"/>
    <w:rsid w:val="00362985"/>
    <w:rsid w:val="00363124"/>
    <w:rsid w:val="00363562"/>
    <w:rsid w:val="00364792"/>
    <w:rsid w:val="00366074"/>
    <w:rsid w:val="0036674D"/>
    <w:rsid w:val="00366801"/>
    <w:rsid w:val="003679C2"/>
    <w:rsid w:val="00371872"/>
    <w:rsid w:val="00371A6E"/>
    <w:rsid w:val="00371AAD"/>
    <w:rsid w:val="003728FC"/>
    <w:rsid w:val="00373154"/>
    <w:rsid w:val="00374181"/>
    <w:rsid w:val="003744E6"/>
    <w:rsid w:val="00375AF3"/>
    <w:rsid w:val="00375E11"/>
    <w:rsid w:val="00376288"/>
    <w:rsid w:val="003764B2"/>
    <w:rsid w:val="00376D2F"/>
    <w:rsid w:val="0037726A"/>
    <w:rsid w:val="00377DA4"/>
    <w:rsid w:val="0037E45A"/>
    <w:rsid w:val="00381264"/>
    <w:rsid w:val="003812DB"/>
    <w:rsid w:val="0038170A"/>
    <w:rsid w:val="00381777"/>
    <w:rsid w:val="003825BC"/>
    <w:rsid w:val="003838F4"/>
    <w:rsid w:val="00383C4D"/>
    <w:rsid w:val="00384457"/>
    <w:rsid w:val="00384871"/>
    <w:rsid w:val="0038561B"/>
    <w:rsid w:val="00385836"/>
    <w:rsid w:val="00386273"/>
    <w:rsid w:val="0038673C"/>
    <w:rsid w:val="00386AC6"/>
    <w:rsid w:val="00386D70"/>
    <w:rsid w:val="00387DA3"/>
    <w:rsid w:val="0038C79C"/>
    <w:rsid w:val="003901B1"/>
    <w:rsid w:val="003902E3"/>
    <w:rsid w:val="0039109B"/>
    <w:rsid w:val="00391BE7"/>
    <w:rsid w:val="00392BD8"/>
    <w:rsid w:val="00393986"/>
    <w:rsid w:val="00394016"/>
    <w:rsid w:val="00394E37"/>
    <w:rsid w:val="003951BC"/>
    <w:rsid w:val="00395279"/>
    <w:rsid w:val="0039554F"/>
    <w:rsid w:val="003956B6"/>
    <w:rsid w:val="00396CC3"/>
    <w:rsid w:val="0039726F"/>
    <w:rsid w:val="003A014F"/>
    <w:rsid w:val="003A11A0"/>
    <w:rsid w:val="003A15AF"/>
    <w:rsid w:val="003A1647"/>
    <w:rsid w:val="003A1C94"/>
    <w:rsid w:val="003A1E13"/>
    <w:rsid w:val="003A2738"/>
    <w:rsid w:val="003A39AF"/>
    <w:rsid w:val="003A490C"/>
    <w:rsid w:val="003A4F7A"/>
    <w:rsid w:val="003A5000"/>
    <w:rsid w:val="003A5998"/>
    <w:rsid w:val="003A5C23"/>
    <w:rsid w:val="003A609F"/>
    <w:rsid w:val="003A729A"/>
    <w:rsid w:val="003A7345"/>
    <w:rsid w:val="003A7518"/>
    <w:rsid w:val="003A7771"/>
    <w:rsid w:val="003A7D21"/>
    <w:rsid w:val="003B01D1"/>
    <w:rsid w:val="003B0542"/>
    <w:rsid w:val="003B05A0"/>
    <w:rsid w:val="003B30CB"/>
    <w:rsid w:val="003B30E4"/>
    <w:rsid w:val="003B398E"/>
    <w:rsid w:val="003B4227"/>
    <w:rsid w:val="003B45C7"/>
    <w:rsid w:val="003B5095"/>
    <w:rsid w:val="003B5C65"/>
    <w:rsid w:val="003B5E9C"/>
    <w:rsid w:val="003B624F"/>
    <w:rsid w:val="003B680C"/>
    <w:rsid w:val="003B6EBA"/>
    <w:rsid w:val="003B7EC4"/>
    <w:rsid w:val="003C0376"/>
    <w:rsid w:val="003C0388"/>
    <w:rsid w:val="003C03CE"/>
    <w:rsid w:val="003C05AE"/>
    <w:rsid w:val="003C0D3F"/>
    <w:rsid w:val="003C10EC"/>
    <w:rsid w:val="003C137B"/>
    <w:rsid w:val="003C169C"/>
    <w:rsid w:val="003C17D7"/>
    <w:rsid w:val="003C18B8"/>
    <w:rsid w:val="003C1ACA"/>
    <w:rsid w:val="003C1C5C"/>
    <w:rsid w:val="003C22C3"/>
    <w:rsid w:val="003C28BD"/>
    <w:rsid w:val="003C2D9E"/>
    <w:rsid w:val="003C3550"/>
    <w:rsid w:val="003C3AE2"/>
    <w:rsid w:val="003C3DDA"/>
    <w:rsid w:val="003C4330"/>
    <w:rsid w:val="003C467C"/>
    <w:rsid w:val="003C54DD"/>
    <w:rsid w:val="003C606B"/>
    <w:rsid w:val="003D143C"/>
    <w:rsid w:val="003D1B12"/>
    <w:rsid w:val="003D21D0"/>
    <w:rsid w:val="003D2547"/>
    <w:rsid w:val="003D3269"/>
    <w:rsid w:val="003D3DB9"/>
    <w:rsid w:val="003D4719"/>
    <w:rsid w:val="003D53C8"/>
    <w:rsid w:val="003D54E0"/>
    <w:rsid w:val="003D5B69"/>
    <w:rsid w:val="003D5CBE"/>
    <w:rsid w:val="003D6FD0"/>
    <w:rsid w:val="003D7478"/>
    <w:rsid w:val="003D76C4"/>
    <w:rsid w:val="003E246C"/>
    <w:rsid w:val="003E2577"/>
    <w:rsid w:val="003E25CB"/>
    <w:rsid w:val="003E3545"/>
    <w:rsid w:val="003E36FD"/>
    <w:rsid w:val="003E38CE"/>
    <w:rsid w:val="003E3FA6"/>
    <w:rsid w:val="003E4667"/>
    <w:rsid w:val="003E4727"/>
    <w:rsid w:val="003E48AA"/>
    <w:rsid w:val="003E5FC0"/>
    <w:rsid w:val="003E618F"/>
    <w:rsid w:val="003E7181"/>
    <w:rsid w:val="003E7CF6"/>
    <w:rsid w:val="003F0061"/>
    <w:rsid w:val="003F13D9"/>
    <w:rsid w:val="003F16E5"/>
    <w:rsid w:val="003F1A26"/>
    <w:rsid w:val="003F1C35"/>
    <w:rsid w:val="003F1FCD"/>
    <w:rsid w:val="003F2599"/>
    <w:rsid w:val="003F38A0"/>
    <w:rsid w:val="003F3E11"/>
    <w:rsid w:val="003F3FA8"/>
    <w:rsid w:val="003F445C"/>
    <w:rsid w:val="003F4574"/>
    <w:rsid w:val="003F45ED"/>
    <w:rsid w:val="003F4E3B"/>
    <w:rsid w:val="003F6791"/>
    <w:rsid w:val="003F6B2A"/>
    <w:rsid w:val="003F713D"/>
    <w:rsid w:val="003F7447"/>
    <w:rsid w:val="003F7D08"/>
    <w:rsid w:val="004003FF"/>
    <w:rsid w:val="00400438"/>
    <w:rsid w:val="00401377"/>
    <w:rsid w:val="0040170A"/>
    <w:rsid w:val="004024F0"/>
    <w:rsid w:val="0040317D"/>
    <w:rsid w:val="004032DE"/>
    <w:rsid w:val="004036DE"/>
    <w:rsid w:val="00403916"/>
    <w:rsid w:val="00403D5E"/>
    <w:rsid w:val="00404A5D"/>
    <w:rsid w:val="00404C95"/>
    <w:rsid w:val="00405158"/>
    <w:rsid w:val="004052CF"/>
    <w:rsid w:val="00406571"/>
    <w:rsid w:val="00406A50"/>
    <w:rsid w:val="00406F75"/>
    <w:rsid w:val="00407F33"/>
    <w:rsid w:val="00410D56"/>
    <w:rsid w:val="00410F54"/>
    <w:rsid w:val="004111BB"/>
    <w:rsid w:val="004117DD"/>
    <w:rsid w:val="00412214"/>
    <w:rsid w:val="00412C35"/>
    <w:rsid w:val="0041316C"/>
    <w:rsid w:val="00413430"/>
    <w:rsid w:val="004134CD"/>
    <w:rsid w:val="0041361B"/>
    <w:rsid w:val="00414293"/>
    <w:rsid w:val="004147C9"/>
    <w:rsid w:val="00414AD0"/>
    <w:rsid w:val="00414CD3"/>
    <w:rsid w:val="00414D79"/>
    <w:rsid w:val="00415724"/>
    <w:rsid w:val="00415734"/>
    <w:rsid w:val="00415C86"/>
    <w:rsid w:val="00415F91"/>
    <w:rsid w:val="00416C66"/>
    <w:rsid w:val="00416DCC"/>
    <w:rsid w:val="00417132"/>
    <w:rsid w:val="0041744F"/>
    <w:rsid w:val="00417AD8"/>
    <w:rsid w:val="00420429"/>
    <w:rsid w:val="004205D5"/>
    <w:rsid w:val="004208A4"/>
    <w:rsid w:val="004209F0"/>
    <w:rsid w:val="00421A9F"/>
    <w:rsid w:val="00421F4F"/>
    <w:rsid w:val="00422D87"/>
    <w:rsid w:val="00423A97"/>
    <w:rsid w:val="00423D76"/>
    <w:rsid w:val="00424688"/>
    <w:rsid w:val="00424EE9"/>
    <w:rsid w:val="0042520A"/>
    <w:rsid w:val="004256F8"/>
    <w:rsid w:val="00425BC7"/>
    <w:rsid w:val="00425D98"/>
    <w:rsid w:val="00425E94"/>
    <w:rsid w:val="004260AE"/>
    <w:rsid w:val="004262D1"/>
    <w:rsid w:val="004266AF"/>
    <w:rsid w:val="00426AAE"/>
    <w:rsid w:val="00427144"/>
    <w:rsid w:val="004274B6"/>
    <w:rsid w:val="004274FE"/>
    <w:rsid w:val="0042782A"/>
    <w:rsid w:val="0042787E"/>
    <w:rsid w:val="00427E28"/>
    <w:rsid w:val="00431525"/>
    <w:rsid w:val="00431A9B"/>
    <w:rsid w:val="0043200E"/>
    <w:rsid w:val="00432646"/>
    <w:rsid w:val="00435A40"/>
    <w:rsid w:val="0043637B"/>
    <w:rsid w:val="004375B4"/>
    <w:rsid w:val="00437CBE"/>
    <w:rsid w:val="0044006E"/>
    <w:rsid w:val="004403B2"/>
    <w:rsid w:val="00440720"/>
    <w:rsid w:val="00440825"/>
    <w:rsid w:val="0044096B"/>
    <w:rsid w:val="00440AB5"/>
    <w:rsid w:val="00440D0B"/>
    <w:rsid w:val="00440D6C"/>
    <w:rsid w:val="00441030"/>
    <w:rsid w:val="0044127C"/>
    <w:rsid w:val="00441F36"/>
    <w:rsid w:val="004428CA"/>
    <w:rsid w:val="0044309C"/>
    <w:rsid w:val="00443554"/>
    <w:rsid w:val="004435D9"/>
    <w:rsid w:val="00443AE4"/>
    <w:rsid w:val="004441F6"/>
    <w:rsid w:val="0044451C"/>
    <w:rsid w:val="0044563A"/>
    <w:rsid w:val="00445E57"/>
    <w:rsid w:val="00446901"/>
    <w:rsid w:val="00446998"/>
    <w:rsid w:val="00446B41"/>
    <w:rsid w:val="0044732A"/>
    <w:rsid w:val="004479D5"/>
    <w:rsid w:val="00447B71"/>
    <w:rsid w:val="00447B95"/>
    <w:rsid w:val="004503E7"/>
    <w:rsid w:val="004507F1"/>
    <w:rsid w:val="00450804"/>
    <w:rsid w:val="00450E59"/>
    <w:rsid w:val="00452487"/>
    <w:rsid w:val="0045279F"/>
    <w:rsid w:val="00452FB1"/>
    <w:rsid w:val="0045387F"/>
    <w:rsid w:val="00454480"/>
    <w:rsid w:val="004546FE"/>
    <w:rsid w:val="00455341"/>
    <w:rsid w:val="00455808"/>
    <w:rsid w:val="00455EAA"/>
    <w:rsid w:val="0045636A"/>
    <w:rsid w:val="00456633"/>
    <w:rsid w:val="00456F2B"/>
    <w:rsid w:val="00457835"/>
    <w:rsid w:val="00457D1F"/>
    <w:rsid w:val="00457D3F"/>
    <w:rsid w:val="00460402"/>
    <w:rsid w:val="00460852"/>
    <w:rsid w:val="00461101"/>
    <w:rsid w:val="00462136"/>
    <w:rsid w:val="004623F7"/>
    <w:rsid w:val="00462CDC"/>
    <w:rsid w:val="00462FBD"/>
    <w:rsid w:val="00463B03"/>
    <w:rsid w:val="00464072"/>
    <w:rsid w:val="004640AA"/>
    <w:rsid w:val="0046421E"/>
    <w:rsid w:val="00465066"/>
    <w:rsid w:val="00465BDB"/>
    <w:rsid w:val="00465E0A"/>
    <w:rsid w:val="00466002"/>
    <w:rsid w:val="00466C01"/>
    <w:rsid w:val="00466C06"/>
    <w:rsid w:val="00467E5E"/>
    <w:rsid w:val="00470B01"/>
    <w:rsid w:val="00470D94"/>
    <w:rsid w:val="00472A01"/>
    <w:rsid w:val="00472EB8"/>
    <w:rsid w:val="004730D8"/>
    <w:rsid w:val="00473B00"/>
    <w:rsid w:val="004745F9"/>
    <w:rsid w:val="00475434"/>
    <w:rsid w:val="0047652F"/>
    <w:rsid w:val="00476665"/>
    <w:rsid w:val="004768E7"/>
    <w:rsid w:val="00476C90"/>
    <w:rsid w:val="00476DF6"/>
    <w:rsid w:val="00476E2D"/>
    <w:rsid w:val="0047728F"/>
    <w:rsid w:val="0047768E"/>
    <w:rsid w:val="00477A5D"/>
    <w:rsid w:val="00477CA6"/>
    <w:rsid w:val="00477CAE"/>
    <w:rsid w:val="00477DD5"/>
    <w:rsid w:val="0048032F"/>
    <w:rsid w:val="00480BD7"/>
    <w:rsid w:val="0048254C"/>
    <w:rsid w:val="00482E0C"/>
    <w:rsid w:val="004835A0"/>
    <w:rsid w:val="00483927"/>
    <w:rsid w:val="00484247"/>
    <w:rsid w:val="004842DC"/>
    <w:rsid w:val="00484F84"/>
    <w:rsid w:val="0048502F"/>
    <w:rsid w:val="004854FE"/>
    <w:rsid w:val="00485DAC"/>
    <w:rsid w:val="0048725D"/>
    <w:rsid w:val="004879AD"/>
    <w:rsid w:val="00490A18"/>
    <w:rsid w:val="00491461"/>
    <w:rsid w:val="004950DC"/>
    <w:rsid w:val="0049529C"/>
    <w:rsid w:val="004957A5"/>
    <w:rsid w:val="00495AF8"/>
    <w:rsid w:val="00497018"/>
    <w:rsid w:val="00497262"/>
    <w:rsid w:val="004A00A6"/>
    <w:rsid w:val="004A0638"/>
    <w:rsid w:val="004A1A03"/>
    <w:rsid w:val="004A1B80"/>
    <w:rsid w:val="004A1F30"/>
    <w:rsid w:val="004A2118"/>
    <w:rsid w:val="004A2501"/>
    <w:rsid w:val="004A2B22"/>
    <w:rsid w:val="004A2FFF"/>
    <w:rsid w:val="004A32B7"/>
    <w:rsid w:val="004A3E6E"/>
    <w:rsid w:val="004A5062"/>
    <w:rsid w:val="004A568C"/>
    <w:rsid w:val="004A7B59"/>
    <w:rsid w:val="004A7D64"/>
    <w:rsid w:val="004A7F5C"/>
    <w:rsid w:val="004B01C5"/>
    <w:rsid w:val="004B025A"/>
    <w:rsid w:val="004B06F1"/>
    <w:rsid w:val="004B0959"/>
    <w:rsid w:val="004B0D41"/>
    <w:rsid w:val="004B103E"/>
    <w:rsid w:val="004B12D6"/>
    <w:rsid w:val="004B19CC"/>
    <w:rsid w:val="004B21CB"/>
    <w:rsid w:val="004B2ABF"/>
    <w:rsid w:val="004B411D"/>
    <w:rsid w:val="004B44A2"/>
    <w:rsid w:val="004B4D4F"/>
    <w:rsid w:val="004B5041"/>
    <w:rsid w:val="004B5279"/>
    <w:rsid w:val="004B6994"/>
    <w:rsid w:val="004B6B6E"/>
    <w:rsid w:val="004C016B"/>
    <w:rsid w:val="004C063B"/>
    <w:rsid w:val="004C0D5E"/>
    <w:rsid w:val="004C0DDE"/>
    <w:rsid w:val="004C15E4"/>
    <w:rsid w:val="004C15E6"/>
    <w:rsid w:val="004C1C79"/>
    <w:rsid w:val="004C20A1"/>
    <w:rsid w:val="004C23C5"/>
    <w:rsid w:val="004C2D33"/>
    <w:rsid w:val="004C38C0"/>
    <w:rsid w:val="004C4471"/>
    <w:rsid w:val="004C46BF"/>
    <w:rsid w:val="004C4DD4"/>
    <w:rsid w:val="004C4DFE"/>
    <w:rsid w:val="004C520B"/>
    <w:rsid w:val="004C6180"/>
    <w:rsid w:val="004C705D"/>
    <w:rsid w:val="004D08D3"/>
    <w:rsid w:val="004D0D2B"/>
    <w:rsid w:val="004D14D0"/>
    <w:rsid w:val="004D1881"/>
    <w:rsid w:val="004D32C4"/>
    <w:rsid w:val="004D33B1"/>
    <w:rsid w:val="004D348E"/>
    <w:rsid w:val="004D45BE"/>
    <w:rsid w:val="004D4A5B"/>
    <w:rsid w:val="004D5CD5"/>
    <w:rsid w:val="004D5EF8"/>
    <w:rsid w:val="004D6345"/>
    <w:rsid w:val="004D695A"/>
    <w:rsid w:val="004D6F7A"/>
    <w:rsid w:val="004D7A6B"/>
    <w:rsid w:val="004E0455"/>
    <w:rsid w:val="004E1F35"/>
    <w:rsid w:val="004E29D7"/>
    <w:rsid w:val="004E2CBA"/>
    <w:rsid w:val="004E4145"/>
    <w:rsid w:val="004E4CE9"/>
    <w:rsid w:val="004E55AC"/>
    <w:rsid w:val="004E665D"/>
    <w:rsid w:val="004E780F"/>
    <w:rsid w:val="004F00E1"/>
    <w:rsid w:val="004F00ED"/>
    <w:rsid w:val="004F0E5A"/>
    <w:rsid w:val="004F115F"/>
    <w:rsid w:val="004F1AA1"/>
    <w:rsid w:val="004F1FFD"/>
    <w:rsid w:val="004F2141"/>
    <w:rsid w:val="004F22B1"/>
    <w:rsid w:val="004F3116"/>
    <w:rsid w:val="004F36FE"/>
    <w:rsid w:val="004F375F"/>
    <w:rsid w:val="004F39D1"/>
    <w:rsid w:val="004F42C9"/>
    <w:rsid w:val="004F4CCD"/>
    <w:rsid w:val="004F4E83"/>
    <w:rsid w:val="004F5322"/>
    <w:rsid w:val="004F54C4"/>
    <w:rsid w:val="004F63ED"/>
    <w:rsid w:val="004F6487"/>
    <w:rsid w:val="004F6A24"/>
    <w:rsid w:val="004F6EBE"/>
    <w:rsid w:val="005000E6"/>
    <w:rsid w:val="00500379"/>
    <w:rsid w:val="00500467"/>
    <w:rsid w:val="00500EC7"/>
    <w:rsid w:val="00501532"/>
    <w:rsid w:val="005029B8"/>
    <w:rsid w:val="00502E9F"/>
    <w:rsid w:val="00502F6C"/>
    <w:rsid w:val="00502F72"/>
    <w:rsid w:val="0050373C"/>
    <w:rsid w:val="005049BB"/>
    <w:rsid w:val="00504AE7"/>
    <w:rsid w:val="00504C5F"/>
    <w:rsid w:val="00504EE4"/>
    <w:rsid w:val="005051E1"/>
    <w:rsid w:val="00505835"/>
    <w:rsid w:val="00507588"/>
    <w:rsid w:val="0050783B"/>
    <w:rsid w:val="005109BE"/>
    <w:rsid w:val="00511240"/>
    <w:rsid w:val="00511527"/>
    <w:rsid w:val="0051286B"/>
    <w:rsid w:val="00512A7A"/>
    <w:rsid w:val="00512E3D"/>
    <w:rsid w:val="00513BC9"/>
    <w:rsid w:val="005143AE"/>
    <w:rsid w:val="00514658"/>
    <w:rsid w:val="00514CB4"/>
    <w:rsid w:val="0051544E"/>
    <w:rsid w:val="00515C3B"/>
    <w:rsid w:val="005166D6"/>
    <w:rsid w:val="00516DDB"/>
    <w:rsid w:val="00517666"/>
    <w:rsid w:val="005179FE"/>
    <w:rsid w:val="00520E7A"/>
    <w:rsid w:val="00521573"/>
    <w:rsid w:val="00521673"/>
    <w:rsid w:val="00523D16"/>
    <w:rsid w:val="005258BB"/>
    <w:rsid w:val="005258D3"/>
    <w:rsid w:val="00525E67"/>
    <w:rsid w:val="00526032"/>
    <w:rsid w:val="00526802"/>
    <w:rsid w:val="00526E0F"/>
    <w:rsid w:val="0052728E"/>
    <w:rsid w:val="00527E76"/>
    <w:rsid w:val="005307EE"/>
    <w:rsid w:val="00530CF3"/>
    <w:rsid w:val="00531C62"/>
    <w:rsid w:val="00532FCE"/>
    <w:rsid w:val="00533AB1"/>
    <w:rsid w:val="00533E2F"/>
    <w:rsid w:val="00534312"/>
    <w:rsid w:val="005344F6"/>
    <w:rsid w:val="00534D92"/>
    <w:rsid w:val="005352C7"/>
    <w:rsid w:val="0053537F"/>
    <w:rsid w:val="00535927"/>
    <w:rsid w:val="00536EC4"/>
    <w:rsid w:val="005377BF"/>
    <w:rsid w:val="00537C93"/>
    <w:rsid w:val="00537FAA"/>
    <w:rsid w:val="0054017D"/>
    <w:rsid w:val="005402AF"/>
    <w:rsid w:val="00540595"/>
    <w:rsid w:val="0054088A"/>
    <w:rsid w:val="00540E11"/>
    <w:rsid w:val="00541A45"/>
    <w:rsid w:val="0054201A"/>
    <w:rsid w:val="00544044"/>
    <w:rsid w:val="00544363"/>
    <w:rsid w:val="0054474E"/>
    <w:rsid w:val="00544F3A"/>
    <w:rsid w:val="005452DC"/>
    <w:rsid w:val="00545D86"/>
    <w:rsid w:val="0054673F"/>
    <w:rsid w:val="00546F75"/>
    <w:rsid w:val="005500C0"/>
    <w:rsid w:val="005508D4"/>
    <w:rsid w:val="00550D11"/>
    <w:rsid w:val="00550EDE"/>
    <w:rsid w:val="00551922"/>
    <w:rsid w:val="00552407"/>
    <w:rsid w:val="005527AF"/>
    <w:rsid w:val="00553BF1"/>
    <w:rsid w:val="00553E91"/>
    <w:rsid w:val="00553ED0"/>
    <w:rsid w:val="005559C4"/>
    <w:rsid w:val="00556B89"/>
    <w:rsid w:val="0055798D"/>
    <w:rsid w:val="0056079C"/>
    <w:rsid w:val="00560B1A"/>
    <w:rsid w:val="00560CF7"/>
    <w:rsid w:val="005612AF"/>
    <w:rsid w:val="005616E7"/>
    <w:rsid w:val="00561854"/>
    <w:rsid w:val="005621C5"/>
    <w:rsid w:val="00562534"/>
    <w:rsid w:val="005633A9"/>
    <w:rsid w:val="00563832"/>
    <w:rsid w:val="00564073"/>
    <w:rsid w:val="0056441E"/>
    <w:rsid w:val="00564B1A"/>
    <w:rsid w:val="005658E2"/>
    <w:rsid w:val="00566080"/>
    <w:rsid w:val="00567276"/>
    <w:rsid w:val="00567C78"/>
    <w:rsid w:val="00570DF2"/>
    <w:rsid w:val="00570FC9"/>
    <w:rsid w:val="0057208F"/>
    <w:rsid w:val="005723F6"/>
    <w:rsid w:val="0057318A"/>
    <w:rsid w:val="00573989"/>
    <w:rsid w:val="005745E2"/>
    <w:rsid w:val="005745FA"/>
    <w:rsid w:val="005752C0"/>
    <w:rsid w:val="005753B9"/>
    <w:rsid w:val="00575DF5"/>
    <w:rsid w:val="005760FE"/>
    <w:rsid w:val="00576B99"/>
    <w:rsid w:val="005770D4"/>
    <w:rsid w:val="00577648"/>
    <w:rsid w:val="00577AC6"/>
    <w:rsid w:val="005803A5"/>
    <w:rsid w:val="005804B2"/>
    <w:rsid w:val="005810E4"/>
    <w:rsid w:val="0058179D"/>
    <w:rsid w:val="00581DF1"/>
    <w:rsid w:val="0058204A"/>
    <w:rsid w:val="0058259B"/>
    <w:rsid w:val="00582D5F"/>
    <w:rsid w:val="00583B96"/>
    <w:rsid w:val="00583DDA"/>
    <w:rsid w:val="00584931"/>
    <w:rsid w:val="00584AA2"/>
    <w:rsid w:val="0058557F"/>
    <w:rsid w:val="005855DA"/>
    <w:rsid w:val="00585E0A"/>
    <w:rsid w:val="00586106"/>
    <w:rsid w:val="005862E5"/>
    <w:rsid w:val="00586AB2"/>
    <w:rsid w:val="0058701C"/>
    <w:rsid w:val="005871C9"/>
    <w:rsid w:val="005873A3"/>
    <w:rsid w:val="005876D2"/>
    <w:rsid w:val="005900CE"/>
    <w:rsid w:val="0059259E"/>
    <w:rsid w:val="005935D6"/>
    <w:rsid w:val="00593723"/>
    <w:rsid w:val="005939EE"/>
    <w:rsid w:val="00593DFB"/>
    <w:rsid w:val="00595397"/>
    <w:rsid w:val="00595694"/>
    <w:rsid w:val="00596009"/>
    <w:rsid w:val="00596511"/>
    <w:rsid w:val="00596EE7"/>
    <w:rsid w:val="00597104"/>
    <w:rsid w:val="0059754E"/>
    <w:rsid w:val="005A0462"/>
    <w:rsid w:val="005A09C4"/>
    <w:rsid w:val="005A1614"/>
    <w:rsid w:val="005A1B76"/>
    <w:rsid w:val="005A1BCD"/>
    <w:rsid w:val="005A265E"/>
    <w:rsid w:val="005A26BF"/>
    <w:rsid w:val="005A365F"/>
    <w:rsid w:val="005A41FF"/>
    <w:rsid w:val="005A4DE0"/>
    <w:rsid w:val="005A5029"/>
    <w:rsid w:val="005A5F13"/>
    <w:rsid w:val="005A662E"/>
    <w:rsid w:val="005A6FB9"/>
    <w:rsid w:val="005B0417"/>
    <w:rsid w:val="005B0AB0"/>
    <w:rsid w:val="005B0E33"/>
    <w:rsid w:val="005B1033"/>
    <w:rsid w:val="005B1570"/>
    <w:rsid w:val="005B28AA"/>
    <w:rsid w:val="005B33F9"/>
    <w:rsid w:val="005B38A1"/>
    <w:rsid w:val="005B4288"/>
    <w:rsid w:val="005B429D"/>
    <w:rsid w:val="005B44B1"/>
    <w:rsid w:val="005B6473"/>
    <w:rsid w:val="005B6A97"/>
    <w:rsid w:val="005B79EC"/>
    <w:rsid w:val="005C022D"/>
    <w:rsid w:val="005C0ABD"/>
    <w:rsid w:val="005C0E89"/>
    <w:rsid w:val="005C12C4"/>
    <w:rsid w:val="005C16C2"/>
    <w:rsid w:val="005C17D9"/>
    <w:rsid w:val="005C1B1F"/>
    <w:rsid w:val="005C1D11"/>
    <w:rsid w:val="005C1FE6"/>
    <w:rsid w:val="005C2366"/>
    <w:rsid w:val="005C2509"/>
    <w:rsid w:val="005C2585"/>
    <w:rsid w:val="005C2E15"/>
    <w:rsid w:val="005C3F96"/>
    <w:rsid w:val="005C58BE"/>
    <w:rsid w:val="005C5F9C"/>
    <w:rsid w:val="005C6031"/>
    <w:rsid w:val="005D0255"/>
    <w:rsid w:val="005D0470"/>
    <w:rsid w:val="005D0C47"/>
    <w:rsid w:val="005D1E25"/>
    <w:rsid w:val="005D21E4"/>
    <w:rsid w:val="005D22B1"/>
    <w:rsid w:val="005D2A39"/>
    <w:rsid w:val="005D2CA7"/>
    <w:rsid w:val="005D2D77"/>
    <w:rsid w:val="005D3DF2"/>
    <w:rsid w:val="005D472E"/>
    <w:rsid w:val="005D52C3"/>
    <w:rsid w:val="005D5481"/>
    <w:rsid w:val="005D7143"/>
    <w:rsid w:val="005D7CB7"/>
    <w:rsid w:val="005E0331"/>
    <w:rsid w:val="005E06F4"/>
    <w:rsid w:val="005E0FDE"/>
    <w:rsid w:val="005E1250"/>
    <w:rsid w:val="005E229C"/>
    <w:rsid w:val="005E2476"/>
    <w:rsid w:val="005E297D"/>
    <w:rsid w:val="005E2C7C"/>
    <w:rsid w:val="005E3106"/>
    <w:rsid w:val="005E35C1"/>
    <w:rsid w:val="005E47BF"/>
    <w:rsid w:val="005E4935"/>
    <w:rsid w:val="005E4E71"/>
    <w:rsid w:val="005E5C58"/>
    <w:rsid w:val="005E6307"/>
    <w:rsid w:val="005E7835"/>
    <w:rsid w:val="005E7A36"/>
    <w:rsid w:val="005E7BF1"/>
    <w:rsid w:val="005E7FAD"/>
    <w:rsid w:val="005F1425"/>
    <w:rsid w:val="005F1D25"/>
    <w:rsid w:val="005F1DCB"/>
    <w:rsid w:val="005F2396"/>
    <w:rsid w:val="005F2C26"/>
    <w:rsid w:val="005F2FF9"/>
    <w:rsid w:val="005F3223"/>
    <w:rsid w:val="005F3EC1"/>
    <w:rsid w:val="005F48AB"/>
    <w:rsid w:val="005F4FD5"/>
    <w:rsid w:val="005F50B0"/>
    <w:rsid w:val="005F5C72"/>
    <w:rsid w:val="005F7218"/>
    <w:rsid w:val="005F793A"/>
    <w:rsid w:val="005F7AEA"/>
    <w:rsid w:val="005F7D79"/>
    <w:rsid w:val="005FB2C5"/>
    <w:rsid w:val="00600BA5"/>
    <w:rsid w:val="0060163D"/>
    <w:rsid w:val="00601949"/>
    <w:rsid w:val="00602544"/>
    <w:rsid w:val="00602969"/>
    <w:rsid w:val="00602DF2"/>
    <w:rsid w:val="00603186"/>
    <w:rsid w:val="006035AC"/>
    <w:rsid w:val="00603740"/>
    <w:rsid w:val="0060379D"/>
    <w:rsid w:val="006041E1"/>
    <w:rsid w:val="00604888"/>
    <w:rsid w:val="00604D08"/>
    <w:rsid w:val="00604DFA"/>
    <w:rsid w:val="006053EF"/>
    <w:rsid w:val="00606B22"/>
    <w:rsid w:val="00606B26"/>
    <w:rsid w:val="006070E6"/>
    <w:rsid w:val="006076EE"/>
    <w:rsid w:val="00607AB1"/>
    <w:rsid w:val="00607FA9"/>
    <w:rsid w:val="00610288"/>
    <w:rsid w:val="0061084A"/>
    <w:rsid w:val="00610C34"/>
    <w:rsid w:val="00610F8B"/>
    <w:rsid w:val="0061170B"/>
    <w:rsid w:val="006119FF"/>
    <w:rsid w:val="00611FF1"/>
    <w:rsid w:val="00612686"/>
    <w:rsid w:val="00613314"/>
    <w:rsid w:val="0061361D"/>
    <w:rsid w:val="00613B64"/>
    <w:rsid w:val="00613B6E"/>
    <w:rsid w:val="00614014"/>
    <w:rsid w:val="00614027"/>
    <w:rsid w:val="00615D5D"/>
    <w:rsid w:val="00616675"/>
    <w:rsid w:val="00617054"/>
    <w:rsid w:val="00617A2E"/>
    <w:rsid w:val="00617F56"/>
    <w:rsid w:val="00620401"/>
    <w:rsid w:val="0062077E"/>
    <w:rsid w:val="00620838"/>
    <w:rsid w:val="006212D2"/>
    <w:rsid w:val="00624299"/>
    <w:rsid w:val="0062447B"/>
    <w:rsid w:val="006245F8"/>
    <w:rsid w:val="00624DA2"/>
    <w:rsid w:val="00624F63"/>
    <w:rsid w:val="0062599B"/>
    <w:rsid w:val="00626C0B"/>
    <w:rsid w:val="00630279"/>
    <w:rsid w:val="00630966"/>
    <w:rsid w:val="00630AE5"/>
    <w:rsid w:val="00631317"/>
    <w:rsid w:val="006316EA"/>
    <w:rsid w:val="0063317C"/>
    <w:rsid w:val="006353D8"/>
    <w:rsid w:val="00635BF9"/>
    <w:rsid w:val="00635DE3"/>
    <w:rsid w:val="00636385"/>
    <w:rsid w:val="0063DBC7"/>
    <w:rsid w:val="006404F5"/>
    <w:rsid w:val="0064168F"/>
    <w:rsid w:val="0064371F"/>
    <w:rsid w:val="0064454C"/>
    <w:rsid w:val="00644B24"/>
    <w:rsid w:val="00645411"/>
    <w:rsid w:val="0064605A"/>
    <w:rsid w:val="00646315"/>
    <w:rsid w:val="00646355"/>
    <w:rsid w:val="00647DF6"/>
    <w:rsid w:val="00650F74"/>
    <w:rsid w:val="00651546"/>
    <w:rsid w:val="006523B5"/>
    <w:rsid w:val="00654868"/>
    <w:rsid w:val="00655811"/>
    <w:rsid w:val="00655E93"/>
    <w:rsid w:val="00655F19"/>
    <w:rsid w:val="00656702"/>
    <w:rsid w:val="00656ACB"/>
    <w:rsid w:val="00656DE2"/>
    <w:rsid w:val="00657F59"/>
    <w:rsid w:val="006607A8"/>
    <w:rsid w:val="00660A3D"/>
    <w:rsid w:val="00660A44"/>
    <w:rsid w:val="00661131"/>
    <w:rsid w:val="006612E2"/>
    <w:rsid w:val="00661703"/>
    <w:rsid w:val="0066196C"/>
    <w:rsid w:val="00661D62"/>
    <w:rsid w:val="00662359"/>
    <w:rsid w:val="00664835"/>
    <w:rsid w:val="00664C63"/>
    <w:rsid w:val="00664DE1"/>
    <w:rsid w:val="0066512A"/>
    <w:rsid w:val="00665B13"/>
    <w:rsid w:val="00665B5C"/>
    <w:rsid w:val="00665C78"/>
    <w:rsid w:val="00665F52"/>
    <w:rsid w:val="00666DF9"/>
    <w:rsid w:val="00666E08"/>
    <w:rsid w:val="0066728B"/>
    <w:rsid w:val="00667643"/>
    <w:rsid w:val="006679D3"/>
    <w:rsid w:val="0067005E"/>
    <w:rsid w:val="00670F5E"/>
    <w:rsid w:val="00672D23"/>
    <w:rsid w:val="00673006"/>
    <w:rsid w:val="00673235"/>
    <w:rsid w:val="0067385F"/>
    <w:rsid w:val="00673A85"/>
    <w:rsid w:val="00675E36"/>
    <w:rsid w:val="00676070"/>
    <w:rsid w:val="00676332"/>
    <w:rsid w:val="006764B1"/>
    <w:rsid w:val="006777B4"/>
    <w:rsid w:val="00677C7E"/>
    <w:rsid w:val="00677D86"/>
    <w:rsid w:val="00681D82"/>
    <w:rsid w:val="006827DE"/>
    <w:rsid w:val="00682872"/>
    <w:rsid w:val="006832A0"/>
    <w:rsid w:val="00683542"/>
    <w:rsid w:val="006839BB"/>
    <w:rsid w:val="0068403E"/>
    <w:rsid w:val="00684702"/>
    <w:rsid w:val="00684C6F"/>
    <w:rsid w:val="00685B5A"/>
    <w:rsid w:val="00686368"/>
    <w:rsid w:val="00686576"/>
    <w:rsid w:val="00686F9B"/>
    <w:rsid w:val="00687B90"/>
    <w:rsid w:val="00690665"/>
    <w:rsid w:val="00690888"/>
    <w:rsid w:val="00692727"/>
    <w:rsid w:val="00693C9B"/>
    <w:rsid w:val="006944D5"/>
    <w:rsid w:val="00694508"/>
    <w:rsid w:val="006946D9"/>
    <w:rsid w:val="00694A4C"/>
    <w:rsid w:val="006953AD"/>
    <w:rsid w:val="00696E93"/>
    <w:rsid w:val="0069766B"/>
    <w:rsid w:val="00697BF3"/>
    <w:rsid w:val="006A033B"/>
    <w:rsid w:val="006A1678"/>
    <w:rsid w:val="006A1DC6"/>
    <w:rsid w:val="006A23A6"/>
    <w:rsid w:val="006A2CBB"/>
    <w:rsid w:val="006A2DF5"/>
    <w:rsid w:val="006A3C29"/>
    <w:rsid w:val="006A43E0"/>
    <w:rsid w:val="006A52E5"/>
    <w:rsid w:val="006A556A"/>
    <w:rsid w:val="006A564E"/>
    <w:rsid w:val="006A64DE"/>
    <w:rsid w:val="006A65E8"/>
    <w:rsid w:val="006A77B4"/>
    <w:rsid w:val="006B206A"/>
    <w:rsid w:val="006B2319"/>
    <w:rsid w:val="006B2952"/>
    <w:rsid w:val="006B348C"/>
    <w:rsid w:val="006B47C7"/>
    <w:rsid w:val="006B4D21"/>
    <w:rsid w:val="006B5A7F"/>
    <w:rsid w:val="006B5E18"/>
    <w:rsid w:val="006B6B79"/>
    <w:rsid w:val="006B7399"/>
    <w:rsid w:val="006B7E53"/>
    <w:rsid w:val="006C0667"/>
    <w:rsid w:val="006C0D32"/>
    <w:rsid w:val="006C1313"/>
    <w:rsid w:val="006C1D0A"/>
    <w:rsid w:val="006C1D38"/>
    <w:rsid w:val="006C2D11"/>
    <w:rsid w:val="006C3484"/>
    <w:rsid w:val="006C458F"/>
    <w:rsid w:val="006C4DCE"/>
    <w:rsid w:val="006C5195"/>
    <w:rsid w:val="006C5BC6"/>
    <w:rsid w:val="006C5D46"/>
    <w:rsid w:val="006C708A"/>
    <w:rsid w:val="006C784C"/>
    <w:rsid w:val="006C7E63"/>
    <w:rsid w:val="006D090B"/>
    <w:rsid w:val="006D0CE6"/>
    <w:rsid w:val="006D0FCC"/>
    <w:rsid w:val="006D14B6"/>
    <w:rsid w:val="006D1AFE"/>
    <w:rsid w:val="006D313A"/>
    <w:rsid w:val="006D411D"/>
    <w:rsid w:val="006D431F"/>
    <w:rsid w:val="006D4888"/>
    <w:rsid w:val="006D52D8"/>
    <w:rsid w:val="006D611C"/>
    <w:rsid w:val="006D6317"/>
    <w:rsid w:val="006D6441"/>
    <w:rsid w:val="006D6B51"/>
    <w:rsid w:val="006D7272"/>
    <w:rsid w:val="006D7585"/>
    <w:rsid w:val="006D77C3"/>
    <w:rsid w:val="006D7ED7"/>
    <w:rsid w:val="006E20F6"/>
    <w:rsid w:val="006E21F8"/>
    <w:rsid w:val="006E2D79"/>
    <w:rsid w:val="006E41F0"/>
    <w:rsid w:val="006E455A"/>
    <w:rsid w:val="006E49D8"/>
    <w:rsid w:val="006E4D21"/>
    <w:rsid w:val="006E5A53"/>
    <w:rsid w:val="006E5B0B"/>
    <w:rsid w:val="006E5D4B"/>
    <w:rsid w:val="006E7DAE"/>
    <w:rsid w:val="006F002D"/>
    <w:rsid w:val="006F08BE"/>
    <w:rsid w:val="006F09EA"/>
    <w:rsid w:val="006F0CB5"/>
    <w:rsid w:val="006F13B5"/>
    <w:rsid w:val="006F222C"/>
    <w:rsid w:val="006F232A"/>
    <w:rsid w:val="006F2B88"/>
    <w:rsid w:val="006F38B7"/>
    <w:rsid w:val="006F38F2"/>
    <w:rsid w:val="006F40F6"/>
    <w:rsid w:val="006F4371"/>
    <w:rsid w:val="006F4440"/>
    <w:rsid w:val="006F4A0C"/>
    <w:rsid w:val="006F4BA8"/>
    <w:rsid w:val="006F5E97"/>
    <w:rsid w:val="006F616C"/>
    <w:rsid w:val="006F6EF2"/>
    <w:rsid w:val="00700A19"/>
    <w:rsid w:val="007014E8"/>
    <w:rsid w:val="007025C4"/>
    <w:rsid w:val="00702DD7"/>
    <w:rsid w:val="00703368"/>
    <w:rsid w:val="007034F2"/>
    <w:rsid w:val="00703655"/>
    <w:rsid w:val="00703BFF"/>
    <w:rsid w:val="00703FB1"/>
    <w:rsid w:val="00704CC3"/>
    <w:rsid w:val="007052EC"/>
    <w:rsid w:val="00705582"/>
    <w:rsid w:val="00705CC2"/>
    <w:rsid w:val="00706322"/>
    <w:rsid w:val="007064E2"/>
    <w:rsid w:val="0070663D"/>
    <w:rsid w:val="00707332"/>
    <w:rsid w:val="0070737E"/>
    <w:rsid w:val="007075A4"/>
    <w:rsid w:val="00707AB7"/>
    <w:rsid w:val="00710D5B"/>
    <w:rsid w:val="0071213B"/>
    <w:rsid w:val="00712693"/>
    <w:rsid w:val="00712F6F"/>
    <w:rsid w:val="00713322"/>
    <w:rsid w:val="00713844"/>
    <w:rsid w:val="00714036"/>
    <w:rsid w:val="00714CAE"/>
    <w:rsid w:val="00715A38"/>
    <w:rsid w:val="00716F10"/>
    <w:rsid w:val="00716F13"/>
    <w:rsid w:val="00717B68"/>
    <w:rsid w:val="0072090C"/>
    <w:rsid w:val="00720D54"/>
    <w:rsid w:val="00721FFC"/>
    <w:rsid w:val="007221F0"/>
    <w:rsid w:val="00722A5F"/>
    <w:rsid w:val="00722DE8"/>
    <w:rsid w:val="00723988"/>
    <w:rsid w:val="007255A6"/>
    <w:rsid w:val="00725C0E"/>
    <w:rsid w:val="00725D43"/>
    <w:rsid w:val="007268A4"/>
    <w:rsid w:val="00726D7C"/>
    <w:rsid w:val="00727AF3"/>
    <w:rsid w:val="007301D9"/>
    <w:rsid w:val="00730668"/>
    <w:rsid w:val="00730CFB"/>
    <w:rsid w:val="007310C2"/>
    <w:rsid w:val="00731236"/>
    <w:rsid w:val="007313EC"/>
    <w:rsid w:val="007315C8"/>
    <w:rsid w:val="0073175C"/>
    <w:rsid w:val="0073270A"/>
    <w:rsid w:val="007336EF"/>
    <w:rsid w:val="00735537"/>
    <w:rsid w:val="00736B4C"/>
    <w:rsid w:val="00736F4F"/>
    <w:rsid w:val="007373AE"/>
    <w:rsid w:val="00740258"/>
    <w:rsid w:val="007403C6"/>
    <w:rsid w:val="0074067C"/>
    <w:rsid w:val="00741900"/>
    <w:rsid w:val="00742E4D"/>
    <w:rsid w:val="007432C8"/>
    <w:rsid w:val="007437B6"/>
    <w:rsid w:val="0074409D"/>
    <w:rsid w:val="00744368"/>
    <w:rsid w:val="0074485A"/>
    <w:rsid w:val="00744BB4"/>
    <w:rsid w:val="007454F9"/>
    <w:rsid w:val="00745958"/>
    <w:rsid w:val="00745DAC"/>
    <w:rsid w:val="00747DC6"/>
    <w:rsid w:val="00747E17"/>
    <w:rsid w:val="007506FD"/>
    <w:rsid w:val="00750C83"/>
    <w:rsid w:val="00750D97"/>
    <w:rsid w:val="00750DFF"/>
    <w:rsid w:val="00750E5B"/>
    <w:rsid w:val="00751D12"/>
    <w:rsid w:val="007526BA"/>
    <w:rsid w:val="00752916"/>
    <w:rsid w:val="00752A48"/>
    <w:rsid w:val="00753960"/>
    <w:rsid w:val="00754259"/>
    <w:rsid w:val="00754470"/>
    <w:rsid w:val="0075539D"/>
    <w:rsid w:val="00755E04"/>
    <w:rsid w:val="00756A3D"/>
    <w:rsid w:val="00760EAB"/>
    <w:rsid w:val="00761FBC"/>
    <w:rsid w:val="007620F5"/>
    <w:rsid w:val="007624A2"/>
    <w:rsid w:val="00762C59"/>
    <w:rsid w:val="00763360"/>
    <w:rsid w:val="00764070"/>
    <w:rsid w:val="00764268"/>
    <w:rsid w:val="00765AD7"/>
    <w:rsid w:val="00765F84"/>
    <w:rsid w:val="00766287"/>
    <w:rsid w:val="00766459"/>
    <w:rsid w:val="00766D46"/>
    <w:rsid w:val="00767553"/>
    <w:rsid w:val="007676AA"/>
    <w:rsid w:val="00771001"/>
    <w:rsid w:val="007717D8"/>
    <w:rsid w:val="00771F5C"/>
    <w:rsid w:val="007720D7"/>
    <w:rsid w:val="0077285C"/>
    <w:rsid w:val="007729D5"/>
    <w:rsid w:val="00772ABA"/>
    <w:rsid w:val="007735FE"/>
    <w:rsid w:val="0077656D"/>
    <w:rsid w:val="00776F91"/>
    <w:rsid w:val="007777DD"/>
    <w:rsid w:val="00777BE1"/>
    <w:rsid w:val="00780F8A"/>
    <w:rsid w:val="00781ACE"/>
    <w:rsid w:val="00781C85"/>
    <w:rsid w:val="00781C9A"/>
    <w:rsid w:val="00781CD7"/>
    <w:rsid w:val="0078244F"/>
    <w:rsid w:val="00782570"/>
    <w:rsid w:val="00782F55"/>
    <w:rsid w:val="007845D9"/>
    <w:rsid w:val="007857E9"/>
    <w:rsid w:val="00785F09"/>
    <w:rsid w:val="007860BD"/>
    <w:rsid w:val="00786B87"/>
    <w:rsid w:val="00787205"/>
    <w:rsid w:val="00787B1A"/>
    <w:rsid w:val="00787B3B"/>
    <w:rsid w:val="00787F0D"/>
    <w:rsid w:val="00790689"/>
    <w:rsid w:val="00790D23"/>
    <w:rsid w:val="00791BEF"/>
    <w:rsid w:val="00791D17"/>
    <w:rsid w:val="00791FF3"/>
    <w:rsid w:val="0079214B"/>
    <w:rsid w:val="007926E7"/>
    <w:rsid w:val="00792BDA"/>
    <w:rsid w:val="0079328C"/>
    <w:rsid w:val="00793B36"/>
    <w:rsid w:val="007940A5"/>
    <w:rsid w:val="00794C89"/>
    <w:rsid w:val="00794D76"/>
    <w:rsid w:val="00795147"/>
    <w:rsid w:val="007952B6"/>
    <w:rsid w:val="0079783D"/>
    <w:rsid w:val="00797BFD"/>
    <w:rsid w:val="007A0F85"/>
    <w:rsid w:val="007A14B3"/>
    <w:rsid w:val="007A1865"/>
    <w:rsid w:val="007A1A58"/>
    <w:rsid w:val="007A1B66"/>
    <w:rsid w:val="007A2967"/>
    <w:rsid w:val="007A364B"/>
    <w:rsid w:val="007A3EF2"/>
    <w:rsid w:val="007A49A7"/>
    <w:rsid w:val="007A4A40"/>
    <w:rsid w:val="007A5540"/>
    <w:rsid w:val="007A56A3"/>
    <w:rsid w:val="007A56AD"/>
    <w:rsid w:val="007A611C"/>
    <w:rsid w:val="007A63A1"/>
    <w:rsid w:val="007A6C29"/>
    <w:rsid w:val="007A6DF5"/>
    <w:rsid w:val="007A718B"/>
    <w:rsid w:val="007A73E5"/>
    <w:rsid w:val="007A7431"/>
    <w:rsid w:val="007A7434"/>
    <w:rsid w:val="007A78D8"/>
    <w:rsid w:val="007A7E25"/>
    <w:rsid w:val="007B093B"/>
    <w:rsid w:val="007B1111"/>
    <w:rsid w:val="007B14E5"/>
    <w:rsid w:val="007B21B5"/>
    <w:rsid w:val="007B23E3"/>
    <w:rsid w:val="007B2443"/>
    <w:rsid w:val="007B24EC"/>
    <w:rsid w:val="007B24F2"/>
    <w:rsid w:val="007B2742"/>
    <w:rsid w:val="007B2743"/>
    <w:rsid w:val="007B3091"/>
    <w:rsid w:val="007B3204"/>
    <w:rsid w:val="007B3A14"/>
    <w:rsid w:val="007B3D5A"/>
    <w:rsid w:val="007B3EC1"/>
    <w:rsid w:val="007B45D2"/>
    <w:rsid w:val="007B46B4"/>
    <w:rsid w:val="007B497C"/>
    <w:rsid w:val="007B6FE0"/>
    <w:rsid w:val="007B75DA"/>
    <w:rsid w:val="007C0A23"/>
    <w:rsid w:val="007C0E65"/>
    <w:rsid w:val="007C1623"/>
    <w:rsid w:val="007C19A1"/>
    <w:rsid w:val="007C1AF3"/>
    <w:rsid w:val="007C28E8"/>
    <w:rsid w:val="007C2CFB"/>
    <w:rsid w:val="007C3036"/>
    <w:rsid w:val="007C3878"/>
    <w:rsid w:val="007C3EC2"/>
    <w:rsid w:val="007C4CB9"/>
    <w:rsid w:val="007C4E56"/>
    <w:rsid w:val="007C688A"/>
    <w:rsid w:val="007C7157"/>
    <w:rsid w:val="007C796C"/>
    <w:rsid w:val="007C8F9B"/>
    <w:rsid w:val="007D0978"/>
    <w:rsid w:val="007D099B"/>
    <w:rsid w:val="007D0D80"/>
    <w:rsid w:val="007D124B"/>
    <w:rsid w:val="007D1D17"/>
    <w:rsid w:val="007D24C6"/>
    <w:rsid w:val="007D25C3"/>
    <w:rsid w:val="007D2B87"/>
    <w:rsid w:val="007D2C31"/>
    <w:rsid w:val="007D4019"/>
    <w:rsid w:val="007D5394"/>
    <w:rsid w:val="007D6098"/>
    <w:rsid w:val="007D60D8"/>
    <w:rsid w:val="007D6894"/>
    <w:rsid w:val="007D6909"/>
    <w:rsid w:val="007D6AFA"/>
    <w:rsid w:val="007E0473"/>
    <w:rsid w:val="007E062B"/>
    <w:rsid w:val="007E0734"/>
    <w:rsid w:val="007E13EA"/>
    <w:rsid w:val="007E145C"/>
    <w:rsid w:val="007E2241"/>
    <w:rsid w:val="007E32D9"/>
    <w:rsid w:val="007E3D1F"/>
    <w:rsid w:val="007E5521"/>
    <w:rsid w:val="007E6325"/>
    <w:rsid w:val="007E6AE8"/>
    <w:rsid w:val="007E70EE"/>
    <w:rsid w:val="007E7D03"/>
    <w:rsid w:val="007F0775"/>
    <w:rsid w:val="007F0778"/>
    <w:rsid w:val="007F0D60"/>
    <w:rsid w:val="007F0E20"/>
    <w:rsid w:val="007F0F01"/>
    <w:rsid w:val="007F0FCD"/>
    <w:rsid w:val="007F12D7"/>
    <w:rsid w:val="007F14E1"/>
    <w:rsid w:val="007F29BA"/>
    <w:rsid w:val="007F2ABE"/>
    <w:rsid w:val="007F474E"/>
    <w:rsid w:val="007F522F"/>
    <w:rsid w:val="007F684D"/>
    <w:rsid w:val="007F6AFE"/>
    <w:rsid w:val="0080169B"/>
    <w:rsid w:val="00803200"/>
    <w:rsid w:val="00803215"/>
    <w:rsid w:val="00804706"/>
    <w:rsid w:val="00804954"/>
    <w:rsid w:val="00804F02"/>
    <w:rsid w:val="008054FC"/>
    <w:rsid w:val="00806F0F"/>
    <w:rsid w:val="00807152"/>
    <w:rsid w:val="0081018D"/>
    <w:rsid w:val="00810CB4"/>
    <w:rsid w:val="00810D35"/>
    <w:rsid w:val="008118B8"/>
    <w:rsid w:val="00812AE2"/>
    <w:rsid w:val="00812D59"/>
    <w:rsid w:val="00814012"/>
    <w:rsid w:val="008140D2"/>
    <w:rsid w:val="00814BD3"/>
    <w:rsid w:val="00814F4F"/>
    <w:rsid w:val="00815090"/>
    <w:rsid w:val="00815383"/>
    <w:rsid w:val="00816340"/>
    <w:rsid w:val="00816A4F"/>
    <w:rsid w:val="008171EC"/>
    <w:rsid w:val="00820859"/>
    <w:rsid w:val="00820CB5"/>
    <w:rsid w:val="00821558"/>
    <w:rsid w:val="00821722"/>
    <w:rsid w:val="00821A7B"/>
    <w:rsid w:val="00821ABB"/>
    <w:rsid w:val="0082264A"/>
    <w:rsid w:val="00823194"/>
    <w:rsid w:val="0083010F"/>
    <w:rsid w:val="0083108D"/>
    <w:rsid w:val="00831228"/>
    <w:rsid w:val="00831267"/>
    <w:rsid w:val="00831284"/>
    <w:rsid w:val="008313CB"/>
    <w:rsid w:val="00831AE1"/>
    <w:rsid w:val="008327C7"/>
    <w:rsid w:val="00832936"/>
    <w:rsid w:val="00833264"/>
    <w:rsid w:val="0083335A"/>
    <w:rsid w:val="00834176"/>
    <w:rsid w:val="0083662F"/>
    <w:rsid w:val="008368E9"/>
    <w:rsid w:val="00836AED"/>
    <w:rsid w:val="00837727"/>
    <w:rsid w:val="008378E6"/>
    <w:rsid w:val="0084023A"/>
    <w:rsid w:val="00840427"/>
    <w:rsid w:val="008404BD"/>
    <w:rsid w:val="00840D39"/>
    <w:rsid w:val="00840DCA"/>
    <w:rsid w:val="00841B25"/>
    <w:rsid w:val="008423E5"/>
    <w:rsid w:val="00842588"/>
    <w:rsid w:val="0084303D"/>
    <w:rsid w:val="00843784"/>
    <w:rsid w:val="00843C78"/>
    <w:rsid w:val="008441AB"/>
    <w:rsid w:val="008443CA"/>
    <w:rsid w:val="008445F1"/>
    <w:rsid w:val="0084500D"/>
    <w:rsid w:val="0084565E"/>
    <w:rsid w:val="0084605A"/>
    <w:rsid w:val="008464A6"/>
    <w:rsid w:val="0084717C"/>
    <w:rsid w:val="0084725F"/>
    <w:rsid w:val="008500FD"/>
    <w:rsid w:val="008508CF"/>
    <w:rsid w:val="008509C2"/>
    <w:rsid w:val="00851200"/>
    <w:rsid w:val="008512EC"/>
    <w:rsid w:val="0085147F"/>
    <w:rsid w:val="008523E9"/>
    <w:rsid w:val="00852F36"/>
    <w:rsid w:val="00853631"/>
    <w:rsid w:val="00853711"/>
    <w:rsid w:val="0085427C"/>
    <w:rsid w:val="00854B24"/>
    <w:rsid w:val="0085528A"/>
    <w:rsid w:val="008561B7"/>
    <w:rsid w:val="008568B6"/>
    <w:rsid w:val="00856D7E"/>
    <w:rsid w:val="00856FFF"/>
    <w:rsid w:val="0085725B"/>
    <w:rsid w:val="008572BA"/>
    <w:rsid w:val="00857A99"/>
    <w:rsid w:val="0086044F"/>
    <w:rsid w:val="0086180B"/>
    <w:rsid w:val="008621E8"/>
    <w:rsid w:val="00862FB9"/>
    <w:rsid w:val="008637A3"/>
    <w:rsid w:val="0086424D"/>
    <w:rsid w:val="008642EE"/>
    <w:rsid w:val="00864472"/>
    <w:rsid w:val="008648F5"/>
    <w:rsid w:val="00864ABE"/>
    <w:rsid w:val="008657DA"/>
    <w:rsid w:val="00865B5A"/>
    <w:rsid w:val="008662B4"/>
    <w:rsid w:val="00866612"/>
    <w:rsid w:val="00866F6D"/>
    <w:rsid w:val="008678C3"/>
    <w:rsid w:val="008707D0"/>
    <w:rsid w:val="00871048"/>
    <w:rsid w:val="00871BFE"/>
    <w:rsid w:val="00872288"/>
    <w:rsid w:val="00872C72"/>
    <w:rsid w:val="00873453"/>
    <w:rsid w:val="008737C0"/>
    <w:rsid w:val="00873CB2"/>
    <w:rsid w:val="008747E5"/>
    <w:rsid w:val="0087483B"/>
    <w:rsid w:val="00875645"/>
    <w:rsid w:val="00876035"/>
    <w:rsid w:val="0087757E"/>
    <w:rsid w:val="008777C8"/>
    <w:rsid w:val="0087782F"/>
    <w:rsid w:val="00881694"/>
    <w:rsid w:val="00881711"/>
    <w:rsid w:val="0088199C"/>
    <w:rsid w:val="00881A25"/>
    <w:rsid w:val="00881CCB"/>
    <w:rsid w:val="008827AC"/>
    <w:rsid w:val="00882CCA"/>
    <w:rsid w:val="00882DC0"/>
    <w:rsid w:val="0088342C"/>
    <w:rsid w:val="00883A2B"/>
    <w:rsid w:val="00884802"/>
    <w:rsid w:val="008856FE"/>
    <w:rsid w:val="008860C3"/>
    <w:rsid w:val="008872E4"/>
    <w:rsid w:val="00887366"/>
    <w:rsid w:val="008878C5"/>
    <w:rsid w:val="0088790F"/>
    <w:rsid w:val="00890CC5"/>
    <w:rsid w:val="0089124B"/>
    <w:rsid w:val="008924A0"/>
    <w:rsid w:val="0089274E"/>
    <w:rsid w:val="0089346A"/>
    <w:rsid w:val="00893747"/>
    <w:rsid w:val="00895B6D"/>
    <w:rsid w:val="00895ED1"/>
    <w:rsid w:val="008961D9"/>
    <w:rsid w:val="00896D09"/>
    <w:rsid w:val="00896DC6"/>
    <w:rsid w:val="00897256"/>
    <w:rsid w:val="0089779F"/>
    <w:rsid w:val="00897821"/>
    <w:rsid w:val="008A0277"/>
    <w:rsid w:val="008A24D9"/>
    <w:rsid w:val="008A371E"/>
    <w:rsid w:val="008A37AB"/>
    <w:rsid w:val="008A5FEE"/>
    <w:rsid w:val="008A637C"/>
    <w:rsid w:val="008A6393"/>
    <w:rsid w:val="008A680C"/>
    <w:rsid w:val="008A79D2"/>
    <w:rsid w:val="008A7B84"/>
    <w:rsid w:val="008B0356"/>
    <w:rsid w:val="008B07D3"/>
    <w:rsid w:val="008B14CE"/>
    <w:rsid w:val="008B1672"/>
    <w:rsid w:val="008B1A31"/>
    <w:rsid w:val="008B1B87"/>
    <w:rsid w:val="008B3019"/>
    <w:rsid w:val="008B309A"/>
    <w:rsid w:val="008B33A8"/>
    <w:rsid w:val="008B3823"/>
    <w:rsid w:val="008B38A1"/>
    <w:rsid w:val="008B3F86"/>
    <w:rsid w:val="008B4710"/>
    <w:rsid w:val="008B60ED"/>
    <w:rsid w:val="008B6245"/>
    <w:rsid w:val="008B639B"/>
    <w:rsid w:val="008B6EF6"/>
    <w:rsid w:val="008C0AE8"/>
    <w:rsid w:val="008C199A"/>
    <w:rsid w:val="008C36AB"/>
    <w:rsid w:val="008C36DB"/>
    <w:rsid w:val="008C36E5"/>
    <w:rsid w:val="008C4254"/>
    <w:rsid w:val="008C44CC"/>
    <w:rsid w:val="008C5F2F"/>
    <w:rsid w:val="008C6133"/>
    <w:rsid w:val="008C62F6"/>
    <w:rsid w:val="008C688F"/>
    <w:rsid w:val="008C6FDE"/>
    <w:rsid w:val="008C7B29"/>
    <w:rsid w:val="008D0B63"/>
    <w:rsid w:val="008D3E37"/>
    <w:rsid w:val="008D4B22"/>
    <w:rsid w:val="008D4F51"/>
    <w:rsid w:val="008D5779"/>
    <w:rsid w:val="008D6537"/>
    <w:rsid w:val="008D67F8"/>
    <w:rsid w:val="008D6F94"/>
    <w:rsid w:val="008D6F9C"/>
    <w:rsid w:val="008D7932"/>
    <w:rsid w:val="008E0C64"/>
    <w:rsid w:val="008E137C"/>
    <w:rsid w:val="008E250A"/>
    <w:rsid w:val="008E2695"/>
    <w:rsid w:val="008E36D8"/>
    <w:rsid w:val="008E49E3"/>
    <w:rsid w:val="008E4AAF"/>
    <w:rsid w:val="008E50D6"/>
    <w:rsid w:val="008E54F9"/>
    <w:rsid w:val="008E57F7"/>
    <w:rsid w:val="008E5EF7"/>
    <w:rsid w:val="008E6165"/>
    <w:rsid w:val="008E61CF"/>
    <w:rsid w:val="008E708C"/>
    <w:rsid w:val="008F1D66"/>
    <w:rsid w:val="008F2C6D"/>
    <w:rsid w:val="008F2EB9"/>
    <w:rsid w:val="008F5599"/>
    <w:rsid w:val="008F5AFF"/>
    <w:rsid w:val="008F5F0D"/>
    <w:rsid w:val="008F6D5C"/>
    <w:rsid w:val="008F70D5"/>
    <w:rsid w:val="008F7145"/>
    <w:rsid w:val="008F7222"/>
    <w:rsid w:val="008F747E"/>
    <w:rsid w:val="008F7E97"/>
    <w:rsid w:val="00900771"/>
    <w:rsid w:val="00900B6E"/>
    <w:rsid w:val="00901623"/>
    <w:rsid w:val="00901730"/>
    <w:rsid w:val="00902017"/>
    <w:rsid w:val="00902B71"/>
    <w:rsid w:val="00902E66"/>
    <w:rsid w:val="0090349C"/>
    <w:rsid w:val="00903BF3"/>
    <w:rsid w:val="00904BB8"/>
    <w:rsid w:val="0090530D"/>
    <w:rsid w:val="00906315"/>
    <w:rsid w:val="00906A4F"/>
    <w:rsid w:val="00906D68"/>
    <w:rsid w:val="00906E92"/>
    <w:rsid w:val="00907161"/>
    <w:rsid w:val="009073BA"/>
    <w:rsid w:val="00907AAA"/>
    <w:rsid w:val="00907C79"/>
    <w:rsid w:val="009109DB"/>
    <w:rsid w:val="00911128"/>
    <w:rsid w:val="00911283"/>
    <w:rsid w:val="00911411"/>
    <w:rsid w:val="0091177C"/>
    <w:rsid w:val="00911C01"/>
    <w:rsid w:val="0091274C"/>
    <w:rsid w:val="00914466"/>
    <w:rsid w:val="00914ED1"/>
    <w:rsid w:val="0091506F"/>
    <w:rsid w:val="00915A3B"/>
    <w:rsid w:val="00915DFF"/>
    <w:rsid w:val="00915FE4"/>
    <w:rsid w:val="0091708B"/>
    <w:rsid w:val="009173EF"/>
    <w:rsid w:val="009179D3"/>
    <w:rsid w:val="0091EBD3"/>
    <w:rsid w:val="00920314"/>
    <w:rsid w:val="00920E65"/>
    <w:rsid w:val="0092228B"/>
    <w:rsid w:val="009223BB"/>
    <w:rsid w:val="009243E7"/>
    <w:rsid w:val="009246F4"/>
    <w:rsid w:val="009259F8"/>
    <w:rsid w:val="009259FD"/>
    <w:rsid w:val="00926D82"/>
    <w:rsid w:val="00927474"/>
    <w:rsid w:val="00927589"/>
    <w:rsid w:val="00927C56"/>
    <w:rsid w:val="00927FD0"/>
    <w:rsid w:val="0093036D"/>
    <w:rsid w:val="00930375"/>
    <w:rsid w:val="009306D7"/>
    <w:rsid w:val="00930A02"/>
    <w:rsid w:val="00931692"/>
    <w:rsid w:val="00931715"/>
    <w:rsid w:val="00931B6C"/>
    <w:rsid w:val="009321F9"/>
    <w:rsid w:val="009322F9"/>
    <w:rsid w:val="009324E6"/>
    <w:rsid w:val="00932823"/>
    <w:rsid w:val="00933176"/>
    <w:rsid w:val="00933C33"/>
    <w:rsid w:val="00934449"/>
    <w:rsid w:val="009344A8"/>
    <w:rsid w:val="009348E1"/>
    <w:rsid w:val="00935030"/>
    <w:rsid w:val="00935524"/>
    <w:rsid w:val="00935808"/>
    <w:rsid w:val="00935F95"/>
    <w:rsid w:val="00936DFC"/>
    <w:rsid w:val="00937117"/>
    <w:rsid w:val="00937736"/>
    <w:rsid w:val="00937A25"/>
    <w:rsid w:val="009402AB"/>
    <w:rsid w:val="00940405"/>
    <w:rsid w:val="00940C1C"/>
    <w:rsid w:val="00940DE6"/>
    <w:rsid w:val="00941F04"/>
    <w:rsid w:val="00941FB6"/>
    <w:rsid w:val="009422F3"/>
    <w:rsid w:val="009423A5"/>
    <w:rsid w:val="009427D5"/>
    <w:rsid w:val="009434E4"/>
    <w:rsid w:val="00943710"/>
    <w:rsid w:val="00943F9B"/>
    <w:rsid w:val="0094403B"/>
    <w:rsid w:val="0094409E"/>
    <w:rsid w:val="0094476B"/>
    <w:rsid w:val="009448A3"/>
    <w:rsid w:val="009449BF"/>
    <w:rsid w:val="00945243"/>
    <w:rsid w:val="009453B9"/>
    <w:rsid w:val="0094570C"/>
    <w:rsid w:val="00945F02"/>
    <w:rsid w:val="00945F24"/>
    <w:rsid w:val="00946981"/>
    <w:rsid w:val="00946FE3"/>
    <w:rsid w:val="009477B7"/>
    <w:rsid w:val="00947DF2"/>
    <w:rsid w:val="009501D6"/>
    <w:rsid w:val="009502C3"/>
    <w:rsid w:val="00950615"/>
    <w:rsid w:val="00950B22"/>
    <w:rsid w:val="00950D17"/>
    <w:rsid w:val="00950E88"/>
    <w:rsid w:val="00950E9B"/>
    <w:rsid w:val="00951001"/>
    <w:rsid w:val="00952DA6"/>
    <w:rsid w:val="009532A3"/>
    <w:rsid w:val="009537D4"/>
    <w:rsid w:val="00954866"/>
    <w:rsid w:val="009550D6"/>
    <w:rsid w:val="00955292"/>
    <w:rsid w:val="0095569D"/>
    <w:rsid w:val="00955C3D"/>
    <w:rsid w:val="00955DA7"/>
    <w:rsid w:val="00957C30"/>
    <w:rsid w:val="009601FC"/>
    <w:rsid w:val="00960DF1"/>
    <w:rsid w:val="009613EF"/>
    <w:rsid w:val="00961C50"/>
    <w:rsid w:val="00961D60"/>
    <w:rsid w:val="00962F6D"/>
    <w:rsid w:val="009634BA"/>
    <w:rsid w:val="00963A51"/>
    <w:rsid w:val="00963E56"/>
    <w:rsid w:val="00964C0D"/>
    <w:rsid w:val="00965192"/>
    <w:rsid w:val="009651B3"/>
    <w:rsid w:val="00970527"/>
    <w:rsid w:val="00970929"/>
    <w:rsid w:val="00970E15"/>
    <w:rsid w:val="00971459"/>
    <w:rsid w:val="009717AC"/>
    <w:rsid w:val="0097186D"/>
    <w:rsid w:val="00972BF8"/>
    <w:rsid w:val="00973117"/>
    <w:rsid w:val="009731FC"/>
    <w:rsid w:val="0097329D"/>
    <w:rsid w:val="00973E22"/>
    <w:rsid w:val="00974FB7"/>
    <w:rsid w:val="00975BD8"/>
    <w:rsid w:val="00975CD6"/>
    <w:rsid w:val="00975F7F"/>
    <w:rsid w:val="0097658E"/>
    <w:rsid w:val="00977983"/>
    <w:rsid w:val="00977A4B"/>
    <w:rsid w:val="00980B1E"/>
    <w:rsid w:val="00980C22"/>
    <w:rsid w:val="00981403"/>
    <w:rsid w:val="009818AD"/>
    <w:rsid w:val="00981F3A"/>
    <w:rsid w:val="00982025"/>
    <w:rsid w:val="00982044"/>
    <w:rsid w:val="009821E7"/>
    <w:rsid w:val="00982EB2"/>
    <w:rsid w:val="00983B06"/>
    <w:rsid w:val="00983C42"/>
    <w:rsid w:val="00983EE4"/>
    <w:rsid w:val="00984269"/>
    <w:rsid w:val="009858EF"/>
    <w:rsid w:val="00985C4F"/>
    <w:rsid w:val="009864CE"/>
    <w:rsid w:val="009864F6"/>
    <w:rsid w:val="00986793"/>
    <w:rsid w:val="00986EB4"/>
    <w:rsid w:val="00990967"/>
    <w:rsid w:val="00991077"/>
    <w:rsid w:val="0099109B"/>
    <w:rsid w:val="009911B3"/>
    <w:rsid w:val="009914A2"/>
    <w:rsid w:val="00991863"/>
    <w:rsid w:val="00992B04"/>
    <w:rsid w:val="009938ED"/>
    <w:rsid w:val="00993C19"/>
    <w:rsid w:val="00993C93"/>
    <w:rsid w:val="00993FB4"/>
    <w:rsid w:val="00995216"/>
    <w:rsid w:val="009957AD"/>
    <w:rsid w:val="00995E43"/>
    <w:rsid w:val="009960B2"/>
    <w:rsid w:val="00997704"/>
    <w:rsid w:val="0099771C"/>
    <w:rsid w:val="0099774B"/>
    <w:rsid w:val="009A0262"/>
    <w:rsid w:val="009A07B6"/>
    <w:rsid w:val="009A1695"/>
    <w:rsid w:val="009A16C8"/>
    <w:rsid w:val="009A1E85"/>
    <w:rsid w:val="009A2F16"/>
    <w:rsid w:val="009A3690"/>
    <w:rsid w:val="009A384D"/>
    <w:rsid w:val="009A390A"/>
    <w:rsid w:val="009A3AD5"/>
    <w:rsid w:val="009A3EB8"/>
    <w:rsid w:val="009A4C0F"/>
    <w:rsid w:val="009A5710"/>
    <w:rsid w:val="009B0AF4"/>
    <w:rsid w:val="009B17B8"/>
    <w:rsid w:val="009B1C61"/>
    <w:rsid w:val="009B1D9C"/>
    <w:rsid w:val="009B207F"/>
    <w:rsid w:val="009B23B6"/>
    <w:rsid w:val="009B2A3C"/>
    <w:rsid w:val="009B2C4D"/>
    <w:rsid w:val="009B2D1A"/>
    <w:rsid w:val="009B2E87"/>
    <w:rsid w:val="009B374B"/>
    <w:rsid w:val="009B4803"/>
    <w:rsid w:val="009B5150"/>
    <w:rsid w:val="009B53E9"/>
    <w:rsid w:val="009B5F0D"/>
    <w:rsid w:val="009B5F6F"/>
    <w:rsid w:val="009B6F33"/>
    <w:rsid w:val="009B735A"/>
    <w:rsid w:val="009B7403"/>
    <w:rsid w:val="009B7CA8"/>
    <w:rsid w:val="009C091C"/>
    <w:rsid w:val="009C1B77"/>
    <w:rsid w:val="009C23DB"/>
    <w:rsid w:val="009C31BE"/>
    <w:rsid w:val="009C37F2"/>
    <w:rsid w:val="009C39E7"/>
    <w:rsid w:val="009C3A2B"/>
    <w:rsid w:val="009C4244"/>
    <w:rsid w:val="009C5BF1"/>
    <w:rsid w:val="009C5EE1"/>
    <w:rsid w:val="009C6998"/>
    <w:rsid w:val="009C7C17"/>
    <w:rsid w:val="009C7D24"/>
    <w:rsid w:val="009CD2C3"/>
    <w:rsid w:val="009D05D6"/>
    <w:rsid w:val="009D0ABD"/>
    <w:rsid w:val="009D1160"/>
    <w:rsid w:val="009D1396"/>
    <w:rsid w:val="009D1958"/>
    <w:rsid w:val="009D1C29"/>
    <w:rsid w:val="009D1C80"/>
    <w:rsid w:val="009D2370"/>
    <w:rsid w:val="009D2D93"/>
    <w:rsid w:val="009D2F9A"/>
    <w:rsid w:val="009D428D"/>
    <w:rsid w:val="009D61E3"/>
    <w:rsid w:val="009D6AC4"/>
    <w:rsid w:val="009D6D87"/>
    <w:rsid w:val="009E007D"/>
    <w:rsid w:val="009E0534"/>
    <w:rsid w:val="009E088A"/>
    <w:rsid w:val="009E0BCB"/>
    <w:rsid w:val="009E0EDC"/>
    <w:rsid w:val="009E1262"/>
    <w:rsid w:val="009E1A77"/>
    <w:rsid w:val="009E20F0"/>
    <w:rsid w:val="009E239C"/>
    <w:rsid w:val="009E244A"/>
    <w:rsid w:val="009E270A"/>
    <w:rsid w:val="009E29D1"/>
    <w:rsid w:val="009E2F8F"/>
    <w:rsid w:val="009E332B"/>
    <w:rsid w:val="009E3F02"/>
    <w:rsid w:val="009E4AA5"/>
    <w:rsid w:val="009E4E8C"/>
    <w:rsid w:val="009E5172"/>
    <w:rsid w:val="009E5EDA"/>
    <w:rsid w:val="009E62CB"/>
    <w:rsid w:val="009E699C"/>
    <w:rsid w:val="009E7814"/>
    <w:rsid w:val="009E782D"/>
    <w:rsid w:val="009E7C32"/>
    <w:rsid w:val="009E7E08"/>
    <w:rsid w:val="009E7F51"/>
    <w:rsid w:val="009F05A2"/>
    <w:rsid w:val="009F1544"/>
    <w:rsid w:val="009F1AB5"/>
    <w:rsid w:val="009F1CAB"/>
    <w:rsid w:val="009F26B0"/>
    <w:rsid w:val="009F3074"/>
    <w:rsid w:val="009F3ED4"/>
    <w:rsid w:val="009F4030"/>
    <w:rsid w:val="009F4116"/>
    <w:rsid w:val="009F4205"/>
    <w:rsid w:val="009F46C1"/>
    <w:rsid w:val="009F551B"/>
    <w:rsid w:val="009F5DDB"/>
    <w:rsid w:val="009F5F9D"/>
    <w:rsid w:val="009F656D"/>
    <w:rsid w:val="009F6CC8"/>
    <w:rsid w:val="009F736C"/>
    <w:rsid w:val="00A02046"/>
    <w:rsid w:val="00A023F8"/>
    <w:rsid w:val="00A02692"/>
    <w:rsid w:val="00A02EEB"/>
    <w:rsid w:val="00A042B9"/>
    <w:rsid w:val="00A054B8"/>
    <w:rsid w:val="00A06F98"/>
    <w:rsid w:val="00A07169"/>
    <w:rsid w:val="00A07C12"/>
    <w:rsid w:val="00A07E1B"/>
    <w:rsid w:val="00A11373"/>
    <w:rsid w:val="00A113EC"/>
    <w:rsid w:val="00A11801"/>
    <w:rsid w:val="00A11F0A"/>
    <w:rsid w:val="00A124BD"/>
    <w:rsid w:val="00A12927"/>
    <w:rsid w:val="00A13749"/>
    <w:rsid w:val="00A1476F"/>
    <w:rsid w:val="00A14905"/>
    <w:rsid w:val="00A1516B"/>
    <w:rsid w:val="00A15C87"/>
    <w:rsid w:val="00A15D7F"/>
    <w:rsid w:val="00A161E1"/>
    <w:rsid w:val="00A16AD1"/>
    <w:rsid w:val="00A16C2C"/>
    <w:rsid w:val="00A16D2A"/>
    <w:rsid w:val="00A17408"/>
    <w:rsid w:val="00A203C3"/>
    <w:rsid w:val="00A20685"/>
    <w:rsid w:val="00A21189"/>
    <w:rsid w:val="00A21528"/>
    <w:rsid w:val="00A2166B"/>
    <w:rsid w:val="00A224EE"/>
    <w:rsid w:val="00A225DE"/>
    <w:rsid w:val="00A229BC"/>
    <w:rsid w:val="00A2395D"/>
    <w:rsid w:val="00A2416A"/>
    <w:rsid w:val="00A2482E"/>
    <w:rsid w:val="00A250B9"/>
    <w:rsid w:val="00A2537D"/>
    <w:rsid w:val="00A25EB2"/>
    <w:rsid w:val="00A26E97"/>
    <w:rsid w:val="00A27A71"/>
    <w:rsid w:val="00A27F8E"/>
    <w:rsid w:val="00A301A4"/>
    <w:rsid w:val="00A30265"/>
    <w:rsid w:val="00A31164"/>
    <w:rsid w:val="00A31905"/>
    <w:rsid w:val="00A34282"/>
    <w:rsid w:val="00A34A44"/>
    <w:rsid w:val="00A35479"/>
    <w:rsid w:val="00A35BD2"/>
    <w:rsid w:val="00A35F39"/>
    <w:rsid w:val="00A36C3C"/>
    <w:rsid w:val="00A37E34"/>
    <w:rsid w:val="00A402CC"/>
    <w:rsid w:val="00A40EDA"/>
    <w:rsid w:val="00A41A2A"/>
    <w:rsid w:val="00A41F54"/>
    <w:rsid w:val="00A4287E"/>
    <w:rsid w:val="00A42FAE"/>
    <w:rsid w:val="00A43301"/>
    <w:rsid w:val="00A437A7"/>
    <w:rsid w:val="00A43DF5"/>
    <w:rsid w:val="00A43EB9"/>
    <w:rsid w:val="00A44064"/>
    <w:rsid w:val="00A441E6"/>
    <w:rsid w:val="00A44661"/>
    <w:rsid w:val="00A44BD9"/>
    <w:rsid w:val="00A45328"/>
    <w:rsid w:val="00A456CC"/>
    <w:rsid w:val="00A473E1"/>
    <w:rsid w:val="00A478B2"/>
    <w:rsid w:val="00A478F2"/>
    <w:rsid w:val="00A47AD2"/>
    <w:rsid w:val="00A47FE8"/>
    <w:rsid w:val="00A50C42"/>
    <w:rsid w:val="00A50CDB"/>
    <w:rsid w:val="00A50E1D"/>
    <w:rsid w:val="00A5161B"/>
    <w:rsid w:val="00A51AEC"/>
    <w:rsid w:val="00A52554"/>
    <w:rsid w:val="00A52D1C"/>
    <w:rsid w:val="00A53013"/>
    <w:rsid w:val="00A5343B"/>
    <w:rsid w:val="00A53B48"/>
    <w:rsid w:val="00A549AD"/>
    <w:rsid w:val="00A54A5F"/>
    <w:rsid w:val="00A55EFA"/>
    <w:rsid w:val="00A56266"/>
    <w:rsid w:val="00A56E0F"/>
    <w:rsid w:val="00A5733C"/>
    <w:rsid w:val="00A60067"/>
    <w:rsid w:val="00A612DE"/>
    <w:rsid w:val="00A613A1"/>
    <w:rsid w:val="00A616C4"/>
    <w:rsid w:val="00A61745"/>
    <w:rsid w:val="00A61E7B"/>
    <w:rsid w:val="00A61E94"/>
    <w:rsid w:val="00A61FBA"/>
    <w:rsid w:val="00A63435"/>
    <w:rsid w:val="00A64086"/>
    <w:rsid w:val="00A64230"/>
    <w:rsid w:val="00A64B99"/>
    <w:rsid w:val="00A64C0F"/>
    <w:rsid w:val="00A650FC"/>
    <w:rsid w:val="00A6612B"/>
    <w:rsid w:val="00A66A06"/>
    <w:rsid w:val="00A673C3"/>
    <w:rsid w:val="00A67DAF"/>
    <w:rsid w:val="00A691CE"/>
    <w:rsid w:val="00A70C88"/>
    <w:rsid w:val="00A71309"/>
    <w:rsid w:val="00A7206D"/>
    <w:rsid w:val="00A72583"/>
    <w:rsid w:val="00A73EF1"/>
    <w:rsid w:val="00A741D4"/>
    <w:rsid w:val="00A743A1"/>
    <w:rsid w:val="00A74655"/>
    <w:rsid w:val="00A74EA5"/>
    <w:rsid w:val="00A76A41"/>
    <w:rsid w:val="00A76F7E"/>
    <w:rsid w:val="00A77793"/>
    <w:rsid w:val="00A805AA"/>
    <w:rsid w:val="00A82323"/>
    <w:rsid w:val="00A824EB"/>
    <w:rsid w:val="00A82D19"/>
    <w:rsid w:val="00A83537"/>
    <w:rsid w:val="00A83CA2"/>
    <w:rsid w:val="00A841E1"/>
    <w:rsid w:val="00A8421E"/>
    <w:rsid w:val="00A84A4E"/>
    <w:rsid w:val="00A851FF"/>
    <w:rsid w:val="00A854E6"/>
    <w:rsid w:val="00A856FA"/>
    <w:rsid w:val="00A85D71"/>
    <w:rsid w:val="00A87C94"/>
    <w:rsid w:val="00A90A4E"/>
    <w:rsid w:val="00A911A2"/>
    <w:rsid w:val="00A91650"/>
    <w:rsid w:val="00A919DB"/>
    <w:rsid w:val="00A91DB4"/>
    <w:rsid w:val="00A92E01"/>
    <w:rsid w:val="00A93B69"/>
    <w:rsid w:val="00A94591"/>
    <w:rsid w:val="00A94DFE"/>
    <w:rsid w:val="00A9530F"/>
    <w:rsid w:val="00A954D2"/>
    <w:rsid w:val="00A9633A"/>
    <w:rsid w:val="00A9658C"/>
    <w:rsid w:val="00A96E05"/>
    <w:rsid w:val="00A97C6A"/>
    <w:rsid w:val="00AA07BE"/>
    <w:rsid w:val="00AA0F6A"/>
    <w:rsid w:val="00AA21B5"/>
    <w:rsid w:val="00AA28C0"/>
    <w:rsid w:val="00AA2C57"/>
    <w:rsid w:val="00AA2D79"/>
    <w:rsid w:val="00AA3825"/>
    <w:rsid w:val="00AA39A7"/>
    <w:rsid w:val="00AA3DC0"/>
    <w:rsid w:val="00AA3E7A"/>
    <w:rsid w:val="00AA4343"/>
    <w:rsid w:val="00AA5570"/>
    <w:rsid w:val="00AA58C7"/>
    <w:rsid w:val="00AA5A57"/>
    <w:rsid w:val="00AA5C65"/>
    <w:rsid w:val="00AA61A4"/>
    <w:rsid w:val="00AA61A9"/>
    <w:rsid w:val="00AA6E87"/>
    <w:rsid w:val="00AA749D"/>
    <w:rsid w:val="00AB0016"/>
    <w:rsid w:val="00AB05F6"/>
    <w:rsid w:val="00AB09A3"/>
    <w:rsid w:val="00AB0ACE"/>
    <w:rsid w:val="00AB1071"/>
    <w:rsid w:val="00AB28C9"/>
    <w:rsid w:val="00AB2BA2"/>
    <w:rsid w:val="00AB2E69"/>
    <w:rsid w:val="00AB33F7"/>
    <w:rsid w:val="00AB4E23"/>
    <w:rsid w:val="00AB6F30"/>
    <w:rsid w:val="00AB7826"/>
    <w:rsid w:val="00AB7AF7"/>
    <w:rsid w:val="00AC32AB"/>
    <w:rsid w:val="00AC3440"/>
    <w:rsid w:val="00AC34C8"/>
    <w:rsid w:val="00AC3F59"/>
    <w:rsid w:val="00AC43BB"/>
    <w:rsid w:val="00AC4553"/>
    <w:rsid w:val="00AC4B16"/>
    <w:rsid w:val="00AC5509"/>
    <w:rsid w:val="00AC575B"/>
    <w:rsid w:val="00AC619A"/>
    <w:rsid w:val="00AC700F"/>
    <w:rsid w:val="00AD1595"/>
    <w:rsid w:val="00AD3089"/>
    <w:rsid w:val="00AD3274"/>
    <w:rsid w:val="00AD3A85"/>
    <w:rsid w:val="00AD4F51"/>
    <w:rsid w:val="00AD586C"/>
    <w:rsid w:val="00AD5939"/>
    <w:rsid w:val="00AD59A2"/>
    <w:rsid w:val="00AD6440"/>
    <w:rsid w:val="00AD6DC2"/>
    <w:rsid w:val="00AD70D5"/>
    <w:rsid w:val="00AD74C4"/>
    <w:rsid w:val="00AD7AD9"/>
    <w:rsid w:val="00AD7DD5"/>
    <w:rsid w:val="00AE03A8"/>
    <w:rsid w:val="00AE0C57"/>
    <w:rsid w:val="00AE1C58"/>
    <w:rsid w:val="00AE331D"/>
    <w:rsid w:val="00AE33AB"/>
    <w:rsid w:val="00AE3B67"/>
    <w:rsid w:val="00AE61AA"/>
    <w:rsid w:val="00AE7E67"/>
    <w:rsid w:val="00AF0468"/>
    <w:rsid w:val="00AF04F2"/>
    <w:rsid w:val="00AF095B"/>
    <w:rsid w:val="00AF0C85"/>
    <w:rsid w:val="00AF0F49"/>
    <w:rsid w:val="00AF1257"/>
    <w:rsid w:val="00AF38F5"/>
    <w:rsid w:val="00AF3D2F"/>
    <w:rsid w:val="00AF41B2"/>
    <w:rsid w:val="00AF44D1"/>
    <w:rsid w:val="00AF5229"/>
    <w:rsid w:val="00AF523E"/>
    <w:rsid w:val="00AF5409"/>
    <w:rsid w:val="00AF5AFF"/>
    <w:rsid w:val="00AF5D9B"/>
    <w:rsid w:val="00AF5FC5"/>
    <w:rsid w:val="00AF60D4"/>
    <w:rsid w:val="00AF648A"/>
    <w:rsid w:val="00AF77EB"/>
    <w:rsid w:val="00AF7DDA"/>
    <w:rsid w:val="00B00CF4"/>
    <w:rsid w:val="00B00CF8"/>
    <w:rsid w:val="00B02ECB"/>
    <w:rsid w:val="00B03DAE"/>
    <w:rsid w:val="00B03DB0"/>
    <w:rsid w:val="00B04011"/>
    <w:rsid w:val="00B04090"/>
    <w:rsid w:val="00B049D2"/>
    <w:rsid w:val="00B04A69"/>
    <w:rsid w:val="00B0533E"/>
    <w:rsid w:val="00B058E5"/>
    <w:rsid w:val="00B05D1D"/>
    <w:rsid w:val="00B06506"/>
    <w:rsid w:val="00B111D0"/>
    <w:rsid w:val="00B1141B"/>
    <w:rsid w:val="00B118E4"/>
    <w:rsid w:val="00B11910"/>
    <w:rsid w:val="00B121E0"/>
    <w:rsid w:val="00B12E50"/>
    <w:rsid w:val="00B131DB"/>
    <w:rsid w:val="00B135E0"/>
    <w:rsid w:val="00B13762"/>
    <w:rsid w:val="00B13A34"/>
    <w:rsid w:val="00B14932"/>
    <w:rsid w:val="00B14FCE"/>
    <w:rsid w:val="00B150A1"/>
    <w:rsid w:val="00B155DE"/>
    <w:rsid w:val="00B15BE9"/>
    <w:rsid w:val="00B160FE"/>
    <w:rsid w:val="00B161D6"/>
    <w:rsid w:val="00B1675B"/>
    <w:rsid w:val="00B1725A"/>
    <w:rsid w:val="00B17268"/>
    <w:rsid w:val="00B17821"/>
    <w:rsid w:val="00B17833"/>
    <w:rsid w:val="00B17AF7"/>
    <w:rsid w:val="00B20834"/>
    <w:rsid w:val="00B20B86"/>
    <w:rsid w:val="00B21A20"/>
    <w:rsid w:val="00B22715"/>
    <w:rsid w:val="00B22DDF"/>
    <w:rsid w:val="00B24876"/>
    <w:rsid w:val="00B25315"/>
    <w:rsid w:val="00B25356"/>
    <w:rsid w:val="00B2627D"/>
    <w:rsid w:val="00B2745A"/>
    <w:rsid w:val="00B27CA6"/>
    <w:rsid w:val="00B309BF"/>
    <w:rsid w:val="00B30EFC"/>
    <w:rsid w:val="00B317DC"/>
    <w:rsid w:val="00B31B14"/>
    <w:rsid w:val="00B31F78"/>
    <w:rsid w:val="00B32BD5"/>
    <w:rsid w:val="00B33A31"/>
    <w:rsid w:val="00B34229"/>
    <w:rsid w:val="00B353C3"/>
    <w:rsid w:val="00B35C17"/>
    <w:rsid w:val="00B363BB"/>
    <w:rsid w:val="00B379AD"/>
    <w:rsid w:val="00B401F1"/>
    <w:rsid w:val="00B408E7"/>
    <w:rsid w:val="00B4288A"/>
    <w:rsid w:val="00B42AA8"/>
    <w:rsid w:val="00B42E30"/>
    <w:rsid w:val="00B4306D"/>
    <w:rsid w:val="00B4327B"/>
    <w:rsid w:val="00B4342F"/>
    <w:rsid w:val="00B43453"/>
    <w:rsid w:val="00B4386D"/>
    <w:rsid w:val="00B4440F"/>
    <w:rsid w:val="00B44521"/>
    <w:rsid w:val="00B45AD7"/>
    <w:rsid w:val="00B469B7"/>
    <w:rsid w:val="00B46C8C"/>
    <w:rsid w:val="00B46F39"/>
    <w:rsid w:val="00B476A4"/>
    <w:rsid w:val="00B47ECF"/>
    <w:rsid w:val="00B5007F"/>
    <w:rsid w:val="00B50179"/>
    <w:rsid w:val="00B505FE"/>
    <w:rsid w:val="00B50755"/>
    <w:rsid w:val="00B5166E"/>
    <w:rsid w:val="00B52273"/>
    <w:rsid w:val="00B52E74"/>
    <w:rsid w:val="00B531C4"/>
    <w:rsid w:val="00B54516"/>
    <w:rsid w:val="00B548A7"/>
    <w:rsid w:val="00B54CA4"/>
    <w:rsid w:val="00B55319"/>
    <w:rsid w:val="00B5541A"/>
    <w:rsid w:val="00B555D0"/>
    <w:rsid w:val="00B56568"/>
    <w:rsid w:val="00B56A26"/>
    <w:rsid w:val="00B57A55"/>
    <w:rsid w:val="00B57B2C"/>
    <w:rsid w:val="00B57F58"/>
    <w:rsid w:val="00B604DD"/>
    <w:rsid w:val="00B606D7"/>
    <w:rsid w:val="00B607E3"/>
    <w:rsid w:val="00B60DB9"/>
    <w:rsid w:val="00B612AE"/>
    <w:rsid w:val="00B61785"/>
    <w:rsid w:val="00B622BF"/>
    <w:rsid w:val="00B62E1F"/>
    <w:rsid w:val="00B6337E"/>
    <w:rsid w:val="00B6384F"/>
    <w:rsid w:val="00B63C8A"/>
    <w:rsid w:val="00B6451F"/>
    <w:rsid w:val="00B64649"/>
    <w:rsid w:val="00B6555F"/>
    <w:rsid w:val="00B65F52"/>
    <w:rsid w:val="00B65F6E"/>
    <w:rsid w:val="00B66E48"/>
    <w:rsid w:val="00B67088"/>
    <w:rsid w:val="00B67D12"/>
    <w:rsid w:val="00B67E23"/>
    <w:rsid w:val="00B6CF50"/>
    <w:rsid w:val="00B7048B"/>
    <w:rsid w:val="00B70C31"/>
    <w:rsid w:val="00B7117A"/>
    <w:rsid w:val="00B726F3"/>
    <w:rsid w:val="00B73056"/>
    <w:rsid w:val="00B73207"/>
    <w:rsid w:val="00B73496"/>
    <w:rsid w:val="00B7376E"/>
    <w:rsid w:val="00B74362"/>
    <w:rsid w:val="00B747CC"/>
    <w:rsid w:val="00B751E0"/>
    <w:rsid w:val="00B7581C"/>
    <w:rsid w:val="00B75E46"/>
    <w:rsid w:val="00B75EDE"/>
    <w:rsid w:val="00B764D5"/>
    <w:rsid w:val="00B7669B"/>
    <w:rsid w:val="00B76994"/>
    <w:rsid w:val="00B76E69"/>
    <w:rsid w:val="00B770CF"/>
    <w:rsid w:val="00B77D97"/>
    <w:rsid w:val="00B77EEE"/>
    <w:rsid w:val="00B812F3"/>
    <w:rsid w:val="00B814D7"/>
    <w:rsid w:val="00B81CAC"/>
    <w:rsid w:val="00B81EEE"/>
    <w:rsid w:val="00B82A55"/>
    <w:rsid w:val="00B83665"/>
    <w:rsid w:val="00B83B3A"/>
    <w:rsid w:val="00B83D5E"/>
    <w:rsid w:val="00B8465B"/>
    <w:rsid w:val="00B849F9"/>
    <w:rsid w:val="00B86103"/>
    <w:rsid w:val="00B86432"/>
    <w:rsid w:val="00B86641"/>
    <w:rsid w:val="00B86D31"/>
    <w:rsid w:val="00B86E6B"/>
    <w:rsid w:val="00B87EC2"/>
    <w:rsid w:val="00B90769"/>
    <w:rsid w:val="00B92451"/>
    <w:rsid w:val="00B93721"/>
    <w:rsid w:val="00B938FD"/>
    <w:rsid w:val="00B93A87"/>
    <w:rsid w:val="00B93CC9"/>
    <w:rsid w:val="00B941AF"/>
    <w:rsid w:val="00B94C7E"/>
    <w:rsid w:val="00B94D93"/>
    <w:rsid w:val="00B96D57"/>
    <w:rsid w:val="00B97E41"/>
    <w:rsid w:val="00BA074D"/>
    <w:rsid w:val="00BA1166"/>
    <w:rsid w:val="00BA15EA"/>
    <w:rsid w:val="00BA19DF"/>
    <w:rsid w:val="00BA33FA"/>
    <w:rsid w:val="00BA3C70"/>
    <w:rsid w:val="00BA3C89"/>
    <w:rsid w:val="00BA3CB0"/>
    <w:rsid w:val="00BA3E19"/>
    <w:rsid w:val="00BA3E83"/>
    <w:rsid w:val="00BA4B83"/>
    <w:rsid w:val="00BA777E"/>
    <w:rsid w:val="00BA7A4E"/>
    <w:rsid w:val="00BB0285"/>
    <w:rsid w:val="00BB0718"/>
    <w:rsid w:val="00BB0BD5"/>
    <w:rsid w:val="00BB19FE"/>
    <w:rsid w:val="00BB1E7E"/>
    <w:rsid w:val="00BB289C"/>
    <w:rsid w:val="00BB478F"/>
    <w:rsid w:val="00BB5410"/>
    <w:rsid w:val="00BB64B3"/>
    <w:rsid w:val="00BB665B"/>
    <w:rsid w:val="00BB746F"/>
    <w:rsid w:val="00BB7744"/>
    <w:rsid w:val="00BB7A8F"/>
    <w:rsid w:val="00BB7C23"/>
    <w:rsid w:val="00BB7EA3"/>
    <w:rsid w:val="00BB7F60"/>
    <w:rsid w:val="00BB7FA8"/>
    <w:rsid w:val="00BC0143"/>
    <w:rsid w:val="00BC1448"/>
    <w:rsid w:val="00BC1940"/>
    <w:rsid w:val="00BC1A46"/>
    <w:rsid w:val="00BC1DEA"/>
    <w:rsid w:val="00BC26D6"/>
    <w:rsid w:val="00BC2D75"/>
    <w:rsid w:val="00BC358C"/>
    <w:rsid w:val="00BC3D82"/>
    <w:rsid w:val="00BC4027"/>
    <w:rsid w:val="00BC41B1"/>
    <w:rsid w:val="00BC4790"/>
    <w:rsid w:val="00BC49E1"/>
    <w:rsid w:val="00BC62BC"/>
    <w:rsid w:val="00BC62EA"/>
    <w:rsid w:val="00BC65D1"/>
    <w:rsid w:val="00BC7082"/>
    <w:rsid w:val="00BC7BF0"/>
    <w:rsid w:val="00BC7CDB"/>
    <w:rsid w:val="00BC9D54"/>
    <w:rsid w:val="00BD003F"/>
    <w:rsid w:val="00BD0809"/>
    <w:rsid w:val="00BD12C6"/>
    <w:rsid w:val="00BD17FD"/>
    <w:rsid w:val="00BD1DB9"/>
    <w:rsid w:val="00BD2A24"/>
    <w:rsid w:val="00BD2AC0"/>
    <w:rsid w:val="00BD3085"/>
    <w:rsid w:val="00BD37F8"/>
    <w:rsid w:val="00BD584A"/>
    <w:rsid w:val="00BD77C6"/>
    <w:rsid w:val="00BD77FA"/>
    <w:rsid w:val="00BE056C"/>
    <w:rsid w:val="00BE2788"/>
    <w:rsid w:val="00BE2E21"/>
    <w:rsid w:val="00BE3C2D"/>
    <w:rsid w:val="00BE5AFE"/>
    <w:rsid w:val="00BE5D2E"/>
    <w:rsid w:val="00BE6FAD"/>
    <w:rsid w:val="00BE7170"/>
    <w:rsid w:val="00BF0844"/>
    <w:rsid w:val="00BF098D"/>
    <w:rsid w:val="00BF0CEA"/>
    <w:rsid w:val="00BF182F"/>
    <w:rsid w:val="00BF216B"/>
    <w:rsid w:val="00BF2754"/>
    <w:rsid w:val="00BF28D0"/>
    <w:rsid w:val="00BF32B3"/>
    <w:rsid w:val="00BF36E4"/>
    <w:rsid w:val="00BF3834"/>
    <w:rsid w:val="00BF4075"/>
    <w:rsid w:val="00BF413C"/>
    <w:rsid w:val="00BF4BF1"/>
    <w:rsid w:val="00BF4C13"/>
    <w:rsid w:val="00BF50FE"/>
    <w:rsid w:val="00BF58BE"/>
    <w:rsid w:val="00BF6706"/>
    <w:rsid w:val="00BF7065"/>
    <w:rsid w:val="00BF7222"/>
    <w:rsid w:val="00BF769F"/>
    <w:rsid w:val="00BF7C39"/>
    <w:rsid w:val="00BF7EA2"/>
    <w:rsid w:val="00BF7ECA"/>
    <w:rsid w:val="00C0020F"/>
    <w:rsid w:val="00C01615"/>
    <w:rsid w:val="00C017CD"/>
    <w:rsid w:val="00C01BFA"/>
    <w:rsid w:val="00C0236A"/>
    <w:rsid w:val="00C02781"/>
    <w:rsid w:val="00C02909"/>
    <w:rsid w:val="00C03373"/>
    <w:rsid w:val="00C04BEC"/>
    <w:rsid w:val="00C050C7"/>
    <w:rsid w:val="00C05472"/>
    <w:rsid w:val="00C065A1"/>
    <w:rsid w:val="00C068D9"/>
    <w:rsid w:val="00C06D75"/>
    <w:rsid w:val="00C070F4"/>
    <w:rsid w:val="00C07778"/>
    <w:rsid w:val="00C103E2"/>
    <w:rsid w:val="00C1048B"/>
    <w:rsid w:val="00C105D6"/>
    <w:rsid w:val="00C107AB"/>
    <w:rsid w:val="00C109D8"/>
    <w:rsid w:val="00C109DF"/>
    <w:rsid w:val="00C10C9A"/>
    <w:rsid w:val="00C11361"/>
    <w:rsid w:val="00C126D2"/>
    <w:rsid w:val="00C13056"/>
    <w:rsid w:val="00C1407F"/>
    <w:rsid w:val="00C14212"/>
    <w:rsid w:val="00C14E70"/>
    <w:rsid w:val="00C1568F"/>
    <w:rsid w:val="00C15D17"/>
    <w:rsid w:val="00C16956"/>
    <w:rsid w:val="00C17213"/>
    <w:rsid w:val="00C178A2"/>
    <w:rsid w:val="00C17A60"/>
    <w:rsid w:val="00C20322"/>
    <w:rsid w:val="00C205A0"/>
    <w:rsid w:val="00C208A0"/>
    <w:rsid w:val="00C20A85"/>
    <w:rsid w:val="00C21A07"/>
    <w:rsid w:val="00C223CD"/>
    <w:rsid w:val="00C224ED"/>
    <w:rsid w:val="00C25249"/>
    <w:rsid w:val="00C2574C"/>
    <w:rsid w:val="00C257BE"/>
    <w:rsid w:val="00C26477"/>
    <w:rsid w:val="00C26AFE"/>
    <w:rsid w:val="00C26BA0"/>
    <w:rsid w:val="00C26E9B"/>
    <w:rsid w:val="00C27194"/>
    <w:rsid w:val="00C27312"/>
    <w:rsid w:val="00C27730"/>
    <w:rsid w:val="00C27A92"/>
    <w:rsid w:val="00C31908"/>
    <w:rsid w:val="00C31ECB"/>
    <w:rsid w:val="00C321A3"/>
    <w:rsid w:val="00C32567"/>
    <w:rsid w:val="00C32C55"/>
    <w:rsid w:val="00C32E48"/>
    <w:rsid w:val="00C336E7"/>
    <w:rsid w:val="00C34927"/>
    <w:rsid w:val="00C34E1C"/>
    <w:rsid w:val="00C34FFD"/>
    <w:rsid w:val="00C35961"/>
    <w:rsid w:val="00C35D3A"/>
    <w:rsid w:val="00C36607"/>
    <w:rsid w:val="00C3680C"/>
    <w:rsid w:val="00C3688D"/>
    <w:rsid w:val="00C37D8B"/>
    <w:rsid w:val="00C40D13"/>
    <w:rsid w:val="00C40DFF"/>
    <w:rsid w:val="00C415AB"/>
    <w:rsid w:val="00C41705"/>
    <w:rsid w:val="00C42132"/>
    <w:rsid w:val="00C4247A"/>
    <w:rsid w:val="00C42807"/>
    <w:rsid w:val="00C42997"/>
    <w:rsid w:val="00C42C6B"/>
    <w:rsid w:val="00C43ACA"/>
    <w:rsid w:val="00C43EBD"/>
    <w:rsid w:val="00C4509D"/>
    <w:rsid w:val="00C4517C"/>
    <w:rsid w:val="00C451E0"/>
    <w:rsid w:val="00C4543E"/>
    <w:rsid w:val="00C4545D"/>
    <w:rsid w:val="00C457A5"/>
    <w:rsid w:val="00C45BD2"/>
    <w:rsid w:val="00C460F4"/>
    <w:rsid w:val="00C4675D"/>
    <w:rsid w:val="00C46915"/>
    <w:rsid w:val="00C4703E"/>
    <w:rsid w:val="00C4770F"/>
    <w:rsid w:val="00C47885"/>
    <w:rsid w:val="00C47DB2"/>
    <w:rsid w:val="00C500F6"/>
    <w:rsid w:val="00C506B7"/>
    <w:rsid w:val="00C50D7F"/>
    <w:rsid w:val="00C51137"/>
    <w:rsid w:val="00C51930"/>
    <w:rsid w:val="00C52B17"/>
    <w:rsid w:val="00C5309B"/>
    <w:rsid w:val="00C533CE"/>
    <w:rsid w:val="00C5405D"/>
    <w:rsid w:val="00C54415"/>
    <w:rsid w:val="00C5484D"/>
    <w:rsid w:val="00C54D50"/>
    <w:rsid w:val="00C54D80"/>
    <w:rsid w:val="00C5704E"/>
    <w:rsid w:val="00C57DDE"/>
    <w:rsid w:val="00C60267"/>
    <w:rsid w:val="00C6057B"/>
    <w:rsid w:val="00C60B46"/>
    <w:rsid w:val="00C60F9B"/>
    <w:rsid w:val="00C616EA"/>
    <w:rsid w:val="00C61A73"/>
    <w:rsid w:val="00C61A9F"/>
    <w:rsid w:val="00C6212B"/>
    <w:rsid w:val="00C6239B"/>
    <w:rsid w:val="00C629D7"/>
    <w:rsid w:val="00C64016"/>
    <w:rsid w:val="00C64037"/>
    <w:rsid w:val="00C657C3"/>
    <w:rsid w:val="00C66255"/>
    <w:rsid w:val="00C669D6"/>
    <w:rsid w:val="00C67B3B"/>
    <w:rsid w:val="00C70559"/>
    <w:rsid w:val="00C714C5"/>
    <w:rsid w:val="00C723A4"/>
    <w:rsid w:val="00C72941"/>
    <w:rsid w:val="00C72E69"/>
    <w:rsid w:val="00C73CB6"/>
    <w:rsid w:val="00C7422C"/>
    <w:rsid w:val="00C743E4"/>
    <w:rsid w:val="00C74C37"/>
    <w:rsid w:val="00C754BF"/>
    <w:rsid w:val="00C7618B"/>
    <w:rsid w:val="00C762E8"/>
    <w:rsid w:val="00C7674D"/>
    <w:rsid w:val="00C76F33"/>
    <w:rsid w:val="00C77555"/>
    <w:rsid w:val="00C777A7"/>
    <w:rsid w:val="00C77890"/>
    <w:rsid w:val="00C8020F"/>
    <w:rsid w:val="00C8037A"/>
    <w:rsid w:val="00C80AA3"/>
    <w:rsid w:val="00C80B5E"/>
    <w:rsid w:val="00C815F5"/>
    <w:rsid w:val="00C81A8B"/>
    <w:rsid w:val="00C823F9"/>
    <w:rsid w:val="00C83AE4"/>
    <w:rsid w:val="00C83EDB"/>
    <w:rsid w:val="00C83FAB"/>
    <w:rsid w:val="00C84641"/>
    <w:rsid w:val="00C84C08"/>
    <w:rsid w:val="00C84D27"/>
    <w:rsid w:val="00C85826"/>
    <w:rsid w:val="00C85F26"/>
    <w:rsid w:val="00C8682D"/>
    <w:rsid w:val="00C86C54"/>
    <w:rsid w:val="00C87A76"/>
    <w:rsid w:val="00C87D10"/>
    <w:rsid w:val="00C90516"/>
    <w:rsid w:val="00C912C8"/>
    <w:rsid w:val="00C91AFC"/>
    <w:rsid w:val="00C91B08"/>
    <w:rsid w:val="00C92718"/>
    <w:rsid w:val="00C92CFC"/>
    <w:rsid w:val="00C93077"/>
    <w:rsid w:val="00C93354"/>
    <w:rsid w:val="00C93E9F"/>
    <w:rsid w:val="00C94CCC"/>
    <w:rsid w:val="00C9580F"/>
    <w:rsid w:val="00C962C9"/>
    <w:rsid w:val="00C9690D"/>
    <w:rsid w:val="00C96AAE"/>
    <w:rsid w:val="00C96B2F"/>
    <w:rsid w:val="00C970BA"/>
    <w:rsid w:val="00C97375"/>
    <w:rsid w:val="00C97765"/>
    <w:rsid w:val="00CA03C4"/>
    <w:rsid w:val="00CA0576"/>
    <w:rsid w:val="00CA1527"/>
    <w:rsid w:val="00CA160C"/>
    <w:rsid w:val="00CA17E8"/>
    <w:rsid w:val="00CA1806"/>
    <w:rsid w:val="00CA1A67"/>
    <w:rsid w:val="00CA229C"/>
    <w:rsid w:val="00CA337D"/>
    <w:rsid w:val="00CA3EFE"/>
    <w:rsid w:val="00CA3FD1"/>
    <w:rsid w:val="00CA4010"/>
    <w:rsid w:val="00CA41EB"/>
    <w:rsid w:val="00CA4913"/>
    <w:rsid w:val="00CA4BAF"/>
    <w:rsid w:val="00CA582B"/>
    <w:rsid w:val="00CA66F9"/>
    <w:rsid w:val="00CA6728"/>
    <w:rsid w:val="00CA69D6"/>
    <w:rsid w:val="00CA745B"/>
    <w:rsid w:val="00CB1007"/>
    <w:rsid w:val="00CB1F59"/>
    <w:rsid w:val="00CB27E2"/>
    <w:rsid w:val="00CB294C"/>
    <w:rsid w:val="00CB2DA4"/>
    <w:rsid w:val="00CB2DEE"/>
    <w:rsid w:val="00CB32FD"/>
    <w:rsid w:val="00CB3621"/>
    <w:rsid w:val="00CB3E64"/>
    <w:rsid w:val="00CB458B"/>
    <w:rsid w:val="00CB4950"/>
    <w:rsid w:val="00CB495F"/>
    <w:rsid w:val="00CB6FDD"/>
    <w:rsid w:val="00CB758F"/>
    <w:rsid w:val="00CC1AAF"/>
    <w:rsid w:val="00CC2481"/>
    <w:rsid w:val="00CC2D3A"/>
    <w:rsid w:val="00CC35F1"/>
    <w:rsid w:val="00CC3C3D"/>
    <w:rsid w:val="00CC49A6"/>
    <w:rsid w:val="00CC4A09"/>
    <w:rsid w:val="00CC4CE5"/>
    <w:rsid w:val="00CC5D1A"/>
    <w:rsid w:val="00CC5EEB"/>
    <w:rsid w:val="00CC61EF"/>
    <w:rsid w:val="00CC63E5"/>
    <w:rsid w:val="00CC6522"/>
    <w:rsid w:val="00CC67CA"/>
    <w:rsid w:val="00CC7739"/>
    <w:rsid w:val="00CC78B1"/>
    <w:rsid w:val="00CC7FB8"/>
    <w:rsid w:val="00CD0595"/>
    <w:rsid w:val="00CD0987"/>
    <w:rsid w:val="00CD17DC"/>
    <w:rsid w:val="00CD2B8D"/>
    <w:rsid w:val="00CD31B0"/>
    <w:rsid w:val="00CD3772"/>
    <w:rsid w:val="00CD3846"/>
    <w:rsid w:val="00CD3988"/>
    <w:rsid w:val="00CD40C7"/>
    <w:rsid w:val="00CD4B58"/>
    <w:rsid w:val="00CD53D6"/>
    <w:rsid w:val="00CD55C8"/>
    <w:rsid w:val="00CD596C"/>
    <w:rsid w:val="00CD5E51"/>
    <w:rsid w:val="00CD62DF"/>
    <w:rsid w:val="00CD67F2"/>
    <w:rsid w:val="00CD70B1"/>
    <w:rsid w:val="00CD718D"/>
    <w:rsid w:val="00CE05DE"/>
    <w:rsid w:val="00CE0BD7"/>
    <w:rsid w:val="00CE1EAA"/>
    <w:rsid w:val="00CE1FC0"/>
    <w:rsid w:val="00CE27DA"/>
    <w:rsid w:val="00CE2D2D"/>
    <w:rsid w:val="00CE325C"/>
    <w:rsid w:val="00CE35A9"/>
    <w:rsid w:val="00CE3B4A"/>
    <w:rsid w:val="00CE462E"/>
    <w:rsid w:val="00CE4DF2"/>
    <w:rsid w:val="00CE5307"/>
    <w:rsid w:val="00CE573B"/>
    <w:rsid w:val="00CE57AA"/>
    <w:rsid w:val="00CE5813"/>
    <w:rsid w:val="00CE5C46"/>
    <w:rsid w:val="00CE5D6D"/>
    <w:rsid w:val="00CE5F59"/>
    <w:rsid w:val="00CE5FFD"/>
    <w:rsid w:val="00CE6E6A"/>
    <w:rsid w:val="00CE6F48"/>
    <w:rsid w:val="00CE70A7"/>
    <w:rsid w:val="00CE757E"/>
    <w:rsid w:val="00CE7651"/>
    <w:rsid w:val="00CE7B61"/>
    <w:rsid w:val="00CE7E91"/>
    <w:rsid w:val="00CF02C2"/>
    <w:rsid w:val="00CF0527"/>
    <w:rsid w:val="00CF08C5"/>
    <w:rsid w:val="00CF112B"/>
    <w:rsid w:val="00CF36F5"/>
    <w:rsid w:val="00CF4340"/>
    <w:rsid w:val="00CF4C30"/>
    <w:rsid w:val="00CF4E2C"/>
    <w:rsid w:val="00CF5B17"/>
    <w:rsid w:val="00CF63B7"/>
    <w:rsid w:val="00CF64B7"/>
    <w:rsid w:val="00CF6B69"/>
    <w:rsid w:val="00D015DC"/>
    <w:rsid w:val="00D01D4B"/>
    <w:rsid w:val="00D030F9"/>
    <w:rsid w:val="00D0342B"/>
    <w:rsid w:val="00D035EF"/>
    <w:rsid w:val="00D04817"/>
    <w:rsid w:val="00D04AEE"/>
    <w:rsid w:val="00D04F12"/>
    <w:rsid w:val="00D0545F"/>
    <w:rsid w:val="00D05550"/>
    <w:rsid w:val="00D057AB"/>
    <w:rsid w:val="00D05C1F"/>
    <w:rsid w:val="00D05F8D"/>
    <w:rsid w:val="00D063D8"/>
    <w:rsid w:val="00D064CA"/>
    <w:rsid w:val="00D0698D"/>
    <w:rsid w:val="00D076D9"/>
    <w:rsid w:val="00D07C19"/>
    <w:rsid w:val="00D07D1D"/>
    <w:rsid w:val="00D07EB7"/>
    <w:rsid w:val="00D10039"/>
    <w:rsid w:val="00D10579"/>
    <w:rsid w:val="00D11B6D"/>
    <w:rsid w:val="00D11DC3"/>
    <w:rsid w:val="00D1275D"/>
    <w:rsid w:val="00D129F1"/>
    <w:rsid w:val="00D12C0E"/>
    <w:rsid w:val="00D13023"/>
    <w:rsid w:val="00D146E6"/>
    <w:rsid w:val="00D148D5"/>
    <w:rsid w:val="00D14C0C"/>
    <w:rsid w:val="00D150A4"/>
    <w:rsid w:val="00D1541B"/>
    <w:rsid w:val="00D15CD7"/>
    <w:rsid w:val="00D161E0"/>
    <w:rsid w:val="00D163C0"/>
    <w:rsid w:val="00D167DA"/>
    <w:rsid w:val="00D174BC"/>
    <w:rsid w:val="00D1777E"/>
    <w:rsid w:val="00D2082B"/>
    <w:rsid w:val="00D20CDF"/>
    <w:rsid w:val="00D21FBB"/>
    <w:rsid w:val="00D2217D"/>
    <w:rsid w:val="00D224F0"/>
    <w:rsid w:val="00D22FAD"/>
    <w:rsid w:val="00D23089"/>
    <w:rsid w:val="00D23D2E"/>
    <w:rsid w:val="00D24674"/>
    <w:rsid w:val="00D24722"/>
    <w:rsid w:val="00D24F5F"/>
    <w:rsid w:val="00D26E62"/>
    <w:rsid w:val="00D2973C"/>
    <w:rsid w:val="00D3040C"/>
    <w:rsid w:val="00D3160B"/>
    <w:rsid w:val="00D31B43"/>
    <w:rsid w:val="00D31D6F"/>
    <w:rsid w:val="00D31F8A"/>
    <w:rsid w:val="00D33057"/>
    <w:rsid w:val="00D33697"/>
    <w:rsid w:val="00D33AA3"/>
    <w:rsid w:val="00D33AEB"/>
    <w:rsid w:val="00D344DE"/>
    <w:rsid w:val="00D34E17"/>
    <w:rsid w:val="00D3530A"/>
    <w:rsid w:val="00D3622F"/>
    <w:rsid w:val="00D37AC8"/>
    <w:rsid w:val="00D40402"/>
    <w:rsid w:val="00D40BFB"/>
    <w:rsid w:val="00D40F20"/>
    <w:rsid w:val="00D4136C"/>
    <w:rsid w:val="00D41759"/>
    <w:rsid w:val="00D41D5D"/>
    <w:rsid w:val="00D429CC"/>
    <w:rsid w:val="00D4405B"/>
    <w:rsid w:val="00D446EB"/>
    <w:rsid w:val="00D44F5F"/>
    <w:rsid w:val="00D4536A"/>
    <w:rsid w:val="00D45BDE"/>
    <w:rsid w:val="00D46E98"/>
    <w:rsid w:val="00D46EF2"/>
    <w:rsid w:val="00D4736C"/>
    <w:rsid w:val="00D4780A"/>
    <w:rsid w:val="00D506A1"/>
    <w:rsid w:val="00D508FA"/>
    <w:rsid w:val="00D52035"/>
    <w:rsid w:val="00D521C8"/>
    <w:rsid w:val="00D526A4"/>
    <w:rsid w:val="00D529F9"/>
    <w:rsid w:val="00D536E9"/>
    <w:rsid w:val="00D540ED"/>
    <w:rsid w:val="00D55B05"/>
    <w:rsid w:val="00D576CF"/>
    <w:rsid w:val="00D6005C"/>
    <w:rsid w:val="00D60573"/>
    <w:rsid w:val="00D60DF6"/>
    <w:rsid w:val="00D60F20"/>
    <w:rsid w:val="00D611FF"/>
    <w:rsid w:val="00D61236"/>
    <w:rsid w:val="00D616E4"/>
    <w:rsid w:val="00D619C0"/>
    <w:rsid w:val="00D630F4"/>
    <w:rsid w:val="00D634C4"/>
    <w:rsid w:val="00D637C8"/>
    <w:rsid w:val="00D64945"/>
    <w:rsid w:val="00D6521E"/>
    <w:rsid w:val="00D65D3E"/>
    <w:rsid w:val="00D66AD6"/>
    <w:rsid w:val="00D66EF8"/>
    <w:rsid w:val="00D67152"/>
    <w:rsid w:val="00D67726"/>
    <w:rsid w:val="00D67EE7"/>
    <w:rsid w:val="00D67FB7"/>
    <w:rsid w:val="00D70070"/>
    <w:rsid w:val="00D70492"/>
    <w:rsid w:val="00D70569"/>
    <w:rsid w:val="00D71776"/>
    <w:rsid w:val="00D72BE1"/>
    <w:rsid w:val="00D72BEC"/>
    <w:rsid w:val="00D732C0"/>
    <w:rsid w:val="00D73B82"/>
    <w:rsid w:val="00D73F66"/>
    <w:rsid w:val="00D74178"/>
    <w:rsid w:val="00D741A2"/>
    <w:rsid w:val="00D741A6"/>
    <w:rsid w:val="00D74784"/>
    <w:rsid w:val="00D74B7F"/>
    <w:rsid w:val="00D750DE"/>
    <w:rsid w:val="00D7567C"/>
    <w:rsid w:val="00D7616D"/>
    <w:rsid w:val="00D76650"/>
    <w:rsid w:val="00D774FE"/>
    <w:rsid w:val="00D7786C"/>
    <w:rsid w:val="00D813FE"/>
    <w:rsid w:val="00D81A22"/>
    <w:rsid w:val="00D81DDF"/>
    <w:rsid w:val="00D81FD9"/>
    <w:rsid w:val="00D82867"/>
    <w:rsid w:val="00D843B4"/>
    <w:rsid w:val="00D84501"/>
    <w:rsid w:val="00D84791"/>
    <w:rsid w:val="00D849A8"/>
    <w:rsid w:val="00D84C83"/>
    <w:rsid w:val="00D85957"/>
    <w:rsid w:val="00D87A17"/>
    <w:rsid w:val="00D90B14"/>
    <w:rsid w:val="00D90F5D"/>
    <w:rsid w:val="00D91220"/>
    <w:rsid w:val="00D91942"/>
    <w:rsid w:val="00D92239"/>
    <w:rsid w:val="00D92887"/>
    <w:rsid w:val="00D92E6C"/>
    <w:rsid w:val="00D93B15"/>
    <w:rsid w:val="00D944B9"/>
    <w:rsid w:val="00D94BCD"/>
    <w:rsid w:val="00D95534"/>
    <w:rsid w:val="00D95BC0"/>
    <w:rsid w:val="00D967C1"/>
    <w:rsid w:val="00D97241"/>
    <w:rsid w:val="00D9728D"/>
    <w:rsid w:val="00D97913"/>
    <w:rsid w:val="00DA0027"/>
    <w:rsid w:val="00DA0043"/>
    <w:rsid w:val="00DA07CE"/>
    <w:rsid w:val="00DA0B69"/>
    <w:rsid w:val="00DA0C01"/>
    <w:rsid w:val="00DA18F9"/>
    <w:rsid w:val="00DA1AFF"/>
    <w:rsid w:val="00DA2333"/>
    <w:rsid w:val="00DA2699"/>
    <w:rsid w:val="00DA341F"/>
    <w:rsid w:val="00DA3C2B"/>
    <w:rsid w:val="00DA3D12"/>
    <w:rsid w:val="00DA3DBD"/>
    <w:rsid w:val="00DA593D"/>
    <w:rsid w:val="00DA5CF8"/>
    <w:rsid w:val="00DA60C5"/>
    <w:rsid w:val="00DA6F5B"/>
    <w:rsid w:val="00DA7EE5"/>
    <w:rsid w:val="00DB0339"/>
    <w:rsid w:val="00DB087E"/>
    <w:rsid w:val="00DB0A56"/>
    <w:rsid w:val="00DB13A6"/>
    <w:rsid w:val="00DB1560"/>
    <w:rsid w:val="00DB175B"/>
    <w:rsid w:val="00DB1A69"/>
    <w:rsid w:val="00DB1CDD"/>
    <w:rsid w:val="00DB1F61"/>
    <w:rsid w:val="00DB2988"/>
    <w:rsid w:val="00DB2F2E"/>
    <w:rsid w:val="00DB2F43"/>
    <w:rsid w:val="00DB3539"/>
    <w:rsid w:val="00DB3648"/>
    <w:rsid w:val="00DB439A"/>
    <w:rsid w:val="00DB4BB0"/>
    <w:rsid w:val="00DB4C21"/>
    <w:rsid w:val="00DB543A"/>
    <w:rsid w:val="00DB5CA7"/>
    <w:rsid w:val="00DB69B9"/>
    <w:rsid w:val="00DB76FE"/>
    <w:rsid w:val="00DB796E"/>
    <w:rsid w:val="00DB7EA2"/>
    <w:rsid w:val="00DC1ABC"/>
    <w:rsid w:val="00DC27BA"/>
    <w:rsid w:val="00DC286F"/>
    <w:rsid w:val="00DC2F2E"/>
    <w:rsid w:val="00DC3287"/>
    <w:rsid w:val="00DC3B64"/>
    <w:rsid w:val="00DC47F9"/>
    <w:rsid w:val="00DC48CF"/>
    <w:rsid w:val="00DC49E8"/>
    <w:rsid w:val="00DC5BB2"/>
    <w:rsid w:val="00DC64AF"/>
    <w:rsid w:val="00DC65C6"/>
    <w:rsid w:val="00DC689D"/>
    <w:rsid w:val="00DC7BD6"/>
    <w:rsid w:val="00DD01E4"/>
    <w:rsid w:val="00DD0239"/>
    <w:rsid w:val="00DD2128"/>
    <w:rsid w:val="00DD2642"/>
    <w:rsid w:val="00DD376F"/>
    <w:rsid w:val="00DD3F1C"/>
    <w:rsid w:val="00DD3FE1"/>
    <w:rsid w:val="00DD4A35"/>
    <w:rsid w:val="00DD53A9"/>
    <w:rsid w:val="00DD5D24"/>
    <w:rsid w:val="00DD6395"/>
    <w:rsid w:val="00DD70A4"/>
    <w:rsid w:val="00DD78D6"/>
    <w:rsid w:val="00DE0BCE"/>
    <w:rsid w:val="00DE1740"/>
    <w:rsid w:val="00DE18A5"/>
    <w:rsid w:val="00DE283F"/>
    <w:rsid w:val="00DE4507"/>
    <w:rsid w:val="00DE4F3A"/>
    <w:rsid w:val="00DE59F9"/>
    <w:rsid w:val="00DE5B3E"/>
    <w:rsid w:val="00DE6A31"/>
    <w:rsid w:val="00DE6F37"/>
    <w:rsid w:val="00DE751B"/>
    <w:rsid w:val="00DF1271"/>
    <w:rsid w:val="00DF16F5"/>
    <w:rsid w:val="00DF1C22"/>
    <w:rsid w:val="00DF2616"/>
    <w:rsid w:val="00DF330A"/>
    <w:rsid w:val="00DF4646"/>
    <w:rsid w:val="00DF499A"/>
    <w:rsid w:val="00DF4C92"/>
    <w:rsid w:val="00DF4CBB"/>
    <w:rsid w:val="00DF4EC3"/>
    <w:rsid w:val="00DF590F"/>
    <w:rsid w:val="00DF5C5F"/>
    <w:rsid w:val="00DF5DBB"/>
    <w:rsid w:val="00DF657D"/>
    <w:rsid w:val="00DF7125"/>
    <w:rsid w:val="00DF713F"/>
    <w:rsid w:val="00DF71F4"/>
    <w:rsid w:val="00DF7615"/>
    <w:rsid w:val="00DF7C4C"/>
    <w:rsid w:val="00E00B8B"/>
    <w:rsid w:val="00E018D2"/>
    <w:rsid w:val="00E0293E"/>
    <w:rsid w:val="00E02983"/>
    <w:rsid w:val="00E03BBD"/>
    <w:rsid w:val="00E0457B"/>
    <w:rsid w:val="00E0510C"/>
    <w:rsid w:val="00E05513"/>
    <w:rsid w:val="00E05E31"/>
    <w:rsid w:val="00E065B9"/>
    <w:rsid w:val="00E06A6E"/>
    <w:rsid w:val="00E06B5C"/>
    <w:rsid w:val="00E07424"/>
    <w:rsid w:val="00E10029"/>
    <w:rsid w:val="00E10249"/>
    <w:rsid w:val="00E11166"/>
    <w:rsid w:val="00E11840"/>
    <w:rsid w:val="00E11C54"/>
    <w:rsid w:val="00E12518"/>
    <w:rsid w:val="00E12545"/>
    <w:rsid w:val="00E132C7"/>
    <w:rsid w:val="00E13588"/>
    <w:rsid w:val="00E145BC"/>
    <w:rsid w:val="00E149CC"/>
    <w:rsid w:val="00E14D58"/>
    <w:rsid w:val="00E15022"/>
    <w:rsid w:val="00E15106"/>
    <w:rsid w:val="00E1590A"/>
    <w:rsid w:val="00E162A5"/>
    <w:rsid w:val="00E16BC2"/>
    <w:rsid w:val="00E170B7"/>
    <w:rsid w:val="00E1727F"/>
    <w:rsid w:val="00E17B38"/>
    <w:rsid w:val="00E17C8C"/>
    <w:rsid w:val="00E17E61"/>
    <w:rsid w:val="00E17F07"/>
    <w:rsid w:val="00E212F8"/>
    <w:rsid w:val="00E21A4C"/>
    <w:rsid w:val="00E2349B"/>
    <w:rsid w:val="00E234EB"/>
    <w:rsid w:val="00E23679"/>
    <w:rsid w:val="00E24020"/>
    <w:rsid w:val="00E24671"/>
    <w:rsid w:val="00E24DA7"/>
    <w:rsid w:val="00E250A8"/>
    <w:rsid w:val="00E25B64"/>
    <w:rsid w:val="00E25FBC"/>
    <w:rsid w:val="00E26500"/>
    <w:rsid w:val="00E26956"/>
    <w:rsid w:val="00E272DC"/>
    <w:rsid w:val="00E2744E"/>
    <w:rsid w:val="00E2988B"/>
    <w:rsid w:val="00E30268"/>
    <w:rsid w:val="00E30491"/>
    <w:rsid w:val="00E30679"/>
    <w:rsid w:val="00E3084B"/>
    <w:rsid w:val="00E30C0C"/>
    <w:rsid w:val="00E32CE0"/>
    <w:rsid w:val="00E33CA2"/>
    <w:rsid w:val="00E344DC"/>
    <w:rsid w:val="00E3486C"/>
    <w:rsid w:val="00E349F0"/>
    <w:rsid w:val="00E3520A"/>
    <w:rsid w:val="00E37654"/>
    <w:rsid w:val="00E37869"/>
    <w:rsid w:val="00E37C88"/>
    <w:rsid w:val="00E3BD10"/>
    <w:rsid w:val="00E40252"/>
    <w:rsid w:val="00E407E8"/>
    <w:rsid w:val="00E408CD"/>
    <w:rsid w:val="00E40EB5"/>
    <w:rsid w:val="00E4133E"/>
    <w:rsid w:val="00E4154C"/>
    <w:rsid w:val="00E41645"/>
    <w:rsid w:val="00E4193F"/>
    <w:rsid w:val="00E42322"/>
    <w:rsid w:val="00E425F7"/>
    <w:rsid w:val="00E426A9"/>
    <w:rsid w:val="00E42D2F"/>
    <w:rsid w:val="00E42DC6"/>
    <w:rsid w:val="00E43312"/>
    <w:rsid w:val="00E4367B"/>
    <w:rsid w:val="00E4385D"/>
    <w:rsid w:val="00E43B42"/>
    <w:rsid w:val="00E444E4"/>
    <w:rsid w:val="00E4592D"/>
    <w:rsid w:val="00E45C07"/>
    <w:rsid w:val="00E465FF"/>
    <w:rsid w:val="00E46865"/>
    <w:rsid w:val="00E4688F"/>
    <w:rsid w:val="00E46DE3"/>
    <w:rsid w:val="00E474E2"/>
    <w:rsid w:val="00E50634"/>
    <w:rsid w:val="00E50A31"/>
    <w:rsid w:val="00E50EB5"/>
    <w:rsid w:val="00E513F8"/>
    <w:rsid w:val="00E51995"/>
    <w:rsid w:val="00E519D0"/>
    <w:rsid w:val="00E5284A"/>
    <w:rsid w:val="00E52895"/>
    <w:rsid w:val="00E52AAE"/>
    <w:rsid w:val="00E52C1D"/>
    <w:rsid w:val="00E52DF0"/>
    <w:rsid w:val="00E5302A"/>
    <w:rsid w:val="00E53DA7"/>
    <w:rsid w:val="00E54597"/>
    <w:rsid w:val="00E56346"/>
    <w:rsid w:val="00E5640D"/>
    <w:rsid w:val="00E572C6"/>
    <w:rsid w:val="00E574FA"/>
    <w:rsid w:val="00E60E4A"/>
    <w:rsid w:val="00E60F01"/>
    <w:rsid w:val="00E6172C"/>
    <w:rsid w:val="00E61EBE"/>
    <w:rsid w:val="00E62AF7"/>
    <w:rsid w:val="00E62E5B"/>
    <w:rsid w:val="00E62F98"/>
    <w:rsid w:val="00E63BE3"/>
    <w:rsid w:val="00E63BFD"/>
    <w:rsid w:val="00E651C5"/>
    <w:rsid w:val="00E65A8F"/>
    <w:rsid w:val="00E65B90"/>
    <w:rsid w:val="00E67144"/>
    <w:rsid w:val="00E701EA"/>
    <w:rsid w:val="00E7036E"/>
    <w:rsid w:val="00E71C85"/>
    <w:rsid w:val="00E71CAC"/>
    <w:rsid w:val="00E72365"/>
    <w:rsid w:val="00E7268A"/>
    <w:rsid w:val="00E72723"/>
    <w:rsid w:val="00E72D3B"/>
    <w:rsid w:val="00E73587"/>
    <w:rsid w:val="00E7413E"/>
    <w:rsid w:val="00E749DB"/>
    <w:rsid w:val="00E74CFA"/>
    <w:rsid w:val="00E75001"/>
    <w:rsid w:val="00E758CC"/>
    <w:rsid w:val="00E75AC4"/>
    <w:rsid w:val="00E76E30"/>
    <w:rsid w:val="00E7791F"/>
    <w:rsid w:val="00E816A0"/>
    <w:rsid w:val="00E8192B"/>
    <w:rsid w:val="00E82309"/>
    <w:rsid w:val="00E8247D"/>
    <w:rsid w:val="00E82768"/>
    <w:rsid w:val="00E828BD"/>
    <w:rsid w:val="00E82B19"/>
    <w:rsid w:val="00E82FE3"/>
    <w:rsid w:val="00E83630"/>
    <w:rsid w:val="00E838D2"/>
    <w:rsid w:val="00E83FFE"/>
    <w:rsid w:val="00E84BE6"/>
    <w:rsid w:val="00E862FC"/>
    <w:rsid w:val="00E872DE"/>
    <w:rsid w:val="00E87543"/>
    <w:rsid w:val="00E875A9"/>
    <w:rsid w:val="00E8794A"/>
    <w:rsid w:val="00E87C61"/>
    <w:rsid w:val="00E912B0"/>
    <w:rsid w:val="00E91474"/>
    <w:rsid w:val="00E91A47"/>
    <w:rsid w:val="00E91DAD"/>
    <w:rsid w:val="00E9215F"/>
    <w:rsid w:val="00E92682"/>
    <w:rsid w:val="00E92D88"/>
    <w:rsid w:val="00E92F6A"/>
    <w:rsid w:val="00E92F96"/>
    <w:rsid w:val="00E93847"/>
    <w:rsid w:val="00E93873"/>
    <w:rsid w:val="00E93CC6"/>
    <w:rsid w:val="00E9453E"/>
    <w:rsid w:val="00E954B1"/>
    <w:rsid w:val="00E95945"/>
    <w:rsid w:val="00E965B4"/>
    <w:rsid w:val="00E96985"/>
    <w:rsid w:val="00E97437"/>
    <w:rsid w:val="00EA1382"/>
    <w:rsid w:val="00EA1691"/>
    <w:rsid w:val="00EA1A88"/>
    <w:rsid w:val="00EA1C44"/>
    <w:rsid w:val="00EA2878"/>
    <w:rsid w:val="00EA3726"/>
    <w:rsid w:val="00EA3CED"/>
    <w:rsid w:val="00EA40FC"/>
    <w:rsid w:val="00EA481A"/>
    <w:rsid w:val="00EA490B"/>
    <w:rsid w:val="00EA4AB3"/>
    <w:rsid w:val="00EA527B"/>
    <w:rsid w:val="00EA53DA"/>
    <w:rsid w:val="00EA6028"/>
    <w:rsid w:val="00EA6977"/>
    <w:rsid w:val="00EA6CE2"/>
    <w:rsid w:val="00EA744E"/>
    <w:rsid w:val="00EB02C8"/>
    <w:rsid w:val="00EB17B0"/>
    <w:rsid w:val="00EB1928"/>
    <w:rsid w:val="00EB1939"/>
    <w:rsid w:val="00EB2553"/>
    <w:rsid w:val="00EB2789"/>
    <w:rsid w:val="00EB3333"/>
    <w:rsid w:val="00EB38B1"/>
    <w:rsid w:val="00EB44BE"/>
    <w:rsid w:val="00EB451A"/>
    <w:rsid w:val="00EB49FF"/>
    <w:rsid w:val="00EB4AC9"/>
    <w:rsid w:val="00EB4C93"/>
    <w:rsid w:val="00EB5442"/>
    <w:rsid w:val="00EB69BA"/>
    <w:rsid w:val="00EB735E"/>
    <w:rsid w:val="00EBA99B"/>
    <w:rsid w:val="00EC0B30"/>
    <w:rsid w:val="00EC10DD"/>
    <w:rsid w:val="00EC117C"/>
    <w:rsid w:val="00EC12F9"/>
    <w:rsid w:val="00EC2CF6"/>
    <w:rsid w:val="00EC3274"/>
    <w:rsid w:val="00EC3FC3"/>
    <w:rsid w:val="00EC50CD"/>
    <w:rsid w:val="00EC540E"/>
    <w:rsid w:val="00EC5557"/>
    <w:rsid w:val="00EC59D0"/>
    <w:rsid w:val="00EC5C54"/>
    <w:rsid w:val="00EC6025"/>
    <w:rsid w:val="00EC62D5"/>
    <w:rsid w:val="00EC63A9"/>
    <w:rsid w:val="00EC69DD"/>
    <w:rsid w:val="00ED0258"/>
    <w:rsid w:val="00ED0CFF"/>
    <w:rsid w:val="00ED1829"/>
    <w:rsid w:val="00ED21B9"/>
    <w:rsid w:val="00ED2F84"/>
    <w:rsid w:val="00ED4BE2"/>
    <w:rsid w:val="00ED4E38"/>
    <w:rsid w:val="00ED6081"/>
    <w:rsid w:val="00ED7402"/>
    <w:rsid w:val="00ED7E21"/>
    <w:rsid w:val="00EE03CA"/>
    <w:rsid w:val="00EE0673"/>
    <w:rsid w:val="00EE0964"/>
    <w:rsid w:val="00EE09BD"/>
    <w:rsid w:val="00EE0C4E"/>
    <w:rsid w:val="00EE0CA0"/>
    <w:rsid w:val="00EE0DBF"/>
    <w:rsid w:val="00EE0E09"/>
    <w:rsid w:val="00EE2578"/>
    <w:rsid w:val="00EE264C"/>
    <w:rsid w:val="00EE2D09"/>
    <w:rsid w:val="00EE2EA7"/>
    <w:rsid w:val="00EE2FBE"/>
    <w:rsid w:val="00EE336F"/>
    <w:rsid w:val="00EE3507"/>
    <w:rsid w:val="00EE3786"/>
    <w:rsid w:val="00EE3852"/>
    <w:rsid w:val="00EE4F9F"/>
    <w:rsid w:val="00EE5C51"/>
    <w:rsid w:val="00EE5CE9"/>
    <w:rsid w:val="00EE5FBE"/>
    <w:rsid w:val="00EE6391"/>
    <w:rsid w:val="00EE6863"/>
    <w:rsid w:val="00EE6BBD"/>
    <w:rsid w:val="00EE6F4D"/>
    <w:rsid w:val="00EE7187"/>
    <w:rsid w:val="00EF0E5A"/>
    <w:rsid w:val="00EF1F5F"/>
    <w:rsid w:val="00EF355D"/>
    <w:rsid w:val="00EF3A13"/>
    <w:rsid w:val="00EF3BE5"/>
    <w:rsid w:val="00EF3EAB"/>
    <w:rsid w:val="00EF4325"/>
    <w:rsid w:val="00EF4F3E"/>
    <w:rsid w:val="00EF575C"/>
    <w:rsid w:val="00EF68FE"/>
    <w:rsid w:val="00EF699B"/>
    <w:rsid w:val="00EF7404"/>
    <w:rsid w:val="00EF763A"/>
    <w:rsid w:val="00EF770E"/>
    <w:rsid w:val="00F0098F"/>
    <w:rsid w:val="00F01259"/>
    <w:rsid w:val="00F01554"/>
    <w:rsid w:val="00F025A7"/>
    <w:rsid w:val="00F02895"/>
    <w:rsid w:val="00F03505"/>
    <w:rsid w:val="00F03FDF"/>
    <w:rsid w:val="00F044B6"/>
    <w:rsid w:val="00F0462A"/>
    <w:rsid w:val="00F05A61"/>
    <w:rsid w:val="00F05ABB"/>
    <w:rsid w:val="00F061E4"/>
    <w:rsid w:val="00F0643F"/>
    <w:rsid w:val="00F06ED9"/>
    <w:rsid w:val="00F076C7"/>
    <w:rsid w:val="00F105FB"/>
    <w:rsid w:val="00F10FC3"/>
    <w:rsid w:val="00F118F9"/>
    <w:rsid w:val="00F11B23"/>
    <w:rsid w:val="00F11EB9"/>
    <w:rsid w:val="00F12788"/>
    <w:rsid w:val="00F12BB3"/>
    <w:rsid w:val="00F1347D"/>
    <w:rsid w:val="00F1373C"/>
    <w:rsid w:val="00F1443D"/>
    <w:rsid w:val="00F14450"/>
    <w:rsid w:val="00F15305"/>
    <w:rsid w:val="00F17690"/>
    <w:rsid w:val="00F17847"/>
    <w:rsid w:val="00F17AD8"/>
    <w:rsid w:val="00F208F4"/>
    <w:rsid w:val="00F21AE9"/>
    <w:rsid w:val="00F21F9A"/>
    <w:rsid w:val="00F2305F"/>
    <w:rsid w:val="00F23362"/>
    <w:rsid w:val="00F2385B"/>
    <w:rsid w:val="00F24059"/>
    <w:rsid w:val="00F25715"/>
    <w:rsid w:val="00F2580F"/>
    <w:rsid w:val="00F2594B"/>
    <w:rsid w:val="00F26548"/>
    <w:rsid w:val="00F265AB"/>
    <w:rsid w:val="00F266E6"/>
    <w:rsid w:val="00F2712A"/>
    <w:rsid w:val="00F27BCC"/>
    <w:rsid w:val="00F304CB"/>
    <w:rsid w:val="00F30BA3"/>
    <w:rsid w:val="00F33A36"/>
    <w:rsid w:val="00F33E35"/>
    <w:rsid w:val="00F34A30"/>
    <w:rsid w:val="00F34B05"/>
    <w:rsid w:val="00F35DB4"/>
    <w:rsid w:val="00F360D4"/>
    <w:rsid w:val="00F36DB6"/>
    <w:rsid w:val="00F36EDD"/>
    <w:rsid w:val="00F36EF2"/>
    <w:rsid w:val="00F3735A"/>
    <w:rsid w:val="00F37DD4"/>
    <w:rsid w:val="00F37EF0"/>
    <w:rsid w:val="00F37F0C"/>
    <w:rsid w:val="00F39193"/>
    <w:rsid w:val="00F403C9"/>
    <w:rsid w:val="00F406A1"/>
    <w:rsid w:val="00F41DC9"/>
    <w:rsid w:val="00F42AF5"/>
    <w:rsid w:val="00F433E3"/>
    <w:rsid w:val="00F45396"/>
    <w:rsid w:val="00F4581E"/>
    <w:rsid w:val="00F459AA"/>
    <w:rsid w:val="00F46439"/>
    <w:rsid w:val="00F4648C"/>
    <w:rsid w:val="00F46692"/>
    <w:rsid w:val="00F468CD"/>
    <w:rsid w:val="00F4735E"/>
    <w:rsid w:val="00F479E0"/>
    <w:rsid w:val="00F47A86"/>
    <w:rsid w:val="00F47BC8"/>
    <w:rsid w:val="00F47C4E"/>
    <w:rsid w:val="00F50B3C"/>
    <w:rsid w:val="00F524A9"/>
    <w:rsid w:val="00F53DC2"/>
    <w:rsid w:val="00F53F02"/>
    <w:rsid w:val="00F5427F"/>
    <w:rsid w:val="00F547E6"/>
    <w:rsid w:val="00F55D62"/>
    <w:rsid w:val="00F55F91"/>
    <w:rsid w:val="00F5637A"/>
    <w:rsid w:val="00F56962"/>
    <w:rsid w:val="00F56A03"/>
    <w:rsid w:val="00F56AF1"/>
    <w:rsid w:val="00F56DE2"/>
    <w:rsid w:val="00F5706D"/>
    <w:rsid w:val="00F571AD"/>
    <w:rsid w:val="00F5750A"/>
    <w:rsid w:val="00F57556"/>
    <w:rsid w:val="00F5789D"/>
    <w:rsid w:val="00F57A40"/>
    <w:rsid w:val="00F57AE2"/>
    <w:rsid w:val="00F60231"/>
    <w:rsid w:val="00F60702"/>
    <w:rsid w:val="00F607A3"/>
    <w:rsid w:val="00F60A86"/>
    <w:rsid w:val="00F60BB8"/>
    <w:rsid w:val="00F60EBB"/>
    <w:rsid w:val="00F6108F"/>
    <w:rsid w:val="00F61160"/>
    <w:rsid w:val="00F61A8F"/>
    <w:rsid w:val="00F62063"/>
    <w:rsid w:val="00F628F3"/>
    <w:rsid w:val="00F62AAC"/>
    <w:rsid w:val="00F62D32"/>
    <w:rsid w:val="00F62D3D"/>
    <w:rsid w:val="00F64534"/>
    <w:rsid w:val="00F645F3"/>
    <w:rsid w:val="00F64AEF"/>
    <w:rsid w:val="00F6583E"/>
    <w:rsid w:val="00F659C8"/>
    <w:rsid w:val="00F663D1"/>
    <w:rsid w:val="00F66C4F"/>
    <w:rsid w:val="00F66EB8"/>
    <w:rsid w:val="00F67B93"/>
    <w:rsid w:val="00F67F1B"/>
    <w:rsid w:val="00F7021F"/>
    <w:rsid w:val="00F71F41"/>
    <w:rsid w:val="00F722A7"/>
    <w:rsid w:val="00F726E5"/>
    <w:rsid w:val="00F7311E"/>
    <w:rsid w:val="00F73AC8"/>
    <w:rsid w:val="00F73EAB"/>
    <w:rsid w:val="00F73EF7"/>
    <w:rsid w:val="00F74375"/>
    <w:rsid w:val="00F74887"/>
    <w:rsid w:val="00F75D5D"/>
    <w:rsid w:val="00F75EF0"/>
    <w:rsid w:val="00F7639F"/>
    <w:rsid w:val="00F764D3"/>
    <w:rsid w:val="00F801B2"/>
    <w:rsid w:val="00F802EA"/>
    <w:rsid w:val="00F80BD8"/>
    <w:rsid w:val="00F80F34"/>
    <w:rsid w:val="00F814FA"/>
    <w:rsid w:val="00F81D14"/>
    <w:rsid w:val="00F8255F"/>
    <w:rsid w:val="00F82671"/>
    <w:rsid w:val="00F8391E"/>
    <w:rsid w:val="00F83F87"/>
    <w:rsid w:val="00F84147"/>
    <w:rsid w:val="00F84523"/>
    <w:rsid w:val="00F848FB"/>
    <w:rsid w:val="00F84BB8"/>
    <w:rsid w:val="00F854DE"/>
    <w:rsid w:val="00F8571C"/>
    <w:rsid w:val="00F85CE9"/>
    <w:rsid w:val="00F85E00"/>
    <w:rsid w:val="00F86300"/>
    <w:rsid w:val="00F87169"/>
    <w:rsid w:val="00F87A6D"/>
    <w:rsid w:val="00F90237"/>
    <w:rsid w:val="00F9091E"/>
    <w:rsid w:val="00F91366"/>
    <w:rsid w:val="00F924A5"/>
    <w:rsid w:val="00F92E93"/>
    <w:rsid w:val="00F92F5F"/>
    <w:rsid w:val="00F92FCD"/>
    <w:rsid w:val="00F94152"/>
    <w:rsid w:val="00F94CAF"/>
    <w:rsid w:val="00F95018"/>
    <w:rsid w:val="00F956FB"/>
    <w:rsid w:val="00F95C58"/>
    <w:rsid w:val="00F95D3E"/>
    <w:rsid w:val="00F97AEC"/>
    <w:rsid w:val="00F97B31"/>
    <w:rsid w:val="00F97E16"/>
    <w:rsid w:val="00FA10BE"/>
    <w:rsid w:val="00FA1F33"/>
    <w:rsid w:val="00FA272E"/>
    <w:rsid w:val="00FA2803"/>
    <w:rsid w:val="00FA2EB4"/>
    <w:rsid w:val="00FA3286"/>
    <w:rsid w:val="00FA3965"/>
    <w:rsid w:val="00FA4027"/>
    <w:rsid w:val="00FA4C5F"/>
    <w:rsid w:val="00FA5E30"/>
    <w:rsid w:val="00FA6514"/>
    <w:rsid w:val="00FB0097"/>
    <w:rsid w:val="00FB0832"/>
    <w:rsid w:val="00FB0AA4"/>
    <w:rsid w:val="00FB254A"/>
    <w:rsid w:val="00FB3461"/>
    <w:rsid w:val="00FB350C"/>
    <w:rsid w:val="00FB3C17"/>
    <w:rsid w:val="00FB3C40"/>
    <w:rsid w:val="00FB4731"/>
    <w:rsid w:val="00FB4ACB"/>
    <w:rsid w:val="00FB53A3"/>
    <w:rsid w:val="00FB5843"/>
    <w:rsid w:val="00FB62DF"/>
    <w:rsid w:val="00FB6748"/>
    <w:rsid w:val="00FB6A6A"/>
    <w:rsid w:val="00FB719D"/>
    <w:rsid w:val="00FB7499"/>
    <w:rsid w:val="00FC062C"/>
    <w:rsid w:val="00FC087C"/>
    <w:rsid w:val="00FC0E8D"/>
    <w:rsid w:val="00FC1539"/>
    <w:rsid w:val="00FC187C"/>
    <w:rsid w:val="00FC192E"/>
    <w:rsid w:val="00FC1A34"/>
    <w:rsid w:val="00FC330F"/>
    <w:rsid w:val="00FC39B9"/>
    <w:rsid w:val="00FC3D63"/>
    <w:rsid w:val="00FC4285"/>
    <w:rsid w:val="00FC449F"/>
    <w:rsid w:val="00FC56F4"/>
    <w:rsid w:val="00FC5FDF"/>
    <w:rsid w:val="00FC61E3"/>
    <w:rsid w:val="00FC66DD"/>
    <w:rsid w:val="00FC6A6E"/>
    <w:rsid w:val="00FC6FC5"/>
    <w:rsid w:val="00FD06C4"/>
    <w:rsid w:val="00FD0C4F"/>
    <w:rsid w:val="00FD0E51"/>
    <w:rsid w:val="00FD2DC6"/>
    <w:rsid w:val="00FD2E18"/>
    <w:rsid w:val="00FD3E58"/>
    <w:rsid w:val="00FD41E3"/>
    <w:rsid w:val="00FD4492"/>
    <w:rsid w:val="00FD494B"/>
    <w:rsid w:val="00FD508A"/>
    <w:rsid w:val="00FD5376"/>
    <w:rsid w:val="00FD5B48"/>
    <w:rsid w:val="00FD6133"/>
    <w:rsid w:val="00FD647E"/>
    <w:rsid w:val="00FD6845"/>
    <w:rsid w:val="00FD79FD"/>
    <w:rsid w:val="00FD7C6E"/>
    <w:rsid w:val="00FE01B6"/>
    <w:rsid w:val="00FE02C9"/>
    <w:rsid w:val="00FE03E4"/>
    <w:rsid w:val="00FE0428"/>
    <w:rsid w:val="00FE0F4A"/>
    <w:rsid w:val="00FE17B8"/>
    <w:rsid w:val="00FE1A02"/>
    <w:rsid w:val="00FE1A63"/>
    <w:rsid w:val="00FE1DCA"/>
    <w:rsid w:val="00FE2668"/>
    <w:rsid w:val="00FE29CE"/>
    <w:rsid w:val="00FE356A"/>
    <w:rsid w:val="00FE3E57"/>
    <w:rsid w:val="00FE43BA"/>
    <w:rsid w:val="00FE5487"/>
    <w:rsid w:val="00FE59E8"/>
    <w:rsid w:val="00FE5B66"/>
    <w:rsid w:val="00FE63AF"/>
    <w:rsid w:val="00FE6537"/>
    <w:rsid w:val="00FE7814"/>
    <w:rsid w:val="00FF153B"/>
    <w:rsid w:val="00FF16B9"/>
    <w:rsid w:val="00FF1F75"/>
    <w:rsid w:val="00FF2FB9"/>
    <w:rsid w:val="00FF458D"/>
    <w:rsid w:val="00FF47A5"/>
    <w:rsid w:val="00FF5223"/>
    <w:rsid w:val="00FF65BE"/>
    <w:rsid w:val="00FF6C11"/>
    <w:rsid w:val="00FF79A5"/>
    <w:rsid w:val="00FF7CDA"/>
    <w:rsid w:val="0116ED2A"/>
    <w:rsid w:val="01220740"/>
    <w:rsid w:val="01277614"/>
    <w:rsid w:val="0146978B"/>
    <w:rsid w:val="01601D98"/>
    <w:rsid w:val="016F2978"/>
    <w:rsid w:val="01A2CBBF"/>
    <w:rsid w:val="01A45002"/>
    <w:rsid w:val="01A93B93"/>
    <w:rsid w:val="01B265AD"/>
    <w:rsid w:val="01B8AB2D"/>
    <w:rsid w:val="01BE13AE"/>
    <w:rsid w:val="01F6DB33"/>
    <w:rsid w:val="01FD4D89"/>
    <w:rsid w:val="01FDBCEA"/>
    <w:rsid w:val="020AC457"/>
    <w:rsid w:val="0218ACB9"/>
    <w:rsid w:val="02376896"/>
    <w:rsid w:val="02444A3F"/>
    <w:rsid w:val="0244B887"/>
    <w:rsid w:val="0244B9AF"/>
    <w:rsid w:val="02537F0F"/>
    <w:rsid w:val="0265F5D5"/>
    <w:rsid w:val="0273B362"/>
    <w:rsid w:val="02971661"/>
    <w:rsid w:val="02AC4D47"/>
    <w:rsid w:val="02BABF4B"/>
    <w:rsid w:val="02C7DDEB"/>
    <w:rsid w:val="02D34709"/>
    <w:rsid w:val="02D538D0"/>
    <w:rsid w:val="02DCD023"/>
    <w:rsid w:val="02E55DF7"/>
    <w:rsid w:val="030692C0"/>
    <w:rsid w:val="03077FFE"/>
    <w:rsid w:val="0307DC22"/>
    <w:rsid w:val="030C77B3"/>
    <w:rsid w:val="0346312B"/>
    <w:rsid w:val="0352B60B"/>
    <w:rsid w:val="03712C73"/>
    <w:rsid w:val="03ADD49B"/>
    <w:rsid w:val="03AE4E14"/>
    <w:rsid w:val="03B96326"/>
    <w:rsid w:val="03CAA124"/>
    <w:rsid w:val="03EEA64C"/>
    <w:rsid w:val="03F59CF4"/>
    <w:rsid w:val="03F9B145"/>
    <w:rsid w:val="03FC8A3A"/>
    <w:rsid w:val="03FCB053"/>
    <w:rsid w:val="0416B1D7"/>
    <w:rsid w:val="0422487F"/>
    <w:rsid w:val="043EC431"/>
    <w:rsid w:val="044ACC5F"/>
    <w:rsid w:val="04564906"/>
    <w:rsid w:val="04592AC6"/>
    <w:rsid w:val="0466471E"/>
    <w:rsid w:val="046C0E96"/>
    <w:rsid w:val="0471423D"/>
    <w:rsid w:val="04753505"/>
    <w:rsid w:val="0485FC55"/>
    <w:rsid w:val="048EF929"/>
    <w:rsid w:val="049E04C1"/>
    <w:rsid w:val="04A9AC39"/>
    <w:rsid w:val="04AA50A7"/>
    <w:rsid w:val="04AE9C28"/>
    <w:rsid w:val="04B32ACB"/>
    <w:rsid w:val="04B95363"/>
    <w:rsid w:val="04BFEE7C"/>
    <w:rsid w:val="04C4C180"/>
    <w:rsid w:val="04D038E4"/>
    <w:rsid w:val="04D31336"/>
    <w:rsid w:val="04D8DE45"/>
    <w:rsid w:val="04F5F868"/>
    <w:rsid w:val="04F84BBE"/>
    <w:rsid w:val="05205F34"/>
    <w:rsid w:val="0522F184"/>
    <w:rsid w:val="052439F1"/>
    <w:rsid w:val="05301D73"/>
    <w:rsid w:val="053AA29D"/>
    <w:rsid w:val="0545B8FF"/>
    <w:rsid w:val="05465CB2"/>
    <w:rsid w:val="05475712"/>
    <w:rsid w:val="0547A452"/>
    <w:rsid w:val="056707F3"/>
    <w:rsid w:val="056F6836"/>
    <w:rsid w:val="056FF1DF"/>
    <w:rsid w:val="057C5949"/>
    <w:rsid w:val="0581FDE4"/>
    <w:rsid w:val="0592AD79"/>
    <w:rsid w:val="059FF348"/>
    <w:rsid w:val="05A046E3"/>
    <w:rsid w:val="05A1F018"/>
    <w:rsid w:val="05A51BB4"/>
    <w:rsid w:val="05B11180"/>
    <w:rsid w:val="05C553A4"/>
    <w:rsid w:val="05E86535"/>
    <w:rsid w:val="05EAB9AE"/>
    <w:rsid w:val="05F623B5"/>
    <w:rsid w:val="06456A57"/>
    <w:rsid w:val="0647A800"/>
    <w:rsid w:val="06560353"/>
    <w:rsid w:val="0657EEF0"/>
    <w:rsid w:val="066288E1"/>
    <w:rsid w:val="0677F49D"/>
    <w:rsid w:val="0678E7C7"/>
    <w:rsid w:val="0691C8C9"/>
    <w:rsid w:val="069262FB"/>
    <w:rsid w:val="06AA554B"/>
    <w:rsid w:val="06ABDCE5"/>
    <w:rsid w:val="06AD12BA"/>
    <w:rsid w:val="06C33004"/>
    <w:rsid w:val="06C3BE4C"/>
    <w:rsid w:val="06CF906A"/>
    <w:rsid w:val="06D604C6"/>
    <w:rsid w:val="06D6B46E"/>
    <w:rsid w:val="06EAD68D"/>
    <w:rsid w:val="06EC8177"/>
    <w:rsid w:val="070516B1"/>
    <w:rsid w:val="0713AF01"/>
    <w:rsid w:val="071829AA"/>
    <w:rsid w:val="071C09AA"/>
    <w:rsid w:val="07203DE8"/>
    <w:rsid w:val="072777DA"/>
    <w:rsid w:val="07378767"/>
    <w:rsid w:val="073F66FE"/>
    <w:rsid w:val="07735BFB"/>
    <w:rsid w:val="077BF883"/>
    <w:rsid w:val="0787E03D"/>
    <w:rsid w:val="0795F4D9"/>
    <w:rsid w:val="07AAFA9C"/>
    <w:rsid w:val="07AB42F6"/>
    <w:rsid w:val="07D2A946"/>
    <w:rsid w:val="07D514EA"/>
    <w:rsid w:val="07FE7099"/>
    <w:rsid w:val="0860DD7E"/>
    <w:rsid w:val="08645423"/>
    <w:rsid w:val="0869E81F"/>
    <w:rsid w:val="08776DD2"/>
    <w:rsid w:val="087E3CD4"/>
    <w:rsid w:val="08A5D4D5"/>
    <w:rsid w:val="08A76265"/>
    <w:rsid w:val="08CFD59B"/>
    <w:rsid w:val="08DFB95F"/>
    <w:rsid w:val="08FD172E"/>
    <w:rsid w:val="0900E06C"/>
    <w:rsid w:val="09067E94"/>
    <w:rsid w:val="092AD475"/>
    <w:rsid w:val="0940A0F8"/>
    <w:rsid w:val="09448620"/>
    <w:rsid w:val="0944A280"/>
    <w:rsid w:val="09471357"/>
    <w:rsid w:val="09552FD5"/>
    <w:rsid w:val="095F25C0"/>
    <w:rsid w:val="0970E54B"/>
    <w:rsid w:val="09752FD6"/>
    <w:rsid w:val="09F2A7FA"/>
    <w:rsid w:val="09FC3CAF"/>
    <w:rsid w:val="0A0BCAF5"/>
    <w:rsid w:val="0A11951A"/>
    <w:rsid w:val="0A2A8127"/>
    <w:rsid w:val="0A31D9DF"/>
    <w:rsid w:val="0A4365A9"/>
    <w:rsid w:val="0A771861"/>
    <w:rsid w:val="0A901051"/>
    <w:rsid w:val="0A9C8030"/>
    <w:rsid w:val="0A9CB155"/>
    <w:rsid w:val="0AD81EBE"/>
    <w:rsid w:val="0AE2E3B8"/>
    <w:rsid w:val="0AE91AB0"/>
    <w:rsid w:val="0AEC92B9"/>
    <w:rsid w:val="0AFBD98A"/>
    <w:rsid w:val="0B11EFF9"/>
    <w:rsid w:val="0B14743B"/>
    <w:rsid w:val="0B2F0960"/>
    <w:rsid w:val="0B3E530C"/>
    <w:rsid w:val="0B3FD991"/>
    <w:rsid w:val="0B447D0E"/>
    <w:rsid w:val="0B4A4332"/>
    <w:rsid w:val="0B514EC7"/>
    <w:rsid w:val="0B532C6C"/>
    <w:rsid w:val="0B56FDF6"/>
    <w:rsid w:val="0B692E1E"/>
    <w:rsid w:val="0B6C9CC7"/>
    <w:rsid w:val="0B7EA9EC"/>
    <w:rsid w:val="0B83AD69"/>
    <w:rsid w:val="0B868EB2"/>
    <w:rsid w:val="0B9FBE23"/>
    <w:rsid w:val="0BA20D31"/>
    <w:rsid w:val="0BA92724"/>
    <w:rsid w:val="0BB69C5F"/>
    <w:rsid w:val="0BC3C813"/>
    <w:rsid w:val="0BC859F9"/>
    <w:rsid w:val="0BCE0EE1"/>
    <w:rsid w:val="0BD0DFD4"/>
    <w:rsid w:val="0BEA97F4"/>
    <w:rsid w:val="0BF62C12"/>
    <w:rsid w:val="0C0EAD3F"/>
    <w:rsid w:val="0C1CADC9"/>
    <w:rsid w:val="0C205304"/>
    <w:rsid w:val="0C453BDB"/>
    <w:rsid w:val="0C4DDD9F"/>
    <w:rsid w:val="0C5E9067"/>
    <w:rsid w:val="0C610001"/>
    <w:rsid w:val="0C66FE72"/>
    <w:rsid w:val="0C7F6C54"/>
    <w:rsid w:val="0CAAA8C9"/>
    <w:rsid w:val="0CAECA0A"/>
    <w:rsid w:val="0CBDBB1B"/>
    <w:rsid w:val="0CDA4831"/>
    <w:rsid w:val="0CE22031"/>
    <w:rsid w:val="0CE77AF3"/>
    <w:rsid w:val="0CFC22F1"/>
    <w:rsid w:val="0D01A47F"/>
    <w:rsid w:val="0D2DFE70"/>
    <w:rsid w:val="0D3123F8"/>
    <w:rsid w:val="0D434C93"/>
    <w:rsid w:val="0D4BC4AA"/>
    <w:rsid w:val="0D5EBCB3"/>
    <w:rsid w:val="0D64919C"/>
    <w:rsid w:val="0D6D7135"/>
    <w:rsid w:val="0D6F944E"/>
    <w:rsid w:val="0D707009"/>
    <w:rsid w:val="0D765CB0"/>
    <w:rsid w:val="0D7D46AC"/>
    <w:rsid w:val="0D80AFBE"/>
    <w:rsid w:val="0DA1AD86"/>
    <w:rsid w:val="0DBA7D99"/>
    <w:rsid w:val="0DCFF6CC"/>
    <w:rsid w:val="0DD0789F"/>
    <w:rsid w:val="0DD7462C"/>
    <w:rsid w:val="0DE57277"/>
    <w:rsid w:val="0DF44F0C"/>
    <w:rsid w:val="0DFD71F2"/>
    <w:rsid w:val="0E05921F"/>
    <w:rsid w:val="0E061728"/>
    <w:rsid w:val="0E107236"/>
    <w:rsid w:val="0E155426"/>
    <w:rsid w:val="0E1638B4"/>
    <w:rsid w:val="0E24084C"/>
    <w:rsid w:val="0E267D3D"/>
    <w:rsid w:val="0E499BE0"/>
    <w:rsid w:val="0E7D87D0"/>
    <w:rsid w:val="0E821052"/>
    <w:rsid w:val="0E874A4A"/>
    <w:rsid w:val="0E985545"/>
    <w:rsid w:val="0EA0A895"/>
    <w:rsid w:val="0EA39EF8"/>
    <w:rsid w:val="0EBD5619"/>
    <w:rsid w:val="0EC73DB5"/>
    <w:rsid w:val="0EC91315"/>
    <w:rsid w:val="0ED01F02"/>
    <w:rsid w:val="0EDC9906"/>
    <w:rsid w:val="0EFAE2D8"/>
    <w:rsid w:val="0EFD2801"/>
    <w:rsid w:val="0F05C609"/>
    <w:rsid w:val="0F0B0F2D"/>
    <w:rsid w:val="0F32AF89"/>
    <w:rsid w:val="0F3C63EC"/>
    <w:rsid w:val="0F452571"/>
    <w:rsid w:val="0F575D28"/>
    <w:rsid w:val="0F6C10E5"/>
    <w:rsid w:val="0F83022F"/>
    <w:rsid w:val="0FA9D62D"/>
    <w:rsid w:val="0FAB4192"/>
    <w:rsid w:val="0FD6B063"/>
    <w:rsid w:val="0FF3E913"/>
    <w:rsid w:val="0FF96974"/>
    <w:rsid w:val="0FFEE7CC"/>
    <w:rsid w:val="10061DBA"/>
    <w:rsid w:val="1008D173"/>
    <w:rsid w:val="10093E70"/>
    <w:rsid w:val="102BDC41"/>
    <w:rsid w:val="1032D6FF"/>
    <w:rsid w:val="10409895"/>
    <w:rsid w:val="10414338"/>
    <w:rsid w:val="10448DC8"/>
    <w:rsid w:val="1045F209"/>
    <w:rsid w:val="1049B587"/>
    <w:rsid w:val="107E4841"/>
    <w:rsid w:val="10D3352D"/>
    <w:rsid w:val="10DFA229"/>
    <w:rsid w:val="10EE9BCB"/>
    <w:rsid w:val="10F103BE"/>
    <w:rsid w:val="10FFF564"/>
    <w:rsid w:val="110224EC"/>
    <w:rsid w:val="11190247"/>
    <w:rsid w:val="11235F50"/>
    <w:rsid w:val="112C8E3A"/>
    <w:rsid w:val="11326EA3"/>
    <w:rsid w:val="1134CBBD"/>
    <w:rsid w:val="114A74DF"/>
    <w:rsid w:val="114B8B8A"/>
    <w:rsid w:val="1152293F"/>
    <w:rsid w:val="11544BEB"/>
    <w:rsid w:val="116F8D51"/>
    <w:rsid w:val="118F868F"/>
    <w:rsid w:val="1193C205"/>
    <w:rsid w:val="119FBEC0"/>
    <w:rsid w:val="11A7C39A"/>
    <w:rsid w:val="11B11875"/>
    <w:rsid w:val="11B378EF"/>
    <w:rsid w:val="11BBA27E"/>
    <w:rsid w:val="11D24694"/>
    <w:rsid w:val="11D29A10"/>
    <w:rsid w:val="11DC68F6"/>
    <w:rsid w:val="11E5352F"/>
    <w:rsid w:val="11EC1E80"/>
    <w:rsid w:val="11F2605F"/>
    <w:rsid w:val="11F63336"/>
    <w:rsid w:val="11FAEB28"/>
    <w:rsid w:val="11FFB544"/>
    <w:rsid w:val="1218DDA1"/>
    <w:rsid w:val="121D32C3"/>
    <w:rsid w:val="122A2029"/>
    <w:rsid w:val="125928D6"/>
    <w:rsid w:val="125ADC51"/>
    <w:rsid w:val="125C15F2"/>
    <w:rsid w:val="1261D096"/>
    <w:rsid w:val="12658C48"/>
    <w:rsid w:val="1269E1F4"/>
    <w:rsid w:val="127B9382"/>
    <w:rsid w:val="128BAC09"/>
    <w:rsid w:val="128F9488"/>
    <w:rsid w:val="129E288D"/>
    <w:rsid w:val="12DCC9C3"/>
    <w:rsid w:val="12EF268F"/>
    <w:rsid w:val="12F2E5BD"/>
    <w:rsid w:val="12F6D1B0"/>
    <w:rsid w:val="131F2755"/>
    <w:rsid w:val="1327AB58"/>
    <w:rsid w:val="13285DB7"/>
    <w:rsid w:val="13368671"/>
    <w:rsid w:val="13441437"/>
    <w:rsid w:val="1355CB5D"/>
    <w:rsid w:val="1356B435"/>
    <w:rsid w:val="13645AD0"/>
    <w:rsid w:val="136A224D"/>
    <w:rsid w:val="1382F5BB"/>
    <w:rsid w:val="138F14E8"/>
    <w:rsid w:val="13906488"/>
    <w:rsid w:val="139F994F"/>
    <w:rsid w:val="13AE8DB8"/>
    <w:rsid w:val="13B29C2A"/>
    <w:rsid w:val="13C356F3"/>
    <w:rsid w:val="13D06DF2"/>
    <w:rsid w:val="13D140FF"/>
    <w:rsid w:val="13D6049A"/>
    <w:rsid w:val="13DA47B7"/>
    <w:rsid w:val="13DBCF73"/>
    <w:rsid w:val="140122AA"/>
    <w:rsid w:val="140251A1"/>
    <w:rsid w:val="1402E57F"/>
    <w:rsid w:val="14217E48"/>
    <w:rsid w:val="142A94D4"/>
    <w:rsid w:val="14351F23"/>
    <w:rsid w:val="1443E3EF"/>
    <w:rsid w:val="145B6C46"/>
    <w:rsid w:val="1461754D"/>
    <w:rsid w:val="14852E01"/>
    <w:rsid w:val="149323E4"/>
    <w:rsid w:val="149CC47C"/>
    <w:rsid w:val="14BFD003"/>
    <w:rsid w:val="14CD8CC7"/>
    <w:rsid w:val="14CFD4BB"/>
    <w:rsid w:val="14D8DF1F"/>
    <w:rsid w:val="14E4C90B"/>
    <w:rsid w:val="14F063F2"/>
    <w:rsid w:val="14F163BD"/>
    <w:rsid w:val="14FAC449"/>
    <w:rsid w:val="14FBEA04"/>
    <w:rsid w:val="15048D44"/>
    <w:rsid w:val="1504E4F0"/>
    <w:rsid w:val="15064237"/>
    <w:rsid w:val="150747F8"/>
    <w:rsid w:val="15086266"/>
    <w:rsid w:val="151D8210"/>
    <w:rsid w:val="1526A1FB"/>
    <w:rsid w:val="1528CF2B"/>
    <w:rsid w:val="155BBF7E"/>
    <w:rsid w:val="1561793C"/>
    <w:rsid w:val="15644A4A"/>
    <w:rsid w:val="156DC7D8"/>
    <w:rsid w:val="157F6608"/>
    <w:rsid w:val="158989D1"/>
    <w:rsid w:val="159A6A99"/>
    <w:rsid w:val="15AA8CAE"/>
    <w:rsid w:val="15BA3E86"/>
    <w:rsid w:val="15C53C01"/>
    <w:rsid w:val="15C7354A"/>
    <w:rsid w:val="15CBBF66"/>
    <w:rsid w:val="15D66DAC"/>
    <w:rsid w:val="15ECC873"/>
    <w:rsid w:val="15FD3E38"/>
    <w:rsid w:val="161314FE"/>
    <w:rsid w:val="16363FF6"/>
    <w:rsid w:val="1637BE5D"/>
    <w:rsid w:val="1644164F"/>
    <w:rsid w:val="164728B0"/>
    <w:rsid w:val="16518871"/>
    <w:rsid w:val="1651F88F"/>
    <w:rsid w:val="1652479D"/>
    <w:rsid w:val="165A4020"/>
    <w:rsid w:val="166B5AB4"/>
    <w:rsid w:val="16829650"/>
    <w:rsid w:val="16B83DCC"/>
    <w:rsid w:val="16C4A419"/>
    <w:rsid w:val="16CB2D29"/>
    <w:rsid w:val="16E93D2B"/>
    <w:rsid w:val="16EF77EC"/>
    <w:rsid w:val="16F4836A"/>
    <w:rsid w:val="1706C30B"/>
    <w:rsid w:val="17110A86"/>
    <w:rsid w:val="172E2A71"/>
    <w:rsid w:val="1743C9BB"/>
    <w:rsid w:val="17441F48"/>
    <w:rsid w:val="1747D291"/>
    <w:rsid w:val="174A452C"/>
    <w:rsid w:val="17507505"/>
    <w:rsid w:val="1751D454"/>
    <w:rsid w:val="1758EE3E"/>
    <w:rsid w:val="175C5AD1"/>
    <w:rsid w:val="176EB70F"/>
    <w:rsid w:val="17724D7B"/>
    <w:rsid w:val="177254FE"/>
    <w:rsid w:val="177E22E8"/>
    <w:rsid w:val="17978C0C"/>
    <w:rsid w:val="17A68A4C"/>
    <w:rsid w:val="17ADCA18"/>
    <w:rsid w:val="17B40629"/>
    <w:rsid w:val="17BB86AD"/>
    <w:rsid w:val="17CAD842"/>
    <w:rsid w:val="17DA09DB"/>
    <w:rsid w:val="17DC8C4F"/>
    <w:rsid w:val="17E4CDB5"/>
    <w:rsid w:val="1808E932"/>
    <w:rsid w:val="1816E643"/>
    <w:rsid w:val="181A7FE7"/>
    <w:rsid w:val="182AFE2C"/>
    <w:rsid w:val="18419535"/>
    <w:rsid w:val="18470199"/>
    <w:rsid w:val="184E0A55"/>
    <w:rsid w:val="185480EC"/>
    <w:rsid w:val="18767657"/>
    <w:rsid w:val="187B1ABC"/>
    <w:rsid w:val="189762F7"/>
    <w:rsid w:val="18BD882A"/>
    <w:rsid w:val="18C4A45A"/>
    <w:rsid w:val="18DC032E"/>
    <w:rsid w:val="18EE8EEC"/>
    <w:rsid w:val="1905EEFC"/>
    <w:rsid w:val="190A04C8"/>
    <w:rsid w:val="190BFF22"/>
    <w:rsid w:val="19153A0C"/>
    <w:rsid w:val="191B99EC"/>
    <w:rsid w:val="1935AE9F"/>
    <w:rsid w:val="19604860"/>
    <w:rsid w:val="196AC43B"/>
    <w:rsid w:val="196E1588"/>
    <w:rsid w:val="1973F636"/>
    <w:rsid w:val="19A0BBEB"/>
    <w:rsid w:val="19B2D5CF"/>
    <w:rsid w:val="19C84579"/>
    <w:rsid w:val="19CF110A"/>
    <w:rsid w:val="19E01B6E"/>
    <w:rsid w:val="19F507BC"/>
    <w:rsid w:val="1A07C54D"/>
    <w:rsid w:val="1A097B82"/>
    <w:rsid w:val="1A0FA700"/>
    <w:rsid w:val="1A1FFB83"/>
    <w:rsid w:val="1A41CFEE"/>
    <w:rsid w:val="1A48DD70"/>
    <w:rsid w:val="1A5C7821"/>
    <w:rsid w:val="1A6074BB"/>
    <w:rsid w:val="1A73D009"/>
    <w:rsid w:val="1A9AA66D"/>
    <w:rsid w:val="1A9EA54C"/>
    <w:rsid w:val="1AA2CCBA"/>
    <w:rsid w:val="1AA37441"/>
    <w:rsid w:val="1AA5E4C0"/>
    <w:rsid w:val="1AA77FD9"/>
    <w:rsid w:val="1AAA3768"/>
    <w:rsid w:val="1AB11939"/>
    <w:rsid w:val="1AB30991"/>
    <w:rsid w:val="1AC49B3B"/>
    <w:rsid w:val="1AC8CC67"/>
    <w:rsid w:val="1AD814AE"/>
    <w:rsid w:val="1ADC44D4"/>
    <w:rsid w:val="1AF8978E"/>
    <w:rsid w:val="1B0DD47F"/>
    <w:rsid w:val="1B0DEC92"/>
    <w:rsid w:val="1B23E046"/>
    <w:rsid w:val="1B3A33F8"/>
    <w:rsid w:val="1B45700D"/>
    <w:rsid w:val="1B58E068"/>
    <w:rsid w:val="1B628068"/>
    <w:rsid w:val="1B712E4A"/>
    <w:rsid w:val="1B722568"/>
    <w:rsid w:val="1B9400FD"/>
    <w:rsid w:val="1BA542AE"/>
    <w:rsid w:val="1BB03C58"/>
    <w:rsid w:val="1BBF16BA"/>
    <w:rsid w:val="1BC80FA0"/>
    <w:rsid w:val="1BC95DFE"/>
    <w:rsid w:val="1BD049BD"/>
    <w:rsid w:val="1BD1FA3D"/>
    <w:rsid w:val="1BD58407"/>
    <w:rsid w:val="1BDD4CBE"/>
    <w:rsid w:val="1C006175"/>
    <w:rsid w:val="1C129728"/>
    <w:rsid w:val="1C1ED2E1"/>
    <w:rsid w:val="1C362029"/>
    <w:rsid w:val="1C4CE684"/>
    <w:rsid w:val="1C5F48CC"/>
    <w:rsid w:val="1C7EDC0F"/>
    <w:rsid w:val="1C7F90F4"/>
    <w:rsid w:val="1C857A22"/>
    <w:rsid w:val="1C8F7573"/>
    <w:rsid w:val="1CA9EC65"/>
    <w:rsid w:val="1CB13F90"/>
    <w:rsid w:val="1CB48770"/>
    <w:rsid w:val="1CBB08B3"/>
    <w:rsid w:val="1CBDCD73"/>
    <w:rsid w:val="1CBE8722"/>
    <w:rsid w:val="1CDE255F"/>
    <w:rsid w:val="1CED39F3"/>
    <w:rsid w:val="1CEDCE11"/>
    <w:rsid w:val="1CF50750"/>
    <w:rsid w:val="1D10AFA4"/>
    <w:rsid w:val="1D3D0081"/>
    <w:rsid w:val="1D404A77"/>
    <w:rsid w:val="1D7DADDB"/>
    <w:rsid w:val="1D8445F4"/>
    <w:rsid w:val="1DB36CD3"/>
    <w:rsid w:val="1DBAE5DC"/>
    <w:rsid w:val="1DBD3FAB"/>
    <w:rsid w:val="1DE37338"/>
    <w:rsid w:val="1DEFC58A"/>
    <w:rsid w:val="1E02BD76"/>
    <w:rsid w:val="1E28CECE"/>
    <w:rsid w:val="1E2ADFD8"/>
    <w:rsid w:val="1E2E8386"/>
    <w:rsid w:val="1E3589BB"/>
    <w:rsid w:val="1E3AE6DC"/>
    <w:rsid w:val="1E54DABC"/>
    <w:rsid w:val="1E61B897"/>
    <w:rsid w:val="1E8152FA"/>
    <w:rsid w:val="1E8DE435"/>
    <w:rsid w:val="1E95DADA"/>
    <w:rsid w:val="1EA3CAEC"/>
    <w:rsid w:val="1EBDEA9C"/>
    <w:rsid w:val="1EC67A61"/>
    <w:rsid w:val="1EF57035"/>
    <w:rsid w:val="1EF73DC1"/>
    <w:rsid w:val="1F2438AC"/>
    <w:rsid w:val="1F6D6C6F"/>
    <w:rsid w:val="1F79ED9B"/>
    <w:rsid w:val="1FA5FA35"/>
    <w:rsid w:val="1FE61827"/>
    <w:rsid w:val="1FE73758"/>
    <w:rsid w:val="1FE96DA9"/>
    <w:rsid w:val="1FEB6970"/>
    <w:rsid w:val="1FEF2124"/>
    <w:rsid w:val="20165157"/>
    <w:rsid w:val="20295B5A"/>
    <w:rsid w:val="2042B14A"/>
    <w:rsid w:val="2047A705"/>
    <w:rsid w:val="20522AA8"/>
    <w:rsid w:val="205EC30E"/>
    <w:rsid w:val="206E5CF2"/>
    <w:rsid w:val="207AE25C"/>
    <w:rsid w:val="20898F83"/>
    <w:rsid w:val="208FB706"/>
    <w:rsid w:val="2095E94D"/>
    <w:rsid w:val="209EE5F3"/>
    <w:rsid w:val="20AACE86"/>
    <w:rsid w:val="20C3F60B"/>
    <w:rsid w:val="20D91683"/>
    <w:rsid w:val="21213D76"/>
    <w:rsid w:val="212928C2"/>
    <w:rsid w:val="212A03A1"/>
    <w:rsid w:val="213B2489"/>
    <w:rsid w:val="214291CC"/>
    <w:rsid w:val="214F6520"/>
    <w:rsid w:val="215051CE"/>
    <w:rsid w:val="21590E0F"/>
    <w:rsid w:val="215D099C"/>
    <w:rsid w:val="216772F0"/>
    <w:rsid w:val="216BAC20"/>
    <w:rsid w:val="2176966D"/>
    <w:rsid w:val="2179FAAA"/>
    <w:rsid w:val="218F2628"/>
    <w:rsid w:val="21B9EB5B"/>
    <w:rsid w:val="21C79244"/>
    <w:rsid w:val="21E10248"/>
    <w:rsid w:val="21FD0A18"/>
    <w:rsid w:val="22044141"/>
    <w:rsid w:val="22155BF9"/>
    <w:rsid w:val="2218A62D"/>
    <w:rsid w:val="2223869D"/>
    <w:rsid w:val="222B1D00"/>
    <w:rsid w:val="22302338"/>
    <w:rsid w:val="2231B9AE"/>
    <w:rsid w:val="22466939"/>
    <w:rsid w:val="2249DD80"/>
    <w:rsid w:val="22510982"/>
    <w:rsid w:val="225F9752"/>
    <w:rsid w:val="226B1C1C"/>
    <w:rsid w:val="2274E6E4"/>
    <w:rsid w:val="22798FCA"/>
    <w:rsid w:val="2279920F"/>
    <w:rsid w:val="227B1083"/>
    <w:rsid w:val="22809661"/>
    <w:rsid w:val="228F9951"/>
    <w:rsid w:val="22976284"/>
    <w:rsid w:val="22A3E20F"/>
    <w:rsid w:val="22AEC8F4"/>
    <w:rsid w:val="22BC2B1E"/>
    <w:rsid w:val="22C75F6B"/>
    <w:rsid w:val="22D5EDC8"/>
    <w:rsid w:val="22DD9859"/>
    <w:rsid w:val="22FC48A3"/>
    <w:rsid w:val="23017DDE"/>
    <w:rsid w:val="23169CD8"/>
    <w:rsid w:val="2320FB0F"/>
    <w:rsid w:val="2322528E"/>
    <w:rsid w:val="2330DB43"/>
    <w:rsid w:val="234998F4"/>
    <w:rsid w:val="235E5FBD"/>
    <w:rsid w:val="236E029E"/>
    <w:rsid w:val="2380B8CA"/>
    <w:rsid w:val="2395D115"/>
    <w:rsid w:val="2397D579"/>
    <w:rsid w:val="23BA9F6B"/>
    <w:rsid w:val="23BE8E88"/>
    <w:rsid w:val="23C4B955"/>
    <w:rsid w:val="23C6084D"/>
    <w:rsid w:val="23C8275B"/>
    <w:rsid w:val="23D5FD3B"/>
    <w:rsid w:val="23EAB4DD"/>
    <w:rsid w:val="23FAE6A2"/>
    <w:rsid w:val="24041AA3"/>
    <w:rsid w:val="24156270"/>
    <w:rsid w:val="2419C0C8"/>
    <w:rsid w:val="24307D67"/>
    <w:rsid w:val="243C7E90"/>
    <w:rsid w:val="24441CD9"/>
    <w:rsid w:val="2458D35D"/>
    <w:rsid w:val="2466FDFF"/>
    <w:rsid w:val="24B63A29"/>
    <w:rsid w:val="24BFDF78"/>
    <w:rsid w:val="24E00D9D"/>
    <w:rsid w:val="24E40EC9"/>
    <w:rsid w:val="24EEA730"/>
    <w:rsid w:val="24F7F175"/>
    <w:rsid w:val="250630EC"/>
    <w:rsid w:val="2524C643"/>
    <w:rsid w:val="25284C22"/>
    <w:rsid w:val="252E5FE0"/>
    <w:rsid w:val="25314957"/>
    <w:rsid w:val="25321A0D"/>
    <w:rsid w:val="25445B6E"/>
    <w:rsid w:val="254F7037"/>
    <w:rsid w:val="2558A83E"/>
    <w:rsid w:val="2561DA6B"/>
    <w:rsid w:val="2565D031"/>
    <w:rsid w:val="256720DB"/>
    <w:rsid w:val="256FED4E"/>
    <w:rsid w:val="257EAD06"/>
    <w:rsid w:val="2596B703"/>
    <w:rsid w:val="25986DB8"/>
    <w:rsid w:val="25D0CBF8"/>
    <w:rsid w:val="25EB317B"/>
    <w:rsid w:val="25EFD41F"/>
    <w:rsid w:val="25F5F3DC"/>
    <w:rsid w:val="260334D9"/>
    <w:rsid w:val="2627AFBF"/>
    <w:rsid w:val="262FF49A"/>
    <w:rsid w:val="263D9E38"/>
    <w:rsid w:val="2653E56C"/>
    <w:rsid w:val="265A0F13"/>
    <w:rsid w:val="26727F1D"/>
    <w:rsid w:val="26754350"/>
    <w:rsid w:val="26757B61"/>
    <w:rsid w:val="267FFEFC"/>
    <w:rsid w:val="26A4361F"/>
    <w:rsid w:val="26A7F9DC"/>
    <w:rsid w:val="26AC6647"/>
    <w:rsid w:val="26C1431E"/>
    <w:rsid w:val="26D1340D"/>
    <w:rsid w:val="26D3B0EF"/>
    <w:rsid w:val="26D50DD5"/>
    <w:rsid w:val="26D9BA3B"/>
    <w:rsid w:val="26E3907F"/>
    <w:rsid w:val="2728A877"/>
    <w:rsid w:val="2732BEB0"/>
    <w:rsid w:val="27340FEE"/>
    <w:rsid w:val="27343E19"/>
    <w:rsid w:val="274D0332"/>
    <w:rsid w:val="274D7072"/>
    <w:rsid w:val="274E1C0E"/>
    <w:rsid w:val="2760DAD7"/>
    <w:rsid w:val="2763F6AF"/>
    <w:rsid w:val="27716CBF"/>
    <w:rsid w:val="2774C9EC"/>
    <w:rsid w:val="2775E7E3"/>
    <w:rsid w:val="278B90D8"/>
    <w:rsid w:val="2792A4B2"/>
    <w:rsid w:val="27934D87"/>
    <w:rsid w:val="2799E276"/>
    <w:rsid w:val="27B68B51"/>
    <w:rsid w:val="27DC442D"/>
    <w:rsid w:val="27E88AC6"/>
    <w:rsid w:val="27EE96D0"/>
    <w:rsid w:val="27F76E08"/>
    <w:rsid w:val="27F80CAD"/>
    <w:rsid w:val="27FFD398"/>
    <w:rsid w:val="2819E8AE"/>
    <w:rsid w:val="282D9B34"/>
    <w:rsid w:val="28312061"/>
    <w:rsid w:val="284EF81D"/>
    <w:rsid w:val="285732F6"/>
    <w:rsid w:val="285D97DA"/>
    <w:rsid w:val="2869E871"/>
    <w:rsid w:val="288A8B90"/>
    <w:rsid w:val="28A79167"/>
    <w:rsid w:val="28B1F295"/>
    <w:rsid w:val="28BE5132"/>
    <w:rsid w:val="28C3DCA4"/>
    <w:rsid w:val="28C79512"/>
    <w:rsid w:val="28CB9363"/>
    <w:rsid w:val="28CE57C5"/>
    <w:rsid w:val="28CFE04F"/>
    <w:rsid w:val="28DD5C5D"/>
    <w:rsid w:val="28E8D393"/>
    <w:rsid w:val="28EA7604"/>
    <w:rsid w:val="28EDB460"/>
    <w:rsid w:val="28F62FB5"/>
    <w:rsid w:val="28F9D9FC"/>
    <w:rsid w:val="290D8806"/>
    <w:rsid w:val="29118C82"/>
    <w:rsid w:val="292BCA3B"/>
    <w:rsid w:val="293FB17E"/>
    <w:rsid w:val="29527F0C"/>
    <w:rsid w:val="29569E76"/>
    <w:rsid w:val="29672425"/>
    <w:rsid w:val="29968652"/>
    <w:rsid w:val="29A2F732"/>
    <w:rsid w:val="29A51899"/>
    <w:rsid w:val="29AC7A29"/>
    <w:rsid w:val="29BC15D6"/>
    <w:rsid w:val="29BF3F5C"/>
    <w:rsid w:val="29C3A8CB"/>
    <w:rsid w:val="29CD978C"/>
    <w:rsid w:val="29D20C14"/>
    <w:rsid w:val="29D53E33"/>
    <w:rsid w:val="29F1FA58"/>
    <w:rsid w:val="29F65302"/>
    <w:rsid w:val="29F8E3E0"/>
    <w:rsid w:val="29FE8A64"/>
    <w:rsid w:val="2A0358DD"/>
    <w:rsid w:val="2A08DE2D"/>
    <w:rsid w:val="2A128FDF"/>
    <w:rsid w:val="2A49D571"/>
    <w:rsid w:val="2A4E340C"/>
    <w:rsid w:val="2A5AF724"/>
    <w:rsid w:val="2A66EB53"/>
    <w:rsid w:val="2A6763C4"/>
    <w:rsid w:val="2A70CB76"/>
    <w:rsid w:val="2A756463"/>
    <w:rsid w:val="2A83FF86"/>
    <w:rsid w:val="2A95A871"/>
    <w:rsid w:val="2A9B1B66"/>
    <w:rsid w:val="2A9E40AC"/>
    <w:rsid w:val="2AB042B2"/>
    <w:rsid w:val="2ABA38D5"/>
    <w:rsid w:val="2ABFD0C8"/>
    <w:rsid w:val="2AC89641"/>
    <w:rsid w:val="2AC90126"/>
    <w:rsid w:val="2AED0BD7"/>
    <w:rsid w:val="2AF79983"/>
    <w:rsid w:val="2B345A22"/>
    <w:rsid w:val="2B4A4CD2"/>
    <w:rsid w:val="2B50CE7B"/>
    <w:rsid w:val="2B5F8446"/>
    <w:rsid w:val="2B61934A"/>
    <w:rsid w:val="2B65AA6E"/>
    <w:rsid w:val="2B7DB6C6"/>
    <w:rsid w:val="2B8B7AD6"/>
    <w:rsid w:val="2BA43DCC"/>
    <w:rsid w:val="2BAE4456"/>
    <w:rsid w:val="2BBAEC6D"/>
    <w:rsid w:val="2BE66C29"/>
    <w:rsid w:val="2BE7931D"/>
    <w:rsid w:val="2BEB8090"/>
    <w:rsid w:val="2BFA9E20"/>
    <w:rsid w:val="2BFAC9A1"/>
    <w:rsid w:val="2C02BBB4"/>
    <w:rsid w:val="2C20027A"/>
    <w:rsid w:val="2C296937"/>
    <w:rsid w:val="2C389F58"/>
    <w:rsid w:val="2C46ED6F"/>
    <w:rsid w:val="2C6ECBF6"/>
    <w:rsid w:val="2C77158A"/>
    <w:rsid w:val="2C802E3C"/>
    <w:rsid w:val="2C9DE4BE"/>
    <w:rsid w:val="2CA0BB70"/>
    <w:rsid w:val="2CB0016E"/>
    <w:rsid w:val="2CC7E7ED"/>
    <w:rsid w:val="2CE10E72"/>
    <w:rsid w:val="2D10DD8C"/>
    <w:rsid w:val="2D137BCA"/>
    <w:rsid w:val="2D1D6637"/>
    <w:rsid w:val="2D25A6BF"/>
    <w:rsid w:val="2D2E6DCC"/>
    <w:rsid w:val="2D5469BA"/>
    <w:rsid w:val="2D63DF9F"/>
    <w:rsid w:val="2D7725C2"/>
    <w:rsid w:val="2D83B93D"/>
    <w:rsid w:val="2D8E99FB"/>
    <w:rsid w:val="2D974DC7"/>
    <w:rsid w:val="2DA4CF53"/>
    <w:rsid w:val="2DBF2726"/>
    <w:rsid w:val="2DC1036E"/>
    <w:rsid w:val="2DC495CA"/>
    <w:rsid w:val="2DCC47FC"/>
    <w:rsid w:val="2DE361BB"/>
    <w:rsid w:val="2DF26510"/>
    <w:rsid w:val="2DF344BD"/>
    <w:rsid w:val="2DFC4CF0"/>
    <w:rsid w:val="2E0A2D84"/>
    <w:rsid w:val="2E13BD67"/>
    <w:rsid w:val="2E1A8E55"/>
    <w:rsid w:val="2E2038B7"/>
    <w:rsid w:val="2E51885A"/>
    <w:rsid w:val="2E5493EF"/>
    <w:rsid w:val="2E600FEC"/>
    <w:rsid w:val="2E6FA643"/>
    <w:rsid w:val="2E707B38"/>
    <w:rsid w:val="2EA1DC73"/>
    <w:rsid w:val="2EB26249"/>
    <w:rsid w:val="2ED134AE"/>
    <w:rsid w:val="2EEDF676"/>
    <w:rsid w:val="2EF0E7E5"/>
    <w:rsid w:val="2EF6BDC0"/>
    <w:rsid w:val="2F03B6A9"/>
    <w:rsid w:val="2F29DE79"/>
    <w:rsid w:val="2F3E30C1"/>
    <w:rsid w:val="2F4C60FD"/>
    <w:rsid w:val="2F4F415D"/>
    <w:rsid w:val="2F53A556"/>
    <w:rsid w:val="2F57897A"/>
    <w:rsid w:val="2F58E45B"/>
    <w:rsid w:val="2F6A66A9"/>
    <w:rsid w:val="2F6DCEFE"/>
    <w:rsid w:val="2F70401A"/>
    <w:rsid w:val="2F763605"/>
    <w:rsid w:val="2F876288"/>
    <w:rsid w:val="2F8C025C"/>
    <w:rsid w:val="2FABAA5E"/>
    <w:rsid w:val="2FB6C882"/>
    <w:rsid w:val="2FB8268D"/>
    <w:rsid w:val="2FBB6677"/>
    <w:rsid w:val="2FC0D006"/>
    <w:rsid w:val="2FC71739"/>
    <w:rsid w:val="2FD2928A"/>
    <w:rsid w:val="2FF44273"/>
    <w:rsid w:val="2FF4C88D"/>
    <w:rsid w:val="2FF86F2D"/>
    <w:rsid w:val="2FFAAAA4"/>
    <w:rsid w:val="2FFD5648"/>
    <w:rsid w:val="3004EA8F"/>
    <w:rsid w:val="300B76A4"/>
    <w:rsid w:val="300D5A2F"/>
    <w:rsid w:val="300E90BC"/>
    <w:rsid w:val="303E1BFF"/>
    <w:rsid w:val="304291F8"/>
    <w:rsid w:val="304A2480"/>
    <w:rsid w:val="30500EE6"/>
    <w:rsid w:val="3050F994"/>
    <w:rsid w:val="305DE6FB"/>
    <w:rsid w:val="306D6E42"/>
    <w:rsid w:val="306DCBE8"/>
    <w:rsid w:val="307A2784"/>
    <w:rsid w:val="30984160"/>
    <w:rsid w:val="309E171D"/>
    <w:rsid w:val="30A4E8B8"/>
    <w:rsid w:val="30A5A975"/>
    <w:rsid w:val="30BED790"/>
    <w:rsid w:val="30CF7FDB"/>
    <w:rsid w:val="30D80683"/>
    <w:rsid w:val="30E20470"/>
    <w:rsid w:val="30E708F9"/>
    <w:rsid w:val="30F4D2C9"/>
    <w:rsid w:val="3101DA20"/>
    <w:rsid w:val="311AA40E"/>
    <w:rsid w:val="3122EF1E"/>
    <w:rsid w:val="3125F59D"/>
    <w:rsid w:val="312CB114"/>
    <w:rsid w:val="3141CE46"/>
    <w:rsid w:val="31479BF6"/>
    <w:rsid w:val="3154B554"/>
    <w:rsid w:val="316603AC"/>
    <w:rsid w:val="318D973F"/>
    <w:rsid w:val="319D0BAE"/>
    <w:rsid w:val="31AAC389"/>
    <w:rsid w:val="31B693B0"/>
    <w:rsid w:val="31C727BB"/>
    <w:rsid w:val="31DE6259"/>
    <w:rsid w:val="31FCD67B"/>
    <w:rsid w:val="322B99F0"/>
    <w:rsid w:val="324BA6CF"/>
    <w:rsid w:val="327B4AFB"/>
    <w:rsid w:val="3281D48F"/>
    <w:rsid w:val="328E5D4D"/>
    <w:rsid w:val="3296875A"/>
    <w:rsid w:val="329C01B7"/>
    <w:rsid w:val="32ABF0FB"/>
    <w:rsid w:val="32B773CD"/>
    <w:rsid w:val="32BEE916"/>
    <w:rsid w:val="32C29ED2"/>
    <w:rsid w:val="32CA44DB"/>
    <w:rsid w:val="32D31F93"/>
    <w:rsid w:val="32DBC72F"/>
    <w:rsid w:val="32E11E2E"/>
    <w:rsid w:val="32E8BB87"/>
    <w:rsid w:val="32FCD573"/>
    <w:rsid w:val="33008A0F"/>
    <w:rsid w:val="330AFA60"/>
    <w:rsid w:val="3316441B"/>
    <w:rsid w:val="332331AD"/>
    <w:rsid w:val="3330DE58"/>
    <w:rsid w:val="333787A0"/>
    <w:rsid w:val="3350189C"/>
    <w:rsid w:val="33529728"/>
    <w:rsid w:val="33685720"/>
    <w:rsid w:val="337A32BA"/>
    <w:rsid w:val="3380CBC6"/>
    <w:rsid w:val="338378CC"/>
    <w:rsid w:val="33AB3BFE"/>
    <w:rsid w:val="33C7FD6D"/>
    <w:rsid w:val="33CAFD13"/>
    <w:rsid w:val="33CC135C"/>
    <w:rsid w:val="33D17961"/>
    <w:rsid w:val="33EFF0C9"/>
    <w:rsid w:val="34073EF1"/>
    <w:rsid w:val="3418FA26"/>
    <w:rsid w:val="342A2DAE"/>
    <w:rsid w:val="3457D881"/>
    <w:rsid w:val="345A0A5D"/>
    <w:rsid w:val="345A8FE0"/>
    <w:rsid w:val="34661B78"/>
    <w:rsid w:val="34696781"/>
    <w:rsid w:val="34724BEB"/>
    <w:rsid w:val="348A39A5"/>
    <w:rsid w:val="3496C3D9"/>
    <w:rsid w:val="34A603AD"/>
    <w:rsid w:val="34B29BB8"/>
    <w:rsid w:val="34B36C66"/>
    <w:rsid w:val="34D0C76B"/>
    <w:rsid w:val="34D4676E"/>
    <w:rsid w:val="34EF949E"/>
    <w:rsid w:val="34F0F41B"/>
    <w:rsid w:val="352CE529"/>
    <w:rsid w:val="35302A19"/>
    <w:rsid w:val="3530A147"/>
    <w:rsid w:val="35563AF5"/>
    <w:rsid w:val="355C9346"/>
    <w:rsid w:val="35660B06"/>
    <w:rsid w:val="357FE4FC"/>
    <w:rsid w:val="35817EF8"/>
    <w:rsid w:val="3581BEC2"/>
    <w:rsid w:val="3585CC7D"/>
    <w:rsid w:val="35903979"/>
    <w:rsid w:val="35986478"/>
    <w:rsid w:val="35A1454F"/>
    <w:rsid w:val="35A4353F"/>
    <w:rsid w:val="35AB8FD3"/>
    <w:rsid w:val="35D5E6A0"/>
    <w:rsid w:val="35D82A9A"/>
    <w:rsid w:val="35E391BD"/>
    <w:rsid w:val="360C2FB7"/>
    <w:rsid w:val="361737CE"/>
    <w:rsid w:val="36232346"/>
    <w:rsid w:val="36256A23"/>
    <w:rsid w:val="362BDADF"/>
    <w:rsid w:val="362CC89C"/>
    <w:rsid w:val="363EA865"/>
    <w:rsid w:val="3656B760"/>
    <w:rsid w:val="365733C0"/>
    <w:rsid w:val="365A115F"/>
    <w:rsid w:val="36640A11"/>
    <w:rsid w:val="367E330A"/>
    <w:rsid w:val="36936F83"/>
    <w:rsid w:val="3694B1E6"/>
    <w:rsid w:val="36A7B19F"/>
    <w:rsid w:val="36AA49C0"/>
    <w:rsid w:val="36ABB469"/>
    <w:rsid w:val="36B0A52E"/>
    <w:rsid w:val="36B2158F"/>
    <w:rsid w:val="36B772D5"/>
    <w:rsid w:val="36B92DA7"/>
    <w:rsid w:val="36C25A60"/>
    <w:rsid w:val="36C79B1C"/>
    <w:rsid w:val="36E751C6"/>
    <w:rsid w:val="37013C2D"/>
    <w:rsid w:val="3703706D"/>
    <w:rsid w:val="3709AEDD"/>
    <w:rsid w:val="370AA87E"/>
    <w:rsid w:val="373665B3"/>
    <w:rsid w:val="37579219"/>
    <w:rsid w:val="37590AFB"/>
    <w:rsid w:val="377EBE33"/>
    <w:rsid w:val="37A52E5D"/>
    <w:rsid w:val="37B04E54"/>
    <w:rsid w:val="37B6BC43"/>
    <w:rsid w:val="37D1FB70"/>
    <w:rsid w:val="37D4E1AC"/>
    <w:rsid w:val="37DAB366"/>
    <w:rsid w:val="37DABF66"/>
    <w:rsid w:val="37E85595"/>
    <w:rsid w:val="37EBA630"/>
    <w:rsid w:val="381ADE27"/>
    <w:rsid w:val="3824FFCD"/>
    <w:rsid w:val="382EA020"/>
    <w:rsid w:val="3837655E"/>
    <w:rsid w:val="38401C32"/>
    <w:rsid w:val="38421FEA"/>
    <w:rsid w:val="3842BEA8"/>
    <w:rsid w:val="385285A8"/>
    <w:rsid w:val="3856E9EF"/>
    <w:rsid w:val="385A557F"/>
    <w:rsid w:val="385B91D4"/>
    <w:rsid w:val="3873324B"/>
    <w:rsid w:val="38782149"/>
    <w:rsid w:val="38919C5C"/>
    <w:rsid w:val="38ABDB12"/>
    <w:rsid w:val="38AD246C"/>
    <w:rsid w:val="38B0FD63"/>
    <w:rsid w:val="38CEC15D"/>
    <w:rsid w:val="38DDCBD6"/>
    <w:rsid w:val="38E402C9"/>
    <w:rsid w:val="3906766B"/>
    <w:rsid w:val="390D9E20"/>
    <w:rsid w:val="3913345E"/>
    <w:rsid w:val="3917840C"/>
    <w:rsid w:val="3931E056"/>
    <w:rsid w:val="3934A72E"/>
    <w:rsid w:val="3966F796"/>
    <w:rsid w:val="396FA900"/>
    <w:rsid w:val="39708B2B"/>
    <w:rsid w:val="398B8D1E"/>
    <w:rsid w:val="3990965F"/>
    <w:rsid w:val="399C0498"/>
    <w:rsid w:val="39AD4717"/>
    <w:rsid w:val="39B62AAA"/>
    <w:rsid w:val="39C0A54C"/>
    <w:rsid w:val="39CBAFBD"/>
    <w:rsid w:val="39D542D7"/>
    <w:rsid w:val="39DF677B"/>
    <w:rsid w:val="39E2E0C8"/>
    <w:rsid w:val="39F3CBAE"/>
    <w:rsid w:val="39F50D26"/>
    <w:rsid w:val="3A756EC9"/>
    <w:rsid w:val="3A76E59E"/>
    <w:rsid w:val="3A800592"/>
    <w:rsid w:val="3A819F61"/>
    <w:rsid w:val="3A8A2D3D"/>
    <w:rsid w:val="3AB49A65"/>
    <w:rsid w:val="3AB9ADB3"/>
    <w:rsid w:val="3AC2B0C8"/>
    <w:rsid w:val="3AC71298"/>
    <w:rsid w:val="3ACDB0B7"/>
    <w:rsid w:val="3AD516A8"/>
    <w:rsid w:val="3AE54E53"/>
    <w:rsid w:val="3AEB68A8"/>
    <w:rsid w:val="3AEFF71E"/>
    <w:rsid w:val="3AFC1A2C"/>
    <w:rsid w:val="3B0843DD"/>
    <w:rsid w:val="3B0F496B"/>
    <w:rsid w:val="3B1DAC3B"/>
    <w:rsid w:val="3B22897C"/>
    <w:rsid w:val="3B322676"/>
    <w:rsid w:val="3B428591"/>
    <w:rsid w:val="3B578A7F"/>
    <w:rsid w:val="3B6AB4C2"/>
    <w:rsid w:val="3B7228A2"/>
    <w:rsid w:val="3B90ADDA"/>
    <w:rsid w:val="3B9677F7"/>
    <w:rsid w:val="3BAB4577"/>
    <w:rsid w:val="3BAC3E9A"/>
    <w:rsid w:val="3BB3F362"/>
    <w:rsid w:val="3BB8D341"/>
    <w:rsid w:val="3BBC09FC"/>
    <w:rsid w:val="3BBCD159"/>
    <w:rsid w:val="3BC81D61"/>
    <w:rsid w:val="3BE00820"/>
    <w:rsid w:val="3BE42C9D"/>
    <w:rsid w:val="3BEB8E68"/>
    <w:rsid w:val="3BF3CB5F"/>
    <w:rsid w:val="3C1E6EDE"/>
    <w:rsid w:val="3C3FF940"/>
    <w:rsid w:val="3C4F84DF"/>
    <w:rsid w:val="3C6FAF25"/>
    <w:rsid w:val="3C70125C"/>
    <w:rsid w:val="3C7BC16D"/>
    <w:rsid w:val="3C85816C"/>
    <w:rsid w:val="3C91D5CD"/>
    <w:rsid w:val="3C9219F1"/>
    <w:rsid w:val="3CA092F9"/>
    <w:rsid w:val="3CA9AC94"/>
    <w:rsid w:val="3CB6214A"/>
    <w:rsid w:val="3CBD008A"/>
    <w:rsid w:val="3CC6B61D"/>
    <w:rsid w:val="3CD20701"/>
    <w:rsid w:val="3D16E6EB"/>
    <w:rsid w:val="3D45467E"/>
    <w:rsid w:val="3D4C80C6"/>
    <w:rsid w:val="3D5EFAAA"/>
    <w:rsid w:val="3D73EDC2"/>
    <w:rsid w:val="3D88ACBD"/>
    <w:rsid w:val="3DA965EE"/>
    <w:rsid w:val="3DB89BB5"/>
    <w:rsid w:val="3DC1E4A2"/>
    <w:rsid w:val="3DCD80B5"/>
    <w:rsid w:val="3DDCCCA8"/>
    <w:rsid w:val="3DEC0D85"/>
    <w:rsid w:val="3E0C662B"/>
    <w:rsid w:val="3E0F7E67"/>
    <w:rsid w:val="3E152BCA"/>
    <w:rsid w:val="3E1CEF15"/>
    <w:rsid w:val="3E1D0785"/>
    <w:rsid w:val="3E21D844"/>
    <w:rsid w:val="3E25FDC7"/>
    <w:rsid w:val="3E5A73EC"/>
    <w:rsid w:val="3E642F5C"/>
    <w:rsid w:val="3E79812C"/>
    <w:rsid w:val="3E7C15AF"/>
    <w:rsid w:val="3E7DCFC9"/>
    <w:rsid w:val="3E963DBD"/>
    <w:rsid w:val="3EA98F45"/>
    <w:rsid w:val="3EBAEE08"/>
    <w:rsid w:val="3ED33F45"/>
    <w:rsid w:val="3EDECF2D"/>
    <w:rsid w:val="3EF32F69"/>
    <w:rsid w:val="3F08663D"/>
    <w:rsid w:val="3F0A60B2"/>
    <w:rsid w:val="3F143CD6"/>
    <w:rsid w:val="3F1BC6FD"/>
    <w:rsid w:val="3F2BD2A4"/>
    <w:rsid w:val="3F40A8E6"/>
    <w:rsid w:val="3F50F7F9"/>
    <w:rsid w:val="3F5BE205"/>
    <w:rsid w:val="3F62249D"/>
    <w:rsid w:val="3F821452"/>
    <w:rsid w:val="3F9AFF0B"/>
    <w:rsid w:val="3F9F9719"/>
    <w:rsid w:val="3FAD0F79"/>
    <w:rsid w:val="3FB37235"/>
    <w:rsid w:val="3FB5E84F"/>
    <w:rsid w:val="3FF1D08B"/>
    <w:rsid w:val="40184ED0"/>
    <w:rsid w:val="401AB673"/>
    <w:rsid w:val="402BE157"/>
    <w:rsid w:val="40328F06"/>
    <w:rsid w:val="4056C15E"/>
    <w:rsid w:val="40779F8A"/>
    <w:rsid w:val="408C9931"/>
    <w:rsid w:val="409BA810"/>
    <w:rsid w:val="40D501F0"/>
    <w:rsid w:val="4111A118"/>
    <w:rsid w:val="411329A8"/>
    <w:rsid w:val="411F1FF0"/>
    <w:rsid w:val="411FEA8B"/>
    <w:rsid w:val="4124CB98"/>
    <w:rsid w:val="4158E3C4"/>
    <w:rsid w:val="4163B28A"/>
    <w:rsid w:val="416EDA41"/>
    <w:rsid w:val="416F2E21"/>
    <w:rsid w:val="417C42CE"/>
    <w:rsid w:val="418F1F2B"/>
    <w:rsid w:val="41907D4A"/>
    <w:rsid w:val="419C77FF"/>
    <w:rsid w:val="41B347B3"/>
    <w:rsid w:val="41C0BF73"/>
    <w:rsid w:val="41CA9CE4"/>
    <w:rsid w:val="41CAD835"/>
    <w:rsid w:val="41E20841"/>
    <w:rsid w:val="41F27211"/>
    <w:rsid w:val="41F73BAC"/>
    <w:rsid w:val="4200204A"/>
    <w:rsid w:val="42115B01"/>
    <w:rsid w:val="4213D168"/>
    <w:rsid w:val="4218B7A1"/>
    <w:rsid w:val="42330305"/>
    <w:rsid w:val="4239DBC7"/>
    <w:rsid w:val="424846F6"/>
    <w:rsid w:val="424ADCF2"/>
    <w:rsid w:val="4271C584"/>
    <w:rsid w:val="427314B6"/>
    <w:rsid w:val="4280C4B9"/>
    <w:rsid w:val="428EC4B1"/>
    <w:rsid w:val="429EA873"/>
    <w:rsid w:val="42A92253"/>
    <w:rsid w:val="42BBBAEC"/>
    <w:rsid w:val="42BF842A"/>
    <w:rsid w:val="42C0DF3F"/>
    <w:rsid w:val="42C32D17"/>
    <w:rsid w:val="42C32D87"/>
    <w:rsid w:val="42C42180"/>
    <w:rsid w:val="42FF9E9B"/>
    <w:rsid w:val="430AB93E"/>
    <w:rsid w:val="43345CB1"/>
    <w:rsid w:val="43362874"/>
    <w:rsid w:val="4348E541"/>
    <w:rsid w:val="434BFEE3"/>
    <w:rsid w:val="4359B910"/>
    <w:rsid w:val="43629E00"/>
    <w:rsid w:val="4374ECD2"/>
    <w:rsid w:val="437D6EA2"/>
    <w:rsid w:val="4381BCAE"/>
    <w:rsid w:val="438E5F2B"/>
    <w:rsid w:val="4397A3E6"/>
    <w:rsid w:val="4397BA6A"/>
    <w:rsid w:val="4398F828"/>
    <w:rsid w:val="43B24228"/>
    <w:rsid w:val="4405B7D0"/>
    <w:rsid w:val="440BED24"/>
    <w:rsid w:val="4421C53A"/>
    <w:rsid w:val="4426F920"/>
    <w:rsid w:val="4427B614"/>
    <w:rsid w:val="443C82C6"/>
    <w:rsid w:val="44405178"/>
    <w:rsid w:val="44474782"/>
    <w:rsid w:val="444F403D"/>
    <w:rsid w:val="44908C30"/>
    <w:rsid w:val="44983DDE"/>
    <w:rsid w:val="44A0EB70"/>
    <w:rsid w:val="44A1493C"/>
    <w:rsid w:val="44E223D9"/>
    <w:rsid w:val="4503DC77"/>
    <w:rsid w:val="4504CF37"/>
    <w:rsid w:val="450E1EFC"/>
    <w:rsid w:val="451C449A"/>
    <w:rsid w:val="45289078"/>
    <w:rsid w:val="4537DCB0"/>
    <w:rsid w:val="45387FBC"/>
    <w:rsid w:val="453D89A6"/>
    <w:rsid w:val="45401BF0"/>
    <w:rsid w:val="4551683E"/>
    <w:rsid w:val="4563138E"/>
    <w:rsid w:val="45A9440B"/>
    <w:rsid w:val="45A9FBE2"/>
    <w:rsid w:val="45BA617D"/>
    <w:rsid w:val="45C2C981"/>
    <w:rsid w:val="45CB290E"/>
    <w:rsid w:val="45D3026A"/>
    <w:rsid w:val="45DF62D9"/>
    <w:rsid w:val="45FC7645"/>
    <w:rsid w:val="4617E74F"/>
    <w:rsid w:val="462B226F"/>
    <w:rsid w:val="46310FAC"/>
    <w:rsid w:val="4636C9E4"/>
    <w:rsid w:val="46419C58"/>
    <w:rsid w:val="4647ED05"/>
    <w:rsid w:val="4662513D"/>
    <w:rsid w:val="4678686C"/>
    <w:rsid w:val="467DD77C"/>
    <w:rsid w:val="469F6EE2"/>
    <w:rsid w:val="46C608AA"/>
    <w:rsid w:val="46D03FFE"/>
    <w:rsid w:val="46DC320D"/>
    <w:rsid w:val="46E096BF"/>
    <w:rsid w:val="46EC28C4"/>
    <w:rsid w:val="46EED9B8"/>
    <w:rsid w:val="4710F060"/>
    <w:rsid w:val="47245EFB"/>
    <w:rsid w:val="472F8F5A"/>
    <w:rsid w:val="473CE30E"/>
    <w:rsid w:val="4751BD04"/>
    <w:rsid w:val="475B3370"/>
    <w:rsid w:val="4773F0BE"/>
    <w:rsid w:val="4797FF70"/>
    <w:rsid w:val="47A160BF"/>
    <w:rsid w:val="47AF9436"/>
    <w:rsid w:val="47B06C2A"/>
    <w:rsid w:val="47B69726"/>
    <w:rsid w:val="47B9C1A2"/>
    <w:rsid w:val="47BEDDC4"/>
    <w:rsid w:val="47C07095"/>
    <w:rsid w:val="47C76FA0"/>
    <w:rsid w:val="47CE64FD"/>
    <w:rsid w:val="47D5E80D"/>
    <w:rsid w:val="47DA6017"/>
    <w:rsid w:val="47DDA405"/>
    <w:rsid w:val="47F57AC1"/>
    <w:rsid w:val="48073B15"/>
    <w:rsid w:val="480E602A"/>
    <w:rsid w:val="480E92FB"/>
    <w:rsid w:val="48234EB6"/>
    <w:rsid w:val="482411CC"/>
    <w:rsid w:val="484B6FB3"/>
    <w:rsid w:val="4886C4F6"/>
    <w:rsid w:val="488953A7"/>
    <w:rsid w:val="48B05CDA"/>
    <w:rsid w:val="48D52B2B"/>
    <w:rsid w:val="48D61C77"/>
    <w:rsid w:val="48E12A9B"/>
    <w:rsid w:val="48F703D1"/>
    <w:rsid w:val="48FE22A2"/>
    <w:rsid w:val="490266A7"/>
    <w:rsid w:val="4927B7FE"/>
    <w:rsid w:val="495073D0"/>
    <w:rsid w:val="495A4475"/>
    <w:rsid w:val="4968B06E"/>
    <w:rsid w:val="496F8F28"/>
    <w:rsid w:val="498B8552"/>
    <w:rsid w:val="499656D9"/>
    <w:rsid w:val="4996CC5C"/>
    <w:rsid w:val="499CBED8"/>
    <w:rsid w:val="49EE5D31"/>
    <w:rsid w:val="4A27AF2A"/>
    <w:rsid w:val="4A29EABA"/>
    <w:rsid w:val="4A501303"/>
    <w:rsid w:val="4A5A41A9"/>
    <w:rsid w:val="4A68D651"/>
    <w:rsid w:val="4A90DE3C"/>
    <w:rsid w:val="4AA2A8A7"/>
    <w:rsid w:val="4AA2CB16"/>
    <w:rsid w:val="4AA46B50"/>
    <w:rsid w:val="4AA4917E"/>
    <w:rsid w:val="4AB35602"/>
    <w:rsid w:val="4AB41774"/>
    <w:rsid w:val="4AB5FE9F"/>
    <w:rsid w:val="4AEFCBBC"/>
    <w:rsid w:val="4B1806A9"/>
    <w:rsid w:val="4B2F8A06"/>
    <w:rsid w:val="4B5512E3"/>
    <w:rsid w:val="4B61803C"/>
    <w:rsid w:val="4B702ABC"/>
    <w:rsid w:val="4B7A7BA2"/>
    <w:rsid w:val="4B8048B3"/>
    <w:rsid w:val="4B8B861E"/>
    <w:rsid w:val="4B95BF4E"/>
    <w:rsid w:val="4B9839CF"/>
    <w:rsid w:val="4BA505E9"/>
    <w:rsid w:val="4BCF89A8"/>
    <w:rsid w:val="4BCFFD82"/>
    <w:rsid w:val="4BD60CB3"/>
    <w:rsid w:val="4BF280CC"/>
    <w:rsid w:val="4BF4CB58"/>
    <w:rsid w:val="4BFCB81A"/>
    <w:rsid w:val="4C0AEDC2"/>
    <w:rsid w:val="4C109246"/>
    <w:rsid w:val="4C2F1B08"/>
    <w:rsid w:val="4C3934AF"/>
    <w:rsid w:val="4C4B65A2"/>
    <w:rsid w:val="4C4F9482"/>
    <w:rsid w:val="4C52E969"/>
    <w:rsid w:val="4C53A039"/>
    <w:rsid w:val="4C58C573"/>
    <w:rsid w:val="4C65FF53"/>
    <w:rsid w:val="4C7A126E"/>
    <w:rsid w:val="4C84B6C8"/>
    <w:rsid w:val="4CABA576"/>
    <w:rsid w:val="4CC3E211"/>
    <w:rsid w:val="4CE4B51D"/>
    <w:rsid w:val="4D007590"/>
    <w:rsid w:val="4D08FB48"/>
    <w:rsid w:val="4D16A195"/>
    <w:rsid w:val="4D2FB145"/>
    <w:rsid w:val="4D4FB487"/>
    <w:rsid w:val="4D67399C"/>
    <w:rsid w:val="4D83EECE"/>
    <w:rsid w:val="4D8AA72C"/>
    <w:rsid w:val="4D8F1596"/>
    <w:rsid w:val="4D92AB1E"/>
    <w:rsid w:val="4DACB82C"/>
    <w:rsid w:val="4DBE6AF3"/>
    <w:rsid w:val="4DCA74F4"/>
    <w:rsid w:val="4DCCB64B"/>
    <w:rsid w:val="4DE37858"/>
    <w:rsid w:val="4E08B81B"/>
    <w:rsid w:val="4E2BB89B"/>
    <w:rsid w:val="4E328876"/>
    <w:rsid w:val="4E410259"/>
    <w:rsid w:val="4E4E3308"/>
    <w:rsid w:val="4E576648"/>
    <w:rsid w:val="4E7B42C9"/>
    <w:rsid w:val="4E8A53AF"/>
    <w:rsid w:val="4E99DB3B"/>
    <w:rsid w:val="4EA9DA57"/>
    <w:rsid w:val="4EAA93B6"/>
    <w:rsid w:val="4ECB1466"/>
    <w:rsid w:val="4ECF72BE"/>
    <w:rsid w:val="4EEDA7B7"/>
    <w:rsid w:val="4EF0702E"/>
    <w:rsid w:val="4EF60FD9"/>
    <w:rsid w:val="4EFFB338"/>
    <w:rsid w:val="4F0DAD75"/>
    <w:rsid w:val="4F16F33E"/>
    <w:rsid w:val="4F21788B"/>
    <w:rsid w:val="4F338F17"/>
    <w:rsid w:val="4F361435"/>
    <w:rsid w:val="4F38BAF6"/>
    <w:rsid w:val="4F425A1C"/>
    <w:rsid w:val="4F63C227"/>
    <w:rsid w:val="4F64B906"/>
    <w:rsid w:val="4F7EC215"/>
    <w:rsid w:val="4F846EE5"/>
    <w:rsid w:val="4FA84EAD"/>
    <w:rsid w:val="4FCE58D7"/>
    <w:rsid w:val="4FE2F412"/>
    <w:rsid w:val="4FF65F1D"/>
    <w:rsid w:val="501D2AF7"/>
    <w:rsid w:val="502F88A7"/>
    <w:rsid w:val="5030A481"/>
    <w:rsid w:val="503DB5FD"/>
    <w:rsid w:val="5046F3C5"/>
    <w:rsid w:val="5047F5E6"/>
    <w:rsid w:val="504B1134"/>
    <w:rsid w:val="504E2AEB"/>
    <w:rsid w:val="50527337"/>
    <w:rsid w:val="506232C2"/>
    <w:rsid w:val="5065C8C2"/>
    <w:rsid w:val="506809E6"/>
    <w:rsid w:val="506A1A49"/>
    <w:rsid w:val="506B431F"/>
    <w:rsid w:val="506CEBE9"/>
    <w:rsid w:val="508969C3"/>
    <w:rsid w:val="50CBB4E5"/>
    <w:rsid w:val="50CE43FD"/>
    <w:rsid w:val="50E8ED59"/>
    <w:rsid w:val="50EE7A74"/>
    <w:rsid w:val="50F7B1E7"/>
    <w:rsid w:val="51019C6F"/>
    <w:rsid w:val="510CFDBA"/>
    <w:rsid w:val="513F72B6"/>
    <w:rsid w:val="5152C4F0"/>
    <w:rsid w:val="515B280F"/>
    <w:rsid w:val="515B940C"/>
    <w:rsid w:val="519040DF"/>
    <w:rsid w:val="519B9D5F"/>
    <w:rsid w:val="51B9706E"/>
    <w:rsid w:val="51BA07D0"/>
    <w:rsid w:val="51BE63BB"/>
    <w:rsid w:val="51CF8C52"/>
    <w:rsid w:val="51D72F9A"/>
    <w:rsid w:val="51E69FB2"/>
    <w:rsid w:val="51EA53EC"/>
    <w:rsid w:val="51FE2F36"/>
    <w:rsid w:val="52137A90"/>
    <w:rsid w:val="521AE02B"/>
    <w:rsid w:val="522A5295"/>
    <w:rsid w:val="522C25DA"/>
    <w:rsid w:val="5237E9FC"/>
    <w:rsid w:val="52454E37"/>
    <w:rsid w:val="52486395"/>
    <w:rsid w:val="525BFF1A"/>
    <w:rsid w:val="5268B6C8"/>
    <w:rsid w:val="526BFB18"/>
    <w:rsid w:val="528176F1"/>
    <w:rsid w:val="528AD8F8"/>
    <w:rsid w:val="528E1D85"/>
    <w:rsid w:val="52A55F43"/>
    <w:rsid w:val="52A5ADA9"/>
    <w:rsid w:val="52B43714"/>
    <w:rsid w:val="52DCD2BB"/>
    <w:rsid w:val="52F75616"/>
    <w:rsid w:val="52F8AB64"/>
    <w:rsid w:val="53110DB4"/>
    <w:rsid w:val="533860EF"/>
    <w:rsid w:val="533EC37F"/>
    <w:rsid w:val="534813DD"/>
    <w:rsid w:val="5367646E"/>
    <w:rsid w:val="5389AB51"/>
    <w:rsid w:val="5389BB84"/>
    <w:rsid w:val="5391E299"/>
    <w:rsid w:val="5396D6B3"/>
    <w:rsid w:val="53A2E3E1"/>
    <w:rsid w:val="53A6A3AA"/>
    <w:rsid w:val="53CAD4B7"/>
    <w:rsid w:val="53D7C417"/>
    <w:rsid w:val="53EC50B9"/>
    <w:rsid w:val="53FCB4DB"/>
    <w:rsid w:val="53FF57D2"/>
    <w:rsid w:val="540D48FB"/>
    <w:rsid w:val="541D006E"/>
    <w:rsid w:val="54447DF7"/>
    <w:rsid w:val="5480B59B"/>
    <w:rsid w:val="54907418"/>
    <w:rsid w:val="54947BC5"/>
    <w:rsid w:val="549668C3"/>
    <w:rsid w:val="54AD7165"/>
    <w:rsid w:val="54CCCE53"/>
    <w:rsid w:val="54F4524E"/>
    <w:rsid w:val="54FE7EB2"/>
    <w:rsid w:val="55021CA4"/>
    <w:rsid w:val="550442E4"/>
    <w:rsid w:val="550D0F6F"/>
    <w:rsid w:val="55200DF7"/>
    <w:rsid w:val="552C8298"/>
    <w:rsid w:val="5536D7A7"/>
    <w:rsid w:val="5544F06E"/>
    <w:rsid w:val="554FA94B"/>
    <w:rsid w:val="556F9203"/>
    <w:rsid w:val="55750010"/>
    <w:rsid w:val="55770CBB"/>
    <w:rsid w:val="558DEB31"/>
    <w:rsid w:val="5592ACFA"/>
    <w:rsid w:val="559E2963"/>
    <w:rsid w:val="55AD855A"/>
    <w:rsid w:val="55B7A4B4"/>
    <w:rsid w:val="55C268E0"/>
    <w:rsid w:val="55CA47B3"/>
    <w:rsid w:val="55E30C6C"/>
    <w:rsid w:val="55EB37F5"/>
    <w:rsid w:val="55F33948"/>
    <w:rsid w:val="56023D60"/>
    <w:rsid w:val="5614737D"/>
    <w:rsid w:val="56365235"/>
    <w:rsid w:val="563F45C3"/>
    <w:rsid w:val="565CCB1E"/>
    <w:rsid w:val="565F9C96"/>
    <w:rsid w:val="5664B30B"/>
    <w:rsid w:val="5668CBC3"/>
    <w:rsid w:val="5674534D"/>
    <w:rsid w:val="567CEF99"/>
    <w:rsid w:val="5685FECC"/>
    <w:rsid w:val="5686889D"/>
    <w:rsid w:val="56885BC9"/>
    <w:rsid w:val="56A61B71"/>
    <w:rsid w:val="56B60DA3"/>
    <w:rsid w:val="56B86DAA"/>
    <w:rsid w:val="56E276C3"/>
    <w:rsid w:val="56F8C42D"/>
    <w:rsid w:val="56F96CEB"/>
    <w:rsid w:val="57104391"/>
    <w:rsid w:val="5710476B"/>
    <w:rsid w:val="571A88A0"/>
    <w:rsid w:val="571E7A31"/>
    <w:rsid w:val="572B4664"/>
    <w:rsid w:val="572BC071"/>
    <w:rsid w:val="5739D1E4"/>
    <w:rsid w:val="573C9218"/>
    <w:rsid w:val="57424360"/>
    <w:rsid w:val="57551260"/>
    <w:rsid w:val="57582EDD"/>
    <w:rsid w:val="57585906"/>
    <w:rsid w:val="57595F5E"/>
    <w:rsid w:val="57642589"/>
    <w:rsid w:val="5767E0CE"/>
    <w:rsid w:val="57870856"/>
    <w:rsid w:val="57892887"/>
    <w:rsid w:val="579C9872"/>
    <w:rsid w:val="57CA6993"/>
    <w:rsid w:val="57CADBD7"/>
    <w:rsid w:val="57E2D7C2"/>
    <w:rsid w:val="57FD52E5"/>
    <w:rsid w:val="57FE0D3B"/>
    <w:rsid w:val="57FEBD23"/>
    <w:rsid w:val="5808AC03"/>
    <w:rsid w:val="5842421D"/>
    <w:rsid w:val="584A23B7"/>
    <w:rsid w:val="58799CF8"/>
    <w:rsid w:val="58822144"/>
    <w:rsid w:val="589844CF"/>
    <w:rsid w:val="589CCB67"/>
    <w:rsid w:val="58A1396F"/>
    <w:rsid w:val="58BA087A"/>
    <w:rsid w:val="58BD9E6D"/>
    <w:rsid w:val="58C0336C"/>
    <w:rsid w:val="58CC19D0"/>
    <w:rsid w:val="58E6F767"/>
    <w:rsid w:val="58F08DF0"/>
    <w:rsid w:val="591CF810"/>
    <w:rsid w:val="591FE091"/>
    <w:rsid w:val="5929308B"/>
    <w:rsid w:val="592BAA03"/>
    <w:rsid w:val="5958EB4B"/>
    <w:rsid w:val="596BFD06"/>
    <w:rsid w:val="5972C9A7"/>
    <w:rsid w:val="59AB95AC"/>
    <w:rsid w:val="59B28B1A"/>
    <w:rsid w:val="59EFCB6B"/>
    <w:rsid w:val="59F78C16"/>
    <w:rsid w:val="59F878FD"/>
    <w:rsid w:val="59F93D49"/>
    <w:rsid w:val="59FAF70D"/>
    <w:rsid w:val="5A0103DF"/>
    <w:rsid w:val="5A0866B5"/>
    <w:rsid w:val="5A24F6BA"/>
    <w:rsid w:val="5A2C900A"/>
    <w:rsid w:val="5A2CCD73"/>
    <w:rsid w:val="5A307C6C"/>
    <w:rsid w:val="5A4FCE2E"/>
    <w:rsid w:val="5A5D66A1"/>
    <w:rsid w:val="5A615C54"/>
    <w:rsid w:val="5A6AD4AC"/>
    <w:rsid w:val="5A6D78E7"/>
    <w:rsid w:val="5A88D551"/>
    <w:rsid w:val="5A8FB530"/>
    <w:rsid w:val="5AA5BD7F"/>
    <w:rsid w:val="5AAA4C62"/>
    <w:rsid w:val="5AE7BD35"/>
    <w:rsid w:val="5AEC8832"/>
    <w:rsid w:val="5AEDB182"/>
    <w:rsid w:val="5AF181F0"/>
    <w:rsid w:val="5AF2A427"/>
    <w:rsid w:val="5B08DCB5"/>
    <w:rsid w:val="5B0A95AD"/>
    <w:rsid w:val="5B0CB6F4"/>
    <w:rsid w:val="5B124034"/>
    <w:rsid w:val="5B4107F5"/>
    <w:rsid w:val="5B452A7C"/>
    <w:rsid w:val="5B4E3882"/>
    <w:rsid w:val="5B89A118"/>
    <w:rsid w:val="5B8FCAA3"/>
    <w:rsid w:val="5B93E93B"/>
    <w:rsid w:val="5BACD16E"/>
    <w:rsid w:val="5BC0C71B"/>
    <w:rsid w:val="5BD8EBC2"/>
    <w:rsid w:val="5BF9B501"/>
    <w:rsid w:val="5C215041"/>
    <w:rsid w:val="5C59CC01"/>
    <w:rsid w:val="5C7176C7"/>
    <w:rsid w:val="5CAE1095"/>
    <w:rsid w:val="5CAFF687"/>
    <w:rsid w:val="5CCDF3BA"/>
    <w:rsid w:val="5CD933A9"/>
    <w:rsid w:val="5CED99DC"/>
    <w:rsid w:val="5D1272A7"/>
    <w:rsid w:val="5D1C1BDF"/>
    <w:rsid w:val="5D27AF2E"/>
    <w:rsid w:val="5D290DF7"/>
    <w:rsid w:val="5D2B28F2"/>
    <w:rsid w:val="5D454C6D"/>
    <w:rsid w:val="5D4DC574"/>
    <w:rsid w:val="5D51A0D6"/>
    <w:rsid w:val="5D597B3F"/>
    <w:rsid w:val="5D73981C"/>
    <w:rsid w:val="5D78BB18"/>
    <w:rsid w:val="5D87A299"/>
    <w:rsid w:val="5D888B60"/>
    <w:rsid w:val="5D8C64BB"/>
    <w:rsid w:val="5D911E0D"/>
    <w:rsid w:val="5D91FB4F"/>
    <w:rsid w:val="5D9FEF98"/>
    <w:rsid w:val="5DA11476"/>
    <w:rsid w:val="5DA1AEE6"/>
    <w:rsid w:val="5DBA688A"/>
    <w:rsid w:val="5DC9931D"/>
    <w:rsid w:val="5DEF58FD"/>
    <w:rsid w:val="5DF3F74A"/>
    <w:rsid w:val="5E03C68A"/>
    <w:rsid w:val="5E2737C3"/>
    <w:rsid w:val="5E2F8AA4"/>
    <w:rsid w:val="5E3DE802"/>
    <w:rsid w:val="5E40A3FC"/>
    <w:rsid w:val="5E41446F"/>
    <w:rsid w:val="5E466BD2"/>
    <w:rsid w:val="5E49E0F6"/>
    <w:rsid w:val="5E63EFE6"/>
    <w:rsid w:val="5E642635"/>
    <w:rsid w:val="5E65BED4"/>
    <w:rsid w:val="5E6619AF"/>
    <w:rsid w:val="5E774AA1"/>
    <w:rsid w:val="5E9080DB"/>
    <w:rsid w:val="5E96300C"/>
    <w:rsid w:val="5E982AF1"/>
    <w:rsid w:val="5E9E1945"/>
    <w:rsid w:val="5EC37F8F"/>
    <w:rsid w:val="5EC64A97"/>
    <w:rsid w:val="5EDAFA1A"/>
    <w:rsid w:val="5EDCAFFE"/>
    <w:rsid w:val="5EE70784"/>
    <w:rsid w:val="5EECBF7D"/>
    <w:rsid w:val="5EEF1D86"/>
    <w:rsid w:val="5EF48658"/>
    <w:rsid w:val="5EFD2200"/>
    <w:rsid w:val="5F245F2D"/>
    <w:rsid w:val="5F34CD77"/>
    <w:rsid w:val="5F42DE94"/>
    <w:rsid w:val="5F687106"/>
    <w:rsid w:val="5F6F3F37"/>
    <w:rsid w:val="5F7098F5"/>
    <w:rsid w:val="5F77312C"/>
    <w:rsid w:val="5F844BB9"/>
    <w:rsid w:val="5F85FAA6"/>
    <w:rsid w:val="5F8F228A"/>
    <w:rsid w:val="5FC239E9"/>
    <w:rsid w:val="5FC7ABDE"/>
    <w:rsid w:val="5FCE6EEC"/>
    <w:rsid w:val="5FD51B4D"/>
    <w:rsid w:val="5FD5949D"/>
    <w:rsid w:val="5FE5B32F"/>
    <w:rsid w:val="5FFB91C0"/>
    <w:rsid w:val="5FFF4591"/>
    <w:rsid w:val="60080E6A"/>
    <w:rsid w:val="6009258E"/>
    <w:rsid w:val="600E0864"/>
    <w:rsid w:val="6014D801"/>
    <w:rsid w:val="6019F96D"/>
    <w:rsid w:val="6020A2E4"/>
    <w:rsid w:val="603D75D4"/>
    <w:rsid w:val="60496466"/>
    <w:rsid w:val="6062C9B4"/>
    <w:rsid w:val="6069C113"/>
    <w:rsid w:val="607D9BB8"/>
    <w:rsid w:val="6094383E"/>
    <w:rsid w:val="60A04657"/>
    <w:rsid w:val="60A67943"/>
    <w:rsid w:val="60B86B5C"/>
    <w:rsid w:val="60BE7C7E"/>
    <w:rsid w:val="60C57D8F"/>
    <w:rsid w:val="60D5258B"/>
    <w:rsid w:val="60DA5D22"/>
    <w:rsid w:val="60E0CC9A"/>
    <w:rsid w:val="60F7B178"/>
    <w:rsid w:val="61202E34"/>
    <w:rsid w:val="61493577"/>
    <w:rsid w:val="614EF78D"/>
    <w:rsid w:val="616C37C3"/>
    <w:rsid w:val="618097D1"/>
    <w:rsid w:val="61818390"/>
    <w:rsid w:val="618690C9"/>
    <w:rsid w:val="6195CD4C"/>
    <w:rsid w:val="61AA0E69"/>
    <w:rsid w:val="61B6CFA1"/>
    <w:rsid w:val="61B86655"/>
    <w:rsid w:val="61C4BD3E"/>
    <w:rsid w:val="6202337D"/>
    <w:rsid w:val="620BFC73"/>
    <w:rsid w:val="620D9A39"/>
    <w:rsid w:val="620E1F2F"/>
    <w:rsid w:val="621E2E20"/>
    <w:rsid w:val="621E8108"/>
    <w:rsid w:val="62247B55"/>
    <w:rsid w:val="62450F6B"/>
    <w:rsid w:val="6258EA88"/>
    <w:rsid w:val="62648A74"/>
    <w:rsid w:val="6268D4CB"/>
    <w:rsid w:val="626987F2"/>
    <w:rsid w:val="6272FC16"/>
    <w:rsid w:val="62807847"/>
    <w:rsid w:val="6293B80F"/>
    <w:rsid w:val="629CD514"/>
    <w:rsid w:val="62A620CA"/>
    <w:rsid w:val="62D7AFAA"/>
    <w:rsid w:val="62EBE1B0"/>
    <w:rsid w:val="630355D3"/>
    <w:rsid w:val="63070BE4"/>
    <w:rsid w:val="631C6832"/>
    <w:rsid w:val="631D53F1"/>
    <w:rsid w:val="6324C6E8"/>
    <w:rsid w:val="63278751"/>
    <w:rsid w:val="6345A926"/>
    <w:rsid w:val="635F65BB"/>
    <w:rsid w:val="637DD507"/>
    <w:rsid w:val="63949923"/>
    <w:rsid w:val="63A7CCD4"/>
    <w:rsid w:val="63AB3F18"/>
    <w:rsid w:val="63AFCF02"/>
    <w:rsid w:val="63B7BC18"/>
    <w:rsid w:val="63C769B3"/>
    <w:rsid w:val="63D7E719"/>
    <w:rsid w:val="63E507C6"/>
    <w:rsid w:val="63E513A6"/>
    <w:rsid w:val="63F29EC8"/>
    <w:rsid w:val="63F8130D"/>
    <w:rsid w:val="63FBB288"/>
    <w:rsid w:val="641B87C1"/>
    <w:rsid w:val="6423C559"/>
    <w:rsid w:val="6427DBED"/>
    <w:rsid w:val="643CE85C"/>
    <w:rsid w:val="644E515C"/>
    <w:rsid w:val="64715541"/>
    <w:rsid w:val="648CFE79"/>
    <w:rsid w:val="6496B46C"/>
    <w:rsid w:val="64B46EB3"/>
    <w:rsid w:val="64B83893"/>
    <w:rsid w:val="64C4EBF2"/>
    <w:rsid w:val="64E17987"/>
    <w:rsid w:val="64E7B3A9"/>
    <w:rsid w:val="64F3368D"/>
    <w:rsid w:val="64FA8B19"/>
    <w:rsid w:val="6501EF19"/>
    <w:rsid w:val="65275E87"/>
    <w:rsid w:val="6536ACE9"/>
    <w:rsid w:val="6537E68A"/>
    <w:rsid w:val="653A6BBC"/>
    <w:rsid w:val="65420E8D"/>
    <w:rsid w:val="654E50A7"/>
    <w:rsid w:val="6558C04A"/>
    <w:rsid w:val="655D77B1"/>
    <w:rsid w:val="655FB48D"/>
    <w:rsid w:val="6573B77A"/>
    <w:rsid w:val="657B71FB"/>
    <w:rsid w:val="65BA19B3"/>
    <w:rsid w:val="65BE3CE7"/>
    <w:rsid w:val="65E20E62"/>
    <w:rsid w:val="65E8E86C"/>
    <w:rsid w:val="66010CE3"/>
    <w:rsid w:val="661EC478"/>
    <w:rsid w:val="6629E124"/>
    <w:rsid w:val="662D5E05"/>
    <w:rsid w:val="663F901D"/>
    <w:rsid w:val="66401043"/>
    <w:rsid w:val="664635C5"/>
    <w:rsid w:val="665F56E4"/>
    <w:rsid w:val="667F0F15"/>
    <w:rsid w:val="66898E7B"/>
    <w:rsid w:val="6696CAC4"/>
    <w:rsid w:val="669BF907"/>
    <w:rsid w:val="66A58E9F"/>
    <w:rsid w:val="66A90F6D"/>
    <w:rsid w:val="66BAFF42"/>
    <w:rsid w:val="66D4A5EC"/>
    <w:rsid w:val="66DF6D96"/>
    <w:rsid w:val="66EF3D45"/>
    <w:rsid w:val="66F233F0"/>
    <w:rsid w:val="66FD1E14"/>
    <w:rsid w:val="67233CC3"/>
    <w:rsid w:val="6726B6FF"/>
    <w:rsid w:val="675E9637"/>
    <w:rsid w:val="676B8B64"/>
    <w:rsid w:val="677862E9"/>
    <w:rsid w:val="6785F21E"/>
    <w:rsid w:val="6786C6CB"/>
    <w:rsid w:val="679BF2DB"/>
    <w:rsid w:val="67A1EDBC"/>
    <w:rsid w:val="67B3D3EE"/>
    <w:rsid w:val="67B55A9A"/>
    <w:rsid w:val="67BFFE2D"/>
    <w:rsid w:val="67C6403D"/>
    <w:rsid w:val="67C7BC82"/>
    <w:rsid w:val="67C8BD52"/>
    <w:rsid w:val="67C9E06A"/>
    <w:rsid w:val="67CC0635"/>
    <w:rsid w:val="67E106C9"/>
    <w:rsid w:val="67EE66EA"/>
    <w:rsid w:val="67F36E5F"/>
    <w:rsid w:val="68022342"/>
    <w:rsid w:val="680FF1DB"/>
    <w:rsid w:val="681772BE"/>
    <w:rsid w:val="681D1F18"/>
    <w:rsid w:val="682D708D"/>
    <w:rsid w:val="68698D1A"/>
    <w:rsid w:val="688621C6"/>
    <w:rsid w:val="68ADA51D"/>
    <w:rsid w:val="68BB35C8"/>
    <w:rsid w:val="68BF0D24"/>
    <w:rsid w:val="68C4A142"/>
    <w:rsid w:val="68C95CD4"/>
    <w:rsid w:val="68CA0F29"/>
    <w:rsid w:val="68E33785"/>
    <w:rsid w:val="68F08F77"/>
    <w:rsid w:val="68F62AEF"/>
    <w:rsid w:val="68F7B309"/>
    <w:rsid w:val="68F7C351"/>
    <w:rsid w:val="68F9B6EA"/>
    <w:rsid w:val="69139F72"/>
    <w:rsid w:val="6916B87C"/>
    <w:rsid w:val="6921C27F"/>
    <w:rsid w:val="6928B052"/>
    <w:rsid w:val="692DFA44"/>
    <w:rsid w:val="693371FE"/>
    <w:rsid w:val="69361CBA"/>
    <w:rsid w:val="6944FC6B"/>
    <w:rsid w:val="69452E41"/>
    <w:rsid w:val="6946DCF4"/>
    <w:rsid w:val="6949C1C8"/>
    <w:rsid w:val="6951E379"/>
    <w:rsid w:val="69532D33"/>
    <w:rsid w:val="695935E9"/>
    <w:rsid w:val="69948123"/>
    <w:rsid w:val="69BBC11A"/>
    <w:rsid w:val="69D3D59F"/>
    <w:rsid w:val="69DC8B57"/>
    <w:rsid w:val="69E38FAC"/>
    <w:rsid w:val="69E4CAF0"/>
    <w:rsid w:val="69F215D1"/>
    <w:rsid w:val="6A170E58"/>
    <w:rsid w:val="6A1BDB7A"/>
    <w:rsid w:val="6A21F227"/>
    <w:rsid w:val="6A30F098"/>
    <w:rsid w:val="6A406981"/>
    <w:rsid w:val="6A4617AF"/>
    <w:rsid w:val="6A65F97D"/>
    <w:rsid w:val="6A6D8C84"/>
    <w:rsid w:val="6A826CC3"/>
    <w:rsid w:val="6A8F42B8"/>
    <w:rsid w:val="6A90350E"/>
    <w:rsid w:val="6A92C4F7"/>
    <w:rsid w:val="6A938A44"/>
    <w:rsid w:val="6AA1C5F7"/>
    <w:rsid w:val="6AACFA86"/>
    <w:rsid w:val="6AC3F389"/>
    <w:rsid w:val="6AEAACEF"/>
    <w:rsid w:val="6AF6F2D8"/>
    <w:rsid w:val="6AF70A8E"/>
    <w:rsid w:val="6AFEF2AD"/>
    <w:rsid w:val="6B05BB66"/>
    <w:rsid w:val="6B08C9DC"/>
    <w:rsid w:val="6B29F792"/>
    <w:rsid w:val="6B4609B4"/>
    <w:rsid w:val="6B685B0B"/>
    <w:rsid w:val="6B6CDD00"/>
    <w:rsid w:val="6B709B0A"/>
    <w:rsid w:val="6B8AB3E6"/>
    <w:rsid w:val="6B9358EB"/>
    <w:rsid w:val="6BBF56AE"/>
    <w:rsid w:val="6BC29D6E"/>
    <w:rsid w:val="6BC2C365"/>
    <w:rsid w:val="6BC401B0"/>
    <w:rsid w:val="6BD2575E"/>
    <w:rsid w:val="6BE4CB2A"/>
    <w:rsid w:val="6BF9BFF1"/>
    <w:rsid w:val="6C129ECC"/>
    <w:rsid w:val="6C374B81"/>
    <w:rsid w:val="6C4044A2"/>
    <w:rsid w:val="6C517AFD"/>
    <w:rsid w:val="6C51DDFE"/>
    <w:rsid w:val="6C5E6A53"/>
    <w:rsid w:val="6C63B24A"/>
    <w:rsid w:val="6C76707E"/>
    <w:rsid w:val="6C79D51E"/>
    <w:rsid w:val="6C815EE7"/>
    <w:rsid w:val="6C8544FE"/>
    <w:rsid w:val="6C9A1108"/>
    <w:rsid w:val="6CA13221"/>
    <w:rsid w:val="6CAFE775"/>
    <w:rsid w:val="6CCE6997"/>
    <w:rsid w:val="6CDA917D"/>
    <w:rsid w:val="6CF83FEB"/>
    <w:rsid w:val="6CF8EA38"/>
    <w:rsid w:val="6D179F45"/>
    <w:rsid w:val="6D1E3283"/>
    <w:rsid w:val="6D29B326"/>
    <w:rsid w:val="6D311D81"/>
    <w:rsid w:val="6D5CBF5A"/>
    <w:rsid w:val="6D9D9A3F"/>
    <w:rsid w:val="6DA62519"/>
    <w:rsid w:val="6DB642F5"/>
    <w:rsid w:val="6DD34B11"/>
    <w:rsid w:val="6DDF16B2"/>
    <w:rsid w:val="6DE56296"/>
    <w:rsid w:val="6E0B30D8"/>
    <w:rsid w:val="6E14E7AE"/>
    <w:rsid w:val="6E26DB00"/>
    <w:rsid w:val="6E32368E"/>
    <w:rsid w:val="6E6553BF"/>
    <w:rsid w:val="6E67F246"/>
    <w:rsid w:val="6E698A7D"/>
    <w:rsid w:val="6E74E655"/>
    <w:rsid w:val="6E7A60AD"/>
    <w:rsid w:val="6E81CDF0"/>
    <w:rsid w:val="6EC12F0D"/>
    <w:rsid w:val="6EC48C5A"/>
    <w:rsid w:val="6ECED02C"/>
    <w:rsid w:val="6ED718D8"/>
    <w:rsid w:val="6EE5051E"/>
    <w:rsid w:val="6F05CDD4"/>
    <w:rsid w:val="6F1C14E4"/>
    <w:rsid w:val="6F1ED448"/>
    <w:rsid w:val="6F20A310"/>
    <w:rsid w:val="6F23719A"/>
    <w:rsid w:val="6F2832F0"/>
    <w:rsid w:val="6F2BA7A6"/>
    <w:rsid w:val="6F720BF5"/>
    <w:rsid w:val="6FA4BBCF"/>
    <w:rsid w:val="6FB8F7A8"/>
    <w:rsid w:val="6FBC6DDA"/>
    <w:rsid w:val="6FCB29AB"/>
    <w:rsid w:val="6FD19645"/>
    <w:rsid w:val="6FDA646B"/>
    <w:rsid w:val="6FF86FAA"/>
    <w:rsid w:val="700F65EA"/>
    <w:rsid w:val="7016ABE0"/>
    <w:rsid w:val="7031D2F6"/>
    <w:rsid w:val="7037088D"/>
    <w:rsid w:val="7046F74B"/>
    <w:rsid w:val="706DC3CC"/>
    <w:rsid w:val="706E1906"/>
    <w:rsid w:val="707DEDF6"/>
    <w:rsid w:val="7091D3CF"/>
    <w:rsid w:val="709B3830"/>
    <w:rsid w:val="70A5A307"/>
    <w:rsid w:val="70BFA72F"/>
    <w:rsid w:val="70C01FED"/>
    <w:rsid w:val="70D19865"/>
    <w:rsid w:val="70E109C3"/>
    <w:rsid w:val="70E40667"/>
    <w:rsid w:val="7100DD99"/>
    <w:rsid w:val="7104A6D7"/>
    <w:rsid w:val="710AB829"/>
    <w:rsid w:val="710B9D33"/>
    <w:rsid w:val="7117A7B0"/>
    <w:rsid w:val="7124B92C"/>
    <w:rsid w:val="71409DAA"/>
    <w:rsid w:val="716A37DC"/>
    <w:rsid w:val="716C51CA"/>
    <w:rsid w:val="7170415E"/>
    <w:rsid w:val="717A2AFC"/>
    <w:rsid w:val="7180F08E"/>
    <w:rsid w:val="7188B25D"/>
    <w:rsid w:val="71C05363"/>
    <w:rsid w:val="71C333CF"/>
    <w:rsid w:val="71DD012E"/>
    <w:rsid w:val="71F1CA6C"/>
    <w:rsid w:val="720522B0"/>
    <w:rsid w:val="720A17E7"/>
    <w:rsid w:val="72152FF1"/>
    <w:rsid w:val="7216140D"/>
    <w:rsid w:val="7239F18A"/>
    <w:rsid w:val="7247BD19"/>
    <w:rsid w:val="725B752C"/>
    <w:rsid w:val="7260A6A3"/>
    <w:rsid w:val="72704161"/>
    <w:rsid w:val="72709894"/>
    <w:rsid w:val="72BF1684"/>
    <w:rsid w:val="72D048A5"/>
    <w:rsid w:val="72D2B654"/>
    <w:rsid w:val="72F71714"/>
    <w:rsid w:val="730AB477"/>
    <w:rsid w:val="7315A4CC"/>
    <w:rsid w:val="7317D128"/>
    <w:rsid w:val="7325C55C"/>
    <w:rsid w:val="733C804B"/>
    <w:rsid w:val="733DAB1B"/>
    <w:rsid w:val="733E7512"/>
    <w:rsid w:val="736D8BA3"/>
    <w:rsid w:val="73736CF0"/>
    <w:rsid w:val="73775F3B"/>
    <w:rsid w:val="738078E7"/>
    <w:rsid w:val="738C54AE"/>
    <w:rsid w:val="73A33F5B"/>
    <w:rsid w:val="73AE717F"/>
    <w:rsid w:val="73BE6D07"/>
    <w:rsid w:val="73C05DAE"/>
    <w:rsid w:val="73E74C8D"/>
    <w:rsid w:val="73EA8D67"/>
    <w:rsid w:val="73F615D3"/>
    <w:rsid w:val="73F77FEC"/>
    <w:rsid w:val="73F9DAF5"/>
    <w:rsid w:val="740B4532"/>
    <w:rsid w:val="740D7DA3"/>
    <w:rsid w:val="74169FE5"/>
    <w:rsid w:val="741F4E23"/>
    <w:rsid w:val="742B5075"/>
    <w:rsid w:val="7438CB89"/>
    <w:rsid w:val="745784C6"/>
    <w:rsid w:val="745AA2E6"/>
    <w:rsid w:val="7464689D"/>
    <w:rsid w:val="747E24FF"/>
    <w:rsid w:val="7487AF12"/>
    <w:rsid w:val="74983296"/>
    <w:rsid w:val="74A15506"/>
    <w:rsid w:val="74BB584D"/>
    <w:rsid w:val="74C1ED6E"/>
    <w:rsid w:val="74CB7711"/>
    <w:rsid w:val="74CE5123"/>
    <w:rsid w:val="74D733CA"/>
    <w:rsid w:val="74E41126"/>
    <w:rsid w:val="74E85018"/>
    <w:rsid w:val="74F614F4"/>
    <w:rsid w:val="750B011F"/>
    <w:rsid w:val="750CFC18"/>
    <w:rsid w:val="751E09F2"/>
    <w:rsid w:val="7523183B"/>
    <w:rsid w:val="7532A8A2"/>
    <w:rsid w:val="753A9496"/>
    <w:rsid w:val="75455380"/>
    <w:rsid w:val="754A5254"/>
    <w:rsid w:val="756C9254"/>
    <w:rsid w:val="757BF944"/>
    <w:rsid w:val="758772CC"/>
    <w:rsid w:val="75879DFD"/>
    <w:rsid w:val="7593508B"/>
    <w:rsid w:val="75AB6C2B"/>
    <w:rsid w:val="75B00E30"/>
    <w:rsid w:val="75DDADE1"/>
    <w:rsid w:val="75E22C58"/>
    <w:rsid w:val="75E7A234"/>
    <w:rsid w:val="75FD752C"/>
    <w:rsid w:val="75FEE683"/>
    <w:rsid w:val="76075494"/>
    <w:rsid w:val="7607B5F0"/>
    <w:rsid w:val="76104A2C"/>
    <w:rsid w:val="7613FEA5"/>
    <w:rsid w:val="7617855A"/>
    <w:rsid w:val="7621A2F9"/>
    <w:rsid w:val="762FAAE8"/>
    <w:rsid w:val="763EAAF5"/>
    <w:rsid w:val="7663EC7A"/>
    <w:rsid w:val="7664213A"/>
    <w:rsid w:val="76676415"/>
    <w:rsid w:val="766ABA9E"/>
    <w:rsid w:val="766ED40B"/>
    <w:rsid w:val="76706F7C"/>
    <w:rsid w:val="76828719"/>
    <w:rsid w:val="76A69E26"/>
    <w:rsid w:val="76AC1D18"/>
    <w:rsid w:val="76D05A40"/>
    <w:rsid w:val="76DE6E88"/>
    <w:rsid w:val="76FA0BF2"/>
    <w:rsid w:val="7703E4C4"/>
    <w:rsid w:val="77095E0B"/>
    <w:rsid w:val="77100418"/>
    <w:rsid w:val="77341CBE"/>
    <w:rsid w:val="77356D86"/>
    <w:rsid w:val="773AC5B8"/>
    <w:rsid w:val="773ED9BD"/>
    <w:rsid w:val="77513B07"/>
    <w:rsid w:val="776FF4D1"/>
    <w:rsid w:val="778530C8"/>
    <w:rsid w:val="77A38985"/>
    <w:rsid w:val="77A62777"/>
    <w:rsid w:val="77B79939"/>
    <w:rsid w:val="77E72335"/>
    <w:rsid w:val="77EE59A9"/>
    <w:rsid w:val="77F4F989"/>
    <w:rsid w:val="77F94397"/>
    <w:rsid w:val="77FA93D0"/>
    <w:rsid w:val="77FEBD63"/>
    <w:rsid w:val="780D72C8"/>
    <w:rsid w:val="78124AD5"/>
    <w:rsid w:val="781EDC76"/>
    <w:rsid w:val="781F12BE"/>
    <w:rsid w:val="7843C33C"/>
    <w:rsid w:val="784F46E0"/>
    <w:rsid w:val="7860FFA8"/>
    <w:rsid w:val="7868987B"/>
    <w:rsid w:val="786B4918"/>
    <w:rsid w:val="7873DB0C"/>
    <w:rsid w:val="7876B07E"/>
    <w:rsid w:val="787F734F"/>
    <w:rsid w:val="788026EA"/>
    <w:rsid w:val="788B8D19"/>
    <w:rsid w:val="789D607A"/>
    <w:rsid w:val="78B1DCFC"/>
    <w:rsid w:val="78C78B6A"/>
    <w:rsid w:val="78E097B5"/>
    <w:rsid w:val="78E4E649"/>
    <w:rsid w:val="78E7AEF2"/>
    <w:rsid w:val="78E833BF"/>
    <w:rsid w:val="78EC1CAB"/>
    <w:rsid w:val="78F0AF02"/>
    <w:rsid w:val="78F2BF46"/>
    <w:rsid w:val="79038057"/>
    <w:rsid w:val="790BAE2C"/>
    <w:rsid w:val="791BB5AE"/>
    <w:rsid w:val="791C2E36"/>
    <w:rsid w:val="794005A5"/>
    <w:rsid w:val="794C116A"/>
    <w:rsid w:val="794F3780"/>
    <w:rsid w:val="796BFC57"/>
    <w:rsid w:val="797962FF"/>
    <w:rsid w:val="797BEB9B"/>
    <w:rsid w:val="7986CD7E"/>
    <w:rsid w:val="7998BA97"/>
    <w:rsid w:val="79A94329"/>
    <w:rsid w:val="79B4BE5F"/>
    <w:rsid w:val="79B8A688"/>
    <w:rsid w:val="79C1CE83"/>
    <w:rsid w:val="79C93803"/>
    <w:rsid w:val="79CD3FFE"/>
    <w:rsid w:val="79D42207"/>
    <w:rsid w:val="79E49A2B"/>
    <w:rsid w:val="79FC1A19"/>
    <w:rsid w:val="79FF70F7"/>
    <w:rsid w:val="7A0168C1"/>
    <w:rsid w:val="7A0B939A"/>
    <w:rsid w:val="7A198A6D"/>
    <w:rsid w:val="7A2F8DCF"/>
    <w:rsid w:val="7A53A885"/>
    <w:rsid w:val="7A61180A"/>
    <w:rsid w:val="7A7F6022"/>
    <w:rsid w:val="7A980DEE"/>
    <w:rsid w:val="7A9DBC8F"/>
    <w:rsid w:val="7A9EBE56"/>
    <w:rsid w:val="7AA0A61D"/>
    <w:rsid w:val="7AAA6CB9"/>
    <w:rsid w:val="7AD09A2D"/>
    <w:rsid w:val="7ADBD606"/>
    <w:rsid w:val="7ADEB84E"/>
    <w:rsid w:val="7AE06FAF"/>
    <w:rsid w:val="7AE34C97"/>
    <w:rsid w:val="7AE5C455"/>
    <w:rsid w:val="7AE6B7D0"/>
    <w:rsid w:val="7AEE55BE"/>
    <w:rsid w:val="7AFC160D"/>
    <w:rsid w:val="7B006C2B"/>
    <w:rsid w:val="7B04E422"/>
    <w:rsid w:val="7B17BDD4"/>
    <w:rsid w:val="7B1A198A"/>
    <w:rsid w:val="7B323492"/>
    <w:rsid w:val="7B37E6FD"/>
    <w:rsid w:val="7B408F60"/>
    <w:rsid w:val="7B5D76F9"/>
    <w:rsid w:val="7B69F677"/>
    <w:rsid w:val="7B7FAF81"/>
    <w:rsid w:val="7B808961"/>
    <w:rsid w:val="7B8ABDB4"/>
    <w:rsid w:val="7B8C8707"/>
    <w:rsid w:val="7B920E4D"/>
    <w:rsid w:val="7B9332F0"/>
    <w:rsid w:val="7B9EDB92"/>
    <w:rsid w:val="7B9FF84A"/>
    <w:rsid w:val="7BA09B2E"/>
    <w:rsid w:val="7BA152CD"/>
    <w:rsid w:val="7BA763FB"/>
    <w:rsid w:val="7BB01D2E"/>
    <w:rsid w:val="7BBC7AFE"/>
    <w:rsid w:val="7BC29391"/>
    <w:rsid w:val="7BCA31B6"/>
    <w:rsid w:val="7BCCF34C"/>
    <w:rsid w:val="7BCDD5F5"/>
    <w:rsid w:val="7BD6CBC0"/>
    <w:rsid w:val="7BDF41FB"/>
    <w:rsid w:val="7BF63B45"/>
    <w:rsid w:val="7BF6B450"/>
    <w:rsid w:val="7BF9E99C"/>
    <w:rsid w:val="7C01DFF3"/>
    <w:rsid w:val="7C2E48BA"/>
    <w:rsid w:val="7C66C1A1"/>
    <w:rsid w:val="7C6CE111"/>
    <w:rsid w:val="7C7AA641"/>
    <w:rsid w:val="7C84C9CC"/>
    <w:rsid w:val="7CAF210C"/>
    <w:rsid w:val="7CD2CF27"/>
    <w:rsid w:val="7CDEFDBB"/>
    <w:rsid w:val="7D040EDF"/>
    <w:rsid w:val="7D075968"/>
    <w:rsid w:val="7D0AFA8F"/>
    <w:rsid w:val="7D0CE551"/>
    <w:rsid w:val="7D0CE827"/>
    <w:rsid w:val="7D0D8737"/>
    <w:rsid w:val="7D1F58D0"/>
    <w:rsid w:val="7D3B4D51"/>
    <w:rsid w:val="7D3E3446"/>
    <w:rsid w:val="7D4AB986"/>
    <w:rsid w:val="7D53980D"/>
    <w:rsid w:val="7D625870"/>
    <w:rsid w:val="7D80A453"/>
    <w:rsid w:val="7D84FAAB"/>
    <w:rsid w:val="7D9AF679"/>
    <w:rsid w:val="7DAC1C4D"/>
    <w:rsid w:val="7DB2304E"/>
    <w:rsid w:val="7DB9BA50"/>
    <w:rsid w:val="7DBE4CD8"/>
    <w:rsid w:val="7DD0B7D5"/>
    <w:rsid w:val="7DE63658"/>
    <w:rsid w:val="7E05A693"/>
    <w:rsid w:val="7E285CBE"/>
    <w:rsid w:val="7E2D21CF"/>
    <w:rsid w:val="7E380269"/>
    <w:rsid w:val="7E3995CB"/>
    <w:rsid w:val="7E41154B"/>
    <w:rsid w:val="7E78E064"/>
    <w:rsid w:val="7E7AF875"/>
    <w:rsid w:val="7E7E4A7D"/>
    <w:rsid w:val="7E7FA9A4"/>
    <w:rsid w:val="7E88ED15"/>
    <w:rsid w:val="7E8D44C0"/>
    <w:rsid w:val="7EAE504C"/>
    <w:rsid w:val="7EC09C31"/>
    <w:rsid w:val="7EC8490C"/>
    <w:rsid w:val="7ED2F905"/>
    <w:rsid w:val="7EDC76DA"/>
    <w:rsid w:val="7EE5F202"/>
    <w:rsid w:val="7EEF6F9C"/>
    <w:rsid w:val="7F33379B"/>
    <w:rsid w:val="7F390241"/>
    <w:rsid w:val="7F3980B5"/>
    <w:rsid w:val="7F3EEBA2"/>
    <w:rsid w:val="7F4FD939"/>
    <w:rsid w:val="7F6F22C1"/>
    <w:rsid w:val="7F6FAF00"/>
    <w:rsid w:val="7F8505DD"/>
    <w:rsid w:val="7F9D1A8B"/>
    <w:rsid w:val="7FC42446"/>
    <w:rsid w:val="7FCEF1FD"/>
    <w:rsid w:val="7FDB2B04"/>
    <w:rsid w:val="7FE91ECF"/>
    <w:rsid w:val="7FEB2D1F"/>
    <w:rsid w:val="7FF53D2D"/>
    <w:rsid w:val="7FF5A880"/>
    <w:rsid w:val="7FFA517B"/>
    <w:rsid w:val="7FFB0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7C47EF"/>
  <w15:chartTrackingRefBased/>
  <w15:docId w15:val="{2CE454D6-FDE7-47C0-B0C5-59910359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99B"/>
  </w:style>
  <w:style w:type="paragraph" w:styleId="Heading1">
    <w:name w:val="heading 1"/>
    <w:aliases w:val="bs Heading 1,H1"/>
    <w:basedOn w:val="Normal"/>
    <w:next w:val="Normal"/>
    <w:link w:val="Heading1Char"/>
    <w:uiPriority w:val="9"/>
    <w:qFormat/>
    <w:rsid w:val="00B4288A"/>
    <w:pPr>
      <w:keepNext/>
      <w:keepLines/>
      <w:numPr>
        <w:numId w:val="1"/>
      </w:numPr>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Style1"/>
    <w:next w:val="Normal"/>
    <w:link w:val="Heading2Char"/>
    <w:uiPriority w:val="9"/>
    <w:unhideWhenUsed/>
    <w:qFormat/>
    <w:rsid w:val="00D224F0"/>
    <w:pPr>
      <w:keepNext/>
      <w:numPr>
        <w:ilvl w:val="0"/>
        <w:numId w:val="2"/>
      </w:numPr>
      <w:outlineLvl w:val="1"/>
    </w:pPr>
    <w:rPr>
      <w:color w:val="002060"/>
      <w:sz w:val="24"/>
    </w:rPr>
  </w:style>
  <w:style w:type="paragraph" w:styleId="Heading3">
    <w:name w:val="heading 3"/>
    <w:basedOn w:val="Style1"/>
    <w:next w:val="Normal"/>
    <w:link w:val="Heading3Char"/>
    <w:uiPriority w:val="9"/>
    <w:unhideWhenUsed/>
    <w:qFormat/>
    <w:rsid w:val="00D224F0"/>
    <w:pPr>
      <w:keepNext/>
      <w:numPr>
        <w:numId w:val="2"/>
      </w:numPr>
      <w:outlineLvl w:val="2"/>
    </w:pPr>
    <w:rPr>
      <w:color w:val="002060"/>
      <w:sz w:val="24"/>
    </w:rPr>
  </w:style>
  <w:style w:type="paragraph" w:styleId="Heading4">
    <w:name w:val="heading 4"/>
    <w:aliases w:val="Heading Topic X"/>
    <w:basedOn w:val="Normal"/>
    <w:next w:val="Normal"/>
    <w:link w:val="Heading4Char"/>
    <w:autoRedefine/>
    <w:uiPriority w:val="9"/>
    <w:unhideWhenUsed/>
    <w:qFormat/>
    <w:rsid w:val="00B52E74"/>
    <w:pPr>
      <w:keepNext/>
      <w:keepLines/>
      <w:spacing w:before="4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B4288A"/>
    <w:pPr>
      <w:keepNext/>
      <w:keepLines/>
      <w:numPr>
        <w:ilvl w:val="4"/>
        <w:numId w:val="1"/>
      </w:numPr>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4288A"/>
    <w:pPr>
      <w:keepNext/>
      <w:keepLines/>
      <w:numPr>
        <w:ilvl w:val="5"/>
        <w:numId w:val="1"/>
      </w:numPr>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4288A"/>
    <w:pPr>
      <w:keepNext/>
      <w:keepLines/>
      <w:numPr>
        <w:ilvl w:val="6"/>
        <w:numId w:val="1"/>
      </w:numPr>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4288A"/>
    <w:pPr>
      <w:keepNext/>
      <w:keepLines/>
      <w:numPr>
        <w:ilvl w:val="7"/>
        <w:numId w:val="1"/>
      </w:numPr>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4288A"/>
    <w:pPr>
      <w:keepNext/>
      <w:keepLines/>
      <w:numPr>
        <w:ilvl w:val="8"/>
        <w:numId w:val="1"/>
      </w:numPr>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EC,Nad,lp1"/>
    <w:basedOn w:val="Normal"/>
    <w:link w:val="ListParagraphChar"/>
    <w:qFormat/>
    <w:rsid w:val="00B4288A"/>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qFormat/>
    <w:locked/>
    <w:rsid w:val="0038561B"/>
  </w:style>
  <w:style w:type="character" w:styleId="Hyperlink">
    <w:name w:val="Hyperlink"/>
    <w:basedOn w:val="DefaultParagraphFont"/>
    <w:uiPriority w:val="99"/>
    <w:unhideWhenUsed/>
    <w:rsid w:val="00FC1539"/>
    <w:rPr>
      <w:color w:val="0000FF"/>
      <w:u w:val="single"/>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 Char,Fußnotentextf,ft,f,Footnote Text Char1"/>
    <w:basedOn w:val="Normal"/>
    <w:link w:val="FootnoteTextChar"/>
    <w:unhideWhenUsed/>
    <w:qFormat/>
    <w:rsid w:val="00FC1539"/>
    <w:pPr>
      <w:spacing w:after="0" w:line="240" w:lineRule="auto"/>
    </w:pPr>
    <w:rPr>
      <w:sz w:val="20"/>
      <w:szCs w:val="20"/>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 Char Char1"/>
    <w:basedOn w:val="DefaultParagraphFont"/>
    <w:link w:val="FootnoteText"/>
    <w:qFormat/>
    <w:rsid w:val="00FC1539"/>
    <w:rPr>
      <w:sz w:val="20"/>
      <w:szCs w:val="20"/>
    </w:rPr>
  </w:style>
  <w:style w:type="character" w:styleId="FootnoteReference">
    <w:name w:val="footnote reference"/>
    <w:aliases w:val="BVI fnr,Footnote symbol,SUPERS,Footnote reference number,note TESI,-E Fußnotenzeichen,number,Appel note de bas de p,Nota,Footnote,Footnote number,Footnote Reference Superscript,EN Footnote Reference,number Char Char,Ref,F,FR,Char1"/>
    <w:basedOn w:val="DefaultParagraphFont"/>
    <w:link w:val="ftrefCharCharCharCharCharCharCharCharChar"/>
    <w:uiPriority w:val="99"/>
    <w:unhideWhenUsed/>
    <w:qFormat/>
    <w:rsid w:val="00FC1539"/>
    <w:rPr>
      <w:vertAlign w:val="superscript"/>
    </w:rPr>
  </w:style>
  <w:style w:type="paragraph" w:styleId="Header">
    <w:name w:val="header"/>
    <w:basedOn w:val="Normal"/>
    <w:link w:val="HeaderChar"/>
    <w:uiPriority w:val="99"/>
    <w:unhideWhenUsed/>
    <w:rsid w:val="005B6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A97"/>
  </w:style>
  <w:style w:type="paragraph" w:styleId="Footer">
    <w:name w:val="footer"/>
    <w:basedOn w:val="Normal"/>
    <w:link w:val="FooterChar"/>
    <w:uiPriority w:val="99"/>
    <w:unhideWhenUsed/>
    <w:rsid w:val="005B6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A97"/>
  </w:style>
  <w:style w:type="paragraph" w:styleId="NormalWeb">
    <w:name w:val="Normal (Web)"/>
    <w:basedOn w:val="Normal"/>
    <w:uiPriority w:val="99"/>
    <w:unhideWhenUsed/>
    <w:rsid w:val="00AA0F6A"/>
    <w:pPr>
      <w:spacing w:before="100" w:beforeAutospacing="1" w:after="100" w:afterAutospacing="1" w:line="240" w:lineRule="auto"/>
    </w:pPr>
    <w:rPr>
      <w:rFonts w:ascii="Times New Roman" w:hAnsi="Times New Roman" w:cs="Times New Roman"/>
      <w:color w:val="000000"/>
      <w:sz w:val="24"/>
      <w:szCs w:val="24"/>
    </w:rPr>
  </w:style>
  <w:style w:type="character" w:customStyle="1" w:styleId="Text1Char">
    <w:name w:val="Text 1 Char"/>
    <w:link w:val="Text1"/>
    <w:locked/>
    <w:rsid w:val="00AA0F6A"/>
    <w:rPr>
      <w:sz w:val="24"/>
    </w:rPr>
  </w:style>
  <w:style w:type="paragraph" w:customStyle="1" w:styleId="Text1">
    <w:name w:val="Text 1"/>
    <w:basedOn w:val="Normal"/>
    <w:link w:val="Text1Char"/>
    <w:rsid w:val="00AA0F6A"/>
    <w:pPr>
      <w:spacing w:after="240" w:line="240" w:lineRule="auto"/>
      <w:ind w:left="482"/>
      <w:jc w:val="both"/>
    </w:pPr>
    <w:rPr>
      <w:sz w:val="24"/>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rsid w:val="00AA0F6A"/>
    <w:pPr>
      <w:spacing w:line="240" w:lineRule="exact"/>
    </w:pPr>
    <w:rPr>
      <w:vertAlign w:val="superscript"/>
    </w:rPr>
  </w:style>
  <w:style w:type="paragraph" w:styleId="BalloonText">
    <w:name w:val="Balloon Text"/>
    <w:basedOn w:val="Normal"/>
    <w:link w:val="BalloonTextChar"/>
    <w:uiPriority w:val="99"/>
    <w:semiHidden/>
    <w:unhideWhenUsed/>
    <w:rsid w:val="00AA0F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F6A"/>
    <w:rPr>
      <w:rFonts w:ascii="Segoe UI" w:hAnsi="Segoe UI" w:cs="Segoe UI"/>
      <w:sz w:val="18"/>
      <w:szCs w:val="18"/>
    </w:rPr>
  </w:style>
  <w:style w:type="character" w:customStyle="1" w:styleId="Heading1Char">
    <w:name w:val="Heading 1 Char"/>
    <w:aliases w:val="bs Heading 1 Char,H1 Char"/>
    <w:basedOn w:val="DefaultParagraphFont"/>
    <w:link w:val="Heading1"/>
    <w:uiPriority w:val="9"/>
    <w:rsid w:val="00B4288A"/>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D224F0"/>
    <w:rPr>
      <w:rFonts w:asciiTheme="majorHAnsi" w:eastAsiaTheme="majorEastAsia" w:hAnsiTheme="majorHAnsi" w:cstheme="majorBidi"/>
      <w:color w:val="002060"/>
      <w:sz w:val="24"/>
      <w:szCs w:val="28"/>
    </w:rPr>
  </w:style>
  <w:style w:type="character" w:customStyle="1" w:styleId="Heading3Char">
    <w:name w:val="Heading 3 Char"/>
    <w:basedOn w:val="DefaultParagraphFont"/>
    <w:link w:val="Heading3"/>
    <w:uiPriority w:val="9"/>
    <w:rsid w:val="00D224F0"/>
    <w:rPr>
      <w:rFonts w:asciiTheme="majorHAnsi" w:eastAsiaTheme="majorEastAsia" w:hAnsiTheme="majorHAnsi" w:cstheme="majorBidi"/>
      <w:color w:val="002060"/>
      <w:sz w:val="24"/>
      <w:szCs w:val="28"/>
    </w:rPr>
  </w:style>
  <w:style w:type="character" w:customStyle="1" w:styleId="Heading4Char">
    <w:name w:val="Heading 4 Char"/>
    <w:aliases w:val="Heading Topic X Char"/>
    <w:basedOn w:val="DefaultParagraphFont"/>
    <w:link w:val="Heading4"/>
    <w:uiPriority w:val="9"/>
    <w:rsid w:val="00B52E74"/>
    <w:rPr>
      <w:rFonts w:asciiTheme="majorHAnsi" w:eastAsiaTheme="majorEastAsia" w:hAnsiTheme="majorHAnsi" w:cstheme="majorBidi"/>
      <w:sz w:val="24"/>
      <w:szCs w:val="24"/>
    </w:rPr>
  </w:style>
  <w:style w:type="character" w:styleId="CommentReference">
    <w:name w:val="annotation reference"/>
    <w:basedOn w:val="DefaultParagraphFont"/>
    <w:uiPriority w:val="99"/>
    <w:unhideWhenUsed/>
    <w:qFormat/>
    <w:rsid w:val="00FE6537"/>
    <w:rPr>
      <w:sz w:val="16"/>
      <w:szCs w:val="16"/>
    </w:rPr>
  </w:style>
  <w:style w:type="paragraph" w:styleId="CommentText">
    <w:name w:val="annotation text"/>
    <w:basedOn w:val="Normal"/>
    <w:link w:val="CommentTextChar"/>
    <w:uiPriority w:val="99"/>
    <w:unhideWhenUsed/>
    <w:rsid w:val="00FE6537"/>
    <w:pPr>
      <w:spacing w:line="240" w:lineRule="auto"/>
    </w:pPr>
    <w:rPr>
      <w:sz w:val="20"/>
      <w:szCs w:val="20"/>
    </w:rPr>
  </w:style>
  <w:style w:type="character" w:customStyle="1" w:styleId="CommentTextChar">
    <w:name w:val="Comment Text Char"/>
    <w:basedOn w:val="DefaultParagraphFont"/>
    <w:link w:val="CommentText"/>
    <w:uiPriority w:val="99"/>
    <w:rsid w:val="00FE6537"/>
    <w:rPr>
      <w:sz w:val="20"/>
      <w:szCs w:val="20"/>
    </w:rPr>
  </w:style>
  <w:style w:type="paragraph" w:styleId="CommentSubject">
    <w:name w:val="annotation subject"/>
    <w:basedOn w:val="CommentText"/>
    <w:next w:val="CommentText"/>
    <w:link w:val="CommentSubjectChar"/>
    <w:uiPriority w:val="99"/>
    <w:semiHidden/>
    <w:unhideWhenUsed/>
    <w:rsid w:val="00FE6537"/>
    <w:rPr>
      <w:b/>
      <w:bCs/>
    </w:rPr>
  </w:style>
  <w:style w:type="character" w:customStyle="1" w:styleId="CommentSubjectChar">
    <w:name w:val="Comment Subject Char"/>
    <w:basedOn w:val="CommentTextChar"/>
    <w:link w:val="CommentSubject"/>
    <w:uiPriority w:val="99"/>
    <w:semiHidden/>
    <w:rsid w:val="00FE6537"/>
    <w:rPr>
      <w:b/>
      <w:bCs/>
      <w:sz w:val="20"/>
      <w:szCs w:val="20"/>
    </w:rPr>
  </w:style>
  <w:style w:type="paragraph" w:customStyle="1" w:styleId="s6">
    <w:name w:val="s6"/>
    <w:basedOn w:val="Normal"/>
    <w:rsid w:val="00194F57"/>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5">
    <w:name w:val="s5"/>
    <w:basedOn w:val="DefaultParagraphFont"/>
    <w:rsid w:val="00194F57"/>
  </w:style>
  <w:style w:type="character" w:customStyle="1" w:styleId="s4">
    <w:name w:val="s4"/>
    <w:basedOn w:val="DefaultParagraphFont"/>
    <w:rsid w:val="00194F57"/>
  </w:style>
  <w:style w:type="character" w:customStyle="1" w:styleId="Mention1">
    <w:name w:val="Mention1"/>
    <w:basedOn w:val="DefaultParagraphFont"/>
    <w:uiPriority w:val="99"/>
    <w:unhideWhenUsed/>
    <w:rPr>
      <w:color w:val="2B579A"/>
      <w:shd w:val="clear" w:color="auto" w:fill="E6E6E6"/>
    </w:rPr>
  </w:style>
  <w:style w:type="character" w:customStyle="1" w:styleId="normaltextrun">
    <w:name w:val="normaltextrun"/>
    <w:basedOn w:val="DefaultParagraphFont"/>
    <w:rsid w:val="00BF3834"/>
  </w:style>
  <w:style w:type="character" w:customStyle="1" w:styleId="Bodytext2">
    <w:name w:val="Body text (2)_"/>
    <w:basedOn w:val="DefaultParagraphFont"/>
    <w:link w:val="Bodytext20"/>
    <w:rsid w:val="00443AE4"/>
    <w:rPr>
      <w:rFonts w:ascii="Arial" w:eastAsia="Arial" w:hAnsi="Arial" w:cs="Arial"/>
      <w:shd w:val="clear" w:color="auto" w:fill="FFFFFF"/>
    </w:rPr>
  </w:style>
  <w:style w:type="paragraph" w:customStyle="1" w:styleId="Bodytext20">
    <w:name w:val="Body text (2)"/>
    <w:basedOn w:val="Normal"/>
    <w:link w:val="Bodytext2"/>
    <w:rsid w:val="00443AE4"/>
    <w:pPr>
      <w:widowControl w:val="0"/>
      <w:shd w:val="clear" w:color="auto" w:fill="FFFFFF"/>
      <w:spacing w:before="200" w:after="100" w:line="246" w:lineRule="exact"/>
      <w:ind w:hanging="120"/>
    </w:pPr>
    <w:rPr>
      <w:rFonts w:ascii="Arial" w:eastAsia="Arial" w:hAnsi="Arial" w:cs="Arial"/>
    </w:rPr>
  </w:style>
  <w:style w:type="character" w:customStyle="1" w:styleId="xnormaltextrun">
    <w:name w:val="x_normaltextrun"/>
    <w:basedOn w:val="DefaultParagraphFont"/>
    <w:rsid w:val="00443AE4"/>
  </w:style>
  <w:style w:type="character" w:styleId="Emphasis">
    <w:name w:val="Emphasis"/>
    <w:basedOn w:val="DefaultParagraphFont"/>
    <w:uiPriority w:val="20"/>
    <w:qFormat/>
    <w:rsid w:val="00B4288A"/>
    <w:rPr>
      <w:i/>
      <w:iCs/>
    </w:rPr>
  </w:style>
  <w:style w:type="paragraph" w:customStyle="1" w:styleId="Default">
    <w:name w:val="Default"/>
    <w:rsid w:val="009371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otnotereference0">
    <w:name w:val="footnotereference"/>
    <w:basedOn w:val="DefaultParagraphFont"/>
    <w:rsid w:val="009E62CB"/>
  </w:style>
  <w:style w:type="character" w:customStyle="1" w:styleId="eop">
    <w:name w:val="eop"/>
    <w:basedOn w:val="DefaultParagraphFont"/>
    <w:rsid w:val="00DE283F"/>
  </w:style>
  <w:style w:type="paragraph" w:customStyle="1" w:styleId="paragraph">
    <w:name w:val="paragraph"/>
    <w:basedOn w:val="Normal"/>
    <w:rsid w:val="006C34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40D0B"/>
    <w:rPr>
      <w:color w:val="954F72" w:themeColor="followedHyperlink"/>
      <w:u w:val="single"/>
    </w:rPr>
  </w:style>
  <w:style w:type="paragraph" w:customStyle="1" w:styleId="Text">
    <w:name w:val="Text"/>
    <w:basedOn w:val="Normal"/>
    <w:link w:val="TextChar"/>
    <w:qFormat/>
    <w:rsid w:val="002A22C2"/>
    <w:pPr>
      <w:spacing w:before="60" w:after="200" w:line="240" w:lineRule="auto"/>
      <w:jc w:val="both"/>
    </w:pPr>
    <w:rPr>
      <w:rFonts w:ascii="Times New Roman" w:hAnsi="Times New Roman" w:cs="Times New Roman"/>
      <w:sz w:val="24"/>
    </w:rPr>
  </w:style>
  <w:style w:type="character" w:customStyle="1" w:styleId="TextChar">
    <w:name w:val="Text Char"/>
    <w:basedOn w:val="DefaultParagraphFont"/>
    <w:link w:val="Text"/>
    <w:rsid w:val="002A22C2"/>
    <w:rPr>
      <w:rFonts w:ascii="Times New Roman" w:hAnsi="Times New Roman" w:cs="Times New Roman"/>
      <w:sz w:val="24"/>
    </w:rPr>
  </w:style>
  <w:style w:type="character" w:customStyle="1" w:styleId="acopre">
    <w:name w:val="acopre"/>
    <w:basedOn w:val="DefaultParagraphFont"/>
    <w:rsid w:val="002A22C2"/>
  </w:style>
  <w:style w:type="character" w:styleId="Strong">
    <w:name w:val="Strong"/>
    <w:basedOn w:val="DefaultParagraphFont"/>
    <w:uiPriority w:val="22"/>
    <w:qFormat/>
    <w:rsid w:val="00B4288A"/>
    <w:rPr>
      <w:b/>
      <w:bCs/>
    </w:rPr>
  </w:style>
  <w:style w:type="character" w:customStyle="1" w:styleId="Bodytext2Arial11pt">
    <w:name w:val="Body text|2 + Arial;11 pt"/>
    <w:basedOn w:val="DefaultParagraphFont"/>
    <w:semiHidden/>
    <w:unhideWhenUsed/>
    <w:rsid w:val="0032715B"/>
    <w:rPr>
      <w:rFonts w:ascii="Arial" w:eastAsia="Arial" w:hAnsi="Arial" w:cs="Arial"/>
      <w:b w:val="0"/>
      <w:bCs w:val="0"/>
      <w:i w:val="0"/>
      <w:iCs w:val="0"/>
      <w:smallCaps w:val="0"/>
      <w:strike w:val="0"/>
      <w:color w:val="000000"/>
      <w:spacing w:val="0"/>
      <w:w w:val="100"/>
      <w:position w:val="0"/>
      <w:sz w:val="22"/>
      <w:szCs w:val="22"/>
      <w:u w:val="none"/>
      <w:lang w:val="bg-BG" w:eastAsia="en-US" w:bidi="en-US"/>
    </w:rPr>
  </w:style>
  <w:style w:type="paragraph" w:styleId="Revision">
    <w:name w:val="Revision"/>
    <w:hidden/>
    <w:uiPriority w:val="99"/>
    <w:semiHidden/>
    <w:rsid w:val="000E3573"/>
    <w:pPr>
      <w:spacing w:after="0" w:line="240" w:lineRule="auto"/>
    </w:pPr>
  </w:style>
  <w:style w:type="character" w:customStyle="1" w:styleId="Heading5Char">
    <w:name w:val="Heading 5 Char"/>
    <w:basedOn w:val="DefaultParagraphFont"/>
    <w:link w:val="Heading5"/>
    <w:uiPriority w:val="9"/>
    <w:rsid w:val="00B4288A"/>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B4288A"/>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4288A"/>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4288A"/>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4288A"/>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B4288A"/>
    <w:pPr>
      <w:spacing w:line="240" w:lineRule="auto"/>
    </w:pPr>
    <w:rPr>
      <w:b/>
      <w:bCs/>
      <w:smallCaps/>
      <w:color w:val="44546A" w:themeColor="text2"/>
    </w:rPr>
  </w:style>
  <w:style w:type="paragraph" w:styleId="Title">
    <w:name w:val="Title"/>
    <w:basedOn w:val="Normal"/>
    <w:next w:val="Normal"/>
    <w:link w:val="TitleChar"/>
    <w:uiPriority w:val="10"/>
    <w:qFormat/>
    <w:rsid w:val="00B4288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4288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4288A"/>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4288A"/>
    <w:rPr>
      <w:rFonts w:asciiTheme="majorHAnsi" w:eastAsiaTheme="majorEastAsia" w:hAnsiTheme="majorHAnsi" w:cstheme="majorBidi"/>
      <w:color w:val="5B9BD5" w:themeColor="accent1"/>
      <w:sz w:val="28"/>
      <w:szCs w:val="28"/>
    </w:rPr>
  </w:style>
  <w:style w:type="paragraph" w:styleId="NoSpacing">
    <w:name w:val="No Spacing"/>
    <w:uiPriority w:val="1"/>
    <w:qFormat/>
    <w:rsid w:val="00B4288A"/>
    <w:pPr>
      <w:spacing w:after="0" w:line="240" w:lineRule="auto"/>
    </w:pPr>
  </w:style>
  <w:style w:type="paragraph" w:styleId="Quote">
    <w:name w:val="Quote"/>
    <w:basedOn w:val="Normal"/>
    <w:next w:val="Normal"/>
    <w:link w:val="QuoteChar"/>
    <w:uiPriority w:val="29"/>
    <w:qFormat/>
    <w:rsid w:val="00B4288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4288A"/>
    <w:rPr>
      <w:color w:val="44546A" w:themeColor="text2"/>
      <w:sz w:val="24"/>
      <w:szCs w:val="24"/>
    </w:rPr>
  </w:style>
  <w:style w:type="paragraph" w:styleId="IntenseQuote">
    <w:name w:val="Intense Quote"/>
    <w:basedOn w:val="Normal"/>
    <w:next w:val="Normal"/>
    <w:link w:val="IntenseQuoteChar"/>
    <w:uiPriority w:val="30"/>
    <w:qFormat/>
    <w:rsid w:val="00B4288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4288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4288A"/>
    <w:rPr>
      <w:i/>
      <w:iCs/>
      <w:color w:val="595959" w:themeColor="text1" w:themeTint="A6"/>
    </w:rPr>
  </w:style>
  <w:style w:type="character" w:styleId="IntenseEmphasis">
    <w:name w:val="Intense Emphasis"/>
    <w:basedOn w:val="DefaultParagraphFont"/>
    <w:uiPriority w:val="21"/>
    <w:qFormat/>
    <w:rsid w:val="00B4288A"/>
    <w:rPr>
      <w:b/>
      <w:bCs/>
      <w:i/>
      <w:iCs/>
    </w:rPr>
  </w:style>
  <w:style w:type="character" w:styleId="SubtleReference">
    <w:name w:val="Subtle Reference"/>
    <w:basedOn w:val="DefaultParagraphFont"/>
    <w:uiPriority w:val="31"/>
    <w:qFormat/>
    <w:rsid w:val="00B4288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4288A"/>
    <w:rPr>
      <w:b/>
      <w:bCs/>
      <w:smallCaps/>
      <w:color w:val="44546A" w:themeColor="text2"/>
      <w:u w:val="single"/>
    </w:rPr>
  </w:style>
  <w:style w:type="character" w:styleId="BookTitle">
    <w:name w:val="Book Title"/>
    <w:basedOn w:val="DefaultParagraphFont"/>
    <w:uiPriority w:val="33"/>
    <w:qFormat/>
    <w:rsid w:val="00B4288A"/>
    <w:rPr>
      <w:b/>
      <w:bCs/>
      <w:smallCaps/>
      <w:spacing w:val="10"/>
    </w:rPr>
  </w:style>
  <w:style w:type="paragraph" w:styleId="TOCHeading">
    <w:name w:val="TOC Heading"/>
    <w:basedOn w:val="Heading1"/>
    <w:next w:val="Normal"/>
    <w:uiPriority w:val="39"/>
    <w:unhideWhenUsed/>
    <w:qFormat/>
    <w:rsid w:val="00B4288A"/>
    <w:pPr>
      <w:outlineLvl w:val="9"/>
    </w:pPr>
  </w:style>
  <w:style w:type="paragraph" w:customStyle="1" w:styleId="Style1">
    <w:name w:val="Style1"/>
    <w:basedOn w:val="Subtitle"/>
    <w:link w:val="Style1Char"/>
    <w:rsid w:val="00B4288A"/>
  </w:style>
  <w:style w:type="character" w:customStyle="1" w:styleId="Style1Char">
    <w:name w:val="Style1 Char"/>
    <w:basedOn w:val="SubtitleChar"/>
    <w:link w:val="Style1"/>
    <w:rsid w:val="00B4288A"/>
    <w:rPr>
      <w:rFonts w:asciiTheme="majorHAnsi" w:eastAsiaTheme="majorEastAsia" w:hAnsiTheme="majorHAnsi" w:cstheme="majorBidi"/>
      <w:color w:val="5B9BD5" w:themeColor="accent1"/>
      <w:sz w:val="28"/>
      <w:szCs w:val="28"/>
    </w:rPr>
  </w:style>
  <w:style w:type="paragraph" w:styleId="TOC2">
    <w:name w:val="toc 2"/>
    <w:basedOn w:val="Normal"/>
    <w:next w:val="Normal"/>
    <w:autoRedefine/>
    <w:uiPriority w:val="39"/>
    <w:unhideWhenUsed/>
    <w:rsid w:val="005612AF"/>
    <w:pPr>
      <w:spacing w:after="100"/>
      <w:ind w:left="220"/>
    </w:pPr>
  </w:style>
  <w:style w:type="paragraph" w:styleId="TOC3">
    <w:name w:val="toc 3"/>
    <w:basedOn w:val="Normal"/>
    <w:next w:val="Normal"/>
    <w:autoRedefine/>
    <w:uiPriority w:val="39"/>
    <w:unhideWhenUsed/>
    <w:rsid w:val="005612AF"/>
    <w:pPr>
      <w:spacing w:after="100"/>
      <w:ind w:left="440"/>
    </w:pPr>
  </w:style>
  <w:style w:type="table" w:styleId="TableGrid">
    <w:name w:val="Table Grid"/>
    <w:basedOn w:val="TableNormal"/>
    <w:uiPriority w:val="39"/>
    <w:rsid w:val="006F5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Point">
    <w:name w:val="16 Point"/>
    <w:aliases w:val="Superscript 6 Point,Times 10 Point,Exposant 3 Point,Odwołanie przypisu,footnote ref,2001+ Fußnotenzeichen, Exposant 3 Point,Voetnootverwijzing,fr,FR1"/>
    <w:basedOn w:val="Normal"/>
    <w:uiPriority w:val="99"/>
    <w:rsid w:val="00F84523"/>
    <w:pPr>
      <w:spacing w:line="240" w:lineRule="exact"/>
      <w:jc w:val="both"/>
    </w:pPr>
    <w:rPr>
      <w:rFonts w:eastAsiaTheme="minorHAnsi"/>
      <w:vertAlign w:val="superscript"/>
    </w:rPr>
  </w:style>
  <w:style w:type="character" w:customStyle="1" w:styleId="normaltextrun1">
    <w:name w:val="normaltextrun1"/>
    <w:basedOn w:val="DefaultParagraphFont"/>
    <w:rsid w:val="00F84523"/>
  </w:style>
  <w:style w:type="table" w:customStyle="1" w:styleId="TableGrid1">
    <w:name w:val="Table Grid1"/>
    <w:basedOn w:val="TableNormal"/>
    <w:next w:val="TableGrid"/>
    <w:uiPriority w:val="39"/>
    <w:rsid w:val="00E34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96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96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96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65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0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141753"/>
  </w:style>
  <w:style w:type="character" w:customStyle="1" w:styleId="superscript">
    <w:name w:val="superscript"/>
    <w:basedOn w:val="DefaultParagraphFont"/>
    <w:rsid w:val="006F40F6"/>
  </w:style>
  <w:style w:type="character" w:customStyle="1" w:styleId="oj-super">
    <w:name w:val="oj-super"/>
    <w:basedOn w:val="DefaultParagraphFont"/>
    <w:rsid w:val="00D14C0C"/>
  </w:style>
  <w:style w:type="character" w:customStyle="1" w:styleId="findhit">
    <w:name w:val="findhit"/>
    <w:basedOn w:val="DefaultParagraphFont"/>
    <w:rsid w:val="000C5E10"/>
  </w:style>
  <w:style w:type="character" w:customStyle="1" w:styleId="markedcontent">
    <w:name w:val="markedcontent"/>
    <w:basedOn w:val="DefaultParagraphFont"/>
    <w:rsid w:val="00B05D1D"/>
  </w:style>
  <w:style w:type="character" w:customStyle="1" w:styleId="Marker">
    <w:name w:val="Marker"/>
    <w:basedOn w:val="DefaultParagraphFont"/>
    <w:rsid w:val="00B05D1D"/>
    <w:rPr>
      <w:color w:val="0000FF"/>
      <w:shd w:val="clear" w:color="auto" w:fill="auto"/>
    </w:rPr>
  </w:style>
  <w:style w:type="paragraph" w:customStyle="1" w:styleId="Pagedecouverture">
    <w:name w:val="Page de couverture"/>
    <w:basedOn w:val="Normal"/>
    <w:next w:val="Normal"/>
    <w:rsid w:val="00B05D1D"/>
    <w:pPr>
      <w:spacing w:after="0" w:line="240" w:lineRule="auto"/>
      <w:jc w:val="both"/>
    </w:pPr>
    <w:rPr>
      <w:rFonts w:ascii="Times New Roman" w:eastAsiaTheme="minorHAnsi" w:hAnsi="Times New Roman" w:cs="Times New Roman"/>
      <w:sz w:val="24"/>
    </w:rPr>
  </w:style>
  <w:style w:type="paragraph" w:customStyle="1" w:styleId="FooterCoverPage">
    <w:name w:val="Footer Cover Page"/>
    <w:basedOn w:val="Normal"/>
    <w:link w:val="FooterCoverPageChar"/>
    <w:rsid w:val="00B05D1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2Char"/>
    <w:link w:val="FooterCoverPage"/>
    <w:rsid w:val="00B05D1D"/>
    <w:rPr>
      <w:rFonts w:ascii="Times New Roman" w:eastAsiaTheme="majorEastAsia" w:hAnsi="Times New Roman" w:cs="Times New Roman"/>
      <w:color w:val="002060"/>
      <w:sz w:val="24"/>
      <w:szCs w:val="28"/>
    </w:rPr>
  </w:style>
  <w:style w:type="paragraph" w:customStyle="1" w:styleId="FooterSensitivity">
    <w:name w:val="Footer Sensitivity"/>
    <w:basedOn w:val="Normal"/>
    <w:link w:val="FooterSensitivityChar"/>
    <w:rsid w:val="00B05D1D"/>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2Char"/>
    <w:link w:val="FooterSensitivity"/>
    <w:rsid w:val="00B05D1D"/>
    <w:rPr>
      <w:rFonts w:ascii="Times New Roman" w:eastAsiaTheme="majorEastAsia" w:hAnsi="Times New Roman" w:cs="Times New Roman"/>
      <w:b/>
      <w:color w:val="002060"/>
      <w:sz w:val="32"/>
      <w:szCs w:val="28"/>
    </w:rPr>
  </w:style>
  <w:style w:type="paragraph" w:customStyle="1" w:styleId="HeaderCoverPage">
    <w:name w:val="Header Cover Page"/>
    <w:basedOn w:val="Normal"/>
    <w:link w:val="HeaderCoverPageChar"/>
    <w:rsid w:val="00B05D1D"/>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2Char"/>
    <w:link w:val="HeaderCoverPage"/>
    <w:rsid w:val="00B05D1D"/>
    <w:rPr>
      <w:rFonts w:ascii="Times New Roman" w:eastAsiaTheme="majorEastAsia" w:hAnsi="Times New Roman" w:cs="Times New Roman"/>
      <w:color w:val="002060"/>
      <w:sz w:val="24"/>
      <w:szCs w:val="28"/>
    </w:rPr>
  </w:style>
  <w:style w:type="paragraph" w:customStyle="1" w:styleId="HeaderSensitivity">
    <w:name w:val="Header Sensitivity"/>
    <w:basedOn w:val="Normal"/>
    <w:link w:val="HeaderSensitivityChar"/>
    <w:rsid w:val="00B05D1D"/>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2Char"/>
    <w:link w:val="HeaderSensitivity"/>
    <w:rsid w:val="00B05D1D"/>
    <w:rPr>
      <w:rFonts w:ascii="Times New Roman" w:eastAsiaTheme="majorEastAsia" w:hAnsi="Times New Roman" w:cs="Times New Roman"/>
      <w:b/>
      <w:color w:val="002060"/>
      <w:sz w:val="32"/>
      <w:szCs w:val="28"/>
    </w:rPr>
  </w:style>
  <w:style w:type="paragraph" w:customStyle="1" w:styleId="HeaderSensitivityRight">
    <w:name w:val="Header Sensitivity Right"/>
    <w:basedOn w:val="Normal"/>
    <w:link w:val="HeaderSensitivityRightChar"/>
    <w:rsid w:val="00B05D1D"/>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Heading2Char"/>
    <w:link w:val="HeaderSensitivityRight"/>
    <w:rsid w:val="00B05D1D"/>
    <w:rPr>
      <w:rFonts w:ascii="Times New Roman" w:eastAsiaTheme="majorEastAsia" w:hAnsi="Times New Roman" w:cs="Times New Roman"/>
      <w:color w:val="002060"/>
      <w:sz w:val="28"/>
      <w:szCs w:val="28"/>
    </w:rPr>
  </w:style>
  <w:style w:type="character" w:customStyle="1" w:styleId="statereasonstickers">
    <w:name w:val="statereasonstickers"/>
    <w:basedOn w:val="DefaultParagraphFont"/>
  </w:style>
  <w:style w:type="paragraph" w:customStyle="1" w:styleId="BVIfnrCarCarCarCarCharCharCharChar">
    <w:name w:val="BVI fnr Car Car Car Car Char Char Char Char"/>
    <w:basedOn w:val="Normal"/>
    <w:uiPriority w:val="99"/>
    <w:rsid w:val="00224C25"/>
    <w:pPr>
      <w:spacing w:line="240" w:lineRule="exact"/>
      <w:jc w:val="both"/>
    </w:pPr>
    <w:rPr>
      <w:rFonts w:ascii="Times New Roman" w:eastAsia="Times New Roman" w:hAnsi="Times New Roman" w:cs="Times New Roman"/>
      <w:sz w:val="20"/>
      <w:szCs w:val="20"/>
      <w:vertAlign w:val="superscript"/>
    </w:rPr>
  </w:style>
  <w:style w:type="character" w:customStyle="1" w:styleId="ecl-metaitem">
    <w:name w:val="ecl-meta__item"/>
    <w:basedOn w:val="DefaultParagraphFont"/>
    <w:rsid w:val="00291E22"/>
  </w:style>
  <w:style w:type="paragraph" w:styleId="ListBullet">
    <w:name w:val="List Bullet"/>
    <w:basedOn w:val="Normal"/>
    <w:uiPriority w:val="99"/>
    <w:unhideWhenUsed/>
    <w:rsid w:val="00FE17B8"/>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7685">
      <w:bodyDiv w:val="1"/>
      <w:marLeft w:val="0"/>
      <w:marRight w:val="0"/>
      <w:marTop w:val="0"/>
      <w:marBottom w:val="0"/>
      <w:divBdr>
        <w:top w:val="none" w:sz="0" w:space="0" w:color="auto"/>
        <w:left w:val="none" w:sz="0" w:space="0" w:color="auto"/>
        <w:bottom w:val="none" w:sz="0" w:space="0" w:color="auto"/>
        <w:right w:val="none" w:sz="0" w:space="0" w:color="auto"/>
      </w:divBdr>
    </w:div>
    <w:div w:id="51858053">
      <w:bodyDiv w:val="1"/>
      <w:marLeft w:val="0"/>
      <w:marRight w:val="0"/>
      <w:marTop w:val="0"/>
      <w:marBottom w:val="0"/>
      <w:divBdr>
        <w:top w:val="none" w:sz="0" w:space="0" w:color="auto"/>
        <w:left w:val="none" w:sz="0" w:space="0" w:color="auto"/>
        <w:bottom w:val="none" w:sz="0" w:space="0" w:color="auto"/>
        <w:right w:val="none" w:sz="0" w:space="0" w:color="auto"/>
      </w:divBdr>
    </w:div>
    <w:div w:id="56511191">
      <w:bodyDiv w:val="1"/>
      <w:marLeft w:val="0"/>
      <w:marRight w:val="0"/>
      <w:marTop w:val="0"/>
      <w:marBottom w:val="0"/>
      <w:divBdr>
        <w:top w:val="none" w:sz="0" w:space="0" w:color="auto"/>
        <w:left w:val="none" w:sz="0" w:space="0" w:color="auto"/>
        <w:bottom w:val="none" w:sz="0" w:space="0" w:color="auto"/>
        <w:right w:val="none" w:sz="0" w:space="0" w:color="auto"/>
      </w:divBdr>
    </w:div>
    <w:div w:id="72121824">
      <w:bodyDiv w:val="1"/>
      <w:marLeft w:val="0"/>
      <w:marRight w:val="0"/>
      <w:marTop w:val="0"/>
      <w:marBottom w:val="0"/>
      <w:divBdr>
        <w:top w:val="none" w:sz="0" w:space="0" w:color="auto"/>
        <w:left w:val="none" w:sz="0" w:space="0" w:color="auto"/>
        <w:bottom w:val="none" w:sz="0" w:space="0" w:color="auto"/>
        <w:right w:val="none" w:sz="0" w:space="0" w:color="auto"/>
      </w:divBdr>
    </w:div>
    <w:div w:id="97650606">
      <w:bodyDiv w:val="1"/>
      <w:marLeft w:val="0"/>
      <w:marRight w:val="0"/>
      <w:marTop w:val="0"/>
      <w:marBottom w:val="0"/>
      <w:divBdr>
        <w:top w:val="none" w:sz="0" w:space="0" w:color="auto"/>
        <w:left w:val="none" w:sz="0" w:space="0" w:color="auto"/>
        <w:bottom w:val="none" w:sz="0" w:space="0" w:color="auto"/>
        <w:right w:val="none" w:sz="0" w:space="0" w:color="auto"/>
      </w:divBdr>
    </w:div>
    <w:div w:id="108162689">
      <w:bodyDiv w:val="1"/>
      <w:marLeft w:val="0"/>
      <w:marRight w:val="0"/>
      <w:marTop w:val="0"/>
      <w:marBottom w:val="0"/>
      <w:divBdr>
        <w:top w:val="none" w:sz="0" w:space="0" w:color="auto"/>
        <w:left w:val="none" w:sz="0" w:space="0" w:color="auto"/>
        <w:bottom w:val="none" w:sz="0" w:space="0" w:color="auto"/>
        <w:right w:val="none" w:sz="0" w:space="0" w:color="auto"/>
      </w:divBdr>
    </w:div>
    <w:div w:id="136608582">
      <w:bodyDiv w:val="1"/>
      <w:marLeft w:val="0"/>
      <w:marRight w:val="0"/>
      <w:marTop w:val="0"/>
      <w:marBottom w:val="0"/>
      <w:divBdr>
        <w:top w:val="none" w:sz="0" w:space="0" w:color="auto"/>
        <w:left w:val="none" w:sz="0" w:space="0" w:color="auto"/>
        <w:bottom w:val="none" w:sz="0" w:space="0" w:color="auto"/>
        <w:right w:val="none" w:sz="0" w:space="0" w:color="auto"/>
      </w:divBdr>
    </w:div>
    <w:div w:id="140847651">
      <w:bodyDiv w:val="1"/>
      <w:marLeft w:val="0"/>
      <w:marRight w:val="0"/>
      <w:marTop w:val="0"/>
      <w:marBottom w:val="0"/>
      <w:divBdr>
        <w:top w:val="none" w:sz="0" w:space="0" w:color="auto"/>
        <w:left w:val="none" w:sz="0" w:space="0" w:color="auto"/>
        <w:bottom w:val="none" w:sz="0" w:space="0" w:color="auto"/>
        <w:right w:val="none" w:sz="0" w:space="0" w:color="auto"/>
      </w:divBdr>
    </w:div>
    <w:div w:id="202524427">
      <w:bodyDiv w:val="1"/>
      <w:marLeft w:val="0"/>
      <w:marRight w:val="0"/>
      <w:marTop w:val="0"/>
      <w:marBottom w:val="0"/>
      <w:divBdr>
        <w:top w:val="none" w:sz="0" w:space="0" w:color="auto"/>
        <w:left w:val="none" w:sz="0" w:space="0" w:color="auto"/>
        <w:bottom w:val="none" w:sz="0" w:space="0" w:color="auto"/>
        <w:right w:val="none" w:sz="0" w:space="0" w:color="auto"/>
      </w:divBdr>
    </w:div>
    <w:div w:id="231427646">
      <w:bodyDiv w:val="1"/>
      <w:marLeft w:val="0"/>
      <w:marRight w:val="0"/>
      <w:marTop w:val="0"/>
      <w:marBottom w:val="0"/>
      <w:divBdr>
        <w:top w:val="none" w:sz="0" w:space="0" w:color="auto"/>
        <w:left w:val="none" w:sz="0" w:space="0" w:color="auto"/>
        <w:bottom w:val="none" w:sz="0" w:space="0" w:color="auto"/>
        <w:right w:val="none" w:sz="0" w:space="0" w:color="auto"/>
      </w:divBdr>
      <w:divsChild>
        <w:div w:id="120615813">
          <w:marLeft w:val="0"/>
          <w:marRight w:val="0"/>
          <w:marTop w:val="0"/>
          <w:marBottom w:val="0"/>
          <w:divBdr>
            <w:top w:val="none" w:sz="0" w:space="0" w:color="auto"/>
            <w:left w:val="none" w:sz="0" w:space="0" w:color="auto"/>
            <w:bottom w:val="none" w:sz="0" w:space="0" w:color="auto"/>
            <w:right w:val="none" w:sz="0" w:space="0" w:color="auto"/>
          </w:divBdr>
        </w:div>
        <w:div w:id="394208268">
          <w:marLeft w:val="0"/>
          <w:marRight w:val="0"/>
          <w:marTop w:val="0"/>
          <w:marBottom w:val="0"/>
          <w:divBdr>
            <w:top w:val="none" w:sz="0" w:space="0" w:color="auto"/>
            <w:left w:val="none" w:sz="0" w:space="0" w:color="auto"/>
            <w:bottom w:val="none" w:sz="0" w:space="0" w:color="auto"/>
            <w:right w:val="none" w:sz="0" w:space="0" w:color="auto"/>
          </w:divBdr>
        </w:div>
        <w:div w:id="450561408">
          <w:marLeft w:val="0"/>
          <w:marRight w:val="0"/>
          <w:marTop w:val="0"/>
          <w:marBottom w:val="0"/>
          <w:divBdr>
            <w:top w:val="none" w:sz="0" w:space="0" w:color="auto"/>
            <w:left w:val="none" w:sz="0" w:space="0" w:color="auto"/>
            <w:bottom w:val="none" w:sz="0" w:space="0" w:color="auto"/>
            <w:right w:val="none" w:sz="0" w:space="0" w:color="auto"/>
          </w:divBdr>
        </w:div>
        <w:div w:id="623925039">
          <w:marLeft w:val="0"/>
          <w:marRight w:val="0"/>
          <w:marTop w:val="0"/>
          <w:marBottom w:val="0"/>
          <w:divBdr>
            <w:top w:val="none" w:sz="0" w:space="0" w:color="auto"/>
            <w:left w:val="none" w:sz="0" w:space="0" w:color="auto"/>
            <w:bottom w:val="none" w:sz="0" w:space="0" w:color="auto"/>
            <w:right w:val="none" w:sz="0" w:space="0" w:color="auto"/>
          </w:divBdr>
        </w:div>
        <w:div w:id="645089267">
          <w:marLeft w:val="0"/>
          <w:marRight w:val="0"/>
          <w:marTop w:val="0"/>
          <w:marBottom w:val="0"/>
          <w:divBdr>
            <w:top w:val="none" w:sz="0" w:space="0" w:color="auto"/>
            <w:left w:val="none" w:sz="0" w:space="0" w:color="auto"/>
            <w:bottom w:val="none" w:sz="0" w:space="0" w:color="auto"/>
            <w:right w:val="none" w:sz="0" w:space="0" w:color="auto"/>
          </w:divBdr>
        </w:div>
        <w:div w:id="719522170">
          <w:marLeft w:val="0"/>
          <w:marRight w:val="0"/>
          <w:marTop w:val="0"/>
          <w:marBottom w:val="0"/>
          <w:divBdr>
            <w:top w:val="none" w:sz="0" w:space="0" w:color="auto"/>
            <w:left w:val="none" w:sz="0" w:space="0" w:color="auto"/>
            <w:bottom w:val="none" w:sz="0" w:space="0" w:color="auto"/>
            <w:right w:val="none" w:sz="0" w:space="0" w:color="auto"/>
          </w:divBdr>
        </w:div>
        <w:div w:id="758524579">
          <w:marLeft w:val="0"/>
          <w:marRight w:val="0"/>
          <w:marTop w:val="0"/>
          <w:marBottom w:val="0"/>
          <w:divBdr>
            <w:top w:val="none" w:sz="0" w:space="0" w:color="auto"/>
            <w:left w:val="none" w:sz="0" w:space="0" w:color="auto"/>
            <w:bottom w:val="none" w:sz="0" w:space="0" w:color="auto"/>
            <w:right w:val="none" w:sz="0" w:space="0" w:color="auto"/>
          </w:divBdr>
        </w:div>
        <w:div w:id="913395804">
          <w:marLeft w:val="0"/>
          <w:marRight w:val="0"/>
          <w:marTop w:val="0"/>
          <w:marBottom w:val="0"/>
          <w:divBdr>
            <w:top w:val="none" w:sz="0" w:space="0" w:color="auto"/>
            <w:left w:val="none" w:sz="0" w:space="0" w:color="auto"/>
            <w:bottom w:val="none" w:sz="0" w:space="0" w:color="auto"/>
            <w:right w:val="none" w:sz="0" w:space="0" w:color="auto"/>
          </w:divBdr>
        </w:div>
        <w:div w:id="925769337">
          <w:marLeft w:val="0"/>
          <w:marRight w:val="0"/>
          <w:marTop w:val="0"/>
          <w:marBottom w:val="0"/>
          <w:divBdr>
            <w:top w:val="none" w:sz="0" w:space="0" w:color="auto"/>
            <w:left w:val="none" w:sz="0" w:space="0" w:color="auto"/>
            <w:bottom w:val="none" w:sz="0" w:space="0" w:color="auto"/>
            <w:right w:val="none" w:sz="0" w:space="0" w:color="auto"/>
          </w:divBdr>
        </w:div>
        <w:div w:id="1037200957">
          <w:marLeft w:val="0"/>
          <w:marRight w:val="0"/>
          <w:marTop w:val="0"/>
          <w:marBottom w:val="0"/>
          <w:divBdr>
            <w:top w:val="none" w:sz="0" w:space="0" w:color="auto"/>
            <w:left w:val="none" w:sz="0" w:space="0" w:color="auto"/>
            <w:bottom w:val="none" w:sz="0" w:space="0" w:color="auto"/>
            <w:right w:val="none" w:sz="0" w:space="0" w:color="auto"/>
          </w:divBdr>
        </w:div>
        <w:div w:id="1237395211">
          <w:marLeft w:val="0"/>
          <w:marRight w:val="0"/>
          <w:marTop w:val="0"/>
          <w:marBottom w:val="0"/>
          <w:divBdr>
            <w:top w:val="none" w:sz="0" w:space="0" w:color="auto"/>
            <w:left w:val="none" w:sz="0" w:space="0" w:color="auto"/>
            <w:bottom w:val="none" w:sz="0" w:space="0" w:color="auto"/>
            <w:right w:val="none" w:sz="0" w:space="0" w:color="auto"/>
          </w:divBdr>
        </w:div>
        <w:div w:id="1271283866">
          <w:marLeft w:val="0"/>
          <w:marRight w:val="0"/>
          <w:marTop w:val="0"/>
          <w:marBottom w:val="0"/>
          <w:divBdr>
            <w:top w:val="none" w:sz="0" w:space="0" w:color="auto"/>
            <w:left w:val="none" w:sz="0" w:space="0" w:color="auto"/>
            <w:bottom w:val="none" w:sz="0" w:space="0" w:color="auto"/>
            <w:right w:val="none" w:sz="0" w:space="0" w:color="auto"/>
          </w:divBdr>
        </w:div>
        <w:div w:id="1410493754">
          <w:marLeft w:val="0"/>
          <w:marRight w:val="0"/>
          <w:marTop w:val="0"/>
          <w:marBottom w:val="0"/>
          <w:divBdr>
            <w:top w:val="none" w:sz="0" w:space="0" w:color="auto"/>
            <w:left w:val="none" w:sz="0" w:space="0" w:color="auto"/>
            <w:bottom w:val="none" w:sz="0" w:space="0" w:color="auto"/>
            <w:right w:val="none" w:sz="0" w:space="0" w:color="auto"/>
          </w:divBdr>
        </w:div>
        <w:div w:id="1427119277">
          <w:marLeft w:val="0"/>
          <w:marRight w:val="0"/>
          <w:marTop w:val="0"/>
          <w:marBottom w:val="0"/>
          <w:divBdr>
            <w:top w:val="none" w:sz="0" w:space="0" w:color="auto"/>
            <w:left w:val="none" w:sz="0" w:space="0" w:color="auto"/>
            <w:bottom w:val="none" w:sz="0" w:space="0" w:color="auto"/>
            <w:right w:val="none" w:sz="0" w:space="0" w:color="auto"/>
          </w:divBdr>
        </w:div>
        <w:div w:id="1677614837">
          <w:marLeft w:val="0"/>
          <w:marRight w:val="0"/>
          <w:marTop w:val="0"/>
          <w:marBottom w:val="0"/>
          <w:divBdr>
            <w:top w:val="none" w:sz="0" w:space="0" w:color="auto"/>
            <w:left w:val="none" w:sz="0" w:space="0" w:color="auto"/>
            <w:bottom w:val="none" w:sz="0" w:space="0" w:color="auto"/>
            <w:right w:val="none" w:sz="0" w:space="0" w:color="auto"/>
          </w:divBdr>
        </w:div>
        <w:div w:id="1817648090">
          <w:marLeft w:val="0"/>
          <w:marRight w:val="0"/>
          <w:marTop w:val="0"/>
          <w:marBottom w:val="0"/>
          <w:divBdr>
            <w:top w:val="none" w:sz="0" w:space="0" w:color="auto"/>
            <w:left w:val="none" w:sz="0" w:space="0" w:color="auto"/>
            <w:bottom w:val="none" w:sz="0" w:space="0" w:color="auto"/>
            <w:right w:val="none" w:sz="0" w:space="0" w:color="auto"/>
          </w:divBdr>
        </w:div>
        <w:div w:id="1869874635">
          <w:marLeft w:val="0"/>
          <w:marRight w:val="0"/>
          <w:marTop w:val="0"/>
          <w:marBottom w:val="0"/>
          <w:divBdr>
            <w:top w:val="none" w:sz="0" w:space="0" w:color="auto"/>
            <w:left w:val="none" w:sz="0" w:space="0" w:color="auto"/>
            <w:bottom w:val="none" w:sz="0" w:space="0" w:color="auto"/>
            <w:right w:val="none" w:sz="0" w:space="0" w:color="auto"/>
          </w:divBdr>
        </w:div>
        <w:div w:id="2033067224">
          <w:marLeft w:val="0"/>
          <w:marRight w:val="0"/>
          <w:marTop w:val="0"/>
          <w:marBottom w:val="0"/>
          <w:divBdr>
            <w:top w:val="none" w:sz="0" w:space="0" w:color="auto"/>
            <w:left w:val="none" w:sz="0" w:space="0" w:color="auto"/>
            <w:bottom w:val="none" w:sz="0" w:space="0" w:color="auto"/>
            <w:right w:val="none" w:sz="0" w:space="0" w:color="auto"/>
          </w:divBdr>
        </w:div>
      </w:divsChild>
    </w:div>
    <w:div w:id="252277449">
      <w:bodyDiv w:val="1"/>
      <w:marLeft w:val="0"/>
      <w:marRight w:val="0"/>
      <w:marTop w:val="0"/>
      <w:marBottom w:val="0"/>
      <w:divBdr>
        <w:top w:val="none" w:sz="0" w:space="0" w:color="auto"/>
        <w:left w:val="none" w:sz="0" w:space="0" w:color="auto"/>
        <w:bottom w:val="none" w:sz="0" w:space="0" w:color="auto"/>
        <w:right w:val="none" w:sz="0" w:space="0" w:color="auto"/>
      </w:divBdr>
    </w:div>
    <w:div w:id="268313521">
      <w:bodyDiv w:val="1"/>
      <w:marLeft w:val="0"/>
      <w:marRight w:val="0"/>
      <w:marTop w:val="0"/>
      <w:marBottom w:val="0"/>
      <w:divBdr>
        <w:top w:val="none" w:sz="0" w:space="0" w:color="auto"/>
        <w:left w:val="none" w:sz="0" w:space="0" w:color="auto"/>
        <w:bottom w:val="none" w:sz="0" w:space="0" w:color="auto"/>
        <w:right w:val="none" w:sz="0" w:space="0" w:color="auto"/>
      </w:divBdr>
    </w:div>
    <w:div w:id="286550846">
      <w:bodyDiv w:val="1"/>
      <w:marLeft w:val="0"/>
      <w:marRight w:val="0"/>
      <w:marTop w:val="0"/>
      <w:marBottom w:val="0"/>
      <w:divBdr>
        <w:top w:val="none" w:sz="0" w:space="0" w:color="auto"/>
        <w:left w:val="none" w:sz="0" w:space="0" w:color="auto"/>
        <w:bottom w:val="none" w:sz="0" w:space="0" w:color="auto"/>
        <w:right w:val="none" w:sz="0" w:space="0" w:color="auto"/>
      </w:divBdr>
    </w:div>
    <w:div w:id="316955076">
      <w:bodyDiv w:val="1"/>
      <w:marLeft w:val="0"/>
      <w:marRight w:val="0"/>
      <w:marTop w:val="0"/>
      <w:marBottom w:val="0"/>
      <w:divBdr>
        <w:top w:val="none" w:sz="0" w:space="0" w:color="auto"/>
        <w:left w:val="none" w:sz="0" w:space="0" w:color="auto"/>
        <w:bottom w:val="none" w:sz="0" w:space="0" w:color="auto"/>
        <w:right w:val="none" w:sz="0" w:space="0" w:color="auto"/>
      </w:divBdr>
    </w:div>
    <w:div w:id="320693597">
      <w:bodyDiv w:val="1"/>
      <w:marLeft w:val="0"/>
      <w:marRight w:val="0"/>
      <w:marTop w:val="0"/>
      <w:marBottom w:val="0"/>
      <w:divBdr>
        <w:top w:val="none" w:sz="0" w:space="0" w:color="auto"/>
        <w:left w:val="none" w:sz="0" w:space="0" w:color="auto"/>
        <w:bottom w:val="none" w:sz="0" w:space="0" w:color="auto"/>
        <w:right w:val="none" w:sz="0" w:space="0" w:color="auto"/>
      </w:divBdr>
    </w:div>
    <w:div w:id="323511266">
      <w:bodyDiv w:val="1"/>
      <w:marLeft w:val="0"/>
      <w:marRight w:val="0"/>
      <w:marTop w:val="0"/>
      <w:marBottom w:val="0"/>
      <w:divBdr>
        <w:top w:val="none" w:sz="0" w:space="0" w:color="auto"/>
        <w:left w:val="none" w:sz="0" w:space="0" w:color="auto"/>
        <w:bottom w:val="none" w:sz="0" w:space="0" w:color="auto"/>
        <w:right w:val="none" w:sz="0" w:space="0" w:color="auto"/>
      </w:divBdr>
    </w:div>
    <w:div w:id="339234562">
      <w:bodyDiv w:val="1"/>
      <w:marLeft w:val="0"/>
      <w:marRight w:val="0"/>
      <w:marTop w:val="0"/>
      <w:marBottom w:val="0"/>
      <w:divBdr>
        <w:top w:val="none" w:sz="0" w:space="0" w:color="auto"/>
        <w:left w:val="none" w:sz="0" w:space="0" w:color="auto"/>
        <w:bottom w:val="none" w:sz="0" w:space="0" w:color="auto"/>
        <w:right w:val="none" w:sz="0" w:space="0" w:color="auto"/>
      </w:divBdr>
    </w:div>
    <w:div w:id="428162259">
      <w:bodyDiv w:val="1"/>
      <w:marLeft w:val="0"/>
      <w:marRight w:val="0"/>
      <w:marTop w:val="0"/>
      <w:marBottom w:val="0"/>
      <w:divBdr>
        <w:top w:val="none" w:sz="0" w:space="0" w:color="auto"/>
        <w:left w:val="none" w:sz="0" w:space="0" w:color="auto"/>
        <w:bottom w:val="none" w:sz="0" w:space="0" w:color="auto"/>
        <w:right w:val="none" w:sz="0" w:space="0" w:color="auto"/>
      </w:divBdr>
    </w:div>
    <w:div w:id="529802889">
      <w:bodyDiv w:val="1"/>
      <w:marLeft w:val="0"/>
      <w:marRight w:val="0"/>
      <w:marTop w:val="0"/>
      <w:marBottom w:val="0"/>
      <w:divBdr>
        <w:top w:val="none" w:sz="0" w:space="0" w:color="auto"/>
        <w:left w:val="none" w:sz="0" w:space="0" w:color="auto"/>
        <w:bottom w:val="none" w:sz="0" w:space="0" w:color="auto"/>
        <w:right w:val="none" w:sz="0" w:space="0" w:color="auto"/>
      </w:divBdr>
    </w:div>
    <w:div w:id="538249042">
      <w:bodyDiv w:val="1"/>
      <w:marLeft w:val="0"/>
      <w:marRight w:val="0"/>
      <w:marTop w:val="0"/>
      <w:marBottom w:val="0"/>
      <w:divBdr>
        <w:top w:val="none" w:sz="0" w:space="0" w:color="auto"/>
        <w:left w:val="none" w:sz="0" w:space="0" w:color="auto"/>
        <w:bottom w:val="none" w:sz="0" w:space="0" w:color="auto"/>
        <w:right w:val="none" w:sz="0" w:space="0" w:color="auto"/>
      </w:divBdr>
    </w:div>
    <w:div w:id="577325164">
      <w:bodyDiv w:val="1"/>
      <w:marLeft w:val="0"/>
      <w:marRight w:val="0"/>
      <w:marTop w:val="0"/>
      <w:marBottom w:val="0"/>
      <w:divBdr>
        <w:top w:val="none" w:sz="0" w:space="0" w:color="auto"/>
        <w:left w:val="none" w:sz="0" w:space="0" w:color="auto"/>
        <w:bottom w:val="none" w:sz="0" w:space="0" w:color="auto"/>
        <w:right w:val="none" w:sz="0" w:space="0" w:color="auto"/>
      </w:divBdr>
    </w:div>
    <w:div w:id="595136070">
      <w:bodyDiv w:val="1"/>
      <w:marLeft w:val="0"/>
      <w:marRight w:val="0"/>
      <w:marTop w:val="0"/>
      <w:marBottom w:val="0"/>
      <w:divBdr>
        <w:top w:val="none" w:sz="0" w:space="0" w:color="auto"/>
        <w:left w:val="none" w:sz="0" w:space="0" w:color="auto"/>
        <w:bottom w:val="none" w:sz="0" w:space="0" w:color="auto"/>
        <w:right w:val="none" w:sz="0" w:space="0" w:color="auto"/>
      </w:divBdr>
    </w:div>
    <w:div w:id="600063839">
      <w:bodyDiv w:val="1"/>
      <w:marLeft w:val="0"/>
      <w:marRight w:val="0"/>
      <w:marTop w:val="0"/>
      <w:marBottom w:val="0"/>
      <w:divBdr>
        <w:top w:val="none" w:sz="0" w:space="0" w:color="auto"/>
        <w:left w:val="none" w:sz="0" w:space="0" w:color="auto"/>
        <w:bottom w:val="none" w:sz="0" w:space="0" w:color="auto"/>
        <w:right w:val="none" w:sz="0" w:space="0" w:color="auto"/>
      </w:divBdr>
    </w:div>
    <w:div w:id="609627953">
      <w:bodyDiv w:val="1"/>
      <w:marLeft w:val="0"/>
      <w:marRight w:val="0"/>
      <w:marTop w:val="0"/>
      <w:marBottom w:val="0"/>
      <w:divBdr>
        <w:top w:val="none" w:sz="0" w:space="0" w:color="auto"/>
        <w:left w:val="none" w:sz="0" w:space="0" w:color="auto"/>
        <w:bottom w:val="none" w:sz="0" w:space="0" w:color="auto"/>
        <w:right w:val="none" w:sz="0" w:space="0" w:color="auto"/>
      </w:divBdr>
    </w:div>
    <w:div w:id="617949363">
      <w:bodyDiv w:val="1"/>
      <w:marLeft w:val="0"/>
      <w:marRight w:val="0"/>
      <w:marTop w:val="0"/>
      <w:marBottom w:val="0"/>
      <w:divBdr>
        <w:top w:val="none" w:sz="0" w:space="0" w:color="auto"/>
        <w:left w:val="none" w:sz="0" w:space="0" w:color="auto"/>
        <w:bottom w:val="none" w:sz="0" w:space="0" w:color="auto"/>
        <w:right w:val="none" w:sz="0" w:space="0" w:color="auto"/>
      </w:divBdr>
    </w:div>
    <w:div w:id="649870073">
      <w:bodyDiv w:val="1"/>
      <w:marLeft w:val="0"/>
      <w:marRight w:val="0"/>
      <w:marTop w:val="0"/>
      <w:marBottom w:val="0"/>
      <w:divBdr>
        <w:top w:val="none" w:sz="0" w:space="0" w:color="auto"/>
        <w:left w:val="none" w:sz="0" w:space="0" w:color="auto"/>
        <w:bottom w:val="none" w:sz="0" w:space="0" w:color="auto"/>
        <w:right w:val="none" w:sz="0" w:space="0" w:color="auto"/>
      </w:divBdr>
    </w:div>
    <w:div w:id="674263660">
      <w:bodyDiv w:val="1"/>
      <w:marLeft w:val="0"/>
      <w:marRight w:val="0"/>
      <w:marTop w:val="0"/>
      <w:marBottom w:val="0"/>
      <w:divBdr>
        <w:top w:val="none" w:sz="0" w:space="0" w:color="auto"/>
        <w:left w:val="none" w:sz="0" w:space="0" w:color="auto"/>
        <w:bottom w:val="none" w:sz="0" w:space="0" w:color="auto"/>
        <w:right w:val="none" w:sz="0" w:space="0" w:color="auto"/>
      </w:divBdr>
    </w:div>
    <w:div w:id="690645141">
      <w:bodyDiv w:val="1"/>
      <w:marLeft w:val="0"/>
      <w:marRight w:val="0"/>
      <w:marTop w:val="0"/>
      <w:marBottom w:val="0"/>
      <w:divBdr>
        <w:top w:val="none" w:sz="0" w:space="0" w:color="auto"/>
        <w:left w:val="none" w:sz="0" w:space="0" w:color="auto"/>
        <w:bottom w:val="none" w:sz="0" w:space="0" w:color="auto"/>
        <w:right w:val="none" w:sz="0" w:space="0" w:color="auto"/>
      </w:divBdr>
    </w:div>
    <w:div w:id="715396842">
      <w:bodyDiv w:val="1"/>
      <w:marLeft w:val="0"/>
      <w:marRight w:val="0"/>
      <w:marTop w:val="0"/>
      <w:marBottom w:val="0"/>
      <w:divBdr>
        <w:top w:val="none" w:sz="0" w:space="0" w:color="auto"/>
        <w:left w:val="none" w:sz="0" w:space="0" w:color="auto"/>
        <w:bottom w:val="none" w:sz="0" w:space="0" w:color="auto"/>
        <w:right w:val="none" w:sz="0" w:space="0" w:color="auto"/>
      </w:divBdr>
    </w:div>
    <w:div w:id="721946564">
      <w:bodyDiv w:val="1"/>
      <w:marLeft w:val="0"/>
      <w:marRight w:val="0"/>
      <w:marTop w:val="0"/>
      <w:marBottom w:val="0"/>
      <w:divBdr>
        <w:top w:val="none" w:sz="0" w:space="0" w:color="auto"/>
        <w:left w:val="none" w:sz="0" w:space="0" w:color="auto"/>
        <w:bottom w:val="none" w:sz="0" w:space="0" w:color="auto"/>
        <w:right w:val="none" w:sz="0" w:space="0" w:color="auto"/>
      </w:divBdr>
    </w:div>
    <w:div w:id="724723181">
      <w:bodyDiv w:val="1"/>
      <w:marLeft w:val="0"/>
      <w:marRight w:val="0"/>
      <w:marTop w:val="0"/>
      <w:marBottom w:val="0"/>
      <w:divBdr>
        <w:top w:val="none" w:sz="0" w:space="0" w:color="auto"/>
        <w:left w:val="none" w:sz="0" w:space="0" w:color="auto"/>
        <w:bottom w:val="none" w:sz="0" w:space="0" w:color="auto"/>
        <w:right w:val="none" w:sz="0" w:space="0" w:color="auto"/>
      </w:divBdr>
    </w:div>
    <w:div w:id="735510767">
      <w:bodyDiv w:val="1"/>
      <w:marLeft w:val="0"/>
      <w:marRight w:val="0"/>
      <w:marTop w:val="0"/>
      <w:marBottom w:val="0"/>
      <w:divBdr>
        <w:top w:val="none" w:sz="0" w:space="0" w:color="auto"/>
        <w:left w:val="none" w:sz="0" w:space="0" w:color="auto"/>
        <w:bottom w:val="none" w:sz="0" w:space="0" w:color="auto"/>
        <w:right w:val="none" w:sz="0" w:space="0" w:color="auto"/>
      </w:divBdr>
    </w:div>
    <w:div w:id="755055967">
      <w:bodyDiv w:val="1"/>
      <w:marLeft w:val="0"/>
      <w:marRight w:val="0"/>
      <w:marTop w:val="0"/>
      <w:marBottom w:val="0"/>
      <w:divBdr>
        <w:top w:val="none" w:sz="0" w:space="0" w:color="auto"/>
        <w:left w:val="none" w:sz="0" w:space="0" w:color="auto"/>
        <w:bottom w:val="none" w:sz="0" w:space="0" w:color="auto"/>
        <w:right w:val="none" w:sz="0" w:space="0" w:color="auto"/>
      </w:divBdr>
    </w:div>
    <w:div w:id="796531351">
      <w:bodyDiv w:val="1"/>
      <w:marLeft w:val="0"/>
      <w:marRight w:val="0"/>
      <w:marTop w:val="0"/>
      <w:marBottom w:val="0"/>
      <w:divBdr>
        <w:top w:val="none" w:sz="0" w:space="0" w:color="auto"/>
        <w:left w:val="none" w:sz="0" w:space="0" w:color="auto"/>
        <w:bottom w:val="none" w:sz="0" w:space="0" w:color="auto"/>
        <w:right w:val="none" w:sz="0" w:space="0" w:color="auto"/>
      </w:divBdr>
    </w:div>
    <w:div w:id="815608064">
      <w:bodyDiv w:val="1"/>
      <w:marLeft w:val="0"/>
      <w:marRight w:val="0"/>
      <w:marTop w:val="0"/>
      <w:marBottom w:val="0"/>
      <w:divBdr>
        <w:top w:val="none" w:sz="0" w:space="0" w:color="auto"/>
        <w:left w:val="none" w:sz="0" w:space="0" w:color="auto"/>
        <w:bottom w:val="none" w:sz="0" w:space="0" w:color="auto"/>
        <w:right w:val="none" w:sz="0" w:space="0" w:color="auto"/>
      </w:divBdr>
    </w:div>
    <w:div w:id="816261697">
      <w:bodyDiv w:val="1"/>
      <w:marLeft w:val="0"/>
      <w:marRight w:val="0"/>
      <w:marTop w:val="0"/>
      <w:marBottom w:val="0"/>
      <w:divBdr>
        <w:top w:val="none" w:sz="0" w:space="0" w:color="auto"/>
        <w:left w:val="none" w:sz="0" w:space="0" w:color="auto"/>
        <w:bottom w:val="none" w:sz="0" w:space="0" w:color="auto"/>
        <w:right w:val="none" w:sz="0" w:space="0" w:color="auto"/>
      </w:divBdr>
    </w:div>
    <w:div w:id="831599236">
      <w:bodyDiv w:val="1"/>
      <w:marLeft w:val="0"/>
      <w:marRight w:val="0"/>
      <w:marTop w:val="0"/>
      <w:marBottom w:val="0"/>
      <w:divBdr>
        <w:top w:val="none" w:sz="0" w:space="0" w:color="auto"/>
        <w:left w:val="none" w:sz="0" w:space="0" w:color="auto"/>
        <w:bottom w:val="none" w:sz="0" w:space="0" w:color="auto"/>
        <w:right w:val="none" w:sz="0" w:space="0" w:color="auto"/>
      </w:divBdr>
    </w:div>
    <w:div w:id="846948019">
      <w:bodyDiv w:val="1"/>
      <w:marLeft w:val="0"/>
      <w:marRight w:val="0"/>
      <w:marTop w:val="0"/>
      <w:marBottom w:val="0"/>
      <w:divBdr>
        <w:top w:val="none" w:sz="0" w:space="0" w:color="auto"/>
        <w:left w:val="none" w:sz="0" w:space="0" w:color="auto"/>
        <w:bottom w:val="none" w:sz="0" w:space="0" w:color="auto"/>
        <w:right w:val="none" w:sz="0" w:space="0" w:color="auto"/>
      </w:divBdr>
    </w:div>
    <w:div w:id="855995935">
      <w:bodyDiv w:val="1"/>
      <w:marLeft w:val="0"/>
      <w:marRight w:val="0"/>
      <w:marTop w:val="0"/>
      <w:marBottom w:val="0"/>
      <w:divBdr>
        <w:top w:val="none" w:sz="0" w:space="0" w:color="auto"/>
        <w:left w:val="none" w:sz="0" w:space="0" w:color="auto"/>
        <w:bottom w:val="none" w:sz="0" w:space="0" w:color="auto"/>
        <w:right w:val="none" w:sz="0" w:space="0" w:color="auto"/>
      </w:divBdr>
    </w:div>
    <w:div w:id="858350467">
      <w:bodyDiv w:val="1"/>
      <w:marLeft w:val="0"/>
      <w:marRight w:val="0"/>
      <w:marTop w:val="0"/>
      <w:marBottom w:val="0"/>
      <w:divBdr>
        <w:top w:val="none" w:sz="0" w:space="0" w:color="auto"/>
        <w:left w:val="none" w:sz="0" w:space="0" w:color="auto"/>
        <w:bottom w:val="none" w:sz="0" w:space="0" w:color="auto"/>
        <w:right w:val="none" w:sz="0" w:space="0" w:color="auto"/>
      </w:divBdr>
    </w:div>
    <w:div w:id="860625343">
      <w:bodyDiv w:val="1"/>
      <w:marLeft w:val="0"/>
      <w:marRight w:val="0"/>
      <w:marTop w:val="0"/>
      <w:marBottom w:val="0"/>
      <w:divBdr>
        <w:top w:val="none" w:sz="0" w:space="0" w:color="auto"/>
        <w:left w:val="none" w:sz="0" w:space="0" w:color="auto"/>
        <w:bottom w:val="none" w:sz="0" w:space="0" w:color="auto"/>
        <w:right w:val="none" w:sz="0" w:space="0" w:color="auto"/>
      </w:divBdr>
    </w:div>
    <w:div w:id="863905343">
      <w:bodyDiv w:val="1"/>
      <w:marLeft w:val="0"/>
      <w:marRight w:val="0"/>
      <w:marTop w:val="0"/>
      <w:marBottom w:val="0"/>
      <w:divBdr>
        <w:top w:val="none" w:sz="0" w:space="0" w:color="auto"/>
        <w:left w:val="none" w:sz="0" w:space="0" w:color="auto"/>
        <w:bottom w:val="none" w:sz="0" w:space="0" w:color="auto"/>
        <w:right w:val="none" w:sz="0" w:space="0" w:color="auto"/>
      </w:divBdr>
    </w:div>
    <w:div w:id="873662261">
      <w:bodyDiv w:val="1"/>
      <w:marLeft w:val="0"/>
      <w:marRight w:val="0"/>
      <w:marTop w:val="0"/>
      <w:marBottom w:val="0"/>
      <w:divBdr>
        <w:top w:val="none" w:sz="0" w:space="0" w:color="auto"/>
        <w:left w:val="none" w:sz="0" w:space="0" w:color="auto"/>
        <w:bottom w:val="none" w:sz="0" w:space="0" w:color="auto"/>
        <w:right w:val="none" w:sz="0" w:space="0" w:color="auto"/>
      </w:divBdr>
    </w:div>
    <w:div w:id="873926607">
      <w:bodyDiv w:val="1"/>
      <w:marLeft w:val="0"/>
      <w:marRight w:val="0"/>
      <w:marTop w:val="0"/>
      <w:marBottom w:val="0"/>
      <w:divBdr>
        <w:top w:val="none" w:sz="0" w:space="0" w:color="auto"/>
        <w:left w:val="none" w:sz="0" w:space="0" w:color="auto"/>
        <w:bottom w:val="none" w:sz="0" w:space="0" w:color="auto"/>
        <w:right w:val="none" w:sz="0" w:space="0" w:color="auto"/>
      </w:divBdr>
    </w:div>
    <w:div w:id="886721430">
      <w:bodyDiv w:val="1"/>
      <w:marLeft w:val="0"/>
      <w:marRight w:val="0"/>
      <w:marTop w:val="0"/>
      <w:marBottom w:val="0"/>
      <w:divBdr>
        <w:top w:val="none" w:sz="0" w:space="0" w:color="auto"/>
        <w:left w:val="none" w:sz="0" w:space="0" w:color="auto"/>
        <w:bottom w:val="none" w:sz="0" w:space="0" w:color="auto"/>
        <w:right w:val="none" w:sz="0" w:space="0" w:color="auto"/>
      </w:divBdr>
    </w:div>
    <w:div w:id="917710656">
      <w:bodyDiv w:val="1"/>
      <w:marLeft w:val="0"/>
      <w:marRight w:val="0"/>
      <w:marTop w:val="0"/>
      <w:marBottom w:val="0"/>
      <w:divBdr>
        <w:top w:val="none" w:sz="0" w:space="0" w:color="auto"/>
        <w:left w:val="none" w:sz="0" w:space="0" w:color="auto"/>
        <w:bottom w:val="none" w:sz="0" w:space="0" w:color="auto"/>
        <w:right w:val="none" w:sz="0" w:space="0" w:color="auto"/>
      </w:divBdr>
    </w:div>
    <w:div w:id="988174635">
      <w:bodyDiv w:val="1"/>
      <w:marLeft w:val="0"/>
      <w:marRight w:val="0"/>
      <w:marTop w:val="0"/>
      <w:marBottom w:val="0"/>
      <w:divBdr>
        <w:top w:val="none" w:sz="0" w:space="0" w:color="auto"/>
        <w:left w:val="none" w:sz="0" w:space="0" w:color="auto"/>
        <w:bottom w:val="none" w:sz="0" w:space="0" w:color="auto"/>
        <w:right w:val="none" w:sz="0" w:space="0" w:color="auto"/>
      </w:divBdr>
    </w:div>
    <w:div w:id="989217319">
      <w:bodyDiv w:val="1"/>
      <w:marLeft w:val="0"/>
      <w:marRight w:val="0"/>
      <w:marTop w:val="0"/>
      <w:marBottom w:val="0"/>
      <w:divBdr>
        <w:top w:val="none" w:sz="0" w:space="0" w:color="auto"/>
        <w:left w:val="none" w:sz="0" w:space="0" w:color="auto"/>
        <w:bottom w:val="none" w:sz="0" w:space="0" w:color="auto"/>
        <w:right w:val="none" w:sz="0" w:space="0" w:color="auto"/>
      </w:divBdr>
    </w:div>
    <w:div w:id="1041125556">
      <w:bodyDiv w:val="1"/>
      <w:marLeft w:val="0"/>
      <w:marRight w:val="0"/>
      <w:marTop w:val="0"/>
      <w:marBottom w:val="0"/>
      <w:divBdr>
        <w:top w:val="none" w:sz="0" w:space="0" w:color="auto"/>
        <w:left w:val="none" w:sz="0" w:space="0" w:color="auto"/>
        <w:bottom w:val="none" w:sz="0" w:space="0" w:color="auto"/>
        <w:right w:val="none" w:sz="0" w:space="0" w:color="auto"/>
      </w:divBdr>
    </w:div>
    <w:div w:id="1058169077">
      <w:bodyDiv w:val="1"/>
      <w:marLeft w:val="0"/>
      <w:marRight w:val="0"/>
      <w:marTop w:val="0"/>
      <w:marBottom w:val="0"/>
      <w:divBdr>
        <w:top w:val="none" w:sz="0" w:space="0" w:color="auto"/>
        <w:left w:val="none" w:sz="0" w:space="0" w:color="auto"/>
        <w:bottom w:val="none" w:sz="0" w:space="0" w:color="auto"/>
        <w:right w:val="none" w:sz="0" w:space="0" w:color="auto"/>
      </w:divBdr>
    </w:div>
    <w:div w:id="1121604858">
      <w:bodyDiv w:val="1"/>
      <w:marLeft w:val="0"/>
      <w:marRight w:val="0"/>
      <w:marTop w:val="0"/>
      <w:marBottom w:val="0"/>
      <w:divBdr>
        <w:top w:val="none" w:sz="0" w:space="0" w:color="auto"/>
        <w:left w:val="none" w:sz="0" w:space="0" w:color="auto"/>
        <w:bottom w:val="none" w:sz="0" w:space="0" w:color="auto"/>
        <w:right w:val="none" w:sz="0" w:space="0" w:color="auto"/>
      </w:divBdr>
    </w:div>
    <w:div w:id="1286740333">
      <w:bodyDiv w:val="1"/>
      <w:marLeft w:val="0"/>
      <w:marRight w:val="0"/>
      <w:marTop w:val="0"/>
      <w:marBottom w:val="0"/>
      <w:divBdr>
        <w:top w:val="none" w:sz="0" w:space="0" w:color="auto"/>
        <w:left w:val="none" w:sz="0" w:space="0" w:color="auto"/>
        <w:bottom w:val="none" w:sz="0" w:space="0" w:color="auto"/>
        <w:right w:val="none" w:sz="0" w:space="0" w:color="auto"/>
      </w:divBdr>
    </w:div>
    <w:div w:id="1287195655">
      <w:bodyDiv w:val="1"/>
      <w:marLeft w:val="0"/>
      <w:marRight w:val="0"/>
      <w:marTop w:val="0"/>
      <w:marBottom w:val="0"/>
      <w:divBdr>
        <w:top w:val="none" w:sz="0" w:space="0" w:color="auto"/>
        <w:left w:val="none" w:sz="0" w:space="0" w:color="auto"/>
        <w:bottom w:val="none" w:sz="0" w:space="0" w:color="auto"/>
        <w:right w:val="none" w:sz="0" w:space="0" w:color="auto"/>
      </w:divBdr>
    </w:div>
    <w:div w:id="1301226906">
      <w:bodyDiv w:val="1"/>
      <w:marLeft w:val="0"/>
      <w:marRight w:val="0"/>
      <w:marTop w:val="0"/>
      <w:marBottom w:val="0"/>
      <w:divBdr>
        <w:top w:val="none" w:sz="0" w:space="0" w:color="auto"/>
        <w:left w:val="none" w:sz="0" w:space="0" w:color="auto"/>
        <w:bottom w:val="none" w:sz="0" w:space="0" w:color="auto"/>
        <w:right w:val="none" w:sz="0" w:space="0" w:color="auto"/>
      </w:divBdr>
    </w:div>
    <w:div w:id="1355423122">
      <w:bodyDiv w:val="1"/>
      <w:marLeft w:val="0"/>
      <w:marRight w:val="0"/>
      <w:marTop w:val="0"/>
      <w:marBottom w:val="0"/>
      <w:divBdr>
        <w:top w:val="none" w:sz="0" w:space="0" w:color="auto"/>
        <w:left w:val="none" w:sz="0" w:space="0" w:color="auto"/>
        <w:bottom w:val="none" w:sz="0" w:space="0" w:color="auto"/>
        <w:right w:val="none" w:sz="0" w:space="0" w:color="auto"/>
      </w:divBdr>
    </w:div>
    <w:div w:id="1383794934">
      <w:bodyDiv w:val="1"/>
      <w:marLeft w:val="0"/>
      <w:marRight w:val="0"/>
      <w:marTop w:val="0"/>
      <w:marBottom w:val="0"/>
      <w:divBdr>
        <w:top w:val="none" w:sz="0" w:space="0" w:color="auto"/>
        <w:left w:val="none" w:sz="0" w:space="0" w:color="auto"/>
        <w:bottom w:val="none" w:sz="0" w:space="0" w:color="auto"/>
        <w:right w:val="none" w:sz="0" w:space="0" w:color="auto"/>
      </w:divBdr>
    </w:div>
    <w:div w:id="1421176976">
      <w:bodyDiv w:val="1"/>
      <w:marLeft w:val="0"/>
      <w:marRight w:val="0"/>
      <w:marTop w:val="0"/>
      <w:marBottom w:val="0"/>
      <w:divBdr>
        <w:top w:val="none" w:sz="0" w:space="0" w:color="auto"/>
        <w:left w:val="none" w:sz="0" w:space="0" w:color="auto"/>
        <w:bottom w:val="none" w:sz="0" w:space="0" w:color="auto"/>
        <w:right w:val="none" w:sz="0" w:space="0" w:color="auto"/>
      </w:divBdr>
    </w:div>
    <w:div w:id="1435008220">
      <w:bodyDiv w:val="1"/>
      <w:marLeft w:val="0"/>
      <w:marRight w:val="0"/>
      <w:marTop w:val="0"/>
      <w:marBottom w:val="0"/>
      <w:divBdr>
        <w:top w:val="none" w:sz="0" w:space="0" w:color="auto"/>
        <w:left w:val="none" w:sz="0" w:space="0" w:color="auto"/>
        <w:bottom w:val="none" w:sz="0" w:space="0" w:color="auto"/>
        <w:right w:val="none" w:sz="0" w:space="0" w:color="auto"/>
      </w:divBdr>
    </w:div>
    <w:div w:id="1440638608">
      <w:bodyDiv w:val="1"/>
      <w:marLeft w:val="0"/>
      <w:marRight w:val="0"/>
      <w:marTop w:val="0"/>
      <w:marBottom w:val="0"/>
      <w:divBdr>
        <w:top w:val="none" w:sz="0" w:space="0" w:color="auto"/>
        <w:left w:val="none" w:sz="0" w:space="0" w:color="auto"/>
        <w:bottom w:val="none" w:sz="0" w:space="0" w:color="auto"/>
        <w:right w:val="none" w:sz="0" w:space="0" w:color="auto"/>
      </w:divBdr>
    </w:div>
    <w:div w:id="1443955948">
      <w:bodyDiv w:val="1"/>
      <w:marLeft w:val="0"/>
      <w:marRight w:val="0"/>
      <w:marTop w:val="0"/>
      <w:marBottom w:val="0"/>
      <w:divBdr>
        <w:top w:val="none" w:sz="0" w:space="0" w:color="auto"/>
        <w:left w:val="none" w:sz="0" w:space="0" w:color="auto"/>
        <w:bottom w:val="none" w:sz="0" w:space="0" w:color="auto"/>
        <w:right w:val="none" w:sz="0" w:space="0" w:color="auto"/>
      </w:divBdr>
    </w:div>
    <w:div w:id="1489785992">
      <w:bodyDiv w:val="1"/>
      <w:marLeft w:val="0"/>
      <w:marRight w:val="0"/>
      <w:marTop w:val="0"/>
      <w:marBottom w:val="0"/>
      <w:divBdr>
        <w:top w:val="none" w:sz="0" w:space="0" w:color="auto"/>
        <w:left w:val="none" w:sz="0" w:space="0" w:color="auto"/>
        <w:bottom w:val="none" w:sz="0" w:space="0" w:color="auto"/>
        <w:right w:val="none" w:sz="0" w:space="0" w:color="auto"/>
      </w:divBdr>
    </w:div>
    <w:div w:id="1503085522">
      <w:bodyDiv w:val="1"/>
      <w:marLeft w:val="0"/>
      <w:marRight w:val="0"/>
      <w:marTop w:val="0"/>
      <w:marBottom w:val="0"/>
      <w:divBdr>
        <w:top w:val="none" w:sz="0" w:space="0" w:color="auto"/>
        <w:left w:val="none" w:sz="0" w:space="0" w:color="auto"/>
        <w:bottom w:val="none" w:sz="0" w:space="0" w:color="auto"/>
        <w:right w:val="none" w:sz="0" w:space="0" w:color="auto"/>
      </w:divBdr>
    </w:div>
    <w:div w:id="1520393543">
      <w:bodyDiv w:val="1"/>
      <w:marLeft w:val="0"/>
      <w:marRight w:val="0"/>
      <w:marTop w:val="0"/>
      <w:marBottom w:val="0"/>
      <w:divBdr>
        <w:top w:val="none" w:sz="0" w:space="0" w:color="auto"/>
        <w:left w:val="none" w:sz="0" w:space="0" w:color="auto"/>
        <w:bottom w:val="none" w:sz="0" w:space="0" w:color="auto"/>
        <w:right w:val="none" w:sz="0" w:space="0" w:color="auto"/>
      </w:divBdr>
    </w:div>
    <w:div w:id="1540775399">
      <w:bodyDiv w:val="1"/>
      <w:marLeft w:val="0"/>
      <w:marRight w:val="0"/>
      <w:marTop w:val="0"/>
      <w:marBottom w:val="0"/>
      <w:divBdr>
        <w:top w:val="none" w:sz="0" w:space="0" w:color="auto"/>
        <w:left w:val="none" w:sz="0" w:space="0" w:color="auto"/>
        <w:bottom w:val="none" w:sz="0" w:space="0" w:color="auto"/>
        <w:right w:val="none" w:sz="0" w:space="0" w:color="auto"/>
      </w:divBdr>
    </w:div>
    <w:div w:id="1550148883">
      <w:bodyDiv w:val="1"/>
      <w:marLeft w:val="0"/>
      <w:marRight w:val="0"/>
      <w:marTop w:val="0"/>
      <w:marBottom w:val="0"/>
      <w:divBdr>
        <w:top w:val="none" w:sz="0" w:space="0" w:color="auto"/>
        <w:left w:val="none" w:sz="0" w:space="0" w:color="auto"/>
        <w:bottom w:val="none" w:sz="0" w:space="0" w:color="auto"/>
        <w:right w:val="none" w:sz="0" w:space="0" w:color="auto"/>
      </w:divBdr>
    </w:div>
    <w:div w:id="1559365917">
      <w:bodyDiv w:val="1"/>
      <w:marLeft w:val="0"/>
      <w:marRight w:val="0"/>
      <w:marTop w:val="0"/>
      <w:marBottom w:val="0"/>
      <w:divBdr>
        <w:top w:val="none" w:sz="0" w:space="0" w:color="auto"/>
        <w:left w:val="none" w:sz="0" w:space="0" w:color="auto"/>
        <w:bottom w:val="none" w:sz="0" w:space="0" w:color="auto"/>
        <w:right w:val="none" w:sz="0" w:space="0" w:color="auto"/>
      </w:divBdr>
    </w:div>
    <w:div w:id="1594237204">
      <w:bodyDiv w:val="1"/>
      <w:marLeft w:val="0"/>
      <w:marRight w:val="0"/>
      <w:marTop w:val="0"/>
      <w:marBottom w:val="0"/>
      <w:divBdr>
        <w:top w:val="none" w:sz="0" w:space="0" w:color="auto"/>
        <w:left w:val="none" w:sz="0" w:space="0" w:color="auto"/>
        <w:bottom w:val="none" w:sz="0" w:space="0" w:color="auto"/>
        <w:right w:val="none" w:sz="0" w:space="0" w:color="auto"/>
      </w:divBdr>
    </w:div>
    <w:div w:id="1633748701">
      <w:bodyDiv w:val="1"/>
      <w:marLeft w:val="0"/>
      <w:marRight w:val="0"/>
      <w:marTop w:val="0"/>
      <w:marBottom w:val="0"/>
      <w:divBdr>
        <w:top w:val="none" w:sz="0" w:space="0" w:color="auto"/>
        <w:left w:val="none" w:sz="0" w:space="0" w:color="auto"/>
        <w:bottom w:val="none" w:sz="0" w:space="0" w:color="auto"/>
        <w:right w:val="none" w:sz="0" w:space="0" w:color="auto"/>
      </w:divBdr>
    </w:div>
    <w:div w:id="1647588397">
      <w:bodyDiv w:val="1"/>
      <w:marLeft w:val="0"/>
      <w:marRight w:val="0"/>
      <w:marTop w:val="0"/>
      <w:marBottom w:val="0"/>
      <w:divBdr>
        <w:top w:val="none" w:sz="0" w:space="0" w:color="auto"/>
        <w:left w:val="none" w:sz="0" w:space="0" w:color="auto"/>
        <w:bottom w:val="none" w:sz="0" w:space="0" w:color="auto"/>
        <w:right w:val="none" w:sz="0" w:space="0" w:color="auto"/>
      </w:divBdr>
    </w:div>
    <w:div w:id="1650860586">
      <w:bodyDiv w:val="1"/>
      <w:marLeft w:val="0"/>
      <w:marRight w:val="0"/>
      <w:marTop w:val="0"/>
      <w:marBottom w:val="0"/>
      <w:divBdr>
        <w:top w:val="none" w:sz="0" w:space="0" w:color="auto"/>
        <w:left w:val="none" w:sz="0" w:space="0" w:color="auto"/>
        <w:bottom w:val="none" w:sz="0" w:space="0" w:color="auto"/>
        <w:right w:val="none" w:sz="0" w:space="0" w:color="auto"/>
      </w:divBdr>
    </w:div>
    <w:div w:id="1722171397">
      <w:bodyDiv w:val="1"/>
      <w:marLeft w:val="0"/>
      <w:marRight w:val="0"/>
      <w:marTop w:val="0"/>
      <w:marBottom w:val="0"/>
      <w:divBdr>
        <w:top w:val="none" w:sz="0" w:space="0" w:color="auto"/>
        <w:left w:val="none" w:sz="0" w:space="0" w:color="auto"/>
        <w:bottom w:val="none" w:sz="0" w:space="0" w:color="auto"/>
        <w:right w:val="none" w:sz="0" w:space="0" w:color="auto"/>
      </w:divBdr>
    </w:div>
    <w:div w:id="1727726603">
      <w:bodyDiv w:val="1"/>
      <w:marLeft w:val="0"/>
      <w:marRight w:val="0"/>
      <w:marTop w:val="0"/>
      <w:marBottom w:val="0"/>
      <w:divBdr>
        <w:top w:val="none" w:sz="0" w:space="0" w:color="auto"/>
        <w:left w:val="none" w:sz="0" w:space="0" w:color="auto"/>
        <w:bottom w:val="none" w:sz="0" w:space="0" w:color="auto"/>
        <w:right w:val="none" w:sz="0" w:space="0" w:color="auto"/>
      </w:divBdr>
    </w:div>
    <w:div w:id="1735354150">
      <w:bodyDiv w:val="1"/>
      <w:marLeft w:val="0"/>
      <w:marRight w:val="0"/>
      <w:marTop w:val="0"/>
      <w:marBottom w:val="0"/>
      <w:divBdr>
        <w:top w:val="none" w:sz="0" w:space="0" w:color="auto"/>
        <w:left w:val="none" w:sz="0" w:space="0" w:color="auto"/>
        <w:bottom w:val="none" w:sz="0" w:space="0" w:color="auto"/>
        <w:right w:val="none" w:sz="0" w:space="0" w:color="auto"/>
      </w:divBdr>
    </w:div>
    <w:div w:id="1740710704">
      <w:bodyDiv w:val="1"/>
      <w:marLeft w:val="0"/>
      <w:marRight w:val="0"/>
      <w:marTop w:val="0"/>
      <w:marBottom w:val="0"/>
      <w:divBdr>
        <w:top w:val="none" w:sz="0" w:space="0" w:color="auto"/>
        <w:left w:val="none" w:sz="0" w:space="0" w:color="auto"/>
        <w:bottom w:val="none" w:sz="0" w:space="0" w:color="auto"/>
        <w:right w:val="none" w:sz="0" w:space="0" w:color="auto"/>
      </w:divBdr>
    </w:div>
    <w:div w:id="1778478105">
      <w:bodyDiv w:val="1"/>
      <w:marLeft w:val="0"/>
      <w:marRight w:val="0"/>
      <w:marTop w:val="0"/>
      <w:marBottom w:val="0"/>
      <w:divBdr>
        <w:top w:val="none" w:sz="0" w:space="0" w:color="auto"/>
        <w:left w:val="none" w:sz="0" w:space="0" w:color="auto"/>
        <w:bottom w:val="none" w:sz="0" w:space="0" w:color="auto"/>
        <w:right w:val="none" w:sz="0" w:space="0" w:color="auto"/>
      </w:divBdr>
    </w:div>
    <w:div w:id="1788769597">
      <w:bodyDiv w:val="1"/>
      <w:marLeft w:val="0"/>
      <w:marRight w:val="0"/>
      <w:marTop w:val="0"/>
      <w:marBottom w:val="0"/>
      <w:divBdr>
        <w:top w:val="none" w:sz="0" w:space="0" w:color="auto"/>
        <w:left w:val="none" w:sz="0" w:space="0" w:color="auto"/>
        <w:bottom w:val="none" w:sz="0" w:space="0" w:color="auto"/>
        <w:right w:val="none" w:sz="0" w:space="0" w:color="auto"/>
      </w:divBdr>
    </w:div>
    <w:div w:id="1815638135">
      <w:bodyDiv w:val="1"/>
      <w:marLeft w:val="0"/>
      <w:marRight w:val="0"/>
      <w:marTop w:val="0"/>
      <w:marBottom w:val="0"/>
      <w:divBdr>
        <w:top w:val="none" w:sz="0" w:space="0" w:color="auto"/>
        <w:left w:val="none" w:sz="0" w:space="0" w:color="auto"/>
        <w:bottom w:val="none" w:sz="0" w:space="0" w:color="auto"/>
        <w:right w:val="none" w:sz="0" w:space="0" w:color="auto"/>
      </w:divBdr>
    </w:div>
    <w:div w:id="1819220564">
      <w:bodyDiv w:val="1"/>
      <w:marLeft w:val="0"/>
      <w:marRight w:val="0"/>
      <w:marTop w:val="0"/>
      <w:marBottom w:val="0"/>
      <w:divBdr>
        <w:top w:val="none" w:sz="0" w:space="0" w:color="auto"/>
        <w:left w:val="none" w:sz="0" w:space="0" w:color="auto"/>
        <w:bottom w:val="none" w:sz="0" w:space="0" w:color="auto"/>
        <w:right w:val="none" w:sz="0" w:space="0" w:color="auto"/>
      </w:divBdr>
    </w:div>
    <w:div w:id="1831286519">
      <w:bodyDiv w:val="1"/>
      <w:marLeft w:val="0"/>
      <w:marRight w:val="0"/>
      <w:marTop w:val="0"/>
      <w:marBottom w:val="0"/>
      <w:divBdr>
        <w:top w:val="none" w:sz="0" w:space="0" w:color="auto"/>
        <w:left w:val="none" w:sz="0" w:space="0" w:color="auto"/>
        <w:bottom w:val="none" w:sz="0" w:space="0" w:color="auto"/>
        <w:right w:val="none" w:sz="0" w:space="0" w:color="auto"/>
      </w:divBdr>
    </w:div>
    <w:div w:id="1857619114">
      <w:bodyDiv w:val="1"/>
      <w:marLeft w:val="0"/>
      <w:marRight w:val="0"/>
      <w:marTop w:val="0"/>
      <w:marBottom w:val="0"/>
      <w:divBdr>
        <w:top w:val="none" w:sz="0" w:space="0" w:color="auto"/>
        <w:left w:val="none" w:sz="0" w:space="0" w:color="auto"/>
        <w:bottom w:val="none" w:sz="0" w:space="0" w:color="auto"/>
        <w:right w:val="none" w:sz="0" w:space="0" w:color="auto"/>
      </w:divBdr>
    </w:div>
    <w:div w:id="1857847076">
      <w:bodyDiv w:val="1"/>
      <w:marLeft w:val="0"/>
      <w:marRight w:val="0"/>
      <w:marTop w:val="0"/>
      <w:marBottom w:val="0"/>
      <w:divBdr>
        <w:top w:val="none" w:sz="0" w:space="0" w:color="auto"/>
        <w:left w:val="none" w:sz="0" w:space="0" w:color="auto"/>
        <w:bottom w:val="none" w:sz="0" w:space="0" w:color="auto"/>
        <w:right w:val="none" w:sz="0" w:space="0" w:color="auto"/>
      </w:divBdr>
    </w:div>
    <w:div w:id="1876187259">
      <w:bodyDiv w:val="1"/>
      <w:marLeft w:val="0"/>
      <w:marRight w:val="0"/>
      <w:marTop w:val="0"/>
      <w:marBottom w:val="0"/>
      <w:divBdr>
        <w:top w:val="none" w:sz="0" w:space="0" w:color="auto"/>
        <w:left w:val="none" w:sz="0" w:space="0" w:color="auto"/>
        <w:bottom w:val="none" w:sz="0" w:space="0" w:color="auto"/>
        <w:right w:val="none" w:sz="0" w:space="0" w:color="auto"/>
      </w:divBdr>
      <w:divsChild>
        <w:div w:id="1695839924">
          <w:marLeft w:val="0"/>
          <w:marRight w:val="0"/>
          <w:marTop w:val="0"/>
          <w:marBottom w:val="0"/>
          <w:divBdr>
            <w:top w:val="none" w:sz="0" w:space="0" w:color="auto"/>
            <w:left w:val="none" w:sz="0" w:space="0" w:color="auto"/>
            <w:bottom w:val="none" w:sz="0" w:space="0" w:color="auto"/>
            <w:right w:val="none" w:sz="0" w:space="0" w:color="auto"/>
          </w:divBdr>
        </w:div>
      </w:divsChild>
    </w:div>
    <w:div w:id="1892307261">
      <w:bodyDiv w:val="1"/>
      <w:marLeft w:val="0"/>
      <w:marRight w:val="0"/>
      <w:marTop w:val="0"/>
      <w:marBottom w:val="0"/>
      <w:divBdr>
        <w:top w:val="none" w:sz="0" w:space="0" w:color="auto"/>
        <w:left w:val="none" w:sz="0" w:space="0" w:color="auto"/>
        <w:bottom w:val="none" w:sz="0" w:space="0" w:color="auto"/>
        <w:right w:val="none" w:sz="0" w:space="0" w:color="auto"/>
      </w:divBdr>
    </w:div>
    <w:div w:id="1901862961">
      <w:bodyDiv w:val="1"/>
      <w:marLeft w:val="0"/>
      <w:marRight w:val="0"/>
      <w:marTop w:val="0"/>
      <w:marBottom w:val="0"/>
      <w:divBdr>
        <w:top w:val="none" w:sz="0" w:space="0" w:color="auto"/>
        <w:left w:val="none" w:sz="0" w:space="0" w:color="auto"/>
        <w:bottom w:val="none" w:sz="0" w:space="0" w:color="auto"/>
        <w:right w:val="none" w:sz="0" w:space="0" w:color="auto"/>
      </w:divBdr>
    </w:div>
    <w:div w:id="1996834934">
      <w:bodyDiv w:val="1"/>
      <w:marLeft w:val="0"/>
      <w:marRight w:val="0"/>
      <w:marTop w:val="0"/>
      <w:marBottom w:val="0"/>
      <w:divBdr>
        <w:top w:val="none" w:sz="0" w:space="0" w:color="auto"/>
        <w:left w:val="none" w:sz="0" w:space="0" w:color="auto"/>
        <w:bottom w:val="none" w:sz="0" w:space="0" w:color="auto"/>
        <w:right w:val="none" w:sz="0" w:space="0" w:color="auto"/>
      </w:divBdr>
    </w:div>
    <w:div w:id="2001233635">
      <w:bodyDiv w:val="1"/>
      <w:marLeft w:val="0"/>
      <w:marRight w:val="0"/>
      <w:marTop w:val="0"/>
      <w:marBottom w:val="0"/>
      <w:divBdr>
        <w:top w:val="none" w:sz="0" w:space="0" w:color="auto"/>
        <w:left w:val="none" w:sz="0" w:space="0" w:color="auto"/>
        <w:bottom w:val="none" w:sz="0" w:space="0" w:color="auto"/>
        <w:right w:val="none" w:sz="0" w:space="0" w:color="auto"/>
      </w:divBdr>
    </w:div>
    <w:div w:id="2008708100">
      <w:bodyDiv w:val="1"/>
      <w:marLeft w:val="0"/>
      <w:marRight w:val="0"/>
      <w:marTop w:val="0"/>
      <w:marBottom w:val="0"/>
      <w:divBdr>
        <w:top w:val="none" w:sz="0" w:space="0" w:color="auto"/>
        <w:left w:val="none" w:sz="0" w:space="0" w:color="auto"/>
        <w:bottom w:val="none" w:sz="0" w:space="0" w:color="auto"/>
        <w:right w:val="none" w:sz="0" w:space="0" w:color="auto"/>
      </w:divBdr>
    </w:div>
    <w:div w:id="2018847951">
      <w:bodyDiv w:val="1"/>
      <w:marLeft w:val="0"/>
      <w:marRight w:val="0"/>
      <w:marTop w:val="0"/>
      <w:marBottom w:val="0"/>
      <w:divBdr>
        <w:top w:val="none" w:sz="0" w:space="0" w:color="auto"/>
        <w:left w:val="none" w:sz="0" w:space="0" w:color="auto"/>
        <w:bottom w:val="none" w:sz="0" w:space="0" w:color="auto"/>
        <w:right w:val="none" w:sz="0" w:space="0" w:color="auto"/>
      </w:divBdr>
    </w:div>
    <w:div w:id="205573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c.europa.eu/commission/sites/beta-political/files/soteu2018-investment-outside-eu-communication-644_bg_0.pdf"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uropa.eu/capacity4dev/tei-jp-track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BG/TXT/?uri=CELEX:52018DC0644" TargetMode="External"/><Relationship Id="rId13" Type="http://schemas.openxmlformats.org/officeDocument/2006/relationships/hyperlink" Target="https://www.eib.org/attachments/mou_cooperation_outside_the_eu.pdf" TargetMode="External"/><Relationship Id="rId18" Type="http://schemas.openxmlformats.org/officeDocument/2006/relationships/hyperlink" Target="https://eur-lex.europa.eu/legal-content/BG/TXT/?uri=CELEX:52020JC0011" TargetMode="External"/><Relationship Id="rId26" Type="http://schemas.openxmlformats.org/officeDocument/2006/relationships/hyperlink" Target="https://eur-lex.europa.eu/legal-content/BG/TXT/?uri=CELEX:52021DC0390" TargetMode="External"/><Relationship Id="rId3" Type="http://schemas.openxmlformats.org/officeDocument/2006/relationships/hyperlink" Target="https://www.oecd.org/dac/global-outlook-on-financing-for-sustainable-development-2021-e3c30a9a-en.htm" TargetMode="External"/><Relationship Id="rId21" Type="http://schemas.openxmlformats.org/officeDocument/2006/relationships/hyperlink" Target="https://ec.europa.eu/info/strategy/priorities-2019-2024/stronger-europe-world/global-gateway/eu-africa-global-gateway-investment-package_bg" TargetMode="External"/><Relationship Id="rId7" Type="http://schemas.openxmlformats.org/officeDocument/2006/relationships/hyperlink" Target="https://www.eib.org/attachments/documents/eib_external_mandate_2007-2013_mid-term_review.pdf" TargetMode="External"/><Relationship Id="rId12" Type="http://schemas.openxmlformats.org/officeDocument/2006/relationships/hyperlink" Target="https://data.consilium.europa.eu/doc/document/ST-14434-2019-INIT/bg/pdf" TargetMode="External"/><Relationship Id="rId17" Type="http://schemas.openxmlformats.org/officeDocument/2006/relationships/hyperlink" Target="https://ec.europa.eu/transparency/expert-groups-register/screen/expert-groups/consult?do=groupDetail.groupDetail&amp;groupID=2852&amp;lang=bg" TargetMode="External"/><Relationship Id="rId25" Type="http://schemas.openxmlformats.org/officeDocument/2006/relationships/hyperlink" Target="https://ec.europa.eu/neighbourhood-enlargement/enlargement-policy/overview-instrument-pre-accession-assistance_bg" TargetMode="External"/><Relationship Id="rId2" Type="http://schemas.openxmlformats.org/officeDocument/2006/relationships/hyperlink" Target="https://www.oecd.org/dac/global-outlook-on-financing-for-sustainable-development-2021-e3c30a9a-en.htm" TargetMode="External"/><Relationship Id="rId16" Type="http://schemas.openxmlformats.org/officeDocument/2006/relationships/hyperlink" Target="https://eur-lex.europa.eu/legal-content/BG/TXT/PDF/?uri=CELEX:52016DC0581&amp;from=EN" TargetMode="External"/><Relationship Id="rId20" Type="http://schemas.openxmlformats.org/officeDocument/2006/relationships/hyperlink" Target="https://eur-lex.europa.eu/legal-content/BG/TXT/PDF/?uri=CELEX:52021JC0030&amp;from=EN" TargetMode="External"/><Relationship Id="rId1" Type="http://schemas.openxmlformats.org/officeDocument/2006/relationships/hyperlink" Target="https://ec.europa.eu/commission/presscorner/detail/bg/IP_21_1701" TargetMode="External"/><Relationship Id="rId6" Type="http://schemas.openxmlformats.org/officeDocument/2006/relationships/hyperlink" Target="https://ec.europa.eu/info/strategy/priorities-2019-2024/stronger-europe-world/global-gateway/eu-africa-global-gateway-investment-package_bg" TargetMode="External"/><Relationship Id="rId11" Type="http://schemas.openxmlformats.org/officeDocument/2006/relationships/hyperlink" Target="https://data.consilium.europa.eu/doc/document/ST-9462-2021-REV-1/bg/pdf" TargetMode="External"/><Relationship Id="rId24" Type="http://schemas.openxmlformats.org/officeDocument/2006/relationships/hyperlink" Target="https://ec.europa.eu/neighbourhood-enlargement/funding-and-technical-assistance/neighbourhood-development-and-international-cooperation-instrument-global-europe-ndici-global-europe_bg" TargetMode="External"/><Relationship Id="rId5" Type="http://schemas.openxmlformats.org/officeDocument/2006/relationships/hyperlink" Target="https://ec.europa.eu/info/strategy/priorities-2019-2024/stronger-europe-world/global-gateway/eu-africa-global-gateway-investment-package_bg" TargetMode="External"/><Relationship Id="rId15" Type="http://schemas.openxmlformats.org/officeDocument/2006/relationships/hyperlink" Target="https://eur-lex.europa.eu/legal-content/BG/TXT/PDF/?uri=CELEX:52016DC0581&amp;from=EN" TargetMode="External"/><Relationship Id="rId23" Type="http://schemas.openxmlformats.org/officeDocument/2006/relationships/hyperlink" Target="https://ec.europa.eu/international-partnerships/global-europe-programming_bg" TargetMode="External"/><Relationship Id="rId10" Type="http://schemas.openxmlformats.org/officeDocument/2006/relationships/hyperlink" Target="https://data.consilium.europa.eu/doc/document/ST-6961-2021-REV-1/en/pdf" TargetMode="External"/><Relationship Id="rId19" Type="http://schemas.openxmlformats.org/officeDocument/2006/relationships/hyperlink" Target="https://eur-lex.europa.eu/LexUriServ/LexUriServ.do?uri=COM:2020:0043:FIN:BG:PDF" TargetMode="External"/><Relationship Id="rId4" Type="http://schemas.openxmlformats.org/officeDocument/2006/relationships/hyperlink" Target="https://eur-lex.europa.eu/legal-content/BG/TXT/PDF/?uri=CELEX:52021JC0030&amp;from=BG" TargetMode="External"/><Relationship Id="rId9" Type="http://schemas.openxmlformats.org/officeDocument/2006/relationships/hyperlink" Target="https://www.consilium.europa.eu/media/40967/efad-report_final.pdf" TargetMode="External"/><Relationship Id="rId14" Type="http://schemas.openxmlformats.org/officeDocument/2006/relationships/hyperlink" Target="https://data.consilium.europa.eu/doc/document/ST-14398-2021-INIT/en/pdf" TargetMode="External"/><Relationship Id="rId22" Type="http://schemas.openxmlformats.org/officeDocument/2006/relationships/hyperlink" Target="https://ec.europa.eu/info/strategy/priorities-2019-2024/stronger-europe-world/global-gateway/eu-africa-global-gateway-investment-package_bg" TargetMode="External"/><Relationship Id="rId27" Type="http://schemas.openxmlformats.org/officeDocument/2006/relationships/hyperlink" Target="https://data.consilium.europa.eu/doc/document/ST-5697-2022-INI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20D94BF79903409A44EFD8C6ED4DE5" ma:contentTypeVersion="6" ma:contentTypeDescription="Create a new document." ma:contentTypeScope="" ma:versionID="eb5ba94f46739ac1715536c455573c5f">
  <xsd:schema xmlns:xsd="http://www.w3.org/2001/XMLSchema" xmlns:xs="http://www.w3.org/2001/XMLSchema" xmlns:p="http://schemas.microsoft.com/office/2006/metadata/properties" xmlns:ns2="fb6c068c-bc2d-4620-b517-6a4d82a7e161" xmlns:ns3="604b4288-15a6-4b36-801c-a9875e40b072" targetNamespace="http://schemas.microsoft.com/office/2006/metadata/properties" ma:root="true" ma:fieldsID="8ecfc0b64dc0021d932c386d6e0d46ee" ns2:_="" ns3:_="">
    <xsd:import namespace="fb6c068c-bc2d-4620-b517-6a4d82a7e161"/>
    <xsd:import namespace="604b4288-15a6-4b36-801c-a9875e40b0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c068c-bc2d-4620-b517-6a4d82a7e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4b4288-15a6-4b36-801c-a9875e40b0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F780D-52EC-48F5-BD09-6EE62CAF522B}">
  <ds:schemaRefs>
    <ds:schemaRef ds:uri="http://schemas.microsoft.com/sharepoint/v3/contenttype/forms"/>
  </ds:schemaRefs>
</ds:datastoreItem>
</file>

<file path=customXml/itemProps2.xml><?xml version="1.0" encoding="utf-8"?>
<ds:datastoreItem xmlns:ds="http://schemas.openxmlformats.org/officeDocument/2006/customXml" ds:itemID="{CBFC04A0-563A-46C0-8E75-4206B5D3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c068c-bc2d-4620-b517-6a4d82a7e161"/>
    <ds:schemaRef ds:uri="604b4288-15a6-4b36-801c-a9875e40b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58DE13-74AA-4750-93EF-8F4210F454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21CA86-A417-491C-BF12-D8143BF12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26</Pages>
  <Words>8700</Words>
  <Characters>52724</Characters>
  <Application>Microsoft Office Word</Application>
  <DocSecurity>0</DocSecurity>
  <Lines>1198</Lines>
  <Paragraphs>379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41</cp:revision>
  <cp:lastPrinted>2022-03-16T11:57:00Z</cp:lastPrinted>
  <dcterms:created xsi:type="dcterms:W3CDTF">2022-03-21T15:35:00Z</dcterms:created>
  <dcterms:modified xsi:type="dcterms:W3CDTF">2022-04-25T07:27:00Z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CP-004</vt:lpwstr>
  </property>
  <property fmtid="{D5CDD505-2E9C-101B-9397-08002B2CF9AE}" pid="7" name="Last edited using">
    <vt:lpwstr>LW 8.0, Build 20220128</vt:lpwstr>
  </property>
  <property fmtid="{D5CDD505-2E9C-101B-9397-08002B2CF9AE}" pid="8" name="Created using">
    <vt:lpwstr>LW 7.0.1, Build 20200226</vt:lpwstr>
  </property>
  <property fmtid="{D5CDD505-2E9C-101B-9397-08002B2CF9AE}" pid="9" name="MSIP_Label_6bd9ddd1-4d20-43f6-abfa-fc3c07406f94_Enabled">
    <vt:lpwstr>true</vt:lpwstr>
  </property>
  <property fmtid="{D5CDD505-2E9C-101B-9397-08002B2CF9AE}" pid="10" name="MSIP_Label_6bd9ddd1-4d20-43f6-abfa-fc3c07406f94_SetDate">
    <vt:lpwstr>2022-03-12T14:53:56Z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e45629e3-eace-420f-959b-145a37df8b8b</vt:lpwstr>
  </property>
  <property fmtid="{D5CDD505-2E9C-101B-9397-08002B2CF9AE}" pid="15" name="MSIP_Label_6bd9ddd1-4d20-43f6-abfa-fc3c07406f94_ContentBits">
    <vt:lpwstr>0</vt:lpwstr>
  </property>
  <property fmtid="{D5CDD505-2E9C-101B-9397-08002B2CF9AE}" pid="16" name="_LW_INVALIDATED__LW_INVALIDATED__LW_INVALIDATED__LW_INVALIDATED__LW_INVALIDATED_ContentTypeId">
    <vt:lpwstr>0x010100D920D94BF79903409A44EFD8C6ED4DE5</vt:lpwstr>
  </property>
</Properties>
</file>