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7942B" w14:textId="00E64568" w:rsidR="005C0E60" w:rsidRPr="00B754E0" w:rsidRDefault="00FF0E59" w:rsidP="00FF0E59">
      <w:pPr>
        <w:pStyle w:val="Pagedecouverture"/>
      </w:pPr>
      <w:r>
        <w:pict w14:anchorId="2BE96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1299ED94-D4F1-44BB-98E1-8E0179EBCF20" style="width:455.35pt;height:369.75pt">
            <v:imagedata r:id="rId8" o:title=""/>
          </v:shape>
        </w:pict>
      </w:r>
    </w:p>
    <w:p w14:paraId="2B0C24F7" w14:textId="77777777" w:rsidR="005C0E60" w:rsidRPr="00B754E0" w:rsidRDefault="005C0E60" w:rsidP="005C0E60">
      <w:pPr>
        <w:sectPr w:rsidR="005C0E60" w:rsidRPr="00B754E0" w:rsidSect="00FF0E59">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0BF2EE6D" w14:textId="77777777" w:rsidR="00B754E0" w:rsidRPr="00DE17F1" w:rsidRDefault="00B754E0" w:rsidP="00B754E0">
      <w:pPr>
        <w:pStyle w:val="Exposdesmotifstitre"/>
      </w:pPr>
      <w:bookmarkStart w:id="0" w:name="_GoBack"/>
      <w:bookmarkEnd w:id="0"/>
      <w:r w:rsidRPr="00DE17F1">
        <w:lastRenderedPageBreak/>
        <w:t>BEGRÜNDUNG</w:t>
      </w:r>
    </w:p>
    <w:p w14:paraId="01B18526" w14:textId="77777777" w:rsidR="00B754E0" w:rsidRPr="00DE17F1" w:rsidRDefault="00B754E0" w:rsidP="00B754E0">
      <w:pPr>
        <w:pStyle w:val="ManualHeading1"/>
      </w:pPr>
      <w:r w:rsidRPr="00B754E0">
        <w:t>1</w:t>
      </w:r>
      <w:r w:rsidRPr="00DE17F1">
        <w:t>.</w:t>
      </w:r>
      <w:r w:rsidRPr="00DE17F1">
        <w:tab/>
        <w:t>KONTEXT DES VORSCHLAGS</w:t>
      </w:r>
    </w:p>
    <w:p w14:paraId="124DA31A" w14:textId="77777777" w:rsidR="00B754E0" w:rsidRPr="00DE17F1" w:rsidRDefault="00B754E0" w:rsidP="00B754E0">
      <w:pPr>
        <w:pStyle w:val="ManualHeading2"/>
        <w:rPr>
          <w:rFonts w:eastAsia="Arial Unicode MS"/>
        </w:rPr>
      </w:pPr>
      <w:r w:rsidRPr="00DE17F1">
        <w:rPr>
          <w:color w:val="000000"/>
          <w:u w:color="000000"/>
          <w:bdr w:val="nil"/>
        </w:rPr>
        <w:t>•</w:t>
      </w:r>
      <w:r w:rsidRPr="00DE17F1">
        <w:tab/>
        <w:t>Gründe und Ziele des Vorschlags</w:t>
      </w:r>
    </w:p>
    <w:p w14:paraId="4776DAF0" w14:textId="77777777" w:rsidR="00B754E0" w:rsidRPr="00DE17F1" w:rsidRDefault="00B754E0" w:rsidP="00B754E0">
      <w:pPr>
        <w:pBdr>
          <w:top w:val="nil"/>
          <w:left w:val="nil"/>
          <w:bottom w:val="nil"/>
          <w:right w:val="nil"/>
          <w:between w:val="nil"/>
          <w:bar w:val="nil"/>
        </w:pBdr>
        <w:spacing w:after="240"/>
        <w:rPr>
          <w:rFonts w:eastAsia="Arial Unicode MS"/>
        </w:rPr>
      </w:pPr>
      <w:r w:rsidRPr="00DE17F1">
        <w:t xml:space="preserve">Die Übereinkunft zwischen der Europäischen Union und dem Königreich Norwegen (im Folgenden „Norwegen“) über die Zusammenarbeit der Verwaltungsbehörden, die Betrugsbekämpfung und die Beitreibung von Forderungen auf dem Gebiet der Mehrwertsteuer (im Folgenden „Übereinkunft“) trat im September </w:t>
      </w:r>
      <w:r w:rsidRPr="00B754E0">
        <w:t>2018</w:t>
      </w:r>
      <w:r w:rsidRPr="00DE17F1">
        <w:t xml:space="preserve"> in Kraft. Die Übereinkunft ermöglicht es den EU-Mitgliedstaaten und Norwegen, in ähnlicher Weise, wie es die Mitgliedstaaten untereinander im Rahmen der Verordnung (EU) Nr. </w:t>
      </w:r>
      <w:r w:rsidRPr="00B754E0">
        <w:t>904</w:t>
      </w:r>
      <w:r w:rsidRPr="00DE17F1">
        <w:t>/</w:t>
      </w:r>
      <w:r w:rsidRPr="00B754E0">
        <w:t>2010</w:t>
      </w:r>
      <w:r w:rsidRPr="00DE17F1">
        <w:t xml:space="preserve"> des Rates</w:t>
      </w:r>
      <w:r w:rsidRPr="00DE17F1">
        <w:rPr>
          <w:rStyle w:val="FootnoteReference0"/>
          <w:rFonts w:eastAsia="Arial Unicode MS"/>
        </w:rPr>
        <w:footnoteReference w:id="1"/>
      </w:r>
      <w:r w:rsidRPr="00DE17F1">
        <w:t xml:space="preserve"> und der Richtlinie </w:t>
      </w:r>
      <w:r w:rsidRPr="00B754E0">
        <w:t>2010</w:t>
      </w:r>
      <w:r w:rsidRPr="00DE17F1">
        <w:t>/</w:t>
      </w:r>
      <w:r w:rsidRPr="00B754E0">
        <w:t>24</w:t>
      </w:r>
      <w:r w:rsidRPr="00DE17F1">
        <w:t>/EU des Rates</w:t>
      </w:r>
      <w:r w:rsidRPr="00DE17F1">
        <w:rPr>
          <w:rStyle w:val="FootnoteReference0"/>
          <w:rFonts w:eastAsia="Arial Unicode MS"/>
        </w:rPr>
        <w:footnoteReference w:id="2"/>
      </w:r>
      <w:r w:rsidRPr="00DE17F1">
        <w:t xml:space="preserve"> tun, zusammenzuarbeiten, um Mehrwertsteuerbetrug zu bekämpfen, und sich gegenseitig bei der Beitreibung von Forderungen im Bereich der Mehrwertsteuer zu unterstützen.</w:t>
      </w:r>
    </w:p>
    <w:p w14:paraId="35BA0666" w14:textId="77777777" w:rsidR="00B754E0" w:rsidRPr="00DE17F1" w:rsidRDefault="00B754E0" w:rsidP="00B754E0">
      <w:pPr>
        <w:rPr>
          <w:rFonts w:eastAsia="Times New Roman"/>
        </w:rPr>
      </w:pPr>
      <w:r w:rsidRPr="00DE17F1">
        <w:t>Zwischenzeitlich wurden jedoch mehrere Änderungen an der Verordnung (EU) Nr. </w:t>
      </w:r>
      <w:r w:rsidRPr="00B754E0">
        <w:t>904</w:t>
      </w:r>
      <w:r w:rsidRPr="00DE17F1">
        <w:t>/</w:t>
      </w:r>
      <w:r w:rsidRPr="00B754E0">
        <w:t>2010</w:t>
      </w:r>
      <w:r w:rsidRPr="00DE17F1">
        <w:t xml:space="preserve"> vorgenommen und neue Instrumente für die Verwaltungszusammenarbeit eingeführt, insbesondere durch die Änderungsverordnung (EU) </w:t>
      </w:r>
      <w:r w:rsidRPr="00B754E0">
        <w:t>2018</w:t>
      </w:r>
      <w:r w:rsidRPr="00DE17F1">
        <w:t>/</w:t>
      </w:r>
      <w:r w:rsidRPr="00B754E0">
        <w:t>1541</w:t>
      </w:r>
      <w:r w:rsidRPr="00DE17F1">
        <w:t xml:space="preserve"> des Rates</w:t>
      </w:r>
      <w:r w:rsidRPr="00DE17F1">
        <w:rPr>
          <w:rStyle w:val="FootnoteReference0"/>
          <w:rFonts w:eastAsia="Arial Unicode MS"/>
        </w:rPr>
        <w:footnoteReference w:id="3"/>
      </w:r>
      <w:r w:rsidRPr="00DE17F1">
        <w:t>. Zu den neuen Instrumenten zählen:</w:t>
      </w:r>
    </w:p>
    <w:p w14:paraId="3C944F65" w14:textId="77777777" w:rsidR="00B754E0" w:rsidRPr="00DE17F1" w:rsidRDefault="00B754E0" w:rsidP="00B754E0">
      <w:pPr>
        <w:pStyle w:val="Text1"/>
      </w:pPr>
      <w:r w:rsidRPr="00DE17F1">
        <w:t>– Verbesserung des Eurofisc-Netzes durch verstärkte Governance, die sogenannten Folgemaßnahmen (gemeinsame Verarbeitung und Analyse von Daten), und gemeinsam durchgeführte behördliche Ermittlungen (gemeinsame Prüfungen);</w:t>
      </w:r>
    </w:p>
    <w:p w14:paraId="20B6B574" w14:textId="77777777" w:rsidR="00B754E0" w:rsidRPr="00DE17F1" w:rsidRDefault="00B754E0" w:rsidP="00B754E0">
      <w:pPr>
        <w:pStyle w:val="Text1"/>
      </w:pPr>
      <w:r w:rsidRPr="00DE17F1">
        <w:t>– Zusammenarbeit mit anderen Strafverfolgungsbehörden der EU (Europol, OLAF);</w:t>
      </w:r>
    </w:p>
    <w:p w14:paraId="1C5BDBDD" w14:textId="77777777" w:rsidR="00B754E0" w:rsidRPr="00DE17F1" w:rsidRDefault="00B754E0" w:rsidP="00B754E0">
      <w:pPr>
        <w:pStyle w:val="Text1"/>
      </w:pPr>
      <w:r w:rsidRPr="00DE17F1">
        <w:t>– Austausch wichtiger Informationen über Einfuhren und Fahrzeuge.</w:t>
      </w:r>
    </w:p>
    <w:p w14:paraId="0B0E7405" w14:textId="77777777" w:rsidR="00B754E0" w:rsidRPr="00DE17F1" w:rsidRDefault="00B754E0" w:rsidP="00B754E0">
      <w:pPr>
        <w:rPr>
          <w:rFonts w:eastAsia="Times New Roman"/>
        </w:rPr>
      </w:pPr>
      <w:r w:rsidRPr="00DE17F1">
        <w:t>Außerdem wurde die Möglichkeit eingeführt, andere Mittel als die Standardformulare für den Informationsaustausch zu verwenden.</w:t>
      </w:r>
    </w:p>
    <w:p w14:paraId="4485A946" w14:textId="77777777" w:rsidR="00B754E0" w:rsidRPr="00DE17F1" w:rsidRDefault="00B754E0" w:rsidP="00B754E0">
      <w:pPr>
        <w:pBdr>
          <w:top w:val="nil"/>
          <w:left w:val="nil"/>
          <w:bottom w:val="nil"/>
          <w:right w:val="nil"/>
          <w:between w:val="nil"/>
          <w:bar w:val="nil"/>
        </w:pBdr>
        <w:spacing w:before="0" w:after="240"/>
        <w:rPr>
          <w:rFonts w:eastAsia="Arial Unicode MS"/>
        </w:rPr>
      </w:pPr>
      <w:r w:rsidRPr="00DE17F1">
        <w:t>In Artikel </w:t>
      </w:r>
      <w:r w:rsidRPr="00B754E0">
        <w:t>41</w:t>
      </w:r>
      <w:r w:rsidRPr="00DE17F1">
        <w:t xml:space="preserve"> Absatz </w:t>
      </w:r>
      <w:r w:rsidRPr="00B754E0">
        <w:t>5</w:t>
      </w:r>
      <w:r w:rsidRPr="00DE17F1">
        <w:t xml:space="preserve"> der Übereinkunft sind die Formalitäten für den Fall festgelegt, dass eine Vertragspartei das Abkommen ändern möchte. Die betreffende Vertragspartei legt dem Gemischten Ausschuss einen Vorschlag mit Empfehlungen insbesondere zum Verhandlungsbeginn gemäß den Vorschriften der Vertragsparteien für internationale Verhandlungen der Vertragsparteien vor.</w:t>
      </w:r>
    </w:p>
    <w:p w14:paraId="56BBCAE1" w14:textId="77777777" w:rsidR="00B754E0" w:rsidRPr="00DE17F1" w:rsidRDefault="00B754E0" w:rsidP="00B754E0">
      <w:pPr>
        <w:pBdr>
          <w:top w:val="nil"/>
          <w:left w:val="nil"/>
          <w:bottom w:val="nil"/>
          <w:right w:val="nil"/>
          <w:between w:val="nil"/>
          <w:bar w:val="nil"/>
        </w:pBdr>
        <w:spacing w:before="0" w:after="240"/>
        <w:rPr>
          <w:rFonts w:eastAsia="Arial Unicode MS"/>
        </w:rPr>
      </w:pPr>
      <w:r w:rsidRPr="00DE17F1">
        <w:t>Während der zweiten Sitzung des mit Artikel </w:t>
      </w:r>
      <w:r w:rsidRPr="00B754E0">
        <w:t>41</w:t>
      </w:r>
      <w:r w:rsidRPr="00DE17F1">
        <w:t xml:space="preserve"> Absatz </w:t>
      </w:r>
      <w:r w:rsidRPr="00B754E0">
        <w:t>1</w:t>
      </w:r>
      <w:r w:rsidRPr="00DE17F1">
        <w:t xml:space="preserve"> der Übereinkunft eingesetzten Gemischten Ausschusses EU-Norwegen am </w:t>
      </w:r>
      <w:r w:rsidRPr="00B754E0">
        <w:t>25</w:t>
      </w:r>
      <w:r w:rsidRPr="00DE17F1">
        <w:t xml:space="preserve">. November </w:t>
      </w:r>
      <w:r w:rsidRPr="00B754E0">
        <w:t>2021</w:t>
      </w:r>
      <w:r w:rsidRPr="00DE17F1">
        <w:t xml:space="preserve"> übermittelte das Königreich Norwegen förmlich einen Antrag auf Ergänzung und Änderung der Übereinkunft,</w:t>
      </w:r>
    </w:p>
    <w:p w14:paraId="7D62FB84" w14:textId="77777777" w:rsidR="00B754E0" w:rsidRPr="00DE17F1" w:rsidRDefault="00B754E0" w:rsidP="00B754E0">
      <w:pPr>
        <w:pStyle w:val="Bullet0"/>
        <w:numPr>
          <w:ilvl w:val="0"/>
          <w:numId w:val="5"/>
        </w:numPr>
      </w:pPr>
      <w:r w:rsidRPr="00DE17F1">
        <w:t xml:space="preserve">um den neu eingeführten Instrumenten der Verwaltungszusammenarbeit Rechnung zu tragen (Verwendung anderer Mittel als den Standardformularen für den Informationsaustausch, gemeinsam durchgeführte behördliche Ermittlungen und die Folgemaßnahmen im Rahmen von Eurofisc); </w:t>
      </w:r>
    </w:p>
    <w:p w14:paraId="5957F8BA" w14:textId="77777777" w:rsidR="00B754E0" w:rsidRPr="00DE17F1" w:rsidRDefault="00B754E0" w:rsidP="00B754E0">
      <w:pPr>
        <w:pStyle w:val="Bullet0"/>
      </w:pPr>
      <w:r w:rsidRPr="00DE17F1">
        <w:t>um den Verweis auf die Richtlinie </w:t>
      </w:r>
      <w:r w:rsidRPr="00B754E0">
        <w:t>95</w:t>
      </w:r>
      <w:r w:rsidRPr="00DE17F1">
        <w:t>/</w:t>
      </w:r>
      <w:r w:rsidRPr="00B754E0">
        <w:t>46</w:t>
      </w:r>
      <w:r w:rsidRPr="00DE17F1">
        <w:t>/EG zu aktualisieren, die durch die Verordnung (EU) </w:t>
      </w:r>
      <w:r w:rsidRPr="00B754E0">
        <w:t>2016</w:t>
      </w:r>
      <w:r w:rsidRPr="00DE17F1">
        <w:t>/</w:t>
      </w:r>
      <w:r w:rsidRPr="00B754E0">
        <w:t>679</w:t>
      </w:r>
      <w:r w:rsidRPr="00DE17F1">
        <w:t xml:space="preserve"> des Europäischen Parlaments und des Rates vom </w:t>
      </w:r>
      <w:r w:rsidRPr="00B754E0">
        <w:t>27</w:t>
      </w:r>
      <w:r w:rsidRPr="00DE17F1">
        <w:t xml:space="preserve">. April </w:t>
      </w:r>
      <w:r w:rsidRPr="00B754E0">
        <w:t>2016</w:t>
      </w:r>
      <w:r w:rsidRPr="00DE17F1">
        <w:t xml:space="preserve"> zum Schutz natürlicher Personen bei der Verarbeitung personenbezogener Daten und zum freien Datenverkehr</w:t>
      </w:r>
      <w:r w:rsidRPr="00DE17F1">
        <w:rPr>
          <w:rStyle w:val="FootnoteReference0"/>
          <w:szCs w:val="23"/>
        </w:rPr>
        <w:footnoteReference w:id="4"/>
      </w:r>
      <w:r w:rsidRPr="00DE17F1">
        <w:t xml:space="preserve"> aufgehoben wurde.</w:t>
      </w:r>
    </w:p>
    <w:p w14:paraId="1EEDE87D" w14:textId="77777777" w:rsidR="00B754E0" w:rsidRPr="00DE17F1" w:rsidRDefault="00B754E0" w:rsidP="00B754E0">
      <w:r w:rsidRPr="00DE17F1">
        <w:t xml:space="preserve">Norwegen hat sich bislang aktiv in die meisten Eurofisc-Arbeitsbereiche eingebracht. In den Jahren </w:t>
      </w:r>
      <w:r w:rsidRPr="00B754E0">
        <w:t>2020</w:t>
      </w:r>
      <w:r w:rsidRPr="00DE17F1">
        <w:t xml:space="preserve"> und </w:t>
      </w:r>
      <w:r w:rsidRPr="00B754E0">
        <w:t>2021</w:t>
      </w:r>
      <w:r w:rsidRPr="00DE17F1">
        <w:t xml:space="preserve"> wies Norwegen die Mitgliedstaaten auf mögliche Betrugsfälle und potenzielle MwSt-Verluste in Höhe von </w:t>
      </w:r>
      <w:r w:rsidRPr="00B754E0">
        <w:t>5</w:t>
      </w:r>
      <w:r w:rsidRPr="00DE17F1">
        <w:t> Mrd. EUR im Bereich der CO</w:t>
      </w:r>
      <w:r w:rsidRPr="00B754E0">
        <w:rPr>
          <w:vertAlign w:val="subscript"/>
        </w:rPr>
        <w:t>2</w:t>
      </w:r>
      <w:r w:rsidRPr="00DE17F1">
        <w:t xml:space="preserve">-Gutschriften hin. </w:t>
      </w:r>
    </w:p>
    <w:p w14:paraId="27FCD2FC" w14:textId="77777777" w:rsidR="00B754E0" w:rsidRPr="00DE17F1" w:rsidRDefault="00B754E0" w:rsidP="00B754E0">
      <w:pPr>
        <w:rPr>
          <w:rFonts w:eastAsia="Times New Roman"/>
          <w:color w:val="003F59"/>
        </w:rPr>
      </w:pPr>
      <w:r w:rsidRPr="00DE17F1">
        <w:t>Die Änderung der Übereinkunft durch die Aufnahme der vorstehend genannten neuen Instrumente würde eine bessere Zusammenarbeit ermöglichen und die Betrugsbekämpfung verstärken, wodurch sich ein Mehrwert für beide Vertragsparteien (Norwegen und die Mitgliedstaaten) ergeben würde.</w:t>
      </w:r>
    </w:p>
    <w:p w14:paraId="2936E3A4" w14:textId="77777777" w:rsidR="00B754E0" w:rsidRPr="00DE17F1" w:rsidRDefault="00B754E0" w:rsidP="00B754E0">
      <w:pPr>
        <w:pStyle w:val="ManualHeading2"/>
        <w:rPr>
          <w:rFonts w:eastAsia="Arial Unicode MS"/>
          <w:color w:val="000000"/>
          <w:u w:color="000000"/>
          <w:bdr w:val="nil"/>
        </w:rPr>
      </w:pPr>
      <w:r w:rsidRPr="00DE17F1">
        <w:rPr>
          <w:color w:val="000000"/>
          <w:u w:color="000000"/>
          <w:bdr w:val="nil"/>
        </w:rPr>
        <w:t>•</w:t>
      </w:r>
      <w:r w:rsidRPr="00DE17F1">
        <w:tab/>
        <w:t>Kohärenz mit den bestehenden Vorschriften in diesem Politikbereich</w:t>
      </w:r>
    </w:p>
    <w:p w14:paraId="39C7D91B" w14:textId="77777777" w:rsidR="00B754E0" w:rsidRPr="00DE17F1" w:rsidRDefault="00B754E0" w:rsidP="00B754E0">
      <w:pPr>
        <w:pBdr>
          <w:top w:val="nil"/>
          <w:left w:val="nil"/>
          <w:bottom w:val="nil"/>
          <w:right w:val="nil"/>
          <w:between w:val="nil"/>
          <w:bar w:val="nil"/>
        </w:pBdr>
        <w:spacing w:before="0" w:after="240"/>
        <w:rPr>
          <w:sz w:val="23"/>
          <w:szCs w:val="23"/>
        </w:rPr>
      </w:pPr>
      <w:r w:rsidRPr="00DE17F1">
        <w:rPr>
          <w:sz w:val="23"/>
          <w:szCs w:val="23"/>
        </w:rPr>
        <w:t>Die Verbesserung der Zusammenarbeit der Verwaltungsbehörden auf dem Gebiet der Mehrwertsteuer mit Drittländern ist eine der Maßnahmen, die in der Mitteilung der Europäischen Kommission mit dem Titel „Aktionsplan für eine faire und einfache Besteuerung zur Unterstützung der Aufbaustrategie“</w:t>
      </w:r>
      <w:r w:rsidRPr="00DE17F1">
        <w:rPr>
          <w:rStyle w:val="FootnoteReference0"/>
          <w:sz w:val="23"/>
          <w:szCs w:val="23"/>
        </w:rPr>
        <w:footnoteReference w:id="5"/>
      </w:r>
      <w:r w:rsidRPr="00DE17F1">
        <w:rPr>
          <w:sz w:val="23"/>
          <w:szCs w:val="23"/>
        </w:rPr>
        <w:t xml:space="preserve"> aus dem Jahr </w:t>
      </w:r>
      <w:r w:rsidRPr="00B754E0">
        <w:rPr>
          <w:sz w:val="23"/>
          <w:szCs w:val="23"/>
        </w:rPr>
        <w:t>2020</w:t>
      </w:r>
      <w:r w:rsidRPr="00DE17F1">
        <w:rPr>
          <w:sz w:val="23"/>
          <w:szCs w:val="23"/>
        </w:rPr>
        <w:t xml:space="preserve"> angekündigt wurde.</w:t>
      </w:r>
    </w:p>
    <w:p w14:paraId="42E0A212" w14:textId="77777777" w:rsidR="00B754E0" w:rsidRPr="00DE17F1" w:rsidRDefault="00B754E0" w:rsidP="00B754E0">
      <w:pPr>
        <w:pBdr>
          <w:top w:val="nil"/>
          <w:left w:val="nil"/>
          <w:bottom w:val="nil"/>
          <w:right w:val="nil"/>
          <w:between w:val="nil"/>
          <w:bar w:val="nil"/>
        </w:pBdr>
        <w:spacing w:before="0" w:after="240"/>
        <w:rPr>
          <w:sz w:val="23"/>
          <w:szCs w:val="23"/>
        </w:rPr>
      </w:pPr>
      <w:r w:rsidRPr="00DE17F1">
        <w:rPr>
          <w:sz w:val="23"/>
          <w:szCs w:val="23"/>
        </w:rPr>
        <w:t>Des Weiteren ist darauf hinzuweisen, dass die Verhandlungen mit Norwegen Instrumente der Zusammenarbeit betreffen würden, die bereits in Kraft sind und von den Mitgliedstaaten auf der Grundlage der Verordnung (EU) Nr. </w:t>
      </w:r>
      <w:r w:rsidRPr="00B754E0">
        <w:rPr>
          <w:sz w:val="23"/>
          <w:szCs w:val="23"/>
        </w:rPr>
        <w:t>904</w:t>
      </w:r>
      <w:r w:rsidRPr="00DE17F1">
        <w:rPr>
          <w:sz w:val="23"/>
          <w:szCs w:val="23"/>
        </w:rPr>
        <w:t>/</w:t>
      </w:r>
      <w:r w:rsidRPr="00B754E0">
        <w:rPr>
          <w:sz w:val="23"/>
          <w:szCs w:val="23"/>
        </w:rPr>
        <w:t>2010</w:t>
      </w:r>
      <w:r w:rsidRPr="00DE17F1">
        <w:rPr>
          <w:sz w:val="23"/>
          <w:szCs w:val="23"/>
        </w:rPr>
        <w:t xml:space="preserve"> genutzt werden.</w:t>
      </w:r>
    </w:p>
    <w:p w14:paraId="3EB66E65" w14:textId="77777777" w:rsidR="00B754E0" w:rsidRPr="00DE17F1" w:rsidRDefault="00B754E0" w:rsidP="00B754E0">
      <w:pPr>
        <w:pBdr>
          <w:top w:val="nil"/>
          <w:left w:val="nil"/>
          <w:bottom w:val="nil"/>
          <w:right w:val="nil"/>
          <w:between w:val="nil"/>
          <w:bar w:val="nil"/>
        </w:pBdr>
        <w:spacing w:before="0" w:after="240"/>
        <w:rPr>
          <w:sz w:val="23"/>
          <w:szCs w:val="23"/>
        </w:rPr>
      </w:pPr>
      <w:r w:rsidRPr="00DE17F1">
        <w:rPr>
          <w:sz w:val="23"/>
          <w:szCs w:val="23"/>
        </w:rPr>
        <w:t xml:space="preserve">Diese Initiative steht daher im Einklang mit der derzeitigen Politik der Kommission im Bereich der Mehrwertsteuer und würde die Zusammenarbeit der Mitgliedstaaten mit Norwegen an den Besitzstand der EU angleichen. </w:t>
      </w:r>
    </w:p>
    <w:p w14:paraId="77B5FB12" w14:textId="77777777" w:rsidR="00B754E0" w:rsidRPr="00DE17F1" w:rsidRDefault="00B754E0" w:rsidP="00B754E0">
      <w:pPr>
        <w:pStyle w:val="ManualHeading1"/>
      </w:pPr>
      <w:r w:rsidRPr="00B754E0">
        <w:t>2</w:t>
      </w:r>
      <w:r w:rsidRPr="00DE17F1">
        <w:t>.</w:t>
      </w:r>
      <w:r w:rsidRPr="00DE17F1">
        <w:tab/>
        <w:t>RECHTSGRUNDLAGE, SUBSIDIARITÄT UND VERHÄLTNISMÄẞIGKEIT</w:t>
      </w:r>
    </w:p>
    <w:p w14:paraId="1B6DCE56" w14:textId="77777777" w:rsidR="00B754E0" w:rsidRPr="00DE17F1" w:rsidRDefault="00B754E0" w:rsidP="00B754E0">
      <w:pPr>
        <w:pStyle w:val="ManualHeading2"/>
        <w:rPr>
          <w:rFonts w:eastAsia="Arial Unicode MS"/>
          <w:u w:color="000000"/>
          <w:bdr w:val="nil"/>
        </w:rPr>
      </w:pPr>
      <w:r w:rsidRPr="00DE17F1">
        <w:rPr>
          <w:u w:color="000000"/>
          <w:bdr w:val="nil"/>
        </w:rPr>
        <w:t>•</w:t>
      </w:r>
      <w:r w:rsidRPr="00DE17F1">
        <w:tab/>
      </w:r>
      <w:r w:rsidRPr="00DE17F1">
        <w:rPr>
          <w:u w:color="000000"/>
          <w:bdr w:val="nil"/>
        </w:rPr>
        <w:t>Rechtsgrundlage</w:t>
      </w:r>
    </w:p>
    <w:p w14:paraId="5E918930" w14:textId="77777777" w:rsidR="00B754E0" w:rsidRPr="00DE17F1" w:rsidRDefault="00B754E0" w:rsidP="00B754E0">
      <w:pPr>
        <w:pBdr>
          <w:top w:val="nil"/>
          <w:left w:val="nil"/>
          <w:bottom w:val="nil"/>
          <w:right w:val="nil"/>
          <w:between w:val="nil"/>
          <w:bar w:val="nil"/>
        </w:pBdr>
        <w:spacing w:before="0" w:after="240"/>
        <w:rPr>
          <w:rFonts w:eastAsia="Arial Unicode MS"/>
        </w:rPr>
      </w:pPr>
      <w:r w:rsidRPr="00DE17F1">
        <w:t>Der vorliegende Vorschlag an den Rat wird gemäß Artikel </w:t>
      </w:r>
      <w:r w:rsidRPr="00B754E0">
        <w:t>218</w:t>
      </w:r>
      <w:r w:rsidRPr="00DE17F1">
        <w:t xml:space="preserve"> Absatz </w:t>
      </w:r>
      <w:r w:rsidRPr="00B754E0">
        <w:t>3</w:t>
      </w:r>
      <w:r w:rsidRPr="00DE17F1">
        <w:t xml:space="preserve"> des Vertrags über die Arbeitsweise der Europäischen Union (AEUV) vorgelegt.</w:t>
      </w:r>
    </w:p>
    <w:p w14:paraId="1048EF60" w14:textId="77777777" w:rsidR="00B754E0" w:rsidRPr="00DE17F1" w:rsidRDefault="00B754E0" w:rsidP="00B754E0">
      <w:pPr>
        <w:pBdr>
          <w:top w:val="nil"/>
          <w:left w:val="nil"/>
          <w:bottom w:val="nil"/>
          <w:right w:val="nil"/>
          <w:between w:val="nil"/>
          <w:bar w:val="nil"/>
        </w:pBdr>
        <w:spacing w:before="0" w:after="240"/>
        <w:rPr>
          <w:rFonts w:eastAsia="Arial Unicode MS"/>
        </w:rPr>
      </w:pPr>
      <w:r w:rsidRPr="00DE17F1">
        <w:t>Gemäß Artikel </w:t>
      </w:r>
      <w:r w:rsidRPr="00B754E0">
        <w:t>3</w:t>
      </w:r>
      <w:r w:rsidRPr="00DE17F1">
        <w:t xml:space="preserve"> Absatz </w:t>
      </w:r>
      <w:r w:rsidRPr="00B754E0">
        <w:t>2</w:t>
      </w:r>
      <w:r w:rsidRPr="00DE17F1">
        <w:t xml:space="preserve"> des Vertrags über die Arbeitsweise der Europäischen Union (AEUV) hat die Union zusätzlich zu den in Artikel </w:t>
      </w:r>
      <w:r w:rsidRPr="00B754E0">
        <w:t>3</w:t>
      </w:r>
      <w:r w:rsidRPr="00DE17F1">
        <w:t xml:space="preserve"> Absatz </w:t>
      </w:r>
      <w:r w:rsidRPr="00B754E0">
        <w:t>1</w:t>
      </w:r>
      <w:r w:rsidRPr="00DE17F1">
        <w:t xml:space="preserve"> AEUV aufgeführten Bereichen ausschließlicher Zuständigkeit „ferner die ausschließliche Zuständigkeit für den Abschluss internationaler Übereinkünfte, wenn der Abschluss einer solchen Übereinkunft in einem Gesetzgebungsakt der Union vorgesehen ist, wenn er notwendig ist, damit sie ihre interne Zuständigkeit ausüben kann, oder soweit er gemeinsame Regeln beeinträchtigen oder deren Tragweite verändern könnte“.</w:t>
      </w:r>
    </w:p>
    <w:p w14:paraId="5913EFCB" w14:textId="77777777" w:rsidR="00B754E0" w:rsidRPr="00DE17F1" w:rsidRDefault="00B754E0" w:rsidP="00B754E0">
      <w:pPr>
        <w:pBdr>
          <w:top w:val="nil"/>
          <w:left w:val="nil"/>
          <w:bottom w:val="nil"/>
          <w:right w:val="nil"/>
          <w:between w:val="nil"/>
          <w:bar w:val="nil"/>
        </w:pBdr>
        <w:spacing w:before="0" w:after="240"/>
        <w:rPr>
          <w:rFonts w:eastAsia="Arial Unicode MS"/>
        </w:rPr>
      </w:pPr>
      <w:r w:rsidRPr="00DE17F1">
        <w:t>Nach ständiger Rechtsprechung des Gerichtshofs kann eine Übereinkunft, die einen vollständig harmonisierten Bereich abdeckt, gemeinsame Regeln beeinträchtigen oder deren Tragweite verändern.</w:t>
      </w:r>
      <w:r w:rsidRPr="00DE17F1">
        <w:rPr>
          <w:rStyle w:val="FootnoteReference0"/>
          <w:rFonts w:eastAsia="Arial Unicode MS"/>
        </w:rPr>
        <w:footnoteReference w:id="6"/>
      </w:r>
    </w:p>
    <w:p w14:paraId="6CE3283E" w14:textId="77777777" w:rsidR="00B754E0" w:rsidRPr="00DE17F1" w:rsidRDefault="00B754E0" w:rsidP="00B754E0">
      <w:pPr>
        <w:pBdr>
          <w:top w:val="nil"/>
          <w:left w:val="nil"/>
          <w:bottom w:val="nil"/>
          <w:right w:val="nil"/>
          <w:between w:val="nil"/>
          <w:bar w:val="nil"/>
        </w:pBdr>
        <w:spacing w:before="0" w:after="240"/>
        <w:rPr>
          <w:sz w:val="23"/>
          <w:szCs w:val="23"/>
        </w:rPr>
      </w:pPr>
      <w:r w:rsidRPr="00DE17F1">
        <w:t xml:space="preserve">Der Gegenstand der Überarbeitung der Übereinkunft, d. h. die mit der Verordnung (EU) </w:t>
      </w:r>
      <w:r w:rsidRPr="00B754E0">
        <w:t>2018</w:t>
      </w:r>
      <w:r w:rsidRPr="00DE17F1">
        <w:t>/</w:t>
      </w:r>
      <w:r w:rsidRPr="00B754E0">
        <w:t>1541</w:t>
      </w:r>
      <w:r w:rsidRPr="00DE17F1">
        <w:t xml:space="preserve"> des Rates eingeführten neuen Instrumente der Verwaltungszusammenarbeit aufzunehmen, fällt in die ausschließliche Zuständigkeit der Union. Die Aktualisierung der Verweise auf die Richtlinie </w:t>
      </w:r>
      <w:r w:rsidRPr="00B754E0">
        <w:t>95</w:t>
      </w:r>
      <w:r w:rsidRPr="00DE17F1">
        <w:t>/</w:t>
      </w:r>
      <w:r w:rsidRPr="00B754E0">
        <w:t>46</w:t>
      </w:r>
      <w:r w:rsidRPr="00DE17F1">
        <w:t xml:space="preserve">/EG durch die Verordnung (EU) </w:t>
      </w:r>
      <w:r w:rsidRPr="00B754E0">
        <w:t>2016</w:t>
      </w:r>
      <w:r w:rsidRPr="00DE17F1">
        <w:t>/</w:t>
      </w:r>
      <w:r w:rsidRPr="00B754E0">
        <w:t>679</w:t>
      </w:r>
      <w:r w:rsidRPr="00DE17F1">
        <w:t xml:space="preserve"> könnte im Rahmen des Gemeinsamen Ausschusses gemäß Artikel </w:t>
      </w:r>
      <w:r w:rsidRPr="00B754E0">
        <w:t>41</w:t>
      </w:r>
      <w:r w:rsidRPr="00DE17F1">
        <w:t xml:space="preserve"> Absatz </w:t>
      </w:r>
      <w:r w:rsidRPr="00B754E0">
        <w:t>2</w:t>
      </w:r>
      <w:r w:rsidRPr="00DE17F1">
        <w:t xml:space="preserve"> Buchstabe k der Übereinkunft erfolgen.</w:t>
      </w:r>
      <w:r w:rsidRPr="00DE17F1">
        <w:rPr>
          <w:sz w:val="23"/>
          <w:szCs w:val="23"/>
        </w:rPr>
        <w:t xml:space="preserve"> Diese Aktualisierung könnte jedoch auch im Rahmen der Wiederaufnahme der Verhandlungen über den Wortlaut der Übereinkunft vorgenommen werden.</w:t>
      </w:r>
    </w:p>
    <w:p w14:paraId="618BC922" w14:textId="77777777" w:rsidR="00B754E0" w:rsidRPr="00DE17F1" w:rsidRDefault="00B754E0" w:rsidP="00B754E0">
      <w:pPr>
        <w:pBdr>
          <w:top w:val="nil"/>
          <w:left w:val="nil"/>
          <w:bottom w:val="nil"/>
          <w:right w:val="nil"/>
          <w:between w:val="nil"/>
          <w:bar w:val="nil"/>
        </w:pBdr>
        <w:spacing w:before="0" w:after="240"/>
        <w:rPr>
          <w:rFonts w:eastAsia="Arial Unicode MS"/>
        </w:rPr>
      </w:pPr>
    </w:p>
    <w:p w14:paraId="4AB00BDF" w14:textId="77777777" w:rsidR="00B754E0" w:rsidRPr="00DE17F1" w:rsidRDefault="00B754E0" w:rsidP="00B754E0">
      <w:pPr>
        <w:pBdr>
          <w:top w:val="nil"/>
          <w:left w:val="nil"/>
          <w:bottom w:val="nil"/>
          <w:right w:val="nil"/>
          <w:between w:val="nil"/>
          <w:bar w:val="nil"/>
        </w:pBdr>
        <w:spacing w:before="0" w:after="240"/>
        <w:rPr>
          <w:rFonts w:eastAsia="Arial Unicode MS"/>
        </w:rPr>
      </w:pPr>
      <w:r w:rsidRPr="00DE17F1">
        <w:t xml:space="preserve">Bei der zweiten Sitzung des Gemischten Ausschusses am </w:t>
      </w:r>
      <w:r w:rsidRPr="00B754E0">
        <w:t>25</w:t>
      </w:r>
      <w:r w:rsidRPr="00DE17F1">
        <w:t xml:space="preserve">. November </w:t>
      </w:r>
      <w:r w:rsidRPr="00B754E0">
        <w:t>2021</w:t>
      </w:r>
      <w:r w:rsidRPr="00DE17F1">
        <w:t xml:space="preserve"> beantragte Norwegen nach Artikel </w:t>
      </w:r>
      <w:r w:rsidRPr="00B754E0">
        <w:t>41</w:t>
      </w:r>
      <w:r w:rsidRPr="00DE17F1">
        <w:t xml:space="preserve"> Absatz </w:t>
      </w:r>
      <w:r w:rsidRPr="00B754E0">
        <w:t>5</w:t>
      </w:r>
      <w:r w:rsidRPr="00DE17F1">
        <w:t xml:space="preserve"> förmlich die Änderung der Übereinkunft.</w:t>
      </w:r>
    </w:p>
    <w:p w14:paraId="5EC440C7" w14:textId="77777777" w:rsidR="00B754E0" w:rsidRPr="00DE17F1" w:rsidRDefault="00B754E0" w:rsidP="00B754E0">
      <w:pPr>
        <w:pStyle w:val="ManualHeading2"/>
        <w:rPr>
          <w:rFonts w:eastAsia="Arial Unicode MS"/>
          <w:u w:color="000000"/>
          <w:bdr w:val="nil"/>
        </w:rPr>
      </w:pPr>
      <w:r w:rsidRPr="00DE17F1">
        <w:rPr>
          <w:u w:color="000000"/>
          <w:bdr w:val="nil"/>
        </w:rPr>
        <w:t>•</w:t>
      </w:r>
      <w:r w:rsidRPr="00DE17F1">
        <w:tab/>
      </w:r>
      <w:r w:rsidRPr="00DE17F1">
        <w:rPr>
          <w:u w:color="000000"/>
          <w:bdr w:val="nil"/>
        </w:rPr>
        <w:t>Verhältnismäßigkeit</w:t>
      </w:r>
    </w:p>
    <w:p w14:paraId="29F5F92C" w14:textId="77777777" w:rsidR="00B754E0" w:rsidRPr="00DE17F1" w:rsidRDefault="00B754E0" w:rsidP="00B754E0">
      <w:pPr>
        <w:pBdr>
          <w:top w:val="nil"/>
          <w:left w:val="nil"/>
          <w:bottom w:val="nil"/>
          <w:right w:val="nil"/>
          <w:between w:val="nil"/>
          <w:bar w:val="nil"/>
        </w:pBdr>
        <w:spacing w:before="0" w:after="240"/>
        <w:rPr>
          <w:rFonts w:eastAsia="Arial Unicode MS"/>
        </w:rPr>
      </w:pPr>
      <w:r w:rsidRPr="00DE17F1">
        <w:t>Die Instrumente der Zusammenarbeit, die in die geänderte Übereinkunft aufgenommen werden sollen, werden dem Grundsatz der Verhältnismäßigkeit entsprechen und nicht über das hinausgehen, was für die Erreichung des Ziels, einen gemeinsamen Rahmen für die Verwaltungszusammenarbeit zwischen der Europäischen Union und dem Königreich Norwegen auf dem Gebiet der Mehrwertsteuer zu schaffen, erforderlich ist, Die Änderung der Übereinkunft wird es den für die Anwendung der MwSt-Vorschriften zuständigen Behörden der Mitgliedstaaten ermöglichen, mit den norwegischen Steuerbehörden in gleicher Weise zusammenzuarbeiten, wie dies zwischen den Mitgliedstaaten und auf der Grundlage des EU-Besitzstands geschieht.</w:t>
      </w:r>
    </w:p>
    <w:p w14:paraId="5C64CF85" w14:textId="77777777" w:rsidR="00B754E0" w:rsidRPr="00DE17F1" w:rsidRDefault="00B754E0" w:rsidP="00B754E0">
      <w:pPr>
        <w:pStyle w:val="ManualHeading2"/>
      </w:pPr>
      <w:r w:rsidRPr="00B754E0">
        <w:t>3</w:t>
      </w:r>
      <w:r w:rsidRPr="00DE17F1">
        <w:t>.</w:t>
      </w:r>
      <w:r w:rsidRPr="00DE17F1">
        <w:tab/>
        <w:t>ERGEBNISSE DER EX-POST-BEWERTUNG, DER KONSULTATION DER INTERESSENTRÄGER UND DER FOLGENABSCHÄTZUNG</w:t>
      </w:r>
    </w:p>
    <w:p w14:paraId="227A068C" w14:textId="77777777" w:rsidR="00B754E0" w:rsidRPr="00DE17F1" w:rsidRDefault="00B754E0" w:rsidP="00B754E0">
      <w:pPr>
        <w:pStyle w:val="ManualHeading2"/>
        <w:rPr>
          <w:rFonts w:eastAsia="Arial Unicode MS"/>
          <w:u w:color="000000"/>
          <w:bdr w:val="nil"/>
        </w:rPr>
      </w:pPr>
      <w:r w:rsidRPr="00DE17F1">
        <w:rPr>
          <w:u w:color="000000"/>
          <w:bdr w:val="nil"/>
        </w:rPr>
        <w:t>•</w:t>
      </w:r>
      <w:r w:rsidRPr="00DE17F1">
        <w:tab/>
      </w:r>
      <w:r w:rsidRPr="00DE17F1">
        <w:rPr>
          <w:u w:color="000000"/>
          <w:bdr w:val="nil"/>
        </w:rPr>
        <w:t>Konsultation der Interessenträger</w:t>
      </w:r>
    </w:p>
    <w:p w14:paraId="3E59EB8C" w14:textId="77777777" w:rsidR="00B754E0" w:rsidRPr="00DE17F1" w:rsidRDefault="00B754E0" w:rsidP="00B754E0">
      <w:r w:rsidRPr="00DE17F1">
        <w:t xml:space="preserve">Bei der zweiten Sitzung des Gemischten Ausschusses am </w:t>
      </w:r>
      <w:r w:rsidRPr="00B754E0">
        <w:t>25</w:t>
      </w:r>
      <w:r w:rsidRPr="00DE17F1">
        <w:t xml:space="preserve">. November </w:t>
      </w:r>
      <w:r w:rsidRPr="00B754E0">
        <w:t>2021</w:t>
      </w:r>
      <w:r w:rsidRPr="00DE17F1">
        <w:t xml:space="preserve"> legte Norwegen den Entwurf eines Beschlusses des Gemischten Ausschusses vor, mit dem die Wiederaufnahme von Verhandlungen zur Änderung der Übereinkunft gemäß Artikel </w:t>
      </w:r>
      <w:r w:rsidRPr="00B754E0">
        <w:t>41</w:t>
      </w:r>
      <w:r w:rsidRPr="00DE17F1">
        <w:t xml:space="preserve"> Absatz </w:t>
      </w:r>
      <w:r w:rsidRPr="00B754E0">
        <w:t>5</w:t>
      </w:r>
      <w:r w:rsidRPr="00DE17F1">
        <w:t xml:space="preserve"> vorgeschlagen wird.  </w:t>
      </w:r>
    </w:p>
    <w:p w14:paraId="1AAE26AA" w14:textId="77777777" w:rsidR="00B754E0" w:rsidRPr="00DE17F1" w:rsidRDefault="00B754E0" w:rsidP="00B754E0">
      <w:r w:rsidRPr="00DE17F1">
        <w:t xml:space="preserve">Dieser Entwurf eines Beschlusses des Gemischten Ausschusses ist für die Kommission nicht bindend und wird erst (im schriftlichen Verfahren) angenommen, nachdem der Rat die Ermächtigung der Kommission zur Wiederaufnahme der Verhandlungen über die Änderung der Übereinkunft genehmigt hat. </w:t>
      </w:r>
    </w:p>
    <w:p w14:paraId="260E0234" w14:textId="77777777" w:rsidR="00B754E0" w:rsidRPr="00DE17F1" w:rsidRDefault="00B754E0" w:rsidP="00B754E0">
      <w:r w:rsidRPr="00DE17F1">
        <w:t xml:space="preserve">Die Arbeitsgruppe „Steuerfragen“ des Rates wurde am </w:t>
      </w:r>
      <w:r w:rsidRPr="00B754E0">
        <w:t>8</w:t>
      </w:r>
      <w:r w:rsidRPr="00DE17F1">
        <w:t xml:space="preserve">. Dezember </w:t>
      </w:r>
      <w:r w:rsidRPr="00B754E0">
        <w:t>2021</w:t>
      </w:r>
      <w:r w:rsidRPr="00DE17F1">
        <w:t xml:space="preserve"> über den Antrag Norwegens auf Änderung der Übereinkunft unterrichtet. </w:t>
      </w:r>
    </w:p>
    <w:p w14:paraId="02775272" w14:textId="77777777" w:rsidR="00B754E0" w:rsidRPr="00DE17F1" w:rsidRDefault="00B754E0" w:rsidP="00B754E0">
      <w:pPr>
        <w:pBdr>
          <w:top w:val="nil"/>
          <w:left w:val="nil"/>
          <w:bottom w:val="nil"/>
          <w:right w:val="nil"/>
          <w:between w:val="nil"/>
          <w:bar w:val="nil"/>
        </w:pBdr>
        <w:spacing w:before="0" w:after="240"/>
        <w:rPr>
          <w:rStyle w:val="Marker"/>
          <w:rFonts w:eastAsia="Arial Unicode MS"/>
        </w:rPr>
      </w:pPr>
      <w:r w:rsidRPr="00DE17F1">
        <w:t>Die Arbeitsgruppe wird während des gesamten Verfahrens über den Stand der Verhandlungen unterrichtet und zu den Ergebnissen konsultiert.</w:t>
      </w:r>
      <w:r w:rsidRPr="00DE17F1">
        <w:rPr>
          <w:rStyle w:val="Marker"/>
        </w:rPr>
        <w:t xml:space="preserve"> </w:t>
      </w:r>
    </w:p>
    <w:p w14:paraId="36A292D1" w14:textId="77777777" w:rsidR="00B754E0" w:rsidRPr="00DE17F1" w:rsidRDefault="00B754E0" w:rsidP="00B754E0">
      <w:pPr>
        <w:pStyle w:val="ManualHeading2"/>
        <w:rPr>
          <w:rFonts w:eastAsia="Arial Unicode MS"/>
          <w:u w:color="000000"/>
          <w:bdr w:val="nil"/>
        </w:rPr>
      </w:pPr>
      <w:r w:rsidRPr="00DE17F1">
        <w:rPr>
          <w:u w:color="000000"/>
          <w:bdr w:val="nil"/>
        </w:rPr>
        <w:t>•</w:t>
      </w:r>
      <w:r w:rsidRPr="00DE17F1">
        <w:tab/>
      </w:r>
      <w:r w:rsidRPr="00DE17F1">
        <w:rPr>
          <w:u w:color="000000"/>
          <w:bdr w:val="nil"/>
        </w:rPr>
        <w:t>Folgenabschätzung</w:t>
      </w:r>
    </w:p>
    <w:p w14:paraId="15E726A2" w14:textId="77777777" w:rsidR="00B754E0" w:rsidRPr="00DE17F1" w:rsidRDefault="00B754E0" w:rsidP="00B754E0">
      <w:pPr>
        <w:rPr>
          <w:rFonts w:eastAsia="Times New Roman"/>
        </w:rPr>
      </w:pPr>
      <w:r w:rsidRPr="00DE17F1">
        <w:t>Gemäß Instrument Nr. </w:t>
      </w:r>
      <w:r w:rsidRPr="00B754E0">
        <w:t>7</w:t>
      </w:r>
      <w:r w:rsidRPr="00DE17F1">
        <w:t xml:space="preserve"> des Instrumentariums für eine bessere Rechtsetzung</w:t>
      </w:r>
      <w:r w:rsidRPr="00DE17F1">
        <w:rPr>
          <w:rStyle w:val="FootnoteReference0"/>
          <w:rFonts w:eastAsia="Times New Roman"/>
        </w:rPr>
        <w:footnoteReference w:id="7"/>
      </w:r>
      <w:r w:rsidRPr="00DE17F1">
        <w:t xml:space="preserve"> ist eine Folgenabschätzung nicht erforderlich, wenn die Auswirkungen nicht im Voraus eindeutig ermittelt werden können, die Auswirkungen gering sind oder die Kommission in dieser Angelegenheit wenig oder gar keine Wahlmöglichkeiten hat. </w:t>
      </w:r>
    </w:p>
    <w:p w14:paraId="5FC1E300" w14:textId="77777777" w:rsidR="00B754E0" w:rsidRPr="00DE17F1" w:rsidRDefault="00B754E0" w:rsidP="00B754E0">
      <w:pPr>
        <w:rPr>
          <w:rFonts w:eastAsia="Times New Roman"/>
        </w:rPr>
      </w:pPr>
      <w:r w:rsidRPr="00DE17F1">
        <w:t>Da eine Empfehlung sehr allgemein gehalten ist und ein hohes Maß an Flexibilität gewährleistet, ist die erste Bedingung, die in Instrument Nr. </w:t>
      </w:r>
      <w:r w:rsidRPr="00B754E0">
        <w:t>7</w:t>
      </w:r>
      <w:r w:rsidRPr="00DE17F1">
        <w:t xml:space="preserve"> des Instrumentariums für eine bessere Rechtsetzung genannt wird, erfüllt. Der Weiteren ist die Kommission zum gegenwärtigen Zeitpunkt durch die Empfehlung nicht an einen bestimmten Standpunkt gebunden. Die geplante Empfehlung der Kommission wird lediglich die „Ermächtigung“ durch den Rat zur Aufnahme von Verhandlungen mit Norwegen umfassen. Es ergeben sich keinerlei Auswirkungen für die Steuerbehörden oder die Steuerpflichtigen in der EU. Die Verhandlungen werden sich auf einige wenige Verwaltungsinstrumente konzentrieren, die möglicherweise der bereits in Kraft getretenen Übereinkunft zwischen der EU und Norwegen über die Zusammenarbeit im Bereich der Mehrwertsteuer hinzugefügt werden. Die Kommission hat kaum oder gar keine Wahlmöglichkeiten, da die Empfehlung der vorgeschriebene Verfahrensschritt zur Aufnahme von Verhandlungen mit einem Drittland ist.</w:t>
      </w:r>
    </w:p>
    <w:p w14:paraId="2C2E6226" w14:textId="77777777" w:rsidR="00B754E0" w:rsidRPr="00DE17F1" w:rsidRDefault="00B754E0" w:rsidP="00B754E0">
      <w:pPr>
        <w:pBdr>
          <w:top w:val="nil"/>
          <w:left w:val="nil"/>
          <w:bottom w:val="nil"/>
          <w:right w:val="nil"/>
          <w:between w:val="nil"/>
          <w:bar w:val="nil"/>
        </w:pBdr>
        <w:spacing w:before="0" w:after="240"/>
        <w:rPr>
          <w:rFonts w:eastAsia="Arial Unicode MS"/>
        </w:rPr>
      </w:pPr>
      <w:r w:rsidRPr="00DE17F1">
        <w:t xml:space="preserve">In der Praxis wird das Ergebnis der geplanten Empfehlung kein neuer Rechtsakt sein, sondern nur die Wiederaufnahme der Verhandlungen. </w:t>
      </w:r>
    </w:p>
    <w:p w14:paraId="0A781BE8" w14:textId="77777777" w:rsidR="00B754E0" w:rsidRPr="00DE17F1" w:rsidRDefault="00B754E0" w:rsidP="00B754E0">
      <w:pPr>
        <w:pStyle w:val="ManualHeading2"/>
        <w:rPr>
          <w:rFonts w:eastAsia="Arial Unicode MS"/>
          <w:u w:color="000000"/>
          <w:bdr w:val="nil"/>
        </w:rPr>
      </w:pPr>
      <w:r w:rsidRPr="00DE17F1">
        <w:rPr>
          <w:u w:color="000000"/>
          <w:bdr w:val="nil"/>
        </w:rPr>
        <w:t>•</w:t>
      </w:r>
      <w:r w:rsidRPr="00DE17F1">
        <w:tab/>
      </w:r>
      <w:r w:rsidRPr="00DE17F1">
        <w:rPr>
          <w:u w:color="000000"/>
          <w:bdr w:val="nil"/>
        </w:rPr>
        <w:t>Grundrechte</w:t>
      </w:r>
    </w:p>
    <w:p w14:paraId="3CD34D6D" w14:textId="77777777" w:rsidR="00B754E0" w:rsidRPr="00DE17F1" w:rsidRDefault="00B754E0" w:rsidP="00B754E0">
      <w:pPr>
        <w:pBdr>
          <w:top w:val="nil"/>
          <w:left w:val="nil"/>
          <w:bottom w:val="nil"/>
          <w:right w:val="nil"/>
          <w:between w:val="nil"/>
          <w:bar w:val="nil"/>
        </w:pBdr>
        <w:spacing w:before="0" w:after="240"/>
        <w:rPr>
          <w:rFonts w:eastAsia="Arial Unicode MS"/>
        </w:rPr>
      </w:pPr>
      <w:r w:rsidRPr="00DE17F1">
        <w:t>Die vorgesehene Übereinkunft wird die zentralen Werte der Europäischen Union gemäß Artikel </w:t>
      </w:r>
      <w:r w:rsidRPr="00B754E0">
        <w:t>2</w:t>
      </w:r>
      <w:r w:rsidRPr="00DE17F1">
        <w:t xml:space="preserve"> des Vertrags über die Europäischen Union und der Charta der Grundrechte der Europäischen Union respektieren.</w:t>
      </w:r>
    </w:p>
    <w:p w14:paraId="114E26A4" w14:textId="77777777" w:rsidR="00B754E0" w:rsidRPr="00DE17F1" w:rsidRDefault="00B754E0" w:rsidP="00B754E0">
      <w:pPr>
        <w:pStyle w:val="ManualHeading1"/>
      </w:pPr>
      <w:r w:rsidRPr="00B754E0">
        <w:t>4</w:t>
      </w:r>
      <w:r w:rsidRPr="00DE17F1">
        <w:t>.</w:t>
      </w:r>
      <w:r w:rsidRPr="00DE17F1">
        <w:tab/>
        <w:t>AUSWIRKUNGEN AUF DEN HAUSHALT</w:t>
      </w:r>
    </w:p>
    <w:p w14:paraId="7E2D2576" w14:textId="77777777" w:rsidR="00B754E0" w:rsidRPr="00DE17F1" w:rsidRDefault="00B754E0" w:rsidP="00B754E0">
      <w:pPr>
        <w:pBdr>
          <w:top w:val="nil"/>
          <w:left w:val="nil"/>
          <w:bottom w:val="nil"/>
          <w:right w:val="nil"/>
          <w:between w:val="nil"/>
          <w:bar w:val="nil"/>
        </w:pBdr>
        <w:spacing w:before="0" w:after="240"/>
      </w:pPr>
      <w:r w:rsidRPr="00DE17F1">
        <w:t xml:space="preserve">Der Vorschlag hat keine Auswirkungen auf den EU-Haushalt. </w:t>
      </w:r>
    </w:p>
    <w:p w14:paraId="25030F70" w14:textId="77777777" w:rsidR="00B754E0" w:rsidRPr="00DE17F1" w:rsidRDefault="00B754E0" w:rsidP="00B754E0">
      <w:pPr>
        <w:rPr>
          <w:noProof/>
        </w:rPr>
        <w:sectPr w:rsidR="00B754E0" w:rsidRPr="00DE17F1" w:rsidSect="00FF0E59">
          <w:footerReference w:type="default" r:id="rId15"/>
          <w:footerReference w:type="first" r:id="rId16"/>
          <w:pgSz w:w="11907" w:h="16839"/>
          <w:pgMar w:top="1134" w:right="1417" w:bottom="1134" w:left="1417" w:header="709" w:footer="709" w:gutter="0"/>
          <w:cols w:space="708"/>
          <w:docGrid w:linePitch="360"/>
        </w:sectPr>
      </w:pPr>
    </w:p>
    <w:p w14:paraId="01740100" w14:textId="1026DBAF" w:rsidR="00B754E0" w:rsidRPr="00DE17F1" w:rsidRDefault="00FF0E59" w:rsidP="00FF0E59">
      <w:pPr>
        <w:pStyle w:val="Statut"/>
        <w:rPr>
          <w:noProof/>
        </w:rPr>
      </w:pPr>
      <w:r w:rsidRPr="00FF0E59">
        <w:t>Empfehlung für einen</w:t>
      </w:r>
    </w:p>
    <w:p w14:paraId="5A571126" w14:textId="16651D0A" w:rsidR="00B754E0" w:rsidRPr="00DE17F1" w:rsidRDefault="00FF0E59" w:rsidP="00FF0E59">
      <w:pPr>
        <w:pStyle w:val="Typedudocument"/>
        <w:rPr>
          <w:noProof/>
        </w:rPr>
      </w:pPr>
      <w:r w:rsidRPr="00FF0E59">
        <w:t>BESCHLUSS DES RATES</w:t>
      </w:r>
    </w:p>
    <w:p w14:paraId="5939C8D4" w14:textId="13AE9267" w:rsidR="00B754E0" w:rsidRPr="00DE17F1" w:rsidRDefault="00FF0E59" w:rsidP="00FF0E59">
      <w:pPr>
        <w:pStyle w:val="Titreobjet"/>
        <w:rPr>
          <w:noProof/>
        </w:rPr>
      </w:pPr>
      <w:r w:rsidRPr="00FF0E59">
        <w:t>zur Ermächtigung der Kommission, Verhandlungen über die Änderung der Übereinkunft zwischen der Europäischen Union und dem Königreich Norwegen über die Zusammenarbeit der Verwaltungsbehörden, die Betrugsbekämpfung und die Beitreibung von Forderungen auf dem Gebiet der Mehrwertsteuer aufzunehmen</w:t>
      </w:r>
    </w:p>
    <w:p w14:paraId="18DA5325" w14:textId="77777777" w:rsidR="00B754E0" w:rsidRPr="00DE17F1" w:rsidRDefault="00B754E0" w:rsidP="00B754E0">
      <w:pPr>
        <w:pStyle w:val="Institutionquiagit"/>
        <w:rPr>
          <w:noProof/>
        </w:rPr>
      </w:pPr>
      <w:r w:rsidRPr="00DE17F1">
        <w:t>DER RAT DER EUROPÄISCHEN UNION —</w:t>
      </w:r>
    </w:p>
    <w:p w14:paraId="0AB47C06" w14:textId="77777777" w:rsidR="00B754E0" w:rsidRPr="00DE17F1" w:rsidRDefault="00B754E0" w:rsidP="00B754E0">
      <w:r w:rsidRPr="00DE17F1">
        <w:t>gestützt auf den Vertrag über die Arbeitsweise der Europäischen Union, insbesondere auf Artikel </w:t>
      </w:r>
      <w:r w:rsidRPr="00B754E0">
        <w:t>218</w:t>
      </w:r>
      <w:r w:rsidRPr="00DE17F1">
        <w:t xml:space="preserve"> Absätze </w:t>
      </w:r>
      <w:r w:rsidRPr="00B754E0">
        <w:t>3</w:t>
      </w:r>
      <w:r w:rsidRPr="00DE17F1">
        <w:t xml:space="preserve"> und </w:t>
      </w:r>
      <w:r w:rsidRPr="00B754E0">
        <w:t>4</w:t>
      </w:r>
      <w:r w:rsidRPr="00DE17F1">
        <w:t>,</w:t>
      </w:r>
    </w:p>
    <w:p w14:paraId="4906B3E4" w14:textId="77777777" w:rsidR="00B754E0" w:rsidRPr="00DE17F1" w:rsidRDefault="00B754E0" w:rsidP="00B754E0">
      <w:r w:rsidRPr="00DE17F1">
        <w:t>auf Empfehlung der Europäischen Kommission,</w:t>
      </w:r>
    </w:p>
    <w:p w14:paraId="21301722" w14:textId="77777777" w:rsidR="00B754E0" w:rsidRPr="00DE17F1" w:rsidRDefault="00B754E0" w:rsidP="00B754E0">
      <w:r w:rsidRPr="00DE17F1">
        <w:t>in Erwägung nachstehender Gründe:</w:t>
      </w:r>
    </w:p>
    <w:p w14:paraId="4CF43D01" w14:textId="77777777" w:rsidR="00B754E0" w:rsidRDefault="008C1B09" w:rsidP="008C1B09">
      <w:r>
        <w:t>(1)</w:t>
      </w:r>
      <w:r>
        <w:tab/>
      </w:r>
      <w:r w:rsidR="00B754E0" w:rsidRPr="00DE17F1">
        <w:t xml:space="preserve">Die Zusammenarbeit im Rahmen der Übereinkunft </w:t>
      </w:r>
      <w:r w:rsidR="005053B5" w:rsidRPr="00DE17F1">
        <w:t>zwischen der Europäischen Union und dem Königreich Norwegen über die Zusammenarbeit der Verwaltungsbehörden, die Betrugsbekämpfung und die Beitreibung von Forderungen auf dem Gebiet der Mehrwertsteuer</w:t>
      </w:r>
      <w:r w:rsidR="005053B5" w:rsidRPr="00DE17F1">
        <w:rPr>
          <w:rStyle w:val="FootnoteReference0"/>
          <w:noProof/>
        </w:rPr>
        <w:footnoteReference w:id="8"/>
      </w:r>
      <w:r w:rsidR="005053B5" w:rsidRPr="00DE17F1">
        <w:t xml:space="preserve"> </w:t>
      </w:r>
      <w:r w:rsidR="005053B5">
        <w:t xml:space="preserve">(im Folgenden „Übereinkunft“) </w:t>
      </w:r>
      <w:r w:rsidR="00B754E0" w:rsidRPr="00DE17F1">
        <w:t xml:space="preserve">hat bereits zu sehr positiven Ergebnissen geführt, wie die zweite Sitzung des Gemischten Ausschusses am </w:t>
      </w:r>
      <w:r w:rsidR="00B754E0" w:rsidRPr="00B754E0">
        <w:t>25</w:t>
      </w:r>
      <w:r w:rsidR="00B754E0" w:rsidRPr="00DE17F1">
        <w:t xml:space="preserve">. November </w:t>
      </w:r>
      <w:r w:rsidR="00B754E0" w:rsidRPr="00B754E0">
        <w:t>2021</w:t>
      </w:r>
      <w:r w:rsidR="00B754E0" w:rsidRPr="00DE17F1">
        <w:t xml:space="preserve"> in Oslo gezeigt hat.</w:t>
      </w:r>
    </w:p>
    <w:p w14:paraId="564059C2" w14:textId="77777777" w:rsidR="00B754E0" w:rsidRDefault="001E1CA6" w:rsidP="008C1B09">
      <w:r>
        <w:t>(2)</w:t>
      </w:r>
      <w:r>
        <w:tab/>
      </w:r>
      <w:r w:rsidR="00B754E0" w:rsidRPr="00DE17F1">
        <w:t xml:space="preserve">Den Mitgliedstaaten würde eine Ausweitung der Instrumente für die Zusammenarbeit zugutekommen, die eine wirksamere Zusammenarbeit mit Norwegen ermöglichen würde, insbesondere in Bezug auf die Folgemaßnahmen im Rahmen von Eurofisc. </w:t>
      </w:r>
    </w:p>
    <w:p w14:paraId="563CF393" w14:textId="1444932C" w:rsidR="00B754E0" w:rsidRPr="00DE17F1" w:rsidRDefault="001E1CA6" w:rsidP="008C1B09">
      <w:pPr>
        <w:rPr>
          <w:noProof/>
        </w:rPr>
      </w:pPr>
      <w:r>
        <w:t>(3)</w:t>
      </w:r>
      <w:r>
        <w:tab/>
      </w:r>
      <w:r w:rsidR="00B754E0" w:rsidRPr="00DE17F1">
        <w:t>Es sollten Verhandlungen aufgenommen werden, um die Übereinkunft zu ändern —</w:t>
      </w:r>
    </w:p>
    <w:p w14:paraId="7B5940D1" w14:textId="77777777" w:rsidR="00B754E0" w:rsidRPr="00DE17F1" w:rsidRDefault="00B754E0" w:rsidP="00B754E0">
      <w:pPr>
        <w:pStyle w:val="Formuledadoption"/>
        <w:rPr>
          <w:noProof/>
        </w:rPr>
      </w:pPr>
      <w:r w:rsidRPr="00DE17F1">
        <w:t xml:space="preserve">HAT FOLGENDEN BESCHLUSS ERLASSEN: </w:t>
      </w:r>
    </w:p>
    <w:p w14:paraId="2A1879C7" w14:textId="77777777" w:rsidR="00B754E0" w:rsidRPr="00DE17F1" w:rsidRDefault="00B754E0" w:rsidP="00B754E0">
      <w:pPr>
        <w:pStyle w:val="Titrearticle"/>
        <w:rPr>
          <w:noProof/>
        </w:rPr>
      </w:pPr>
      <w:r w:rsidRPr="00DE17F1">
        <w:t xml:space="preserve">Artikel </w:t>
      </w:r>
      <w:r w:rsidRPr="00B754E0">
        <w:t>1</w:t>
      </w:r>
    </w:p>
    <w:p w14:paraId="080497D8" w14:textId="77777777" w:rsidR="00B754E0" w:rsidRPr="00DE17F1" w:rsidRDefault="00B754E0" w:rsidP="00B754E0">
      <w:r w:rsidRPr="00DE17F1">
        <w:t>Die Kommission wird hiermit ermächtigt, im Namen der Union Verhandlungen aufzunehmen, um die Übereinkunft zwischen der Europäischen Union und dem Königreich Norwegen über die Zusammenarbeit der Verwaltungsbehörden, die Betrugsbekämpfung und die Beitreibung von Forderungen auf dem Gebiet der Mehrwertsteuer zu ändern.</w:t>
      </w:r>
    </w:p>
    <w:p w14:paraId="3341F710" w14:textId="77777777" w:rsidR="00B754E0" w:rsidRPr="00DE17F1" w:rsidRDefault="00B754E0" w:rsidP="00B754E0">
      <w:pPr>
        <w:jc w:val="center"/>
        <w:rPr>
          <w:i/>
        </w:rPr>
      </w:pPr>
      <w:r w:rsidRPr="00DE17F1">
        <w:rPr>
          <w:i/>
        </w:rPr>
        <w:t xml:space="preserve">Artikel </w:t>
      </w:r>
      <w:r w:rsidRPr="00B754E0">
        <w:rPr>
          <w:i/>
        </w:rPr>
        <w:t>2</w:t>
      </w:r>
    </w:p>
    <w:p w14:paraId="04AFE021" w14:textId="77777777" w:rsidR="00B754E0" w:rsidRPr="00DE17F1" w:rsidRDefault="00B754E0" w:rsidP="00B754E0">
      <w:r w:rsidRPr="00DE17F1">
        <w:t>Die Verhandlungsrichtlinien sind im Anhang festgelegt.</w:t>
      </w:r>
    </w:p>
    <w:p w14:paraId="6A36181E" w14:textId="77777777" w:rsidR="00B754E0" w:rsidRPr="00DE17F1" w:rsidRDefault="00B754E0" w:rsidP="00B754E0">
      <w:pPr>
        <w:pStyle w:val="Titrearticle"/>
        <w:rPr>
          <w:noProof/>
        </w:rPr>
      </w:pPr>
      <w:r w:rsidRPr="00DE17F1">
        <w:t xml:space="preserve">Artikel </w:t>
      </w:r>
      <w:r w:rsidRPr="00B754E0">
        <w:t>3</w:t>
      </w:r>
    </w:p>
    <w:p w14:paraId="384837B3" w14:textId="77777777" w:rsidR="00B754E0" w:rsidRPr="00DE17F1" w:rsidRDefault="00B754E0" w:rsidP="00B754E0">
      <w:r w:rsidRPr="00DE17F1">
        <w:t>Die Verhandlungen werden in Abstimmung mit der Arbeitsgruppe „Steuerfragen“ des Rates geführt.</w:t>
      </w:r>
    </w:p>
    <w:p w14:paraId="458DB115" w14:textId="77777777" w:rsidR="00B754E0" w:rsidRPr="00DE17F1" w:rsidRDefault="00B754E0" w:rsidP="00B754E0">
      <w:pPr>
        <w:pStyle w:val="Titrearticle"/>
        <w:rPr>
          <w:noProof/>
        </w:rPr>
      </w:pPr>
      <w:r w:rsidRPr="00DE17F1">
        <w:t xml:space="preserve">Artikel </w:t>
      </w:r>
      <w:r w:rsidRPr="00B754E0">
        <w:t>4</w:t>
      </w:r>
    </w:p>
    <w:p w14:paraId="67CF5169" w14:textId="77777777" w:rsidR="00B754E0" w:rsidRPr="00DE17F1" w:rsidRDefault="00B754E0" w:rsidP="00B754E0">
      <w:r w:rsidRPr="00DE17F1">
        <w:t>Dieser Beschluss ist an die Kommission gerichtet.</w:t>
      </w:r>
    </w:p>
    <w:p w14:paraId="177320BC" w14:textId="2E2A4E50" w:rsidR="00B754E0" w:rsidRPr="00DE17F1" w:rsidRDefault="00FF0E59" w:rsidP="00FF0E59">
      <w:pPr>
        <w:pStyle w:val="Fait"/>
      </w:pPr>
      <w:r w:rsidRPr="00FF0E59">
        <w:t xml:space="preserve">Geschehen zu Brüssel am </w:t>
      </w:r>
      <w:r w:rsidRPr="00FF0E59">
        <w:rPr>
          <w:rStyle w:val="Marker"/>
        </w:rPr>
        <w:t>[…]</w:t>
      </w:r>
    </w:p>
    <w:p w14:paraId="36BB7BE1" w14:textId="77777777" w:rsidR="00B754E0" w:rsidRPr="00DE17F1" w:rsidRDefault="00B754E0" w:rsidP="00B754E0">
      <w:pPr>
        <w:pStyle w:val="Institutionquisigne"/>
      </w:pPr>
      <w:r w:rsidRPr="00DE17F1">
        <w:tab/>
        <w:t>Im Namen des Rates</w:t>
      </w:r>
    </w:p>
    <w:p w14:paraId="518C2753" w14:textId="77777777" w:rsidR="00AC48E4" w:rsidRPr="00B754E0" w:rsidRDefault="00B754E0" w:rsidP="00B754E0">
      <w:pPr>
        <w:pStyle w:val="Personnequisigne"/>
      </w:pPr>
      <w:r w:rsidRPr="00DE17F1">
        <w:tab/>
        <w:t>Der Präsident /// Die Präsidentin</w:t>
      </w:r>
    </w:p>
    <w:sectPr w:rsidR="00AC48E4" w:rsidRPr="00B754E0" w:rsidSect="00FF0E5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D271F" w14:textId="77777777" w:rsidR="001A2AD7" w:rsidRDefault="001A2AD7" w:rsidP="005C0E60">
      <w:pPr>
        <w:spacing w:before="0" w:after="0"/>
      </w:pPr>
      <w:r>
        <w:separator/>
      </w:r>
    </w:p>
  </w:endnote>
  <w:endnote w:type="continuationSeparator" w:id="0">
    <w:p w14:paraId="314137D3" w14:textId="77777777" w:rsidR="001A2AD7" w:rsidRDefault="001A2AD7" w:rsidP="005C0E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1D65F" w14:textId="77777777" w:rsidR="00FF0E59" w:rsidRPr="00FF0E59" w:rsidRDefault="00FF0E59" w:rsidP="00FF0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46740" w14:textId="1A95A94D" w:rsidR="00FF0E59" w:rsidRPr="00FF0E59" w:rsidRDefault="00FF0E59" w:rsidP="00FF0E59">
    <w:pPr>
      <w:pStyle w:val="Footer"/>
      <w:rPr>
        <w:rFonts w:ascii="Arial" w:hAnsi="Arial" w:cs="Arial"/>
        <w:b/>
        <w:sz w:val="48"/>
      </w:rPr>
    </w:pPr>
    <w:r w:rsidRPr="00FF0E59">
      <w:rPr>
        <w:rFonts w:ascii="Arial" w:hAnsi="Arial" w:cs="Arial"/>
        <w:b/>
        <w:sz w:val="48"/>
      </w:rPr>
      <w:t>DE</w:t>
    </w:r>
    <w:r w:rsidRPr="00FF0E59">
      <w:rPr>
        <w:rFonts w:ascii="Arial" w:hAnsi="Arial" w:cs="Arial"/>
        <w:b/>
        <w:sz w:val="48"/>
      </w:rPr>
      <w:tab/>
    </w:r>
    <w:r w:rsidRPr="00FF0E59">
      <w:rPr>
        <w:rFonts w:ascii="Arial" w:hAnsi="Arial" w:cs="Arial"/>
        <w:b/>
        <w:sz w:val="48"/>
      </w:rPr>
      <w:tab/>
    </w:r>
    <w:r w:rsidRPr="00FF0E59">
      <w:tab/>
    </w:r>
    <w:r w:rsidRPr="00FF0E59">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6C2BA" w14:textId="77777777" w:rsidR="00FF0E59" w:rsidRPr="00FF0E59" w:rsidRDefault="00FF0E59" w:rsidP="00FF0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0E44" w14:textId="063B5ED7" w:rsidR="00FF0E59" w:rsidRPr="00FF0E59" w:rsidRDefault="00FF0E59" w:rsidP="00FF0E59">
    <w:pPr>
      <w:pStyle w:val="Footer"/>
      <w:rPr>
        <w:rFonts w:ascii="Arial" w:hAnsi="Arial" w:cs="Arial"/>
        <w:b/>
        <w:sz w:val="48"/>
      </w:rPr>
    </w:pPr>
    <w:r w:rsidRPr="00FF0E59">
      <w:rPr>
        <w:rFonts w:ascii="Arial" w:hAnsi="Arial" w:cs="Arial"/>
        <w:b/>
        <w:sz w:val="48"/>
      </w:rPr>
      <w:t>DE</w:t>
    </w:r>
    <w:r w:rsidRPr="00FF0E59">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FF0E59">
      <w:tab/>
    </w:r>
    <w:r w:rsidRPr="00FF0E59">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06EB5" w14:textId="77777777" w:rsidR="00FF0E59" w:rsidRPr="00FF0E59" w:rsidRDefault="00FF0E59" w:rsidP="00FF0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25C19" w14:textId="77777777" w:rsidR="001A2AD7" w:rsidRDefault="001A2AD7" w:rsidP="005C0E60">
      <w:pPr>
        <w:spacing w:before="0" w:after="0"/>
      </w:pPr>
      <w:r>
        <w:separator/>
      </w:r>
    </w:p>
  </w:footnote>
  <w:footnote w:type="continuationSeparator" w:id="0">
    <w:p w14:paraId="514328FC" w14:textId="77777777" w:rsidR="001A2AD7" w:rsidRDefault="001A2AD7" w:rsidP="005C0E60">
      <w:pPr>
        <w:spacing w:before="0" w:after="0"/>
      </w:pPr>
      <w:r>
        <w:continuationSeparator/>
      </w:r>
    </w:p>
  </w:footnote>
  <w:footnote w:id="1">
    <w:p w14:paraId="2B6F3A49" w14:textId="77777777" w:rsidR="00B754E0" w:rsidRPr="00B5014E" w:rsidRDefault="00B754E0" w:rsidP="00B754E0">
      <w:pPr>
        <w:pStyle w:val="FootnoteText"/>
      </w:pPr>
      <w:r>
        <w:rPr>
          <w:rStyle w:val="FootnoteReference0"/>
        </w:rPr>
        <w:footnoteRef/>
      </w:r>
      <w:r w:rsidRPr="00B5014E">
        <w:tab/>
        <w:t>Verordnung (EU) Nr. </w:t>
      </w:r>
      <w:r w:rsidRPr="00B754E0">
        <w:t>904</w:t>
      </w:r>
      <w:r w:rsidRPr="00B5014E">
        <w:t>/</w:t>
      </w:r>
      <w:r w:rsidRPr="00B754E0">
        <w:t>2010</w:t>
      </w:r>
      <w:r w:rsidRPr="00B5014E">
        <w:t xml:space="preserve"> des Rates vom </w:t>
      </w:r>
      <w:r w:rsidRPr="00B754E0">
        <w:t>7</w:t>
      </w:r>
      <w:r w:rsidRPr="00B5014E">
        <w:t xml:space="preserve">. Oktober </w:t>
      </w:r>
      <w:r w:rsidRPr="00B754E0">
        <w:t>2010</w:t>
      </w:r>
      <w:r w:rsidRPr="00B5014E">
        <w:t xml:space="preserve"> über die Zusammenarbeit der Verwaltungsbehörden und die Betrugsbekämpfung auf dem Gebiet der Mehrwertsteuer (ABl. L </w:t>
      </w:r>
      <w:r w:rsidRPr="00B754E0">
        <w:t>268</w:t>
      </w:r>
      <w:r w:rsidRPr="00B5014E">
        <w:t xml:space="preserve"> vom </w:t>
      </w:r>
      <w:r w:rsidRPr="00B754E0">
        <w:t>12</w:t>
      </w:r>
      <w:r w:rsidRPr="00B5014E">
        <w:t>.</w:t>
      </w:r>
      <w:r w:rsidRPr="00B754E0">
        <w:t>10</w:t>
      </w:r>
      <w:r w:rsidRPr="00B5014E">
        <w:t>.</w:t>
      </w:r>
      <w:r w:rsidRPr="00B754E0">
        <w:t>2010</w:t>
      </w:r>
      <w:r w:rsidRPr="00B5014E">
        <w:t>, S. </w:t>
      </w:r>
      <w:r w:rsidRPr="00B754E0">
        <w:t>1</w:t>
      </w:r>
      <w:r w:rsidRPr="00B5014E">
        <w:t>).</w:t>
      </w:r>
    </w:p>
  </w:footnote>
  <w:footnote w:id="2">
    <w:p w14:paraId="651BD829" w14:textId="77777777" w:rsidR="00B754E0" w:rsidRPr="00B5014E" w:rsidRDefault="00B754E0" w:rsidP="00B754E0">
      <w:pPr>
        <w:pStyle w:val="FootnoteText"/>
      </w:pPr>
      <w:r>
        <w:rPr>
          <w:rStyle w:val="FootnoteReference0"/>
        </w:rPr>
        <w:footnoteRef/>
      </w:r>
      <w:r w:rsidRPr="00B5014E">
        <w:tab/>
        <w:t xml:space="preserve">Richtlinie </w:t>
      </w:r>
      <w:r w:rsidRPr="00B754E0">
        <w:t>2010</w:t>
      </w:r>
      <w:r w:rsidRPr="00B5014E">
        <w:t>/</w:t>
      </w:r>
      <w:r w:rsidRPr="00B754E0">
        <w:t>24</w:t>
      </w:r>
      <w:r w:rsidRPr="00B5014E">
        <w:t xml:space="preserve">/EU des Rates vom </w:t>
      </w:r>
      <w:r w:rsidRPr="00B754E0">
        <w:t>16</w:t>
      </w:r>
      <w:r w:rsidRPr="00B5014E">
        <w:t xml:space="preserve">. März </w:t>
      </w:r>
      <w:r w:rsidRPr="00B754E0">
        <w:t>2010</w:t>
      </w:r>
      <w:r w:rsidRPr="00B5014E">
        <w:t xml:space="preserve"> über die Amtshilfe bei der Beitreibung von Forderungen in Bezug auf bestimmte Steuern, Abgaben und sonstige Maßnahmen (ABl. L </w:t>
      </w:r>
      <w:r w:rsidRPr="00B754E0">
        <w:t>84</w:t>
      </w:r>
      <w:r w:rsidRPr="00B5014E">
        <w:t xml:space="preserve"> vom </w:t>
      </w:r>
      <w:r w:rsidRPr="00B754E0">
        <w:t>31</w:t>
      </w:r>
      <w:r w:rsidRPr="00B5014E">
        <w:t>.</w:t>
      </w:r>
      <w:r w:rsidRPr="00B754E0">
        <w:t>3</w:t>
      </w:r>
      <w:r w:rsidRPr="00B5014E">
        <w:t>.</w:t>
      </w:r>
      <w:r w:rsidRPr="00B754E0">
        <w:t>2010</w:t>
      </w:r>
      <w:r w:rsidRPr="00B5014E">
        <w:t>, S. </w:t>
      </w:r>
      <w:r w:rsidRPr="00B754E0">
        <w:t>1</w:t>
      </w:r>
      <w:r w:rsidRPr="00B5014E">
        <w:t>).</w:t>
      </w:r>
    </w:p>
  </w:footnote>
  <w:footnote w:id="3">
    <w:p w14:paraId="78408E55" w14:textId="77777777" w:rsidR="00B754E0" w:rsidRPr="00B5014E" w:rsidRDefault="00B754E0" w:rsidP="00B754E0">
      <w:pPr>
        <w:pStyle w:val="FootnoteText"/>
      </w:pPr>
      <w:r>
        <w:rPr>
          <w:rStyle w:val="FootnoteReference0"/>
        </w:rPr>
        <w:footnoteRef/>
      </w:r>
      <w:r w:rsidRPr="00B5014E">
        <w:tab/>
        <w:t xml:space="preserve">Verordnung (EU) </w:t>
      </w:r>
      <w:r w:rsidRPr="00B754E0">
        <w:t>2018</w:t>
      </w:r>
      <w:r w:rsidRPr="00B5014E">
        <w:t>/</w:t>
      </w:r>
      <w:r w:rsidRPr="00B754E0">
        <w:t>1541</w:t>
      </w:r>
      <w:r w:rsidRPr="00B5014E">
        <w:t xml:space="preserve"> des Rates vom </w:t>
      </w:r>
      <w:r w:rsidRPr="00B754E0">
        <w:t>2</w:t>
      </w:r>
      <w:r w:rsidRPr="00B5014E">
        <w:t xml:space="preserve">. Oktober </w:t>
      </w:r>
      <w:r w:rsidRPr="00B754E0">
        <w:t>2018</w:t>
      </w:r>
      <w:r w:rsidRPr="00B5014E">
        <w:t xml:space="preserve"> zur Änderung der Verordnungen (EU) Nr. </w:t>
      </w:r>
      <w:r w:rsidRPr="00B754E0">
        <w:t>904</w:t>
      </w:r>
      <w:r w:rsidRPr="00B5014E">
        <w:t>/</w:t>
      </w:r>
      <w:r w:rsidRPr="00B754E0">
        <w:t>2010</w:t>
      </w:r>
      <w:r w:rsidRPr="00B5014E">
        <w:t xml:space="preserve"> und (EU) </w:t>
      </w:r>
      <w:r w:rsidRPr="00B754E0">
        <w:t>2017</w:t>
      </w:r>
      <w:r w:rsidRPr="00B5014E">
        <w:t>/</w:t>
      </w:r>
      <w:r w:rsidRPr="00B754E0">
        <w:t>2454</w:t>
      </w:r>
      <w:r w:rsidRPr="00B5014E">
        <w:t xml:space="preserve"> zur Stärkung der Zusammenarbeit der Verwaltungsbehörden auf dem Gebiet der Mehrwertsteuer (ABl. L </w:t>
      </w:r>
      <w:r w:rsidRPr="00B754E0">
        <w:t>259</w:t>
      </w:r>
      <w:r w:rsidRPr="00B5014E">
        <w:t xml:space="preserve"> vom </w:t>
      </w:r>
      <w:r w:rsidRPr="00B754E0">
        <w:t>16</w:t>
      </w:r>
      <w:r w:rsidRPr="00B5014E">
        <w:t>.</w:t>
      </w:r>
      <w:r w:rsidRPr="00B754E0">
        <w:t>10</w:t>
      </w:r>
      <w:r w:rsidRPr="00B5014E">
        <w:t>.</w:t>
      </w:r>
      <w:r w:rsidRPr="00B754E0">
        <w:t>2018</w:t>
      </w:r>
      <w:r w:rsidRPr="00B5014E">
        <w:t>, S. </w:t>
      </w:r>
      <w:r w:rsidRPr="00B754E0">
        <w:t>1</w:t>
      </w:r>
      <w:r w:rsidRPr="00B5014E">
        <w:t>);</w:t>
      </w:r>
    </w:p>
  </w:footnote>
  <w:footnote w:id="4">
    <w:p w14:paraId="5FA1533B" w14:textId="77777777" w:rsidR="00B754E0" w:rsidRPr="00B5014E" w:rsidRDefault="00B754E0" w:rsidP="00B754E0">
      <w:pPr>
        <w:pStyle w:val="FootnoteText"/>
      </w:pPr>
      <w:r>
        <w:rPr>
          <w:rStyle w:val="FootnoteReference0"/>
        </w:rPr>
        <w:footnoteRef/>
      </w:r>
      <w:r w:rsidRPr="00B5014E">
        <w:tab/>
        <w:t>Verordnung (EU) </w:t>
      </w:r>
      <w:r w:rsidRPr="00B754E0">
        <w:t>2016</w:t>
      </w:r>
      <w:r w:rsidRPr="00B5014E">
        <w:t>/</w:t>
      </w:r>
      <w:r w:rsidRPr="00B754E0">
        <w:t>679</w:t>
      </w:r>
      <w:r w:rsidRPr="00B5014E">
        <w:t xml:space="preserve"> des Europäischen Parlaments und des Rates vom </w:t>
      </w:r>
      <w:r w:rsidRPr="00B754E0">
        <w:t>27</w:t>
      </w:r>
      <w:r w:rsidRPr="00B5014E">
        <w:t xml:space="preserve">. April </w:t>
      </w:r>
      <w:r w:rsidRPr="00B754E0">
        <w:t>2016</w:t>
      </w:r>
      <w:r w:rsidRPr="00B5014E">
        <w:t xml:space="preserve"> zum Schutz natürlicher Personen bei der Verarbeitung personenbezogener Daten, zum freien Datenverkehr und zur Aufhebung der Richtlinie </w:t>
      </w:r>
      <w:r w:rsidRPr="00B754E0">
        <w:t>95</w:t>
      </w:r>
      <w:r w:rsidRPr="00B5014E">
        <w:t>/</w:t>
      </w:r>
      <w:r w:rsidRPr="00B754E0">
        <w:t>46</w:t>
      </w:r>
      <w:r w:rsidRPr="00B5014E">
        <w:t>/EG (Datenschutz-Grundverordnung) (ABl. L </w:t>
      </w:r>
      <w:r w:rsidRPr="00B754E0">
        <w:t>119</w:t>
      </w:r>
      <w:r w:rsidRPr="00B5014E">
        <w:t xml:space="preserve"> vom </w:t>
      </w:r>
      <w:r w:rsidRPr="00B754E0">
        <w:t>4</w:t>
      </w:r>
      <w:r w:rsidRPr="00B5014E">
        <w:t>.</w:t>
      </w:r>
      <w:r w:rsidRPr="00B754E0">
        <w:t>5</w:t>
      </w:r>
      <w:r w:rsidRPr="00B5014E">
        <w:t>.</w:t>
      </w:r>
      <w:r w:rsidRPr="00B754E0">
        <w:t>2016</w:t>
      </w:r>
      <w:r w:rsidRPr="00B5014E">
        <w:t>, S. </w:t>
      </w:r>
      <w:r w:rsidRPr="00B754E0">
        <w:t>1</w:t>
      </w:r>
      <w:r w:rsidRPr="00B5014E">
        <w:t>).</w:t>
      </w:r>
    </w:p>
  </w:footnote>
  <w:footnote w:id="5">
    <w:p w14:paraId="4B02DE1E" w14:textId="77777777" w:rsidR="00B754E0" w:rsidRPr="00B5014E" w:rsidRDefault="00B754E0" w:rsidP="00B754E0">
      <w:pPr>
        <w:pStyle w:val="FootnoteText"/>
      </w:pPr>
      <w:r>
        <w:rPr>
          <w:rStyle w:val="FootnoteReference0"/>
        </w:rPr>
        <w:footnoteRef/>
      </w:r>
      <w:r w:rsidRPr="00B5014E">
        <w:tab/>
        <w:t>Maßnahme </w:t>
      </w:r>
      <w:r w:rsidRPr="00B754E0">
        <w:t>14</w:t>
      </w:r>
      <w:r w:rsidRPr="00B5014E">
        <w:t>, COM(</w:t>
      </w:r>
      <w:r w:rsidRPr="00B754E0">
        <w:t>2020</w:t>
      </w:r>
      <w:r w:rsidRPr="00B5014E">
        <w:t>) </w:t>
      </w:r>
      <w:r w:rsidRPr="00B754E0">
        <w:t>312</w:t>
      </w:r>
      <w:r w:rsidRPr="00B5014E">
        <w:t xml:space="preserve"> final.</w:t>
      </w:r>
    </w:p>
  </w:footnote>
  <w:footnote w:id="6">
    <w:p w14:paraId="480FFD04" w14:textId="77777777" w:rsidR="00B754E0" w:rsidRPr="00B5014E" w:rsidRDefault="00B754E0" w:rsidP="00B754E0">
      <w:pPr>
        <w:pStyle w:val="FootnoteText"/>
        <w:ind w:left="686" w:hanging="686"/>
      </w:pPr>
      <w:r>
        <w:rPr>
          <w:rStyle w:val="FootnoteReference0"/>
        </w:rPr>
        <w:footnoteRef/>
      </w:r>
      <w:r w:rsidRPr="00B5014E">
        <w:tab/>
        <w:t xml:space="preserve">Gutachten </w:t>
      </w:r>
      <w:r w:rsidRPr="00B754E0">
        <w:t>3</w:t>
      </w:r>
      <w:r w:rsidRPr="00B5014E">
        <w:t>/</w:t>
      </w:r>
      <w:r w:rsidRPr="00B754E0">
        <w:t>15</w:t>
      </w:r>
      <w:r w:rsidRPr="00B5014E">
        <w:t xml:space="preserve"> des Gerichtshofs, ECLI:EU:C:</w:t>
      </w:r>
      <w:r w:rsidRPr="00B754E0">
        <w:t>2017</w:t>
      </w:r>
      <w:r w:rsidRPr="00B5014E">
        <w:t>:</w:t>
      </w:r>
      <w:r w:rsidRPr="00B754E0">
        <w:t>114</w:t>
      </w:r>
      <w:r w:rsidRPr="00B5014E">
        <w:t>, Rn. </w:t>
      </w:r>
      <w:r w:rsidRPr="00B754E0">
        <w:t>118</w:t>
      </w:r>
      <w:r w:rsidRPr="00B5014E">
        <w:t xml:space="preserve">, und die dort zitierte Rechtsprechung. </w:t>
      </w:r>
    </w:p>
  </w:footnote>
  <w:footnote w:id="7">
    <w:p w14:paraId="286A4D4F" w14:textId="77777777" w:rsidR="00B754E0" w:rsidRPr="00B5014E" w:rsidRDefault="00B754E0" w:rsidP="00B754E0">
      <w:pPr>
        <w:pStyle w:val="FootnoteText"/>
      </w:pPr>
      <w:r>
        <w:rPr>
          <w:rStyle w:val="FootnoteReference0"/>
        </w:rPr>
        <w:footnoteRef/>
      </w:r>
      <w:r w:rsidRPr="00B5014E">
        <w:tab/>
        <w:t>https://ec.europa.eu/info/sites/default/files/br_toolbox-nov_</w:t>
      </w:r>
      <w:r w:rsidRPr="00B754E0">
        <w:t>2021</w:t>
      </w:r>
      <w:r w:rsidRPr="00B5014E">
        <w:t>_en_</w:t>
      </w:r>
      <w:r w:rsidRPr="00B754E0">
        <w:t>0</w:t>
      </w:r>
      <w:r w:rsidRPr="00B5014E">
        <w:t>.pdf</w:t>
      </w:r>
    </w:p>
  </w:footnote>
  <w:footnote w:id="8">
    <w:p w14:paraId="112494C9" w14:textId="77777777" w:rsidR="005053B5" w:rsidRPr="00B5014E" w:rsidRDefault="005053B5" w:rsidP="005053B5">
      <w:pPr>
        <w:pStyle w:val="FootnoteText"/>
      </w:pPr>
      <w:r>
        <w:rPr>
          <w:rStyle w:val="FootnoteReference0"/>
        </w:rPr>
        <w:footnoteRef/>
      </w:r>
      <w:r w:rsidRPr="00B5014E">
        <w:tab/>
        <w:t>https://eur-lex.europa.eu/legal-content/DE/TXT/?uri=CELEX%</w:t>
      </w:r>
      <w:r w:rsidRPr="00B754E0">
        <w:t>3</w:t>
      </w:r>
      <w:r w:rsidRPr="00B5014E">
        <w:t>A</w:t>
      </w:r>
      <w:r w:rsidRPr="00B754E0">
        <w:t>22018</w:t>
      </w:r>
      <w:r w:rsidRPr="00B5014E">
        <w:t>A</w:t>
      </w:r>
      <w:r w:rsidRPr="00B754E0">
        <w:t>0801</w:t>
      </w:r>
      <w:r w:rsidRPr="00B5014E">
        <w:t>%</w:t>
      </w:r>
      <w:r w:rsidRPr="00B754E0">
        <w:t>2801</w:t>
      </w:r>
      <w:r w:rsidRPr="00B5014E">
        <w:t>%</w:t>
      </w:r>
      <w:r w:rsidRPr="00B754E0">
        <w:t>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BB342" w14:textId="77777777" w:rsidR="00FF0E59" w:rsidRPr="00FF0E59" w:rsidRDefault="00FF0E59" w:rsidP="00FF0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807E0" w14:textId="77777777" w:rsidR="00FF0E59" w:rsidRPr="00FF0E59" w:rsidRDefault="00FF0E59" w:rsidP="00FF0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C9ED8" w14:textId="77777777" w:rsidR="00FF0E59" w:rsidRPr="00FF0E59" w:rsidRDefault="00FF0E59" w:rsidP="00FF0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F8EA31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E6E702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C84EAA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0269C1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BF621A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9FE8B4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9C2EE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AEAB3B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329A7615"/>
    <w:multiLevelType w:val="hybridMultilevel"/>
    <w:tmpl w:val="C7CA2436"/>
    <w:lvl w:ilvl="0" w:tplc="CABE7E46">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6"/>
    <w:lvlOverride w:ilvl="0">
      <w:startOverride w:val="1"/>
    </w:lvlOverride>
  </w:num>
  <w:num w:numId="6">
    <w:abstractNumId w:val="6"/>
  </w:num>
  <w:num w:numId="7">
    <w:abstractNumId w:val="2"/>
  </w:num>
  <w:num w:numId="8">
    <w:abstractNumId w:val="1"/>
  </w:num>
  <w:num w:numId="9">
    <w:abstractNumId w:val="0"/>
  </w:num>
  <w:num w:numId="10">
    <w:abstractNumId w:val="20"/>
  </w:num>
  <w:num w:numId="11">
    <w:abstractNumId w:val="13"/>
  </w:num>
  <w:num w:numId="12">
    <w:abstractNumId w:val="22"/>
  </w:num>
  <w:num w:numId="13">
    <w:abstractNumId w:val="11"/>
  </w:num>
  <w:num w:numId="14">
    <w:abstractNumId w:val="14"/>
  </w:num>
  <w:num w:numId="15">
    <w:abstractNumId w:val="15"/>
  </w:num>
  <w:num w:numId="16">
    <w:abstractNumId w:val="9"/>
  </w:num>
  <w:num w:numId="17">
    <w:abstractNumId w:val="21"/>
  </w:num>
  <w:num w:numId="18">
    <w:abstractNumId w:val="8"/>
  </w:num>
  <w:num w:numId="19">
    <w:abstractNumId w:val="16"/>
  </w:num>
  <w:num w:numId="20">
    <w:abstractNumId w:val="18"/>
  </w:num>
  <w:num w:numId="21">
    <w:abstractNumId w:val="19"/>
  </w:num>
  <w:num w:numId="22">
    <w:abstractNumId w:val="10"/>
  </w:num>
  <w:num w:numId="23">
    <w:abstractNumId w:val="17"/>
  </w:num>
  <w:num w:numId="24">
    <w:abstractNumId w:val="23"/>
  </w:num>
  <w:num w:numId="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attachedTemplate r:id="rId1"/>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4-25 16:54:06"/>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1299ED94-D4F1-44BB-98E1-8E0179EBCF20"/>
    <w:docVar w:name="LW_COVERPAGE_TYPE" w:val="1"/>
    <w:docVar w:name="LW_CROSSREFERENCE" w:val="&lt;UNUSED&gt;"/>
    <w:docVar w:name="LW_DocType" w:val="COM"/>
    <w:docVar w:name="LW_EMISSION" w:val="26.4.2022"/>
    <w:docVar w:name="LW_EMISSION_ISODATE" w:val="2022-04-26"/>
    <w:docVar w:name="LW_EMISSION_LOCATION" w:val="BRX"/>
    <w:docVar w:name="LW_EMISSION_PREFIX" w:val="Brüssel, den "/>
    <w:docVar w:name="LW_EMISSION_SUFFIX" w:val=" "/>
    <w:docVar w:name="LW_ID_DOCMODEL" w:val="SG-001"/>
    <w:docVar w:name="LW_ID_DOCSIGNATURE" w:val="SG-001"/>
    <w:docVar w:name="LW_ID_DOCSTRUCTURE" w:val="COM/PL/ORG/NOEEA"/>
    <w:docVar w:name="LW_ID_DOCTYPE" w:val="SG-001"/>
    <w:docVar w:name="LW_ID_EXP.MOTIFS.NEW" w:val="EM_PL_"/>
    <w:docVar w:name="LW_ID_STATUT" w:val="SG-001"/>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lt;UNUSED&gt;"/>
    <w:docVar w:name="LW_REF.II.NEW.CP_NUMBER" w:val="&lt;UNUSED&gt;"/>
    <w:docVar w:name="LW_REF.II.NEW.CP_YEAR" w:val="2022"/>
    <w:docVar w:name="LW_REF.INST.NEW" w:val="COM"/>
    <w:docVar w:name="LW_REF.INST.NEW_ADOPTED" w:val="final"/>
    <w:docVar w:name="LW_REF.INST.NEW_TEXT" w:val="(2022) 1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mpfehlung für einen"/>
    <w:docVar w:name="LW_SUPERTITRE" w:val="&lt;UNUSED&gt;"/>
    <w:docVar w:name="LW_TITRE.OBJ.CP" w:val="zur Ermächtigung der Kommission, Verhandlungen über die Änderung der Übereinkunft zwischen der Europäischen Union und dem Königreich Norwegen über die Zusammenarbeit der Verwaltungsbehörden, die Betrugsbekämpfung und die Beitreibung von Forderungen auf dem Gebiet der Mehrwertsteuer aufzunehmen"/>
    <w:docVar w:name="LW_TYPE.DOC.CP" w:val="BESCHLUSS DES RATES"/>
  </w:docVars>
  <w:rsids>
    <w:rsidRoot w:val="005C0E60"/>
    <w:rsid w:val="00010B11"/>
    <w:rsid w:val="000126B5"/>
    <w:rsid w:val="000126CA"/>
    <w:rsid w:val="00043BA3"/>
    <w:rsid w:val="0004690B"/>
    <w:rsid w:val="000477C0"/>
    <w:rsid w:val="00047F6F"/>
    <w:rsid w:val="00055878"/>
    <w:rsid w:val="00060997"/>
    <w:rsid w:val="000719FC"/>
    <w:rsid w:val="00072AFF"/>
    <w:rsid w:val="00072F4D"/>
    <w:rsid w:val="00083D2E"/>
    <w:rsid w:val="00096E41"/>
    <w:rsid w:val="000A1C7E"/>
    <w:rsid w:val="000A5E17"/>
    <w:rsid w:val="000A6AF1"/>
    <w:rsid w:val="000A7033"/>
    <w:rsid w:val="000A7517"/>
    <w:rsid w:val="000B5985"/>
    <w:rsid w:val="000C3186"/>
    <w:rsid w:val="000C3A53"/>
    <w:rsid w:val="000C5F10"/>
    <w:rsid w:val="000C71B6"/>
    <w:rsid w:val="000E198E"/>
    <w:rsid w:val="000F5244"/>
    <w:rsid w:val="00104947"/>
    <w:rsid w:val="0011449D"/>
    <w:rsid w:val="001155EF"/>
    <w:rsid w:val="00115991"/>
    <w:rsid w:val="00115C0D"/>
    <w:rsid w:val="00117436"/>
    <w:rsid w:val="0011789A"/>
    <w:rsid w:val="001232A8"/>
    <w:rsid w:val="001277A3"/>
    <w:rsid w:val="00134192"/>
    <w:rsid w:val="00146CBF"/>
    <w:rsid w:val="0015262C"/>
    <w:rsid w:val="00157065"/>
    <w:rsid w:val="00165785"/>
    <w:rsid w:val="00174FB2"/>
    <w:rsid w:val="00183554"/>
    <w:rsid w:val="00185CF3"/>
    <w:rsid w:val="00191095"/>
    <w:rsid w:val="00194A92"/>
    <w:rsid w:val="001A12AD"/>
    <w:rsid w:val="001A2AD7"/>
    <w:rsid w:val="001B143D"/>
    <w:rsid w:val="001B50CB"/>
    <w:rsid w:val="001C2816"/>
    <w:rsid w:val="001D0846"/>
    <w:rsid w:val="001E1CA6"/>
    <w:rsid w:val="001E2C7D"/>
    <w:rsid w:val="001E797A"/>
    <w:rsid w:val="00206CB4"/>
    <w:rsid w:val="002146A1"/>
    <w:rsid w:val="00263A2F"/>
    <w:rsid w:val="00271B6F"/>
    <w:rsid w:val="00272176"/>
    <w:rsid w:val="00280752"/>
    <w:rsid w:val="00291A3A"/>
    <w:rsid w:val="00293793"/>
    <w:rsid w:val="00296188"/>
    <w:rsid w:val="002A5CEA"/>
    <w:rsid w:val="002A72C6"/>
    <w:rsid w:val="002B6B8C"/>
    <w:rsid w:val="002C408D"/>
    <w:rsid w:val="002E1CEB"/>
    <w:rsid w:val="002F2E6A"/>
    <w:rsid w:val="00313D31"/>
    <w:rsid w:val="003163E2"/>
    <w:rsid w:val="0032220B"/>
    <w:rsid w:val="003230D6"/>
    <w:rsid w:val="00327D53"/>
    <w:rsid w:val="003323B0"/>
    <w:rsid w:val="00332C68"/>
    <w:rsid w:val="00340867"/>
    <w:rsid w:val="00340CE3"/>
    <w:rsid w:val="0038068A"/>
    <w:rsid w:val="00381A85"/>
    <w:rsid w:val="003974DE"/>
    <w:rsid w:val="003978A2"/>
    <w:rsid w:val="003A3FC7"/>
    <w:rsid w:val="003C766B"/>
    <w:rsid w:val="003D57BB"/>
    <w:rsid w:val="003D6B41"/>
    <w:rsid w:val="0040582B"/>
    <w:rsid w:val="00407D06"/>
    <w:rsid w:val="00412AC2"/>
    <w:rsid w:val="00412B60"/>
    <w:rsid w:val="004137FA"/>
    <w:rsid w:val="00420B2A"/>
    <w:rsid w:val="00433CC7"/>
    <w:rsid w:val="0044109E"/>
    <w:rsid w:val="004445CC"/>
    <w:rsid w:val="004466CD"/>
    <w:rsid w:val="004817B7"/>
    <w:rsid w:val="00486C00"/>
    <w:rsid w:val="00492BFE"/>
    <w:rsid w:val="004963FB"/>
    <w:rsid w:val="004B7AD3"/>
    <w:rsid w:val="004C77BF"/>
    <w:rsid w:val="004D15AD"/>
    <w:rsid w:val="004E0609"/>
    <w:rsid w:val="004F34CD"/>
    <w:rsid w:val="004F7843"/>
    <w:rsid w:val="00500A1B"/>
    <w:rsid w:val="005053B5"/>
    <w:rsid w:val="00510CE2"/>
    <w:rsid w:val="0052432E"/>
    <w:rsid w:val="00543EB6"/>
    <w:rsid w:val="005509F8"/>
    <w:rsid w:val="00551F3D"/>
    <w:rsid w:val="00556004"/>
    <w:rsid w:val="00562748"/>
    <w:rsid w:val="0057198C"/>
    <w:rsid w:val="005768A8"/>
    <w:rsid w:val="00576D65"/>
    <w:rsid w:val="0058175A"/>
    <w:rsid w:val="00596558"/>
    <w:rsid w:val="005A3609"/>
    <w:rsid w:val="005A5645"/>
    <w:rsid w:val="005B0D39"/>
    <w:rsid w:val="005C0E60"/>
    <w:rsid w:val="005D42FD"/>
    <w:rsid w:val="005E1F31"/>
    <w:rsid w:val="005E3C11"/>
    <w:rsid w:val="005E7AC3"/>
    <w:rsid w:val="005E7B53"/>
    <w:rsid w:val="005F0020"/>
    <w:rsid w:val="005F0861"/>
    <w:rsid w:val="00607CB5"/>
    <w:rsid w:val="00615E5A"/>
    <w:rsid w:val="006203F0"/>
    <w:rsid w:val="00621F9C"/>
    <w:rsid w:val="00630757"/>
    <w:rsid w:val="00630E00"/>
    <w:rsid w:val="00637ED0"/>
    <w:rsid w:val="00656187"/>
    <w:rsid w:val="006574B9"/>
    <w:rsid w:val="006657BA"/>
    <w:rsid w:val="006702C2"/>
    <w:rsid w:val="0067669C"/>
    <w:rsid w:val="006813D1"/>
    <w:rsid w:val="00695B85"/>
    <w:rsid w:val="006A20C9"/>
    <w:rsid w:val="006A4D69"/>
    <w:rsid w:val="006A7B44"/>
    <w:rsid w:val="006B2533"/>
    <w:rsid w:val="006B285F"/>
    <w:rsid w:val="006C2918"/>
    <w:rsid w:val="006C4827"/>
    <w:rsid w:val="006D192F"/>
    <w:rsid w:val="006D1B8E"/>
    <w:rsid w:val="006D3D2D"/>
    <w:rsid w:val="006E16FF"/>
    <w:rsid w:val="006E19F7"/>
    <w:rsid w:val="006F6854"/>
    <w:rsid w:val="006F7F32"/>
    <w:rsid w:val="00700621"/>
    <w:rsid w:val="00700F3B"/>
    <w:rsid w:val="0070128F"/>
    <w:rsid w:val="007252E5"/>
    <w:rsid w:val="00725AAF"/>
    <w:rsid w:val="00731E0D"/>
    <w:rsid w:val="0074081E"/>
    <w:rsid w:val="00746DCA"/>
    <w:rsid w:val="00757C2D"/>
    <w:rsid w:val="007664F7"/>
    <w:rsid w:val="00771A4D"/>
    <w:rsid w:val="00776D64"/>
    <w:rsid w:val="00785A6D"/>
    <w:rsid w:val="007B6860"/>
    <w:rsid w:val="007C06F6"/>
    <w:rsid w:val="007C0A61"/>
    <w:rsid w:val="007C3EEE"/>
    <w:rsid w:val="007E433F"/>
    <w:rsid w:val="007F5282"/>
    <w:rsid w:val="008179E4"/>
    <w:rsid w:val="00817AB4"/>
    <w:rsid w:val="00825807"/>
    <w:rsid w:val="00844E92"/>
    <w:rsid w:val="008611F2"/>
    <w:rsid w:val="00870379"/>
    <w:rsid w:val="00874FDC"/>
    <w:rsid w:val="008828B4"/>
    <w:rsid w:val="008B03F8"/>
    <w:rsid w:val="008B1A8D"/>
    <w:rsid w:val="008B7355"/>
    <w:rsid w:val="008C1B09"/>
    <w:rsid w:val="008D10E8"/>
    <w:rsid w:val="008D5B17"/>
    <w:rsid w:val="008E1A90"/>
    <w:rsid w:val="008E312C"/>
    <w:rsid w:val="008E4196"/>
    <w:rsid w:val="008E53D0"/>
    <w:rsid w:val="008F3E16"/>
    <w:rsid w:val="00903E80"/>
    <w:rsid w:val="00904405"/>
    <w:rsid w:val="00906E6F"/>
    <w:rsid w:val="00933742"/>
    <w:rsid w:val="00947693"/>
    <w:rsid w:val="00952073"/>
    <w:rsid w:val="00961EC9"/>
    <w:rsid w:val="00964603"/>
    <w:rsid w:val="0097112B"/>
    <w:rsid w:val="00974618"/>
    <w:rsid w:val="009852DB"/>
    <w:rsid w:val="00986B33"/>
    <w:rsid w:val="00987AD5"/>
    <w:rsid w:val="009914CD"/>
    <w:rsid w:val="009934A7"/>
    <w:rsid w:val="009951B2"/>
    <w:rsid w:val="00996699"/>
    <w:rsid w:val="009967D6"/>
    <w:rsid w:val="009A0B5E"/>
    <w:rsid w:val="009A6257"/>
    <w:rsid w:val="009B7138"/>
    <w:rsid w:val="009C0AC5"/>
    <w:rsid w:val="009C2BD1"/>
    <w:rsid w:val="009C31B6"/>
    <w:rsid w:val="009E0F84"/>
    <w:rsid w:val="009E28BC"/>
    <w:rsid w:val="009E4725"/>
    <w:rsid w:val="009E63FE"/>
    <w:rsid w:val="009E6B41"/>
    <w:rsid w:val="00A0339E"/>
    <w:rsid w:val="00A05FB7"/>
    <w:rsid w:val="00A1338F"/>
    <w:rsid w:val="00A21AE6"/>
    <w:rsid w:val="00A24C3A"/>
    <w:rsid w:val="00A34B48"/>
    <w:rsid w:val="00A41F5E"/>
    <w:rsid w:val="00A43763"/>
    <w:rsid w:val="00A6355C"/>
    <w:rsid w:val="00A64A21"/>
    <w:rsid w:val="00A653AC"/>
    <w:rsid w:val="00A8069E"/>
    <w:rsid w:val="00A93406"/>
    <w:rsid w:val="00A93A46"/>
    <w:rsid w:val="00AB0883"/>
    <w:rsid w:val="00AC08F5"/>
    <w:rsid w:val="00AC0E85"/>
    <w:rsid w:val="00AC3B0E"/>
    <w:rsid w:val="00AC48E4"/>
    <w:rsid w:val="00AD6D50"/>
    <w:rsid w:val="00B12F42"/>
    <w:rsid w:val="00B2199E"/>
    <w:rsid w:val="00B26E8D"/>
    <w:rsid w:val="00B33312"/>
    <w:rsid w:val="00B477BF"/>
    <w:rsid w:val="00B50F12"/>
    <w:rsid w:val="00B57D80"/>
    <w:rsid w:val="00B61DAB"/>
    <w:rsid w:val="00B630B2"/>
    <w:rsid w:val="00B72EE6"/>
    <w:rsid w:val="00B754E0"/>
    <w:rsid w:val="00B92645"/>
    <w:rsid w:val="00B97894"/>
    <w:rsid w:val="00BA35FB"/>
    <w:rsid w:val="00BA5F1E"/>
    <w:rsid w:val="00BB0148"/>
    <w:rsid w:val="00BB264F"/>
    <w:rsid w:val="00BB2A6A"/>
    <w:rsid w:val="00BC1D68"/>
    <w:rsid w:val="00BD2316"/>
    <w:rsid w:val="00BE246D"/>
    <w:rsid w:val="00BE74BC"/>
    <w:rsid w:val="00BF17AA"/>
    <w:rsid w:val="00BF2C44"/>
    <w:rsid w:val="00BF73AE"/>
    <w:rsid w:val="00C117E2"/>
    <w:rsid w:val="00C1315F"/>
    <w:rsid w:val="00C14739"/>
    <w:rsid w:val="00C23524"/>
    <w:rsid w:val="00C24556"/>
    <w:rsid w:val="00C26EC4"/>
    <w:rsid w:val="00C34705"/>
    <w:rsid w:val="00C5240A"/>
    <w:rsid w:val="00C53186"/>
    <w:rsid w:val="00C729F3"/>
    <w:rsid w:val="00C73C54"/>
    <w:rsid w:val="00C7451F"/>
    <w:rsid w:val="00C80449"/>
    <w:rsid w:val="00C866C9"/>
    <w:rsid w:val="00C905BB"/>
    <w:rsid w:val="00CA3E59"/>
    <w:rsid w:val="00CB10BA"/>
    <w:rsid w:val="00CB4785"/>
    <w:rsid w:val="00CD3D1F"/>
    <w:rsid w:val="00CD499B"/>
    <w:rsid w:val="00CE1966"/>
    <w:rsid w:val="00CE508F"/>
    <w:rsid w:val="00CF5532"/>
    <w:rsid w:val="00CF655A"/>
    <w:rsid w:val="00CF7FBD"/>
    <w:rsid w:val="00D03EF2"/>
    <w:rsid w:val="00D16B45"/>
    <w:rsid w:val="00D31DF6"/>
    <w:rsid w:val="00D36C01"/>
    <w:rsid w:val="00D45BC2"/>
    <w:rsid w:val="00D46F05"/>
    <w:rsid w:val="00D60863"/>
    <w:rsid w:val="00DA28DB"/>
    <w:rsid w:val="00DA3FF5"/>
    <w:rsid w:val="00DA473F"/>
    <w:rsid w:val="00DA5D2E"/>
    <w:rsid w:val="00DB4D0D"/>
    <w:rsid w:val="00DF06AB"/>
    <w:rsid w:val="00E050FA"/>
    <w:rsid w:val="00E127CD"/>
    <w:rsid w:val="00E27D7F"/>
    <w:rsid w:val="00E350C6"/>
    <w:rsid w:val="00E446B5"/>
    <w:rsid w:val="00E53580"/>
    <w:rsid w:val="00E55687"/>
    <w:rsid w:val="00E63AA0"/>
    <w:rsid w:val="00E712A5"/>
    <w:rsid w:val="00EA44CE"/>
    <w:rsid w:val="00EA55FF"/>
    <w:rsid w:val="00EE36C0"/>
    <w:rsid w:val="00EF0610"/>
    <w:rsid w:val="00F20062"/>
    <w:rsid w:val="00F26203"/>
    <w:rsid w:val="00F30C3E"/>
    <w:rsid w:val="00F4046D"/>
    <w:rsid w:val="00F43FB9"/>
    <w:rsid w:val="00F65F8C"/>
    <w:rsid w:val="00F74CDE"/>
    <w:rsid w:val="00FA56B6"/>
    <w:rsid w:val="00FB2325"/>
    <w:rsid w:val="00FC6677"/>
    <w:rsid w:val="00FD029B"/>
    <w:rsid w:val="00FE1CE7"/>
    <w:rsid w:val="00FF0E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18BCDC"/>
  <w15:docId w15:val="{62C6399D-75BB-4E00-AED4-31AA1A70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rsid w:val="00517205"/>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5CC"/>
    <w:pPr>
      <w:ind w:left="720"/>
      <w:contextualSpacing/>
    </w:pPr>
  </w:style>
  <w:style w:type="paragraph" w:styleId="ListBullet">
    <w:name w:val="List Bullet"/>
    <w:basedOn w:val="Normal"/>
    <w:uiPriority w:val="99"/>
    <w:semiHidden/>
    <w:unhideWhenUsed/>
    <w:rsid w:val="00313D31"/>
    <w:pPr>
      <w:numPr>
        <w:numId w:val="1"/>
      </w:numPr>
      <w:contextualSpacing/>
    </w:pPr>
  </w:style>
  <w:style w:type="paragraph" w:styleId="ListBullet2">
    <w:name w:val="List Bullet 2"/>
    <w:basedOn w:val="Normal"/>
    <w:uiPriority w:val="99"/>
    <w:semiHidden/>
    <w:unhideWhenUsed/>
    <w:rsid w:val="00313D31"/>
    <w:pPr>
      <w:numPr>
        <w:numId w:val="2"/>
      </w:numPr>
      <w:contextualSpacing/>
    </w:pPr>
  </w:style>
  <w:style w:type="paragraph" w:styleId="ListBullet3">
    <w:name w:val="List Bullet 3"/>
    <w:basedOn w:val="Normal"/>
    <w:uiPriority w:val="99"/>
    <w:semiHidden/>
    <w:unhideWhenUsed/>
    <w:rsid w:val="00313D31"/>
    <w:pPr>
      <w:numPr>
        <w:numId w:val="3"/>
      </w:numPr>
      <w:contextualSpacing/>
    </w:pPr>
  </w:style>
  <w:style w:type="paragraph" w:styleId="ListBullet4">
    <w:name w:val="List Bullet 4"/>
    <w:basedOn w:val="Normal"/>
    <w:uiPriority w:val="99"/>
    <w:semiHidden/>
    <w:unhideWhenUsed/>
    <w:rsid w:val="00313D31"/>
    <w:pPr>
      <w:numPr>
        <w:numId w:val="4"/>
      </w:numPr>
      <w:contextualSpacing/>
    </w:pPr>
  </w:style>
  <w:style w:type="character" w:customStyle="1" w:styleId="footnotereference">
    <w:name w:val="footnotereference"/>
    <w:basedOn w:val="DefaultParagraphFont"/>
    <w:rsid w:val="00D45BC2"/>
  </w:style>
  <w:style w:type="character" w:styleId="Hyperlink">
    <w:name w:val="Hyperlink"/>
    <w:basedOn w:val="DefaultParagraphFont"/>
    <w:uiPriority w:val="99"/>
    <w:unhideWhenUsed/>
    <w:rsid w:val="00D45BC2"/>
    <w:rPr>
      <w:color w:val="0000FF"/>
      <w:u w:val="single"/>
    </w:rPr>
  </w:style>
  <w:style w:type="character" w:styleId="CommentReference">
    <w:name w:val="annotation reference"/>
    <w:basedOn w:val="DefaultParagraphFont"/>
    <w:uiPriority w:val="99"/>
    <w:semiHidden/>
    <w:unhideWhenUsed/>
    <w:rsid w:val="00700F3B"/>
    <w:rPr>
      <w:sz w:val="16"/>
      <w:szCs w:val="16"/>
    </w:rPr>
  </w:style>
  <w:style w:type="paragraph" w:styleId="CommentText">
    <w:name w:val="annotation text"/>
    <w:basedOn w:val="Normal"/>
    <w:link w:val="CommentTextChar"/>
    <w:uiPriority w:val="99"/>
    <w:semiHidden/>
    <w:unhideWhenUsed/>
    <w:rsid w:val="00700F3B"/>
    <w:rPr>
      <w:sz w:val="20"/>
      <w:szCs w:val="20"/>
    </w:rPr>
  </w:style>
  <w:style w:type="character" w:customStyle="1" w:styleId="CommentTextChar">
    <w:name w:val="Comment Text Char"/>
    <w:basedOn w:val="DefaultParagraphFont"/>
    <w:link w:val="CommentText"/>
    <w:uiPriority w:val="99"/>
    <w:semiHidden/>
    <w:rsid w:val="00700F3B"/>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00F3B"/>
    <w:rPr>
      <w:b/>
      <w:bCs/>
    </w:rPr>
  </w:style>
  <w:style w:type="character" w:customStyle="1" w:styleId="CommentSubjectChar">
    <w:name w:val="Comment Subject Char"/>
    <w:basedOn w:val="CommentTextChar"/>
    <w:link w:val="CommentSubject"/>
    <w:uiPriority w:val="99"/>
    <w:semiHidden/>
    <w:rsid w:val="00700F3B"/>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00F3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3B"/>
    <w:rPr>
      <w:rFonts w:ascii="Segoe UI" w:hAnsi="Segoe UI" w:cs="Segoe UI"/>
      <w:sz w:val="18"/>
      <w:szCs w:val="18"/>
      <w:lang w:val="en-GB"/>
    </w:rPr>
  </w:style>
  <w:style w:type="paragraph" w:customStyle="1" w:styleId="Default">
    <w:name w:val="Default"/>
    <w:rsid w:val="00412B60"/>
    <w:pPr>
      <w:autoSpaceDE w:val="0"/>
      <w:autoSpaceDN w:val="0"/>
      <w:adjustRightInd w:val="0"/>
      <w:spacing w:after="0" w:line="240" w:lineRule="auto"/>
    </w:pPr>
    <w:rPr>
      <w:rFonts w:ascii="Arial" w:hAnsi="Arial" w:cs="Arial"/>
      <w:color w:val="000000"/>
      <w:sz w:val="24"/>
      <w:szCs w:val="24"/>
      <w:lang w:val="en-GB"/>
    </w:rPr>
  </w:style>
  <w:style w:type="character" w:styleId="Emphasis">
    <w:name w:val="Emphasis"/>
    <w:basedOn w:val="DefaultParagraphFont"/>
    <w:uiPriority w:val="20"/>
    <w:qFormat/>
    <w:rsid w:val="008E4196"/>
    <w:rPr>
      <w:i/>
      <w:iCs/>
    </w:rPr>
  </w:style>
  <w:style w:type="paragraph" w:styleId="Revision">
    <w:name w:val="Revision"/>
    <w:hidden/>
    <w:uiPriority w:val="99"/>
    <w:semiHidden/>
    <w:rsid w:val="009E6B41"/>
    <w:pPr>
      <w:spacing w:after="0" w:line="240" w:lineRule="auto"/>
    </w:pPr>
    <w:rPr>
      <w:rFonts w:ascii="Times New Roman" w:hAnsi="Times New Roman" w:cs="Times New Roman"/>
      <w:sz w:val="24"/>
      <w:lang w:val="en-GB"/>
    </w:rPr>
  </w:style>
  <w:style w:type="character" w:styleId="Strong">
    <w:name w:val="Strong"/>
    <w:basedOn w:val="DefaultParagraphFont"/>
    <w:uiPriority w:val="22"/>
    <w:qFormat/>
    <w:rsid w:val="00055878"/>
    <w:rPr>
      <w:b/>
      <w:bCs/>
    </w:rPr>
  </w:style>
  <w:style w:type="character" w:styleId="FootnoteReference0">
    <w:name w:val="footnote reference"/>
    <w:basedOn w:val="DefaultParagraphFont"/>
    <w:uiPriority w:val="99"/>
    <w:semiHidden/>
    <w:unhideWhenUsed/>
    <w:rsid w:val="00517205"/>
    <w:rPr>
      <w:shd w:val="clear" w:color="auto" w:fill="auto"/>
      <w:vertAlign w:val="superscript"/>
    </w:rPr>
  </w:style>
  <w:style w:type="paragraph" w:styleId="Caption">
    <w:name w:val="caption"/>
    <w:basedOn w:val="Normal"/>
    <w:next w:val="Normal"/>
    <w:uiPriority w:val="35"/>
    <w:semiHidden/>
    <w:unhideWhenUsed/>
    <w:qFormat/>
    <w:rsid w:val="004F34C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F34CD"/>
    <w:pPr>
      <w:spacing w:after="0"/>
    </w:pPr>
  </w:style>
  <w:style w:type="paragraph" w:styleId="ListNumber">
    <w:name w:val="List Number"/>
    <w:basedOn w:val="Normal"/>
    <w:uiPriority w:val="99"/>
    <w:semiHidden/>
    <w:unhideWhenUsed/>
    <w:rsid w:val="004F34CD"/>
    <w:pPr>
      <w:numPr>
        <w:numId w:val="6"/>
      </w:numPr>
      <w:contextualSpacing/>
    </w:pPr>
  </w:style>
  <w:style w:type="paragraph" w:styleId="ListNumber2">
    <w:name w:val="List Number 2"/>
    <w:basedOn w:val="Normal"/>
    <w:uiPriority w:val="99"/>
    <w:semiHidden/>
    <w:unhideWhenUsed/>
    <w:rsid w:val="004F34CD"/>
    <w:pPr>
      <w:numPr>
        <w:numId w:val="7"/>
      </w:numPr>
      <w:contextualSpacing/>
    </w:pPr>
  </w:style>
  <w:style w:type="paragraph" w:styleId="ListNumber3">
    <w:name w:val="List Number 3"/>
    <w:basedOn w:val="Normal"/>
    <w:uiPriority w:val="99"/>
    <w:semiHidden/>
    <w:unhideWhenUsed/>
    <w:rsid w:val="004F34CD"/>
    <w:pPr>
      <w:numPr>
        <w:numId w:val="8"/>
      </w:numPr>
      <w:contextualSpacing/>
    </w:pPr>
  </w:style>
  <w:style w:type="paragraph" w:styleId="ListNumber4">
    <w:name w:val="List Number 4"/>
    <w:basedOn w:val="Normal"/>
    <w:uiPriority w:val="99"/>
    <w:semiHidden/>
    <w:unhideWhenUsed/>
    <w:rsid w:val="004F34CD"/>
    <w:pPr>
      <w:numPr>
        <w:numId w:val="9"/>
      </w:numPr>
      <w:contextualSpacing/>
    </w:pPr>
  </w:style>
  <w:style w:type="paragraph" w:styleId="Header">
    <w:name w:val="header"/>
    <w:basedOn w:val="Normal"/>
    <w:link w:val="HeaderChar"/>
    <w:uiPriority w:val="99"/>
    <w:unhideWhenUsed/>
    <w:rsid w:val="00FF0E59"/>
    <w:pPr>
      <w:tabs>
        <w:tab w:val="center" w:pos="4535"/>
        <w:tab w:val="right" w:pos="9071"/>
      </w:tabs>
      <w:spacing w:before="0"/>
    </w:pPr>
  </w:style>
  <w:style w:type="character" w:customStyle="1" w:styleId="HeaderChar">
    <w:name w:val="Header Char"/>
    <w:basedOn w:val="DefaultParagraphFont"/>
    <w:link w:val="Header"/>
    <w:uiPriority w:val="99"/>
    <w:rsid w:val="00FF0E59"/>
    <w:rPr>
      <w:rFonts w:ascii="Times New Roman" w:hAnsi="Times New Roman" w:cs="Times New Roman"/>
      <w:sz w:val="24"/>
      <w:lang w:val="de-DE"/>
    </w:rPr>
  </w:style>
  <w:style w:type="paragraph" w:styleId="Footer">
    <w:name w:val="footer"/>
    <w:basedOn w:val="Normal"/>
    <w:link w:val="FooterChar"/>
    <w:uiPriority w:val="99"/>
    <w:unhideWhenUsed/>
    <w:rsid w:val="00FF0E5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F0E59"/>
    <w:rPr>
      <w:rFonts w:ascii="Times New Roman" w:hAnsi="Times New Roman" w:cs="Times New Roman"/>
      <w:sz w:val="24"/>
      <w:lang w:val="de-DE"/>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FF0E59"/>
    <w:pPr>
      <w:tabs>
        <w:tab w:val="center" w:pos="7285"/>
        <w:tab w:val="right" w:pos="14003"/>
      </w:tabs>
      <w:spacing w:before="0"/>
    </w:pPr>
  </w:style>
  <w:style w:type="paragraph" w:customStyle="1" w:styleId="FooterLandscape">
    <w:name w:val="FooterLandscape"/>
    <w:basedOn w:val="Normal"/>
    <w:rsid w:val="00FF0E59"/>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FF0E5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F0E59"/>
    <w:pPr>
      <w:spacing w:before="0"/>
      <w:jc w:val="right"/>
    </w:pPr>
    <w:rPr>
      <w:sz w:val="28"/>
    </w:rPr>
  </w:style>
  <w:style w:type="paragraph" w:customStyle="1" w:styleId="FooterSensitivity">
    <w:name w:val="Footer Sensitivity"/>
    <w:basedOn w:val="Normal"/>
    <w:rsid w:val="00FF0E5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0"/>
      </w:numPr>
    </w:pPr>
  </w:style>
  <w:style w:type="paragraph" w:customStyle="1" w:styleId="Tiret1">
    <w:name w:val="Tiret 1"/>
    <w:basedOn w:val="Point1"/>
    <w:rsid w:val="00517205"/>
    <w:pPr>
      <w:numPr>
        <w:numId w:val="11"/>
      </w:numPr>
    </w:pPr>
  </w:style>
  <w:style w:type="paragraph" w:customStyle="1" w:styleId="Tiret2">
    <w:name w:val="Tiret 2"/>
    <w:basedOn w:val="Point2"/>
    <w:rsid w:val="00517205"/>
    <w:pPr>
      <w:numPr>
        <w:numId w:val="12"/>
      </w:numPr>
    </w:pPr>
  </w:style>
  <w:style w:type="paragraph" w:customStyle="1" w:styleId="Tiret3">
    <w:name w:val="Tiret 3"/>
    <w:basedOn w:val="Point3"/>
    <w:rsid w:val="00517205"/>
    <w:pPr>
      <w:numPr>
        <w:numId w:val="13"/>
      </w:numPr>
    </w:pPr>
  </w:style>
  <w:style w:type="paragraph" w:customStyle="1" w:styleId="Tiret4">
    <w:name w:val="Tiret 4"/>
    <w:basedOn w:val="Point4"/>
    <w:rsid w:val="00517205"/>
    <w:pPr>
      <w:numPr>
        <w:numId w:val="14"/>
      </w:numPr>
    </w:pPr>
  </w:style>
  <w:style w:type="paragraph" w:customStyle="1" w:styleId="Tiret5">
    <w:name w:val="Tiret 5"/>
    <w:basedOn w:val="Point5"/>
    <w:rsid w:val="00517205"/>
    <w:pPr>
      <w:numPr>
        <w:numId w:val="15"/>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16"/>
      </w:numPr>
    </w:pPr>
  </w:style>
  <w:style w:type="paragraph" w:customStyle="1" w:styleId="NumPar2">
    <w:name w:val="NumPar 2"/>
    <w:basedOn w:val="Normal"/>
    <w:next w:val="Text1"/>
    <w:rsid w:val="00517205"/>
    <w:pPr>
      <w:numPr>
        <w:ilvl w:val="1"/>
        <w:numId w:val="16"/>
      </w:numPr>
    </w:pPr>
  </w:style>
  <w:style w:type="paragraph" w:customStyle="1" w:styleId="NumPar3">
    <w:name w:val="NumPar 3"/>
    <w:basedOn w:val="Normal"/>
    <w:next w:val="Text1"/>
    <w:rsid w:val="00517205"/>
    <w:pPr>
      <w:numPr>
        <w:ilvl w:val="2"/>
        <w:numId w:val="16"/>
      </w:numPr>
    </w:pPr>
  </w:style>
  <w:style w:type="paragraph" w:customStyle="1" w:styleId="NumPar4">
    <w:name w:val="NumPar 4"/>
    <w:basedOn w:val="Normal"/>
    <w:next w:val="Text1"/>
    <w:rsid w:val="00517205"/>
    <w:pPr>
      <w:numPr>
        <w:ilvl w:val="3"/>
        <w:numId w:val="16"/>
      </w:numPr>
    </w:pPr>
  </w:style>
  <w:style w:type="paragraph" w:customStyle="1" w:styleId="NumPar5">
    <w:name w:val="NumPar 5"/>
    <w:basedOn w:val="Normal"/>
    <w:next w:val="Text2"/>
    <w:rsid w:val="00517205"/>
    <w:pPr>
      <w:numPr>
        <w:ilvl w:val="4"/>
        <w:numId w:val="16"/>
      </w:numPr>
    </w:pPr>
  </w:style>
  <w:style w:type="paragraph" w:customStyle="1" w:styleId="NumPar6">
    <w:name w:val="NumPar 6"/>
    <w:basedOn w:val="Normal"/>
    <w:next w:val="Text2"/>
    <w:rsid w:val="00517205"/>
    <w:pPr>
      <w:numPr>
        <w:ilvl w:val="5"/>
        <w:numId w:val="16"/>
      </w:numPr>
    </w:pPr>
  </w:style>
  <w:style w:type="paragraph" w:customStyle="1" w:styleId="NumPar7">
    <w:name w:val="NumPar 7"/>
    <w:basedOn w:val="Normal"/>
    <w:next w:val="Text2"/>
    <w:rsid w:val="00517205"/>
    <w:pPr>
      <w:numPr>
        <w:ilvl w:val="6"/>
        <w:numId w:val="16"/>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18"/>
      </w:numPr>
    </w:pPr>
  </w:style>
  <w:style w:type="paragraph" w:customStyle="1" w:styleId="Point1number">
    <w:name w:val="Point 1 (number)"/>
    <w:basedOn w:val="Normal"/>
    <w:rsid w:val="00517205"/>
    <w:pPr>
      <w:numPr>
        <w:ilvl w:val="2"/>
        <w:numId w:val="18"/>
      </w:numPr>
    </w:pPr>
  </w:style>
  <w:style w:type="paragraph" w:customStyle="1" w:styleId="Point2number">
    <w:name w:val="Point 2 (number)"/>
    <w:basedOn w:val="Normal"/>
    <w:rsid w:val="00517205"/>
    <w:pPr>
      <w:numPr>
        <w:ilvl w:val="4"/>
        <w:numId w:val="18"/>
      </w:numPr>
    </w:pPr>
  </w:style>
  <w:style w:type="paragraph" w:customStyle="1" w:styleId="Point3number">
    <w:name w:val="Point 3 (number)"/>
    <w:basedOn w:val="Normal"/>
    <w:rsid w:val="00517205"/>
    <w:pPr>
      <w:numPr>
        <w:ilvl w:val="6"/>
        <w:numId w:val="18"/>
      </w:numPr>
    </w:pPr>
  </w:style>
  <w:style w:type="paragraph" w:customStyle="1" w:styleId="Point0letter">
    <w:name w:val="Point 0 (letter)"/>
    <w:basedOn w:val="Normal"/>
    <w:rsid w:val="00517205"/>
    <w:pPr>
      <w:numPr>
        <w:ilvl w:val="1"/>
        <w:numId w:val="18"/>
      </w:numPr>
    </w:pPr>
  </w:style>
  <w:style w:type="paragraph" w:customStyle="1" w:styleId="Point1letter">
    <w:name w:val="Point 1 (letter)"/>
    <w:basedOn w:val="Normal"/>
    <w:rsid w:val="00517205"/>
    <w:pPr>
      <w:numPr>
        <w:ilvl w:val="3"/>
        <w:numId w:val="18"/>
      </w:numPr>
    </w:pPr>
  </w:style>
  <w:style w:type="paragraph" w:customStyle="1" w:styleId="Point2letter">
    <w:name w:val="Point 2 (letter)"/>
    <w:basedOn w:val="Normal"/>
    <w:rsid w:val="00517205"/>
    <w:pPr>
      <w:numPr>
        <w:ilvl w:val="5"/>
        <w:numId w:val="18"/>
      </w:numPr>
    </w:pPr>
  </w:style>
  <w:style w:type="paragraph" w:customStyle="1" w:styleId="Point3letter">
    <w:name w:val="Point 3 (letter)"/>
    <w:basedOn w:val="Normal"/>
    <w:rsid w:val="00517205"/>
    <w:pPr>
      <w:numPr>
        <w:ilvl w:val="7"/>
        <w:numId w:val="18"/>
      </w:numPr>
    </w:pPr>
  </w:style>
  <w:style w:type="paragraph" w:customStyle="1" w:styleId="Point4letter">
    <w:name w:val="Point 4 (letter)"/>
    <w:basedOn w:val="Normal"/>
    <w:rsid w:val="00517205"/>
    <w:pPr>
      <w:numPr>
        <w:ilvl w:val="8"/>
        <w:numId w:val="18"/>
      </w:numPr>
    </w:pPr>
  </w:style>
  <w:style w:type="paragraph" w:customStyle="1" w:styleId="Bullet0">
    <w:name w:val="Bullet 0"/>
    <w:basedOn w:val="Normal"/>
    <w:rsid w:val="00517205"/>
    <w:pPr>
      <w:numPr>
        <w:numId w:val="19"/>
      </w:numPr>
    </w:pPr>
  </w:style>
  <w:style w:type="paragraph" w:customStyle="1" w:styleId="Bullet1">
    <w:name w:val="Bullet 1"/>
    <w:basedOn w:val="Normal"/>
    <w:rsid w:val="00517205"/>
    <w:pPr>
      <w:numPr>
        <w:numId w:val="20"/>
      </w:numPr>
    </w:pPr>
  </w:style>
  <w:style w:type="paragraph" w:customStyle="1" w:styleId="Bullet2">
    <w:name w:val="Bullet 2"/>
    <w:basedOn w:val="Normal"/>
    <w:rsid w:val="00517205"/>
    <w:pPr>
      <w:numPr>
        <w:numId w:val="21"/>
      </w:numPr>
    </w:pPr>
  </w:style>
  <w:style w:type="paragraph" w:customStyle="1" w:styleId="Bullet3">
    <w:name w:val="Bullet 3"/>
    <w:basedOn w:val="Normal"/>
    <w:rsid w:val="00517205"/>
    <w:pPr>
      <w:numPr>
        <w:numId w:val="22"/>
      </w:numPr>
    </w:pPr>
  </w:style>
  <w:style w:type="paragraph" w:customStyle="1" w:styleId="Bullet4">
    <w:name w:val="Bullet 4"/>
    <w:basedOn w:val="Normal"/>
    <w:rsid w:val="00517205"/>
    <w:pPr>
      <w:numPr>
        <w:numId w:val="23"/>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24"/>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270B1-BCE4-4BCC-87FC-F733C74F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7</Pages>
  <Words>1752</Words>
  <Characters>9531</Characters>
  <Application>Microsoft Office Word</Application>
  <DocSecurity>0</DocSecurity>
  <Lines>167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KRAFT Caroline (TAXUD)</dc:creator>
  <cp:keywords/>
  <dc:description/>
  <cp:lastModifiedBy>SEILER Brigitte (SG)</cp:lastModifiedBy>
  <cp:revision>3</cp:revision>
  <dcterms:created xsi:type="dcterms:W3CDTF">2022-04-26T07:55:00Z</dcterms:created>
  <dcterms:modified xsi:type="dcterms:W3CDTF">2022-04-26T08:03:00Z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7.0.8.0</vt:lpwstr>
  </property>
  <property fmtid="{D5CDD505-2E9C-101B-9397-08002B2CF9AE}" pid="4" name="Last edited using">
    <vt:lpwstr>LW 8.0, Build 20220128</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SG-001</vt:lpwstr>
  </property>
  <property fmtid="{D5CDD505-2E9C-101B-9397-08002B2CF9AE}" pid="10" name="MSIP_Label_f4cdc456-5864-460f-beda-883d23b78bbb_Enabled">
    <vt:lpwstr>true</vt:lpwstr>
  </property>
  <property fmtid="{D5CDD505-2E9C-101B-9397-08002B2CF9AE}" pid="11" name="MSIP_Label_f4cdc456-5864-460f-beda-883d23b78bbb_SetDate">
    <vt:lpwstr>2022-02-04T13:58:23Z</vt:lpwstr>
  </property>
  <property fmtid="{D5CDD505-2E9C-101B-9397-08002B2CF9AE}" pid="12" name="MSIP_Label_f4cdc456-5864-460f-beda-883d23b78bbb_Method">
    <vt:lpwstr>Privileged</vt:lpwstr>
  </property>
  <property fmtid="{D5CDD505-2E9C-101B-9397-08002B2CF9AE}" pid="13" name="MSIP_Label_f4cdc456-5864-460f-beda-883d23b78bbb_Name">
    <vt:lpwstr>Publicly Available</vt:lpwstr>
  </property>
  <property fmtid="{D5CDD505-2E9C-101B-9397-08002B2CF9AE}" pid="14" name="MSIP_Label_f4cdc456-5864-460f-beda-883d23b78bbb_SiteId">
    <vt:lpwstr>b24c8b06-522c-46fe-9080-70926f8dddb1</vt:lpwstr>
  </property>
  <property fmtid="{D5CDD505-2E9C-101B-9397-08002B2CF9AE}" pid="15" name="MSIP_Label_f4cdc456-5864-460f-beda-883d23b78bbb_ActionId">
    <vt:lpwstr>9f587d6f-bec6-4043-82bf-2515a95e6a68</vt:lpwstr>
  </property>
  <property fmtid="{D5CDD505-2E9C-101B-9397-08002B2CF9AE}" pid="16" name="MSIP_Label_f4cdc456-5864-460f-beda-883d23b78bbb_ContentBits">
    <vt:lpwstr>0</vt:lpwstr>
  </property>
  <property fmtid="{D5CDD505-2E9C-101B-9397-08002B2CF9AE}" pid="17" name="DQCStatus">
    <vt:lpwstr>Yellow (DQC version 03)</vt:lpwstr>
  </property>
</Properties>
</file>