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E4A74" w14:textId="3E6B7F89" w:rsidR="007518AB" w:rsidRDefault="009E21B3" w:rsidP="009E21B3">
      <w:pPr>
        <w:pStyle w:val="Pagedecouverture"/>
        <w:rPr>
          <w:noProof/>
        </w:rPr>
      </w:pPr>
      <w:bookmarkStart w:id="0" w:name="LW_BM_COVERPAGE"/>
      <w:r>
        <w:rPr>
          <w:noProof/>
        </w:rPr>
        <w:pict w14:anchorId="2B4DE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53596ED-2D4D-4188-A161-E2536D6CC321" style="width:455.25pt;height:336.75pt">
            <v:imagedata r:id="rId8" o:title=""/>
          </v:shape>
        </w:pict>
      </w:r>
    </w:p>
    <w:bookmarkEnd w:id="0"/>
    <w:p w14:paraId="217DB4E9" w14:textId="77777777" w:rsidR="007518AB" w:rsidRDefault="007518AB" w:rsidP="007518AB">
      <w:pPr>
        <w:rPr>
          <w:noProof/>
        </w:rPr>
        <w:sectPr w:rsidR="007518AB" w:rsidSect="009E21B3">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6E92021E" w14:textId="77777777" w:rsidR="001E7A92" w:rsidRPr="001E7A92" w:rsidRDefault="001E7A92" w:rsidP="001E7A92">
      <w:pPr>
        <w:spacing w:before="360" w:after="0" w:line="240" w:lineRule="auto"/>
        <w:jc w:val="center"/>
        <w:rPr>
          <w:rFonts w:ascii="Times New Roman" w:hAnsi="Times New Roman" w:cs="Times New Roman"/>
          <w:b/>
          <w:noProof/>
          <w:sz w:val="24"/>
        </w:rPr>
      </w:pPr>
      <w:bookmarkStart w:id="1" w:name="_GoBack"/>
      <w:bookmarkEnd w:id="1"/>
      <w:r w:rsidRPr="001E7A92">
        <w:rPr>
          <w:rFonts w:ascii="Times New Roman" w:hAnsi="Times New Roman" w:cs="Times New Roman"/>
          <w:b/>
          <w:noProof/>
          <w:sz w:val="24"/>
        </w:rPr>
        <w:lastRenderedPageBreak/>
        <w:t>REPORT FROM THE COMMISSION TO THE EUROPEAN PARLIAMENT AND THE COUNCIL</w:t>
      </w:r>
    </w:p>
    <w:p w14:paraId="726830EE" w14:textId="77777777" w:rsidR="001E7A92" w:rsidRPr="001E7A92" w:rsidRDefault="001E7A92" w:rsidP="001E7A92">
      <w:pPr>
        <w:spacing w:before="360" w:after="360" w:line="240" w:lineRule="auto"/>
        <w:jc w:val="center"/>
        <w:rPr>
          <w:rFonts w:ascii="Times New Roman" w:hAnsi="Times New Roman" w:cs="Times New Roman"/>
          <w:b/>
          <w:bCs/>
          <w:noProof/>
          <w:sz w:val="24"/>
        </w:rPr>
      </w:pPr>
      <w:r w:rsidRPr="001E7A92">
        <w:rPr>
          <w:rFonts w:ascii="Times New Roman" w:hAnsi="Times New Roman" w:cs="Times New Roman"/>
          <w:b/>
          <w:bCs/>
          <w:noProof/>
          <w:sz w:val="24"/>
        </w:rPr>
        <w:t>on the exercise of the power to adopt delegated acts conferred on the Commission pursuant to Regulation (EU) 2017/745 on medical devices and Regulation (EU)</w:t>
      </w:r>
      <w:r w:rsidRPr="001E7A92">
        <w:rPr>
          <w:rFonts w:ascii="Times New Roman" w:eastAsia="Calibri" w:hAnsi="Times New Roman" w:cs="Times New Roman"/>
          <w:bCs/>
          <w:noProof/>
          <w:color w:val="000000"/>
          <w:sz w:val="24"/>
        </w:rPr>
        <w:t xml:space="preserve"> </w:t>
      </w:r>
      <w:r w:rsidRPr="001E7A92">
        <w:rPr>
          <w:rFonts w:ascii="Times New Roman" w:hAnsi="Times New Roman" w:cs="Times New Roman"/>
          <w:b/>
          <w:bCs/>
          <w:noProof/>
          <w:sz w:val="24"/>
        </w:rPr>
        <w:t xml:space="preserve">2017/746 on </w:t>
      </w:r>
      <w:r w:rsidRPr="001E7A92">
        <w:rPr>
          <w:rFonts w:ascii="Times New Roman" w:hAnsi="Times New Roman" w:cs="Times New Roman"/>
          <w:b/>
          <w:bCs/>
          <w:i/>
          <w:noProof/>
          <w:sz w:val="24"/>
        </w:rPr>
        <w:t>in vitro</w:t>
      </w:r>
      <w:r w:rsidRPr="001E7A92">
        <w:rPr>
          <w:rFonts w:ascii="Times New Roman" w:eastAsia="Calibri" w:hAnsi="Times New Roman" w:cs="Times New Roman"/>
          <w:bCs/>
          <w:i/>
          <w:noProof/>
          <w:color w:val="000000"/>
          <w:sz w:val="24"/>
        </w:rPr>
        <w:t xml:space="preserve"> </w:t>
      </w:r>
      <w:r>
        <w:rPr>
          <w:rFonts w:ascii="Times New Roman" w:hAnsi="Times New Roman" w:cs="Times New Roman"/>
          <w:b/>
          <w:bCs/>
          <w:noProof/>
          <w:sz w:val="24"/>
        </w:rPr>
        <w:t>diagnostic medical devices</w:t>
      </w:r>
    </w:p>
    <w:p w14:paraId="222A1A5E" w14:textId="77777777" w:rsidR="001E7A92" w:rsidRPr="001E7A92" w:rsidRDefault="001E7A92" w:rsidP="001E7A92">
      <w:pPr>
        <w:pStyle w:val="ListParagraph"/>
        <w:numPr>
          <w:ilvl w:val="0"/>
          <w:numId w:val="2"/>
        </w:numPr>
        <w:spacing w:before="360" w:after="240" w:line="240" w:lineRule="auto"/>
        <w:rPr>
          <w:rFonts w:ascii="Times New Roman" w:hAnsi="Times New Roman" w:cs="Times New Roman"/>
          <w:b/>
          <w:noProof/>
          <w:sz w:val="24"/>
          <w:szCs w:val="24"/>
        </w:rPr>
      </w:pPr>
      <w:r w:rsidRPr="001E7A92">
        <w:rPr>
          <w:rFonts w:ascii="Times New Roman" w:hAnsi="Times New Roman" w:cs="Times New Roman"/>
          <w:b/>
          <w:noProof/>
          <w:sz w:val="24"/>
          <w:szCs w:val="24"/>
        </w:rPr>
        <w:t>INTRODUCTION</w:t>
      </w:r>
    </w:p>
    <w:p w14:paraId="44423E06" w14:textId="77777777" w:rsidR="001E7A92" w:rsidRPr="001E7A92" w:rsidRDefault="001E7A92" w:rsidP="001E7A92">
      <w:pPr>
        <w:spacing w:after="240" w:line="240" w:lineRule="auto"/>
        <w:jc w:val="both"/>
        <w:rPr>
          <w:rFonts w:ascii="Times New Roman" w:hAnsi="Times New Roman" w:cs="Times New Roman"/>
          <w:bCs/>
          <w:noProof/>
          <w:sz w:val="24"/>
          <w:szCs w:val="24"/>
          <w:lang w:eastAsia="en-GB"/>
        </w:rPr>
      </w:pPr>
      <w:r w:rsidRPr="001E7A92">
        <w:rPr>
          <w:rFonts w:ascii="Times New Roman" w:hAnsi="Times New Roman" w:cs="Times New Roman"/>
          <w:noProof/>
          <w:sz w:val="24"/>
          <w:szCs w:val="24"/>
          <w:lang w:eastAsia="en-GB"/>
        </w:rPr>
        <w:t xml:space="preserve">Regulation (EU) 2017/745 </w:t>
      </w:r>
      <w:r w:rsidRPr="001E7A92">
        <w:rPr>
          <w:rFonts w:ascii="Times New Roman" w:hAnsi="Times New Roman" w:cs="Times New Roman"/>
          <w:bCs/>
          <w:noProof/>
          <w:sz w:val="24"/>
          <w:szCs w:val="24"/>
          <w:lang w:eastAsia="en-GB"/>
        </w:rPr>
        <w:t>of the European Parliament and of the Council on medical devices</w:t>
      </w:r>
      <w:r w:rsidRPr="001E7A92">
        <w:rPr>
          <w:rFonts w:ascii="Times New Roman" w:hAnsi="Times New Roman" w:cs="Times New Roman"/>
          <w:bCs/>
          <w:noProof/>
          <w:sz w:val="24"/>
          <w:szCs w:val="24"/>
          <w:vertAlign w:val="superscript"/>
          <w:lang w:eastAsia="en-GB"/>
        </w:rPr>
        <w:footnoteReference w:id="1"/>
      </w:r>
      <w:r w:rsidRPr="001E7A92">
        <w:rPr>
          <w:rFonts w:ascii="Times New Roman" w:hAnsi="Times New Roman" w:cs="Times New Roman"/>
          <w:bCs/>
          <w:noProof/>
          <w:sz w:val="24"/>
          <w:szCs w:val="24"/>
          <w:lang w:eastAsia="en-GB"/>
        </w:rPr>
        <w:t xml:space="preserve"> and </w:t>
      </w:r>
      <w:r w:rsidRPr="001E7A92">
        <w:rPr>
          <w:rFonts w:ascii="Times New Roman" w:hAnsi="Times New Roman" w:cs="Times New Roman"/>
          <w:noProof/>
          <w:sz w:val="24"/>
          <w:szCs w:val="24"/>
          <w:lang w:eastAsia="en-GB"/>
        </w:rPr>
        <w:t xml:space="preserve">Regulation (EU) 2017/746 of the European Parliament and of the Council on </w:t>
      </w:r>
      <w:r w:rsidRPr="001E7A92">
        <w:rPr>
          <w:rFonts w:ascii="Times New Roman" w:hAnsi="Times New Roman" w:cs="Times New Roman"/>
          <w:i/>
          <w:noProof/>
          <w:sz w:val="24"/>
          <w:szCs w:val="24"/>
          <w:lang w:eastAsia="en-GB"/>
        </w:rPr>
        <w:t>in vitro</w:t>
      </w:r>
      <w:r w:rsidRPr="001E7A92">
        <w:rPr>
          <w:rFonts w:ascii="Times New Roman" w:hAnsi="Times New Roman" w:cs="Times New Roman"/>
          <w:noProof/>
          <w:sz w:val="24"/>
          <w:szCs w:val="24"/>
          <w:lang w:eastAsia="en-GB"/>
        </w:rPr>
        <w:t xml:space="preserve"> diagnostic medical devices</w:t>
      </w:r>
      <w:r w:rsidRPr="001E7A92">
        <w:rPr>
          <w:rFonts w:ascii="Times New Roman" w:hAnsi="Times New Roman" w:cs="Times New Roman"/>
          <w:noProof/>
          <w:sz w:val="24"/>
          <w:szCs w:val="24"/>
          <w:vertAlign w:val="superscript"/>
          <w:lang w:eastAsia="en-GB"/>
        </w:rPr>
        <w:footnoteReference w:id="2"/>
      </w:r>
      <w:r w:rsidRPr="001E7A92">
        <w:rPr>
          <w:rFonts w:ascii="Times New Roman" w:hAnsi="Times New Roman" w:cs="Times New Roman"/>
          <w:noProof/>
          <w:sz w:val="24"/>
          <w:szCs w:val="24"/>
          <w:lang w:eastAsia="en-GB"/>
        </w:rPr>
        <w:t xml:space="preserve"> </w:t>
      </w:r>
      <w:r w:rsidRPr="001E7A92">
        <w:rPr>
          <w:rFonts w:ascii="Times New Roman" w:hAnsi="Times New Roman" w:cs="Times New Roman"/>
          <w:bCs/>
          <w:noProof/>
          <w:sz w:val="24"/>
          <w:szCs w:val="24"/>
          <w:lang w:eastAsia="en-GB"/>
        </w:rPr>
        <w:t xml:space="preserve">were adopted on 5 April 2017 and entered into force on 25 May 2017. </w:t>
      </w:r>
      <w:r w:rsidRPr="001E7A92">
        <w:rPr>
          <w:rFonts w:ascii="Times New Roman" w:hAnsi="Times New Roman" w:cs="Times New Roman"/>
          <w:noProof/>
          <w:sz w:val="24"/>
          <w:szCs w:val="24"/>
          <w:lang w:eastAsia="en-GB"/>
        </w:rPr>
        <w:t xml:space="preserve">Regulation (EU) 2017/745 </w:t>
      </w:r>
      <w:r w:rsidRPr="001E7A92">
        <w:rPr>
          <w:rFonts w:ascii="Times New Roman" w:hAnsi="Times New Roman" w:cs="Times New Roman"/>
          <w:bCs/>
          <w:noProof/>
          <w:sz w:val="24"/>
          <w:szCs w:val="24"/>
          <w:lang w:eastAsia="en-GB"/>
        </w:rPr>
        <w:t>applies since 26 May 2021</w:t>
      </w:r>
      <w:r w:rsidRPr="001E7A92">
        <w:rPr>
          <w:rFonts w:ascii="Times New Roman" w:hAnsi="Times New Roman" w:cs="Times New Roman"/>
          <w:bCs/>
          <w:noProof/>
          <w:sz w:val="24"/>
          <w:szCs w:val="24"/>
          <w:vertAlign w:val="superscript"/>
          <w:lang w:eastAsia="en-GB"/>
        </w:rPr>
        <w:footnoteReference w:id="3"/>
      </w:r>
      <w:r w:rsidRPr="001E7A92">
        <w:rPr>
          <w:rFonts w:ascii="Times New Roman" w:hAnsi="Times New Roman" w:cs="Times New Roman"/>
          <w:bCs/>
          <w:noProof/>
          <w:sz w:val="24"/>
          <w:szCs w:val="24"/>
          <w:lang w:eastAsia="en-GB"/>
        </w:rPr>
        <w:t xml:space="preserve">. </w:t>
      </w:r>
      <w:r w:rsidRPr="001E7A92">
        <w:rPr>
          <w:rFonts w:ascii="Times New Roman" w:hAnsi="Times New Roman" w:cs="Times New Roman"/>
          <w:noProof/>
          <w:sz w:val="24"/>
          <w:szCs w:val="24"/>
          <w:lang w:eastAsia="en-GB"/>
        </w:rPr>
        <w:t xml:space="preserve">Regulation (EU) 2017/746 </w:t>
      </w:r>
      <w:r w:rsidRPr="001E7A92">
        <w:rPr>
          <w:rFonts w:ascii="Times New Roman" w:hAnsi="Times New Roman" w:cs="Times New Roman"/>
          <w:bCs/>
          <w:noProof/>
          <w:sz w:val="24"/>
          <w:szCs w:val="24"/>
          <w:lang w:eastAsia="en-GB"/>
        </w:rPr>
        <w:t>will apply from 26 May 2022</w:t>
      </w:r>
      <w:r w:rsidRPr="001E7A92">
        <w:rPr>
          <w:rFonts w:ascii="Times New Roman" w:hAnsi="Times New Roman" w:cs="Times New Roman"/>
          <w:bCs/>
          <w:noProof/>
          <w:sz w:val="24"/>
          <w:szCs w:val="24"/>
          <w:vertAlign w:val="superscript"/>
          <w:lang w:eastAsia="en-GB"/>
        </w:rPr>
        <w:footnoteReference w:id="4"/>
      </w:r>
      <w:r w:rsidRPr="001E7A92">
        <w:rPr>
          <w:rFonts w:ascii="Times New Roman" w:hAnsi="Times New Roman" w:cs="Times New Roman"/>
          <w:bCs/>
          <w:noProof/>
          <w:sz w:val="24"/>
          <w:szCs w:val="24"/>
          <w:lang w:eastAsia="en-GB"/>
        </w:rPr>
        <w:t>.</w:t>
      </w:r>
    </w:p>
    <w:p w14:paraId="0377BFB0" w14:textId="1335853E" w:rsidR="001E7A92" w:rsidRDefault="001E7A92" w:rsidP="001E7A92">
      <w:pPr>
        <w:spacing w:after="240" w:line="240" w:lineRule="auto"/>
        <w:jc w:val="both"/>
        <w:rPr>
          <w:rFonts w:ascii="Times New Roman" w:hAnsi="Times New Roman" w:cs="Times New Roman"/>
          <w:bCs/>
          <w:noProof/>
          <w:sz w:val="24"/>
          <w:szCs w:val="24"/>
          <w:lang w:eastAsia="en-GB"/>
        </w:rPr>
      </w:pPr>
      <w:r w:rsidRPr="001E7A92">
        <w:rPr>
          <w:rFonts w:ascii="Times New Roman" w:hAnsi="Times New Roman" w:cs="Times New Roman"/>
          <w:noProof/>
          <w:sz w:val="24"/>
          <w:szCs w:val="24"/>
        </w:rPr>
        <w:t xml:space="preserve">Medical devices and </w:t>
      </w:r>
      <w:r w:rsidRPr="001E7A92">
        <w:rPr>
          <w:rFonts w:ascii="Times New Roman" w:hAnsi="Times New Roman" w:cs="Times New Roman"/>
          <w:i/>
          <w:noProof/>
          <w:sz w:val="24"/>
          <w:szCs w:val="24"/>
        </w:rPr>
        <w:t>in vitro</w:t>
      </w:r>
      <w:r w:rsidRPr="001E7A92">
        <w:rPr>
          <w:rFonts w:ascii="Times New Roman" w:hAnsi="Times New Roman" w:cs="Times New Roman"/>
          <w:noProof/>
          <w:sz w:val="24"/>
          <w:szCs w:val="24"/>
        </w:rPr>
        <w:t xml:space="preserve"> diagnostic medical devices have a fundamental role in saving lives by providing healthcare solutions for the diagnosis, prevention, monitoring, prediction, prognosis, treatment or alleviation of disease.</w:t>
      </w:r>
      <w:r w:rsidRPr="001E7A92">
        <w:rPr>
          <w:rFonts w:ascii="Times New Roman" w:hAnsi="Times New Roman" w:cs="Times New Roman"/>
          <w:bCs/>
          <w:noProof/>
          <w:sz w:val="24"/>
          <w:szCs w:val="24"/>
          <w:lang w:eastAsia="en-GB"/>
        </w:rPr>
        <w:t xml:space="preserve"> Regulations (EU) 2017/745 and (EU) 2017/746 aim to provide </w:t>
      </w:r>
      <w:r w:rsidRPr="001E7A92">
        <w:rPr>
          <w:rFonts w:ascii="Times New Roman" w:hAnsi="Times New Roman" w:cs="Times New Roman"/>
          <w:noProof/>
          <w:sz w:val="24"/>
          <w:szCs w:val="24"/>
        </w:rPr>
        <w:t xml:space="preserve">a robust, transparent and sustainable regulatory framework in order </w:t>
      </w:r>
      <w:r w:rsidRPr="001E7A92">
        <w:rPr>
          <w:rFonts w:ascii="Times New Roman" w:hAnsi="Times New Roman" w:cs="Times New Roman"/>
          <w:bCs/>
          <w:noProof/>
          <w:sz w:val="24"/>
          <w:szCs w:val="24"/>
          <w:lang w:eastAsia="en-GB"/>
        </w:rPr>
        <w:t xml:space="preserve">to ensure </w:t>
      </w:r>
      <w:r w:rsidRPr="001E7A92">
        <w:rPr>
          <w:rFonts w:ascii="Times New Roman" w:hAnsi="Times New Roman" w:cs="Times New Roman"/>
          <w:noProof/>
          <w:sz w:val="24"/>
          <w:szCs w:val="24"/>
        </w:rPr>
        <w:t xml:space="preserve">a high level of </w:t>
      </w:r>
      <w:r w:rsidRPr="001E7A92">
        <w:rPr>
          <w:rFonts w:ascii="Times New Roman" w:hAnsi="Times New Roman" w:cs="Times New Roman"/>
          <w:bCs/>
          <w:noProof/>
          <w:sz w:val="24"/>
          <w:szCs w:val="24"/>
          <w:lang w:eastAsia="en-GB"/>
        </w:rPr>
        <w:t xml:space="preserve">safety and performance of medical devices and </w:t>
      </w:r>
      <w:r w:rsidRPr="001E7A92">
        <w:rPr>
          <w:rFonts w:ascii="Times New Roman" w:hAnsi="Times New Roman" w:cs="Times New Roman"/>
          <w:bCs/>
          <w:i/>
          <w:noProof/>
          <w:sz w:val="24"/>
          <w:szCs w:val="24"/>
          <w:lang w:eastAsia="en-GB"/>
        </w:rPr>
        <w:t>in vitro</w:t>
      </w:r>
      <w:r w:rsidRPr="001E7A92">
        <w:rPr>
          <w:rFonts w:ascii="Times New Roman" w:hAnsi="Times New Roman" w:cs="Times New Roman"/>
          <w:bCs/>
          <w:noProof/>
          <w:sz w:val="24"/>
          <w:szCs w:val="24"/>
          <w:lang w:eastAsia="en-GB"/>
        </w:rPr>
        <w:t xml:space="preserve"> diagnostic medical devices, </w:t>
      </w:r>
      <w:r w:rsidRPr="001E7A92">
        <w:rPr>
          <w:rFonts w:ascii="Times New Roman" w:hAnsi="Times New Roman" w:cs="Times New Roman"/>
          <w:noProof/>
          <w:sz w:val="24"/>
          <w:szCs w:val="24"/>
        </w:rPr>
        <w:t>while supporting innovation</w:t>
      </w:r>
      <w:r w:rsidRPr="001E7A92">
        <w:rPr>
          <w:rFonts w:ascii="Times New Roman" w:hAnsi="Times New Roman" w:cs="Times New Roman"/>
          <w:bCs/>
          <w:noProof/>
          <w:sz w:val="24"/>
          <w:szCs w:val="24"/>
          <w:lang w:eastAsia="en-GB"/>
        </w:rPr>
        <w:t xml:space="preserve">. </w:t>
      </w:r>
    </w:p>
    <w:p w14:paraId="240178F6" w14:textId="16C8B725" w:rsidR="007205DB" w:rsidRPr="001E7A92" w:rsidRDefault="007205DB" w:rsidP="001E7A92">
      <w:pPr>
        <w:spacing w:after="240" w:line="240" w:lineRule="auto"/>
        <w:jc w:val="both"/>
        <w:rPr>
          <w:bCs/>
          <w:noProof/>
          <w:lang w:eastAsia="en-GB"/>
        </w:rPr>
      </w:pPr>
      <w:r w:rsidRPr="00CA6EE6">
        <w:rPr>
          <w:rFonts w:ascii="Times New Roman" w:hAnsi="Times New Roman" w:cs="Times New Roman"/>
          <w:noProof/>
          <w:sz w:val="24"/>
          <w:szCs w:val="24"/>
          <w:lang w:eastAsia="en-GB"/>
        </w:rPr>
        <w:t xml:space="preserve">Regulations (EU) 2017/745 and (EU) 2017/746 empower the Commission to adopt several delegated acts. </w:t>
      </w:r>
      <w:r w:rsidR="00C57190" w:rsidRPr="001E7A92">
        <w:rPr>
          <w:rFonts w:ascii="Times New Roman" w:hAnsi="Times New Roman" w:cs="Times New Roman"/>
          <w:noProof/>
          <w:sz w:val="24"/>
          <w:szCs w:val="24"/>
        </w:rPr>
        <w:t xml:space="preserve">The Commission is required to report to the European Parliament and the Council </w:t>
      </w:r>
      <w:r w:rsidR="00C57190">
        <w:rPr>
          <w:rFonts w:ascii="Times New Roman" w:hAnsi="Times New Roman" w:cs="Times New Roman"/>
          <w:noProof/>
          <w:sz w:val="24"/>
          <w:szCs w:val="24"/>
        </w:rPr>
        <w:t>on</w:t>
      </w:r>
      <w:r w:rsidR="00C57190" w:rsidRPr="001E7A92">
        <w:rPr>
          <w:rFonts w:ascii="Times New Roman" w:hAnsi="Times New Roman" w:cs="Times New Roman"/>
          <w:noProof/>
          <w:sz w:val="24"/>
          <w:szCs w:val="24"/>
        </w:rPr>
        <w:t xml:space="preserve"> </w:t>
      </w:r>
      <w:r w:rsidR="008416CF">
        <w:rPr>
          <w:rFonts w:ascii="Times New Roman" w:hAnsi="Times New Roman" w:cs="Times New Roman"/>
          <w:noProof/>
          <w:sz w:val="24"/>
          <w:szCs w:val="24"/>
        </w:rPr>
        <w:t xml:space="preserve">the </w:t>
      </w:r>
      <w:r w:rsidR="00C57190" w:rsidRPr="001E7A92">
        <w:rPr>
          <w:rFonts w:ascii="Times New Roman" w:hAnsi="Times New Roman" w:cs="Times New Roman"/>
          <w:noProof/>
          <w:sz w:val="24"/>
          <w:szCs w:val="24"/>
        </w:rPr>
        <w:t>delegation</w:t>
      </w:r>
      <w:r w:rsidR="00C57190">
        <w:rPr>
          <w:rFonts w:ascii="Times New Roman" w:hAnsi="Times New Roman" w:cs="Times New Roman"/>
          <w:noProof/>
          <w:sz w:val="24"/>
          <w:szCs w:val="24"/>
        </w:rPr>
        <w:t>s</w:t>
      </w:r>
      <w:r w:rsidR="00C57190" w:rsidRPr="001E7A92">
        <w:rPr>
          <w:rFonts w:ascii="Times New Roman" w:hAnsi="Times New Roman" w:cs="Times New Roman"/>
          <w:noProof/>
          <w:sz w:val="24"/>
          <w:szCs w:val="24"/>
        </w:rPr>
        <w:t xml:space="preserve"> of power not later than nine months before the end of the five-year period.</w:t>
      </w:r>
    </w:p>
    <w:p w14:paraId="678A4DC8" w14:textId="77777777" w:rsidR="001E7A92" w:rsidRPr="001E7A92" w:rsidRDefault="001E7A92" w:rsidP="001E7A92">
      <w:pPr>
        <w:pStyle w:val="ListParagraph"/>
        <w:numPr>
          <w:ilvl w:val="0"/>
          <w:numId w:val="2"/>
        </w:numPr>
        <w:spacing w:before="360" w:after="240" w:line="240" w:lineRule="auto"/>
        <w:rPr>
          <w:rFonts w:ascii="Times New Roman" w:hAnsi="Times New Roman" w:cs="Times New Roman"/>
          <w:b/>
          <w:noProof/>
          <w:sz w:val="24"/>
          <w:szCs w:val="24"/>
        </w:rPr>
      </w:pPr>
      <w:r w:rsidRPr="001E7A92">
        <w:rPr>
          <w:rFonts w:ascii="Times New Roman" w:hAnsi="Times New Roman" w:cs="Times New Roman"/>
          <w:b/>
          <w:noProof/>
          <w:sz w:val="24"/>
          <w:szCs w:val="24"/>
        </w:rPr>
        <w:t>LEGAL BASIS</w:t>
      </w:r>
    </w:p>
    <w:p w14:paraId="7828687D" w14:textId="2EE39EE9" w:rsidR="00E45CD2" w:rsidRDefault="002C0078" w:rsidP="001E7A92">
      <w:pPr>
        <w:spacing w:before="36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With this report, the Commission meets the reporting requirements established in</w:t>
      </w:r>
      <w:r w:rsidR="00E45CD2">
        <w:rPr>
          <w:rFonts w:ascii="Times New Roman" w:hAnsi="Times New Roman" w:cs="Times New Roman"/>
          <w:noProof/>
          <w:sz w:val="24"/>
          <w:szCs w:val="24"/>
        </w:rPr>
        <w:t xml:space="preserve"> Article 115(2) of Regulation (EU) 2017/745 and Article 108(2) of Regulation (EU) 2017/746. Pursuant to those provisions,</w:t>
      </w:r>
      <w:r w:rsidR="00814821">
        <w:rPr>
          <w:rFonts w:ascii="Times New Roman" w:hAnsi="Times New Roman" w:cs="Times New Roman"/>
          <w:noProof/>
          <w:sz w:val="24"/>
          <w:szCs w:val="24"/>
          <w:lang w:eastAsia="en-GB"/>
        </w:rPr>
        <w:t xml:space="preserve"> the power to adopt delegated acts referred to in </w:t>
      </w:r>
      <w:r w:rsidR="001E7A92" w:rsidRPr="001E7A92">
        <w:rPr>
          <w:rFonts w:ascii="Times New Roman" w:hAnsi="Times New Roman" w:cs="Times New Roman"/>
          <w:noProof/>
          <w:sz w:val="24"/>
          <w:szCs w:val="24"/>
          <w:shd w:val="clear" w:color="auto" w:fill="FFFFFF"/>
        </w:rPr>
        <w:t xml:space="preserve">the provisions </w:t>
      </w:r>
      <w:r w:rsidR="00814821">
        <w:rPr>
          <w:rFonts w:ascii="Times New Roman" w:hAnsi="Times New Roman" w:cs="Times New Roman"/>
          <w:noProof/>
          <w:sz w:val="24"/>
          <w:szCs w:val="24"/>
          <w:shd w:val="clear" w:color="auto" w:fill="FFFFFF"/>
        </w:rPr>
        <w:t xml:space="preserve">listed </w:t>
      </w:r>
      <w:r w:rsidR="00E45CD2">
        <w:rPr>
          <w:rFonts w:ascii="Times New Roman" w:hAnsi="Times New Roman" w:cs="Times New Roman"/>
          <w:noProof/>
          <w:sz w:val="24"/>
          <w:szCs w:val="24"/>
          <w:shd w:val="clear" w:color="auto" w:fill="FFFFFF"/>
        </w:rPr>
        <w:t>therein (</w:t>
      </w:r>
      <w:r w:rsidR="00407CB4">
        <w:rPr>
          <w:rFonts w:ascii="Times New Roman" w:hAnsi="Times New Roman" w:cs="Times New Roman"/>
          <w:noProof/>
          <w:sz w:val="24"/>
          <w:szCs w:val="24"/>
          <w:shd w:val="clear" w:color="auto" w:fill="FFFFFF"/>
        </w:rPr>
        <w:t xml:space="preserve">i.e. </w:t>
      </w:r>
      <w:r w:rsidR="00E45CD2">
        <w:rPr>
          <w:rFonts w:ascii="Times New Roman" w:hAnsi="Times New Roman" w:cs="Times New Roman"/>
          <w:noProof/>
          <w:sz w:val="24"/>
          <w:szCs w:val="24"/>
          <w:shd w:val="clear" w:color="auto" w:fill="FFFFFF"/>
        </w:rPr>
        <w:t>Articles 1(5), 3, 10(4),18(3), 19(4), 27(10), 44(11), 52(5), 56(6), 61(8), 70(8) and 106(15) of Regulation (EU) 2017/745 and Articles 10(4), 17(4), 24(10), 51(6) and 66(8) of Regulation (EU) 2017/746</w:t>
      </w:r>
      <w:r w:rsidR="001E7A92" w:rsidRPr="001E7A92">
        <w:rPr>
          <w:rFonts w:ascii="Times New Roman" w:hAnsi="Times New Roman" w:cs="Times New Roman"/>
          <w:noProof/>
          <w:sz w:val="24"/>
          <w:szCs w:val="24"/>
          <w:vertAlign w:val="superscript"/>
          <w:lang w:eastAsia="en-GB"/>
        </w:rPr>
        <w:footnoteReference w:id="5"/>
      </w:r>
      <w:r w:rsidR="00407CB4">
        <w:rPr>
          <w:rFonts w:ascii="Times New Roman" w:hAnsi="Times New Roman" w:cs="Times New Roman"/>
          <w:noProof/>
          <w:sz w:val="24"/>
          <w:szCs w:val="24"/>
          <w:shd w:val="clear" w:color="auto" w:fill="FFFFFF"/>
        </w:rPr>
        <w:t>)</w:t>
      </w:r>
      <w:r w:rsidR="00814821">
        <w:rPr>
          <w:rFonts w:ascii="Times New Roman" w:hAnsi="Times New Roman" w:cs="Times New Roman"/>
          <w:noProof/>
          <w:sz w:val="24"/>
          <w:szCs w:val="24"/>
          <w:shd w:val="clear" w:color="auto" w:fill="FFFFFF"/>
        </w:rPr>
        <w:t>, i</w:t>
      </w:r>
      <w:r w:rsidR="001E7A92" w:rsidRPr="001E7A92">
        <w:rPr>
          <w:rFonts w:ascii="Times New Roman" w:hAnsi="Times New Roman" w:cs="Times New Roman"/>
          <w:noProof/>
          <w:sz w:val="24"/>
          <w:szCs w:val="24"/>
        </w:rPr>
        <w:t xml:space="preserve">s conferred on the Commission for a period of five years from 25 May 2017. </w:t>
      </w:r>
    </w:p>
    <w:p w14:paraId="3FD6D862" w14:textId="30F824D9" w:rsidR="001E7A92" w:rsidRPr="001E7A92" w:rsidRDefault="00E45CD2" w:rsidP="001E7A92">
      <w:pPr>
        <w:spacing w:before="36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115(2) of Regulation (EU) 2017/745 and Article 108(2) of Regulation (EU) 2017/746 lay down that t</w:t>
      </w:r>
      <w:r w:rsidR="001E7A92" w:rsidRPr="001E7A92">
        <w:rPr>
          <w:rFonts w:ascii="Times New Roman" w:hAnsi="Times New Roman" w:cs="Times New Roman"/>
          <w:noProof/>
          <w:sz w:val="24"/>
          <w:szCs w:val="24"/>
        </w:rPr>
        <w:t>he delegation</w:t>
      </w:r>
      <w:r w:rsidR="002C0078">
        <w:rPr>
          <w:rFonts w:ascii="Times New Roman" w:hAnsi="Times New Roman" w:cs="Times New Roman"/>
          <w:noProof/>
          <w:sz w:val="24"/>
          <w:szCs w:val="24"/>
        </w:rPr>
        <w:t>s</w:t>
      </w:r>
      <w:r w:rsidR="001E7A92" w:rsidRPr="001E7A92">
        <w:rPr>
          <w:rFonts w:ascii="Times New Roman" w:hAnsi="Times New Roman" w:cs="Times New Roman"/>
          <w:noProof/>
          <w:sz w:val="24"/>
          <w:szCs w:val="24"/>
        </w:rPr>
        <w:t xml:space="preserve"> of power </w:t>
      </w:r>
      <w:r w:rsidR="002C0078">
        <w:rPr>
          <w:rFonts w:ascii="Times New Roman" w:hAnsi="Times New Roman" w:cs="Times New Roman"/>
          <w:noProof/>
          <w:sz w:val="24"/>
          <w:szCs w:val="24"/>
        </w:rPr>
        <w:t>are</w:t>
      </w:r>
      <w:r w:rsidR="001E7A92" w:rsidRPr="001E7A92">
        <w:rPr>
          <w:rFonts w:ascii="Times New Roman" w:hAnsi="Times New Roman" w:cs="Times New Roman"/>
          <w:noProof/>
          <w:sz w:val="24"/>
          <w:szCs w:val="24"/>
        </w:rPr>
        <w:t xml:space="preserve"> to be tacitly extended for periods of identical duration, unless the European Parliament or the Council opposes such extension not later than three months before the end of each period.</w:t>
      </w:r>
    </w:p>
    <w:p w14:paraId="494D4FF5" w14:textId="4521D520" w:rsidR="001E7A92" w:rsidRPr="001E7A92" w:rsidRDefault="001E7A92" w:rsidP="001E7A92">
      <w:pPr>
        <w:pStyle w:val="ListParagraph"/>
        <w:numPr>
          <w:ilvl w:val="0"/>
          <w:numId w:val="2"/>
        </w:numPr>
        <w:spacing w:before="360" w:after="240" w:line="240" w:lineRule="auto"/>
        <w:rPr>
          <w:rFonts w:ascii="Times New Roman" w:hAnsi="Times New Roman" w:cs="Times New Roman"/>
          <w:b/>
          <w:noProof/>
          <w:sz w:val="24"/>
          <w:szCs w:val="24"/>
        </w:rPr>
      </w:pPr>
      <w:r w:rsidRPr="001E7A92">
        <w:rPr>
          <w:rFonts w:ascii="Times New Roman" w:hAnsi="Times New Roman" w:cs="Times New Roman"/>
          <w:b/>
          <w:noProof/>
          <w:sz w:val="24"/>
          <w:szCs w:val="24"/>
        </w:rPr>
        <w:t>EXERCISE OF THE DELEGATION</w:t>
      </w:r>
      <w:r w:rsidR="00CB4A4D">
        <w:rPr>
          <w:rFonts w:ascii="Times New Roman" w:hAnsi="Times New Roman" w:cs="Times New Roman"/>
          <w:b/>
          <w:noProof/>
          <w:sz w:val="24"/>
          <w:szCs w:val="24"/>
        </w:rPr>
        <w:t>S</w:t>
      </w:r>
    </w:p>
    <w:p w14:paraId="36013DD9" w14:textId="48DF0E4A" w:rsidR="001E7A92" w:rsidRPr="001E7A92" w:rsidRDefault="001E7A92" w:rsidP="001E7A92">
      <w:pPr>
        <w:spacing w:before="360" w:after="240" w:line="240" w:lineRule="auto"/>
        <w:jc w:val="both"/>
        <w:rPr>
          <w:rFonts w:ascii="Times New Roman" w:hAnsi="Times New Roman" w:cs="Times New Roman"/>
          <w:noProof/>
          <w:sz w:val="24"/>
          <w:szCs w:val="24"/>
        </w:rPr>
      </w:pPr>
      <w:r w:rsidRPr="001E7A92">
        <w:rPr>
          <w:rFonts w:ascii="Times New Roman" w:hAnsi="Times New Roman" w:cs="Times New Roman"/>
          <w:noProof/>
          <w:sz w:val="24"/>
          <w:szCs w:val="24"/>
        </w:rPr>
        <w:t>The Commission has not yet exercised the delegated powers conferred to it</w:t>
      </w:r>
      <w:r w:rsidR="00EA7425">
        <w:rPr>
          <w:rFonts w:ascii="Times New Roman" w:hAnsi="Times New Roman" w:cs="Times New Roman"/>
          <w:noProof/>
          <w:sz w:val="24"/>
          <w:szCs w:val="24"/>
        </w:rPr>
        <w:t xml:space="preserve"> under </w:t>
      </w:r>
      <w:r w:rsidR="00F4573A">
        <w:rPr>
          <w:rFonts w:ascii="Times New Roman" w:hAnsi="Times New Roman" w:cs="Times New Roman"/>
          <w:noProof/>
          <w:sz w:val="24"/>
          <w:szCs w:val="24"/>
        </w:rPr>
        <w:t>the respective provisions</w:t>
      </w:r>
      <w:r w:rsidR="00EA7425">
        <w:rPr>
          <w:rFonts w:ascii="Times New Roman" w:hAnsi="Times New Roman" w:cs="Times New Roman"/>
          <w:noProof/>
          <w:sz w:val="24"/>
          <w:szCs w:val="24"/>
        </w:rPr>
        <w:t xml:space="preserve"> of Regulation</w:t>
      </w:r>
      <w:r w:rsidR="00135FAB">
        <w:rPr>
          <w:rFonts w:ascii="Times New Roman" w:hAnsi="Times New Roman" w:cs="Times New Roman"/>
          <w:noProof/>
          <w:sz w:val="24"/>
          <w:szCs w:val="24"/>
        </w:rPr>
        <w:t>s</w:t>
      </w:r>
      <w:r w:rsidR="00EA7425">
        <w:rPr>
          <w:rFonts w:ascii="Times New Roman" w:hAnsi="Times New Roman" w:cs="Times New Roman"/>
          <w:noProof/>
          <w:sz w:val="24"/>
          <w:szCs w:val="24"/>
        </w:rPr>
        <w:t xml:space="preserve"> (EU) 2017/745 and (EU) 2017/746</w:t>
      </w:r>
      <w:r w:rsidRPr="001E7A92">
        <w:rPr>
          <w:rFonts w:ascii="Times New Roman" w:hAnsi="Times New Roman" w:cs="Times New Roman"/>
          <w:noProof/>
          <w:sz w:val="24"/>
          <w:szCs w:val="24"/>
        </w:rPr>
        <w:t xml:space="preserve">. This is primarily due to the fact that Regulation (EU) 2017/745 </w:t>
      </w:r>
      <w:r w:rsidR="00EA7425">
        <w:rPr>
          <w:rFonts w:ascii="Times New Roman" w:hAnsi="Times New Roman" w:cs="Times New Roman"/>
          <w:noProof/>
          <w:sz w:val="24"/>
          <w:szCs w:val="24"/>
        </w:rPr>
        <w:t>has</w:t>
      </w:r>
      <w:r w:rsidRPr="001E7A92">
        <w:rPr>
          <w:rFonts w:ascii="Times New Roman" w:hAnsi="Times New Roman" w:cs="Times New Roman"/>
          <w:noProof/>
          <w:sz w:val="24"/>
          <w:szCs w:val="24"/>
        </w:rPr>
        <w:t xml:space="preserve"> </w:t>
      </w:r>
      <w:r w:rsidR="00EA7425">
        <w:rPr>
          <w:rFonts w:ascii="Times New Roman" w:hAnsi="Times New Roman" w:cs="Times New Roman"/>
          <w:noProof/>
          <w:sz w:val="24"/>
          <w:szCs w:val="24"/>
        </w:rPr>
        <w:t xml:space="preserve">been </w:t>
      </w:r>
      <w:r w:rsidRPr="001E7A92">
        <w:rPr>
          <w:rFonts w:ascii="Times New Roman" w:hAnsi="Times New Roman" w:cs="Times New Roman"/>
          <w:noProof/>
          <w:sz w:val="24"/>
          <w:szCs w:val="24"/>
        </w:rPr>
        <w:t xml:space="preserve">applicable since 26 May 2021 and Regulation </w:t>
      </w:r>
      <w:r w:rsidRPr="001E7A92">
        <w:rPr>
          <w:rFonts w:ascii="Times New Roman" w:hAnsi="Times New Roman" w:cs="Times New Roman"/>
          <w:noProof/>
          <w:sz w:val="24"/>
          <w:szCs w:val="24"/>
          <w:lang w:eastAsia="en-GB"/>
        </w:rPr>
        <w:t xml:space="preserve">(EU) 2017/746 </w:t>
      </w:r>
      <w:r w:rsidRPr="001E7A92">
        <w:rPr>
          <w:rFonts w:ascii="Times New Roman" w:hAnsi="Times New Roman" w:cs="Times New Roman"/>
          <w:noProof/>
          <w:sz w:val="24"/>
          <w:szCs w:val="24"/>
        </w:rPr>
        <w:t xml:space="preserve">will apply from 26 May 2022. Hence, there is at present only limited experience on their application in practice. Further explanations are provided below for each of the empowerments. </w:t>
      </w:r>
    </w:p>
    <w:p w14:paraId="68AE917C" w14:textId="77777777" w:rsidR="001E7A92" w:rsidRPr="001E7A92" w:rsidRDefault="001E7A92" w:rsidP="001E7A92">
      <w:pPr>
        <w:numPr>
          <w:ilvl w:val="0"/>
          <w:numId w:val="1"/>
        </w:numPr>
        <w:spacing w:before="360" w:after="240" w:line="240" w:lineRule="auto"/>
        <w:jc w:val="both"/>
        <w:rPr>
          <w:rFonts w:ascii="Times New Roman" w:hAnsi="Times New Roman" w:cs="Times New Roman"/>
          <w:noProof/>
          <w:sz w:val="24"/>
          <w:szCs w:val="24"/>
          <w:lang w:val="en-US"/>
        </w:rPr>
      </w:pPr>
      <w:r w:rsidRPr="001E7A92">
        <w:rPr>
          <w:rFonts w:ascii="Times New Roman" w:hAnsi="Times New Roman" w:cs="Times New Roman"/>
          <w:noProof/>
          <w:sz w:val="24"/>
          <w:szCs w:val="24"/>
        </w:rPr>
        <w:t>Products without an intended medical purpose</w:t>
      </w:r>
    </w:p>
    <w:p w14:paraId="0C103238" w14:textId="25790FFF" w:rsidR="001E7A92" w:rsidRPr="001E7A92" w:rsidRDefault="001E7A92" w:rsidP="001E7A92">
      <w:pPr>
        <w:spacing w:before="360" w:after="240" w:line="240" w:lineRule="auto"/>
        <w:ind w:left="720"/>
        <w:jc w:val="both"/>
        <w:rPr>
          <w:rFonts w:ascii="Times New Roman" w:hAnsi="Times New Roman" w:cs="Times New Roman"/>
          <w:noProof/>
          <w:sz w:val="24"/>
          <w:szCs w:val="24"/>
          <w:lang w:val="en-US"/>
        </w:rPr>
      </w:pPr>
      <w:r w:rsidRPr="001E7A92">
        <w:rPr>
          <w:rFonts w:ascii="Times New Roman" w:hAnsi="Times New Roman" w:cs="Times New Roman"/>
          <w:noProof/>
          <w:sz w:val="24"/>
          <w:szCs w:val="24"/>
        </w:rPr>
        <w:t xml:space="preserve">Article 1(5) of Regulation (EU) 2017/745 empowers the Commission to adopt delegated acts to amend </w:t>
      </w:r>
      <w:r w:rsidRPr="001E7A92">
        <w:rPr>
          <w:rFonts w:ascii="Times New Roman" w:hAnsi="Times New Roman" w:cs="Times New Roman"/>
          <w:noProof/>
          <w:sz w:val="24"/>
          <w:szCs w:val="24"/>
          <w:lang w:val="en-US"/>
        </w:rPr>
        <w:t xml:space="preserve">Annex XVI </w:t>
      </w:r>
      <w:r w:rsidR="00EA7425">
        <w:rPr>
          <w:rFonts w:ascii="Times New Roman" w:hAnsi="Times New Roman" w:cs="Times New Roman"/>
          <w:noProof/>
          <w:sz w:val="24"/>
          <w:szCs w:val="24"/>
          <w:lang w:val="en-US"/>
        </w:rPr>
        <w:t xml:space="preserve">to that Regulation. Annex XVI </w:t>
      </w:r>
      <w:r w:rsidRPr="001E7A92">
        <w:rPr>
          <w:rFonts w:ascii="Times New Roman" w:hAnsi="Times New Roman" w:cs="Times New Roman"/>
          <w:noProof/>
          <w:sz w:val="24"/>
          <w:szCs w:val="24"/>
        </w:rPr>
        <w:t xml:space="preserve">lists groups of products without an intended medical purpose </w:t>
      </w:r>
      <w:r w:rsidR="00EA7425">
        <w:rPr>
          <w:rFonts w:ascii="Times New Roman" w:hAnsi="Times New Roman" w:cs="Times New Roman"/>
          <w:noProof/>
          <w:sz w:val="24"/>
          <w:szCs w:val="24"/>
        </w:rPr>
        <w:t xml:space="preserve">as </w:t>
      </w:r>
      <w:r w:rsidRPr="001E7A92">
        <w:rPr>
          <w:rFonts w:ascii="Times New Roman" w:hAnsi="Times New Roman" w:cs="Times New Roman"/>
          <w:noProof/>
          <w:sz w:val="24"/>
          <w:szCs w:val="24"/>
        </w:rPr>
        <w:t>referred to in Article 1(2)</w:t>
      </w:r>
      <w:r w:rsidR="00EA7425">
        <w:rPr>
          <w:rFonts w:ascii="Times New Roman" w:hAnsi="Times New Roman" w:cs="Times New Roman"/>
          <w:noProof/>
          <w:sz w:val="24"/>
          <w:szCs w:val="24"/>
        </w:rPr>
        <w:t>. The Commission is empowered to</w:t>
      </w:r>
      <w:r w:rsidRPr="001E7A92">
        <w:rPr>
          <w:rFonts w:ascii="Times New Roman" w:hAnsi="Times New Roman" w:cs="Times New Roman"/>
          <w:noProof/>
          <w:sz w:val="24"/>
          <w:szCs w:val="24"/>
          <w:lang w:val="en-US"/>
        </w:rPr>
        <w:t xml:space="preserve"> add new </w:t>
      </w:r>
      <w:r w:rsidRPr="001E7A92">
        <w:rPr>
          <w:rFonts w:ascii="Times New Roman" w:hAnsi="Times New Roman" w:cs="Times New Roman"/>
          <w:noProof/>
          <w:sz w:val="24"/>
          <w:szCs w:val="24"/>
        </w:rPr>
        <w:t>groups of products in order to protect the health and safety of users, other persons or other aspects of public health. The groups of products listed in Annex XVI are still up to date.</w:t>
      </w:r>
    </w:p>
    <w:p w14:paraId="64633E98" w14:textId="77777777" w:rsidR="001E7A92" w:rsidRPr="001E7A92" w:rsidRDefault="001E7A92" w:rsidP="001E7A92">
      <w:pPr>
        <w:numPr>
          <w:ilvl w:val="0"/>
          <w:numId w:val="1"/>
        </w:numPr>
        <w:spacing w:before="360" w:after="240" w:line="240" w:lineRule="auto"/>
        <w:jc w:val="both"/>
        <w:rPr>
          <w:rFonts w:ascii="Times New Roman" w:hAnsi="Times New Roman" w:cs="Times New Roman"/>
          <w:noProof/>
          <w:sz w:val="24"/>
          <w:szCs w:val="24"/>
          <w:lang w:val="en-US"/>
        </w:rPr>
      </w:pPr>
      <w:r w:rsidRPr="001E7A92">
        <w:rPr>
          <w:rFonts w:ascii="Times New Roman" w:hAnsi="Times New Roman" w:cs="Times New Roman"/>
          <w:noProof/>
          <w:sz w:val="24"/>
          <w:szCs w:val="24"/>
          <w:lang w:val="en-US"/>
        </w:rPr>
        <w:t>Amendment of the definition of ‘nanomaterial’ and related definitions</w:t>
      </w:r>
    </w:p>
    <w:p w14:paraId="4E654C85" w14:textId="784C0330" w:rsidR="001E7A92" w:rsidRPr="001E7A92" w:rsidRDefault="001E7A92" w:rsidP="001E7A92">
      <w:pPr>
        <w:spacing w:before="360" w:after="240" w:line="240" w:lineRule="auto"/>
        <w:ind w:left="720"/>
        <w:jc w:val="both"/>
        <w:rPr>
          <w:rFonts w:ascii="Times New Roman" w:hAnsi="Times New Roman" w:cs="Times New Roman"/>
          <w:noProof/>
          <w:sz w:val="24"/>
          <w:szCs w:val="24"/>
        </w:rPr>
      </w:pPr>
      <w:r w:rsidRPr="001E7A92">
        <w:rPr>
          <w:rFonts w:ascii="Times New Roman" w:hAnsi="Times New Roman" w:cs="Times New Roman"/>
          <w:noProof/>
          <w:sz w:val="24"/>
          <w:szCs w:val="24"/>
          <w:lang w:val="en-US"/>
        </w:rPr>
        <w:t xml:space="preserve">Article 3 of </w:t>
      </w:r>
      <w:r w:rsidRPr="001E7A92">
        <w:rPr>
          <w:rFonts w:ascii="Times New Roman" w:hAnsi="Times New Roman" w:cs="Times New Roman"/>
          <w:noProof/>
          <w:sz w:val="24"/>
          <w:szCs w:val="24"/>
        </w:rPr>
        <w:t>Regulation (EU) 2017/745 empowers the Commission to adopt delegated acts to amend</w:t>
      </w:r>
      <w:r w:rsidRPr="001E7A92">
        <w:rPr>
          <w:rFonts w:ascii="Times New Roman" w:hAnsi="Times New Roman" w:cs="Times New Roman"/>
          <w:noProof/>
          <w:sz w:val="24"/>
          <w:szCs w:val="24"/>
          <w:lang w:val="en-US"/>
        </w:rPr>
        <w:t xml:space="preserve"> the definition of ‘nanomaterial’ set out in Article 2(18) and the related definitions of ‘particle’, ‘agglomerate’ and ‘aggregate’ set out in Article 2(19), (20), (21) in light of technical and scientific </w:t>
      </w:r>
      <w:r w:rsidRPr="001E7A92">
        <w:rPr>
          <w:rFonts w:ascii="Times New Roman" w:hAnsi="Times New Roman" w:cs="Times New Roman"/>
          <w:noProof/>
          <w:sz w:val="24"/>
          <w:szCs w:val="24"/>
        </w:rPr>
        <w:t>progress and taking into account definitions agreed at Union and international level. The before-mentioned definitions are based on Commission Recommendation 2011/696/EU</w:t>
      </w:r>
      <w:r w:rsidR="009F43FF">
        <w:rPr>
          <w:rStyle w:val="FootnoteReference"/>
          <w:rFonts w:ascii="Times New Roman" w:hAnsi="Times New Roman"/>
          <w:noProof/>
          <w:sz w:val="24"/>
          <w:szCs w:val="24"/>
        </w:rPr>
        <w:footnoteReference w:id="6"/>
      </w:r>
      <w:r w:rsidRPr="001E7A92">
        <w:rPr>
          <w:rFonts w:ascii="Times New Roman" w:hAnsi="Times New Roman" w:cs="Times New Roman"/>
          <w:noProof/>
          <w:sz w:val="24"/>
          <w:szCs w:val="24"/>
        </w:rPr>
        <w:t xml:space="preserve"> which has not yet been updated. A review of that Recommendation is ongoing</w:t>
      </w:r>
      <w:r w:rsidR="00EA5F45">
        <w:rPr>
          <w:rFonts w:ascii="Times New Roman" w:hAnsi="Times New Roman" w:cs="Times New Roman"/>
          <w:noProof/>
          <w:sz w:val="24"/>
          <w:szCs w:val="24"/>
        </w:rPr>
        <w:t xml:space="preserve"> and is expected to result in</w:t>
      </w:r>
      <w:r w:rsidR="00A259B1">
        <w:rPr>
          <w:rFonts w:ascii="Times New Roman" w:hAnsi="Times New Roman" w:cs="Times New Roman"/>
          <w:noProof/>
          <w:sz w:val="24"/>
          <w:szCs w:val="24"/>
        </w:rPr>
        <w:t xml:space="preserve"> </w:t>
      </w:r>
      <w:r w:rsidR="00EA5F45">
        <w:rPr>
          <w:rFonts w:ascii="Times New Roman" w:hAnsi="Times New Roman" w:cs="Times New Roman"/>
          <w:noProof/>
          <w:sz w:val="24"/>
          <w:szCs w:val="24"/>
        </w:rPr>
        <w:t>t</w:t>
      </w:r>
      <w:r w:rsidRPr="001E7A92">
        <w:rPr>
          <w:rFonts w:ascii="Times New Roman" w:hAnsi="Times New Roman" w:cs="Times New Roman"/>
          <w:noProof/>
          <w:sz w:val="24"/>
          <w:szCs w:val="24"/>
        </w:rPr>
        <w:t xml:space="preserve">he adoption of </w:t>
      </w:r>
      <w:r w:rsidR="00EA5F45">
        <w:rPr>
          <w:rFonts w:ascii="Times New Roman" w:hAnsi="Times New Roman" w:cs="Times New Roman"/>
          <w:noProof/>
          <w:sz w:val="24"/>
          <w:szCs w:val="24"/>
        </w:rPr>
        <w:t>a</w:t>
      </w:r>
      <w:r w:rsidRPr="001E7A92">
        <w:rPr>
          <w:rFonts w:ascii="Times New Roman" w:hAnsi="Times New Roman" w:cs="Times New Roman"/>
          <w:noProof/>
          <w:sz w:val="24"/>
          <w:szCs w:val="24"/>
        </w:rPr>
        <w:t xml:space="preserve"> revised Recommendation and accom</w:t>
      </w:r>
      <w:r w:rsidR="00EA5F45">
        <w:rPr>
          <w:rFonts w:ascii="Times New Roman" w:hAnsi="Times New Roman" w:cs="Times New Roman"/>
          <w:noProof/>
          <w:sz w:val="24"/>
          <w:szCs w:val="24"/>
        </w:rPr>
        <w:t>p</w:t>
      </w:r>
      <w:r w:rsidRPr="001E7A92">
        <w:rPr>
          <w:rFonts w:ascii="Times New Roman" w:hAnsi="Times New Roman" w:cs="Times New Roman"/>
          <w:noProof/>
          <w:sz w:val="24"/>
          <w:szCs w:val="24"/>
        </w:rPr>
        <w:t xml:space="preserve">anying staff working document in the first half of 2022. </w:t>
      </w:r>
      <w:r w:rsidR="002C0078">
        <w:rPr>
          <w:rFonts w:ascii="Times New Roman" w:hAnsi="Times New Roman" w:cs="Times New Roman"/>
          <w:noProof/>
          <w:sz w:val="24"/>
          <w:szCs w:val="24"/>
        </w:rPr>
        <w:t>Should</w:t>
      </w:r>
      <w:r w:rsidR="00CB72CF">
        <w:rPr>
          <w:rFonts w:ascii="Times New Roman" w:hAnsi="Times New Roman" w:cs="Times New Roman"/>
          <w:noProof/>
          <w:sz w:val="24"/>
          <w:szCs w:val="24"/>
        </w:rPr>
        <w:t xml:space="preserve"> </w:t>
      </w:r>
      <w:r w:rsidRPr="001E7A92">
        <w:rPr>
          <w:rFonts w:ascii="Times New Roman" w:hAnsi="Times New Roman" w:cs="Times New Roman"/>
          <w:noProof/>
          <w:sz w:val="24"/>
          <w:szCs w:val="24"/>
        </w:rPr>
        <w:t xml:space="preserve">the definition of ‘nanomaterial’ be </w:t>
      </w:r>
      <w:r w:rsidR="002C0078">
        <w:rPr>
          <w:rFonts w:ascii="Times New Roman" w:hAnsi="Times New Roman" w:cs="Times New Roman"/>
          <w:noProof/>
          <w:sz w:val="24"/>
          <w:szCs w:val="24"/>
        </w:rPr>
        <w:t>amended in that Recommendation</w:t>
      </w:r>
      <w:r w:rsidRPr="001E7A92">
        <w:rPr>
          <w:rFonts w:ascii="Times New Roman" w:hAnsi="Times New Roman" w:cs="Times New Roman"/>
          <w:noProof/>
          <w:sz w:val="24"/>
          <w:szCs w:val="24"/>
        </w:rPr>
        <w:t xml:space="preserve">, the Commission will assess </w:t>
      </w:r>
      <w:r w:rsidR="002C0078">
        <w:rPr>
          <w:rFonts w:ascii="Times New Roman" w:hAnsi="Times New Roman" w:cs="Times New Roman"/>
          <w:noProof/>
          <w:sz w:val="24"/>
          <w:szCs w:val="24"/>
        </w:rPr>
        <w:t xml:space="preserve">the need to amend </w:t>
      </w:r>
      <w:r w:rsidRPr="001E7A92">
        <w:rPr>
          <w:rFonts w:ascii="Times New Roman" w:hAnsi="Times New Roman" w:cs="Times New Roman"/>
          <w:noProof/>
          <w:sz w:val="24"/>
          <w:szCs w:val="24"/>
        </w:rPr>
        <w:t xml:space="preserve">the corresponding </w:t>
      </w:r>
      <w:r w:rsidR="00EA5F45">
        <w:rPr>
          <w:rFonts w:ascii="Times New Roman" w:hAnsi="Times New Roman" w:cs="Times New Roman"/>
          <w:noProof/>
          <w:sz w:val="24"/>
          <w:szCs w:val="24"/>
        </w:rPr>
        <w:t xml:space="preserve">and related </w:t>
      </w:r>
      <w:r w:rsidRPr="001E7A92">
        <w:rPr>
          <w:rFonts w:ascii="Times New Roman" w:hAnsi="Times New Roman" w:cs="Times New Roman"/>
          <w:noProof/>
          <w:sz w:val="24"/>
          <w:szCs w:val="24"/>
        </w:rPr>
        <w:t xml:space="preserve">definitions in Regulation (EU) 2017/745, </w:t>
      </w:r>
      <w:r w:rsidR="00215A1B">
        <w:rPr>
          <w:rFonts w:ascii="Times New Roman" w:hAnsi="Times New Roman" w:cs="Times New Roman"/>
          <w:noProof/>
          <w:sz w:val="24"/>
          <w:szCs w:val="24"/>
        </w:rPr>
        <w:t>in order to maintain</w:t>
      </w:r>
      <w:r w:rsidR="00215A1B" w:rsidRPr="001E7A92">
        <w:rPr>
          <w:rFonts w:ascii="Times New Roman" w:hAnsi="Times New Roman" w:cs="Times New Roman"/>
          <w:noProof/>
          <w:sz w:val="24"/>
          <w:szCs w:val="24"/>
        </w:rPr>
        <w:t xml:space="preserve"> </w:t>
      </w:r>
      <w:r w:rsidRPr="001E7A92">
        <w:rPr>
          <w:rFonts w:ascii="Times New Roman" w:hAnsi="Times New Roman" w:cs="Times New Roman"/>
          <w:noProof/>
          <w:sz w:val="24"/>
          <w:szCs w:val="24"/>
        </w:rPr>
        <w:t>consistency</w:t>
      </w:r>
      <w:r w:rsidR="002C0078">
        <w:rPr>
          <w:rFonts w:ascii="Times New Roman" w:hAnsi="Times New Roman" w:cs="Times New Roman"/>
          <w:noProof/>
          <w:sz w:val="24"/>
          <w:szCs w:val="24"/>
        </w:rPr>
        <w:t xml:space="preserve"> with that Recommendation</w:t>
      </w:r>
      <w:r w:rsidRPr="001E7A92">
        <w:rPr>
          <w:rFonts w:ascii="Times New Roman" w:hAnsi="Times New Roman" w:cs="Times New Roman"/>
          <w:noProof/>
          <w:sz w:val="24"/>
          <w:szCs w:val="24"/>
        </w:rPr>
        <w:t>.</w:t>
      </w:r>
    </w:p>
    <w:p w14:paraId="61CE1BFB" w14:textId="77777777" w:rsidR="001E7A92" w:rsidRPr="001E7A92" w:rsidRDefault="001E7A92" w:rsidP="001E7A92">
      <w:pPr>
        <w:numPr>
          <w:ilvl w:val="0"/>
          <w:numId w:val="1"/>
        </w:numPr>
        <w:spacing w:before="360" w:after="240" w:line="240" w:lineRule="auto"/>
        <w:jc w:val="both"/>
        <w:rPr>
          <w:rFonts w:ascii="Times New Roman" w:hAnsi="Times New Roman" w:cs="Times New Roman"/>
          <w:noProof/>
          <w:sz w:val="24"/>
          <w:szCs w:val="24"/>
        </w:rPr>
      </w:pPr>
      <w:r w:rsidRPr="001E7A92">
        <w:rPr>
          <w:rFonts w:ascii="Times New Roman" w:hAnsi="Times New Roman" w:cs="Times New Roman"/>
          <w:noProof/>
          <w:sz w:val="24"/>
          <w:szCs w:val="24"/>
        </w:rPr>
        <w:t>Elements to be included in the technical documentation and technical documentation on post-market surveillance</w:t>
      </w:r>
    </w:p>
    <w:p w14:paraId="3B145C47" w14:textId="03ED7A59" w:rsidR="001E7A92" w:rsidRPr="001E7A92" w:rsidRDefault="001E7A92" w:rsidP="001E7A92">
      <w:pPr>
        <w:spacing w:before="360" w:after="240" w:line="240" w:lineRule="auto"/>
        <w:ind w:left="720"/>
        <w:jc w:val="both"/>
        <w:rPr>
          <w:rFonts w:ascii="Times New Roman" w:hAnsi="Times New Roman" w:cs="Times New Roman"/>
          <w:noProof/>
          <w:sz w:val="24"/>
          <w:szCs w:val="24"/>
          <w:lang w:val="en-US"/>
        </w:rPr>
      </w:pPr>
      <w:r w:rsidRPr="001E7A92">
        <w:rPr>
          <w:rFonts w:ascii="Times New Roman" w:hAnsi="Times New Roman" w:cs="Times New Roman"/>
          <w:noProof/>
          <w:sz w:val="24"/>
          <w:szCs w:val="24"/>
        </w:rPr>
        <w:t xml:space="preserve">Article 10(4) of Regulations (EU) 2017/745 and (EU) 2017/746 empowers the Commission to adopt delegated acts to amend, in the light of technical progress, the elements to be included in the technical documentation and technical documentation on post-market surveillance pursuant to Annexes II and III </w:t>
      </w:r>
      <w:r w:rsidR="004F1D5D">
        <w:rPr>
          <w:rFonts w:ascii="Times New Roman" w:hAnsi="Times New Roman" w:cs="Times New Roman"/>
          <w:noProof/>
          <w:sz w:val="24"/>
          <w:szCs w:val="24"/>
        </w:rPr>
        <w:t>to</w:t>
      </w:r>
      <w:r w:rsidRPr="001E7A92">
        <w:rPr>
          <w:rFonts w:ascii="Times New Roman" w:hAnsi="Times New Roman" w:cs="Times New Roman"/>
          <w:noProof/>
          <w:sz w:val="24"/>
          <w:szCs w:val="24"/>
        </w:rPr>
        <w:t xml:space="preserve"> Regulations (EU) 2017/745 and (EU) 2017/746. Technical progress has not yet given rise to </w:t>
      </w:r>
      <w:r w:rsidR="004F1D5D">
        <w:rPr>
          <w:rFonts w:ascii="Times New Roman" w:hAnsi="Times New Roman" w:cs="Times New Roman"/>
          <w:noProof/>
          <w:sz w:val="24"/>
          <w:szCs w:val="24"/>
        </w:rPr>
        <w:t xml:space="preserve">the need for </w:t>
      </w:r>
      <w:r w:rsidRPr="001E7A92">
        <w:rPr>
          <w:rFonts w:ascii="Times New Roman" w:hAnsi="Times New Roman" w:cs="Times New Roman"/>
          <w:noProof/>
          <w:sz w:val="24"/>
          <w:szCs w:val="24"/>
        </w:rPr>
        <w:t>an</w:t>
      </w:r>
      <w:r w:rsidR="004F1D5D">
        <w:rPr>
          <w:rFonts w:ascii="Times New Roman" w:hAnsi="Times New Roman" w:cs="Times New Roman"/>
          <w:noProof/>
          <w:sz w:val="24"/>
          <w:szCs w:val="24"/>
        </w:rPr>
        <w:t>y</w:t>
      </w:r>
      <w:r w:rsidRPr="001E7A92">
        <w:rPr>
          <w:rFonts w:ascii="Times New Roman" w:hAnsi="Times New Roman" w:cs="Times New Roman"/>
          <w:noProof/>
          <w:sz w:val="24"/>
          <w:szCs w:val="24"/>
        </w:rPr>
        <w:t xml:space="preserve"> amendment</w:t>
      </w:r>
      <w:r w:rsidR="004F1D5D">
        <w:rPr>
          <w:rFonts w:ascii="Times New Roman" w:hAnsi="Times New Roman" w:cs="Times New Roman"/>
          <w:noProof/>
          <w:sz w:val="24"/>
          <w:szCs w:val="24"/>
        </w:rPr>
        <w:t>s</w:t>
      </w:r>
      <w:r w:rsidRPr="001E7A92">
        <w:rPr>
          <w:rFonts w:ascii="Times New Roman" w:hAnsi="Times New Roman" w:cs="Times New Roman"/>
          <w:noProof/>
          <w:sz w:val="24"/>
          <w:szCs w:val="24"/>
        </w:rPr>
        <w:t>.</w:t>
      </w:r>
    </w:p>
    <w:p w14:paraId="1724DF72" w14:textId="77777777" w:rsidR="001E7A92" w:rsidRPr="001E7A92" w:rsidRDefault="001E7A92" w:rsidP="001E7A92">
      <w:pPr>
        <w:numPr>
          <w:ilvl w:val="0"/>
          <w:numId w:val="1"/>
        </w:numPr>
        <w:spacing w:before="360" w:after="240" w:line="240" w:lineRule="auto"/>
        <w:jc w:val="both"/>
        <w:rPr>
          <w:rFonts w:ascii="Times New Roman" w:hAnsi="Times New Roman" w:cs="Times New Roman"/>
          <w:noProof/>
          <w:sz w:val="24"/>
          <w:szCs w:val="24"/>
          <w:lang w:val="en-US"/>
        </w:rPr>
      </w:pPr>
      <w:r w:rsidRPr="001E7A92">
        <w:rPr>
          <w:rFonts w:ascii="Times New Roman" w:hAnsi="Times New Roman" w:cs="Times New Roman"/>
          <w:noProof/>
          <w:sz w:val="24"/>
          <w:szCs w:val="24"/>
          <w:lang w:val="en-US"/>
        </w:rPr>
        <w:t xml:space="preserve">Exemption from the requirement of an implant card </w:t>
      </w:r>
    </w:p>
    <w:p w14:paraId="7C9CCF1C" w14:textId="443F63D6" w:rsidR="001E7A92" w:rsidRPr="001E7A92" w:rsidRDefault="001E7A92" w:rsidP="001E7A92">
      <w:pPr>
        <w:spacing w:before="360" w:after="240" w:line="240" w:lineRule="auto"/>
        <w:ind w:left="720"/>
        <w:jc w:val="both"/>
        <w:rPr>
          <w:rFonts w:ascii="Times New Roman" w:hAnsi="Times New Roman" w:cs="Times New Roman"/>
          <w:noProof/>
          <w:sz w:val="24"/>
          <w:szCs w:val="24"/>
          <w:lang w:val="en-US"/>
        </w:rPr>
      </w:pPr>
      <w:r w:rsidRPr="001E7A92">
        <w:rPr>
          <w:rFonts w:ascii="Times New Roman" w:hAnsi="Times New Roman" w:cs="Times New Roman"/>
          <w:noProof/>
          <w:sz w:val="24"/>
          <w:szCs w:val="24"/>
          <w:lang w:val="en-US"/>
        </w:rPr>
        <w:t xml:space="preserve">Article 18(3) of </w:t>
      </w:r>
      <w:r w:rsidRPr="001E7A92">
        <w:rPr>
          <w:rFonts w:ascii="Times New Roman" w:hAnsi="Times New Roman" w:cs="Times New Roman"/>
          <w:noProof/>
          <w:sz w:val="24"/>
          <w:szCs w:val="24"/>
        </w:rPr>
        <w:t>Regulation (EU) 2017/745 includes a list of implants exempted from the requirements of an implant card and empowers the Commission to adopt delegated acts to amend th</w:t>
      </w:r>
      <w:r w:rsidR="008879CA">
        <w:rPr>
          <w:rFonts w:ascii="Times New Roman" w:hAnsi="Times New Roman" w:cs="Times New Roman"/>
          <w:noProof/>
          <w:sz w:val="24"/>
          <w:szCs w:val="24"/>
        </w:rPr>
        <w:t>at</w:t>
      </w:r>
      <w:r w:rsidRPr="001E7A92">
        <w:rPr>
          <w:rFonts w:ascii="Times New Roman" w:hAnsi="Times New Roman" w:cs="Times New Roman"/>
          <w:noProof/>
          <w:sz w:val="24"/>
          <w:szCs w:val="24"/>
        </w:rPr>
        <w:t xml:space="preserve"> list by adding other types of implants to it or by removing implants therefrom. </w:t>
      </w:r>
      <w:r w:rsidR="003E483D">
        <w:rPr>
          <w:rFonts w:ascii="Times New Roman" w:hAnsi="Times New Roman" w:cs="Times New Roman"/>
          <w:noProof/>
          <w:sz w:val="24"/>
          <w:szCs w:val="24"/>
        </w:rPr>
        <w:t xml:space="preserve">To date, no need for </w:t>
      </w:r>
      <w:r w:rsidRPr="00DD1A01">
        <w:rPr>
          <w:rFonts w:ascii="Times New Roman" w:hAnsi="Times New Roman" w:cs="Times New Roman"/>
          <w:noProof/>
          <w:sz w:val="24"/>
          <w:szCs w:val="24"/>
        </w:rPr>
        <w:t>updat</w:t>
      </w:r>
      <w:r w:rsidR="00DD1A01" w:rsidRPr="00DD1A01">
        <w:rPr>
          <w:rFonts w:ascii="Times New Roman" w:hAnsi="Times New Roman" w:cs="Times New Roman"/>
          <w:noProof/>
          <w:sz w:val="24"/>
          <w:szCs w:val="24"/>
        </w:rPr>
        <w:t>ing</w:t>
      </w:r>
      <w:r w:rsidRPr="00DD1A01">
        <w:rPr>
          <w:rFonts w:ascii="Times New Roman" w:hAnsi="Times New Roman" w:cs="Times New Roman"/>
          <w:noProof/>
          <w:sz w:val="24"/>
          <w:szCs w:val="24"/>
        </w:rPr>
        <w:t xml:space="preserve"> the list</w:t>
      </w:r>
      <w:r w:rsidR="00DD1A01" w:rsidRPr="00DD1A01">
        <w:rPr>
          <w:rFonts w:ascii="Times New Roman" w:hAnsi="Times New Roman" w:cs="Times New Roman"/>
          <w:noProof/>
          <w:sz w:val="24"/>
          <w:szCs w:val="24"/>
        </w:rPr>
        <w:t xml:space="preserve"> </w:t>
      </w:r>
      <w:r w:rsidR="003E483D">
        <w:rPr>
          <w:rFonts w:ascii="Times New Roman" w:hAnsi="Times New Roman" w:cs="Times New Roman"/>
          <w:noProof/>
          <w:sz w:val="24"/>
          <w:szCs w:val="24"/>
        </w:rPr>
        <w:t xml:space="preserve">has arisen </w:t>
      </w:r>
      <w:r w:rsidR="00DD1A01" w:rsidRPr="005A788F">
        <w:rPr>
          <w:rFonts w:ascii="Times New Roman" w:hAnsi="Times New Roman" w:cs="Times New Roman"/>
          <w:noProof/>
          <w:sz w:val="24"/>
        </w:rPr>
        <w:t xml:space="preserve">in view of well-established technologies </w:t>
      </w:r>
      <w:r w:rsidR="00DD1A01">
        <w:rPr>
          <w:rFonts w:ascii="Times New Roman" w:hAnsi="Times New Roman" w:cs="Times New Roman"/>
          <w:noProof/>
          <w:sz w:val="24"/>
        </w:rPr>
        <w:t xml:space="preserve">or </w:t>
      </w:r>
      <w:r w:rsidR="00DD1A01" w:rsidRPr="005A788F">
        <w:rPr>
          <w:rFonts w:ascii="Times New Roman" w:hAnsi="Times New Roman" w:cs="Times New Roman"/>
          <w:noProof/>
          <w:sz w:val="24"/>
          <w:szCs w:val="24"/>
        </w:rPr>
        <w:t>in order to protect the health and safety of patients, users or other persons or other aspects of public health</w:t>
      </w:r>
      <w:r w:rsidRPr="00DD1A01">
        <w:rPr>
          <w:rFonts w:ascii="Times New Roman" w:hAnsi="Times New Roman" w:cs="Times New Roman"/>
          <w:noProof/>
          <w:sz w:val="24"/>
          <w:szCs w:val="24"/>
        </w:rPr>
        <w:t>.</w:t>
      </w:r>
    </w:p>
    <w:p w14:paraId="26C255F1" w14:textId="77777777" w:rsidR="001E7A92" w:rsidRPr="001E7A92" w:rsidRDefault="001E7A92" w:rsidP="001E7A92">
      <w:pPr>
        <w:numPr>
          <w:ilvl w:val="0"/>
          <w:numId w:val="1"/>
        </w:numPr>
        <w:spacing w:before="360" w:after="240" w:line="240" w:lineRule="auto"/>
        <w:jc w:val="both"/>
        <w:rPr>
          <w:rFonts w:ascii="Times New Roman" w:hAnsi="Times New Roman" w:cs="Times New Roman"/>
          <w:noProof/>
          <w:sz w:val="24"/>
          <w:szCs w:val="24"/>
          <w:lang w:val="en-US"/>
        </w:rPr>
      </w:pPr>
      <w:r w:rsidRPr="001E7A92">
        <w:rPr>
          <w:rFonts w:ascii="Times New Roman" w:hAnsi="Times New Roman" w:cs="Times New Roman"/>
          <w:noProof/>
          <w:sz w:val="24"/>
          <w:szCs w:val="24"/>
          <w:lang w:val="en-US"/>
        </w:rPr>
        <w:t xml:space="preserve">Minimum content of the EU declaration of conformity </w:t>
      </w:r>
    </w:p>
    <w:p w14:paraId="0867C044" w14:textId="243430E0" w:rsidR="001E7A92" w:rsidRPr="001E7A92" w:rsidRDefault="001E7A92" w:rsidP="001E7A92">
      <w:pPr>
        <w:spacing w:before="360" w:after="240" w:line="240" w:lineRule="auto"/>
        <w:ind w:left="720"/>
        <w:jc w:val="both"/>
        <w:rPr>
          <w:rFonts w:ascii="Times New Roman" w:hAnsi="Times New Roman" w:cs="Times New Roman"/>
          <w:b/>
          <w:noProof/>
          <w:sz w:val="24"/>
          <w:szCs w:val="24"/>
        </w:rPr>
      </w:pPr>
      <w:r w:rsidRPr="001E7A92">
        <w:rPr>
          <w:rFonts w:ascii="Times New Roman" w:hAnsi="Times New Roman" w:cs="Times New Roman"/>
          <w:noProof/>
          <w:sz w:val="24"/>
          <w:szCs w:val="24"/>
          <w:lang w:val="en-US"/>
        </w:rPr>
        <w:t xml:space="preserve">Article 19(4) of Regulation (EU) 2017/745 and Article 17(4) of Regulation (EU) 2017/746 empower the Commission to adopt delegated acts to amend, in the light of technical progress, the minimum content of the EU declaration of conformity set out in Annex IV </w:t>
      </w:r>
      <w:r w:rsidR="008879CA">
        <w:rPr>
          <w:rFonts w:ascii="Times New Roman" w:hAnsi="Times New Roman" w:cs="Times New Roman"/>
          <w:noProof/>
          <w:sz w:val="24"/>
          <w:szCs w:val="24"/>
          <w:lang w:val="en-US"/>
        </w:rPr>
        <w:t>to</w:t>
      </w:r>
      <w:r w:rsidRPr="001E7A92">
        <w:rPr>
          <w:rFonts w:ascii="Times New Roman" w:hAnsi="Times New Roman" w:cs="Times New Roman"/>
          <w:noProof/>
          <w:sz w:val="24"/>
          <w:szCs w:val="24"/>
          <w:lang w:val="en-US"/>
        </w:rPr>
        <w:t xml:space="preserve"> Regulations (EU) 2017/745 and (EU) 2017/746.</w:t>
      </w:r>
      <w:r w:rsidRPr="001E7A92">
        <w:rPr>
          <w:b/>
          <w:noProof/>
        </w:rPr>
        <w:t xml:space="preserve"> </w:t>
      </w:r>
      <w:r w:rsidRPr="001E7A92">
        <w:rPr>
          <w:rFonts w:ascii="Times New Roman" w:hAnsi="Times New Roman" w:cs="Times New Roman"/>
          <w:noProof/>
          <w:sz w:val="24"/>
          <w:szCs w:val="24"/>
        </w:rPr>
        <w:t>Technical progress has not yet given rise to</w:t>
      </w:r>
      <w:r w:rsidR="008879CA">
        <w:rPr>
          <w:rFonts w:ascii="Times New Roman" w:hAnsi="Times New Roman" w:cs="Times New Roman"/>
          <w:noProof/>
          <w:sz w:val="24"/>
          <w:szCs w:val="24"/>
        </w:rPr>
        <w:t xml:space="preserve"> the need for</w:t>
      </w:r>
      <w:r w:rsidRPr="001E7A92">
        <w:rPr>
          <w:rFonts w:ascii="Times New Roman" w:hAnsi="Times New Roman" w:cs="Times New Roman"/>
          <w:noProof/>
          <w:sz w:val="24"/>
          <w:szCs w:val="24"/>
        </w:rPr>
        <w:t xml:space="preserve"> an amendment.</w:t>
      </w:r>
    </w:p>
    <w:p w14:paraId="0F47AFA5" w14:textId="77777777" w:rsidR="001E7A92" w:rsidRPr="001E7A92" w:rsidRDefault="001E7A92" w:rsidP="001E7A92">
      <w:pPr>
        <w:numPr>
          <w:ilvl w:val="0"/>
          <w:numId w:val="1"/>
        </w:numPr>
        <w:spacing w:before="360" w:after="240" w:line="240" w:lineRule="auto"/>
        <w:ind w:left="714" w:hanging="357"/>
        <w:jc w:val="both"/>
        <w:rPr>
          <w:rFonts w:ascii="Times New Roman" w:hAnsi="Times New Roman" w:cs="Times New Roman"/>
          <w:noProof/>
          <w:sz w:val="24"/>
          <w:szCs w:val="24"/>
          <w:lang w:val="en-US"/>
        </w:rPr>
      </w:pPr>
      <w:r w:rsidRPr="001E7A92">
        <w:rPr>
          <w:rFonts w:ascii="Times New Roman" w:hAnsi="Times New Roman" w:cs="Times New Roman"/>
          <w:noProof/>
          <w:sz w:val="24"/>
          <w:szCs w:val="24"/>
        </w:rPr>
        <w:t xml:space="preserve">Information to be submitted as part of the Unique Device Identification (UDI) system </w:t>
      </w:r>
    </w:p>
    <w:p w14:paraId="4C2A1698" w14:textId="635CD1FA" w:rsidR="001E7A92" w:rsidRPr="001E7A92" w:rsidRDefault="001E7A92" w:rsidP="001E7A92">
      <w:pPr>
        <w:spacing w:before="360" w:after="240" w:line="240" w:lineRule="auto"/>
        <w:ind w:left="720"/>
        <w:jc w:val="both"/>
        <w:rPr>
          <w:rFonts w:ascii="Times New Roman" w:hAnsi="Times New Roman" w:cs="Times New Roman"/>
          <w:b/>
          <w:noProof/>
          <w:sz w:val="24"/>
          <w:szCs w:val="24"/>
          <w:lang w:val="en-US"/>
        </w:rPr>
      </w:pPr>
      <w:r w:rsidRPr="001E7A92">
        <w:rPr>
          <w:rFonts w:ascii="Times New Roman" w:hAnsi="Times New Roman" w:cs="Times New Roman"/>
          <w:noProof/>
          <w:sz w:val="24"/>
          <w:szCs w:val="24"/>
          <w:lang w:val="en-US"/>
        </w:rPr>
        <w:t xml:space="preserve">Article 27(10) of Regulation (EU) 2017/745 and Article 24(10) of Regulation (EU) 2017/746 empower the Commission to adopt delegated acts to </w:t>
      </w:r>
      <w:r w:rsidRPr="001E7A92">
        <w:rPr>
          <w:rFonts w:ascii="Times New Roman" w:hAnsi="Times New Roman" w:cs="Times New Roman"/>
          <w:noProof/>
          <w:sz w:val="24"/>
          <w:szCs w:val="24"/>
        </w:rPr>
        <w:t xml:space="preserve">amend Annex VI </w:t>
      </w:r>
      <w:r w:rsidR="008879CA">
        <w:rPr>
          <w:rFonts w:ascii="Times New Roman" w:hAnsi="Times New Roman" w:cs="Times New Roman"/>
          <w:noProof/>
          <w:sz w:val="24"/>
          <w:szCs w:val="24"/>
        </w:rPr>
        <w:t xml:space="preserve">to the respective Regulation </w:t>
      </w:r>
      <w:r w:rsidRPr="001E7A92">
        <w:rPr>
          <w:rFonts w:ascii="Times New Roman" w:hAnsi="Times New Roman" w:cs="Times New Roman"/>
          <w:noProof/>
          <w:sz w:val="24"/>
          <w:szCs w:val="24"/>
        </w:rPr>
        <w:t>in the light of technical progress</w:t>
      </w:r>
      <w:r w:rsidR="003567D1">
        <w:rPr>
          <w:rFonts w:ascii="Times New Roman" w:hAnsi="Times New Roman" w:cs="Times New Roman"/>
          <w:noProof/>
          <w:sz w:val="24"/>
          <w:szCs w:val="24"/>
        </w:rPr>
        <w:t xml:space="preserve"> or </w:t>
      </w:r>
      <w:r w:rsidRPr="001E7A92">
        <w:rPr>
          <w:rFonts w:ascii="Times New Roman" w:hAnsi="Times New Roman" w:cs="Times New Roman"/>
          <w:noProof/>
          <w:sz w:val="24"/>
          <w:szCs w:val="24"/>
        </w:rPr>
        <w:t xml:space="preserve">international developments in the field of Unique Device Identification. The Commission </w:t>
      </w:r>
      <w:r w:rsidR="00814C8F">
        <w:rPr>
          <w:rFonts w:ascii="Times New Roman" w:hAnsi="Times New Roman" w:cs="Times New Roman"/>
          <w:noProof/>
          <w:sz w:val="24"/>
          <w:szCs w:val="24"/>
        </w:rPr>
        <w:t xml:space="preserve">is </w:t>
      </w:r>
      <w:r w:rsidRPr="001E7A92">
        <w:rPr>
          <w:rFonts w:ascii="Times New Roman" w:hAnsi="Times New Roman" w:cs="Times New Roman"/>
          <w:noProof/>
          <w:sz w:val="24"/>
          <w:szCs w:val="24"/>
        </w:rPr>
        <w:t>currently prepar</w:t>
      </w:r>
      <w:r w:rsidR="00814C8F">
        <w:rPr>
          <w:rFonts w:ascii="Times New Roman" w:hAnsi="Times New Roman" w:cs="Times New Roman"/>
          <w:noProof/>
          <w:sz w:val="24"/>
          <w:szCs w:val="24"/>
        </w:rPr>
        <w:t>ing</w:t>
      </w:r>
      <w:r w:rsidRPr="001E7A92">
        <w:rPr>
          <w:rFonts w:ascii="Times New Roman" w:hAnsi="Times New Roman" w:cs="Times New Roman"/>
          <w:noProof/>
          <w:sz w:val="24"/>
          <w:szCs w:val="24"/>
        </w:rPr>
        <w:t xml:space="preserve"> a delegated act </w:t>
      </w:r>
      <w:r w:rsidR="008879CA">
        <w:rPr>
          <w:rFonts w:ascii="Times New Roman" w:hAnsi="Times New Roman" w:cs="Times New Roman"/>
          <w:noProof/>
          <w:sz w:val="24"/>
          <w:szCs w:val="24"/>
        </w:rPr>
        <w:t>pursuant to</w:t>
      </w:r>
      <w:r w:rsidRPr="001E7A92">
        <w:rPr>
          <w:rFonts w:ascii="Times New Roman" w:hAnsi="Times New Roman" w:cs="Times New Roman"/>
          <w:noProof/>
          <w:sz w:val="24"/>
          <w:szCs w:val="24"/>
        </w:rPr>
        <w:t xml:space="preserve"> Article 27(10)</w:t>
      </w:r>
      <w:r w:rsidR="008452FD">
        <w:rPr>
          <w:rFonts w:ascii="Times New Roman" w:hAnsi="Times New Roman" w:cs="Times New Roman"/>
          <w:noProof/>
          <w:sz w:val="24"/>
          <w:szCs w:val="24"/>
        </w:rPr>
        <w:t>, point</w:t>
      </w:r>
      <w:r w:rsidRPr="001E7A92">
        <w:rPr>
          <w:rFonts w:ascii="Times New Roman" w:hAnsi="Times New Roman" w:cs="Times New Roman"/>
          <w:noProof/>
          <w:sz w:val="24"/>
          <w:szCs w:val="24"/>
        </w:rPr>
        <w:t xml:space="preserve"> (b)</w:t>
      </w:r>
      <w:r w:rsidR="008452FD">
        <w:rPr>
          <w:rFonts w:ascii="Times New Roman" w:hAnsi="Times New Roman" w:cs="Times New Roman"/>
          <w:noProof/>
          <w:sz w:val="24"/>
          <w:szCs w:val="24"/>
        </w:rPr>
        <w:t>,</w:t>
      </w:r>
      <w:r w:rsidRPr="001E7A92">
        <w:rPr>
          <w:rFonts w:ascii="Times New Roman" w:hAnsi="Times New Roman" w:cs="Times New Roman"/>
          <w:noProof/>
          <w:sz w:val="24"/>
          <w:szCs w:val="24"/>
        </w:rPr>
        <w:t xml:space="preserve"> of Regulation (EU) 2017/745</w:t>
      </w:r>
      <w:r w:rsidR="008879CA">
        <w:rPr>
          <w:rFonts w:ascii="Times New Roman" w:hAnsi="Times New Roman" w:cs="Times New Roman"/>
          <w:noProof/>
          <w:sz w:val="24"/>
          <w:szCs w:val="24"/>
        </w:rPr>
        <w:t>,</w:t>
      </w:r>
      <w:r w:rsidRPr="001E7A92">
        <w:rPr>
          <w:rFonts w:ascii="Times New Roman" w:hAnsi="Times New Roman" w:cs="Times New Roman"/>
          <w:noProof/>
          <w:sz w:val="24"/>
          <w:szCs w:val="24"/>
        </w:rPr>
        <w:t xml:space="preserve"> amending Annex VI </w:t>
      </w:r>
      <w:r w:rsidR="008879CA">
        <w:rPr>
          <w:rFonts w:ascii="Times New Roman" w:hAnsi="Times New Roman" w:cs="Times New Roman"/>
          <w:noProof/>
          <w:sz w:val="24"/>
          <w:szCs w:val="24"/>
        </w:rPr>
        <w:t>to</w:t>
      </w:r>
      <w:r w:rsidRPr="001E7A92">
        <w:rPr>
          <w:rFonts w:ascii="Times New Roman" w:hAnsi="Times New Roman" w:cs="Times New Roman"/>
          <w:noProof/>
          <w:sz w:val="24"/>
          <w:szCs w:val="24"/>
        </w:rPr>
        <w:t xml:space="preserve"> Regulation (EU) 2017/745 as regards UDI assignment for contact lenses. </w:t>
      </w:r>
    </w:p>
    <w:p w14:paraId="05B1B444" w14:textId="77777777" w:rsidR="001E7A92" w:rsidRPr="001E7A92" w:rsidRDefault="001E7A92" w:rsidP="001E7A92">
      <w:pPr>
        <w:numPr>
          <w:ilvl w:val="0"/>
          <w:numId w:val="1"/>
        </w:numPr>
        <w:spacing w:before="360" w:after="240" w:line="240" w:lineRule="auto"/>
        <w:ind w:left="714" w:hanging="357"/>
        <w:jc w:val="both"/>
        <w:rPr>
          <w:rFonts w:ascii="Times New Roman" w:hAnsi="Times New Roman" w:cs="Times New Roman"/>
          <w:noProof/>
          <w:sz w:val="24"/>
          <w:szCs w:val="24"/>
          <w:lang w:val="en-US"/>
        </w:rPr>
      </w:pPr>
      <w:r w:rsidRPr="001E7A92">
        <w:rPr>
          <w:rFonts w:ascii="Times New Roman" w:hAnsi="Times New Roman" w:cs="Times New Roman"/>
          <w:noProof/>
          <w:sz w:val="24"/>
          <w:szCs w:val="24"/>
          <w:lang w:val="en-US"/>
        </w:rPr>
        <w:t>Frequency of complete re-assessment of notified bodies</w:t>
      </w:r>
    </w:p>
    <w:p w14:paraId="0D5D4F86" w14:textId="6E29A62D" w:rsidR="001E7A92" w:rsidRPr="001E7A92" w:rsidRDefault="001E7A92" w:rsidP="001E7A92">
      <w:pPr>
        <w:ind w:left="720"/>
        <w:contextualSpacing/>
        <w:jc w:val="both"/>
        <w:rPr>
          <w:rFonts w:ascii="Times New Roman" w:hAnsi="Times New Roman" w:cs="Times New Roman"/>
          <w:noProof/>
          <w:sz w:val="24"/>
          <w:szCs w:val="24"/>
        </w:rPr>
      </w:pPr>
      <w:r w:rsidRPr="001E7A92">
        <w:rPr>
          <w:rFonts w:ascii="Times New Roman" w:hAnsi="Times New Roman" w:cs="Times New Roman"/>
          <w:noProof/>
          <w:sz w:val="24"/>
          <w:szCs w:val="24"/>
          <w:lang w:val="en-US"/>
        </w:rPr>
        <w:t xml:space="preserve">Article 44(11) of Regulation (EU) 2017/745 and Article 40(11) of Regulation (EU) 2017/746 empower the Commission to adopt delegated acts to modify </w:t>
      </w:r>
      <w:r w:rsidRPr="001E7A92">
        <w:rPr>
          <w:rFonts w:ascii="Times New Roman" w:hAnsi="Times New Roman" w:cs="Times New Roman"/>
          <w:noProof/>
          <w:sz w:val="24"/>
          <w:szCs w:val="24"/>
        </w:rPr>
        <w:t xml:space="preserve">the frequency at which the complete re-assessment of notified bodies </w:t>
      </w:r>
      <w:r w:rsidRPr="001E7A92">
        <w:rPr>
          <w:rFonts w:ascii="Times New Roman" w:hAnsi="Times New Roman" w:cs="Times New Roman"/>
          <w:noProof/>
          <w:sz w:val="24"/>
          <w:szCs w:val="24"/>
          <w:lang w:val="en-US"/>
        </w:rPr>
        <w:t xml:space="preserve">with regard to </w:t>
      </w:r>
      <w:r w:rsidR="00AF176F">
        <w:rPr>
          <w:rFonts w:ascii="Times New Roman" w:hAnsi="Times New Roman" w:cs="Times New Roman"/>
          <w:noProof/>
          <w:sz w:val="24"/>
          <w:szCs w:val="24"/>
          <w:lang w:val="en-US"/>
        </w:rPr>
        <w:t xml:space="preserve">the </w:t>
      </w:r>
      <w:r w:rsidRPr="001E7A92">
        <w:rPr>
          <w:rFonts w:ascii="Times New Roman" w:hAnsi="Times New Roman" w:cs="Times New Roman"/>
          <w:noProof/>
          <w:sz w:val="24"/>
          <w:szCs w:val="24"/>
          <w:lang w:val="en-US"/>
        </w:rPr>
        <w:t>fulfilment of the requirements in Annex VII</w:t>
      </w:r>
      <w:r w:rsidRPr="001E7A92">
        <w:rPr>
          <w:rFonts w:ascii="Times New Roman" w:hAnsi="Times New Roman" w:cs="Times New Roman"/>
          <w:noProof/>
          <w:sz w:val="24"/>
          <w:szCs w:val="24"/>
        </w:rPr>
        <w:t xml:space="preserve"> </w:t>
      </w:r>
      <w:r w:rsidR="00AF176F">
        <w:rPr>
          <w:rFonts w:ascii="Times New Roman" w:hAnsi="Times New Roman" w:cs="Times New Roman"/>
          <w:noProof/>
          <w:sz w:val="24"/>
          <w:szCs w:val="24"/>
        </w:rPr>
        <w:t xml:space="preserve">to the respective Regulation </w:t>
      </w:r>
      <w:r w:rsidRPr="001E7A92">
        <w:rPr>
          <w:rFonts w:ascii="Times New Roman" w:hAnsi="Times New Roman" w:cs="Times New Roman"/>
          <w:noProof/>
          <w:sz w:val="24"/>
          <w:szCs w:val="24"/>
        </w:rPr>
        <w:t>is to be carried out</w:t>
      </w:r>
      <w:r w:rsidRPr="001E7A92">
        <w:rPr>
          <w:rFonts w:ascii="Times New Roman" w:hAnsi="Times New Roman" w:cs="Times New Roman"/>
          <w:noProof/>
          <w:sz w:val="24"/>
          <w:szCs w:val="24"/>
          <w:lang w:val="en-US"/>
        </w:rPr>
        <w:t xml:space="preserve">. </w:t>
      </w:r>
      <w:r w:rsidRPr="001E7A92">
        <w:rPr>
          <w:rFonts w:ascii="Times New Roman" w:hAnsi="Times New Roman" w:cs="Times New Roman"/>
          <w:noProof/>
          <w:sz w:val="24"/>
          <w:szCs w:val="24"/>
        </w:rPr>
        <w:t>Currently, Article 44(10) of Regulation (EU) 2017/745 and Article 40(10) of Regulation (EU) 2017/746 provide for such re-assessment three years after notification and again every fourth year thereafter. The first notified body under Regulation (EU) 2017/745 was designated in January 2019</w:t>
      </w:r>
      <w:r w:rsidRPr="001E7A92">
        <w:rPr>
          <w:rFonts w:ascii="Times New Roman" w:hAnsi="Times New Roman" w:cs="Times New Roman"/>
          <w:noProof/>
          <w:sz w:val="24"/>
          <w:szCs w:val="24"/>
          <w:vertAlign w:val="superscript"/>
        </w:rPr>
        <w:footnoteReference w:id="7"/>
      </w:r>
      <w:r w:rsidR="00215A1B">
        <w:rPr>
          <w:rFonts w:ascii="Times New Roman" w:hAnsi="Times New Roman" w:cs="Times New Roman"/>
          <w:noProof/>
          <w:sz w:val="24"/>
          <w:szCs w:val="24"/>
        </w:rPr>
        <w:t>,</w:t>
      </w:r>
      <w:r w:rsidRPr="001E7A92">
        <w:rPr>
          <w:rFonts w:ascii="Times New Roman" w:hAnsi="Times New Roman" w:cs="Times New Roman"/>
          <w:noProof/>
          <w:sz w:val="24"/>
          <w:szCs w:val="24"/>
        </w:rPr>
        <w:t xml:space="preserve"> so there is little practical experience which would have justified t</w:t>
      </w:r>
      <w:r w:rsidR="00AF176F">
        <w:rPr>
          <w:rFonts w:ascii="Times New Roman" w:hAnsi="Times New Roman" w:cs="Times New Roman"/>
          <w:noProof/>
          <w:sz w:val="24"/>
          <w:szCs w:val="24"/>
        </w:rPr>
        <w:t>he</w:t>
      </w:r>
      <w:r w:rsidRPr="001E7A92">
        <w:rPr>
          <w:rFonts w:ascii="Times New Roman" w:hAnsi="Times New Roman" w:cs="Times New Roman"/>
          <w:noProof/>
          <w:sz w:val="24"/>
          <w:szCs w:val="24"/>
        </w:rPr>
        <w:t xml:space="preserve"> adapt</w:t>
      </w:r>
      <w:r w:rsidR="00AF176F">
        <w:rPr>
          <w:rFonts w:ascii="Times New Roman" w:hAnsi="Times New Roman" w:cs="Times New Roman"/>
          <w:noProof/>
          <w:sz w:val="24"/>
          <w:szCs w:val="24"/>
        </w:rPr>
        <w:t>ation</w:t>
      </w:r>
      <w:r w:rsidRPr="001E7A92">
        <w:rPr>
          <w:rFonts w:ascii="Times New Roman" w:hAnsi="Times New Roman" w:cs="Times New Roman"/>
          <w:noProof/>
          <w:sz w:val="24"/>
          <w:szCs w:val="24"/>
        </w:rPr>
        <w:t xml:space="preserve"> </w:t>
      </w:r>
      <w:r w:rsidR="00AF176F">
        <w:rPr>
          <w:rFonts w:ascii="Times New Roman" w:hAnsi="Times New Roman" w:cs="Times New Roman"/>
          <w:noProof/>
          <w:sz w:val="24"/>
          <w:szCs w:val="24"/>
        </w:rPr>
        <w:t xml:space="preserve">of </w:t>
      </w:r>
      <w:r w:rsidRPr="001E7A92">
        <w:rPr>
          <w:rFonts w:ascii="Times New Roman" w:hAnsi="Times New Roman" w:cs="Times New Roman"/>
          <w:noProof/>
          <w:sz w:val="24"/>
          <w:szCs w:val="24"/>
        </w:rPr>
        <w:t>the frequency of re-assessment laid down in the Regulations.</w:t>
      </w:r>
    </w:p>
    <w:p w14:paraId="29A2B847" w14:textId="77777777" w:rsidR="001E7A92" w:rsidRPr="001E7A92" w:rsidRDefault="001E7A92" w:rsidP="001E7A92">
      <w:pPr>
        <w:numPr>
          <w:ilvl w:val="0"/>
          <w:numId w:val="1"/>
        </w:numPr>
        <w:spacing w:before="360" w:after="240" w:line="240" w:lineRule="auto"/>
        <w:jc w:val="both"/>
        <w:rPr>
          <w:rFonts w:ascii="Times New Roman" w:hAnsi="Times New Roman" w:cs="Times New Roman"/>
          <w:noProof/>
          <w:sz w:val="24"/>
          <w:szCs w:val="24"/>
          <w:lang w:val="en-US"/>
        </w:rPr>
      </w:pPr>
      <w:r w:rsidRPr="001E7A92">
        <w:rPr>
          <w:rFonts w:ascii="Times New Roman" w:hAnsi="Times New Roman" w:cs="Times New Roman"/>
          <w:noProof/>
          <w:sz w:val="24"/>
          <w:szCs w:val="24"/>
          <w:lang w:val="en-US"/>
        </w:rPr>
        <w:t xml:space="preserve">Exemption of certain well-established technologies from assessment of technical documentation for every single device </w:t>
      </w:r>
    </w:p>
    <w:p w14:paraId="6284485E" w14:textId="4ED8F6F8" w:rsidR="001E7A92" w:rsidRPr="001E7A92" w:rsidRDefault="001E7A92" w:rsidP="001E7A92">
      <w:pPr>
        <w:spacing w:before="360" w:after="240" w:line="240" w:lineRule="auto"/>
        <w:ind w:left="720"/>
        <w:jc w:val="both"/>
        <w:rPr>
          <w:rFonts w:ascii="Times New Roman" w:hAnsi="Times New Roman" w:cs="Times New Roman"/>
          <w:noProof/>
          <w:sz w:val="24"/>
          <w:szCs w:val="24"/>
        </w:rPr>
      </w:pPr>
      <w:r w:rsidRPr="001E7A92">
        <w:rPr>
          <w:rFonts w:ascii="Times New Roman" w:hAnsi="Times New Roman" w:cs="Times New Roman"/>
          <w:noProof/>
          <w:sz w:val="24"/>
          <w:szCs w:val="24"/>
        </w:rPr>
        <w:t xml:space="preserve">Article 52(5) of Regulation (EU) 2017/745 empowers the Commission to adopt delegated acts to amend the list of devices in Article 52(4), second subparagraph, of Regulation (EU) 2017/745 by adding other types of class IIb implantable devices to that list or removing devices therefrom. The list contains class IIb implantable devices exempted from the assessment of the technical documentation as specified in Section 4 of Annex IX </w:t>
      </w:r>
      <w:r w:rsidR="00AF176F">
        <w:rPr>
          <w:rFonts w:ascii="Times New Roman" w:hAnsi="Times New Roman" w:cs="Times New Roman"/>
          <w:noProof/>
          <w:sz w:val="24"/>
          <w:szCs w:val="24"/>
        </w:rPr>
        <w:t>to</w:t>
      </w:r>
      <w:r w:rsidRPr="001E7A92">
        <w:rPr>
          <w:rFonts w:ascii="Times New Roman" w:hAnsi="Times New Roman" w:cs="Times New Roman"/>
          <w:noProof/>
          <w:sz w:val="24"/>
          <w:szCs w:val="24"/>
        </w:rPr>
        <w:t xml:space="preserve"> Regulation (EU) 2017/745 for every single device. The assessment of at least one representative device per generic device group suffices. It may be justified in the future in view of well-established technologies to add further devices to that list or to remove devices from the list in order to protect the health and safety of patients, users or other persons or other aspects of public health.</w:t>
      </w:r>
    </w:p>
    <w:p w14:paraId="07D9306B" w14:textId="77777777" w:rsidR="001E7A92" w:rsidRPr="001E7A92" w:rsidRDefault="001E7A92" w:rsidP="001E7A92">
      <w:pPr>
        <w:numPr>
          <w:ilvl w:val="0"/>
          <w:numId w:val="1"/>
        </w:numPr>
        <w:spacing w:before="360" w:after="240" w:line="240" w:lineRule="auto"/>
        <w:jc w:val="both"/>
        <w:rPr>
          <w:rFonts w:ascii="Times New Roman" w:hAnsi="Times New Roman" w:cs="Times New Roman"/>
          <w:noProof/>
          <w:sz w:val="24"/>
          <w:szCs w:val="24"/>
          <w:lang w:val="en-US"/>
        </w:rPr>
      </w:pPr>
      <w:r w:rsidRPr="001E7A92">
        <w:rPr>
          <w:rFonts w:ascii="Times New Roman" w:hAnsi="Times New Roman" w:cs="Times New Roman"/>
          <w:noProof/>
          <w:sz w:val="24"/>
          <w:szCs w:val="24"/>
          <w:lang w:val="en-US"/>
        </w:rPr>
        <w:t>Minimum content of certificates issued by a notified body</w:t>
      </w:r>
    </w:p>
    <w:p w14:paraId="32232C6C" w14:textId="0B823FF2" w:rsidR="001E7A92" w:rsidRPr="001E7A92" w:rsidRDefault="001E7A92" w:rsidP="001E7A92">
      <w:pPr>
        <w:spacing w:before="360" w:after="240" w:line="240" w:lineRule="auto"/>
        <w:ind w:left="720"/>
        <w:jc w:val="both"/>
        <w:rPr>
          <w:rFonts w:ascii="Times New Roman" w:hAnsi="Times New Roman" w:cs="Times New Roman"/>
          <w:b/>
          <w:noProof/>
          <w:sz w:val="24"/>
          <w:szCs w:val="24"/>
          <w:lang w:val="en-US"/>
        </w:rPr>
      </w:pPr>
      <w:r w:rsidRPr="001E7A92">
        <w:rPr>
          <w:rFonts w:ascii="Times New Roman" w:hAnsi="Times New Roman" w:cs="Times New Roman"/>
          <w:noProof/>
          <w:sz w:val="24"/>
          <w:szCs w:val="24"/>
          <w:lang w:val="en-US"/>
        </w:rPr>
        <w:t>Article 56(6) of Regulation (EU) 2017/745 and Article 51(6) of Regulation (EU) 2017/746</w:t>
      </w:r>
      <w:r w:rsidRPr="001E7A92">
        <w:rPr>
          <w:rFonts w:ascii="Times New Roman" w:hAnsi="Times New Roman" w:cs="Times New Roman"/>
          <w:b/>
          <w:noProof/>
          <w:sz w:val="24"/>
          <w:szCs w:val="24"/>
          <w:lang w:val="en-US"/>
        </w:rPr>
        <w:t xml:space="preserve"> </w:t>
      </w:r>
      <w:r w:rsidRPr="001E7A92">
        <w:rPr>
          <w:rFonts w:ascii="Times New Roman" w:hAnsi="Times New Roman" w:cs="Times New Roman"/>
          <w:noProof/>
          <w:sz w:val="24"/>
          <w:szCs w:val="24"/>
          <w:lang w:val="en-US"/>
        </w:rPr>
        <w:t>empower the Commission to adopt delegated acts to amend, in the light of technical progress, the minimum content of certificates issued by a notified body. The minimum content of certificates issued by a notified body is listed in Annex</w:t>
      </w:r>
      <w:r w:rsidR="00AF176F">
        <w:rPr>
          <w:rFonts w:ascii="Times New Roman" w:hAnsi="Times New Roman" w:cs="Times New Roman"/>
          <w:noProof/>
          <w:sz w:val="24"/>
          <w:szCs w:val="24"/>
          <w:lang w:val="en-US"/>
        </w:rPr>
        <w:t>es</w:t>
      </w:r>
      <w:r w:rsidRPr="001E7A92">
        <w:rPr>
          <w:rFonts w:ascii="Times New Roman" w:hAnsi="Times New Roman" w:cs="Times New Roman"/>
          <w:noProof/>
          <w:sz w:val="24"/>
          <w:szCs w:val="24"/>
          <w:lang w:val="en-US"/>
        </w:rPr>
        <w:t xml:space="preserve"> XII </w:t>
      </w:r>
      <w:r w:rsidR="00AF176F">
        <w:rPr>
          <w:rFonts w:ascii="Times New Roman" w:hAnsi="Times New Roman" w:cs="Times New Roman"/>
          <w:noProof/>
          <w:sz w:val="24"/>
          <w:szCs w:val="24"/>
          <w:lang w:val="en-US"/>
        </w:rPr>
        <w:t>to</w:t>
      </w:r>
      <w:r w:rsidRPr="001E7A92">
        <w:rPr>
          <w:rFonts w:ascii="Times New Roman" w:hAnsi="Times New Roman" w:cs="Times New Roman"/>
          <w:noProof/>
          <w:sz w:val="24"/>
          <w:szCs w:val="24"/>
          <w:lang w:val="en-US"/>
        </w:rPr>
        <w:t>Regulations (EU) 2017/745 and (EU) 2017/746. Both Regulations include transitional provisions allowing devices to be placed on the market with certificates issued in accordance with the previous Directives. Therefore, there is not enough practical experience on the issu</w:t>
      </w:r>
      <w:r w:rsidR="00215A1B">
        <w:rPr>
          <w:rFonts w:ascii="Times New Roman" w:hAnsi="Times New Roman" w:cs="Times New Roman"/>
          <w:noProof/>
          <w:sz w:val="24"/>
          <w:szCs w:val="24"/>
          <w:lang w:val="en-US"/>
        </w:rPr>
        <w:t>ing</w:t>
      </w:r>
      <w:r w:rsidRPr="001E7A92">
        <w:rPr>
          <w:rFonts w:ascii="Times New Roman" w:hAnsi="Times New Roman" w:cs="Times New Roman"/>
          <w:noProof/>
          <w:sz w:val="24"/>
          <w:szCs w:val="24"/>
          <w:lang w:val="en-US"/>
        </w:rPr>
        <w:t xml:space="preserve"> of certificates under the Regulations which would have given rise to amend their minimum content. </w:t>
      </w:r>
    </w:p>
    <w:p w14:paraId="0A6C03E1" w14:textId="77777777" w:rsidR="001E7A92" w:rsidRPr="001E7A92" w:rsidRDefault="001E7A92" w:rsidP="001E7A92">
      <w:pPr>
        <w:numPr>
          <w:ilvl w:val="0"/>
          <w:numId w:val="1"/>
        </w:numPr>
        <w:spacing w:before="360" w:after="240" w:line="240" w:lineRule="auto"/>
        <w:jc w:val="both"/>
        <w:rPr>
          <w:rFonts w:ascii="Times New Roman" w:hAnsi="Times New Roman" w:cs="Times New Roman"/>
          <w:noProof/>
          <w:sz w:val="24"/>
          <w:szCs w:val="24"/>
          <w:lang w:val="en-US"/>
        </w:rPr>
      </w:pPr>
      <w:r w:rsidRPr="001E7A92">
        <w:rPr>
          <w:rFonts w:ascii="Times New Roman" w:hAnsi="Times New Roman" w:cs="Times New Roman"/>
          <w:noProof/>
          <w:sz w:val="24"/>
          <w:szCs w:val="24"/>
          <w:lang w:val="en-US"/>
        </w:rPr>
        <w:t>Exemption of certain well-established technologies from assessment of technical documentation for every single device and from</w:t>
      </w:r>
      <w:r w:rsidRPr="001E7A92">
        <w:rPr>
          <w:rFonts w:ascii="Times New Roman" w:hAnsi="Times New Roman" w:cs="Times New Roman"/>
          <w:noProof/>
          <w:sz w:val="24"/>
          <w:szCs w:val="24"/>
        </w:rPr>
        <w:t xml:space="preserve"> the requirement to perform clinical investigations </w:t>
      </w:r>
    </w:p>
    <w:p w14:paraId="6CDD7DA4" w14:textId="560563CB" w:rsidR="001E7A92" w:rsidRPr="001E7A92" w:rsidRDefault="001E7A92" w:rsidP="001E7A92">
      <w:pPr>
        <w:spacing w:before="360" w:after="240" w:line="240" w:lineRule="auto"/>
        <w:ind w:left="720"/>
        <w:jc w:val="both"/>
        <w:rPr>
          <w:rFonts w:ascii="Times New Roman" w:hAnsi="Times New Roman" w:cs="Times New Roman"/>
          <w:noProof/>
          <w:sz w:val="24"/>
          <w:szCs w:val="24"/>
        </w:rPr>
      </w:pPr>
      <w:r w:rsidRPr="001E7A92">
        <w:rPr>
          <w:rFonts w:ascii="Times New Roman" w:hAnsi="Times New Roman" w:cs="Times New Roman"/>
          <w:noProof/>
          <w:sz w:val="24"/>
          <w:szCs w:val="24"/>
        </w:rPr>
        <w:t>Article 61(8) of Regulation (EU) 2017/745 empowers the Commission to adopt delegated acts to amend both the list in Article 52(4), second subparagraph, already mentioned above</w:t>
      </w:r>
      <w:r w:rsidR="00AF176F">
        <w:rPr>
          <w:rFonts w:ascii="Times New Roman" w:hAnsi="Times New Roman" w:cs="Times New Roman"/>
          <w:noProof/>
          <w:sz w:val="24"/>
          <w:szCs w:val="24"/>
        </w:rPr>
        <w:t>,</w:t>
      </w:r>
      <w:r w:rsidRPr="001E7A92">
        <w:rPr>
          <w:rFonts w:ascii="Times New Roman" w:hAnsi="Times New Roman" w:cs="Times New Roman"/>
          <w:noProof/>
          <w:sz w:val="24"/>
          <w:szCs w:val="24"/>
        </w:rPr>
        <w:t xml:space="preserve"> and the list in Article 61(6) point (b) of Regulation (EU) 2017/745 containing implantable devices exempted from the requirement to perform clinical investigations pursuant to Article 61(4) of Regulation (EU) 2017/745. It may be justified in the future in view of well-established technologies to add further devices to those lists or to remove devices from the lists in order to protect the health and safety of patients, users or other persons or other aspects of public health.</w:t>
      </w:r>
    </w:p>
    <w:p w14:paraId="0829F18C" w14:textId="77777777" w:rsidR="001E7A92" w:rsidRPr="001E7A92" w:rsidRDefault="001E7A92" w:rsidP="001E7A92">
      <w:pPr>
        <w:numPr>
          <w:ilvl w:val="0"/>
          <w:numId w:val="1"/>
        </w:numPr>
        <w:spacing w:before="360" w:after="240"/>
        <w:ind w:left="714" w:hanging="357"/>
        <w:jc w:val="both"/>
        <w:rPr>
          <w:rFonts w:ascii="Times New Roman" w:hAnsi="Times New Roman" w:cs="Times New Roman"/>
          <w:noProof/>
          <w:sz w:val="24"/>
          <w:szCs w:val="24"/>
          <w:lang w:val="en-US"/>
        </w:rPr>
      </w:pPr>
      <w:r w:rsidRPr="001E7A92">
        <w:rPr>
          <w:rFonts w:ascii="Times New Roman" w:hAnsi="Times New Roman" w:cs="Times New Roman"/>
          <w:noProof/>
          <w:sz w:val="24"/>
          <w:szCs w:val="24"/>
          <w:lang w:val="en-US"/>
        </w:rPr>
        <w:t xml:space="preserve">Documentation regarding the application for clinical investigation and </w:t>
      </w:r>
      <w:r w:rsidRPr="001E7A92">
        <w:rPr>
          <w:rFonts w:ascii="Times New Roman" w:hAnsi="Times New Roman" w:cs="Times New Roman"/>
          <w:noProof/>
          <w:sz w:val="24"/>
          <w:szCs w:val="24"/>
        </w:rPr>
        <w:t>interventional clinical performance studies</w:t>
      </w:r>
    </w:p>
    <w:p w14:paraId="4C2429CD" w14:textId="72140E7B" w:rsidR="001E7A92" w:rsidRPr="001E7A92" w:rsidRDefault="001E7A92" w:rsidP="001E7A92">
      <w:pPr>
        <w:spacing w:before="360" w:after="240" w:line="240" w:lineRule="auto"/>
        <w:ind w:left="720"/>
        <w:jc w:val="both"/>
        <w:rPr>
          <w:rFonts w:ascii="Times New Roman" w:hAnsi="Times New Roman" w:cs="Times New Roman"/>
          <w:noProof/>
          <w:sz w:val="24"/>
          <w:szCs w:val="24"/>
          <w:lang w:val="en-US"/>
        </w:rPr>
      </w:pPr>
      <w:r w:rsidRPr="001E7A92">
        <w:rPr>
          <w:rFonts w:ascii="Times New Roman" w:hAnsi="Times New Roman" w:cs="Times New Roman"/>
          <w:noProof/>
          <w:sz w:val="24"/>
          <w:szCs w:val="24"/>
          <w:lang w:val="en-US"/>
        </w:rPr>
        <w:t xml:space="preserve">Article 70(8) of Regulation (EU) 2017/745 and </w:t>
      </w:r>
      <w:r w:rsidRPr="001E7A92">
        <w:rPr>
          <w:rFonts w:ascii="Times New Roman" w:hAnsi="Times New Roman" w:cs="Times New Roman"/>
          <w:noProof/>
          <w:sz w:val="24"/>
          <w:szCs w:val="24"/>
        </w:rPr>
        <w:t xml:space="preserve">Article 66(8) of Regulation (EU) 2017/746 </w:t>
      </w:r>
      <w:r w:rsidRPr="001E7A92">
        <w:rPr>
          <w:rFonts w:ascii="Times New Roman" w:hAnsi="Times New Roman" w:cs="Times New Roman"/>
          <w:noProof/>
          <w:sz w:val="24"/>
          <w:szCs w:val="24"/>
          <w:lang w:val="en-US"/>
        </w:rPr>
        <w:t xml:space="preserve">empower the Commission to adopt delegated acts to amend, </w:t>
      </w:r>
      <w:r w:rsidRPr="001E7A92">
        <w:rPr>
          <w:rFonts w:ascii="Times New Roman" w:hAnsi="Times New Roman" w:cs="Times New Roman"/>
          <w:noProof/>
          <w:sz w:val="24"/>
          <w:szCs w:val="24"/>
        </w:rPr>
        <w:t>in the light of technical progress and global regulatory developments,</w:t>
      </w:r>
      <w:r w:rsidRPr="001E7A92">
        <w:rPr>
          <w:rFonts w:ascii="Times New Roman" w:hAnsi="Times New Roman" w:cs="Times New Roman"/>
          <w:noProof/>
          <w:sz w:val="24"/>
          <w:szCs w:val="24"/>
          <w:lang w:val="en-US"/>
        </w:rPr>
        <w:t xml:space="preserve"> Annex XV, Chapter II, </w:t>
      </w:r>
      <w:r w:rsidR="00AF176F">
        <w:rPr>
          <w:rFonts w:ascii="Times New Roman" w:hAnsi="Times New Roman" w:cs="Times New Roman"/>
          <w:noProof/>
          <w:sz w:val="24"/>
          <w:szCs w:val="24"/>
          <w:lang w:val="en-US"/>
        </w:rPr>
        <w:t>to</w:t>
      </w:r>
      <w:r w:rsidRPr="001E7A92">
        <w:rPr>
          <w:rFonts w:ascii="Times New Roman" w:hAnsi="Times New Roman" w:cs="Times New Roman"/>
          <w:noProof/>
          <w:sz w:val="24"/>
          <w:szCs w:val="24"/>
          <w:lang w:val="en-US"/>
        </w:rPr>
        <w:t xml:space="preserve"> Regulation (EU) 2017/745 and Annex XIV, Chapter I, </w:t>
      </w:r>
      <w:r w:rsidR="00AF176F">
        <w:rPr>
          <w:rFonts w:ascii="Times New Roman" w:hAnsi="Times New Roman" w:cs="Times New Roman"/>
          <w:noProof/>
          <w:sz w:val="24"/>
          <w:szCs w:val="24"/>
          <w:lang w:val="en-US"/>
        </w:rPr>
        <w:t>to</w:t>
      </w:r>
      <w:r w:rsidRPr="001E7A92">
        <w:rPr>
          <w:rFonts w:ascii="Times New Roman" w:hAnsi="Times New Roman" w:cs="Times New Roman"/>
          <w:noProof/>
          <w:sz w:val="24"/>
          <w:szCs w:val="24"/>
          <w:lang w:val="en-US"/>
        </w:rPr>
        <w:t xml:space="preserve"> Regulation (EU) 2017/746, which lay down the requirements for documentation regarding the application for clinical investigation and </w:t>
      </w:r>
      <w:r w:rsidRPr="001E7A92">
        <w:rPr>
          <w:rFonts w:ascii="Times New Roman" w:hAnsi="Times New Roman" w:cs="Times New Roman"/>
          <w:noProof/>
          <w:sz w:val="24"/>
          <w:szCs w:val="24"/>
        </w:rPr>
        <w:t>for interventional clinical performance studies and other performance studies involving risks for the subjects of the studies, respectively</w:t>
      </w:r>
      <w:r w:rsidRPr="001E7A92">
        <w:rPr>
          <w:rFonts w:ascii="Times New Roman" w:hAnsi="Times New Roman" w:cs="Times New Roman"/>
          <w:noProof/>
          <w:sz w:val="24"/>
          <w:szCs w:val="24"/>
          <w:lang w:val="en-US"/>
        </w:rPr>
        <w:t xml:space="preserve">. To date, no need for updating the documentation requirements has arisen. </w:t>
      </w:r>
    </w:p>
    <w:p w14:paraId="2264822E" w14:textId="77777777" w:rsidR="001E7A92" w:rsidRPr="001E7A92" w:rsidRDefault="001E7A92" w:rsidP="001E7A92">
      <w:pPr>
        <w:numPr>
          <w:ilvl w:val="0"/>
          <w:numId w:val="1"/>
        </w:numPr>
        <w:spacing w:before="360" w:after="240" w:line="240" w:lineRule="auto"/>
        <w:jc w:val="both"/>
        <w:rPr>
          <w:rFonts w:ascii="Times New Roman" w:hAnsi="Times New Roman" w:cs="Times New Roman"/>
          <w:noProof/>
          <w:sz w:val="24"/>
          <w:szCs w:val="24"/>
          <w:lang w:val="en-US"/>
        </w:rPr>
      </w:pPr>
      <w:r w:rsidRPr="001E7A92">
        <w:rPr>
          <w:rFonts w:ascii="Times New Roman" w:hAnsi="Times New Roman" w:cs="Times New Roman"/>
          <w:noProof/>
          <w:sz w:val="24"/>
          <w:szCs w:val="24"/>
          <w:lang w:val="en-US"/>
        </w:rPr>
        <w:t>Tasks of expert panels and expert laboratories</w:t>
      </w:r>
    </w:p>
    <w:p w14:paraId="04E2D6FC" w14:textId="3ED47CE2" w:rsidR="001E7A92" w:rsidRPr="001E7A92" w:rsidRDefault="001E7A92" w:rsidP="001E7A92">
      <w:pPr>
        <w:spacing w:before="360" w:after="240" w:line="240" w:lineRule="auto"/>
        <w:ind w:left="720"/>
        <w:jc w:val="both"/>
        <w:rPr>
          <w:rFonts w:ascii="Times New Roman" w:hAnsi="Times New Roman" w:cs="Times New Roman"/>
          <w:noProof/>
          <w:sz w:val="24"/>
          <w:szCs w:val="24"/>
          <w:lang w:val="en-US"/>
        </w:rPr>
      </w:pPr>
      <w:r w:rsidRPr="001E7A92">
        <w:rPr>
          <w:rFonts w:ascii="Times New Roman" w:hAnsi="Times New Roman" w:cs="Times New Roman"/>
          <w:noProof/>
          <w:sz w:val="24"/>
          <w:szCs w:val="24"/>
        </w:rPr>
        <w:t xml:space="preserve">Article 106(15) of Regulation (EU) 2017/745 empowers the Commission to adopt delegated acts to amend the tasks of expert panels and expert laboratories, which are </w:t>
      </w:r>
      <w:r w:rsidRPr="001E7A92">
        <w:rPr>
          <w:rFonts w:ascii="Times New Roman" w:hAnsi="Times New Roman" w:cs="Times New Roman"/>
          <w:noProof/>
          <w:sz w:val="24"/>
          <w:szCs w:val="24"/>
          <w:lang w:val="en-US"/>
        </w:rPr>
        <w:t>listed in Article 106(10) of Regulation (EU) 2017/745. Expert panels were designated by Commission Implementing Decision (EU) 2019/1396</w:t>
      </w:r>
      <w:r w:rsidRPr="001E7A92">
        <w:rPr>
          <w:rFonts w:ascii="Times New Roman" w:hAnsi="Times New Roman" w:cs="Times New Roman"/>
          <w:noProof/>
          <w:sz w:val="24"/>
          <w:szCs w:val="24"/>
          <w:vertAlign w:val="superscript"/>
          <w:lang w:val="en-US"/>
        </w:rPr>
        <w:footnoteReference w:id="8"/>
      </w:r>
      <w:r w:rsidRPr="001E7A92">
        <w:rPr>
          <w:rFonts w:ascii="Times New Roman" w:hAnsi="Times New Roman" w:cs="Times New Roman"/>
          <w:noProof/>
          <w:sz w:val="24"/>
          <w:szCs w:val="24"/>
          <w:lang w:val="en-US"/>
        </w:rPr>
        <w:t xml:space="preserve"> and started their work in April 2021. Expert laboratories have not yet been designated. To date, no need for changing the tasks of expert panels or expert laboratories has arisen. </w:t>
      </w:r>
    </w:p>
    <w:p w14:paraId="74837D90" w14:textId="77777777" w:rsidR="001E7A92" w:rsidRPr="001E7A92" w:rsidRDefault="001E7A92" w:rsidP="001E7A92">
      <w:pPr>
        <w:pStyle w:val="ListParagraph"/>
        <w:numPr>
          <w:ilvl w:val="0"/>
          <w:numId w:val="2"/>
        </w:numPr>
        <w:spacing w:before="360" w:after="240" w:line="240" w:lineRule="auto"/>
        <w:jc w:val="both"/>
        <w:rPr>
          <w:rFonts w:ascii="Times New Roman" w:hAnsi="Times New Roman" w:cs="Times New Roman"/>
          <w:b/>
          <w:noProof/>
          <w:sz w:val="24"/>
          <w:szCs w:val="24"/>
        </w:rPr>
      </w:pPr>
      <w:r w:rsidRPr="001E7A92">
        <w:rPr>
          <w:rFonts w:ascii="Times New Roman" w:hAnsi="Times New Roman" w:cs="Times New Roman"/>
          <w:b/>
          <w:noProof/>
          <w:sz w:val="24"/>
          <w:szCs w:val="24"/>
        </w:rPr>
        <w:t>CONCLUSION</w:t>
      </w:r>
    </w:p>
    <w:p w14:paraId="7374E383" w14:textId="7C182FDF" w:rsidR="001E7A92" w:rsidRPr="001E7A92" w:rsidRDefault="001E7A92" w:rsidP="001E7A92">
      <w:pPr>
        <w:autoSpaceDE w:val="0"/>
        <w:autoSpaceDN w:val="0"/>
        <w:adjustRightInd w:val="0"/>
        <w:spacing w:after="240" w:line="240" w:lineRule="auto"/>
        <w:jc w:val="both"/>
        <w:rPr>
          <w:rFonts w:ascii="Times New Roman" w:hAnsi="Times New Roman" w:cs="Times New Roman"/>
          <w:iCs/>
          <w:noProof/>
          <w:sz w:val="24"/>
          <w:szCs w:val="24"/>
        </w:rPr>
      </w:pPr>
      <w:r w:rsidRPr="001E7A92">
        <w:rPr>
          <w:rFonts w:ascii="Times New Roman" w:hAnsi="Times New Roman" w:cs="Times New Roman"/>
          <w:noProof/>
          <w:sz w:val="24"/>
          <w:szCs w:val="24"/>
        </w:rPr>
        <w:t>T</w:t>
      </w:r>
      <w:r w:rsidRPr="001E7A92">
        <w:rPr>
          <w:rFonts w:ascii="Times New Roman" w:hAnsi="Times New Roman" w:cs="Times New Roman"/>
          <w:iCs/>
          <w:noProof/>
          <w:sz w:val="24"/>
          <w:szCs w:val="24"/>
        </w:rPr>
        <w:t>he Commission sees the need for a tacit extension of the delegation</w:t>
      </w:r>
      <w:r w:rsidR="00AF176F">
        <w:rPr>
          <w:rFonts w:ascii="Times New Roman" w:hAnsi="Times New Roman" w:cs="Times New Roman"/>
          <w:iCs/>
          <w:noProof/>
          <w:sz w:val="24"/>
          <w:szCs w:val="24"/>
        </w:rPr>
        <w:t>s</w:t>
      </w:r>
      <w:r w:rsidRPr="001E7A92">
        <w:rPr>
          <w:rFonts w:ascii="Times New Roman" w:hAnsi="Times New Roman" w:cs="Times New Roman"/>
          <w:iCs/>
          <w:noProof/>
          <w:sz w:val="24"/>
          <w:szCs w:val="24"/>
        </w:rPr>
        <w:t xml:space="preserve"> of power provided for in Article 115(2) of Regulation (EU) 2017/745 and Article 108(2) of Regulation (EU) 2017/746 for a period of five years, in accordance with those Articles. </w:t>
      </w:r>
    </w:p>
    <w:p w14:paraId="66490F80" w14:textId="20E8DAEB" w:rsidR="001E7A92" w:rsidRPr="001E7A92" w:rsidRDefault="001E7A92" w:rsidP="001E7A92">
      <w:pPr>
        <w:spacing w:before="360" w:after="240" w:line="240" w:lineRule="auto"/>
        <w:jc w:val="both"/>
        <w:rPr>
          <w:rFonts w:ascii="Times New Roman" w:hAnsi="Times New Roman" w:cs="Times New Roman"/>
          <w:noProof/>
          <w:sz w:val="24"/>
          <w:szCs w:val="24"/>
          <w:lang w:val="en-US"/>
        </w:rPr>
      </w:pPr>
      <w:r w:rsidRPr="001E7A92">
        <w:rPr>
          <w:rFonts w:ascii="Times New Roman" w:hAnsi="Times New Roman" w:cs="Times New Roman"/>
          <w:iCs/>
          <w:noProof/>
          <w:sz w:val="24"/>
          <w:szCs w:val="24"/>
        </w:rPr>
        <w:t>T</w:t>
      </w:r>
      <w:r w:rsidRPr="001E7A92">
        <w:rPr>
          <w:rFonts w:ascii="Times New Roman" w:hAnsi="Times New Roman" w:cs="Times New Roman"/>
          <w:noProof/>
          <w:sz w:val="24"/>
          <w:szCs w:val="24"/>
        </w:rPr>
        <w:t xml:space="preserve">he need to </w:t>
      </w:r>
      <w:r w:rsidR="00156742">
        <w:rPr>
          <w:rFonts w:ascii="Times New Roman" w:hAnsi="Times New Roman" w:cs="Times New Roman"/>
          <w:noProof/>
          <w:sz w:val="24"/>
          <w:szCs w:val="24"/>
        </w:rPr>
        <w:t xml:space="preserve">develop and </w:t>
      </w:r>
      <w:r w:rsidRPr="001E7A92">
        <w:rPr>
          <w:rFonts w:ascii="Times New Roman" w:hAnsi="Times New Roman" w:cs="Times New Roman"/>
          <w:noProof/>
          <w:sz w:val="24"/>
          <w:szCs w:val="24"/>
        </w:rPr>
        <w:t xml:space="preserve">adopt rules based on the empowerments granted by Article 115(2) of Regulation (EU) 2017/745 and Article 108(2) of Regulation (EU) 2017/746 may arise in the future. </w:t>
      </w:r>
      <w:r w:rsidR="00156742" w:rsidRPr="001E7A92">
        <w:rPr>
          <w:rFonts w:ascii="Times New Roman" w:hAnsi="Times New Roman" w:cs="Times New Roman"/>
          <w:noProof/>
          <w:sz w:val="24"/>
          <w:szCs w:val="24"/>
          <w:shd w:val="clear" w:color="auto" w:fill="FFFFFF"/>
        </w:rPr>
        <w:t>The rationale for the delegation</w:t>
      </w:r>
      <w:r w:rsidR="00156742">
        <w:rPr>
          <w:rFonts w:ascii="Times New Roman" w:hAnsi="Times New Roman" w:cs="Times New Roman"/>
          <w:noProof/>
          <w:sz w:val="24"/>
          <w:szCs w:val="24"/>
          <w:shd w:val="clear" w:color="auto" w:fill="FFFFFF"/>
        </w:rPr>
        <w:t>s</w:t>
      </w:r>
      <w:r w:rsidR="00156742" w:rsidRPr="001E7A92">
        <w:rPr>
          <w:rFonts w:ascii="Times New Roman" w:hAnsi="Times New Roman" w:cs="Times New Roman"/>
          <w:noProof/>
          <w:sz w:val="24"/>
          <w:szCs w:val="24"/>
          <w:shd w:val="clear" w:color="auto" w:fill="FFFFFF"/>
        </w:rPr>
        <w:t xml:space="preserve"> of power has not changed. </w:t>
      </w:r>
      <w:r w:rsidRPr="001E7A92">
        <w:rPr>
          <w:rFonts w:ascii="Times New Roman" w:hAnsi="Times New Roman" w:cs="Times New Roman"/>
          <w:noProof/>
          <w:sz w:val="24"/>
          <w:szCs w:val="24"/>
        </w:rPr>
        <w:t>It is important to maintain the necessary flexibility in the legal framework, to supplement or adjust it to technical and scientific developments with a view to protect health and safety of patients,</w:t>
      </w:r>
      <w:r w:rsidRPr="001E7A92">
        <w:rPr>
          <w:noProof/>
        </w:rPr>
        <w:t xml:space="preserve"> </w:t>
      </w:r>
      <w:r w:rsidRPr="001E7A92">
        <w:rPr>
          <w:rFonts w:ascii="Times New Roman" w:hAnsi="Times New Roman" w:cs="Times New Roman"/>
          <w:noProof/>
          <w:sz w:val="24"/>
          <w:szCs w:val="24"/>
        </w:rPr>
        <w:t>users and public health in general based also on more experience gained with the application of the Regulations.</w:t>
      </w:r>
    </w:p>
    <w:p w14:paraId="1BE48588" w14:textId="77777777" w:rsidR="0055004A" w:rsidRDefault="001E7A92" w:rsidP="001E7A92">
      <w:pPr>
        <w:rPr>
          <w:noProof/>
        </w:rPr>
      </w:pPr>
      <w:r w:rsidRPr="001E7A92">
        <w:rPr>
          <w:rFonts w:ascii="Times New Roman" w:hAnsi="Times New Roman" w:cs="Times New Roman"/>
          <w:noProof/>
          <w:sz w:val="24"/>
          <w:szCs w:val="24"/>
        </w:rPr>
        <w:t xml:space="preserve">The Commission invites the European Parliament and the </w:t>
      </w:r>
      <w:r w:rsidRPr="00E15E75">
        <w:rPr>
          <w:rFonts w:ascii="Times New Roman" w:hAnsi="Times New Roman" w:cs="Times New Roman"/>
          <w:noProof/>
          <w:sz w:val="24"/>
          <w:szCs w:val="24"/>
        </w:rPr>
        <w:t>Co</w:t>
      </w:r>
      <w:r w:rsidR="00E15E75" w:rsidRPr="00E15E75">
        <w:rPr>
          <w:rFonts w:ascii="Times New Roman" w:hAnsi="Times New Roman" w:cs="Times New Roman"/>
          <w:noProof/>
          <w:sz w:val="24"/>
          <w:szCs w:val="24"/>
        </w:rPr>
        <w:t>uncil to take note of this report.</w:t>
      </w:r>
    </w:p>
    <w:sectPr w:rsidR="0055004A" w:rsidSect="007518A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9F777" w14:textId="77777777" w:rsidR="007518AB" w:rsidRDefault="007518AB" w:rsidP="007518AB">
      <w:pPr>
        <w:spacing w:after="0" w:line="240" w:lineRule="auto"/>
      </w:pPr>
      <w:r>
        <w:separator/>
      </w:r>
    </w:p>
  </w:endnote>
  <w:endnote w:type="continuationSeparator" w:id="0">
    <w:p w14:paraId="6F7764E6" w14:textId="77777777" w:rsidR="007518AB" w:rsidRDefault="007518AB" w:rsidP="00751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886DF" w14:textId="77777777" w:rsidR="009E21B3" w:rsidRPr="009E21B3" w:rsidRDefault="009E21B3" w:rsidP="009E21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42C9A" w14:textId="689D8A54" w:rsidR="00B166AE" w:rsidRPr="009E21B3" w:rsidRDefault="009E21B3" w:rsidP="009E21B3">
    <w:pPr>
      <w:pStyle w:val="FooterCoverPage"/>
      <w:rPr>
        <w:rFonts w:ascii="Arial" w:hAnsi="Arial" w:cs="Arial"/>
        <w:b/>
        <w:sz w:val="48"/>
      </w:rPr>
    </w:pPr>
    <w:r w:rsidRPr="009E21B3">
      <w:rPr>
        <w:rFonts w:ascii="Arial" w:hAnsi="Arial" w:cs="Arial"/>
        <w:b/>
        <w:sz w:val="48"/>
      </w:rPr>
      <w:t>EN</w:t>
    </w:r>
    <w:r w:rsidRPr="009E21B3">
      <w:rPr>
        <w:rFonts w:ascii="Arial" w:hAnsi="Arial" w:cs="Arial"/>
        <w:b/>
        <w:sz w:val="48"/>
      </w:rPr>
      <w:tab/>
    </w:r>
    <w:r w:rsidRPr="009E21B3">
      <w:rPr>
        <w:rFonts w:ascii="Arial" w:hAnsi="Arial" w:cs="Arial"/>
        <w:b/>
        <w:sz w:val="48"/>
      </w:rPr>
      <w:tab/>
    </w:r>
    <w:r w:rsidRPr="009E21B3">
      <w:tab/>
    </w:r>
    <w:r w:rsidRPr="009E21B3">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2C9D2" w14:textId="77777777" w:rsidR="009E21B3" w:rsidRPr="009E21B3" w:rsidRDefault="009E21B3" w:rsidP="009E21B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2D8BF" w14:textId="77777777" w:rsidR="007518AB" w:rsidRDefault="007518A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905834"/>
      <w:docPartObj>
        <w:docPartGallery w:val="Page Numbers (Bottom of Page)"/>
        <w:docPartUnique/>
      </w:docPartObj>
    </w:sdtPr>
    <w:sdtEndPr>
      <w:rPr>
        <w:noProof/>
      </w:rPr>
    </w:sdtEndPr>
    <w:sdtContent>
      <w:p w14:paraId="1C66D2A5" w14:textId="0D04E549" w:rsidR="009F43FF" w:rsidRDefault="009F43FF">
        <w:pPr>
          <w:pStyle w:val="Footer"/>
          <w:jc w:val="center"/>
        </w:pPr>
        <w:r>
          <w:fldChar w:fldCharType="begin"/>
        </w:r>
        <w:r>
          <w:instrText xml:space="preserve"> PAGE   \* MERGEFORMAT </w:instrText>
        </w:r>
        <w:r>
          <w:fldChar w:fldCharType="separate"/>
        </w:r>
        <w:r w:rsidR="009E21B3">
          <w:rPr>
            <w:noProof/>
          </w:rPr>
          <w:t>1</w:t>
        </w:r>
        <w:r>
          <w:rPr>
            <w:noProof/>
          </w:rPr>
          <w:fldChar w:fldCharType="end"/>
        </w:r>
      </w:p>
    </w:sdtContent>
  </w:sdt>
  <w:p w14:paraId="2FABD6D0" w14:textId="77777777" w:rsidR="007518AB" w:rsidRDefault="007518A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199BD" w14:textId="77777777" w:rsidR="007518AB" w:rsidRDefault="00751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3B8BB" w14:textId="77777777" w:rsidR="007518AB" w:rsidRDefault="007518AB" w:rsidP="007518AB">
      <w:pPr>
        <w:spacing w:after="0" w:line="240" w:lineRule="auto"/>
      </w:pPr>
      <w:r>
        <w:separator/>
      </w:r>
    </w:p>
  </w:footnote>
  <w:footnote w:type="continuationSeparator" w:id="0">
    <w:p w14:paraId="4872E34E" w14:textId="77777777" w:rsidR="007518AB" w:rsidRDefault="007518AB" w:rsidP="007518AB">
      <w:pPr>
        <w:spacing w:after="0" w:line="240" w:lineRule="auto"/>
      </w:pPr>
      <w:r>
        <w:continuationSeparator/>
      </w:r>
    </w:p>
  </w:footnote>
  <w:footnote w:id="1">
    <w:p w14:paraId="7A870D76" w14:textId="77777777" w:rsidR="001E7A92" w:rsidRPr="00927282" w:rsidRDefault="001E7A92" w:rsidP="00E15E75">
      <w:pPr>
        <w:pStyle w:val="FootnoteText"/>
        <w:tabs>
          <w:tab w:val="left" w:pos="360"/>
        </w:tabs>
        <w:ind w:left="357" w:hanging="357"/>
        <w:jc w:val="both"/>
        <w:rPr>
          <w:rFonts w:ascii="Times New Roman" w:hAnsi="Times New Roman" w:cs="Times New Roman"/>
        </w:rPr>
      </w:pPr>
      <w:r w:rsidRPr="00927282">
        <w:rPr>
          <w:rStyle w:val="FootnoteReference"/>
          <w:rFonts w:ascii="Times New Roman" w:hAnsi="Times New Roman"/>
        </w:rPr>
        <w:footnoteRef/>
      </w:r>
      <w:r w:rsidRPr="00927282">
        <w:rPr>
          <w:rFonts w:ascii="Times New Roman" w:hAnsi="Times New Roman" w:cs="Times New Roman"/>
        </w:rPr>
        <w:t xml:space="preserve"> </w:t>
      </w:r>
      <w:r w:rsidR="00C31EDC">
        <w:rPr>
          <w:rFonts w:ascii="Times New Roman" w:hAnsi="Times New Roman" w:cs="Times New Roman"/>
        </w:rPr>
        <w:tab/>
      </w:r>
      <w:r w:rsidRPr="00927282">
        <w:rPr>
          <w:rFonts w:ascii="Times New Roman" w:hAnsi="Times New Roman" w:cs="Times New Roman"/>
        </w:rPr>
        <w:t xml:space="preserve">Regulation (EU) 2017/745 of the European Parliament and of the Council of 5 April 2017 on medical devices, amending Directive 2001/83/EC, Regulation (EC) No 178/2002 and Regulation (EC) No 1223/2009 and repealing Council Directives 90/385/EEC and 93/42/EEC, </w:t>
      </w:r>
      <w:r w:rsidRPr="00927282">
        <w:rPr>
          <w:rFonts w:ascii="Times New Roman" w:hAnsi="Times New Roman" w:cs="Times New Roman"/>
          <w:iCs/>
        </w:rPr>
        <w:t>OJ L 117, 5.5.2017, p. 1.</w:t>
      </w:r>
    </w:p>
  </w:footnote>
  <w:footnote w:id="2">
    <w:p w14:paraId="2A1C57D0" w14:textId="77777777" w:rsidR="001E7A92" w:rsidRPr="00927282" w:rsidRDefault="001E7A92" w:rsidP="00C31EDC">
      <w:pPr>
        <w:pStyle w:val="FootnoteText"/>
        <w:tabs>
          <w:tab w:val="left" w:pos="360"/>
        </w:tabs>
        <w:ind w:left="360" w:hanging="360"/>
        <w:jc w:val="both"/>
        <w:rPr>
          <w:rFonts w:ascii="Times New Roman" w:hAnsi="Times New Roman" w:cs="Times New Roman"/>
        </w:rPr>
      </w:pPr>
      <w:r w:rsidRPr="00927282">
        <w:rPr>
          <w:rStyle w:val="FootnoteReference"/>
          <w:rFonts w:ascii="Times New Roman" w:hAnsi="Times New Roman"/>
        </w:rPr>
        <w:footnoteRef/>
      </w:r>
      <w:r w:rsidRPr="00927282">
        <w:rPr>
          <w:rFonts w:ascii="Times New Roman" w:hAnsi="Times New Roman" w:cs="Times New Roman"/>
        </w:rPr>
        <w:t xml:space="preserve"> </w:t>
      </w:r>
      <w:r w:rsidR="00C31EDC">
        <w:rPr>
          <w:rFonts w:ascii="Times New Roman" w:hAnsi="Times New Roman" w:cs="Times New Roman"/>
        </w:rPr>
        <w:tab/>
      </w:r>
      <w:r w:rsidRPr="00927282">
        <w:rPr>
          <w:rFonts w:ascii="Times New Roman" w:hAnsi="Times New Roman" w:cs="Times New Roman"/>
        </w:rPr>
        <w:t xml:space="preserve">Regulation (EU) 2017/746 of the European Parliament and of the Council of 5 April 2017 on </w:t>
      </w:r>
      <w:r w:rsidRPr="00927282">
        <w:rPr>
          <w:rFonts w:ascii="Times New Roman" w:hAnsi="Times New Roman" w:cs="Times New Roman"/>
          <w:i/>
        </w:rPr>
        <w:t>in vitro</w:t>
      </w:r>
      <w:r w:rsidRPr="00927282">
        <w:rPr>
          <w:rFonts w:ascii="Times New Roman" w:hAnsi="Times New Roman" w:cs="Times New Roman"/>
        </w:rPr>
        <w:t xml:space="preserve"> diagnostic medical devices and repealing Directive 98/79/EC and Commission Decision 2010/227/EU, </w:t>
      </w:r>
      <w:r w:rsidRPr="00927282">
        <w:rPr>
          <w:rFonts w:ascii="Times New Roman" w:hAnsi="Times New Roman" w:cs="Times New Roman"/>
          <w:iCs/>
        </w:rPr>
        <w:t>OJ L 117, 5.5.2017, p. 176.</w:t>
      </w:r>
    </w:p>
  </w:footnote>
  <w:footnote w:id="3">
    <w:p w14:paraId="1C61886D" w14:textId="78A3AFD8" w:rsidR="001E7A92" w:rsidRPr="00927282" w:rsidRDefault="001E7A92" w:rsidP="00C31EDC">
      <w:pPr>
        <w:pStyle w:val="FootnoteText"/>
        <w:tabs>
          <w:tab w:val="left" w:pos="360"/>
        </w:tabs>
        <w:ind w:left="360" w:hanging="360"/>
        <w:jc w:val="both"/>
        <w:rPr>
          <w:rFonts w:ascii="Times New Roman" w:hAnsi="Times New Roman" w:cs="Times New Roman"/>
        </w:rPr>
      </w:pPr>
      <w:r w:rsidRPr="00927282">
        <w:rPr>
          <w:rStyle w:val="FootnoteReference"/>
          <w:rFonts w:ascii="Times New Roman" w:hAnsi="Times New Roman"/>
        </w:rPr>
        <w:footnoteRef/>
      </w:r>
      <w:r w:rsidRPr="00927282">
        <w:rPr>
          <w:rFonts w:ascii="Times New Roman" w:hAnsi="Times New Roman" w:cs="Times New Roman"/>
        </w:rPr>
        <w:t xml:space="preserve"> </w:t>
      </w:r>
      <w:r w:rsidR="00C31EDC">
        <w:rPr>
          <w:rFonts w:ascii="Times New Roman" w:hAnsi="Times New Roman" w:cs="Times New Roman"/>
        </w:rPr>
        <w:tab/>
      </w:r>
      <w:r w:rsidRPr="00927282">
        <w:rPr>
          <w:rFonts w:ascii="Times New Roman" w:hAnsi="Times New Roman" w:cs="Times New Roman"/>
        </w:rPr>
        <w:t xml:space="preserve">Its date of application had been postponed by one year </w:t>
      </w:r>
      <w:r w:rsidR="00135FAB">
        <w:rPr>
          <w:rFonts w:ascii="Times New Roman" w:hAnsi="Times New Roman" w:cs="Times New Roman"/>
        </w:rPr>
        <w:t xml:space="preserve">due to the COVID-19 pandemic </w:t>
      </w:r>
      <w:r w:rsidRPr="00927282">
        <w:rPr>
          <w:rFonts w:ascii="Times New Roman" w:hAnsi="Times New Roman" w:cs="Times New Roman"/>
        </w:rPr>
        <w:t xml:space="preserve">by Regulation (EU) 2020/561 of the European Parliament and of the Council of 23 April 2020 amending Regulation (EU) 2017/745 on medical devices, as regards the dates of application of certain of its provisions, </w:t>
      </w:r>
      <w:r w:rsidRPr="00927282">
        <w:rPr>
          <w:rFonts w:ascii="Times New Roman" w:hAnsi="Times New Roman" w:cs="Times New Roman"/>
          <w:iCs/>
        </w:rPr>
        <w:t>OJ L 130, 24.4.2020, p. 18.</w:t>
      </w:r>
    </w:p>
  </w:footnote>
  <w:footnote w:id="4">
    <w:p w14:paraId="64BB8A79" w14:textId="77777777" w:rsidR="001E7A92" w:rsidRPr="00927282" w:rsidRDefault="001E7A92" w:rsidP="00C31EDC">
      <w:pPr>
        <w:pStyle w:val="FootnoteText"/>
        <w:tabs>
          <w:tab w:val="left" w:pos="360"/>
        </w:tabs>
        <w:ind w:left="360" w:hanging="360"/>
        <w:jc w:val="both"/>
        <w:rPr>
          <w:rFonts w:ascii="Times New Roman" w:hAnsi="Times New Roman" w:cs="Times New Roman"/>
        </w:rPr>
      </w:pPr>
      <w:r w:rsidRPr="00927282">
        <w:rPr>
          <w:rStyle w:val="FootnoteReference"/>
          <w:rFonts w:ascii="Times New Roman" w:hAnsi="Times New Roman"/>
        </w:rPr>
        <w:footnoteRef/>
      </w:r>
      <w:r w:rsidRPr="00927282">
        <w:rPr>
          <w:rFonts w:ascii="Times New Roman" w:hAnsi="Times New Roman" w:cs="Times New Roman"/>
        </w:rPr>
        <w:t xml:space="preserve"> </w:t>
      </w:r>
      <w:r w:rsidR="00C31EDC">
        <w:rPr>
          <w:rFonts w:ascii="Times New Roman" w:hAnsi="Times New Roman" w:cs="Times New Roman"/>
        </w:rPr>
        <w:tab/>
      </w:r>
      <w:r w:rsidRPr="00927282">
        <w:rPr>
          <w:rFonts w:ascii="Times New Roman" w:hAnsi="Times New Roman" w:cs="Times New Roman"/>
        </w:rPr>
        <w:t xml:space="preserve">Regulation (EU) 2022/112 of the European Parliament and of the Council of 25 January 2022 amending Regulation (EU) 2017/746 as regards transitional provisions for certain </w:t>
      </w:r>
      <w:r w:rsidRPr="00927282">
        <w:rPr>
          <w:rFonts w:ascii="Times New Roman" w:hAnsi="Times New Roman" w:cs="Times New Roman"/>
          <w:i/>
        </w:rPr>
        <w:t>in vitro</w:t>
      </w:r>
      <w:r w:rsidRPr="00927282">
        <w:rPr>
          <w:rFonts w:ascii="Times New Roman" w:hAnsi="Times New Roman" w:cs="Times New Roman"/>
        </w:rPr>
        <w:t xml:space="preserve"> diagnostic medical devices and the deferred application of conditions for in-house devices, OJ L 19, 28.1.2022, p. 3, has introduced additional transitional provisions in the</w:t>
      </w:r>
      <w:r w:rsidRPr="00927282">
        <w:rPr>
          <w:rFonts w:ascii="Times New Roman" w:hAnsi="Times New Roman" w:cs="Times New Roman"/>
          <w:sz w:val="22"/>
          <w:szCs w:val="22"/>
        </w:rPr>
        <w:t xml:space="preserve"> </w:t>
      </w:r>
      <w:r w:rsidRPr="00927282">
        <w:rPr>
          <w:rFonts w:ascii="Times New Roman" w:hAnsi="Times New Roman" w:cs="Times New Roman"/>
        </w:rPr>
        <w:t>Regulation (EU) 2017/746.</w:t>
      </w:r>
    </w:p>
  </w:footnote>
  <w:footnote w:id="5">
    <w:p w14:paraId="09BC2BBD" w14:textId="20F9649A" w:rsidR="001E7A92" w:rsidRPr="0043222C" w:rsidRDefault="001E7A92" w:rsidP="00E15E75">
      <w:pPr>
        <w:pStyle w:val="FootnoteText"/>
        <w:tabs>
          <w:tab w:val="left" w:pos="360"/>
        </w:tabs>
        <w:ind w:left="357" w:hanging="357"/>
        <w:jc w:val="both"/>
        <w:rPr>
          <w:rFonts w:ascii="Times New Roman" w:hAnsi="Times New Roman" w:cs="Times New Roman"/>
          <w:lang w:val="en-IE"/>
        </w:rPr>
      </w:pPr>
      <w:r w:rsidRPr="00927282">
        <w:rPr>
          <w:rStyle w:val="FootnoteReference"/>
          <w:rFonts w:ascii="Times New Roman" w:hAnsi="Times New Roman"/>
        </w:rPr>
        <w:footnoteRef/>
      </w:r>
      <w:r>
        <w:rPr>
          <w:rFonts w:ascii="Times New Roman" w:hAnsi="Times New Roman" w:cs="Times New Roman"/>
        </w:rPr>
        <w:t xml:space="preserve"> </w:t>
      </w:r>
      <w:r w:rsidR="00C31EDC">
        <w:rPr>
          <w:rFonts w:ascii="Times New Roman" w:hAnsi="Times New Roman" w:cs="Times New Roman"/>
        </w:rPr>
        <w:tab/>
      </w:r>
      <w:r>
        <w:rPr>
          <w:rFonts w:ascii="Times New Roman" w:hAnsi="Times New Roman" w:cs="Times New Roman"/>
        </w:rPr>
        <w:t>In addition,</w:t>
      </w:r>
      <w:r w:rsidRPr="00927282">
        <w:rPr>
          <w:rFonts w:ascii="Times New Roman" w:hAnsi="Times New Roman" w:cs="Times New Roman"/>
        </w:rPr>
        <w:t xml:space="preserve"> Article 40(11) of Regulation (EU) 2017/746, which is not mentioned in </w:t>
      </w:r>
      <w:r w:rsidRPr="00927282">
        <w:rPr>
          <w:rFonts w:ascii="Times New Roman" w:hAnsi="Times New Roman" w:cs="Times New Roman"/>
          <w:lang w:val="en-IE"/>
        </w:rPr>
        <w:t>Article 108</w:t>
      </w:r>
      <w:r w:rsidR="00215A1B">
        <w:rPr>
          <w:rFonts w:ascii="Times New Roman" w:hAnsi="Times New Roman" w:cs="Times New Roman"/>
          <w:lang w:val="en-IE"/>
        </w:rPr>
        <w:t xml:space="preserve"> of that Regulation</w:t>
      </w:r>
      <w:r w:rsidRPr="00927282">
        <w:rPr>
          <w:rFonts w:ascii="Times New Roman" w:hAnsi="Times New Roman" w:cs="Times New Roman"/>
          <w:lang w:val="en-IE"/>
        </w:rPr>
        <w:t xml:space="preserve">, </w:t>
      </w:r>
      <w:r w:rsidRPr="00927282">
        <w:rPr>
          <w:rFonts w:ascii="Times New Roman" w:hAnsi="Times New Roman" w:cs="Times New Roman"/>
        </w:rPr>
        <w:t>contains an empowerment to adopt delegated acts</w:t>
      </w:r>
      <w:r w:rsidRPr="00927282">
        <w:rPr>
          <w:rFonts w:ascii="Times New Roman" w:hAnsi="Times New Roman" w:cs="Times New Roman"/>
          <w:lang w:val="en-IE"/>
        </w:rPr>
        <w:t>.</w:t>
      </w:r>
    </w:p>
  </w:footnote>
  <w:footnote w:id="6">
    <w:p w14:paraId="12E694BB" w14:textId="77777777" w:rsidR="009F43FF" w:rsidRPr="00E15E75" w:rsidRDefault="009F43FF" w:rsidP="00E15E75">
      <w:pPr>
        <w:pStyle w:val="FootnoteText"/>
        <w:tabs>
          <w:tab w:val="left" w:pos="360"/>
        </w:tabs>
        <w:ind w:left="357" w:hanging="357"/>
        <w:rPr>
          <w:rFonts w:ascii="Times New Roman" w:hAnsi="Times New Roman" w:cs="Times New Roman"/>
        </w:rPr>
      </w:pPr>
      <w:r w:rsidRPr="009F43FF">
        <w:rPr>
          <w:rStyle w:val="FootnoteReference"/>
          <w:rFonts w:ascii="Times New Roman" w:hAnsi="Times New Roman"/>
        </w:rPr>
        <w:footnoteRef/>
      </w:r>
      <w:r w:rsidRPr="009F43FF">
        <w:rPr>
          <w:rFonts w:ascii="Times New Roman" w:hAnsi="Times New Roman" w:cs="Times New Roman"/>
        </w:rPr>
        <w:t xml:space="preserve">  </w:t>
      </w:r>
      <w:r w:rsidR="00E15E75">
        <w:rPr>
          <w:rFonts w:ascii="Times New Roman" w:hAnsi="Times New Roman" w:cs="Times New Roman"/>
        </w:rPr>
        <w:tab/>
        <w:t>Commission Recommendation</w:t>
      </w:r>
      <w:r w:rsidR="00E15E75" w:rsidRPr="00E15E75">
        <w:rPr>
          <w:rFonts w:ascii="Times New Roman" w:hAnsi="Times New Roman" w:cs="Times New Roman"/>
        </w:rPr>
        <w:t xml:space="preserve"> of 18 October 2011 on the definition of nanomaterial</w:t>
      </w:r>
      <w:r w:rsidR="00E15E75">
        <w:rPr>
          <w:rFonts w:ascii="Times New Roman" w:hAnsi="Times New Roman" w:cs="Times New Roman"/>
        </w:rPr>
        <w:t xml:space="preserve">, </w:t>
      </w:r>
      <w:r w:rsidR="00E15E75">
        <w:rPr>
          <w:rFonts w:ascii="Times New Roman" w:hAnsi="Times New Roman" w:cs="Times New Roman"/>
          <w:iCs/>
        </w:rPr>
        <w:t>OJ L 275, 20.10.2011, p. 38</w:t>
      </w:r>
      <w:r w:rsidR="00E15E75" w:rsidRPr="00E15E75">
        <w:rPr>
          <w:rFonts w:ascii="Times New Roman" w:hAnsi="Times New Roman" w:cs="Times New Roman"/>
          <w:iCs/>
        </w:rPr>
        <w:t>.</w:t>
      </w:r>
    </w:p>
  </w:footnote>
  <w:footnote w:id="7">
    <w:p w14:paraId="32E47DB6" w14:textId="77777777" w:rsidR="001E7A92" w:rsidRPr="002E0A22" w:rsidRDefault="001E7A92" w:rsidP="00C31EDC">
      <w:pPr>
        <w:pStyle w:val="FootnoteText"/>
        <w:tabs>
          <w:tab w:val="left" w:pos="360"/>
        </w:tabs>
        <w:ind w:left="360" w:hanging="360"/>
        <w:jc w:val="both"/>
        <w:rPr>
          <w:rFonts w:ascii="Times New Roman" w:hAnsi="Times New Roman" w:cs="Times New Roman"/>
          <w:lang w:val="en-IE"/>
        </w:rPr>
      </w:pPr>
      <w:r w:rsidRPr="002E0A22">
        <w:rPr>
          <w:rStyle w:val="FootnoteReference"/>
          <w:rFonts w:ascii="Times New Roman" w:hAnsi="Times New Roman"/>
        </w:rPr>
        <w:footnoteRef/>
      </w:r>
      <w:r w:rsidRPr="002E0A22">
        <w:rPr>
          <w:rFonts w:ascii="Times New Roman" w:hAnsi="Times New Roman" w:cs="Times New Roman"/>
        </w:rPr>
        <w:t xml:space="preserve"> </w:t>
      </w:r>
      <w:r w:rsidR="00C31EDC">
        <w:rPr>
          <w:rFonts w:ascii="Times New Roman" w:hAnsi="Times New Roman" w:cs="Times New Roman"/>
        </w:rPr>
        <w:tab/>
      </w:r>
      <w:r w:rsidR="00C31EDC">
        <w:rPr>
          <w:rFonts w:ascii="Times New Roman" w:hAnsi="Times New Roman" w:cs="Times New Roman"/>
          <w:lang w:val="en-IE"/>
        </w:rPr>
        <w:t xml:space="preserve">Currently, </w:t>
      </w:r>
      <w:r w:rsidRPr="002E0A22">
        <w:rPr>
          <w:rFonts w:ascii="Times New Roman" w:hAnsi="Times New Roman" w:cs="Times New Roman"/>
          <w:lang w:val="en-IE"/>
        </w:rPr>
        <w:t>27 notified bodies are designated under Regulation (EU) 2017/745</w:t>
      </w:r>
      <w:r w:rsidRPr="002E0A22">
        <w:rPr>
          <w:rFonts w:ascii="Times New Roman" w:hAnsi="Times New Roman" w:cs="Times New Roman"/>
        </w:rPr>
        <w:t xml:space="preserve"> (</w:t>
      </w:r>
      <w:hyperlink r:id="rId1" w:history="1">
        <w:r w:rsidRPr="002E0A22">
          <w:rPr>
            <w:rStyle w:val="Hyperlink"/>
            <w:rFonts w:ascii="Times New Roman" w:hAnsi="Times New Roman" w:cs="Times New Roman"/>
          </w:rPr>
          <w:t>EUROPA - European Commission - Growth - Regulatory policy - NANDO</w:t>
        </w:r>
      </w:hyperlink>
      <w:r w:rsidRPr="002E0A22">
        <w:rPr>
          <w:rFonts w:ascii="Times New Roman" w:hAnsi="Times New Roman" w:cs="Times New Roman"/>
          <w:lang w:val="en-IE"/>
        </w:rPr>
        <w:t>) and</w:t>
      </w:r>
      <w:r w:rsidR="00C31EDC">
        <w:rPr>
          <w:rFonts w:ascii="Times New Roman" w:hAnsi="Times New Roman" w:cs="Times New Roman"/>
          <w:lang w:val="en-IE"/>
        </w:rPr>
        <w:t xml:space="preserve"> 6 notified bodies are designated </w:t>
      </w:r>
      <w:r w:rsidRPr="002E0A22">
        <w:rPr>
          <w:rFonts w:ascii="Times New Roman" w:hAnsi="Times New Roman" w:cs="Times New Roman"/>
          <w:lang w:val="en-IE"/>
        </w:rPr>
        <w:t>under Regulation (EU) 2017/746 (</w:t>
      </w:r>
      <w:hyperlink r:id="rId2" w:history="1">
        <w:r w:rsidRPr="002E0A22">
          <w:rPr>
            <w:rStyle w:val="Hyperlink"/>
            <w:rFonts w:ascii="Times New Roman" w:hAnsi="Times New Roman" w:cs="Times New Roman"/>
          </w:rPr>
          <w:t>EUROPA - European Commission - Growth - Regulatory policy - NANDO</w:t>
        </w:r>
      </w:hyperlink>
      <w:r w:rsidRPr="002E0A22">
        <w:rPr>
          <w:rFonts w:ascii="Times New Roman" w:hAnsi="Times New Roman" w:cs="Times New Roman"/>
          <w:lang w:val="en-IE"/>
        </w:rPr>
        <w:t>).</w:t>
      </w:r>
    </w:p>
  </w:footnote>
  <w:footnote w:id="8">
    <w:p w14:paraId="02B7764E" w14:textId="77777777" w:rsidR="001E7A92" w:rsidRPr="00BB3E29" w:rsidRDefault="001E7A92" w:rsidP="00362094">
      <w:pPr>
        <w:pStyle w:val="doc-ti"/>
        <w:shd w:val="clear" w:color="auto" w:fill="FFFFFF"/>
        <w:tabs>
          <w:tab w:val="left" w:pos="360"/>
        </w:tabs>
        <w:spacing w:before="0" w:beforeAutospacing="0" w:after="0" w:afterAutospacing="0"/>
        <w:ind w:left="360" w:hanging="360"/>
        <w:jc w:val="both"/>
        <w:rPr>
          <w:bCs/>
          <w:sz w:val="20"/>
          <w:szCs w:val="20"/>
        </w:rPr>
      </w:pPr>
      <w:r w:rsidRPr="00BB3E29">
        <w:rPr>
          <w:rStyle w:val="FootnoteReference"/>
          <w:sz w:val="20"/>
          <w:szCs w:val="20"/>
        </w:rPr>
        <w:footnoteRef/>
      </w:r>
      <w:r w:rsidRPr="00BB3E29">
        <w:rPr>
          <w:sz w:val="20"/>
          <w:szCs w:val="20"/>
        </w:rPr>
        <w:t xml:space="preserve"> </w:t>
      </w:r>
      <w:r w:rsidR="00362094">
        <w:rPr>
          <w:sz w:val="20"/>
          <w:szCs w:val="20"/>
        </w:rPr>
        <w:tab/>
      </w:r>
      <w:r w:rsidRPr="00BB3E29">
        <w:rPr>
          <w:noProof/>
          <w:sz w:val="20"/>
          <w:szCs w:val="20"/>
          <w:lang w:val="en-US"/>
        </w:rPr>
        <w:t xml:space="preserve">Commission Implementing Decision (EU) 2019/1396 </w:t>
      </w:r>
      <w:r w:rsidRPr="00BB3E29">
        <w:rPr>
          <w:bCs/>
          <w:sz w:val="20"/>
          <w:szCs w:val="20"/>
        </w:rPr>
        <w:t>of 10 September 2019 laying down the rules for the application of Regulation (EU) 2017/745 of the European Parliament and of the Council as regards the designation of expert panels in the field of medical devices, OJ L 234, 11.9.2019, p. 23.</w:t>
      </w:r>
    </w:p>
    <w:p w14:paraId="534230E1" w14:textId="77777777" w:rsidR="001E7A92" w:rsidRPr="006C3E55" w:rsidRDefault="001E7A92" w:rsidP="00362094">
      <w:pPr>
        <w:pStyle w:val="FootnoteText"/>
        <w:tabs>
          <w:tab w:val="left" w:pos="360"/>
        </w:tabs>
        <w:ind w:left="360" w:hanging="36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5D78C" w14:textId="77777777" w:rsidR="009E21B3" w:rsidRPr="009E21B3" w:rsidRDefault="009E21B3" w:rsidP="009E2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007AF" w14:textId="77777777" w:rsidR="009E21B3" w:rsidRPr="009E21B3" w:rsidRDefault="009E21B3" w:rsidP="009E21B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D3B4D" w14:textId="77777777" w:rsidR="009E21B3" w:rsidRPr="009E21B3" w:rsidRDefault="009E21B3" w:rsidP="009E21B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9E050" w14:textId="77777777" w:rsidR="007518AB" w:rsidRDefault="007518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F6BE9" w14:textId="77777777" w:rsidR="007518AB" w:rsidRDefault="007518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5DF12" w14:textId="77777777" w:rsidR="007518AB" w:rsidRDefault="00751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03E50"/>
    <w:multiLevelType w:val="hybridMultilevel"/>
    <w:tmpl w:val="A618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F0232B"/>
    <w:multiLevelType w:val="hybridMultilevel"/>
    <w:tmpl w:val="524E0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953596ED-2D4D-4188-A161-E2536D6CC321"/>
    <w:docVar w:name="LW_COVERPAGE_TYPE" w:val="1"/>
    <w:docVar w:name="LW_CROSSREFERENCE" w:val="&lt;UNUSED&gt;"/>
    <w:docVar w:name="LW_DocType" w:val="NORMAL"/>
    <w:docVar w:name="LW_EMISSION" w:val="26.4.2022"/>
    <w:docVar w:name="LW_EMISSION_ISODATE" w:val="2022-04-26"/>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2) 1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n the exercise of the power to adopt delegated acts conferred on the Commission pursuant to Regulation (EU) 2017/745 on medical devices and Regulation (EU)&lt;/FMT&gt; &lt;FMT:Bold&gt;2017/746 on &lt;/FMT&gt;&lt;FMT:Bold,Italic&gt;in vitro&lt;/FMT&gt;&lt;FMT:Italic&gt; &lt;/FMT&gt;&lt;FMT:Bold&gt;diagnostic medical devices&lt;/FMT&gt;"/>
    <w:docVar w:name="LW_TYPE.DOC.CP" w:val="REPORT FROM THE COMMISSION TO THE EUROPEAN PARLIAMENT AND THE COUNCIL"/>
    <w:docVar w:name="LwApiVersions" w:val="LW4CoDe 1.23.2.0; LW 8.0, Build 20211117"/>
  </w:docVars>
  <w:rsids>
    <w:rsidRoot w:val="007518AB"/>
    <w:rsid w:val="0001631A"/>
    <w:rsid w:val="000F6FA6"/>
    <w:rsid w:val="00135FAB"/>
    <w:rsid w:val="00156742"/>
    <w:rsid w:val="00176E5D"/>
    <w:rsid w:val="001801D0"/>
    <w:rsid w:val="001E7A92"/>
    <w:rsid w:val="00215A1B"/>
    <w:rsid w:val="0029713D"/>
    <w:rsid w:val="002C0078"/>
    <w:rsid w:val="0030469E"/>
    <w:rsid w:val="003267BF"/>
    <w:rsid w:val="003567D1"/>
    <w:rsid w:val="00362094"/>
    <w:rsid w:val="003E483D"/>
    <w:rsid w:val="003F1EC5"/>
    <w:rsid w:val="00407CB4"/>
    <w:rsid w:val="00442C76"/>
    <w:rsid w:val="004D24FE"/>
    <w:rsid w:val="004E7F7D"/>
    <w:rsid w:val="004F1D5D"/>
    <w:rsid w:val="0055004A"/>
    <w:rsid w:val="00587941"/>
    <w:rsid w:val="005A788F"/>
    <w:rsid w:val="006427F8"/>
    <w:rsid w:val="00664859"/>
    <w:rsid w:val="007205DB"/>
    <w:rsid w:val="007229E7"/>
    <w:rsid w:val="007518AB"/>
    <w:rsid w:val="00765C5F"/>
    <w:rsid w:val="0080185F"/>
    <w:rsid w:val="00814821"/>
    <w:rsid w:val="00814C8F"/>
    <w:rsid w:val="008416CF"/>
    <w:rsid w:val="008452FD"/>
    <w:rsid w:val="008879CA"/>
    <w:rsid w:val="00942277"/>
    <w:rsid w:val="00963097"/>
    <w:rsid w:val="009749D6"/>
    <w:rsid w:val="009C51DC"/>
    <w:rsid w:val="009E21B3"/>
    <w:rsid w:val="009F43FF"/>
    <w:rsid w:val="00A04E0F"/>
    <w:rsid w:val="00A259B1"/>
    <w:rsid w:val="00A71C16"/>
    <w:rsid w:val="00AB27B9"/>
    <w:rsid w:val="00AB7306"/>
    <w:rsid w:val="00AF176F"/>
    <w:rsid w:val="00B14330"/>
    <w:rsid w:val="00B166AE"/>
    <w:rsid w:val="00B557BC"/>
    <w:rsid w:val="00B842BC"/>
    <w:rsid w:val="00C31EDC"/>
    <w:rsid w:val="00C57190"/>
    <w:rsid w:val="00CB0928"/>
    <w:rsid w:val="00CB4A4D"/>
    <w:rsid w:val="00CB72CF"/>
    <w:rsid w:val="00CD75AB"/>
    <w:rsid w:val="00D429E6"/>
    <w:rsid w:val="00DD1A01"/>
    <w:rsid w:val="00E15E75"/>
    <w:rsid w:val="00E30F70"/>
    <w:rsid w:val="00E45CD2"/>
    <w:rsid w:val="00EA5F45"/>
    <w:rsid w:val="00EA7425"/>
    <w:rsid w:val="00ED22B8"/>
    <w:rsid w:val="00F409CF"/>
    <w:rsid w:val="00F4573A"/>
    <w:rsid w:val="00F50F5E"/>
    <w:rsid w:val="00F94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A883A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7518AB"/>
    <w:rPr>
      <w:color w:val="0000FF"/>
      <w:shd w:val="clear" w:color="auto" w:fill="auto"/>
    </w:rPr>
  </w:style>
  <w:style w:type="paragraph" w:customStyle="1" w:styleId="Pagedecouverture">
    <w:name w:val="Page de couverture"/>
    <w:basedOn w:val="Normal"/>
    <w:next w:val="Normal"/>
    <w:rsid w:val="007518AB"/>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7518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8AB"/>
  </w:style>
  <w:style w:type="paragraph" w:styleId="Footer">
    <w:name w:val="footer"/>
    <w:basedOn w:val="Normal"/>
    <w:link w:val="FooterChar"/>
    <w:uiPriority w:val="99"/>
    <w:unhideWhenUsed/>
    <w:rsid w:val="007518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8AB"/>
  </w:style>
  <w:style w:type="paragraph" w:customStyle="1" w:styleId="FooterCoverPage">
    <w:name w:val="Footer Cover Page"/>
    <w:basedOn w:val="Normal"/>
    <w:link w:val="FooterCoverPageChar"/>
    <w:rsid w:val="007518A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7518AB"/>
    <w:rPr>
      <w:rFonts w:ascii="Times New Roman" w:hAnsi="Times New Roman" w:cs="Times New Roman"/>
      <w:sz w:val="24"/>
    </w:rPr>
  </w:style>
  <w:style w:type="paragraph" w:customStyle="1" w:styleId="FooterSensitivity">
    <w:name w:val="Footer Sensitivity"/>
    <w:basedOn w:val="Normal"/>
    <w:link w:val="FooterSensitivityChar"/>
    <w:rsid w:val="007518A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7518AB"/>
    <w:rPr>
      <w:rFonts w:ascii="Times New Roman" w:hAnsi="Times New Roman" w:cs="Times New Roman"/>
      <w:b/>
      <w:sz w:val="32"/>
    </w:rPr>
  </w:style>
  <w:style w:type="paragraph" w:customStyle="1" w:styleId="HeaderCoverPage">
    <w:name w:val="Header Cover Page"/>
    <w:basedOn w:val="Normal"/>
    <w:link w:val="HeaderCoverPageChar"/>
    <w:rsid w:val="007518A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7518AB"/>
    <w:rPr>
      <w:rFonts w:ascii="Times New Roman" w:hAnsi="Times New Roman" w:cs="Times New Roman"/>
      <w:sz w:val="24"/>
    </w:rPr>
  </w:style>
  <w:style w:type="paragraph" w:customStyle="1" w:styleId="HeaderSensitivity">
    <w:name w:val="Header Sensitivity"/>
    <w:basedOn w:val="Normal"/>
    <w:link w:val="HeaderSensitivityChar"/>
    <w:rsid w:val="007518A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7518AB"/>
    <w:rPr>
      <w:rFonts w:ascii="Times New Roman" w:hAnsi="Times New Roman" w:cs="Times New Roman"/>
      <w:b/>
      <w:sz w:val="32"/>
    </w:rPr>
  </w:style>
  <w:style w:type="paragraph" w:customStyle="1" w:styleId="HeaderSensitivityRight">
    <w:name w:val="Header Sensitivity Right"/>
    <w:basedOn w:val="Normal"/>
    <w:link w:val="HeaderSensitivityRightChar"/>
    <w:rsid w:val="0029713D"/>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7518AB"/>
    <w:rPr>
      <w:rFonts w:ascii="Times New Roman" w:hAnsi="Times New Roman" w:cs="Times New Roman"/>
      <w:sz w:val="28"/>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uiPriority w:val="99"/>
    <w:semiHidden/>
    <w:rsid w:val="001E7A92"/>
    <w:rPr>
      <w:rFonts w:cs="Times New Roman"/>
      <w:vertAlign w:val="superscript"/>
    </w:rPr>
  </w:style>
  <w:style w:type="paragraph" w:styleId="FootnoteText">
    <w:name w:val="footnote text"/>
    <w:basedOn w:val="Normal"/>
    <w:link w:val="FootnoteTextChar"/>
    <w:uiPriority w:val="99"/>
    <w:semiHidden/>
    <w:unhideWhenUsed/>
    <w:rsid w:val="001E7A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7A92"/>
    <w:rPr>
      <w:sz w:val="20"/>
      <w:szCs w:val="20"/>
    </w:rPr>
  </w:style>
  <w:style w:type="character" w:styleId="Hyperlink">
    <w:name w:val="Hyperlink"/>
    <w:basedOn w:val="DefaultParagraphFont"/>
    <w:uiPriority w:val="99"/>
    <w:unhideWhenUsed/>
    <w:rsid w:val="001E7A92"/>
    <w:rPr>
      <w:color w:val="0000FF"/>
      <w:u w:val="single"/>
    </w:rPr>
  </w:style>
  <w:style w:type="paragraph" w:customStyle="1" w:styleId="doc-ti">
    <w:name w:val="doc-ti"/>
    <w:basedOn w:val="Normal"/>
    <w:rsid w:val="001E7A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E7A92"/>
    <w:pPr>
      <w:ind w:left="720"/>
      <w:contextualSpacing/>
    </w:pPr>
  </w:style>
  <w:style w:type="character" w:styleId="CommentReference">
    <w:name w:val="annotation reference"/>
    <w:basedOn w:val="DefaultParagraphFont"/>
    <w:uiPriority w:val="99"/>
    <w:semiHidden/>
    <w:unhideWhenUsed/>
    <w:rsid w:val="00664859"/>
    <w:rPr>
      <w:sz w:val="16"/>
      <w:szCs w:val="16"/>
    </w:rPr>
  </w:style>
  <w:style w:type="paragraph" w:styleId="CommentText">
    <w:name w:val="annotation text"/>
    <w:basedOn w:val="Normal"/>
    <w:link w:val="CommentTextChar"/>
    <w:uiPriority w:val="99"/>
    <w:semiHidden/>
    <w:unhideWhenUsed/>
    <w:rsid w:val="00664859"/>
    <w:pPr>
      <w:spacing w:line="240" w:lineRule="auto"/>
    </w:pPr>
    <w:rPr>
      <w:sz w:val="20"/>
      <w:szCs w:val="20"/>
    </w:rPr>
  </w:style>
  <w:style w:type="character" w:customStyle="1" w:styleId="CommentTextChar">
    <w:name w:val="Comment Text Char"/>
    <w:basedOn w:val="DefaultParagraphFont"/>
    <w:link w:val="CommentText"/>
    <w:uiPriority w:val="99"/>
    <w:semiHidden/>
    <w:rsid w:val="00664859"/>
    <w:rPr>
      <w:sz w:val="20"/>
      <w:szCs w:val="20"/>
    </w:rPr>
  </w:style>
  <w:style w:type="paragraph" w:styleId="CommentSubject">
    <w:name w:val="annotation subject"/>
    <w:basedOn w:val="CommentText"/>
    <w:next w:val="CommentText"/>
    <w:link w:val="CommentSubjectChar"/>
    <w:uiPriority w:val="99"/>
    <w:semiHidden/>
    <w:unhideWhenUsed/>
    <w:rsid w:val="00664859"/>
    <w:rPr>
      <w:b/>
      <w:bCs/>
    </w:rPr>
  </w:style>
  <w:style w:type="character" w:customStyle="1" w:styleId="CommentSubjectChar">
    <w:name w:val="Comment Subject Char"/>
    <w:basedOn w:val="CommentTextChar"/>
    <w:link w:val="CommentSubject"/>
    <w:uiPriority w:val="99"/>
    <w:semiHidden/>
    <w:rsid w:val="00664859"/>
    <w:rPr>
      <w:b/>
      <w:bCs/>
      <w:sz w:val="20"/>
      <w:szCs w:val="20"/>
    </w:rPr>
  </w:style>
  <w:style w:type="paragraph" w:styleId="Revision">
    <w:name w:val="Revision"/>
    <w:hidden/>
    <w:uiPriority w:val="99"/>
    <w:semiHidden/>
    <w:rsid w:val="00664859"/>
    <w:pPr>
      <w:spacing w:after="0" w:line="240" w:lineRule="auto"/>
    </w:pPr>
  </w:style>
  <w:style w:type="paragraph" w:styleId="BalloonText">
    <w:name w:val="Balloon Text"/>
    <w:basedOn w:val="Normal"/>
    <w:link w:val="BalloonTextChar"/>
    <w:uiPriority w:val="99"/>
    <w:semiHidden/>
    <w:unhideWhenUsed/>
    <w:rsid w:val="006648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859"/>
    <w:rPr>
      <w:rFonts w:ascii="Segoe UI" w:hAnsi="Segoe UI" w:cs="Segoe UI"/>
      <w:sz w:val="18"/>
      <w:szCs w:val="18"/>
    </w:rPr>
  </w:style>
  <w:style w:type="paragraph" w:customStyle="1" w:styleId="Disclaimer">
    <w:name w:val="Disclaimer"/>
    <w:basedOn w:val="Normal"/>
    <w:rsid w:val="0029713D"/>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29713D"/>
    <w:pPr>
      <w:spacing w:after="0" w:line="276" w:lineRule="auto"/>
      <w:ind w:left="5103"/>
    </w:pPr>
    <w:rPr>
      <w:rFonts w:ascii="Times New Roman" w:hAnsi="Times New Roman" w:cs="Times New Roman"/>
      <w:sz w:val="28"/>
    </w:rPr>
  </w:style>
  <w:style w:type="paragraph" w:customStyle="1" w:styleId="DateMarking">
    <w:name w:val="DateMarking"/>
    <w:basedOn w:val="Normal"/>
    <w:rsid w:val="0029713D"/>
    <w:pPr>
      <w:spacing w:after="0" w:line="276" w:lineRule="auto"/>
      <w:ind w:left="5103"/>
    </w:pPr>
    <w:rPr>
      <w:rFonts w:ascii="Times New Roman" w:hAnsi="Times New Roman" w:cs="Times New Roman"/>
      <w:i/>
      <w:sz w:val="28"/>
    </w:rPr>
  </w:style>
  <w:style w:type="paragraph" w:customStyle="1" w:styleId="ReleasableTo">
    <w:name w:val="ReleasableTo"/>
    <w:basedOn w:val="Normal"/>
    <w:rsid w:val="0029713D"/>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growth/tools-databases/nando/index.cfm?fuseaction=directive.notifiedbody&amp;dir_id=35" TargetMode="External"/><Relationship Id="rId1" Type="http://schemas.openxmlformats.org/officeDocument/2006/relationships/hyperlink" Target="https://ec.europa.eu/growth/tools-databases/nando/index.cfm?fuseaction=directive.notifiedbody&amp;dir_id=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231A9-A7EB-44CC-AA26-658E06DBE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1843</Words>
  <Characters>10159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2022-03-24T14:46:00Z</dcterms:created>
  <dcterms:modified xsi:type="dcterms:W3CDTF">2022-04-24T15:58:00Z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8.0, Build 20220128</vt:lpwstr>
  </property>
</Properties>
</file>