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7987" w14:textId="1D17DACD" w:rsidR="00F739D5" w:rsidRPr="00D43058" w:rsidRDefault="00C86D53" w:rsidP="00C86D53">
      <w:pPr>
        <w:pStyle w:val="Pagedecouverture"/>
        <w:rPr>
          <w:noProof/>
        </w:rPr>
      </w:pPr>
      <w:r>
        <w:rPr>
          <w:noProof/>
        </w:rPr>
        <w:pict w14:anchorId="7D28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91945B1-77E0-427A-8172-79F2C71719F3" style="width:455.25pt;height:410.25pt">
            <v:imagedata r:id="rId11" o:title=""/>
          </v:shape>
        </w:pict>
      </w:r>
    </w:p>
    <w:p w14:paraId="6D8D2A2C" w14:textId="77777777" w:rsidR="00F739D5" w:rsidRPr="00D43058" w:rsidRDefault="00F739D5" w:rsidP="00F739D5">
      <w:pPr>
        <w:rPr>
          <w:noProof/>
        </w:rPr>
        <w:sectPr w:rsidR="00F739D5" w:rsidRPr="00D43058" w:rsidSect="00C86D53">
          <w:footerReference w:type="default" r:id="rId12"/>
          <w:pgSz w:w="11907" w:h="16839"/>
          <w:pgMar w:top="1134" w:right="1417" w:bottom="1134" w:left="1417" w:header="709" w:footer="709" w:gutter="0"/>
          <w:pgNumType w:start="0"/>
          <w:cols w:space="720"/>
          <w:docGrid w:linePitch="360"/>
        </w:sectPr>
      </w:pPr>
    </w:p>
    <w:p w14:paraId="5B97DD08" w14:textId="77777777" w:rsidR="00F739D5" w:rsidRPr="00D43058" w:rsidRDefault="00F739D5" w:rsidP="0053361B">
      <w:pPr>
        <w:pStyle w:val="Exposdesmotifstitre"/>
        <w:spacing w:before="0" w:after="240"/>
        <w:rPr>
          <w:noProof/>
        </w:rPr>
      </w:pPr>
      <w:bookmarkStart w:id="0" w:name="_GoBack"/>
      <w:bookmarkEnd w:id="0"/>
      <w:r w:rsidRPr="00D43058">
        <w:rPr>
          <w:noProof/>
        </w:rPr>
        <w:lastRenderedPageBreak/>
        <w:t>EXPLANATORY MEMORANDUM</w:t>
      </w:r>
    </w:p>
    <w:p w14:paraId="6C077044" w14:textId="77777777" w:rsidR="00F739D5" w:rsidRPr="00D43058" w:rsidRDefault="00F739D5" w:rsidP="0053361B">
      <w:pPr>
        <w:pStyle w:val="ManualHeading1"/>
        <w:spacing w:before="0" w:after="240"/>
        <w:rPr>
          <w:noProof/>
        </w:rPr>
      </w:pPr>
      <w:r w:rsidRPr="00D43058">
        <w:rPr>
          <w:noProof/>
        </w:rPr>
        <w:t>1.</w:t>
      </w:r>
      <w:r w:rsidRPr="00D43058">
        <w:rPr>
          <w:noProof/>
        </w:rPr>
        <w:tab/>
        <w:t>CONTEXT OF THE PROPOSAL</w:t>
      </w:r>
    </w:p>
    <w:p w14:paraId="746AE446" w14:textId="77777777" w:rsidR="00F739D5" w:rsidRPr="00D43058" w:rsidRDefault="00F739D5" w:rsidP="0053361B">
      <w:pPr>
        <w:pStyle w:val="ManualHeading2"/>
        <w:spacing w:before="0" w:after="240"/>
        <w:rPr>
          <w:rFonts w:eastAsia="Arial Unicode MS"/>
          <w:noProof/>
        </w:rPr>
      </w:pPr>
      <w:r w:rsidRPr="00D43058">
        <w:rPr>
          <w:rFonts w:eastAsia="Arial Unicode MS"/>
          <w:noProof/>
          <w:color w:val="000000"/>
          <w:u w:color="000000"/>
          <w:bdr w:val="nil"/>
          <w:lang w:val="en-US" w:eastAsia="en-GB"/>
        </w:rPr>
        <w:t>•</w:t>
      </w:r>
      <w:r w:rsidRPr="00D43058">
        <w:rPr>
          <w:rFonts w:eastAsia="Arial Unicode MS"/>
          <w:noProof/>
          <w:color w:val="000000"/>
          <w:u w:color="000000"/>
          <w:bdr w:val="nil"/>
          <w:lang w:val="en-US" w:eastAsia="en-GB"/>
        </w:rPr>
        <w:tab/>
      </w:r>
      <w:r w:rsidRPr="00D43058">
        <w:rPr>
          <w:rFonts w:eastAsia="Arial Unicode MS"/>
          <w:noProof/>
        </w:rPr>
        <w:t>Reasons for and objectives of the proposal</w:t>
      </w:r>
    </w:p>
    <w:p w14:paraId="43C45022" w14:textId="4791FE33" w:rsidR="007151B6" w:rsidRDefault="007151B6" w:rsidP="00204F87">
      <w:pPr>
        <w:spacing w:before="0" w:after="240"/>
        <w:rPr>
          <w:noProof/>
          <w:szCs w:val="24"/>
        </w:rPr>
      </w:pPr>
      <w:r w:rsidRPr="00D43058">
        <w:rPr>
          <w:noProof/>
          <w:szCs w:val="24"/>
        </w:rPr>
        <w:t xml:space="preserve">In the context of the strengthening of overall relations between the EU and the Gulf, </w:t>
      </w:r>
      <w:r w:rsidRPr="00D43058">
        <w:rPr>
          <w:noProof/>
        </w:rPr>
        <w:t xml:space="preserve">the EU should pursue a more strategic orientation </w:t>
      </w:r>
      <w:r w:rsidR="00F9404C" w:rsidRPr="00D43058">
        <w:rPr>
          <w:noProof/>
        </w:rPr>
        <w:t xml:space="preserve">with this region </w:t>
      </w:r>
      <w:r w:rsidRPr="00D43058">
        <w:rPr>
          <w:noProof/>
        </w:rPr>
        <w:t xml:space="preserve">by developing a stronger, comprehensive and multi-sector partnership. </w:t>
      </w:r>
      <w:r w:rsidRPr="00D43058">
        <w:rPr>
          <w:noProof/>
          <w:szCs w:val="24"/>
        </w:rPr>
        <w:t xml:space="preserve"> Visa-free status plays a key role in promoting the partnership between both regions by facilitating people-to-people contacts and strengthening the already dense political, economic, research, educational, cultural and societal exchanges.</w:t>
      </w:r>
      <w:r w:rsidR="00382F40">
        <w:rPr>
          <w:noProof/>
          <w:szCs w:val="24"/>
        </w:rPr>
        <w:t xml:space="preserve"> In view of this, the</w:t>
      </w:r>
      <w:r w:rsidR="00382F40" w:rsidRPr="00D43058">
        <w:rPr>
          <w:noProof/>
          <w:szCs w:val="24"/>
        </w:rPr>
        <w:t xml:space="preserve"> EU will continue engaging </w:t>
      </w:r>
      <w:r w:rsidR="00382F40" w:rsidRPr="00D43058">
        <w:rPr>
          <w:noProof/>
          <w:lang w:val="en-US"/>
        </w:rPr>
        <w:t>with the Gulf countries that are interested in visa-free travel to the EU</w:t>
      </w:r>
      <w:r w:rsidR="00382F40" w:rsidRPr="00D43058">
        <w:rPr>
          <w:noProof/>
          <w:szCs w:val="24"/>
        </w:rPr>
        <w:t xml:space="preserve">, </w:t>
      </w:r>
      <w:r w:rsidR="00382F40">
        <w:rPr>
          <w:noProof/>
          <w:lang w:val="en-US"/>
        </w:rPr>
        <w:t>in view of reaching full regional coherence in</w:t>
      </w:r>
      <w:r w:rsidR="00382F40" w:rsidRPr="00D43058">
        <w:rPr>
          <w:noProof/>
          <w:lang w:val="en-US"/>
        </w:rPr>
        <w:t xml:space="preserve"> the </w:t>
      </w:r>
      <w:r w:rsidR="00382F40">
        <w:rPr>
          <w:noProof/>
          <w:lang w:val="en-US"/>
        </w:rPr>
        <w:t xml:space="preserve">future based on the criteria and the </w:t>
      </w:r>
      <w:r w:rsidR="00382F40" w:rsidRPr="005957CE">
        <w:rPr>
          <w:noProof/>
          <w:lang w:val="en-US"/>
        </w:rPr>
        <w:t xml:space="preserve">procedure established in </w:t>
      </w:r>
      <w:r w:rsidR="00382F40" w:rsidRPr="005957CE">
        <w:rPr>
          <w:rFonts w:eastAsia="Calibri"/>
          <w:noProof/>
          <w:lang w:eastAsia="en-GB"/>
        </w:rPr>
        <w:t>Regulation (EU) 2018/1806</w:t>
      </w:r>
      <w:r w:rsidR="00382F40" w:rsidRPr="00AC6118">
        <w:rPr>
          <w:rStyle w:val="FootnoteReference"/>
          <w:noProof/>
        </w:rPr>
        <w:footnoteReference w:id="1"/>
      </w:r>
      <w:r w:rsidR="00382F40">
        <w:rPr>
          <w:rFonts w:eastAsia="Calibri"/>
          <w:noProof/>
          <w:lang w:eastAsia="en-GB"/>
        </w:rPr>
        <w:t>. In light of the procedural steps taken thus far and a first assessment made, the presently proposed</w:t>
      </w:r>
      <w:r w:rsidRPr="00D43058">
        <w:rPr>
          <w:noProof/>
          <w:szCs w:val="24"/>
        </w:rPr>
        <w:t xml:space="preserve"> </w:t>
      </w:r>
      <w:r w:rsidR="00382F40">
        <w:rPr>
          <w:noProof/>
          <w:szCs w:val="24"/>
        </w:rPr>
        <w:t>e</w:t>
      </w:r>
      <w:r>
        <w:rPr>
          <w:noProof/>
          <w:szCs w:val="24"/>
        </w:rPr>
        <w:t xml:space="preserve">xemptions from the visa requirement </w:t>
      </w:r>
      <w:r w:rsidRPr="00D43058">
        <w:rPr>
          <w:noProof/>
          <w:szCs w:val="24"/>
        </w:rPr>
        <w:t xml:space="preserve">for </w:t>
      </w:r>
      <w:r>
        <w:rPr>
          <w:noProof/>
          <w:szCs w:val="24"/>
        </w:rPr>
        <w:t xml:space="preserve">nationals of </w:t>
      </w:r>
      <w:r w:rsidR="00034F27">
        <w:rPr>
          <w:noProof/>
          <w:szCs w:val="24"/>
        </w:rPr>
        <w:t>Kuwait and Qatar</w:t>
      </w:r>
      <w:r w:rsidRPr="00D43058">
        <w:rPr>
          <w:noProof/>
          <w:szCs w:val="24"/>
        </w:rPr>
        <w:t xml:space="preserve"> </w:t>
      </w:r>
      <w:r>
        <w:rPr>
          <w:noProof/>
          <w:szCs w:val="24"/>
        </w:rPr>
        <w:t>are</w:t>
      </w:r>
      <w:r w:rsidRPr="00D43058">
        <w:rPr>
          <w:noProof/>
          <w:szCs w:val="24"/>
        </w:rPr>
        <w:t xml:space="preserve"> a step towards stronger regional coherence </w:t>
      </w:r>
      <w:r>
        <w:rPr>
          <w:noProof/>
          <w:szCs w:val="24"/>
        </w:rPr>
        <w:t>in</w:t>
      </w:r>
      <w:r w:rsidRPr="00D43058">
        <w:rPr>
          <w:noProof/>
          <w:szCs w:val="24"/>
        </w:rPr>
        <w:t xml:space="preserve"> the Gulf region, following the visa exemption granted to the United Arab Emirates in 2014</w:t>
      </w:r>
      <w:r>
        <w:rPr>
          <w:noProof/>
          <w:szCs w:val="24"/>
        </w:rPr>
        <w:t xml:space="preserve"> which has facilitated contacts with this country</w:t>
      </w:r>
      <w:r w:rsidRPr="00D43058">
        <w:rPr>
          <w:noProof/>
          <w:szCs w:val="24"/>
        </w:rPr>
        <w:t xml:space="preserve">. </w:t>
      </w:r>
    </w:p>
    <w:p w14:paraId="5D43082F" w14:textId="77777777" w:rsidR="0024017E" w:rsidRPr="00D43058" w:rsidRDefault="00F37F80" w:rsidP="00204F87">
      <w:pPr>
        <w:spacing w:before="0" w:after="240"/>
        <w:rPr>
          <w:noProof/>
          <w:szCs w:val="24"/>
        </w:rPr>
      </w:pPr>
      <w:r w:rsidRPr="00D43058">
        <w:rPr>
          <w:noProof/>
          <w:szCs w:val="24"/>
        </w:rPr>
        <w:t xml:space="preserve">Both </w:t>
      </w:r>
      <w:r w:rsidR="00034F27">
        <w:rPr>
          <w:noProof/>
          <w:szCs w:val="24"/>
        </w:rPr>
        <w:t>Kuwait and Qatar</w:t>
      </w:r>
      <w:r w:rsidR="00034F27" w:rsidRPr="00D43058">
        <w:rPr>
          <w:noProof/>
          <w:szCs w:val="24"/>
        </w:rPr>
        <w:t xml:space="preserve"> </w:t>
      </w:r>
      <w:r w:rsidR="00B5767F" w:rsidRPr="00D43058">
        <w:rPr>
          <w:noProof/>
          <w:szCs w:val="24"/>
        </w:rPr>
        <w:t xml:space="preserve">have </w:t>
      </w:r>
      <w:r w:rsidR="007752B7" w:rsidRPr="00D43058">
        <w:rPr>
          <w:noProof/>
          <w:szCs w:val="24"/>
        </w:rPr>
        <w:t>prove</w:t>
      </w:r>
      <w:r w:rsidR="00620237" w:rsidRPr="00D43058">
        <w:rPr>
          <w:noProof/>
          <w:szCs w:val="24"/>
        </w:rPr>
        <w:t>n</w:t>
      </w:r>
      <w:r w:rsidR="007752B7" w:rsidRPr="00D43058">
        <w:rPr>
          <w:noProof/>
          <w:szCs w:val="24"/>
        </w:rPr>
        <w:t xml:space="preserve"> to be </w:t>
      </w:r>
      <w:r w:rsidR="00F81D00" w:rsidRPr="00D43058">
        <w:rPr>
          <w:noProof/>
          <w:szCs w:val="24"/>
        </w:rPr>
        <w:t>key</w:t>
      </w:r>
      <w:r w:rsidR="007752B7" w:rsidRPr="00D43058">
        <w:rPr>
          <w:noProof/>
          <w:szCs w:val="24"/>
        </w:rPr>
        <w:t xml:space="preserve"> partners</w:t>
      </w:r>
      <w:r w:rsidR="0024017E" w:rsidRPr="00D43058">
        <w:rPr>
          <w:noProof/>
          <w:szCs w:val="24"/>
        </w:rPr>
        <w:t xml:space="preserve"> for the EU</w:t>
      </w:r>
      <w:r w:rsidR="007752B7" w:rsidRPr="00D43058">
        <w:rPr>
          <w:noProof/>
          <w:szCs w:val="24"/>
        </w:rPr>
        <w:t xml:space="preserve"> in handling recent cris</w:t>
      </w:r>
      <w:r w:rsidR="0024017E" w:rsidRPr="00D43058">
        <w:rPr>
          <w:noProof/>
          <w:szCs w:val="24"/>
        </w:rPr>
        <w:t>e</w:t>
      </w:r>
      <w:r w:rsidR="007752B7" w:rsidRPr="00D43058">
        <w:rPr>
          <w:noProof/>
          <w:szCs w:val="24"/>
        </w:rPr>
        <w:t>s</w:t>
      </w:r>
      <w:r w:rsidR="0024017E" w:rsidRPr="00D43058">
        <w:rPr>
          <w:noProof/>
          <w:szCs w:val="24"/>
        </w:rPr>
        <w:t xml:space="preserve">. Notable examples of </w:t>
      </w:r>
      <w:r w:rsidR="0056053F" w:rsidRPr="00D43058">
        <w:rPr>
          <w:noProof/>
          <w:szCs w:val="24"/>
        </w:rPr>
        <w:t xml:space="preserve">recent </w:t>
      </w:r>
      <w:r w:rsidR="0024017E" w:rsidRPr="00D43058">
        <w:rPr>
          <w:noProof/>
          <w:szCs w:val="24"/>
        </w:rPr>
        <w:t xml:space="preserve">cooperation include the repatriation </w:t>
      </w:r>
      <w:r w:rsidR="00890F1B">
        <w:rPr>
          <w:noProof/>
          <w:szCs w:val="24"/>
        </w:rPr>
        <w:t xml:space="preserve">of EU citizens </w:t>
      </w:r>
      <w:r w:rsidR="0024017E" w:rsidRPr="00D43058">
        <w:rPr>
          <w:noProof/>
          <w:szCs w:val="24"/>
        </w:rPr>
        <w:t>and vaccination efforts in the context of the C</w:t>
      </w:r>
      <w:r w:rsidR="00707446" w:rsidRPr="00D43058">
        <w:rPr>
          <w:noProof/>
          <w:szCs w:val="24"/>
        </w:rPr>
        <w:t>OVID</w:t>
      </w:r>
      <w:r w:rsidR="0024017E" w:rsidRPr="00D43058">
        <w:rPr>
          <w:noProof/>
          <w:szCs w:val="24"/>
        </w:rPr>
        <w:t>-</w:t>
      </w:r>
      <w:r w:rsidR="007752B7" w:rsidRPr="00D43058">
        <w:rPr>
          <w:noProof/>
          <w:szCs w:val="24"/>
        </w:rPr>
        <w:t>19 pandemic</w:t>
      </w:r>
      <w:r w:rsidR="0024017E" w:rsidRPr="00D43058">
        <w:rPr>
          <w:noProof/>
          <w:szCs w:val="24"/>
        </w:rPr>
        <w:t xml:space="preserve">, the evacuation of EU nationals via Doha following the </w:t>
      </w:r>
      <w:r w:rsidR="003A051F" w:rsidRPr="00D43058">
        <w:rPr>
          <w:noProof/>
          <w:szCs w:val="24"/>
        </w:rPr>
        <w:t>Taliban</w:t>
      </w:r>
      <w:r w:rsidR="007E72F8" w:rsidRPr="00D43058">
        <w:rPr>
          <w:noProof/>
          <w:szCs w:val="24"/>
        </w:rPr>
        <w:t>’s</w:t>
      </w:r>
      <w:r w:rsidR="003A051F" w:rsidRPr="00D43058">
        <w:rPr>
          <w:noProof/>
          <w:szCs w:val="24"/>
        </w:rPr>
        <w:t xml:space="preserve"> take-over of the government in </w:t>
      </w:r>
      <w:r w:rsidR="007752B7" w:rsidRPr="00D43058">
        <w:rPr>
          <w:noProof/>
          <w:szCs w:val="24"/>
        </w:rPr>
        <w:t>Afghanistan</w:t>
      </w:r>
      <w:r w:rsidR="0024017E" w:rsidRPr="00D43058">
        <w:rPr>
          <w:noProof/>
          <w:szCs w:val="24"/>
        </w:rPr>
        <w:t xml:space="preserve">, </w:t>
      </w:r>
      <w:r w:rsidRPr="00D43058">
        <w:rPr>
          <w:noProof/>
          <w:szCs w:val="24"/>
        </w:rPr>
        <w:t xml:space="preserve">the </w:t>
      </w:r>
      <w:r w:rsidR="00653F43" w:rsidRPr="00D43058">
        <w:rPr>
          <w:noProof/>
          <w:szCs w:val="24"/>
        </w:rPr>
        <w:t xml:space="preserve">financial </w:t>
      </w:r>
      <w:r w:rsidRPr="00D43058">
        <w:rPr>
          <w:noProof/>
          <w:szCs w:val="24"/>
        </w:rPr>
        <w:t xml:space="preserve">support </w:t>
      </w:r>
      <w:r w:rsidR="002D1B94" w:rsidRPr="00D43058">
        <w:rPr>
          <w:noProof/>
          <w:szCs w:val="24"/>
        </w:rPr>
        <w:t xml:space="preserve">and </w:t>
      </w:r>
      <w:r w:rsidR="007151B6">
        <w:rPr>
          <w:noProof/>
          <w:szCs w:val="24"/>
        </w:rPr>
        <w:t>‘</w:t>
      </w:r>
      <w:r w:rsidR="002D1B94" w:rsidRPr="00D43058">
        <w:rPr>
          <w:noProof/>
          <w:szCs w:val="24"/>
        </w:rPr>
        <w:t>good offices</w:t>
      </w:r>
      <w:r w:rsidR="007151B6">
        <w:rPr>
          <w:noProof/>
          <w:szCs w:val="24"/>
        </w:rPr>
        <w:t>’</w:t>
      </w:r>
      <w:r w:rsidR="002D1B94" w:rsidRPr="00D43058">
        <w:rPr>
          <w:noProof/>
          <w:szCs w:val="24"/>
        </w:rPr>
        <w:t xml:space="preserve"> provided by Kuwait to facilitate humanitarian assistance during the war in Syria, </w:t>
      </w:r>
      <w:r w:rsidR="0024017E" w:rsidRPr="00D43058">
        <w:rPr>
          <w:noProof/>
          <w:szCs w:val="24"/>
        </w:rPr>
        <w:t>as well as the efforts to</w:t>
      </w:r>
      <w:r w:rsidR="007752B7" w:rsidRPr="00D43058">
        <w:rPr>
          <w:noProof/>
          <w:szCs w:val="24"/>
        </w:rPr>
        <w:t xml:space="preserve"> </w:t>
      </w:r>
      <w:r w:rsidR="0024017E" w:rsidRPr="00D43058">
        <w:rPr>
          <w:noProof/>
          <w:szCs w:val="24"/>
        </w:rPr>
        <w:t>tackle</w:t>
      </w:r>
      <w:r w:rsidR="007752B7" w:rsidRPr="00D43058">
        <w:rPr>
          <w:noProof/>
          <w:szCs w:val="24"/>
        </w:rPr>
        <w:t xml:space="preserve"> recent hybrid threats against Europe</w:t>
      </w:r>
      <w:r w:rsidR="00F81D00" w:rsidRPr="00D43058">
        <w:rPr>
          <w:noProof/>
          <w:szCs w:val="24"/>
        </w:rPr>
        <w:t>.</w:t>
      </w:r>
      <w:r w:rsidR="007752B7" w:rsidRPr="00D43058">
        <w:rPr>
          <w:noProof/>
          <w:szCs w:val="24"/>
        </w:rPr>
        <w:t xml:space="preserve"> </w:t>
      </w:r>
      <w:r w:rsidR="00F816B2" w:rsidRPr="00D43058">
        <w:rPr>
          <w:noProof/>
          <w:szCs w:val="24"/>
        </w:rPr>
        <w:t>In addition,</w:t>
      </w:r>
      <w:r w:rsidR="00F9404C">
        <w:rPr>
          <w:noProof/>
          <w:szCs w:val="24"/>
        </w:rPr>
        <w:t xml:space="preserve"> </w:t>
      </w:r>
      <w:r w:rsidR="00034F27">
        <w:rPr>
          <w:noProof/>
          <w:szCs w:val="24"/>
        </w:rPr>
        <w:t>Kuwait and Qatar</w:t>
      </w:r>
      <w:r w:rsidR="00034F27" w:rsidRPr="00D43058">
        <w:rPr>
          <w:noProof/>
          <w:szCs w:val="24"/>
        </w:rPr>
        <w:t xml:space="preserve"> </w:t>
      </w:r>
      <w:r w:rsidR="00F9404C" w:rsidRPr="00F9404C">
        <w:rPr>
          <w:noProof/>
          <w:szCs w:val="24"/>
        </w:rPr>
        <w:t>are important economic partners for the Union, in particular in the area of energy</w:t>
      </w:r>
      <w:r w:rsidR="00DE11B6">
        <w:rPr>
          <w:noProof/>
          <w:szCs w:val="24"/>
        </w:rPr>
        <w:t xml:space="preserve"> </w:t>
      </w:r>
      <w:r w:rsidR="00DD497C">
        <w:rPr>
          <w:noProof/>
          <w:szCs w:val="24"/>
        </w:rPr>
        <w:t>and in view of the EU’s objectives to diversify its energy supplies</w:t>
      </w:r>
      <w:r w:rsidR="00701568">
        <w:rPr>
          <w:rStyle w:val="FootnoteReference"/>
          <w:noProof/>
          <w:szCs w:val="24"/>
        </w:rPr>
        <w:footnoteReference w:id="2"/>
      </w:r>
      <w:r w:rsidR="00701568">
        <w:rPr>
          <w:noProof/>
          <w:szCs w:val="24"/>
        </w:rPr>
        <w:t>.</w:t>
      </w:r>
      <w:r w:rsidR="00F9404C" w:rsidRPr="00F9404C">
        <w:rPr>
          <w:noProof/>
          <w:szCs w:val="24"/>
        </w:rPr>
        <w:t xml:space="preserve"> </w:t>
      </w:r>
      <w:r w:rsidR="00F816B2" w:rsidRPr="00D43058">
        <w:rPr>
          <w:noProof/>
          <w:szCs w:val="24"/>
        </w:rPr>
        <w:t xml:space="preserve"> </w:t>
      </w:r>
    </w:p>
    <w:p w14:paraId="6F9DD920" w14:textId="3C7301D3" w:rsidR="004A376A" w:rsidRPr="00D43058" w:rsidRDefault="005957CE" w:rsidP="00204F87">
      <w:pPr>
        <w:spacing w:before="0" w:after="240"/>
        <w:rPr>
          <w:noProof/>
          <w:szCs w:val="24"/>
        </w:rPr>
      </w:pPr>
      <w:r w:rsidRPr="005957CE">
        <w:rPr>
          <w:noProof/>
        </w:rPr>
        <w:t>The third countries whose nationals are exempt from the visa requirement are to be determined</w:t>
      </w:r>
      <w:r>
        <w:rPr>
          <w:noProof/>
        </w:rPr>
        <w:t xml:space="preserve"> on the basis of a </w:t>
      </w:r>
      <w:r w:rsidR="004A376A" w:rsidRPr="00D43058">
        <w:rPr>
          <w:noProof/>
        </w:rPr>
        <w:t xml:space="preserve">case-by-case assessment </w:t>
      </w:r>
      <w:r>
        <w:rPr>
          <w:noProof/>
        </w:rPr>
        <w:t>of a variety of criteria</w:t>
      </w:r>
      <w:r w:rsidR="004A376A" w:rsidRPr="00D43058">
        <w:rPr>
          <w:noProof/>
        </w:rPr>
        <w:t xml:space="preserve"> laid down in Article</w:t>
      </w:r>
      <w:r w:rsidR="00A43E1D">
        <w:rPr>
          <w:noProof/>
        </w:rPr>
        <w:t xml:space="preserve"> </w:t>
      </w:r>
      <w:r w:rsidR="004A376A" w:rsidRPr="00D43058">
        <w:rPr>
          <w:noProof/>
        </w:rPr>
        <w:t>1</w:t>
      </w:r>
      <w:r w:rsidR="00A43E1D">
        <w:rPr>
          <w:noProof/>
        </w:rPr>
        <w:t xml:space="preserve"> </w:t>
      </w:r>
      <w:r w:rsidR="004A376A" w:rsidRPr="00D43058">
        <w:rPr>
          <w:noProof/>
        </w:rPr>
        <w:t xml:space="preserve">of </w:t>
      </w:r>
      <w:r w:rsidR="004A376A" w:rsidRPr="00D43058">
        <w:rPr>
          <w:rFonts w:eastAsia="Calibri"/>
          <w:noProof/>
          <w:lang w:eastAsia="en-GB"/>
        </w:rPr>
        <w:t>Regulation (EU)</w:t>
      </w:r>
      <w:r w:rsidR="005610D1">
        <w:rPr>
          <w:rFonts w:eastAsia="Calibri"/>
          <w:noProof/>
          <w:lang w:eastAsia="en-GB"/>
        </w:rPr>
        <w:t xml:space="preserve"> </w:t>
      </w:r>
      <w:r w:rsidR="004A376A" w:rsidRPr="00D43058">
        <w:rPr>
          <w:rFonts w:eastAsia="Calibri"/>
          <w:noProof/>
          <w:lang w:eastAsia="en-GB"/>
        </w:rPr>
        <w:t>2018/1806</w:t>
      </w:r>
      <w:r w:rsidR="004A376A" w:rsidRPr="00D43058">
        <w:rPr>
          <w:noProof/>
        </w:rPr>
        <w:t xml:space="preserve">. </w:t>
      </w:r>
      <w:r w:rsidRPr="005957CE">
        <w:rPr>
          <w:noProof/>
        </w:rPr>
        <w:t>The aforementioned criteri</w:t>
      </w:r>
      <w:r w:rsidR="00A43E1D">
        <w:rPr>
          <w:noProof/>
        </w:rPr>
        <w:t>a</w:t>
      </w:r>
      <w:r>
        <w:rPr>
          <w:noProof/>
        </w:rPr>
        <w:t xml:space="preserve"> relate inter alia to</w:t>
      </w:r>
      <w:r w:rsidR="00A43E1D">
        <w:rPr>
          <w:noProof/>
        </w:rPr>
        <w:t xml:space="preserve"> </w:t>
      </w:r>
      <w:r w:rsidR="00034F27">
        <w:rPr>
          <w:noProof/>
        </w:rPr>
        <w:t>“</w:t>
      </w:r>
      <w:r>
        <w:rPr>
          <w:noProof/>
          <w:szCs w:val="24"/>
        </w:rPr>
        <w:t>i</w:t>
      </w:r>
      <w:r w:rsidR="004A376A" w:rsidRPr="00D43058">
        <w:rPr>
          <w:noProof/>
          <w:szCs w:val="24"/>
        </w:rPr>
        <w:t xml:space="preserve">llegal immigration, public policy and security, economic benefit, in particular in terms of tourism and foreign trade, and the Union’s external relations with the relevant third countries, including in particular, considerations of human rights and fundamental freedoms, as well as the implications of regional coherence and reciprocity”. </w:t>
      </w:r>
    </w:p>
    <w:p w14:paraId="1CBA60B2" w14:textId="77777777" w:rsidR="00D65DE3" w:rsidRDefault="00034F27" w:rsidP="00D65DE3">
      <w:pPr>
        <w:spacing w:before="0" w:after="240"/>
        <w:rPr>
          <w:noProof/>
        </w:rPr>
      </w:pPr>
      <w:r>
        <w:rPr>
          <w:noProof/>
          <w:szCs w:val="24"/>
        </w:rPr>
        <w:t>Kuwait and Qatar</w:t>
      </w:r>
      <w:r w:rsidRPr="00D43058">
        <w:rPr>
          <w:noProof/>
          <w:szCs w:val="24"/>
        </w:rPr>
        <w:t xml:space="preserve"> </w:t>
      </w:r>
      <w:r w:rsidR="007752B7" w:rsidRPr="00D43058">
        <w:rPr>
          <w:noProof/>
        </w:rPr>
        <w:t xml:space="preserve">present </w:t>
      </w:r>
      <w:r w:rsidR="00E56E4E" w:rsidRPr="00D43058">
        <w:rPr>
          <w:noProof/>
        </w:rPr>
        <w:t xml:space="preserve">low </w:t>
      </w:r>
      <w:r w:rsidR="007752B7" w:rsidRPr="00D43058">
        <w:rPr>
          <w:noProof/>
        </w:rPr>
        <w:t>irregular migration risk</w:t>
      </w:r>
      <w:r w:rsidR="00B5767F" w:rsidRPr="00D43058">
        <w:rPr>
          <w:noProof/>
        </w:rPr>
        <w:t>s</w:t>
      </w:r>
      <w:r w:rsidR="00846E29" w:rsidRPr="00D43058">
        <w:rPr>
          <w:noProof/>
        </w:rPr>
        <w:t xml:space="preserve">, </w:t>
      </w:r>
      <w:r w:rsidR="00590095">
        <w:rPr>
          <w:noProof/>
        </w:rPr>
        <w:t>are</w:t>
      </w:r>
      <w:r w:rsidR="00590095" w:rsidRPr="00D43058">
        <w:rPr>
          <w:noProof/>
        </w:rPr>
        <w:t xml:space="preserve"> increas</w:t>
      </w:r>
      <w:r w:rsidR="00590095">
        <w:rPr>
          <w:noProof/>
        </w:rPr>
        <w:t>ing</w:t>
      </w:r>
      <w:r w:rsidR="00590095" w:rsidRPr="00D43058">
        <w:rPr>
          <w:noProof/>
        </w:rPr>
        <w:t xml:space="preserve"> </w:t>
      </w:r>
      <w:r w:rsidR="004A376A" w:rsidRPr="00D43058">
        <w:rPr>
          <w:noProof/>
        </w:rPr>
        <w:t>cooperation</w:t>
      </w:r>
      <w:r w:rsidR="007151B6">
        <w:rPr>
          <w:noProof/>
        </w:rPr>
        <w:t xml:space="preserve"> </w:t>
      </w:r>
      <w:r w:rsidR="00F9404C" w:rsidRPr="00D43058">
        <w:rPr>
          <w:noProof/>
        </w:rPr>
        <w:t xml:space="preserve">with the EU </w:t>
      </w:r>
      <w:r w:rsidR="007151B6">
        <w:rPr>
          <w:noProof/>
        </w:rPr>
        <w:t>on security matters</w:t>
      </w:r>
      <w:r w:rsidR="004A376A" w:rsidRPr="00D43058">
        <w:rPr>
          <w:noProof/>
        </w:rPr>
        <w:t xml:space="preserve"> </w:t>
      </w:r>
      <w:r w:rsidR="00846E29" w:rsidRPr="00D43058">
        <w:rPr>
          <w:noProof/>
        </w:rPr>
        <w:t>and issue biometric passports</w:t>
      </w:r>
      <w:r w:rsidR="00590095">
        <w:rPr>
          <w:noProof/>
        </w:rPr>
        <w:t>, which is necessary for visa-free travel to the EU</w:t>
      </w:r>
      <w:r w:rsidR="00846E29" w:rsidRPr="00D43058">
        <w:rPr>
          <w:noProof/>
        </w:rPr>
        <w:t xml:space="preserve">. </w:t>
      </w:r>
      <w:r>
        <w:rPr>
          <w:noProof/>
          <w:szCs w:val="24"/>
        </w:rPr>
        <w:t>Kuwait and Qatar</w:t>
      </w:r>
      <w:r w:rsidRPr="00D43058">
        <w:rPr>
          <w:noProof/>
          <w:szCs w:val="24"/>
        </w:rPr>
        <w:t xml:space="preserve"> </w:t>
      </w:r>
      <w:r w:rsidR="00E14B8E" w:rsidRPr="00D43058">
        <w:rPr>
          <w:noProof/>
        </w:rPr>
        <w:t>are important economic and trading partners</w:t>
      </w:r>
      <w:r w:rsidR="00120B59" w:rsidRPr="00D43058">
        <w:rPr>
          <w:noProof/>
        </w:rPr>
        <w:t xml:space="preserve"> for the EU</w:t>
      </w:r>
      <w:r w:rsidR="00E14B8E" w:rsidRPr="00D43058">
        <w:rPr>
          <w:noProof/>
        </w:rPr>
        <w:t>, and</w:t>
      </w:r>
      <w:r w:rsidR="0024017E" w:rsidRPr="00D43058">
        <w:rPr>
          <w:noProof/>
        </w:rPr>
        <w:t xml:space="preserve"> vital partner</w:t>
      </w:r>
      <w:r w:rsidR="00F37F80" w:rsidRPr="00D43058">
        <w:rPr>
          <w:noProof/>
        </w:rPr>
        <w:t>s</w:t>
      </w:r>
      <w:r w:rsidR="0024017E" w:rsidRPr="00D43058">
        <w:rPr>
          <w:noProof/>
        </w:rPr>
        <w:t xml:space="preserve"> for Europe in a</w:t>
      </w:r>
      <w:r w:rsidR="00E74A40" w:rsidRPr="00D43058">
        <w:rPr>
          <w:noProof/>
        </w:rPr>
        <w:t xml:space="preserve"> </w:t>
      </w:r>
      <w:r w:rsidR="0024017E" w:rsidRPr="00D43058">
        <w:rPr>
          <w:noProof/>
        </w:rPr>
        <w:t>post-COVID 19 context</w:t>
      </w:r>
      <w:r w:rsidR="004A376A" w:rsidRPr="00D43058">
        <w:rPr>
          <w:noProof/>
        </w:rPr>
        <w:t xml:space="preserve">, </w:t>
      </w:r>
      <w:r w:rsidR="00F37F80" w:rsidRPr="00D43058">
        <w:rPr>
          <w:noProof/>
        </w:rPr>
        <w:t xml:space="preserve">as well as </w:t>
      </w:r>
      <w:r w:rsidR="0053361B" w:rsidRPr="00D43058">
        <w:rPr>
          <w:noProof/>
        </w:rPr>
        <w:t xml:space="preserve">amid </w:t>
      </w:r>
      <w:r w:rsidR="00F37F80" w:rsidRPr="00D43058">
        <w:rPr>
          <w:noProof/>
        </w:rPr>
        <w:t xml:space="preserve">the </w:t>
      </w:r>
      <w:r w:rsidR="0053361B" w:rsidRPr="00D43058">
        <w:rPr>
          <w:noProof/>
        </w:rPr>
        <w:t xml:space="preserve">Russian aggression </w:t>
      </w:r>
      <w:r w:rsidR="00C342E2">
        <w:rPr>
          <w:noProof/>
        </w:rPr>
        <w:t>against</w:t>
      </w:r>
      <w:r w:rsidR="00C342E2" w:rsidRPr="00D43058">
        <w:rPr>
          <w:noProof/>
        </w:rPr>
        <w:t xml:space="preserve"> </w:t>
      </w:r>
      <w:r w:rsidR="0053361B" w:rsidRPr="00D43058">
        <w:rPr>
          <w:noProof/>
        </w:rPr>
        <w:t xml:space="preserve">Ukraine and its consequences </w:t>
      </w:r>
      <w:r w:rsidR="004A376A" w:rsidRPr="00D43058">
        <w:rPr>
          <w:noProof/>
        </w:rPr>
        <w:t>in the area of energy</w:t>
      </w:r>
      <w:r w:rsidR="0053361B" w:rsidRPr="00D43058">
        <w:rPr>
          <w:noProof/>
        </w:rPr>
        <w:t xml:space="preserve"> supplies</w:t>
      </w:r>
      <w:r w:rsidR="00C342E2">
        <w:rPr>
          <w:noProof/>
        </w:rPr>
        <w:t xml:space="preserve"> and global mobilisation in support of the UN charter</w:t>
      </w:r>
      <w:r w:rsidR="007752B7" w:rsidRPr="00D43058">
        <w:rPr>
          <w:noProof/>
        </w:rPr>
        <w:t>.</w:t>
      </w:r>
      <w:r w:rsidR="0056053F" w:rsidRPr="00D43058">
        <w:rPr>
          <w:noProof/>
        </w:rPr>
        <w:t xml:space="preserve"> </w:t>
      </w:r>
      <w:r w:rsidR="00590095">
        <w:rPr>
          <w:noProof/>
        </w:rPr>
        <w:t xml:space="preserve">A visa exemption for citizens from </w:t>
      </w:r>
      <w:r>
        <w:rPr>
          <w:noProof/>
          <w:szCs w:val="24"/>
        </w:rPr>
        <w:t>Kuwait and Qatar</w:t>
      </w:r>
      <w:r w:rsidRPr="00D43058">
        <w:rPr>
          <w:noProof/>
          <w:szCs w:val="24"/>
        </w:rPr>
        <w:t xml:space="preserve"> </w:t>
      </w:r>
      <w:r w:rsidR="00590095">
        <w:rPr>
          <w:noProof/>
        </w:rPr>
        <w:t>travelling to the EU would benefit the EU econ</w:t>
      </w:r>
      <w:r w:rsidR="001C19C9">
        <w:rPr>
          <w:noProof/>
        </w:rPr>
        <w:t>o</w:t>
      </w:r>
      <w:r w:rsidR="00590095">
        <w:rPr>
          <w:noProof/>
        </w:rPr>
        <w:t>my</w:t>
      </w:r>
      <w:r w:rsidR="007151B6">
        <w:rPr>
          <w:noProof/>
        </w:rPr>
        <w:t>,</w:t>
      </w:r>
      <w:r w:rsidR="00590095">
        <w:rPr>
          <w:noProof/>
        </w:rPr>
        <w:t xml:space="preserve"> in particular the </w:t>
      </w:r>
      <w:r w:rsidR="005610D1">
        <w:rPr>
          <w:noProof/>
        </w:rPr>
        <w:t>t</w:t>
      </w:r>
      <w:r w:rsidR="00590095">
        <w:rPr>
          <w:noProof/>
        </w:rPr>
        <w:t xml:space="preserve">ourism industry. </w:t>
      </w:r>
      <w:r w:rsidR="00D97177" w:rsidRPr="00D43058">
        <w:rPr>
          <w:noProof/>
        </w:rPr>
        <w:t>Although</w:t>
      </w:r>
      <w:r w:rsidR="0053361B" w:rsidRPr="00D43058">
        <w:rPr>
          <w:noProof/>
        </w:rPr>
        <w:t xml:space="preserve"> </w:t>
      </w:r>
      <w:r w:rsidR="00BF734E" w:rsidRPr="00D43058">
        <w:rPr>
          <w:noProof/>
        </w:rPr>
        <w:t xml:space="preserve">challenges </w:t>
      </w:r>
      <w:r w:rsidR="00F81D00" w:rsidRPr="00D43058">
        <w:rPr>
          <w:noProof/>
        </w:rPr>
        <w:t>remain</w:t>
      </w:r>
      <w:r w:rsidR="00E74A40" w:rsidRPr="00D43058">
        <w:rPr>
          <w:noProof/>
        </w:rPr>
        <w:t xml:space="preserve"> </w:t>
      </w:r>
      <w:r w:rsidR="00BF734E" w:rsidRPr="00D43058">
        <w:rPr>
          <w:noProof/>
        </w:rPr>
        <w:t xml:space="preserve">in the area of human rights and fundamental freedoms, </w:t>
      </w:r>
      <w:r>
        <w:rPr>
          <w:noProof/>
          <w:szCs w:val="24"/>
        </w:rPr>
        <w:t>Kuwait and Qatar</w:t>
      </w:r>
      <w:r w:rsidRPr="00D43058">
        <w:rPr>
          <w:noProof/>
          <w:szCs w:val="24"/>
        </w:rPr>
        <w:t xml:space="preserve"> </w:t>
      </w:r>
      <w:r w:rsidR="009612CB" w:rsidRPr="00D43058">
        <w:rPr>
          <w:noProof/>
        </w:rPr>
        <w:t xml:space="preserve">have </w:t>
      </w:r>
      <w:r w:rsidR="00F81D00" w:rsidRPr="00D43058">
        <w:rPr>
          <w:noProof/>
        </w:rPr>
        <w:t>been undergoing</w:t>
      </w:r>
      <w:r w:rsidR="007752B7" w:rsidRPr="00D43058">
        <w:rPr>
          <w:noProof/>
        </w:rPr>
        <w:t xml:space="preserve"> societal transformation </w:t>
      </w:r>
      <w:r w:rsidR="00F81D00" w:rsidRPr="00D43058">
        <w:rPr>
          <w:noProof/>
        </w:rPr>
        <w:t xml:space="preserve">processes </w:t>
      </w:r>
      <w:r w:rsidR="00BF734E" w:rsidRPr="00D43058">
        <w:rPr>
          <w:noProof/>
        </w:rPr>
        <w:t>as regards</w:t>
      </w:r>
      <w:r w:rsidR="00C342E2">
        <w:rPr>
          <w:noProof/>
        </w:rPr>
        <w:t xml:space="preserve"> women’s rights,</w:t>
      </w:r>
      <w:r w:rsidR="00BF734E" w:rsidRPr="00D43058">
        <w:rPr>
          <w:noProof/>
        </w:rPr>
        <w:t xml:space="preserve"> </w:t>
      </w:r>
      <w:r w:rsidR="007752B7" w:rsidRPr="00D43058">
        <w:rPr>
          <w:noProof/>
        </w:rPr>
        <w:t xml:space="preserve">labour </w:t>
      </w:r>
      <w:r w:rsidR="00FE00EC">
        <w:rPr>
          <w:noProof/>
        </w:rPr>
        <w:t>rights</w:t>
      </w:r>
      <w:r w:rsidR="00E74A40" w:rsidRPr="00D43058">
        <w:rPr>
          <w:noProof/>
        </w:rPr>
        <w:t xml:space="preserve">, </w:t>
      </w:r>
      <w:r w:rsidR="007752B7" w:rsidRPr="00D43058">
        <w:rPr>
          <w:noProof/>
        </w:rPr>
        <w:t>freedom of r</w:t>
      </w:r>
      <w:r w:rsidR="00BF734E" w:rsidRPr="00D43058">
        <w:rPr>
          <w:noProof/>
        </w:rPr>
        <w:t>eligion and interfaith dialogue.</w:t>
      </w:r>
      <w:r w:rsidR="004F3054" w:rsidRPr="00D43058">
        <w:rPr>
          <w:noProof/>
        </w:rPr>
        <w:t xml:space="preserve"> </w:t>
      </w:r>
      <w:r w:rsidR="009941AE">
        <w:rPr>
          <w:noProof/>
        </w:rPr>
        <w:t xml:space="preserve">The prospect of </w:t>
      </w:r>
      <w:r w:rsidR="00E75918" w:rsidRPr="00D43058">
        <w:rPr>
          <w:noProof/>
        </w:rPr>
        <w:t>sustainable visa-free</w:t>
      </w:r>
      <w:r w:rsidR="001F5032">
        <w:rPr>
          <w:noProof/>
        </w:rPr>
        <w:t xml:space="preserve"> travel</w:t>
      </w:r>
      <w:r w:rsidR="00E75918" w:rsidRPr="00D43058">
        <w:rPr>
          <w:noProof/>
        </w:rPr>
        <w:t xml:space="preserve"> </w:t>
      </w:r>
      <w:r w:rsidR="009941AE">
        <w:rPr>
          <w:noProof/>
        </w:rPr>
        <w:t>is expected to reinforce positive trends in</w:t>
      </w:r>
      <w:r w:rsidR="00E75918" w:rsidRPr="00D43058">
        <w:rPr>
          <w:noProof/>
        </w:rPr>
        <w:t xml:space="preserve"> </w:t>
      </w:r>
      <w:r>
        <w:rPr>
          <w:noProof/>
          <w:szCs w:val="24"/>
        </w:rPr>
        <w:t>Kuwait and Qatar</w:t>
      </w:r>
      <w:r w:rsidRPr="00D43058">
        <w:rPr>
          <w:noProof/>
          <w:szCs w:val="24"/>
        </w:rPr>
        <w:t xml:space="preserve"> </w:t>
      </w:r>
      <w:r w:rsidR="009941AE">
        <w:rPr>
          <w:noProof/>
        </w:rPr>
        <w:t>regarding</w:t>
      </w:r>
      <w:r w:rsidR="004F3054" w:rsidRPr="00D43058">
        <w:rPr>
          <w:noProof/>
        </w:rPr>
        <w:t xml:space="preserve"> progress and reforms</w:t>
      </w:r>
      <w:r w:rsidR="0053361B" w:rsidRPr="00D43058">
        <w:rPr>
          <w:noProof/>
        </w:rPr>
        <w:t xml:space="preserve"> in th</w:t>
      </w:r>
      <w:r w:rsidR="009941AE">
        <w:rPr>
          <w:noProof/>
        </w:rPr>
        <w:t>e</w:t>
      </w:r>
      <w:r w:rsidR="0053361B" w:rsidRPr="00D43058">
        <w:rPr>
          <w:noProof/>
        </w:rPr>
        <w:t>se areas</w:t>
      </w:r>
      <w:r w:rsidR="004F3054" w:rsidRPr="00D43058">
        <w:rPr>
          <w:noProof/>
        </w:rPr>
        <w:t>.</w:t>
      </w:r>
      <w:r w:rsidR="009B7463">
        <w:rPr>
          <w:noProof/>
        </w:rPr>
        <w:t xml:space="preserve"> </w:t>
      </w:r>
    </w:p>
    <w:p w14:paraId="159F899A" w14:textId="6B1FFCB3" w:rsidR="00DE11B6" w:rsidRPr="00D65DE3" w:rsidRDefault="00DE11B6" w:rsidP="00D65DE3">
      <w:pPr>
        <w:spacing w:before="0" w:after="240"/>
        <w:rPr>
          <w:noProof/>
        </w:rPr>
      </w:pPr>
      <w:r>
        <w:rPr>
          <w:noProof/>
        </w:rPr>
        <w:t xml:space="preserve">As regards regional coherence, the continued engagement with the other </w:t>
      </w:r>
      <w:r>
        <w:rPr>
          <w:noProof/>
          <w:lang w:val="en-US"/>
        </w:rPr>
        <w:t>remaining visa-required</w:t>
      </w:r>
      <w:r>
        <w:rPr>
          <w:noProof/>
        </w:rPr>
        <w:t xml:space="preserve"> Gulf countries in the coming months, with a view to </w:t>
      </w:r>
      <w:r w:rsidR="009B578E">
        <w:rPr>
          <w:noProof/>
        </w:rPr>
        <w:t xml:space="preserve">ultimately </w:t>
      </w:r>
      <w:r>
        <w:rPr>
          <w:noProof/>
        </w:rPr>
        <w:t>achieving visa exemption with the EU</w:t>
      </w:r>
      <w:r w:rsidR="009B578E">
        <w:rPr>
          <w:noProof/>
        </w:rPr>
        <w:t xml:space="preserve"> for all GCC countries</w:t>
      </w:r>
      <w:r>
        <w:rPr>
          <w:noProof/>
        </w:rPr>
        <w:t>, could also encourage similar positive reforms.</w:t>
      </w:r>
      <w:r w:rsidR="00D65DE3">
        <w:rPr>
          <w:noProof/>
        </w:rPr>
        <w:t xml:space="preserve"> </w:t>
      </w:r>
      <w:r w:rsidR="001E2FE0" w:rsidRPr="001E2FE0">
        <w:rPr>
          <w:noProof/>
        </w:rPr>
        <w:t xml:space="preserve">In this regard, the Commission will </w:t>
      </w:r>
      <w:r w:rsidR="003B45A8">
        <w:rPr>
          <w:noProof/>
        </w:rPr>
        <w:t xml:space="preserve">shortly </w:t>
      </w:r>
      <w:r w:rsidR="001E2FE0" w:rsidRPr="001E2FE0">
        <w:rPr>
          <w:noProof/>
        </w:rPr>
        <w:t>launch technical discussions with these partners on the fulfilment of criteria for visa exemption under the Visa Regulation.  In addition, the adoption of more favourable rules concerning the issuance of multiple-entry visas with a long validity (valid for up to 5 years)  with these partners will be pursued within local Schengen cooperation, in accordance with Article 24(2) of Regulation 810/2009 establishing a Community Code on Visas, as amended by Regulation 2019/1155. The proposal on digitalising the procedure for issuing Schengen visas will make the visa procedure largely paperless and contactless, and thereby more timesaving and cost-efficient for applicants.</w:t>
      </w:r>
    </w:p>
    <w:p w14:paraId="246E9EDB" w14:textId="7FB1EFD3" w:rsidR="00613499" w:rsidRPr="00D43058" w:rsidRDefault="004A376A" w:rsidP="00204F87">
      <w:pPr>
        <w:rPr>
          <w:noProof/>
        </w:rPr>
      </w:pPr>
      <w:r w:rsidRPr="00D43058">
        <w:rPr>
          <w:noProof/>
          <w:szCs w:val="24"/>
        </w:rPr>
        <w:t>T</w:t>
      </w:r>
      <w:r w:rsidR="00360C62" w:rsidRPr="00D43058">
        <w:rPr>
          <w:noProof/>
          <w:szCs w:val="24"/>
        </w:rPr>
        <w:t xml:space="preserve">he Commission is proposing to amend Regulation (EC) 2018/1806 to exempt nationals of </w:t>
      </w:r>
      <w:r w:rsidR="00034F27">
        <w:rPr>
          <w:noProof/>
          <w:szCs w:val="24"/>
        </w:rPr>
        <w:t>Kuwait and Qatar</w:t>
      </w:r>
      <w:r w:rsidR="00034F27" w:rsidRPr="00D43058">
        <w:rPr>
          <w:noProof/>
          <w:szCs w:val="24"/>
        </w:rPr>
        <w:t xml:space="preserve"> </w:t>
      </w:r>
      <w:r w:rsidR="00360C62" w:rsidRPr="00D43058">
        <w:rPr>
          <w:noProof/>
          <w:szCs w:val="24"/>
        </w:rPr>
        <w:t xml:space="preserve">from the </w:t>
      </w:r>
      <w:r w:rsidRPr="00D43058">
        <w:rPr>
          <w:noProof/>
          <w:szCs w:val="24"/>
        </w:rPr>
        <w:t>requirement to be in possession of a visa when crossing the external borders of the Member States for stays of no more than 90 days in any 180-day period.</w:t>
      </w:r>
      <w:bookmarkStart w:id="1" w:name="_Hlk99654245"/>
      <w:r w:rsidRPr="00D43058">
        <w:rPr>
          <w:noProof/>
          <w:szCs w:val="24"/>
        </w:rPr>
        <w:t xml:space="preserve"> </w:t>
      </w:r>
      <w:bookmarkEnd w:id="1"/>
    </w:p>
    <w:p w14:paraId="42D0FD18" w14:textId="77777777" w:rsidR="00F739D5" w:rsidRPr="00D43058" w:rsidRDefault="00F739D5" w:rsidP="0053361B">
      <w:pPr>
        <w:pStyle w:val="ManualHeading2"/>
        <w:spacing w:before="0" w:after="240"/>
        <w:rPr>
          <w:rFonts w:eastAsia="Arial Unicode MS"/>
          <w:noProof/>
          <w:color w:val="000000"/>
          <w:u w:color="000000"/>
          <w:bdr w:val="nil"/>
          <w:lang w:val="en-US" w:eastAsia="en-GB"/>
        </w:rPr>
      </w:pPr>
      <w:r w:rsidRPr="00D43058">
        <w:rPr>
          <w:rFonts w:eastAsia="Arial Unicode MS"/>
          <w:noProof/>
          <w:color w:val="000000"/>
          <w:u w:color="000000"/>
          <w:bdr w:val="nil"/>
          <w:lang w:val="en-US" w:eastAsia="en-GB"/>
        </w:rPr>
        <w:t>•</w:t>
      </w:r>
      <w:r w:rsidRPr="00D43058">
        <w:rPr>
          <w:rFonts w:eastAsia="Arial Unicode MS"/>
          <w:noProof/>
          <w:color w:val="000000"/>
          <w:u w:color="000000"/>
          <w:bdr w:val="nil"/>
          <w:lang w:val="en-US" w:eastAsia="en-GB"/>
        </w:rPr>
        <w:tab/>
      </w:r>
      <w:r w:rsidRPr="00D43058">
        <w:rPr>
          <w:rFonts w:eastAsia="Arial Unicode MS"/>
          <w:noProof/>
        </w:rPr>
        <w:t>Consistency with existing policy provisions in the policy area</w:t>
      </w:r>
    </w:p>
    <w:p w14:paraId="668A4AC6" w14:textId="77777777" w:rsidR="00AD35A9" w:rsidRPr="00D43058" w:rsidRDefault="00AD35A9" w:rsidP="00204F87">
      <w:pPr>
        <w:spacing w:before="0" w:after="240"/>
        <w:rPr>
          <w:rFonts w:eastAsia="Calibri"/>
          <w:noProof/>
          <w:lang w:eastAsia="en-GB"/>
        </w:rPr>
      </w:pPr>
      <w:r w:rsidRPr="00D43058">
        <w:rPr>
          <w:rFonts w:eastAsia="Calibri"/>
          <w:noProof/>
          <w:lang w:eastAsia="en-GB"/>
        </w:rPr>
        <w:t xml:space="preserve">Regulation (EU) 2018/1806 lists the third countries whose nationals must be in possession of a visa when crossing the external borders of the Member States and those whose nationals are exempt from that requirement. Regulation (EU) 2018/1806 is applied by all Member States – with the exception of Ireland </w:t>
      </w:r>
      <w:r w:rsidRPr="00D43058">
        <w:rPr>
          <w:noProof/>
        </w:rPr>
        <w:t>– and also by Iceland, Liechtenstein, Norway and Switzerland</w:t>
      </w:r>
      <w:r w:rsidRPr="00D43058">
        <w:rPr>
          <w:rFonts w:eastAsia="Calibri"/>
          <w:noProof/>
          <w:lang w:eastAsia="en-GB"/>
        </w:rPr>
        <w:t>. The Regulation is part of the EU’s common visa policy for short stays of 90 days in any 180-day period.</w:t>
      </w:r>
    </w:p>
    <w:p w14:paraId="62636B97" w14:textId="77777777" w:rsidR="00AD35A9" w:rsidRPr="00D43058" w:rsidRDefault="00034F27" w:rsidP="00204F87">
      <w:pPr>
        <w:spacing w:before="0" w:after="240"/>
        <w:rPr>
          <w:noProof/>
        </w:rPr>
      </w:pPr>
      <w:r>
        <w:rPr>
          <w:noProof/>
          <w:szCs w:val="24"/>
        </w:rPr>
        <w:t>Kuwait and Qatar</w:t>
      </w:r>
      <w:r w:rsidRPr="00D43058">
        <w:rPr>
          <w:noProof/>
          <w:szCs w:val="24"/>
        </w:rPr>
        <w:t xml:space="preserve"> </w:t>
      </w:r>
      <w:r w:rsidR="00AD35A9" w:rsidRPr="00D43058">
        <w:rPr>
          <w:noProof/>
        </w:rPr>
        <w:t>are currently listed in Annex I</w:t>
      </w:r>
      <w:r w:rsidR="00C94408" w:rsidRPr="00D43058">
        <w:rPr>
          <w:noProof/>
        </w:rPr>
        <w:t xml:space="preserve"> </w:t>
      </w:r>
      <w:r w:rsidR="00AD35A9" w:rsidRPr="00D43058">
        <w:rPr>
          <w:noProof/>
        </w:rPr>
        <w:t xml:space="preserve">of </w:t>
      </w:r>
      <w:r w:rsidR="00C94408" w:rsidRPr="00D43058">
        <w:rPr>
          <w:rFonts w:eastAsia="Calibri"/>
          <w:noProof/>
          <w:lang w:eastAsia="en-GB"/>
        </w:rPr>
        <w:t>Regulation (EU) 2018/1806</w:t>
      </w:r>
      <w:r w:rsidR="00990AF8" w:rsidRPr="00D43058">
        <w:rPr>
          <w:noProof/>
        </w:rPr>
        <w:t xml:space="preserve"> </w:t>
      </w:r>
      <w:r w:rsidR="00FE1DDF">
        <w:rPr>
          <w:noProof/>
        </w:rPr>
        <w:t>among</w:t>
      </w:r>
      <w:r w:rsidR="00FE1DDF" w:rsidRPr="00D43058">
        <w:rPr>
          <w:noProof/>
        </w:rPr>
        <w:t xml:space="preserve"> </w:t>
      </w:r>
      <w:r w:rsidR="00C94408" w:rsidRPr="00D43058">
        <w:rPr>
          <w:noProof/>
        </w:rPr>
        <w:t>the third countries whose nationals are required to be in possession of a visa when crossing the external borders of the Member States.</w:t>
      </w:r>
      <w:r w:rsidR="00AD35A9" w:rsidRPr="00D43058">
        <w:rPr>
          <w:noProof/>
        </w:rPr>
        <w:t xml:space="preserve"> </w:t>
      </w:r>
      <w:r w:rsidR="00FE1DDF">
        <w:rPr>
          <w:noProof/>
          <w:szCs w:val="24"/>
        </w:rPr>
        <w:t>Thorough</w:t>
      </w:r>
      <w:r w:rsidR="00FE1DDF" w:rsidRPr="00D43058">
        <w:rPr>
          <w:noProof/>
          <w:szCs w:val="24"/>
        </w:rPr>
        <w:t xml:space="preserve"> </w:t>
      </w:r>
      <w:r w:rsidR="00F721CA" w:rsidRPr="00D43058">
        <w:rPr>
          <w:noProof/>
          <w:szCs w:val="24"/>
        </w:rPr>
        <w:t>checks of all travellers against relevant databases at the external borders should be carried out</w:t>
      </w:r>
      <w:r w:rsidR="00F721CA" w:rsidRPr="00D43058">
        <w:rPr>
          <w:rStyle w:val="FootnoteReference"/>
          <w:noProof/>
          <w:szCs w:val="24"/>
        </w:rPr>
        <w:footnoteReference w:id="3"/>
      </w:r>
      <w:r w:rsidR="00F721CA" w:rsidRPr="00D43058">
        <w:rPr>
          <w:noProof/>
          <w:szCs w:val="24"/>
        </w:rPr>
        <w:t>.</w:t>
      </w:r>
    </w:p>
    <w:p w14:paraId="1B235BA5" w14:textId="77777777" w:rsidR="00846E29" w:rsidRPr="00D43058" w:rsidRDefault="00846E29" w:rsidP="00204F87">
      <w:pPr>
        <w:spacing w:before="0" w:after="240"/>
        <w:rPr>
          <w:noProof/>
          <w:color w:val="000000" w:themeColor="text1"/>
        </w:rPr>
      </w:pPr>
      <w:r w:rsidRPr="00D43058">
        <w:rPr>
          <w:noProof/>
        </w:rPr>
        <w:t xml:space="preserve">The composition of the </w:t>
      </w:r>
      <w:r w:rsidR="00C0781D" w:rsidRPr="00D43058">
        <w:rPr>
          <w:noProof/>
        </w:rPr>
        <w:t>lists</w:t>
      </w:r>
      <w:r w:rsidRPr="00D43058">
        <w:rPr>
          <w:noProof/>
        </w:rPr>
        <w:t xml:space="preserve"> of third countries in Annex I and II should be, and should remain, consistent with the criteria laid down in Article 1 of </w:t>
      </w:r>
      <w:r w:rsidRPr="00D43058">
        <w:rPr>
          <w:rFonts w:eastAsia="Calibri"/>
          <w:noProof/>
          <w:lang w:eastAsia="en-GB"/>
        </w:rPr>
        <w:t>Regulation (EU) 2018/1806</w:t>
      </w:r>
      <w:r w:rsidR="00FE1DDF" w:rsidRPr="00AC6118">
        <w:rPr>
          <w:rStyle w:val="FootnoteReference"/>
          <w:noProof/>
        </w:rPr>
        <w:footnoteReference w:id="4"/>
      </w:r>
      <w:r w:rsidRPr="00D43058">
        <w:rPr>
          <w:rFonts w:eastAsia="Calibri"/>
          <w:noProof/>
          <w:lang w:eastAsia="en-GB"/>
        </w:rPr>
        <w:t xml:space="preserve">, which </w:t>
      </w:r>
      <w:r w:rsidR="00FE1DDF">
        <w:rPr>
          <w:rFonts w:eastAsia="Calibri"/>
          <w:noProof/>
          <w:lang w:eastAsia="en-GB"/>
        </w:rPr>
        <w:t>relate inter alia to</w:t>
      </w:r>
      <w:r w:rsidR="00FE1DDF" w:rsidRPr="00D43058">
        <w:rPr>
          <w:rFonts w:eastAsia="Calibri"/>
          <w:noProof/>
          <w:lang w:eastAsia="en-GB"/>
        </w:rPr>
        <w:t xml:space="preserve"> </w:t>
      </w:r>
      <w:r w:rsidR="00EE67A6" w:rsidRPr="00D43058">
        <w:rPr>
          <w:rFonts w:eastAsia="Calibri"/>
          <w:noProof/>
          <w:lang w:eastAsia="en-GB"/>
        </w:rPr>
        <w:t>‘</w:t>
      </w:r>
      <w:r w:rsidRPr="00D43058">
        <w:rPr>
          <w:noProof/>
          <w:szCs w:val="24"/>
        </w:rPr>
        <w:t>illegal immigration, public policy and security, economic benefit, in particular in terms of tourism and foreign trade, and the Union’s external relations with the relevant third countries, including in particular, considerations of human rights and fundamental freedoms, as well as the implications of regional coherence and reciprocity</w:t>
      </w:r>
      <w:r w:rsidR="00EE67A6" w:rsidRPr="00D43058">
        <w:rPr>
          <w:noProof/>
          <w:szCs w:val="24"/>
        </w:rPr>
        <w:t>’</w:t>
      </w:r>
      <w:r w:rsidRPr="00D43058">
        <w:rPr>
          <w:noProof/>
          <w:szCs w:val="24"/>
        </w:rPr>
        <w:t xml:space="preserve">. </w:t>
      </w:r>
    </w:p>
    <w:p w14:paraId="367F8FF9" w14:textId="77777777" w:rsidR="00AD35A9" w:rsidRPr="00D43058" w:rsidRDefault="008D137E" w:rsidP="00204F87">
      <w:pPr>
        <w:spacing w:before="0" w:after="240"/>
        <w:rPr>
          <w:noProof/>
        </w:rPr>
      </w:pPr>
      <w:r w:rsidRPr="00D43058">
        <w:rPr>
          <w:noProof/>
          <w:szCs w:val="24"/>
        </w:rPr>
        <w:t xml:space="preserve">Following the application of the proposed exemption from the visa requirement, </w:t>
      </w:r>
      <w:r w:rsidR="00AD35A9" w:rsidRPr="00D43058">
        <w:rPr>
          <w:noProof/>
          <w:szCs w:val="24"/>
        </w:rPr>
        <w:t xml:space="preserve">the reciprocity and suspension mechanisms of </w:t>
      </w:r>
      <w:r w:rsidR="00245968" w:rsidRPr="00D43058">
        <w:rPr>
          <w:rFonts w:eastAsia="Calibri"/>
          <w:noProof/>
          <w:lang w:eastAsia="en-GB"/>
        </w:rPr>
        <w:t xml:space="preserve">Regulation (EU) 2018/1806 </w:t>
      </w:r>
      <w:r w:rsidR="00AD35A9" w:rsidRPr="00D43058">
        <w:rPr>
          <w:noProof/>
          <w:szCs w:val="24"/>
        </w:rPr>
        <w:t xml:space="preserve">can be </w:t>
      </w:r>
      <w:r w:rsidR="00FE1DDF">
        <w:rPr>
          <w:noProof/>
          <w:szCs w:val="24"/>
        </w:rPr>
        <w:t>applie</w:t>
      </w:r>
      <w:r w:rsidR="00FE1DDF" w:rsidRPr="00D43058">
        <w:rPr>
          <w:noProof/>
          <w:szCs w:val="24"/>
        </w:rPr>
        <w:t xml:space="preserve">d </w:t>
      </w:r>
      <w:r w:rsidR="00FE1DDF">
        <w:rPr>
          <w:noProof/>
          <w:szCs w:val="24"/>
        </w:rPr>
        <w:t xml:space="preserve">in case </w:t>
      </w:r>
      <w:r w:rsidR="00AA75ED" w:rsidRPr="00D43058">
        <w:rPr>
          <w:noProof/>
          <w:szCs w:val="24"/>
        </w:rPr>
        <w:t>full visa reciprocity is not ensured or if the visa-free regime is abused</w:t>
      </w:r>
      <w:r w:rsidR="00FE1DDF">
        <w:rPr>
          <w:noProof/>
          <w:szCs w:val="24"/>
        </w:rPr>
        <w:t xml:space="preserve"> or </w:t>
      </w:r>
      <w:r w:rsidR="00FE1DDF" w:rsidRPr="00D93845">
        <w:rPr>
          <w:noProof/>
          <w:szCs w:val="24"/>
        </w:rPr>
        <w:t>i</w:t>
      </w:r>
      <w:r w:rsidR="00FE1DDF">
        <w:rPr>
          <w:noProof/>
          <w:szCs w:val="24"/>
        </w:rPr>
        <w:t>n case of abuse resulting from the exemption from the visa requirement</w:t>
      </w:r>
      <w:r w:rsidR="00FE1DDF">
        <w:rPr>
          <w:rStyle w:val="FootnoteReference"/>
          <w:noProof/>
          <w:szCs w:val="24"/>
        </w:rPr>
        <w:footnoteReference w:id="5"/>
      </w:r>
      <w:r w:rsidR="009941AE">
        <w:rPr>
          <w:noProof/>
          <w:szCs w:val="24"/>
        </w:rPr>
        <w:t>.</w:t>
      </w:r>
      <w:r w:rsidR="009941AE" w:rsidRPr="009941AE">
        <w:rPr>
          <w:noProof/>
          <w:szCs w:val="24"/>
        </w:rPr>
        <w:t xml:space="preserve"> </w:t>
      </w:r>
      <w:r w:rsidR="009941AE">
        <w:rPr>
          <w:noProof/>
          <w:szCs w:val="24"/>
        </w:rPr>
        <w:t xml:space="preserve">A visa waiver agreement, which will include safeguards in relation to the criteria </w:t>
      </w:r>
      <w:r w:rsidR="009941AE" w:rsidRPr="009941AE">
        <w:rPr>
          <w:noProof/>
          <w:szCs w:val="24"/>
        </w:rPr>
        <w:t xml:space="preserve">of Regulation (EU) 2018/1806 </w:t>
      </w:r>
      <w:r w:rsidR="009941AE">
        <w:rPr>
          <w:noProof/>
          <w:szCs w:val="24"/>
        </w:rPr>
        <w:t>having justified the visa exemption will have to be concluded between each of the two countries and the EU to make the exemption effective.</w:t>
      </w:r>
      <w:r w:rsidR="009941AE" w:rsidRPr="00D43058">
        <w:rPr>
          <w:noProof/>
          <w:szCs w:val="24"/>
        </w:rPr>
        <w:t xml:space="preserve"> </w:t>
      </w:r>
    </w:p>
    <w:p w14:paraId="56C324CA" w14:textId="77777777" w:rsidR="00F739D5" w:rsidRPr="00D43058" w:rsidRDefault="00F739D5" w:rsidP="0053361B">
      <w:pPr>
        <w:pStyle w:val="ManualHeading2"/>
        <w:spacing w:before="0" w:after="240"/>
        <w:rPr>
          <w:rFonts w:eastAsia="Arial Unicode MS"/>
          <w:noProof/>
        </w:rPr>
      </w:pPr>
      <w:r w:rsidRPr="00D43058">
        <w:rPr>
          <w:rFonts w:eastAsia="Arial Unicode MS"/>
          <w:noProof/>
          <w:color w:val="000000"/>
          <w:u w:color="000000"/>
          <w:bdr w:val="nil"/>
          <w:lang w:val="en-US" w:eastAsia="en-GB"/>
        </w:rPr>
        <w:t>•</w:t>
      </w:r>
      <w:r w:rsidRPr="00D43058">
        <w:rPr>
          <w:rFonts w:eastAsia="Arial Unicode MS"/>
          <w:noProof/>
          <w:color w:val="000000"/>
          <w:u w:color="000000"/>
          <w:bdr w:val="nil"/>
          <w:lang w:val="en-US" w:eastAsia="en-GB"/>
        </w:rPr>
        <w:tab/>
      </w:r>
      <w:r w:rsidRPr="00D43058">
        <w:rPr>
          <w:rFonts w:eastAsia="Arial Unicode MS"/>
          <w:noProof/>
        </w:rPr>
        <w:t>Consistency with other Union policies</w:t>
      </w:r>
    </w:p>
    <w:p w14:paraId="1767315A" w14:textId="77777777" w:rsidR="00990AF8" w:rsidRPr="00D43058" w:rsidDel="00FE618A" w:rsidRDefault="000B0D07" w:rsidP="00204F87">
      <w:pPr>
        <w:spacing w:before="0" w:after="240"/>
        <w:rPr>
          <w:noProof/>
          <w:szCs w:val="24"/>
        </w:rPr>
      </w:pPr>
      <w:r w:rsidRPr="00D43058">
        <w:rPr>
          <w:noProof/>
          <w:szCs w:val="24"/>
        </w:rPr>
        <w:t xml:space="preserve">The </w:t>
      </w:r>
      <w:r w:rsidR="009941AE">
        <w:rPr>
          <w:noProof/>
          <w:szCs w:val="24"/>
        </w:rPr>
        <w:t xml:space="preserve">proposed </w:t>
      </w:r>
      <w:r w:rsidRPr="00D43058">
        <w:rPr>
          <w:noProof/>
          <w:szCs w:val="24"/>
        </w:rPr>
        <w:t>exemption from the visa requirement</w:t>
      </w:r>
      <w:r w:rsidR="009941AE">
        <w:rPr>
          <w:noProof/>
          <w:szCs w:val="24"/>
        </w:rPr>
        <w:t xml:space="preserve"> for </w:t>
      </w:r>
      <w:r w:rsidR="00034F27">
        <w:rPr>
          <w:noProof/>
          <w:szCs w:val="24"/>
        </w:rPr>
        <w:t>Kuwait and Qatar</w:t>
      </w:r>
      <w:r w:rsidR="00034F27" w:rsidRPr="00D43058">
        <w:rPr>
          <w:noProof/>
          <w:szCs w:val="24"/>
        </w:rPr>
        <w:t xml:space="preserve"> </w:t>
      </w:r>
      <w:r w:rsidR="003A051F" w:rsidRPr="00D43058" w:rsidDel="00FE618A">
        <w:rPr>
          <w:noProof/>
          <w:szCs w:val="24"/>
        </w:rPr>
        <w:t xml:space="preserve">is </w:t>
      </w:r>
      <w:r w:rsidR="005473D8" w:rsidRPr="00D43058" w:rsidDel="00FE618A">
        <w:rPr>
          <w:noProof/>
          <w:szCs w:val="24"/>
        </w:rPr>
        <w:t>consistent</w:t>
      </w:r>
      <w:r w:rsidR="003A051F" w:rsidRPr="00D43058" w:rsidDel="00FE618A">
        <w:rPr>
          <w:noProof/>
          <w:szCs w:val="24"/>
        </w:rPr>
        <w:t xml:space="preserve"> with the EU efforts to pursue a </w:t>
      </w:r>
      <w:r w:rsidR="005473D8" w:rsidRPr="00D43058" w:rsidDel="00FE618A">
        <w:rPr>
          <w:noProof/>
          <w:szCs w:val="24"/>
        </w:rPr>
        <w:t>stronger, more strategic</w:t>
      </w:r>
      <w:r w:rsidR="003A051F" w:rsidRPr="00D43058" w:rsidDel="00FE618A">
        <w:rPr>
          <w:noProof/>
          <w:szCs w:val="24"/>
        </w:rPr>
        <w:t>, comprehensive and multi-sector partnership with the</w:t>
      </w:r>
      <w:r w:rsidR="009941AE">
        <w:rPr>
          <w:noProof/>
          <w:szCs w:val="24"/>
        </w:rPr>
        <w:t xml:space="preserve"> Gulf</w:t>
      </w:r>
      <w:r w:rsidR="003A051F" w:rsidRPr="00D43058" w:rsidDel="00FE618A">
        <w:rPr>
          <w:noProof/>
          <w:szCs w:val="24"/>
        </w:rPr>
        <w:t xml:space="preserve"> region</w:t>
      </w:r>
      <w:r w:rsidR="004576CC" w:rsidRPr="00D43058">
        <w:rPr>
          <w:noProof/>
          <w:szCs w:val="24"/>
        </w:rPr>
        <w:t>.</w:t>
      </w:r>
      <w:r w:rsidR="009941AE">
        <w:rPr>
          <w:noProof/>
          <w:szCs w:val="24"/>
        </w:rPr>
        <w:t xml:space="preserve"> </w:t>
      </w:r>
      <w:r w:rsidR="009941AE" w:rsidRPr="009941AE">
        <w:rPr>
          <w:noProof/>
          <w:szCs w:val="24"/>
        </w:rPr>
        <w:t>A Joint Communication on a strategic partnership with the Gulf is to be adopted to this aim.</w:t>
      </w:r>
    </w:p>
    <w:p w14:paraId="6CDD069C" w14:textId="77777777" w:rsidR="00FE618A" w:rsidRPr="00D43058" w:rsidRDefault="000B0D07" w:rsidP="0053361B">
      <w:pPr>
        <w:widowControl w:val="0"/>
        <w:autoSpaceDE w:val="0"/>
        <w:autoSpaceDN w:val="0"/>
        <w:adjustRightInd w:val="0"/>
        <w:spacing w:before="0" w:after="240"/>
        <w:rPr>
          <w:i/>
          <w:noProof/>
          <w:szCs w:val="24"/>
        </w:rPr>
      </w:pPr>
      <w:r w:rsidRPr="00D43058">
        <w:rPr>
          <w:noProof/>
          <w:szCs w:val="24"/>
        </w:rPr>
        <w:t xml:space="preserve">The EU Entry/Exit System (EES), which </w:t>
      </w:r>
      <w:r w:rsidR="004F3054" w:rsidRPr="00D43058">
        <w:rPr>
          <w:noProof/>
          <w:szCs w:val="24"/>
        </w:rPr>
        <w:t xml:space="preserve">is planned to </w:t>
      </w:r>
      <w:r w:rsidRPr="00D43058">
        <w:rPr>
          <w:noProof/>
          <w:szCs w:val="24"/>
        </w:rPr>
        <w:t xml:space="preserve">enter into operation in September 2022, will </w:t>
      </w:r>
      <w:r w:rsidR="004F3054" w:rsidRPr="00D43058">
        <w:rPr>
          <w:noProof/>
          <w:szCs w:val="24"/>
        </w:rPr>
        <w:t xml:space="preserve">contribute </w:t>
      </w:r>
      <w:r w:rsidRPr="00D43058">
        <w:rPr>
          <w:noProof/>
          <w:szCs w:val="24"/>
        </w:rPr>
        <w:t>to ensur</w:t>
      </w:r>
      <w:r w:rsidR="007151B6">
        <w:rPr>
          <w:noProof/>
          <w:szCs w:val="24"/>
        </w:rPr>
        <w:t>ing</w:t>
      </w:r>
      <w:r w:rsidRPr="00D43058">
        <w:rPr>
          <w:noProof/>
          <w:szCs w:val="24"/>
        </w:rPr>
        <w:t xml:space="preserve"> </w:t>
      </w:r>
      <w:r w:rsidR="004F3054" w:rsidRPr="00D43058">
        <w:rPr>
          <w:noProof/>
          <w:szCs w:val="24"/>
        </w:rPr>
        <w:t xml:space="preserve">a lawful use of the visa exemption </w:t>
      </w:r>
      <w:r w:rsidRPr="00D43058">
        <w:rPr>
          <w:noProof/>
          <w:szCs w:val="24"/>
        </w:rPr>
        <w:t xml:space="preserve">by third country nationals. </w:t>
      </w:r>
      <w:r w:rsidR="004F3054" w:rsidRPr="00D43058">
        <w:rPr>
          <w:noProof/>
          <w:szCs w:val="24"/>
        </w:rPr>
        <w:t>In addition, t</w:t>
      </w:r>
      <w:r w:rsidRPr="00D43058">
        <w:rPr>
          <w:noProof/>
          <w:szCs w:val="24"/>
        </w:rPr>
        <w:t xml:space="preserve">he European Travel Information and Authorisation System (ETIAS), which </w:t>
      </w:r>
      <w:r w:rsidR="004F3054" w:rsidRPr="00D43058">
        <w:rPr>
          <w:noProof/>
          <w:szCs w:val="24"/>
        </w:rPr>
        <w:t xml:space="preserve">is planned to </w:t>
      </w:r>
      <w:r w:rsidRPr="00D43058">
        <w:rPr>
          <w:noProof/>
          <w:szCs w:val="24"/>
        </w:rPr>
        <w:t>start operating in May 2023, will allow for the pre-travel screening for visa-free third country nationals, effectively contributing to maintaining and strengthening the security of the Schengen Area</w:t>
      </w:r>
      <w:r w:rsidR="004F3054" w:rsidRPr="00D43058">
        <w:rPr>
          <w:i/>
          <w:noProof/>
          <w:szCs w:val="24"/>
        </w:rPr>
        <w:t>.</w:t>
      </w:r>
    </w:p>
    <w:p w14:paraId="7653825C" w14:textId="77777777" w:rsidR="00F739D5" w:rsidRPr="00D43058" w:rsidRDefault="00F962F5" w:rsidP="0053361B">
      <w:pPr>
        <w:pStyle w:val="ManualHeading1"/>
        <w:spacing w:before="0" w:after="240"/>
        <w:ind w:left="0" w:firstLine="0"/>
        <w:rPr>
          <w:noProof/>
        </w:rPr>
      </w:pPr>
      <w:r w:rsidRPr="00AC6118">
        <w:rPr>
          <w:noProof/>
        </w:rPr>
        <w:t>.</w:t>
      </w:r>
      <w:r w:rsidR="00F739D5" w:rsidRPr="00D43058">
        <w:rPr>
          <w:noProof/>
        </w:rPr>
        <w:t>2.</w:t>
      </w:r>
      <w:r w:rsidR="00F739D5" w:rsidRPr="00D43058">
        <w:rPr>
          <w:noProof/>
        </w:rPr>
        <w:tab/>
        <w:t>LEGAL BASIS, SUBSIDIARITY AND PROPORTIONALITY</w:t>
      </w:r>
    </w:p>
    <w:p w14:paraId="7CBCEEA4" w14:textId="77777777" w:rsidR="00F739D5" w:rsidRPr="00D43058" w:rsidRDefault="00F739D5"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t>Legal basis</w:t>
      </w:r>
    </w:p>
    <w:p w14:paraId="771C0714" w14:textId="77777777" w:rsidR="00A77AEE" w:rsidRPr="00D43058" w:rsidRDefault="002050CD" w:rsidP="0053361B">
      <w:pPr>
        <w:pBdr>
          <w:top w:val="nil"/>
          <w:left w:val="nil"/>
          <w:bottom w:val="nil"/>
          <w:right w:val="nil"/>
          <w:between w:val="nil"/>
          <w:bar w:val="nil"/>
        </w:pBdr>
        <w:spacing w:before="0" w:after="240"/>
        <w:rPr>
          <w:rFonts w:eastAsia="Calibri"/>
          <w:noProof/>
          <w:lang w:eastAsia="en-GB"/>
        </w:rPr>
      </w:pPr>
      <w:r>
        <w:rPr>
          <w:rFonts w:eastAsia="Calibri"/>
          <w:noProof/>
          <w:lang w:val="en-US" w:eastAsia="en-GB"/>
        </w:rPr>
        <w:t>T</w:t>
      </w:r>
      <w:r w:rsidR="00A77AEE" w:rsidRPr="00D43058">
        <w:rPr>
          <w:rFonts w:eastAsia="Calibri"/>
          <w:noProof/>
          <w:lang w:eastAsia="en-GB"/>
        </w:rPr>
        <w:t xml:space="preserve">he legal basis for the proposal is point (a) of Article 77(2) of the Treaty on the Functioning of the European Union (TFEU). The proposed regulation will constitute a development of the Schengen </w:t>
      </w:r>
      <w:r w:rsidR="00A77AEE" w:rsidRPr="00D43058">
        <w:rPr>
          <w:rFonts w:eastAsia="Calibri"/>
          <w:i/>
          <w:noProof/>
          <w:lang w:eastAsia="en-GB"/>
        </w:rPr>
        <w:t>acquis</w:t>
      </w:r>
      <w:r w:rsidR="00A77AEE" w:rsidRPr="00D43058">
        <w:rPr>
          <w:rFonts w:eastAsia="Calibri"/>
          <w:noProof/>
          <w:lang w:eastAsia="en-GB"/>
        </w:rPr>
        <w:t>.</w:t>
      </w:r>
    </w:p>
    <w:p w14:paraId="09489410" w14:textId="77777777" w:rsidR="00F739D5" w:rsidRPr="00D43058" w:rsidRDefault="00A77AEE"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t>Subsidiarity, proportionality and choice of the instrument</w:t>
      </w:r>
      <w:r w:rsidR="00F739D5" w:rsidRPr="00D43058">
        <w:rPr>
          <w:rFonts w:eastAsia="Arial Unicode MS"/>
          <w:noProof/>
          <w:u w:color="000000"/>
          <w:bdr w:val="nil"/>
          <w:lang w:val="en-US" w:eastAsia="en-GB"/>
        </w:rPr>
        <w:t xml:space="preserve"> </w:t>
      </w:r>
    </w:p>
    <w:p w14:paraId="4064DEC9" w14:textId="77777777" w:rsidR="00F739D5" w:rsidRPr="00D43058" w:rsidRDefault="002050CD" w:rsidP="0053361B">
      <w:pPr>
        <w:pBdr>
          <w:top w:val="nil"/>
          <w:left w:val="nil"/>
          <w:bottom w:val="nil"/>
          <w:right w:val="nil"/>
          <w:between w:val="nil"/>
          <w:bar w:val="nil"/>
        </w:pBdr>
        <w:spacing w:before="0" w:after="240"/>
        <w:rPr>
          <w:rFonts w:eastAsia="Calibri"/>
          <w:noProof/>
          <w:lang w:val="en-US" w:eastAsia="en-GB"/>
        </w:rPr>
      </w:pPr>
      <w:r>
        <w:rPr>
          <w:rFonts w:eastAsia="Calibri"/>
          <w:noProof/>
          <w:lang w:val="en-US" w:eastAsia="en-GB"/>
        </w:rPr>
        <w:t>The necessary amendment to</w:t>
      </w:r>
      <w:r w:rsidR="00A77AEE" w:rsidRPr="00D43058">
        <w:rPr>
          <w:rFonts w:eastAsia="Calibri"/>
          <w:noProof/>
          <w:lang w:val="en-US" w:eastAsia="en-GB"/>
        </w:rPr>
        <w:t xml:space="preserve"> Regulation </w:t>
      </w:r>
      <w:r w:rsidR="00A77AEE" w:rsidRPr="00D43058">
        <w:rPr>
          <w:rFonts w:eastAsia="Calibri"/>
          <w:noProof/>
          <w:lang w:eastAsia="en-GB"/>
        </w:rPr>
        <w:t xml:space="preserve">(EU) No 2018/1806 is </w:t>
      </w:r>
      <w:r>
        <w:rPr>
          <w:rFonts w:eastAsia="Calibri"/>
          <w:noProof/>
          <w:lang w:eastAsia="en-GB"/>
        </w:rPr>
        <w:t xml:space="preserve">to be done by means of a regulation. </w:t>
      </w:r>
      <w:r w:rsidR="00A77AEE" w:rsidRPr="00D43058">
        <w:rPr>
          <w:rFonts w:eastAsia="Calibri"/>
          <w:noProof/>
          <w:lang w:eastAsia="en-GB"/>
        </w:rPr>
        <w:t xml:space="preserve">Member States cannot act individually to achieve the policy objective. </w:t>
      </w:r>
      <w:r w:rsidR="00A77AEE" w:rsidRPr="00D43058">
        <w:rPr>
          <w:noProof/>
        </w:rPr>
        <w:t>No other (non-legislative) options to achieve the policy objective are available.</w:t>
      </w:r>
    </w:p>
    <w:p w14:paraId="78C3AEF7" w14:textId="77777777" w:rsidR="00F739D5" w:rsidRPr="00D43058" w:rsidRDefault="00F739D5" w:rsidP="0053361B">
      <w:pPr>
        <w:pStyle w:val="ManualHeading1"/>
        <w:spacing w:before="0" w:after="240"/>
        <w:rPr>
          <w:noProof/>
        </w:rPr>
      </w:pPr>
      <w:r w:rsidRPr="00D43058">
        <w:rPr>
          <w:noProof/>
        </w:rPr>
        <w:t>3.</w:t>
      </w:r>
      <w:r w:rsidRPr="00D43058">
        <w:rPr>
          <w:noProof/>
        </w:rPr>
        <w:tab/>
        <w:t>RESULTS OF EX-POST EVALUATIONS, STAKEHOLDER CONSULTATIONS AND IMPACT ASSESSMENTS</w:t>
      </w:r>
    </w:p>
    <w:p w14:paraId="061C33CB" w14:textId="77777777" w:rsidR="00F739D5" w:rsidRPr="00D43058" w:rsidRDefault="00F739D5"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t>Stakeholder consultations</w:t>
      </w:r>
    </w:p>
    <w:p w14:paraId="02FBA22E" w14:textId="77777777" w:rsidR="00E74A40" w:rsidRPr="00AC6118" w:rsidRDefault="00C33025" w:rsidP="0053361B">
      <w:pPr>
        <w:pBdr>
          <w:top w:val="nil"/>
          <w:left w:val="nil"/>
          <w:bottom w:val="nil"/>
          <w:right w:val="nil"/>
          <w:between w:val="nil"/>
          <w:bar w:val="nil"/>
        </w:pBdr>
        <w:spacing w:before="0" w:after="240"/>
        <w:rPr>
          <w:noProof/>
        </w:rPr>
      </w:pPr>
      <w:r w:rsidRPr="00AC6118">
        <w:rPr>
          <w:noProof/>
        </w:rPr>
        <w:t xml:space="preserve">Discussions with Member States on the possibility of a revision of the EU lists of visa-free and visa-required countries, as well as on the methodology and scope of such revision, have taken place at the Visa Working Party. </w:t>
      </w:r>
      <w:r w:rsidR="00E74A40" w:rsidRPr="00AC6118">
        <w:rPr>
          <w:noProof/>
        </w:rPr>
        <w:t xml:space="preserve">The </w:t>
      </w:r>
      <w:r w:rsidR="009B7322" w:rsidRPr="00AC6118">
        <w:rPr>
          <w:noProof/>
        </w:rPr>
        <w:t xml:space="preserve">requirements for </w:t>
      </w:r>
      <w:r w:rsidR="00F9647E" w:rsidRPr="00AC6118">
        <w:rPr>
          <w:noProof/>
        </w:rPr>
        <w:t xml:space="preserve">the </w:t>
      </w:r>
      <w:r w:rsidR="009B7322" w:rsidRPr="00AC6118">
        <w:rPr>
          <w:noProof/>
        </w:rPr>
        <w:t xml:space="preserve">EU visa exemption have </w:t>
      </w:r>
      <w:r w:rsidR="00E74A40" w:rsidRPr="00AC6118">
        <w:rPr>
          <w:noProof/>
        </w:rPr>
        <w:t xml:space="preserve">been discussed with </w:t>
      </w:r>
      <w:r w:rsidR="009B7322" w:rsidRPr="00AC6118">
        <w:rPr>
          <w:noProof/>
        </w:rPr>
        <w:t xml:space="preserve">the </w:t>
      </w:r>
      <w:r w:rsidR="00E74A40" w:rsidRPr="00AC6118">
        <w:rPr>
          <w:noProof/>
        </w:rPr>
        <w:t xml:space="preserve">countries </w:t>
      </w:r>
      <w:r w:rsidR="00675898" w:rsidRPr="00AC6118">
        <w:rPr>
          <w:noProof/>
        </w:rPr>
        <w:t xml:space="preserve">concerned </w:t>
      </w:r>
      <w:r w:rsidR="009941AE" w:rsidRPr="00AC6118">
        <w:rPr>
          <w:noProof/>
        </w:rPr>
        <w:t xml:space="preserve">and both have stated their interest in securing visa-free travel to the EU on </w:t>
      </w:r>
      <w:r w:rsidR="00E74A40" w:rsidRPr="00AC6118">
        <w:rPr>
          <w:noProof/>
        </w:rPr>
        <w:t>various occasions.</w:t>
      </w:r>
    </w:p>
    <w:p w14:paraId="0A89715E" w14:textId="77777777" w:rsidR="00F739D5" w:rsidRPr="00D43058" w:rsidRDefault="009B7322"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r>
      <w:r w:rsidR="00F739D5" w:rsidRPr="00D43058">
        <w:rPr>
          <w:rFonts w:eastAsia="Arial Unicode MS"/>
          <w:noProof/>
          <w:u w:color="000000"/>
          <w:bdr w:val="nil"/>
          <w:lang w:val="en-US" w:eastAsia="en-GB"/>
        </w:rPr>
        <w:t>Fundamental rights</w:t>
      </w:r>
    </w:p>
    <w:p w14:paraId="55CECE89" w14:textId="77777777" w:rsidR="00F8591B" w:rsidRPr="00AC6118" w:rsidRDefault="00F8591B" w:rsidP="0053361B">
      <w:pPr>
        <w:pBdr>
          <w:top w:val="nil"/>
          <w:left w:val="nil"/>
          <w:bottom w:val="nil"/>
          <w:right w:val="nil"/>
          <w:between w:val="nil"/>
          <w:bar w:val="nil"/>
        </w:pBdr>
        <w:spacing w:before="0" w:after="240"/>
        <w:rPr>
          <w:noProof/>
        </w:rPr>
      </w:pPr>
      <w:r w:rsidRPr="00AC6118">
        <w:rPr>
          <w:noProof/>
        </w:rPr>
        <w:t xml:space="preserve">This proposal has no negative consequences for the protection of fundamental rights in the European Union. </w:t>
      </w:r>
    </w:p>
    <w:p w14:paraId="79D62EC1" w14:textId="77777777" w:rsidR="00F739D5" w:rsidRPr="00D43058" w:rsidRDefault="00F8591B" w:rsidP="0053361B">
      <w:pPr>
        <w:pStyle w:val="ManualHeading1"/>
        <w:spacing w:before="0" w:after="240"/>
        <w:rPr>
          <w:noProof/>
        </w:rPr>
      </w:pPr>
      <w:r w:rsidRPr="00D43058">
        <w:rPr>
          <w:noProof/>
        </w:rPr>
        <w:t>4</w:t>
      </w:r>
      <w:r w:rsidR="00F739D5" w:rsidRPr="00D43058">
        <w:rPr>
          <w:noProof/>
        </w:rPr>
        <w:t>.</w:t>
      </w:r>
      <w:r w:rsidR="00F739D5" w:rsidRPr="00D43058">
        <w:rPr>
          <w:noProof/>
        </w:rPr>
        <w:tab/>
        <w:t>OTHER ELEMENTS</w:t>
      </w:r>
    </w:p>
    <w:p w14:paraId="28CCA098" w14:textId="77777777" w:rsidR="00F739D5" w:rsidRPr="00D43058" w:rsidRDefault="00F739D5"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t>Implementation plans and monitoring, evaluation and reporting arrangements</w:t>
      </w:r>
    </w:p>
    <w:p w14:paraId="4D39B212" w14:textId="77777777" w:rsidR="002000E3" w:rsidRPr="00D43058" w:rsidRDefault="00F8591B" w:rsidP="0053361B">
      <w:pPr>
        <w:pBdr>
          <w:top w:val="nil"/>
          <w:left w:val="nil"/>
          <w:bottom w:val="nil"/>
          <w:right w:val="nil"/>
          <w:between w:val="nil"/>
          <w:bar w:val="nil"/>
        </w:pBdr>
        <w:spacing w:before="0" w:after="240"/>
        <w:rPr>
          <w:noProof/>
        </w:rPr>
      </w:pPr>
      <w:r w:rsidRPr="00D43058">
        <w:rPr>
          <w:noProof/>
        </w:rPr>
        <w:t xml:space="preserve">The </w:t>
      </w:r>
      <w:r w:rsidR="00F9647E">
        <w:rPr>
          <w:noProof/>
        </w:rPr>
        <w:t>propose</w:t>
      </w:r>
      <w:r w:rsidR="00F9647E" w:rsidRPr="00D43058">
        <w:rPr>
          <w:noProof/>
        </w:rPr>
        <w:t xml:space="preserve">d </w:t>
      </w:r>
      <w:r w:rsidRPr="00D43058">
        <w:rPr>
          <w:noProof/>
        </w:rPr>
        <w:t>Regulation will be directly applicable from the date of its entry into force</w:t>
      </w:r>
      <w:r w:rsidR="00F9647E">
        <w:rPr>
          <w:noProof/>
        </w:rPr>
        <w:t xml:space="preserve">. The exemption from the visa requirement will apply from the date </w:t>
      </w:r>
      <w:r w:rsidR="00F9647E" w:rsidRPr="00F9647E">
        <w:rPr>
          <w:noProof/>
        </w:rPr>
        <w:t xml:space="preserve">of entry into force of an agreement on visa exemption to be concluded between the European Union and </w:t>
      </w:r>
      <w:r w:rsidR="00034F27">
        <w:rPr>
          <w:noProof/>
          <w:szCs w:val="24"/>
        </w:rPr>
        <w:t>Kuwait and Qatar</w:t>
      </w:r>
      <w:r w:rsidR="00F9647E">
        <w:rPr>
          <w:noProof/>
        </w:rPr>
        <w:t>.</w:t>
      </w:r>
      <w:r w:rsidR="001C2537" w:rsidRPr="00D43058">
        <w:rPr>
          <w:noProof/>
        </w:rPr>
        <w:t xml:space="preserve"> </w:t>
      </w:r>
      <w:r w:rsidR="002000E3" w:rsidRPr="00D43058">
        <w:rPr>
          <w:noProof/>
        </w:rPr>
        <w:t>The Commission will continue to monitor closely</w:t>
      </w:r>
      <w:r w:rsidR="002232A1" w:rsidRPr="00D43058">
        <w:rPr>
          <w:noProof/>
        </w:rPr>
        <w:t xml:space="preserve"> the fulfilment of the requirements of Article 1 of Regulation (EU) 2018/1806</w:t>
      </w:r>
      <w:r w:rsidR="00F9647E">
        <w:rPr>
          <w:noProof/>
        </w:rPr>
        <w:t xml:space="preserve"> after the entry into force of the visa waiver agreements</w:t>
      </w:r>
      <w:r w:rsidR="002232A1" w:rsidRPr="00D43058">
        <w:rPr>
          <w:noProof/>
        </w:rPr>
        <w:t xml:space="preserve">. </w:t>
      </w:r>
    </w:p>
    <w:p w14:paraId="397147FD" w14:textId="77777777" w:rsidR="00F739D5" w:rsidRPr="00D43058" w:rsidRDefault="00F739D5" w:rsidP="0053361B">
      <w:pPr>
        <w:pStyle w:val="ManualHeading2"/>
        <w:spacing w:before="0" w:after="240"/>
        <w:rPr>
          <w:rFonts w:eastAsia="Arial Unicode MS"/>
          <w:noProof/>
          <w:u w:color="000000"/>
          <w:bdr w:val="nil"/>
          <w:lang w:val="en-US" w:eastAsia="en-GB"/>
        </w:rPr>
      </w:pPr>
      <w:r w:rsidRPr="00D43058">
        <w:rPr>
          <w:rFonts w:eastAsia="Arial Unicode MS"/>
          <w:noProof/>
          <w:u w:color="000000"/>
          <w:bdr w:val="nil"/>
          <w:lang w:val="en-US" w:eastAsia="en-GB"/>
        </w:rPr>
        <w:t>•</w:t>
      </w:r>
      <w:r w:rsidRPr="00D43058">
        <w:rPr>
          <w:rFonts w:eastAsia="Arial Unicode MS"/>
          <w:noProof/>
          <w:u w:color="000000"/>
          <w:bdr w:val="nil"/>
          <w:lang w:val="en-US" w:eastAsia="en-GB"/>
        </w:rPr>
        <w:tab/>
        <w:t>Detailed explanation of the specific provisions of the proposal</w:t>
      </w:r>
    </w:p>
    <w:p w14:paraId="49E37A85" w14:textId="77777777" w:rsidR="00F739D5" w:rsidRPr="00D43058" w:rsidRDefault="00F9647E" w:rsidP="000417FD">
      <w:pPr>
        <w:pBdr>
          <w:top w:val="nil"/>
          <w:left w:val="nil"/>
          <w:bottom w:val="nil"/>
          <w:right w:val="nil"/>
          <w:between w:val="nil"/>
          <w:bar w:val="nil"/>
        </w:pBdr>
        <w:spacing w:before="0" w:after="240"/>
        <w:rPr>
          <w:rFonts w:eastAsia="Arial Unicode MS"/>
          <w:noProof/>
        </w:rPr>
        <w:sectPr w:rsidR="00F739D5" w:rsidRPr="00D43058" w:rsidSect="00C86D53">
          <w:footerReference w:type="default" r:id="rId13"/>
          <w:footerReference w:type="first" r:id="rId14"/>
          <w:pgSz w:w="11907" w:h="16839"/>
          <w:pgMar w:top="1134" w:right="1417" w:bottom="1134" w:left="1417" w:header="709" w:footer="709" w:gutter="0"/>
          <w:cols w:space="708"/>
          <w:docGrid w:linePitch="360"/>
        </w:sectPr>
      </w:pPr>
      <w:r w:rsidRPr="00AC6118">
        <w:rPr>
          <w:noProof/>
        </w:rPr>
        <w:t xml:space="preserve">It is proposed to amend </w:t>
      </w:r>
      <w:r w:rsidR="002000E3" w:rsidRPr="00AC6118">
        <w:rPr>
          <w:noProof/>
        </w:rPr>
        <w:t xml:space="preserve">Regulation (EU) 2018/1806 </w:t>
      </w:r>
      <w:r w:rsidRPr="00AC6118">
        <w:rPr>
          <w:noProof/>
        </w:rPr>
        <w:t>by</w:t>
      </w:r>
      <w:r w:rsidR="002000E3" w:rsidRPr="00AC6118">
        <w:rPr>
          <w:noProof/>
        </w:rPr>
        <w:t>, transferring</w:t>
      </w:r>
      <w:r w:rsidR="00BF734E" w:rsidRPr="00AC6118">
        <w:rPr>
          <w:noProof/>
        </w:rPr>
        <w:t xml:space="preserve"> </w:t>
      </w:r>
      <w:r w:rsidR="00034F27" w:rsidRPr="00034F27">
        <w:rPr>
          <w:noProof/>
          <w:szCs w:val="24"/>
        </w:rPr>
        <w:t xml:space="preserve"> </w:t>
      </w:r>
      <w:r w:rsidR="00034F27">
        <w:rPr>
          <w:noProof/>
          <w:szCs w:val="24"/>
        </w:rPr>
        <w:t>Kuwait and Qatar</w:t>
      </w:r>
      <w:r w:rsidR="00034F27" w:rsidRPr="00D43058">
        <w:rPr>
          <w:noProof/>
          <w:szCs w:val="24"/>
        </w:rPr>
        <w:t xml:space="preserve"> </w:t>
      </w:r>
      <w:r w:rsidR="002000E3" w:rsidRPr="00D43058">
        <w:rPr>
          <w:noProof/>
        </w:rPr>
        <w:t>from Annex I (</w:t>
      </w:r>
      <w:r w:rsidRPr="00F9647E">
        <w:rPr>
          <w:noProof/>
        </w:rPr>
        <w:t>list of third countries whose nationals are required to be in possession of a visa when crossing the external borders of the member states</w:t>
      </w:r>
      <w:r>
        <w:rPr>
          <w:noProof/>
        </w:rPr>
        <w:t>)</w:t>
      </w:r>
      <w:r w:rsidR="005610D1">
        <w:rPr>
          <w:noProof/>
        </w:rPr>
        <w:t xml:space="preserve"> </w:t>
      </w:r>
      <w:r w:rsidR="002000E3" w:rsidRPr="00D43058">
        <w:rPr>
          <w:noProof/>
        </w:rPr>
        <w:t>to Annex II (</w:t>
      </w:r>
      <w:r w:rsidRPr="00F9647E">
        <w:rPr>
          <w:noProof/>
        </w:rPr>
        <w:t>list of third countries whose nationals are exempt from the requirement to be in possession of a visa when crossing the external borders of the member states for stays of no more than 90 days in any 180-day period</w:t>
      </w:r>
      <w:r w:rsidR="002000E3" w:rsidRPr="00D43058">
        <w:rPr>
          <w:noProof/>
        </w:rPr>
        <w:t xml:space="preserve">). </w:t>
      </w:r>
    </w:p>
    <w:p w14:paraId="776EB164" w14:textId="73A08254" w:rsidR="00105871" w:rsidRDefault="00105871" w:rsidP="00105871">
      <w:pPr>
        <w:pStyle w:val="Rfrenceinterinstitutionnelle"/>
        <w:rPr>
          <w:noProof/>
        </w:rPr>
      </w:pPr>
      <w:r w:rsidRPr="00105871">
        <w:t>2022/0135 (COD)</w:t>
      </w:r>
    </w:p>
    <w:p w14:paraId="36E01057" w14:textId="206C57BD" w:rsidR="00F739D5" w:rsidRPr="00D43058" w:rsidRDefault="00E95DF8" w:rsidP="00E95DF8">
      <w:pPr>
        <w:pStyle w:val="Statut"/>
        <w:rPr>
          <w:noProof/>
        </w:rPr>
      </w:pPr>
      <w:r w:rsidRPr="00E95DF8">
        <w:rPr>
          <w:noProof/>
        </w:rPr>
        <w:t>Proposal for a</w:t>
      </w:r>
    </w:p>
    <w:p w14:paraId="4CDFB325" w14:textId="4B133B0B" w:rsidR="00F739D5" w:rsidRPr="00D43058" w:rsidRDefault="00E95DF8" w:rsidP="00E95DF8">
      <w:pPr>
        <w:pStyle w:val="Typedudocument"/>
        <w:rPr>
          <w:noProof/>
        </w:rPr>
      </w:pPr>
      <w:r w:rsidRPr="00E95DF8">
        <w:rPr>
          <w:noProof/>
        </w:rPr>
        <w:t>REGULATION OF THE EUROPEAN PARLIAMENT AND OF THE COUNCIL</w:t>
      </w:r>
    </w:p>
    <w:p w14:paraId="3CE86E9B" w14:textId="75EE6D95" w:rsidR="00F739D5" w:rsidRPr="00D43058" w:rsidRDefault="00E95DF8" w:rsidP="00E95DF8">
      <w:pPr>
        <w:pStyle w:val="Titreobjet"/>
        <w:rPr>
          <w:noProof/>
        </w:rPr>
      </w:pPr>
      <w:r w:rsidRPr="00E95DF8">
        <w:rPr>
          <w:noProof/>
        </w:rPr>
        <w:t>amending Regulation (EU) 2018/1806, listing the third countries whose nationals must be in possession of visas when crossing the external borders and those whose nationals are exempt from that requirement</w:t>
      </w:r>
      <w:r w:rsidRPr="00E95DF8">
        <w:rPr>
          <w:noProof/>
        </w:rPr>
        <w:br/>
      </w:r>
      <w:r w:rsidRPr="00E95DF8">
        <w:rPr>
          <w:noProof/>
        </w:rPr>
        <w:br/>
        <w:t>(Kuwait, Qatar)</w:t>
      </w:r>
    </w:p>
    <w:p w14:paraId="3BE7F3D2" w14:textId="77777777" w:rsidR="00F739D5" w:rsidRPr="00D43058" w:rsidRDefault="00F739D5" w:rsidP="0053361B">
      <w:pPr>
        <w:pStyle w:val="Institutionquiagit"/>
        <w:spacing w:before="0" w:after="240"/>
        <w:rPr>
          <w:noProof/>
        </w:rPr>
      </w:pPr>
      <w:r w:rsidRPr="00D43058">
        <w:rPr>
          <w:noProof/>
        </w:rPr>
        <w:t>THE EUROPEAN PARLIAMENT AND THE COUNCIL OF THE EUROPEAN UNION,</w:t>
      </w:r>
    </w:p>
    <w:p w14:paraId="4C818C04" w14:textId="77777777" w:rsidR="00F739D5" w:rsidRPr="00D43058" w:rsidRDefault="00F739D5" w:rsidP="0053361B">
      <w:pPr>
        <w:spacing w:before="0" w:after="240"/>
        <w:rPr>
          <w:noProof/>
        </w:rPr>
      </w:pPr>
      <w:r w:rsidRPr="00D43058">
        <w:rPr>
          <w:noProof/>
        </w:rPr>
        <w:t xml:space="preserve">Having regard to the Treaty on the Functioning of the European Union, and in particular Article </w:t>
      </w:r>
      <w:r w:rsidR="002000E3" w:rsidRPr="00AC6118">
        <w:rPr>
          <w:noProof/>
        </w:rPr>
        <w:t>77(2)</w:t>
      </w:r>
      <w:r w:rsidR="00F9647E" w:rsidRPr="00AC6118">
        <w:rPr>
          <w:noProof/>
        </w:rPr>
        <w:t>, point (a)</w:t>
      </w:r>
      <w:r w:rsidRPr="00D43058">
        <w:rPr>
          <w:noProof/>
        </w:rPr>
        <w:t xml:space="preserve"> thereof,</w:t>
      </w:r>
    </w:p>
    <w:p w14:paraId="20E54F4B" w14:textId="77777777" w:rsidR="00F739D5" w:rsidRPr="00D43058" w:rsidRDefault="00F739D5" w:rsidP="0053361B">
      <w:pPr>
        <w:spacing w:before="0" w:after="240"/>
        <w:rPr>
          <w:noProof/>
        </w:rPr>
      </w:pPr>
      <w:r w:rsidRPr="00D43058">
        <w:rPr>
          <w:noProof/>
        </w:rPr>
        <w:t>Having regard to the proposal from the European Commission,</w:t>
      </w:r>
    </w:p>
    <w:p w14:paraId="181FC1EC" w14:textId="77777777" w:rsidR="00F739D5" w:rsidRPr="00D43058" w:rsidRDefault="00F739D5" w:rsidP="0053361B">
      <w:pPr>
        <w:spacing w:before="0" w:after="240"/>
        <w:rPr>
          <w:noProof/>
        </w:rPr>
      </w:pPr>
      <w:r w:rsidRPr="00D43058">
        <w:rPr>
          <w:noProof/>
        </w:rPr>
        <w:t>After transmission of the draft legislative act to the national parliaments,</w:t>
      </w:r>
    </w:p>
    <w:p w14:paraId="155F2DC3" w14:textId="77777777" w:rsidR="00F739D5" w:rsidRPr="00D43058" w:rsidRDefault="00F739D5" w:rsidP="0053361B">
      <w:pPr>
        <w:spacing w:before="0" w:after="240"/>
        <w:rPr>
          <w:noProof/>
        </w:rPr>
      </w:pPr>
      <w:r w:rsidRPr="00D43058">
        <w:rPr>
          <w:noProof/>
        </w:rPr>
        <w:t>Acting in accordance with the ordinary legislative procedure,</w:t>
      </w:r>
    </w:p>
    <w:p w14:paraId="7F6B6010" w14:textId="77777777" w:rsidR="00F739D5" w:rsidRPr="00D43058" w:rsidRDefault="00F739D5" w:rsidP="0053361B">
      <w:pPr>
        <w:spacing w:before="0" w:after="240"/>
        <w:rPr>
          <w:noProof/>
        </w:rPr>
      </w:pPr>
      <w:r w:rsidRPr="00D43058">
        <w:rPr>
          <w:noProof/>
        </w:rPr>
        <w:t>Whereas:</w:t>
      </w:r>
    </w:p>
    <w:p w14:paraId="555137ED" w14:textId="61807318" w:rsidR="003A24CA" w:rsidRPr="00D43058" w:rsidRDefault="00261B2C" w:rsidP="00261B2C">
      <w:pPr>
        <w:pStyle w:val="ManualConsidrant"/>
        <w:rPr>
          <w:noProof/>
        </w:rPr>
      </w:pPr>
      <w:r w:rsidRPr="00261B2C">
        <w:t>(1)</w:t>
      </w:r>
      <w:r w:rsidRPr="00261B2C">
        <w:tab/>
      </w:r>
      <w:r w:rsidR="003A24CA" w:rsidRPr="00D43058">
        <w:rPr>
          <w:noProof/>
        </w:rPr>
        <w:t>Regulation (EU) 2018/1806</w:t>
      </w:r>
      <w:r w:rsidR="00F9647E" w:rsidRPr="00F9647E">
        <w:rPr>
          <w:noProof/>
        </w:rPr>
        <w:t xml:space="preserve"> </w:t>
      </w:r>
      <w:r w:rsidR="00F9647E" w:rsidRPr="002301BD">
        <w:rPr>
          <w:noProof/>
        </w:rPr>
        <w:t>of the European Parliament and of the Council</w:t>
      </w:r>
      <w:r w:rsidR="003A24CA" w:rsidRPr="00D43058">
        <w:rPr>
          <w:rStyle w:val="FootnoteReference"/>
          <w:noProof/>
        </w:rPr>
        <w:footnoteReference w:id="6"/>
      </w:r>
      <w:r w:rsidR="003A24CA" w:rsidRPr="00D43058">
        <w:rPr>
          <w:noProof/>
        </w:rPr>
        <w:t xml:space="preserve"> lists the third countries whose nationals must be in possession of a visa when crossing the external borders of the Member States and those whose nationals are exempt from that requirement. </w:t>
      </w:r>
    </w:p>
    <w:p w14:paraId="27DB7184" w14:textId="46024E3E" w:rsidR="003A24CA" w:rsidRPr="00D43058" w:rsidRDefault="00261B2C" w:rsidP="00261B2C">
      <w:pPr>
        <w:pStyle w:val="ManualConsidrant"/>
        <w:rPr>
          <w:noProof/>
        </w:rPr>
      </w:pPr>
      <w:r w:rsidRPr="00261B2C">
        <w:t>(2)</w:t>
      </w:r>
      <w:r w:rsidRPr="00261B2C">
        <w:tab/>
      </w:r>
      <w:r w:rsidR="00F9647E" w:rsidRPr="00D43058">
        <w:rPr>
          <w:noProof/>
        </w:rPr>
        <w:t xml:space="preserve">The third countries whose nationals are </w:t>
      </w:r>
      <w:r w:rsidR="00F9647E">
        <w:rPr>
          <w:noProof/>
        </w:rPr>
        <w:t>exempt from</w:t>
      </w:r>
      <w:r w:rsidR="00F9647E" w:rsidRPr="00D43058">
        <w:rPr>
          <w:noProof/>
        </w:rPr>
        <w:t xml:space="preserve"> the visa requirement </w:t>
      </w:r>
      <w:r w:rsidR="00F9647E">
        <w:rPr>
          <w:noProof/>
        </w:rPr>
        <w:t>are determined on the basis of</w:t>
      </w:r>
      <w:r w:rsidR="00F9647E" w:rsidRPr="00D43058">
        <w:rPr>
          <w:noProof/>
        </w:rPr>
        <w:t xml:space="preserve"> a case-by-case assessment </w:t>
      </w:r>
      <w:r w:rsidR="00F9647E">
        <w:rPr>
          <w:noProof/>
        </w:rPr>
        <w:t>of a variety of criteria</w:t>
      </w:r>
      <w:r w:rsidR="00F9647E" w:rsidRPr="00D43058">
        <w:rPr>
          <w:noProof/>
        </w:rPr>
        <w:t xml:space="preserve"> laid down in Article 1 of </w:t>
      </w:r>
      <w:r w:rsidR="00F9647E" w:rsidRPr="00D43058">
        <w:rPr>
          <w:rFonts w:eastAsia="Calibri"/>
          <w:noProof/>
          <w:lang w:eastAsia="en-GB"/>
        </w:rPr>
        <w:t>Regulation (EU) 2018/1806</w:t>
      </w:r>
      <w:r w:rsidR="003A24CA" w:rsidRPr="00D43058">
        <w:rPr>
          <w:noProof/>
        </w:rPr>
        <w:t xml:space="preserve">. </w:t>
      </w:r>
      <w:r w:rsidR="005610D1">
        <w:rPr>
          <w:noProof/>
        </w:rPr>
        <w:t>T</w:t>
      </w:r>
      <w:r w:rsidR="0011749B">
        <w:rPr>
          <w:noProof/>
        </w:rPr>
        <w:t>hose criteria relate, inter alia, to</w:t>
      </w:r>
      <w:r w:rsidR="0011749B" w:rsidRPr="00D43058">
        <w:rPr>
          <w:noProof/>
        </w:rPr>
        <w:t xml:space="preserve"> </w:t>
      </w:r>
      <w:r w:rsidR="003A24CA" w:rsidRPr="00D43058">
        <w:rPr>
          <w:noProof/>
          <w:szCs w:val="24"/>
        </w:rPr>
        <w:t>“illegal immigration, public policy and security, economic benefit, in particular in terms of tourism and foreign trade, and the Union’s external relations with the relevant third countries, including in particular, considerations of human rights and fundamental freedoms, as well as the implications of regional coherence and reciprocity”.</w:t>
      </w:r>
    </w:p>
    <w:p w14:paraId="289E9671" w14:textId="5BE39CC6" w:rsidR="002232A1" w:rsidRPr="00D43058" w:rsidRDefault="00261B2C" w:rsidP="00261B2C">
      <w:pPr>
        <w:pStyle w:val="ManualConsidrant"/>
        <w:rPr>
          <w:noProof/>
        </w:rPr>
      </w:pPr>
      <w:r w:rsidRPr="00261B2C">
        <w:t>(3)</w:t>
      </w:r>
      <w:r w:rsidRPr="00261B2C">
        <w:tab/>
      </w:r>
      <w:r w:rsidR="00034F27">
        <w:rPr>
          <w:noProof/>
          <w:szCs w:val="24"/>
        </w:rPr>
        <w:t>Kuwait and Qatar</w:t>
      </w:r>
      <w:r w:rsidR="00034F27" w:rsidRPr="00D43058">
        <w:rPr>
          <w:noProof/>
          <w:szCs w:val="24"/>
        </w:rPr>
        <w:t xml:space="preserve"> </w:t>
      </w:r>
      <w:r w:rsidR="009612CB" w:rsidRPr="00D43058">
        <w:rPr>
          <w:noProof/>
        </w:rPr>
        <w:t xml:space="preserve">present low </w:t>
      </w:r>
      <w:r w:rsidR="0011749B">
        <w:rPr>
          <w:noProof/>
        </w:rPr>
        <w:t xml:space="preserve">risks of </w:t>
      </w:r>
      <w:r w:rsidR="009612CB" w:rsidRPr="00D43058">
        <w:rPr>
          <w:noProof/>
        </w:rPr>
        <w:t xml:space="preserve">irregular migration to the </w:t>
      </w:r>
      <w:r w:rsidR="0011749B">
        <w:rPr>
          <w:noProof/>
        </w:rPr>
        <w:t>Union</w:t>
      </w:r>
      <w:r w:rsidR="009612CB" w:rsidRPr="00D43058">
        <w:rPr>
          <w:noProof/>
        </w:rPr>
        <w:t xml:space="preserve"> and issue biometric passports</w:t>
      </w:r>
      <w:r w:rsidR="00E32EDE" w:rsidRPr="00D43058">
        <w:rPr>
          <w:noProof/>
        </w:rPr>
        <w:t xml:space="preserve"> in line with standards of the International Civil Aviation Organisation</w:t>
      </w:r>
      <w:r w:rsidR="009612CB" w:rsidRPr="00D43058">
        <w:rPr>
          <w:noProof/>
        </w:rPr>
        <w:t xml:space="preserve">. Security cooperation with </w:t>
      </w:r>
      <w:r w:rsidR="0011749B">
        <w:rPr>
          <w:noProof/>
        </w:rPr>
        <w:t xml:space="preserve">those </w:t>
      </w:r>
      <w:r w:rsidR="009612CB" w:rsidRPr="00D43058">
        <w:rPr>
          <w:noProof/>
        </w:rPr>
        <w:t>countries has intensified in recent years. As regards economic interest</w:t>
      </w:r>
      <w:r w:rsidR="00675898" w:rsidRPr="00D43058">
        <w:rPr>
          <w:noProof/>
        </w:rPr>
        <w:t>s</w:t>
      </w:r>
      <w:r w:rsidR="009612CB" w:rsidRPr="00D43058">
        <w:rPr>
          <w:noProof/>
        </w:rPr>
        <w:t xml:space="preserve">, </w:t>
      </w:r>
      <w:r w:rsidR="00034F27">
        <w:rPr>
          <w:noProof/>
          <w:szCs w:val="24"/>
        </w:rPr>
        <w:t>Kuwait and Qatar</w:t>
      </w:r>
      <w:r w:rsidR="00034F27" w:rsidRPr="00D43058">
        <w:rPr>
          <w:noProof/>
          <w:szCs w:val="24"/>
        </w:rPr>
        <w:t xml:space="preserve"> </w:t>
      </w:r>
      <w:r w:rsidR="00E14B8E" w:rsidRPr="00D43058">
        <w:rPr>
          <w:noProof/>
        </w:rPr>
        <w:t xml:space="preserve">are </w:t>
      </w:r>
      <w:r w:rsidR="009612CB" w:rsidRPr="00D43058">
        <w:rPr>
          <w:noProof/>
        </w:rPr>
        <w:t xml:space="preserve">important economic </w:t>
      </w:r>
      <w:r w:rsidR="00E14B8E" w:rsidRPr="00D43058">
        <w:rPr>
          <w:noProof/>
        </w:rPr>
        <w:t xml:space="preserve">partners for the </w:t>
      </w:r>
      <w:r w:rsidR="0011749B">
        <w:rPr>
          <w:noProof/>
        </w:rPr>
        <w:t>Union</w:t>
      </w:r>
      <w:r w:rsidR="009612CB" w:rsidRPr="00D43058">
        <w:rPr>
          <w:noProof/>
        </w:rPr>
        <w:t xml:space="preserve">, </w:t>
      </w:r>
      <w:r w:rsidR="00F32E68" w:rsidRPr="00D43058">
        <w:rPr>
          <w:noProof/>
        </w:rPr>
        <w:t xml:space="preserve">in particular in the area of energy. </w:t>
      </w:r>
      <w:r w:rsidR="00FB0E5C" w:rsidRPr="00D43058">
        <w:rPr>
          <w:noProof/>
        </w:rPr>
        <w:t xml:space="preserve">Although challenges remain </w:t>
      </w:r>
      <w:r w:rsidR="004F3054" w:rsidRPr="00D43058">
        <w:rPr>
          <w:noProof/>
        </w:rPr>
        <w:t xml:space="preserve">in the area of human rights and fundamental freedoms, </w:t>
      </w:r>
      <w:r w:rsidR="00034F27">
        <w:rPr>
          <w:noProof/>
          <w:szCs w:val="24"/>
        </w:rPr>
        <w:t>Kuwait and Qatar</w:t>
      </w:r>
      <w:r w:rsidR="00034F27" w:rsidRPr="00D43058">
        <w:rPr>
          <w:noProof/>
          <w:szCs w:val="24"/>
        </w:rPr>
        <w:t xml:space="preserve"> </w:t>
      </w:r>
      <w:r w:rsidR="009612CB" w:rsidRPr="00D43058">
        <w:rPr>
          <w:noProof/>
        </w:rPr>
        <w:t>have undergone societal transformation</w:t>
      </w:r>
      <w:r w:rsidR="00675898" w:rsidRPr="00D43058">
        <w:rPr>
          <w:noProof/>
        </w:rPr>
        <w:t>s</w:t>
      </w:r>
      <w:r w:rsidR="00747AD9" w:rsidRPr="00D43058">
        <w:rPr>
          <w:noProof/>
        </w:rPr>
        <w:t xml:space="preserve"> and improvements</w:t>
      </w:r>
      <w:r w:rsidR="009612CB" w:rsidRPr="00D43058">
        <w:rPr>
          <w:noProof/>
        </w:rPr>
        <w:t xml:space="preserve"> </w:t>
      </w:r>
      <w:r w:rsidR="004F3054" w:rsidRPr="00D43058">
        <w:rPr>
          <w:noProof/>
        </w:rPr>
        <w:t>regarding</w:t>
      </w:r>
      <w:r w:rsidR="009612CB" w:rsidRPr="00D43058">
        <w:rPr>
          <w:noProof/>
        </w:rPr>
        <w:t xml:space="preserve"> </w:t>
      </w:r>
      <w:r w:rsidR="00C342E2">
        <w:rPr>
          <w:noProof/>
        </w:rPr>
        <w:t xml:space="preserve">women’s rights, </w:t>
      </w:r>
      <w:r w:rsidR="009612CB" w:rsidRPr="00D43058">
        <w:rPr>
          <w:noProof/>
        </w:rPr>
        <w:t xml:space="preserve">labour </w:t>
      </w:r>
      <w:r w:rsidR="00943C92">
        <w:rPr>
          <w:noProof/>
        </w:rPr>
        <w:t>rights</w:t>
      </w:r>
      <w:r w:rsidR="00943C92" w:rsidRPr="00D43058">
        <w:rPr>
          <w:noProof/>
        </w:rPr>
        <w:t xml:space="preserve"> </w:t>
      </w:r>
      <w:r w:rsidR="009612CB" w:rsidRPr="00D43058">
        <w:rPr>
          <w:noProof/>
        </w:rPr>
        <w:t xml:space="preserve">and freedom of religion and interfaith </w:t>
      </w:r>
      <w:r w:rsidR="005610D1" w:rsidRPr="00D43058">
        <w:rPr>
          <w:noProof/>
        </w:rPr>
        <w:t>dialogue and</w:t>
      </w:r>
      <w:r w:rsidR="004F3054" w:rsidRPr="00D43058">
        <w:rPr>
          <w:noProof/>
        </w:rPr>
        <w:t xml:space="preserve"> are expected to continue </w:t>
      </w:r>
      <w:r w:rsidR="00675898" w:rsidRPr="00D43058">
        <w:rPr>
          <w:noProof/>
        </w:rPr>
        <w:t xml:space="preserve">making </w:t>
      </w:r>
      <w:r w:rsidR="004F3054" w:rsidRPr="00D43058">
        <w:rPr>
          <w:noProof/>
        </w:rPr>
        <w:t>progress and reforms</w:t>
      </w:r>
      <w:r w:rsidR="009941AE">
        <w:rPr>
          <w:noProof/>
        </w:rPr>
        <w:t xml:space="preserve">. The </w:t>
      </w:r>
      <w:r w:rsidR="000417FD" w:rsidRPr="00D43058">
        <w:rPr>
          <w:noProof/>
        </w:rPr>
        <w:t>long-term</w:t>
      </w:r>
      <w:r w:rsidR="00AC6118">
        <w:rPr>
          <w:noProof/>
        </w:rPr>
        <w:t xml:space="preserve"> </w:t>
      </w:r>
      <w:r w:rsidR="0053361B" w:rsidRPr="00D43058">
        <w:rPr>
          <w:noProof/>
        </w:rPr>
        <w:t>benefit</w:t>
      </w:r>
      <w:r w:rsidR="0042735A">
        <w:rPr>
          <w:noProof/>
        </w:rPr>
        <w:t>s</w:t>
      </w:r>
      <w:r w:rsidR="0053361B" w:rsidRPr="00D43058">
        <w:rPr>
          <w:noProof/>
        </w:rPr>
        <w:t xml:space="preserve"> of visa-free travel to the EU</w:t>
      </w:r>
      <w:r w:rsidR="0042735A">
        <w:rPr>
          <w:noProof/>
        </w:rPr>
        <w:t xml:space="preserve"> can reinforce positive trends in these areas.</w:t>
      </w:r>
    </w:p>
    <w:p w14:paraId="66FE3D72" w14:textId="6FFD1A37" w:rsidR="002232A1" w:rsidRDefault="00261B2C" w:rsidP="00261B2C">
      <w:pPr>
        <w:pStyle w:val="ManualConsidrant"/>
        <w:rPr>
          <w:noProof/>
        </w:rPr>
      </w:pPr>
      <w:r w:rsidRPr="00261B2C">
        <w:t>(4)</w:t>
      </w:r>
      <w:r w:rsidRPr="00261B2C">
        <w:tab/>
      </w:r>
      <w:r w:rsidR="002232A1" w:rsidRPr="00D43058">
        <w:rPr>
          <w:noProof/>
        </w:rPr>
        <w:t>Consequently, nationals of those countries should be exempt from the visa requirement for stays of no more than 90 days in any 180-day period, and references to those countries should be transferred to Annex II to Regulation (EU) 2018/1806.</w:t>
      </w:r>
    </w:p>
    <w:p w14:paraId="42883ACC" w14:textId="1F2F2DCF" w:rsidR="0011749B" w:rsidRPr="0011749B" w:rsidRDefault="00261B2C" w:rsidP="00261B2C">
      <w:pPr>
        <w:pStyle w:val="ManualConsidrant"/>
        <w:rPr>
          <w:noProof/>
        </w:rPr>
      </w:pPr>
      <w:r w:rsidRPr="00261B2C">
        <w:t>(5)</w:t>
      </w:r>
      <w:r w:rsidRPr="00261B2C">
        <w:tab/>
      </w:r>
      <w:r w:rsidR="0011749B" w:rsidRPr="0011749B">
        <w:rPr>
          <w:noProof/>
        </w:rPr>
        <w:t xml:space="preserve">The exemption from the visa requirement for nationals of </w:t>
      </w:r>
      <w:r w:rsidR="00034F27">
        <w:rPr>
          <w:noProof/>
          <w:szCs w:val="24"/>
        </w:rPr>
        <w:t>Kuwait and Qatar</w:t>
      </w:r>
      <w:r w:rsidR="00034F27" w:rsidRPr="00D43058">
        <w:rPr>
          <w:noProof/>
          <w:szCs w:val="24"/>
        </w:rPr>
        <w:t xml:space="preserve"> </w:t>
      </w:r>
      <w:r w:rsidR="0011749B" w:rsidRPr="0011749B">
        <w:rPr>
          <w:noProof/>
        </w:rPr>
        <w:t xml:space="preserve">is without prejudice to the application of EU restrictive measures adopted on the basis of Article 29 TEU and Article 215 TFEU. </w:t>
      </w:r>
    </w:p>
    <w:p w14:paraId="7F446BAA" w14:textId="19F67690" w:rsidR="002232A1" w:rsidRPr="00D43058" w:rsidRDefault="00261B2C" w:rsidP="00261B2C">
      <w:pPr>
        <w:pStyle w:val="ManualConsidrant"/>
        <w:rPr>
          <w:noProof/>
        </w:rPr>
      </w:pPr>
      <w:r w:rsidRPr="00261B2C">
        <w:t>(6)</w:t>
      </w:r>
      <w:r w:rsidRPr="00261B2C">
        <w:tab/>
      </w:r>
      <w:r w:rsidR="0053361B" w:rsidRPr="00D43058">
        <w:rPr>
          <w:noProof/>
        </w:rPr>
        <w:t>The e</w:t>
      </w:r>
      <w:r w:rsidR="002232A1" w:rsidRPr="00D43058">
        <w:rPr>
          <w:noProof/>
        </w:rPr>
        <w:t xml:space="preserve">xemption from the visa requirement for nationals of </w:t>
      </w:r>
      <w:r w:rsidR="00034F27">
        <w:rPr>
          <w:noProof/>
          <w:szCs w:val="24"/>
        </w:rPr>
        <w:t>Kuwait and Qatar</w:t>
      </w:r>
      <w:r w:rsidR="00034F27" w:rsidRPr="00D43058">
        <w:rPr>
          <w:noProof/>
          <w:szCs w:val="24"/>
        </w:rPr>
        <w:t xml:space="preserve"> </w:t>
      </w:r>
      <w:r w:rsidR="002232A1" w:rsidRPr="00D43058">
        <w:rPr>
          <w:noProof/>
        </w:rPr>
        <w:t xml:space="preserve">should not </w:t>
      </w:r>
      <w:r w:rsidR="0011749B">
        <w:rPr>
          <w:noProof/>
        </w:rPr>
        <w:t>apply</w:t>
      </w:r>
      <w:r w:rsidR="002232A1" w:rsidRPr="00D43058">
        <w:rPr>
          <w:noProof/>
        </w:rPr>
        <w:t xml:space="preserve"> until bilateral agreements on visa waiver between the Union and </w:t>
      </w:r>
      <w:r w:rsidR="00034F27">
        <w:rPr>
          <w:noProof/>
          <w:szCs w:val="24"/>
        </w:rPr>
        <w:t>Kuwait and Qatar</w:t>
      </w:r>
      <w:r w:rsidR="00034F27" w:rsidRPr="00D43058">
        <w:rPr>
          <w:noProof/>
          <w:szCs w:val="24"/>
        </w:rPr>
        <w:t xml:space="preserve"> </w:t>
      </w:r>
      <w:r w:rsidR="002232A1" w:rsidRPr="00D43058">
        <w:rPr>
          <w:noProof/>
        </w:rPr>
        <w:t>have been concluded</w:t>
      </w:r>
      <w:r w:rsidR="004F3054" w:rsidRPr="00D43058">
        <w:rPr>
          <w:noProof/>
        </w:rPr>
        <w:t>,</w:t>
      </w:r>
      <w:r w:rsidR="002232A1" w:rsidRPr="00D43058">
        <w:rPr>
          <w:noProof/>
        </w:rPr>
        <w:t xml:space="preserve"> in order</w:t>
      </w:r>
      <w:r w:rsidR="0042735A">
        <w:rPr>
          <w:noProof/>
        </w:rPr>
        <w:t xml:space="preserve"> notably</w:t>
      </w:r>
      <w:r w:rsidR="002232A1" w:rsidRPr="00D43058">
        <w:rPr>
          <w:noProof/>
        </w:rPr>
        <w:t xml:space="preserve"> to ensure full reciprocity</w:t>
      </w:r>
      <w:r w:rsidR="0042735A">
        <w:rPr>
          <w:noProof/>
        </w:rPr>
        <w:t xml:space="preserve"> is maintained</w:t>
      </w:r>
      <w:r w:rsidR="002232A1" w:rsidRPr="00D43058">
        <w:rPr>
          <w:noProof/>
        </w:rPr>
        <w:t>.</w:t>
      </w:r>
    </w:p>
    <w:p w14:paraId="7EE34480" w14:textId="32F91DBC" w:rsidR="0011749B" w:rsidRDefault="00261B2C" w:rsidP="00261B2C">
      <w:pPr>
        <w:pStyle w:val="ManualConsidrant"/>
        <w:rPr>
          <w:noProof/>
        </w:rPr>
      </w:pPr>
      <w:r w:rsidRPr="00261B2C">
        <w:t>(7)</w:t>
      </w:r>
      <w:r w:rsidRPr="00261B2C">
        <w:tab/>
      </w:r>
      <w:r w:rsidR="0011749B" w:rsidRPr="0011749B">
        <w:rPr>
          <w:noProof/>
        </w:rPr>
        <w:t>Regulation (EU) 2018/1806 should therefore be amended accordingly,</w:t>
      </w:r>
    </w:p>
    <w:p w14:paraId="6FC7EA7E" w14:textId="6BC9ACDA" w:rsidR="003A24CA" w:rsidRPr="00D43058" w:rsidRDefault="00261B2C" w:rsidP="00261B2C">
      <w:pPr>
        <w:pStyle w:val="ManualConsidrant"/>
        <w:rPr>
          <w:noProof/>
        </w:rPr>
      </w:pPr>
      <w:r w:rsidRPr="00261B2C">
        <w:t>(8)</w:t>
      </w:r>
      <w:r w:rsidRPr="00261B2C">
        <w:tab/>
      </w:r>
      <w:r w:rsidR="003A24CA" w:rsidRPr="00D43058">
        <w:rPr>
          <w:noProof/>
        </w:rPr>
        <w:t xml:space="preserve">This Regulation constitutes a development of provisions of the Schengen </w:t>
      </w:r>
      <w:r w:rsidR="003A24CA" w:rsidRPr="00D43058">
        <w:rPr>
          <w:i/>
          <w:noProof/>
        </w:rPr>
        <w:t>acquis</w:t>
      </w:r>
      <w:r w:rsidR="003A24CA" w:rsidRPr="00D43058">
        <w:rPr>
          <w:noProof/>
        </w:rPr>
        <w:t xml:space="preserve"> in which Ireland does not take part, in accordance with Council Decision 2002/192/EC</w:t>
      </w:r>
      <w:r w:rsidR="003A24CA" w:rsidRPr="00D43058">
        <w:rPr>
          <w:rStyle w:val="FootnoteReference"/>
          <w:noProof/>
        </w:rPr>
        <w:footnoteReference w:id="7"/>
      </w:r>
      <w:r w:rsidR="003A24CA" w:rsidRPr="00D43058">
        <w:rPr>
          <w:noProof/>
        </w:rPr>
        <w:t xml:space="preserve">. Ireland is therefore not taking part in the adoption of this Regulation and is not bound by it or subject to its application. </w:t>
      </w:r>
    </w:p>
    <w:p w14:paraId="637BD7B0" w14:textId="4A1D9428" w:rsidR="003A24CA" w:rsidRPr="00D43058" w:rsidRDefault="00261B2C" w:rsidP="00261B2C">
      <w:pPr>
        <w:pStyle w:val="ManualConsidrant"/>
        <w:rPr>
          <w:noProof/>
        </w:rPr>
      </w:pPr>
      <w:r w:rsidRPr="00261B2C">
        <w:t>(9)</w:t>
      </w:r>
      <w:r w:rsidRPr="00261B2C">
        <w:tab/>
      </w:r>
      <w:r w:rsidR="003A24CA" w:rsidRPr="00D43058">
        <w:rPr>
          <w:noProof/>
        </w:rPr>
        <w:t xml:space="preserve">As regards Iceland and Norway, this Regulation constitutes a development of provisions of the Schengen </w:t>
      </w:r>
      <w:r w:rsidR="003A24CA" w:rsidRPr="00D43058">
        <w:rPr>
          <w:i/>
          <w:noProof/>
        </w:rPr>
        <w:t>acquis</w:t>
      </w:r>
      <w:r w:rsidR="003A24CA" w:rsidRPr="00D43058">
        <w:rPr>
          <w:noProof/>
        </w:rPr>
        <w:t xml:space="preserve"> within the meaning of the Agreement concluded by the Council of the European Union and the Republic of Iceland and the Kingdom of Norway concerning the association of those two States with the implementation, application and development of the Schengen </w:t>
      </w:r>
      <w:r w:rsidR="003A24CA" w:rsidRPr="00D43058">
        <w:rPr>
          <w:i/>
          <w:noProof/>
        </w:rPr>
        <w:t>acquis</w:t>
      </w:r>
      <w:r w:rsidR="003A24CA" w:rsidRPr="00D43058">
        <w:rPr>
          <w:noProof/>
        </w:rPr>
        <w:t>, which fall within the area referred to in point B of Article 1, of Council Decision 1999/437/EC</w:t>
      </w:r>
      <w:r w:rsidR="003A24CA" w:rsidRPr="00D43058">
        <w:rPr>
          <w:rStyle w:val="FootnoteReference"/>
          <w:noProof/>
        </w:rPr>
        <w:footnoteReference w:id="8"/>
      </w:r>
      <w:r w:rsidR="003A24CA" w:rsidRPr="00D43058">
        <w:rPr>
          <w:noProof/>
        </w:rPr>
        <w:t>.</w:t>
      </w:r>
    </w:p>
    <w:p w14:paraId="210E54C7" w14:textId="30F1DFA5" w:rsidR="003A24CA" w:rsidRPr="00D43058" w:rsidRDefault="00261B2C" w:rsidP="00261B2C">
      <w:pPr>
        <w:pStyle w:val="ManualConsidrant"/>
        <w:rPr>
          <w:noProof/>
        </w:rPr>
      </w:pPr>
      <w:r w:rsidRPr="00261B2C">
        <w:t>(10)</w:t>
      </w:r>
      <w:r w:rsidRPr="00261B2C">
        <w:tab/>
      </w:r>
      <w:r w:rsidR="003A24CA" w:rsidRPr="00D43058">
        <w:rPr>
          <w:noProof/>
        </w:rPr>
        <w:t xml:space="preserve">As regards Switzerland, this Regulation constitutes a development of the provisions of the Schengen </w:t>
      </w:r>
      <w:r w:rsidR="003A24CA" w:rsidRPr="00D43058">
        <w:rPr>
          <w:i/>
          <w:noProof/>
        </w:rPr>
        <w:t>acquis</w:t>
      </w:r>
      <w:r w:rsidR="003A24CA" w:rsidRPr="00D43058">
        <w:rPr>
          <w:noProof/>
        </w:rPr>
        <w:t xml:space="preserve"> within the meaning of the Agreement between the European Union, the European Community and the Swiss Confederation on the Swiss Confederation's association with the implementation, application and development of the Schengen </w:t>
      </w:r>
      <w:r w:rsidR="003A24CA" w:rsidRPr="00D43058">
        <w:rPr>
          <w:i/>
          <w:noProof/>
        </w:rPr>
        <w:t>acquis</w:t>
      </w:r>
      <w:r w:rsidR="003A24CA" w:rsidRPr="00D43058">
        <w:rPr>
          <w:noProof/>
        </w:rPr>
        <w:t>, which fall within the area referred to in point B of Article 1, of Decision 1999/437/EC, read in conjunction with Article 3 of Council Decision 2008/146/EC</w:t>
      </w:r>
      <w:r w:rsidR="003A24CA" w:rsidRPr="00D43058">
        <w:rPr>
          <w:rStyle w:val="FootnoteReference"/>
          <w:noProof/>
        </w:rPr>
        <w:footnoteReference w:id="9"/>
      </w:r>
      <w:r w:rsidR="003A24CA" w:rsidRPr="00D43058">
        <w:rPr>
          <w:noProof/>
        </w:rPr>
        <w:t>.</w:t>
      </w:r>
    </w:p>
    <w:p w14:paraId="3DD727F7" w14:textId="385F093B" w:rsidR="003A24CA" w:rsidRDefault="00261B2C" w:rsidP="00261B2C">
      <w:pPr>
        <w:pStyle w:val="ManualConsidrant"/>
        <w:rPr>
          <w:noProof/>
        </w:rPr>
      </w:pPr>
      <w:r w:rsidRPr="00261B2C">
        <w:t>(11)</w:t>
      </w:r>
      <w:r w:rsidRPr="00261B2C">
        <w:tab/>
      </w:r>
      <w:r w:rsidR="003A24CA" w:rsidRPr="00D43058">
        <w:rPr>
          <w:noProof/>
        </w:rPr>
        <w:t xml:space="preserve">As regards Liechtenstein, this Regulation constitutes a development of the provisions of the Schengen </w:t>
      </w:r>
      <w:r w:rsidR="003A24CA" w:rsidRPr="00D43058">
        <w:rPr>
          <w:i/>
          <w:noProof/>
        </w:rPr>
        <w:t>acquis</w:t>
      </w:r>
      <w:r w:rsidR="003A24CA" w:rsidRPr="00D43058">
        <w:rPr>
          <w:noProof/>
        </w:rPr>
        <w:t xml:space="preserve"> within the meaning of the Protocol signed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3A24CA" w:rsidRPr="00D43058">
        <w:rPr>
          <w:i/>
          <w:noProof/>
        </w:rPr>
        <w:t>acquis</w:t>
      </w:r>
      <w:r w:rsidR="003A24CA" w:rsidRPr="00D43058">
        <w:rPr>
          <w:noProof/>
        </w:rPr>
        <w:t>, which fall within the area referred to in point B of Article 1, of Decision 1999/437/EC read in conjunction with Article 3 of Council Decision 2011/350/EU</w:t>
      </w:r>
      <w:r w:rsidR="003A24CA" w:rsidRPr="00D43058">
        <w:rPr>
          <w:rStyle w:val="FootnoteReference"/>
          <w:noProof/>
        </w:rPr>
        <w:footnoteReference w:id="10"/>
      </w:r>
      <w:r w:rsidR="003A24CA" w:rsidRPr="00D43058">
        <w:rPr>
          <w:noProof/>
        </w:rPr>
        <w:t>,</w:t>
      </w:r>
    </w:p>
    <w:p w14:paraId="02250820" w14:textId="12D60A8A" w:rsidR="0011749B" w:rsidRPr="00D43058" w:rsidRDefault="00261B2C" w:rsidP="00261B2C">
      <w:pPr>
        <w:pStyle w:val="ManualConsidrant"/>
        <w:rPr>
          <w:noProof/>
        </w:rPr>
      </w:pPr>
      <w:r w:rsidRPr="00261B2C">
        <w:t>(12)</w:t>
      </w:r>
      <w:r w:rsidRPr="00261B2C">
        <w:tab/>
      </w:r>
      <w:r w:rsidR="0011749B" w:rsidRPr="0011749B">
        <w:rPr>
          <w:noProof/>
        </w:rPr>
        <w:t>This Regulation constitutes an act building upon, or otherwise relating to, the Schengen acquis within, respectively, the meaning of Article 3(1) of the 2003 Act of Accession, Article 4(1) of the 2005 Act of Accession and Article 4(1) of the 2011 Act of Accessi</w:t>
      </w:r>
      <w:r w:rsidR="00E95DF8">
        <w:rPr>
          <w:noProof/>
        </w:rPr>
        <w:t>on.</w:t>
      </w:r>
    </w:p>
    <w:p w14:paraId="61B55B7C" w14:textId="77777777" w:rsidR="00F739D5" w:rsidRPr="00D43058" w:rsidRDefault="00F739D5" w:rsidP="0053361B">
      <w:pPr>
        <w:pStyle w:val="Formuledadoption"/>
        <w:spacing w:before="0" w:after="240"/>
        <w:rPr>
          <w:noProof/>
        </w:rPr>
      </w:pPr>
      <w:r w:rsidRPr="00D43058">
        <w:rPr>
          <w:noProof/>
        </w:rPr>
        <w:t>HAVE ADOPTED THIS REGULATION:</w:t>
      </w:r>
    </w:p>
    <w:p w14:paraId="0583962B" w14:textId="77777777" w:rsidR="00F739D5" w:rsidRPr="00D43058" w:rsidRDefault="00F739D5" w:rsidP="0053361B">
      <w:pPr>
        <w:pStyle w:val="Titrearticle"/>
        <w:spacing w:before="0" w:after="240"/>
        <w:rPr>
          <w:noProof/>
        </w:rPr>
      </w:pPr>
      <w:r w:rsidRPr="00D43058">
        <w:rPr>
          <w:noProof/>
        </w:rPr>
        <w:t>Article 1</w:t>
      </w:r>
    </w:p>
    <w:p w14:paraId="2424AC3D" w14:textId="77777777" w:rsidR="00F739D5" w:rsidRPr="00AC6118" w:rsidRDefault="003A24CA" w:rsidP="0053361B">
      <w:pPr>
        <w:spacing w:before="0" w:after="240"/>
        <w:rPr>
          <w:noProof/>
        </w:rPr>
      </w:pPr>
      <w:r w:rsidRPr="00AC6118">
        <w:rPr>
          <w:noProof/>
        </w:rPr>
        <w:t>Regulation (EU) 2018/1806 is amended as follows:</w:t>
      </w:r>
    </w:p>
    <w:p w14:paraId="2DF077FA" w14:textId="77777777" w:rsidR="003A24CA" w:rsidRPr="00D43058" w:rsidRDefault="003A24CA" w:rsidP="0053361B">
      <w:pPr>
        <w:pStyle w:val="Text1"/>
        <w:spacing w:before="0" w:after="240"/>
        <w:rPr>
          <w:noProof/>
        </w:rPr>
      </w:pPr>
      <w:r w:rsidRPr="00AC6118">
        <w:rPr>
          <w:noProof/>
        </w:rPr>
        <w:t xml:space="preserve">(a) in </w:t>
      </w:r>
      <w:r w:rsidR="0011749B" w:rsidRPr="00AC6118">
        <w:rPr>
          <w:noProof/>
        </w:rPr>
        <w:t xml:space="preserve">point 1 of </w:t>
      </w:r>
      <w:r w:rsidRPr="00AC6118">
        <w:rPr>
          <w:noProof/>
        </w:rPr>
        <w:t>Annex I</w:t>
      </w:r>
      <w:r w:rsidR="00D929CF" w:rsidRPr="00AC6118">
        <w:rPr>
          <w:noProof/>
        </w:rPr>
        <w:t xml:space="preserve">, </w:t>
      </w:r>
      <w:r w:rsidRPr="00AC6118">
        <w:rPr>
          <w:noProof/>
        </w:rPr>
        <w:t>(“</w:t>
      </w:r>
      <w:r w:rsidR="00D929CF" w:rsidRPr="00AC6118">
        <w:rPr>
          <w:noProof/>
        </w:rPr>
        <w:t xml:space="preserve">STATES”) the references to </w:t>
      </w:r>
      <w:r w:rsidR="004F3054" w:rsidRPr="00AC6118">
        <w:rPr>
          <w:noProof/>
        </w:rPr>
        <w:t xml:space="preserve">Kuwait </w:t>
      </w:r>
      <w:r w:rsidR="00460AF0" w:rsidRPr="00AC6118">
        <w:rPr>
          <w:noProof/>
        </w:rPr>
        <w:t xml:space="preserve">and Qatar </w:t>
      </w:r>
      <w:r w:rsidR="00D929CF" w:rsidRPr="00D43058">
        <w:rPr>
          <w:noProof/>
        </w:rPr>
        <w:t>are deleted.</w:t>
      </w:r>
    </w:p>
    <w:p w14:paraId="7D378729" w14:textId="77777777" w:rsidR="00D929CF" w:rsidRDefault="00D929CF" w:rsidP="0053361B">
      <w:pPr>
        <w:pStyle w:val="Text1"/>
        <w:spacing w:before="0" w:after="240"/>
        <w:rPr>
          <w:noProof/>
        </w:rPr>
      </w:pPr>
      <w:r w:rsidRPr="00D43058">
        <w:rPr>
          <w:noProof/>
        </w:rPr>
        <w:t>(b) in Annex II</w:t>
      </w:r>
      <w:r w:rsidR="00B32673">
        <w:rPr>
          <w:noProof/>
        </w:rPr>
        <w:t>, Point 1</w:t>
      </w:r>
      <w:r w:rsidRPr="00D43058">
        <w:rPr>
          <w:noProof/>
        </w:rPr>
        <w:t xml:space="preserve"> (“STATES”), </w:t>
      </w:r>
      <w:r w:rsidR="00B32673">
        <w:rPr>
          <w:noProof/>
        </w:rPr>
        <w:t xml:space="preserve"> is amended as follows:</w:t>
      </w:r>
    </w:p>
    <w:p w14:paraId="56492BD3" w14:textId="77777777" w:rsidR="00B32673" w:rsidRPr="00B32673" w:rsidRDefault="00B32673" w:rsidP="000417FD">
      <w:pPr>
        <w:pStyle w:val="Text1"/>
        <w:rPr>
          <w:noProof/>
        </w:rPr>
      </w:pPr>
      <w:r w:rsidRPr="00B32673">
        <w:rPr>
          <w:noProof/>
        </w:rPr>
        <w:t>(i)</w:t>
      </w:r>
      <w:r w:rsidRPr="00B32673">
        <w:rPr>
          <w:noProof/>
        </w:rPr>
        <w:tab/>
        <w:t>between the references to … and to …., the following reference is inserted :</w:t>
      </w:r>
    </w:p>
    <w:p w14:paraId="50232846" w14:textId="77777777" w:rsidR="00B32673" w:rsidRPr="00D43058" w:rsidRDefault="00B32673" w:rsidP="0053361B">
      <w:pPr>
        <w:pStyle w:val="Text1"/>
        <w:spacing w:before="0" w:after="240"/>
        <w:rPr>
          <w:noProof/>
        </w:rPr>
      </w:pPr>
    </w:p>
    <w:p w14:paraId="6FCCF179" w14:textId="77777777" w:rsidR="00D929CF" w:rsidRPr="00D43058" w:rsidRDefault="002B5464" w:rsidP="002B5464">
      <w:pPr>
        <w:pStyle w:val="Text1"/>
        <w:spacing w:before="0" w:after="240"/>
        <w:rPr>
          <w:noProof/>
        </w:rPr>
      </w:pPr>
      <w:r w:rsidRPr="00D43058">
        <w:rPr>
          <w:noProof/>
        </w:rPr>
        <w:t xml:space="preserve"> </w:t>
      </w:r>
      <w:r w:rsidR="00D929CF" w:rsidRPr="00D43058">
        <w:rPr>
          <w:noProof/>
        </w:rPr>
        <w:t>“</w:t>
      </w:r>
      <w:r w:rsidR="005610D1">
        <w:rPr>
          <w:noProof/>
        </w:rPr>
        <w:t>Kuwait</w:t>
      </w:r>
      <w:r w:rsidR="005610D1" w:rsidRPr="00D43058">
        <w:rPr>
          <w:noProof/>
        </w:rPr>
        <w:t xml:space="preserve"> </w:t>
      </w:r>
      <w:r w:rsidR="002232A1" w:rsidRPr="00D43058">
        <w:rPr>
          <w:noProof/>
        </w:rPr>
        <w:t>(*)</w:t>
      </w:r>
      <w:r w:rsidR="002B0561" w:rsidRPr="00D43058">
        <w:rPr>
          <w:noProof/>
        </w:rPr>
        <w:t>(**)</w:t>
      </w:r>
      <w:r w:rsidR="00D929CF" w:rsidRPr="00D43058">
        <w:rPr>
          <w:noProof/>
        </w:rPr>
        <w:t>”</w:t>
      </w:r>
    </w:p>
    <w:p w14:paraId="2458AC50" w14:textId="77777777" w:rsidR="00B32673" w:rsidRPr="00D43058" w:rsidRDefault="00B32673" w:rsidP="00B32673">
      <w:pPr>
        <w:spacing w:before="0" w:after="240"/>
        <w:rPr>
          <w:noProof/>
        </w:rPr>
      </w:pPr>
      <w:r w:rsidRPr="00D43058">
        <w:rPr>
          <w:noProof/>
        </w:rPr>
        <w:t xml:space="preserve">(*) The exemption from the visa requirement shall apply from the date of </w:t>
      </w:r>
      <w:r w:rsidRPr="004447F5">
        <w:rPr>
          <w:noProof/>
        </w:rPr>
        <w:t>entry into force</w:t>
      </w:r>
      <w:r w:rsidRPr="00D43058">
        <w:rPr>
          <w:noProof/>
        </w:rPr>
        <w:t xml:space="preserve"> of an agreement on visa exemption to be concluded with the European Union.</w:t>
      </w:r>
    </w:p>
    <w:p w14:paraId="78D74E8D" w14:textId="77777777" w:rsidR="00B32673" w:rsidRDefault="00B32673" w:rsidP="000417FD">
      <w:pPr>
        <w:spacing w:before="0" w:after="240"/>
        <w:rPr>
          <w:noProof/>
        </w:rPr>
      </w:pPr>
      <w:r w:rsidRPr="00D43058">
        <w:rPr>
          <w:noProof/>
        </w:rPr>
        <w:t>(**) The exemption from the visa requirement shall only apply to holders of biometric passports issued in line with the standards of the International Civil Aviation Organisation (ICAO).</w:t>
      </w:r>
      <w:r>
        <w:rPr>
          <w:noProof/>
        </w:rPr>
        <w:t>’</w:t>
      </w:r>
    </w:p>
    <w:p w14:paraId="76ED8116" w14:textId="77777777" w:rsidR="00B32673" w:rsidRPr="00D43058" w:rsidRDefault="00B32673" w:rsidP="000417FD">
      <w:pPr>
        <w:pStyle w:val="Text1"/>
        <w:spacing w:before="0" w:after="240"/>
        <w:rPr>
          <w:noProof/>
        </w:rPr>
      </w:pPr>
      <w:r>
        <w:rPr>
          <w:noProof/>
        </w:rPr>
        <w:t>(ii)</w:t>
      </w:r>
      <w:r>
        <w:rPr>
          <w:noProof/>
        </w:rPr>
        <w:tab/>
        <w:t>between the references to … and to …., the following reference is inserted :</w:t>
      </w:r>
    </w:p>
    <w:p w14:paraId="107E3197" w14:textId="77777777" w:rsidR="00B32673" w:rsidRPr="00D43058" w:rsidDel="002B5464" w:rsidRDefault="00B32673" w:rsidP="00B32673">
      <w:pPr>
        <w:pStyle w:val="Text1"/>
        <w:spacing w:before="0" w:after="240"/>
        <w:rPr>
          <w:noProof/>
        </w:rPr>
      </w:pPr>
    </w:p>
    <w:p w14:paraId="5441266D" w14:textId="77777777" w:rsidR="00B32673" w:rsidRPr="00D43058" w:rsidRDefault="005610D1" w:rsidP="0053361B">
      <w:pPr>
        <w:pStyle w:val="Text1"/>
        <w:spacing w:before="0" w:after="240"/>
        <w:rPr>
          <w:noProof/>
        </w:rPr>
      </w:pPr>
      <w:r>
        <w:rPr>
          <w:noProof/>
        </w:rPr>
        <w:t>“</w:t>
      </w:r>
      <w:r w:rsidR="00B32673" w:rsidRPr="00D43058">
        <w:rPr>
          <w:noProof/>
        </w:rPr>
        <w:t>Qatar (*)(**)</w:t>
      </w:r>
      <w:r>
        <w:rPr>
          <w:noProof/>
        </w:rPr>
        <w:t>”</w:t>
      </w:r>
    </w:p>
    <w:p w14:paraId="626C02C1" w14:textId="77777777" w:rsidR="002232A1" w:rsidRPr="00D43058" w:rsidRDefault="002232A1" w:rsidP="0053361B">
      <w:pPr>
        <w:spacing w:before="0" w:after="240"/>
        <w:rPr>
          <w:noProof/>
        </w:rPr>
      </w:pPr>
      <w:r w:rsidRPr="00D43058">
        <w:rPr>
          <w:noProof/>
        </w:rPr>
        <w:t xml:space="preserve">(*) The exemption from the visa requirement shall apply from the date of </w:t>
      </w:r>
      <w:r w:rsidRPr="00D94CDB">
        <w:rPr>
          <w:noProof/>
        </w:rPr>
        <w:t>entry into force</w:t>
      </w:r>
      <w:r w:rsidRPr="00D43058">
        <w:rPr>
          <w:noProof/>
        </w:rPr>
        <w:t xml:space="preserve"> of an agreement on visa exemption to be concluded with the European Union.</w:t>
      </w:r>
    </w:p>
    <w:p w14:paraId="64B29A2D" w14:textId="77777777" w:rsidR="002B0561" w:rsidRPr="00D43058" w:rsidRDefault="002B0561" w:rsidP="0053361B">
      <w:pPr>
        <w:spacing w:before="0" w:after="240"/>
        <w:rPr>
          <w:noProof/>
        </w:rPr>
      </w:pPr>
      <w:r w:rsidRPr="00D43058">
        <w:rPr>
          <w:noProof/>
        </w:rPr>
        <w:t>(**) The exemption from the visa requirement shall only apply to holders of biometric passports</w:t>
      </w:r>
      <w:r w:rsidR="004F3054" w:rsidRPr="00D43058">
        <w:rPr>
          <w:noProof/>
        </w:rPr>
        <w:t xml:space="preserve"> </w:t>
      </w:r>
      <w:r w:rsidR="00173963" w:rsidRPr="00D43058">
        <w:rPr>
          <w:noProof/>
        </w:rPr>
        <w:t xml:space="preserve">issued ’in line with </w:t>
      </w:r>
      <w:r w:rsidR="00BF734E" w:rsidRPr="00D43058">
        <w:rPr>
          <w:noProof/>
        </w:rPr>
        <w:t xml:space="preserve">the </w:t>
      </w:r>
      <w:r w:rsidR="00173963" w:rsidRPr="00D43058">
        <w:rPr>
          <w:noProof/>
        </w:rPr>
        <w:t>standards of the International Civi</w:t>
      </w:r>
      <w:r w:rsidR="00BF734E" w:rsidRPr="00D43058">
        <w:rPr>
          <w:noProof/>
        </w:rPr>
        <w:t>l Aviation Organisation (ICAO).</w:t>
      </w:r>
    </w:p>
    <w:p w14:paraId="32D1980D" w14:textId="77777777" w:rsidR="00F739D5" w:rsidRPr="00D43058" w:rsidRDefault="00F739D5" w:rsidP="0053361B">
      <w:pPr>
        <w:pStyle w:val="Titrearticle"/>
        <w:spacing w:before="0" w:after="240"/>
        <w:rPr>
          <w:noProof/>
        </w:rPr>
      </w:pPr>
      <w:r w:rsidRPr="00D43058">
        <w:rPr>
          <w:noProof/>
        </w:rPr>
        <w:t xml:space="preserve">Article </w:t>
      </w:r>
      <w:r w:rsidR="00D929CF" w:rsidRPr="00AC6118">
        <w:rPr>
          <w:noProof/>
        </w:rPr>
        <w:t>2</w:t>
      </w:r>
    </w:p>
    <w:p w14:paraId="2DC2ED2F" w14:textId="77777777" w:rsidR="00F739D5" w:rsidRPr="00D43058" w:rsidRDefault="00F739D5" w:rsidP="0053361B">
      <w:pPr>
        <w:spacing w:before="0" w:after="240"/>
        <w:rPr>
          <w:noProof/>
        </w:rPr>
      </w:pPr>
      <w:r w:rsidRPr="00D43058">
        <w:rPr>
          <w:noProof/>
        </w:rPr>
        <w:t>This Regulatio</w:t>
      </w:r>
      <w:r w:rsidR="00D929CF" w:rsidRPr="00D43058">
        <w:rPr>
          <w:noProof/>
        </w:rPr>
        <w:t>n shall enter into force on the</w:t>
      </w:r>
      <w:r w:rsidRPr="00D43058">
        <w:rPr>
          <w:noProof/>
        </w:rPr>
        <w:t xml:space="preserve"> </w:t>
      </w:r>
      <w:r w:rsidR="00B32673">
        <w:rPr>
          <w:noProof/>
        </w:rPr>
        <w:t>twentieth</w:t>
      </w:r>
      <w:r w:rsidR="00B32673" w:rsidRPr="00D43058">
        <w:rPr>
          <w:noProof/>
        </w:rPr>
        <w:t xml:space="preserve"> </w:t>
      </w:r>
      <w:r w:rsidRPr="00D43058">
        <w:rPr>
          <w:noProof/>
        </w:rPr>
        <w:t xml:space="preserve">day following that of its publication in the </w:t>
      </w:r>
      <w:r w:rsidRPr="00D43058">
        <w:rPr>
          <w:i/>
          <w:noProof/>
        </w:rPr>
        <w:t>Official Journal of the European Union</w:t>
      </w:r>
      <w:r w:rsidRPr="00D43058">
        <w:rPr>
          <w:noProof/>
        </w:rPr>
        <w:t>.</w:t>
      </w:r>
    </w:p>
    <w:p w14:paraId="2A120256" w14:textId="77777777" w:rsidR="00F739D5" w:rsidRPr="00D43058" w:rsidRDefault="00F739D5" w:rsidP="00580AD2">
      <w:pPr>
        <w:pStyle w:val="Applicationdirecte"/>
        <w:keepNext/>
        <w:keepLines/>
        <w:spacing w:before="0" w:after="240"/>
        <w:rPr>
          <w:noProof/>
        </w:rPr>
      </w:pPr>
      <w:r w:rsidRPr="00D43058">
        <w:rPr>
          <w:noProof/>
        </w:rPr>
        <w:t>This Regulation shall be binding in its entirety and directly applicable in the Member States in accordance with the Treaties.</w:t>
      </w:r>
    </w:p>
    <w:p w14:paraId="0FF0640D" w14:textId="5F0AF2E8" w:rsidR="00F739D5" w:rsidRDefault="009F2C00" w:rsidP="00580AD2">
      <w:pPr>
        <w:pStyle w:val="Fait"/>
        <w:rPr>
          <w:noProof/>
        </w:rPr>
      </w:pPr>
      <w:r w:rsidRPr="009F2C00">
        <w:t>Done at Brussels,</w:t>
      </w:r>
    </w:p>
    <w:p w14:paraId="0C0F7CEE" w14:textId="77777777" w:rsidR="00CD321A" w:rsidRPr="00CD321A" w:rsidRDefault="00CD321A" w:rsidP="00580AD2">
      <w:pPr>
        <w:pStyle w:val="Institutionquisigne"/>
        <w:rPr>
          <w:noProof/>
        </w:rPr>
      </w:pPr>
    </w:p>
    <w:p w14:paraId="143B1327" w14:textId="77777777" w:rsidR="00F739D5" w:rsidRPr="00D43058" w:rsidRDefault="00F739D5" w:rsidP="00580AD2">
      <w:pPr>
        <w:pStyle w:val="Institutionquisigne"/>
        <w:spacing w:before="0" w:after="240"/>
        <w:rPr>
          <w:noProof/>
        </w:rPr>
      </w:pPr>
      <w:r w:rsidRPr="00D43058">
        <w:rPr>
          <w:noProof/>
        </w:rPr>
        <w:t>For the European Parliament</w:t>
      </w:r>
      <w:r w:rsidRPr="00D43058">
        <w:rPr>
          <w:noProof/>
        </w:rPr>
        <w:tab/>
        <w:t>For the Council</w:t>
      </w:r>
    </w:p>
    <w:p w14:paraId="395A7D22" w14:textId="77777777" w:rsidR="00F739D5" w:rsidRPr="00F739D5" w:rsidRDefault="00F739D5" w:rsidP="00580AD2">
      <w:pPr>
        <w:pStyle w:val="Personnequisigne"/>
        <w:keepNext/>
        <w:spacing w:after="240"/>
        <w:rPr>
          <w:noProof/>
        </w:rPr>
      </w:pPr>
      <w:r w:rsidRPr="00D43058">
        <w:rPr>
          <w:noProof/>
        </w:rPr>
        <w:t>The President</w:t>
      </w:r>
      <w:r w:rsidRPr="00D43058">
        <w:rPr>
          <w:noProof/>
        </w:rPr>
        <w:tab/>
        <w:t>The President</w:t>
      </w:r>
    </w:p>
    <w:p w14:paraId="5F7F6382" w14:textId="77777777" w:rsidR="00B81310" w:rsidRPr="00F739D5" w:rsidRDefault="00B81310" w:rsidP="0053361B">
      <w:pPr>
        <w:pStyle w:val="Personnequisigne"/>
        <w:spacing w:after="240"/>
        <w:rPr>
          <w:noProof/>
        </w:rPr>
      </w:pPr>
    </w:p>
    <w:sectPr w:rsidR="00B81310" w:rsidRPr="00F739D5" w:rsidSect="00C86D5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C1E3" w14:textId="77777777" w:rsidR="004038D6" w:rsidRDefault="004038D6" w:rsidP="00F739D5">
      <w:pPr>
        <w:spacing w:before="0" w:after="0"/>
      </w:pPr>
      <w:r>
        <w:separator/>
      </w:r>
    </w:p>
  </w:endnote>
  <w:endnote w:type="continuationSeparator" w:id="0">
    <w:p w14:paraId="329B9C86" w14:textId="77777777" w:rsidR="004038D6" w:rsidRDefault="004038D6" w:rsidP="00F739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99A6" w14:textId="14C4E114" w:rsidR="00E95DF8" w:rsidRPr="00C86D53" w:rsidRDefault="00C86D53" w:rsidP="00C86D53">
    <w:pPr>
      <w:pStyle w:val="Footer"/>
      <w:rPr>
        <w:rFonts w:ascii="Arial" w:hAnsi="Arial" w:cs="Arial"/>
        <w:b/>
        <w:sz w:val="48"/>
      </w:rPr>
    </w:pPr>
    <w:r w:rsidRPr="00C86D53">
      <w:rPr>
        <w:rFonts w:ascii="Arial" w:hAnsi="Arial" w:cs="Arial"/>
        <w:b/>
        <w:sz w:val="48"/>
      </w:rPr>
      <w:t>EN</w:t>
    </w:r>
    <w:r w:rsidRPr="00C86D53">
      <w:rPr>
        <w:rFonts w:ascii="Arial" w:hAnsi="Arial" w:cs="Arial"/>
        <w:b/>
        <w:sz w:val="48"/>
      </w:rPr>
      <w:tab/>
    </w:r>
    <w:r w:rsidRPr="00C86D53">
      <w:rPr>
        <w:rFonts w:ascii="Arial" w:hAnsi="Arial" w:cs="Arial"/>
        <w:b/>
        <w:sz w:val="48"/>
      </w:rPr>
      <w:tab/>
    </w:r>
    <w:r w:rsidRPr="00C86D53">
      <w:tab/>
    </w:r>
    <w:r w:rsidRPr="00C86D5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7DCB" w14:textId="6D2E1E6C" w:rsidR="00C86D53" w:rsidRPr="00C86D53" w:rsidRDefault="00C86D53" w:rsidP="00C86D53">
    <w:pPr>
      <w:pStyle w:val="Footer"/>
      <w:rPr>
        <w:rFonts w:ascii="Arial" w:hAnsi="Arial" w:cs="Arial"/>
        <w:b/>
        <w:sz w:val="48"/>
      </w:rPr>
    </w:pPr>
    <w:r w:rsidRPr="00C86D53">
      <w:rPr>
        <w:rFonts w:ascii="Arial" w:hAnsi="Arial" w:cs="Arial"/>
        <w:b/>
        <w:sz w:val="48"/>
      </w:rPr>
      <w:t>EN</w:t>
    </w:r>
    <w:r w:rsidRPr="00C86D53">
      <w:rPr>
        <w:rFonts w:ascii="Arial" w:hAnsi="Arial" w:cs="Arial"/>
        <w:b/>
        <w:sz w:val="48"/>
      </w:rPr>
      <w:tab/>
    </w:r>
    <w:r>
      <w:fldChar w:fldCharType="begin"/>
    </w:r>
    <w:r>
      <w:instrText xml:space="preserve"> PAGE  \* MERGEFORMAT </w:instrText>
    </w:r>
    <w:r>
      <w:fldChar w:fldCharType="separate"/>
    </w:r>
    <w:r w:rsidR="00580AD2">
      <w:rPr>
        <w:noProof/>
      </w:rPr>
      <w:t>8</w:t>
    </w:r>
    <w:r>
      <w:fldChar w:fldCharType="end"/>
    </w:r>
    <w:r>
      <w:tab/>
    </w:r>
    <w:r w:rsidRPr="00C86D53">
      <w:tab/>
    </w:r>
    <w:r w:rsidRPr="00C86D5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BA0C" w14:textId="77777777" w:rsidR="00C86D53" w:rsidRPr="00C86D53" w:rsidRDefault="00C86D53" w:rsidP="00C8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21211" w14:textId="77777777" w:rsidR="004038D6" w:rsidRDefault="004038D6" w:rsidP="00F739D5">
      <w:pPr>
        <w:spacing w:before="0" w:after="0"/>
      </w:pPr>
      <w:r>
        <w:separator/>
      </w:r>
    </w:p>
  </w:footnote>
  <w:footnote w:type="continuationSeparator" w:id="0">
    <w:p w14:paraId="1DE05FFC" w14:textId="77777777" w:rsidR="004038D6" w:rsidRDefault="004038D6" w:rsidP="00F739D5">
      <w:pPr>
        <w:spacing w:before="0" w:after="0"/>
      </w:pPr>
      <w:r>
        <w:continuationSeparator/>
      </w:r>
    </w:p>
  </w:footnote>
  <w:footnote w:id="1">
    <w:p w14:paraId="20438248" w14:textId="77777777" w:rsidR="00382F40" w:rsidRDefault="00382F40" w:rsidP="00382F40">
      <w:pPr>
        <w:pStyle w:val="FootnoteText"/>
      </w:pPr>
      <w:r w:rsidRPr="00F067CB">
        <w:rPr>
          <w:rStyle w:val="FootnoteReference"/>
        </w:rPr>
        <w:footnoteRef/>
      </w:r>
      <w:r>
        <w:tab/>
        <w:t>Regulation (EU) 2018/1806 of the European Parliament and of the Council of 14 November 2018 listing the third countries whose nationals must be in possession of visas when crossing the external borders and those whose nationals are exempt from that requirement (OJ L 303, 28.11.2018, p. 39)</w:t>
      </w:r>
    </w:p>
  </w:footnote>
  <w:footnote w:id="2">
    <w:p w14:paraId="58E9C9C3" w14:textId="77777777" w:rsidR="00701568" w:rsidRPr="004447F5" w:rsidRDefault="00701568" w:rsidP="00641001">
      <w:pPr>
        <w:pStyle w:val="FootnoteText"/>
        <w:jc w:val="left"/>
        <w:rPr>
          <w:lang w:val="ca-ES"/>
        </w:rPr>
      </w:pPr>
      <w:r w:rsidRPr="00AC6118">
        <w:rPr>
          <w:rStyle w:val="FootnoteReference"/>
        </w:rPr>
        <w:footnoteRef/>
      </w:r>
      <w:r w:rsidR="00AC6118">
        <w:tab/>
      </w:r>
      <w:r w:rsidR="00641001">
        <w:t xml:space="preserve">Communication from the Commission to the European Parliament, the European Council, the Council, </w:t>
      </w:r>
      <w:r w:rsidR="00641001" w:rsidRPr="00641001">
        <w:t xml:space="preserve"> </w:t>
      </w:r>
      <w:r w:rsidR="00641001">
        <w:t>the European Economic and Social Committee and the Committee of the Regions ‘</w:t>
      </w:r>
      <w:r w:rsidRPr="00D43058">
        <w:rPr>
          <w:szCs w:val="24"/>
        </w:rPr>
        <w:t>Security of supply and affor</w:t>
      </w:r>
      <w:r w:rsidR="00034F27">
        <w:rPr>
          <w:szCs w:val="24"/>
        </w:rPr>
        <w:t>dable energy price</w:t>
      </w:r>
      <w:r w:rsidR="00641001">
        <w:rPr>
          <w:szCs w:val="24"/>
        </w:rPr>
        <w:t>’ of</w:t>
      </w:r>
      <w:r w:rsidR="00034F27">
        <w:rPr>
          <w:szCs w:val="24"/>
        </w:rPr>
        <w:t xml:space="preserve"> 23</w:t>
      </w:r>
      <w:r w:rsidRPr="00D43058">
        <w:rPr>
          <w:szCs w:val="24"/>
        </w:rPr>
        <w:t xml:space="preserve"> March 2022</w:t>
      </w:r>
      <w:r w:rsidR="00034F27">
        <w:rPr>
          <w:szCs w:val="24"/>
        </w:rPr>
        <w:t xml:space="preserve"> (</w:t>
      </w:r>
      <w:r w:rsidR="00034F27" w:rsidRPr="00034F27">
        <w:rPr>
          <w:szCs w:val="24"/>
        </w:rPr>
        <w:t>COM/2022/138 final</w:t>
      </w:r>
      <w:r w:rsidR="00034F27">
        <w:rPr>
          <w:szCs w:val="24"/>
        </w:rPr>
        <w:t>),</w:t>
      </w:r>
      <w:r>
        <w:rPr>
          <w:szCs w:val="24"/>
        </w:rPr>
        <w:t xml:space="preserve"> </w:t>
      </w:r>
      <w:r w:rsidRPr="008A28E5">
        <w:t>https://energy.ec.europa.eu/communication-security-supply-and-affordable-energy-prices_en</w:t>
      </w:r>
    </w:p>
  </w:footnote>
  <w:footnote w:id="3">
    <w:p w14:paraId="1BEE343B" w14:textId="77777777" w:rsidR="00F721CA" w:rsidRPr="006121CF" w:rsidRDefault="00F721CA" w:rsidP="00F721CA">
      <w:pPr>
        <w:pStyle w:val="FootnoteText"/>
        <w:rPr>
          <w:lang w:val="en-IE"/>
        </w:rPr>
      </w:pPr>
      <w:r w:rsidRPr="00AC6118">
        <w:rPr>
          <w:rStyle w:val="FootnoteReference"/>
        </w:rPr>
        <w:footnoteRef/>
      </w:r>
      <w:r w:rsidR="00AC6118">
        <w:tab/>
      </w:r>
      <w:r w:rsidRPr="00BE7FB0">
        <w:rPr>
          <w:lang w:val="en-IE"/>
        </w:rPr>
        <w:t>Article 8</w:t>
      </w:r>
      <w:r>
        <w:rPr>
          <w:lang w:val="en-IE"/>
        </w:rPr>
        <w:t xml:space="preserve"> par.3</w:t>
      </w:r>
      <w:r w:rsidRPr="00BE7FB0">
        <w:rPr>
          <w:lang w:val="en-IE"/>
        </w:rPr>
        <w:t xml:space="preserve"> Regulation (EU) 2016/399 of the European Parliament and of the Council of 9 March 2016 on a Union Code on the rules governing the movement of persons across borders (Schengen Borders Code)</w:t>
      </w:r>
      <w:r>
        <w:rPr>
          <w:lang w:val="en-IE"/>
        </w:rPr>
        <w:t xml:space="preserve"> as amended </w:t>
      </w:r>
      <w:r w:rsidRPr="004447F5">
        <w:rPr>
          <w:lang w:val="en-IE"/>
        </w:rPr>
        <w:t xml:space="preserve">by </w:t>
      </w:r>
      <w:r w:rsidR="004F6072" w:rsidRPr="004447F5">
        <w:rPr>
          <w:lang w:val="en-IE"/>
        </w:rPr>
        <w:t>R</w:t>
      </w:r>
      <w:r w:rsidRPr="004447F5">
        <w:rPr>
          <w:lang w:val="en-IE"/>
        </w:rPr>
        <w:t>egulation (EU) 2017</w:t>
      </w:r>
      <w:r w:rsidRPr="006121CF">
        <w:rPr>
          <w:lang w:val="en-IE"/>
        </w:rPr>
        <w:t xml:space="preserve">/458 of the European Parliament and of the </w:t>
      </w:r>
    </w:p>
    <w:p w14:paraId="1C566E9D" w14:textId="77777777" w:rsidR="00F721CA" w:rsidRPr="00BE7FB0" w:rsidRDefault="00F721CA" w:rsidP="00F721CA">
      <w:pPr>
        <w:pStyle w:val="FootnoteText"/>
        <w:ind w:firstLine="0"/>
        <w:rPr>
          <w:lang w:val="en-IE"/>
        </w:rPr>
      </w:pPr>
      <w:r w:rsidRPr="006121CF">
        <w:rPr>
          <w:lang w:val="en-IE"/>
        </w:rPr>
        <w:t>Council of 15 March 2017</w:t>
      </w:r>
      <w:r>
        <w:rPr>
          <w:lang w:val="en-IE"/>
        </w:rPr>
        <w:t>, OJ L 74 18.3.2017 p.1</w:t>
      </w:r>
    </w:p>
  </w:footnote>
  <w:footnote w:id="4">
    <w:p w14:paraId="3ADE32D6" w14:textId="77777777" w:rsidR="00FE1DDF" w:rsidRPr="000417FD" w:rsidRDefault="00FE1DDF" w:rsidP="00FE1DDF">
      <w:pPr>
        <w:pStyle w:val="FootnoteText"/>
        <w:rPr>
          <w:lang w:val="en-IE"/>
        </w:rPr>
      </w:pPr>
      <w:r w:rsidRPr="00AC6118">
        <w:rPr>
          <w:rStyle w:val="FootnoteReference"/>
        </w:rPr>
        <w:footnoteRef/>
      </w:r>
      <w:r w:rsidR="00AC6118">
        <w:tab/>
      </w:r>
      <w:r>
        <w:t>Recital 4 of Regulation (EU) 2018/1806.</w:t>
      </w:r>
    </w:p>
  </w:footnote>
  <w:footnote w:id="5">
    <w:p w14:paraId="7950FF40" w14:textId="77777777" w:rsidR="00FE1DDF" w:rsidRPr="000417FD" w:rsidRDefault="00FE1DDF" w:rsidP="00FE1DDF">
      <w:pPr>
        <w:pStyle w:val="FootnoteText"/>
        <w:rPr>
          <w:lang w:val="en-IE"/>
        </w:rPr>
      </w:pPr>
      <w:r w:rsidRPr="00AC6118">
        <w:rPr>
          <w:rStyle w:val="FootnoteReference"/>
        </w:rPr>
        <w:footnoteRef/>
      </w:r>
      <w:r w:rsidR="00AC6118">
        <w:tab/>
      </w:r>
      <w:r>
        <w:rPr>
          <w:lang w:val="en-IE"/>
        </w:rPr>
        <w:t xml:space="preserve">Articles 7 and 8 of </w:t>
      </w:r>
      <w:r>
        <w:t>Regulation (EU) 2018/1806, respectively.</w:t>
      </w:r>
    </w:p>
  </w:footnote>
  <w:footnote w:id="6">
    <w:p w14:paraId="335D2D57" w14:textId="77777777" w:rsidR="003A24CA" w:rsidRPr="002301BD" w:rsidRDefault="003A24CA" w:rsidP="003A24CA">
      <w:pPr>
        <w:pStyle w:val="FootnoteText"/>
      </w:pPr>
      <w:r w:rsidRPr="00195956">
        <w:rPr>
          <w:rStyle w:val="FootnoteReference"/>
        </w:rPr>
        <w:footnoteRef/>
      </w:r>
      <w:r w:rsidRPr="00195956">
        <w:tab/>
      </w:r>
      <w:r w:rsidR="002301BD" w:rsidRPr="002301BD">
        <w:t>Regulation (EU) 2018/1806 of the European Parliament and of the Council of 14 November 2018 listing the third countries whose nationals must be in possession of visas when crossing the external borders and those whose nationals are exempt from that requirement</w:t>
      </w:r>
      <w:r w:rsidR="002301BD">
        <w:t>,</w:t>
      </w:r>
      <w:r w:rsidR="002301BD" w:rsidRPr="002301BD">
        <w:t xml:space="preserve"> OJ L 303, 28.11.2018, p. 39–58</w:t>
      </w:r>
    </w:p>
  </w:footnote>
  <w:footnote w:id="7">
    <w:p w14:paraId="18A13C72" w14:textId="77777777" w:rsidR="003A24CA" w:rsidRDefault="003A24CA" w:rsidP="003A24CA">
      <w:pPr>
        <w:pStyle w:val="FootnoteText"/>
      </w:pPr>
      <w:r>
        <w:rPr>
          <w:rStyle w:val="FootnoteReference"/>
        </w:rPr>
        <w:footnoteRef/>
      </w:r>
      <w:r>
        <w:tab/>
        <w:t xml:space="preserve">Council Decision 2002/192/EC of 28 February 2002 concerning Ireland’s request to take part in some of the provisions of the Schengen acquis </w:t>
      </w:r>
      <w:r w:rsidR="0011749B">
        <w:t>(</w:t>
      </w:r>
      <w:r>
        <w:t>OJ L 64, 7.3.2002, p. 20</w:t>
      </w:r>
      <w:r w:rsidR="0011749B">
        <w:t>)</w:t>
      </w:r>
      <w:r>
        <w:t>.</w:t>
      </w:r>
    </w:p>
  </w:footnote>
  <w:footnote w:id="8">
    <w:p w14:paraId="7C98B315" w14:textId="77777777" w:rsidR="003A24CA" w:rsidRDefault="003A24CA" w:rsidP="003A24CA">
      <w:pPr>
        <w:pStyle w:val="FootnoteText"/>
        <w:rPr>
          <w:lang w:val="sk-SK"/>
        </w:rPr>
      </w:pPr>
      <w:r>
        <w:rPr>
          <w:rStyle w:val="FootnoteReference"/>
        </w:rPr>
        <w:footnoteRef/>
      </w:r>
      <w:r>
        <w:tab/>
      </w:r>
      <w:r>
        <w:rPr>
          <w:lang w:eastAsia="sk-SK"/>
        </w:rPr>
        <w:t xml:space="preserve">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w:t>
      </w:r>
      <w:r w:rsidR="0011749B">
        <w:rPr>
          <w:lang w:eastAsia="sk-SK"/>
        </w:rPr>
        <w:t>(</w:t>
      </w:r>
      <w:r>
        <w:rPr>
          <w:lang w:eastAsia="sk-SK"/>
        </w:rPr>
        <w:t>OJ L 176, 10.7.1999, p. 31</w:t>
      </w:r>
      <w:r w:rsidR="0011749B">
        <w:rPr>
          <w:lang w:eastAsia="sk-SK"/>
        </w:rPr>
        <w:t>)</w:t>
      </w:r>
      <w:r>
        <w:rPr>
          <w:lang w:eastAsia="sk-SK"/>
        </w:rPr>
        <w:t>.</w:t>
      </w:r>
    </w:p>
  </w:footnote>
  <w:footnote w:id="9">
    <w:p w14:paraId="091B2C63" w14:textId="77777777" w:rsidR="003A24CA" w:rsidRDefault="003A24CA" w:rsidP="003A24CA">
      <w:pPr>
        <w:pStyle w:val="FootnoteText"/>
        <w:rPr>
          <w:lang w:val="sk-SK"/>
        </w:rPr>
      </w:pPr>
      <w:r>
        <w:rPr>
          <w:rStyle w:val="FootnoteReference"/>
        </w:rPr>
        <w:footnoteRef/>
      </w:r>
      <w:r>
        <w:tab/>
      </w:r>
      <w:r>
        <w:rPr>
          <w:lang w:val="sk-SK"/>
        </w:rPr>
        <w:t>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acquis, OJ L 53, 27.2.2008, p. 1.</w:t>
      </w:r>
    </w:p>
  </w:footnote>
  <w:footnote w:id="10">
    <w:p w14:paraId="728279E6" w14:textId="77777777" w:rsidR="003A24CA" w:rsidRDefault="003A24CA" w:rsidP="003A24CA">
      <w:pPr>
        <w:pStyle w:val="FootnoteText"/>
        <w:rPr>
          <w:lang w:val="sk-SK"/>
        </w:rPr>
      </w:pPr>
      <w:r>
        <w:rPr>
          <w:rStyle w:val="FootnoteReference"/>
        </w:rPr>
        <w:footnoteRef/>
      </w:r>
      <w:r>
        <w:tab/>
      </w:r>
      <w:r>
        <w:rPr>
          <w:lang w:val="sk-SK"/>
        </w:rPr>
        <w:t xml:space="preserve">Council Decision </w:t>
      </w:r>
      <w:r>
        <w:rPr>
          <w:lang w:eastAsia="sk-SK"/>
        </w:rPr>
        <w:t xml:space="preserve">2011/350/EU </w:t>
      </w:r>
      <w:r>
        <w:rPr>
          <w:lang w:val="sk-SK"/>
        </w:rPr>
        <w:t>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 OJ L 160, 18.6.2011, p.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1A23E3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A78983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DAC204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ACA5A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35E83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889B8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EC884B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4634B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4-25 12:13:0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791945B1-77E0-427A-8172-79F2C71719F3"/>
    <w:docVar w:name="LW_COVERPAGE_TYPE" w:val="1"/>
    <w:docVar w:name="LW_CROSSREFERENCE" w:val="{SWD(2022) 129 final}"/>
    <w:docVar w:name="LW_DocType" w:val="COM"/>
    <w:docVar w:name="LW_EMISSION" w:val="27.4.2022"/>
    <w:docVar w:name="LW_EMISSION_ISODATE" w:val="2022-04-2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5"/>
    <w:docVar w:name="LW_REF.II.NEW.CP_YEAR" w:val="2022"/>
    <w:docVar w:name="LW_REF.INST.NEW" w:val="COM"/>
    <w:docVar w:name="LW_REF.INST.NEW_ADOPTED" w:val="final"/>
    <w:docVar w:name="LW_REF.INST.NEW_TEXT" w:val="(2022)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8/1806, listing the third countries whose nationals must be in possession of visas when crossing the external borders and those whose nationals are exempt from that requirement_x000b__x000b_(Kuwait, Qatar)"/>
    <w:docVar w:name="LW_TYPE.DOC.CP" w:val="REGULATION OF THE EUROPEAN PARLIAMENT AND OF THE COUNCIL"/>
    <w:docVar w:name="LwApiVersions" w:val="LW4CoDe 1.23.2.0; LW 8.0, Build 20211117"/>
  </w:docVars>
  <w:rsids>
    <w:rsidRoot w:val="00F739D5"/>
    <w:rsid w:val="000056A5"/>
    <w:rsid w:val="000225B1"/>
    <w:rsid w:val="000349FA"/>
    <w:rsid w:val="00034F27"/>
    <w:rsid w:val="000417FD"/>
    <w:rsid w:val="00047B94"/>
    <w:rsid w:val="0005524B"/>
    <w:rsid w:val="00060A18"/>
    <w:rsid w:val="000A7517"/>
    <w:rsid w:val="000B0D07"/>
    <w:rsid w:val="000E198E"/>
    <w:rsid w:val="000F27E6"/>
    <w:rsid w:val="000F6037"/>
    <w:rsid w:val="00105871"/>
    <w:rsid w:val="001104D9"/>
    <w:rsid w:val="00115B4A"/>
    <w:rsid w:val="0011749B"/>
    <w:rsid w:val="00120B59"/>
    <w:rsid w:val="0012631A"/>
    <w:rsid w:val="00146139"/>
    <w:rsid w:val="00173963"/>
    <w:rsid w:val="0017549E"/>
    <w:rsid w:val="0018010F"/>
    <w:rsid w:val="00194AAE"/>
    <w:rsid w:val="001A5054"/>
    <w:rsid w:val="001C1317"/>
    <w:rsid w:val="001C19C9"/>
    <w:rsid w:val="001C2537"/>
    <w:rsid w:val="001C2816"/>
    <w:rsid w:val="001D0495"/>
    <w:rsid w:val="001D6AAF"/>
    <w:rsid w:val="001E2FE0"/>
    <w:rsid w:val="001F5032"/>
    <w:rsid w:val="002000E3"/>
    <w:rsid w:val="00200BDC"/>
    <w:rsid w:val="00204F87"/>
    <w:rsid w:val="002050CD"/>
    <w:rsid w:val="00210ED3"/>
    <w:rsid w:val="002232A1"/>
    <w:rsid w:val="002301BD"/>
    <w:rsid w:val="002324A9"/>
    <w:rsid w:val="00232E98"/>
    <w:rsid w:val="0024017E"/>
    <w:rsid w:val="00245968"/>
    <w:rsid w:val="0025345D"/>
    <w:rsid w:val="00261B2C"/>
    <w:rsid w:val="00265F2E"/>
    <w:rsid w:val="00284FDF"/>
    <w:rsid w:val="002B0561"/>
    <w:rsid w:val="002B5464"/>
    <w:rsid w:val="002D1B94"/>
    <w:rsid w:val="002E2711"/>
    <w:rsid w:val="002F0677"/>
    <w:rsid w:val="002F1914"/>
    <w:rsid w:val="002F2E02"/>
    <w:rsid w:val="002F6AB2"/>
    <w:rsid w:val="0030394B"/>
    <w:rsid w:val="00305563"/>
    <w:rsid w:val="00314318"/>
    <w:rsid w:val="00314CEC"/>
    <w:rsid w:val="00346CC4"/>
    <w:rsid w:val="00360C62"/>
    <w:rsid w:val="003644D5"/>
    <w:rsid w:val="00380FCA"/>
    <w:rsid w:val="00382F40"/>
    <w:rsid w:val="0038476B"/>
    <w:rsid w:val="00395148"/>
    <w:rsid w:val="003A051F"/>
    <w:rsid w:val="003A24CA"/>
    <w:rsid w:val="003B1350"/>
    <w:rsid w:val="003B45A8"/>
    <w:rsid w:val="003B6B80"/>
    <w:rsid w:val="003C5E2C"/>
    <w:rsid w:val="003C7136"/>
    <w:rsid w:val="003D31C0"/>
    <w:rsid w:val="004038D6"/>
    <w:rsid w:val="00403D9B"/>
    <w:rsid w:val="004045F4"/>
    <w:rsid w:val="0041770B"/>
    <w:rsid w:val="0042735A"/>
    <w:rsid w:val="004447F5"/>
    <w:rsid w:val="00455CFC"/>
    <w:rsid w:val="004576CC"/>
    <w:rsid w:val="00460AF0"/>
    <w:rsid w:val="004622FD"/>
    <w:rsid w:val="00464FF2"/>
    <w:rsid w:val="004850F6"/>
    <w:rsid w:val="004857A0"/>
    <w:rsid w:val="004A2A76"/>
    <w:rsid w:val="004A376A"/>
    <w:rsid w:val="004D61A3"/>
    <w:rsid w:val="004F3054"/>
    <w:rsid w:val="004F3C6D"/>
    <w:rsid w:val="004F47E0"/>
    <w:rsid w:val="004F5776"/>
    <w:rsid w:val="004F6072"/>
    <w:rsid w:val="00522664"/>
    <w:rsid w:val="0053361B"/>
    <w:rsid w:val="00544494"/>
    <w:rsid w:val="005473D8"/>
    <w:rsid w:val="00547A1C"/>
    <w:rsid w:val="0056053F"/>
    <w:rsid w:val="005610D1"/>
    <w:rsid w:val="00580AD2"/>
    <w:rsid w:val="00590095"/>
    <w:rsid w:val="005957CE"/>
    <w:rsid w:val="005A2AE0"/>
    <w:rsid w:val="005A35BE"/>
    <w:rsid w:val="005B4018"/>
    <w:rsid w:val="005B64EB"/>
    <w:rsid w:val="005D391A"/>
    <w:rsid w:val="005E318B"/>
    <w:rsid w:val="00613499"/>
    <w:rsid w:val="00613948"/>
    <w:rsid w:val="006149EE"/>
    <w:rsid w:val="00620237"/>
    <w:rsid w:val="00625B17"/>
    <w:rsid w:val="00641001"/>
    <w:rsid w:val="0064187C"/>
    <w:rsid w:val="00645739"/>
    <w:rsid w:val="00653F43"/>
    <w:rsid w:val="00656321"/>
    <w:rsid w:val="00670128"/>
    <w:rsid w:val="00675898"/>
    <w:rsid w:val="00691F33"/>
    <w:rsid w:val="006B51A9"/>
    <w:rsid w:val="006B5CEA"/>
    <w:rsid w:val="006E24A7"/>
    <w:rsid w:val="006E324B"/>
    <w:rsid w:val="006E46AF"/>
    <w:rsid w:val="006F1F05"/>
    <w:rsid w:val="0070128F"/>
    <w:rsid w:val="00701568"/>
    <w:rsid w:val="00707446"/>
    <w:rsid w:val="007151B6"/>
    <w:rsid w:val="00747AD9"/>
    <w:rsid w:val="00754BCD"/>
    <w:rsid w:val="007752B7"/>
    <w:rsid w:val="007809FC"/>
    <w:rsid w:val="00790815"/>
    <w:rsid w:val="007931A7"/>
    <w:rsid w:val="007B301E"/>
    <w:rsid w:val="007C06F6"/>
    <w:rsid w:val="007D2DA2"/>
    <w:rsid w:val="007E44F3"/>
    <w:rsid w:val="007E72F8"/>
    <w:rsid w:val="008270D5"/>
    <w:rsid w:val="0083172D"/>
    <w:rsid w:val="00846E29"/>
    <w:rsid w:val="00854549"/>
    <w:rsid w:val="008675FD"/>
    <w:rsid w:val="00885AC9"/>
    <w:rsid w:val="00890F1B"/>
    <w:rsid w:val="008917D3"/>
    <w:rsid w:val="00896252"/>
    <w:rsid w:val="00896A7E"/>
    <w:rsid w:val="008A28E5"/>
    <w:rsid w:val="008B3DD4"/>
    <w:rsid w:val="008D137E"/>
    <w:rsid w:val="00912334"/>
    <w:rsid w:val="00913DBE"/>
    <w:rsid w:val="00933085"/>
    <w:rsid w:val="0094318D"/>
    <w:rsid w:val="00943C92"/>
    <w:rsid w:val="009612CB"/>
    <w:rsid w:val="009712AC"/>
    <w:rsid w:val="00983365"/>
    <w:rsid w:val="00986B33"/>
    <w:rsid w:val="00987AD5"/>
    <w:rsid w:val="00990AF8"/>
    <w:rsid w:val="009941AE"/>
    <w:rsid w:val="00996FFB"/>
    <w:rsid w:val="009B578E"/>
    <w:rsid w:val="009B6FDF"/>
    <w:rsid w:val="009B7138"/>
    <w:rsid w:val="009B7322"/>
    <w:rsid w:val="009B7463"/>
    <w:rsid w:val="009C6805"/>
    <w:rsid w:val="009F12CE"/>
    <w:rsid w:val="009F2C00"/>
    <w:rsid w:val="009F3D13"/>
    <w:rsid w:val="00A255A8"/>
    <w:rsid w:val="00A27634"/>
    <w:rsid w:val="00A36E53"/>
    <w:rsid w:val="00A41061"/>
    <w:rsid w:val="00A43E1D"/>
    <w:rsid w:val="00A450A3"/>
    <w:rsid w:val="00A55C9B"/>
    <w:rsid w:val="00A77AEE"/>
    <w:rsid w:val="00AA75ED"/>
    <w:rsid w:val="00AB23EB"/>
    <w:rsid w:val="00AB2469"/>
    <w:rsid w:val="00AB7174"/>
    <w:rsid w:val="00AC6118"/>
    <w:rsid w:val="00AC7D0B"/>
    <w:rsid w:val="00AD35A9"/>
    <w:rsid w:val="00AE0297"/>
    <w:rsid w:val="00AF6750"/>
    <w:rsid w:val="00B04F70"/>
    <w:rsid w:val="00B26240"/>
    <w:rsid w:val="00B32673"/>
    <w:rsid w:val="00B5767F"/>
    <w:rsid w:val="00B60A3C"/>
    <w:rsid w:val="00B81310"/>
    <w:rsid w:val="00B9493D"/>
    <w:rsid w:val="00BB169F"/>
    <w:rsid w:val="00BB21DA"/>
    <w:rsid w:val="00BB6E93"/>
    <w:rsid w:val="00BD3B19"/>
    <w:rsid w:val="00BE1904"/>
    <w:rsid w:val="00BE246D"/>
    <w:rsid w:val="00BE2F7C"/>
    <w:rsid w:val="00BF17AA"/>
    <w:rsid w:val="00BF734E"/>
    <w:rsid w:val="00C0781D"/>
    <w:rsid w:val="00C24556"/>
    <w:rsid w:val="00C27E1C"/>
    <w:rsid w:val="00C33025"/>
    <w:rsid w:val="00C342E2"/>
    <w:rsid w:val="00C51451"/>
    <w:rsid w:val="00C6612F"/>
    <w:rsid w:val="00C86D53"/>
    <w:rsid w:val="00C94408"/>
    <w:rsid w:val="00C94E2B"/>
    <w:rsid w:val="00CC3937"/>
    <w:rsid w:val="00CD321A"/>
    <w:rsid w:val="00CD493A"/>
    <w:rsid w:val="00CE1D2B"/>
    <w:rsid w:val="00D00C14"/>
    <w:rsid w:val="00D35614"/>
    <w:rsid w:val="00D43058"/>
    <w:rsid w:val="00D50EFD"/>
    <w:rsid w:val="00D5149E"/>
    <w:rsid w:val="00D65DE3"/>
    <w:rsid w:val="00D87ACE"/>
    <w:rsid w:val="00D929CF"/>
    <w:rsid w:val="00D94CDB"/>
    <w:rsid w:val="00D97177"/>
    <w:rsid w:val="00DA18A5"/>
    <w:rsid w:val="00DA7EEB"/>
    <w:rsid w:val="00DB4E41"/>
    <w:rsid w:val="00DC01E6"/>
    <w:rsid w:val="00DD497C"/>
    <w:rsid w:val="00DE11B6"/>
    <w:rsid w:val="00DE2643"/>
    <w:rsid w:val="00E0679C"/>
    <w:rsid w:val="00E14B8E"/>
    <w:rsid w:val="00E32DBE"/>
    <w:rsid w:val="00E32EDE"/>
    <w:rsid w:val="00E40689"/>
    <w:rsid w:val="00E5556E"/>
    <w:rsid w:val="00E56E4E"/>
    <w:rsid w:val="00E74A40"/>
    <w:rsid w:val="00E75918"/>
    <w:rsid w:val="00E95DF8"/>
    <w:rsid w:val="00EB17B4"/>
    <w:rsid w:val="00EC6A63"/>
    <w:rsid w:val="00ED34AE"/>
    <w:rsid w:val="00EE1CA3"/>
    <w:rsid w:val="00EE4CD5"/>
    <w:rsid w:val="00EE66A0"/>
    <w:rsid w:val="00EE67A6"/>
    <w:rsid w:val="00EF3424"/>
    <w:rsid w:val="00F00805"/>
    <w:rsid w:val="00F0346A"/>
    <w:rsid w:val="00F04B53"/>
    <w:rsid w:val="00F14459"/>
    <w:rsid w:val="00F20062"/>
    <w:rsid w:val="00F2234B"/>
    <w:rsid w:val="00F236C7"/>
    <w:rsid w:val="00F25474"/>
    <w:rsid w:val="00F32E68"/>
    <w:rsid w:val="00F364F2"/>
    <w:rsid w:val="00F37F80"/>
    <w:rsid w:val="00F43F79"/>
    <w:rsid w:val="00F528AE"/>
    <w:rsid w:val="00F54716"/>
    <w:rsid w:val="00F61E27"/>
    <w:rsid w:val="00F62494"/>
    <w:rsid w:val="00F721CA"/>
    <w:rsid w:val="00F739D5"/>
    <w:rsid w:val="00F80EA1"/>
    <w:rsid w:val="00F816B2"/>
    <w:rsid w:val="00F81D00"/>
    <w:rsid w:val="00F8591B"/>
    <w:rsid w:val="00F9404C"/>
    <w:rsid w:val="00F962F5"/>
    <w:rsid w:val="00F9647E"/>
    <w:rsid w:val="00FA424E"/>
    <w:rsid w:val="00FB0E5C"/>
    <w:rsid w:val="00FC215F"/>
    <w:rsid w:val="00FD1174"/>
    <w:rsid w:val="00FE00EC"/>
    <w:rsid w:val="00FE1DDF"/>
    <w:rsid w:val="00FE618A"/>
    <w:rsid w:val="00FE6A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34DF94"/>
  <w15:docId w15:val="{3ACFFBA7-121B-45EE-9A3A-58ABF125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32A1"/>
    <w:rPr>
      <w:sz w:val="16"/>
      <w:szCs w:val="16"/>
    </w:rPr>
  </w:style>
  <w:style w:type="paragraph" w:styleId="CommentText">
    <w:name w:val="annotation text"/>
    <w:basedOn w:val="Normal"/>
    <w:link w:val="CommentTextChar"/>
    <w:uiPriority w:val="99"/>
    <w:semiHidden/>
    <w:unhideWhenUsed/>
    <w:rsid w:val="002232A1"/>
    <w:rPr>
      <w:sz w:val="20"/>
      <w:szCs w:val="20"/>
    </w:rPr>
  </w:style>
  <w:style w:type="character" w:customStyle="1" w:styleId="CommentTextChar">
    <w:name w:val="Comment Text Char"/>
    <w:basedOn w:val="DefaultParagraphFont"/>
    <w:link w:val="CommentText"/>
    <w:uiPriority w:val="99"/>
    <w:semiHidden/>
    <w:rsid w:val="002232A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232A1"/>
    <w:rPr>
      <w:b/>
      <w:bCs/>
    </w:rPr>
  </w:style>
  <w:style w:type="character" w:customStyle="1" w:styleId="CommentSubjectChar">
    <w:name w:val="Comment Subject Char"/>
    <w:basedOn w:val="CommentTextChar"/>
    <w:link w:val="CommentSubject"/>
    <w:uiPriority w:val="99"/>
    <w:semiHidden/>
    <w:rsid w:val="002232A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232A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A1"/>
    <w:rPr>
      <w:rFonts w:ascii="Segoe UI" w:hAnsi="Segoe UI" w:cs="Segoe UI"/>
      <w:sz w:val="18"/>
      <w:szCs w:val="18"/>
      <w:lang w:val="en-GB"/>
    </w:rPr>
  </w:style>
  <w:style w:type="character" w:styleId="Hyperlink">
    <w:name w:val="Hyperlink"/>
    <w:basedOn w:val="DefaultParagraphFont"/>
    <w:uiPriority w:val="99"/>
    <w:unhideWhenUsed/>
    <w:rsid w:val="00F962F5"/>
    <w:rPr>
      <w:color w:val="0563C1"/>
      <w:u w:val="single"/>
    </w:rPr>
  </w:style>
  <w:style w:type="paragraph" w:styleId="ListParagraph">
    <w:name w:val="List Paragraph"/>
    <w:basedOn w:val="Normal"/>
    <w:uiPriority w:val="34"/>
    <w:qFormat/>
    <w:rsid w:val="00F962F5"/>
    <w:pPr>
      <w:spacing w:before="0" w:after="0"/>
      <w:ind w:left="720"/>
      <w:jc w:val="left"/>
    </w:pPr>
    <w:rPr>
      <w:rFonts w:ascii="Calibri" w:hAnsi="Calibri" w:cs="Calibri"/>
      <w:sz w:val="22"/>
    </w:rPr>
  </w:style>
  <w:style w:type="paragraph" w:styleId="ListBullet">
    <w:name w:val="List Bullet"/>
    <w:basedOn w:val="Normal"/>
    <w:uiPriority w:val="99"/>
    <w:semiHidden/>
    <w:unhideWhenUsed/>
    <w:rsid w:val="001C1317"/>
    <w:pPr>
      <w:numPr>
        <w:numId w:val="1"/>
      </w:numPr>
      <w:contextualSpacing/>
    </w:pPr>
  </w:style>
  <w:style w:type="paragraph" w:styleId="ListBullet2">
    <w:name w:val="List Bullet 2"/>
    <w:basedOn w:val="Normal"/>
    <w:uiPriority w:val="99"/>
    <w:semiHidden/>
    <w:unhideWhenUsed/>
    <w:rsid w:val="001C1317"/>
    <w:pPr>
      <w:numPr>
        <w:numId w:val="2"/>
      </w:numPr>
      <w:contextualSpacing/>
    </w:pPr>
  </w:style>
  <w:style w:type="paragraph" w:styleId="ListBullet3">
    <w:name w:val="List Bullet 3"/>
    <w:basedOn w:val="Normal"/>
    <w:uiPriority w:val="99"/>
    <w:semiHidden/>
    <w:unhideWhenUsed/>
    <w:rsid w:val="001C1317"/>
    <w:pPr>
      <w:numPr>
        <w:numId w:val="3"/>
      </w:numPr>
      <w:contextualSpacing/>
    </w:pPr>
  </w:style>
  <w:style w:type="paragraph" w:styleId="ListBullet4">
    <w:name w:val="List Bullet 4"/>
    <w:basedOn w:val="Normal"/>
    <w:uiPriority w:val="99"/>
    <w:semiHidden/>
    <w:unhideWhenUsed/>
    <w:rsid w:val="001C1317"/>
    <w:pPr>
      <w:numPr>
        <w:numId w:val="4"/>
      </w:numPr>
      <w:contextualSpacing/>
    </w:pPr>
  </w:style>
  <w:style w:type="paragraph" w:styleId="Revision">
    <w:name w:val="Revision"/>
    <w:hidden/>
    <w:uiPriority w:val="99"/>
    <w:semiHidden/>
    <w:rsid w:val="00547A1C"/>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F80EA1"/>
    <w:rPr>
      <w:color w:val="800080" w:themeColor="followedHyperlink"/>
      <w:u w:val="single"/>
    </w:rPr>
  </w:style>
  <w:style w:type="paragraph" w:styleId="Caption">
    <w:name w:val="caption"/>
    <w:basedOn w:val="Normal"/>
    <w:next w:val="Normal"/>
    <w:uiPriority w:val="35"/>
    <w:semiHidden/>
    <w:unhideWhenUsed/>
    <w:qFormat/>
    <w:rsid w:val="00F61E2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1E27"/>
    <w:pPr>
      <w:spacing w:after="0"/>
    </w:pPr>
  </w:style>
  <w:style w:type="paragraph" w:styleId="ListNumber">
    <w:name w:val="List Number"/>
    <w:basedOn w:val="Normal"/>
    <w:uiPriority w:val="99"/>
    <w:semiHidden/>
    <w:unhideWhenUsed/>
    <w:rsid w:val="00F61E27"/>
    <w:pPr>
      <w:numPr>
        <w:numId w:val="6"/>
      </w:numPr>
      <w:contextualSpacing/>
    </w:pPr>
  </w:style>
  <w:style w:type="paragraph" w:styleId="ListNumber2">
    <w:name w:val="List Number 2"/>
    <w:basedOn w:val="Normal"/>
    <w:uiPriority w:val="99"/>
    <w:semiHidden/>
    <w:unhideWhenUsed/>
    <w:rsid w:val="00F61E27"/>
    <w:pPr>
      <w:numPr>
        <w:numId w:val="7"/>
      </w:numPr>
      <w:contextualSpacing/>
    </w:pPr>
  </w:style>
  <w:style w:type="paragraph" w:styleId="ListNumber3">
    <w:name w:val="List Number 3"/>
    <w:basedOn w:val="Normal"/>
    <w:uiPriority w:val="99"/>
    <w:semiHidden/>
    <w:unhideWhenUsed/>
    <w:rsid w:val="00F61E27"/>
    <w:pPr>
      <w:numPr>
        <w:numId w:val="8"/>
      </w:numPr>
      <w:contextualSpacing/>
    </w:pPr>
  </w:style>
  <w:style w:type="paragraph" w:styleId="ListNumber4">
    <w:name w:val="List Number 4"/>
    <w:basedOn w:val="Normal"/>
    <w:uiPriority w:val="99"/>
    <w:semiHidden/>
    <w:unhideWhenUsed/>
    <w:rsid w:val="00F61E27"/>
    <w:pPr>
      <w:numPr>
        <w:numId w:val="9"/>
      </w:numPr>
      <w:contextualSpacing/>
    </w:pPr>
  </w:style>
  <w:style w:type="paragraph" w:styleId="Header">
    <w:name w:val="header"/>
    <w:basedOn w:val="Normal"/>
    <w:link w:val="HeaderChar"/>
    <w:uiPriority w:val="99"/>
    <w:unhideWhenUsed/>
    <w:rsid w:val="00C86D53"/>
    <w:pPr>
      <w:tabs>
        <w:tab w:val="center" w:pos="4535"/>
        <w:tab w:val="right" w:pos="9071"/>
      </w:tabs>
      <w:spacing w:before="0"/>
    </w:pPr>
  </w:style>
  <w:style w:type="character" w:customStyle="1" w:styleId="HeaderChar">
    <w:name w:val="Header Char"/>
    <w:basedOn w:val="DefaultParagraphFont"/>
    <w:link w:val="Header"/>
    <w:uiPriority w:val="99"/>
    <w:rsid w:val="00C86D53"/>
    <w:rPr>
      <w:rFonts w:ascii="Times New Roman" w:hAnsi="Times New Roman" w:cs="Times New Roman"/>
      <w:sz w:val="24"/>
      <w:lang w:val="en-GB"/>
    </w:rPr>
  </w:style>
  <w:style w:type="paragraph" w:styleId="Footer">
    <w:name w:val="footer"/>
    <w:basedOn w:val="Normal"/>
    <w:link w:val="FooterChar"/>
    <w:uiPriority w:val="99"/>
    <w:unhideWhenUsed/>
    <w:rsid w:val="00C86D5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86D53"/>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86D53"/>
    <w:pPr>
      <w:tabs>
        <w:tab w:val="center" w:pos="7285"/>
        <w:tab w:val="right" w:pos="14003"/>
      </w:tabs>
      <w:spacing w:before="0"/>
    </w:pPr>
  </w:style>
  <w:style w:type="paragraph" w:customStyle="1" w:styleId="FooterLandscape">
    <w:name w:val="FooterLandscape"/>
    <w:basedOn w:val="Normal"/>
    <w:rsid w:val="00C86D5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86D5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6D53"/>
    <w:pPr>
      <w:spacing w:before="0"/>
      <w:jc w:val="right"/>
    </w:pPr>
    <w:rPr>
      <w:sz w:val="28"/>
    </w:rPr>
  </w:style>
  <w:style w:type="paragraph" w:customStyle="1" w:styleId="FooterSensitivity">
    <w:name w:val="Footer Sensitivity"/>
    <w:basedOn w:val="Normal"/>
    <w:rsid w:val="00C86D5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5"/>
      </w:numPr>
    </w:pPr>
  </w:style>
  <w:style w:type="paragraph" w:customStyle="1" w:styleId="Tiret1">
    <w:name w:val="Tiret 1"/>
    <w:basedOn w:val="Point1"/>
    <w:rsid w:val="00517205"/>
    <w:pPr>
      <w:numPr>
        <w:numId w:val="26"/>
      </w:numPr>
    </w:pPr>
  </w:style>
  <w:style w:type="paragraph" w:customStyle="1" w:styleId="Tiret2">
    <w:name w:val="Tiret 2"/>
    <w:basedOn w:val="Point2"/>
    <w:rsid w:val="00517205"/>
    <w:pPr>
      <w:numPr>
        <w:numId w:val="27"/>
      </w:numPr>
    </w:pPr>
  </w:style>
  <w:style w:type="paragraph" w:customStyle="1" w:styleId="Tiret3">
    <w:name w:val="Tiret 3"/>
    <w:basedOn w:val="Point3"/>
    <w:rsid w:val="00517205"/>
    <w:pPr>
      <w:numPr>
        <w:numId w:val="28"/>
      </w:numPr>
    </w:pPr>
  </w:style>
  <w:style w:type="paragraph" w:customStyle="1" w:styleId="Tiret4">
    <w:name w:val="Tiret 4"/>
    <w:basedOn w:val="Point4"/>
    <w:rsid w:val="00517205"/>
    <w:pPr>
      <w:numPr>
        <w:numId w:val="29"/>
      </w:numPr>
    </w:pPr>
  </w:style>
  <w:style w:type="paragraph" w:customStyle="1" w:styleId="Tiret5">
    <w:name w:val="Tiret 5"/>
    <w:basedOn w:val="Point5"/>
    <w:rsid w:val="00517205"/>
    <w:pPr>
      <w:numPr>
        <w:numId w:val="3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517205"/>
    <w:pPr>
      <w:numPr>
        <w:ilvl w:val="4"/>
        <w:numId w:val="31"/>
      </w:numPr>
    </w:pPr>
  </w:style>
  <w:style w:type="paragraph" w:customStyle="1" w:styleId="NumPar6">
    <w:name w:val="NumPar 6"/>
    <w:basedOn w:val="Normal"/>
    <w:next w:val="Text2"/>
    <w:rsid w:val="00517205"/>
    <w:pPr>
      <w:numPr>
        <w:ilvl w:val="5"/>
        <w:numId w:val="31"/>
      </w:numPr>
    </w:pPr>
  </w:style>
  <w:style w:type="paragraph" w:customStyle="1" w:styleId="NumPar7">
    <w:name w:val="NumPar 7"/>
    <w:basedOn w:val="Normal"/>
    <w:next w:val="Text2"/>
    <w:rsid w:val="00517205"/>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3"/>
      </w:numPr>
    </w:pPr>
  </w:style>
  <w:style w:type="paragraph" w:customStyle="1" w:styleId="Point1number">
    <w:name w:val="Point 1 (number)"/>
    <w:basedOn w:val="Normal"/>
    <w:rsid w:val="00517205"/>
    <w:pPr>
      <w:numPr>
        <w:ilvl w:val="2"/>
        <w:numId w:val="33"/>
      </w:numPr>
    </w:pPr>
  </w:style>
  <w:style w:type="paragraph" w:customStyle="1" w:styleId="Point2number">
    <w:name w:val="Point 2 (number)"/>
    <w:basedOn w:val="Normal"/>
    <w:rsid w:val="00517205"/>
    <w:pPr>
      <w:numPr>
        <w:ilvl w:val="4"/>
        <w:numId w:val="33"/>
      </w:numPr>
    </w:pPr>
  </w:style>
  <w:style w:type="paragraph" w:customStyle="1" w:styleId="Point3number">
    <w:name w:val="Point 3 (number)"/>
    <w:basedOn w:val="Normal"/>
    <w:rsid w:val="00517205"/>
    <w:pPr>
      <w:numPr>
        <w:ilvl w:val="6"/>
        <w:numId w:val="33"/>
      </w:numPr>
    </w:pPr>
  </w:style>
  <w:style w:type="paragraph" w:customStyle="1" w:styleId="Point0letter">
    <w:name w:val="Point 0 (letter)"/>
    <w:basedOn w:val="Normal"/>
    <w:rsid w:val="00517205"/>
    <w:pPr>
      <w:numPr>
        <w:ilvl w:val="1"/>
        <w:numId w:val="33"/>
      </w:numPr>
    </w:pPr>
  </w:style>
  <w:style w:type="paragraph" w:customStyle="1" w:styleId="Point1letter">
    <w:name w:val="Point 1 (letter)"/>
    <w:basedOn w:val="Normal"/>
    <w:rsid w:val="00517205"/>
    <w:pPr>
      <w:numPr>
        <w:ilvl w:val="3"/>
        <w:numId w:val="33"/>
      </w:numPr>
    </w:pPr>
  </w:style>
  <w:style w:type="paragraph" w:customStyle="1" w:styleId="Point2letter">
    <w:name w:val="Point 2 (letter)"/>
    <w:basedOn w:val="Normal"/>
    <w:rsid w:val="00517205"/>
    <w:pPr>
      <w:numPr>
        <w:ilvl w:val="5"/>
        <w:numId w:val="33"/>
      </w:numPr>
    </w:pPr>
  </w:style>
  <w:style w:type="paragraph" w:customStyle="1" w:styleId="Point3letter">
    <w:name w:val="Point 3 (letter)"/>
    <w:basedOn w:val="Normal"/>
    <w:rsid w:val="00517205"/>
    <w:pPr>
      <w:numPr>
        <w:ilvl w:val="7"/>
        <w:numId w:val="33"/>
      </w:numPr>
    </w:pPr>
  </w:style>
  <w:style w:type="paragraph" w:customStyle="1" w:styleId="Point4letter">
    <w:name w:val="Point 4 (letter)"/>
    <w:basedOn w:val="Normal"/>
    <w:rsid w:val="00517205"/>
    <w:pPr>
      <w:numPr>
        <w:ilvl w:val="8"/>
        <w:numId w:val="33"/>
      </w:numPr>
    </w:pPr>
  </w:style>
  <w:style w:type="paragraph" w:customStyle="1" w:styleId="Bullet0">
    <w:name w:val="Bullet 0"/>
    <w:basedOn w:val="Normal"/>
    <w:rsid w:val="00517205"/>
    <w:pPr>
      <w:numPr>
        <w:numId w:val="34"/>
      </w:numPr>
    </w:pPr>
  </w:style>
  <w:style w:type="paragraph" w:customStyle="1" w:styleId="Bullet1">
    <w:name w:val="Bullet 1"/>
    <w:basedOn w:val="Normal"/>
    <w:rsid w:val="00517205"/>
    <w:pPr>
      <w:numPr>
        <w:numId w:val="35"/>
      </w:numPr>
    </w:pPr>
  </w:style>
  <w:style w:type="paragraph" w:customStyle="1" w:styleId="Bullet2">
    <w:name w:val="Bullet 2"/>
    <w:basedOn w:val="Normal"/>
    <w:rsid w:val="00517205"/>
    <w:pPr>
      <w:numPr>
        <w:numId w:val="36"/>
      </w:numPr>
    </w:pPr>
  </w:style>
  <w:style w:type="paragraph" w:customStyle="1" w:styleId="Bullet3">
    <w:name w:val="Bullet 3"/>
    <w:basedOn w:val="Normal"/>
    <w:rsid w:val="00517205"/>
    <w:pPr>
      <w:numPr>
        <w:numId w:val="37"/>
      </w:numPr>
    </w:pPr>
  </w:style>
  <w:style w:type="paragraph" w:customStyle="1" w:styleId="Bullet4">
    <w:name w:val="Bullet 4"/>
    <w:basedOn w:val="Normal"/>
    <w:rsid w:val="00517205"/>
    <w:pPr>
      <w:numPr>
        <w:numId w:val="3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7011">
      <w:bodyDiv w:val="1"/>
      <w:marLeft w:val="0"/>
      <w:marRight w:val="0"/>
      <w:marTop w:val="0"/>
      <w:marBottom w:val="0"/>
      <w:divBdr>
        <w:top w:val="none" w:sz="0" w:space="0" w:color="auto"/>
        <w:left w:val="none" w:sz="0" w:space="0" w:color="auto"/>
        <w:bottom w:val="none" w:sz="0" w:space="0" w:color="auto"/>
        <w:right w:val="none" w:sz="0" w:space="0" w:color="auto"/>
      </w:divBdr>
    </w:div>
    <w:div w:id="209608577">
      <w:bodyDiv w:val="1"/>
      <w:marLeft w:val="0"/>
      <w:marRight w:val="0"/>
      <w:marTop w:val="0"/>
      <w:marBottom w:val="0"/>
      <w:divBdr>
        <w:top w:val="none" w:sz="0" w:space="0" w:color="auto"/>
        <w:left w:val="none" w:sz="0" w:space="0" w:color="auto"/>
        <w:bottom w:val="none" w:sz="0" w:space="0" w:color="auto"/>
        <w:right w:val="none" w:sz="0" w:space="0" w:color="auto"/>
      </w:divBdr>
    </w:div>
    <w:div w:id="227427265">
      <w:bodyDiv w:val="1"/>
      <w:marLeft w:val="0"/>
      <w:marRight w:val="0"/>
      <w:marTop w:val="0"/>
      <w:marBottom w:val="0"/>
      <w:divBdr>
        <w:top w:val="none" w:sz="0" w:space="0" w:color="auto"/>
        <w:left w:val="none" w:sz="0" w:space="0" w:color="auto"/>
        <w:bottom w:val="none" w:sz="0" w:space="0" w:color="auto"/>
        <w:right w:val="none" w:sz="0" w:space="0" w:color="auto"/>
      </w:divBdr>
    </w:div>
    <w:div w:id="489907080">
      <w:bodyDiv w:val="1"/>
      <w:marLeft w:val="0"/>
      <w:marRight w:val="0"/>
      <w:marTop w:val="0"/>
      <w:marBottom w:val="0"/>
      <w:divBdr>
        <w:top w:val="none" w:sz="0" w:space="0" w:color="auto"/>
        <w:left w:val="none" w:sz="0" w:space="0" w:color="auto"/>
        <w:bottom w:val="none" w:sz="0" w:space="0" w:color="auto"/>
        <w:right w:val="none" w:sz="0" w:space="0" w:color="auto"/>
      </w:divBdr>
    </w:div>
    <w:div w:id="537352418">
      <w:bodyDiv w:val="1"/>
      <w:marLeft w:val="0"/>
      <w:marRight w:val="0"/>
      <w:marTop w:val="0"/>
      <w:marBottom w:val="0"/>
      <w:divBdr>
        <w:top w:val="none" w:sz="0" w:space="0" w:color="auto"/>
        <w:left w:val="none" w:sz="0" w:space="0" w:color="auto"/>
        <w:bottom w:val="none" w:sz="0" w:space="0" w:color="auto"/>
        <w:right w:val="none" w:sz="0" w:space="0" w:color="auto"/>
      </w:divBdr>
    </w:div>
    <w:div w:id="710151554">
      <w:bodyDiv w:val="1"/>
      <w:marLeft w:val="0"/>
      <w:marRight w:val="0"/>
      <w:marTop w:val="0"/>
      <w:marBottom w:val="0"/>
      <w:divBdr>
        <w:top w:val="none" w:sz="0" w:space="0" w:color="auto"/>
        <w:left w:val="none" w:sz="0" w:space="0" w:color="auto"/>
        <w:bottom w:val="none" w:sz="0" w:space="0" w:color="auto"/>
        <w:right w:val="none" w:sz="0" w:space="0" w:color="auto"/>
      </w:divBdr>
    </w:div>
    <w:div w:id="838471951">
      <w:bodyDiv w:val="1"/>
      <w:marLeft w:val="0"/>
      <w:marRight w:val="0"/>
      <w:marTop w:val="0"/>
      <w:marBottom w:val="0"/>
      <w:divBdr>
        <w:top w:val="none" w:sz="0" w:space="0" w:color="auto"/>
        <w:left w:val="none" w:sz="0" w:space="0" w:color="auto"/>
        <w:bottom w:val="none" w:sz="0" w:space="0" w:color="auto"/>
        <w:right w:val="none" w:sz="0" w:space="0" w:color="auto"/>
      </w:divBdr>
    </w:div>
    <w:div w:id="877861599">
      <w:bodyDiv w:val="1"/>
      <w:marLeft w:val="0"/>
      <w:marRight w:val="0"/>
      <w:marTop w:val="0"/>
      <w:marBottom w:val="0"/>
      <w:divBdr>
        <w:top w:val="none" w:sz="0" w:space="0" w:color="auto"/>
        <w:left w:val="none" w:sz="0" w:space="0" w:color="auto"/>
        <w:bottom w:val="none" w:sz="0" w:space="0" w:color="auto"/>
        <w:right w:val="none" w:sz="0" w:space="0" w:color="auto"/>
      </w:divBdr>
    </w:div>
    <w:div w:id="1072386110">
      <w:bodyDiv w:val="1"/>
      <w:marLeft w:val="0"/>
      <w:marRight w:val="0"/>
      <w:marTop w:val="0"/>
      <w:marBottom w:val="0"/>
      <w:divBdr>
        <w:top w:val="none" w:sz="0" w:space="0" w:color="auto"/>
        <w:left w:val="none" w:sz="0" w:space="0" w:color="auto"/>
        <w:bottom w:val="none" w:sz="0" w:space="0" w:color="auto"/>
        <w:right w:val="none" w:sz="0" w:space="0" w:color="auto"/>
      </w:divBdr>
    </w:div>
    <w:div w:id="1219588627">
      <w:bodyDiv w:val="1"/>
      <w:marLeft w:val="0"/>
      <w:marRight w:val="0"/>
      <w:marTop w:val="0"/>
      <w:marBottom w:val="0"/>
      <w:divBdr>
        <w:top w:val="none" w:sz="0" w:space="0" w:color="auto"/>
        <w:left w:val="none" w:sz="0" w:space="0" w:color="auto"/>
        <w:bottom w:val="none" w:sz="0" w:space="0" w:color="auto"/>
        <w:right w:val="none" w:sz="0" w:space="0" w:color="auto"/>
      </w:divBdr>
    </w:div>
    <w:div w:id="1706523569">
      <w:bodyDiv w:val="1"/>
      <w:marLeft w:val="0"/>
      <w:marRight w:val="0"/>
      <w:marTop w:val="0"/>
      <w:marBottom w:val="0"/>
      <w:divBdr>
        <w:top w:val="none" w:sz="0" w:space="0" w:color="auto"/>
        <w:left w:val="none" w:sz="0" w:space="0" w:color="auto"/>
        <w:bottom w:val="none" w:sz="0" w:space="0" w:color="auto"/>
        <w:right w:val="none" w:sz="0" w:space="0" w:color="auto"/>
      </w:divBdr>
    </w:div>
    <w:div w:id="1748723704">
      <w:bodyDiv w:val="1"/>
      <w:marLeft w:val="0"/>
      <w:marRight w:val="0"/>
      <w:marTop w:val="0"/>
      <w:marBottom w:val="0"/>
      <w:divBdr>
        <w:top w:val="none" w:sz="0" w:space="0" w:color="auto"/>
        <w:left w:val="none" w:sz="0" w:space="0" w:color="auto"/>
        <w:bottom w:val="none" w:sz="0" w:space="0" w:color="auto"/>
        <w:right w:val="none" w:sz="0" w:space="0" w:color="auto"/>
      </w:divBdr>
    </w:div>
    <w:div w:id="1849637675">
      <w:bodyDiv w:val="1"/>
      <w:marLeft w:val="0"/>
      <w:marRight w:val="0"/>
      <w:marTop w:val="0"/>
      <w:marBottom w:val="0"/>
      <w:divBdr>
        <w:top w:val="none" w:sz="0" w:space="0" w:color="auto"/>
        <w:left w:val="none" w:sz="0" w:space="0" w:color="auto"/>
        <w:bottom w:val="none" w:sz="0" w:space="0" w:color="auto"/>
        <w:right w:val="none" w:sz="0" w:space="0" w:color="auto"/>
      </w:divBdr>
    </w:div>
    <w:div w:id="21285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E1BAA93592C65242BDB76EA5337AF418" ma:contentTypeVersion="0" ma:contentTypeDescription="Create a new document in this library." ma:contentTypeScope="" ma:versionID="0e5fecb537c2b0431c3a03ab5a5b6941">
  <xsd:schema xmlns:xsd="http://www.w3.org/2001/XMLSchema" xmlns:xs="http://www.w3.org/2001/XMLSchema" xmlns:p="http://schemas.microsoft.com/office/2006/metadata/properties" xmlns:ns2="http://schemas.microsoft.com/sharepoint/v3/fields" xmlns:ns3="3fa8c522-d8a7-421a-bb52-699b4fb528e6" targetNamespace="http://schemas.microsoft.com/office/2006/metadata/properties" ma:root="true" ma:fieldsID="d57e6dbee1cae056a7fbbcb2ce814161" ns2:_="" ns3:_="">
    <xsd:import namespace="http://schemas.microsoft.com/sharepoint/v3/fields"/>
    <xsd:import namespace="3fa8c522-d8a7-421a-bb52-699b4fb528e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fa8c522-d8a7-421a-bb52-699b4fb528e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3fa8c522-d8a7-421a-bb52-699b4fb528e6">EN</EC_Collab_DocumentLanguage>
    <EC_Collab_Status xmlns="3fa8c522-d8a7-421a-bb52-699b4fb528e6">Not Started</EC_Collab_Status>
    <EC_Collab_Reference xmlns="3fa8c522-d8a7-421a-bb52-699b4fb528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6A84-78D5-4BB5-AB8E-E4F17AFFE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fa8c522-d8a7-421a-bb52-699b4fb52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03DE3-68C3-4531-BEBA-422A68D7EBE2}">
  <ds:schemaRefs>
    <ds:schemaRef ds:uri="http://schemas.microsoft.com/sharepoint/v3/contenttype/forms"/>
  </ds:schemaRefs>
</ds:datastoreItem>
</file>

<file path=customXml/itemProps3.xml><?xml version="1.0" encoding="utf-8"?>
<ds:datastoreItem xmlns:ds="http://schemas.openxmlformats.org/officeDocument/2006/customXml" ds:itemID="{8C799975-6246-428D-99D5-D5D11FE0C58F}">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fa8c522-d8a7-421a-bb52-699b4fb528e6"/>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EF3081FC-769C-45F9-8C56-5ED1F783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Pages>
  <Words>2616</Words>
  <Characters>14180</Characters>
  <Application>Microsoft Office Word</Application>
  <DocSecurity>0</DocSecurity>
  <Lines>240</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2022-03-28T07:55:00Z</cp:lastPrinted>
  <dcterms:created xsi:type="dcterms:W3CDTF">2022-04-26T14:55:00Z</dcterms:created>
  <dcterms:modified xsi:type="dcterms:W3CDTF">2022-04-27T07:13:00Z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0x010100258AA79CEB83498886A3A0868112325000E1BAA93592C65242BDB76EA5337AF418</vt:lpwstr>
  </property>
  <property fmtid="{D5CDD505-2E9C-101B-9397-08002B2CF9AE}" pid="11" name="MSIP_Label_6bd9ddd1-4d20-43f6-abfa-fc3c07406f94_Enabled">
    <vt:lpwstr>true</vt:lpwstr>
  </property>
  <property fmtid="{D5CDD505-2E9C-101B-9397-08002B2CF9AE}" pid="12" name="MSIP_Label_6bd9ddd1-4d20-43f6-abfa-fc3c07406f94_SetDate">
    <vt:lpwstr>2022-02-14T08:53:51Z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7b54dd0f-5c79-49a6-85b8-e01b3e001bec</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