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F2981" w14:textId="7C4E1D44" w:rsidR="00505D4D" w:rsidRDefault="008F1CC4" w:rsidP="008F1CC4">
      <w:pPr>
        <w:pStyle w:val="Pagedecouverture"/>
        <w:rPr>
          <w:noProof/>
        </w:rPr>
      </w:pPr>
      <w:bookmarkStart w:id="0" w:name="LW_BM_COVERPAGE"/>
      <w:r>
        <w:rPr>
          <w:noProof/>
        </w:rPr>
        <w:pict w14:anchorId="52B041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00B18414-BFF8-4F21-86CE-54B6932743A9" style="width:455.25pt;height:600pt">
            <v:imagedata r:id="rId7" o:title=""/>
          </v:shape>
        </w:pict>
      </w:r>
    </w:p>
    <w:bookmarkEnd w:id="0"/>
    <w:p w14:paraId="15FBFF60" w14:textId="77777777" w:rsidR="00505D4D" w:rsidRDefault="00505D4D" w:rsidP="00505D4D">
      <w:pPr>
        <w:rPr>
          <w:noProof/>
        </w:rPr>
        <w:sectPr w:rsidR="00505D4D" w:rsidSect="008F1CC4">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134" w:left="1417" w:header="709" w:footer="709" w:gutter="0"/>
          <w:pgNumType w:start="0"/>
          <w:cols w:space="720"/>
          <w:docGrid w:linePitch="360"/>
        </w:sectPr>
      </w:pPr>
    </w:p>
    <w:p w14:paraId="700F63E0" w14:textId="5393FF1E" w:rsidR="004D70ED" w:rsidRPr="00F73577" w:rsidRDefault="00FE3993" w:rsidP="00F73577">
      <w:pPr>
        <w:spacing w:after="120" w:line="240" w:lineRule="auto"/>
        <w:rPr>
          <w:rFonts w:ascii="Times New Roman" w:eastAsia="Times New Roman" w:hAnsi="Times New Roman" w:cs="Times New Roman"/>
          <w:b/>
          <w:noProof/>
          <w:sz w:val="24"/>
          <w:szCs w:val="24"/>
        </w:rPr>
      </w:pPr>
      <w:bookmarkStart w:id="1" w:name="_GoBack"/>
      <w:bookmarkEnd w:id="1"/>
      <w:r>
        <w:rPr>
          <w:rFonts w:ascii="Times New Roman" w:hAnsi="Times New Roman"/>
          <w:b/>
          <w:noProof/>
          <w:sz w:val="24"/>
          <w:szCs w:val="24"/>
        </w:rPr>
        <w:lastRenderedPageBreak/>
        <w:t>KOKKUVÕTE</w:t>
      </w:r>
    </w:p>
    <w:p w14:paraId="53D0DF7A" w14:textId="1934423D" w:rsidR="00FE3993" w:rsidRPr="00CF547E" w:rsidRDefault="00FE3993" w:rsidP="00541039">
      <w:pPr>
        <w:pStyle w:val="Default"/>
        <w:spacing w:after="120"/>
        <w:jc w:val="both"/>
        <w:rPr>
          <w:rFonts w:ascii="Times New Roman" w:hAnsi="Times New Roman" w:cs="Times New Roman"/>
          <w:noProof/>
        </w:rPr>
      </w:pPr>
      <w:r>
        <w:rPr>
          <w:rFonts w:ascii="Times New Roman" w:hAnsi="Times New Roman"/>
          <w:noProof/>
        </w:rPr>
        <w:t>Tööstusheidete direktiiv on peamine ELi õigusakt, millega välditakse ja vähendatakse ligikaudu 52 000 suurest Euroopa tööstuskäitisest ja loomakasvatusettevõttest pärit saastet. See toimib parimal võimalikul tehnikal (PVT) põhineva lubade andmise süsteemi kaudu. Liikmesriigid, tööstusharu ja kodanikuühiskond kinnitavad, et tööstusheidete direktiiv on optimaalne konsensuslik viis vähendada heidet ja tagada kogu ELis võrdsed tingimused.</w:t>
      </w:r>
      <w:r>
        <w:rPr>
          <w:noProof/>
        </w:rPr>
        <w:t xml:space="preserve"> </w:t>
      </w:r>
      <w:r>
        <w:rPr>
          <w:rFonts w:ascii="Times New Roman" w:hAnsi="Times New Roman"/>
          <w:noProof/>
        </w:rPr>
        <w:t>Euroopa saasteainete heite- ja ülekanderegistri määrusega hõlbustatakse saaste vähendamise nimel tehtavate jõupingutuste jälgimist, parandades avalikult kättesaadavat teavet käitiste tegelike tulemuste kohta.</w:t>
      </w:r>
    </w:p>
    <w:p w14:paraId="01F6EA55" w14:textId="6659BE8F" w:rsidR="00184AFB" w:rsidRPr="008E7E9E" w:rsidRDefault="00184AFB" w:rsidP="00541039">
      <w:pPr>
        <w:spacing w:after="120" w:line="240" w:lineRule="auto"/>
        <w:jc w:val="both"/>
        <w:rPr>
          <w:rFonts w:ascii="Times New Roman" w:hAnsi="Times New Roman" w:cs="Times New Roman"/>
          <w:noProof/>
          <w:sz w:val="24"/>
          <w:szCs w:val="24"/>
        </w:rPr>
      </w:pPr>
      <w:r w:rsidRPr="00DA1B27">
        <w:rPr>
          <w:rFonts w:ascii="Times New Roman" w:hAnsi="Times New Roman"/>
          <w:noProof/>
          <w:sz w:val="24"/>
          <w:szCs w:val="24"/>
        </w:rPr>
        <w:t>Tööstusheidete direktiiviga reguleeritud käitised tekitavad ligikaudu 20 % ELi saasteainete heitest õhku ja vette ning 40 % kasvuhoonegaaside (KHG) heitest.</w:t>
      </w:r>
      <w:r>
        <w:rPr>
          <w:rFonts w:ascii="Times New Roman" w:hAnsi="Times New Roman"/>
          <w:noProof/>
          <w:sz w:val="24"/>
          <w:szCs w:val="24"/>
        </w:rPr>
        <w:t xml:space="preserve"> Langussuundumustest hoolimata moodustab kahju tervisele ja keskkonnale jätkuvalt ligikaudu 277–433 miljardit eurot aastas (2017. aasta andmed).</w:t>
      </w:r>
    </w:p>
    <w:p w14:paraId="7CDBFBDA" w14:textId="2220D8DF" w:rsidR="003F3DE6" w:rsidRDefault="00FE3993" w:rsidP="00541039">
      <w:pPr>
        <w:pStyle w:val="Default"/>
        <w:spacing w:after="120"/>
        <w:jc w:val="both"/>
        <w:rPr>
          <w:rFonts w:ascii="Times New Roman" w:hAnsi="Times New Roman" w:cs="Times New Roman"/>
          <w:noProof/>
        </w:rPr>
      </w:pPr>
      <w:r>
        <w:rPr>
          <w:rFonts w:ascii="Times New Roman" w:hAnsi="Times New Roman"/>
          <w:noProof/>
        </w:rPr>
        <w:t>Käesolevas algatuses käsitletakse viit probleemi:</w:t>
      </w:r>
    </w:p>
    <w:p w14:paraId="1E59CE1D" w14:textId="26F9C3EF" w:rsidR="00FE3993" w:rsidRPr="00CF547E" w:rsidRDefault="00D42541" w:rsidP="00F73577">
      <w:pPr>
        <w:pStyle w:val="Default"/>
        <w:numPr>
          <w:ilvl w:val="0"/>
          <w:numId w:val="8"/>
        </w:numPr>
        <w:spacing w:after="120"/>
        <w:ind w:left="714" w:hanging="357"/>
        <w:contextualSpacing/>
        <w:jc w:val="both"/>
        <w:rPr>
          <w:rFonts w:ascii="Times New Roman" w:hAnsi="Times New Roman" w:cs="Times New Roman"/>
          <w:noProof/>
        </w:rPr>
      </w:pPr>
      <w:r>
        <w:rPr>
          <w:rFonts w:ascii="Times New Roman" w:hAnsi="Times New Roman"/>
          <w:noProof/>
        </w:rPr>
        <w:t>õhku ja vette sattuvate saasteainete heite piirnormide ebapiisav ja ebajärjekindel rakendamine;</w:t>
      </w:r>
    </w:p>
    <w:p w14:paraId="7644E202" w14:textId="5551BD15" w:rsidR="00FE3993" w:rsidRPr="00E17651" w:rsidRDefault="00FE3993" w:rsidP="00F73577">
      <w:pPr>
        <w:pStyle w:val="Default"/>
        <w:numPr>
          <w:ilvl w:val="0"/>
          <w:numId w:val="8"/>
        </w:numPr>
        <w:spacing w:after="120"/>
        <w:ind w:left="714" w:hanging="357"/>
        <w:contextualSpacing/>
        <w:jc w:val="both"/>
        <w:rPr>
          <w:rFonts w:ascii="Times New Roman" w:hAnsi="Times New Roman" w:cs="Times New Roman"/>
          <w:noProof/>
        </w:rPr>
      </w:pPr>
      <w:r>
        <w:rPr>
          <w:rFonts w:ascii="Times New Roman" w:hAnsi="Times New Roman"/>
          <w:noProof/>
        </w:rPr>
        <w:t xml:space="preserve">innovatsiooni vähene kasutuselevõtmine, kuna parim võimalik tehnika tugineb ennast õigustanud tehnoloogiatele; </w:t>
      </w:r>
    </w:p>
    <w:p w14:paraId="4B9F5EC3" w14:textId="3040F285" w:rsidR="00FE3993" w:rsidRPr="00E17651" w:rsidRDefault="00D42541" w:rsidP="00F73577">
      <w:pPr>
        <w:pStyle w:val="Default"/>
        <w:numPr>
          <w:ilvl w:val="0"/>
          <w:numId w:val="8"/>
        </w:numPr>
        <w:spacing w:after="120"/>
        <w:ind w:left="714" w:hanging="357"/>
        <w:contextualSpacing/>
        <w:jc w:val="both"/>
        <w:rPr>
          <w:rFonts w:ascii="Times New Roman" w:hAnsi="Times New Roman" w:cs="Times New Roman"/>
          <w:noProof/>
        </w:rPr>
      </w:pPr>
      <w:r>
        <w:rPr>
          <w:rFonts w:ascii="Times New Roman" w:hAnsi="Times New Roman"/>
          <w:noProof/>
        </w:rPr>
        <w:t>väike panus ressursitõhususse, ringmajandusse ja vähem mürgiste kemikaalide kasutamisse;</w:t>
      </w:r>
    </w:p>
    <w:p w14:paraId="3C033861" w14:textId="61AFD85F" w:rsidR="00FE3993" w:rsidRPr="00E17651" w:rsidRDefault="00FD0D9C" w:rsidP="00FD0D9C">
      <w:pPr>
        <w:pStyle w:val="Default"/>
        <w:numPr>
          <w:ilvl w:val="0"/>
          <w:numId w:val="8"/>
        </w:numPr>
        <w:spacing w:after="120"/>
        <w:contextualSpacing/>
        <w:jc w:val="both"/>
        <w:rPr>
          <w:rFonts w:ascii="Times New Roman" w:hAnsi="Times New Roman" w:cs="Times New Roman"/>
          <w:noProof/>
        </w:rPr>
      </w:pPr>
      <w:r>
        <w:rPr>
          <w:rFonts w:ascii="Times New Roman" w:hAnsi="Times New Roman"/>
          <w:noProof/>
        </w:rPr>
        <w:t>panus kasvuhoonegaaside heite vähendamisse on piiratud ega ole sidus;</w:t>
      </w:r>
    </w:p>
    <w:p w14:paraId="6296BD66" w14:textId="64B565F4" w:rsidR="00FE3993" w:rsidRPr="00E17651" w:rsidRDefault="00FE3993" w:rsidP="00F73577">
      <w:pPr>
        <w:pStyle w:val="ListParagraph"/>
        <w:numPr>
          <w:ilvl w:val="0"/>
          <w:numId w:val="8"/>
        </w:numPr>
        <w:ind w:left="714" w:hanging="357"/>
        <w:jc w:val="left"/>
        <w:rPr>
          <w:noProof/>
          <w:szCs w:val="24"/>
        </w:rPr>
      </w:pPr>
      <w:r>
        <w:rPr>
          <w:noProof/>
        </w:rPr>
        <w:t>õigusakti valdkondlik kohaldamisala on piiratud ja aegunud.</w:t>
      </w:r>
    </w:p>
    <w:p w14:paraId="3AA582DD" w14:textId="569CBFFD" w:rsidR="006F0CB4" w:rsidRPr="00E17651" w:rsidRDefault="00737A46" w:rsidP="00541039">
      <w:pPr>
        <w:spacing w:after="120" w:line="240" w:lineRule="auto"/>
        <w:jc w:val="both"/>
        <w:rPr>
          <w:noProof/>
        </w:rPr>
      </w:pPr>
      <w:r>
        <w:rPr>
          <w:rFonts w:ascii="Times New Roman" w:hAnsi="Times New Roman"/>
          <w:noProof/>
          <w:sz w:val="24"/>
          <w:szCs w:val="24"/>
        </w:rPr>
        <w:t>Tööstusheidete direktiivi ning Euroopa saasteainete heite- ja ülekanderegistri käesoleva läbivaatamise eesmärk on kehtestada rohkem tulevikku suunatud ja paindlik raamistik, millega toetatakse innovatsiooni ja mis on sobilik tööstuse tulevase ümberkujundamise jaoks.</w:t>
      </w:r>
    </w:p>
    <w:p w14:paraId="7F21C93A" w14:textId="16B0FF9D" w:rsidR="00FE3993" w:rsidRPr="00E17651" w:rsidRDefault="00D57674" w:rsidP="00541039">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Esitatakse </w:t>
      </w:r>
      <w:r>
        <w:rPr>
          <w:rFonts w:ascii="Times New Roman" w:hAnsi="Times New Roman"/>
          <w:b/>
          <w:noProof/>
          <w:sz w:val="24"/>
          <w:szCs w:val="24"/>
        </w:rPr>
        <w:t>eelistatud poliitikavariantide ja allvariantide pakett</w:t>
      </w:r>
      <w:r>
        <w:rPr>
          <w:rFonts w:ascii="Times New Roman" w:hAnsi="Times New Roman"/>
          <w:noProof/>
          <w:sz w:val="24"/>
          <w:szCs w:val="24"/>
        </w:rPr>
        <w:t>, milles käsitletakse iga probleemi.</w:t>
      </w:r>
    </w:p>
    <w:p w14:paraId="6389746B" w14:textId="1DBD6C30" w:rsidR="00FE3993" w:rsidRPr="00E17651" w:rsidRDefault="00FE3993" w:rsidP="00541039">
      <w:pPr>
        <w:pStyle w:val="ListParagraph"/>
        <w:numPr>
          <w:ilvl w:val="0"/>
          <w:numId w:val="6"/>
        </w:numPr>
        <w:rPr>
          <w:noProof/>
          <w:szCs w:val="24"/>
        </w:rPr>
      </w:pPr>
      <w:r>
        <w:rPr>
          <w:b/>
          <w:noProof/>
          <w:szCs w:val="24"/>
        </w:rPr>
        <w:t>Tulemuslikkus:</w:t>
      </w:r>
      <w:r>
        <w:rPr>
          <w:noProof/>
        </w:rPr>
        <w:t xml:space="preserve"> sellega tagatakse, et heite piirnormide tulemusel saavutatakse parima võimaliku tehnika potentsiaal heidet vähendada, tagatakse rakendamise ja eesmärkide tasemete suurem ühetaolisus liikmesriikide lõikes, tõhustatakse üldsuse õigusi ja nõuete täitmise tagamist ning muudetakse õigusakt selgemaks. </w:t>
      </w:r>
    </w:p>
    <w:p w14:paraId="2B440DD4" w14:textId="2C5F713E" w:rsidR="00FE3993" w:rsidRPr="00E17651" w:rsidRDefault="00FE3993" w:rsidP="00FD0D9C">
      <w:pPr>
        <w:pStyle w:val="ListParagraph"/>
        <w:numPr>
          <w:ilvl w:val="0"/>
          <w:numId w:val="6"/>
        </w:numPr>
        <w:rPr>
          <w:b/>
          <w:noProof/>
          <w:szCs w:val="24"/>
        </w:rPr>
      </w:pPr>
      <w:r>
        <w:rPr>
          <w:b/>
          <w:noProof/>
          <w:szCs w:val="24"/>
        </w:rPr>
        <w:t>Innovatsioon:</w:t>
      </w:r>
      <w:r>
        <w:rPr>
          <w:noProof/>
        </w:rPr>
        <w:t xml:space="preserve"> eestvedajad saavad katsetada uudseid tehnoloogiaid. Tööstuspöörde ja tööstusheite innovatsioonikeskus (INCITE) lisab parimat võimalikku tehnikat käsitlevatesse kaalutlustesse uuenduslikud tehnoloogiad ning käitajad integreerivad oma ümberkujundamiskava keskkonnajuhtimissüsteemidesse.</w:t>
      </w:r>
      <w:r>
        <w:rPr>
          <w:b/>
          <w:noProof/>
          <w:szCs w:val="24"/>
        </w:rPr>
        <w:t xml:space="preserve"> </w:t>
      </w:r>
    </w:p>
    <w:p w14:paraId="54F8A46B" w14:textId="013A4C31" w:rsidR="00184AFB" w:rsidRPr="00184AFB" w:rsidRDefault="00FE3993" w:rsidP="00541039">
      <w:pPr>
        <w:pStyle w:val="ListParagraph"/>
        <w:numPr>
          <w:ilvl w:val="0"/>
          <w:numId w:val="6"/>
        </w:numPr>
        <w:rPr>
          <w:noProof/>
          <w:szCs w:val="24"/>
        </w:rPr>
      </w:pPr>
      <w:r>
        <w:rPr>
          <w:b/>
          <w:noProof/>
          <w:szCs w:val="24"/>
        </w:rPr>
        <w:t xml:space="preserve">Ressursside kasutamine ja kemikaalid: </w:t>
      </w:r>
      <w:r>
        <w:rPr>
          <w:noProof/>
        </w:rPr>
        <w:t xml:space="preserve">sektoripõhist ringmajandust, ressursitõhusust ja mürgisuse vähendamist toetatakse paremini kohandatud kohustuslike keskkonnajuhtimissüsteemide kaudu. </w:t>
      </w:r>
    </w:p>
    <w:p w14:paraId="031D7B64" w14:textId="6A61D8E1" w:rsidR="00FE3993" w:rsidRPr="004149B0" w:rsidRDefault="00FE3993" w:rsidP="00541039">
      <w:pPr>
        <w:pStyle w:val="ListParagraph"/>
        <w:numPr>
          <w:ilvl w:val="0"/>
          <w:numId w:val="6"/>
        </w:numPr>
        <w:rPr>
          <w:b/>
          <w:noProof/>
          <w:szCs w:val="24"/>
        </w:rPr>
      </w:pPr>
      <w:r>
        <w:rPr>
          <w:b/>
          <w:noProof/>
          <w:szCs w:val="24"/>
        </w:rPr>
        <w:t>CO</w:t>
      </w:r>
      <w:r>
        <w:rPr>
          <w:b/>
          <w:noProof/>
          <w:szCs w:val="24"/>
          <w:vertAlign w:val="subscript"/>
        </w:rPr>
        <w:t>2</w:t>
      </w:r>
      <w:r>
        <w:rPr>
          <w:b/>
          <w:noProof/>
          <w:szCs w:val="24"/>
        </w:rPr>
        <w:t xml:space="preserve"> heite vähendamine: </w:t>
      </w:r>
      <w:r>
        <w:rPr>
          <w:noProof/>
        </w:rPr>
        <w:t>saastest puhastamise ja CO</w:t>
      </w:r>
      <w:r>
        <w:rPr>
          <w:noProof/>
          <w:vertAlign w:val="subscript"/>
        </w:rPr>
        <w:t>2</w:t>
      </w:r>
      <w:r>
        <w:rPr>
          <w:noProof/>
        </w:rPr>
        <w:t xml:space="preserve"> heite vähendamise saavutamiseks antakse õigus kasutada n-ö alt-üles optimaalseid tehnoloogilisi sektoripõhiseid vahendeid koos siduvate energiatõhususe miinimumtasanditega. Tööstusheidete direktiivi ja heitkogustega kauplemise süsteemi vahelise seose läbivaatamine 2028. aastal võimaldab tagada alates 2030. aastast optimaalsed sünergiad. Euroopa saasteainete heite- ja ülekanderegistri puhul võetakse kasutusele üksikasjalikum kasvuhoonegaaside heite aruandlus. </w:t>
      </w:r>
    </w:p>
    <w:p w14:paraId="1D13506C" w14:textId="581AF141" w:rsidR="00FE3993" w:rsidRPr="00D57674" w:rsidRDefault="00FE3993" w:rsidP="00541039">
      <w:pPr>
        <w:pStyle w:val="ListParagraph"/>
        <w:numPr>
          <w:ilvl w:val="0"/>
          <w:numId w:val="6"/>
        </w:numPr>
        <w:rPr>
          <w:noProof/>
          <w:szCs w:val="24"/>
        </w:rPr>
      </w:pPr>
      <w:r>
        <w:rPr>
          <w:b/>
          <w:noProof/>
          <w:szCs w:val="24"/>
        </w:rPr>
        <w:t xml:space="preserve">Valdkondlik ulatus: </w:t>
      </w:r>
      <w:r>
        <w:rPr>
          <w:noProof/>
        </w:rPr>
        <w:t xml:space="preserve">seda tuleb laiendada, põhiliselt loomakasvatuse ja teatava kaevandustegevuse valdkondades. </w:t>
      </w:r>
    </w:p>
    <w:p w14:paraId="619323E8" w14:textId="77777777" w:rsidR="00B72602" w:rsidRDefault="003F3DE6" w:rsidP="00541039">
      <w:pPr>
        <w:pStyle w:val="Default"/>
        <w:spacing w:after="120"/>
        <w:jc w:val="both"/>
        <w:rPr>
          <w:rFonts w:ascii="Times New Roman" w:hAnsi="Times New Roman" w:cs="Times New Roman"/>
          <w:noProof/>
        </w:rPr>
      </w:pPr>
      <w:r>
        <w:rPr>
          <w:rFonts w:ascii="Times New Roman" w:hAnsi="Times New Roman"/>
          <w:noProof/>
        </w:rPr>
        <w:t>Algatusega kaasnev üldine kasu kaalub märkimisväärselt üles selle kulud. Kuigi kogu mõju ei ole olnud võimalik kvantifitseerida, siis on selge, et</w:t>
      </w:r>
    </w:p>
    <w:p w14:paraId="797A12B1" w14:textId="70EFE2A8" w:rsidR="00B72602" w:rsidRDefault="00EC2404" w:rsidP="00024A6C">
      <w:pPr>
        <w:pStyle w:val="Default"/>
        <w:numPr>
          <w:ilvl w:val="0"/>
          <w:numId w:val="9"/>
        </w:numPr>
        <w:spacing w:after="120"/>
        <w:jc w:val="both"/>
        <w:rPr>
          <w:rFonts w:ascii="Times New Roman" w:hAnsi="Times New Roman" w:cs="Times New Roman"/>
          <w:noProof/>
        </w:rPr>
      </w:pPr>
      <w:r>
        <w:rPr>
          <w:rFonts w:ascii="Times New Roman" w:hAnsi="Times New Roman"/>
          <w:noProof/>
        </w:rPr>
        <w:t xml:space="preserve">tulemuslikkust käsitleva variandi puhul kaalutud peamise meetmega kaasneva tervisekasu rahaline väärtus on 860–2 800 miljonit eurot aastas, samal ajal kui äriühingute investeeringukulud/tegevuskulud on ligikaudu 210 miljonit eurot aastas, ning </w:t>
      </w:r>
    </w:p>
    <w:p w14:paraId="1DFD5BB5" w14:textId="31CA26CE" w:rsidR="00B72602" w:rsidRDefault="00FF24C6" w:rsidP="00AE339F">
      <w:pPr>
        <w:pStyle w:val="Default"/>
        <w:numPr>
          <w:ilvl w:val="0"/>
          <w:numId w:val="9"/>
        </w:numPr>
        <w:spacing w:after="120"/>
        <w:jc w:val="both"/>
        <w:rPr>
          <w:rFonts w:ascii="Times New Roman" w:hAnsi="Times New Roman" w:cs="Times New Roman"/>
          <w:noProof/>
        </w:rPr>
      </w:pPr>
      <w:r>
        <w:rPr>
          <w:rFonts w:ascii="Times New Roman" w:hAnsi="Times New Roman"/>
          <w:noProof/>
        </w:rPr>
        <w:t xml:space="preserve">loomakasvatusettevõtjate ulatuslikuma hõlmamise tulemusel vähenevad metaani- ja ammoniaagiheited, millega kaasnev tervisekasu jääb vahemikku 5 450–9 240 miljonit eurot aastas ja seotud nõuete täitmise kulud jäävad vahemikku 265–812 miljonit eurot aastas. </w:t>
      </w:r>
    </w:p>
    <w:p w14:paraId="7ED90C76" w14:textId="56CF3A7C" w:rsidR="00FE3993" w:rsidRDefault="004B6D89" w:rsidP="00AF2723">
      <w:pPr>
        <w:pStyle w:val="Default"/>
        <w:spacing w:after="120"/>
        <w:jc w:val="both"/>
        <w:rPr>
          <w:rFonts w:ascii="Times New Roman" w:hAnsi="Times New Roman" w:cs="Times New Roman"/>
          <w:noProof/>
        </w:rPr>
      </w:pPr>
      <w:r>
        <w:rPr>
          <w:rFonts w:ascii="Times New Roman" w:hAnsi="Times New Roman"/>
          <w:noProof/>
        </w:rPr>
        <w:t>Kogu halduskoormuseks hinnatakse 356–600 miljonit eurot aastas tööstusettevõtetele ja 265–509 miljonit eurot aastas avaliku sektori asutustele; nende kulude kasv on oluliselt tagasihoidlikum tänu loomakasvatusettevõtetele lubade andmise leebemale süsteemile.</w:t>
      </w:r>
    </w:p>
    <w:p w14:paraId="13BDFA8F" w14:textId="66704504" w:rsidR="00B72602" w:rsidRPr="00541039" w:rsidRDefault="00B72602" w:rsidP="00AF2723">
      <w:pPr>
        <w:pStyle w:val="Default"/>
        <w:spacing w:after="120"/>
        <w:jc w:val="both"/>
        <w:rPr>
          <w:rFonts w:ascii="Times New Roman" w:hAnsi="Times New Roman" w:cs="Times New Roman"/>
          <w:noProof/>
        </w:rPr>
      </w:pPr>
      <w:r>
        <w:rPr>
          <w:rFonts w:ascii="Times New Roman" w:hAnsi="Times New Roman"/>
          <w:noProof/>
        </w:rPr>
        <w:t xml:space="preserve">Üldiselt kehtestatakse ettepanekuga õigusraamistik, mis annab ELile vahendid tulla toime suurte keskkonnaprobleemidega, mida põllumajandus- ja tööstuskäitised tulevastel aastakümnetel eeldatavalt põhjustavad. </w:t>
      </w:r>
    </w:p>
    <w:sectPr w:rsidR="00B72602" w:rsidRPr="00541039" w:rsidSect="00505D4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BDA18" w14:textId="77777777" w:rsidR="00AD5383" w:rsidRDefault="00AD5383" w:rsidP="00AD5383">
      <w:pPr>
        <w:spacing w:after="0" w:line="240" w:lineRule="auto"/>
      </w:pPr>
      <w:r>
        <w:separator/>
      </w:r>
    </w:p>
  </w:endnote>
  <w:endnote w:type="continuationSeparator" w:id="0">
    <w:p w14:paraId="0A6AD6CD" w14:textId="77777777" w:rsidR="00AD5383" w:rsidRDefault="00AD5383" w:rsidP="00AD5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E2584" w14:textId="77777777" w:rsidR="008F1CC4" w:rsidRPr="008F1CC4" w:rsidRDefault="008F1CC4" w:rsidP="008F1C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DA609" w14:textId="4C14C44B" w:rsidR="00C01550" w:rsidRPr="008F1CC4" w:rsidRDefault="008F1CC4" w:rsidP="008F1CC4">
    <w:pPr>
      <w:pStyle w:val="FooterCoverPage"/>
      <w:rPr>
        <w:rFonts w:ascii="Arial" w:hAnsi="Arial" w:cs="Arial"/>
        <w:b/>
        <w:sz w:val="48"/>
      </w:rPr>
    </w:pPr>
    <w:r w:rsidRPr="008F1CC4">
      <w:rPr>
        <w:rFonts w:ascii="Arial" w:hAnsi="Arial" w:cs="Arial"/>
        <w:b/>
        <w:sz w:val="48"/>
      </w:rPr>
      <w:t>ET</w:t>
    </w:r>
    <w:r w:rsidRPr="008F1CC4">
      <w:rPr>
        <w:rFonts w:ascii="Arial" w:hAnsi="Arial" w:cs="Arial"/>
        <w:b/>
        <w:sz w:val="48"/>
      </w:rPr>
      <w:tab/>
    </w:r>
    <w:r w:rsidRPr="008F1CC4">
      <w:rPr>
        <w:rFonts w:ascii="Arial" w:hAnsi="Arial" w:cs="Arial"/>
        <w:b/>
        <w:sz w:val="48"/>
      </w:rPr>
      <w:tab/>
    </w:r>
    <w:r w:rsidRPr="008F1CC4">
      <w:tab/>
    </w:r>
    <w:r w:rsidRPr="008F1CC4">
      <w:rPr>
        <w:rFonts w:ascii="Arial" w:hAnsi="Arial" w:cs="Arial"/>
        <w:b/>
        <w:sz w:val="48"/>
      </w:rPr>
      <w:t>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6F129" w14:textId="77777777" w:rsidR="008F1CC4" w:rsidRPr="008F1CC4" w:rsidRDefault="008F1CC4" w:rsidP="008F1CC4">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251A6" w14:textId="77777777" w:rsidR="00505D4D" w:rsidRDefault="00505D4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5383366"/>
      <w:docPartObj>
        <w:docPartGallery w:val="Page Numbers (Bottom of Page)"/>
        <w:docPartUnique/>
      </w:docPartObj>
    </w:sdtPr>
    <w:sdtEndPr>
      <w:rPr>
        <w:noProof/>
      </w:rPr>
    </w:sdtEndPr>
    <w:sdtContent>
      <w:p w14:paraId="141CD628" w14:textId="331E1117" w:rsidR="00505D4D" w:rsidRDefault="00505D4D">
        <w:pPr>
          <w:pStyle w:val="Footer"/>
          <w:jc w:val="right"/>
        </w:pPr>
        <w:r>
          <w:fldChar w:fldCharType="begin"/>
        </w:r>
        <w:r>
          <w:instrText xml:space="preserve"> PAGE   \* MERGEFORMAT </w:instrText>
        </w:r>
        <w:r>
          <w:fldChar w:fldCharType="separate"/>
        </w:r>
        <w:r w:rsidR="008F1CC4">
          <w:rPr>
            <w:noProof/>
          </w:rPr>
          <w:t>2</w:t>
        </w:r>
        <w:r>
          <w:fldChar w:fldCharType="end"/>
        </w:r>
      </w:p>
    </w:sdtContent>
  </w:sdt>
  <w:p w14:paraId="315083F0" w14:textId="77777777" w:rsidR="00505D4D" w:rsidRDefault="00505D4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A8F38" w14:textId="77777777" w:rsidR="00505D4D" w:rsidRDefault="00505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51455" w14:textId="77777777" w:rsidR="00AD5383" w:rsidRDefault="00AD5383" w:rsidP="00AD5383">
      <w:pPr>
        <w:spacing w:after="0" w:line="240" w:lineRule="auto"/>
      </w:pPr>
      <w:r>
        <w:separator/>
      </w:r>
    </w:p>
  </w:footnote>
  <w:footnote w:type="continuationSeparator" w:id="0">
    <w:p w14:paraId="1AFD4D06" w14:textId="77777777" w:rsidR="00AD5383" w:rsidRDefault="00AD5383" w:rsidP="00AD5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A57F6" w14:textId="77777777" w:rsidR="008F1CC4" w:rsidRPr="008F1CC4" w:rsidRDefault="008F1CC4" w:rsidP="008F1C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632BF" w14:textId="77777777" w:rsidR="008F1CC4" w:rsidRPr="008F1CC4" w:rsidRDefault="008F1CC4" w:rsidP="008F1CC4">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F1927" w14:textId="77777777" w:rsidR="008F1CC4" w:rsidRPr="008F1CC4" w:rsidRDefault="008F1CC4" w:rsidP="008F1CC4">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D0DBA" w14:textId="77777777" w:rsidR="00505D4D" w:rsidRDefault="00505D4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B54D7" w14:textId="77777777" w:rsidR="00505D4D" w:rsidRDefault="00505D4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6BCC3" w14:textId="77777777" w:rsidR="00505D4D" w:rsidRDefault="00505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303F"/>
    <w:multiLevelType w:val="hybridMultilevel"/>
    <w:tmpl w:val="449219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7E75F6A"/>
    <w:multiLevelType w:val="hybridMultilevel"/>
    <w:tmpl w:val="E09E9310"/>
    <w:lvl w:ilvl="0" w:tplc="969C78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1979A0"/>
    <w:multiLevelType w:val="hybridMultilevel"/>
    <w:tmpl w:val="6BF02F00"/>
    <w:lvl w:ilvl="0" w:tplc="0C10002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AF35DF"/>
    <w:multiLevelType w:val="hybridMultilevel"/>
    <w:tmpl w:val="C4F459E0"/>
    <w:lvl w:ilvl="0" w:tplc="080C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D25B7A"/>
    <w:multiLevelType w:val="hybridMultilevel"/>
    <w:tmpl w:val="5EEC00A2"/>
    <w:lvl w:ilvl="0" w:tplc="080C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4977C3"/>
    <w:multiLevelType w:val="hybridMultilevel"/>
    <w:tmpl w:val="773E225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A155AA4"/>
    <w:multiLevelType w:val="hybridMultilevel"/>
    <w:tmpl w:val="40F2EA7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A1415B"/>
    <w:multiLevelType w:val="hybridMultilevel"/>
    <w:tmpl w:val="E5688A62"/>
    <w:lvl w:ilvl="0" w:tplc="61AA2564">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A83408F"/>
    <w:multiLevelType w:val="hybridMultilevel"/>
    <w:tmpl w:val="B9F0BFE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5"/>
  </w:num>
  <w:num w:numId="3">
    <w:abstractNumId w:val="8"/>
  </w:num>
  <w:num w:numId="4">
    <w:abstractNumId w:val="6"/>
  </w:num>
  <w:num w:numId="5">
    <w:abstractNumId w:val="2"/>
  </w:num>
  <w:num w:numId="6">
    <w:abstractNumId w:val="0"/>
  </w:num>
  <w:num w:numId="7">
    <w:abstractNumId w:val="3"/>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Lisatud dokumentidele:"/>
    <w:docVar w:name="LW_CORRIGENDUM" w:val="&lt;UNUSED&gt;"/>
    <w:docVar w:name="LW_COVERPAGE_EXISTS" w:val="True"/>
    <w:docVar w:name="LW_COVERPAGE_GUID" w:val="00B18414-BFF8-4F21-86CE-54B6932743A9"/>
    <w:docVar w:name="LW_COVERPAGE_TYPE" w:val="1"/>
    <w:docVar w:name="LW_CROSSREFERENCE" w:val="{COM(2022) 156 final} - {SEC(2022) 169 final} - {SWD(2022) 110 final} - {SWD(2022) 111 final}"/>
    <w:docVar w:name="LW_DocType" w:val="NORMAL"/>
    <w:docVar w:name="LW_EMISSION" w:val="5.4.2022"/>
    <w:docVar w:name="LW_EMISSION_ISODATE" w:val="2022-04-05"/>
    <w:docVar w:name="LW_EMISSION_LOCATION" w:val="STR"/>
    <w:docVar w:name="LW_EMISSION_PREFIX" w:val="Strasbourg, "/>
    <w:docVar w:name="LW_EMISSION_SUFFIX" w:val=" "/>
    <w:docVar w:name="LW_ID_DOCTYPE_NONLW" w:val="CP-027"/>
    <w:docVar w:name="LW_LANGUE" w:val="ET"/>
    <w:docVar w:name="LW_LEVEL_OF_SENSITIVITY" w:val="Standard treatment"/>
    <w:docVar w:name="LW_NOM.INST" w:val="EUROOPA KOMISJON"/>
    <w:docVar w:name="LW_NOM.INST_JOINTDOC" w:val="&lt;EMPTY&gt;"/>
    <w:docVar w:name="LW_OBJETACTEPRINCIPAL.CP" w:val="EUROOPA PARLAMENDI JA NÕUKOGU DIREKTIIV,_x000d__x000d__x000d__x000d__x000d__x000d__x000b_millega muudetakse_x000d__x000d__x000d__x000d__x000d__x000d__x000d__x000b__x000d__x000d__x000d__x000d__x000d__x000d__x000d__x000b_Euroopa Parlamendi ja nõukogu 24. novembri 2010. aasta direktiivi 2010/75/EL tööstusheidete kohta (saastuse kompleksne vältimine ja kontroll) ning nõukogu 26. aprilli 1999. aasta direktiivi 1999/31/EÜ prügilate kohta_x000d__x000d__x000d__x000d__x000d__x000d__x000d__x000d__x000b__x000d__x000d__x000d__x000d__x000d__x000d__x000d__x000b_ning_x000d__x000d__x000d__x000d__x000d__x000d__x000d__x000d__x000b__x000d__x000d__x000d__x000d__x000d__x000d__x000d__x000b_Ettepanek:_x000d__x000d__x000d__x000d__x000d__x000d__x000b_EUROOPA PARLAMENDI JA NÕUKOGU MÄÄRUS_x000d__x000d__x000d__x000d__x000d__x000d__x000b_tööstuskäitiste keskkonnaandmete esitamise ja tööstusheite portaali loomise kohta"/>
    <w:docVar w:name="LW_PART_NBR" w:val="1"/>
    <w:docVar w:name="LW_PART_NBR_TOTAL" w:val="1"/>
    <w:docVar w:name="LW_REF.INST.NEW" w:val="SWD"/>
    <w:docVar w:name="LW_REF.INST.NEW_ADOPTED" w:val="final"/>
    <w:docVar w:name="LW_REF.INST.NEW_TEXT" w:val="(2022) 11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 "/>
    <w:docVar w:name="LW_TYPE.DOC.CP" w:val="KOMISJONI TALITUSTE TÖÖDOKUMENT_x000b__x000b_MÕJU HINDAMISE ARUANDE KOMMENTEERITUD KOKKUVÕTE_x000b_"/>
    <w:docVar w:name="LW_TYPEACTEPRINCIPAL.CP" w:val="Ettepanek:"/>
    <w:docVar w:name="LwApiVersions" w:val="LW4CoDe 1.23.2.0; LW 8.0, Build 20211117"/>
  </w:docVars>
  <w:rsids>
    <w:rsidRoot w:val="00FE3993"/>
    <w:rsid w:val="00002A69"/>
    <w:rsid w:val="00015434"/>
    <w:rsid w:val="00024A6C"/>
    <w:rsid w:val="00076A5D"/>
    <w:rsid w:val="000B09F5"/>
    <w:rsid w:val="000B2672"/>
    <w:rsid w:val="00154254"/>
    <w:rsid w:val="00184AFB"/>
    <w:rsid w:val="001A47BA"/>
    <w:rsid w:val="0021285A"/>
    <w:rsid w:val="002339E5"/>
    <w:rsid w:val="003011A5"/>
    <w:rsid w:val="003357F4"/>
    <w:rsid w:val="003A3C3B"/>
    <w:rsid w:val="003E0CD6"/>
    <w:rsid w:val="003F3DE6"/>
    <w:rsid w:val="004149B0"/>
    <w:rsid w:val="0042227F"/>
    <w:rsid w:val="00445D29"/>
    <w:rsid w:val="004631C9"/>
    <w:rsid w:val="00495F6C"/>
    <w:rsid w:val="004B6D89"/>
    <w:rsid w:val="004C3FD9"/>
    <w:rsid w:val="004D70ED"/>
    <w:rsid w:val="00505D4D"/>
    <w:rsid w:val="0053263D"/>
    <w:rsid w:val="00541039"/>
    <w:rsid w:val="0054371A"/>
    <w:rsid w:val="00555CD3"/>
    <w:rsid w:val="00555F5C"/>
    <w:rsid w:val="005B7C27"/>
    <w:rsid w:val="005C334F"/>
    <w:rsid w:val="005C5394"/>
    <w:rsid w:val="005D55E1"/>
    <w:rsid w:val="005E2E20"/>
    <w:rsid w:val="005F23E3"/>
    <w:rsid w:val="00605C30"/>
    <w:rsid w:val="0063445C"/>
    <w:rsid w:val="006345D6"/>
    <w:rsid w:val="006D2BD1"/>
    <w:rsid w:val="006E1C5A"/>
    <w:rsid w:val="006F0CB4"/>
    <w:rsid w:val="007107AB"/>
    <w:rsid w:val="00726883"/>
    <w:rsid w:val="00737A46"/>
    <w:rsid w:val="007473BF"/>
    <w:rsid w:val="007748ED"/>
    <w:rsid w:val="00800287"/>
    <w:rsid w:val="00825107"/>
    <w:rsid w:val="008413CA"/>
    <w:rsid w:val="00844ED0"/>
    <w:rsid w:val="008473AB"/>
    <w:rsid w:val="00851456"/>
    <w:rsid w:val="00867300"/>
    <w:rsid w:val="008C5BBF"/>
    <w:rsid w:val="008F1CC4"/>
    <w:rsid w:val="00911A54"/>
    <w:rsid w:val="00935FDD"/>
    <w:rsid w:val="00986D9E"/>
    <w:rsid w:val="00A00F17"/>
    <w:rsid w:val="00A35436"/>
    <w:rsid w:val="00A77E81"/>
    <w:rsid w:val="00A96E92"/>
    <w:rsid w:val="00AB074E"/>
    <w:rsid w:val="00AD0740"/>
    <w:rsid w:val="00AD5383"/>
    <w:rsid w:val="00AE339F"/>
    <w:rsid w:val="00AF2723"/>
    <w:rsid w:val="00AF7547"/>
    <w:rsid w:val="00B378E2"/>
    <w:rsid w:val="00B72602"/>
    <w:rsid w:val="00BC1873"/>
    <w:rsid w:val="00BE2DDD"/>
    <w:rsid w:val="00C01550"/>
    <w:rsid w:val="00C15444"/>
    <w:rsid w:val="00C931BD"/>
    <w:rsid w:val="00CD37D2"/>
    <w:rsid w:val="00CF1D11"/>
    <w:rsid w:val="00CF4BD6"/>
    <w:rsid w:val="00CF547E"/>
    <w:rsid w:val="00D1285B"/>
    <w:rsid w:val="00D13B6C"/>
    <w:rsid w:val="00D42541"/>
    <w:rsid w:val="00D5596C"/>
    <w:rsid w:val="00D57674"/>
    <w:rsid w:val="00D701BB"/>
    <w:rsid w:val="00D82041"/>
    <w:rsid w:val="00DA1B27"/>
    <w:rsid w:val="00E17651"/>
    <w:rsid w:val="00E24C8B"/>
    <w:rsid w:val="00E46F90"/>
    <w:rsid w:val="00EC1EC2"/>
    <w:rsid w:val="00EC2404"/>
    <w:rsid w:val="00EF7C40"/>
    <w:rsid w:val="00F0704D"/>
    <w:rsid w:val="00F07499"/>
    <w:rsid w:val="00F130C7"/>
    <w:rsid w:val="00F209FF"/>
    <w:rsid w:val="00F73577"/>
    <w:rsid w:val="00F9638E"/>
    <w:rsid w:val="00FA0027"/>
    <w:rsid w:val="00FA22FD"/>
    <w:rsid w:val="00FD0D9C"/>
    <w:rsid w:val="00FE3993"/>
    <w:rsid w:val="00FF0537"/>
    <w:rsid w:val="00FF2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E83CE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3993"/>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aliases w:val="Bullet List Paragraph,List Paragraph1,Lettre d'introduction,Numbered paragraph 1,Paragrafo elenco,1st level - Bullet List Paragraph,Medium Grid 1 - Accent 21,Normal bullet 2,Numbered List,Elenco a colori - Colore 11,Fiche List Paragraph"/>
    <w:basedOn w:val="Normal"/>
    <w:link w:val="ListParagraphChar"/>
    <w:uiPriority w:val="34"/>
    <w:qFormat/>
    <w:rsid w:val="00FE3993"/>
    <w:pPr>
      <w:numPr>
        <w:numId w:val="1"/>
      </w:numPr>
      <w:spacing w:after="120" w:line="240" w:lineRule="auto"/>
      <w:contextualSpacing/>
      <w:jc w:val="both"/>
    </w:pPr>
    <w:rPr>
      <w:rFonts w:ascii="Times New Roman" w:eastAsia="Times New Roman" w:hAnsi="Times New Roman" w:cs="Times New Roman"/>
      <w:sz w:val="24"/>
      <w:szCs w:val="27"/>
      <w:lang w:eastAsia="en-GB"/>
    </w:rPr>
  </w:style>
  <w:style w:type="character" w:customStyle="1" w:styleId="ListParagraphChar">
    <w:name w:val="List Paragraph Char"/>
    <w:aliases w:val="Bullet List Paragraph Char,List Paragraph1 Char,Lettre d'introduction Char,Numbered paragraph 1 Char,Paragrafo elenco Char,1st level - Bullet List Paragraph Char,Medium Grid 1 - Accent 21 Char,Normal bullet 2 Char,Numbered List Char"/>
    <w:basedOn w:val="DefaultParagraphFont"/>
    <w:link w:val="ListParagraph"/>
    <w:uiPriority w:val="34"/>
    <w:qFormat/>
    <w:rsid w:val="00FE3993"/>
    <w:rPr>
      <w:rFonts w:ascii="Times New Roman" w:eastAsia="Times New Roman" w:hAnsi="Times New Roman" w:cs="Times New Roman"/>
      <w:sz w:val="24"/>
      <w:szCs w:val="27"/>
      <w:lang w:val="et-EE" w:eastAsia="en-GB"/>
    </w:rPr>
  </w:style>
  <w:style w:type="paragraph" w:styleId="CommentText">
    <w:name w:val="annotation text"/>
    <w:basedOn w:val="Normal"/>
    <w:link w:val="CommentTextChar"/>
    <w:uiPriority w:val="99"/>
    <w:rsid w:val="00FE3993"/>
    <w:pPr>
      <w:spacing w:after="0" w:line="240" w:lineRule="auto"/>
      <w:jc w:val="both"/>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FE3993"/>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AD53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5383"/>
  </w:style>
  <w:style w:type="paragraph" w:styleId="Footer">
    <w:name w:val="footer"/>
    <w:basedOn w:val="Normal"/>
    <w:link w:val="FooterChar"/>
    <w:uiPriority w:val="99"/>
    <w:unhideWhenUsed/>
    <w:rsid w:val="00AD53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5383"/>
  </w:style>
  <w:style w:type="character" w:styleId="CommentReference">
    <w:name w:val="annotation reference"/>
    <w:basedOn w:val="DefaultParagraphFont"/>
    <w:uiPriority w:val="99"/>
    <w:semiHidden/>
    <w:unhideWhenUsed/>
    <w:rsid w:val="00726883"/>
    <w:rPr>
      <w:sz w:val="16"/>
      <w:szCs w:val="16"/>
    </w:rPr>
  </w:style>
  <w:style w:type="paragraph" w:styleId="CommentSubject">
    <w:name w:val="annotation subject"/>
    <w:basedOn w:val="CommentText"/>
    <w:next w:val="CommentText"/>
    <w:link w:val="CommentSubjectChar"/>
    <w:uiPriority w:val="99"/>
    <w:semiHidden/>
    <w:unhideWhenUsed/>
    <w:rsid w:val="00726883"/>
    <w:pPr>
      <w:spacing w:after="20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726883"/>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7268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883"/>
    <w:rPr>
      <w:rFonts w:ascii="Segoe UI" w:hAnsi="Segoe UI" w:cs="Segoe UI"/>
      <w:sz w:val="18"/>
      <w:szCs w:val="18"/>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unhideWhenUsed/>
    <w:qFormat/>
    <w:rsid w:val="00184AFB"/>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sid w:val="00184AFB"/>
    <w:rPr>
      <w:sz w:val="20"/>
      <w:szCs w:val="20"/>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fr"/>
    <w:link w:val="SUPERSCharCharCharCharCharCharCharChar"/>
    <w:uiPriority w:val="99"/>
    <w:qFormat/>
    <w:rsid w:val="00184AFB"/>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184AFB"/>
    <w:pPr>
      <w:spacing w:after="160" w:line="240" w:lineRule="exact"/>
    </w:pPr>
    <w:rPr>
      <w:vertAlign w:val="superscript"/>
    </w:rPr>
  </w:style>
  <w:style w:type="character" w:styleId="Hyperlink">
    <w:name w:val="Hyperlink"/>
    <w:aliases w:val=" Znak Znak Znak,Znak Znak Znak"/>
    <w:basedOn w:val="DefaultParagraphFont"/>
    <w:uiPriority w:val="99"/>
    <w:unhideWhenUsed/>
    <w:qFormat/>
    <w:rsid w:val="00184AFB"/>
    <w:rPr>
      <w:color w:val="0000FF" w:themeColor="hyperlink"/>
      <w:u w:val="single"/>
    </w:rPr>
  </w:style>
  <w:style w:type="character" w:customStyle="1" w:styleId="Marker">
    <w:name w:val="Marker"/>
    <w:basedOn w:val="DefaultParagraphFont"/>
    <w:rsid w:val="00505D4D"/>
    <w:rPr>
      <w:color w:val="0000FF"/>
      <w:shd w:val="clear" w:color="auto" w:fill="auto"/>
    </w:rPr>
  </w:style>
  <w:style w:type="paragraph" w:customStyle="1" w:styleId="Pagedecouverture">
    <w:name w:val="Page de couverture"/>
    <w:basedOn w:val="Normal"/>
    <w:next w:val="Normal"/>
    <w:rsid w:val="00505D4D"/>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505D4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505D4D"/>
    <w:rPr>
      <w:rFonts w:ascii="Times New Roman" w:hAnsi="Times New Roman" w:cs="Times New Roman"/>
      <w:sz w:val="24"/>
    </w:rPr>
  </w:style>
  <w:style w:type="paragraph" w:customStyle="1" w:styleId="FooterSensitivity">
    <w:name w:val="Footer Sensitivity"/>
    <w:basedOn w:val="Normal"/>
    <w:link w:val="FooterSensitivityChar"/>
    <w:rsid w:val="00505D4D"/>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505D4D"/>
    <w:rPr>
      <w:rFonts w:ascii="Times New Roman" w:hAnsi="Times New Roman" w:cs="Times New Roman"/>
      <w:b/>
      <w:sz w:val="32"/>
    </w:rPr>
  </w:style>
  <w:style w:type="paragraph" w:customStyle="1" w:styleId="HeaderCoverPage">
    <w:name w:val="Header Cover Page"/>
    <w:basedOn w:val="Normal"/>
    <w:link w:val="HeaderCoverPageChar"/>
    <w:rsid w:val="00505D4D"/>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505D4D"/>
    <w:rPr>
      <w:rFonts w:ascii="Times New Roman" w:hAnsi="Times New Roman" w:cs="Times New Roman"/>
      <w:sz w:val="24"/>
    </w:rPr>
  </w:style>
  <w:style w:type="paragraph" w:customStyle="1" w:styleId="HeaderSensitivity">
    <w:name w:val="Header Sensitivity"/>
    <w:basedOn w:val="Normal"/>
    <w:link w:val="HeaderSensitivityChar"/>
    <w:rsid w:val="00505D4D"/>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505D4D"/>
    <w:rPr>
      <w:rFonts w:ascii="Times New Roman" w:hAnsi="Times New Roman" w:cs="Times New Roman"/>
      <w:b/>
      <w:sz w:val="32"/>
    </w:rPr>
  </w:style>
  <w:style w:type="paragraph" w:customStyle="1" w:styleId="HeaderSensitivityRight">
    <w:name w:val="Header Sensitivity Right"/>
    <w:basedOn w:val="Normal"/>
    <w:link w:val="HeaderSensitivityRightChar"/>
    <w:rsid w:val="00FA0027"/>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505D4D"/>
    <w:rPr>
      <w:rFonts w:ascii="Times New Roman" w:hAnsi="Times New Roman" w:cs="Times New Roman"/>
      <w:sz w:val="28"/>
    </w:rPr>
  </w:style>
  <w:style w:type="paragraph" w:customStyle="1" w:styleId="Disclaimer">
    <w:name w:val="Disclaimer"/>
    <w:basedOn w:val="Normal"/>
    <w:rsid w:val="00FA0027"/>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FA0027"/>
    <w:pPr>
      <w:spacing w:after="0"/>
      <w:ind w:left="5103"/>
    </w:pPr>
    <w:rPr>
      <w:rFonts w:ascii="Times New Roman" w:hAnsi="Times New Roman" w:cs="Times New Roman"/>
      <w:sz w:val="28"/>
    </w:rPr>
  </w:style>
  <w:style w:type="paragraph" w:customStyle="1" w:styleId="DateMarking">
    <w:name w:val="DateMarking"/>
    <w:basedOn w:val="Normal"/>
    <w:rsid w:val="00FA0027"/>
    <w:pPr>
      <w:spacing w:after="0"/>
      <w:ind w:left="5103"/>
    </w:pPr>
    <w:rPr>
      <w:rFonts w:ascii="Times New Roman" w:hAnsi="Times New Roman" w:cs="Times New Roman"/>
      <w:i/>
      <w:sz w:val="28"/>
    </w:rPr>
  </w:style>
  <w:style w:type="paragraph" w:customStyle="1" w:styleId="ReleasableTo">
    <w:name w:val="ReleasableTo"/>
    <w:basedOn w:val="Normal"/>
    <w:rsid w:val="00FA0027"/>
    <w:pPr>
      <w:spacing w:after="0"/>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474</Words>
  <Characters>3880</Characters>
  <Application>Microsoft Office Word</Application>
  <DocSecurity>0</DocSecurity>
  <Lines>65</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2022-04-02T15:05:00Z</dcterms:created>
  <dcterms:modified xsi:type="dcterms:W3CDTF">2022-04-28T07:48:00Z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8.0, Build 20220128</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PTemplateID">
    <vt:lpwstr>CP-027</vt:lpwstr>
  </property>
</Properties>
</file>