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A895" w14:textId="669A4B75" w:rsidR="004A397A" w:rsidRPr="000569EE" w:rsidRDefault="00356C4F" w:rsidP="00356C4F">
      <w:pPr>
        <w:pStyle w:val="Pagedecouverture"/>
        <w:rPr>
          <w:noProof/>
        </w:rPr>
      </w:pPr>
      <w:r>
        <w:rPr>
          <w:noProof/>
        </w:rPr>
        <w:pict w14:anchorId="6EF11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E404181-C5EE-4C26-9D43-9A16F555DD79" style="width:455.25pt;height:579.75pt">
            <v:imagedata r:id="rId7" o:title=""/>
          </v:shape>
        </w:pict>
      </w:r>
    </w:p>
    <w:p w14:paraId="651619A5" w14:textId="77777777" w:rsidR="004A397A" w:rsidRPr="000569EE" w:rsidRDefault="004A397A" w:rsidP="004A397A">
      <w:pPr>
        <w:rPr>
          <w:noProof/>
        </w:rPr>
        <w:sectPr w:rsidR="004A397A" w:rsidRPr="000569EE" w:rsidSect="00356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BE2ADA7" w14:textId="77777777" w:rsidR="004A397A" w:rsidRPr="000569EE" w:rsidRDefault="004A397A" w:rsidP="004A397A">
      <w:pPr>
        <w:pStyle w:val="Annexetitre"/>
        <w:rPr>
          <w:rStyle w:val="Marker"/>
          <w:noProof/>
        </w:rPr>
      </w:pPr>
      <w:bookmarkStart w:id="0" w:name="_GoBack"/>
      <w:bookmarkEnd w:id="0"/>
      <w:r w:rsidRPr="000569EE">
        <w:rPr>
          <w:noProof/>
        </w:rPr>
        <w:lastRenderedPageBreak/>
        <w:t xml:space="preserve">ALLEGATO </w:t>
      </w:r>
      <w:r w:rsidRPr="000569EE">
        <w:rPr>
          <w:rStyle w:val="Marker"/>
          <w:noProof/>
        </w:rPr>
        <w:t>I</w:t>
      </w:r>
    </w:p>
    <w:p w14:paraId="622CA9EC" w14:textId="77777777" w:rsidR="004A397A" w:rsidRPr="000569EE" w:rsidRDefault="004A397A" w:rsidP="004A397A">
      <w:pPr>
        <w:rPr>
          <w:noProof/>
        </w:rPr>
      </w:pPr>
    </w:p>
    <w:p w14:paraId="667F9CCC" w14:textId="77777777" w:rsidR="004A397A" w:rsidRPr="000569EE" w:rsidRDefault="004A397A" w:rsidP="004A397A">
      <w:pPr>
        <w:rPr>
          <w:noProof/>
        </w:rPr>
      </w:pPr>
    </w:p>
    <w:p w14:paraId="48AF24B0" w14:textId="3695716A" w:rsidR="005E6BBA" w:rsidRPr="000569EE" w:rsidRDefault="005E6BBA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>L</w:t>
      </w:r>
      <w:r w:rsidR="00EB6AD6">
        <w:rPr>
          <w:noProof/>
        </w:rPr>
        <w:t>'</w:t>
      </w:r>
      <w:r w:rsidRPr="000569EE">
        <w:rPr>
          <w:noProof/>
        </w:rPr>
        <w:t xml:space="preserve">allegato I della direttiva 2010/75/UE è così modificato: </w:t>
      </w:r>
    </w:p>
    <w:p w14:paraId="021F40F8" w14:textId="77777777" w:rsidR="005E6BBA" w:rsidRPr="000569EE" w:rsidRDefault="005E6BBA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a) </w:t>
      </w:r>
      <w:r w:rsidRPr="000569EE">
        <w:rPr>
          <w:noProof/>
        </w:rPr>
        <w:tab/>
        <w:t xml:space="preserve">il punto 1.4 è sostituito dal seguente: </w:t>
      </w:r>
    </w:p>
    <w:p w14:paraId="040C1315" w14:textId="32BEEB7D" w:rsidR="005E6BBA" w:rsidRPr="000569EE" w:rsidRDefault="005E6BBA" w:rsidP="005E6BBA">
      <w:pPr>
        <w:spacing w:before="0" w:after="200" w:line="276" w:lineRule="auto"/>
        <w:ind w:left="567"/>
        <w:rPr>
          <w:noProof/>
        </w:rPr>
      </w:pPr>
      <w:r w:rsidRPr="000569EE">
        <w:rPr>
          <w:noProof/>
        </w:rPr>
        <w:tab/>
      </w:r>
      <w:r w:rsidR="00EB6AD6">
        <w:rPr>
          <w:noProof/>
        </w:rPr>
        <w:t>"</w:t>
      </w:r>
      <w:r w:rsidRPr="000569EE">
        <w:rPr>
          <w:noProof/>
        </w:rPr>
        <w:t>Gassificazione, liquefazione o pirolisi di:</w:t>
      </w:r>
    </w:p>
    <w:p w14:paraId="5E44CDD1" w14:textId="77777777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a) </w:t>
      </w:r>
      <w:r w:rsidRPr="000569EE">
        <w:rPr>
          <w:noProof/>
        </w:rPr>
        <w:tab/>
        <w:t>carbone;</w:t>
      </w:r>
    </w:p>
    <w:p w14:paraId="1098BCD0" w14:textId="42197AB4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>altri combustibili in installazioni con una potenza termica nominale totale pari o superiore a 20 MW.</w:t>
      </w:r>
      <w:r w:rsidR="00EB6AD6">
        <w:rPr>
          <w:noProof/>
        </w:rPr>
        <w:t>"</w:t>
      </w:r>
      <w:r w:rsidRPr="000569EE">
        <w:rPr>
          <w:noProof/>
        </w:rPr>
        <w:t xml:space="preserve">; </w:t>
      </w:r>
    </w:p>
    <w:p w14:paraId="4E901F59" w14:textId="77777777" w:rsidR="005E6BBA" w:rsidRPr="000569EE" w:rsidRDefault="005E6BBA" w:rsidP="005E6BBA">
      <w:pPr>
        <w:spacing w:before="360" w:line="276" w:lineRule="auto"/>
        <w:ind w:left="567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>il punto 2.3 è sostituito dal seguente:</w:t>
      </w:r>
    </w:p>
    <w:p w14:paraId="0A0F847C" w14:textId="1D091913" w:rsidR="005E6BBA" w:rsidRPr="000569EE" w:rsidRDefault="00EB6AD6" w:rsidP="00EB6AD6">
      <w:pPr>
        <w:pStyle w:val="LegalNumPar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 xml:space="preserve">2.3. Trasformazione di metalli ferrosi mediante: </w:t>
      </w:r>
    </w:p>
    <w:p w14:paraId="105A32C9" w14:textId="366C0186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a) </w:t>
      </w:r>
      <w:r w:rsidRPr="000569EE">
        <w:rPr>
          <w:noProof/>
        </w:rPr>
        <w:tab/>
        <w:t>attività di laminazione a caldo con una capacità superiore a 20 Mg di acciaio grezzo all</w:t>
      </w:r>
      <w:r w:rsidR="00EB6AD6">
        <w:rPr>
          <w:noProof/>
        </w:rPr>
        <w:t>'</w:t>
      </w:r>
      <w:r w:rsidRPr="000569EE">
        <w:rPr>
          <w:noProof/>
        </w:rPr>
        <w:t xml:space="preserve">ora; </w:t>
      </w:r>
    </w:p>
    <w:p w14:paraId="6F5B0329" w14:textId="0BED0D6B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aa) </w:t>
      </w:r>
      <w:r w:rsidRPr="000569EE">
        <w:rPr>
          <w:noProof/>
        </w:rPr>
        <w:tab/>
        <w:t>attività di laminazione a freddo con una capacità superiore a 10 Mg di acciaio grezzo all</w:t>
      </w:r>
      <w:r w:rsidR="00EB6AD6">
        <w:rPr>
          <w:noProof/>
        </w:rPr>
        <w:t>'</w:t>
      </w:r>
      <w:r w:rsidRPr="000569EE">
        <w:rPr>
          <w:noProof/>
        </w:rPr>
        <w:t>ora;</w:t>
      </w:r>
    </w:p>
    <w:p w14:paraId="11953A4D" w14:textId="4E582467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(ab) </w:t>
      </w:r>
      <w:r w:rsidRPr="000569EE">
        <w:rPr>
          <w:noProof/>
        </w:rPr>
        <w:tab/>
        <w:t>attività di macchine trafilatrici con una capacità superiore a 2 Mg di acciaio grezzo all</w:t>
      </w:r>
      <w:r w:rsidR="00EB6AD6">
        <w:rPr>
          <w:noProof/>
        </w:rPr>
        <w:t>'</w:t>
      </w:r>
      <w:r w:rsidRPr="000569EE">
        <w:rPr>
          <w:noProof/>
        </w:rPr>
        <w:t>ora;</w:t>
      </w:r>
    </w:p>
    <w:p w14:paraId="24EA5FEF" w14:textId="77777777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 xml:space="preserve">attività di forgiatura con magli la cui energia di impatto supera 20 kJ per maglio; </w:t>
      </w:r>
    </w:p>
    <w:p w14:paraId="4E6F23FF" w14:textId="0B830698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(ba) </w:t>
      </w:r>
      <w:r w:rsidRPr="000569EE">
        <w:rPr>
          <w:noProof/>
        </w:rPr>
        <w:tab/>
        <w:t xml:space="preserve">attività di forgiatura con presse per fucinare la </w:t>
      </w:r>
      <w:r w:rsidR="008F121F">
        <w:rPr>
          <w:noProof/>
        </w:rPr>
        <w:t>cui forza è superiore a 10 mega</w:t>
      </w:r>
      <w:r w:rsidR="008F121F">
        <w:rPr>
          <w:noProof/>
        </w:rPr>
        <w:noBreakHyphen/>
      </w:r>
      <w:r w:rsidRPr="000569EE">
        <w:rPr>
          <w:noProof/>
        </w:rPr>
        <w:t>newton (MN) per pressa;</w:t>
      </w:r>
    </w:p>
    <w:p w14:paraId="18C4D51E" w14:textId="1C5CB7B9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c) </w:t>
      </w:r>
      <w:r w:rsidRPr="000569EE">
        <w:rPr>
          <w:noProof/>
        </w:rPr>
        <w:tab/>
        <w:t>applicazione di strati protettivi di metallo fuso con una capacità di trattamento superiore a 2 Mg di acciaio grezzo all</w:t>
      </w:r>
      <w:r w:rsidR="00EB6AD6">
        <w:rPr>
          <w:noProof/>
        </w:rPr>
        <w:t>'</w:t>
      </w:r>
      <w:r w:rsidRPr="000569EE">
        <w:rPr>
          <w:noProof/>
        </w:rPr>
        <w:t>ora.</w:t>
      </w:r>
      <w:r w:rsidR="00EB6AD6">
        <w:rPr>
          <w:noProof/>
        </w:rPr>
        <w:t>"</w:t>
      </w:r>
      <w:r w:rsidRPr="000569EE">
        <w:rPr>
          <w:noProof/>
        </w:rPr>
        <w:t>;</w:t>
      </w:r>
    </w:p>
    <w:p w14:paraId="52308D74" w14:textId="77777777" w:rsidR="005E6BBA" w:rsidRPr="000569EE" w:rsidRDefault="005E6BBA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c) </w:t>
      </w:r>
      <w:r w:rsidRPr="000569EE">
        <w:rPr>
          <w:noProof/>
        </w:rPr>
        <w:tab/>
        <w:t>è inserito il seguente punto 2.7:</w:t>
      </w:r>
    </w:p>
    <w:p w14:paraId="07AB75E4" w14:textId="614C6DF1" w:rsidR="005E6BBA" w:rsidRPr="000569EE" w:rsidRDefault="005E6BBA" w:rsidP="001A1988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 </w:t>
      </w:r>
      <w:r w:rsidRPr="000569EE">
        <w:rPr>
          <w:noProof/>
        </w:rPr>
        <w:tab/>
      </w:r>
      <w:r w:rsidR="00EB6AD6">
        <w:rPr>
          <w:noProof/>
        </w:rPr>
        <w:t>"</w:t>
      </w:r>
      <w:r w:rsidRPr="000569EE">
        <w:rPr>
          <w:noProof/>
        </w:rPr>
        <w:t>2.7. Fabbricazione di batterie agli ioni di litio (compreso l</w:t>
      </w:r>
      <w:r w:rsidR="00EB6AD6">
        <w:rPr>
          <w:noProof/>
        </w:rPr>
        <w:t>'</w:t>
      </w:r>
      <w:r w:rsidRPr="000569EE">
        <w:rPr>
          <w:noProof/>
        </w:rPr>
        <w:t>assemblaggio di celle e pacchi di batterie), con una capacità di produzione di 3,5 GWh o più all</w:t>
      </w:r>
      <w:r w:rsidR="00EB6AD6">
        <w:rPr>
          <w:noProof/>
        </w:rPr>
        <w:t>'</w:t>
      </w:r>
      <w:r w:rsidRPr="000569EE">
        <w:rPr>
          <w:noProof/>
        </w:rPr>
        <w:t>anno.</w:t>
      </w:r>
      <w:r w:rsidR="00EB6AD6">
        <w:rPr>
          <w:noProof/>
        </w:rPr>
        <w:t>"</w:t>
      </w:r>
      <w:r w:rsidRPr="000569EE">
        <w:rPr>
          <w:noProof/>
        </w:rPr>
        <w:t>;</w:t>
      </w:r>
    </w:p>
    <w:p w14:paraId="57D65C75" w14:textId="77777777" w:rsidR="005E6BBA" w:rsidRPr="000569EE" w:rsidRDefault="005E6BBA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d) </w:t>
      </w:r>
      <w:r w:rsidRPr="000569EE">
        <w:rPr>
          <w:noProof/>
        </w:rPr>
        <w:tab/>
        <w:t>il punto 3.5 è sostituito dal seguente:</w:t>
      </w:r>
    </w:p>
    <w:p w14:paraId="55A5C9EC" w14:textId="0904A5BF" w:rsidR="005E6BBA" w:rsidRPr="000569EE" w:rsidRDefault="00EB6AD6" w:rsidP="005E6BBA">
      <w:pPr>
        <w:spacing w:before="0" w:after="200" w:line="276" w:lineRule="auto"/>
        <w:ind w:left="567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>3.5. Fabbricazione di prodotti ceramici mediante cottura, in particolare tegole, mattoni, mattoni refrattari, piastrelle, gres o porcellane con:</w:t>
      </w:r>
    </w:p>
    <w:p w14:paraId="54403F45" w14:textId="77777777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a) </w:t>
      </w:r>
      <w:r w:rsidRPr="000569EE">
        <w:rPr>
          <w:noProof/>
        </w:rPr>
        <w:tab/>
        <w:t>una capacità di produzione di oltre 75 Mg al giorno; o</w:t>
      </w:r>
    </w:p>
    <w:p w14:paraId="3FC8206B" w14:textId="3B82480C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>una capacità di forno superiore a 4 m</w:t>
      </w:r>
      <w:r w:rsidRPr="000569EE">
        <w:rPr>
          <w:noProof/>
          <w:vertAlign w:val="superscript"/>
        </w:rPr>
        <w:t>3</w:t>
      </w:r>
      <w:r w:rsidRPr="000569EE">
        <w:rPr>
          <w:noProof/>
        </w:rPr>
        <w:t xml:space="preserve"> e una densità </w:t>
      </w:r>
      <w:r w:rsidR="008F121F">
        <w:rPr>
          <w:noProof/>
        </w:rPr>
        <w:t>di carica per forno superiore a </w:t>
      </w:r>
      <w:r w:rsidRPr="000569EE">
        <w:rPr>
          <w:noProof/>
        </w:rPr>
        <w:t>300 kg/m</w:t>
      </w:r>
      <w:r w:rsidRPr="000569EE">
        <w:rPr>
          <w:noProof/>
          <w:vertAlign w:val="superscript"/>
        </w:rPr>
        <w:t>3</w:t>
      </w:r>
      <w:r w:rsidRPr="000569EE">
        <w:rPr>
          <w:noProof/>
        </w:rPr>
        <w:t>.</w:t>
      </w:r>
      <w:r w:rsidR="00EB6AD6">
        <w:rPr>
          <w:noProof/>
        </w:rPr>
        <w:t>"</w:t>
      </w:r>
      <w:r w:rsidRPr="000569EE">
        <w:rPr>
          <w:noProof/>
        </w:rPr>
        <w:t>;</w:t>
      </w:r>
    </w:p>
    <w:p w14:paraId="7B90875A" w14:textId="77777777" w:rsidR="005E6BBA" w:rsidRPr="000569EE" w:rsidRDefault="005E6BBA" w:rsidP="005E6BBA">
      <w:pPr>
        <w:spacing w:before="0" w:after="200" w:line="276" w:lineRule="auto"/>
        <w:ind w:left="1418" w:hanging="851"/>
        <w:rPr>
          <w:noProof/>
        </w:rPr>
      </w:pPr>
    </w:p>
    <w:p w14:paraId="72A589C5" w14:textId="15C1BCE5" w:rsidR="005E6BBA" w:rsidRPr="000569EE" w:rsidRDefault="005C439D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>e)</w:t>
      </w:r>
      <w:r w:rsidRPr="000569EE">
        <w:rPr>
          <w:noProof/>
        </w:rPr>
        <w:tab/>
        <w:t>è inserito il seguente punto 3.6:</w:t>
      </w:r>
    </w:p>
    <w:p w14:paraId="53A330FE" w14:textId="6A1A83AC" w:rsidR="005E6BBA" w:rsidRPr="000569EE" w:rsidRDefault="00EB6AD6" w:rsidP="005E6BBA">
      <w:pPr>
        <w:spacing w:before="0" w:after="200" w:line="276" w:lineRule="auto"/>
        <w:ind w:left="567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>3.6. Estrazione e trattamento (operazioni quali la polverizzazione, il controllo delle dimensioni, l</w:t>
      </w:r>
      <w:r>
        <w:rPr>
          <w:noProof/>
        </w:rPr>
        <w:t>'</w:t>
      </w:r>
      <w:r w:rsidR="005E6BBA" w:rsidRPr="000569EE">
        <w:rPr>
          <w:noProof/>
        </w:rPr>
        <w:t>arricchimento e il miglioramento (</w:t>
      </w:r>
      <w:r w:rsidR="005E6BBA" w:rsidRPr="000569EE">
        <w:rPr>
          <w:i/>
          <w:iCs/>
          <w:noProof/>
        </w:rPr>
        <w:t>upgrading</w:t>
      </w:r>
      <w:r w:rsidR="005E6BBA" w:rsidRPr="000569EE">
        <w:rPr>
          <w:noProof/>
        </w:rPr>
        <w:t>) dei seguenti minerali non energetici:</w:t>
      </w:r>
    </w:p>
    <w:p w14:paraId="369B65CD" w14:textId="77777777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a) </w:t>
      </w:r>
      <w:r w:rsidRPr="000569EE">
        <w:rPr>
          <w:noProof/>
        </w:rPr>
        <w:tab/>
        <w:t>minerali industriali, tra cui barite, bentonite, diatomite, feldspato, fluorite, grafite, gesso, caolino, magnesite, perlite, potassa, sale, zolfo e talco;</w:t>
      </w:r>
    </w:p>
    <w:p w14:paraId="029D4809" w14:textId="42AA8B3E" w:rsidR="005E6BBA" w:rsidRPr="000569EE" w:rsidRDefault="005E6BBA" w:rsidP="005E6BBA">
      <w:pPr>
        <w:spacing w:before="0" w:after="200" w:line="276" w:lineRule="auto"/>
        <w:ind w:left="1134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>minerali metalliferi, compresi bauxite, cromo, cobalto, rame, oro, ferro, piombo, litio, manganese, nichel, palladio, platino, stagno, tungsteno e zinco.</w:t>
      </w:r>
      <w:r w:rsidR="00EB6AD6">
        <w:rPr>
          <w:noProof/>
        </w:rPr>
        <w:t>"</w:t>
      </w:r>
      <w:r w:rsidRPr="000569EE">
        <w:rPr>
          <w:noProof/>
        </w:rPr>
        <w:t>;</w:t>
      </w:r>
    </w:p>
    <w:p w14:paraId="66E13D96" w14:textId="0476EE75" w:rsidR="005E6BBA" w:rsidRPr="000569EE" w:rsidRDefault="005E6BBA" w:rsidP="005E6BBA">
      <w:pPr>
        <w:spacing w:before="36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g) </w:t>
      </w:r>
      <w:r w:rsidRPr="000569EE">
        <w:rPr>
          <w:noProof/>
        </w:rPr>
        <w:tab/>
        <w:t xml:space="preserve">il punto 5.3 è sostituito dal seguente: </w:t>
      </w:r>
    </w:p>
    <w:p w14:paraId="6A0485CC" w14:textId="302C6228" w:rsidR="005E6BBA" w:rsidRPr="000569EE" w:rsidRDefault="00EB6AD6" w:rsidP="005E6BBA">
      <w:pPr>
        <w:tabs>
          <w:tab w:val="left" w:pos="1134"/>
          <w:tab w:val="left" w:pos="1701"/>
        </w:tabs>
        <w:spacing w:before="0" w:line="276" w:lineRule="auto"/>
        <w:ind w:left="1701" w:hanging="1134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 xml:space="preserve">5.3. </w:t>
      </w:r>
      <w:r w:rsidR="005E6BBA" w:rsidRPr="000569EE">
        <w:rPr>
          <w:noProof/>
        </w:rPr>
        <w:tab/>
        <w:t xml:space="preserve">a) </w:t>
      </w:r>
      <w:r w:rsidR="005E6BBA" w:rsidRPr="000569EE">
        <w:rPr>
          <w:noProof/>
        </w:rPr>
        <w:tab/>
        <w:t>Lo smaltimento dei rifiuti non pericolosi, con capacità superiore a 50 Mg al giorno, che comporta il ricorso a una o più delle seguenti attività ed escluse le attività contemplate dalla direttiva 91/271/CEE del Consiglio</w:t>
      </w:r>
      <w:r w:rsidR="005E6BBA" w:rsidRPr="000569EE">
        <w:rPr>
          <w:noProof/>
          <w:vertAlign w:val="superscript"/>
        </w:rPr>
        <w:t>*</w:t>
      </w:r>
      <w:r w:rsidR="005E6BBA" w:rsidRPr="000569EE">
        <w:rPr>
          <w:noProof/>
        </w:rPr>
        <w:t xml:space="preserve">: </w:t>
      </w:r>
    </w:p>
    <w:p w14:paraId="4A8DDFF1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i) </w:t>
      </w:r>
      <w:r w:rsidRPr="000569EE">
        <w:rPr>
          <w:noProof/>
        </w:rPr>
        <w:tab/>
        <w:t xml:space="preserve">trattamento biologico (come la digestione anaerobica); </w:t>
      </w:r>
    </w:p>
    <w:p w14:paraId="3FD4EB8E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ii) </w:t>
      </w:r>
      <w:r w:rsidRPr="000569EE">
        <w:rPr>
          <w:noProof/>
        </w:rPr>
        <w:tab/>
        <w:t xml:space="preserve">trattamento fisico-chimico; </w:t>
      </w:r>
    </w:p>
    <w:p w14:paraId="665D799B" w14:textId="55857900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iii) </w:t>
      </w:r>
      <w:r w:rsidRPr="000569EE">
        <w:rPr>
          <w:noProof/>
        </w:rPr>
        <w:tab/>
        <w:t>pretrattamento dei rifiuti destinati all</w:t>
      </w:r>
      <w:r w:rsidR="00EB6AD6">
        <w:rPr>
          <w:noProof/>
        </w:rPr>
        <w:t>'</w:t>
      </w:r>
      <w:r w:rsidRPr="000569EE">
        <w:rPr>
          <w:noProof/>
        </w:rPr>
        <w:t xml:space="preserve">incenerimento o al coincenerimento; </w:t>
      </w:r>
    </w:p>
    <w:p w14:paraId="2B0F130A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iv) </w:t>
      </w:r>
      <w:r w:rsidRPr="000569EE">
        <w:rPr>
          <w:noProof/>
        </w:rPr>
        <w:tab/>
        <w:t xml:space="preserve">trattamento di scorie e ceneri; </w:t>
      </w:r>
    </w:p>
    <w:p w14:paraId="7C5A3767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v) </w:t>
      </w:r>
      <w:r w:rsidRPr="000569EE">
        <w:rPr>
          <w:noProof/>
        </w:rPr>
        <w:tab/>
        <w:t xml:space="preserve">trattamento nelle trinciatrici di rifiuti metallici, compresi i rifiuti di apparecchiature elettriche ed elettroniche e i veicoli fuori uso e relativi componenti. </w:t>
      </w:r>
    </w:p>
    <w:p w14:paraId="2C0C6347" w14:textId="77777777" w:rsidR="005E6BBA" w:rsidRPr="000569EE" w:rsidRDefault="005E6BBA" w:rsidP="005E6BBA">
      <w:pPr>
        <w:tabs>
          <w:tab w:val="left" w:pos="1701"/>
        </w:tabs>
        <w:spacing w:before="0" w:line="276" w:lineRule="auto"/>
        <w:ind w:left="1701" w:hanging="567"/>
        <w:rPr>
          <w:noProof/>
        </w:rPr>
      </w:pPr>
      <w:r w:rsidRPr="000569EE">
        <w:rPr>
          <w:noProof/>
        </w:rPr>
        <w:t xml:space="preserve">b) </w:t>
      </w:r>
      <w:r w:rsidRPr="000569EE">
        <w:rPr>
          <w:noProof/>
        </w:rPr>
        <w:tab/>
        <w:t xml:space="preserve">Il recupero, o una combinazione di recupero e smaltimento, di rifiuti non pericolosi, con una capacità superiore a 75 Mg al giorno, che comportano il ricorso ad una o più delle seguenti attività ed escluse le attività contemplate dalla direttiva 91/271/CEE: </w:t>
      </w:r>
    </w:p>
    <w:p w14:paraId="7249742E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i) </w:t>
      </w:r>
      <w:r w:rsidRPr="000569EE">
        <w:rPr>
          <w:noProof/>
        </w:rPr>
        <w:tab/>
        <w:t xml:space="preserve">trattamento biologico (come la digestione anaerobica); </w:t>
      </w:r>
    </w:p>
    <w:p w14:paraId="06FAFD4E" w14:textId="4F84F063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ii) </w:t>
      </w:r>
      <w:r w:rsidRPr="000569EE">
        <w:rPr>
          <w:noProof/>
        </w:rPr>
        <w:tab/>
        <w:t>pretrattamento dei rifiuti destinati all</w:t>
      </w:r>
      <w:r w:rsidR="00EB6AD6">
        <w:rPr>
          <w:noProof/>
        </w:rPr>
        <w:t>'</w:t>
      </w:r>
      <w:r w:rsidRPr="000569EE">
        <w:rPr>
          <w:noProof/>
        </w:rPr>
        <w:t xml:space="preserve">incenerimento o al coincenerimento; </w:t>
      </w:r>
    </w:p>
    <w:p w14:paraId="65D43EB9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iii) </w:t>
      </w:r>
      <w:r w:rsidRPr="000569EE">
        <w:rPr>
          <w:noProof/>
        </w:rPr>
        <w:tab/>
        <w:t xml:space="preserve">trattamento di scorie e ceneri; </w:t>
      </w:r>
    </w:p>
    <w:p w14:paraId="1A77318D" w14:textId="77777777" w:rsidR="005E6BBA" w:rsidRPr="000569EE" w:rsidRDefault="005E6BBA" w:rsidP="005E6BBA">
      <w:pPr>
        <w:spacing w:before="0" w:line="276" w:lineRule="auto"/>
        <w:ind w:left="2268" w:hanging="567"/>
        <w:rPr>
          <w:noProof/>
        </w:rPr>
      </w:pPr>
      <w:r w:rsidRPr="000569EE">
        <w:rPr>
          <w:noProof/>
        </w:rPr>
        <w:t xml:space="preserve">iv) </w:t>
      </w:r>
      <w:r w:rsidRPr="000569EE">
        <w:rPr>
          <w:noProof/>
        </w:rPr>
        <w:tab/>
        <w:t xml:space="preserve">trattamento nelle trinciatrici di rifiuti metallici, compresi i rifiuti di apparecchiature elettriche ed elettroniche e i veicoli fuori uso e relativi componenti. </w:t>
      </w:r>
    </w:p>
    <w:p w14:paraId="6AC5322F" w14:textId="35F565CD" w:rsidR="00C26751" w:rsidRPr="000569EE" w:rsidRDefault="005E6BBA" w:rsidP="005E6BBA">
      <w:pPr>
        <w:tabs>
          <w:tab w:val="left" w:pos="1701"/>
        </w:tabs>
        <w:spacing w:before="0" w:line="276" w:lineRule="auto"/>
        <w:ind w:left="1134"/>
        <w:rPr>
          <w:noProof/>
        </w:rPr>
      </w:pPr>
      <w:r w:rsidRPr="000569EE">
        <w:rPr>
          <w:noProof/>
        </w:rPr>
        <w:t>Qualora l</w:t>
      </w:r>
      <w:r w:rsidR="00EB6AD6">
        <w:rPr>
          <w:noProof/>
        </w:rPr>
        <w:t>'</w:t>
      </w:r>
      <w:r w:rsidRPr="000569EE">
        <w:rPr>
          <w:noProof/>
        </w:rPr>
        <w:t>attività di trattamento dei rifiuti consista unicamente nella digestione anaerobica, la soglia di capacità di siffatta attività è fissata a 100 Mg al giorno.</w:t>
      </w:r>
    </w:p>
    <w:p w14:paraId="69B4A8BD" w14:textId="72789535" w:rsidR="005E6BBA" w:rsidRPr="000569EE" w:rsidRDefault="00C26751" w:rsidP="005E6BBA">
      <w:pPr>
        <w:tabs>
          <w:tab w:val="left" w:pos="1701"/>
        </w:tabs>
        <w:spacing w:before="0" w:line="276" w:lineRule="auto"/>
        <w:ind w:left="1134"/>
        <w:rPr>
          <w:noProof/>
        </w:rPr>
      </w:pPr>
      <w:r w:rsidRPr="000569EE">
        <w:rPr>
          <w:noProof/>
        </w:rPr>
        <w:t>*</w:t>
      </w:r>
      <w:r w:rsidRPr="000569EE">
        <w:rPr>
          <w:noProof/>
        </w:rPr>
        <w:tab/>
        <w:t>Direttiva 91/271/CEE del Consiglio, del 21</w:t>
      </w:r>
      <w:r w:rsidR="008F121F">
        <w:rPr>
          <w:noProof/>
        </w:rPr>
        <w:t xml:space="preserve"> </w:t>
      </w:r>
      <w:r w:rsidRPr="000569EE">
        <w:rPr>
          <w:noProof/>
        </w:rPr>
        <w:t>maggio 1991, concernente il trattamento delle acque reflue urbane (</w:t>
      </w:r>
      <w:r w:rsidR="008F121F">
        <w:rPr>
          <w:noProof/>
        </w:rPr>
        <w:t>GU L </w:t>
      </w:r>
      <w:r w:rsidRPr="000569EE">
        <w:rPr>
          <w:noProof/>
        </w:rPr>
        <w:t>135 del 30.5.1991, pag. 40).</w:t>
      </w:r>
      <w:r w:rsidR="00EB6AD6">
        <w:rPr>
          <w:noProof/>
        </w:rPr>
        <w:t>"</w:t>
      </w:r>
      <w:r w:rsidRPr="000569EE">
        <w:rPr>
          <w:noProof/>
        </w:rPr>
        <w:t>;</w:t>
      </w:r>
    </w:p>
    <w:p w14:paraId="52BA558B" w14:textId="09A14F07" w:rsidR="005E6BBA" w:rsidRPr="000569EE" w:rsidRDefault="005E6BBA" w:rsidP="005E6BBA">
      <w:pPr>
        <w:spacing w:before="360" w:after="240" w:line="276" w:lineRule="auto"/>
        <w:ind w:left="567" w:hanging="567"/>
        <w:rPr>
          <w:noProof/>
        </w:rPr>
      </w:pPr>
      <w:r w:rsidRPr="000569EE">
        <w:rPr>
          <w:noProof/>
        </w:rPr>
        <w:t xml:space="preserve">h) </w:t>
      </w:r>
      <w:r w:rsidRPr="000569EE">
        <w:rPr>
          <w:noProof/>
        </w:rPr>
        <w:tab/>
        <w:t xml:space="preserve">il punto 6.2 è sostituito dal seguente: </w:t>
      </w:r>
    </w:p>
    <w:p w14:paraId="51708B23" w14:textId="236B9DCE" w:rsidR="005E6BBA" w:rsidRPr="000569EE" w:rsidRDefault="00EB6AD6" w:rsidP="005E6BBA">
      <w:pPr>
        <w:spacing w:before="0" w:after="200" w:line="276" w:lineRule="auto"/>
        <w:ind w:left="567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>6.2. Pretrattamento (operazioni di lavaggio, imbianchimento, mercerizzazione), tintura o finitura di fibre tessili o di tessili la cui capacità di trattamento supera le 10 Mg al giorno.</w:t>
      </w:r>
      <w:r>
        <w:rPr>
          <w:noProof/>
        </w:rPr>
        <w:t>"</w:t>
      </w:r>
      <w:r w:rsidR="005E6BBA" w:rsidRPr="000569EE">
        <w:rPr>
          <w:noProof/>
        </w:rPr>
        <w:t>;</w:t>
      </w:r>
    </w:p>
    <w:p w14:paraId="6596AF28" w14:textId="77777777" w:rsidR="005E6BBA" w:rsidRPr="000569EE" w:rsidRDefault="005E6BBA" w:rsidP="005E6BBA">
      <w:pPr>
        <w:spacing w:before="0" w:after="200" w:line="276" w:lineRule="auto"/>
        <w:ind w:left="567" w:hanging="567"/>
        <w:rPr>
          <w:noProof/>
        </w:rPr>
      </w:pPr>
      <w:r w:rsidRPr="000569EE">
        <w:rPr>
          <w:noProof/>
        </w:rPr>
        <w:t xml:space="preserve">i) </w:t>
      </w:r>
      <w:r w:rsidRPr="000569EE">
        <w:rPr>
          <w:noProof/>
        </w:rPr>
        <w:tab/>
        <w:t>il punto 6.5 è sostituito dal seguente:</w:t>
      </w:r>
    </w:p>
    <w:p w14:paraId="60CA6B85" w14:textId="1D1BD3DF" w:rsidR="005E6BBA" w:rsidRPr="000569EE" w:rsidRDefault="00EB6AD6" w:rsidP="005E6BBA">
      <w:pPr>
        <w:spacing w:before="0" w:after="200" w:line="276" w:lineRule="auto"/>
        <w:ind w:left="1134" w:hanging="567"/>
        <w:rPr>
          <w:noProof/>
        </w:rPr>
      </w:pPr>
      <w:r>
        <w:rPr>
          <w:noProof/>
        </w:rPr>
        <w:t>"</w:t>
      </w:r>
      <w:r w:rsidR="005E6BBA" w:rsidRPr="000569EE">
        <w:rPr>
          <w:noProof/>
        </w:rPr>
        <w:t>6.5. Lo smaltimento o il riciclaggio di carcasse o di sottoprodotti di origine animale con una capacità di trattamento di oltre 10 Mg al giorno.</w:t>
      </w:r>
      <w:r>
        <w:rPr>
          <w:noProof/>
        </w:rPr>
        <w:t>"</w:t>
      </w:r>
      <w:r w:rsidR="005E6BBA" w:rsidRPr="000569EE">
        <w:rPr>
          <w:noProof/>
        </w:rPr>
        <w:t>;</w:t>
      </w:r>
    </w:p>
    <w:p w14:paraId="508BACED" w14:textId="0F3A9FC7" w:rsidR="005E6BBA" w:rsidRPr="000569EE" w:rsidRDefault="005E6BBA" w:rsidP="004A397A">
      <w:pPr>
        <w:rPr>
          <w:noProof/>
        </w:rPr>
      </w:pPr>
    </w:p>
    <w:p w14:paraId="17CFF060" w14:textId="77777777" w:rsidR="00050A2C" w:rsidRPr="000569EE" w:rsidRDefault="00050A2C" w:rsidP="00050A2C">
      <w:pPr>
        <w:ind w:left="567" w:hanging="567"/>
        <w:rPr>
          <w:noProof/>
        </w:rPr>
      </w:pPr>
      <w:r w:rsidRPr="000569EE">
        <w:rPr>
          <w:noProof/>
        </w:rPr>
        <w:t>j)</w:t>
      </w:r>
      <w:r w:rsidRPr="000569EE">
        <w:rPr>
          <w:noProof/>
        </w:rPr>
        <w:tab/>
        <w:t>il punto 6.6 è soppresso.</w:t>
      </w:r>
    </w:p>
    <w:p w14:paraId="57105F3F" w14:textId="77777777" w:rsidR="008442C9" w:rsidRPr="000569EE" w:rsidRDefault="008442C9" w:rsidP="004A397A">
      <w:pPr>
        <w:rPr>
          <w:noProof/>
        </w:rPr>
        <w:sectPr w:rsidR="008442C9" w:rsidRPr="000569EE" w:rsidSect="00356C4F"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1975D13F" w14:textId="77777777" w:rsidR="004A397A" w:rsidRPr="000569EE" w:rsidRDefault="004A397A" w:rsidP="004A397A">
      <w:pPr>
        <w:pStyle w:val="Annexetitre"/>
        <w:rPr>
          <w:rStyle w:val="Marker"/>
          <w:noProof/>
        </w:rPr>
      </w:pPr>
      <w:r w:rsidRPr="000569EE">
        <w:rPr>
          <w:noProof/>
        </w:rPr>
        <w:t xml:space="preserve">ALLEGATO </w:t>
      </w:r>
      <w:r w:rsidRPr="000569EE">
        <w:rPr>
          <w:rStyle w:val="Marker"/>
          <w:noProof/>
        </w:rPr>
        <w:t>II</w:t>
      </w:r>
    </w:p>
    <w:p w14:paraId="57E92CDC" w14:textId="77777777" w:rsidR="004A397A" w:rsidRPr="000569EE" w:rsidRDefault="004A397A" w:rsidP="004A397A">
      <w:pPr>
        <w:rPr>
          <w:noProof/>
        </w:rPr>
      </w:pPr>
    </w:p>
    <w:p w14:paraId="49F9A5C4" w14:textId="21FF5E0B" w:rsidR="00827806" w:rsidRPr="000569EE" w:rsidRDefault="00827806" w:rsidP="00827806">
      <w:pPr>
        <w:spacing w:before="0" w:after="200" w:line="276" w:lineRule="auto"/>
        <w:jc w:val="left"/>
        <w:rPr>
          <w:noProof/>
        </w:rPr>
      </w:pPr>
    </w:p>
    <w:p w14:paraId="095934D6" w14:textId="269AD695" w:rsidR="00827806" w:rsidRPr="000569EE" w:rsidRDefault="00EB6AD6" w:rsidP="00827806">
      <w:pPr>
        <w:spacing w:before="0" w:after="200" w:line="276" w:lineRule="auto"/>
        <w:jc w:val="center"/>
        <w:rPr>
          <w:b/>
          <w:i/>
          <w:noProof/>
        </w:rPr>
      </w:pPr>
      <w:r>
        <w:rPr>
          <w:b/>
          <w:noProof/>
        </w:rPr>
        <w:t>"</w:t>
      </w:r>
      <w:r w:rsidR="00827806" w:rsidRPr="000569EE">
        <w:rPr>
          <w:b/>
          <w:noProof/>
        </w:rPr>
        <w:t>ALLEGATO I bis</w:t>
      </w:r>
    </w:p>
    <w:p w14:paraId="3E4CA70C" w14:textId="538BC01E" w:rsidR="00827806" w:rsidRPr="000569EE" w:rsidRDefault="00827806" w:rsidP="00827806">
      <w:pPr>
        <w:spacing w:before="0" w:after="200" w:line="276" w:lineRule="auto"/>
        <w:jc w:val="center"/>
        <w:rPr>
          <w:b/>
          <w:noProof/>
        </w:rPr>
      </w:pPr>
      <w:r w:rsidRPr="000569EE">
        <w:rPr>
          <w:b/>
          <w:noProof/>
        </w:rPr>
        <w:t>Attività di cui all</w:t>
      </w:r>
      <w:r w:rsidR="00EB6AD6">
        <w:rPr>
          <w:b/>
          <w:noProof/>
        </w:rPr>
        <w:t>'</w:t>
      </w:r>
      <w:r w:rsidRPr="000569EE">
        <w:rPr>
          <w:b/>
          <w:noProof/>
        </w:rPr>
        <w:t>articolo 70 bis</w:t>
      </w:r>
    </w:p>
    <w:p w14:paraId="1DB13EC5" w14:textId="2F24065F" w:rsidR="00827806" w:rsidRPr="000569EE" w:rsidRDefault="00827806" w:rsidP="00D35D4A">
      <w:pPr>
        <w:pStyle w:val="NumPar1"/>
        <w:numPr>
          <w:ilvl w:val="0"/>
          <w:numId w:val="9"/>
        </w:numPr>
        <w:spacing w:before="0"/>
        <w:ind w:left="851" w:hanging="851"/>
        <w:rPr>
          <w:noProof/>
        </w:rPr>
      </w:pPr>
      <w:r w:rsidRPr="000569EE">
        <w:rPr>
          <w:noProof/>
        </w:rPr>
        <w:t>Allevamento di bovini, suini o pollame in installazioni con 150 o più unità di bestiame adulto (UBA).</w:t>
      </w:r>
    </w:p>
    <w:p w14:paraId="2B6333D1" w14:textId="5E485D8C" w:rsidR="00827806" w:rsidRPr="000569EE" w:rsidRDefault="00B8485D" w:rsidP="00D35D4A">
      <w:pPr>
        <w:pStyle w:val="NumPar1"/>
        <w:spacing w:before="0"/>
        <w:ind w:left="851" w:hanging="851"/>
        <w:rPr>
          <w:noProof/>
        </w:rPr>
      </w:pPr>
      <w:r w:rsidRPr="000569EE">
        <w:rPr>
          <w:noProof/>
        </w:rPr>
        <w:t>Allevamento di una combinazione dei seguenti animali: bovini, suini, pollame in installazioni con 150 o più UBA.</w:t>
      </w:r>
    </w:p>
    <w:p w14:paraId="1DFCF789" w14:textId="350EB527" w:rsidR="000168C4" w:rsidRPr="000569EE" w:rsidRDefault="000168C4" w:rsidP="00827806">
      <w:pPr>
        <w:spacing w:before="0" w:after="200" w:line="276" w:lineRule="auto"/>
        <w:rPr>
          <w:noProof/>
        </w:rPr>
      </w:pPr>
      <w:r w:rsidRPr="000569EE">
        <w:rPr>
          <w:noProof/>
        </w:rPr>
        <w:t>L</w:t>
      </w:r>
      <w:r w:rsidR="00EB6AD6">
        <w:rPr>
          <w:noProof/>
        </w:rPr>
        <w:t>'</w:t>
      </w:r>
      <w:r w:rsidRPr="000569EE">
        <w:rPr>
          <w:noProof/>
        </w:rPr>
        <w:t>equivalente approssimativo in UBA si basa su tassi di conversione stabiliti nell</w:t>
      </w:r>
      <w:r w:rsidR="00EB6AD6">
        <w:rPr>
          <w:noProof/>
        </w:rPr>
        <w:t>'</w:t>
      </w:r>
      <w:r w:rsidRPr="000569EE">
        <w:rPr>
          <w:noProof/>
        </w:rPr>
        <w:t xml:space="preserve">allegato II del regolamento di esecuzione (UE) </w:t>
      </w:r>
      <w:r w:rsidR="008F121F">
        <w:rPr>
          <w:noProof/>
        </w:rPr>
        <w:t>n. </w:t>
      </w:r>
      <w:r w:rsidRPr="000569EE">
        <w:rPr>
          <w:noProof/>
        </w:rPr>
        <w:t xml:space="preserve">808/2014 della Commissione*. </w:t>
      </w:r>
    </w:p>
    <w:p w14:paraId="4FD5315B" w14:textId="1A504DC7" w:rsidR="00F80D00" w:rsidRPr="000569EE" w:rsidRDefault="00F80D00" w:rsidP="00827806">
      <w:pPr>
        <w:spacing w:before="0" w:after="200" w:line="276" w:lineRule="auto"/>
        <w:rPr>
          <w:noProof/>
          <w:u w:val="single"/>
        </w:rPr>
      </w:pPr>
      <w:r w:rsidRPr="000569EE">
        <w:rPr>
          <w:noProof/>
        </w:rPr>
        <w:tab/>
      </w:r>
      <w:r w:rsidRPr="000569EE">
        <w:rPr>
          <w:noProof/>
        </w:rPr>
        <w:tab/>
      </w:r>
      <w:r w:rsidRPr="000569EE">
        <w:rPr>
          <w:noProof/>
        </w:rPr>
        <w:tab/>
      </w:r>
      <w:r w:rsidRPr="000569EE">
        <w:rPr>
          <w:noProof/>
        </w:rPr>
        <w:tab/>
      </w:r>
      <w:r w:rsidRPr="000569EE">
        <w:rPr>
          <w:noProof/>
        </w:rPr>
        <w:tab/>
      </w:r>
    </w:p>
    <w:p w14:paraId="17C797B8" w14:textId="49999467" w:rsidR="00827806" w:rsidRPr="000569EE" w:rsidRDefault="000168C4" w:rsidP="00827806">
      <w:pPr>
        <w:spacing w:before="0" w:after="200" w:line="276" w:lineRule="auto"/>
        <w:rPr>
          <w:noProof/>
          <w:u w:val="single"/>
        </w:rPr>
      </w:pPr>
      <w:r w:rsidRPr="000569EE">
        <w:rPr>
          <w:noProof/>
          <w:u w:val="single"/>
        </w:rPr>
        <w:t xml:space="preserve">Regolamento di esecuzione (UE) </w:t>
      </w:r>
      <w:r w:rsidR="008F121F">
        <w:rPr>
          <w:noProof/>
          <w:u w:val="single"/>
        </w:rPr>
        <w:t>n. </w:t>
      </w:r>
      <w:r w:rsidRPr="000569EE">
        <w:rPr>
          <w:noProof/>
          <w:u w:val="single"/>
        </w:rPr>
        <w:t>808/2014 della Commissione, del 17</w:t>
      </w:r>
      <w:r w:rsidR="008F121F">
        <w:rPr>
          <w:noProof/>
          <w:u w:val="single"/>
        </w:rPr>
        <w:t xml:space="preserve"> </w:t>
      </w:r>
      <w:r w:rsidRPr="000569EE">
        <w:rPr>
          <w:noProof/>
          <w:u w:val="single"/>
        </w:rPr>
        <w:t xml:space="preserve">luglio 2014, recante modalità di applicazione del regolamento (UE) </w:t>
      </w:r>
      <w:r w:rsidR="008F121F">
        <w:rPr>
          <w:noProof/>
          <w:u w:val="single"/>
        </w:rPr>
        <w:t>n. </w:t>
      </w:r>
      <w:r w:rsidRPr="000569EE">
        <w:rPr>
          <w:noProof/>
          <w:u w:val="single"/>
        </w:rPr>
        <w:t>1305/2013 del Parlamento europeo e del Consiglio sul sostegno allo sviluppo rurale da parte del Fondo europeo agricolo per lo sviluppo rurale (FEASR) (</w:t>
      </w:r>
      <w:r w:rsidR="008F121F">
        <w:rPr>
          <w:noProof/>
          <w:u w:val="single"/>
        </w:rPr>
        <w:t>GU L </w:t>
      </w:r>
      <w:r w:rsidRPr="000569EE">
        <w:rPr>
          <w:noProof/>
          <w:u w:val="single"/>
        </w:rPr>
        <w:t>227 del 31.7.2014, pag. 18).</w:t>
      </w:r>
    </w:p>
    <w:p w14:paraId="5F14298F" w14:textId="77777777" w:rsidR="00827806" w:rsidRPr="000569EE" w:rsidRDefault="00827806" w:rsidP="00827806">
      <w:pPr>
        <w:spacing w:before="0" w:after="200" w:line="276" w:lineRule="auto"/>
        <w:rPr>
          <w:noProof/>
        </w:rPr>
      </w:pPr>
    </w:p>
    <w:p w14:paraId="238B4A3D" w14:textId="77777777" w:rsidR="00827806" w:rsidRPr="000569EE" w:rsidRDefault="00827806" w:rsidP="004A397A">
      <w:pPr>
        <w:rPr>
          <w:noProof/>
        </w:rPr>
      </w:pPr>
    </w:p>
    <w:p w14:paraId="31ABC03B" w14:textId="77777777" w:rsidR="00827806" w:rsidRPr="000569EE" w:rsidRDefault="00827806" w:rsidP="004A397A">
      <w:pPr>
        <w:rPr>
          <w:noProof/>
        </w:rPr>
      </w:pPr>
    </w:p>
    <w:p w14:paraId="24FA6882" w14:textId="77777777" w:rsidR="00827806" w:rsidRPr="000569EE" w:rsidRDefault="00827806" w:rsidP="004A397A">
      <w:pPr>
        <w:rPr>
          <w:noProof/>
        </w:rPr>
        <w:sectPr w:rsidR="00827806" w:rsidRPr="000569EE" w:rsidSect="00356C4F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35880B3C" w14:textId="77777777" w:rsidR="004A397A" w:rsidRPr="000569EE" w:rsidRDefault="004A397A" w:rsidP="004A397A">
      <w:pPr>
        <w:pStyle w:val="Annexetitre"/>
        <w:rPr>
          <w:rStyle w:val="Marker"/>
          <w:noProof/>
        </w:rPr>
      </w:pPr>
      <w:r w:rsidRPr="000569EE">
        <w:rPr>
          <w:noProof/>
        </w:rPr>
        <w:t xml:space="preserve">ALLEGATO </w:t>
      </w:r>
      <w:r w:rsidRPr="000569EE">
        <w:rPr>
          <w:rStyle w:val="Marker"/>
          <w:noProof/>
        </w:rPr>
        <w:t>III</w:t>
      </w:r>
    </w:p>
    <w:p w14:paraId="3F23C5A1" w14:textId="77777777" w:rsidR="00B741EC" w:rsidRPr="000569EE" w:rsidRDefault="00B741EC" w:rsidP="00B741EC">
      <w:pPr>
        <w:rPr>
          <w:noProof/>
        </w:rPr>
      </w:pPr>
    </w:p>
    <w:p w14:paraId="313DA6C2" w14:textId="77777777" w:rsidR="00B741EC" w:rsidRPr="000569EE" w:rsidRDefault="00B741EC" w:rsidP="004A397A">
      <w:pPr>
        <w:rPr>
          <w:noProof/>
        </w:rPr>
      </w:pPr>
    </w:p>
    <w:p w14:paraId="25332603" w14:textId="77D2EACD" w:rsidR="00B741EC" w:rsidRPr="000569EE" w:rsidRDefault="00EB6AD6" w:rsidP="00B741EC">
      <w:pPr>
        <w:spacing w:before="0" w:line="276" w:lineRule="auto"/>
        <w:jc w:val="center"/>
        <w:rPr>
          <w:b/>
          <w:noProof/>
        </w:rPr>
      </w:pPr>
      <w:r>
        <w:rPr>
          <w:b/>
          <w:noProof/>
        </w:rPr>
        <w:t>"</w:t>
      </w:r>
      <w:r w:rsidR="00B741EC" w:rsidRPr="000569EE">
        <w:rPr>
          <w:b/>
          <w:noProof/>
        </w:rPr>
        <w:t>ALLEGATO II</w:t>
      </w:r>
    </w:p>
    <w:p w14:paraId="36460A25" w14:textId="47B896A8" w:rsidR="00B741EC" w:rsidRPr="000569EE" w:rsidRDefault="00CB7232" w:rsidP="00B741EC">
      <w:pPr>
        <w:spacing w:before="0" w:line="276" w:lineRule="auto"/>
        <w:jc w:val="center"/>
        <w:rPr>
          <w:b/>
          <w:noProof/>
        </w:rPr>
      </w:pPr>
      <w:r w:rsidRPr="000569EE">
        <w:rPr>
          <w:b/>
          <w:noProof/>
        </w:rPr>
        <w:t>Principi da rispettare ai fini della concessione delle deroghe di cui all</w:t>
      </w:r>
      <w:r w:rsidR="00EB6AD6">
        <w:rPr>
          <w:b/>
          <w:noProof/>
        </w:rPr>
        <w:t>'</w:t>
      </w:r>
      <w:r w:rsidRPr="000569EE">
        <w:rPr>
          <w:b/>
          <w:noProof/>
        </w:rPr>
        <w:t>articolo</w:t>
      </w:r>
      <w:r w:rsidR="008F121F">
        <w:rPr>
          <w:b/>
          <w:noProof/>
        </w:rPr>
        <w:t xml:space="preserve"> </w:t>
      </w:r>
      <w:r w:rsidRPr="000569EE">
        <w:rPr>
          <w:b/>
          <w:noProof/>
        </w:rPr>
        <w:t>15, paragrafo</w:t>
      </w:r>
      <w:r w:rsidR="008F121F">
        <w:rPr>
          <w:b/>
          <w:noProof/>
        </w:rPr>
        <w:t xml:space="preserve"> </w:t>
      </w:r>
      <w:r w:rsidRPr="000569EE">
        <w:rPr>
          <w:b/>
          <w:noProof/>
        </w:rPr>
        <w:t>4</w:t>
      </w:r>
    </w:p>
    <w:p w14:paraId="38000B1A" w14:textId="77777777" w:rsidR="00B741EC" w:rsidRPr="000569EE" w:rsidRDefault="00B741EC" w:rsidP="00B741EC">
      <w:pPr>
        <w:spacing w:before="0" w:line="276" w:lineRule="auto"/>
        <w:rPr>
          <w:noProof/>
        </w:rPr>
      </w:pPr>
    </w:p>
    <w:p w14:paraId="21F984D5" w14:textId="1C12C1C2" w:rsidR="00B741EC" w:rsidRPr="000569EE" w:rsidRDefault="00B741EC" w:rsidP="00B741EC">
      <w:pPr>
        <w:spacing w:before="0" w:line="276" w:lineRule="auto"/>
        <w:rPr>
          <w:noProof/>
        </w:rPr>
      </w:pPr>
      <w:r w:rsidRPr="000569EE">
        <w:rPr>
          <w:noProof/>
        </w:rPr>
        <w:t>Le deroghe concesse a norma dell</w:t>
      </w:r>
      <w:r w:rsidR="00EB6AD6">
        <w:rPr>
          <w:noProof/>
        </w:rPr>
        <w:t>'</w:t>
      </w:r>
      <w:r w:rsidRPr="000569EE">
        <w:rPr>
          <w:noProof/>
        </w:rPr>
        <w:t>articolo</w:t>
      </w:r>
      <w:r w:rsidR="008F121F">
        <w:rPr>
          <w:noProof/>
        </w:rPr>
        <w:t xml:space="preserve"> </w:t>
      </w:r>
      <w:r w:rsidRPr="000569EE">
        <w:rPr>
          <w:noProof/>
        </w:rPr>
        <w:t>15, paragrafo</w:t>
      </w:r>
      <w:r w:rsidR="008F121F">
        <w:rPr>
          <w:noProof/>
        </w:rPr>
        <w:t xml:space="preserve"> </w:t>
      </w:r>
      <w:r w:rsidRPr="000569EE">
        <w:rPr>
          <w:noProof/>
        </w:rPr>
        <w:t>4, rispettano i seguenti principi:</w:t>
      </w:r>
    </w:p>
    <w:p w14:paraId="1843DEEA" w14:textId="77777777" w:rsidR="00CB7232" w:rsidRPr="000569EE" w:rsidRDefault="00B741EC" w:rsidP="00CB7232">
      <w:pPr>
        <w:spacing w:before="0" w:line="276" w:lineRule="auto"/>
        <w:ind w:left="567" w:hanging="567"/>
        <w:rPr>
          <w:b/>
          <w:noProof/>
        </w:rPr>
      </w:pPr>
      <w:r w:rsidRPr="000569EE">
        <w:rPr>
          <w:b/>
          <w:noProof/>
        </w:rPr>
        <w:t>1. Costi</w:t>
      </w:r>
    </w:p>
    <w:p w14:paraId="574E45F8" w14:textId="0FC9B132" w:rsidR="00B741EC" w:rsidRPr="000569EE" w:rsidRDefault="00CB7232" w:rsidP="00CB7232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1.1.</w:t>
      </w:r>
      <w:r w:rsidRPr="000569EE">
        <w:rPr>
          <w:noProof/>
        </w:rPr>
        <w:tab/>
        <w:t>I costi di cui all</w:t>
      </w:r>
      <w:r w:rsidR="00EB6AD6">
        <w:rPr>
          <w:noProof/>
        </w:rPr>
        <w:t>'</w:t>
      </w:r>
      <w:r w:rsidRPr="000569EE">
        <w:rPr>
          <w:noProof/>
        </w:rPr>
        <w:t>articolo</w:t>
      </w:r>
      <w:r w:rsidR="008F121F">
        <w:rPr>
          <w:noProof/>
        </w:rPr>
        <w:t xml:space="preserve"> </w:t>
      </w:r>
      <w:r w:rsidRPr="000569EE">
        <w:rPr>
          <w:noProof/>
        </w:rPr>
        <w:t>15, paragrafo 4, sono i costi sostenuti per rispettare i livelli di emissione o i livelli di prestazione ambientale associati alle migliori tecniche disponibili e comprendono sia i costi di capitale sia i costi di esercizio. Non sono inclusi i costi più generali di natura socio-economica.</w:t>
      </w:r>
    </w:p>
    <w:p w14:paraId="70DF250A" w14:textId="77904963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1.2.</w:t>
      </w:r>
      <w:r w:rsidRPr="000569EE">
        <w:rPr>
          <w:noProof/>
        </w:rPr>
        <w:tab/>
        <w:t>La valutazione dei costi, che è quantitativa, si avvale di una valutazione qualitativa.</w:t>
      </w:r>
    </w:p>
    <w:p w14:paraId="3B9CEAB1" w14:textId="6F709CFD" w:rsidR="00B741EC" w:rsidRPr="000569EE" w:rsidRDefault="00CB7232" w:rsidP="00685498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1.3.</w:t>
      </w:r>
      <w:r w:rsidRPr="000569EE">
        <w:rPr>
          <w:noProof/>
        </w:rPr>
        <w:tab/>
        <w:t>I costi di cui si tiene conto nella valutazione:</w:t>
      </w:r>
    </w:p>
    <w:p w14:paraId="0DE45E19" w14:textId="4B5A3BCE" w:rsidR="00B741EC" w:rsidRPr="000569EE" w:rsidRDefault="00B741EC" w:rsidP="00B741EC">
      <w:pPr>
        <w:spacing w:before="0" w:line="276" w:lineRule="auto"/>
        <w:ind w:left="1134" w:hanging="567"/>
        <w:rPr>
          <w:noProof/>
        </w:rPr>
      </w:pPr>
      <w:r w:rsidRPr="000569EE">
        <w:rPr>
          <w:noProof/>
        </w:rPr>
        <w:t>a)</w:t>
      </w:r>
      <w:r w:rsidRPr="000569EE">
        <w:rPr>
          <w:noProof/>
        </w:rPr>
        <w:tab/>
        <w:t>rappresentano i costi relativi al valore netto, previa deduzione di eventuali benefici finanziari derivanti dall</w:t>
      </w:r>
      <w:r w:rsidR="00EB6AD6">
        <w:rPr>
          <w:noProof/>
        </w:rPr>
        <w:t>'</w:t>
      </w:r>
      <w:r w:rsidRPr="000569EE">
        <w:rPr>
          <w:noProof/>
        </w:rPr>
        <w:t>applicazione delle migliori tecniche disponibili;</w:t>
      </w:r>
    </w:p>
    <w:p w14:paraId="0CFA97BD" w14:textId="526CB616" w:rsidR="00B741EC" w:rsidRPr="000569EE" w:rsidRDefault="00B741EC" w:rsidP="00B741EC">
      <w:pPr>
        <w:spacing w:before="0" w:line="276" w:lineRule="auto"/>
        <w:ind w:left="1134" w:hanging="567"/>
        <w:rPr>
          <w:noProof/>
        </w:rPr>
      </w:pPr>
      <w:r w:rsidRPr="000569EE">
        <w:rPr>
          <w:noProof/>
        </w:rPr>
        <w:t>b)</w:t>
      </w:r>
      <w:r w:rsidRPr="000569EE">
        <w:rPr>
          <w:noProof/>
        </w:rPr>
        <w:tab/>
        <w:t>comprendono i costi di accesso al capitale finanziario necessario per finanziare le migliori tecniche disponibili;</w:t>
      </w:r>
    </w:p>
    <w:p w14:paraId="049BD90C" w14:textId="0A30A64B" w:rsidR="00B741EC" w:rsidRPr="000569EE" w:rsidRDefault="00B741EC" w:rsidP="00B741EC">
      <w:pPr>
        <w:spacing w:before="0" w:line="276" w:lineRule="auto"/>
        <w:ind w:left="1134" w:hanging="567"/>
        <w:rPr>
          <w:noProof/>
        </w:rPr>
      </w:pPr>
      <w:r w:rsidRPr="000569EE">
        <w:rPr>
          <w:noProof/>
        </w:rPr>
        <w:t>c)</w:t>
      </w:r>
      <w:r w:rsidRPr="000569EE">
        <w:rPr>
          <w:noProof/>
        </w:rPr>
        <w:tab/>
        <w:t xml:space="preserve">sono calcolati utilizzando un tasso di attualizzazione per tener conto delle differenze di valore monetario nel tempo. </w:t>
      </w:r>
    </w:p>
    <w:p w14:paraId="69E25B5A" w14:textId="5BC71639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1.4.</w:t>
      </w:r>
      <w:r w:rsidRPr="000569EE">
        <w:rPr>
          <w:noProof/>
        </w:rPr>
        <w:tab/>
        <w:t>La domanda di deroga indica chiaramente la fonte dei costi e i metodi utilizzati per calcolarli, compresi il tasso di attualizzazione di cui al punto 1.3, lettera c), e la stima delle incertezze associate alla valutazione dei costi.</w:t>
      </w:r>
    </w:p>
    <w:p w14:paraId="2BD77C2A" w14:textId="423EBAD9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1.5.</w:t>
      </w:r>
      <w:r w:rsidRPr="000569EE">
        <w:rPr>
          <w:noProof/>
        </w:rPr>
        <w:tab/>
        <w:t>I costi valutati dal gestore sono verificati dall</w:t>
      </w:r>
      <w:r w:rsidR="00EB6AD6">
        <w:rPr>
          <w:noProof/>
        </w:rPr>
        <w:t>'</w:t>
      </w:r>
      <w:r w:rsidRPr="000569EE">
        <w:rPr>
          <w:noProof/>
        </w:rPr>
        <w:t>autorità competente sulla base di informazioni provenienti da altre fonti, quali fornitori di tecnologia, pareri di esperti o dati provenienti da altri impianti in cui sono state recentemente introdotte le migliori tecniche disponibili.</w:t>
      </w:r>
    </w:p>
    <w:p w14:paraId="04C32364" w14:textId="35A29FD2" w:rsidR="00B741EC" w:rsidRPr="000569EE" w:rsidRDefault="00CB7232" w:rsidP="009658A5">
      <w:pPr>
        <w:spacing w:before="360" w:line="276" w:lineRule="auto"/>
        <w:ind w:left="567" w:hanging="567"/>
        <w:rPr>
          <w:b/>
          <w:noProof/>
        </w:rPr>
      </w:pPr>
      <w:r w:rsidRPr="000569EE">
        <w:rPr>
          <w:b/>
          <w:noProof/>
        </w:rPr>
        <w:t xml:space="preserve">2. </w:t>
      </w:r>
      <w:r w:rsidRPr="000569EE">
        <w:rPr>
          <w:noProof/>
        </w:rPr>
        <w:tab/>
      </w:r>
      <w:r w:rsidRPr="000569EE">
        <w:rPr>
          <w:b/>
          <w:noProof/>
        </w:rPr>
        <w:t>Benefici ambientali</w:t>
      </w:r>
    </w:p>
    <w:p w14:paraId="4D31556C" w14:textId="515B2ECF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2.1.</w:t>
      </w:r>
      <w:r w:rsidRPr="000569EE">
        <w:rPr>
          <w:noProof/>
        </w:rPr>
        <w:tab/>
        <w:t>I benefici ambientali di cui all</w:t>
      </w:r>
      <w:r w:rsidR="00EB6AD6">
        <w:rPr>
          <w:noProof/>
        </w:rPr>
        <w:t>'</w:t>
      </w:r>
      <w:r w:rsidRPr="000569EE">
        <w:rPr>
          <w:noProof/>
        </w:rPr>
        <w:t>articolo</w:t>
      </w:r>
      <w:r w:rsidR="008F121F">
        <w:rPr>
          <w:noProof/>
        </w:rPr>
        <w:t xml:space="preserve"> </w:t>
      </w:r>
      <w:r w:rsidRPr="000569EE">
        <w:rPr>
          <w:noProof/>
        </w:rPr>
        <w:t xml:space="preserve">15, paragrafo 4, sono i benefici ambientali ottenuti grazie al rispetto dei livelli di emissione o dei livelli di prestazione ambientale associati alle migliori tecniche disponibili. </w:t>
      </w:r>
    </w:p>
    <w:p w14:paraId="78A6DC82" w14:textId="737FB9D3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2.2.</w:t>
      </w:r>
      <w:r w:rsidRPr="000569EE">
        <w:rPr>
          <w:noProof/>
        </w:rPr>
        <w:tab/>
        <w:t xml:space="preserve">La valutazione dei benefici ambientali, che è quantitativa (in termini monetari), si avvale di una valutazione qualitativa. Laddove disponibili, sono utilizzati i costi accertati dei danni causati dagli inquinanti. </w:t>
      </w:r>
    </w:p>
    <w:p w14:paraId="346663FC" w14:textId="5D461990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2.3.</w:t>
      </w:r>
      <w:r w:rsidRPr="000569EE">
        <w:rPr>
          <w:noProof/>
        </w:rPr>
        <w:tab/>
        <w:t xml:space="preserve">La valutazione dei benefici ambientali prende in considerazione un tasso di sconto applicato a qualsiasi beneficio monetizzato che tenga conto delle differenze di valore per la società nel corso del tempo. </w:t>
      </w:r>
    </w:p>
    <w:p w14:paraId="57167EA8" w14:textId="7FAC7307" w:rsidR="00B741EC" w:rsidRPr="000569EE" w:rsidRDefault="00CB7232" w:rsidP="00A464E1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2.4.</w:t>
      </w:r>
      <w:r w:rsidRPr="000569EE">
        <w:rPr>
          <w:noProof/>
        </w:rPr>
        <w:tab/>
        <w:t>La domanda di deroga indica chiaramente la fonte delle informazioni sui benefici ambientali e i metodi utilizzati per calcolarli, compreso il tasso di attualizzazione di cui al punto 1.3, lettera c), e la stima delle incertezze associate alla valutazione dei benefici ambientali.</w:t>
      </w:r>
    </w:p>
    <w:p w14:paraId="1505D125" w14:textId="1C8A6DDE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2.5.</w:t>
      </w:r>
      <w:r w:rsidRPr="000569EE">
        <w:rPr>
          <w:noProof/>
        </w:rPr>
        <w:tab/>
        <w:t>I benefici per l</w:t>
      </w:r>
      <w:r w:rsidR="00EB6AD6">
        <w:rPr>
          <w:noProof/>
        </w:rPr>
        <w:t>'</w:t>
      </w:r>
      <w:r w:rsidRPr="000569EE">
        <w:rPr>
          <w:noProof/>
        </w:rPr>
        <w:t>ambiente valutati dal gestore sono verificati dall</w:t>
      </w:r>
      <w:r w:rsidR="00EB6AD6">
        <w:rPr>
          <w:noProof/>
        </w:rPr>
        <w:t>'</w:t>
      </w:r>
      <w:r w:rsidRPr="000569EE">
        <w:rPr>
          <w:noProof/>
        </w:rPr>
        <w:t>autorità competente sulla base di pareri di esperti o dati provenienti da altri impianti in cui sono state recentemente introdotte le migliori tecniche disponibili.</w:t>
      </w:r>
    </w:p>
    <w:p w14:paraId="1B353151" w14:textId="1AF86AAB" w:rsidR="00B741EC" w:rsidRPr="000569EE" w:rsidRDefault="00CB7232" w:rsidP="009658A5">
      <w:pPr>
        <w:spacing w:before="360" w:line="276" w:lineRule="auto"/>
        <w:ind w:left="567" w:hanging="567"/>
        <w:rPr>
          <w:b/>
          <w:noProof/>
        </w:rPr>
      </w:pPr>
      <w:r w:rsidRPr="000569EE">
        <w:rPr>
          <w:b/>
          <w:noProof/>
        </w:rPr>
        <w:t xml:space="preserve">3. </w:t>
      </w:r>
      <w:r w:rsidRPr="000569EE">
        <w:rPr>
          <w:noProof/>
        </w:rPr>
        <w:tab/>
      </w:r>
      <w:r w:rsidRPr="000569EE">
        <w:rPr>
          <w:b/>
          <w:noProof/>
        </w:rPr>
        <w:t>Sproporzione dei costi rispetto ai benefici ambientali</w:t>
      </w:r>
    </w:p>
    <w:p w14:paraId="62B19EBB" w14:textId="3C7DE1A2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3.1.</w:t>
      </w:r>
      <w:r w:rsidRPr="000569EE">
        <w:rPr>
          <w:noProof/>
        </w:rPr>
        <w:tab/>
        <w:t>Per determinare un</w:t>
      </w:r>
      <w:r w:rsidR="00EB6AD6">
        <w:rPr>
          <w:noProof/>
        </w:rPr>
        <w:t>'</w:t>
      </w:r>
      <w:r w:rsidRPr="000569EE">
        <w:rPr>
          <w:noProof/>
        </w:rPr>
        <w:t>eventuale sproporzione sono messi a confronto i costi necessari per rispettare i livelli di emissione o i livelli di prestazione ambientale associati alle migliori tecniche disponibili e i benefici ottenuti grazie a tale rispetto.</w:t>
      </w:r>
    </w:p>
    <w:p w14:paraId="53234F83" w14:textId="08D318AD" w:rsidR="00B741EC" w:rsidRPr="000569EE" w:rsidRDefault="00CB7232" w:rsidP="00B741EC">
      <w:pPr>
        <w:spacing w:before="0" w:line="276" w:lineRule="auto"/>
        <w:ind w:left="567" w:hanging="567"/>
        <w:rPr>
          <w:noProof/>
        </w:rPr>
      </w:pPr>
      <w:r w:rsidRPr="000569EE">
        <w:rPr>
          <w:noProof/>
        </w:rPr>
        <w:t>3.2.</w:t>
      </w:r>
      <w:r w:rsidRPr="000569EE">
        <w:rPr>
          <w:noProof/>
        </w:rPr>
        <w:tab/>
        <w:t>Il meccanismo di comparazione comprende i seguenti elementi:</w:t>
      </w:r>
    </w:p>
    <w:p w14:paraId="0CAE3DCB" w14:textId="77777777" w:rsidR="00B741EC" w:rsidRPr="000569EE" w:rsidRDefault="00B741EC" w:rsidP="00B741EC">
      <w:pPr>
        <w:spacing w:before="0" w:line="276" w:lineRule="auto"/>
        <w:ind w:left="993" w:hanging="426"/>
        <w:rPr>
          <w:noProof/>
        </w:rPr>
      </w:pPr>
      <w:r w:rsidRPr="000569EE">
        <w:rPr>
          <w:noProof/>
        </w:rPr>
        <w:t>a)</w:t>
      </w:r>
      <w:r w:rsidRPr="000569EE">
        <w:rPr>
          <w:noProof/>
        </w:rPr>
        <w:tab/>
        <w:t>un metodo per tenere conto delle incertezze nella valutazione dei costi e dei benefici ambientali;</w:t>
      </w:r>
    </w:p>
    <w:p w14:paraId="13854920" w14:textId="46230ECF" w:rsidR="00B741EC" w:rsidRPr="000569EE" w:rsidRDefault="00B741EC" w:rsidP="00B741EC">
      <w:pPr>
        <w:spacing w:before="0" w:line="276" w:lineRule="auto"/>
        <w:ind w:left="993" w:hanging="426"/>
        <w:rPr>
          <w:b/>
          <w:i/>
          <w:noProof/>
        </w:rPr>
      </w:pPr>
      <w:r w:rsidRPr="000569EE">
        <w:rPr>
          <w:noProof/>
        </w:rPr>
        <w:t>b)</w:t>
      </w:r>
      <w:r w:rsidRPr="000569EE">
        <w:rPr>
          <w:noProof/>
        </w:rPr>
        <w:tab/>
        <w:t>l</w:t>
      </w:r>
      <w:r w:rsidR="00EB6AD6">
        <w:rPr>
          <w:noProof/>
        </w:rPr>
        <w:t>'</w:t>
      </w:r>
      <w:r w:rsidRPr="000569EE">
        <w:rPr>
          <w:noProof/>
        </w:rPr>
        <w:t>indicazione della misura in cui i costi dovrebbero superare i benefici ambientali.</w:t>
      </w:r>
      <w:r w:rsidR="00EB6AD6">
        <w:rPr>
          <w:noProof/>
        </w:rPr>
        <w:t>"</w:t>
      </w:r>
      <w:r w:rsidRPr="000569EE">
        <w:rPr>
          <w:noProof/>
        </w:rPr>
        <w:t>.</w:t>
      </w:r>
    </w:p>
    <w:p w14:paraId="3AA04D51" w14:textId="77777777" w:rsidR="00B741EC" w:rsidRPr="00216C94" w:rsidRDefault="00B741EC" w:rsidP="00B741EC">
      <w:pPr>
        <w:spacing w:before="0" w:after="200" w:line="276" w:lineRule="auto"/>
        <w:rPr>
          <w:noProof/>
        </w:rPr>
      </w:pPr>
    </w:p>
    <w:sectPr w:rsidR="00B741EC" w:rsidRPr="00216C94" w:rsidSect="00356C4F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3C9A" w14:textId="77777777" w:rsidR="004A397A" w:rsidRDefault="004A397A" w:rsidP="004A397A">
      <w:pPr>
        <w:spacing w:before="0" w:after="0"/>
      </w:pPr>
      <w:r>
        <w:separator/>
      </w:r>
    </w:p>
  </w:endnote>
  <w:endnote w:type="continuationSeparator" w:id="0">
    <w:p w14:paraId="2BDC79AA" w14:textId="77777777" w:rsidR="004A397A" w:rsidRDefault="004A397A" w:rsidP="004A39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8FD6" w14:textId="77777777" w:rsidR="00356C4F" w:rsidRPr="00356C4F" w:rsidRDefault="00356C4F" w:rsidP="0035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F8F8" w14:textId="1B0497B3" w:rsidR="00FA7CFA" w:rsidRPr="00356C4F" w:rsidRDefault="00356C4F" w:rsidP="00356C4F">
    <w:pPr>
      <w:pStyle w:val="Footer"/>
      <w:rPr>
        <w:rFonts w:ascii="Arial" w:hAnsi="Arial" w:cs="Arial"/>
        <w:b/>
        <w:sz w:val="48"/>
      </w:rPr>
    </w:pPr>
    <w:r w:rsidRPr="00356C4F">
      <w:rPr>
        <w:rFonts w:ascii="Arial" w:hAnsi="Arial" w:cs="Arial"/>
        <w:b/>
        <w:sz w:val="48"/>
      </w:rPr>
      <w:t>IT</w:t>
    </w:r>
    <w:r w:rsidRPr="00356C4F">
      <w:rPr>
        <w:rFonts w:ascii="Arial" w:hAnsi="Arial" w:cs="Arial"/>
        <w:b/>
        <w:sz w:val="48"/>
      </w:rPr>
      <w:tab/>
    </w:r>
    <w:r w:rsidRPr="00356C4F">
      <w:rPr>
        <w:rFonts w:ascii="Arial" w:hAnsi="Arial" w:cs="Arial"/>
        <w:b/>
        <w:sz w:val="48"/>
      </w:rPr>
      <w:tab/>
    </w:r>
    <w:r w:rsidRPr="00356C4F">
      <w:tab/>
    </w:r>
    <w:r w:rsidRPr="00356C4F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F6A5" w14:textId="77777777" w:rsidR="00356C4F" w:rsidRPr="00356C4F" w:rsidRDefault="00356C4F" w:rsidP="00356C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576F" w14:textId="69D9ECD2" w:rsidR="00356C4F" w:rsidRPr="00356C4F" w:rsidRDefault="00356C4F" w:rsidP="00356C4F">
    <w:pPr>
      <w:pStyle w:val="Footer"/>
      <w:rPr>
        <w:rFonts w:ascii="Arial" w:hAnsi="Arial" w:cs="Arial"/>
        <w:b/>
        <w:sz w:val="48"/>
      </w:rPr>
    </w:pPr>
    <w:r w:rsidRPr="00356C4F">
      <w:rPr>
        <w:rFonts w:ascii="Arial" w:hAnsi="Arial" w:cs="Arial"/>
        <w:b/>
        <w:sz w:val="48"/>
      </w:rPr>
      <w:t>IT</w:t>
    </w:r>
    <w:r w:rsidRPr="00356C4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356C4F">
      <w:tab/>
    </w:r>
    <w:r w:rsidRPr="00356C4F">
      <w:rPr>
        <w:rFonts w:ascii="Arial" w:hAnsi="Arial" w:cs="Arial"/>
        <w:b/>
        <w:sz w:val="48"/>
      </w:rPr>
      <w:t>IT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CEC5" w14:textId="77777777" w:rsidR="00356C4F" w:rsidRPr="00356C4F" w:rsidRDefault="00356C4F" w:rsidP="0035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7C5D" w14:textId="77777777" w:rsidR="004A397A" w:rsidRDefault="004A397A" w:rsidP="004A397A">
      <w:pPr>
        <w:spacing w:before="0" w:after="0"/>
      </w:pPr>
      <w:r>
        <w:separator/>
      </w:r>
    </w:p>
  </w:footnote>
  <w:footnote w:type="continuationSeparator" w:id="0">
    <w:p w14:paraId="3EEA9174" w14:textId="77777777" w:rsidR="004A397A" w:rsidRDefault="004A397A" w:rsidP="004A39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1B34" w14:textId="77777777" w:rsidR="00356C4F" w:rsidRPr="00356C4F" w:rsidRDefault="00356C4F" w:rsidP="00356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F9E1" w14:textId="77777777" w:rsidR="00356C4F" w:rsidRPr="00356C4F" w:rsidRDefault="00356C4F" w:rsidP="00356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A68E" w14:textId="77777777" w:rsidR="00356C4F" w:rsidRPr="00356C4F" w:rsidRDefault="00356C4F" w:rsidP="00356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8F82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A6CDC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04846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EB2C2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220CD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1F45B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E1E5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336C1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</w:num>
  <w:num w:numId="12">
    <w:abstractNumId w:val="22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21"/>
  </w:num>
  <w:num w:numId="18">
    <w:abstractNumId w:val="8"/>
  </w:num>
  <w:num w:numId="19">
    <w:abstractNumId w:val="16"/>
  </w:num>
  <w:num w:numId="20">
    <w:abstractNumId w:val="18"/>
  </w:num>
  <w:num w:numId="21">
    <w:abstractNumId w:val="19"/>
  </w:num>
  <w:num w:numId="22">
    <w:abstractNumId w:val="10"/>
  </w:num>
  <w:num w:numId="23">
    <w:abstractNumId w:val="17"/>
  </w:num>
  <w:num w:numId="24">
    <w:abstractNumId w:val="23"/>
  </w:num>
  <w:num w:numId="25">
    <w:abstractNumId w:val="12"/>
  </w:num>
  <w:num w:numId="26">
    <w:abstractNumId w:val="12"/>
  </w:num>
  <w:num w:numId="27">
    <w:abstractNumId w:val="12"/>
  </w:num>
  <w:num w:numId="28">
    <w:abstractNumId w:val="20"/>
  </w:num>
  <w:num w:numId="29">
    <w:abstractNumId w:val="13"/>
  </w:num>
  <w:num w:numId="30">
    <w:abstractNumId w:val="22"/>
  </w:num>
  <w:num w:numId="31">
    <w:abstractNumId w:val="11"/>
  </w:num>
  <w:num w:numId="32">
    <w:abstractNumId w:val="14"/>
  </w:num>
  <w:num w:numId="33">
    <w:abstractNumId w:val="15"/>
  </w:num>
  <w:num w:numId="34">
    <w:abstractNumId w:val="9"/>
  </w:num>
  <w:num w:numId="35">
    <w:abstractNumId w:val="21"/>
  </w:num>
  <w:num w:numId="36">
    <w:abstractNumId w:val="8"/>
  </w:num>
  <w:num w:numId="37">
    <w:abstractNumId w:val="16"/>
  </w:num>
  <w:num w:numId="38">
    <w:abstractNumId w:val="18"/>
  </w:num>
  <w:num w:numId="39">
    <w:abstractNumId w:val="19"/>
  </w:num>
  <w:num w:numId="40">
    <w:abstractNumId w:val="10"/>
  </w:num>
  <w:num w:numId="41">
    <w:abstractNumId w:val="17"/>
  </w:num>
  <w:num w:numId="4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4-28 09:45:49"/>
    <w:docVar w:name="DQCRepairStyles" w:val=";TOC 9;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della"/>
    <w:docVar w:name="LW_ACCOMPAGNANT.CP" w:val="della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0E404181-C5EE-4C26-9D43-9A16F555DD79"/>
    <w:docVar w:name="LW_COVERPAGE_TYPE" w:val="1"/>
    <w:docVar w:name="LW_CROSSREFERENCE" w:val="{SEC(2022) 169 final} - {SWD(2022) 110 final} - {SWD(2022) 111 final} - {SWD(2022) 112 final}"/>
    <w:docVar w:name="LW_DocType" w:val="ANNEX"/>
    <w:docVar w:name="LW_EMISSION" w:val="5.4.2022"/>
    <w:docVar w:name="LW_EMISSION_ISODATE" w:val="2022-04-05"/>
    <w:docVar w:name="LW_EMISSION_LOCATION" w:val="STR"/>
    <w:docVar w:name="LW_EMISSION_PREFIX" w:val="Strasburgo, "/>
    <w:docVar w:name="LW_EMISSION_SUFFIX" w:val=" "/>
    <w:docVar w:name="LW_ID_DOCSTRUCTURE" w:val="COM/ANNEX"/>
    <w:docVar w:name="LW_ID_DOCTYPE" w:val="SG-017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" w:val="che modifica_x000d__x000d__x000b_la direttiva 2010/75/UE del Parlamento europeo e del Consiglio del 24 novembre 2010 relativa alle emissioni industriali (prevenzione e riduzione integrate dell'inquinamento) e la direttiva 1999/31/CE del Consiglio del 26 aprile 1999 _x000b_relativa alle discariche di rifiuti_x000d__x000d__x000b__x000d__x000d__x000d__x000d__x000b__x000d__x000d__x000d__x000d__x000d__x000d__x000d__x000d__x000d__x000d__x000d__x000d__x000d__x000d__x000b__x000d__x000d__x000d__x000d__x000d__x000d__x000d__x000d__x000d__x000d__x000d__x000d__x000b__x000d__x000d__x000d__x000d__x000d__x000d__x000d__x000d__x000d__x000d__x000d__x000d__x000d__x000d__x000d__x000d__x000b__x000d__x000d__x000d__x000d__x000d__x000d__x000d__x000d__x000d__x000d__x000d__x000d__x000d__x000d__x000d__x000d__x000d__x000d__x000d__x000d__x000b_"/>
    <w:docVar w:name="LW_OBJETACTEPRINCIPAL.CP" w:val="che modifica_x000d__x000d__x000b_la direttiva 2010/75/UE del Parlamento europeo e del Consiglio del 24 novembre 2010 relativa alle emissioni industriali (prevenzione e riduzione integrate dell'inquinamento) e la direttiva 1999/31/CE del Consiglio del 26 aprile 1999 _x000b_relativa alle discariche di rifiuti_x000d__x000d__x000b__x000d__x000d__x000d__x000d__x000b__x000d__x000d__x000d__x000d__x000d__x000d__x000d__x000d__x000d__x000d__x000d__x000d__x000d__x000d__x000b__x000d__x000d__x000d__x000d__x000d__x000d__x000d__x000d__x000d__x000d__x000d__x000d__x000b__x000d__x000d__x000d__x000d__x000d__x000d__x000d__x000d__x000d__x000d__x000d__x000d__x000d__x000d__x000d__x000d__x000b__x000d__x000d__x000d__x000d__x000d__x000d__x000d__x000d__x000d__x000d__x000d__x000d__x000d__x000d__x000d__x000d_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2) 1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LLEGATI"/>
    <w:docVar w:name="LW_TYPE.DOC.CP" w:val="ALLEGATI"/>
    <w:docVar w:name="LW_TYPEACTEPRINCIPAL" w:val="Proposta di_x000b_DIRETTIVA DEL PARLAMENTO EUROPEO E DEL CONSIGLIO_x000b__x000b_"/>
    <w:docVar w:name="LW_TYPEACTEPRINCIPAL.CP" w:val="Proposta di_x000b_DIRETTIVA DEL PARLAMENTO EUROPEO E DEL CONSIGLIO_x000b__x000b_"/>
    <w:docVar w:name="LwApiVersions" w:val="LW4CoDe 1.23.2.0; LW 8.0, Build 20211117"/>
  </w:docVars>
  <w:rsids>
    <w:rsidRoot w:val="004A397A"/>
    <w:rsid w:val="000168C4"/>
    <w:rsid w:val="00050A2C"/>
    <w:rsid w:val="000569EE"/>
    <w:rsid w:val="000A0F54"/>
    <w:rsid w:val="000A64A5"/>
    <w:rsid w:val="000C0DDA"/>
    <w:rsid w:val="000D16C4"/>
    <w:rsid w:val="000E198E"/>
    <w:rsid w:val="0010115C"/>
    <w:rsid w:val="00120E97"/>
    <w:rsid w:val="00123CB0"/>
    <w:rsid w:val="00157921"/>
    <w:rsid w:val="001658EB"/>
    <w:rsid w:val="001A1988"/>
    <w:rsid w:val="001C2816"/>
    <w:rsid w:val="001D6F25"/>
    <w:rsid w:val="001F746D"/>
    <w:rsid w:val="0021481A"/>
    <w:rsid w:val="00216016"/>
    <w:rsid w:val="00216C94"/>
    <w:rsid w:val="00261036"/>
    <w:rsid w:val="00295CE1"/>
    <w:rsid w:val="002A3EC0"/>
    <w:rsid w:val="002C34D7"/>
    <w:rsid w:val="002D1319"/>
    <w:rsid w:val="0030046F"/>
    <w:rsid w:val="003006CD"/>
    <w:rsid w:val="003335C0"/>
    <w:rsid w:val="0033772A"/>
    <w:rsid w:val="00356C4F"/>
    <w:rsid w:val="00395536"/>
    <w:rsid w:val="00395765"/>
    <w:rsid w:val="003A649C"/>
    <w:rsid w:val="003C07BC"/>
    <w:rsid w:val="00405F21"/>
    <w:rsid w:val="004A11BC"/>
    <w:rsid w:val="004A397A"/>
    <w:rsid w:val="004A51CA"/>
    <w:rsid w:val="004B3CDF"/>
    <w:rsid w:val="004B4129"/>
    <w:rsid w:val="004F13CB"/>
    <w:rsid w:val="004F7EC2"/>
    <w:rsid w:val="0050157A"/>
    <w:rsid w:val="005142F3"/>
    <w:rsid w:val="00556900"/>
    <w:rsid w:val="005C399D"/>
    <w:rsid w:val="005C439D"/>
    <w:rsid w:val="005D0ECA"/>
    <w:rsid w:val="005E6BBA"/>
    <w:rsid w:val="0060092F"/>
    <w:rsid w:val="006375B5"/>
    <w:rsid w:val="0064128A"/>
    <w:rsid w:val="00656F69"/>
    <w:rsid w:val="006634F2"/>
    <w:rsid w:val="00685498"/>
    <w:rsid w:val="006A6258"/>
    <w:rsid w:val="006B5DC5"/>
    <w:rsid w:val="006F4F98"/>
    <w:rsid w:val="007056E5"/>
    <w:rsid w:val="00731592"/>
    <w:rsid w:val="00741AD3"/>
    <w:rsid w:val="0074637F"/>
    <w:rsid w:val="00761D40"/>
    <w:rsid w:val="00764EFF"/>
    <w:rsid w:val="007704D6"/>
    <w:rsid w:val="007B5F94"/>
    <w:rsid w:val="007C3434"/>
    <w:rsid w:val="007F6D40"/>
    <w:rsid w:val="0082577D"/>
    <w:rsid w:val="0082609B"/>
    <w:rsid w:val="00827806"/>
    <w:rsid w:val="00827826"/>
    <w:rsid w:val="008442C9"/>
    <w:rsid w:val="00880B93"/>
    <w:rsid w:val="00880C6C"/>
    <w:rsid w:val="00883272"/>
    <w:rsid w:val="008A6777"/>
    <w:rsid w:val="008B3831"/>
    <w:rsid w:val="008D0078"/>
    <w:rsid w:val="008F121F"/>
    <w:rsid w:val="00900FA7"/>
    <w:rsid w:val="00930503"/>
    <w:rsid w:val="00940A0F"/>
    <w:rsid w:val="009658A5"/>
    <w:rsid w:val="00970DEF"/>
    <w:rsid w:val="00972238"/>
    <w:rsid w:val="00975344"/>
    <w:rsid w:val="00986568"/>
    <w:rsid w:val="00986B33"/>
    <w:rsid w:val="00987AD5"/>
    <w:rsid w:val="00990930"/>
    <w:rsid w:val="009D0D9A"/>
    <w:rsid w:val="009D1B4C"/>
    <w:rsid w:val="009D25B6"/>
    <w:rsid w:val="00A145EF"/>
    <w:rsid w:val="00A211CC"/>
    <w:rsid w:val="00A373D8"/>
    <w:rsid w:val="00A40767"/>
    <w:rsid w:val="00A464E1"/>
    <w:rsid w:val="00A648DA"/>
    <w:rsid w:val="00A656C9"/>
    <w:rsid w:val="00A95C18"/>
    <w:rsid w:val="00AA1C52"/>
    <w:rsid w:val="00AB3D9A"/>
    <w:rsid w:val="00AC39F1"/>
    <w:rsid w:val="00AD459A"/>
    <w:rsid w:val="00B26959"/>
    <w:rsid w:val="00B5293F"/>
    <w:rsid w:val="00B60894"/>
    <w:rsid w:val="00B711EC"/>
    <w:rsid w:val="00B741EC"/>
    <w:rsid w:val="00B74D33"/>
    <w:rsid w:val="00B77AA3"/>
    <w:rsid w:val="00B8485D"/>
    <w:rsid w:val="00B856AB"/>
    <w:rsid w:val="00BB0CF3"/>
    <w:rsid w:val="00BD0135"/>
    <w:rsid w:val="00BF17AA"/>
    <w:rsid w:val="00C04ECE"/>
    <w:rsid w:val="00C16D47"/>
    <w:rsid w:val="00C24556"/>
    <w:rsid w:val="00C26751"/>
    <w:rsid w:val="00C4635C"/>
    <w:rsid w:val="00C47AE9"/>
    <w:rsid w:val="00C56A7A"/>
    <w:rsid w:val="00C61D93"/>
    <w:rsid w:val="00CB7232"/>
    <w:rsid w:val="00CD1E1B"/>
    <w:rsid w:val="00CD3A55"/>
    <w:rsid w:val="00CE1819"/>
    <w:rsid w:val="00CE5FC5"/>
    <w:rsid w:val="00D031AA"/>
    <w:rsid w:val="00D35D4A"/>
    <w:rsid w:val="00D61DE7"/>
    <w:rsid w:val="00D6342B"/>
    <w:rsid w:val="00D76A11"/>
    <w:rsid w:val="00DA7E49"/>
    <w:rsid w:val="00DC1428"/>
    <w:rsid w:val="00DD5BCF"/>
    <w:rsid w:val="00DE1F50"/>
    <w:rsid w:val="00E03DB3"/>
    <w:rsid w:val="00E062F6"/>
    <w:rsid w:val="00E1067D"/>
    <w:rsid w:val="00E46B25"/>
    <w:rsid w:val="00E470DC"/>
    <w:rsid w:val="00E50E67"/>
    <w:rsid w:val="00E51765"/>
    <w:rsid w:val="00E6001B"/>
    <w:rsid w:val="00E66F95"/>
    <w:rsid w:val="00E72D49"/>
    <w:rsid w:val="00E82833"/>
    <w:rsid w:val="00E84177"/>
    <w:rsid w:val="00E871BC"/>
    <w:rsid w:val="00E9383E"/>
    <w:rsid w:val="00EB6AD6"/>
    <w:rsid w:val="00EF3FF8"/>
    <w:rsid w:val="00F44E87"/>
    <w:rsid w:val="00F61CE2"/>
    <w:rsid w:val="00F62FB0"/>
    <w:rsid w:val="00F80D00"/>
    <w:rsid w:val="00F80D08"/>
    <w:rsid w:val="00F81C85"/>
    <w:rsid w:val="00F840A3"/>
    <w:rsid w:val="00FA1F40"/>
    <w:rsid w:val="00FA7CFA"/>
    <w:rsid w:val="00FC65FC"/>
    <w:rsid w:val="00FD340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E2CF8B4"/>
  <w15:docId w15:val="{A0437921-14C0-474A-B473-63175D0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35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35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35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278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2780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806"/>
    <w:rPr>
      <w:rFonts w:ascii="Times New Roman" w:eastAsia="Times New Roman" w:hAnsi="Times New Roman" w:cs="Times New Roman"/>
      <w:sz w:val="20"/>
      <w:szCs w:val="20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6"/>
    <w:rPr>
      <w:rFonts w:ascii="Segoe UI" w:hAnsi="Segoe UI" w:cs="Segoe UI"/>
      <w:sz w:val="18"/>
      <w:szCs w:val="18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98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98"/>
    <w:rPr>
      <w:rFonts w:ascii="Times New Roman" w:eastAsia="Times New Roman" w:hAnsi="Times New Roman" w:cs="Times New Roman"/>
      <w:b/>
      <w:bCs/>
      <w:sz w:val="20"/>
      <w:szCs w:val="20"/>
      <w:lang w:val="it-IT" w:eastAsia="en-GB"/>
    </w:rPr>
  </w:style>
  <w:style w:type="paragraph" w:styleId="ListBullet">
    <w:name w:val="List Bullet"/>
    <w:basedOn w:val="Normal"/>
    <w:uiPriority w:val="99"/>
    <w:semiHidden/>
    <w:unhideWhenUsed/>
    <w:rsid w:val="00C2675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2675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2675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26751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F80D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95C1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95C18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A95C1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95C1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5C1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5C18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9093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8656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LegalNumPar">
    <w:name w:val="LegalNumPar"/>
    <w:basedOn w:val="Normal"/>
    <w:rsid w:val="00EB6AD6"/>
    <w:pPr>
      <w:numPr>
        <w:numId w:val="27"/>
      </w:numPr>
      <w:spacing w:line="360" w:lineRule="auto"/>
    </w:pPr>
  </w:style>
  <w:style w:type="paragraph" w:customStyle="1" w:styleId="LegalNumPar2">
    <w:name w:val="LegalNumPar2"/>
    <w:basedOn w:val="Normal"/>
    <w:rsid w:val="00EB6AD6"/>
    <w:pPr>
      <w:numPr>
        <w:ilvl w:val="1"/>
        <w:numId w:val="27"/>
      </w:numPr>
      <w:spacing w:line="360" w:lineRule="auto"/>
    </w:pPr>
  </w:style>
  <w:style w:type="paragraph" w:customStyle="1" w:styleId="LegalNumPar3">
    <w:name w:val="LegalNumPar3"/>
    <w:basedOn w:val="Normal"/>
    <w:rsid w:val="00EB6AD6"/>
    <w:pPr>
      <w:numPr>
        <w:ilvl w:val="2"/>
        <w:numId w:val="27"/>
      </w:numPr>
      <w:spacing w:line="360" w:lineRule="auto"/>
    </w:pPr>
  </w:style>
  <w:style w:type="paragraph" w:styleId="Header">
    <w:name w:val="header"/>
    <w:basedOn w:val="Normal"/>
    <w:link w:val="HeaderChar"/>
    <w:uiPriority w:val="99"/>
    <w:unhideWhenUsed/>
    <w:rsid w:val="00356C4F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56C4F"/>
    <w:rPr>
      <w:rFonts w:ascii="Times New Roman" w:hAnsi="Times New Roman" w:cs="Times New Roman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56C4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56C4F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356C4F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56C4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56C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56C4F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56C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28"/>
      </w:numPr>
    </w:pPr>
  </w:style>
  <w:style w:type="paragraph" w:customStyle="1" w:styleId="Tiret1">
    <w:name w:val="Tiret 1"/>
    <w:basedOn w:val="Point1"/>
    <w:rsid w:val="005365AB"/>
    <w:pPr>
      <w:numPr>
        <w:numId w:val="29"/>
      </w:numPr>
    </w:pPr>
  </w:style>
  <w:style w:type="paragraph" w:customStyle="1" w:styleId="Tiret2">
    <w:name w:val="Tiret 2"/>
    <w:basedOn w:val="Point2"/>
    <w:rsid w:val="005365AB"/>
    <w:pPr>
      <w:numPr>
        <w:numId w:val="30"/>
      </w:numPr>
    </w:pPr>
  </w:style>
  <w:style w:type="paragraph" w:customStyle="1" w:styleId="Tiret3">
    <w:name w:val="Tiret 3"/>
    <w:basedOn w:val="Point3"/>
    <w:rsid w:val="005365AB"/>
    <w:pPr>
      <w:numPr>
        <w:numId w:val="31"/>
      </w:numPr>
    </w:pPr>
  </w:style>
  <w:style w:type="paragraph" w:customStyle="1" w:styleId="Tiret4">
    <w:name w:val="Tiret 4"/>
    <w:basedOn w:val="Point4"/>
    <w:rsid w:val="005365AB"/>
    <w:pPr>
      <w:numPr>
        <w:numId w:val="32"/>
      </w:numPr>
    </w:pPr>
  </w:style>
  <w:style w:type="paragraph" w:customStyle="1" w:styleId="Tiret5">
    <w:name w:val="Tiret 5"/>
    <w:basedOn w:val="Point5"/>
    <w:rsid w:val="005365AB"/>
    <w:pPr>
      <w:numPr>
        <w:numId w:val="33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34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34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34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34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34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36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36"/>
      </w:numPr>
    </w:pPr>
  </w:style>
  <w:style w:type="paragraph" w:customStyle="1" w:styleId="Bullet0">
    <w:name w:val="Bullet 0"/>
    <w:basedOn w:val="Normal"/>
    <w:rsid w:val="005365AB"/>
    <w:pPr>
      <w:numPr>
        <w:numId w:val="37"/>
      </w:numPr>
    </w:pPr>
  </w:style>
  <w:style w:type="paragraph" w:customStyle="1" w:styleId="Bullet1">
    <w:name w:val="Bullet 1"/>
    <w:basedOn w:val="Normal"/>
    <w:rsid w:val="005365AB"/>
    <w:pPr>
      <w:numPr>
        <w:numId w:val="38"/>
      </w:numPr>
    </w:pPr>
  </w:style>
  <w:style w:type="paragraph" w:customStyle="1" w:styleId="Bullet2">
    <w:name w:val="Bullet 2"/>
    <w:basedOn w:val="Normal"/>
    <w:rsid w:val="005365AB"/>
    <w:pPr>
      <w:numPr>
        <w:numId w:val="39"/>
      </w:numPr>
    </w:pPr>
  </w:style>
  <w:style w:type="paragraph" w:customStyle="1" w:styleId="Bullet3">
    <w:name w:val="Bullet 3"/>
    <w:basedOn w:val="Normal"/>
    <w:rsid w:val="005365AB"/>
    <w:pPr>
      <w:numPr>
        <w:numId w:val="40"/>
      </w:numPr>
    </w:pPr>
  </w:style>
  <w:style w:type="paragraph" w:customStyle="1" w:styleId="Bullet4">
    <w:name w:val="Bullet 4"/>
    <w:basedOn w:val="Normal"/>
    <w:rsid w:val="005365AB"/>
    <w:pPr>
      <w:numPr>
        <w:numId w:val="41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20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RAYNAL Julie (ENV)</dc:creator>
  <cp:keywords/>
  <dc:description/>
  <cp:lastModifiedBy>EC CoDe</cp:lastModifiedBy>
  <cp:revision>29</cp:revision>
  <dcterms:created xsi:type="dcterms:W3CDTF">2022-04-22T10:12:00Z</dcterms:created>
  <dcterms:modified xsi:type="dcterms:W3CDTF">2022-04-28T07:45:00Z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