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673F5" w14:textId="0E0598D4" w:rsidR="00DD5543" w:rsidRDefault="00FB3ECA" w:rsidP="00FB3ECA">
      <w:pPr>
        <w:pStyle w:val="Pagedecouverture"/>
        <w:rPr>
          <w:noProof/>
        </w:rPr>
      </w:pPr>
      <w:r>
        <w:rPr>
          <w:noProof/>
        </w:rPr>
        <w:pict w14:anchorId="25F14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A4AABC68-1B38-42EA-AAD4-F000567E3BE3" style="width:455.25pt;height:396.75pt">
            <v:imagedata r:id="rId11" o:title=""/>
          </v:shape>
        </w:pict>
      </w:r>
    </w:p>
    <w:p w14:paraId="179B5560" w14:textId="77777777" w:rsidR="00DD5543" w:rsidRDefault="00DD5543" w:rsidP="00A40E24">
      <w:pPr>
        <w:rPr>
          <w:noProof/>
        </w:rPr>
        <w:sectPr w:rsidR="00DD5543" w:rsidSect="00FB3ECA">
          <w:footerReference w:type="default" r:id="rId12"/>
          <w:pgSz w:w="11907" w:h="16839"/>
          <w:pgMar w:top="1134" w:right="1417" w:bottom="1134" w:left="1417" w:header="709" w:footer="709" w:gutter="0"/>
          <w:pgNumType w:start="0"/>
          <w:cols w:space="720"/>
          <w:docGrid w:linePitch="360"/>
        </w:sectPr>
      </w:pPr>
    </w:p>
    <w:p w14:paraId="3D26EF69" w14:textId="77777777" w:rsidR="00A40E24" w:rsidRDefault="00A40E24" w:rsidP="00012221">
      <w:pPr>
        <w:pStyle w:val="Exposdesmotifstitre"/>
        <w:rPr>
          <w:noProof/>
        </w:rPr>
      </w:pPr>
      <w:bookmarkStart w:id="0" w:name="_GoBack"/>
      <w:bookmarkEnd w:id="0"/>
      <w:r w:rsidRPr="006F770D">
        <w:rPr>
          <w:noProof/>
        </w:rPr>
        <w:lastRenderedPageBreak/>
        <w:t>EXPLANATORY MEMORANDUM</w:t>
      </w:r>
    </w:p>
    <w:p w14:paraId="19BB5714" w14:textId="77777777" w:rsidR="00A40E24" w:rsidRPr="006F770D" w:rsidRDefault="00A40E24" w:rsidP="00012221">
      <w:pPr>
        <w:pStyle w:val="ManualHeading1"/>
        <w:rPr>
          <w:noProof/>
        </w:rPr>
      </w:pPr>
      <w:r w:rsidRPr="00C567EE">
        <w:rPr>
          <w:noProof/>
        </w:rPr>
        <w:t>1.</w:t>
      </w:r>
      <w:r w:rsidRPr="00C567EE">
        <w:rPr>
          <w:noProof/>
        </w:rPr>
        <w:tab/>
      </w:r>
      <w:r w:rsidRPr="006F770D">
        <w:rPr>
          <w:noProof/>
        </w:rPr>
        <w:t>CONTEXT OF THE PROPOSAL</w:t>
      </w:r>
    </w:p>
    <w:p w14:paraId="43085C21" w14:textId="77777777" w:rsidR="00A40E24" w:rsidRDefault="00A40E24" w:rsidP="00AE1107">
      <w:pPr>
        <w:pStyle w:val="ManualHeading2"/>
        <w:rPr>
          <w:rFonts w:eastAsia="Arial Unicode MS"/>
          <w:b w:val="0"/>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32C32ADE" w14:textId="77777777" w:rsidR="00D3596C" w:rsidRDefault="00E96A0B" w:rsidP="00200097">
      <w:pPr>
        <w:pBdr>
          <w:top w:val="nil"/>
          <w:left w:val="nil"/>
          <w:bottom w:val="nil"/>
          <w:right w:val="nil"/>
          <w:between w:val="nil"/>
          <w:bar w:val="nil"/>
        </w:pBdr>
        <w:spacing w:before="0" w:after="240"/>
        <w:rPr>
          <w:noProof/>
        </w:rPr>
      </w:pPr>
      <w:r>
        <w:rPr>
          <w:noProof/>
        </w:rPr>
        <w:t xml:space="preserve">The EU common visa policy is an essential element in ensuring </w:t>
      </w:r>
      <w:r w:rsidR="007F4669">
        <w:rPr>
          <w:noProof/>
        </w:rPr>
        <w:t xml:space="preserve">the security and proper functioning of </w:t>
      </w:r>
      <w:r>
        <w:rPr>
          <w:noProof/>
        </w:rPr>
        <w:t>the external borders</w:t>
      </w:r>
      <w:r w:rsidR="007F4669">
        <w:rPr>
          <w:noProof/>
        </w:rPr>
        <w:t xml:space="preserve"> of the Schengen area</w:t>
      </w:r>
      <w:r>
        <w:rPr>
          <w:noProof/>
        </w:rPr>
        <w:t xml:space="preserve">. It </w:t>
      </w:r>
      <w:r w:rsidR="004766CC">
        <w:rPr>
          <w:noProof/>
        </w:rPr>
        <w:t>facilitates</w:t>
      </w:r>
      <w:r>
        <w:rPr>
          <w:noProof/>
        </w:rPr>
        <w:t xml:space="preserve"> legitimate </w:t>
      </w:r>
      <w:r w:rsidR="00FA2E35">
        <w:rPr>
          <w:noProof/>
        </w:rPr>
        <w:t xml:space="preserve">stay in </w:t>
      </w:r>
      <w:r w:rsidR="006A3825">
        <w:rPr>
          <w:noProof/>
        </w:rPr>
        <w:t xml:space="preserve">or transit through Schengen countries </w:t>
      </w:r>
      <w:r>
        <w:rPr>
          <w:noProof/>
        </w:rPr>
        <w:t xml:space="preserve">and has </w:t>
      </w:r>
      <w:r w:rsidR="007F4669">
        <w:rPr>
          <w:noProof/>
        </w:rPr>
        <w:t>contributed to the harmonisation of</w:t>
      </w:r>
      <w:r>
        <w:rPr>
          <w:noProof/>
        </w:rPr>
        <w:t xml:space="preserve"> the </w:t>
      </w:r>
      <w:r w:rsidR="00145C06">
        <w:rPr>
          <w:noProof/>
        </w:rPr>
        <w:t>Member States</w:t>
      </w:r>
      <w:r>
        <w:rPr>
          <w:noProof/>
        </w:rPr>
        <w:t xml:space="preserve"> visa issuing practices. To </w:t>
      </w:r>
      <w:r w:rsidR="00CC5270">
        <w:rPr>
          <w:noProof/>
        </w:rPr>
        <w:t xml:space="preserve">maintain a </w:t>
      </w:r>
      <w:r>
        <w:rPr>
          <w:noProof/>
        </w:rPr>
        <w:t>high level of internal security</w:t>
      </w:r>
      <w:r w:rsidR="002D47F6">
        <w:rPr>
          <w:noProof/>
        </w:rPr>
        <w:t>, safeguard</w:t>
      </w:r>
      <w:r>
        <w:rPr>
          <w:noProof/>
        </w:rPr>
        <w:t xml:space="preserve"> the free movement of persons in the Schengen Area, </w:t>
      </w:r>
      <w:r w:rsidR="002D47F6">
        <w:rPr>
          <w:noProof/>
        </w:rPr>
        <w:t xml:space="preserve">and facilitate legitimate travel to the EU by third country nationals whilst reducing irregular migration, </w:t>
      </w:r>
      <w:r>
        <w:rPr>
          <w:noProof/>
        </w:rPr>
        <w:t xml:space="preserve">the </w:t>
      </w:r>
      <w:r w:rsidR="00B62ACB">
        <w:rPr>
          <w:noProof/>
        </w:rPr>
        <w:t>Member States</w:t>
      </w:r>
      <w:r>
        <w:rPr>
          <w:noProof/>
        </w:rPr>
        <w:t xml:space="preserve"> are currently working on improving the management of their common external borders. </w:t>
      </w:r>
    </w:p>
    <w:p w14:paraId="04504811" w14:textId="77777777" w:rsidR="00D3596C" w:rsidRDefault="00E96A0B" w:rsidP="00200097">
      <w:pPr>
        <w:pBdr>
          <w:top w:val="nil"/>
          <w:left w:val="nil"/>
          <w:bottom w:val="nil"/>
          <w:right w:val="nil"/>
          <w:between w:val="nil"/>
          <w:bar w:val="nil"/>
        </w:pBdr>
        <w:spacing w:before="0" w:after="240"/>
        <w:rPr>
          <w:noProof/>
        </w:rPr>
      </w:pPr>
      <w:r>
        <w:rPr>
          <w:noProof/>
        </w:rPr>
        <w:t>Since the entry into force of the Visa Code in 2010</w:t>
      </w:r>
      <w:r w:rsidR="00D3596C">
        <w:rPr>
          <w:rStyle w:val="FootnoteReference"/>
          <w:noProof/>
        </w:rPr>
        <w:footnoteReference w:id="2"/>
      </w:r>
      <w:r>
        <w:rPr>
          <w:noProof/>
        </w:rPr>
        <w:t xml:space="preserve"> and the start of operations of the Visa Information System (VIS) in 2011</w:t>
      </w:r>
      <w:r w:rsidR="00D3596C">
        <w:rPr>
          <w:rStyle w:val="FootnoteReference"/>
          <w:noProof/>
        </w:rPr>
        <w:footnoteReference w:id="3"/>
      </w:r>
      <w:r>
        <w:rPr>
          <w:noProof/>
        </w:rPr>
        <w:t xml:space="preserve">, the environment in which the visa policy </w:t>
      </w:r>
      <w:r w:rsidR="002D47F6">
        <w:rPr>
          <w:noProof/>
        </w:rPr>
        <w:t>operates</w:t>
      </w:r>
      <w:r w:rsidR="006A3825">
        <w:rPr>
          <w:noProof/>
        </w:rPr>
        <w:t xml:space="preserve"> </w:t>
      </w:r>
      <w:r>
        <w:rPr>
          <w:noProof/>
        </w:rPr>
        <w:t xml:space="preserve">has changed considerably. On the one hand migration and security challenges </w:t>
      </w:r>
      <w:r w:rsidR="00B62ACB">
        <w:rPr>
          <w:noProof/>
        </w:rPr>
        <w:t xml:space="preserve">have increased </w:t>
      </w:r>
      <w:r>
        <w:rPr>
          <w:noProof/>
        </w:rPr>
        <w:t xml:space="preserve">in recent years; on the other significant technological developments provide new opportunities to make the Schengen visa application process smoother for both travellers and consulates. </w:t>
      </w:r>
    </w:p>
    <w:p w14:paraId="16E9573F" w14:textId="77777777" w:rsidR="00E96A0B" w:rsidRDefault="00E96A0B" w:rsidP="00200097">
      <w:pPr>
        <w:pBdr>
          <w:top w:val="nil"/>
          <w:left w:val="nil"/>
          <w:bottom w:val="nil"/>
          <w:right w:val="nil"/>
          <w:between w:val="nil"/>
          <w:bar w:val="nil"/>
        </w:pBdr>
        <w:spacing w:before="0" w:after="240"/>
        <w:rPr>
          <w:noProof/>
        </w:rPr>
      </w:pPr>
      <w:r>
        <w:rPr>
          <w:noProof/>
        </w:rPr>
        <w:t xml:space="preserve">While visa processing is already partially digitalised, with applications and decisions recorded in </w:t>
      </w:r>
      <w:r w:rsidR="007F4669">
        <w:rPr>
          <w:noProof/>
        </w:rPr>
        <w:t xml:space="preserve">the </w:t>
      </w:r>
      <w:r>
        <w:rPr>
          <w:noProof/>
        </w:rPr>
        <w:t xml:space="preserve">VIS, two important steps remain paper-based: the visa application process and the visa sticker. These two steps create a burden for all stakeholders, from </w:t>
      </w:r>
      <w:r w:rsidR="00DA0FA4">
        <w:rPr>
          <w:noProof/>
        </w:rPr>
        <w:t xml:space="preserve">central </w:t>
      </w:r>
      <w:r>
        <w:rPr>
          <w:noProof/>
        </w:rPr>
        <w:t xml:space="preserve">national public authorities, i.e. ministries of home and foreign affairs, to consulates and applicants. </w:t>
      </w:r>
      <w:r w:rsidR="00E42712">
        <w:rPr>
          <w:noProof/>
        </w:rPr>
        <w:t>Member States</w:t>
      </w:r>
      <w:r>
        <w:rPr>
          <w:noProof/>
        </w:rPr>
        <w:t xml:space="preserve"> are aware of this and a </w:t>
      </w:r>
      <w:r w:rsidR="00B62ACB">
        <w:rPr>
          <w:noProof/>
        </w:rPr>
        <w:t>certain number</w:t>
      </w:r>
      <w:r w:rsidR="00DA0FA4">
        <w:rPr>
          <w:noProof/>
        </w:rPr>
        <w:t xml:space="preserve"> of them</w:t>
      </w:r>
      <w:r w:rsidR="00B62ACB">
        <w:rPr>
          <w:noProof/>
        </w:rPr>
        <w:t xml:space="preserve"> have partially digitised their application process to make it</w:t>
      </w:r>
      <w:r w:rsidR="00B62ACB" w:rsidRPr="00825377">
        <w:rPr>
          <w:noProof/>
        </w:rPr>
        <w:t xml:space="preserve"> </w:t>
      </w:r>
      <w:r w:rsidR="00B62ACB">
        <w:rPr>
          <w:noProof/>
        </w:rPr>
        <w:t>more efficient and user-friendly.</w:t>
      </w:r>
    </w:p>
    <w:p w14:paraId="10C4BFAA" w14:textId="77777777" w:rsidR="00D3596C" w:rsidRDefault="00D3596C" w:rsidP="00200097">
      <w:pPr>
        <w:pBdr>
          <w:top w:val="nil"/>
          <w:left w:val="nil"/>
          <w:bottom w:val="nil"/>
          <w:right w:val="nil"/>
          <w:between w:val="nil"/>
          <w:bar w:val="nil"/>
        </w:pBdr>
        <w:spacing w:before="0" w:after="240"/>
        <w:rPr>
          <w:noProof/>
        </w:rPr>
      </w:pPr>
      <w:r>
        <w:rPr>
          <w:noProof/>
        </w:rPr>
        <w:t xml:space="preserve">At EU level, </w:t>
      </w:r>
      <w:r w:rsidR="002D47F6">
        <w:rPr>
          <w:noProof/>
        </w:rPr>
        <w:t>in 2017</w:t>
      </w:r>
      <w:r>
        <w:rPr>
          <w:noProof/>
        </w:rPr>
        <w:t>, the Estonian Council Presidency opened the discussion in the Visa Working Party of the Council</w:t>
      </w:r>
      <w:r>
        <w:rPr>
          <w:rStyle w:val="FootnoteReference"/>
          <w:noProof/>
        </w:rPr>
        <w:footnoteReference w:id="4"/>
      </w:r>
      <w:r>
        <w:rPr>
          <w:noProof/>
        </w:rPr>
        <w:t xml:space="preserve"> on options to improve the current visa process with an online visa application</w:t>
      </w:r>
      <w:r>
        <w:rPr>
          <w:rStyle w:val="FootnoteReference"/>
          <w:noProof/>
        </w:rPr>
        <w:footnoteReference w:id="5"/>
      </w:r>
      <w:r>
        <w:rPr>
          <w:noProof/>
        </w:rPr>
        <w:t xml:space="preserve"> and a digital visa.</w:t>
      </w:r>
      <w:r>
        <w:rPr>
          <w:rStyle w:val="FootnoteReference"/>
          <w:noProof/>
        </w:rPr>
        <w:footnoteReference w:id="6"/>
      </w:r>
      <w:r>
        <w:rPr>
          <w:noProof/>
        </w:rPr>
        <w:t xml:space="preserve"> This political impetus, together with current and future legislative changes, i.e. the revised Visa Code,</w:t>
      </w:r>
      <w:r>
        <w:rPr>
          <w:rStyle w:val="FootnoteReference"/>
          <w:noProof/>
        </w:rPr>
        <w:footnoteReference w:id="7"/>
      </w:r>
      <w:r>
        <w:rPr>
          <w:noProof/>
        </w:rPr>
        <w:t xml:space="preserve"> the VIS revision,</w:t>
      </w:r>
      <w:r>
        <w:rPr>
          <w:rStyle w:val="FootnoteReference"/>
          <w:noProof/>
        </w:rPr>
        <w:footnoteReference w:id="8"/>
      </w:r>
      <w:r>
        <w:rPr>
          <w:noProof/>
        </w:rPr>
        <w:t xml:space="preserve"> the Entry/Exit System (EES),</w:t>
      </w:r>
      <w:r>
        <w:rPr>
          <w:rStyle w:val="FootnoteReference"/>
          <w:noProof/>
        </w:rPr>
        <w:footnoteReference w:id="9"/>
      </w:r>
      <w:r>
        <w:rPr>
          <w:noProof/>
        </w:rPr>
        <w:t xml:space="preserve"> and the European Travel Information </w:t>
      </w:r>
      <w:r w:rsidR="00873D92">
        <w:rPr>
          <w:noProof/>
        </w:rPr>
        <w:t>and Authorisation System (ETIAS),</w:t>
      </w:r>
      <w:r w:rsidR="00873D92">
        <w:rPr>
          <w:rStyle w:val="FootnoteReference"/>
          <w:noProof/>
        </w:rPr>
        <w:footnoteReference w:id="10"/>
      </w:r>
      <w:r w:rsidR="00873D92">
        <w:rPr>
          <w:noProof/>
        </w:rPr>
        <w:t xml:space="preserve"> led the Commission to issue </w:t>
      </w:r>
      <w:r w:rsidR="002D47F6">
        <w:rPr>
          <w:noProof/>
        </w:rPr>
        <w:t xml:space="preserve">a </w:t>
      </w:r>
      <w:r w:rsidR="00873D92">
        <w:rPr>
          <w:noProof/>
        </w:rPr>
        <w:t>Communication of 14 March 2018</w:t>
      </w:r>
      <w:r w:rsidR="00873D92">
        <w:rPr>
          <w:rStyle w:val="FootnoteReference"/>
          <w:noProof/>
        </w:rPr>
        <w:footnoteReference w:id="11"/>
      </w:r>
      <w:r w:rsidR="00873D92">
        <w:rPr>
          <w:noProof/>
        </w:rPr>
        <w:t xml:space="preserve"> on adapting the common visa policy to new challenges </w:t>
      </w:r>
      <w:r w:rsidR="004D0827">
        <w:rPr>
          <w:noProof/>
        </w:rPr>
        <w:t xml:space="preserve">and </w:t>
      </w:r>
      <w:r w:rsidR="00873D92">
        <w:rPr>
          <w:noProof/>
        </w:rPr>
        <w:t xml:space="preserve">to launch a reflection </w:t>
      </w:r>
      <w:r w:rsidR="004D0827">
        <w:rPr>
          <w:noProof/>
        </w:rPr>
        <w:t>on</w:t>
      </w:r>
      <w:r w:rsidR="00873D92">
        <w:rPr>
          <w:noProof/>
        </w:rPr>
        <w:t xml:space="preserve"> the move towards digital visas.</w:t>
      </w:r>
    </w:p>
    <w:p w14:paraId="66F9A3F0" w14:textId="77777777" w:rsidR="007948B6" w:rsidRDefault="00CA3E8E" w:rsidP="00200097">
      <w:pPr>
        <w:pBdr>
          <w:top w:val="nil"/>
          <w:left w:val="nil"/>
          <w:bottom w:val="nil"/>
          <w:right w:val="nil"/>
          <w:between w:val="nil"/>
          <w:bar w:val="nil"/>
        </w:pBdr>
        <w:spacing w:before="0" w:after="240"/>
        <w:rPr>
          <w:noProof/>
        </w:rPr>
      </w:pPr>
      <w:r>
        <w:rPr>
          <w:noProof/>
        </w:rPr>
        <w:t xml:space="preserve">The March 2018 Commission communication on visa policy took on board the idea of “e-visas”. </w:t>
      </w:r>
      <w:r w:rsidR="007948B6">
        <w:rPr>
          <w:noProof/>
        </w:rPr>
        <w:t>As announced in th</w:t>
      </w:r>
      <w:r w:rsidR="008A0CB8">
        <w:rPr>
          <w:noProof/>
        </w:rPr>
        <w:t>is</w:t>
      </w:r>
      <w:r w:rsidR="007948B6">
        <w:rPr>
          <w:noProof/>
        </w:rPr>
        <w:t xml:space="preserve"> Commission communication, a feasibility study on the digitalisation of visas procedures was carried out in 2019 and its results have been used in the context of the impact assessment accompanying this proposal. </w:t>
      </w:r>
      <w:r w:rsidR="008A0CB8">
        <w:rPr>
          <w:noProof/>
        </w:rPr>
        <w:t>In addition, a</w:t>
      </w:r>
      <w:r w:rsidR="007948B6">
        <w:rPr>
          <w:noProof/>
        </w:rPr>
        <w:t xml:space="preserve"> project to </w:t>
      </w:r>
      <w:r w:rsidR="008A0CB8">
        <w:rPr>
          <w:noProof/>
        </w:rPr>
        <w:t>develop</w:t>
      </w:r>
      <w:r w:rsidR="007948B6">
        <w:rPr>
          <w:noProof/>
        </w:rPr>
        <w:t xml:space="preserve"> an EU </w:t>
      </w:r>
      <w:r w:rsidR="00C7145D">
        <w:rPr>
          <w:noProof/>
        </w:rPr>
        <w:t xml:space="preserve">platform </w:t>
      </w:r>
      <w:r w:rsidR="007948B6">
        <w:rPr>
          <w:noProof/>
        </w:rPr>
        <w:t xml:space="preserve">prototype was also carried out by </w:t>
      </w:r>
      <w:r w:rsidR="002D47F6">
        <w:rPr>
          <w:noProof/>
        </w:rPr>
        <w:t>the EU</w:t>
      </w:r>
      <w:r w:rsidR="002D47F6" w:rsidRPr="00E03481">
        <w:rPr>
          <w:noProof/>
        </w:rPr>
        <w:t xml:space="preserve"> Agency for the Operational Management of Large-Scale IT Systems in the Area of Freedom, Security and Justice</w:t>
      </w:r>
      <w:r w:rsidR="007948B6">
        <w:rPr>
          <w:noProof/>
        </w:rPr>
        <w:t xml:space="preserve"> </w:t>
      </w:r>
      <w:r w:rsidR="002D47F6">
        <w:rPr>
          <w:noProof/>
        </w:rPr>
        <w:t>(</w:t>
      </w:r>
      <w:r w:rsidR="003451AC">
        <w:rPr>
          <w:noProof/>
        </w:rPr>
        <w:t>eu-</w:t>
      </w:r>
      <w:r w:rsidR="007948B6">
        <w:rPr>
          <w:noProof/>
        </w:rPr>
        <w:t>LIS</w:t>
      </w:r>
      <w:r w:rsidR="008A0CB8">
        <w:rPr>
          <w:noProof/>
        </w:rPr>
        <w:t>A</w:t>
      </w:r>
      <w:r w:rsidR="002D47F6">
        <w:rPr>
          <w:noProof/>
        </w:rPr>
        <w:t>)</w:t>
      </w:r>
      <w:r w:rsidR="007948B6">
        <w:rPr>
          <w:noProof/>
        </w:rPr>
        <w:t xml:space="preserve"> in 2020-2021 in close coordi</w:t>
      </w:r>
      <w:r w:rsidR="008A0CB8">
        <w:rPr>
          <w:noProof/>
        </w:rPr>
        <w:t>na</w:t>
      </w:r>
      <w:r w:rsidR="007948B6">
        <w:rPr>
          <w:noProof/>
        </w:rPr>
        <w:t xml:space="preserve">tion with the Commission and Member States. The lessons learnt from this prototype will be used for the development of </w:t>
      </w:r>
      <w:r w:rsidR="008A0CB8">
        <w:rPr>
          <w:noProof/>
        </w:rPr>
        <w:t xml:space="preserve">the future EU </w:t>
      </w:r>
      <w:r w:rsidR="00264056">
        <w:rPr>
          <w:noProof/>
        </w:rPr>
        <w:t xml:space="preserve">application </w:t>
      </w:r>
      <w:r w:rsidR="008A0CB8">
        <w:rPr>
          <w:noProof/>
        </w:rPr>
        <w:t xml:space="preserve">platform. </w:t>
      </w:r>
    </w:p>
    <w:p w14:paraId="12131D76" w14:textId="77777777" w:rsidR="00CA3E8E" w:rsidRDefault="00CA3E8E" w:rsidP="00200097">
      <w:pPr>
        <w:pBdr>
          <w:top w:val="nil"/>
          <w:left w:val="nil"/>
          <w:bottom w:val="nil"/>
          <w:right w:val="nil"/>
          <w:between w:val="nil"/>
          <w:bar w:val="nil"/>
        </w:pBdr>
        <w:spacing w:before="0" w:after="240"/>
        <w:rPr>
          <w:rFonts w:eastAsia="Arial Unicode MS"/>
          <w:noProof/>
        </w:rPr>
      </w:pPr>
      <w:r>
        <w:rPr>
          <w:noProof/>
        </w:rPr>
        <w:t xml:space="preserve"> When revising the EU Visa Code in 2019, the </w:t>
      </w:r>
      <w:r w:rsidR="004D0827">
        <w:rPr>
          <w:noProof/>
        </w:rPr>
        <w:t>European Parliament and the Council</w:t>
      </w:r>
      <w:r>
        <w:rPr>
          <w:noProof/>
        </w:rPr>
        <w:t xml:space="preserve"> explicitly stated the aim of developing a common solution to allow Schengen visa applications to be lodged online</w:t>
      </w:r>
      <w:r w:rsidR="004D0827">
        <w:rPr>
          <w:noProof/>
        </w:rPr>
        <w:t xml:space="preserve"> in the future</w:t>
      </w:r>
      <w:r>
        <w:rPr>
          <w:noProof/>
        </w:rPr>
        <w:t>, thereby making full use of the recent legal</w:t>
      </w:r>
      <w:r w:rsidR="001E3A42">
        <w:rPr>
          <w:noProof/>
        </w:rPr>
        <w:t xml:space="preserve"> and technological developments</w:t>
      </w:r>
      <w:r w:rsidR="001E3A42">
        <w:rPr>
          <w:rStyle w:val="FootnoteReference"/>
          <w:noProof/>
        </w:rPr>
        <w:footnoteReference w:id="12"/>
      </w:r>
      <w:r>
        <w:rPr>
          <w:noProof/>
        </w:rPr>
        <w:t>. The COVID-19 pandemic, which led to the slowing down of Schengen visa operations worldwide partly due to the difficulty of receiving visa applicants in consulates</w:t>
      </w:r>
      <w:r w:rsidR="007E2631">
        <w:rPr>
          <w:noProof/>
        </w:rPr>
        <w:t xml:space="preserve"> and </w:t>
      </w:r>
      <w:r w:rsidR="00E44C23">
        <w:rPr>
          <w:noProof/>
        </w:rPr>
        <w:t>visa a</w:t>
      </w:r>
      <w:r w:rsidR="007E2631">
        <w:rPr>
          <w:noProof/>
        </w:rPr>
        <w:t xml:space="preserve">pplication </w:t>
      </w:r>
      <w:r w:rsidR="00E44C23">
        <w:rPr>
          <w:noProof/>
        </w:rPr>
        <w:t>c</w:t>
      </w:r>
      <w:r w:rsidR="007E2631">
        <w:rPr>
          <w:noProof/>
        </w:rPr>
        <w:t>ent</w:t>
      </w:r>
      <w:r w:rsidR="007C27F4">
        <w:rPr>
          <w:noProof/>
        </w:rPr>
        <w:t>re</w:t>
      </w:r>
      <w:r w:rsidR="007E2631">
        <w:rPr>
          <w:noProof/>
        </w:rPr>
        <w:t>s</w:t>
      </w:r>
      <w:r>
        <w:rPr>
          <w:noProof/>
        </w:rPr>
        <w:t>, prompted Member States to call upon the Commission to speed up work on digitalisation of visa procedures. The New Pact on Migration and Asylum</w:t>
      </w:r>
      <w:r w:rsidR="00991479">
        <w:rPr>
          <w:rStyle w:val="FootnoteReference"/>
          <w:noProof/>
        </w:rPr>
        <w:footnoteReference w:id="13"/>
      </w:r>
      <w:r>
        <w:rPr>
          <w:noProof/>
        </w:rPr>
        <w:t xml:space="preserve"> proposed by the Commission on 23 September 2020 set the objective of making the visa procedure fully digitalised by 2025, with </w:t>
      </w:r>
      <w:r w:rsidR="00DA0FA4">
        <w:rPr>
          <w:noProof/>
        </w:rPr>
        <w:t xml:space="preserve">the introduction of </w:t>
      </w:r>
      <w:r>
        <w:rPr>
          <w:noProof/>
        </w:rPr>
        <w:t>a digital visa and the ability to submit visa applications online.</w:t>
      </w:r>
    </w:p>
    <w:p w14:paraId="025DE13B" w14:textId="77777777" w:rsidR="00E5155C" w:rsidRDefault="007E2631" w:rsidP="00200097">
      <w:pPr>
        <w:pBdr>
          <w:top w:val="nil"/>
          <w:left w:val="nil"/>
          <w:bottom w:val="nil"/>
          <w:right w:val="nil"/>
          <w:between w:val="nil"/>
          <w:bar w:val="nil"/>
        </w:pBdr>
        <w:spacing w:before="0" w:after="240"/>
        <w:rPr>
          <w:noProof/>
        </w:rPr>
      </w:pPr>
      <w:r>
        <w:rPr>
          <w:noProof/>
        </w:rPr>
        <w:t xml:space="preserve">Nationals </w:t>
      </w:r>
      <w:r w:rsidR="00E5155C">
        <w:rPr>
          <w:noProof/>
        </w:rPr>
        <w:t>of 102 third countries are currently required to hold a valid visa in order to cross the EU external borders.</w:t>
      </w:r>
      <w:r w:rsidR="00E5155C">
        <w:rPr>
          <w:rStyle w:val="FootnoteReference"/>
          <w:noProof/>
        </w:rPr>
        <w:footnoteReference w:id="14"/>
      </w:r>
      <w:r w:rsidR="00E5155C">
        <w:rPr>
          <w:noProof/>
        </w:rPr>
        <w:t xml:space="preserve"> Visas are issued by Member States through a network of consulates in third countries.</w:t>
      </w:r>
      <w:r w:rsidR="00E5155C">
        <w:rPr>
          <w:rStyle w:val="FootnoteReference"/>
          <w:noProof/>
        </w:rPr>
        <w:footnoteReference w:id="15"/>
      </w:r>
      <w:r w:rsidR="00E5155C">
        <w:rPr>
          <w:noProof/>
        </w:rPr>
        <w:t xml:space="preserve"> In the projections used in the impact assessment</w:t>
      </w:r>
      <w:r w:rsidR="007225EE">
        <w:rPr>
          <w:noProof/>
        </w:rPr>
        <w:t xml:space="preserve"> accompanying this proposal</w:t>
      </w:r>
      <w:r w:rsidR="00E5155C">
        <w:rPr>
          <w:rStyle w:val="FootnoteReference"/>
          <w:noProof/>
        </w:rPr>
        <w:footnoteReference w:id="16"/>
      </w:r>
      <w:r w:rsidR="00E5155C">
        <w:rPr>
          <w:noProof/>
        </w:rPr>
        <w:t xml:space="preserve">, the number of short-stay visas </w:t>
      </w:r>
      <w:r w:rsidR="005D13C0">
        <w:rPr>
          <w:noProof/>
        </w:rPr>
        <w:t>is</w:t>
      </w:r>
      <w:r w:rsidR="004D0827">
        <w:rPr>
          <w:noProof/>
        </w:rPr>
        <w:t xml:space="preserve"> expected to </w:t>
      </w:r>
      <w:r w:rsidR="000902B3">
        <w:rPr>
          <w:noProof/>
        </w:rPr>
        <w:t xml:space="preserve">slightly </w:t>
      </w:r>
      <w:r w:rsidR="00E5155C">
        <w:rPr>
          <w:noProof/>
        </w:rPr>
        <w:t xml:space="preserve">increase until </w:t>
      </w:r>
      <w:r w:rsidR="00B62ACB">
        <w:rPr>
          <w:noProof/>
        </w:rPr>
        <w:t xml:space="preserve">2025 </w:t>
      </w:r>
      <w:r w:rsidR="00E5155C">
        <w:rPr>
          <w:noProof/>
        </w:rPr>
        <w:t xml:space="preserve">and </w:t>
      </w:r>
      <w:r w:rsidR="004D0827">
        <w:rPr>
          <w:noProof/>
        </w:rPr>
        <w:t xml:space="preserve">then </w:t>
      </w:r>
      <w:r w:rsidR="00E5155C">
        <w:rPr>
          <w:noProof/>
        </w:rPr>
        <w:t>stabilise.</w:t>
      </w:r>
    </w:p>
    <w:p w14:paraId="66965219" w14:textId="77777777" w:rsidR="00B62ACB" w:rsidRDefault="004D0827" w:rsidP="00200097">
      <w:pPr>
        <w:pBdr>
          <w:top w:val="nil"/>
          <w:left w:val="nil"/>
          <w:bottom w:val="nil"/>
          <w:right w:val="nil"/>
          <w:between w:val="nil"/>
          <w:bar w:val="nil"/>
        </w:pBdr>
        <w:spacing w:before="0" w:after="240"/>
        <w:rPr>
          <w:noProof/>
        </w:rPr>
      </w:pPr>
      <w:r>
        <w:rPr>
          <w:noProof/>
        </w:rPr>
        <w:t>By introducing the possibility for visa applicants to sign application forms electronically, t</w:t>
      </w:r>
      <w:r w:rsidR="00FA2530" w:rsidRPr="00FA2530">
        <w:rPr>
          <w:noProof/>
        </w:rPr>
        <w:t>he amended Visa Code</w:t>
      </w:r>
      <w:r w:rsidR="00FA2530">
        <w:rPr>
          <w:rStyle w:val="FootnoteReference"/>
          <w:noProof/>
        </w:rPr>
        <w:footnoteReference w:id="17"/>
      </w:r>
      <w:r w:rsidR="00FA2530" w:rsidRPr="00FA2530">
        <w:rPr>
          <w:noProof/>
        </w:rPr>
        <w:t xml:space="preserve"> has created the possibility for the digital submission and processing of visa applications</w:t>
      </w:r>
      <w:r>
        <w:rPr>
          <w:noProof/>
        </w:rPr>
        <w:t xml:space="preserve">; however, </w:t>
      </w:r>
      <w:r w:rsidR="00FA2530" w:rsidRPr="00FA2530">
        <w:rPr>
          <w:noProof/>
        </w:rPr>
        <w:t xml:space="preserve">most Member States only digitalised parts of the </w:t>
      </w:r>
      <w:r w:rsidR="00B62ACB">
        <w:rPr>
          <w:noProof/>
        </w:rPr>
        <w:t xml:space="preserve">short stay </w:t>
      </w:r>
      <w:r w:rsidR="00FA2530">
        <w:rPr>
          <w:noProof/>
        </w:rPr>
        <w:t>visa process</w:t>
      </w:r>
      <w:r w:rsidR="00FA2530" w:rsidRPr="00FA2530">
        <w:rPr>
          <w:noProof/>
        </w:rPr>
        <w:t xml:space="preserve"> and still rely heavily on paper-based procedures. </w:t>
      </w:r>
      <w:r w:rsidR="006B5F3D">
        <w:rPr>
          <w:noProof/>
        </w:rPr>
        <w:t xml:space="preserve">As a result, the degree of digitalisation as well as the visa application process differs from one Member State to another. </w:t>
      </w:r>
    </w:p>
    <w:p w14:paraId="2FD875BB" w14:textId="77777777" w:rsidR="005342AA" w:rsidRDefault="005342AA" w:rsidP="00200097">
      <w:pPr>
        <w:pBdr>
          <w:top w:val="nil"/>
          <w:left w:val="nil"/>
          <w:bottom w:val="nil"/>
          <w:right w:val="nil"/>
          <w:between w:val="nil"/>
          <w:bar w:val="nil"/>
        </w:pBdr>
        <w:spacing w:before="0" w:after="240"/>
        <w:rPr>
          <w:noProof/>
          <w:szCs w:val="24"/>
        </w:rPr>
      </w:pPr>
      <w:r>
        <w:rPr>
          <w:noProof/>
          <w:szCs w:val="24"/>
        </w:rPr>
        <w:t>T</w:t>
      </w:r>
      <w:r w:rsidRPr="00193E32">
        <w:rPr>
          <w:noProof/>
          <w:szCs w:val="24"/>
        </w:rPr>
        <w:t xml:space="preserve">he </w:t>
      </w:r>
      <w:r w:rsidR="002D47F6">
        <w:rPr>
          <w:noProof/>
          <w:szCs w:val="24"/>
        </w:rPr>
        <w:t>current</w:t>
      </w:r>
      <w:r w:rsidRPr="00193E32">
        <w:rPr>
          <w:noProof/>
          <w:szCs w:val="24"/>
        </w:rPr>
        <w:t xml:space="preserve"> fragmentation in terms of national practices for managing the application process negatively affects the</w:t>
      </w:r>
      <w:r w:rsidR="00005CC5">
        <w:rPr>
          <w:noProof/>
          <w:szCs w:val="24"/>
        </w:rPr>
        <w:t xml:space="preserve"> functioning of the EU Visa policy applied </w:t>
      </w:r>
      <w:r w:rsidR="00DA0FA4">
        <w:rPr>
          <w:noProof/>
          <w:szCs w:val="24"/>
        </w:rPr>
        <w:t>and</w:t>
      </w:r>
      <w:r w:rsidR="00005CC5">
        <w:rPr>
          <w:noProof/>
          <w:szCs w:val="24"/>
        </w:rPr>
        <w:t xml:space="preserve"> </w:t>
      </w:r>
      <w:r w:rsidR="003451AC">
        <w:rPr>
          <w:noProof/>
          <w:szCs w:val="24"/>
        </w:rPr>
        <w:t xml:space="preserve">the </w:t>
      </w:r>
      <w:r w:rsidR="003451AC" w:rsidRPr="00193E32">
        <w:rPr>
          <w:noProof/>
          <w:szCs w:val="24"/>
        </w:rPr>
        <w:t>perception</w:t>
      </w:r>
      <w:r w:rsidRPr="00193E32">
        <w:rPr>
          <w:noProof/>
          <w:szCs w:val="24"/>
        </w:rPr>
        <w:t xml:space="preserve"> of the European Union as a single geographical entity </w:t>
      </w:r>
      <w:r w:rsidR="006D0B3D">
        <w:rPr>
          <w:noProof/>
          <w:szCs w:val="24"/>
        </w:rPr>
        <w:t>and makes the visa application process burdensome for visa applicants</w:t>
      </w:r>
      <w:r>
        <w:rPr>
          <w:noProof/>
          <w:szCs w:val="24"/>
        </w:rPr>
        <w:t xml:space="preserve"> </w:t>
      </w:r>
    </w:p>
    <w:p w14:paraId="1E295FF3" w14:textId="77777777" w:rsidR="00911225" w:rsidRDefault="001D7DBF" w:rsidP="00200097">
      <w:pPr>
        <w:pBdr>
          <w:top w:val="nil"/>
          <w:left w:val="nil"/>
          <w:bottom w:val="nil"/>
          <w:right w:val="nil"/>
          <w:between w:val="nil"/>
          <w:bar w:val="nil"/>
        </w:pBdr>
        <w:spacing w:before="0" w:after="240"/>
        <w:rPr>
          <w:noProof/>
        </w:rPr>
      </w:pPr>
      <w:r>
        <w:rPr>
          <w:noProof/>
        </w:rPr>
        <w:t xml:space="preserve">Besides, since the current </w:t>
      </w:r>
      <w:r w:rsidRPr="00193E32">
        <w:rPr>
          <w:rFonts w:eastAsia="Times New Roman"/>
          <w:noProof/>
          <w:szCs w:val="24"/>
        </w:rPr>
        <w:t xml:space="preserve">short-stay visas rules at EU level do not </w:t>
      </w:r>
      <w:r w:rsidR="00F701F6">
        <w:rPr>
          <w:rFonts w:eastAsia="Times New Roman"/>
          <w:noProof/>
          <w:szCs w:val="24"/>
        </w:rPr>
        <w:t>lay down</w:t>
      </w:r>
      <w:r w:rsidR="00F701F6" w:rsidRPr="00193E32">
        <w:rPr>
          <w:rFonts w:eastAsia="Times New Roman"/>
          <w:noProof/>
          <w:szCs w:val="24"/>
        </w:rPr>
        <w:t xml:space="preserve"> </w:t>
      </w:r>
      <w:r w:rsidRPr="00193E32">
        <w:rPr>
          <w:rFonts w:eastAsia="Times New Roman"/>
          <w:noProof/>
          <w:szCs w:val="24"/>
        </w:rPr>
        <w:t>any digitalisation obligation to Member States</w:t>
      </w:r>
      <w:r>
        <w:rPr>
          <w:rFonts w:eastAsia="Times New Roman"/>
          <w:noProof/>
          <w:szCs w:val="24"/>
        </w:rPr>
        <w:t xml:space="preserve">, </w:t>
      </w:r>
      <w:r w:rsidR="006D0B3D">
        <w:rPr>
          <w:rFonts w:eastAsia="Times New Roman"/>
          <w:noProof/>
          <w:szCs w:val="24"/>
        </w:rPr>
        <w:t>the current paper-based</w:t>
      </w:r>
      <w:r w:rsidR="00911225" w:rsidRPr="00911225">
        <w:rPr>
          <w:noProof/>
        </w:rPr>
        <w:t xml:space="preserve"> </w:t>
      </w:r>
      <w:r w:rsidR="006D0B3D">
        <w:rPr>
          <w:noProof/>
        </w:rPr>
        <w:t xml:space="preserve">procedures generate high management costs for Member States </w:t>
      </w:r>
      <w:r w:rsidR="00911225" w:rsidRPr="00911225">
        <w:rPr>
          <w:noProof/>
        </w:rPr>
        <w:t>associated with handling paper applications.</w:t>
      </w:r>
    </w:p>
    <w:p w14:paraId="3452BF06" w14:textId="77777777" w:rsidR="00911225" w:rsidRDefault="00911225" w:rsidP="00200097">
      <w:pPr>
        <w:pBdr>
          <w:top w:val="nil"/>
          <w:left w:val="nil"/>
          <w:bottom w:val="nil"/>
          <w:right w:val="nil"/>
          <w:between w:val="nil"/>
          <w:bar w:val="nil"/>
        </w:pBdr>
        <w:spacing w:before="0" w:after="240"/>
        <w:rPr>
          <w:noProof/>
        </w:rPr>
      </w:pPr>
      <w:r>
        <w:rPr>
          <w:noProof/>
        </w:rPr>
        <w:t>Furthermore, t</w:t>
      </w:r>
      <w:r w:rsidRPr="00911225">
        <w:rPr>
          <w:noProof/>
        </w:rPr>
        <w:t>he physical visa sticker is prone to falsification and fraud (e.g. forgery and counterfeiting)</w:t>
      </w:r>
      <w:r w:rsidR="006D0B3D">
        <w:rPr>
          <w:noProof/>
        </w:rPr>
        <w:t xml:space="preserve"> and can be stolen</w:t>
      </w:r>
      <w:r w:rsidRPr="00911225">
        <w:rPr>
          <w:noProof/>
        </w:rPr>
        <w:t xml:space="preserve">, which represents a security risk. </w:t>
      </w:r>
      <w:r w:rsidR="002D47F6">
        <w:rPr>
          <w:noProof/>
        </w:rPr>
        <w:t>The visa sticker was introduced</w:t>
      </w:r>
      <w:r w:rsidRPr="00911225">
        <w:rPr>
          <w:noProof/>
        </w:rPr>
        <w:t xml:space="preserve"> in 1995, </w:t>
      </w:r>
      <w:r w:rsidR="002D47F6">
        <w:rPr>
          <w:noProof/>
        </w:rPr>
        <w:t xml:space="preserve">and has been regularly updated to improve its security features ever since. The most recent innovation is </w:t>
      </w:r>
      <w:r w:rsidRPr="00911225">
        <w:rPr>
          <w:noProof/>
        </w:rPr>
        <w:t>the introduction of a signed 2D-barcode on the visa sticker</w:t>
      </w:r>
      <w:r w:rsidR="00E44C23">
        <w:rPr>
          <w:rStyle w:val="FootnoteReference"/>
          <w:noProof/>
        </w:rPr>
        <w:footnoteReference w:id="18"/>
      </w:r>
      <w:r w:rsidRPr="00911225">
        <w:rPr>
          <w:noProof/>
        </w:rPr>
        <w:t xml:space="preserve"> which will enter into force on 1 May 2022</w:t>
      </w:r>
      <w:r w:rsidR="00133562">
        <w:rPr>
          <w:rStyle w:val="FootnoteReference"/>
          <w:noProof/>
        </w:rPr>
        <w:footnoteReference w:id="19"/>
      </w:r>
      <w:r w:rsidRPr="00911225">
        <w:rPr>
          <w:noProof/>
        </w:rPr>
        <w:t>.</w:t>
      </w:r>
      <w:r w:rsidR="002D47F6">
        <w:rPr>
          <w:noProof/>
        </w:rPr>
        <w:t xml:space="preserve"> Nevertheless, the visa sticker is likely to remain vulnerable to counterfeiting or falsification. </w:t>
      </w:r>
    </w:p>
    <w:p w14:paraId="65772989" w14:textId="77777777" w:rsidR="00656B31" w:rsidRDefault="0044341A" w:rsidP="00200097">
      <w:pPr>
        <w:pBdr>
          <w:top w:val="nil"/>
          <w:left w:val="nil"/>
          <w:bottom w:val="nil"/>
          <w:right w:val="nil"/>
          <w:between w:val="nil"/>
          <w:bar w:val="nil"/>
        </w:pBdr>
        <w:spacing w:before="0" w:after="240"/>
        <w:rPr>
          <w:noProof/>
        </w:rPr>
      </w:pPr>
      <w:r>
        <w:rPr>
          <w:noProof/>
        </w:rPr>
        <w:t xml:space="preserve">Another risk identified in relation to the current situation is the risk of visa shopping by applicants. </w:t>
      </w:r>
      <w:r w:rsidR="006D0B3D">
        <w:rPr>
          <w:noProof/>
        </w:rPr>
        <w:t>H</w:t>
      </w:r>
      <w:r w:rsidR="00656B31" w:rsidRPr="00656B31">
        <w:rPr>
          <w:noProof/>
        </w:rPr>
        <w:t>eterogeneity in the way an application can be submitted can potentially create a</w:t>
      </w:r>
      <w:r w:rsidR="00DE3D78">
        <w:rPr>
          <w:noProof/>
        </w:rPr>
        <w:t>n incentive for visa</w:t>
      </w:r>
      <w:r w:rsidR="00656B31" w:rsidRPr="00656B31">
        <w:rPr>
          <w:noProof/>
        </w:rPr>
        <w:t xml:space="preserve"> applicants </w:t>
      </w:r>
      <w:r w:rsidR="00DE3D78">
        <w:rPr>
          <w:noProof/>
        </w:rPr>
        <w:t>to</w:t>
      </w:r>
      <w:r w:rsidR="00656B31" w:rsidRPr="00656B31">
        <w:rPr>
          <w:noProof/>
        </w:rPr>
        <w:t xml:space="preserve"> choose to lodge an application at a Member State with a more digitalised application procedure</w:t>
      </w:r>
      <w:r w:rsidR="00DE3D78">
        <w:rPr>
          <w:noProof/>
        </w:rPr>
        <w:t>, which would be different from the Member State that would otherwise be competent for the examination of the visa application</w:t>
      </w:r>
      <w:r>
        <w:rPr>
          <w:noProof/>
        </w:rPr>
        <w:t>.</w:t>
      </w:r>
    </w:p>
    <w:p w14:paraId="27815D3D" w14:textId="77777777" w:rsidR="00FA2530" w:rsidRDefault="00DE3D78" w:rsidP="00200097">
      <w:pPr>
        <w:pBdr>
          <w:top w:val="nil"/>
          <w:left w:val="nil"/>
          <w:bottom w:val="nil"/>
          <w:right w:val="nil"/>
          <w:between w:val="nil"/>
          <w:bar w:val="nil"/>
        </w:pBdr>
        <w:spacing w:before="0" w:after="240"/>
        <w:rPr>
          <w:noProof/>
        </w:rPr>
      </w:pPr>
      <w:r>
        <w:rPr>
          <w:noProof/>
        </w:rPr>
        <w:t xml:space="preserve">In addition, </w:t>
      </w:r>
      <w:r w:rsidR="006B5F3D">
        <w:rPr>
          <w:noProof/>
        </w:rPr>
        <w:t xml:space="preserve">third countries that compete directly with the EU in attracting third country </w:t>
      </w:r>
      <w:r>
        <w:rPr>
          <w:noProof/>
        </w:rPr>
        <w:t>visitors</w:t>
      </w:r>
      <w:r w:rsidR="006B5F3D">
        <w:rPr>
          <w:noProof/>
        </w:rPr>
        <w:t>, such as Australia and New Zealand, already have fully digitalised processes in place</w:t>
      </w:r>
      <w:r w:rsidR="00643DC5">
        <w:rPr>
          <w:noProof/>
        </w:rPr>
        <w:t xml:space="preserve"> </w:t>
      </w:r>
      <w:r w:rsidR="00643DC5" w:rsidRPr="00247C3B">
        <w:rPr>
          <w:iCs/>
          <w:noProof/>
          <w:szCs w:val="24"/>
          <w:shd w:val="clear" w:color="auto" w:fill="FFFFFF"/>
        </w:rPr>
        <w:t xml:space="preserve">for all </w:t>
      </w:r>
      <w:r w:rsidR="00643DC5" w:rsidRPr="00247C3B">
        <w:rPr>
          <w:iCs/>
          <w:noProof/>
          <w:szCs w:val="24"/>
        </w:rPr>
        <w:t>foreign nationals that are subject to visa requirements</w:t>
      </w:r>
      <w:r w:rsidR="00643DC5">
        <w:rPr>
          <w:noProof/>
        </w:rPr>
        <w:t xml:space="preserve">. </w:t>
      </w:r>
      <w:r w:rsidR="00643DC5" w:rsidRPr="00247C3B">
        <w:rPr>
          <w:iCs/>
          <w:noProof/>
          <w:szCs w:val="24"/>
          <w:shd w:val="clear" w:color="auto" w:fill="FFFFFF"/>
        </w:rPr>
        <w:t xml:space="preserve">Other countries (e.g. </w:t>
      </w:r>
      <w:r w:rsidR="00643DC5" w:rsidRPr="00247C3B">
        <w:rPr>
          <w:iCs/>
          <w:noProof/>
          <w:szCs w:val="24"/>
        </w:rPr>
        <w:t xml:space="preserve">UK, US, Canada, </w:t>
      </w:r>
      <w:r w:rsidR="00D75FB4">
        <w:rPr>
          <w:iCs/>
          <w:noProof/>
          <w:szCs w:val="24"/>
        </w:rPr>
        <w:t>[</w:t>
      </w:r>
      <w:r w:rsidR="00643DC5" w:rsidRPr="00247C3B">
        <w:rPr>
          <w:iCs/>
          <w:noProof/>
          <w:szCs w:val="24"/>
        </w:rPr>
        <w:t>Russia,</w:t>
      </w:r>
      <w:r w:rsidR="00D75FB4">
        <w:rPr>
          <w:iCs/>
          <w:noProof/>
          <w:szCs w:val="24"/>
        </w:rPr>
        <w:t>]</w:t>
      </w:r>
      <w:r w:rsidR="00643DC5" w:rsidRPr="00247C3B">
        <w:rPr>
          <w:iCs/>
          <w:noProof/>
          <w:szCs w:val="24"/>
        </w:rPr>
        <w:t xml:space="preserve"> India</w:t>
      </w:r>
      <w:r w:rsidR="00643DC5" w:rsidRPr="00247C3B">
        <w:rPr>
          <w:iCs/>
          <w:noProof/>
          <w:szCs w:val="24"/>
          <w:shd w:val="clear" w:color="auto" w:fill="FFFFFF"/>
        </w:rPr>
        <w:t xml:space="preserve">) have digitised the process </w:t>
      </w:r>
      <w:r w:rsidR="00643DC5" w:rsidRPr="00247C3B">
        <w:rPr>
          <w:iCs/>
          <w:noProof/>
          <w:szCs w:val="24"/>
        </w:rPr>
        <w:t xml:space="preserve">to facilitate visa-required </w:t>
      </w:r>
      <w:r w:rsidR="00643DC5" w:rsidRPr="00247C3B">
        <w:rPr>
          <w:iCs/>
          <w:noProof/>
          <w:szCs w:val="24"/>
          <w:shd w:val="clear" w:color="auto" w:fill="FFFFFF"/>
        </w:rPr>
        <w:t xml:space="preserve">third country nationals from certain key countries </w:t>
      </w:r>
      <w:r w:rsidR="00643DC5" w:rsidRPr="00247C3B">
        <w:rPr>
          <w:iCs/>
          <w:noProof/>
          <w:szCs w:val="24"/>
        </w:rPr>
        <w:t>in quickly and easily obtaining an electronic travel authorization instead of a visa</w:t>
      </w:r>
      <w:r w:rsidR="00643DC5">
        <w:rPr>
          <w:iCs/>
          <w:noProof/>
          <w:szCs w:val="24"/>
        </w:rPr>
        <w:t xml:space="preserve"> </w:t>
      </w:r>
      <w:r w:rsidR="00643DC5" w:rsidRPr="00247C3B">
        <w:rPr>
          <w:iCs/>
          <w:noProof/>
          <w:szCs w:val="24"/>
        </w:rPr>
        <w:t xml:space="preserve">for certain travel purposes. These procedures are to a great extent comparable to </w:t>
      </w:r>
      <w:r w:rsidR="00D31082">
        <w:rPr>
          <w:noProof/>
        </w:rPr>
        <w:t>European Travel Information and Authorisation System</w:t>
      </w:r>
      <w:r w:rsidR="00D31082" w:rsidRPr="00247C3B">
        <w:rPr>
          <w:iCs/>
          <w:noProof/>
          <w:szCs w:val="24"/>
        </w:rPr>
        <w:t xml:space="preserve"> </w:t>
      </w:r>
      <w:r w:rsidR="00D31082">
        <w:rPr>
          <w:iCs/>
          <w:noProof/>
          <w:szCs w:val="24"/>
        </w:rPr>
        <w:t>(</w:t>
      </w:r>
      <w:r w:rsidR="00643DC5" w:rsidRPr="00247C3B">
        <w:rPr>
          <w:iCs/>
          <w:noProof/>
          <w:szCs w:val="24"/>
        </w:rPr>
        <w:t>ETIAS</w:t>
      </w:r>
      <w:r w:rsidR="00D31082">
        <w:rPr>
          <w:iCs/>
          <w:noProof/>
          <w:szCs w:val="24"/>
        </w:rPr>
        <w:t>)</w:t>
      </w:r>
      <w:r>
        <w:rPr>
          <w:noProof/>
        </w:rPr>
        <w:t>.</w:t>
      </w:r>
      <w:r w:rsidR="006B5F3D">
        <w:rPr>
          <w:noProof/>
        </w:rPr>
        <w:t xml:space="preserve"> </w:t>
      </w:r>
      <w:r>
        <w:rPr>
          <w:noProof/>
        </w:rPr>
        <w:t xml:space="preserve">In comparison, </w:t>
      </w:r>
      <w:r w:rsidR="006B5F3D">
        <w:rPr>
          <w:noProof/>
        </w:rPr>
        <w:t xml:space="preserve">the </w:t>
      </w:r>
      <w:r>
        <w:rPr>
          <w:noProof/>
        </w:rPr>
        <w:t xml:space="preserve">visa </w:t>
      </w:r>
      <w:r w:rsidR="006B5F3D">
        <w:rPr>
          <w:noProof/>
        </w:rPr>
        <w:t xml:space="preserve">application procedure to </w:t>
      </w:r>
      <w:r>
        <w:rPr>
          <w:noProof/>
        </w:rPr>
        <w:t>visit</w:t>
      </w:r>
      <w:r w:rsidR="006B5F3D">
        <w:rPr>
          <w:noProof/>
        </w:rPr>
        <w:t xml:space="preserve"> the EU </w:t>
      </w:r>
      <w:r w:rsidR="005D13C0">
        <w:rPr>
          <w:noProof/>
        </w:rPr>
        <w:t xml:space="preserve">is </w:t>
      </w:r>
      <w:r w:rsidR="006B5F3D">
        <w:rPr>
          <w:noProof/>
        </w:rPr>
        <w:t xml:space="preserve">quite complex and </w:t>
      </w:r>
      <w:r w:rsidR="003E4F2E">
        <w:rPr>
          <w:noProof/>
        </w:rPr>
        <w:t>cumbersome</w:t>
      </w:r>
      <w:r w:rsidR="006D0B3D" w:rsidRPr="00221A04">
        <w:rPr>
          <w:rStyle w:val="FootnoteReference"/>
          <w:noProof/>
        </w:rPr>
        <w:footnoteReference w:id="20"/>
      </w:r>
      <w:r w:rsidR="006D0B3D" w:rsidRPr="006D0B3D">
        <w:rPr>
          <w:bCs/>
          <w:noProof/>
        </w:rPr>
        <w:t>.</w:t>
      </w:r>
      <w:r w:rsidR="006D0B3D">
        <w:rPr>
          <w:bCs/>
          <w:noProof/>
        </w:rPr>
        <w:t xml:space="preserve"> </w:t>
      </w:r>
      <w:r w:rsidR="008F613A">
        <w:rPr>
          <w:noProof/>
        </w:rPr>
        <w:t>The</w:t>
      </w:r>
      <w:r w:rsidR="008F613A" w:rsidRPr="00FA2530">
        <w:rPr>
          <w:noProof/>
        </w:rPr>
        <w:t xml:space="preserve"> </w:t>
      </w:r>
      <w:r w:rsidR="006B5F3D">
        <w:rPr>
          <w:noProof/>
        </w:rPr>
        <w:t xml:space="preserve">global </w:t>
      </w:r>
      <w:r w:rsidR="00FA2530" w:rsidRPr="00FA2530">
        <w:rPr>
          <w:noProof/>
        </w:rPr>
        <w:t xml:space="preserve">digitalisation </w:t>
      </w:r>
      <w:r w:rsidR="006B5F3D">
        <w:rPr>
          <w:noProof/>
        </w:rPr>
        <w:t xml:space="preserve">trend, together with travellers’ </w:t>
      </w:r>
      <w:r w:rsidR="00FA2530" w:rsidRPr="00FA2530">
        <w:rPr>
          <w:noProof/>
        </w:rPr>
        <w:t xml:space="preserve">expectations for </w:t>
      </w:r>
      <w:r w:rsidR="006B5F3D">
        <w:rPr>
          <w:noProof/>
        </w:rPr>
        <w:t xml:space="preserve">increasingly </w:t>
      </w:r>
      <w:r w:rsidR="00FA2530" w:rsidRPr="00FA2530">
        <w:rPr>
          <w:noProof/>
        </w:rPr>
        <w:t xml:space="preserve">fast, modern and simple procedures could </w:t>
      </w:r>
      <w:r>
        <w:rPr>
          <w:noProof/>
        </w:rPr>
        <w:t>leave the EU lagging behind</w:t>
      </w:r>
      <w:r w:rsidR="00FA2530" w:rsidRPr="00FA2530">
        <w:rPr>
          <w:noProof/>
        </w:rPr>
        <w:t xml:space="preserve"> and </w:t>
      </w:r>
      <w:r>
        <w:rPr>
          <w:noProof/>
        </w:rPr>
        <w:t>provoke</w:t>
      </w:r>
      <w:r w:rsidR="003451AC">
        <w:rPr>
          <w:noProof/>
        </w:rPr>
        <w:t xml:space="preserve"> </w:t>
      </w:r>
      <w:r w:rsidR="00FA2530" w:rsidRPr="00FA2530">
        <w:rPr>
          <w:noProof/>
        </w:rPr>
        <w:t xml:space="preserve">economic </w:t>
      </w:r>
      <w:r>
        <w:rPr>
          <w:noProof/>
        </w:rPr>
        <w:t>disadvantages</w:t>
      </w:r>
      <w:r w:rsidRPr="00FA2530">
        <w:rPr>
          <w:noProof/>
        </w:rPr>
        <w:t xml:space="preserve"> </w:t>
      </w:r>
      <w:r w:rsidR="00FA2530" w:rsidRPr="00FA2530">
        <w:rPr>
          <w:noProof/>
        </w:rPr>
        <w:t>for the E</w:t>
      </w:r>
      <w:r w:rsidR="00CE2F3D">
        <w:rPr>
          <w:noProof/>
        </w:rPr>
        <w:t>U</w:t>
      </w:r>
      <w:r w:rsidR="004E2EE9">
        <w:rPr>
          <w:noProof/>
        </w:rPr>
        <w:t xml:space="preserve">, notably for the EU industry </w:t>
      </w:r>
      <w:r w:rsidR="00107CBF">
        <w:rPr>
          <w:noProof/>
        </w:rPr>
        <w:t>as international travels contribute positively to the EU GDP</w:t>
      </w:r>
      <w:r w:rsidR="004E2EE9">
        <w:rPr>
          <w:noProof/>
        </w:rPr>
        <w:t>, in particular to the tourism industry</w:t>
      </w:r>
      <w:r w:rsidR="00FA2530" w:rsidRPr="00FA2530">
        <w:rPr>
          <w:noProof/>
        </w:rPr>
        <w:t>.</w:t>
      </w:r>
    </w:p>
    <w:p w14:paraId="28E2B94A" w14:textId="77777777" w:rsidR="00BA7C89" w:rsidRDefault="00CA3E8E" w:rsidP="00200097">
      <w:pPr>
        <w:pBdr>
          <w:top w:val="nil"/>
          <w:left w:val="nil"/>
          <w:bottom w:val="nil"/>
          <w:right w:val="nil"/>
          <w:between w:val="nil"/>
          <w:bar w:val="nil"/>
        </w:pBdr>
        <w:spacing w:before="0" w:after="240"/>
        <w:rPr>
          <w:noProof/>
        </w:rPr>
      </w:pPr>
      <w:r>
        <w:rPr>
          <w:noProof/>
        </w:rPr>
        <w:t>Consequently, the cost</w:t>
      </w:r>
      <w:r w:rsidR="00407468">
        <w:rPr>
          <w:noProof/>
        </w:rPr>
        <w:t>s</w:t>
      </w:r>
      <w:r>
        <w:rPr>
          <w:noProof/>
        </w:rPr>
        <w:t xml:space="preserve"> of non-action at EU level could increase over time</w:t>
      </w:r>
      <w:r w:rsidR="00CD34D1">
        <w:rPr>
          <w:noProof/>
        </w:rPr>
        <w:t xml:space="preserve">. </w:t>
      </w:r>
      <w:r w:rsidR="008F613A">
        <w:rPr>
          <w:noProof/>
        </w:rPr>
        <w:t xml:space="preserve">Without digitalisation, </w:t>
      </w:r>
      <w:r w:rsidR="00B62ACB">
        <w:rPr>
          <w:noProof/>
        </w:rPr>
        <w:t xml:space="preserve">Member States would continue to face a heavy administrative burden to manage visa processes, visa applicants would continue to undergo costly and </w:t>
      </w:r>
      <w:r w:rsidR="00F75DA6">
        <w:rPr>
          <w:noProof/>
        </w:rPr>
        <w:t>time-consuming</w:t>
      </w:r>
      <w:r w:rsidR="00B62ACB">
        <w:rPr>
          <w:noProof/>
        </w:rPr>
        <w:t xml:space="preserve"> procedures and the risks attached to the security of the visa sticker would continue to exist. </w:t>
      </w:r>
      <w:r w:rsidR="00CD34D1">
        <w:rPr>
          <w:noProof/>
        </w:rPr>
        <w:t xml:space="preserve"> </w:t>
      </w:r>
    </w:p>
    <w:p w14:paraId="1CEB1457" w14:textId="77777777" w:rsidR="00BA7C89" w:rsidRDefault="00BA7C89" w:rsidP="00200097">
      <w:pPr>
        <w:pBdr>
          <w:top w:val="nil"/>
          <w:left w:val="nil"/>
          <w:bottom w:val="nil"/>
          <w:right w:val="nil"/>
          <w:between w:val="nil"/>
          <w:bar w:val="nil"/>
        </w:pBdr>
        <w:spacing w:before="0" w:after="240"/>
        <w:rPr>
          <w:noProof/>
        </w:rPr>
      </w:pPr>
      <w:r>
        <w:rPr>
          <w:noProof/>
        </w:rPr>
        <w:t>The main problems identified in relation to Member States</w:t>
      </w:r>
      <w:r w:rsidR="004E089F">
        <w:rPr>
          <w:noProof/>
        </w:rPr>
        <w:t>’</w:t>
      </w:r>
      <w:r>
        <w:rPr>
          <w:noProof/>
        </w:rPr>
        <w:t xml:space="preserve"> authorities dealing with visa application and visa issuing are: </w:t>
      </w:r>
    </w:p>
    <w:p w14:paraId="017819E3" w14:textId="77777777" w:rsidR="00BA7C89" w:rsidRPr="0081374D" w:rsidRDefault="00BA7C89" w:rsidP="00173081">
      <w:pPr>
        <w:pStyle w:val="Bullet0"/>
        <w:numPr>
          <w:ilvl w:val="0"/>
          <w:numId w:val="44"/>
        </w:numPr>
        <w:rPr>
          <w:noProof/>
        </w:rPr>
      </w:pPr>
      <w:r>
        <w:rPr>
          <w:noProof/>
        </w:rPr>
        <w:t>The lengthy process and accumulating costs for consulates to manage, process and archive (and eventually destroy) paper documents. The dependence of Member States</w:t>
      </w:r>
      <w:r w:rsidR="00F45A5B">
        <w:rPr>
          <w:noProof/>
        </w:rPr>
        <w:t xml:space="preserve"> on external service providers </w:t>
      </w:r>
      <w:r>
        <w:rPr>
          <w:noProof/>
        </w:rPr>
        <w:t>to fulfil their obligations relating to visa management in a context of</w:t>
      </w:r>
      <w:r w:rsidR="004E089F">
        <w:rPr>
          <w:noProof/>
        </w:rPr>
        <w:t xml:space="preserve"> an</w:t>
      </w:r>
      <w:r>
        <w:rPr>
          <w:noProof/>
        </w:rPr>
        <w:t xml:space="preserve"> increase of visa appli</w:t>
      </w:r>
      <w:r w:rsidR="00E702F9">
        <w:rPr>
          <w:noProof/>
        </w:rPr>
        <w:t>cations and the obligation for third country n</w:t>
      </w:r>
      <w:r>
        <w:rPr>
          <w:noProof/>
        </w:rPr>
        <w:t xml:space="preserve">ationals to visit the consulate or </w:t>
      </w:r>
      <w:r w:rsidR="00F610DB">
        <w:rPr>
          <w:noProof/>
        </w:rPr>
        <w:t>a v</w:t>
      </w:r>
      <w:r>
        <w:rPr>
          <w:noProof/>
        </w:rPr>
        <w:t xml:space="preserve">isa </w:t>
      </w:r>
      <w:r w:rsidR="00F610DB">
        <w:rPr>
          <w:noProof/>
        </w:rPr>
        <w:t>a</w:t>
      </w:r>
      <w:r>
        <w:rPr>
          <w:noProof/>
        </w:rPr>
        <w:t xml:space="preserve">pplication </w:t>
      </w:r>
      <w:r w:rsidR="00F610DB">
        <w:rPr>
          <w:noProof/>
        </w:rPr>
        <w:t>c</w:t>
      </w:r>
      <w:r>
        <w:rPr>
          <w:noProof/>
        </w:rPr>
        <w:t>entre each time they need to apply</w:t>
      </w:r>
      <w:r w:rsidR="00407468">
        <w:rPr>
          <w:noProof/>
        </w:rPr>
        <w:t>.</w:t>
      </w:r>
      <w:r>
        <w:rPr>
          <w:noProof/>
        </w:rPr>
        <w:t xml:space="preserve"> On average, 90% of short-stay visas application</w:t>
      </w:r>
      <w:r w:rsidR="00CE2F3D">
        <w:rPr>
          <w:noProof/>
        </w:rPr>
        <w:t>s</w:t>
      </w:r>
      <w:r>
        <w:rPr>
          <w:noProof/>
        </w:rPr>
        <w:t xml:space="preserve"> are submitted through </w:t>
      </w:r>
      <w:r w:rsidR="00F45A5B">
        <w:rPr>
          <w:noProof/>
        </w:rPr>
        <w:t>external service provider</w:t>
      </w:r>
      <w:r>
        <w:rPr>
          <w:noProof/>
        </w:rPr>
        <w:t xml:space="preserve">s. This </w:t>
      </w:r>
      <w:r w:rsidR="00B62ACB">
        <w:rPr>
          <w:noProof/>
        </w:rPr>
        <w:t>also</w:t>
      </w:r>
      <w:r>
        <w:rPr>
          <w:noProof/>
        </w:rPr>
        <w:t xml:space="preserve"> involves large-scale contracts and monitoring costs and additional costs for visa applicants. </w:t>
      </w:r>
    </w:p>
    <w:p w14:paraId="7785C97E" w14:textId="77777777" w:rsidR="00BE50BB" w:rsidRPr="0081374D" w:rsidRDefault="00BE50BB" w:rsidP="006048C8">
      <w:pPr>
        <w:pStyle w:val="Bullet0"/>
        <w:rPr>
          <w:noProof/>
        </w:rPr>
      </w:pPr>
      <w:r>
        <w:rPr>
          <w:noProof/>
        </w:rPr>
        <w:t>The paper-based process is not threat</w:t>
      </w:r>
      <w:r w:rsidR="00357A3A">
        <w:rPr>
          <w:noProof/>
        </w:rPr>
        <w:t xml:space="preserve"> or </w:t>
      </w:r>
      <w:r>
        <w:rPr>
          <w:noProof/>
        </w:rPr>
        <w:t>risk</w:t>
      </w:r>
      <w:r w:rsidR="004E089F">
        <w:rPr>
          <w:noProof/>
        </w:rPr>
        <w:t>-</w:t>
      </w:r>
      <w:r>
        <w:rPr>
          <w:noProof/>
        </w:rPr>
        <w:t xml:space="preserve">proof. The COVID-19 pandemic had a substantial impact on </w:t>
      </w:r>
      <w:r w:rsidR="004E089F">
        <w:rPr>
          <w:noProof/>
        </w:rPr>
        <w:t xml:space="preserve">the </w:t>
      </w:r>
      <w:r>
        <w:rPr>
          <w:noProof/>
        </w:rPr>
        <w:t xml:space="preserve">visa procedure as </w:t>
      </w:r>
      <w:r w:rsidR="00E907B3">
        <w:rPr>
          <w:noProof/>
        </w:rPr>
        <w:t>it</w:t>
      </w:r>
      <w:r w:rsidR="008F613A">
        <w:rPr>
          <w:noProof/>
        </w:rPr>
        <w:t xml:space="preserve"> systematically requires the physical presence of the applicant at a consulate</w:t>
      </w:r>
      <w:r w:rsidR="005D31DF">
        <w:rPr>
          <w:noProof/>
        </w:rPr>
        <w:t xml:space="preserve"> or an </w:t>
      </w:r>
      <w:r w:rsidR="008F613A">
        <w:rPr>
          <w:noProof/>
        </w:rPr>
        <w:t>external service provider at key stages of the</w:t>
      </w:r>
      <w:r w:rsidR="00E907B3">
        <w:rPr>
          <w:noProof/>
        </w:rPr>
        <w:t xml:space="preserve"> </w:t>
      </w:r>
      <w:r>
        <w:rPr>
          <w:noProof/>
        </w:rPr>
        <w:t>Schengen visa</w:t>
      </w:r>
      <w:r w:rsidR="008F613A">
        <w:rPr>
          <w:noProof/>
        </w:rPr>
        <w:t xml:space="preserve"> application procedure</w:t>
      </w:r>
      <w:r>
        <w:rPr>
          <w:noProof/>
        </w:rPr>
        <w:t xml:space="preserve">. </w:t>
      </w:r>
    </w:p>
    <w:p w14:paraId="628FD12C" w14:textId="77777777" w:rsidR="00BE50BB" w:rsidRPr="006048C8" w:rsidRDefault="00BE50BB" w:rsidP="006048C8">
      <w:pPr>
        <w:pStyle w:val="Bullet0"/>
        <w:rPr>
          <w:rFonts w:eastAsia="Arial Unicode MS"/>
          <w:noProof/>
        </w:rPr>
      </w:pPr>
      <w:r>
        <w:rPr>
          <w:noProof/>
        </w:rPr>
        <w:t xml:space="preserve">The physical visa sticker is prone to falsification and fraud (e.g. forgery and counterfeiting), </w:t>
      </w:r>
      <w:r w:rsidR="004E089F">
        <w:rPr>
          <w:noProof/>
        </w:rPr>
        <w:t>and it needs to be transported and securely stored</w:t>
      </w:r>
      <w:r>
        <w:rPr>
          <w:noProof/>
        </w:rPr>
        <w:t>.</w:t>
      </w:r>
      <w:r>
        <w:rPr>
          <w:rStyle w:val="FootnoteReference"/>
          <w:noProof/>
        </w:rPr>
        <w:footnoteReference w:id="21"/>
      </w:r>
    </w:p>
    <w:p w14:paraId="425867AA" w14:textId="77777777" w:rsidR="00200097" w:rsidRPr="00407468" w:rsidRDefault="00BE50BB" w:rsidP="006048C8">
      <w:pPr>
        <w:pStyle w:val="Bullet0"/>
        <w:rPr>
          <w:rFonts w:eastAsia="Arial Unicode MS"/>
          <w:noProof/>
        </w:rPr>
      </w:pPr>
      <w:r>
        <w:rPr>
          <w:noProof/>
        </w:rPr>
        <w:t>Increased risk of visa shopping by applicants</w:t>
      </w:r>
      <w:r w:rsidR="004E089F">
        <w:rPr>
          <w:noProof/>
        </w:rPr>
        <w:t>. A</w:t>
      </w:r>
      <w:r>
        <w:rPr>
          <w:noProof/>
        </w:rPr>
        <w:t xml:space="preserve">pplicants might be tempted to apply for a visa to a Member State that offers an expeditious visa application process instead of the Member State they actually want to </w:t>
      </w:r>
      <w:r w:rsidR="004E089F">
        <w:rPr>
          <w:noProof/>
        </w:rPr>
        <w:t>visit</w:t>
      </w:r>
      <w:r>
        <w:rPr>
          <w:noProof/>
        </w:rPr>
        <w:t>.</w:t>
      </w:r>
    </w:p>
    <w:p w14:paraId="548DC710" w14:textId="77777777" w:rsidR="00407468" w:rsidRDefault="00200097" w:rsidP="00200097">
      <w:pPr>
        <w:pBdr>
          <w:top w:val="nil"/>
          <w:left w:val="nil"/>
          <w:bottom w:val="nil"/>
          <w:right w:val="nil"/>
          <w:between w:val="nil"/>
          <w:bar w:val="nil"/>
        </w:pBdr>
        <w:spacing w:before="0" w:after="240"/>
        <w:rPr>
          <w:rFonts w:eastAsia="Arial Unicode MS"/>
          <w:noProof/>
        </w:rPr>
      </w:pPr>
      <w:r w:rsidRPr="00200097">
        <w:rPr>
          <w:rFonts w:eastAsia="Arial Unicode MS"/>
          <w:noProof/>
        </w:rPr>
        <w:t xml:space="preserve">The current procedure is also complex and burdensome for visa applicants. </w:t>
      </w:r>
    </w:p>
    <w:p w14:paraId="5E1A96A3" w14:textId="77777777" w:rsidR="00407468" w:rsidRDefault="00200097" w:rsidP="006048C8">
      <w:pPr>
        <w:pStyle w:val="Bullet0"/>
        <w:rPr>
          <w:noProof/>
        </w:rPr>
      </w:pPr>
      <w:r w:rsidRPr="00407468">
        <w:rPr>
          <w:noProof/>
        </w:rPr>
        <w:t>Visa applicants have to trav</w:t>
      </w:r>
      <w:r w:rsidR="00E17FA2">
        <w:rPr>
          <w:noProof/>
        </w:rPr>
        <w:t xml:space="preserve">el to the nearest consulate or </w:t>
      </w:r>
      <w:r w:rsidR="00F610DB">
        <w:rPr>
          <w:noProof/>
        </w:rPr>
        <w:t>v</w:t>
      </w:r>
      <w:r w:rsidRPr="00407468">
        <w:rPr>
          <w:noProof/>
        </w:rPr>
        <w:t xml:space="preserve">isa </w:t>
      </w:r>
      <w:r w:rsidR="00F610DB">
        <w:rPr>
          <w:noProof/>
        </w:rPr>
        <w:t>a</w:t>
      </w:r>
      <w:r w:rsidRPr="00407468">
        <w:rPr>
          <w:noProof/>
        </w:rPr>
        <w:t xml:space="preserve">pplication </w:t>
      </w:r>
      <w:r w:rsidR="00F610DB">
        <w:rPr>
          <w:noProof/>
        </w:rPr>
        <w:t>c</w:t>
      </w:r>
      <w:r w:rsidRPr="00407468">
        <w:rPr>
          <w:noProof/>
        </w:rPr>
        <w:t xml:space="preserve">entre for each application and leave the travel document </w:t>
      </w:r>
      <w:r w:rsidR="00C844A8">
        <w:rPr>
          <w:noProof/>
        </w:rPr>
        <w:t>behind</w:t>
      </w:r>
      <w:r w:rsidRPr="00407468">
        <w:rPr>
          <w:noProof/>
        </w:rPr>
        <w:t xml:space="preserve">, </w:t>
      </w:r>
      <w:r w:rsidR="00C844A8" w:rsidRPr="00C844A8">
        <w:rPr>
          <w:noProof/>
        </w:rPr>
        <w:t xml:space="preserve">which makes it more difficult to identify oneself and </w:t>
      </w:r>
      <w:r w:rsidR="00C844A8">
        <w:rPr>
          <w:noProof/>
        </w:rPr>
        <w:t xml:space="preserve">to </w:t>
      </w:r>
      <w:r w:rsidRPr="00407468">
        <w:rPr>
          <w:noProof/>
        </w:rPr>
        <w:t xml:space="preserve">travel </w:t>
      </w:r>
      <w:r w:rsidR="00C844A8">
        <w:rPr>
          <w:noProof/>
        </w:rPr>
        <w:t xml:space="preserve">abroad </w:t>
      </w:r>
      <w:r w:rsidRPr="00407468">
        <w:rPr>
          <w:noProof/>
        </w:rPr>
        <w:t xml:space="preserve">during the application process. </w:t>
      </w:r>
    </w:p>
    <w:p w14:paraId="3D11E5A6" w14:textId="77777777" w:rsidR="00407468" w:rsidRDefault="00200097" w:rsidP="006048C8">
      <w:pPr>
        <w:pStyle w:val="Bullet0"/>
        <w:rPr>
          <w:noProof/>
        </w:rPr>
      </w:pPr>
      <w:r w:rsidRPr="00407468">
        <w:rPr>
          <w:noProof/>
        </w:rPr>
        <w:t xml:space="preserve">Frequent travellers need to repeat the same lengthy procedure for each application, which may differ depending on </w:t>
      </w:r>
      <w:r w:rsidR="004E089F">
        <w:rPr>
          <w:noProof/>
        </w:rPr>
        <w:t xml:space="preserve">the Member State of </w:t>
      </w:r>
      <w:r w:rsidRPr="00407468">
        <w:rPr>
          <w:noProof/>
        </w:rPr>
        <w:t>destination</w:t>
      </w:r>
      <w:r w:rsidR="00407468">
        <w:rPr>
          <w:noProof/>
        </w:rPr>
        <w:t>.</w:t>
      </w:r>
    </w:p>
    <w:p w14:paraId="72A3E380" w14:textId="77777777" w:rsidR="00200097" w:rsidRPr="00407468" w:rsidRDefault="00200097" w:rsidP="006048C8">
      <w:pPr>
        <w:pStyle w:val="Bullet0"/>
        <w:rPr>
          <w:noProof/>
        </w:rPr>
      </w:pPr>
      <w:r w:rsidRPr="00407468">
        <w:rPr>
          <w:noProof/>
        </w:rPr>
        <w:t xml:space="preserve">Applicants also pay additional fees when applying through an external service provider. </w:t>
      </w:r>
    </w:p>
    <w:p w14:paraId="145B894F" w14:textId="77777777" w:rsidR="00A96836" w:rsidRDefault="00200097" w:rsidP="00200097">
      <w:pPr>
        <w:pBdr>
          <w:top w:val="nil"/>
          <w:left w:val="nil"/>
          <w:bottom w:val="nil"/>
          <w:right w:val="nil"/>
          <w:between w:val="nil"/>
          <w:bar w:val="nil"/>
        </w:pBdr>
        <w:spacing w:before="0" w:after="240"/>
        <w:rPr>
          <w:rFonts w:eastAsia="Arial Unicode MS"/>
          <w:noProof/>
        </w:rPr>
      </w:pPr>
      <w:r w:rsidRPr="00200097">
        <w:rPr>
          <w:rFonts w:eastAsia="Arial Unicode MS"/>
          <w:noProof/>
        </w:rPr>
        <w:t>The root causes of these problems are the legal requirement</w:t>
      </w:r>
      <w:r w:rsidR="00C844A8">
        <w:rPr>
          <w:rFonts w:eastAsia="Arial Unicode MS"/>
          <w:noProof/>
        </w:rPr>
        <w:t>s</w:t>
      </w:r>
      <w:r w:rsidRPr="00200097">
        <w:rPr>
          <w:rFonts w:eastAsia="Arial Unicode MS"/>
          <w:noProof/>
        </w:rPr>
        <w:t xml:space="preserve"> for Member States to issue a paper visa sticker, Member States’ reliance on in-person</w:t>
      </w:r>
      <w:r w:rsidR="00883C9F">
        <w:rPr>
          <w:rFonts w:eastAsia="Arial Unicode MS"/>
          <w:noProof/>
        </w:rPr>
        <w:t xml:space="preserve"> and </w:t>
      </w:r>
      <w:r w:rsidRPr="00200097">
        <w:rPr>
          <w:rFonts w:eastAsia="Arial Unicode MS"/>
          <w:noProof/>
        </w:rPr>
        <w:t>paper-based practices, and the heterogeneous level of digitalisation and fragmented visa procedures across the Member States.</w:t>
      </w:r>
    </w:p>
    <w:p w14:paraId="16AF4D14" w14:textId="77777777" w:rsidR="00A96836" w:rsidRDefault="00A96836" w:rsidP="00A96836">
      <w:pPr>
        <w:pBdr>
          <w:top w:val="nil"/>
          <w:left w:val="nil"/>
          <w:bottom w:val="nil"/>
          <w:right w:val="nil"/>
          <w:between w:val="nil"/>
          <w:bar w:val="nil"/>
        </w:pBdr>
        <w:spacing w:before="0" w:after="240"/>
        <w:rPr>
          <w:noProof/>
        </w:rPr>
      </w:pPr>
      <w:r>
        <w:rPr>
          <w:noProof/>
        </w:rPr>
        <w:t xml:space="preserve">Therefore, </w:t>
      </w:r>
      <w:r w:rsidR="00B62ACB">
        <w:rPr>
          <w:noProof/>
        </w:rPr>
        <w:t>the</w:t>
      </w:r>
      <w:r>
        <w:rPr>
          <w:noProof/>
        </w:rPr>
        <w:t xml:space="preserve"> digitalisation</w:t>
      </w:r>
      <w:r w:rsidR="00B62ACB">
        <w:rPr>
          <w:noProof/>
        </w:rPr>
        <w:t xml:space="preserve"> of visa procedures</w:t>
      </w:r>
      <w:r>
        <w:rPr>
          <w:noProof/>
        </w:rPr>
        <w:t xml:space="preserve"> </w:t>
      </w:r>
      <w:r w:rsidR="0048350B">
        <w:rPr>
          <w:noProof/>
        </w:rPr>
        <w:t>offers</w:t>
      </w:r>
      <w:r>
        <w:rPr>
          <w:noProof/>
        </w:rPr>
        <w:t xml:space="preserve"> an opportunity to improve the visa application process, reducing the costs and the burden on stakeholders</w:t>
      </w:r>
      <w:r w:rsidR="00B62ACB">
        <w:rPr>
          <w:noProof/>
        </w:rPr>
        <w:t>, while improving the security of the Schengen area</w:t>
      </w:r>
      <w:r>
        <w:rPr>
          <w:noProof/>
        </w:rPr>
        <w:t>. Moreover, the digitalisation of the visa process is in line with recent legislative developments</w:t>
      </w:r>
      <w:r>
        <w:rPr>
          <w:rStyle w:val="FootnoteReference"/>
          <w:noProof/>
        </w:rPr>
        <w:footnoteReference w:id="22"/>
      </w:r>
      <w:r>
        <w:rPr>
          <w:noProof/>
        </w:rPr>
        <w:t xml:space="preserve"> relating to the IT landscape for border management, contributing to enhanced security of the Schengen Area.</w:t>
      </w:r>
    </w:p>
    <w:p w14:paraId="5E2CC6A4" w14:textId="77777777" w:rsidR="00A40E24" w:rsidRPr="002D5EE2" w:rsidRDefault="00A40E24" w:rsidP="00012221">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76CD5B44" w14:textId="77777777" w:rsidR="0021792B" w:rsidRDefault="0021792B" w:rsidP="00012221">
      <w:pPr>
        <w:pBdr>
          <w:top w:val="nil"/>
          <w:left w:val="nil"/>
          <w:bottom w:val="nil"/>
          <w:right w:val="nil"/>
          <w:between w:val="nil"/>
          <w:bar w:val="nil"/>
        </w:pBdr>
        <w:spacing w:before="0" w:after="240"/>
        <w:rPr>
          <w:noProof/>
        </w:rPr>
      </w:pPr>
      <w:r>
        <w:rPr>
          <w:noProof/>
        </w:rPr>
        <w:t xml:space="preserve">The digitalisation of the visa application procedure and the implementation of a digital visa </w:t>
      </w:r>
      <w:r w:rsidR="00297921">
        <w:rPr>
          <w:noProof/>
        </w:rPr>
        <w:t>is consistent with</w:t>
      </w:r>
      <w:r>
        <w:rPr>
          <w:noProof/>
        </w:rPr>
        <w:t xml:space="preserve"> several major developments in the field of visa and border policy: </w:t>
      </w:r>
    </w:p>
    <w:p w14:paraId="3F3329CD" w14:textId="77777777" w:rsidR="0021792B" w:rsidRPr="0021792B" w:rsidRDefault="0021792B" w:rsidP="006048C8">
      <w:pPr>
        <w:pStyle w:val="Bullet0"/>
        <w:rPr>
          <w:rFonts w:eastAsia="Arial Unicode MS"/>
          <w:noProof/>
        </w:rPr>
      </w:pPr>
      <w:r>
        <w:rPr>
          <w:noProof/>
        </w:rPr>
        <w:t>The revision of the Visa Code in 2020</w:t>
      </w:r>
      <w:r w:rsidR="00297921">
        <w:rPr>
          <w:noProof/>
        </w:rPr>
        <w:t>, which</w:t>
      </w:r>
      <w:r>
        <w:rPr>
          <w:noProof/>
        </w:rPr>
        <w:t xml:space="preserve"> made it easier for regular travellers to apply for visas</w:t>
      </w:r>
      <w:r w:rsidR="001C4A97">
        <w:rPr>
          <w:noProof/>
        </w:rPr>
        <w:t xml:space="preserve"> with a longer </w:t>
      </w:r>
      <w:r w:rsidR="00B64B01">
        <w:rPr>
          <w:noProof/>
        </w:rPr>
        <w:t>validity and</w:t>
      </w:r>
      <w:r>
        <w:rPr>
          <w:noProof/>
        </w:rPr>
        <w:t xml:space="preserve"> allowed electronic visa applications (used by a few Member States) and electronic signature (not used by Member </w:t>
      </w:r>
      <w:r w:rsidR="00C74625">
        <w:rPr>
          <w:noProof/>
        </w:rPr>
        <w:t xml:space="preserve">States </w:t>
      </w:r>
      <w:r>
        <w:rPr>
          <w:noProof/>
        </w:rPr>
        <w:t xml:space="preserve">so far). </w:t>
      </w:r>
    </w:p>
    <w:p w14:paraId="28D77F1B" w14:textId="77777777" w:rsidR="00A40E24" w:rsidRPr="0021792B" w:rsidRDefault="0021792B" w:rsidP="006048C8">
      <w:pPr>
        <w:pStyle w:val="Bullet0"/>
        <w:rPr>
          <w:rFonts w:eastAsia="Arial Unicode MS"/>
          <w:noProof/>
        </w:rPr>
      </w:pPr>
      <w:r>
        <w:rPr>
          <w:noProof/>
        </w:rPr>
        <w:t xml:space="preserve">The </w:t>
      </w:r>
      <w:r w:rsidR="00002CA9">
        <w:rPr>
          <w:noProof/>
        </w:rPr>
        <w:t>recently</w:t>
      </w:r>
      <w:r>
        <w:rPr>
          <w:noProof/>
        </w:rPr>
        <w:t xml:space="preserve"> revised Visa Information System (VIS) Regulation</w:t>
      </w:r>
      <w:r>
        <w:rPr>
          <w:rStyle w:val="FootnoteReference"/>
          <w:noProof/>
        </w:rPr>
        <w:footnoteReference w:id="23"/>
      </w:r>
      <w:r>
        <w:rPr>
          <w:noProof/>
        </w:rPr>
        <w:t>.</w:t>
      </w:r>
    </w:p>
    <w:p w14:paraId="6E33FC48" w14:textId="77777777" w:rsidR="0021792B" w:rsidRPr="0021792B" w:rsidRDefault="0021792B" w:rsidP="006048C8">
      <w:pPr>
        <w:pStyle w:val="Bullet0"/>
        <w:rPr>
          <w:rFonts w:eastAsia="Arial Unicode MS"/>
          <w:noProof/>
        </w:rPr>
      </w:pPr>
      <w:r>
        <w:rPr>
          <w:noProof/>
        </w:rPr>
        <w:t>The European Travel Information and Authorisation System (ETIAS)</w:t>
      </w:r>
      <w:r>
        <w:rPr>
          <w:rStyle w:val="FootnoteReference"/>
          <w:noProof/>
        </w:rPr>
        <w:footnoteReference w:id="24"/>
      </w:r>
      <w:r w:rsidR="00297921">
        <w:rPr>
          <w:noProof/>
        </w:rPr>
        <w:t xml:space="preserve">, which </w:t>
      </w:r>
      <w:r>
        <w:rPr>
          <w:noProof/>
        </w:rPr>
        <w:t xml:space="preserve">is part of the Smart Border and interoperability framework and introduces an online travel authorisation for </w:t>
      </w:r>
      <w:r w:rsidR="00E702F9">
        <w:rPr>
          <w:noProof/>
        </w:rPr>
        <w:t>third country national</w:t>
      </w:r>
      <w:r>
        <w:rPr>
          <w:noProof/>
        </w:rPr>
        <w:t xml:space="preserve">s who </w:t>
      </w:r>
      <w:r w:rsidR="001C4A97">
        <w:rPr>
          <w:noProof/>
        </w:rPr>
        <w:t xml:space="preserve">do </w:t>
      </w:r>
      <w:r>
        <w:rPr>
          <w:noProof/>
        </w:rPr>
        <w:t xml:space="preserve">not </w:t>
      </w:r>
      <w:r w:rsidR="001C4A97">
        <w:rPr>
          <w:noProof/>
        </w:rPr>
        <w:t xml:space="preserve">require a </w:t>
      </w:r>
      <w:r>
        <w:rPr>
          <w:noProof/>
        </w:rPr>
        <w:t xml:space="preserve">visa. This travel authorisation differs from the visa </w:t>
      </w:r>
      <w:r w:rsidR="00436169">
        <w:rPr>
          <w:noProof/>
        </w:rPr>
        <w:t>procedure, which</w:t>
      </w:r>
      <w:r>
        <w:rPr>
          <w:noProof/>
        </w:rPr>
        <w:t xml:space="preserve"> requires submission of the biometrics and physical presence of applicants to mitigate the higher </w:t>
      </w:r>
      <w:r w:rsidR="00460754">
        <w:rPr>
          <w:noProof/>
        </w:rPr>
        <w:t xml:space="preserve">migration and </w:t>
      </w:r>
      <w:r>
        <w:rPr>
          <w:noProof/>
        </w:rPr>
        <w:t xml:space="preserve">security risks of visa-required third countries. </w:t>
      </w:r>
    </w:p>
    <w:p w14:paraId="5B624F50" w14:textId="77777777" w:rsidR="0021792B" w:rsidRPr="00346C8D" w:rsidRDefault="0021792B" w:rsidP="006048C8">
      <w:pPr>
        <w:pStyle w:val="Bullet0"/>
        <w:rPr>
          <w:rFonts w:eastAsia="Arial Unicode MS"/>
          <w:noProof/>
        </w:rPr>
      </w:pPr>
      <w:r>
        <w:rPr>
          <w:noProof/>
        </w:rPr>
        <w:t>The Entry-Exit System (EES)</w:t>
      </w:r>
      <w:r w:rsidR="00297921">
        <w:rPr>
          <w:noProof/>
        </w:rPr>
        <w:t xml:space="preserve">, which </w:t>
      </w:r>
      <w:r>
        <w:rPr>
          <w:noProof/>
        </w:rPr>
        <w:t>will be operational in 2022</w:t>
      </w:r>
      <w:r w:rsidR="00297921">
        <w:rPr>
          <w:noProof/>
        </w:rPr>
        <w:t xml:space="preserve"> and</w:t>
      </w:r>
      <w:r>
        <w:rPr>
          <w:noProof/>
        </w:rPr>
        <w:t xml:space="preserve"> will require every traveller visiting the Schengen area for short stays to record his/her entry and exit at the external border crossing points allowing </w:t>
      </w:r>
      <w:r w:rsidR="004E089F">
        <w:rPr>
          <w:noProof/>
        </w:rPr>
        <w:t xml:space="preserve">for the </w:t>
      </w:r>
      <w:r w:rsidR="00436169">
        <w:rPr>
          <w:noProof/>
        </w:rPr>
        <w:t>detecti</w:t>
      </w:r>
      <w:r w:rsidR="004E089F">
        <w:rPr>
          <w:noProof/>
        </w:rPr>
        <w:t>on of</w:t>
      </w:r>
      <w:r>
        <w:rPr>
          <w:noProof/>
        </w:rPr>
        <w:t xml:space="preserve"> overstayers</w:t>
      </w:r>
      <w:r w:rsidR="005155DC">
        <w:rPr>
          <w:rStyle w:val="FootnoteReference"/>
          <w:noProof/>
        </w:rPr>
        <w:footnoteReference w:id="25"/>
      </w:r>
      <w:r>
        <w:rPr>
          <w:noProof/>
        </w:rPr>
        <w:t>.</w:t>
      </w:r>
    </w:p>
    <w:p w14:paraId="6589A553" w14:textId="77777777" w:rsidR="005E7074" w:rsidRPr="005E7074" w:rsidRDefault="005E7074" w:rsidP="005E7074">
      <w:pPr>
        <w:pStyle w:val="Bullet0"/>
        <w:rPr>
          <w:rFonts w:eastAsia="Arial Unicode MS"/>
          <w:noProof/>
        </w:rPr>
      </w:pPr>
      <w:r w:rsidRPr="005E7074">
        <w:rPr>
          <w:rFonts w:eastAsia="Arial Unicode MS"/>
          <w:noProof/>
        </w:rPr>
        <w:t>This proposal is without prejudice to Directive 2004/38/E</w:t>
      </w:r>
      <w:r>
        <w:rPr>
          <w:rFonts w:eastAsia="Arial Unicode MS"/>
          <w:noProof/>
        </w:rPr>
        <w:t>C</w:t>
      </w:r>
      <w:r>
        <w:rPr>
          <w:rStyle w:val="FootnoteReference"/>
          <w:rFonts w:eastAsia="Arial Unicode MS"/>
          <w:noProof/>
        </w:rPr>
        <w:footnoteReference w:id="26"/>
      </w:r>
      <w:r w:rsidRPr="005E7074">
        <w:rPr>
          <w:rFonts w:eastAsia="Arial Unicode MS"/>
          <w:noProof/>
        </w:rPr>
        <w:t>. The proposal does not in any respect amend Directive 2004/38.</w:t>
      </w:r>
    </w:p>
    <w:p w14:paraId="6C984541" w14:textId="77777777" w:rsidR="005E7074" w:rsidRPr="0021792B" w:rsidRDefault="005E7074" w:rsidP="005E7074">
      <w:pPr>
        <w:pStyle w:val="Bullet0"/>
        <w:rPr>
          <w:rFonts w:eastAsia="Arial Unicode MS"/>
          <w:noProof/>
        </w:rPr>
      </w:pPr>
      <w:r w:rsidRPr="005E7074">
        <w:rPr>
          <w:rFonts w:eastAsia="Arial Unicode MS"/>
          <w:noProof/>
        </w:rPr>
        <w:t>This proposal is without prejudice to Part Two of the EU-UK Withdrawal Agreement</w:t>
      </w:r>
      <w:r>
        <w:rPr>
          <w:rStyle w:val="FootnoteReference"/>
          <w:rFonts w:eastAsia="Arial Unicode MS"/>
          <w:noProof/>
        </w:rPr>
        <w:footnoteReference w:id="27"/>
      </w:r>
      <w:r w:rsidRPr="005E7074">
        <w:rPr>
          <w:rFonts w:eastAsia="Arial Unicode MS"/>
          <w:noProof/>
        </w:rPr>
        <w:t xml:space="preserve"> .</w:t>
      </w:r>
    </w:p>
    <w:p w14:paraId="28A5C23B" w14:textId="77777777" w:rsidR="00A40E24" w:rsidRPr="002D5EE2" w:rsidRDefault="00A40E24" w:rsidP="00012221">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14:paraId="7A190F65" w14:textId="77777777" w:rsidR="00F41153" w:rsidRDefault="00C56273" w:rsidP="00F41153">
      <w:pPr>
        <w:pBdr>
          <w:top w:val="nil"/>
          <w:left w:val="nil"/>
          <w:bottom w:val="nil"/>
          <w:right w:val="nil"/>
          <w:between w:val="nil"/>
          <w:bar w:val="nil"/>
        </w:pBdr>
        <w:spacing w:before="0" w:after="240"/>
        <w:rPr>
          <w:rFonts w:eastAsia="Arial Unicode MS"/>
          <w:noProof/>
        </w:rPr>
      </w:pPr>
      <w:r>
        <w:rPr>
          <w:noProof/>
        </w:rPr>
        <w:t>The initiative on visa digitalisation is included in the Commission Work Programme for 2021</w:t>
      </w:r>
      <w:r>
        <w:rPr>
          <w:rStyle w:val="FootnoteReference"/>
          <w:noProof/>
        </w:rPr>
        <w:footnoteReference w:id="28"/>
      </w:r>
      <w:r w:rsidR="00E700DD">
        <w:rPr>
          <w:noProof/>
        </w:rPr>
        <w:t xml:space="preserve"> and referred to in the New Pact on Migration and Asylum, as noted above</w:t>
      </w:r>
      <w:r>
        <w:rPr>
          <w:noProof/>
        </w:rPr>
        <w:t xml:space="preserve">. </w:t>
      </w:r>
      <w:r w:rsidR="00F41153">
        <w:rPr>
          <w:rFonts w:eastAsia="Arial Unicode MS"/>
          <w:noProof/>
        </w:rPr>
        <w:t xml:space="preserve">The initiative is mentioned in the Commission communication on </w:t>
      </w:r>
      <w:r w:rsidR="00F41153" w:rsidRPr="00F41153">
        <w:rPr>
          <w:rFonts w:eastAsia="Arial Unicode MS"/>
          <w:i/>
          <w:noProof/>
        </w:rPr>
        <w:t>A strategy towards a fully functio</w:t>
      </w:r>
      <w:r w:rsidR="00F41153">
        <w:rPr>
          <w:rFonts w:eastAsia="Arial Unicode MS"/>
          <w:i/>
          <w:noProof/>
        </w:rPr>
        <w:t>ning and resilient Schengen area</w:t>
      </w:r>
      <w:r w:rsidR="00F41153">
        <w:rPr>
          <w:rStyle w:val="FootnoteReference"/>
          <w:rFonts w:eastAsia="Arial Unicode MS"/>
          <w:i/>
          <w:noProof/>
        </w:rPr>
        <w:footnoteReference w:id="29"/>
      </w:r>
      <w:r w:rsidR="00F41153">
        <w:rPr>
          <w:rFonts w:eastAsia="Arial Unicode MS"/>
          <w:i/>
          <w:noProof/>
        </w:rPr>
        <w:t xml:space="preserve">, </w:t>
      </w:r>
      <w:r w:rsidR="00F41153">
        <w:rPr>
          <w:rFonts w:eastAsia="Arial Unicode MS"/>
          <w:noProof/>
        </w:rPr>
        <w:t>as one of the k</w:t>
      </w:r>
      <w:r w:rsidR="00F41153" w:rsidRPr="00F41153">
        <w:rPr>
          <w:rFonts w:eastAsia="Arial Unicode MS"/>
          <w:noProof/>
        </w:rPr>
        <w:t>ey actions</w:t>
      </w:r>
      <w:r w:rsidR="00F41153">
        <w:rPr>
          <w:rFonts w:eastAsia="Arial Unicode MS"/>
          <w:noProof/>
        </w:rPr>
        <w:t xml:space="preserve"> announced by the Commission</w:t>
      </w:r>
      <w:r w:rsidR="00F41153" w:rsidRPr="00F41153">
        <w:rPr>
          <w:rFonts w:eastAsia="Arial Unicode MS"/>
          <w:noProof/>
        </w:rPr>
        <w:t xml:space="preserve"> to improve external border management</w:t>
      </w:r>
      <w:r w:rsidR="00F41153">
        <w:rPr>
          <w:rFonts w:eastAsia="Arial Unicode MS"/>
          <w:noProof/>
        </w:rPr>
        <w:t>.</w:t>
      </w:r>
    </w:p>
    <w:p w14:paraId="2E709E36" w14:textId="76F79791" w:rsidR="00A40E24" w:rsidRPr="002D5EE2" w:rsidRDefault="00C56273" w:rsidP="00C56273">
      <w:pPr>
        <w:pBdr>
          <w:top w:val="nil"/>
          <w:left w:val="nil"/>
          <w:bottom w:val="nil"/>
          <w:right w:val="nil"/>
          <w:between w:val="nil"/>
          <w:bar w:val="nil"/>
        </w:pBdr>
        <w:spacing w:before="0" w:after="240"/>
        <w:rPr>
          <w:rFonts w:eastAsia="Arial Unicode MS"/>
          <w:noProof/>
        </w:rPr>
      </w:pPr>
      <w:r>
        <w:rPr>
          <w:noProof/>
        </w:rPr>
        <w:t>The initiative also fits with the general EU approach to encourage the modernisation and digitalisation of public services and the Commission communication</w:t>
      </w:r>
      <w:r>
        <w:rPr>
          <w:rStyle w:val="FootnoteReference"/>
          <w:noProof/>
        </w:rPr>
        <w:footnoteReference w:id="30"/>
      </w:r>
      <w:r>
        <w:rPr>
          <w:noProof/>
        </w:rPr>
        <w:t xml:space="preserve"> on the </w:t>
      </w:r>
      <w:r w:rsidRPr="00BA7C89">
        <w:rPr>
          <w:i/>
          <w:noProof/>
        </w:rPr>
        <w:t>2030 Digital compass: the European way for the digital decade</w:t>
      </w:r>
      <w:r>
        <w:rPr>
          <w:noProof/>
        </w:rPr>
        <w:t>.</w:t>
      </w:r>
    </w:p>
    <w:p w14:paraId="317255A9" w14:textId="77777777" w:rsidR="00A40E24" w:rsidRPr="002D5EE2" w:rsidRDefault="00A40E24" w:rsidP="00012221">
      <w:pPr>
        <w:pStyle w:val="ManualHeading1"/>
        <w:rPr>
          <w:noProof/>
        </w:rPr>
      </w:pPr>
      <w:r w:rsidRPr="002D5EE2">
        <w:rPr>
          <w:noProof/>
        </w:rPr>
        <w:t>2.</w:t>
      </w:r>
      <w:r w:rsidRPr="002D5EE2">
        <w:rPr>
          <w:noProof/>
        </w:rPr>
        <w:tab/>
        <w:t>LEGAL BASIS, SUBSIDIARITY AND PROPORTIONALITY</w:t>
      </w:r>
    </w:p>
    <w:p w14:paraId="0A4CF848" w14:textId="77777777" w:rsidR="00A40E24" w:rsidRPr="002D5EE2" w:rsidRDefault="00A40E24" w:rsidP="00012221">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45DDAB5C" w14:textId="77777777" w:rsidR="00A40E24" w:rsidRPr="002D5EE2" w:rsidRDefault="00E17757" w:rsidP="00012221">
      <w:pPr>
        <w:pBdr>
          <w:top w:val="nil"/>
          <w:left w:val="nil"/>
          <w:bottom w:val="nil"/>
          <w:right w:val="nil"/>
          <w:between w:val="nil"/>
          <w:bar w:val="nil"/>
        </w:pBdr>
        <w:spacing w:before="0" w:after="240"/>
        <w:rPr>
          <w:rFonts w:eastAsia="Arial Unicode MS"/>
          <w:noProof/>
        </w:rPr>
      </w:pPr>
      <w:r>
        <w:rPr>
          <w:noProof/>
        </w:rPr>
        <w:t>The legal basis of the legislative initiative is Article 77(2) of the Treaty on the Functioning of the European Union (TFEU). Article 77(2)(a) TFEU empowers the Union to develop measures concerning ‘the common policy on visas and other short-stay residence permits’. Article 77(2)(b) TFEU empowers the Union to develop measures concerning ‘the checks to which persons crossing external borders are subject</w:t>
      </w:r>
      <w:r w:rsidR="00357A3A">
        <w:rPr>
          <w:noProof/>
        </w:rPr>
        <w:t xml:space="preserve">. </w:t>
      </w:r>
      <w:r w:rsidR="00357A3A" w:rsidRPr="00357A3A">
        <w:rPr>
          <w:noProof/>
        </w:rPr>
        <w:t xml:space="preserve">Article 79(2)(a) empowers the Union to develop measures concerning ‘the conditions of entry and residence, and standards on the issue by Member States of long-term visas and residence permits’. </w:t>
      </w:r>
      <w:r w:rsidR="00F41153" w:rsidRPr="00460754">
        <w:rPr>
          <w:noProof/>
        </w:rPr>
        <w:t xml:space="preserve">As the legal instrument </w:t>
      </w:r>
      <w:r w:rsidR="00F41153">
        <w:rPr>
          <w:noProof/>
        </w:rPr>
        <w:t>aims at the digitalisation both of short-stay and long-stay visas</w:t>
      </w:r>
      <w:r w:rsidR="00F610DB">
        <w:rPr>
          <w:noProof/>
        </w:rPr>
        <w:t xml:space="preserve"> (</w:t>
      </w:r>
      <w:r w:rsidR="004E089F">
        <w:rPr>
          <w:noProof/>
        </w:rPr>
        <w:t xml:space="preserve">only the </w:t>
      </w:r>
      <w:r w:rsidR="00F610DB">
        <w:rPr>
          <w:noProof/>
        </w:rPr>
        <w:t>digital visa format</w:t>
      </w:r>
      <w:r w:rsidR="004E089F">
        <w:rPr>
          <w:noProof/>
        </w:rPr>
        <w:t xml:space="preserve"> for the latter</w:t>
      </w:r>
      <w:r w:rsidR="00F610DB">
        <w:rPr>
          <w:noProof/>
        </w:rPr>
        <w:t>)</w:t>
      </w:r>
      <w:r w:rsidR="00F41153">
        <w:rPr>
          <w:noProof/>
        </w:rPr>
        <w:t>,</w:t>
      </w:r>
      <w:r w:rsidR="00F41153" w:rsidRPr="00357A3A">
        <w:rPr>
          <w:noProof/>
        </w:rPr>
        <w:t xml:space="preserve"> </w:t>
      </w:r>
      <w:r w:rsidR="00357A3A" w:rsidRPr="00357A3A">
        <w:rPr>
          <w:noProof/>
        </w:rPr>
        <w:t xml:space="preserve">a joint legal basis </w:t>
      </w:r>
      <w:r w:rsidR="00F41153">
        <w:rPr>
          <w:noProof/>
        </w:rPr>
        <w:t xml:space="preserve">consisting </w:t>
      </w:r>
      <w:r w:rsidR="00357A3A" w:rsidRPr="00357A3A">
        <w:rPr>
          <w:noProof/>
        </w:rPr>
        <w:t>of Articles 77(2) and 79(2) TFEU</w:t>
      </w:r>
      <w:r w:rsidR="00F41153">
        <w:rPr>
          <w:noProof/>
        </w:rPr>
        <w:t xml:space="preserve"> is needed</w:t>
      </w:r>
      <w:r w:rsidR="00357A3A" w:rsidRPr="00357A3A">
        <w:rPr>
          <w:noProof/>
        </w:rPr>
        <w:t>.</w:t>
      </w:r>
      <w:r w:rsidR="0081699E">
        <w:rPr>
          <w:noProof/>
        </w:rPr>
        <w:t xml:space="preserve">         </w:t>
      </w:r>
    </w:p>
    <w:p w14:paraId="6403D404" w14:textId="77777777" w:rsidR="00A40E24" w:rsidRPr="002D5EE2" w:rsidRDefault="00A40E24" w:rsidP="00012221">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14:paraId="01E9975E" w14:textId="77777777" w:rsidR="00297921" w:rsidRDefault="00297921" w:rsidP="00012221">
      <w:pPr>
        <w:pBdr>
          <w:top w:val="nil"/>
          <w:left w:val="nil"/>
          <w:bottom w:val="nil"/>
          <w:right w:val="nil"/>
          <w:between w:val="nil"/>
          <w:bar w:val="nil"/>
        </w:pBdr>
        <w:spacing w:before="0" w:after="240"/>
        <w:rPr>
          <w:noProof/>
        </w:rPr>
      </w:pPr>
      <w:r>
        <w:rPr>
          <w:noProof/>
        </w:rPr>
        <w:t>The current disparities between Member States’ visa application processes and different degrees of digitalisation show that t</w:t>
      </w:r>
      <w:r w:rsidR="00BE50BB">
        <w:rPr>
          <w:noProof/>
        </w:rPr>
        <w:t>he objective to make visa procedures more secure and fit for the digital age cannot be achieved by Member States</w:t>
      </w:r>
      <w:r w:rsidR="00B62ACB">
        <w:rPr>
          <w:noProof/>
        </w:rPr>
        <w:t xml:space="preserve"> acting in isolation</w:t>
      </w:r>
      <w:r w:rsidR="00BE50BB">
        <w:rPr>
          <w:noProof/>
        </w:rPr>
        <w:t>. The further improvement of these common procedures requires EU action</w:t>
      </w:r>
      <w:r w:rsidR="00B62ACB">
        <w:rPr>
          <w:noProof/>
        </w:rPr>
        <w:t xml:space="preserve"> as most of the issues identified are linked to EU law</w:t>
      </w:r>
      <w:r w:rsidR="00BE50BB">
        <w:rPr>
          <w:noProof/>
        </w:rPr>
        <w:t xml:space="preserve">. The problems identified above are unlikely to disappear in the near future and are directly related to </w:t>
      </w:r>
      <w:r w:rsidR="00B62ACB">
        <w:rPr>
          <w:noProof/>
        </w:rPr>
        <w:t xml:space="preserve">existing EU law </w:t>
      </w:r>
      <w:r w:rsidR="00BE50BB">
        <w:rPr>
          <w:noProof/>
        </w:rPr>
        <w:t xml:space="preserve">provisions. </w:t>
      </w:r>
    </w:p>
    <w:p w14:paraId="79609290" w14:textId="77777777" w:rsidR="00E17FA2" w:rsidRPr="00F11E8B" w:rsidRDefault="00FF3E52" w:rsidP="00012221">
      <w:pPr>
        <w:pBdr>
          <w:top w:val="nil"/>
          <w:left w:val="nil"/>
          <w:bottom w:val="nil"/>
          <w:right w:val="nil"/>
          <w:between w:val="nil"/>
          <w:bar w:val="nil"/>
        </w:pBdr>
        <w:spacing w:before="0" w:after="240"/>
        <w:rPr>
          <w:rFonts w:eastAsia="Arial Unicode MS"/>
          <w:noProof/>
        </w:rPr>
      </w:pPr>
      <w:r>
        <w:rPr>
          <w:noProof/>
        </w:rPr>
        <w:t>This</w:t>
      </w:r>
      <w:r w:rsidR="00E17FA2" w:rsidRPr="000A22BB">
        <w:rPr>
          <w:noProof/>
        </w:rPr>
        <w:t xml:space="preserve"> Regulation, </w:t>
      </w:r>
      <w:r>
        <w:rPr>
          <w:noProof/>
        </w:rPr>
        <w:t xml:space="preserve">is </w:t>
      </w:r>
      <w:r w:rsidR="003451AC">
        <w:rPr>
          <w:noProof/>
        </w:rPr>
        <w:t>aiming</w:t>
      </w:r>
      <w:r w:rsidR="00E17FA2" w:rsidRPr="000A22BB">
        <w:rPr>
          <w:noProof/>
        </w:rPr>
        <w:t xml:space="preserve"> at streamlining and harmonising the procedures in the context of the common visa policy and</w:t>
      </w:r>
      <w:r>
        <w:rPr>
          <w:noProof/>
        </w:rPr>
        <w:t>. In addition,</w:t>
      </w:r>
      <w:r w:rsidR="00E17FA2" w:rsidRPr="000A22BB">
        <w:rPr>
          <w:noProof/>
        </w:rPr>
        <w:t xml:space="preserve"> </w:t>
      </w:r>
      <w:r>
        <w:rPr>
          <w:noProof/>
        </w:rPr>
        <w:t>the initiative is</w:t>
      </w:r>
      <w:r w:rsidR="00E17FA2" w:rsidRPr="000A22BB">
        <w:rPr>
          <w:noProof/>
        </w:rPr>
        <w:t xml:space="preserve"> aligning travel, entry</w:t>
      </w:r>
      <w:r w:rsidR="00460754" w:rsidRPr="000A22BB">
        <w:rPr>
          <w:noProof/>
        </w:rPr>
        <w:t xml:space="preserve"> requirements</w:t>
      </w:r>
      <w:r w:rsidR="00E17FA2" w:rsidRPr="000A22BB">
        <w:rPr>
          <w:noProof/>
        </w:rPr>
        <w:t xml:space="preserve"> and border </w:t>
      </w:r>
      <w:r w:rsidR="00460754" w:rsidRPr="000A22BB">
        <w:rPr>
          <w:noProof/>
        </w:rPr>
        <w:t xml:space="preserve">checks within </w:t>
      </w:r>
      <w:r w:rsidR="00E17FA2" w:rsidRPr="000A22BB">
        <w:rPr>
          <w:noProof/>
        </w:rPr>
        <w:t xml:space="preserve">the Schengen </w:t>
      </w:r>
      <w:r w:rsidR="007A2BF1">
        <w:rPr>
          <w:noProof/>
        </w:rPr>
        <w:t>a</w:t>
      </w:r>
      <w:r w:rsidR="007A2BF1" w:rsidRPr="000A22BB">
        <w:rPr>
          <w:noProof/>
        </w:rPr>
        <w:t xml:space="preserve">rea </w:t>
      </w:r>
      <w:r>
        <w:rPr>
          <w:noProof/>
        </w:rPr>
        <w:t>through digitalisation</w:t>
      </w:r>
      <w:r w:rsidR="004E089F">
        <w:rPr>
          <w:noProof/>
        </w:rPr>
        <w:t xml:space="preserve"> and the interoperability framework at the borders</w:t>
      </w:r>
      <w:r w:rsidR="005C64AA">
        <w:rPr>
          <w:noProof/>
        </w:rPr>
        <w:t>. Therefore,</w:t>
      </w:r>
      <w:r w:rsidR="00E17FA2" w:rsidRPr="000A22BB">
        <w:rPr>
          <w:noProof/>
        </w:rPr>
        <w:t xml:space="preserve"> the amendments of the </w:t>
      </w:r>
      <w:r w:rsidR="00D471B5" w:rsidRPr="000A22BB">
        <w:rPr>
          <w:noProof/>
        </w:rPr>
        <w:t>rel</w:t>
      </w:r>
      <w:r w:rsidR="00D471B5">
        <w:rPr>
          <w:noProof/>
        </w:rPr>
        <w:t>evant</w:t>
      </w:r>
      <w:r w:rsidR="00D471B5" w:rsidRPr="000A22BB">
        <w:rPr>
          <w:noProof/>
        </w:rPr>
        <w:t xml:space="preserve"> </w:t>
      </w:r>
      <w:r w:rsidR="00D471B5" w:rsidRPr="00D471B5">
        <w:rPr>
          <w:noProof/>
        </w:rPr>
        <w:t>part</w:t>
      </w:r>
      <w:r w:rsidR="00D471B5">
        <w:rPr>
          <w:noProof/>
        </w:rPr>
        <w:t>s</w:t>
      </w:r>
      <w:r w:rsidR="00D471B5" w:rsidRPr="00D471B5">
        <w:rPr>
          <w:noProof/>
        </w:rPr>
        <w:t xml:space="preserve"> of the Schengen acquis </w:t>
      </w:r>
      <w:r w:rsidR="00E17FA2" w:rsidRPr="000A22BB">
        <w:rPr>
          <w:noProof/>
        </w:rPr>
        <w:t>(</w:t>
      </w:r>
      <w:r w:rsidR="003E29B3">
        <w:rPr>
          <w:noProof/>
        </w:rPr>
        <w:t xml:space="preserve">primarily </w:t>
      </w:r>
      <w:r w:rsidR="00E17FA2" w:rsidRPr="000A22BB">
        <w:rPr>
          <w:noProof/>
        </w:rPr>
        <w:t>the Visa Code and the V</w:t>
      </w:r>
      <w:r w:rsidR="007A2BF1">
        <w:rPr>
          <w:noProof/>
        </w:rPr>
        <w:t>IS</w:t>
      </w:r>
      <w:r w:rsidR="00E17FA2" w:rsidRPr="000A22BB">
        <w:rPr>
          <w:noProof/>
        </w:rPr>
        <w:t xml:space="preserve"> regulation</w:t>
      </w:r>
      <w:r w:rsidR="004E089F">
        <w:rPr>
          <w:noProof/>
        </w:rPr>
        <w:t xml:space="preserve"> and other related legislative acts</w:t>
      </w:r>
      <w:r w:rsidR="00476849">
        <w:rPr>
          <w:rStyle w:val="FootnoteReference"/>
          <w:noProof/>
        </w:rPr>
        <w:footnoteReference w:id="31"/>
      </w:r>
      <w:r w:rsidR="00E17FA2" w:rsidRPr="000A22BB">
        <w:rPr>
          <w:noProof/>
        </w:rPr>
        <w:t xml:space="preserve">) are only </w:t>
      </w:r>
      <w:r w:rsidR="00E17FA2" w:rsidRPr="00A140FD">
        <w:rPr>
          <w:noProof/>
        </w:rPr>
        <w:t>possible at Union level.</w:t>
      </w:r>
    </w:p>
    <w:p w14:paraId="08E39EF8" w14:textId="77777777" w:rsidR="00BA7C89" w:rsidRPr="00044058" w:rsidRDefault="00E17FA2" w:rsidP="00012221">
      <w:pPr>
        <w:pBdr>
          <w:top w:val="nil"/>
          <w:left w:val="nil"/>
          <w:bottom w:val="nil"/>
          <w:right w:val="nil"/>
          <w:between w:val="nil"/>
          <w:bar w:val="nil"/>
        </w:pBdr>
        <w:spacing w:before="0" w:after="240"/>
        <w:rPr>
          <w:rFonts w:eastAsia="Arial Unicode MS"/>
          <w:noProof/>
        </w:rPr>
      </w:pPr>
      <w:r>
        <w:rPr>
          <w:noProof/>
        </w:rPr>
        <w:t>By reason of scale, effects and impact of the envisaged actions, the objectives can only be achieved efficiently and systematically at EU level.</w:t>
      </w:r>
    </w:p>
    <w:p w14:paraId="1F5655DB" w14:textId="77777777" w:rsidR="00A40E24" w:rsidRDefault="00A40E24" w:rsidP="00012221">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14:paraId="4E286A28" w14:textId="77777777" w:rsidR="00A40E24" w:rsidRDefault="009A528E" w:rsidP="00012221">
      <w:pPr>
        <w:pBdr>
          <w:top w:val="nil"/>
          <w:left w:val="nil"/>
          <w:bottom w:val="nil"/>
          <w:right w:val="nil"/>
          <w:between w:val="nil"/>
          <w:bar w:val="nil"/>
        </w:pBdr>
        <w:spacing w:before="0" w:after="240"/>
        <w:rPr>
          <w:noProof/>
        </w:rPr>
      </w:pPr>
      <w:r>
        <w:rPr>
          <w:noProof/>
        </w:rPr>
        <w:t xml:space="preserve">According to the principle of proportionality laid down in Article 5(4) TEU, there is a need to match the nature and intensity of a given measure to the identified problem. All problems addressed in this legislative initiative call, in one way or another, for EU-level </w:t>
      </w:r>
      <w:r w:rsidR="00B03972">
        <w:rPr>
          <w:noProof/>
        </w:rPr>
        <w:t xml:space="preserve">legislative action enabling </w:t>
      </w:r>
      <w:r>
        <w:rPr>
          <w:noProof/>
        </w:rPr>
        <w:t>Member States to ta</w:t>
      </w:r>
      <w:r w:rsidR="00247490">
        <w:rPr>
          <w:noProof/>
        </w:rPr>
        <w:t>ckle these problems effectively.</w:t>
      </w:r>
    </w:p>
    <w:p w14:paraId="7F7D51D3" w14:textId="77777777" w:rsidR="00247490" w:rsidRDefault="00247490" w:rsidP="00F3241D">
      <w:pPr>
        <w:pBdr>
          <w:top w:val="nil"/>
          <w:left w:val="nil"/>
          <w:bottom w:val="nil"/>
          <w:right w:val="nil"/>
          <w:between w:val="nil"/>
          <w:bar w:val="nil"/>
        </w:pBdr>
        <w:spacing w:before="0" w:after="240"/>
        <w:rPr>
          <w:noProof/>
        </w:rPr>
      </w:pPr>
      <w:r>
        <w:rPr>
          <w:noProof/>
        </w:rPr>
        <w:t>The</w:t>
      </w:r>
      <w:r w:rsidR="00357A3A">
        <w:rPr>
          <w:noProof/>
        </w:rPr>
        <w:t xml:space="preserve"> proposal</w:t>
      </w:r>
      <w:r>
        <w:rPr>
          <w:noProof/>
        </w:rPr>
        <w:t xml:space="preserve"> </w:t>
      </w:r>
      <w:r w:rsidR="00357A3A">
        <w:rPr>
          <w:noProof/>
        </w:rPr>
        <w:t xml:space="preserve">envisages the </w:t>
      </w:r>
      <w:r>
        <w:rPr>
          <w:noProof/>
        </w:rPr>
        <w:t xml:space="preserve">mandatory </w:t>
      </w:r>
      <w:r w:rsidR="00357A3A">
        <w:rPr>
          <w:noProof/>
        </w:rPr>
        <w:t xml:space="preserve">replacement of the paper visa sticker with the </w:t>
      </w:r>
      <w:r>
        <w:rPr>
          <w:noProof/>
        </w:rPr>
        <w:t>digital visa and a mandatory EU visa application platform, in which all M</w:t>
      </w:r>
      <w:r w:rsidR="00357A3A">
        <w:rPr>
          <w:noProof/>
        </w:rPr>
        <w:t>ember States</w:t>
      </w:r>
      <w:r w:rsidR="004E089F">
        <w:rPr>
          <w:noProof/>
        </w:rPr>
        <w:t xml:space="preserve"> applying the Schengen </w:t>
      </w:r>
      <w:r w:rsidR="004E089F">
        <w:rPr>
          <w:i/>
          <w:noProof/>
        </w:rPr>
        <w:t xml:space="preserve">acquis </w:t>
      </w:r>
      <w:r w:rsidR="004E089F">
        <w:rPr>
          <w:noProof/>
        </w:rPr>
        <w:t>in full</w:t>
      </w:r>
      <w:r w:rsidR="00B03972">
        <w:rPr>
          <w:rStyle w:val="FootnoteReference"/>
          <w:noProof/>
        </w:rPr>
        <w:footnoteReference w:id="32"/>
      </w:r>
      <w:r>
        <w:rPr>
          <w:noProof/>
        </w:rPr>
        <w:t xml:space="preserve"> </w:t>
      </w:r>
      <w:r w:rsidR="00B03972">
        <w:rPr>
          <w:noProof/>
        </w:rPr>
        <w:t>and Schengen associated countries</w:t>
      </w:r>
      <w:r w:rsidR="00B03972">
        <w:rPr>
          <w:rStyle w:val="FootnoteReference"/>
          <w:noProof/>
        </w:rPr>
        <w:footnoteReference w:id="33"/>
      </w:r>
      <w:r w:rsidR="00B03972">
        <w:rPr>
          <w:noProof/>
        </w:rPr>
        <w:t xml:space="preserve"> </w:t>
      </w:r>
      <w:r>
        <w:rPr>
          <w:noProof/>
        </w:rPr>
        <w:t>would have to participate</w:t>
      </w:r>
      <w:r w:rsidR="004E5145">
        <w:rPr>
          <w:noProof/>
        </w:rPr>
        <w:t xml:space="preserve"> once the system start</w:t>
      </w:r>
      <w:r w:rsidR="007A2BF1">
        <w:rPr>
          <w:noProof/>
        </w:rPr>
        <w:t>s</w:t>
      </w:r>
      <w:r w:rsidR="004E5145">
        <w:rPr>
          <w:noProof/>
        </w:rPr>
        <w:t xml:space="preserve"> operation.</w:t>
      </w:r>
      <w:r>
        <w:rPr>
          <w:noProof/>
        </w:rPr>
        <w:t xml:space="preserve"> </w:t>
      </w:r>
      <w:r w:rsidR="004E5145">
        <w:rPr>
          <w:noProof/>
        </w:rPr>
        <w:t xml:space="preserve">It will be possible for Member States to avail themselves of </w:t>
      </w:r>
      <w:r>
        <w:rPr>
          <w:noProof/>
        </w:rPr>
        <w:t>a</w:t>
      </w:r>
      <w:r w:rsidR="004E5145">
        <w:rPr>
          <w:noProof/>
        </w:rPr>
        <w:t>n optional</w:t>
      </w:r>
      <w:r>
        <w:rPr>
          <w:noProof/>
        </w:rPr>
        <w:t xml:space="preserve"> transition period. </w:t>
      </w:r>
    </w:p>
    <w:p w14:paraId="05B90EEE" w14:textId="77777777" w:rsidR="00247490" w:rsidRDefault="00355545" w:rsidP="00247490">
      <w:pPr>
        <w:pBdr>
          <w:top w:val="nil"/>
          <w:left w:val="nil"/>
          <w:bottom w:val="nil"/>
          <w:right w:val="nil"/>
          <w:between w:val="nil"/>
          <w:bar w:val="nil"/>
        </w:pBdr>
        <w:spacing w:before="0" w:after="240"/>
        <w:rPr>
          <w:noProof/>
        </w:rPr>
      </w:pPr>
      <w:r>
        <w:rPr>
          <w:noProof/>
        </w:rPr>
        <w:t>The proposal</w:t>
      </w:r>
      <w:r w:rsidR="00247490">
        <w:rPr>
          <w:noProof/>
        </w:rPr>
        <w:t xml:space="preserve"> contribute</w:t>
      </w:r>
      <w:r w:rsidR="00357A3A">
        <w:rPr>
          <w:noProof/>
        </w:rPr>
        <w:t>s</w:t>
      </w:r>
      <w:r w:rsidR="00247490">
        <w:rPr>
          <w:noProof/>
        </w:rPr>
        <w:t xml:space="preserve"> to tackl</w:t>
      </w:r>
      <w:r w:rsidR="00297921">
        <w:rPr>
          <w:noProof/>
        </w:rPr>
        <w:t>ing</w:t>
      </w:r>
      <w:r w:rsidR="00247490">
        <w:rPr>
          <w:noProof/>
        </w:rPr>
        <w:t xml:space="preserve"> the root causes of the current problems</w:t>
      </w:r>
      <w:r w:rsidR="005B60A4">
        <w:rPr>
          <w:noProof/>
        </w:rPr>
        <w:t>. It</w:t>
      </w:r>
      <w:r w:rsidR="00247490">
        <w:rPr>
          <w:noProof/>
        </w:rPr>
        <w:t xml:space="preserve"> would </w:t>
      </w:r>
      <w:r w:rsidR="005B60A4">
        <w:rPr>
          <w:noProof/>
        </w:rPr>
        <w:t xml:space="preserve">put an end to </w:t>
      </w:r>
      <w:r w:rsidR="00247490">
        <w:rPr>
          <w:noProof/>
        </w:rPr>
        <w:t>the fragmented and paper-based visa application process and harmonise the current heterogeneous levels of digitalisation, while ensuring a high degree of security.</w:t>
      </w:r>
    </w:p>
    <w:p w14:paraId="277E7CEE" w14:textId="77777777" w:rsidR="00247490" w:rsidRPr="00247490" w:rsidRDefault="00357A3A" w:rsidP="00247490">
      <w:pPr>
        <w:pBdr>
          <w:top w:val="nil"/>
          <w:left w:val="nil"/>
          <w:bottom w:val="nil"/>
          <w:right w:val="nil"/>
          <w:between w:val="nil"/>
          <w:bar w:val="nil"/>
        </w:pBdr>
        <w:spacing w:before="0" w:after="240"/>
        <w:rPr>
          <w:rFonts w:eastAsia="Arial Unicode MS"/>
          <w:noProof/>
        </w:rPr>
      </w:pPr>
      <w:r>
        <w:rPr>
          <w:noProof/>
        </w:rPr>
        <w:t xml:space="preserve">This </w:t>
      </w:r>
      <w:r w:rsidR="00247490">
        <w:rPr>
          <w:noProof/>
        </w:rPr>
        <w:t>would not go beyond what is necessary to achieve the objectives</w:t>
      </w:r>
      <w:r w:rsidR="00355545">
        <w:rPr>
          <w:noProof/>
        </w:rPr>
        <w:t xml:space="preserve"> explained in the previous sections</w:t>
      </w:r>
      <w:r w:rsidR="00247490">
        <w:rPr>
          <w:noProof/>
        </w:rPr>
        <w:t xml:space="preserve">. </w:t>
      </w:r>
    </w:p>
    <w:p w14:paraId="3A8B8057" w14:textId="77777777" w:rsidR="00A40E24" w:rsidRDefault="00A40E24" w:rsidP="00012221">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14:paraId="14C76732" w14:textId="77777777" w:rsidR="005834E1" w:rsidRPr="005834E1" w:rsidRDefault="00534892" w:rsidP="00012221">
      <w:pPr>
        <w:pBdr>
          <w:top w:val="nil"/>
          <w:left w:val="nil"/>
          <w:bottom w:val="nil"/>
          <w:right w:val="nil"/>
          <w:between w:val="nil"/>
          <w:bar w:val="nil"/>
        </w:pBdr>
        <w:spacing w:before="0" w:after="240"/>
        <w:rPr>
          <w:noProof/>
        </w:rPr>
      </w:pPr>
      <w:r>
        <w:rPr>
          <w:noProof/>
        </w:rPr>
        <w:t>T</w:t>
      </w:r>
      <w:r w:rsidR="005834E1">
        <w:rPr>
          <w:noProof/>
        </w:rPr>
        <w:t>h</w:t>
      </w:r>
      <w:r w:rsidR="00B03972">
        <w:rPr>
          <w:noProof/>
        </w:rPr>
        <w:t>e</w:t>
      </w:r>
      <w:r w:rsidR="005834E1">
        <w:rPr>
          <w:noProof/>
        </w:rPr>
        <w:t xml:space="preserve"> </w:t>
      </w:r>
      <w:r w:rsidR="00B03972">
        <w:rPr>
          <w:noProof/>
        </w:rPr>
        <w:t xml:space="preserve">objectives of this </w:t>
      </w:r>
      <w:r w:rsidR="005834E1">
        <w:rPr>
          <w:noProof/>
        </w:rPr>
        <w:t xml:space="preserve">proposal </w:t>
      </w:r>
      <w:r w:rsidR="00B03972">
        <w:rPr>
          <w:noProof/>
        </w:rPr>
        <w:t xml:space="preserve">can be achieved by </w:t>
      </w:r>
      <w:r w:rsidR="005834E1">
        <w:rPr>
          <w:noProof/>
        </w:rPr>
        <w:t>a legislati</w:t>
      </w:r>
      <w:r w:rsidR="00E22CC7">
        <w:rPr>
          <w:noProof/>
        </w:rPr>
        <w:t>ve act</w:t>
      </w:r>
      <w:r w:rsidR="005834E1">
        <w:rPr>
          <w:noProof/>
        </w:rPr>
        <w:t xml:space="preserve"> that will modify the existing visa procedures.</w:t>
      </w:r>
      <w:r>
        <w:rPr>
          <w:noProof/>
        </w:rPr>
        <w:t xml:space="preserve"> Therefore, a regulation </w:t>
      </w:r>
      <w:r w:rsidR="005834E1">
        <w:rPr>
          <w:noProof/>
        </w:rPr>
        <w:t xml:space="preserve">amending Regulation (EC) No 767/2008, Regulation (EC) No 810/2009 and </w:t>
      </w:r>
      <w:r w:rsidR="007A2BF1">
        <w:rPr>
          <w:noProof/>
        </w:rPr>
        <w:t xml:space="preserve">consequential amendments of </w:t>
      </w:r>
      <w:r w:rsidR="005834E1">
        <w:rPr>
          <w:noProof/>
        </w:rPr>
        <w:t>other regulations</w:t>
      </w:r>
      <w:r w:rsidR="00B03972">
        <w:rPr>
          <w:noProof/>
        </w:rPr>
        <w:t xml:space="preserve"> is needed</w:t>
      </w:r>
      <w:r>
        <w:rPr>
          <w:noProof/>
        </w:rPr>
        <w:t xml:space="preserve">. </w:t>
      </w:r>
    </w:p>
    <w:p w14:paraId="40CE979F" w14:textId="77777777" w:rsidR="00A40E24" w:rsidRPr="00550536" w:rsidRDefault="00A40E24" w:rsidP="00012221">
      <w:pPr>
        <w:pStyle w:val="ManualHeading1"/>
        <w:rPr>
          <w:noProof/>
        </w:rPr>
      </w:pPr>
      <w:r w:rsidRPr="00550536">
        <w:rPr>
          <w:noProof/>
        </w:rPr>
        <w:t>3.</w:t>
      </w:r>
      <w:r w:rsidRPr="00550536">
        <w:rPr>
          <w:noProof/>
        </w:rPr>
        <w:tab/>
        <w:t>RESULTS OF EX-POST EVALUATIONS, STAKEHOLDER CONSULTATIONS AND IMPACT ASSESSMENTS</w:t>
      </w:r>
    </w:p>
    <w:p w14:paraId="509B79EA" w14:textId="77777777" w:rsidR="00A40E24" w:rsidRDefault="00A40E24" w:rsidP="00012221">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14:paraId="77A0E6F6" w14:textId="77777777" w:rsidR="007945B7" w:rsidRDefault="007945B7" w:rsidP="007945B7">
      <w:pPr>
        <w:pBdr>
          <w:top w:val="nil"/>
          <w:left w:val="nil"/>
          <w:bottom w:val="nil"/>
          <w:right w:val="nil"/>
          <w:between w:val="nil"/>
          <w:bar w:val="nil"/>
        </w:pBdr>
        <w:spacing w:before="0" w:after="240"/>
        <w:rPr>
          <w:rFonts w:eastAsia="Arial Unicode MS"/>
          <w:noProof/>
        </w:rPr>
      </w:pPr>
      <w:r>
        <w:rPr>
          <w:rFonts w:eastAsia="Arial Unicode MS"/>
          <w:noProof/>
        </w:rPr>
        <w:t>All</w:t>
      </w:r>
      <w:r w:rsidRPr="00200508">
        <w:rPr>
          <w:rFonts w:eastAsia="Arial Unicode MS"/>
          <w:noProof/>
        </w:rPr>
        <w:t xml:space="preserve"> stakeholders expressed wide support for the initiative, underlining the expected benefits and conveniences deriving from a modern, user-friendly digital solution, which is expected to facilitate administrative procedures. </w:t>
      </w:r>
    </w:p>
    <w:p w14:paraId="72C96D37" w14:textId="77777777" w:rsidR="007945B7" w:rsidRDefault="005C64AA" w:rsidP="007945B7">
      <w:pPr>
        <w:pBdr>
          <w:top w:val="nil"/>
          <w:left w:val="nil"/>
          <w:bottom w:val="nil"/>
          <w:right w:val="nil"/>
          <w:between w:val="nil"/>
          <w:bar w:val="nil"/>
        </w:pBdr>
        <w:spacing w:before="0" w:after="240"/>
        <w:rPr>
          <w:rFonts w:eastAsia="Arial Unicode MS"/>
          <w:noProof/>
        </w:rPr>
      </w:pPr>
      <w:r>
        <w:rPr>
          <w:rFonts w:asciiTheme="majorBidi" w:hAnsiTheme="majorBidi" w:cstheme="majorBidi"/>
          <w:noProof/>
        </w:rPr>
        <w:t>During consultations, a</w:t>
      </w:r>
      <w:r w:rsidR="007945B7" w:rsidRPr="00C22B33">
        <w:rPr>
          <w:rFonts w:asciiTheme="majorBidi" w:hAnsiTheme="majorBidi" w:cstheme="majorBidi"/>
          <w:noProof/>
        </w:rPr>
        <w:t xml:space="preserve">ll Member States </w:t>
      </w:r>
      <w:r>
        <w:rPr>
          <w:rFonts w:asciiTheme="majorBidi" w:hAnsiTheme="majorBidi" w:cstheme="majorBidi"/>
          <w:noProof/>
        </w:rPr>
        <w:t>expressed support for</w:t>
      </w:r>
      <w:r w:rsidRPr="00C22B33">
        <w:rPr>
          <w:rFonts w:asciiTheme="majorBidi" w:hAnsiTheme="majorBidi" w:cstheme="majorBidi"/>
          <w:noProof/>
        </w:rPr>
        <w:t xml:space="preserve"> </w:t>
      </w:r>
      <w:r w:rsidR="009751A1">
        <w:rPr>
          <w:rFonts w:asciiTheme="majorBidi" w:hAnsiTheme="majorBidi" w:cstheme="majorBidi"/>
          <w:noProof/>
        </w:rPr>
        <w:t xml:space="preserve">the introduction of </w:t>
      </w:r>
      <w:r w:rsidR="007945B7" w:rsidRPr="00455ED0">
        <w:rPr>
          <w:rFonts w:asciiTheme="majorBidi" w:hAnsiTheme="majorBidi" w:cstheme="majorBidi"/>
          <w:noProof/>
        </w:rPr>
        <w:t xml:space="preserve">a </w:t>
      </w:r>
      <w:r w:rsidR="007945B7" w:rsidRPr="002E5BC3">
        <w:rPr>
          <w:rFonts w:asciiTheme="majorBidi" w:hAnsiTheme="majorBidi" w:cstheme="majorBidi"/>
          <w:noProof/>
        </w:rPr>
        <w:t>digital visa</w:t>
      </w:r>
      <w:r w:rsidR="007945B7" w:rsidRPr="00455ED0">
        <w:rPr>
          <w:rFonts w:asciiTheme="majorBidi" w:hAnsiTheme="majorBidi" w:cstheme="majorBidi"/>
          <w:noProof/>
        </w:rPr>
        <w:t xml:space="preserve">. </w:t>
      </w:r>
      <w:r w:rsidR="009751A1">
        <w:rPr>
          <w:rFonts w:asciiTheme="majorBidi" w:hAnsiTheme="majorBidi" w:cstheme="majorBidi"/>
          <w:noProof/>
        </w:rPr>
        <w:t>The Member States</w:t>
      </w:r>
      <w:r w:rsidR="009751A1" w:rsidRPr="00455ED0">
        <w:rPr>
          <w:rFonts w:asciiTheme="majorBidi" w:hAnsiTheme="majorBidi" w:cstheme="majorBidi"/>
          <w:noProof/>
        </w:rPr>
        <w:t xml:space="preserve"> </w:t>
      </w:r>
      <w:r w:rsidR="007945B7" w:rsidRPr="00455ED0">
        <w:rPr>
          <w:rFonts w:asciiTheme="majorBidi" w:hAnsiTheme="majorBidi" w:cstheme="majorBidi"/>
          <w:noProof/>
        </w:rPr>
        <w:t>also support the extension of this digitalisation to long-stay visas</w:t>
      </w:r>
      <w:r w:rsidR="007945B7" w:rsidRPr="00455ED0">
        <w:rPr>
          <w:rFonts w:eastAsia="Arial Unicode MS"/>
          <w:noProof/>
        </w:rPr>
        <w:t xml:space="preserve">. </w:t>
      </w:r>
      <w:r w:rsidR="007945B7" w:rsidRPr="00455ED0">
        <w:rPr>
          <w:rFonts w:asciiTheme="majorBidi" w:hAnsiTheme="majorBidi" w:cstheme="majorBidi"/>
          <w:noProof/>
        </w:rPr>
        <w:t xml:space="preserve">Regarding the </w:t>
      </w:r>
      <w:r w:rsidR="007945B7" w:rsidRPr="002E5BC3">
        <w:rPr>
          <w:rFonts w:asciiTheme="majorBidi" w:hAnsiTheme="majorBidi" w:cstheme="majorBidi"/>
          <w:noProof/>
        </w:rPr>
        <w:t>EU online application platform</w:t>
      </w:r>
      <w:r w:rsidR="007945B7" w:rsidRPr="00455ED0">
        <w:rPr>
          <w:rFonts w:asciiTheme="majorBidi" w:hAnsiTheme="majorBidi" w:cstheme="majorBidi"/>
          <w:noProof/>
        </w:rPr>
        <w:t xml:space="preserve">, </w:t>
      </w:r>
      <w:r w:rsidR="004E089F">
        <w:rPr>
          <w:rFonts w:asciiTheme="majorBidi" w:hAnsiTheme="majorBidi" w:cstheme="majorBidi"/>
          <w:noProof/>
        </w:rPr>
        <w:t>a number of</w:t>
      </w:r>
      <w:r w:rsidR="007945B7" w:rsidRPr="00455ED0">
        <w:rPr>
          <w:rFonts w:asciiTheme="majorBidi" w:hAnsiTheme="majorBidi" w:cstheme="majorBidi"/>
          <w:noProof/>
        </w:rPr>
        <w:t xml:space="preserve"> Member States would favour the use of an EU application platform on a voluntary basis (</w:t>
      </w:r>
      <w:r w:rsidR="00D46636">
        <w:rPr>
          <w:rFonts w:asciiTheme="majorBidi" w:hAnsiTheme="majorBidi" w:cstheme="majorBidi"/>
          <w:noProof/>
        </w:rPr>
        <w:t>O</w:t>
      </w:r>
      <w:r w:rsidR="007945B7" w:rsidRPr="00455ED0">
        <w:rPr>
          <w:rFonts w:asciiTheme="majorBidi" w:hAnsiTheme="majorBidi" w:cstheme="majorBidi"/>
          <w:noProof/>
        </w:rPr>
        <w:t>ption 3</w:t>
      </w:r>
      <w:r w:rsidR="00B45A92">
        <w:rPr>
          <w:rFonts w:asciiTheme="majorBidi" w:hAnsiTheme="majorBidi" w:cstheme="majorBidi"/>
          <w:noProof/>
        </w:rPr>
        <w:t>, described below</w:t>
      </w:r>
      <w:r w:rsidR="007945B7" w:rsidRPr="00455ED0">
        <w:rPr>
          <w:rFonts w:asciiTheme="majorBidi" w:hAnsiTheme="majorBidi" w:cstheme="majorBidi"/>
          <w:noProof/>
        </w:rPr>
        <w:t>) w</w:t>
      </w:r>
      <w:r w:rsidR="007945B7" w:rsidRPr="00C22B33">
        <w:rPr>
          <w:rFonts w:asciiTheme="majorBidi" w:hAnsiTheme="majorBidi" w:cstheme="majorBidi"/>
          <w:noProof/>
        </w:rPr>
        <w:t xml:space="preserve">hereas </w:t>
      </w:r>
      <w:r w:rsidR="004E089F">
        <w:rPr>
          <w:rFonts w:asciiTheme="majorBidi" w:hAnsiTheme="majorBidi" w:cstheme="majorBidi"/>
          <w:noProof/>
        </w:rPr>
        <w:t>others</w:t>
      </w:r>
      <w:r w:rsidR="007945B7" w:rsidRPr="00C22B33">
        <w:rPr>
          <w:rFonts w:asciiTheme="majorBidi" w:hAnsiTheme="majorBidi" w:cstheme="majorBidi"/>
          <w:noProof/>
        </w:rPr>
        <w:t xml:space="preserve"> </w:t>
      </w:r>
      <w:r w:rsidR="00BD0024">
        <w:rPr>
          <w:rFonts w:asciiTheme="majorBidi" w:hAnsiTheme="majorBidi" w:cstheme="majorBidi"/>
          <w:noProof/>
        </w:rPr>
        <w:t>supported the</w:t>
      </w:r>
      <w:r w:rsidR="007945B7" w:rsidRPr="00C22B33">
        <w:rPr>
          <w:rFonts w:asciiTheme="majorBidi" w:hAnsiTheme="majorBidi" w:cstheme="majorBidi"/>
          <w:noProof/>
        </w:rPr>
        <w:t xml:space="preserve"> mandatory use of the plat</w:t>
      </w:r>
      <w:r w:rsidR="007945B7">
        <w:rPr>
          <w:rFonts w:asciiTheme="majorBidi" w:hAnsiTheme="majorBidi" w:cstheme="majorBidi"/>
          <w:noProof/>
        </w:rPr>
        <w:t>form with a transition period (</w:t>
      </w:r>
      <w:r w:rsidR="00D46636">
        <w:rPr>
          <w:rFonts w:asciiTheme="majorBidi" w:hAnsiTheme="majorBidi" w:cstheme="majorBidi"/>
          <w:noProof/>
        </w:rPr>
        <w:t>O</w:t>
      </w:r>
      <w:r w:rsidR="007945B7">
        <w:rPr>
          <w:rFonts w:asciiTheme="majorBidi" w:hAnsiTheme="majorBidi" w:cstheme="majorBidi"/>
          <w:noProof/>
        </w:rPr>
        <w:t xml:space="preserve">ption </w:t>
      </w:r>
      <w:r w:rsidR="007945B7" w:rsidRPr="00C22B33">
        <w:rPr>
          <w:rFonts w:asciiTheme="majorBidi" w:hAnsiTheme="majorBidi" w:cstheme="majorBidi"/>
          <w:noProof/>
        </w:rPr>
        <w:t>4</w:t>
      </w:r>
      <w:r w:rsidR="00B45A92">
        <w:rPr>
          <w:rFonts w:asciiTheme="majorBidi" w:hAnsiTheme="majorBidi" w:cstheme="majorBidi"/>
          <w:noProof/>
        </w:rPr>
        <w:t>, described below</w:t>
      </w:r>
      <w:r w:rsidR="007945B7" w:rsidRPr="00C22B33">
        <w:rPr>
          <w:rFonts w:asciiTheme="majorBidi" w:hAnsiTheme="majorBidi" w:cstheme="majorBidi"/>
          <w:noProof/>
        </w:rPr>
        <w:t>).</w:t>
      </w:r>
      <w:r w:rsidR="007945B7" w:rsidRPr="00200508">
        <w:rPr>
          <w:rFonts w:asciiTheme="majorBidi" w:hAnsiTheme="majorBidi" w:cstheme="majorBidi"/>
          <w:noProof/>
        </w:rPr>
        <w:t xml:space="preserve"> </w:t>
      </w:r>
    </w:p>
    <w:p w14:paraId="346FCEF1" w14:textId="77777777" w:rsidR="007945B7" w:rsidRPr="00C22B33" w:rsidRDefault="007945B7" w:rsidP="007945B7">
      <w:pPr>
        <w:rPr>
          <w:rFonts w:asciiTheme="majorBidi" w:hAnsiTheme="majorBidi" w:cstheme="majorBidi"/>
          <w:noProof/>
        </w:rPr>
      </w:pPr>
      <w:r w:rsidRPr="00C22B33">
        <w:rPr>
          <w:rFonts w:asciiTheme="majorBidi" w:hAnsiTheme="majorBidi" w:cstheme="majorBidi"/>
          <w:noProof/>
        </w:rPr>
        <w:t xml:space="preserve">The Fundamental Rights Agency </w:t>
      </w:r>
      <w:r>
        <w:rPr>
          <w:rFonts w:asciiTheme="majorBidi" w:hAnsiTheme="majorBidi" w:cstheme="majorBidi"/>
          <w:noProof/>
        </w:rPr>
        <w:t xml:space="preserve">as well as national data protection authorities </w:t>
      </w:r>
      <w:r w:rsidRPr="00C22B33">
        <w:rPr>
          <w:rFonts w:asciiTheme="majorBidi" w:hAnsiTheme="majorBidi" w:cstheme="majorBidi"/>
          <w:noProof/>
        </w:rPr>
        <w:t xml:space="preserve">emphasised the need to adhere to the </w:t>
      </w:r>
      <w:r w:rsidR="007A2BF1">
        <w:rPr>
          <w:rFonts w:asciiTheme="majorBidi" w:hAnsiTheme="majorBidi" w:cstheme="majorBidi"/>
          <w:noProof/>
        </w:rPr>
        <w:t>data protection</w:t>
      </w:r>
      <w:r w:rsidRPr="00C22B33">
        <w:rPr>
          <w:rFonts w:asciiTheme="majorBidi" w:hAnsiTheme="majorBidi" w:cstheme="majorBidi"/>
          <w:noProof/>
        </w:rPr>
        <w:t xml:space="preserve"> principles of</w:t>
      </w:r>
      <w:r w:rsidRPr="00C22B33" w:rsidDel="004C0C43">
        <w:rPr>
          <w:rFonts w:asciiTheme="majorBidi" w:hAnsiTheme="majorBidi" w:cstheme="majorBidi"/>
          <w:noProof/>
        </w:rPr>
        <w:t xml:space="preserve"> </w:t>
      </w:r>
      <w:r w:rsidRPr="00C22B33">
        <w:rPr>
          <w:rFonts w:asciiTheme="majorBidi" w:hAnsiTheme="majorBidi" w:cstheme="majorBidi"/>
          <w:noProof/>
        </w:rPr>
        <w:t xml:space="preserve">‘purpose limitation’ and ‘data minimisation’ when collecting personal data, the importance of clearly defining which authorities have access to which data and the need for the digital application process to be accessible for people with disabilities. </w:t>
      </w:r>
      <w:r>
        <w:rPr>
          <w:rFonts w:asciiTheme="majorBidi" w:hAnsiTheme="majorBidi" w:cstheme="majorBidi"/>
          <w:noProof/>
        </w:rPr>
        <w:t xml:space="preserve"> </w:t>
      </w:r>
    </w:p>
    <w:p w14:paraId="4062C60C" w14:textId="77777777" w:rsidR="00411E86" w:rsidRDefault="007945B7" w:rsidP="007945B7">
      <w:pPr>
        <w:pBdr>
          <w:top w:val="nil"/>
          <w:left w:val="nil"/>
          <w:bottom w:val="nil"/>
          <w:right w:val="nil"/>
          <w:between w:val="nil"/>
          <w:bar w:val="nil"/>
        </w:pBdr>
        <w:spacing w:before="0" w:after="240"/>
        <w:rPr>
          <w:rFonts w:asciiTheme="majorBidi" w:hAnsiTheme="majorBidi" w:cstheme="majorBidi"/>
          <w:noProof/>
        </w:rPr>
      </w:pPr>
      <w:r w:rsidRPr="003E4F2E">
        <w:rPr>
          <w:rFonts w:asciiTheme="majorBidi" w:hAnsiTheme="majorBidi" w:cstheme="majorBidi"/>
          <w:noProof/>
        </w:rPr>
        <w:t xml:space="preserve">As regards the different policy options, national data protection authorities expressed a preference for </w:t>
      </w:r>
      <w:r w:rsidR="00B45A92">
        <w:rPr>
          <w:rFonts w:asciiTheme="majorBidi" w:hAnsiTheme="majorBidi" w:cstheme="majorBidi"/>
          <w:noProof/>
        </w:rPr>
        <w:t>the</w:t>
      </w:r>
      <w:r w:rsidRPr="003E4F2E">
        <w:rPr>
          <w:rFonts w:asciiTheme="majorBidi" w:hAnsiTheme="majorBidi" w:cstheme="majorBidi"/>
          <w:noProof/>
        </w:rPr>
        <w:t xml:space="preserve"> </w:t>
      </w:r>
      <w:r w:rsidR="00B45A92" w:rsidRPr="003E4F2E">
        <w:rPr>
          <w:rFonts w:eastAsia="Arial Unicode MS"/>
          <w:noProof/>
        </w:rPr>
        <w:t>development and building of an EU visa application platform</w:t>
      </w:r>
      <w:r w:rsidR="00B45A92">
        <w:rPr>
          <w:rFonts w:eastAsia="Arial Unicode MS"/>
          <w:noProof/>
        </w:rPr>
        <w:t xml:space="preserve">, either on a voluntary </w:t>
      </w:r>
      <w:r w:rsidR="005C64AA">
        <w:rPr>
          <w:rFonts w:eastAsia="Arial Unicode MS"/>
          <w:noProof/>
        </w:rPr>
        <w:t xml:space="preserve">or mandatory </w:t>
      </w:r>
      <w:r w:rsidR="00B45A92">
        <w:rPr>
          <w:rFonts w:eastAsia="Arial Unicode MS"/>
          <w:noProof/>
        </w:rPr>
        <w:t>basis</w:t>
      </w:r>
      <w:r w:rsidR="00B45A92">
        <w:rPr>
          <w:rFonts w:asciiTheme="majorBidi" w:hAnsiTheme="majorBidi" w:cstheme="majorBidi"/>
          <w:noProof/>
        </w:rPr>
        <w:t xml:space="preserve"> (</w:t>
      </w:r>
      <w:r w:rsidRPr="003E4F2E">
        <w:rPr>
          <w:rFonts w:asciiTheme="majorBidi" w:hAnsiTheme="majorBidi" w:cstheme="majorBidi"/>
          <w:noProof/>
        </w:rPr>
        <w:t>options 3 and 4</w:t>
      </w:r>
      <w:r w:rsidR="00B45A92">
        <w:rPr>
          <w:rFonts w:asciiTheme="majorBidi" w:hAnsiTheme="majorBidi" w:cstheme="majorBidi"/>
          <w:noProof/>
        </w:rPr>
        <w:t>, respectively, described below)</w:t>
      </w:r>
      <w:r w:rsidRPr="003E4F2E">
        <w:rPr>
          <w:rFonts w:asciiTheme="majorBidi" w:hAnsiTheme="majorBidi" w:cstheme="majorBidi"/>
          <w:noProof/>
        </w:rPr>
        <w:t xml:space="preserve">. </w:t>
      </w:r>
    </w:p>
    <w:p w14:paraId="285493AD" w14:textId="77777777" w:rsidR="007945B7" w:rsidRDefault="0069258E" w:rsidP="007945B7">
      <w:pPr>
        <w:pBdr>
          <w:top w:val="nil"/>
          <w:left w:val="nil"/>
          <w:bottom w:val="nil"/>
          <w:right w:val="nil"/>
          <w:between w:val="nil"/>
          <w:bar w:val="nil"/>
        </w:pBdr>
        <w:spacing w:before="0" w:after="240"/>
        <w:rPr>
          <w:rFonts w:eastAsia="Arial Unicode MS"/>
          <w:noProof/>
        </w:rPr>
      </w:pPr>
      <w:r>
        <w:rPr>
          <w:noProof/>
          <w:lang w:val="en-IE"/>
        </w:rPr>
        <w:t>T</w:t>
      </w:r>
      <w:r w:rsidR="00411E86">
        <w:rPr>
          <w:noProof/>
          <w:lang w:val="en-IE"/>
        </w:rPr>
        <w:t xml:space="preserve">he Commission </w:t>
      </w:r>
      <w:r>
        <w:rPr>
          <w:noProof/>
          <w:lang w:val="en-IE"/>
        </w:rPr>
        <w:t>also</w:t>
      </w:r>
      <w:r w:rsidRPr="000B00DE">
        <w:rPr>
          <w:noProof/>
          <w:lang w:val="en-IE"/>
        </w:rPr>
        <w:t xml:space="preserve"> </w:t>
      </w:r>
      <w:r w:rsidR="00411E86" w:rsidRPr="000B00DE">
        <w:rPr>
          <w:noProof/>
          <w:lang w:val="en-IE"/>
        </w:rPr>
        <w:t xml:space="preserve">consulted </w:t>
      </w:r>
      <w:r w:rsidR="00411E86">
        <w:rPr>
          <w:noProof/>
          <w:lang w:val="en-IE"/>
        </w:rPr>
        <w:t>all relevant stakeholders, including t</w:t>
      </w:r>
      <w:r w:rsidR="00411E86" w:rsidRPr="003E4F2E">
        <w:rPr>
          <w:rFonts w:asciiTheme="majorBidi" w:hAnsiTheme="majorBidi" w:cstheme="majorBidi"/>
          <w:noProof/>
        </w:rPr>
        <w:t>he Fundamental Rights Agency, Europol, the European Data Protection Supervisor (EDPS) as w</w:t>
      </w:r>
      <w:r w:rsidR="00411E86">
        <w:rPr>
          <w:rFonts w:eastAsia="Arial Unicode MS"/>
          <w:noProof/>
        </w:rPr>
        <w:t>ell as national data protection authorities</w:t>
      </w:r>
      <w:r w:rsidR="00411E86" w:rsidRPr="000B00DE">
        <w:rPr>
          <w:noProof/>
          <w:lang w:val="en-IE"/>
        </w:rPr>
        <w:t xml:space="preserve"> on a fully digital visa applica</w:t>
      </w:r>
      <w:r w:rsidR="00411E86">
        <w:rPr>
          <w:noProof/>
          <w:lang w:val="en-IE"/>
        </w:rPr>
        <w:t>t</w:t>
      </w:r>
      <w:r w:rsidR="00411E86" w:rsidRPr="000B00DE">
        <w:rPr>
          <w:noProof/>
          <w:lang w:val="en-IE"/>
        </w:rPr>
        <w:t>ion procedure</w:t>
      </w:r>
      <w:r w:rsidR="00411E86">
        <w:rPr>
          <w:noProof/>
          <w:lang w:val="en-IE"/>
        </w:rPr>
        <w:t xml:space="preserve"> which would have exempted travellers from visiting consulates or </w:t>
      </w:r>
      <w:r w:rsidR="00522295">
        <w:rPr>
          <w:noProof/>
          <w:lang w:val="en-IE"/>
        </w:rPr>
        <w:t>external service provider</w:t>
      </w:r>
      <w:r w:rsidR="00411E86">
        <w:rPr>
          <w:noProof/>
          <w:lang w:val="en-IE"/>
        </w:rPr>
        <w:t xml:space="preserve">s to submit their biometrics (see </w:t>
      </w:r>
      <w:r w:rsidR="00D46636">
        <w:rPr>
          <w:noProof/>
          <w:lang w:val="en-IE"/>
        </w:rPr>
        <w:t>O</w:t>
      </w:r>
      <w:r w:rsidR="00411E86">
        <w:rPr>
          <w:noProof/>
          <w:lang w:val="en-IE"/>
        </w:rPr>
        <w:t>ption 5 below)</w:t>
      </w:r>
      <w:r>
        <w:rPr>
          <w:noProof/>
          <w:lang w:val="en-IE"/>
        </w:rPr>
        <w:t>. T</w:t>
      </w:r>
      <w:r w:rsidR="00411E86" w:rsidRPr="000B00DE">
        <w:rPr>
          <w:noProof/>
          <w:lang w:val="en-IE"/>
        </w:rPr>
        <w:t>his</w:t>
      </w:r>
      <w:r w:rsidR="00411E86">
        <w:rPr>
          <w:noProof/>
          <w:lang w:val="en-IE"/>
        </w:rPr>
        <w:t xml:space="preserve"> was opposed</w:t>
      </w:r>
      <w:r w:rsidR="00411E86" w:rsidRPr="000B00DE">
        <w:rPr>
          <w:noProof/>
          <w:lang w:val="en-IE"/>
        </w:rPr>
        <w:t xml:space="preserve"> </w:t>
      </w:r>
      <w:r w:rsidR="00411E86">
        <w:rPr>
          <w:noProof/>
          <w:lang w:val="en-IE"/>
        </w:rPr>
        <w:t>by most stakeholders</w:t>
      </w:r>
      <w:r w:rsidR="00411E86" w:rsidRPr="00EC0933">
        <w:rPr>
          <w:noProof/>
          <w:lang w:val="en-IE"/>
        </w:rPr>
        <w:t xml:space="preserve"> </w:t>
      </w:r>
      <w:r w:rsidR="007945B7">
        <w:rPr>
          <w:rFonts w:eastAsia="Arial Unicode MS"/>
          <w:noProof/>
        </w:rPr>
        <w:t xml:space="preserve">in particular due to the remote collection of biometrics. In general, the EDPS </w:t>
      </w:r>
      <w:r w:rsidR="007945B7" w:rsidRPr="00455ED0">
        <w:rPr>
          <w:rFonts w:eastAsia="Arial Unicode MS"/>
          <w:noProof/>
        </w:rPr>
        <w:t>explained that the higher degree of digitalisation of the options, the greater the risks to data protection</w:t>
      </w:r>
      <w:r w:rsidR="007945B7">
        <w:rPr>
          <w:rFonts w:eastAsia="Arial Unicode MS"/>
          <w:noProof/>
        </w:rPr>
        <w:t xml:space="preserve">. </w:t>
      </w:r>
      <w:r w:rsidR="007945B7" w:rsidRPr="002C611C">
        <w:rPr>
          <w:rFonts w:eastAsia="Arial Unicode MS"/>
          <w:noProof/>
        </w:rPr>
        <w:t xml:space="preserve">The Commission took the feedback of the </w:t>
      </w:r>
      <w:r w:rsidR="007945B7">
        <w:rPr>
          <w:rFonts w:eastAsia="Arial Unicode MS"/>
          <w:noProof/>
        </w:rPr>
        <w:t>EU agencies and national authorities</w:t>
      </w:r>
      <w:r w:rsidR="007945B7" w:rsidRPr="002C611C">
        <w:rPr>
          <w:rFonts w:eastAsia="Arial Unicode MS"/>
          <w:noProof/>
        </w:rPr>
        <w:t xml:space="preserve"> in close consideration, including as regards the concerns raised by the online collection of biometrics under </w:t>
      </w:r>
      <w:r w:rsidR="00D46636">
        <w:rPr>
          <w:rFonts w:eastAsia="Arial Unicode MS"/>
          <w:noProof/>
        </w:rPr>
        <w:t>O</w:t>
      </w:r>
      <w:r w:rsidR="007A2BF1">
        <w:rPr>
          <w:rFonts w:eastAsia="Arial Unicode MS"/>
          <w:noProof/>
        </w:rPr>
        <w:t xml:space="preserve">ption </w:t>
      </w:r>
      <w:r w:rsidR="007945B7" w:rsidRPr="002C611C">
        <w:rPr>
          <w:rFonts w:eastAsia="Arial Unicode MS"/>
          <w:noProof/>
        </w:rPr>
        <w:t>5.</w:t>
      </w:r>
    </w:p>
    <w:p w14:paraId="4FB21B1B" w14:textId="77777777" w:rsidR="00BE1951" w:rsidRDefault="00BE1951" w:rsidP="007945B7">
      <w:pPr>
        <w:pBdr>
          <w:top w:val="nil"/>
          <w:left w:val="nil"/>
          <w:bottom w:val="nil"/>
          <w:right w:val="nil"/>
          <w:between w:val="nil"/>
          <w:bar w:val="nil"/>
        </w:pBdr>
        <w:spacing w:before="0" w:after="240"/>
        <w:rPr>
          <w:rFonts w:eastAsia="Arial Unicode MS"/>
          <w:noProof/>
        </w:rPr>
      </w:pPr>
      <w:r w:rsidRPr="00BE1951">
        <w:rPr>
          <w:rFonts w:eastAsia="Arial Unicode MS"/>
          <w:noProof/>
        </w:rPr>
        <w:t>Frontex indicated that the introduction of a digital visa would be welcome as it will make forging visa stickers even more difficult (no more “physical” visa). In addition, the high operating costs of the visa sticker would disappear.</w:t>
      </w:r>
    </w:p>
    <w:p w14:paraId="7EC6AAAE" w14:textId="77777777" w:rsidR="007945B7" w:rsidRDefault="007945B7" w:rsidP="007945B7">
      <w:pPr>
        <w:pBdr>
          <w:top w:val="nil"/>
          <w:left w:val="nil"/>
          <w:bottom w:val="nil"/>
          <w:right w:val="nil"/>
          <w:between w:val="nil"/>
          <w:bar w:val="nil"/>
        </w:pBdr>
        <w:spacing w:before="0" w:after="240"/>
        <w:rPr>
          <w:rFonts w:eastAsia="Arial Unicode MS"/>
          <w:noProof/>
        </w:rPr>
      </w:pPr>
      <w:r w:rsidRPr="00455ED0">
        <w:rPr>
          <w:rFonts w:asciiTheme="majorBidi" w:hAnsiTheme="majorBidi" w:cstheme="majorBidi"/>
          <w:noProof/>
        </w:rPr>
        <w:t xml:space="preserve">Representatives of the travel and tourism industry </w:t>
      </w:r>
      <w:r w:rsidRPr="002E5BC3">
        <w:rPr>
          <w:rFonts w:asciiTheme="majorBidi" w:hAnsiTheme="majorBidi" w:cstheme="majorBidi"/>
          <w:noProof/>
        </w:rPr>
        <w:t xml:space="preserve">supported unanimously </w:t>
      </w:r>
      <w:r w:rsidR="00D46636">
        <w:rPr>
          <w:rFonts w:asciiTheme="majorBidi" w:hAnsiTheme="majorBidi" w:cstheme="majorBidi"/>
          <w:noProof/>
        </w:rPr>
        <w:t>O</w:t>
      </w:r>
      <w:r w:rsidRPr="002E5BC3">
        <w:rPr>
          <w:rFonts w:asciiTheme="majorBidi" w:hAnsiTheme="majorBidi" w:cstheme="majorBidi"/>
          <w:noProof/>
        </w:rPr>
        <w:t>ption 4.</w:t>
      </w:r>
      <w:r w:rsidRPr="00455ED0">
        <w:rPr>
          <w:rFonts w:asciiTheme="majorBidi" w:hAnsiTheme="majorBidi" w:cstheme="majorBidi"/>
          <w:noProof/>
        </w:rPr>
        <w:t xml:space="preserve"> They</w:t>
      </w:r>
      <w:r w:rsidRPr="00C22B33">
        <w:rPr>
          <w:rFonts w:asciiTheme="majorBidi" w:hAnsiTheme="majorBidi" w:cstheme="majorBidi"/>
          <w:noProof/>
        </w:rPr>
        <w:t xml:space="preserve"> highlighted that this would facilitate the application procedure for visa applicants, as well as the positive impact on </w:t>
      </w:r>
      <w:r w:rsidR="009751A1">
        <w:rPr>
          <w:rFonts w:asciiTheme="majorBidi" w:hAnsiTheme="majorBidi" w:cstheme="majorBidi"/>
          <w:noProof/>
        </w:rPr>
        <w:t>travel</w:t>
      </w:r>
      <w:r w:rsidRPr="00C22B33">
        <w:rPr>
          <w:rFonts w:asciiTheme="majorBidi" w:hAnsiTheme="majorBidi" w:cstheme="majorBidi"/>
          <w:noProof/>
        </w:rPr>
        <w:t xml:space="preserve"> to the EU and the increased attractiveness of the EU as a travel destination. They underlined the need for the EU to offer a seamless travel experience equivalent to the one proposed by countries like Australia, in particular towards travellers from Asian countries subject to visa requirements. Whilst also showing an interest in </w:t>
      </w:r>
      <w:r w:rsidR="00D46636">
        <w:rPr>
          <w:rFonts w:asciiTheme="majorBidi" w:hAnsiTheme="majorBidi" w:cstheme="majorBidi"/>
          <w:noProof/>
        </w:rPr>
        <w:t>O</w:t>
      </w:r>
      <w:r w:rsidR="007A2BF1">
        <w:rPr>
          <w:rFonts w:asciiTheme="majorBidi" w:hAnsiTheme="majorBidi" w:cstheme="majorBidi"/>
          <w:noProof/>
        </w:rPr>
        <w:t xml:space="preserve">ption </w:t>
      </w:r>
      <w:r w:rsidRPr="00C22B33">
        <w:rPr>
          <w:rFonts w:asciiTheme="majorBidi" w:hAnsiTheme="majorBidi" w:cstheme="majorBidi"/>
          <w:noProof/>
        </w:rPr>
        <w:t>5, they recognised it could pose security challenges.</w:t>
      </w:r>
      <w:r>
        <w:rPr>
          <w:rFonts w:asciiTheme="majorBidi" w:hAnsiTheme="majorBidi" w:cstheme="majorBidi"/>
          <w:noProof/>
        </w:rPr>
        <w:t xml:space="preserve"> </w:t>
      </w:r>
      <w:r w:rsidRPr="00200508">
        <w:rPr>
          <w:rFonts w:eastAsia="Arial Unicode MS"/>
          <w:noProof/>
        </w:rPr>
        <w:t>The responding business organisations</w:t>
      </w:r>
      <w:r>
        <w:rPr>
          <w:rFonts w:eastAsia="Arial Unicode MS"/>
          <w:noProof/>
        </w:rPr>
        <w:t xml:space="preserve"> also</w:t>
      </w:r>
      <w:r w:rsidRPr="00200508">
        <w:rPr>
          <w:rFonts w:eastAsia="Arial Unicode MS"/>
          <w:noProof/>
        </w:rPr>
        <w:t xml:space="preserve"> underlined the need to ensure data security, and to envisage a transitional period to ensure a smooth transition from paper-based to digital solutions, as well as a need for fall-back solutions in case of technical issues. </w:t>
      </w:r>
    </w:p>
    <w:p w14:paraId="268EC72E" w14:textId="77777777" w:rsidR="007945B7" w:rsidRPr="00C22B33" w:rsidRDefault="007945B7" w:rsidP="007945B7">
      <w:pPr>
        <w:tabs>
          <w:tab w:val="left" w:pos="3398"/>
        </w:tabs>
        <w:rPr>
          <w:rFonts w:asciiTheme="majorBidi" w:hAnsiTheme="majorBidi" w:cstheme="majorBidi"/>
          <w:noProof/>
        </w:rPr>
      </w:pPr>
      <w:r w:rsidRPr="00C22B33">
        <w:rPr>
          <w:rFonts w:asciiTheme="majorBidi" w:hAnsiTheme="majorBidi" w:cstheme="majorBidi"/>
          <w:noProof/>
        </w:rPr>
        <w:t xml:space="preserve">The results of </w:t>
      </w:r>
      <w:r w:rsidR="00411E86">
        <w:rPr>
          <w:rFonts w:asciiTheme="majorBidi" w:hAnsiTheme="majorBidi" w:cstheme="majorBidi"/>
          <w:noProof/>
        </w:rPr>
        <w:t>a</w:t>
      </w:r>
      <w:r w:rsidR="00411E86" w:rsidRPr="00C22B33">
        <w:rPr>
          <w:rFonts w:asciiTheme="majorBidi" w:hAnsiTheme="majorBidi" w:cstheme="majorBidi"/>
          <w:noProof/>
        </w:rPr>
        <w:t xml:space="preserve"> </w:t>
      </w:r>
      <w:r w:rsidRPr="00C22B33">
        <w:rPr>
          <w:rFonts w:asciiTheme="majorBidi" w:hAnsiTheme="majorBidi" w:cstheme="majorBidi"/>
          <w:noProof/>
        </w:rPr>
        <w:t>public consultation</w:t>
      </w:r>
      <w:r w:rsidR="00411E86">
        <w:rPr>
          <w:rFonts w:asciiTheme="majorBidi" w:hAnsiTheme="majorBidi" w:cstheme="majorBidi"/>
          <w:noProof/>
        </w:rPr>
        <w:t xml:space="preserve"> held from March to June 2021</w:t>
      </w:r>
      <w:r>
        <w:rPr>
          <w:rFonts w:asciiTheme="majorBidi" w:hAnsiTheme="majorBidi" w:cstheme="majorBidi"/>
          <w:noProof/>
        </w:rPr>
        <w:t xml:space="preserve"> also</w:t>
      </w:r>
      <w:r w:rsidRPr="00C22B33">
        <w:rPr>
          <w:rFonts w:asciiTheme="majorBidi" w:hAnsiTheme="majorBidi" w:cstheme="majorBidi"/>
          <w:noProof/>
        </w:rPr>
        <w:t xml:space="preserve"> show</w:t>
      </w:r>
      <w:r w:rsidR="00572556">
        <w:rPr>
          <w:rFonts w:asciiTheme="majorBidi" w:hAnsiTheme="majorBidi" w:cstheme="majorBidi"/>
          <w:noProof/>
        </w:rPr>
        <w:t xml:space="preserve"> a</w:t>
      </w:r>
      <w:r w:rsidRPr="00C22B33">
        <w:rPr>
          <w:rFonts w:asciiTheme="majorBidi" w:hAnsiTheme="majorBidi" w:cstheme="majorBidi"/>
          <w:noProof/>
        </w:rPr>
        <w:t xml:space="preserve"> </w:t>
      </w:r>
      <w:r w:rsidRPr="002E5BC3">
        <w:rPr>
          <w:rFonts w:asciiTheme="majorBidi" w:hAnsiTheme="majorBidi" w:cstheme="majorBidi"/>
          <w:noProof/>
        </w:rPr>
        <w:t xml:space="preserve">very strong support for the digitalisation process, </w:t>
      </w:r>
      <w:r w:rsidRPr="00455ED0">
        <w:rPr>
          <w:rFonts w:asciiTheme="majorBidi" w:hAnsiTheme="majorBidi" w:cstheme="majorBidi"/>
          <w:noProof/>
        </w:rPr>
        <w:t>both regarding the digital visa and the possibility to apply online</w:t>
      </w:r>
      <w:r w:rsidR="00B53E71">
        <w:rPr>
          <w:rFonts w:asciiTheme="majorBidi" w:hAnsiTheme="majorBidi" w:cstheme="majorBidi"/>
          <w:noProof/>
        </w:rPr>
        <w:t xml:space="preserve"> (</w:t>
      </w:r>
      <w:r w:rsidR="00B53E71" w:rsidRPr="0007382F">
        <w:rPr>
          <w:rFonts w:asciiTheme="majorBidi" w:hAnsiTheme="majorBidi" w:cstheme="majorBidi"/>
          <w:noProof/>
          <w:szCs w:val="24"/>
        </w:rPr>
        <w:t xml:space="preserve">515 </w:t>
      </w:r>
      <w:r w:rsidR="00B53E71">
        <w:rPr>
          <w:rFonts w:asciiTheme="majorBidi" w:hAnsiTheme="majorBidi" w:cstheme="majorBidi"/>
          <w:noProof/>
          <w:szCs w:val="24"/>
        </w:rPr>
        <w:t>responses)</w:t>
      </w:r>
      <w:r w:rsidRPr="00455ED0">
        <w:rPr>
          <w:rFonts w:asciiTheme="majorBidi" w:hAnsiTheme="majorBidi" w:cstheme="majorBidi"/>
          <w:noProof/>
        </w:rPr>
        <w:t xml:space="preserve">. </w:t>
      </w:r>
      <w:r>
        <w:rPr>
          <w:rFonts w:asciiTheme="majorBidi" w:hAnsiTheme="majorBidi" w:cstheme="majorBidi"/>
          <w:noProof/>
        </w:rPr>
        <w:t xml:space="preserve">Both the introduction of an online application </w:t>
      </w:r>
      <w:r w:rsidR="00C7145D">
        <w:rPr>
          <w:rFonts w:asciiTheme="majorBidi" w:hAnsiTheme="majorBidi" w:cstheme="majorBidi"/>
          <w:noProof/>
        </w:rPr>
        <w:t xml:space="preserve">platform </w:t>
      </w:r>
      <w:r>
        <w:rPr>
          <w:rFonts w:asciiTheme="majorBidi" w:hAnsiTheme="majorBidi" w:cstheme="majorBidi"/>
          <w:noProof/>
        </w:rPr>
        <w:t xml:space="preserve">and a digital visa are seen as very positive developments which would facilitate the </w:t>
      </w:r>
      <w:r w:rsidR="007A2BF1">
        <w:rPr>
          <w:rFonts w:asciiTheme="majorBidi" w:hAnsiTheme="majorBidi" w:cstheme="majorBidi"/>
          <w:noProof/>
        </w:rPr>
        <w:t>short-stay</w:t>
      </w:r>
      <w:r>
        <w:rPr>
          <w:rFonts w:asciiTheme="majorBidi" w:hAnsiTheme="majorBidi" w:cstheme="majorBidi"/>
          <w:noProof/>
        </w:rPr>
        <w:t xml:space="preserve"> visa application procedure and traveling to the EU for visa holders. </w:t>
      </w:r>
    </w:p>
    <w:p w14:paraId="4E7BEDD3" w14:textId="77777777" w:rsidR="00A40E24" w:rsidRDefault="00A40E24" w:rsidP="00012221">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Collection and use of expertise</w:t>
      </w:r>
    </w:p>
    <w:p w14:paraId="035FA7C0" w14:textId="77777777" w:rsidR="004464A4" w:rsidRDefault="004464A4" w:rsidP="00012221">
      <w:pPr>
        <w:pBdr>
          <w:top w:val="nil"/>
          <w:left w:val="nil"/>
          <w:bottom w:val="nil"/>
          <w:right w:val="nil"/>
          <w:between w:val="nil"/>
          <w:bar w:val="nil"/>
        </w:pBdr>
        <w:spacing w:before="0" w:after="240"/>
        <w:rPr>
          <w:noProof/>
        </w:rPr>
      </w:pPr>
      <w:r>
        <w:rPr>
          <w:noProof/>
        </w:rPr>
        <w:t xml:space="preserve">The Commission contracted an external consultant to conduct a study </w:t>
      </w:r>
      <w:r w:rsidRPr="00546913">
        <w:rPr>
          <w:rFonts w:eastAsia="Arial Unicode MS"/>
          <w:noProof/>
        </w:rPr>
        <w:t>on the feasibility and implications of options to digitalise visa</w:t>
      </w:r>
      <w:r>
        <w:rPr>
          <w:rFonts w:eastAsia="Arial Unicode MS"/>
          <w:noProof/>
        </w:rPr>
        <w:t xml:space="preserve"> processing.</w:t>
      </w:r>
      <w:r>
        <w:rPr>
          <w:noProof/>
        </w:rPr>
        <w:t xml:space="preserve"> The report was </w:t>
      </w:r>
      <w:r w:rsidR="002B2EAB">
        <w:rPr>
          <w:noProof/>
        </w:rPr>
        <w:t xml:space="preserve">published </w:t>
      </w:r>
      <w:r>
        <w:rPr>
          <w:noProof/>
        </w:rPr>
        <w:t>in September 2019 and is available online</w:t>
      </w:r>
      <w:r>
        <w:rPr>
          <w:rStyle w:val="FootnoteReference"/>
          <w:rFonts w:eastAsia="Arial Unicode MS"/>
          <w:noProof/>
        </w:rPr>
        <w:footnoteReference w:id="34"/>
      </w:r>
      <w:r>
        <w:rPr>
          <w:noProof/>
        </w:rPr>
        <w:t>.</w:t>
      </w:r>
    </w:p>
    <w:p w14:paraId="07B31A0A" w14:textId="77777777" w:rsidR="00A40E24" w:rsidRPr="00550536" w:rsidRDefault="004464A4" w:rsidP="00012221">
      <w:pPr>
        <w:pBdr>
          <w:top w:val="nil"/>
          <w:left w:val="nil"/>
          <w:bottom w:val="nil"/>
          <w:right w:val="nil"/>
          <w:between w:val="nil"/>
          <w:bar w:val="nil"/>
        </w:pBdr>
        <w:spacing w:before="0" w:after="240"/>
        <w:rPr>
          <w:rFonts w:eastAsia="Arial Unicode MS"/>
          <w:noProof/>
        </w:rPr>
      </w:pPr>
      <w:r>
        <w:rPr>
          <w:noProof/>
        </w:rPr>
        <w:t xml:space="preserve">In addition, an external contractor has assisted </w:t>
      </w:r>
      <w:r w:rsidR="00E22CC7">
        <w:rPr>
          <w:noProof/>
        </w:rPr>
        <w:t>the Commission</w:t>
      </w:r>
      <w:r w:rsidR="00F705DE">
        <w:rPr>
          <w:noProof/>
        </w:rPr>
        <w:t xml:space="preserve"> </w:t>
      </w:r>
      <w:r>
        <w:rPr>
          <w:noProof/>
        </w:rPr>
        <w:t>by conducting a study including a detailed cost-benefit analysis of the different policy options</w:t>
      </w:r>
      <w:r w:rsidR="002B2EAB">
        <w:rPr>
          <w:noProof/>
        </w:rPr>
        <w:t>, which supported</w:t>
      </w:r>
      <w:r>
        <w:rPr>
          <w:noProof/>
        </w:rPr>
        <w:t xml:space="preserve"> the work on the Impact Assessment report. The call for the study was launched in December 2020, following which two substantive bids were evaluated, leading to the award decision at the end of January 2021</w:t>
      </w:r>
      <w:r w:rsidR="00E22CC7">
        <w:rPr>
          <w:noProof/>
        </w:rPr>
        <w:t xml:space="preserve"> to Deloitte</w:t>
      </w:r>
      <w:r>
        <w:rPr>
          <w:noProof/>
        </w:rPr>
        <w:t xml:space="preserve">. </w:t>
      </w:r>
    </w:p>
    <w:p w14:paraId="7CFAA854" w14:textId="77777777" w:rsidR="00A40E24" w:rsidRDefault="00A40E24" w:rsidP="00012221">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37188F49" w14:textId="77777777" w:rsidR="008E1373" w:rsidRPr="003E4F2E" w:rsidRDefault="008E1373" w:rsidP="00012221">
      <w:pPr>
        <w:pBdr>
          <w:top w:val="nil"/>
          <w:left w:val="nil"/>
          <w:bottom w:val="nil"/>
          <w:right w:val="nil"/>
          <w:between w:val="nil"/>
          <w:bar w:val="nil"/>
        </w:pBdr>
        <w:spacing w:before="0" w:after="240"/>
        <w:rPr>
          <w:noProof/>
        </w:rPr>
      </w:pPr>
      <w:r w:rsidRPr="003E4F2E">
        <w:rPr>
          <w:noProof/>
        </w:rPr>
        <w:t xml:space="preserve">In line with its “Better Regulation” policy, the Commission conducted an </w:t>
      </w:r>
      <w:r w:rsidR="002B2EAB" w:rsidRPr="003E4F2E">
        <w:rPr>
          <w:noProof/>
        </w:rPr>
        <w:t>I</w:t>
      </w:r>
      <w:r w:rsidRPr="003E4F2E">
        <w:rPr>
          <w:noProof/>
        </w:rPr>
        <w:t xml:space="preserve">mpact </w:t>
      </w:r>
      <w:r w:rsidR="002B2EAB" w:rsidRPr="003E4F2E">
        <w:rPr>
          <w:noProof/>
        </w:rPr>
        <w:t>A</w:t>
      </w:r>
      <w:r w:rsidRPr="003E4F2E">
        <w:rPr>
          <w:noProof/>
        </w:rPr>
        <w:t>ssessment.</w:t>
      </w:r>
      <w:r w:rsidRPr="003E4F2E">
        <w:rPr>
          <w:rStyle w:val="FootnoteReference"/>
          <w:noProof/>
        </w:rPr>
        <w:footnoteReference w:id="35"/>
      </w:r>
      <w:r w:rsidR="00DA6A27" w:rsidRPr="003E4F2E">
        <w:rPr>
          <w:noProof/>
        </w:rPr>
        <w:t xml:space="preserve"> </w:t>
      </w:r>
      <w:r w:rsidRPr="003E4F2E">
        <w:rPr>
          <w:noProof/>
        </w:rPr>
        <w:t xml:space="preserve">The Impact </w:t>
      </w:r>
      <w:r w:rsidR="002B2EAB" w:rsidRPr="003E4F2E">
        <w:rPr>
          <w:noProof/>
        </w:rPr>
        <w:t>A</w:t>
      </w:r>
      <w:r w:rsidRPr="003E4F2E">
        <w:rPr>
          <w:noProof/>
        </w:rPr>
        <w:t>ssessment evaluated five policy options, with varying levels of EU intervention in the current visa process:</w:t>
      </w:r>
    </w:p>
    <w:p w14:paraId="443DA53B" w14:textId="77777777" w:rsidR="008E1373" w:rsidRPr="003E4F2E" w:rsidRDefault="008E1373" w:rsidP="00012221">
      <w:pPr>
        <w:pBdr>
          <w:top w:val="nil"/>
          <w:left w:val="nil"/>
          <w:bottom w:val="nil"/>
          <w:right w:val="nil"/>
          <w:between w:val="nil"/>
          <w:bar w:val="nil"/>
        </w:pBdr>
        <w:spacing w:before="0" w:after="240"/>
        <w:rPr>
          <w:rFonts w:eastAsia="Arial Unicode MS"/>
          <w:noProof/>
        </w:rPr>
      </w:pPr>
      <w:r w:rsidRPr="003E4F2E">
        <w:rPr>
          <w:rFonts w:eastAsia="Arial Unicode MS"/>
          <w:noProof/>
        </w:rPr>
        <w:t xml:space="preserve">Option </w:t>
      </w:r>
      <w:r w:rsidR="00AD4378" w:rsidRPr="003E4F2E">
        <w:rPr>
          <w:rFonts w:eastAsia="Arial Unicode MS"/>
          <w:noProof/>
        </w:rPr>
        <w:t>1</w:t>
      </w:r>
      <w:r w:rsidR="00492895" w:rsidRPr="003E4F2E">
        <w:rPr>
          <w:rFonts w:eastAsia="Arial Unicode MS"/>
          <w:noProof/>
        </w:rPr>
        <w:t xml:space="preserve"> considered as the baseline scenario:</w:t>
      </w:r>
      <w:r w:rsidRPr="003E4F2E">
        <w:rPr>
          <w:rFonts w:eastAsia="Arial Unicode MS"/>
          <w:noProof/>
        </w:rPr>
        <w:t xml:space="preserve"> </w:t>
      </w:r>
      <w:r w:rsidR="00661B3C">
        <w:rPr>
          <w:rFonts w:eastAsia="Arial Unicode MS"/>
          <w:noProof/>
        </w:rPr>
        <w:t>u</w:t>
      </w:r>
      <w:r w:rsidR="00492895" w:rsidRPr="003E4F2E">
        <w:rPr>
          <w:rFonts w:eastAsia="Arial Unicode MS"/>
          <w:noProof/>
        </w:rPr>
        <w:t xml:space="preserve">nder the baseline scenario, no legislative action would be undertaken at EU level. Member States would continue (or not) to develop their national tool. The Commission would issue non-binding recommendations to Member States and support them with soft law measures. </w:t>
      </w:r>
    </w:p>
    <w:p w14:paraId="0BF8ADBD" w14:textId="77777777" w:rsidR="00492895" w:rsidRPr="003E4F2E" w:rsidRDefault="008E1373" w:rsidP="00012221">
      <w:pPr>
        <w:pBdr>
          <w:top w:val="nil"/>
          <w:left w:val="nil"/>
          <w:bottom w:val="nil"/>
          <w:right w:val="nil"/>
          <w:between w:val="nil"/>
          <w:bar w:val="nil"/>
        </w:pBdr>
        <w:spacing w:before="0" w:after="240"/>
        <w:rPr>
          <w:rFonts w:eastAsia="Arial Unicode MS"/>
          <w:noProof/>
        </w:rPr>
      </w:pPr>
      <w:r w:rsidRPr="003E4F2E">
        <w:rPr>
          <w:rFonts w:eastAsia="Arial Unicode MS"/>
          <w:noProof/>
        </w:rPr>
        <w:t xml:space="preserve">Option </w:t>
      </w:r>
      <w:r w:rsidR="00AD4378" w:rsidRPr="003E4F2E">
        <w:rPr>
          <w:rFonts w:eastAsia="Arial Unicode MS"/>
          <w:noProof/>
        </w:rPr>
        <w:t>2</w:t>
      </w:r>
      <w:r w:rsidRPr="003E4F2E">
        <w:rPr>
          <w:rFonts w:eastAsia="Arial Unicode MS"/>
          <w:noProof/>
        </w:rPr>
        <w:t xml:space="preserve"> </w:t>
      </w:r>
      <w:r w:rsidR="00492895" w:rsidRPr="003E4F2E">
        <w:rPr>
          <w:rFonts w:eastAsia="Arial Unicode MS"/>
          <w:noProof/>
        </w:rPr>
        <w:t>includes some minimal legislative changes at European level, aiming to remove legal obstacles that limit the possibility for Member States to further digitalise the visa application process. A mandatory digital visa would replace the paper visa sticker and a web service would be introduced to check its validity</w:t>
      </w:r>
      <w:r w:rsidR="007A2BF1" w:rsidRPr="003E4F2E">
        <w:rPr>
          <w:rFonts w:eastAsia="Arial Unicode MS"/>
          <w:noProof/>
        </w:rPr>
        <w:t>.</w:t>
      </w:r>
    </w:p>
    <w:p w14:paraId="5E2DF550" w14:textId="77777777" w:rsidR="00492895" w:rsidRPr="003E4F2E" w:rsidRDefault="008E1373" w:rsidP="00492895">
      <w:pPr>
        <w:pBdr>
          <w:top w:val="nil"/>
          <w:left w:val="nil"/>
          <w:bottom w:val="nil"/>
          <w:right w:val="nil"/>
          <w:between w:val="nil"/>
          <w:bar w:val="nil"/>
        </w:pBdr>
        <w:spacing w:before="0" w:after="240"/>
        <w:rPr>
          <w:rFonts w:eastAsia="Arial Unicode MS"/>
          <w:noProof/>
        </w:rPr>
      </w:pPr>
      <w:r w:rsidRPr="003E4F2E">
        <w:rPr>
          <w:rFonts w:eastAsia="Arial Unicode MS"/>
          <w:noProof/>
        </w:rPr>
        <w:t xml:space="preserve">Option </w:t>
      </w:r>
      <w:r w:rsidR="00AD4378" w:rsidRPr="003E4F2E">
        <w:rPr>
          <w:rFonts w:eastAsia="Arial Unicode MS"/>
          <w:noProof/>
        </w:rPr>
        <w:t>3</w:t>
      </w:r>
      <w:r w:rsidR="00492895" w:rsidRPr="003E4F2E">
        <w:rPr>
          <w:rFonts w:eastAsia="Arial Unicode MS"/>
          <w:noProof/>
        </w:rPr>
        <w:t xml:space="preserve"> </w:t>
      </w:r>
      <w:r w:rsidR="00F701F6">
        <w:rPr>
          <w:rFonts w:eastAsia="Arial Unicode MS"/>
          <w:noProof/>
        </w:rPr>
        <w:t>envisages</w:t>
      </w:r>
      <w:r w:rsidR="00F701F6" w:rsidRPr="003E4F2E">
        <w:rPr>
          <w:rFonts w:eastAsia="Arial Unicode MS"/>
          <w:noProof/>
        </w:rPr>
        <w:t xml:space="preserve"> </w:t>
      </w:r>
      <w:r w:rsidR="00492895" w:rsidRPr="003E4F2E">
        <w:rPr>
          <w:rFonts w:eastAsia="Arial Unicode MS"/>
          <w:noProof/>
        </w:rPr>
        <w:t>the development and building of an EU visa application platform, albeit only on an opt-in basis. Member States could choose to participate in the EU visa application platform on a voluntary basis or develop</w:t>
      </w:r>
      <w:r w:rsidR="007A2BF1" w:rsidRPr="003E4F2E">
        <w:rPr>
          <w:rFonts w:eastAsia="Arial Unicode MS"/>
          <w:noProof/>
        </w:rPr>
        <w:t>, or</w:t>
      </w:r>
      <w:r w:rsidR="007E6AE4">
        <w:rPr>
          <w:rFonts w:eastAsia="Arial Unicode MS"/>
          <w:noProof/>
        </w:rPr>
        <w:t xml:space="preserve"> </w:t>
      </w:r>
      <w:r w:rsidR="00492895" w:rsidRPr="003E4F2E">
        <w:rPr>
          <w:rFonts w:eastAsia="Arial Unicode MS"/>
          <w:noProof/>
        </w:rPr>
        <w:t>continue to use</w:t>
      </w:r>
      <w:r w:rsidR="007A2BF1" w:rsidRPr="003E4F2E">
        <w:rPr>
          <w:rFonts w:eastAsia="Arial Unicode MS"/>
          <w:noProof/>
        </w:rPr>
        <w:t>,</w:t>
      </w:r>
      <w:r w:rsidR="00492895" w:rsidRPr="003E4F2E">
        <w:rPr>
          <w:rFonts w:eastAsia="Arial Unicode MS"/>
          <w:noProof/>
        </w:rPr>
        <w:t xml:space="preserve"> their own national platforms</w:t>
      </w:r>
      <w:r w:rsidR="007A2BF1" w:rsidRPr="003E4F2E">
        <w:rPr>
          <w:rFonts w:eastAsia="Arial Unicode MS"/>
          <w:noProof/>
        </w:rPr>
        <w:t>,</w:t>
      </w:r>
      <w:r w:rsidR="00492895" w:rsidRPr="003E4F2E">
        <w:rPr>
          <w:rFonts w:eastAsia="Arial Unicode MS"/>
          <w:noProof/>
        </w:rPr>
        <w:t xml:space="preserve"> or </w:t>
      </w:r>
      <w:r w:rsidR="007A2BF1" w:rsidRPr="003E4F2E">
        <w:rPr>
          <w:rFonts w:eastAsia="Arial Unicode MS"/>
          <w:noProof/>
        </w:rPr>
        <w:t xml:space="preserve">even </w:t>
      </w:r>
      <w:r w:rsidR="00492895" w:rsidRPr="003E4F2E">
        <w:rPr>
          <w:rFonts w:eastAsia="Arial Unicode MS"/>
          <w:noProof/>
        </w:rPr>
        <w:t xml:space="preserve">not </w:t>
      </w:r>
      <w:r w:rsidR="007A2BF1" w:rsidRPr="003E4F2E">
        <w:rPr>
          <w:rFonts w:eastAsia="Arial Unicode MS"/>
          <w:noProof/>
        </w:rPr>
        <w:t xml:space="preserve">to </w:t>
      </w:r>
      <w:r w:rsidR="00492895" w:rsidRPr="003E4F2E">
        <w:rPr>
          <w:rFonts w:eastAsia="Arial Unicode MS"/>
          <w:noProof/>
        </w:rPr>
        <w:t xml:space="preserve">develop any digital application solution. Visa holders would be able to check the validity of their digital visa through the EU visa application platform depending on the Member State that issued the visa. </w:t>
      </w:r>
    </w:p>
    <w:p w14:paraId="2428ED1C" w14:textId="77777777" w:rsidR="008E1373" w:rsidRPr="003E4F2E" w:rsidRDefault="00492895" w:rsidP="00012221">
      <w:pPr>
        <w:pBdr>
          <w:top w:val="nil"/>
          <w:left w:val="nil"/>
          <w:bottom w:val="nil"/>
          <w:right w:val="nil"/>
          <w:between w:val="nil"/>
          <w:bar w:val="nil"/>
        </w:pBdr>
        <w:spacing w:before="0" w:after="240"/>
        <w:rPr>
          <w:rFonts w:eastAsia="Arial Unicode MS"/>
          <w:noProof/>
        </w:rPr>
      </w:pPr>
      <w:r w:rsidRPr="003E4F2E">
        <w:rPr>
          <w:rFonts w:eastAsia="Arial Unicode MS"/>
          <w:noProof/>
        </w:rPr>
        <w:t>Option 4 like</w:t>
      </w:r>
      <w:r w:rsidR="008E1373" w:rsidRPr="003E4F2E">
        <w:rPr>
          <w:rFonts w:eastAsia="Arial Unicode MS"/>
          <w:noProof/>
        </w:rPr>
        <w:t xml:space="preserve"> O</w:t>
      </w:r>
      <w:r w:rsidR="007A2BF1" w:rsidRPr="003E4F2E">
        <w:rPr>
          <w:rFonts w:eastAsia="Arial Unicode MS"/>
          <w:noProof/>
        </w:rPr>
        <w:t xml:space="preserve">ption </w:t>
      </w:r>
      <w:r w:rsidR="00AD4378" w:rsidRPr="003E4F2E">
        <w:rPr>
          <w:rFonts w:eastAsia="Arial Unicode MS"/>
          <w:noProof/>
        </w:rPr>
        <w:t>3</w:t>
      </w:r>
      <w:r w:rsidR="008E1373" w:rsidRPr="003E4F2E">
        <w:rPr>
          <w:rFonts w:eastAsia="Arial Unicode MS"/>
          <w:noProof/>
        </w:rPr>
        <w:t xml:space="preserve">, </w:t>
      </w:r>
      <w:r w:rsidR="00661B3C">
        <w:rPr>
          <w:rFonts w:eastAsia="Arial Unicode MS"/>
          <w:noProof/>
        </w:rPr>
        <w:t>this option</w:t>
      </w:r>
      <w:r w:rsidR="004E089F" w:rsidRPr="003E4F2E">
        <w:rPr>
          <w:rFonts w:eastAsia="Arial Unicode MS"/>
          <w:noProof/>
        </w:rPr>
        <w:t xml:space="preserve"> </w:t>
      </w:r>
      <w:r w:rsidR="008E1373" w:rsidRPr="003E4F2E">
        <w:rPr>
          <w:rFonts w:eastAsia="Arial Unicode MS"/>
          <w:noProof/>
        </w:rPr>
        <w:t>also includes the development of an EU visa application platform. Whereas participation of the Member States to the EU visa application platform would be optional under O</w:t>
      </w:r>
      <w:r w:rsidR="007A2BF1" w:rsidRPr="003E4F2E">
        <w:rPr>
          <w:rFonts w:eastAsia="Arial Unicode MS"/>
          <w:noProof/>
        </w:rPr>
        <w:t xml:space="preserve">ption </w:t>
      </w:r>
      <w:r w:rsidRPr="003E4F2E">
        <w:rPr>
          <w:rFonts w:eastAsia="Arial Unicode MS"/>
          <w:noProof/>
        </w:rPr>
        <w:t>3</w:t>
      </w:r>
      <w:r w:rsidR="008E1373" w:rsidRPr="003E4F2E">
        <w:rPr>
          <w:rFonts w:eastAsia="Arial Unicode MS"/>
          <w:noProof/>
        </w:rPr>
        <w:t>, under O</w:t>
      </w:r>
      <w:r w:rsidR="007A2BF1" w:rsidRPr="003E4F2E">
        <w:rPr>
          <w:rFonts w:eastAsia="Arial Unicode MS"/>
          <w:noProof/>
        </w:rPr>
        <w:t xml:space="preserve">ption </w:t>
      </w:r>
      <w:r w:rsidRPr="003E4F2E">
        <w:rPr>
          <w:rFonts w:eastAsia="Arial Unicode MS"/>
          <w:noProof/>
        </w:rPr>
        <w:t>4</w:t>
      </w:r>
      <w:r w:rsidR="008E1373" w:rsidRPr="003E4F2E">
        <w:rPr>
          <w:rFonts w:eastAsia="Arial Unicode MS"/>
          <w:noProof/>
        </w:rPr>
        <w:t xml:space="preserve"> the EU platform would be mandatory for every Member State after a transition period. Visa holders would be able to check the validity of their digital visa through the EU visa application platform. </w:t>
      </w:r>
    </w:p>
    <w:p w14:paraId="511D05FD" w14:textId="77777777" w:rsidR="008E1373" w:rsidRPr="003E4F2E" w:rsidRDefault="008E1373" w:rsidP="00012221">
      <w:pPr>
        <w:pBdr>
          <w:top w:val="nil"/>
          <w:left w:val="nil"/>
          <w:bottom w:val="nil"/>
          <w:right w:val="nil"/>
          <w:between w:val="nil"/>
          <w:bar w:val="nil"/>
        </w:pBdr>
        <w:spacing w:before="0" w:after="240"/>
        <w:rPr>
          <w:rFonts w:eastAsia="Arial Unicode MS"/>
          <w:noProof/>
        </w:rPr>
      </w:pPr>
      <w:r w:rsidRPr="003E4F2E">
        <w:rPr>
          <w:rFonts w:eastAsia="Arial Unicode MS"/>
          <w:noProof/>
        </w:rPr>
        <w:t xml:space="preserve">Option </w:t>
      </w:r>
      <w:r w:rsidR="00492895" w:rsidRPr="003E4F2E">
        <w:rPr>
          <w:rFonts w:eastAsia="Arial Unicode MS"/>
          <w:noProof/>
        </w:rPr>
        <w:t>5</w:t>
      </w:r>
      <w:r w:rsidRPr="003E4F2E">
        <w:rPr>
          <w:rFonts w:eastAsia="Arial Unicode MS"/>
          <w:noProof/>
        </w:rPr>
        <w:t xml:space="preserve"> </w:t>
      </w:r>
      <w:r w:rsidR="004E089F" w:rsidRPr="003E4F2E">
        <w:rPr>
          <w:rFonts w:eastAsia="Arial Unicode MS"/>
          <w:noProof/>
        </w:rPr>
        <w:t xml:space="preserve"> includes the full digitalisation of t</w:t>
      </w:r>
      <w:r w:rsidRPr="003E4F2E">
        <w:rPr>
          <w:rFonts w:eastAsia="Arial Unicode MS"/>
          <w:noProof/>
        </w:rPr>
        <w:t xml:space="preserve">he EU visa application </w:t>
      </w:r>
      <w:r w:rsidR="004E089F" w:rsidRPr="003E4F2E">
        <w:rPr>
          <w:rFonts w:eastAsia="Arial Unicode MS"/>
          <w:noProof/>
        </w:rPr>
        <w:t xml:space="preserve">procedure on a mandatory basis and without a transition period. </w:t>
      </w:r>
      <w:r w:rsidRPr="003E4F2E">
        <w:rPr>
          <w:rFonts w:eastAsia="Arial Unicode MS"/>
          <w:noProof/>
        </w:rPr>
        <w:t xml:space="preserve"> Unlike all other options, the applicant would be able to enrol his/her biometric data through a digital application, removing the need to visit the consulate</w:t>
      </w:r>
      <w:r w:rsidR="007A2BF1" w:rsidRPr="003E4F2E">
        <w:rPr>
          <w:rFonts w:eastAsia="Arial Unicode MS"/>
          <w:noProof/>
        </w:rPr>
        <w:t xml:space="preserve"> or </w:t>
      </w:r>
      <w:r w:rsidR="00E702F9" w:rsidRPr="003E4F2E">
        <w:rPr>
          <w:rFonts w:eastAsia="Arial Unicode MS"/>
          <w:noProof/>
        </w:rPr>
        <w:t>visa application centre</w:t>
      </w:r>
      <w:r w:rsidRPr="003E4F2E">
        <w:rPr>
          <w:rFonts w:eastAsia="Arial Unicode MS"/>
          <w:noProof/>
        </w:rPr>
        <w:t xml:space="preserve"> in person which would still exist under all other options.</w:t>
      </w:r>
    </w:p>
    <w:p w14:paraId="617BAB4D" w14:textId="77777777" w:rsidR="00492895" w:rsidRPr="003E4F2E" w:rsidRDefault="002B2EAB" w:rsidP="00492895">
      <w:pPr>
        <w:pBdr>
          <w:top w:val="nil"/>
          <w:left w:val="nil"/>
          <w:bottom w:val="nil"/>
          <w:right w:val="nil"/>
          <w:between w:val="nil"/>
          <w:bar w:val="nil"/>
        </w:pBdr>
        <w:spacing w:before="0" w:after="240"/>
        <w:rPr>
          <w:noProof/>
        </w:rPr>
      </w:pPr>
      <w:r w:rsidRPr="003E4F2E">
        <w:rPr>
          <w:rFonts w:eastAsia="Arial Unicode MS"/>
          <w:noProof/>
        </w:rPr>
        <w:t xml:space="preserve">Based on the findings of the Impact Assessment report, </w:t>
      </w:r>
      <w:r w:rsidR="004A4EB6" w:rsidRPr="003E4F2E">
        <w:rPr>
          <w:rFonts w:eastAsia="Arial Unicode MS"/>
          <w:noProof/>
        </w:rPr>
        <w:t xml:space="preserve">Option </w:t>
      </w:r>
      <w:r w:rsidR="00492895" w:rsidRPr="003E4F2E">
        <w:rPr>
          <w:rFonts w:eastAsia="Arial Unicode MS"/>
          <w:noProof/>
        </w:rPr>
        <w:t>4</w:t>
      </w:r>
      <w:r w:rsidR="004A4EB6" w:rsidRPr="003E4F2E">
        <w:rPr>
          <w:noProof/>
        </w:rPr>
        <w:t xml:space="preserve"> </w:t>
      </w:r>
      <w:r w:rsidR="00EA450D" w:rsidRPr="003E4F2E">
        <w:rPr>
          <w:noProof/>
        </w:rPr>
        <w:t xml:space="preserve">is considered the preferred option as it would best achieve all objectives set by the </w:t>
      </w:r>
      <w:r w:rsidR="008E1F15" w:rsidRPr="003E4F2E">
        <w:rPr>
          <w:noProof/>
        </w:rPr>
        <w:t xml:space="preserve">initiative. Option 4 would </w:t>
      </w:r>
      <w:r w:rsidR="00492895" w:rsidRPr="003E4F2E">
        <w:rPr>
          <w:noProof/>
        </w:rPr>
        <w:t>simplif</w:t>
      </w:r>
      <w:r w:rsidR="008E1F15" w:rsidRPr="003E4F2E">
        <w:rPr>
          <w:noProof/>
        </w:rPr>
        <w:t>y</w:t>
      </w:r>
      <w:r w:rsidR="00492895" w:rsidRPr="003E4F2E">
        <w:rPr>
          <w:noProof/>
        </w:rPr>
        <w:t xml:space="preserve"> and harmonis</w:t>
      </w:r>
      <w:r w:rsidR="008E1F15" w:rsidRPr="003E4F2E">
        <w:rPr>
          <w:noProof/>
        </w:rPr>
        <w:t>e</w:t>
      </w:r>
      <w:r w:rsidR="00492895" w:rsidRPr="003E4F2E">
        <w:rPr>
          <w:noProof/>
        </w:rPr>
        <w:t xml:space="preserve"> the visa application process, </w:t>
      </w:r>
      <w:r w:rsidR="007A2BF1" w:rsidRPr="003E4F2E">
        <w:rPr>
          <w:noProof/>
        </w:rPr>
        <w:t xml:space="preserve">achieving </w:t>
      </w:r>
      <w:r w:rsidR="00492895" w:rsidRPr="003E4F2E">
        <w:rPr>
          <w:noProof/>
        </w:rPr>
        <w:t>reduction of the administrative burden for Member States</w:t>
      </w:r>
      <w:r w:rsidR="004E089F" w:rsidRPr="003E4F2E">
        <w:rPr>
          <w:noProof/>
        </w:rPr>
        <w:t xml:space="preserve"> (estimated at EUR 510.9 million over the 2025-2029 period) </w:t>
      </w:r>
      <w:r w:rsidR="00492895" w:rsidRPr="003E4F2E">
        <w:rPr>
          <w:noProof/>
        </w:rPr>
        <w:t>and applicants</w:t>
      </w:r>
      <w:r w:rsidR="004E4F13" w:rsidRPr="003E4F2E">
        <w:rPr>
          <w:noProof/>
        </w:rPr>
        <w:t xml:space="preserve"> and would contribute to</w:t>
      </w:r>
      <w:r w:rsidR="00492895" w:rsidRPr="003E4F2E">
        <w:rPr>
          <w:noProof/>
        </w:rPr>
        <w:t xml:space="preserve"> increase</w:t>
      </w:r>
      <w:r w:rsidR="004E4F13" w:rsidRPr="003E4F2E">
        <w:rPr>
          <w:noProof/>
        </w:rPr>
        <w:t xml:space="preserve"> the</w:t>
      </w:r>
      <w:r w:rsidR="00492895" w:rsidRPr="003E4F2E">
        <w:rPr>
          <w:noProof/>
        </w:rPr>
        <w:t xml:space="preserve"> security of the Schengen </w:t>
      </w:r>
      <w:r w:rsidR="004E089F" w:rsidRPr="003E4F2E">
        <w:rPr>
          <w:noProof/>
        </w:rPr>
        <w:t>visa process</w:t>
      </w:r>
      <w:r w:rsidR="00492895" w:rsidRPr="003E4F2E">
        <w:rPr>
          <w:noProof/>
        </w:rPr>
        <w:t xml:space="preserve">. It would also be a good option in relation with other criteria such as data protection and fundamental rights. </w:t>
      </w:r>
    </w:p>
    <w:p w14:paraId="6067947E" w14:textId="77777777" w:rsidR="00EA450D" w:rsidRPr="003E4F2E" w:rsidRDefault="004A4EB6" w:rsidP="00012221">
      <w:pPr>
        <w:pBdr>
          <w:top w:val="nil"/>
          <w:left w:val="nil"/>
          <w:bottom w:val="nil"/>
          <w:right w:val="nil"/>
          <w:between w:val="nil"/>
          <w:bar w:val="nil"/>
        </w:pBdr>
        <w:spacing w:before="0" w:after="240"/>
        <w:rPr>
          <w:noProof/>
        </w:rPr>
      </w:pPr>
      <w:r w:rsidRPr="003E4F2E">
        <w:rPr>
          <w:noProof/>
        </w:rPr>
        <w:t xml:space="preserve">Option </w:t>
      </w:r>
      <w:r w:rsidR="00492895" w:rsidRPr="003E4F2E">
        <w:rPr>
          <w:noProof/>
        </w:rPr>
        <w:t xml:space="preserve">4 </w:t>
      </w:r>
      <w:r w:rsidR="00EA450D" w:rsidRPr="003E4F2E">
        <w:rPr>
          <w:noProof/>
        </w:rPr>
        <w:t xml:space="preserve">implies the development of a mandatory EU digital visa application platform for </w:t>
      </w:r>
      <w:r w:rsidR="007A2BF1" w:rsidRPr="003E4F2E">
        <w:rPr>
          <w:noProof/>
        </w:rPr>
        <w:t xml:space="preserve">short-stay </w:t>
      </w:r>
      <w:r w:rsidR="00EA450D" w:rsidRPr="003E4F2E">
        <w:rPr>
          <w:noProof/>
        </w:rPr>
        <w:t xml:space="preserve">visas and mandates the use of the digital visa. A transition period would be </w:t>
      </w:r>
      <w:r w:rsidR="00F701F6">
        <w:rPr>
          <w:noProof/>
        </w:rPr>
        <w:t>planned</w:t>
      </w:r>
      <w:r w:rsidR="00F701F6" w:rsidRPr="003E4F2E">
        <w:rPr>
          <w:noProof/>
        </w:rPr>
        <w:t xml:space="preserve"> </w:t>
      </w:r>
      <w:r w:rsidR="00EA450D" w:rsidRPr="003E4F2E">
        <w:rPr>
          <w:noProof/>
        </w:rPr>
        <w:t xml:space="preserve">to enable those Member States using or developing their own national visa </w:t>
      </w:r>
      <w:r w:rsidR="00F479BB" w:rsidRPr="003E4F2E">
        <w:rPr>
          <w:noProof/>
        </w:rPr>
        <w:t>platform</w:t>
      </w:r>
      <w:r w:rsidR="00EA450D" w:rsidRPr="003E4F2E">
        <w:rPr>
          <w:noProof/>
        </w:rPr>
        <w:t xml:space="preserve">s to phase out their national solutions and join the EU </w:t>
      </w:r>
      <w:r w:rsidR="00803053">
        <w:rPr>
          <w:noProof/>
        </w:rPr>
        <w:t>visa application platform</w:t>
      </w:r>
      <w:r w:rsidR="004E089F" w:rsidRPr="003E4F2E">
        <w:rPr>
          <w:noProof/>
        </w:rPr>
        <w:t>, thereby minimizing possible sunk investment costs</w:t>
      </w:r>
      <w:r w:rsidR="00EA450D" w:rsidRPr="003E4F2E">
        <w:rPr>
          <w:noProof/>
        </w:rPr>
        <w:t xml:space="preserve">. Member States </w:t>
      </w:r>
      <w:r w:rsidR="00285BDC">
        <w:rPr>
          <w:noProof/>
        </w:rPr>
        <w:t>would start using</w:t>
      </w:r>
      <w:r w:rsidR="00285BDC" w:rsidRPr="003E4F2E">
        <w:rPr>
          <w:noProof/>
        </w:rPr>
        <w:t xml:space="preserve"> </w:t>
      </w:r>
      <w:r w:rsidR="00EA450D" w:rsidRPr="003E4F2E">
        <w:rPr>
          <w:noProof/>
        </w:rPr>
        <w:t>the EU visa application gradually</w:t>
      </w:r>
      <w:r w:rsidR="00B14123">
        <w:rPr>
          <w:noProof/>
        </w:rPr>
        <w:t xml:space="preserve"> within the </w:t>
      </w:r>
      <w:r w:rsidR="00EA450D" w:rsidRPr="003E4F2E">
        <w:rPr>
          <w:noProof/>
        </w:rPr>
        <w:t xml:space="preserve">transition period. </w:t>
      </w:r>
    </w:p>
    <w:p w14:paraId="00B898B8" w14:textId="77777777" w:rsidR="00B6271C" w:rsidRPr="003E4F2E" w:rsidRDefault="00717DEB" w:rsidP="00012221">
      <w:pPr>
        <w:pBdr>
          <w:top w:val="nil"/>
          <w:left w:val="nil"/>
          <w:bottom w:val="nil"/>
          <w:right w:val="nil"/>
          <w:between w:val="nil"/>
          <w:bar w:val="nil"/>
        </w:pBdr>
        <w:spacing w:before="0" w:after="240"/>
        <w:rPr>
          <w:noProof/>
        </w:rPr>
      </w:pPr>
      <w:r w:rsidRPr="003E4F2E">
        <w:rPr>
          <w:bCs/>
          <w:noProof/>
        </w:rPr>
        <w:t>In addition,</w:t>
      </w:r>
      <w:r w:rsidR="00492895" w:rsidRPr="003E4F2E">
        <w:rPr>
          <w:bCs/>
          <w:noProof/>
        </w:rPr>
        <w:t xml:space="preserve"> the EU visa application platform would rely on a decentralised storage of applications in Member States</w:t>
      </w:r>
      <w:r w:rsidR="007A2BF1" w:rsidRPr="003E4F2E">
        <w:rPr>
          <w:bCs/>
          <w:noProof/>
        </w:rPr>
        <w:t xml:space="preserve"> national</w:t>
      </w:r>
      <w:r w:rsidR="00492895" w:rsidRPr="003E4F2E">
        <w:rPr>
          <w:bCs/>
          <w:noProof/>
        </w:rPr>
        <w:t xml:space="preserve"> systems</w:t>
      </w:r>
      <w:r w:rsidRPr="003E4F2E">
        <w:rPr>
          <w:bCs/>
          <w:noProof/>
        </w:rPr>
        <w:t xml:space="preserve">. </w:t>
      </w:r>
      <w:r w:rsidR="007A2BF1" w:rsidRPr="003E4F2E">
        <w:rPr>
          <w:bCs/>
          <w:noProof/>
        </w:rPr>
        <w:t>C</w:t>
      </w:r>
      <w:r w:rsidRPr="003E4F2E">
        <w:rPr>
          <w:bCs/>
          <w:noProof/>
        </w:rPr>
        <w:t xml:space="preserve">onsequently, </w:t>
      </w:r>
      <w:r w:rsidR="00492895" w:rsidRPr="003E4F2E">
        <w:rPr>
          <w:bCs/>
          <w:noProof/>
        </w:rPr>
        <w:t>a</w:t>
      </w:r>
      <w:r w:rsidR="00B6271C" w:rsidRPr="003E4F2E">
        <w:rPr>
          <w:bCs/>
          <w:noProof/>
        </w:rPr>
        <w:t xml:space="preserve">ll Member States that have </w:t>
      </w:r>
      <w:r w:rsidRPr="003E4F2E">
        <w:rPr>
          <w:bCs/>
          <w:noProof/>
        </w:rPr>
        <w:t xml:space="preserve">already partially </w:t>
      </w:r>
      <w:r w:rsidR="00B6271C" w:rsidRPr="003E4F2E">
        <w:rPr>
          <w:bCs/>
          <w:noProof/>
        </w:rPr>
        <w:t>digitalised the</w:t>
      </w:r>
      <w:r w:rsidRPr="003E4F2E">
        <w:rPr>
          <w:bCs/>
          <w:noProof/>
        </w:rPr>
        <w:t>ir</w:t>
      </w:r>
      <w:r w:rsidR="00B6271C" w:rsidRPr="003E4F2E">
        <w:rPr>
          <w:bCs/>
          <w:noProof/>
        </w:rPr>
        <w:t xml:space="preserve"> application </w:t>
      </w:r>
      <w:r w:rsidRPr="003E4F2E">
        <w:rPr>
          <w:bCs/>
          <w:noProof/>
        </w:rPr>
        <w:t>system (</w:t>
      </w:r>
      <w:r w:rsidR="007A2BF1" w:rsidRPr="003E4F2E">
        <w:rPr>
          <w:bCs/>
          <w:noProof/>
        </w:rPr>
        <w:t xml:space="preserve">e.g. </w:t>
      </w:r>
      <w:r w:rsidRPr="003E4F2E">
        <w:rPr>
          <w:bCs/>
          <w:noProof/>
        </w:rPr>
        <w:t xml:space="preserve">electronic form) </w:t>
      </w:r>
      <w:r w:rsidR="00B6271C" w:rsidRPr="003E4F2E">
        <w:rPr>
          <w:bCs/>
          <w:noProof/>
        </w:rPr>
        <w:t xml:space="preserve">should be able to re-use the interface </w:t>
      </w:r>
      <w:r w:rsidR="007A2BF1" w:rsidRPr="003E4F2E">
        <w:rPr>
          <w:bCs/>
          <w:noProof/>
        </w:rPr>
        <w:t>used for transmitting the</w:t>
      </w:r>
      <w:r w:rsidR="00B6271C" w:rsidRPr="003E4F2E">
        <w:rPr>
          <w:bCs/>
          <w:noProof/>
        </w:rPr>
        <w:t xml:space="preserve"> data in the </w:t>
      </w:r>
      <w:r w:rsidR="007A2BF1" w:rsidRPr="003E4F2E">
        <w:rPr>
          <w:bCs/>
          <w:noProof/>
        </w:rPr>
        <w:t xml:space="preserve">electronic </w:t>
      </w:r>
      <w:r w:rsidR="00B6271C" w:rsidRPr="003E4F2E">
        <w:rPr>
          <w:bCs/>
          <w:noProof/>
        </w:rPr>
        <w:t xml:space="preserve">form to the national visa system used for processing applications. Member States that also have a solution in place whereby the entire application is digitalised may keep their current digital storage solutions. </w:t>
      </w:r>
      <w:r w:rsidR="00492895" w:rsidRPr="003E4F2E">
        <w:rPr>
          <w:bCs/>
          <w:noProof/>
        </w:rPr>
        <w:t xml:space="preserve"> </w:t>
      </w:r>
      <w:r w:rsidR="004E089F" w:rsidRPr="003E4F2E">
        <w:rPr>
          <w:bCs/>
          <w:noProof/>
        </w:rPr>
        <w:t xml:space="preserve">In addition to the lower risks for security or data protection, the decentralised storage </w:t>
      </w:r>
      <w:r w:rsidR="00492895" w:rsidRPr="003E4F2E">
        <w:rPr>
          <w:bCs/>
          <w:noProof/>
        </w:rPr>
        <w:t>would allow mitigating sunk costs for Member States wh</w:t>
      </w:r>
      <w:r w:rsidR="00BF2A01" w:rsidRPr="003E4F2E">
        <w:rPr>
          <w:bCs/>
          <w:noProof/>
        </w:rPr>
        <w:t>ich</w:t>
      </w:r>
      <w:r w:rsidR="00492895" w:rsidRPr="003E4F2E">
        <w:rPr>
          <w:bCs/>
          <w:noProof/>
        </w:rPr>
        <w:t xml:space="preserve"> have already invested in digitalisation</w:t>
      </w:r>
      <w:r w:rsidR="004E089F" w:rsidRPr="003E4F2E">
        <w:rPr>
          <w:bCs/>
          <w:noProof/>
        </w:rPr>
        <w:t xml:space="preserve"> and have set up the relevant storage capabilities</w:t>
      </w:r>
      <w:r w:rsidR="00492895" w:rsidRPr="003E4F2E">
        <w:rPr>
          <w:bCs/>
          <w:noProof/>
        </w:rPr>
        <w:t>.</w:t>
      </w:r>
    </w:p>
    <w:p w14:paraId="44C77062" w14:textId="77777777" w:rsidR="00EA450D" w:rsidRPr="003E4F2E" w:rsidRDefault="00EA450D" w:rsidP="00012221">
      <w:pPr>
        <w:pBdr>
          <w:top w:val="nil"/>
          <w:left w:val="nil"/>
          <w:bottom w:val="nil"/>
          <w:right w:val="nil"/>
          <w:between w:val="nil"/>
          <w:bar w:val="nil"/>
        </w:pBdr>
        <w:spacing w:before="0" w:after="240"/>
        <w:rPr>
          <w:noProof/>
        </w:rPr>
      </w:pPr>
      <w:r w:rsidRPr="003E4F2E">
        <w:rPr>
          <w:noProof/>
        </w:rPr>
        <w:t>Under this option,</w:t>
      </w:r>
      <w:r w:rsidR="00532F52" w:rsidRPr="003E4F2E">
        <w:rPr>
          <w:noProof/>
        </w:rPr>
        <w:t xml:space="preserve"> </w:t>
      </w:r>
      <w:r w:rsidR="00E702F9" w:rsidRPr="003E4F2E">
        <w:rPr>
          <w:noProof/>
        </w:rPr>
        <w:t>third country national</w:t>
      </w:r>
      <w:r w:rsidRPr="003E4F2E">
        <w:rPr>
          <w:noProof/>
        </w:rPr>
        <w:t xml:space="preserve">s can apply for a </w:t>
      </w:r>
      <w:r w:rsidR="00492895" w:rsidRPr="003E4F2E">
        <w:rPr>
          <w:noProof/>
        </w:rPr>
        <w:t>short</w:t>
      </w:r>
      <w:r w:rsidR="007A2BF1" w:rsidRPr="003E4F2E">
        <w:rPr>
          <w:noProof/>
        </w:rPr>
        <w:t>-</w:t>
      </w:r>
      <w:r w:rsidR="00492895" w:rsidRPr="003E4F2E">
        <w:rPr>
          <w:noProof/>
        </w:rPr>
        <w:t xml:space="preserve">stay </w:t>
      </w:r>
      <w:r w:rsidRPr="003E4F2E">
        <w:rPr>
          <w:noProof/>
        </w:rPr>
        <w:t xml:space="preserve">visa online, via the </w:t>
      </w:r>
      <w:r w:rsidR="007A2BF1" w:rsidRPr="003E4F2E">
        <w:rPr>
          <w:noProof/>
        </w:rPr>
        <w:t xml:space="preserve">application </w:t>
      </w:r>
      <w:r w:rsidRPr="003E4F2E">
        <w:rPr>
          <w:noProof/>
        </w:rPr>
        <w:t xml:space="preserve">platform. </w:t>
      </w:r>
      <w:r w:rsidR="00532F52" w:rsidRPr="003E4F2E">
        <w:rPr>
          <w:noProof/>
        </w:rPr>
        <w:t xml:space="preserve">However, </w:t>
      </w:r>
      <w:r w:rsidRPr="003E4F2E">
        <w:rPr>
          <w:noProof/>
        </w:rPr>
        <w:t>first</w:t>
      </w:r>
      <w:r w:rsidR="004E089F" w:rsidRPr="003E4F2E">
        <w:rPr>
          <w:noProof/>
        </w:rPr>
        <w:t>-</w:t>
      </w:r>
      <w:r w:rsidRPr="003E4F2E">
        <w:rPr>
          <w:noProof/>
        </w:rPr>
        <w:t>time applicants, repeat applicants every five years</w:t>
      </w:r>
      <w:r w:rsidR="00A22977" w:rsidRPr="003E4F2E">
        <w:rPr>
          <w:rStyle w:val="FootnoteReference"/>
          <w:noProof/>
        </w:rPr>
        <w:footnoteReference w:id="36"/>
      </w:r>
      <w:r w:rsidRPr="003E4F2E">
        <w:rPr>
          <w:noProof/>
        </w:rPr>
        <w:t>, applicants travelling with children</w:t>
      </w:r>
      <w:r w:rsidR="00A22977" w:rsidRPr="003E4F2E">
        <w:rPr>
          <w:noProof/>
        </w:rPr>
        <w:t xml:space="preserve"> (to protect the interest of the child)</w:t>
      </w:r>
      <w:r w:rsidRPr="003E4F2E">
        <w:rPr>
          <w:noProof/>
        </w:rPr>
        <w:t xml:space="preserve"> and applicants who will be travelling on a different travel document than the one used for previous visa applications, would still </w:t>
      </w:r>
      <w:r w:rsidR="00285BDC">
        <w:rPr>
          <w:noProof/>
        </w:rPr>
        <w:t>need</w:t>
      </w:r>
      <w:r w:rsidRPr="003E4F2E">
        <w:rPr>
          <w:noProof/>
        </w:rPr>
        <w:t xml:space="preserve"> to </w:t>
      </w:r>
      <w:r w:rsidR="00A22977" w:rsidRPr="003E4F2E">
        <w:rPr>
          <w:noProof/>
        </w:rPr>
        <w:t xml:space="preserve">present themselves </w:t>
      </w:r>
      <w:r w:rsidRPr="003E4F2E">
        <w:rPr>
          <w:noProof/>
        </w:rPr>
        <w:t xml:space="preserve">to the consulate or </w:t>
      </w:r>
      <w:r w:rsidR="00E702F9" w:rsidRPr="003E4F2E">
        <w:rPr>
          <w:rFonts w:eastAsia="Arial Unicode MS"/>
          <w:noProof/>
        </w:rPr>
        <w:t>visa application centre</w:t>
      </w:r>
      <w:r w:rsidRPr="003E4F2E">
        <w:rPr>
          <w:noProof/>
        </w:rPr>
        <w:t xml:space="preserve"> to provide biometrics and for identification purposes</w:t>
      </w:r>
      <w:r w:rsidR="00881A11" w:rsidRPr="003E4F2E">
        <w:rPr>
          <w:noProof/>
        </w:rPr>
        <w:t>, or provide additional information, when necessary</w:t>
      </w:r>
      <w:r w:rsidRPr="003E4F2E">
        <w:rPr>
          <w:noProof/>
        </w:rPr>
        <w:t>.</w:t>
      </w:r>
    </w:p>
    <w:p w14:paraId="322F3985" w14:textId="77777777" w:rsidR="00BE1951" w:rsidRPr="003E4F2E" w:rsidRDefault="00BE1951" w:rsidP="00BE1951">
      <w:pPr>
        <w:rPr>
          <w:rFonts w:asciiTheme="majorBidi" w:hAnsiTheme="majorBidi" w:cstheme="majorBidi"/>
          <w:noProof/>
        </w:rPr>
      </w:pPr>
      <w:r w:rsidRPr="003E4F2E">
        <w:rPr>
          <w:noProof/>
        </w:rPr>
        <w:t xml:space="preserve">From the point of view of the </w:t>
      </w:r>
      <w:r w:rsidRPr="003E4F2E">
        <w:rPr>
          <w:rFonts w:asciiTheme="majorBidi" w:hAnsiTheme="majorBidi" w:cstheme="majorBidi"/>
          <w:noProof/>
        </w:rPr>
        <w:t>security of the Schengen area,</w:t>
      </w:r>
      <w:r w:rsidRPr="003E4F2E">
        <w:rPr>
          <w:noProof/>
        </w:rPr>
        <w:t xml:space="preserve"> </w:t>
      </w:r>
      <w:r w:rsidRPr="003E4F2E">
        <w:rPr>
          <w:rFonts w:asciiTheme="majorBidi" w:hAnsiTheme="majorBidi" w:cstheme="majorBidi"/>
          <w:noProof/>
        </w:rPr>
        <w:t>a digital visa application process handled via an EU visa application</w:t>
      </w:r>
      <w:r w:rsidRPr="003E4F2E" w:rsidDel="005748C6">
        <w:rPr>
          <w:rFonts w:asciiTheme="majorBidi" w:hAnsiTheme="majorBidi" w:cstheme="majorBidi"/>
          <w:noProof/>
        </w:rPr>
        <w:t xml:space="preserve"> </w:t>
      </w:r>
      <w:r w:rsidRPr="003E4F2E">
        <w:rPr>
          <w:rFonts w:asciiTheme="majorBidi" w:hAnsiTheme="majorBidi" w:cstheme="majorBidi"/>
          <w:noProof/>
        </w:rPr>
        <w:t xml:space="preserve">platform and relying on the digital visa would strengthen </w:t>
      </w:r>
      <w:r w:rsidRPr="003451AC">
        <w:rPr>
          <w:rFonts w:asciiTheme="majorBidi" w:hAnsiTheme="majorBidi" w:cstheme="majorBidi"/>
          <w:bCs/>
          <w:noProof/>
        </w:rPr>
        <w:t>the security of the overall process</w:t>
      </w:r>
      <w:r w:rsidRPr="003E4F2E">
        <w:rPr>
          <w:rFonts w:asciiTheme="majorBidi" w:hAnsiTheme="majorBidi" w:cstheme="majorBidi"/>
          <w:noProof/>
        </w:rPr>
        <w:t xml:space="preserve">, contribute to the security of the Schengen external borders, and increase trust amongst Member States. </w:t>
      </w:r>
      <w:r w:rsidR="00A22977" w:rsidRPr="003E4F2E">
        <w:rPr>
          <w:rFonts w:asciiTheme="majorBidi" w:hAnsiTheme="majorBidi" w:cstheme="majorBidi"/>
          <w:noProof/>
        </w:rPr>
        <w:t>It would also allow for the</w:t>
      </w:r>
      <w:r w:rsidR="00285BDC">
        <w:rPr>
          <w:rFonts w:asciiTheme="majorBidi" w:hAnsiTheme="majorBidi" w:cstheme="majorBidi"/>
          <w:noProof/>
        </w:rPr>
        <w:t xml:space="preserve"> </w:t>
      </w:r>
      <w:r w:rsidR="00585F4E">
        <w:rPr>
          <w:rFonts w:asciiTheme="majorBidi" w:hAnsiTheme="majorBidi" w:cstheme="majorBidi"/>
          <w:noProof/>
        </w:rPr>
        <w:t xml:space="preserve">partly </w:t>
      </w:r>
      <w:r w:rsidR="00285BDC">
        <w:rPr>
          <w:rFonts w:asciiTheme="majorBidi" w:hAnsiTheme="majorBidi" w:cstheme="majorBidi"/>
          <w:noProof/>
        </w:rPr>
        <w:t>automat</w:t>
      </w:r>
      <w:r w:rsidR="00585F4E">
        <w:rPr>
          <w:rFonts w:asciiTheme="majorBidi" w:hAnsiTheme="majorBidi" w:cstheme="majorBidi"/>
          <w:noProof/>
        </w:rPr>
        <w:t>ed</w:t>
      </w:r>
      <w:r w:rsidR="00A22977" w:rsidRPr="003E4F2E">
        <w:rPr>
          <w:rFonts w:asciiTheme="majorBidi" w:hAnsiTheme="majorBidi" w:cstheme="majorBidi"/>
          <w:noProof/>
        </w:rPr>
        <w:t xml:space="preserve"> determination of the Member State which is competent for assessing the visa application, on the basis of the criteria of the Visa Code, thus significantly reducing the risk of visa shopping</w:t>
      </w:r>
    </w:p>
    <w:p w14:paraId="58BE610E" w14:textId="77777777" w:rsidR="00BE1951" w:rsidRDefault="00BE1951" w:rsidP="00BE1951">
      <w:pPr>
        <w:pBdr>
          <w:top w:val="nil"/>
          <w:left w:val="nil"/>
          <w:bottom w:val="nil"/>
          <w:right w:val="nil"/>
          <w:between w:val="nil"/>
          <w:bar w:val="nil"/>
        </w:pBdr>
        <w:spacing w:before="0" w:after="240"/>
        <w:rPr>
          <w:noProof/>
        </w:rPr>
      </w:pPr>
      <w:r w:rsidRPr="003E4F2E">
        <w:rPr>
          <w:rFonts w:asciiTheme="majorBidi" w:hAnsiTheme="majorBidi" w:cstheme="majorBidi"/>
          <w:noProof/>
        </w:rPr>
        <w:t xml:space="preserve">The digital visa would considerably reduce security risks compared to the visa sticker. This would be the case also in a fall-back scenario, i.e. where checks against </w:t>
      </w:r>
      <w:r w:rsidR="00285BDC">
        <w:rPr>
          <w:rFonts w:asciiTheme="majorBidi" w:hAnsiTheme="majorBidi" w:cstheme="majorBidi"/>
          <w:noProof/>
        </w:rPr>
        <w:t xml:space="preserve">the </w:t>
      </w:r>
      <w:r w:rsidRPr="003E4F2E">
        <w:rPr>
          <w:rFonts w:asciiTheme="majorBidi" w:hAnsiTheme="majorBidi" w:cstheme="majorBidi"/>
          <w:noProof/>
        </w:rPr>
        <w:t xml:space="preserve">VIS and other EU information systems are technically not possible. It would not be possible to steal blank visas stickers, as </w:t>
      </w:r>
      <w:r w:rsidR="00532F52" w:rsidRPr="003E4F2E">
        <w:rPr>
          <w:rFonts w:asciiTheme="majorBidi" w:hAnsiTheme="majorBidi" w:cstheme="majorBidi"/>
          <w:noProof/>
        </w:rPr>
        <w:t xml:space="preserve">can </w:t>
      </w:r>
      <w:r w:rsidR="00E10B61" w:rsidRPr="003E4F2E">
        <w:rPr>
          <w:rFonts w:asciiTheme="majorBidi" w:hAnsiTheme="majorBidi" w:cstheme="majorBidi"/>
          <w:noProof/>
        </w:rPr>
        <w:t>be the case</w:t>
      </w:r>
      <w:r w:rsidR="00532F52" w:rsidRPr="003E4F2E">
        <w:rPr>
          <w:rFonts w:asciiTheme="majorBidi" w:hAnsiTheme="majorBidi" w:cstheme="majorBidi"/>
          <w:noProof/>
        </w:rPr>
        <w:t xml:space="preserve"> in</w:t>
      </w:r>
      <w:r w:rsidRPr="003E4F2E">
        <w:rPr>
          <w:rFonts w:asciiTheme="majorBidi" w:hAnsiTheme="majorBidi" w:cstheme="majorBidi"/>
          <w:noProof/>
        </w:rPr>
        <w:t xml:space="preserve"> </w:t>
      </w:r>
      <w:r w:rsidR="00E10B61" w:rsidRPr="003E4F2E">
        <w:rPr>
          <w:rFonts w:asciiTheme="majorBidi" w:hAnsiTheme="majorBidi" w:cstheme="majorBidi"/>
          <w:noProof/>
        </w:rPr>
        <w:t xml:space="preserve">Member States’ </w:t>
      </w:r>
      <w:r w:rsidRPr="003E4F2E">
        <w:rPr>
          <w:rFonts w:asciiTheme="majorBidi" w:hAnsiTheme="majorBidi" w:cstheme="majorBidi"/>
          <w:noProof/>
        </w:rPr>
        <w:t>consulates today</w:t>
      </w:r>
      <w:r w:rsidRPr="003E4F2E">
        <w:rPr>
          <w:rStyle w:val="FootnoteReference"/>
          <w:rFonts w:asciiTheme="majorBidi" w:hAnsiTheme="majorBidi" w:cstheme="majorBidi"/>
          <w:noProof/>
        </w:rPr>
        <w:footnoteReference w:id="37"/>
      </w:r>
      <w:r w:rsidRPr="003E4F2E">
        <w:rPr>
          <w:rFonts w:asciiTheme="majorBidi" w:hAnsiTheme="majorBidi" w:cstheme="majorBidi"/>
          <w:noProof/>
        </w:rPr>
        <w:t xml:space="preserve">. </w:t>
      </w:r>
      <w:r w:rsidR="00532F52" w:rsidRPr="003E4F2E">
        <w:rPr>
          <w:rFonts w:asciiTheme="majorBidi" w:hAnsiTheme="majorBidi" w:cstheme="majorBidi"/>
          <w:noProof/>
        </w:rPr>
        <w:t>Option 4</w:t>
      </w:r>
      <w:r w:rsidR="00532F52" w:rsidRPr="003E4F2E">
        <w:rPr>
          <w:rFonts w:asciiTheme="majorBidi" w:hAnsiTheme="majorBidi" w:cstheme="majorBidi"/>
          <w:b/>
          <w:noProof/>
        </w:rPr>
        <w:t xml:space="preserve"> </w:t>
      </w:r>
      <w:r w:rsidRPr="003E4F2E">
        <w:rPr>
          <w:rFonts w:asciiTheme="majorBidi" w:hAnsiTheme="majorBidi" w:cstheme="majorBidi"/>
          <w:noProof/>
        </w:rPr>
        <w:t xml:space="preserve">will harmonise </w:t>
      </w:r>
      <w:r w:rsidR="00285BDC">
        <w:rPr>
          <w:rFonts w:asciiTheme="majorBidi" w:hAnsiTheme="majorBidi" w:cstheme="majorBidi"/>
          <w:noProof/>
        </w:rPr>
        <w:t xml:space="preserve">the </w:t>
      </w:r>
      <w:r w:rsidRPr="003E4F2E">
        <w:rPr>
          <w:rFonts w:asciiTheme="majorBidi" w:hAnsiTheme="majorBidi" w:cstheme="majorBidi"/>
          <w:noProof/>
        </w:rPr>
        <w:t xml:space="preserve">formats and data quality of supported documents uploaded on the EU application platform which </w:t>
      </w:r>
      <w:r w:rsidR="00285BDC">
        <w:rPr>
          <w:rFonts w:asciiTheme="majorBidi" w:hAnsiTheme="majorBidi" w:cstheme="majorBidi"/>
          <w:noProof/>
        </w:rPr>
        <w:t xml:space="preserve">will </w:t>
      </w:r>
      <w:r w:rsidRPr="003E4F2E">
        <w:rPr>
          <w:rFonts w:asciiTheme="majorBidi" w:hAnsiTheme="majorBidi" w:cstheme="majorBidi"/>
          <w:noProof/>
        </w:rPr>
        <w:t>provide additional safeguards regarding detection of forged documents</w:t>
      </w:r>
    </w:p>
    <w:p w14:paraId="1A9E49B4" w14:textId="77777777" w:rsidR="00A40E24" w:rsidRDefault="00A40E24" w:rsidP="00012221">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Regulatory fitness and simplification</w:t>
      </w:r>
    </w:p>
    <w:p w14:paraId="457E3C48" w14:textId="77777777" w:rsidR="00A40E24" w:rsidRPr="00550536" w:rsidRDefault="004A4EB6" w:rsidP="00012221">
      <w:pPr>
        <w:pBdr>
          <w:top w:val="nil"/>
          <w:left w:val="nil"/>
          <w:bottom w:val="nil"/>
          <w:right w:val="nil"/>
          <w:between w:val="nil"/>
          <w:bar w:val="nil"/>
        </w:pBdr>
        <w:spacing w:before="0" w:after="240"/>
        <w:rPr>
          <w:rFonts w:eastAsia="Arial Unicode MS"/>
          <w:noProof/>
        </w:rPr>
      </w:pPr>
      <w:r>
        <w:rPr>
          <w:noProof/>
        </w:rPr>
        <w:t>As p</w:t>
      </w:r>
      <w:r w:rsidR="00EF122F">
        <w:rPr>
          <w:noProof/>
        </w:rPr>
        <w:t xml:space="preserve">er the Commission’s Regulatory Fitness and Performance Programme (REFIT), all initiatives aimed at changing existing EU legislation should aim to simplify and deliver stated policy objectives more efficiently (i.e. by reducing unnecessary regulatory costs). While this initiative has not been subject to </w:t>
      </w:r>
      <w:r w:rsidR="002B2EAB">
        <w:rPr>
          <w:noProof/>
        </w:rPr>
        <w:t xml:space="preserve">the </w:t>
      </w:r>
      <w:r w:rsidR="00EF122F">
        <w:rPr>
          <w:noProof/>
        </w:rPr>
        <w:t>REFIT initiative, it will significantly reduce the overall administrative costs of Member States</w:t>
      </w:r>
      <w:r w:rsidR="003C1D8F">
        <w:rPr>
          <w:noProof/>
        </w:rPr>
        <w:t xml:space="preserve"> to manage visa applications</w:t>
      </w:r>
      <w:r w:rsidR="00683443">
        <w:rPr>
          <w:noProof/>
        </w:rPr>
        <w:t>, as demonstrated by the Impact Assessment</w:t>
      </w:r>
      <w:r w:rsidR="00EF122F">
        <w:rPr>
          <w:noProof/>
        </w:rPr>
        <w:t>.</w:t>
      </w:r>
    </w:p>
    <w:p w14:paraId="16DB7159" w14:textId="77777777" w:rsidR="00A40E24" w:rsidRDefault="00A40E24" w:rsidP="00012221">
      <w:pPr>
        <w:pStyle w:val="ManualHeading2"/>
        <w:rPr>
          <w:rFonts w:eastAsia="Arial Unicode MS"/>
          <w:noProof/>
          <w:u w:color="000000"/>
          <w:bdr w:val="nil"/>
          <w:lang w:val="en-US" w:eastAsia="en-GB"/>
        </w:rPr>
      </w:pPr>
      <w:bookmarkStart w:id="2" w:name="_Hlk101426004"/>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bookmarkEnd w:id="2"/>
      <w:r w:rsidRPr="007718A8">
        <w:rPr>
          <w:rFonts w:eastAsia="Arial Unicode MS"/>
          <w:noProof/>
          <w:u w:color="000000"/>
          <w:bdr w:val="nil"/>
          <w:lang w:val="en-US" w:eastAsia="en-GB"/>
        </w:rPr>
        <w:t>Fundamental rights</w:t>
      </w:r>
    </w:p>
    <w:p w14:paraId="7B9818FA" w14:textId="77777777" w:rsidR="00771B2D" w:rsidRDefault="00771B2D" w:rsidP="00012221">
      <w:pPr>
        <w:pBdr>
          <w:top w:val="nil"/>
          <w:left w:val="nil"/>
          <w:bottom w:val="nil"/>
          <w:right w:val="nil"/>
          <w:between w:val="nil"/>
          <w:bar w:val="nil"/>
        </w:pBdr>
        <w:spacing w:before="0" w:after="240"/>
        <w:rPr>
          <w:noProof/>
        </w:rPr>
      </w:pPr>
      <w:r>
        <w:rPr>
          <w:noProof/>
        </w:rPr>
        <w:t xml:space="preserve">This legislative initiative puts a particular focus on the need to ensure full compliance with fundamental rights as enshrined in the EU Charter of Fundamental Rights. </w:t>
      </w:r>
    </w:p>
    <w:p w14:paraId="15033120" w14:textId="77777777" w:rsidR="00771B2D" w:rsidRDefault="00683443" w:rsidP="00012221">
      <w:pPr>
        <w:pBdr>
          <w:top w:val="nil"/>
          <w:left w:val="nil"/>
          <w:bottom w:val="nil"/>
          <w:right w:val="nil"/>
          <w:between w:val="nil"/>
          <w:bar w:val="nil"/>
        </w:pBdr>
        <w:spacing w:before="0" w:after="240"/>
        <w:rPr>
          <w:noProof/>
        </w:rPr>
      </w:pPr>
      <w:r>
        <w:rPr>
          <w:noProof/>
        </w:rPr>
        <w:t xml:space="preserve">Visa applicants </w:t>
      </w:r>
      <w:r w:rsidR="00771B2D">
        <w:rPr>
          <w:noProof/>
        </w:rPr>
        <w:t xml:space="preserve">with reduced mobility would increasingly benefit from the </w:t>
      </w:r>
      <w:r w:rsidR="00306FB7">
        <w:rPr>
          <w:noProof/>
        </w:rPr>
        <w:t xml:space="preserve">less frequent </w:t>
      </w:r>
      <w:r w:rsidR="00771B2D">
        <w:rPr>
          <w:noProof/>
        </w:rPr>
        <w:t>need to visit a consulate</w:t>
      </w:r>
      <w:r w:rsidR="00E10B61">
        <w:rPr>
          <w:noProof/>
        </w:rPr>
        <w:t xml:space="preserve"> or a </w:t>
      </w:r>
      <w:r w:rsidR="00771B2D">
        <w:rPr>
          <w:noProof/>
        </w:rPr>
        <w:t>visa application centre. On the other hand, certain categories of applicants</w:t>
      </w:r>
      <w:r w:rsidR="00E406B5">
        <w:rPr>
          <w:noProof/>
        </w:rPr>
        <w:t xml:space="preserve"> </w:t>
      </w:r>
      <w:r w:rsidR="00771B2D">
        <w:rPr>
          <w:noProof/>
        </w:rPr>
        <w:t>would still be able to apply at a consulate</w:t>
      </w:r>
      <w:r w:rsidR="005D31DF">
        <w:rPr>
          <w:noProof/>
        </w:rPr>
        <w:t xml:space="preserve"> or a</w:t>
      </w:r>
      <w:r w:rsidR="00771B2D" w:rsidRPr="00771B2D">
        <w:rPr>
          <w:noProof/>
        </w:rPr>
        <w:t xml:space="preserve"> </w:t>
      </w:r>
      <w:r w:rsidR="00771B2D">
        <w:rPr>
          <w:noProof/>
        </w:rPr>
        <w:t xml:space="preserve">visa application centre if the assistance provided by the EU visa application platform, </w:t>
      </w:r>
      <w:r w:rsidR="00532F52">
        <w:rPr>
          <w:noProof/>
        </w:rPr>
        <w:t xml:space="preserve">or </w:t>
      </w:r>
      <w:r w:rsidR="00771B2D">
        <w:rPr>
          <w:noProof/>
        </w:rPr>
        <w:t>by service providers and family</w:t>
      </w:r>
      <w:r w:rsidR="00532F52">
        <w:rPr>
          <w:noProof/>
        </w:rPr>
        <w:t xml:space="preserve"> or </w:t>
      </w:r>
      <w:r w:rsidR="00771B2D">
        <w:rPr>
          <w:noProof/>
        </w:rPr>
        <w:t>friends</w:t>
      </w:r>
      <w:r w:rsidR="00532F52">
        <w:rPr>
          <w:noProof/>
        </w:rPr>
        <w:t>,</w:t>
      </w:r>
      <w:r w:rsidR="00771B2D">
        <w:rPr>
          <w:noProof/>
        </w:rPr>
        <w:t xml:space="preserve"> is not sufficient</w:t>
      </w:r>
      <w:r w:rsidR="00771B2D">
        <w:rPr>
          <w:rStyle w:val="FootnoteReference"/>
          <w:noProof/>
        </w:rPr>
        <w:footnoteReference w:id="38"/>
      </w:r>
      <w:r w:rsidR="00771B2D">
        <w:rPr>
          <w:noProof/>
        </w:rPr>
        <w:t xml:space="preserve">. </w:t>
      </w:r>
    </w:p>
    <w:p w14:paraId="3680474E" w14:textId="77777777" w:rsidR="00771B2D" w:rsidRDefault="00602F73" w:rsidP="00012221">
      <w:pPr>
        <w:pBdr>
          <w:top w:val="nil"/>
          <w:left w:val="nil"/>
          <w:bottom w:val="nil"/>
          <w:right w:val="nil"/>
          <w:between w:val="nil"/>
          <w:bar w:val="nil"/>
        </w:pBdr>
        <w:spacing w:before="0" w:after="240"/>
        <w:rPr>
          <w:noProof/>
        </w:rPr>
      </w:pPr>
      <w:r>
        <w:rPr>
          <w:noProof/>
        </w:rPr>
        <w:t>Applying online is likely to improve the experience of applying for a visa f</w:t>
      </w:r>
      <w:r w:rsidR="00771B2D">
        <w:rPr>
          <w:noProof/>
        </w:rPr>
        <w:t>or people with impaired vision</w:t>
      </w:r>
      <w:r>
        <w:rPr>
          <w:noProof/>
        </w:rPr>
        <w:t>. D</w:t>
      </w:r>
      <w:r w:rsidR="00771B2D">
        <w:rPr>
          <w:noProof/>
        </w:rPr>
        <w:t xml:space="preserve">igital application platforms, either at EU or national level, have to comply with </w:t>
      </w:r>
      <w:r>
        <w:rPr>
          <w:noProof/>
        </w:rPr>
        <w:t xml:space="preserve">the </w:t>
      </w:r>
      <w:r w:rsidR="00771B2D">
        <w:rPr>
          <w:noProof/>
        </w:rPr>
        <w:t>Accessibility Directive</w:t>
      </w:r>
      <w:r w:rsidR="00BE1951">
        <w:rPr>
          <w:rStyle w:val="FootnoteReference"/>
          <w:noProof/>
        </w:rPr>
        <w:footnoteReference w:id="39"/>
      </w:r>
      <w:r>
        <w:rPr>
          <w:noProof/>
        </w:rPr>
        <w:t>,</w:t>
      </w:r>
      <w:r w:rsidR="00771B2D">
        <w:rPr>
          <w:noProof/>
        </w:rPr>
        <w:t xml:space="preserve"> under which Member States have to ensure that ‘public sector bodies take the necessary measures to make their websites and mobile applications more accessible by making them perceivable, operable, understandable and robust’. Websites should therefore allow </w:t>
      </w:r>
      <w:r>
        <w:rPr>
          <w:noProof/>
        </w:rPr>
        <w:t xml:space="preserve">users to </w:t>
      </w:r>
      <w:r w:rsidR="00771B2D">
        <w:rPr>
          <w:noProof/>
        </w:rPr>
        <w:t>chang</w:t>
      </w:r>
      <w:r>
        <w:rPr>
          <w:noProof/>
        </w:rPr>
        <w:t>e</w:t>
      </w:r>
      <w:r w:rsidR="00771B2D">
        <w:rPr>
          <w:noProof/>
        </w:rPr>
        <w:t xml:space="preserve"> </w:t>
      </w:r>
      <w:r>
        <w:rPr>
          <w:noProof/>
        </w:rPr>
        <w:t>how the information is displa</w:t>
      </w:r>
      <w:r w:rsidR="00755F9F">
        <w:rPr>
          <w:noProof/>
        </w:rPr>
        <w:t>y</w:t>
      </w:r>
      <w:r>
        <w:rPr>
          <w:noProof/>
        </w:rPr>
        <w:t>ed</w:t>
      </w:r>
      <w:r w:rsidR="00771B2D">
        <w:rPr>
          <w:noProof/>
        </w:rPr>
        <w:t xml:space="preserve"> (font size, colours, etc.) and could also offer audio assistance (reading out texts). </w:t>
      </w:r>
      <w:r w:rsidR="00377669">
        <w:rPr>
          <w:noProof/>
        </w:rPr>
        <w:t>This would not be possible</w:t>
      </w:r>
      <w:r w:rsidR="00771B2D">
        <w:rPr>
          <w:noProof/>
        </w:rPr>
        <w:t xml:space="preserve">, or </w:t>
      </w:r>
      <w:r w:rsidR="00377669">
        <w:rPr>
          <w:noProof/>
        </w:rPr>
        <w:t>it would be</w:t>
      </w:r>
      <w:r w:rsidR="00771B2D">
        <w:rPr>
          <w:noProof/>
        </w:rPr>
        <w:t xml:space="preserve"> to a lesser extent, with </w:t>
      </w:r>
      <w:r w:rsidR="00377669">
        <w:rPr>
          <w:noProof/>
        </w:rPr>
        <w:t xml:space="preserve">a </w:t>
      </w:r>
      <w:r w:rsidR="00771B2D">
        <w:rPr>
          <w:noProof/>
        </w:rPr>
        <w:t>paper</w:t>
      </w:r>
      <w:r w:rsidR="00377669">
        <w:rPr>
          <w:noProof/>
        </w:rPr>
        <w:t>-based</w:t>
      </w:r>
      <w:r w:rsidR="00771B2D">
        <w:rPr>
          <w:noProof/>
        </w:rPr>
        <w:t xml:space="preserve"> application</w:t>
      </w:r>
      <w:r w:rsidR="00377669">
        <w:rPr>
          <w:noProof/>
        </w:rPr>
        <w:t xml:space="preserve"> process.</w:t>
      </w:r>
      <w:r w:rsidR="00771B2D">
        <w:rPr>
          <w:noProof/>
        </w:rPr>
        <w:t xml:space="preserve"> In addition, </w:t>
      </w:r>
      <w:r w:rsidR="00E406B5">
        <w:rPr>
          <w:noProof/>
        </w:rPr>
        <w:t>it</w:t>
      </w:r>
      <w:r w:rsidR="00771B2D">
        <w:rPr>
          <w:noProof/>
        </w:rPr>
        <w:t xml:space="preserve"> would guarantee high accessibility to people unable to see or hear, because the standards and features embedded in the EU application platform would be applied by all countries. </w:t>
      </w:r>
    </w:p>
    <w:p w14:paraId="723C5B64" w14:textId="451C8B16" w:rsidR="0065098E" w:rsidRDefault="0090123F" w:rsidP="00012221">
      <w:pPr>
        <w:pBdr>
          <w:top w:val="nil"/>
          <w:left w:val="nil"/>
          <w:bottom w:val="nil"/>
          <w:right w:val="nil"/>
          <w:between w:val="nil"/>
          <w:bar w:val="nil"/>
        </w:pBdr>
        <w:spacing w:before="0" w:after="240"/>
        <w:rPr>
          <w:noProof/>
        </w:rPr>
      </w:pPr>
      <w:r>
        <w:rPr>
          <w:noProof/>
        </w:rPr>
        <w:t xml:space="preserve">The special provisions which would be applicable to individual cases because of humanitarian reasons would also apply to </w:t>
      </w:r>
      <w:r w:rsidR="00771B2D">
        <w:rPr>
          <w:noProof/>
        </w:rPr>
        <w:t>people with low</w:t>
      </w:r>
      <w:r w:rsidR="00532F52">
        <w:rPr>
          <w:noProof/>
        </w:rPr>
        <w:t>er</w:t>
      </w:r>
      <w:r w:rsidR="00771B2D">
        <w:rPr>
          <w:noProof/>
        </w:rPr>
        <w:t xml:space="preserve"> IT literacy </w:t>
      </w:r>
      <w:r>
        <w:rPr>
          <w:noProof/>
        </w:rPr>
        <w:t xml:space="preserve">who </w:t>
      </w:r>
      <w:r w:rsidR="00771B2D">
        <w:rPr>
          <w:noProof/>
        </w:rPr>
        <w:t>would require technical assistance</w:t>
      </w:r>
      <w:r w:rsidR="003451AC">
        <w:rPr>
          <w:noProof/>
        </w:rPr>
        <w:t>.</w:t>
      </w:r>
      <w:r w:rsidR="00930722">
        <w:rPr>
          <w:noProof/>
        </w:rPr>
        <w:t xml:space="preserve"> </w:t>
      </w:r>
      <w:r w:rsidR="00771B2D">
        <w:rPr>
          <w:noProof/>
        </w:rPr>
        <w:t>Nevertheless</w:t>
      </w:r>
      <w:r w:rsidR="00E702F9">
        <w:rPr>
          <w:noProof/>
        </w:rPr>
        <w:t>,</w:t>
      </w:r>
      <w:r>
        <w:rPr>
          <w:noProof/>
        </w:rPr>
        <w:t xml:space="preserve"> digital accessibility issues will gradually decline over time due to </w:t>
      </w:r>
      <w:r w:rsidR="00771B2D">
        <w:rPr>
          <w:noProof/>
        </w:rPr>
        <w:t xml:space="preserve">the </w:t>
      </w:r>
      <w:r w:rsidR="00755F9F">
        <w:rPr>
          <w:noProof/>
        </w:rPr>
        <w:t xml:space="preserve">global </w:t>
      </w:r>
      <w:r w:rsidR="00771B2D">
        <w:rPr>
          <w:noProof/>
        </w:rPr>
        <w:t>increase of IT literacy.</w:t>
      </w:r>
    </w:p>
    <w:p w14:paraId="108B064A" w14:textId="77777777" w:rsidR="00AB4A98" w:rsidRDefault="00771B2D" w:rsidP="00012221">
      <w:pPr>
        <w:pBdr>
          <w:top w:val="nil"/>
          <w:left w:val="nil"/>
          <w:bottom w:val="nil"/>
          <w:right w:val="nil"/>
          <w:between w:val="nil"/>
          <w:bar w:val="nil"/>
        </w:pBdr>
        <w:spacing w:before="0" w:after="240"/>
        <w:rPr>
          <w:noProof/>
        </w:rPr>
      </w:pPr>
      <w:r>
        <w:rPr>
          <w:noProof/>
        </w:rPr>
        <w:t>As to the rights of the child, the applicable legislative regime which guarantees the on-site process for children would remain in place. The revised VIS</w:t>
      </w:r>
      <w:r w:rsidR="00203006">
        <w:rPr>
          <w:noProof/>
        </w:rPr>
        <w:t xml:space="preserve"> Regulation already</w:t>
      </w:r>
      <w:r>
        <w:rPr>
          <w:noProof/>
        </w:rPr>
        <w:t xml:space="preserve"> introduced changes aim</w:t>
      </w:r>
      <w:r w:rsidR="00E10B61">
        <w:rPr>
          <w:noProof/>
        </w:rPr>
        <w:t>ing</w:t>
      </w:r>
      <w:r>
        <w:rPr>
          <w:noProof/>
        </w:rPr>
        <w:t xml:space="preserve"> particularly to strengthen the fight against the abuse of children’s rights by lowering the fingerprinting age (from 12 to 6 years), but also imposing strict safeguards to biometric data of children, in particular by limiting the storage period of the data: fingerprints and facial images pertaining to children below the age of 12 will be erased upon the visa having expired and the child having exited the external borders. For repeat applicants with children, a new repeat application will necessitate another on-site procedure in all such cases.</w:t>
      </w:r>
    </w:p>
    <w:p w14:paraId="407CFB35" w14:textId="77777777" w:rsidR="00AB4A98" w:rsidRPr="00322B51" w:rsidRDefault="004E57D9" w:rsidP="00AB4A98">
      <w:pPr>
        <w:pBdr>
          <w:top w:val="nil"/>
          <w:left w:val="nil"/>
          <w:bottom w:val="nil"/>
          <w:right w:val="nil"/>
          <w:between w:val="nil"/>
          <w:bar w:val="nil"/>
        </w:pBdr>
        <w:spacing w:before="0" w:after="240"/>
        <w:rPr>
          <w:noProof/>
        </w:rPr>
      </w:pPr>
      <w:r>
        <w:rPr>
          <w:noProof/>
        </w:rPr>
        <w:t>T</w:t>
      </w:r>
      <w:r w:rsidR="00AB4A98">
        <w:rPr>
          <w:noProof/>
        </w:rPr>
        <w:t xml:space="preserve">he role of </w:t>
      </w:r>
      <w:r>
        <w:rPr>
          <w:noProof/>
        </w:rPr>
        <w:t xml:space="preserve">external service providers </w:t>
      </w:r>
      <w:r w:rsidR="00AB4A98">
        <w:rPr>
          <w:noProof/>
        </w:rPr>
        <w:t>in the context of digitalisation would depend on which tasks Member States would outsource to them in the new digitalisation context</w:t>
      </w:r>
      <w:r w:rsidR="00532F52">
        <w:rPr>
          <w:noProof/>
        </w:rPr>
        <w:t>, when allowed by the legislative framework</w:t>
      </w:r>
      <w:r w:rsidR="00AB4A98">
        <w:rPr>
          <w:noProof/>
        </w:rPr>
        <w:t xml:space="preserve">. </w:t>
      </w:r>
      <w:r w:rsidR="0076536A">
        <w:rPr>
          <w:noProof/>
        </w:rPr>
        <w:t>A large part of administrative tasks currently entrusted to external service providers would no longer be necessary with digital procedures (such as inserting information from the physical application form into digital form).</w:t>
      </w:r>
      <w:r w:rsidR="0076536A" w:rsidRPr="003B4ECA">
        <w:rPr>
          <w:noProof/>
        </w:rPr>
        <w:t xml:space="preserve"> </w:t>
      </w:r>
      <w:r>
        <w:rPr>
          <w:noProof/>
        </w:rPr>
        <w:t>I</w:t>
      </w:r>
      <w:r w:rsidR="00AB4A98">
        <w:rPr>
          <w:noProof/>
        </w:rPr>
        <w:t>n the short term</w:t>
      </w:r>
      <w:r w:rsidR="00AB4A98" w:rsidRPr="003A2660">
        <w:rPr>
          <w:noProof/>
        </w:rPr>
        <w:t xml:space="preserve">, </w:t>
      </w:r>
      <w:r w:rsidR="00AB4A98">
        <w:rPr>
          <w:noProof/>
        </w:rPr>
        <w:t xml:space="preserve">the </w:t>
      </w:r>
      <w:r w:rsidR="00AB4A98" w:rsidRPr="003A2660">
        <w:rPr>
          <w:noProof/>
        </w:rPr>
        <w:t>role</w:t>
      </w:r>
      <w:r>
        <w:rPr>
          <w:noProof/>
        </w:rPr>
        <w:t xml:space="preserve"> of external service providers</w:t>
      </w:r>
      <w:r w:rsidR="00AB4A98" w:rsidRPr="003A2660">
        <w:rPr>
          <w:noProof/>
        </w:rPr>
        <w:t xml:space="preserve"> </w:t>
      </w:r>
      <w:r w:rsidR="00AB4A98">
        <w:rPr>
          <w:noProof/>
        </w:rPr>
        <w:t>in</w:t>
      </w:r>
      <w:r w:rsidR="00AB4A98" w:rsidRPr="003A2660">
        <w:rPr>
          <w:noProof/>
        </w:rPr>
        <w:t xml:space="preserve"> providing general assistance to the applicant might increase</w:t>
      </w:r>
      <w:r w:rsidR="00AB4A98">
        <w:rPr>
          <w:noProof/>
        </w:rPr>
        <w:t xml:space="preserve"> (e.g</w:t>
      </w:r>
      <w:r w:rsidR="0031000B">
        <w:rPr>
          <w:noProof/>
        </w:rPr>
        <w:t>.</w:t>
      </w:r>
      <w:r w:rsidR="00AB4A98">
        <w:rPr>
          <w:noProof/>
        </w:rPr>
        <w:t xml:space="preserve"> assistance to people without IT literacy). </w:t>
      </w:r>
      <w:r w:rsidR="00AB4A98" w:rsidRPr="003A2660">
        <w:rPr>
          <w:bCs/>
          <w:noProof/>
        </w:rPr>
        <w:t xml:space="preserve">However, </w:t>
      </w:r>
      <w:r w:rsidR="00AB4A98">
        <w:rPr>
          <w:bCs/>
          <w:noProof/>
        </w:rPr>
        <w:t xml:space="preserve">in </w:t>
      </w:r>
      <w:r w:rsidR="00E10B61">
        <w:rPr>
          <w:bCs/>
          <w:noProof/>
        </w:rPr>
        <w:t xml:space="preserve">the </w:t>
      </w:r>
      <w:r w:rsidR="00AB4A98">
        <w:rPr>
          <w:bCs/>
          <w:noProof/>
        </w:rPr>
        <w:t xml:space="preserve">long term, </w:t>
      </w:r>
      <w:r w:rsidR="00AB4A98" w:rsidRPr="003A2660">
        <w:rPr>
          <w:bCs/>
          <w:noProof/>
        </w:rPr>
        <w:t>the</w:t>
      </w:r>
      <w:r w:rsidR="00DD4077">
        <w:rPr>
          <w:bCs/>
          <w:noProof/>
        </w:rPr>
        <w:t>ir</w:t>
      </w:r>
      <w:r w:rsidR="00AB4A98" w:rsidRPr="003A2660">
        <w:rPr>
          <w:bCs/>
          <w:noProof/>
        </w:rPr>
        <w:t xml:space="preserve"> role </w:t>
      </w:r>
      <w:r w:rsidR="00AB4A98">
        <w:rPr>
          <w:bCs/>
          <w:noProof/>
        </w:rPr>
        <w:t xml:space="preserve">with regards to </w:t>
      </w:r>
      <w:r w:rsidR="00E10B61">
        <w:rPr>
          <w:bCs/>
          <w:noProof/>
        </w:rPr>
        <w:t xml:space="preserve">the </w:t>
      </w:r>
      <w:r w:rsidR="00AB4A98">
        <w:rPr>
          <w:bCs/>
          <w:noProof/>
        </w:rPr>
        <w:t xml:space="preserve">collection of applications should </w:t>
      </w:r>
      <w:r w:rsidR="00AB4A98" w:rsidRPr="003A2660">
        <w:rPr>
          <w:bCs/>
          <w:noProof/>
        </w:rPr>
        <w:t>decrease</w:t>
      </w:r>
      <w:r w:rsidR="00E10B61">
        <w:rPr>
          <w:bCs/>
          <w:noProof/>
        </w:rPr>
        <w:t xml:space="preserve"> because repeat applicants who have valid biometrics already enrolled would be able to apply fully online</w:t>
      </w:r>
      <w:r w:rsidR="00AB4A98" w:rsidRPr="003A2660">
        <w:rPr>
          <w:bCs/>
          <w:noProof/>
        </w:rPr>
        <w:t xml:space="preserve">. </w:t>
      </w:r>
      <w:r w:rsidR="00AB4A98">
        <w:rPr>
          <w:noProof/>
        </w:rPr>
        <w:t xml:space="preserve">From a data protection point of view, the use of </w:t>
      </w:r>
      <w:r w:rsidR="00DD4077" w:rsidRPr="00DD4077">
        <w:rPr>
          <w:noProof/>
        </w:rPr>
        <w:t>external service providers</w:t>
      </w:r>
      <w:r w:rsidR="00AB4A98">
        <w:rPr>
          <w:noProof/>
        </w:rPr>
        <w:t xml:space="preserve"> entails </w:t>
      </w:r>
      <w:r w:rsidR="00AB4A98" w:rsidRPr="00E60155">
        <w:rPr>
          <w:i/>
          <w:noProof/>
        </w:rPr>
        <w:t xml:space="preserve">de facto </w:t>
      </w:r>
      <w:r w:rsidR="00AB4A98">
        <w:rPr>
          <w:noProof/>
        </w:rPr>
        <w:t xml:space="preserve">an additional exposure of personal data to third-parties. This does not pose a threat to data protection as long as processes and technologies used by </w:t>
      </w:r>
      <w:r w:rsidR="00DD4077" w:rsidRPr="00DD4077">
        <w:rPr>
          <w:noProof/>
        </w:rPr>
        <w:t>external service providers</w:t>
      </w:r>
      <w:r w:rsidR="00AB4A98">
        <w:rPr>
          <w:noProof/>
        </w:rPr>
        <w:t xml:space="preserve"> comply with data protection and privacy enhancing principles and that proper monitoring of each </w:t>
      </w:r>
      <w:r w:rsidR="00DD4077" w:rsidRPr="00DD4077">
        <w:rPr>
          <w:noProof/>
        </w:rPr>
        <w:t>external service provider</w:t>
      </w:r>
      <w:r w:rsidR="00AB4A98">
        <w:rPr>
          <w:noProof/>
        </w:rPr>
        <w:t xml:space="preserve"> is carried out by Member States authorities.</w:t>
      </w:r>
    </w:p>
    <w:p w14:paraId="15BDEE2F" w14:textId="77777777" w:rsidR="00AB4A98" w:rsidRDefault="00AB4A98" w:rsidP="00AB4A98">
      <w:pPr>
        <w:pBdr>
          <w:top w:val="nil"/>
          <w:left w:val="nil"/>
          <w:bottom w:val="nil"/>
          <w:right w:val="nil"/>
          <w:between w:val="nil"/>
          <w:bar w:val="nil"/>
        </w:pBdr>
        <w:spacing w:before="0" w:after="240"/>
        <w:rPr>
          <w:noProof/>
        </w:rPr>
      </w:pPr>
      <w:r>
        <w:rPr>
          <w:noProof/>
        </w:rPr>
        <w:t xml:space="preserve">As pointed out by </w:t>
      </w:r>
      <w:r w:rsidR="00E10B61">
        <w:rPr>
          <w:noProof/>
        </w:rPr>
        <w:t xml:space="preserve">the </w:t>
      </w:r>
      <w:r>
        <w:rPr>
          <w:noProof/>
        </w:rPr>
        <w:t xml:space="preserve">EDPS, the data protection </w:t>
      </w:r>
      <w:r w:rsidRPr="00740FC5">
        <w:rPr>
          <w:noProof/>
        </w:rPr>
        <w:t>impact</w:t>
      </w:r>
      <w:r w:rsidR="00532F52">
        <w:rPr>
          <w:noProof/>
        </w:rPr>
        <w:t xml:space="preserve"> of the initiative</w:t>
      </w:r>
      <w:r w:rsidRPr="00740FC5">
        <w:rPr>
          <w:noProof/>
        </w:rPr>
        <w:t xml:space="preserve"> </w:t>
      </w:r>
      <w:r>
        <w:rPr>
          <w:noProof/>
        </w:rPr>
        <w:t>is</w:t>
      </w:r>
      <w:r w:rsidRPr="00740FC5">
        <w:rPr>
          <w:noProof/>
        </w:rPr>
        <w:t xml:space="preserve"> </w:t>
      </w:r>
      <w:r>
        <w:rPr>
          <w:noProof/>
        </w:rPr>
        <w:t>primarily</w:t>
      </w:r>
      <w:r w:rsidRPr="00740FC5">
        <w:rPr>
          <w:noProof/>
        </w:rPr>
        <w:t xml:space="preserve"> stemming from t</w:t>
      </w:r>
      <w:r>
        <w:rPr>
          <w:noProof/>
        </w:rPr>
        <w:t xml:space="preserve">he </w:t>
      </w:r>
      <w:r w:rsidRPr="00740FC5">
        <w:rPr>
          <w:noProof/>
        </w:rPr>
        <w:t xml:space="preserve">introduction of a visa application </w:t>
      </w:r>
      <w:r w:rsidR="00C7145D">
        <w:rPr>
          <w:noProof/>
        </w:rPr>
        <w:t>platform</w:t>
      </w:r>
      <w:r w:rsidR="00C7145D" w:rsidRPr="00740FC5">
        <w:rPr>
          <w:noProof/>
        </w:rPr>
        <w:t xml:space="preserve"> </w:t>
      </w:r>
      <w:r w:rsidRPr="00740FC5">
        <w:rPr>
          <w:noProof/>
        </w:rPr>
        <w:t>(</w:t>
      </w:r>
      <w:r>
        <w:rPr>
          <w:noProof/>
        </w:rPr>
        <w:t xml:space="preserve">with </w:t>
      </w:r>
      <w:r w:rsidR="0031000B">
        <w:rPr>
          <w:noProof/>
        </w:rPr>
        <w:t xml:space="preserve">an </w:t>
      </w:r>
      <w:r>
        <w:rPr>
          <w:noProof/>
        </w:rPr>
        <w:t xml:space="preserve">impact on </w:t>
      </w:r>
      <w:r w:rsidR="00E10B61">
        <w:rPr>
          <w:noProof/>
        </w:rPr>
        <w:t xml:space="preserve">the </w:t>
      </w:r>
      <w:r w:rsidRPr="00740FC5">
        <w:rPr>
          <w:noProof/>
        </w:rPr>
        <w:t xml:space="preserve">handling of personal data by </w:t>
      </w:r>
      <w:r w:rsidR="00DD4077" w:rsidRPr="00DD4077">
        <w:rPr>
          <w:noProof/>
        </w:rPr>
        <w:t>external service providers</w:t>
      </w:r>
      <w:r>
        <w:rPr>
          <w:noProof/>
        </w:rPr>
        <w:t>,</w:t>
      </w:r>
      <w:r w:rsidRPr="00740FC5">
        <w:rPr>
          <w:noProof/>
        </w:rPr>
        <w:t xml:space="preserve"> data security of the </w:t>
      </w:r>
      <w:r w:rsidR="00C7145D">
        <w:rPr>
          <w:noProof/>
        </w:rPr>
        <w:t>platform</w:t>
      </w:r>
      <w:r w:rsidRPr="00740FC5">
        <w:rPr>
          <w:noProof/>
        </w:rPr>
        <w:t>)</w:t>
      </w:r>
      <w:r>
        <w:rPr>
          <w:noProof/>
        </w:rPr>
        <w:t>. In that regard, the analysis of the options has shown that O</w:t>
      </w:r>
      <w:r w:rsidR="00532F52">
        <w:rPr>
          <w:noProof/>
        </w:rPr>
        <w:t>ption 5</w:t>
      </w:r>
      <w:r>
        <w:rPr>
          <w:noProof/>
        </w:rPr>
        <w:t xml:space="preserve"> presented serious risks regarding data protection due to the self-enrolment of biometrics through digital means. All other options were relatively equivalent as far as data protection was concerned. </w:t>
      </w:r>
    </w:p>
    <w:p w14:paraId="326730F4" w14:textId="77777777" w:rsidR="00AB4A98" w:rsidRDefault="00AB4A98" w:rsidP="00AB4A98">
      <w:pPr>
        <w:pBdr>
          <w:top w:val="nil"/>
          <w:left w:val="nil"/>
          <w:bottom w:val="nil"/>
          <w:right w:val="nil"/>
          <w:between w:val="nil"/>
          <w:bar w:val="nil"/>
        </w:pBdr>
        <w:spacing w:before="0" w:after="240"/>
        <w:rPr>
          <w:noProof/>
        </w:rPr>
      </w:pPr>
      <w:r>
        <w:rPr>
          <w:noProof/>
        </w:rPr>
        <w:t xml:space="preserve">Regarding </w:t>
      </w:r>
      <w:r w:rsidRPr="000A22BB">
        <w:rPr>
          <w:noProof/>
        </w:rPr>
        <w:t>digital visas</w:t>
      </w:r>
      <w:r w:rsidRPr="00740FC5">
        <w:rPr>
          <w:noProof/>
        </w:rPr>
        <w:t xml:space="preserve">, currently the information about a visa is both stored in a large-scale EU database – </w:t>
      </w:r>
      <w:r w:rsidR="0031000B">
        <w:rPr>
          <w:noProof/>
        </w:rPr>
        <w:t xml:space="preserve">the </w:t>
      </w:r>
      <w:r w:rsidRPr="00740FC5">
        <w:rPr>
          <w:noProof/>
        </w:rPr>
        <w:t>VIS, as well as evidenced by affixing a visa sticker in the passport. Hence, dematerialising the visa sticker into a purely digital visa does not change the fact that the visa information is</w:t>
      </w:r>
      <w:r w:rsidR="00532F52">
        <w:rPr>
          <w:noProof/>
        </w:rPr>
        <w:t>,</w:t>
      </w:r>
      <w:r w:rsidRPr="00740FC5">
        <w:rPr>
          <w:noProof/>
        </w:rPr>
        <w:t xml:space="preserve"> and will still be</w:t>
      </w:r>
      <w:r w:rsidR="00532F52">
        <w:rPr>
          <w:noProof/>
        </w:rPr>
        <w:t>,</w:t>
      </w:r>
      <w:r w:rsidRPr="00740FC5">
        <w:rPr>
          <w:noProof/>
        </w:rPr>
        <w:t xml:space="preserve"> stored in a large-scale EU database. </w:t>
      </w:r>
      <w:r w:rsidR="00EE7FC6">
        <w:rPr>
          <w:noProof/>
        </w:rPr>
        <w:t>The</w:t>
      </w:r>
      <w:r>
        <w:rPr>
          <w:noProof/>
        </w:rPr>
        <w:t xml:space="preserve"> VIS regulation already contains </w:t>
      </w:r>
      <w:r w:rsidRPr="00740FC5">
        <w:rPr>
          <w:noProof/>
        </w:rPr>
        <w:t xml:space="preserve">high data protection safeguards (retention rules, access </w:t>
      </w:r>
      <w:r>
        <w:rPr>
          <w:noProof/>
        </w:rPr>
        <w:t>rules,</w:t>
      </w:r>
      <w:r w:rsidRPr="00740FC5">
        <w:rPr>
          <w:noProof/>
        </w:rPr>
        <w:t xml:space="preserve"> access rights, rights to rectification, completion, erasure of personal data and restriction of processing etc.). Moreover, the recently revised VIS Regulation has further enhanced these data protection safeguards</w:t>
      </w:r>
      <w:r w:rsidR="00B02FED">
        <w:rPr>
          <w:noProof/>
        </w:rPr>
        <w:t xml:space="preserve"> by bringing </w:t>
      </w:r>
      <w:r w:rsidR="00B02FED" w:rsidRPr="00B02FED">
        <w:rPr>
          <w:noProof/>
        </w:rPr>
        <w:t xml:space="preserve">data protection provisions in line with </w:t>
      </w:r>
      <w:r w:rsidR="00532F52">
        <w:rPr>
          <w:noProof/>
        </w:rPr>
        <w:t xml:space="preserve">applicable data protection </w:t>
      </w:r>
      <w:r w:rsidR="00FA6B18">
        <w:rPr>
          <w:noProof/>
        </w:rPr>
        <w:t xml:space="preserve">legislative </w:t>
      </w:r>
      <w:r w:rsidR="00532F52">
        <w:rPr>
          <w:noProof/>
        </w:rPr>
        <w:t>standards.</w:t>
      </w:r>
      <w:r w:rsidRPr="00740FC5">
        <w:rPr>
          <w:noProof/>
        </w:rPr>
        <w:t xml:space="preserve"> These enhanced data protection safeguards will continue to apply</w:t>
      </w:r>
      <w:r w:rsidRPr="00C65407">
        <w:rPr>
          <w:noProof/>
        </w:rPr>
        <w:t xml:space="preserve">, as </w:t>
      </w:r>
      <w:r>
        <w:rPr>
          <w:noProof/>
        </w:rPr>
        <w:t xml:space="preserve">the </w:t>
      </w:r>
      <w:r w:rsidR="00713781">
        <w:rPr>
          <w:noProof/>
        </w:rPr>
        <w:t xml:space="preserve">information contained in the </w:t>
      </w:r>
      <w:r>
        <w:rPr>
          <w:noProof/>
        </w:rPr>
        <w:t>digital visas</w:t>
      </w:r>
      <w:r w:rsidRPr="00C65407">
        <w:rPr>
          <w:noProof/>
        </w:rPr>
        <w:t xml:space="preserve"> will continue to be stored in </w:t>
      </w:r>
      <w:r w:rsidR="00713781">
        <w:rPr>
          <w:noProof/>
        </w:rPr>
        <w:t xml:space="preserve">the </w:t>
      </w:r>
      <w:r w:rsidRPr="00C65407">
        <w:rPr>
          <w:noProof/>
        </w:rPr>
        <w:t>VIS.</w:t>
      </w:r>
    </w:p>
    <w:p w14:paraId="3BCDDD1A" w14:textId="77777777" w:rsidR="00A40E24" w:rsidRPr="00F228C8" w:rsidRDefault="00A40E24" w:rsidP="00012221">
      <w:pPr>
        <w:pStyle w:val="ManualHeading1"/>
        <w:rPr>
          <w:noProof/>
          <w:lang w:val="fr-BE"/>
        </w:rPr>
      </w:pPr>
      <w:r w:rsidRPr="00F228C8">
        <w:rPr>
          <w:noProof/>
          <w:lang w:val="fr-BE"/>
        </w:rPr>
        <w:t>4.</w:t>
      </w:r>
      <w:r w:rsidRPr="00F228C8">
        <w:rPr>
          <w:noProof/>
          <w:lang w:val="fr-BE"/>
        </w:rPr>
        <w:tab/>
        <w:t>BUDGETARY IMPLICATIONS</w:t>
      </w:r>
    </w:p>
    <w:p w14:paraId="63A80DD4" w14:textId="6EB227AC" w:rsidR="00A40E24" w:rsidRPr="00F228C8" w:rsidRDefault="00525897" w:rsidP="00012221">
      <w:pPr>
        <w:pBdr>
          <w:top w:val="nil"/>
          <w:left w:val="nil"/>
          <w:bottom w:val="nil"/>
          <w:right w:val="nil"/>
          <w:between w:val="nil"/>
          <w:bar w:val="nil"/>
        </w:pBdr>
        <w:spacing w:before="0" w:after="240"/>
        <w:rPr>
          <w:rFonts w:eastAsia="Arial Unicode MS"/>
          <w:b/>
          <w:noProof/>
          <w:lang w:val="fr-BE"/>
        </w:rPr>
      </w:pPr>
      <w:r w:rsidRPr="00525897">
        <w:rPr>
          <w:rFonts w:eastAsia="Arial Unicode MS"/>
          <w:b/>
          <w:noProof/>
          <w:lang w:val="fr-BE"/>
        </w:rPr>
        <w:t>•</w:t>
      </w:r>
      <w:r w:rsidRPr="00525897">
        <w:rPr>
          <w:rFonts w:eastAsia="Arial Unicode MS"/>
          <w:b/>
          <w:noProof/>
          <w:lang w:val="fr-BE"/>
        </w:rPr>
        <w:tab/>
      </w:r>
      <w:r w:rsidR="005D28EB" w:rsidRPr="00F228C8">
        <w:rPr>
          <w:rFonts w:eastAsia="Arial Unicode MS"/>
          <w:b/>
          <w:noProof/>
          <w:lang w:val="fr-BE"/>
        </w:rPr>
        <w:t xml:space="preserve">EU </w:t>
      </w:r>
      <w:r w:rsidR="0027505A" w:rsidRPr="00F228C8">
        <w:rPr>
          <w:rFonts w:eastAsia="Arial Unicode MS"/>
          <w:b/>
          <w:noProof/>
          <w:lang w:val="fr-BE"/>
        </w:rPr>
        <w:t>Visa application platform</w:t>
      </w:r>
    </w:p>
    <w:p w14:paraId="4127609F" w14:textId="77777777" w:rsidR="00D55974" w:rsidRDefault="00D55974" w:rsidP="00012221">
      <w:pPr>
        <w:pBdr>
          <w:top w:val="nil"/>
          <w:left w:val="nil"/>
          <w:bottom w:val="nil"/>
          <w:right w:val="nil"/>
          <w:between w:val="nil"/>
          <w:bar w:val="nil"/>
        </w:pBdr>
        <w:spacing w:before="0" w:after="240"/>
        <w:rPr>
          <w:noProof/>
        </w:rPr>
      </w:pPr>
      <w:r>
        <w:rPr>
          <w:noProof/>
        </w:rPr>
        <w:t>With regard to the budget implication for the EU institutions, as estimated in the Digital Visa Prototype study</w:t>
      </w:r>
      <w:r w:rsidR="00D93A4A">
        <w:rPr>
          <w:rStyle w:val="FootnoteReference"/>
          <w:noProof/>
        </w:rPr>
        <w:footnoteReference w:id="40"/>
      </w:r>
      <w:r>
        <w:rPr>
          <w:noProof/>
        </w:rPr>
        <w:t xml:space="preserve">, the cost of establishing the </w:t>
      </w:r>
      <w:r w:rsidR="00F34EAB">
        <w:rPr>
          <w:noProof/>
        </w:rPr>
        <w:t>EU visa application platform</w:t>
      </w:r>
      <w:r>
        <w:rPr>
          <w:noProof/>
        </w:rPr>
        <w:t xml:space="preserve"> will range between EUR 33.8 million and EUR 41.2 million (including the managed service costs and the adaptations needed for VIS)</w:t>
      </w:r>
      <w:r>
        <w:rPr>
          <w:rStyle w:val="FootnoteReference"/>
          <w:noProof/>
        </w:rPr>
        <w:footnoteReference w:id="41"/>
      </w:r>
      <w:r>
        <w:rPr>
          <w:noProof/>
        </w:rPr>
        <w:t xml:space="preserve">. Once this managed service is created, </w:t>
      </w:r>
      <w:r w:rsidR="00713781">
        <w:rPr>
          <w:noProof/>
        </w:rPr>
        <w:t>operation and maintenance costs will amount</w:t>
      </w:r>
      <w:r>
        <w:rPr>
          <w:noProof/>
        </w:rPr>
        <w:t xml:space="preserve"> to a yearly cost between EUR 10.5 million and EUR 12.8 million</w:t>
      </w:r>
      <w:r w:rsidR="006A48B3">
        <w:rPr>
          <w:noProof/>
        </w:rPr>
        <w:t>, including 10 staff for eu-LISA.</w:t>
      </w:r>
    </w:p>
    <w:p w14:paraId="1EB28F1A" w14:textId="77777777" w:rsidR="00D55974" w:rsidRDefault="00D55974" w:rsidP="00012221">
      <w:pPr>
        <w:pBdr>
          <w:top w:val="nil"/>
          <w:left w:val="nil"/>
          <w:bottom w:val="nil"/>
          <w:right w:val="nil"/>
          <w:between w:val="nil"/>
          <w:bar w:val="nil"/>
        </w:pBdr>
        <w:spacing w:before="0" w:after="240"/>
        <w:rPr>
          <w:noProof/>
        </w:rPr>
      </w:pPr>
      <w:r>
        <w:rPr>
          <w:noProof/>
        </w:rPr>
        <w:t xml:space="preserve">Concerning the impact on Member States, each Member State will need to connect and update their national system(s) so they can </w:t>
      </w:r>
      <w:r w:rsidR="00713781">
        <w:rPr>
          <w:noProof/>
        </w:rPr>
        <w:t xml:space="preserve">use </w:t>
      </w:r>
      <w:r>
        <w:rPr>
          <w:noProof/>
        </w:rPr>
        <w:t xml:space="preserve">the services from the new centralised EU </w:t>
      </w:r>
      <w:r w:rsidR="00F34EAB">
        <w:rPr>
          <w:noProof/>
        </w:rPr>
        <w:t>v</w:t>
      </w:r>
      <w:r w:rsidR="005D28EB">
        <w:rPr>
          <w:noProof/>
        </w:rPr>
        <w:t xml:space="preserve">isa </w:t>
      </w:r>
      <w:r>
        <w:rPr>
          <w:noProof/>
        </w:rPr>
        <w:t xml:space="preserve">application platform. The </w:t>
      </w:r>
      <w:r w:rsidR="0031000B">
        <w:rPr>
          <w:noProof/>
        </w:rPr>
        <w:t>Impact Assessment</w:t>
      </w:r>
      <w:r>
        <w:rPr>
          <w:noProof/>
        </w:rPr>
        <w:t xml:space="preserve"> estimates this cost between EUR 270 000 and EUR 330 000 per Member State. Once connected, the national systems will need to store the received applications so they can be examined later. The </w:t>
      </w:r>
      <w:r w:rsidR="0031000B">
        <w:rPr>
          <w:noProof/>
        </w:rPr>
        <w:t>Impact Assessment</w:t>
      </w:r>
      <w:r>
        <w:rPr>
          <w:noProof/>
        </w:rPr>
        <w:t xml:space="preserve"> estimated an investment of roughly EUR 2</w:t>
      </w:r>
      <w:r w:rsidR="007E6AE4">
        <w:rPr>
          <w:noProof/>
        </w:rPr>
        <w:t>.5 million</w:t>
      </w:r>
      <w:r>
        <w:rPr>
          <w:noProof/>
        </w:rPr>
        <w:t xml:space="preserve"> </w:t>
      </w:r>
      <w:r w:rsidR="00987A53">
        <w:rPr>
          <w:noProof/>
        </w:rPr>
        <w:t xml:space="preserve">to </w:t>
      </w:r>
      <w:r>
        <w:rPr>
          <w:noProof/>
        </w:rPr>
        <w:t>EUR 3</w:t>
      </w:r>
      <w:r w:rsidR="007E6AE4">
        <w:rPr>
          <w:noProof/>
        </w:rPr>
        <w:t xml:space="preserve"> million</w:t>
      </w:r>
      <w:r>
        <w:rPr>
          <w:noProof/>
        </w:rPr>
        <w:t xml:space="preserve"> (on average) per Member State</w:t>
      </w:r>
      <w:r w:rsidR="00D93A4A">
        <w:rPr>
          <w:rStyle w:val="FootnoteReference"/>
          <w:noProof/>
        </w:rPr>
        <w:footnoteReference w:id="42"/>
      </w:r>
      <w:r>
        <w:rPr>
          <w:noProof/>
        </w:rPr>
        <w:t xml:space="preserve"> for these infrastructure provisions. </w:t>
      </w:r>
      <w:r w:rsidR="00203006">
        <w:rPr>
          <w:noProof/>
        </w:rPr>
        <w:t>T</w:t>
      </w:r>
      <w:r>
        <w:rPr>
          <w:noProof/>
        </w:rPr>
        <w:t xml:space="preserve">his cost </w:t>
      </w:r>
      <w:r w:rsidR="00167A64">
        <w:rPr>
          <w:noProof/>
        </w:rPr>
        <w:t xml:space="preserve">would greatly </w:t>
      </w:r>
      <w:r>
        <w:rPr>
          <w:noProof/>
        </w:rPr>
        <w:t xml:space="preserve">depend on the number of visa applications a Member State receives per year. Once the national systems have been updated and connected to the managed service and sufficient storage space is </w:t>
      </w:r>
      <w:r w:rsidR="00F701F6">
        <w:rPr>
          <w:noProof/>
        </w:rPr>
        <w:t>envisaged</w:t>
      </w:r>
      <w:r>
        <w:rPr>
          <w:noProof/>
        </w:rPr>
        <w:t>, these new</w:t>
      </w:r>
      <w:r w:rsidR="00D93A4A">
        <w:rPr>
          <w:noProof/>
        </w:rPr>
        <w:t xml:space="preserve"> enhanced national systems will also need to be maintained, with an estimated cost between EUR 460 000 and EUR 570 000 per Member State, annually. </w:t>
      </w:r>
      <w:r w:rsidR="00167A64">
        <w:rPr>
          <w:noProof/>
        </w:rPr>
        <w:t>T</w:t>
      </w:r>
      <w:r w:rsidR="00D93A4A">
        <w:rPr>
          <w:noProof/>
        </w:rPr>
        <w:t xml:space="preserve">his cost also varies with the number of applications a Member State receives. </w:t>
      </w:r>
      <w:r w:rsidR="00167A64">
        <w:rPr>
          <w:noProof/>
        </w:rPr>
        <w:t>It should be underlined that a</w:t>
      </w:r>
      <w:r w:rsidR="00D93A4A">
        <w:rPr>
          <w:noProof/>
        </w:rPr>
        <w:t xml:space="preserve">ll of the abovementioned costs will, as a result of economies of scale, be lower than the costs a Member State would incur if it were to develop its own </w:t>
      </w:r>
      <w:r w:rsidR="00713781">
        <w:rPr>
          <w:noProof/>
        </w:rPr>
        <w:t xml:space="preserve">online visa </w:t>
      </w:r>
      <w:r w:rsidR="00D93A4A">
        <w:rPr>
          <w:noProof/>
        </w:rPr>
        <w:t xml:space="preserve">application </w:t>
      </w:r>
      <w:r w:rsidR="00F479BB">
        <w:rPr>
          <w:noProof/>
        </w:rPr>
        <w:t>platform</w:t>
      </w:r>
      <w:r w:rsidR="00D93A4A">
        <w:rPr>
          <w:noProof/>
        </w:rPr>
        <w:t>.</w:t>
      </w:r>
    </w:p>
    <w:p w14:paraId="43289C08" w14:textId="5C6CA123" w:rsidR="00DA3AEE" w:rsidRPr="00AE1107" w:rsidRDefault="00525897" w:rsidP="00012221">
      <w:pPr>
        <w:pBdr>
          <w:top w:val="nil"/>
          <w:left w:val="nil"/>
          <w:bottom w:val="nil"/>
          <w:right w:val="nil"/>
          <w:between w:val="nil"/>
          <w:bar w:val="nil"/>
        </w:pBdr>
        <w:spacing w:before="0" w:after="240"/>
        <w:rPr>
          <w:b/>
          <w:noProof/>
        </w:rPr>
      </w:pPr>
      <w:r w:rsidRPr="00525897">
        <w:rPr>
          <w:b/>
          <w:noProof/>
        </w:rPr>
        <w:t>•</w:t>
      </w:r>
      <w:r w:rsidRPr="00525897">
        <w:rPr>
          <w:b/>
          <w:noProof/>
        </w:rPr>
        <w:tab/>
      </w:r>
      <w:r w:rsidR="00B02FED">
        <w:rPr>
          <w:b/>
          <w:noProof/>
        </w:rPr>
        <w:t>Digital visa</w:t>
      </w:r>
    </w:p>
    <w:p w14:paraId="07F6B29B" w14:textId="77777777" w:rsidR="00B341C5" w:rsidRDefault="00D61078" w:rsidP="00012221">
      <w:pPr>
        <w:pBdr>
          <w:top w:val="nil"/>
          <w:left w:val="nil"/>
          <w:bottom w:val="nil"/>
          <w:right w:val="nil"/>
          <w:between w:val="nil"/>
          <w:bar w:val="nil"/>
        </w:pBdr>
        <w:spacing w:before="0" w:after="240"/>
        <w:rPr>
          <w:noProof/>
        </w:rPr>
      </w:pPr>
      <w:r>
        <w:rPr>
          <w:noProof/>
        </w:rPr>
        <w:t>The cost attached to the digital visa at central-level (service to check the validity of visas) is included in the abovementioned cost of the EU Visa application platform ( functionality of the platform). In addition to this, t</w:t>
      </w:r>
      <w:r w:rsidR="00B341C5">
        <w:rPr>
          <w:noProof/>
        </w:rPr>
        <w:t xml:space="preserve">he </w:t>
      </w:r>
      <w:r w:rsidR="00F246CE">
        <w:rPr>
          <w:noProof/>
        </w:rPr>
        <w:t xml:space="preserve">records of </w:t>
      </w:r>
      <w:r w:rsidR="00B341C5">
        <w:rPr>
          <w:noProof/>
        </w:rPr>
        <w:t>visas currently issued are already digitally stored in VIS. Therefore, digitalisation of visas would not imply any</w:t>
      </w:r>
      <w:r>
        <w:rPr>
          <w:noProof/>
        </w:rPr>
        <w:t xml:space="preserve"> other</w:t>
      </w:r>
      <w:r w:rsidR="00B341C5">
        <w:rPr>
          <w:noProof/>
        </w:rPr>
        <w:t xml:space="preserve"> additional costs for the EU budget.</w:t>
      </w:r>
    </w:p>
    <w:p w14:paraId="1E2E93AA" w14:textId="77777777" w:rsidR="00D93A4A" w:rsidRPr="00550536" w:rsidRDefault="00D93A4A" w:rsidP="00012221">
      <w:pPr>
        <w:pBdr>
          <w:top w:val="nil"/>
          <w:left w:val="nil"/>
          <w:bottom w:val="nil"/>
          <w:right w:val="nil"/>
          <w:between w:val="nil"/>
          <w:bar w:val="nil"/>
        </w:pBdr>
        <w:spacing w:before="0" w:after="240"/>
        <w:rPr>
          <w:rFonts w:eastAsia="Arial Unicode MS"/>
          <w:noProof/>
        </w:rPr>
      </w:pPr>
      <w:r>
        <w:rPr>
          <w:noProof/>
        </w:rPr>
        <w:t>The introduction of the digital visa would trigger only negligible costs for Member States</w:t>
      </w:r>
      <w:r w:rsidR="00F246CE">
        <w:rPr>
          <w:noProof/>
        </w:rPr>
        <w:t>, as per calculations in</w:t>
      </w:r>
      <w:r>
        <w:rPr>
          <w:noProof/>
        </w:rPr>
        <w:t xml:space="preserve"> th</w:t>
      </w:r>
      <w:r w:rsidR="00670182">
        <w:rPr>
          <w:noProof/>
        </w:rPr>
        <w:t>e</w:t>
      </w:r>
      <w:r>
        <w:rPr>
          <w:noProof/>
        </w:rPr>
        <w:t xml:space="preserve"> impact assessment</w:t>
      </w:r>
      <w:r w:rsidR="00670182">
        <w:rPr>
          <w:noProof/>
        </w:rPr>
        <w:t xml:space="preserve"> accompanying this proposal</w:t>
      </w:r>
      <w:r>
        <w:rPr>
          <w:noProof/>
        </w:rPr>
        <w:t>. Indeed, the tools to generate and verify a signed 2D barcode will already be in place to comply with the Commission’s Im</w:t>
      </w:r>
      <w:r w:rsidR="00B341C5">
        <w:rPr>
          <w:noProof/>
        </w:rPr>
        <w:t xml:space="preserve">plementing Decision </w:t>
      </w:r>
      <w:r>
        <w:rPr>
          <w:noProof/>
        </w:rPr>
        <w:t>introducing a digital seal on the uniform format for visas</w:t>
      </w:r>
      <w:r w:rsidR="00B341C5">
        <w:rPr>
          <w:rStyle w:val="FootnoteReference"/>
          <w:noProof/>
        </w:rPr>
        <w:footnoteReference w:id="43"/>
      </w:r>
      <w:r>
        <w:rPr>
          <w:noProof/>
        </w:rPr>
        <w:t>.</w:t>
      </w:r>
    </w:p>
    <w:p w14:paraId="7BE3B2CD" w14:textId="77777777" w:rsidR="00A40E24" w:rsidRPr="00550536" w:rsidRDefault="00A40E24" w:rsidP="00012221">
      <w:pPr>
        <w:pStyle w:val="ManualHeading1"/>
        <w:rPr>
          <w:noProof/>
        </w:rPr>
      </w:pPr>
      <w:r w:rsidRPr="00550536">
        <w:rPr>
          <w:noProof/>
        </w:rPr>
        <w:t>5.</w:t>
      </w:r>
      <w:r w:rsidRPr="00550536">
        <w:rPr>
          <w:noProof/>
        </w:rPr>
        <w:tab/>
        <w:t>OTHER ELEMENTS</w:t>
      </w:r>
    </w:p>
    <w:p w14:paraId="694F5EB4" w14:textId="77777777" w:rsidR="00A40E24" w:rsidRDefault="00A40E24" w:rsidP="00012221">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14:paraId="24F0FF87" w14:textId="77777777" w:rsidR="005E3C2F" w:rsidRDefault="005E3C2F" w:rsidP="00012221">
      <w:pPr>
        <w:pBdr>
          <w:top w:val="nil"/>
          <w:left w:val="nil"/>
          <w:bottom w:val="nil"/>
          <w:right w:val="nil"/>
          <w:between w:val="nil"/>
          <w:bar w:val="nil"/>
        </w:pBdr>
        <w:spacing w:before="0" w:after="240"/>
        <w:rPr>
          <w:noProof/>
        </w:rPr>
      </w:pPr>
      <w:r>
        <w:rPr>
          <w:noProof/>
        </w:rPr>
        <w:t xml:space="preserve">A robust monitoring and evaluation mechanism </w:t>
      </w:r>
      <w:r w:rsidR="00670182">
        <w:rPr>
          <w:noProof/>
        </w:rPr>
        <w:t xml:space="preserve">will </w:t>
      </w:r>
      <w:r>
        <w:rPr>
          <w:noProof/>
        </w:rPr>
        <w:t xml:space="preserve">be crucial to ensure that the envisaged beneficial effects of the implementation of an EU visa application platform and of the digital visa materialise in practice. </w:t>
      </w:r>
    </w:p>
    <w:p w14:paraId="4C87933E" w14:textId="77777777" w:rsidR="005E3C2F" w:rsidRDefault="005E3C2F" w:rsidP="00012221">
      <w:pPr>
        <w:pBdr>
          <w:top w:val="nil"/>
          <w:left w:val="nil"/>
          <w:bottom w:val="nil"/>
          <w:right w:val="nil"/>
          <w:between w:val="nil"/>
          <w:bar w:val="nil"/>
        </w:pBdr>
        <w:spacing w:before="0" w:after="240"/>
        <w:rPr>
          <w:noProof/>
        </w:rPr>
      </w:pPr>
      <w:r>
        <w:rPr>
          <w:noProof/>
        </w:rPr>
        <w:t xml:space="preserve">Article 57 of the Visa Code and Article 50 of the revised VIS Regulation on Monitoring and Evaluation, already provide for monitoring and evaluation obligations. </w:t>
      </w:r>
      <w:r w:rsidR="003F10B9">
        <w:rPr>
          <w:noProof/>
        </w:rPr>
        <w:t>A dedicated</w:t>
      </w:r>
      <w:r w:rsidR="00672A66">
        <w:rPr>
          <w:noProof/>
        </w:rPr>
        <w:t xml:space="preserve"> article in the VIS Regulation </w:t>
      </w:r>
      <w:r w:rsidR="003F10B9">
        <w:rPr>
          <w:noProof/>
        </w:rPr>
        <w:t xml:space="preserve">is added, </w:t>
      </w:r>
      <w:r w:rsidR="00672A66">
        <w:rPr>
          <w:noProof/>
        </w:rPr>
        <w:t xml:space="preserve">addressing specifically </w:t>
      </w:r>
      <w:r>
        <w:rPr>
          <w:noProof/>
        </w:rPr>
        <w:t xml:space="preserve">the </w:t>
      </w:r>
      <w:r w:rsidR="00672A66">
        <w:rPr>
          <w:noProof/>
        </w:rPr>
        <w:t xml:space="preserve">evaluation of </w:t>
      </w:r>
      <w:r>
        <w:rPr>
          <w:noProof/>
        </w:rPr>
        <w:t xml:space="preserve">changes stemming from the adoption of the proposal on digitalisation of visa procedures. </w:t>
      </w:r>
    </w:p>
    <w:p w14:paraId="08288A04" w14:textId="77777777" w:rsidR="00BE1951" w:rsidRDefault="00BE1951" w:rsidP="00BE1951">
      <w:pPr>
        <w:pBdr>
          <w:top w:val="nil"/>
          <w:left w:val="nil"/>
          <w:bottom w:val="nil"/>
          <w:right w:val="nil"/>
          <w:between w:val="nil"/>
          <w:bar w:val="nil"/>
        </w:pBdr>
        <w:spacing w:before="0" w:after="0"/>
        <w:rPr>
          <w:noProof/>
        </w:rPr>
      </w:pPr>
      <w:r>
        <w:rPr>
          <w:rFonts w:asciiTheme="majorBidi" w:eastAsia="MS Mincho" w:hAnsiTheme="majorBidi" w:cstheme="majorBidi"/>
          <w:noProof/>
        </w:rPr>
        <w:t>I</w:t>
      </w:r>
      <w:r w:rsidRPr="00C22B33">
        <w:rPr>
          <w:rFonts w:asciiTheme="majorBidi" w:eastAsia="MS Mincho" w:hAnsiTheme="majorBidi" w:cstheme="majorBidi"/>
          <w:noProof/>
        </w:rPr>
        <w:t xml:space="preserve">ndicators </w:t>
      </w:r>
      <w:r>
        <w:rPr>
          <w:rFonts w:asciiTheme="majorBidi" w:eastAsia="MS Mincho" w:hAnsiTheme="majorBidi" w:cstheme="majorBidi"/>
          <w:noProof/>
        </w:rPr>
        <w:t>will allow to measure</w:t>
      </w:r>
      <w:r w:rsidRPr="00C22B33">
        <w:rPr>
          <w:rFonts w:asciiTheme="majorBidi" w:eastAsia="MS Mincho" w:hAnsiTheme="majorBidi" w:cstheme="majorBidi"/>
          <w:noProof/>
        </w:rPr>
        <w:t xml:space="preserve"> progress to reach the </w:t>
      </w:r>
      <w:r>
        <w:rPr>
          <w:rFonts w:asciiTheme="majorBidi" w:eastAsia="MS Mincho" w:hAnsiTheme="majorBidi" w:cstheme="majorBidi"/>
          <w:noProof/>
        </w:rPr>
        <w:t>main objectives, namely t</w:t>
      </w:r>
      <w:r>
        <w:rPr>
          <w:noProof/>
        </w:rPr>
        <w:t>o simplify and harmonise the visa application process for Member States and third-country nationals; to reduce risks of (identity) fraud, forgery and facilitate the verification process at the border; and to make the EU a more attractive destination for travellers.</w:t>
      </w:r>
    </w:p>
    <w:p w14:paraId="164382CA" w14:textId="77777777" w:rsidR="00D63A05" w:rsidRPr="00550536" w:rsidRDefault="00D63A05" w:rsidP="00012221">
      <w:pPr>
        <w:pBdr>
          <w:top w:val="nil"/>
          <w:left w:val="nil"/>
          <w:bottom w:val="nil"/>
          <w:right w:val="nil"/>
          <w:between w:val="nil"/>
          <w:bar w:val="nil"/>
        </w:pBdr>
        <w:spacing w:before="0" w:after="240"/>
        <w:rPr>
          <w:rFonts w:eastAsia="Arial Unicode MS"/>
          <w:noProof/>
        </w:rPr>
      </w:pPr>
      <w:r>
        <w:rPr>
          <w:rFonts w:eastAsia="Arial Unicode MS"/>
          <w:noProof/>
        </w:rPr>
        <w:t>Implementation of visa policy</w:t>
      </w:r>
      <w:r w:rsidRPr="00D63A05">
        <w:rPr>
          <w:rFonts w:eastAsia="Arial Unicode MS"/>
          <w:noProof/>
        </w:rPr>
        <w:t xml:space="preserve"> is also </w:t>
      </w:r>
      <w:r w:rsidR="00BE1951">
        <w:rPr>
          <w:rFonts w:eastAsia="Arial Unicode MS"/>
          <w:noProof/>
        </w:rPr>
        <w:t>monitored or assessed</w:t>
      </w:r>
      <w:r w:rsidR="00BE1951" w:rsidRPr="00D63A05">
        <w:rPr>
          <w:rFonts w:eastAsia="Arial Unicode MS"/>
          <w:noProof/>
        </w:rPr>
        <w:t xml:space="preserve"> </w:t>
      </w:r>
      <w:r w:rsidRPr="00D63A05">
        <w:rPr>
          <w:rFonts w:eastAsia="Arial Unicode MS"/>
          <w:noProof/>
        </w:rPr>
        <w:t>through the Schengen evaluation mechanism in accordance with Council Regulation (EU) No 1053/20133, without prejudice to the Commission's role as guardian of the Treaties (Article 17(1) TEU).</w:t>
      </w:r>
    </w:p>
    <w:p w14:paraId="36FD2FDD" w14:textId="77777777" w:rsidR="00F705DE" w:rsidRPr="00F705DE" w:rsidRDefault="00A40E24" w:rsidP="00D63A05">
      <w:pPr>
        <w:pBdr>
          <w:top w:val="nil"/>
          <w:left w:val="nil"/>
          <w:bottom w:val="nil"/>
          <w:right w:val="nil"/>
          <w:between w:val="nil"/>
          <w:bar w:val="nil"/>
        </w:pBdr>
        <w:spacing w:before="0" w:after="240"/>
        <w:rPr>
          <w:rFonts w:eastAsia="Arial Unicode MS"/>
          <w:b/>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00A45647" w:rsidRPr="00F705DE">
        <w:rPr>
          <w:rFonts w:eastAsia="Arial Unicode MS"/>
          <w:b/>
          <w:noProof/>
          <w:u w:color="000000"/>
          <w:bdr w:val="nil"/>
          <w:lang w:val="en-US" w:eastAsia="en-GB"/>
        </w:rPr>
        <w:t>Variable geometry</w:t>
      </w:r>
      <w:r w:rsidR="00F705DE" w:rsidRPr="00F705DE">
        <w:rPr>
          <w:rFonts w:eastAsia="Arial Unicode MS"/>
          <w:b/>
          <w:noProof/>
          <w:u w:color="000000"/>
          <w:bdr w:val="nil"/>
          <w:lang w:val="en-US" w:eastAsia="en-GB"/>
        </w:rPr>
        <w:t xml:space="preserve"> </w:t>
      </w:r>
    </w:p>
    <w:p w14:paraId="2A21F8C5" w14:textId="77777777" w:rsidR="00CB0827" w:rsidRDefault="00D63A05" w:rsidP="00D63A05">
      <w:pPr>
        <w:pBdr>
          <w:top w:val="nil"/>
          <w:left w:val="nil"/>
          <w:bottom w:val="nil"/>
          <w:right w:val="nil"/>
          <w:between w:val="nil"/>
          <w:bar w:val="nil"/>
        </w:pBdr>
        <w:spacing w:before="0" w:after="240"/>
        <w:rPr>
          <w:rFonts w:eastAsia="Arial Unicode MS"/>
          <w:noProof/>
        </w:rPr>
      </w:pPr>
      <w:r w:rsidRPr="00D63A05">
        <w:rPr>
          <w:rFonts w:eastAsia="Arial Unicode MS"/>
          <w:noProof/>
        </w:rPr>
        <w:t xml:space="preserve">This proposal builds upon and develops the Schengen </w:t>
      </w:r>
      <w:r w:rsidRPr="000A22BB">
        <w:rPr>
          <w:rFonts w:eastAsia="Arial Unicode MS"/>
          <w:i/>
          <w:iCs/>
          <w:noProof/>
        </w:rPr>
        <w:t>acquis</w:t>
      </w:r>
      <w:r w:rsidRPr="00D63A05">
        <w:rPr>
          <w:rFonts w:eastAsia="Arial Unicode MS"/>
          <w:noProof/>
        </w:rPr>
        <w:t xml:space="preserve"> regarding external borders and visas in that it concerns the crossing of external borders and the granting of short-stay visas.</w:t>
      </w:r>
      <w:r w:rsidR="00EE164C">
        <w:rPr>
          <w:rFonts w:eastAsia="Arial Unicode MS"/>
          <w:noProof/>
        </w:rPr>
        <w:t xml:space="preserve"> </w:t>
      </w:r>
      <w:r w:rsidR="00CB0827" w:rsidRPr="00CB0827">
        <w:rPr>
          <w:rFonts w:eastAsia="Arial Unicode MS"/>
          <w:noProof/>
        </w:rPr>
        <w:t xml:space="preserve">Because the legal basis for this proposal is to be found in Title V of Part Three of the TFEU, the system of ‘variable geometry’, as provided for in the protocols </w:t>
      </w:r>
      <w:r w:rsidR="00CB0827">
        <w:rPr>
          <w:rFonts w:eastAsia="Arial Unicode MS"/>
          <w:noProof/>
        </w:rPr>
        <w:t xml:space="preserve">on the position of Denmark and </w:t>
      </w:r>
      <w:r w:rsidR="00CB0827" w:rsidRPr="00CB0827">
        <w:rPr>
          <w:rFonts w:eastAsia="Arial Unicode MS"/>
          <w:noProof/>
        </w:rPr>
        <w:t xml:space="preserve">Ireland and </w:t>
      </w:r>
      <w:r w:rsidR="002623EF">
        <w:rPr>
          <w:rFonts w:eastAsia="Arial Unicode MS"/>
          <w:noProof/>
        </w:rPr>
        <w:t xml:space="preserve">the Schengen protocol, applies. </w:t>
      </w:r>
      <w:r w:rsidR="00CB0827" w:rsidRPr="00CB0827">
        <w:rPr>
          <w:rFonts w:eastAsia="Arial Unicode MS"/>
          <w:noProof/>
        </w:rPr>
        <w:t xml:space="preserve">The consequences for the various protocols and Schengen association agreements therefore have to be considered with regard to Denmark, Ireland, Iceland and Norway; and Switzerland and Liechtenstein. </w:t>
      </w:r>
    </w:p>
    <w:p w14:paraId="74515BFB" w14:textId="77777777" w:rsidR="00D63A05" w:rsidRPr="00D63A05" w:rsidRDefault="00CB0827" w:rsidP="00D63A05">
      <w:pPr>
        <w:pBdr>
          <w:top w:val="nil"/>
          <w:left w:val="nil"/>
          <w:bottom w:val="nil"/>
          <w:right w:val="nil"/>
          <w:between w:val="nil"/>
          <w:bar w:val="nil"/>
        </w:pBdr>
        <w:spacing w:before="0" w:after="240"/>
        <w:rPr>
          <w:rFonts w:eastAsia="Arial Unicode MS"/>
          <w:noProof/>
        </w:rPr>
      </w:pPr>
      <w:r w:rsidRPr="00CB0827">
        <w:rPr>
          <w:rFonts w:eastAsia="Arial Unicode MS"/>
          <w:noProof/>
        </w:rPr>
        <w:t xml:space="preserve">Likewise, the consequences for the various Acts of Accessions must be considered. The detailed situation of each of the States concerned is set out in recitals </w:t>
      </w:r>
      <w:r>
        <w:rPr>
          <w:rFonts w:eastAsia="Arial Unicode MS"/>
          <w:noProof/>
        </w:rPr>
        <w:t>40-47</w:t>
      </w:r>
      <w:r w:rsidRPr="00CB0827">
        <w:rPr>
          <w:rFonts w:eastAsia="Arial Unicode MS"/>
          <w:noProof/>
        </w:rPr>
        <w:t xml:space="preserve"> of this proposal.</w:t>
      </w:r>
    </w:p>
    <w:p w14:paraId="704291C9" w14:textId="77777777" w:rsidR="00DB5085" w:rsidRPr="00F705DE" w:rsidRDefault="00DB5085" w:rsidP="00DB5085">
      <w:pPr>
        <w:pBdr>
          <w:top w:val="nil"/>
          <w:left w:val="nil"/>
          <w:bottom w:val="nil"/>
          <w:right w:val="nil"/>
          <w:between w:val="nil"/>
          <w:bar w:val="nil"/>
        </w:pBdr>
        <w:spacing w:before="0" w:after="240"/>
        <w:rPr>
          <w:rFonts w:eastAsia="Arial Unicode MS"/>
          <w:b/>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b/>
          <w:noProof/>
          <w:u w:color="000000"/>
          <w:bdr w:val="nil"/>
          <w:lang w:val="en-US" w:eastAsia="en-GB"/>
        </w:rPr>
        <w:t xml:space="preserve">Detailed </w:t>
      </w:r>
      <w:r w:rsidR="00A0762A">
        <w:rPr>
          <w:rFonts w:eastAsia="Arial Unicode MS"/>
          <w:b/>
          <w:noProof/>
          <w:u w:color="000000"/>
          <w:bdr w:val="nil"/>
          <w:lang w:val="en-US" w:eastAsia="en-GB"/>
        </w:rPr>
        <w:t>explanations</w:t>
      </w:r>
      <w:r>
        <w:rPr>
          <w:rFonts w:eastAsia="Arial Unicode MS"/>
          <w:b/>
          <w:noProof/>
          <w:u w:color="000000"/>
          <w:bdr w:val="nil"/>
          <w:lang w:val="en-US" w:eastAsia="en-GB"/>
        </w:rPr>
        <w:t xml:space="preserve"> of the provisions of the proposal</w:t>
      </w:r>
      <w:r w:rsidRPr="00F705DE">
        <w:rPr>
          <w:rFonts w:eastAsia="Arial Unicode MS"/>
          <w:b/>
          <w:noProof/>
          <w:u w:color="000000"/>
          <w:bdr w:val="nil"/>
          <w:lang w:val="en-US" w:eastAsia="en-GB"/>
        </w:rPr>
        <w:t xml:space="preserve"> </w:t>
      </w:r>
    </w:p>
    <w:p w14:paraId="44DFB18C" w14:textId="77777777" w:rsidR="00DB5085" w:rsidRPr="00F228C8" w:rsidRDefault="00DB5085" w:rsidP="00DB5085">
      <w:pPr>
        <w:spacing w:before="0" w:after="160" w:line="259" w:lineRule="auto"/>
        <w:rPr>
          <w:rFonts w:eastAsia="Calibri"/>
          <w:noProof/>
          <w:szCs w:val="24"/>
          <w:lang w:val="en-IE"/>
        </w:rPr>
      </w:pPr>
      <w:r w:rsidRPr="00F228C8">
        <w:rPr>
          <w:rFonts w:eastAsia="Calibri"/>
          <w:noProof/>
          <w:szCs w:val="24"/>
          <w:lang w:val="en-IE"/>
        </w:rPr>
        <w:t xml:space="preserve">Article 1 of the proposal modifies the </w:t>
      </w:r>
      <w:r w:rsidR="00A0762A" w:rsidRPr="00F228C8">
        <w:rPr>
          <w:rFonts w:eastAsia="Calibri"/>
          <w:noProof/>
          <w:szCs w:val="24"/>
          <w:lang w:val="en-IE"/>
        </w:rPr>
        <w:t>provisions</w:t>
      </w:r>
      <w:r w:rsidRPr="00F228C8">
        <w:rPr>
          <w:rFonts w:eastAsia="Calibri"/>
          <w:noProof/>
          <w:szCs w:val="24"/>
          <w:lang w:val="en-IE"/>
        </w:rPr>
        <w:t xml:space="preserve"> of Regulation (EC) No 810/2009 (the Visa Code) to implement the proposal, by making the following notable modifications, alongside a number of other consequential amendments:</w:t>
      </w:r>
    </w:p>
    <w:p w14:paraId="54AB267E" w14:textId="77777777" w:rsidR="00DB5085" w:rsidRPr="00F228C8" w:rsidRDefault="003D69B8" w:rsidP="003018BD">
      <w:pPr>
        <w:pStyle w:val="Bullet0"/>
        <w:rPr>
          <w:noProof/>
          <w:lang w:val="en-IE"/>
        </w:rPr>
      </w:pPr>
      <w:r>
        <w:rPr>
          <w:noProof/>
          <w:lang w:val="en-IE"/>
        </w:rPr>
        <w:t>The s</w:t>
      </w:r>
      <w:r w:rsidR="00DB5085" w:rsidRPr="00F228C8">
        <w:rPr>
          <w:noProof/>
          <w:lang w:val="en-IE"/>
        </w:rPr>
        <w:t>pecial status of visa applicants who are family members of UK nationals who are beneficiaries of the EU-UK Withdrawal Agreement in relation to their host State, by virtue of Article 14(3) of the EU-UK Withdrawal Agreement, is reflected in Article 1 and throughout the text;</w:t>
      </w:r>
    </w:p>
    <w:p w14:paraId="44F0996C" w14:textId="782F83A7" w:rsidR="00DB5085" w:rsidRPr="00F228C8" w:rsidRDefault="00A44D57" w:rsidP="003018BD">
      <w:pPr>
        <w:pStyle w:val="Bullet0"/>
        <w:rPr>
          <w:noProof/>
          <w:lang w:val="en-IE"/>
        </w:rPr>
      </w:pPr>
      <w:r w:rsidRPr="00F228C8">
        <w:rPr>
          <w:noProof/>
          <w:lang w:val="en-IE"/>
        </w:rPr>
        <w:t xml:space="preserve">Article </w:t>
      </w:r>
      <w:r w:rsidR="00B56CFA">
        <w:rPr>
          <w:noProof/>
          <w:lang w:val="en-IE"/>
        </w:rPr>
        <w:t>5</w:t>
      </w:r>
      <w:r w:rsidRPr="00F228C8">
        <w:rPr>
          <w:noProof/>
          <w:lang w:val="en-IE"/>
        </w:rPr>
        <w:t xml:space="preserve"> </w:t>
      </w:r>
      <w:r w:rsidR="00960EEF" w:rsidRPr="00F228C8">
        <w:rPr>
          <w:noProof/>
          <w:lang w:val="en-IE"/>
        </w:rPr>
        <w:t>lays down</w:t>
      </w:r>
      <w:r w:rsidR="00DB5085" w:rsidRPr="00F228C8">
        <w:rPr>
          <w:noProof/>
          <w:lang w:val="en-IE"/>
        </w:rPr>
        <w:t xml:space="preserve"> the rule to determine the competent Member State to </w:t>
      </w:r>
      <w:r w:rsidRPr="00F228C8">
        <w:rPr>
          <w:noProof/>
          <w:lang w:val="en-IE"/>
        </w:rPr>
        <w:t>examine an</w:t>
      </w:r>
      <w:r w:rsidR="00DB5085" w:rsidRPr="00F228C8">
        <w:rPr>
          <w:noProof/>
          <w:lang w:val="en-IE"/>
        </w:rPr>
        <w:t xml:space="preserve"> application</w:t>
      </w:r>
      <w:r w:rsidR="00525897">
        <w:rPr>
          <w:noProof/>
          <w:lang w:val="en-IE"/>
        </w:rPr>
        <w:t>;</w:t>
      </w:r>
    </w:p>
    <w:p w14:paraId="5D3AA26B" w14:textId="47C269F8" w:rsidR="00DB5085" w:rsidRPr="00F228C8" w:rsidRDefault="00DB5085" w:rsidP="003018BD">
      <w:pPr>
        <w:pStyle w:val="Bullet0"/>
        <w:rPr>
          <w:noProof/>
          <w:lang w:val="en-IE"/>
        </w:rPr>
      </w:pPr>
      <w:r w:rsidRPr="00F228C8">
        <w:rPr>
          <w:noProof/>
          <w:lang w:val="en-IE"/>
        </w:rPr>
        <w:t>Article 9 introduce</w:t>
      </w:r>
      <w:r w:rsidR="00A1699A" w:rsidRPr="00F228C8">
        <w:rPr>
          <w:noProof/>
          <w:lang w:val="en-IE"/>
        </w:rPr>
        <w:t>s</w:t>
      </w:r>
      <w:r w:rsidRPr="00F228C8">
        <w:rPr>
          <w:noProof/>
          <w:lang w:val="en-IE"/>
        </w:rPr>
        <w:t xml:space="preserve"> the </w:t>
      </w:r>
      <w:r w:rsidR="00A1699A" w:rsidRPr="00F228C8">
        <w:rPr>
          <w:noProof/>
          <w:lang w:val="en-IE"/>
        </w:rPr>
        <w:t>obligation</w:t>
      </w:r>
      <w:r w:rsidRPr="00F228C8">
        <w:rPr>
          <w:noProof/>
          <w:lang w:val="en-IE"/>
        </w:rPr>
        <w:t xml:space="preserve"> to apply through an EU digital visa application platform, at the same time maintaining the possibility to cater to certain exceptions, namely visas issued at the external border, visas issued for Heads of State or Government, and individual cases because of humanitarian reasons; </w:t>
      </w:r>
    </w:p>
    <w:p w14:paraId="2D75C913" w14:textId="77777777" w:rsidR="00DB5085" w:rsidRPr="00F228C8" w:rsidRDefault="00DB5085" w:rsidP="003018BD">
      <w:pPr>
        <w:pStyle w:val="Bullet0"/>
        <w:rPr>
          <w:noProof/>
          <w:lang w:val="en-IE"/>
        </w:rPr>
      </w:pPr>
      <w:r w:rsidRPr="00F228C8">
        <w:rPr>
          <w:noProof/>
          <w:lang w:val="en-IE"/>
        </w:rPr>
        <w:t xml:space="preserve">Article 10 </w:t>
      </w:r>
      <w:r w:rsidR="00A1699A" w:rsidRPr="00F228C8">
        <w:rPr>
          <w:noProof/>
          <w:lang w:val="en-IE"/>
        </w:rPr>
        <w:t>provides for</w:t>
      </w:r>
      <w:r w:rsidRPr="00F228C8">
        <w:rPr>
          <w:noProof/>
          <w:lang w:val="en-IE"/>
        </w:rPr>
        <w:t xml:space="preserve"> the general rules for lodging an application, with some adaptations to ensure that the rules can apply to a digital context; </w:t>
      </w:r>
    </w:p>
    <w:p w14:paraId="1AAFAE74" w14:textId="7B17E2D3" w:rsidR="00DB5085" w:rsidRPr="00F228C8" w:rsidRDefault="00DB5085" w:rsidP="003018BD">
      <w:pPr>
        <w:pStyle w:val="Bullet0"/>
        <w:rPr>
          <w:noProof/>
          <w:lang w:val="en-IE"/>
        </w:rPr>
      </w:pPr>
      <w:r w:rsidRPr="00F228C8">
        <w:rPr>
          <w:noProof/>
          <w:lang w:val="en-IE"/>
        </w:rPr>
        <w:t xml:space="preserve">Article 12 </w:t>
      </w:r>
      <w:r w:rsidR="00A1699A" w:rsidRPr="00F228C8">
        <w:rPr>
          <w:noProof/>
          <w:lang w:val="en-IE"/>
        </w:rPr>
        <w:t xml:space="preserve">outlines </w:t>
      </w:r>
      <w:r w:rsidRPr="00F228C8">
        <w:rPr>
          <w:noProof/>
          <w:lang w:val="en-IE"/>
        </w:rPr>
        <w:t xml:space="preserve">that the travel document will have to be presented with the first application, whereas afterwards </w:t>
      </w:r>
      <w:r w:rsidR="00B52AD6" w:rsidRPr="00F228C8">
        <w:rPr>
          <w:noProof/>
          <w:lang w:val="en-IE"/>
        </w:rPr>
        <w:t xml:space="preserve">a scanned copy uploaded to the EU application </w:t>
      </w:r>
      <w:r w:rsidR="00717D31">
        <w:rPr>
          <w:noProof/>
          <w:lang w:val="en-IE"/>
        </w:rPr>
        <w:t>p</w:t>
      </w:r>
      <w:r w:rsidR="00B52AD6" w:rsidRPr="00F228C8">
        <w:rPr>
          <w:noProof/>
          <w:lang w:val="en-IE"/>
        </w:rPr>
        <w:t>latform</w:t>
      </w:r>
      <w:r w:rsidRPr="00F228C8">
        <w:rPr>
          <w:noProof/>
          <w:lang w:val="en-IE"/>
        </w:rPr>
        <w:t xml:space="preserve"> will suffice; </w:t>
      </w:r>
    </w:p>
    <w:p w14:paraId="60C455BB" w14:textId="77777777" w:rsidR="00DB5085" w:rsidRPr="00F228C8" w:rsidRDefault="00DB5085" w:rsidP="003018BD">
      <w:pPr>
        <w:pStyle w:val="Bullet0"/>
        <w:rPr>
          <w:noProof/>
          <w:lang w:val="en-IE"/>
        </w:rPr>
      </w:pPr>
      <w:r w:rsidRPr="00F228C8">
        <w:rPr>
          <w:noProof/>
          <w:lang w:val="en-IE"/>
        </w:rPr>
        <w:t xml:space="preserve">The rules </w:t>
      </w:r>
      <w:r w:rsidR="00960EEF" w:rsidRPr="00F228C8">
        <w:rPr>
          <w:noProof/>
          <w:lang w:val="en-IE"/>
        </w:rPr>
        <w:t>provided for</w:t>
      </w:r>
      <w:r w:rsidRPr="00F228C8">
        <w:rPr>
          <w:noProof/>
          <w:lang w:val="en-IE"/>
        </w:rPr>
        <w:t xml:space="preserve"> in Article 13 on biometric identifiers are kept in place, and only targeted changes are made to reflect the</w:t>
      </w:r>
      <w:r w:rsidR="00A1699A" w:rsidRPr="00F228C8">
        <w:rPr>
          <w:noProof/>
          <w:lang w:val="en-IE"/>
        </w:rPr>
        <w:t xml:space="preserve"> </w:t>
      </w:r>
      <w:r w:rsidRPr="00F228C8">
        <w:rPr>
          <w:noProof/>
          <w:lang w:val="en-IE"/>
        </w:rPr>
        <w:t>EU digital application platform functionalities</w:t>
      </w:r>
      <w:r w:rsidR="00375A67" w:rsidRPr="00F228C8">
        <w:rPr>
          <w:noProof/>
          <w:lang w:val="en-IE"/>
        </w:rPr>
        <w:t xml:space="preserve"> in particular the use of the external service provider gateway when biometrics are collected by </w:t>
      </w:r>
      <w:r w:rsidR="00B52AD6" w:rsidRPr="00F228C8">
        <w:rPr>
          <w:noProof/>
          <w:lang w:val="en-IE"/>
        </w:rPr>
        <w:t>such</w:t>
      </w:r>
      <w:r w:rsidR="00375A67" w:rsidRPr="00F228C8">
        <w:rPr>
          <w:noProof/>
          <w:lang w:val="en-IE"/>
        </w:rPr>
        <w:t xml:space="preserve"> providers</w:t>
      </w:r>
      <w:r w:rsidRPr="00F228C8">
        <w:rPr>
          <w:noProof/>
          <w:lang w:val="en-IE"/>
        </w:rPr>
        <w:t xml:space="preserve">; </w:t>
      </w:r>
    </w:p>
    <w:p w14:paraId="6719CC9C" w14:textId="5E65A18D" w:rsidR="00DB5085" w:rsidRPr="00F228C8" w:rsidRDefault="00DB5085" w:rsidP="003018BD">
      <w:pPr>
        <w:pStyle w:val="Bullet0"/>
        <w:rPr>
          <w:noProof/>
          <w:lang w:val="en-IE"/>
        </w:rPr>
      </w:pPr>
      <w:r w:rsidRPr="00F228C8">
        <w:rPr>
          <w:noProof/>
          <w:lang w:val="en-IE"/>
        </w:rPr>
        <w:t xml:space="preserve">Article 18 is modified in order to </w:t>
      </w:r>
      <w:r w:rsidR="00375A67" w:rsidRPr="00F228C8">
        <w:rPr>
          <w:noProof/>
          <w:lang w:val="en-IE"/>
        </w:rPr>
        <w:t xml:space="preserve">reflect the automated competence and admissibility pre-check carried out by </w:t>
      </w:r>
      <w:r w:rsidRPr="00F228C8">
        <w:rPr>
          <w:noProof/>
          <w:lang w:val="en-IE"/>
        </w:rPr>
        <w:t>the EU visa application platform</w:t>
      </w:r>
      <w:r w:rsidR="00525897">
        <w:rPr>
          <w:noProof/>
          <w:lang w:val="en-IE"/>
        </w:rPr>
        <w:t>;</w:t>
      </w:r>
    </w:p>
    <w:p w14:paraId="63CB692B" w14:textId="7BF38373" w:rsidR="00DB5085" w:rsidRPr="00F228C8" w:rsidRDefault="00DB5085" w:rsidP="003018BD">
      <w:pPr>
        <w:pStyle w:val="Bullet0"/>
        <w:rPr>
          <w:noProof/>
          <w:lang w:val="en-IE"/>
        </w:rPr>
      </w:pPr>
      <w:r w:rsidRPr="00F228C8">
        <w:rPr>
          <w:noProof/>
          <w:lang w:val="en-IE"/>
        </w:rPr>
        <w:t xml:space="preserve">Article 19 is amended to adapt the rules of </w:t>
      </w:r>
      <w:r w:rsidR="00074944" w:rsidRPr="00F228C8">
        <w:rPr>
          <w:noProof/>
          <w:lang w:val="en-IE"/>
        </w:rPr>
        <w:t>admissibility</w:t>
      </w:r>
      <w:r w:rsidRPr="00F228C8">
        <w:rPr>
          <w:noProof/>
          <w:lang w:val="en-IE"/>
        </w:rPr>
        <w:t xml:space="preserve"> to the use of the EU visa application platform</w:t>
      </w:r>
      <w:r w:rsidR="007D1944" w:rsidRPr="00F228C8">
        <w:rPr>
          <w:noProof/>
          <w:lang w:val="en-IE"/>
        </w:rPr>
        <w:t>, in particular the inclusion of admissibility pre</w:t>
      </w:r>
      <w:r w:rsidR="00F228C8">
        <w:rPr>
          <w:noProof/>
          <w:lang w:val="en-IE"/>
        </w:rPr>
        <w:t>-</w:t>
      </w:r>
      <w:r w:rsidR="007D1944" w:rsidRPr="00F228C8">
        <w:rPr>
          <w:noProof/>
          <w:lang w:val="en-IE"/>
        </w:rPr>
        <w:t>check performed by the EU visa application platform</w:t>
      </w:r>
      <w:r w:rsidR="00525897">
        <w:rPr>
          <w:noProof/>
          <w:lang w:val="en-IE"/>
        </w:rPr>
        <w:t>;</w:t>
      </w:r>
      <w:r w:rsidRPr="00F228C8">
        <w:rPr>
          <w:noProof/>
          <w:lang w:val="en-IE"/>
        </w:rPr>
        <w:t xml:space="preserve"> </w:t>
      </w:r>
    </w:p>
    <w:p w14:paraId="0D8E7110" w14:textId="77777777" w:rsidR="00DB5085" w:rsidRPr="00F228C8" w:rsidRDefault="00DB5085" w:rsidP="003018BD">
      <w:pPr>
        <w:pStyle w:val="Bullet0"/>
        <w:rPr>
          <w:noProof/>
          <w:lang w:val="en-IE"/>
        </w:rPr>
      </w:pPr>
      <w:r w:rsidRPr="00F228C8">
        <w:rPr>
          <w:noProof/>
          <w:lang w:val="en-IE"/>
        </w:rPr>
        <w:t xml:space="preserve">The rules set in Article 24 on issuing multiple entry visas are maintained. However, as consequence of dematerialising visas, the validity of the visa will no longer be limited by the expiry date of the passport; </w:t>
      </w:r>
    </w:p>
    <w:p w14:paraId="2C942F82" w14:textId="77777777" w:rsidR="00DB5085" w:rsidRPr="00F228C8" w:rsidRDefault="00DB5085" w:rsidP="003018BD">
      <w:pPr>
        <w:pStyle w:val="Bullet0"/>
        <w:rPr>
          <w:noProof/>
          <w:lang w:val="en-IE"/>
        </w:rPr>
      </w:pPr>
      <w:r w:rsidRPr="00F228C8">
        <w:rPr>
          <w:noProof/>
          <w:lang w:val="en-IE"/>
        </w:rPr>
        <w:t xml:space="preserve">Article 26a </w:t>
      </w:r>
      <w:r w:rsidR="00074944" w:rsidRPr="00F228C8">
        <w:rPr>
          <w:noProof/>
          <w:lang w:val="en-IE"/>
        </w:rPr>
        <w:t>outlines</w:t>
      </w:r>
      <w:r w:rsidRPr="00F228C8">
        <w:rPr>
          <w:noProof/>
          <w:lang w:val="en-IE"/>
        </w:rPr>
        <w:t xml:space="preserve"> that visas will be issued in a digital format in the Visa Information System. </w:t>
      </w:r>
    </w:p>
    <w:p w14:paraId="4BEF46A6" w14:textId="77777777" w:rsidR="00DB5085" w:rsidRPr="00F228C8" w:rsidRDefault="00DB5085" w:rsidP="00F228C8">
      <w:pPr>
        <w:spacing w:before="0" w:after="160" w:line="259" w:lineRule="auto"/>
        <w:ind w:left="831"/>
        <w:contextualSpacing/>
        <w:jc w:val="left"/>
        <w:rPr>
          <w:rFonts w:eastAsia="Calibri"/>
          <w:noProof/>
          <w:szCs w:val="24"/>
          <w:lang w:val="en-IE"/>
        </w:rPr>
      </w:pPr>
    </w:p>
    <w:p w14:paraId="35761F87" w14:textId="77777777" w:rsidR="00DB5085" w:rsidRPr="00F228C8" w:rsidRDefault="00DB5085" w:rsidP="00DB5085">
      <w:pPr>
        <w:spacing w:before="0" w:after="160" w:line="259" w:lineRule="auto"/>
        <w:rPr>
          <w:rFonts w:eastAsia="Calibri"/>
          <w:noProof/>
          <w:szCs w:val="24"/>
          <w:lang w:val="en-IE"/>
        </w:rPr>
      </w:pPr>
      <w:r w:rsidRPr="00F228C8">
        <w:rPr>
          <w:rFonts w:eastAsia="Calibri"/>
          <w:noProof/>
          <w:szCs w:val="24"/>
          <w:lang w:val="en-IE"/>
        </w:rPr>
        <w:t xml:space="preserve">Article 2 implements the </w:t>
      </w:r>
      <w:r w:rsidR="00FF4A12" w:rsidRPr="00F228C8">
        <w:rPr>
          <w:rFonts w:eastAsia="Calibri"/>
          <w:noProof/>
          <w:szCs w:val="24"/>
          <w:lang w:val="en-IE"/>
        </w:rPr>
        <w:t xml:space="preserve">EU </w:t>
      </w:r>
      <w:r w:rsidRPr="00F228C8">
        <w:rPr>
          <w:rFonts w:eastAsia="Calibri"/>
          <w:noProof/>
          <w:szCs w:val="24"/>
          <w:lang w:val="en-IE"/>
        </w:rPr>
        <w:t>visa application platform, by proposing a series of changes in Regulation (EC) No 767/2008 (VIS Regulation). The following notable modifications are made, alongside a number of other consequential amendments:</w:t>
      </w:r>
    </w:p>
    <w:p w14:paraId="0FA453FD" w14:textId="77777777" w:rsidR="00DB5085" w:rsidRPr="003D69B8" w:rsidRDefault="00DB5085" w:rsidP="003018BD">
      <w:pPr>
        <w:pStyle w:val="Bullet0"/>
        <w:rPr>
          <w:noProof/>
          <w:color w:val="000000"/>
        </w:rPr>
      </w:pPr>
      <w:r w:rsidRPr="00F228C8">
        <w:rPr>
          <w:noProof/>
          <w:lang w:val="en-IE"/>
        </w:rPr>
        <w:t xml:space="preserve">Article 2a introduces the online </w:t>
      </w:r>
      <w:r w:rsidR="00FF4A12" w:rsidRPr="00F228C8">
        <w:rPr>
          <w:noProof/>
          <w:lang w:val="en-IE"/>
        </w:rPr>
        <w:t xml:space="preserve">EU </w:t>
      </w:r>
      <w:r w:rsidRPr="00F228C8">
        <w:rPr>
          <w:noProof/>
          <w:lang w:val="en-IE"/>
        </w:rPr>
        <w:t>visa application platform as a new functionality in the Visa Information System;</w:t>
      </w:r>
    </w:p>
    <w:p w14:paraId="2E36D180" w14:textId="77777777" w:rsidR="00DB5085" w:rsidRPr="003D69B8" w:rsidRDefault="00DB5085" w:rsidP="003018BD">
      <w:pPr>
        <w:pStyle w:val="Bullet0"/>
        <w:rPr>
          <w:noProof/>
          <w:color w:val="000000"/>
        </w:rPr>
      </w:pPr>
      <w:r w:rsidRPr="00F228C8">
        <w:rPr>
          <w:noProof/>
          <w:lang w:val="en-IE"/>
        </w:rPr>
        <w:t xml:space="preserve">A new Chapter Ia is introduced, </w:t>
      </w:r>
      <w:r w:rsidR="00074944" w:rsidRPr="00F228C8">
        <w:rPr>
          <w:noProof/>
          <w:lang w:val="en-IE"/>
        </w:rPr>
        <w:t>lay</w:t>
      </w:r>
      <w:r w:rsidR="00A44D57" w:rsidRPr="00F228C8">
        <w:rPr>
          <w:noProof/>
          <w:lang w:val="en-IE"/>
        </w:rPr>
        <w:t>ing</w:t>
      </w:r>
      <w:r w:rsidR="00074944" w:rsidRPr="00F228C8">
        <w:rPr>
          <w:noProof/>
          <w:lang w:val="en-IE"/>
        </w:rPr>
        <w:t xml:space="preserve"> down </w:t>
      </w:r>
      <w:r w:rsidRPr="00F228C8">
        <w:rPr>
          <w:noProof/>
          <w:lang w:val="en-IE"/>
        </w:rPr>
        <w:t xml:space="preserve">the functionalities of the </w:t>
      </w:r>
      <w:r w:rsidR="00074944" w:rsidRPr="00F228C8">
        <w:rPr>
          <w:noProof/>
          <w:lang w:val="en-IE"/>
        </w:rPr>
        <w:t xml:space="preserve">EU </w:t>
      </w:r>
      <w:r w:rsidRPr="00F228C8">
        <w:rPr>
          <w:noProof/>
          <w:lang w:val="en-IE"/>
        </w:rPr>
        <w:t xml:space="preserve">visa application platform: outlining the information to be included in the online application form, building on information currently required from applicants (Article 7b); listing the steps to be taken by applicants to submit an application on the platform, mirroring the model of ETIAS and the existing visa application process (Article 7c); introducing the payment and appointment tool (Article 7d); establishing a gateway to allow read-only access to VIS data for External Service Providers (Article 7e); explaining how the notification of decisions will be </w:t>
      </w:r>
      <w:r w:rsidR="006841A7" w:rsidRPr="00F228C8">
        <w:rPr>
          <w:noProof/>
          <w:lang w:val="en-IE"/>
        </w:rPr>
        <w:t>undertaken</w:t>
      </w:r>
      <w:r w:rsidRPr="00F228C8">
        <w:rPr>
          <w:noProof/>
          <w:lang w:val="en-IE"/>
        </w:rPr>
        <w:t xml:space="preserve">, also following the ETIAS model (Article 7f). </w:t>
      </w:r>
    </w:p>
    <w:p w14:paraId="080FE502" w14:textId="77777777" w:rsidR="00DB5085" w:rsidRPr="003D69B8" w:rsidRDefault="00DB5085" w:rsidP="003018BD">
      <w:pPr>
        <w:pStyle w:val="Bullet0"/>
        <w:rPr>
          <w:noProof/>
          <w:color w:val="000000"/>
        </w:rPr>
      </w:pPr>
      <w:r w:rsidRPr="00F228C8">
        <w:rPr>
          <w:noProof/>
          <w:lang w:val="en-IE"/>
        </w:rPr>
        <w:t>Article 7b</w:t>
      </w:r>
      <w:r w:rsidR="00960EEF" w:rsidRPr="00F228C8">
        <w:rPr>
          <w:noProof/>
          <w:lang w:val="en-IE"/>
        </w:rPr>
        <w:t xml:space="preserve"> provides for</w:t>
      </w:r>
      <w:r w:rsidRPr="00F228C8">
        <w:rPr>
          <w:noProof/>
          <w:lang w:val="en-IE"/>
        </w:rPr>
        <w:t xml:space="preserve"> specific provisions on the use of the EU application platform by family members of Union citizens or of other third-country nationals enjoying the right of free movement under Union law or of UK nationals who are beneficiaries of the EU-UK Withdrawal Agreement.</w:t>
      </w:r>
    </w:p>
    <w:p w14:paraId="64D13878" w14:textId="77777777" w:rsidR="00DB5085" w:rsidRPr="003D69B8" w:rsidRDefault="00DB5085" w:rsidP="00F228C8">
      <w:pPr>
        <w:autoSpaceDE w:val="0"/>
        <w:autoSpaceDN w:val="0"/>
        <w:adjustRightInd w:val="0"/>
        <w:spacing w:before="0" w:after="0" w:line="259" w:lineRule="auto"/>
        <w:ind w:left="831"/>
        <w:jc w:val="left"/>
        <w:rPr>
          <w:rFonts w:eastAsia="Calibri"/>
          <w:noProof/>
          <w:color w:val="000000"/>
          <w:szCs w:val="24"/>
        </w:rPr>
      </w:pPr>
    </w:p>
    <w:p w14:paraId="49703D05" w14:textId="77777777" w:rsidR="00DB5085" w:rsidRPr="00F228C8" w:rsidRDefault="00DB5085" w:rsidP="00DB5085">
      <w:pPr>
        <w:autoSpaceDE w:val="0"/>
        <w:autoSpaceDN w:val="0"/>
        <w:adjustRightInd w:val="0"/>
        <w:spacing w:before="0" w:after="0"/>
        <w:rPr>
          <w:rFonts w:eastAsia="Calibri"/>
          <w:noProof/>
          <w:szCs w:val="24"/>
          <w:lang w:val="en-IE"/>
        </w:rPr>
      </w:pPr>
      <w:r w:rsidRPr="00F228C8">
        <w:rPr>
          <w:rFonts w:eastAsia="Calibri"/>
          <w:noProof/>
          <w:szCs w:val="24"/>
          <w:lang w:val="en-IE"/>
        </w:rPr>
        <w:t>Article 3 amen</w:t>
      </w:r>
      <w:r w:rsidR="00960EEF" w:rsidRPr="00F228C8">
        <w:rPr>
          <w:rFonts w:eastAsia="Calibri"/>
          <w:noProof/>
          <w:szCs w:val="24"/>
          <w:lang w:val="en-IE"/>
        </w:rPr>
        <w:t>ds</w:t>
      </w:r>
      <w:r w:rsidRPr="00F228C8">
        <w:rPr>
          <w:rFonts w:eastAsia="Calibri"/>
          <w:noProof/>
          <w:szCs w:val="24"/>
          <w:lang w:val="en-IE"/>
        </w:rPr>
        <w:t xml:space="preserve"> Council Regulation (EC) No 1683/95 (Visa Sticker Regulation) to implement the digital visa by specifying that Member States implementing the Schengen </w:t>
      </w:r>
      <w:r w:rsidRPr="00F228C8">
        <w:rPr>
          <w:rFonts w:eastAsia="Calibri"/>
          <w:i/>
          <w:noProof/>
          <w:szCs w:val="24"/>
          <w:lang w:val="en-IE"/>
        </w:rPr>
        <w:t>acquis</w:t>
      </w:r>
      <w:r w:rsidRPr="00F228C8">
        <w:rPr>
          <w:rFonts w:eastAsia="Calibri"/>
          <w:noProof/>
          <w:szCs w:val="24"/>
          <w:lang w:val="en-IE"/>
        </w:rPr>
        <w:t xml:space="preserve"> in full </w:t>
      </w:r>
      <w:r w:rsidR="007D1944" w:rsidRPr="00F228C8">
        <w:rPr>
          <w:rFonts w:eastAsia="Calibri"/>
          <w:noProof/>
          <w:szCs w:val="24"/>
          <w:lang w:val="en-IE"/>
        </w:rPr>
        <w:t>shall</w:t>
      </w:r>
      <w:r w:rsidRPr="00F228C8">
        <w:rPr>
          <w:rFonts w:eastAsia="Calibri"/>
          <w:noProof/>
          <w:szCs w:val="24"/>
          <w:lang w:val="en-IE"/>
        </w:rPr>
        <w:t xml:space="preserve"> issue visas in digital format.</w:t>
      </w:r>
    </w:p>
    <w:p w14:paraId="71E1B218" w14:textId="77777777" w:rsidR="00DB5085" w:rsidRPr="003D69B8" w:rsidRDefault="00DB5085" w:rsidP="00F228C8">
      <w:pPr>
        <w:autoSpaceDE w:val="0"/>
        <w:autoSpaceDN w:val="0"/>
        <w:adjustRightInd w:val="0"/>
        <w:spacing w:before="0" w:after="0" w:line="259" w:lineRule="auto"/>
        <w:ind w:left="831"/>
        <w:jc w:val="left"/>
        <w:rPr>
          <w:rFonts w:eastAsia="Calibri"/>
          <w:noProof/>
          <w:color w:val="000000"/>
          <w:szCs w:val="24"/>
        </w:rPr>
      </w:pPr>
    </w:p>
    <w:p w14:paraId="7A7A3548" w14:textId="77777777" w:rsidR="00DB5085" w:rsidRPr="00F228C8" w:rsidRDefault="00DB5085" w:rsidP="007D1944">
      <w:pPr>
        <w:spacing w:before="0" w:after="160" w:line="259" w:lineRule="auto"/>
        <w:rPr>
          <w:rFonts w:eastAsia="Calibri"/>
          <w:noProof/>
          <w:szCs w:val="24"/>
          <w:lang w:val="en-IE"/>
        </w:rPr>
      </w:pPr>
      <w:r w:rsidRPr="00F228C8">
        <w:rPr>
          <w:rFonts w:eastAsia="Calibri"/>
          <w:noProof/>
          <w:szCs w:val="24"/>
          <w:lang w:val="en-IE"/>
        </w:rPr>
        <w:t>Article 4 amen</w:t>
      </w:r>
      <w:r w:rsidR="00A0762A">
        <w:rPr>
          <w:rFonts w:eastAsia="Calibri"/>
          <w:noProof/>
          <w:szCs w:val="24"/>
          <w:lang w:val="en-IE"/>
        </w:rPr>
        <w:t>ds</w:t>
      </w:r>
      <w:r w:rsidRPr="00F228C8">
        <w:rPr>
          <w:rFonts w:eastAsia="Calibri"/>
          <w:noProof/>
          <w:szCs w:val="24"/>
          <w:lang w:val="en-IE"/>
        </w:rPr>
        <w:t xml:space="preserve"> Council Regulation (EC) No 333/2002</w:t>
      </w:r>
      <w:r w:rsidR="007D1944" w:rsidRPr="00F228C8">
        <w:rPr>
          <w:rFonts w:eastAsia="Calibri"/>
          <w:noProof/>
          <w:szCs w:val="24"/>
          <w:lang w:val="en-IE"/>
        </w:rPr>
        <w:t xml:space="preserve"> (uniform format for forms for affixing the visa issued by Member States to persons holding travel documents not recognised by the Member State drawing up the form)</w:t>
      </w:r>
      <w:r w:rsidRPr="00F228C8">
        <w:rPr>
          <w:rFonts w:eastAsia="Calibri"/>
          <w:noProof/>
          <w:szCs w:val="24"/>
          <w:lang w:val="en-IE"/>
        </w:rPr>
        <w:t>. With the introduction of digital visas which are not affixed to a travel document, it is no longer necessary to have a special form for affixing visas by the authorities of a Member State to the holder of a travel document which is not recognised by that Member State.</w:t>
      </w:r>
    </w:p>
    <w:p w14:paraId="3D5B0105" w14:textId="77777777" w:rsidR="00DB5085" w:rsidRPr="00F228C8" w:rsidRDefault="00DB5085" w:rsidP="00DB5085">
      <w:pPr>
        <w:spacing w:before="0" w:after="160" w:line="259" w:lineRule="auto"/>
        <w:rPr>
          <w:rFonts w:eastAsia="Calibri"/>
          <w:noProof/>
          <w:szCs w:val="24"/>
          <w:lang w:val="en-IE"/>
        </w:rPr>
      </w:pPr>
      <w:r w:rsidRPr="00F228C8">
        <w:rPr>
          <w:rFonts w:eastAsia="Calibri"/>
          <w:noProof/>
          <w:szCs w:val="24"/>
          <w:lang w:val="en-IE"/>
        </w:rPr>
        <w:t xml:space="preserve">Article 5 </w:t>
      </w:r>
      <w:r w:rsidR="00960EEF" w:rsidRPr="00F228C8">
        <w:rPr>
          <w:rFonts w:eastAsia="Calibri"/>
          <w:noProof/>
          <w:szCs w:val="24"/>
          <w:lang w:val="en-IE"/>
        </w:rPr>
        <w:t>provides for</w:t>
      </w:r>
      <w:r w:rsidRPr="00F228C8">
        <w:rPr>
          <w:rFonts w:eastAsia="Calibri"/>
          <w:noProof/>
          <w:szCs w:val="24"/>
          <w:lang w:val="en-IE"/>
        </w:rPr>
        <w:t xml:space="preserve"> targeted amendments to Council Regulation (EC) No 694/2003 on uniform formats for Facilitated Transit Documents (FTD) and Facilitated Rail Transit Documents (FRTD). In order to reflect </w:t>
      </w:r>
      <w:r w:rsidR="003D69B8" w:rsidRPr="00F228C8">
        <w:rPr>
          <w:rFonts w:eastAsia="Calibri"/>
          <w:noProof/>
          <w:szCs w:val="24"/>
          <w:lang w:val="en-IE"/>
        </w:rPr>
        <w:t xml:space="preserve">the </w:t>
      </w:r>
      <w:r w:rsidRPr="00F228C8">
        <w:rPr>
          <w:rFonts w:eastAsia="Calibri"/>
          <w:noProof/>
          <w:szCs w:val="24"/>
          <w:lang w:val="en-IE"/>
        </w:rPr>
        <w:t>digitalisation, it is specified that such documents will be issued in digital format.</w:t>
      </w:r>
    </w:p>
    <w:p w14:paraId="6742EC03" w14:textId="77777777" w:rsidR="00DB5085" w:rsidRPr="00F228C8" w:rsidRDefault="00DB5085" w:rsidP="00DB5085">
      <w:pPr>
        <w:spacing w:before="0" w:after="160" w:line="259" w:lineRule="auto"/>
        <w:rPr>
          <w:rFonts w:eastAsia="Calibri"/>
          <w:noProof/>
          <w:szCs w:val="24"/>
          <w:lang w:val="en-IE"/>
        </w:rPr>
      </w:pPr>
      <w:r w:rsidRPr="00F228C8">
        <w:rPr>
          <w:rFonts w:eastAsia="Calibri"/>
          <w:noProof/>
          <w:szCs w:val="24"/>
          <w:lang w:val="en-IE"/>
        </w:rPr>
        <w:t xml:space="preserve">Article 6 </w:t>
      </w:r>
      <w:r w:rsidR="00960EEF" w:rsidRPr="00F228C8">
        <w:rPr>
          <w:rFonts w:eastAsia="Calibri"/>
          <w:noProof/>
          <w:szCs w:val="24"/>
          <w:lang w:val="en-IE"/>
        </w:rPr>
        <w:t>amends</w:t>
      </w:r>
      <w:r w:rsidRPr="00F228C8">
        <w:rPr>
          <w:rFonts w:eastAsia="Calibri"/>
          <w:noProof/>
          <w:szCs w:val="24"/>
          <w:lang w:val="en-IE"/>
        </w:rPr>
        <w:t xml:space="preserve"> the Convention implementing the Schengen Agreement. </w:t>
      </w:r>
      <w:r w:rsidR="00776810" w:rsidRPr="00F228C8">
        <w:rPr>
          <w:rFonts w:eastAsia="Calibri"/>
          <w:noProof/>
          <w:szCs w:val="24"/>
          <w:lang w:val="en-IE"/>
        </w:rPr>
        <w:t>As t</w:t>
      </w:r>
      <w:r w:rsidRPr="00F228C8">
        <w:rPr>
          <w:rFonts w:eastAsia="Calibri"/>
          <w:noProof/>
          <w:szCs w:val="24"/>
          <w:lang w:val="en-IE"/>
        </w:rPr>
        <w:t>he format for short-stay visas, as set by Council Regulation (EC) No 1683/95, is also used for long-stay visas. Therefore, the Convention implementing the Schengen Agreement is amended to enable that long-stay visas are also issued in digital format.</w:t>
      </w:r>
    </w:p>
    <w:p w14:paraId="0D652F12" w14:textId="08683274" w:rsidR="00DB5085" w:rsidRPr="00F228C8" w:rsidRDefault="00DB5085" w:rsidP="00DB5085">
      <w:pPr>
        <w:spacing w:before="0" w:after="160" w:line="259" w:lineRule="auto"/>
        <w:rPr>
          <w:rFonts w:eastAsia="Calibri"/>
          <w:noProof/>
          <w:szCs w:val="24"/>
          <w:lang w:val="en-IE"/>
        </w:rPr>
      </w:pPr>
      <w:r w:rsidRPr="00F228C8">
        <w:rPr>
          <w:rFonts w:eastAsia="Calibri"/>
          <w:noProof/>
          <w:szCs w:val="24"/>
          <w:lang w:val="en-IE"/>
        </w:rPr>
        <w:t xml:space="preserve">Article 7 </w:t>
      </w:r>
      <w:r w:rsidR="00CC5887" w:rsidRPr="00F228C8">
        <w:rPr>
          <w:rFonts w:eastAsia="Calibri"/>
          <w:noProof/>
          <w:szCs w:val="24"/>
          <w:lang w:val="en-IE"/>
        </w:rPr>
        <w:t>amends</w:t>
      </w:r>
      <w:r w:rsidRPr="00F228C8">
        <w:rPr>
          <w:rFonts w:eastAsia="Calibri"/>
          <w:noProof/>
          <w:szCs w:val="24"/>
          <w:lang w:val="en-IE"/>
        </w:rPr>
        <w:t xml:space="preserve"> Council Regulation (EC) No 693/2003 </w:t>
      </w:r>
      <w:r w:rsidR="00776810" w:rsidRPr="00F228C8">
        <w:rPr>
          <w:rFonts w:eastAsia="Calibri"/>
          <w:noProof/>
          <w:szCs w:val="24"/>
          <w:lang w:val="en-IE"/>
        </w:rPr>
        <w:t>(on Facilitated Transit Documents (FTD) and Facilitated Rail Transit Documents (FRTD)</w:t>
      </w:r>
      <w:r w:rsidRPr="00F228C8">
        <w:rPr>
          <w:rFonts w:eastAsia="Calibri"/>
          <w:noProof/>
          <w:szCs w:val="24"/>
          <w:lang w:val="en-IE"/>
        </w:rPr>
        <w:t>. The application procedure for these documents is paper-based. In order to reflect digitalisation developments, Coun</w:t>
      </w:r>
      <w:r w:rsidR="00F228C8">
        <w:rPr>
          <w:rFonts w:eastAsia="Calibri"/>
          <w:noProof/>
          <w:szCs w:val="24"/>
          <w:lang w:val="en-IE"/>
        </w:rPr>
        <w:t>cil Regulation (EC) No 693/2003</w:t>
      </w:r>
      <w:r w:rsidRPr="00F228C8">
        <w:rPr>
          <w:rFonts w:eastAsia="Calibri"/>
          <w:noProof/>
          <w:szCs w:val="24"/>
          <w:lang w:val="en-IE"/>
        </w:rPr>
        <w:t xml:space="preserve"> and Council Regulation (EC) No 694/2003 </w:t>
      </w:r>
      <w:r w:rsidR="003D69B8" w:rsidRPr="00F228C8">
        <w:rPr>
          <w:rFonts w:eastAsia="Calibri"/>
          <w:noProof/>
          <w:szCs w:val="24"/>
          <w:lang w:val="en-IE"/>
        </w:rPr>
        <w:t>are</w:t>
      </w:r>
      <w:r w:rsidRPr="00F228C8">
        <w:rPr>
          <w:rFonts w:eastAsia="Calibri"/>
          <w:noProof/>
          <w:szCs w:val="24"/>
          <w:lang w:val="en-IE"/>
        </w:rPr>
        <w:t xml:space="preserve"> amended to enable the issuance in digital format, as well as digital applications.</w:t>
      </w:r>
    </w:p>
    <w:p w14:paraId="7DCB824D" w14:textId="77777777" w:rsidR="00DB5085" w:rsidRPr="00F228C8" w:rsidRDefault="00DB5085" w:rsidP="00DB5085">
      <w:pPr>
        <w:spacing w:before="0" w:after="160" w:line="259" w:lineRule="auto"/>
        <w:rPr>
          <w:rFonts w:eastAsia="Calibri"/>
          <w:noProof/>
          <w:szCs w:val="24"/>
          <w:lang w:val="en-IE"/>
        </w:rPr>
      </w:pPr>
      <w:r w:rsidRPr="00F228C8">
        <w:rPr>
          <w:rFonts w:eastAsia="Calibri"/>
          <w:noProof/>
          <w:szCs w:val="24"/>
          <w:lang w:val="en-IE"/>
        </w:rPr>
        <w:t xml:space="preserve">Article 8 </w:t>
      </w:r>
      <w:r w:rsidR="009D3BB8" w:rsidRPr="00F228C8">
        <w:rPr>
          <w:rFonts w:eastAsia="Calibri"/>
          <w:noProof/>
          <w:szCs w:val="24"/>
          <w:lang w:val="en-IE"/>
        </w:rPr>
        <w:t>provides for</w:t>
      </w:r>
      <w:r w:rsidRPr="00F228C8">
        <w:rPr>
          <w:rFonts w:eastAsia="Calibri"/>
          <w:noProof/>
          <w:szCs w:val="24"/>
          <w:lang w:val="en-IE"/>
        </w:rPr>
        <w:t xml:space="preserve"> targeted </w:t>
      </w:r>
      <w:r w:rsidR="00776810" w:rsidRPr="00F228C8">
        <w:rPr>
          <w:rFonts w:eastAsia="Calibri"/>
          <w:noProof/>
          <w:szCs w:val="24"/>
          <w:lang w:val="en-IE"/>
        </w:rPr>
        <w:t xml:space="preserve">technical </w:t>
      </w:r>
      <w:r w:rsidRPr="00F228C8">
        <w:rPr>
          <w:rFonts w:eastAsia="Calibri"/>
          <w:noProof/>
          <w:szCs w:val="24"/>
          <w:lang w:val="en-IE"/>
        </w:rPr>
        <w:t>amendments to Regulation (EU) 2017/2226 (</w:t>
      </w:r>
      <w:r w:rsidR="009D3BB8" w:rsidRPr="00F228C8">
        <w:rPr>
          <w:rFonts w:eastAsia="Calibri"/>
          <w:noProof/>
          <w:szCs w:val="24"/>
          <w:lang w:val="en-IE"/>
        </w:rPr>
        <w:t xml:space="preserve">Entry/Exit System </w:t>
      </w:r>
      <w:r w:rsidRPr="00F228C8">
        <w:rPr>
          <w:rFonts w:eastAsia="Calibri"/>
          <w:noProof/>
          <w:szCs w:val="24"/>
          <w:lang w:val="en-IE"/>
        </w:rPr>
        <w:t>Regulation), which are rendered necessary by the introduction of the digital visa and the abolition of the physical visa sticker</w:t>
      </w:r>
      <w:r w:rsidR="00776810" w:rsidRPr="00F228C8">
        <w:rPr>
          <w:rFonts w:eastAsia="Calibri"/>
          <w:noProof/>
          <w:szCs w:val="24"/>
          <w:lang w:val="en-IE"/>
        </w:rPr>
        <w:t xml:space="preserve">, </w:t>
      </w:r>
      <w:r w:rsidR="00F228C8">
        <w:rPr>
          <w:rFonts w:eastAsia="Calibri"/>
          <w:noProof/>
          <w:szCs w:val="24"/>
          <w:lang w:val="en-IE"/>
        </w:rPr>
        <w:t>in particular the transfer</w:t>
      </w:r>
      <w:r w:rsidR="00776810" w:rsidRPr="00F228C8">
        <w:rPr>
          <w:rFonts w:eastAsia="Calibri"/>
          <w:noProof/>
          <w:szCs w:val="24"/>
          <w:lang w:val="en-IE"/>
        </w:rPr>
        <w:t xml:space="preserve"> of data from VIS to the EES when a valid visa has been confirmed in a new travel document.</w:t>
      </w:r>
    </w:p>
    <w:p w14:paraId="0352D018" w14:textId="77777777" w:rsidR="00DB5085" w:rsidRPr="00F228C8" w:rsidRDefault="00DB5085" w:rsidP="00DB5085">
      <w:pPr>
        <w:spacing w:before="0" w:after="160" w:line="259" w:lineRule="auto"/>
        <w:rPr>
          <w:rFonts w:eastAsia="Calibri"/>
          <w:noProof/>
          <w:szCs w:val="24"/>
          <w:lang w:val="en-IE"/>
        </w:rPr>
      </w:pPr>
      <w:r w:rsidRPr="00F228C8">
        <w:rPr>
          <w:rFonts w:eastAsia="Calibri"/>
          <w:noProof/>
          <w:szCs w:val="24"/>
          <w:lang w:val="en-IE"/>
        </w:rPr>
        <w:t xml:space="preserve">Article 9 </w:t>
      </w:r>
      <w:r w:rsidR="009D3BB8" w:rsidRPr="00F228C8">
        <w:rPr>
          <w:rFonts w:eastAsia="Calibri"/>
          <w:noProof/>
          <w:szCs w:val="24"/>
          <w:lang w:val="en-IE"/>
        </w:rPr>
        <w:t>provides for</w:t>
      </w:r>
      <w:r w:rsidRPr="00F228C8">
        <w:rPr>
          <w:rFonts w:eastAsia="Calibri"/>
          <w:noProof/>
          <w:szCs w:val="24"/>
          <w:lang w:val="en-IE"/>
        </w:rPr>
        <w:t xml:space="preserve"> standard provisions on the evaluation of the EU application platform.</w:t>
      </w:r>
    </w:p>
    <w:p w14:paraId="1B05CF9C" w14:textId="77777777" w:rsidR="00DB5085" w:rsidRPr="00F228C8" w:rsidRDefault="00DB5085" w:rsidP="00DB5085">
      <w:pPr>
        <w:spacing w:before="0" w:after="160" w:line="259" w:lineRule="auto"/>
        <w:rPr>
          <w:rFonts w:eastAsia="Calibri"/>
          <w:noProof/>
          <w:szCs w:val="24"/>
          <w:lang w:val="en-IE"/>
        </w:rPr>
      </w:pPr>
      <w:r w:rsidRPr="00F228C8">
        <w:rPr>
          <w:rFonts w:eastAsia="Calibri"/>
          <w:noProof/>
          <w:szCs w:val="24"/>
          <w:lang w:val="en-IE"/>
        </w:rPr>
        <w:t xml:space="preserve">Article 10 </w:t>
      </w:r>
      <w:r w:rsidR="009D3BB8" w:rsidRPr="00F228C8">
        <w:rPr>
          <w:rFonts w:eastAsia="Calibri"/>
          <w:noProof/>
          <w:szCs w:val="24"/>
          <w:lang w:val="en-IE"/>
        </w:rPr>
        <w:t>lays out</w:t>
      </w:r>
      <w:r w:rsidRPr="00F228C8">
        <w:rPr>
          <w:rFonts w:eastAsia="Calibri"/>
          <w:noProof/>
          <w:szCs w:val="24"/>
          <w:lang w:val="en-IE"/>
        </w:rPr>
        <w:t xml:space="preserve"> provisions on the start of operations of the EU application platform and digital visa. </w:t>
      </w:r>
      <w:r w:rsidR="009D3BB8" w:rsidRPr="00F228C8">
        <w:rPr>
          <w:rFonts w:eastAsia="Calibri"/>
          <w:noProof/>
          <w:szCs w:val="24"/>
          <w:lang w:val="en-IE"/>
        </w:rPr>
        <w:t>It also provides for</w:t>
      </w:r>
      <w:r w:rsidRPr="00F228C8">
        <w:rPr>
          <w:rFonts w:eastAsia="Calibri"/>
          <w:noProof/>
          <w:szCs w:val="24"/>
          <w:lang w:val="en-IE"/>
        </w:rPr>
        <w:t xml:space="preserve"> a transition period for the Member States which do not wish to avail themselves of the EU vis</w:t>
      </w:r>
      <w:r w:rsidR="00F228C8">
        <w:rPr>
          <w:rFonts w:eastAsia="Calibri"/>
          <w:noProof/>
          <w:szCs w:val="24"/>
          <w:lang w:val="en-IE"/>
        </w:rPr>
        <w:t xml:space="preserve">a application platform, and </w:t>
      </w:r>
      <w:r w:rsidRPr="00F228C8">
        <w:rPr>
          <w:rFonts w:eastAsia="Calibri"/>
          <w:noProof/>
          <w:szCs w:val="24"/>
          <w:lang w:val="en-IE"/>
        </w:rPr>
        <w:t>describes the modalities of this transition period.</w:t>
      </w:r>
    </w:p>
    <w:p w14:paraId="48FA5191" w14:textId="77777777" w:rsidR="00DB5085" w:rsidRPr="00F228C8" w:rsidRDefault="00DB5085" w:rsidP="00DB5085">
      <w:pPr>
        <w:spacing w:before="0" w:after="160" w:line="259" w:lineRule="auto"/>
        <w:rPr>
          <w:rFonts w:eastAsia="Calibri"/>
          <w:noProof/>
          <w:szCs w:val="24"/>
          <w:lang w:val="en-IE"/>
        </w:rPr>
      </w:pPr>
      <w:r w:rsidRPr="00F228C8">
        <w:rPr>
          <w:rFonts w:eastAsia="Calibri"/>
          <w:noProof/>
          <w:szCs w:val="24"/>
          <w:lang w:val="en-IE"/>
        </w:rPr>
        <w:t>Article 11 is a standard provision on entry into force of the amending regulation.</w:t>
      </w:r>
    </w:p>
    <w:p w14:paraId="4617F381" w14:textId="77777777" w:rsidR="00DB5085" w:rsidRPr="00F228C8" w:rsidRDefault="00DB5085" w:rsidP="0088289C">
      <w:pPr>
        <w:rPr>
          <w:noProof/>
          <w:lang w:val="en-IE"/>
        </w:rPr>
        <w:sectPr w:rsidR="00DB5085" w:rsidRPr="00F228C8" w:rsidSect="00FB3ECA">
          <w:footerReference w:type="default" r:id="rId13"/>
          <w:footerReference w:type="first" r:id="rId14"/>
          <w:pgSz w:w="11907" w:h="16839"/>
          <w:pgMar w:top="1134" w:right="1417" w:bottom="1134" w:left="1417" w:header="709" w:footer="709" w:gutter="0"/>
          <w:cols w:space="708"/>
          <w:docGrid w:linePitch="360"/>
        </w:sectPr>
      </w:pPr>
    </w:p>
    <w:p w14:paraId="226E5035" w14:textId="6862A395" w:rsidR="00E226E7" w:rsidRDefault="00B10F7F" w:rsidP="00B10F7F">
      <w:pPr>
        <w:pStyle w:val="Rfrenceinterinstitutionnelle"/>
        <w:rPr>
          <w:noProof/>
        </w:rPr>
      </w:pPr>
      <w:r w:rsidRPr="00B10F7F">
        <w:t>2022/0132 (COD)</w:t>
      </w:r>
    </w:p>
    <w:p w14:paraId="1FE56ED0" w14:textId="6E24B556" w:rsidR="00A40E24" w:rsidRPr="00F96E01" w:rsidRDefault="00A66C84" w:rsidP="00A66C84">
      <w:pPr>
        <w:pStyle w:val="Statut"/>
        <w:rPr>
          <w:noProof/>
        </w:rPr>
      </w:pPr>
      <w:r w:rsidRPr="00A66C84">
        <w:rPr>
          <w:noProof/>
        </w:rPr>
        <w:t>Proposal for a</w:t>
      </w:r>
    </w:p>
    <w:p w14:paraId="3FD8D7F6" w14:textId="3D093D6D" w:rsidR="00A40E24" w:rsidRPr="00F96E01" w:rsidRDefault="00A66C84" w:rsidP="00A66C84">
      <w:pPr>
        <w:pStyle w:val="Typedudocument"/>
        <w:rPr>
          <w:noProof/>
        </w:rPr>
      </w:pPr>
      <w:r w:rsidRPr="00A66C84">
        <w:rPr>
          <w:noProof/>
        </w:rPr>
        <w:t>REGULATION OF THE EUROPEAN PARLIAMENT AND OF THE COUNCIL</w:t>
      </w:r>
    </w:p>
    <w:p w14:paraId="7CE1CD42" w14:textId="6B244530" w:rsidR="00A40E24" w:rsidRPr="00F96E01" w:rsidRDefault="00A66C84" w:rsidP="00A66C84">
      <w:pPr>
        <w:pStyle w:val="Titreobjet"/>
        <w:rPr>
          <w:noProof/>
        </w:rPr>
      </w:pPr>
      <w:r w:rsidRPr="00A66C84">
        <w:rPr>
          <w:noProof/>
        </w:rPr>
        <w:t>amending Regulations (EC) No 767/2008, (EC) No 810/2009 and (EU) 2017/2226 of the European Parliament and of the Council, Council Regulations (EC) No 1683/95, (EC) No 333/2002, (EC) No 693/2003 and (EC) No 694/2003 and Convention implementing the Schengen Agreement, as regards the digitalisation of the visa procedure</w:t>
      </w:r>
    </w:p>
    <w:p w14:paraId="7D8C5575" w14:textId="77777777" w:rsidR="00A40E24" w:rsidRPr="00F96E01" w:rsidRDefault="00A40E24" w:rsidP="00012221">
      <w:pPr>
        <w:pStyle w:val="Institutionquiagit"/>
        <w:rPr>
          <w:noProof/>
        </w:rPr>
      </w:pPr>
      <w:r w:rsidRPr="00F96E01">
        <w:rPr>
          <w:noProof/>
        </w:rPr>
        <w:t>THE EUROPEAN PARLIAMENT AND THE COUNCIL OF THE EUROPEAN UNION,</w:t>
      </w:r>
    </w:p>
    <w:p w14:paraId="0BB76CB5" w14:textId="77777777" w:rsidR="00A40E24" w:rsidRPr="00F96E01" w:rsidRDefault="00A40E24" w:rsidP="00012221">
      <w:pPr>
        <w:rPr>
          <w:noProof/>
        </w:rPr>
      </w:pPr>
      <w:r w:rsidRPr="00F96E01">
        <w:rPr>
          <w:noProof/>
        </w:rPr>
        <w:t>Having regard to the Treaty on the Functioning of the European U</w:t>
      </w:r>
      <w:r w:rsidR="00D50DD8">
        <w:rPr>
          <w:noProof/>
        </w:rPr>
        <w:t xml:space="preserve">nion, and in particular </w:t>
      </w:r>
      <w:r w:rsidR="00D50DD8" w:rsidRPr="003E4F2E">
        <w:rPr>
          <w:noProof/>
        </w:rPr>
        <w:t>Articles 77</w:t>
      </w:r>
      <w:r w:rsidR="008D641D" w:rsidRPr="003E4F2E">
        <w:rPr>
          <w:noProof/>
        </w:rPr>
        <w:t>(2)</w:t>
      </w:r>
      <w:r w:rsidR="00AE5C9E">
        <w:rPr>
          <w:noProof/>
        </w:rPr>
        <w:t xml:space="preserve">, point </w:t>
      </w:r>
      <w:r w:rsidR="008D641D" w:rsidRPr="003E4F2E">
        <w:rPr>
          <w:noProof/>
        </w:rPr>
        <w:t>(a)</w:t>
      </w:r>
      <w:r w:rsidR="00AE5C9E">
        <w:rPr>
          <w:noProof/>
        </w:rPr>
        <w:t>,</w:t>
      </w:r>
      <w:r w:rsidR="00D50DD8" w:rsidRPr="003E4F2E">
        <w:rPr>
          <w:noProof/>
        </w:rPr>
        <w:t xml:space="preserve"> and 79</w:t>
      </w:r>
      <w:r w:rsidR="00137DDE" w:rsidRPr="003E4F2E">
        <w:rPr>
          <w:noProof/>
        </w:rPr>
        <w:t>(2</w:t>
      </w:r>
      <w:r w:rsidR="00137DDE">
        <w:rPr>
          <w:noProof/>
        </w:rPr>
        <w:t>)</w:t>
      </w:r>
      <w:r w:rsidR="00AE5C9E">
        <w:rPr>
          <w:noProof/>
        </w:rPr>
        <w:t xml:space="preserve">, point </w:t>
      </w:r>
      <w:r w:rsidR="00137DDE">
        <w:rPr>
          <w:noProof/>
        </w:rPr>
        <w:t>(a)</w:t>
      </w:r>
      <w:r w:rsidR="00AE5C9E">
        <w:rPr>
          <w:noProof/>
        </w:rPr>
        <w:t>,</w:t>
      </w:r>
      <w:r w:rsidRPr="00F96E01">
        <w:rPr>
          <w:noProof/>
        </w:rPr>
        <w:t xml:space="preserve"> thereof,</w:t>
      </w:r>
    </w:p>
    <w:p w14:paraId="16D21155" w14:textId="77777777" w:rsidR="00A40E24" w:rsidRPr="00F96E01" w:rsidRDefault="00A40E24" w:rsidP="00012221">
      <w:pPr>
        <w:rPr>
          <w:noProof/>
        </w:rPr>
      </w:pPr>
      <w:r w:rsidRPr="00F96E01">
        <w:rPr>
          <w:noProof/>
        </w:rPr>
        <w:t>Having regard to the proposal from the European Commission,</w:t>
      </w:r>
    </w:p>
    <w:p w14:paraId="13EF987D" w14:textId="77777777" w:rsidR="00A40E24" w:rsidRPr="00F96E01" w:rsidRDefault="00A40E24" w:rsidP="00012221">
      <w:pPr>
        <w:rPr>
          <w:noProof/>
        </w:rPr>
      </w:pPr>
      <w:r w:rsidRPr="00F96E01">
        <w:rPr>
          <w:noProof/>
        </w:rPr>
        <w:t xml:space="preserve">After transmission of the draft legislative act to the national </w:t>
      </w:r>
      <w:r>
        <w:rPr>
          <w:noProof/>
        </w:rPr>
        <w:t>p</w:t>
      </w:r>
      <w:r w:rsidRPr="00F96E01">
        <w:rPr>
          <w:noProof/>
        </w:rPr>
        <w:t>arliaments,</w:t>
      </w:r>
    </w:p>
    <w:p w14:paraId="69B9A622" w14:textId="77777777" w:rsidR="00A40E24" w:rsidRPr="00F96E01" w:rsidRDefault="00A40E24" w:rsidP="00012221">
      <w:pPr>
        <w:rPr>
          <w:noProof/>
        </w:rPr>
      </w:pPr>
      <w:r w:rsidRPr="00F96E01">
        <w:rPr>
          <w:noProof/>
        </w:rPr>
        <w:t>Acting in accordance with the ordinary legislative procedure,</w:t>
      </w:r>
    </w:p>
    <w:p w14:paraId="1227656F" w14:textId="77777777" w:rsidR="00A40E24" w:rsidRDefault="00A40E24" w:rsidP="00012221">
      <w:pPr>
        <w:rPr>
          <w:noProof/>
        </w:rPr>
      </w:pPr>
      <w:r w:rsidRPr="00F96E01">
        <w:rPr>
          <w:noProof/>
        </w:rPr>
        <w:t>Whereas:</w:t>
      </w:r>
    </w:p>
    <w:p w14:paraId="0C6B0933" w14:textId="4452C724" w:rsidR="00532D88" w:rsidRPr="00AE49BF" w:rsidRDefault="00EF15A7" w:rsidP="00EF15A7">
      <w:pPr>
        <w:pStyle w:val="ManualConsidrant"/>
        <w:rPr>
          <w:rFonts w:eastAsia="Arial Unicode MS"/>
          <w:noProof/>
        </w:rPr>
      </w:pPr>
      <w:r w:rsidRPr="00EF15A7">
        <w:t>(1)</w:t>
      </w:r>
      <w:r w:rsidRPr="00EF15A7">
        <w:tab/>
      </w:r>
      <w:r w:rsidR="00532D88">
        <w:rPr>
          <w:noProof/>
        </w:rPr>
        <w:t>The Union's common visa policy has been an integral part of the establishment of an area without internal borders. Visa policy should remain an essential element in helping counter security risks and the risk of irregular migration to the Union, while</w:t>
      </w:r>
      <w:r w:rsidR="00DF1BE2">
        <w:rPr>
          <w:noProof/>
        </w:rPr>
        <w:t xml:space="preserve"> facilitating tourism and business.</w:t>
      </w:r>
      <w:r w:rsidR="00532D88">
        <w:rPr>
          <w:noProof/>
        </w:rPr>
        <w:t xml:space="preserve"> The common visa policy should contribute to generating growth and be consistent with other Union policies, such as those concerning external relations, trade, education, culture and tourism</w:t>
      </w:r>
      <w:r w:rsidR="003451AC">
        <w:rPr>
          <w:noProof/>
        </w:rPr>
        <w:t xml:space="preserve">. </w:t>
      </w:r>
      <w:r w:rsidR="00532D88">
        <w:rPr>
          <w:noProof/>
        </w:rPr>
        <w:t xml:space="preserve">In March 2018 Commission communication on visa policy </w:t>
      </w:r>
      <w:r w:rsidR="0060550F">
        <w:rPr>
          <w:noProof/>
        </w:rPr>
        <w:t>addressed</w:t>
      </w:r>
      <w:r w:rsidR="00532D88">
        <w:rPr>
          <w:noProof/>
        </w:rPr>
        <w:t xml:space="preserve"> the </w:t>
      </w:r>
      <w:r w:rsidR="0060550F">
        <w:rPr>
          <w:noProof/>
        </w:rPr>
        <w:t xml:space="preserve">concept </w:t>
      </w:r>
      <w:r w:rsidR="00532D88">
        <w:rPr>
          <w:noProof/>
        </w:rPr>
        <w:t xml:space="preserve">of “e-visas” and announced </w:t>
      </w:r>
      <w:r w:rsidR="00CA6A5C">
        <w:rPr>
          <w:noProof/>
        </w:rPr>
        <w:t xml:space="preserve">a </w:t>
      </w:r>
      <w:r w:rsidR="00532D88">
        <w:rPr>
          <w:noProof/>
        </w:rPr>
        <w:t xml:space="preserve">feasibility study on digital visa procedures and the intention to assess options and promote pilot projects to prepare the ground for future proposals. When revising the EU Visa Code in 2019, the </w:t>
      </w:r>
      <w:r w:rsidR="00D5374B">
        <w:rPr>
          <w:noProof/>
        </w:rPr>
        <w:t>European Parliament and the Council</w:t>
      </w:r>
      <w:r w:rsidR="00532D88">
        <w:rPr>
          <w:noProof/>
        </w:rPr>
        <w:t xml:space="preserve"> explicitly stated the aim of developing a common solution in the future to allow Schengen visa applications to be lodged online, thereby making full use of recent legal and technological developments</w:t>
      </w:r>
      <w:r w:rsidR="00211245">
        <w:rPr>
          <w:rStyle w:val="FootnoteReference"/>
          <w:noProof/>
        </w:rPr>
        <w:footnoteReference w:id="44"/>
      </w:r>
      <w:r w:rsidR="00532D88">
        <w:rPr>
          <w:noProof/>
        </w:rPr>
        <w:t xml:space="preserve">. </w:t>
      </w:r>
    </w:p>
    <w:p w14:paraId="014CB403" w14:textId="4517FD07" w:rsidR="00532D88" w:rsidRDefault="00EF15A7" w:rsidP="00EF15A7">
      <w:pPr>
        <w:pStyle w:val="ManualConsidrant"/>
        <w:rPr>
          <w:noProof/>
        </w:rPr>
      </w:pPr>
      <w:r w:rsidRPr="00EF15A7">
        <w:t>(2)</w:t>
      </w:r>
      <w:r w:rsidRPr="00EF15A7">
        <w:tab/>
      </w:r>
      <w:r w:rsidR="00532D88">
        <w:rPr>
          <w:noProof/>
        </w:rPr>
        <w:t xml:space="preserve">The initiative </w:t>
      </w:r>
      <w:r w:rsidR="00D5374B">
        <w:rPr>
          <w:noProof/>
        </w:rPr>
        <w:t>is in line</w:t>
      </w:r>
      <w:r w:rsidR="00532D88">
        <w:rPr>
          <w:noProof/>
        </w:rPr>
        <w:t xml:space="preserve"> with the general EU approach to encourage the modernisation and digitalisation of public services and the Commission communication on the </w:t>
      </w:r>
      <w:r w:rsidR="00532D88" w:rsidRPr="00BA7C89">
        <w:rPr>
          <w:i/>
          <w:noProof/>
        </w:rPr>
        <w:t xml:space="preserve">2030 Digital compass: the European way for the digital </w:t>
      </w:r>
      <w:r w:rsidR="00532D88" w:rsidRPr="003451AC">
        <w:rPr>
          <w:i/>
          <w:noProof/>
        </w:rPr>
        <w:t>decade</w:t>
      </w:r>
      <w:r w:rsidR="00211245">
        <w:rPr>
          <w:rStyle w:val="FootnoteReference"/>
          <w:i/>
          <w:noProof/>
        </w:rPr>
        <w:footnoteReference w:id="45"/>
      </w:r>
      <w:r w:rsidR="00532D88" w:rsidRPr="003451AC">
        <w:rPr>
          <w:noProof/>
        </w:rPr>
        <w:t>.</w:t>
      </w:r>
      <w:r w:rsidR="00ED287D" w:rsidRPr="003451AC" w:rsidDel="00ED287D">
        <w:rPr>
          <w:noProof/>
        </w:rPr>
        <w:t xml:space="preserve"> </w:t>
      </w:r>
      <w:r w:rsidR="00532D88" w:rsidRPr="003451AC">
        <w:rPr>
          <w:noProof/>
        </w:rPr>
        <w:t>Since</w:t>
      </w:r>
      <w:r w:rsidR="00532D88" w:rsidRPr="002E5B3D">
        <w:rPr>
          <w:noProof/>
        </w:rPr>
        <w:t xml:space="preserve"> the entry into force of </w:t>
      </w:r>
      <w:r w:rsidR="00AE5C9E">
        <w:rPr>
          <w:noProof/>
        </w:rPr>
        <w:t>Regulation (EC) No 810/2009 of the European Parliament and of the Council</w:t>
      </w:r>
      <w:r w:rsidR="00532D88" w:rsidRPr="006048C8">
        <w:rPr>
          <w:rStyle w:val="FootnoteReference"/>
          <w:noProof/>
        </w:rPr>
        <w:footnoteReference w:id="46"/>
      </w:r>
      <w:r w:rsidR="00532D88" w:rsidRPr="002E5B3D">
        <w:rPr>
          <w:noProof/>
        </w:rPr>
        <w:t xml:space="preserve"> </w:t>
      </w:r>
      <w:r w:rsidR="00AE5C9E" w:rsidRPr="002E5B3D">
        <w:rPr>
          <w:noProof/>
        </w:rPr>
        <w:t>in 2010</w:t>
      </w:r>
      <w:r w:rsidR="00AE5C9E">
        <w:rPr>
          <w:noProof/>
        </w:rPr>
        <w:t xml:space="preserve"> </w:t>
      </w:r>
      <w:r w:rsidR="00532D88" w:rsidRPr="002E5B3D">
        <w:rPr>
          <w:noProof/>
        </w:rPr>
        <w:t>and the start of operations of the Visa Information System (VIS) in 2011</w:t>
      </w:r>
      <w:r w:rsidR="0068480E">
        <w:rPr>
          <w:noProof/>
        </w:rPr>
        <w:t xml:space="preserve"> under Regulation (EC) No 767/2008 of the European Parliament and of the Council</w:t>
      </w:r>
      <w:r w:rsidR="00532D88" w:rsidRPr="006048C8">
        <w:rPr>
          <w:rStyle w:val="FootnoteReference"/>
          <w:noProof/>
        </w:rPr>
        <w:footnoteReference w:id="47"/>
      </w:r>
      <w:r w:rsidR="00532D88" w:rsidRPr="002E5B3D">
        <w:rPr>
          <w:noProof/>
        </w:rPr>
        <w:t>, migration and security challenges faced in recent years</w:t>
      </w:r>
      <w:r w:rsidR="00532D88">
        <w:rPr>
          <w:noProof/>
        </w:rPr>
        <w:t xml:space="preserve"> have considerably transformed the visa policy context. In addition, </w:t>
      </w:r>
      <w:r w:rsidR="00532D88" w:rsidRPr="002E5B3D">
        <w:rPr>
          <w:noProof/>
        </w:rPr>
        <w:t xml:space="preserve">significant technological developments provide new opportunities to make the Schengen visa application process smoother </w:t>
      </w:r>
      <w:r w:rsidR="00532D88">
        <w:rPr>
          <w:noProof/>
        </w:rPr>
        <w:t>and m</w:t>
      </w:r>
      <w:r w:rsidR="002C77D4">
        <w:rPr>
          <w:noProof/>
        </w:rPr>
        <w:t>o</w:t>
      </w:r>
      <w:r w:rsidR="00532D88">
        <w:rPr>
          <w:noProof/>
        </w:rPr>
        <w:t xml:space="preserve">re effective </w:t>
      </w:r>
      <w:r w:rsidR="00532D88" w:rsidRPr="002E5B3D">
        <w:rPr>
          <w:noProof/>
        </w:rPr>
        <w:t xml:space="preserve">for </w:t>
      </w:r>
      <w:r w:rsidR="002C77D4">
        <w:rPr>
          <w:noProof/>
        </w:rPr>
        <w:t>t</w:t>
      </w:r>
      <w:r w:rsidR="00532D88">
        <w:rPr>
          <w:noProof/>
        </w:rPr>
        <w:t>hird-country nationals and Member States authorities</w:t>
      </w:r>
      <w:r w:rsidR="00532D88" w:rsidRPr="002E5B3D">
        <w:rPr>
          <w:noProof/>
        </w:rPr>
        <w:t xml:space="preserve">. </w:t>
      </w:r>
    </w:p>
    <w:p w14:paraId="76A27954" w14:textId="340F2C01" w:rsidR="006B0D98" w:rsidRPr="00AE1107" w:rsidRDefault="00EF15A7" w:rsidP="00EF15A7">
      <w:pPr>
        <w:pStyle w:val="ManualConsidrant"/>
        <w:rPr>
          <w:rFonts w:eastAsia="Arial Unicode MS"/>
          <w:noProof/>
        </w:rPr>
      </w:pPr>
      <w:r w:rsidRPr="00EF15A7">
        <w:t>(3)</w:t>
      </w:r>
      <w:r w:rsidRPr="00EF15A7">
        <w:tab/>
      </w:r>
      <w:r w:rsidR="00532D88">
        <w:rPr>
          <w:noProof/>
        </w:rPr>
        <w:t>The COVID-19 pandemic, which led to the slowing down of Schengen visa operations worldwide partly due to the difficulty of receiving visa applicants in consulates</w:t>
      </w:r>
      <w:r w:rsidR="005B797A">
        <w:rPr>
          <w:noProof/>
        </w:rPr>
        <w:t xml:space="preserve"> and Visa Application Centres</w:t>
      </w:r>
      <w:r w:rsidR="00532D88">
        <w:rPr>
          <w:noProof/>
        </w:rPr>
        <w:t>, prompted Member States to call upon the Commission to speed up work on digitalisation of visa procedures.</w:t>
      </w:r>
    </w:p>
    <w:p w14:paraId="52158C18" w14:textId="40B9D437" w:rsidR="00532D88" w:rsidRDefault="00EF15A7" w:rsidP="00EF15A7">
      <w:pPr>
        <w:pStyle w:val="ManualConsidrant"/>
        <w:rPr>
          <w:rFonts w:eastAsia="Arial Unicode MS"/>
          <w:noProof/>
        </w:rPr>
      </w:pPr>
      <w:r w:rsidRPr="00EF15A7">
        <w:t>(4)</w:t>
      </w:r>
      <w:r w:rsidRPr="00EF15A7">
        <w:tab/>
      </w:r>
      <w:r w:rsidR="00532D88">
        <w:rPr>
          <w:noProof/>
        </w:rPr>
        <w:t>The New Pact on Migration and Asylum proposed by the Commission on 23 September 2020 set the objective of making the visa procedure fully digitalised by 2025, with a digital visa and the ability to submit visa applications online.</w:t>
      </w:r>
    </w:p>
    <w:p w14:paraId="1FAC4E69" w14:textId="354F5D44" w:rsidR="00532D88" w:rsidRDefault="00EF15A7" w:rsidP="00EF15A7">
      <w:pPr>
        <w:pStyle w:val="ManualConsidrant"/>
        <w:rPr>
          <w:noProof/>
        </w:rPr>
      </w:pPr>
      <w:r w:rsidRPr="00EF15A7">
        <w:t>(5)</w:t>
      </w:r>
      <w:r w:rsidRPr="00EF15A7">
        <w:tab/>
      </w:r>
      <w:r w:rsidR="00532D88" w:rsidRPr="002E5B3D">
        <w:rPr>
          <w:noProof/>
        </w:rPr>
        <w:t xml:space="preserve">While visa processing is already partially digitalised, with applications and decisions recorded in </w:t>
      </w:r>
      <w:r w:rsidR="00D5374B">
        <w:rPr>
          <w:noProof/>
        </w:rPr>
        <w:t xml:space="preserve">the </w:t>
      </w:r>
      <w:r w:rsidR="00532D88" w:rsidRPr="002E5B3D">
        <w:rPr>
          <w:noProof/>
        </w:rPr>
        <w:t xml:space="preserve">VIS, two important steps remain paper-based: the visa application process and the </w:t>
      </w:r>
      <w:r w:rsidR="00CA6A5C">
        <w:rPr>
          <w:noProof/>
        </w:rPr>
        <w:t xml:space="preserve">issuance of the visa to the applicant by means of a </w:t>
      </w:r>
      <w:r w:rsidR="00532D88" w:rsidRPr="002E5B3D">
        <w:rPr>
          <w:noProof/>
        </w:rPr>
        <w:t xml:space="preserve">visa sticker. </w:t>
      </w:r>
      <w:r w:rsidR="00710486">
        <w:rPr>
          <w:noProof/>
        </w:rPr>
        <w:t>This creates a</w:t>
      </w:r>
      <w:r w:rsidR="00532D88" w:rsidRPr="002E5B3D">
        <w:rPr>
          <w:noProof/>
        </w:rPr>
        <w:t xml:space="preserve"> burden for all stakeholders, </w:t>
      </w:r>
      <w:r w:rsidR="00532D88">
        <w:rPr>
          <w:noProof/>
        </w:rPr>
        <w:t>in particular for Member States authorities issuing visas and visa applicants.</w:t>
      </w:r>
      <w:r w:rsidR="00532D88" w:rsidRPr="002E5B3D">
        <w:rPr>
          <w:noProof/>
        </w:rPr>
        <w:t xml:space="preserve"> </w:t>
      </w:r>
      <w:r w:rsidR="00532D88">
        <w:rPr>
          <w:noProof/>
        </w:rPr>
        <w:t>Member States</w:t>
      </w:r>
      <w:r w:rsidR="00532D88" w:rsidRPr="002E5B3D">
        <w:rPr>
          <w:noProof/>
        </w:rPr>
        <w:t xml:space="preserve"> are aware of this and </w:t>
      </w:r>
      <w:r w:rsidR="00532D88">
        <w:rPr>
          <w:noProof/>
        </w:rPr>
        <w:t>some of them</w:t>
      </w:r>
      <w:r w:rsidR="00532D88" w:rsidRPr="002E5B3D">
        <w:rPr>
          <w:noProof/>
        </w:rPr>
        <w:t xml:space="preserve"> have already </w:t>
      </w:r>
      <w:r w:rsidR="00710486">
        <w:rPr>
          <w:noProof/>
        </w:rPr>
        <w:t>implemented</w:t>
      </w:r>
      <w:r w:rsidR="00710486" w:rsidRPr="002E5B3D">
        <w:rPr>
          <w:noProof/>
        </w:rPr>
        <w:t xml:space="preserve"> </w:t>
      </w:r>
      <w:r w:rsidR="00532D88" w:rsidRPr="002E5B3D">
        <w:rPr>
          <w:noProof/>
        </w:rPr>
        <w:t xml:space="preserve">digital solutions </w:t>
      </w:r>
      <w:r w:rsidR="00710486">
        <w:rPr>
          <w:noProof/>
        </w:rPr>
        <w:t xml:space="preserve">in order to </w:t>
      </w:r>
      <w:r w:rsidR="007E4294" w:rsidRPr="007E4294">
        <w:rPr>
          <w:noProof/>
        </w:rPr>
        <w:t>provide applicants with a modern and user-friendly application procedure</w:t>
      </w:r>
      <w:r w:rsidR="007E4294">
        <w:rPr>
          <w:noProof/>
        </w:rPr>
        <w:t xml:space="preserve"> and to </w:t>
      </w:r>
      <w:r w:rsidR="007E4294" w:rsidRPr="007E4294">
        <w:rPr>
          <w:noProof/>
        </w:rPr>
        <w:t xml:space="preserve">improve the efficiency of handling </w:t>
      </w:r>
      <w:r w:rsidR="007E4294">
        <w:rPr>
          <w:noProof/>
        </w:rPr>
        <w:t xml:space="preserve">visa </w:t>
      </w:r>
      <w:r w:rsidR="00710486">
        <w:rPr>
          <w:noProof/>
        </w:rPr>
        <w:t>application</w:t>
      </w:r>
      <w:r w:rsidR="007E4294">
        <w:rPr>
          <w:noProof/>
        </w:rPr>
        <w:t>s</w:t>
      </w:r>
      <w:r w:rsidR="00532D88" w:rsidRPr="002E5B3D">
        <w:rPr>
          <w:noProof/>
        </w:rPr>
        <w:t>.</w:t>
      </w:r>
    </w:p>
    <w:p w14:paraId="3048D5E2" w14:textId="1C3EEE79" w:rsidR="00532D88" w:rsidRDefault="00EF15A7" w:rsidP="00EF15A7">
      <w:pPr>
        <w:pStyle w:val="ManualConsidrant"/>
        <w:rPr>
          <w:noProof/>
        </w:rPr>
      </w:pPr>
      <w:r w:rsidRPr="00EF15A7">
        <w:t>(6)</w:t>
      </w:r>
      <w:r w:rsidRPr="00EF15A7">
        <w:tab/>
      </w:r>
      <w:r w:rsidR="00532D88">
        <w:rPr>
          <w:noProof/>
        </w:rPr>
        <w:t>Visa applicants sh</w:t>
      </w:r>
      <w:r w:rsidR="006822D7">
        <w:rPr>
          <w:noProof/>
        </w:rPr>
        <w:t>o</w:t>
      </w:r>
      <w:r w:rsidR="00532D88">
        <w:rPr>
          <w:noProof/>
        </w:rPr>
        <w:t xml:space="preserve">uld be able to apply for a visa online through a single </w:t>
      </w:r>
      <w:r w:rsidR="0060550F">
        <w:rPr>
          <w:noProof/>
        </w:rPr>
        <w:t>EU platform</w:t>
      </w:r>
      <w:r w:rsidR="00532D88">
        <w:rPr>
          <w:noProof/>
        </w:rPr>
        <w:t xml:space="preserve">, regardless of </w:t>
      </w:r>
      <w:r w:rsidR="00B628BB">
        <w:rPr>
          <w:noProof/>
        </w:rPr>
        <w:t xml:space="preserve">the </w:t>
      </w:r>
      <w:r w:rsidR="00532D88">
        <w:rPr>
          <w:noProof/>
        </w:rPr>
        <w:t xml:space="preserve">Member State of destination. This tool should </w:t>
      </w:r>
      <w:r w:rsidR="007F0E90">
        <w:rPr>
          <w:noProof/>
        </w:rPr>
        <w:t xml:space="preserve">automatically </w:t>
      </w:r>
      <w:r w:rsidR="00532D88">
        <w:rPr>
          <w:noProof/>
        </w:rPr>
        <w:t>determine which Member State is competent to examine an application, in particular where the applicant intends to visit several Member States.</w:t>
      </w:r>
      <w:r w:rsidR="007F0E90">
        <w:rPr>
          <w:noProof/>
        </w:rPr>
        <w:t xml:space="preserve"> Member States will only need to check whether the tool determined the correct competent Member State.</w:t>
      </w:r>
      <w:r w:rsidR="00532D88">
        <w:rPr>
          <w:noProof/>
        </w:rPr>
        <w:t xml:space="preserve"> </w:t>
      </w:r>
    </w:p>
    <w:p w14:paraId="7541FA5E" w14:textId="5F174F02" w:rsidR="00532D88" w:rsidRPr="003451AC" w:rsidRDefault="00EF15A7" w:rsidP="00EF15A7">
      <w:pPr>
        <w:pStyle w:val="ManualConsidrant"/>
        <w:rPr>
          <w:noProof/>
        </w:rPr>
      </w:pPr>
      <w:r w:rsidRPr="00EF15A7">
        <w:t>(7)</w:t>
      </w:r>
      <w:r w:rsidRPr="00EF15A7">
        <w:tab/>
      </w:r>
      <w:r w:rsidR="00532D88">
        <w:rPr>
          <w:noProof/>
        </w:rPr>
        <w:t xml:space="preserve">The EU online application platform </w:t>
      </w:r>
      <w:r w:rsidR="00BF340B">
        <w:rPr>
          <w:noProof/>
        </w:rPr>
        <w:t xml:space="preserve">should </w:t>
      </w:r>
      <w:r w:rsidR="00532D88">
        <w:rPr>
          <w:noProof/>
        </w:rPr>
        <w:t xml:space="preserve">provide the applicant with up-to-date information on </w:t>
      </w:r>
      <w:r w:rsidR="00D007C2">
        <w:rPr>
          <w:noProof/>
        </w:rPr>
        <w:t xml:space="preserve">Schengen </w:t>
      </w:r>
      <w:r w:rsidR="00532D88">
        <w:rPr>
          <w:noProof/>
        </w:rPr>
        <w:t>short-stay visas</w:t>
      </w:r>
      <w:r w:rsidR="00C16927">
        <w:rPr>
          <w:noProof/>
        </w:rPr>
        <w:t xml:space="preserve"> and a guidance tool with which the applicant can find </w:t>
      </w:r>
      <w:r w:rsidR="00590308">
        <w:rPr>
          <w:noProof/>
        </w:rPr>
        <w:t>all the necessary information regarding the requirements and procedures, such as, but not limited to</w:t>
      </w:r>
      <w:r w:rsidR="00E10B61">
        <w:rPr>
          <w:noProof/>
        </w:rPr>
        <w:t>,</w:t>
      </w:r>
      <w:r w:rsidR="00C16927">
        <w:rPr>
          <w:noProof/>
        </w:rPr>
        <w:t xml:space="preserve"> </w:t>
      </w:r>
      <w:r w:rsidR="00E10B61">
        <w:rPr>
          <w:noProof/>
        </w:rPr>
        <w:t>whether</w:t>
      </w:r>
      <w:r w:rsidR="00C16927">
        <w:rPr>
          <w:noProof/>
        </w:rPr>
        <w:t xml:space="preserve"> </w:t>
      </w:r>
      <w:r w:rsidR="00590308">
        <w:rPr>
          <w:noProof/>
        </w:rPr>
        <w:t xml:space="preserve">a visa </w:t>
      </w:r>
      <w:r w:rsidR="00C16927">
        <w:rPr>
          <w:noProof/>
        </w:rPr>
        <w:t>is required</w:t>
      </w:r>
      <w:r w:rsidR="0060550F">
        <w:rPr>
          <w:noProof/>
        </w:rPr>
        <w:t xml:space="preserve"> and what type of visa</w:t>
      </w:r>
      <w:r w:rsidR="00532D88">
        <w:rPr>
          <w:noProof/>
        </w:rPr>
        <w:t xml:space="preserve">; </w:t>
      </w:r>
      <w:r w:rsidR="00CA6A5C">
        <w:rPr>
          <w:noProof/>
        </w:rPr>
        <w:t xml:space="preserve">the amount of the </w:t>
      </w:r>
      <w:r w:rsidR="00532D88">
        <w:rPr>
          <w:noProof/>
        </w:rPr>
        <w:t xml:space="preserve">visa fee; the Member State </w:t>
      </w:r>
      <w:r w:rsidR="00D007C2">
        <w:rPr>
          <w:noProof/>
        </w:rPr>
        <w:t xml:space="preserve">competent for </w:t>
      </w:r>
      <w:r w:rsidR="00C16927">
        <w:rPr>
          <w:noProof/>
        </w:rPr>
        <w:t>handling</w:t>
      </w:r>
      <w:r w:rsidR="00532D88">
        <w:rPr>
          <w:noProof/>
        </w:rPr>
        <w:t xml:space="preserve"> </w:t>
      </w:r>
      <w:r w:rsidR="00710486">
        <w:rPr>
          <w:noProof/>
        </w:rPr>
        <w:t xml:space="preserve">the </w:t>
      </w:r>
      <w:r w:rsidR="00D007C2">
        <w:rPr>
          <w:noProof/>
        </w:rPr>
        <w:t>application</w:t>
      </w:r>
      <w:r w:rsidR="00532D88">
        <w:rPr>
          <w:noProof/>
        </w:rPr>
        <w:t xml:space="preserve">; </w:t>
      </w:r>
      <w:r w:rsidR="00710486">
        <w:rPr>
          <w:noProof/>
        </w:rPr>
        <w:t>the</w:t>
      </w:r>
      <w:r w:rsidR="00532D88">
        <w:rPr>
          <w:noProof/>
        </w:rPr>
        <w:t xml:space="preserve"> supporting documents required; the need for an appointment to collect biometrics or the possibility to apply online without an appointment. </w:t>
      </w:r>
      <w:r w:rsidR="00710486">
        <w:rPr>
          <w:noProof/>
        </w:rPr>
        <w:t xml:space="preserve">The EU application platform </w:t>
      </w:r>
      <w:r w:rsidR="00DA01A4" w:rsidRPr="003451AC">
        <w:rPr>
          <w:noProof/>
        </w:rPr>
        <w:t>sh</w:t>
      </w:r>
      <w:r w:rsidR="00710486" w:rsidRPr="003451AC">
        <w:rPr>
          <w:noProof/>
        </w:rPr>
        <w:t xml:space="preserve">ould also allow </w:t>
      </w:r>
      <w:r w:rsidR="00532D88" w:rsidRPr="003451AC">
        <w:rPr>
          <w:noProof/>
        </w:rPr>
        <w:t xml:space="preserve">to establish a </w:t>
      </w:r>
      <w:r w:rsidR="00D007C2" w:rsidRPr="003451AC">
        <w:rPr>
          <w:noProof/>
        </w:rPr>
        <w:t xml:space="preserve">secure </w:t>
      </w:r>
      <w:r w:rsidR="00E10B61" w:rsidRPr="003451AC">
        <w:rPr>
          <w:noProof/>
        </w:rPr>
        <w:t xml:space="preserve">electronic </w:t>
      </w:r>
      <w:r w:rsidR="00532D88" w:rsidRPr="003451AC">
        <w:rPr>
          <w:noProof/>
        </w:rPr>
        <w:t xml:space="preserve">communication between the applicant and the </w:t>
      </w:r>
      <w:r w:rsidR="002335DF" w:rsidRPr="003451AC">
        <w:rPr>
          <w:noProof/>
        </w:rPr>
        <w:t>competent consulate or the central authorities of the competent Member State</w:t>
      </w:r>
      <w:r w:rsidR="00532D88" w:rsidRPr="003451AC">
        <w:rPr>
          <w:noProof/>
        </w:rPr>
        <w:t xml:space="preserve"> by electronic means, should additional documents or an interview be required. </w:t>
      </w:r>
    </w:p>
    <w:p w14:paraId="7F2EDBFC" w14:textId="5C846B5A" w:rsidR="00532D88" w:rsidRPr="003451AC" w:rsidRDefault="00EF15A7" w:rsidP="00EF15A7">
      <w:pPr>
        <w:pStyle w:val="ManualConsidrant"/>
        <w:rPr>
          <w:noProof/>
        </w:rPr>
      </w:pPr>
      <w:r w:rsidRPr="00EF15A7">
        <w:t>(8)</w:t>
      </w:r>
      <w:r w:rsidRPr="00EF15A7">
        <w:tab/>
      </w:r>
      <w:r w:rsidR="00532D88" w:rsidRPr="003451AC">
        <w:rPr>
          <w:noProof/>
        </w:rPr>
        <w:t>Visa applicants should be able to submit their application</w:t>
      </w:r>
      <w:r w:rsidR="007F0E90" w:rsidRPr="003451AC">
        <w:rPr>
          <w:noProof/>
        </w:rPr>
        <w:t>, provide data required in the application form, provide a scanned copy of the travel document,</w:t>
      </w:r>
      <w:r w:rsidR="00532D88" w:rsidRPr="003451AC">
        <w:rPr>
          <w:noProof/>
        </w:rPr>
        <w:t xml:space="preserve"> and </w:t>
      </w:r>
      <w:r w:rsidR="007F0E90" w:rsidRPr="003451AC">
        <w:rPr>
          <w:noProof/>
        </w:rPr>
        <w:t xml:space="preserve">provide </w:t>
      </w:r>
      <w:r w:rsidR="00532D88" w:rsidRPr="003451AC">
        <w:rPr>
          <w:noProof/>
        </w:rPr>
        <w:t>supporting documents</w:t>
      </w:r>
      <w:r w:rsidR="007F0E90" w:rsidRPr="003451AC">
        <w:rPr>
          <w:noProof/>
        </w:rPr>
        <w:t xml:space="preserve"> and travel medical insurance in digital format</w:t>
      </w:r>
      <w:r w:rsidR="00532D88" w:rsidRPr="003451AC" w:rsidDel="00FE0262">
        <w:rPr>
          <w:noProof/>
        </w:rPr>
        <w:t xml:space="preserve"> </w:t>
      </w:r>
      <w:r w:rsidR="00532D88" w:rsidRPr="003451AC">
        <w:rPr>
          <w:noProof/>
        </w:rPr>
        <w:t xml:space="preserve">through the </w:t>
      </w:r>
      <w:r w:rsidR="00BD0E74" w:rsidRPr="003451AC">
        <w:rPr>
          <w:noProof/>
          <w:color w:val="000000"/>
        </w:rPr>
        <w:t xml:space="preserve">EU </w:t>
      </w:r>
      <w:r w:rsidR="00532D88" w:rsidRPr="003451AC">
        <w:rPr>
          <w:noProof/>
        </w:rPr>
        <w:t xml:space="preserve">application platform. In order to enable applicants to save information relating to their application, the online application </w:t>
      </w:r>
      <w:r w:rsidR="00B02FE1" w:rsidRPr="003451AC">
        <w:rPr>
          <w:noProof/>
        </w:rPr>
        <w:t xml:space="preserve">platform </w:t>
      </w:r>
      <w:r w:rsidR="00532D88" w:rsidRPr="003451AC">
        <w:rPr>
          <w:noProof/>
        </w:rPr>
        <w:t>should be able to store data temporarily. Once the applicant has submitted the online application</w:t>
      </w:r>
      <w:r w:rsidR="00651473" w:rsidRPr="003451AC">
        <w:rPr>
          <w:noProof/>
        </w:rPr>
        <w:t xml:space="preserve"> and the Member States perform the appropriate checks</w:t>
      </w:r>
      <w:r w:rsidR="00532D88" w:rsidRPr="003451AC">
        <w:rPr>
          <w:noProof/>
        </w:rPr>
        <w:t xml:space="preserve">, the application file </w:t>
      </w:r>
      <w:r w:rsidR="007F0E90" w:rsidRPr="003451AC">
        <w:rPr>
          <w:noProof/>
        </w:rPr>
        <w:t>will be</w:t>
      </w:r>
      <w:r w:rsidR="00532D88" w:rsidRPr="003451AC">
        <w:rPr>
          <w:noProof/>
        </w:rPr>
        <w:t xml:space="preserve"> transferred to the national system of the </w:t>
      </w:r>
      <w:r w:rsidR="00590308" w:rsidRPr="003451AC">
        <w:rPr>
          <w:noProof/>
        </w:rPr>
        <w:t xml:space="preserve">competent </w:t>
      </w:r>
      <w:r w:rsidR="00532D88" w:rsidRPr="003451AC">
        <w:rPr>
          <w:noProof/>
        </w:rPr>
        <w:t>Member State</w:t>
      </w:r>
      <w:r w:rsidR="007F0E90" w:rsidRPr="003451AC">
        <w:rPr>
          <w:noProof/>
        </w:rPr>
        <w:t xml:space="preserve"> and stored there</w:t>
      </w:r>
      <w:r w:rsidR="00532D88" w:rsidRPr="003451AC">
        <w:rPr>
          <w:noProof/>
        </w:rPr>
        <w:t xml:space="preserve">. Consulates would consult the information stored at a national level and push </w:t>
      </w:r>
      <w:r w:rsidR="007F0E90" w:rsidRPr="003451AC">
        <w:rPr>
          <w:noProof/>
        </w:rPr>
        <w:t xml:space="preserve">only </w:t>
      </w:r>
      <w:r w:rsidR="00532D88" w:rsidRPr="003451AC">
        <w:rPr>
          <w:noProof/>
        </w:rPr>
        <w:t>the</w:t>
      </w:r>
      <w:r w:rsidR="002C77D4" w:rsidRPr="003451AC">
        <w:rPr>
          <w:noProof/>
        </w:rPr>
        <w:t xml:space="preserve"> required</w:t>
      </w:r>
      <w:r w:rsidR="00532D88" w:rsidRPr="003451AC">
        <w:rPr>
          <w:noProof/>
        </w:rPr>
        <w:t xml:space="preserve"> data to the central VIS.</w:t>
      </w:r>
      <w:r w:rsidR="00CC3B2C" w:rsidRPr="003451AC">
        <w:rPr>
          <w:i/>
          <w:noProof/>
        </w:rPr>
        <w:t xml:space="preserve"> </w:t>
      </w:r>
    </w:p>
    <w:p w14:paraId="43BA4BDB" w14:textId="69BEEC84" w:rsidR="00532D88" w:rsidRPr="003451AC" w:rsidRDefault="00EF15A7" w:rsidP="00EF15A7">
      <w:pPr>
        <w:pStyle w:val="ManualConsidrant"/>
        <w:rPr>
          <w:noProof/>
        </w:rPr>
      </w:pPr>
      <w:r w:rsidRPr="00EF15A7">
        <w:t>(9)</w:t>
      </w:r>
      <w:r w:rsidRPr="00EF15A7">
        <w:tab/>
      </w:r>
      <w:r w:rsidR="000C1E0B" w:rsidRPr="003451AC">
        <w:rPr>
          <w:noProof/>
        </w:rPr>
        <w:t xml:space="preserve"> </w:t>
      </w:r>
      <w:r w:rsidR="007F0E90" w:rsidRPr="003451AC">
        <w:rPr>
          <w:noProof/>
        </w:rPr>
        <w:t xml:space="preserve">Appearing in person at </w:t>
      </w:r>
      <w:r w:rsidR="00532D88" w:rsidRPr="003451AC">
        <w:rPr>
          <w:noProof/>
        </w:rPr>
        <w:t>the consulate or external service provider</w:t>
      </w:r>
      <w:r w:rsidR="000C1E0B" w:rsidRPr="003451AC">
        <w:rPr>
          <w:noProof/>
        </w:rPr>
        <w:t xml:space="preserve"> </w:t>
      </w:r>
      <w:r w:rsidR="00A5575F" w:rsidRPr="003451AC">
        <w:rPr>
          <w:noProof/>
        </w:rPr>
        <w:t>should</w:t>
      </w:r>
      <w:r w:rsidR="007F0E90" w:rsidRPr="003451AC">
        <w:rPr>
          <w:noProof/>
        </w:rPr>
        <w:t>, in principle,</w:t>
      </w:r>
      <w:r w:rsidR="00532D88" w:rsidRPr="003451AC">
        <w:rPr>
          <w:noProof/>
        </w:rPr>
        <w:t xml:space="preserve"> be mandatory only for first time applicants and applicants who have acquired a new travel document</w:t>
      </w:r>
      <w:r w:rsidR="007F0E90" w:rsidRPr="003451AC">
        <w:rPr>
          <w:noProof/>
        </w:rPr>
        <w:t>, which needs to be verified, and</w:t>
      </w:r>
      <w:r w:rsidR="00532D88" w:rsidRPr="003451AC">
        <w:rPr>
          <w:noProof/>
        </w:rPr>
        <w:t xml:space="preserve"> for the collection of biometric identifiers. </w:t>
      </w:r>
    </w:p>
    <w:p w14:paraId="5CFCED65" w14:textId="611B2748" w:rsidR="00532D88" w:rsidRPr="003451AC" w:rsidRDefault="00EF15A7" w:rsidP="00EF15A7">
      <w:pPr>
        <w:pStyle w:val="ManualConsidrant"/>
        <w:rPr>
          <w:noProof/>
        </w:rPr>
      </w:pPr>
      <w:r w:rsidRPr="00EF15A7">
        <w:t>(10)</w:t>
      </w:r>
      <w:r w:rsidRPr="00EF15A7">
        <w:tab/>
      </w:r>
      <w:r w:rsidR="00532D88" w:rsidRPr="003451AC">
        <w:rPr>
          <w:noProof/>
        </w:rPr>
        <w:t>Repeat applicants should be able to apply fully online within a period of 59 months after their initial successful application provided that they apply with the same travel document. Once this period of time has elapsed, biometrics should be collected again</w:t>
      </w:r>
      <w:r w:rsidR="00E10B61" w:rsidRPr="003451AC">
        <w:rPr>
          <w:noProof/>
        </w:rPr>
        <w:t xml:space="preserve">, as </w:t>
      </w:r>
      <w:r w:rsidR="00B45EDE" w:rsidRPr="003451AC">
        <w:rPr>
          <w:noProof/>
        </w:rPr>
        <w:t>referred to in</w:t>
      </w:r>
      <w:r w:rsidR="00E10B61" w:rsidRPr="003451AC">
        <w:rPr>
          <w:noProof/>
        </w:rPr>
        <w:t xml:space="preserve"> Regulation (EC) No 810/2009</w:t>
      </w:r>
      <w:r w:rsidR="00B45EDE" w:rsidRPr="003451AC">
        <w:rPr>
          <w:noProof/>
        </w:rPr>
        <w:t>,</w:t>
      </w:r>
      <w:r w:rsidR="00E10B61" w:rsidRPr="003451AC">
        <w:rPr>
          <w:noProof/>
        </w:rPr>
        <w:t xml:space="preserve"> </w:t>
      </w:r>
      <w:r w:rsidR="00B45EDE" w:rsidRPr="003451AC">
        <w:rPr>
          <w:noProof/>
        </w:rPr>
        <w:t>under which</w:t>
      </w:r>
      <w:r w:rsidR="00E10B61" w:rsidRPr="003451AC">
        <w:rPr>
          <w:noProof/>
        </w:rPr>
        <w:t xml:space="preserve"> biometric data are, in principle, to be collected every 59 months, starting from the date of the first collection</w:t>
      </w:r>
      <w:r w:rsidR="00532D88" w:rsidRPr="003451AC">
        <w:rPr>
          <w:noProof/>
        </w:rPr>
        <w:t xml:space="preserve">. </w:t>
      </w:r>
    </w:p>
    <w:p w14:paraId="6E2C178D" w14:textId="2F440FB4" w:rsidR="001B10F0" w:rsidRPr="003451AC" w:rsidRDefault="00EF15A7" w:rsidP="00EF15A7">
      <w:pPr>
        <w:pStyle w:val="ManualConsidrant"/>
        <w:rPr>
          <w:noProof/>
        </w:rPr>
      </w:pPr>
      <w:bookmarkStart w:id="4" w:name="_Hlk101204289"/>
      <w:r w:rsidRPr="00EF15A7">
        <w:t>(11)</w:t>
      </w:r>
      <w:r w:rsidRPr="00EF15A7">
        <w:tab/>
      </w:r>
      <w:r w:rsidR="00532D88" w:rsidRPr="003451AC">
        <w:rPr>
          <w:noProof/>
        </w:rPr>
        <w:t>Specific provisions apply to third</w:t>
      </w:r>
      <w:r w:rsidR="009328B5" w:rsidRPr="003451AC">
        <w:rPr>
          <w:noProof/>
        </w:rPr>
        <w:t>-</w:t>
      </w:r>
      <w:r w:rsidR="00532D88" w:rsidRPr="003451AC">
        <w:rPr>
          <w:noProof/>
        </w:rPr>
        <w:t xml:space="preserve">country nationals subject to </w:t>
      </w:r>
      <w:r w:rsidR="00B15FE9" w:rsidRPr="003451AC">
        <w:rPr>
          <w:noProof/>
        </w:rPr>
        <w:t xml:space="preserve">a </w:t>
      </w:r>
      <w:r w:rsidR="00532D88" w:rsidRPr="003451AC">
        <w:rPr>
          <w:noProof/>
        </w:rPr>
        <w:t xml:space="preserve">visa requirement, who are family members of citizens of the Union </w:t>
      </w:r>
      <w:r w:rsidR="003B1D4B" w:rsidRPr="003451AC">
        <w:rPr>
          <w:noProof/>
        </w:rPr>
        <w:t xml:space="preserve">to whom Directive 2004/38/EC </w:t>
      </w:r>
      <w:r w:rsidR="0068480E" w:rsidRPr="003451AC">
        <w:rPr>
          <w:noProof/>
        </w:rPr>
        <w:t>of the</w:t>
      </w:r>
      <w:r w:rsidR="0068480E">
        <w:rPr>
          <w:noProof/>
        </w:rPr>
        <w:t xml:space="preserve"> European Parliament and of the Council</w:t>
      </w:r>
      <w:r w:rsidR="0068480E">
        <w:rPr>
          <w:rStyle w:val="FootnoteReference"/>
          <w:noProof/>
        </w:rPr>
        <w:footnoteReference w:id="48"/>
      </w:r>
      <w:r w:rsidR="0068480E" w:rsidRPr="003B1D4B">
        <w:rPr>
          <w:noProof/>
        </w:rPr>
        <w:t xml:space="preserve"> </w:t>
      </w:r>
      <w:r w:rsidR="003B1D4B" w:rsidRPr="003B1D4B">
        <w:rPr>
          <w:noProof/>
        </w:rPr>
        <w:t>applies or of third-country national</w:t>
      </w:r>
      <w:r w:rsidR="0041622E">
        <w:rPr>
          <w:noProof/>
        </w:rPr>
        <w:t>s</w:t>
      </w:r>
      <w:r w:rsidR="003B1D4B" w:rsidRPr="003B1D4B">
        <w:rPr>
          <w:noProof/>
        </w:rPr>
        <w:t xml:space="preserve"> enjoying the right of free movement </w:t>
      </w:r>
      <w:r w:rsidR="006B2079" w:rsidRPr="006B2079">
        <w:rPr>
          <w:noProof/>
        </w:rPr>
        <w:t xml:space="preserve">equivalent to that of Union citizens under an </w:t>
      </w:r>
      <w:r w:rsidR="006B2079" w:rsidRPr="003451AC">
        <w:rPr>
          <w:noProof/>
        </w:rPr>
        <w:t>agreement between the Union and its Member States</w:t>
      </w:r>
      <w:r w:rsidR="00486248" w:rsidRPr="003451AC">
        <w:rPr>
          <w:noProof/>
        </w:rPr>
        <w:t>,</w:t>
      </w:r>
      <w:r w:rsidR="006B2079" w:rsidRPr="003451AC">
        <w:rPr>
          <w:noProof/>
        </w:rPr>
        <w:t xml:space="preserve"> on the one hand</w:t>
      </w:r>
      <w:r w:rsidR="00486248" w:rsidRPr="003451AC">
        <w:rPr>
          <w:noProof/>
        </w:rPr>
        <w:t>,</w:t>
      </w:r>
      <w:r w:rsidR="006B2079" w:rsidRPr="003451AC">
        <w:rPr>
          <w:noProof/>
        </w:rPr>
        <w:t xml:space="preserve"> and a third country</w:t>
      </w:r>
      <w:r w:rsidR="00486248" w:rsidRPr="003451AC">
        <w:rPr>
          <w:noProof/>
        </w:rPr>
        <w:t>,</w:t>
      </w:r>
      <w:r w:rsidR="006B2079" w:rsidRPr="003451AC">
        <w:rPr>
          <w:noProof/>
        </w:rPr>
        <w:t xml:space="preserve"> on the other</w:t>
      </w:r>
      <w:r w:rsidR="00486248" w:rsidRPr="003451AC">
        <w:rPr>
          <w:noProof/>
        </w:rPr>
        <w:t>,</w:t>
      </w:r>
      <w:r w:rsidR="006B2079" w:rsidRPr="003451AC">
        <w:rPr>
          <w:noProof/>
        </w:rPr>
        <w:t xml:space="preserve"> and who do not hold a residence card pursuant to Directive 2004/38</w:t>
      </w:r>
      <w:r w:rsidR="00B15FE9" w:rsidRPr="003451AC">
        <w:rPr>
          <w:noProof/>
        </w:rPr>
        <w:t>/EU</w:t>
      </w:r>
      <w:r w:rsidR="003B1D4B" w:rsidRPr="003451AC">
        <w:rPr>
          <w:noProof/>
        </w:rPr>
        <w:t>,</w:t>
      </w:r>
      <w:r w:rsidR="00532D88" w:rsidRPr="003451AC">
        <w:rPr>
          <w:noProof/>
        </w:rPr>
        <w:t xml:space="preserve"> or</w:t>
      </w:r>
      <w:r w:rsidR="001B10F0" w:rsidRPr="003451AC">
        <w:rPr>
          <w:noProof/>
        </w:rPr>
        <w:t xml:space="preserve"> of UK nationals who are beneficiaries of the Agreement</w:t>
      </w:r>
      <w:r w:rsidR="00876AED" w:rsidRPr="003451AC">
        <w:rPr>
          <w:noProof/>
        </w:rPr>
        <w:t xml:space="preserve"> on the withdrawal of the United Kingdom of Great Britain and Northern Ireland from the European Union and the European Atomic Energy Community</w:t>
      </w:r>
      <w:r w:rsidR="001B10F0" w:rsidRPr="003451AC">
        <w:rPr>
          <w:rStyle w:val="FootnoteReference"/>
          <w:noProof/>
        </w:rPr>
        <w:footnoteReference w:id="49"/>
      </w:r>
      <w:r w:rsidR="001B10F0" w:rsidRPr="003451AC">
        <w:rPr>
          <w:noProof/>
        </w:rPr>
        <w:t xml:space="preserve"> </w:t>
      </w:r>
      <w:r w:rsidR="00953C7C" w:rsidRPr="003451AC">
        <w:rPr>
          <w:noProof/>
        </w:rPr>
        <w:t xml:space="preserve">(EU-UK Withdrawal Agreement) </w:t>
      </w:r>
      <w:r w:rsidR="001B10F0" w:rsidRPr="003451AC">
        <w:rPr>
          <w:noProof/>
        </w:rPr>
        <w:t>in relation to their host State</w:t>
      </w:r>
      <w:r w:rsidR="00987A53">
        <w:rPr>
          <w:noProof/>
        </w:rPr>
        <w:t>, and</w:t>
      </w:r>
      <w:r w:rsidR="001B10F0" w:rsidRPr="003451AC">
        <w:rPr>
          <w:noProof/>
        </w:rPr>
        <w:t xml:space="preserve"> who do not hold a </w:t>
      </w:r>
      <w:r w:rsidR="00953C7C" w:rsidRPr="003451AC">
        <w:rPr>
          <w:noProof/>
        </w:rPr>
        <w:t xml:space="preserve">EU-UK </w:t>
      </w:r>
      <w:r w:rsidR="001B10F0" w:rsidRPr="003451AC">
        <w:rPr>
          <w:noProof/>
        </w:rPr>
        <w:t>Withdrawal Agreement residence document.</w:t>
      </w:r>
    </w:p>
    <w:p w14:paraId="2C907096" w14:textId="3EC539B8" w:rsidR="001B10F0" w:rsidRPr="003451AC" w:rsidRDefault="00EF15A7" w:rsidP="00EF15A7">
      <w:pPr>
        <w:pStyle w:val="ManualConsidrant"/>
        <w:rPr>
          <w:noProof/>
        </w:rPr>
      </w:pPr>
      <w:r w:rsidRPr="00EF15A7">
        <w:t>(12)</w:t>
      </w:r>
      <w:r w:rsidRPr="00EF15A7">
        <w:tab/>
      </w:r>
      <w:r w:rsidR="00B56CFA" w:rsidRPr="00180F0D">
        <w:rPr>
          <w:noProof/>
        </w:rPr>
        <w:t xml:space="preserve">Article 21(1) of the Treaty on the Functioning of the European Union stipulates that every citizen of the Union shall have the right to move and reside freely within the territory of the Member States, subject to the limitations and conditions laid down in the Treaties and by the measures adopted to give them effect. The respective limitations and conditions are to be found in Directive 2004/38/EC. </w:t>
      </w:r>
      <w:r w:rsidR="00A84633" w:rsidRPr="00A84633">
        <w:rPr>
          <w:noProof/>
        </w:rPr>
        <w:t>As confirmed by the Court of Justice of the European Union, family mem</w:t>
      </w:r>
      <w:r w:rsidR="00A84633">
        <w:rPr>
          <w:noProof/>
        </w:rPr>
        <w:t xml:space="preserve">bers referred to under recital 11 </w:t>
      </w:r>
      <w:r w:rsidR="001B10F0" w:rsidRPr="003451AC">
        <w:rPr>
          <w:noProof/>
        </w:rPr>
        <w:t>have not only the right to enter the territory of the Member State but also to obtain an entry visa for that purpose. Member States must grant such persons every facility to obtain the necessary visas which must be issued free of charge as soon as possible and on the basis of an accelerated procedure and with due regards to</w:t>
      </w:r>
      <w:r w:rsidR="001B10F0" w:rsidRPr="00A5575F">
        <w:rPr>
          <w:noProof/>
        </w:rPr>
        <w:t xml:space="preserve"> the procedural safeguards that apply to them. Against this background</w:t>
      </w:r>
      <w:r w:rsidR="001B10F0" w:rsidRPr="009744F7">
        <w:rPr>
          <w:noProof/>
        </w:rPr>
        <w:t xml:space="preserve">, </w:t>
      </w:r>
      <w:r w:rsidR="00A175F7">
        <w:rPr>
          <w:noProof/>
        </w:rPr>
        <w:t>in particular</w:t>
      </w:r>
      <w:r w:rsidR="001B10F0" w:rsidRPr="00A5575F">
        <w:rPr>
          <w:noProof/>
        </w:rPr>
        <w:t xml:space="preserve">, such family members should be entitled to lodge their visa application, their application for a confirmation of </w:t>
      </w:r>
      <w:r w:rsidR="00DD0414">
        <w:rPr>
          <w:noProof/>
        </w:rPr>
        <w:t xml:space="preserve">a </w:t>
      </w:r>
      <w:r w:rsidR="001B10F0" w:rsidRPr="00A5575F">
        <w:rPr>
          <w:noProof/>
        </w:rPr>
        <w:t>valid visa in a new travel document or their application for the extension of their visa without using the EU application platform</w:t>
      </w:r>
      <w:r w:rsidR="004A6E62">
        <w:rPr>
          <w:noProof/>
        </w:rPr>
        <w:t>,</w:t>
      </w:r>
      <w:r w:rsidR="00B56CFA">
        <w:rPr>
          <w:noProof/>
        </w:rPr>
        <w:t xml:space="preserve"> </w:t>
      </w:r>
      <w:r w:rsidR="002255CA">
        <w:rPr>
          <w:noProof/>
        </w:rPr>
        <w:t>as</w:t>
      </w:r>
      <w:r w:rsidR="00B56CFA" w:rsidRPr="00B56CFA">
        <w:rPr>
          <w:noProof/>
        </w:rPr>
        <w:t xml:space="preserve"> this</w:t>
      </w:r>
      <w:r w:rsidR="002255CA">
        <w:rPr>
          <w:noProof/>
        </w:rPr>
        <w:t xml:space="preserve"> may</w:t>
      </w:r>
      <w:r w:rsidR="00B56CFA" w:rsidRPr="00B56CFA">
        <w:rPr>
          <w:noProof/>
        </w:rPr>
        <w:t xml:space="preserve"> fa</w:t>
      </w:r>
      <w:r w:rsidR="002255CA">
        <w:rPr>
          <w:noProof/>
        </w:rPr>
        <w:t>cilitate</w:t>
      </w:r>
      <w:r w:rsidR="00B56CFA" w:rsidRPr="00B56CFA">
        <w:rPr>
          <w:noProof/>
        </w:rPr>
        <w:t xml:space="preserve"> their </w:t>
      </w:r>
      <w:r w:rsidR="004814CF">
        <w:rPr>
          <w:noProof/>
        </w:rPr>
        <w:t xml:space="preserve">visa </w:t>
      </w:r>
      <w:r w:rsidR="00B56CFA" w:rsidRPr="00B56CFA">
        <w:rPr>
          <w:noProof/>
        </w:rPr>
        <w:t>application</w:t>
      </w:r>
      <w:r w:rsidR="001B10F0" w:rsidRPr="00A5575F">
        <w:rPr>
          <w:noProof/>
        </w:rPr>
        <w:t xml:space="preserve">. In such a case, they should </w:t>
      </w:r>
      <w:r w:rsidR="00136534" w:rsidRPr="0083129A">
        <w:rPr>
          <w:noProof/>
        </w:rPr>
        <w:t xml:space="preserve">be entitled </w:t>
      </w:r>
      <w:r w:rsidR="001B10F0" w:rsidRPr="00A5575F">
        <w:rPr>
          <w:noProof/>
        </w:rPr>
        <w:t xml:space="preserve">to </w:t>
      </w:r>
      <w:r w:rsidR="00AD3E72">
        <w:rPr>
          <w:noProof/>
        </w:rPr>
        <w:t xml:space="preserve">choose to </w:t>
      </w:r>
      <w:r w:rsidR="001B10F0" w:rsidRPr="00A5575F">
        <w:rPr>
          <w:noProof/>
        </w:rPr>
        <w:t>lodge their applications in person at the consulate or at the external service providers</w:t>
      </w:r>
      <w:r w:rsidR="00A84633" w:rsidRPr="00A84633">
        <w:rPr>
          <w:noProof/>
        </w:rPr>
        <w:t>.</w:t>
      </w:r>
      <w:r w:rsidR="00A84633">
        <w:rPr>
          <w:noProof/>
        </w:rPr>
        <w:t xml:space="preserve"> </w:t>
      </w:r>
      <w:r w:rsidR="009938C3">
        <w:rPr>
          <w:noProof/>
        </w:rPr>
        <w:t xml:space="preserve">In addition, the EU online visa application platform should fully take into account the rights and facilitations granted to </w:t>
      </w:r>
      <w:r w:rsidR="009938C3" w:rsidRPr="003451AC">
        <w:rPr>
          <w:noProof/>
        </w:rPr>
        <w:t xml:space="preserve">the beneficiaries of the free movement </w:t>
      </w:r>
      <w:r w:rsidR="009938C3" w:rsidRPr="003451AC">
        <w:rPr>
          <w:i/>
          <w:noProof/>
        </w:rPr>
        <w:t>acquis</w:t>
      </w:r>
      <w:r w:rsidR="009938C3" w:rsidRPr="003451AC">
        <w:rPr>
          <w:noProof/>
        </w:rPr>
        <w:t>.</w:t>
      </w:r>
      <w:r w:rsidR="001B10F0" w:rsidRPr="003451AC">
        <w:rPr>
          <w:noProof/>
        </w:rPr>
        <w:t xml:space="preserve"> </w:t>
      </w:r>
      <w:bookmarkStart w:id="5" w:name="_Hlk101204111"/>
      <w:r w:rsidR="001B10F0" w:rsidRPr="003451AC">
        <w:rPr>
          <w:noProof/>
        </w:rPr>
        <w:t>The same applies with regard to family members of UK nationals who are beneficiaries of the EU-UK Withdrawal Agreement in relation to their host State</w:t>
      </w:r>
      <w:r w:rsidR="00FB4DC5" w:rsidRPr="003451AC">
        <w:rPr>
          <w:noProof/>
        </w:rPr>
        <w:t>, by virtue of Article 14(3) of the EU-UK Withdrawal Agreement</w:t>
      </w:r>
      <w:bookmarkEnd w:id="4"/>
      <w:r w:rsidR="00FA7EE3" w:rsidRPr="003451AC">
        <w:rPr>
          <w:noProof/>
        </w:rPr>
        <w:t>.</w:t>
      </w:r>
      <w:r w:rsidR="00A5575F" w:rsidRPr="003451AC">
        <w:rPr>
          <w:noProof/>
        </w:rPr>
        <w:t xml:space="preserve"> </w:t>
      </w:r>
    </w:p>
    <w:bookmarkEnd w:id="5"/>
    <w:p w14:paraId="3C3C07C7" w14:textId="7059C41B" w:rsidR="00532D88" w:rsidRDefault="00EF15A7" w:rsidP="00EF15A7">
      <w:pPr>
        <w:pStyle w:val="ManualConsidrant"/>
        <w:rPr>
          <w:noProof/>
        </w:rPr>
      </w:pPr>
      <w:r w:rsidRPr="00EF15A7">
        <w:t>(13)</w:t>
      </w:r>
      <w:r w:rsidRPr="00EF15A7">
        <w:tab/>
      </w:r>
      <w:r w:rsidR="00A5575F">
        <w:rPr>
          <w:noProof/>
        </w:rPr>
        <w:t xml:space="preserve">Special </w:t>
      </w:r>
      <w:r w:rsidR="001B10F0">
        <w:rPr>
          <w:noProof/>
        </w:rPr>
        <w:t>provision</w:t>
      </w:r>
      <w:r w:rsidR="00B02FE1">
        <w:rPr>
          <w:noProof/>
        </w:rPr>
        <w:t>s</w:t>
      </w:r>
      <w:r w:rsidR="001B10F0">
        <w:rPr>
          <w:noProof/>
        </w:rPr>
        <w:t xml:space="preserve"> should apply </w:t>
      </w:r>
      <w:r w:rsidR="00532D88">
        <w:rPr>
          <w:noProof/>
        </w:rPr>
        <w:t xml:space="preserve">in individual cases because of humanitarian reasons or </w:t>
      </w:r>
      <w:r w:rsidR="0041622E">
        <w:rPr>
          <w:noProof/>
        </w:rPr>
        <w:t>to H</w:t>
      </w:r>
      <w:r w:rsidR="00532D88">
        <w:rPr>
          <w:noProof/>
        </w:rPr>
        <w:t>eads of State or government and members of a national government with accompanying spouses, and the members of their official delegation when they are invited by Member States’ governments or by international organisations for an official purpose, sovereigns and other senior members of a royal family, when they are invited by Member States’ governments or by international organisations for an official purpose.</w:t>
      </w:r>
      <w:r w:rsidR="00AD6B91" w:rsidRPr="00AD6B91">
        <w:rPr>
          <w:noProof/>
          <w:highlight w:val="yellow"/>
        </w:rPr>
        <w:t xml:space="preserve"> </w:t>
      </w:r>
    </w:p>
    <w:p w14:paraId="66033C9A" w14:textId="77436A81" w:rsidR="006D305A" w:rsidRDefault="00EF15A7" w:rsidP="00EF15A7">
      <w:pPr>
        <w:pStyle w:val="ManualConsidrant"/>
        <w:rPr>
          <w:noProof/>
        </w:rPr>
      </w:pPr>
      <w:r w:rsidRPr="00EF15A7">
        <w:t>(14)</w:t>
      </w:r>
      <w:r w:rsidRPr="00EF15A7">
        <w:tab/>
      </w:r>
      <w:r w:rsidR="00A5575F">
        <w:rPr>
          <w:noProof/>
        </w:rPr>
        <w:t xml:space="preserve">Special </w:t>
      </w:r>
      <w:r w:rsidR="00E17BC2">
        <w:rPr>
          <w:noProof/>
        </w:rPr>
        <w:t>provision</w:t>
      </w:r>
      <w:r w:rsidR="00A5575F">
        <w:rPr>
          <w:noProof/>
        </w:rPr>
        <w:t>s</w:t>
      </w:r>
      <w:r w:rsidR="00E17BC2">
        <w:rPr>
          <w:noProof/>
        </w:rPr>
        <w:t xml:space="preserve"> which should apply in individual cases because of humanitarian reasons could cover digital </w:t>
      </w:r>
      <w:r w:rsidR="006D305A">
        <w:rPr>
          <w:noProof/>
        </w:rPr>
        <w:t>accessibility</w:t>
      </w:r>
      <w:r w:rsidR="00E17BC2">
        <w:rPr>
          <w:noProof/>
        </w:rPr>
        <w:t xml:space="preserve"> issues</w:t>
      </w:r>
    </w:p>
    <w:p w14:paraId="2538BB96" w14:textId="2ACF8C3B" w:rsidR="00532D88" w:rsidRDefault="00EF15A7" w:rsidP="00EF15A7">
      <w:pPr>
        <w:pStyle w:val="ManualConsidrant"/>
        <w:rPr>
          <w:noProof/>
        </w:rPr>
      </w:pPr>
      <w:r w:rsidRPr="00EF15A7">
        <w:t>(15)</w:t>
      </w:r>
      <w:r w:rsidRPr="00EF15A7">
        <w:tab/>
      </w:r>
      <w:r w:rsidR="00532D88" w:rsidRPr="00F500F6">
        <w:rPr>
          <w:noProof/>
        </w:rPr>
        <w:t xml:space="preserve">A third party authorised by the </w:t>
      </w:r>
      <w:r w:rsidR="00532D88">
        <w:rPr>
          <w:noProof/>
        </w:rPr>
        <w:t>visa applicant</w:t>
      </w:r>
      <w:r w:rsidR="00532D88" w:rsidRPr="00F500F6">
        <w:rPr>
          <w:noProof/>
        </w:rPr>
        <w:t xml:space="preserve"> or </w:t>
      </w:r>
      <w:r w:rsidR="00E051FF">
        <w:rPr>
          <w:noProof/>
        </w:rPr>
        <w:t>empowered by law to represent them</w:t>
      </w:r>
      <w:r w:rsidR="00532D88" w:rsidRPr="00F500F6">
        <w:rPr>
          <w:noProof/>
        </w:rPr>
        <w:t xml:space="preserve">  should be able to lodge </w:t>
      </w:r>
      <w:r w:rsidR="00B15FE9">
        <w:rPr>
          <w:noProof/>
        </w:rPr>
        <w:t xml:space="preserve">an </w:t>
      </w:r>
      <w:r w:rsidR="00532D88" w:rsidRPr="00F500F6">
        <w:rPr>
          <w:noProof/>
        </w:rPr>
        <w:t xml:space="preserve">application on </w:t>
      </w:r>
      <w:r w:rsidR="000C1E0B">
        <w:rPr>
          <w:noProof/>
        </w:rPr>
        <w:t>their</w:t>
      </w:r>
      <w:r w:rsidR="00532D88" w:rsidRPr="00F500F6">
        <w:rPr>
          <w:noProof/>
        </w:rPr>
        <w:t xml:space="preserve"> behalf, provided this person’s identity is included in the application form.</w:t>
      </w:r>
      <w:r w:rsidR="000C1E0B">
        <w:rPr>
          <w:noProof/>
        </w:rPr>
        <w:t xml:space="preserve"> </w:t>
      </w:r>
      <w:r w:rsidR="00532D88">
        <w:rPr>
          <w:noProof/>
        </w:rPr>
        <w:t>It should be possible for travellers to authorise commercial intermediaries to create and submit an application on their behalf.</w:t>
      </w:r>
    </w:p>
    <w:p w14:paraId="0C812297" w14:textId="78E6015F" w:rsidR="00532D88" w:rsidRPr="00EC0933" w:rsidRDefault="00EF15A7" w:rsidP="00EF15A7">
      <w:pPr>
        <w:pStyle w:val="ManualConsidrant"/>
        <w:rPr>
          <w:i/>
          <w:noProof/>
        </w:rPr>
      </w:pPr>
      <w:r w:rsidRPr="00EF15A7">
        <w:t>(16)</w:t>
      </w:r>
      <w:r w:rsidRPr="00EF15A7">
        <w:tab/>
      </w:r>
      <w:r w:rsidR="00532D88">
        <w:rPr>
          <w:noProof/>
        </w:rPr>
        <w:t>Each applicant should</w:t>
      </w:r>
      <w:r w:rsidR="00532D88" w:rsidRPr="00F24B43">
        <w:rPr>
          <w:noProof/>
        </w:rPr>
        <w:t xml:space="preserve"> submit a completed application form </w:t>
      </w:r>
      <w:r w:rsidR="007B31C1">
        <w:rPr>
          <w:noProof/>
        </w:rPr>
        <w:t>using the EU application platform,</w:t>
      </w:r>
      <w:r w:rsidR="00532D88" w:rsidRPr="00F24B43">
        <w:rPr>
          <w:noProof/>
        </w:rPr>
        <w:t xml:space="preserve"> including a declaration of the authenticity, completeness, correctness and reliability of the data submitted and a declaration of the veracity and reliability of the statements made. Each applicant sh</w:t>
      </w:r>
      <w:r w:rsidR="00532D88">
        <w:rPr>
          <w:noProof/>
        </w:rPr>
        <w:t>ould</w:t>
      </w:r>
      <w:r w:rsidR="00532D88" w:rsidRPr="00F24B43">
        <w:rPr>
          <w:noProof/>
        </w:rPr>
        <w:t xml:space="preserve"> also state that </w:t>
      </w:r>
      <w:r w:rsidR="00912B24">
        <w:rPr>
          <w:noProof/>
        </w:rPr>
        <w:t xml:space="preserve">they have </w:t>
      </w:r>
      <w:r w:rsidR="00532D88" w:rsidRPr="00F24B43">
        <w:rPr>
          <w:noProof/>
        </w:rPr>
        <w:t>understood the conditions for entry referred to in Regulation (EU) 2016/399</w:t>
      </w:r>
      <w:r w:rsidR="00532D88">
        <w:rPr>
          <w:noProof/>
        </w:rPr>
        <w:t xml:space="preserve"> </w:t>
      </w:r>
      <w:r w:rsidR="00532D88" w:rsidRPr="00DF7025">
        <w:rPr>
          <w:noProof/>
        </w:rPr>
        <w:t>of the Europea</w:t>
      </w:r>
      <w:r w:rsidR="00532D88">
        <w:rPr>
          <w:noProof/>
        </w:rPr>
        <w:t>n Parliament and of the Council</w:t>
      </w:r>
      <w:r w:rsidR="00532D88">
        <w:rPr>
          <w:rStyle w:val="FootnoteReference"/>
          <w:noProof/>
        </w:rPr>
        <w:footnoteReference w:id="50"/>
      </w:r>
      <w:r w:rsidR="00532D88" w:rsidRPr="00F24B43">
        <w:rPr>
          <w:noProof/>
        </w:rPr>
        <w:t xml:space="preserve"> and that </w:t>
      </w:r>
      <w:r w:rsidR="00912B24">
        <w:rPr>
          <w:noProof/>
        </w:rPr>
        <w:t xml:space="preserve">they </w:t>
      </w:r>
      <w:r w:rsidR="00532D88">
        <w:rPr>
          <w:noProof/>
        </w:rPr>
        <w:t>could</w:t>
      </w:r>
      <w:r w:rsidR="00532D88" w:rsidRPr="00F24B43">
        <w:rPr>
          <w:noProof/>
        </w:rPr>
        <w:t xml:space="preserve"> be requested to provide the relevant supporting documents at each entry. </w:t>
      </w:r>
      <w:r w:rsidR="00651473">
        <w:rPr>
          <w:noProof/>
        </w:rPr>
        <w:t>Application forms for minors</w:t>
      </w:r>
      <w:r w:rsidR="00651473" w:rsidRPr="00F24B43">
        <w:rPr>
          <w:noProof/>
        </w:rPr>
        <w:t xml:space="preserve"> </w:t>
      </w:r>
      <w:r w:rsidR="00532D88" w:rsidRPr="00F24B43">
        <w:rPr>
          <w:noProof/>
        </w:rPr>
        <w:t>sh</w:t>
      </w:r>
      <w:r w:rsidR="00532D88">
        <w:rPr>
          <w:noProof/>
        </w:rPr>
        <w:t>ould</w:t>
      </w:r>
      <w:r w:rsidR="00532D88" w:rsidRPr="00F24B43">
        <w:rPr>
          <w:noProof/>
        </w:rPr>
        <w:t xml:space="preserve"> </w:t>
      </w:r>
      <w:r w:rsidR="00651473">
        <w:rPr>
          <w:noProof/>
        </w:rPr>
        <w:t xml:space="preserve">be </w:t>
      </w:r>
      <w:r w:rsidR="00532D88" w:rsidRPr="00F24B43">
        <w:rPr>
          <w:noProof/>
        </w:rPr>
        <w:t>submit</w:t>
      </w:r>
      <w:r w:rsidR="00651473">
        <w:rPr>
          <w:noProof/>
        </w:rPr>
        <w:t>ted</w:t>
      </w:r>
      <w:r w:rsidR="00532D88" w:rsidRPr="00F24B43">
        <w:rPr>
          <w:noProof/>
        </w:rPr>
        <w:t xml:space="preserve"> </w:t>
      </w:r>
      <w:r w:rsidR="00AD3E72">
        <w:rPr>
          <w:noProof/>
        </w:rPr>
        <w:t xml:space="preserve">and </w:t>
      </w:r>
      <w:r w:rsidR="00532D88" w:rsidRPr="00F24B43">
        <w:rPr>
          <w:noProof/>
        </w:rPr>
        <w:t>electronically signed by a person exercising permanent or temporary parental authority or legal guardianship</w:t>
      </w:r>
      <w:r w:rsidR="00532D88">
        <w:rPr>
          <w:noProof/>
        </w:rPr>
        <w:t>.</w:t>
      </w:r>
    </w:p>
    <w:p w14:paraId="5118BE11" w14:textId="31BB48D6" w:rsidR="00532D88" w:rsidRPr="00EC0933" w:rsidRDefault="00EF15A7" w:rsidP="00EF15A7">
      <w:pPr>
        <w:pStyle w:val="ManualConsidrant"/>
        <w:rPr>
          <w:noProof/>
        </w:rPr>
      </w:pPr>
      <w:r w:rsidRPr="00EF15A7">
        <w:t>(17)</w:t>
      </w:r>
      <w:r w:rsidRPr="00EF15A7">
        <w:tab/>
      </w:r>
      <w:r w:rsidR="00AD6B91">
        <w:rPr>
          <w:noProof/>
          <w:sz w:val="23"/>
          <w:szCs w:val="23"/>
        </w:rPr>
        <w:t>]</w:t>
      </w:r>
      <w:r w:rsidR="00532D88">
        <w:rPr>
          <w:noProof/>
        </w:rPr>
        <w:t>The payment of the visa fee should be made by using a third</w:t>
      </w:r>
      <w:r w:rsidR="0041622E">
        <w:rPr>
          <w:noProof/>
        </w:rPr>
        <w:t>-</w:t>
      </w:r>
      <w:r w:rsidR="00532D88">
        <w:rPr>
          <w:noProof/>
        </w:rPr>
        <w:t xml:space="preserve">party gateway linked to the online application </w:t>
      </w:r>
      <w:r w:rsidR="00C7145D">
        <w:rPr>
          <w:noProof/>
        </w:rPr>
        <w:t xml:space="preserve">platform </w:t>
      </w:r>
      <w:r w:rsidR="00532D88">
        <w:rPr>
          <w:noProof/>
        </w:rPr>
        <w:t xml:space="preserve">and the payments would be directly transferred to the appropriate Member State. </w:t>
      </w:r>
      <w:r w:rsidR="00FE4F06" w:rsidRPr="00FE4F06">
        <w:rPr>
          <w:noProof/>
        </w:rPr>
        <w:t>The data required for securing the el</w:t>
      </w:r>
      <w:r w:rsidR="00FE4F06">
        <w:rPr>
          <w:noProof/>
        </w:rPr>
        <w:t>ectronic payment should</w:t>
      </w:r>
      <w:r w:rsidR="00FE4F06" w:rsidRPr="00FE4F06">
        <w:rPr>
          <w:noProof/>
        </w:rPr>
        <w:t xml:space="preserve"> not form part of data stored in </w:t>
      </w:r>
      <w:r w:rsidR="00FE4F06">
        <w:rPr>
          <w:noProof/>
        </w:rPr>
        <w:t>VIS.</w:t>
      </w:r>
      <w:r w:rsidR="00AD6B91" w:rsidRPr="00AD6B91">
        <w:rPr>
          <w:noProof/>
          <w:highlight w:val="yellow"/>
        </w:rPr>
        <w:t xml:space="preserve"> </w:t>
      </w:r>
    </w:p>
    <w:p w14:paraId="3D406965" w14:textId="1DED3FF4" w:rsidR="00CD7BEC" w:rsidRDefault="00EF15A7" w:rsidP="00EF15A7">
      <w:pPr>
        <w:pStyle w:val="ManualConsidrant"/>
        <w:rPr>
          <w:noProof/>
        </w:rPr>
      </w:pPr>
      <w:r w:rsidRPr="00EF15A7">
        <w:t>(18)</w:t>
      </w:r>
      <w:r w:rsidRPr="00EF15A7">
        <w:tab/>
      </w:r>
      <w:r w:rsidR="00CD7BEC">
        <w:rPr>
          <w:noProof/>
        </w:rPr>
        <w:t xml:space="preserve">The EU application platform will also contain the appointment tool, which the </w:t>
      </w:r>
      <w:r w:rsidR="00CD7BEC" w:rsidRPr="00CD7BEC">
        <w:rPr>
          <w:noProof/>
        </w:rPr>
        <w:t xml:space="preserve">Member State may decide to use </w:t>
      </w:r>
      <w:r w:rsidR="00CD7BEC">
        <w:rPr>
          <w:noProof/>
        </w:rPr>
        <w:t xml:space="preserve">to manage appointments at their consulates or the external service providers. While the use of such tool should remain optional, as it might not be appropriate across all locations and for all consulates, </w:t>
      </w:r>
      <w:r w:rsidR="00CD7BEC" w:rsidRPr="00CD7BEC">
        <w:rPr>
          <w:noProof/>
        </w:rPr>
        <w:t xml:space="preserve">Member States </w:t>
      </w:r>
      <w:r w:rsidR="00CD7BEC">
        <w:rPr>
          <w:noProof/>
        </w:rPr>
        <w:t>should nevertheless use local Schengen c</w:t>
      </w:r>
      <w:r w:rsidR="00CD7BEC" w:rsidRPr="00CD7BEC">
        <w:rPr>
          <w:noProof/>
        </w:rPr>
        <w:t xml:space="preserve">ooperation to discuss whether a harmonised approach </w:t>
      </w:r>
      <w:r w:rsidR="00CD7BEC">
        <w:rPr>
          <w:noProof/>
        </w:rPr>
        <w:t>regarding the use of the appointment tool</w:t>
      </w:r>
      <w:r w:rsidR="00CD7BEC" w:rsidRPr="00CD7BEC">
        <w:rPr>
          <w:noProof/>
        </w:rPr>
        <w:t xml:space="preserve"> could be followed in specific third countries</w:t>
      </w:r>
      <w:r w:rsidR="00CD7BEC">
        <w:rPr>
          <w:noProof/>
        </w:rPr>
        <w:t xml:space="preserve"> or specific locations</w:t>
      </w:r>
      <w:r w:rsidR="00CD7BEC" w:rsidRPr="00CD7BEC">
        <w:rPr>
          <w:noProof/>
        </w:rPr>
        <w:t>.</w:t>
      </w:r>
    </w:p>
    <w:p w14:paraId="6B180BA6" w14:textId="70EF0DB1" w:rsidR="00532D88" w:rsidRDefault="00EF15A7" w:rsidP="00EF15A7">
      <w:pPr>
        <w:pStyle w:val="ManualConsidrant"/>
        <w:rPr>
          <w:noProof/>
        </w:rPr>
      </w:pPr>
      <w:r w:rsidRPr="00EF15A7">
        <w:t>(19)</w:t>
      </w:r>
      <w:r w:rsidRPr="00EF15A7">
        <w:tab/>
      </w:r>
      <w:r w:rsidR="003F464F">
        <w:rPr>
          <w:noProof/>
        </w:rPr>
        <w:t xml:space="preserve">The system should notify the applicant if information is missing and the system should provide the applicant with the possibility of correcting the application. </w:t>
      </w:r>
      <w:r w:rsidR="00532D88">
        <w:rPr>
          <w:noProof/>
        </w:rPr>
        <w:t xml:space="preserve">The EU application platform should </w:t>
      </w:r>
      <w:r w:rsidR="008B23A9">
        <w:rPr>
          <w:noProof/>
        </w:rPr>
        <w:t xml:space="preserve">indicate to the </w:t>
      </w:r>
      <w:r w:rsidR="00532D88">
        <w:rPr>
          <w:noProof/>
        </w:rPr>
        <w:t xml:space="preserve">applicant of the admissibility of his/her application via an automated admissibility </w:t>
      </w:r>
      <w:r w:rsidR="002F4325">
        <w:rPr>
          <w:noProof/>
        </w:rPr>
        <w:t>pre-</w:t>
      </w:r>
      <w:r w:rsidR="00532D88">
        <w:rPr>
          <w:noProof/>
        </w:rPr>
        <w:t xml:space="preserve">check. The </w:t>
      </w:r>
      <w:r w:rsidR="002F4325">
        <w:rPr>
          <w:noProof/>
        </w:rPr>
        <w:t>pre-</w:t>
      </w:r>
      <w:r w:rsidR="00532D88">
        <w:rPr>
          <w:noProof/>
        </w:rPr>
        <w:t xml:space="preserve">check </w:t>
      </w:r>
      <w:r w:rsidR="00B03834">
        <w:rPr>
          <w:noProof/>
        </w:rPr>
        <w:t>sh</w:t>
      </w:r>
      <w:r w:rsidR="00532D88">
        <w:rPr>
          <w:noProof/>
        </w:rPr>
        <w:t xml:space="preserve">ould ensure that the information provided fulfils the </w:t>
      </w:r>
      <w:r w:rsidR="00F0239B">
        <w:rPr>
          <w:noProof/>
        </w:rPr>
        <w:t xml:space="preserve">admissibility </w:t>
      </w:r>
      <w:r w:rsidR="00532D88">
        <w:rPr>
          <w:noProof/>
        </w:rPr>
        <w:t>requirements for the requested visa.</w:t>
      </w:r>
    </w:p>
    <w:p w14:paraId="1483D5D8" w14:textId="5891EAF1" w:rsidR="00532D88" w:rsidRDefault="00EF15A7" w:rsidP="00EF15A7">
      <w:pPr>
        <w:pStyle w:val="ManualConsidrant"/>
        <w:rPr>
          <w:noProof/>
        </w:rPr>
      </w:pPr>
      <w:r w:rsidRPr="00EF15A7">
        <w:t>(20)</w:t>
      </w:r>
      <w:r w:rsidRPr="00EF15A7">
        <w:tab/>
      </w:r>
      <w:r w:rsidR="00532D88">
        <w:rPr>
          <w:noProof/>
        </w:rPr>
        <w:t xml:space="preserve">Where the </w:t>
      </w:r>
      <w:r w:rsidR="00E051FF" w:rsidRPr="00E051FF">
        <w:rPr>
          <w:noProof/>
        </w:rPr>
        <w:t>competent consulate or the central authorities of the competent Member State</w:t>
      </w:r>
      <w:r w:rsidR="00E051FF" w:rsidRPr="00E051FF" w:rsidDel="00E051FF">
        <w:rPr>
          <w:noProof/>
        </w:rPr>
        <w:t xml:space="preserve"> </w:t>
      </w:r>
      <w:r w:rsidR="00532D88">
        <w:rPr>
          <w:noProof/>
        </w:rPr>
        <w:t xml:space="preserve">finds that it is </w:t>
      </w:r>
      <w:r w:rsidR="00F06834">
        <w:rPr>
          <w:noProof/>
        </w:rPr>
        <w:t>responsible</w:t>
      </w:r>
      <w:r w:rsidR="00532D88">
        <w:rPr>
          <w:noProof/>
        </w:rPr>
        <w:t xml:space="preserve"> to examine the application, it should accept it and </w:t>
      </w:r>
      <w:r w:rsidR="00F06834">
        <w:rPr>
          <w:noProof/>
        </w:rPr>
        <w:t xml:space="preserve">the </w:t>
      </w:r>
      <w:r w:rsidR="00532D88">
        <w:rPr>
          <w:noProof/>
        </w:rPr>
        <w:t>data should be imported in</w:t>
      </w:r>
      <w:r w:rsidR="0041622E">
        <w:rPr>
          <w:noProof/>
        </w:rPr>
        <w:t>to</w:t>
      </w:r>
      <w:r w:rsidR="00532D88">
        <w:rPr>
          <w:noProof/>
        </w:rPr>
        <w:t xml:space="preserve"> the national system from the temporary storage as established by the VIS Regulation and deleted from the temporary storage with the exception of contact data.</w:t>
      </w:r>
    </w:p>
    <w:p w14:paraId="20AF80BC" w14:textId="6838729D" w:rsidR="00532D88" w:rsidRPr="000F06EF" w:rsidRDefault="00EF15A7" w:rsidP="00EF15A7">
      <w:pPr>
        <w:pStyle w:val="ManualConsidrant"/>
        <w:rPr>
          <w:noProof/>
        </w:rPr>
      </w:pPr>
      <w:r w:rsidRPr="00EF15A7">
        <w:t>(21)</w:t>
      </w:r>
      <w:r w:rsidRPr="00EF15A7">
        <w:tab/>
      </w:r>
      <w:r w:rsidR="00532D88">
        <w:rPr>
          <w:noProof/>
        </w:rPr>
        <w:t>Applicants should be notified of the decision taken by the competent Member State on their application by electronic means, indicating whether the visa is issued; refused; confirmed</w:t>
      </w:r>
      <w:r w:rsidR="00E051FF">
        <w:rPr>
          <w:noProof/>
        </w:rPr>
        <w:t xml:space="preserve"> to a new travel document</w:t>
      </w:r>
      <w:r w:rsidR="00532D88">
        <w:rPr>
          <w:noProof/>
        </w:rPr>
        <w:t xml:space="preserve">; extended; annulled or revoked, in accordance with </w:t>
      </w:r>
      <w:r w:rsidR="0041622E" w:rsidRPr="00D33299">
        <w:rPr>
          <w:noProof/>
        </w:rPr>
        <w:t>Regulation</w:t>
      </w:r>
      <w:r w:rsidR="00561780">
        <w:rPr>
          <w:noProof/>
        </w:rPr>
        <w:t>s</w:t>
      </w:r>
      <w:r w:rsidR="0041622E" w:rsidRPr="00D33299">
        <w:rPr>
          <w:noProof/>
        </w:rPr>
        <w:t xml:space="preserve"> (EC) No 810/2009</w:t>
      </w:r>
      <w:r w:rsidR="0041622E">
        <w:rPr>
          <w:noProof/>
        </w:rPr>
        <w:t xml:space="preserve"> </w:t>
      </w:r>
      <w:r w:rsidR="003E4F2E">
        <w:rPr>
          <w:noProof/>
        </w:rPr>
        <w:t>and (EC) No 767/2008</w:t>
      </w:r>
      <w:r w:rsidR="00532D88">
        <w:rPr>
          <w:noProof/>
        </w:rPr>
        <w:t>.</w:t>
      </w:r>
      <w:r w:rsidR="00AD6B91" w:rsidRPr="00AD6B91">
        <w:rPr>
          <w:noProof/>
          <w:highlight w:val="yellow"/>
        </w:rPr>
        <w:t xml:space="preserve"> </w:t>
      </w:r>
    </w:p>
    <w:p w14:paraId="07EA67CB" w14:textId="389C88CA" w:rsidR="00532D88" w:rsidRDefault="00EF15A7" w:rsidP="00EF15A7">
      <w:pPr>
        <w:pStyle w:val="ManualConsidrant"/>
        <w:rPr>
          <w:noProof/>
        </w:rPr>
      </w:pPr>
      <w:r w:rsidRPr="00EF15A7">
        <w:t>(22)</w:t>
      </w:r>
      <w:r w:rsidRPr="00EF15A7">
        <w:tab/>
      </w:r>
      <w:r w:rsidR="00CC3B2C">
        <w:rPr>
          <w:noProof/>
        </w:rPr>
        <w:t>In order to reduce security risks related to counterfeited and stolen visa stickers, a</w:t>
      </w:r>
      <w:r w:rsidR="00224542">
        <w:rPr>
          <w:noProof/>
        </w:rPr>
        <w:t xml:space="preserve"> visa </w:t>
      </w:r>
      <w:r w:rsidR="00532D88">
        <w:rPr>
          <w:noProof/>
        </w:rPr>
        <w:t xml:space="preserve">should be issued in digital format </w:t>
      </w:r>
      <w:r w:rsidR="00224542">
        <w:rPr>
          <w:noProof/>
        </w:rPr>
        <w:t xml:space="preserve">and no longer as a visa sticker </w:t>
      </w:r>
      <w:r w:rsidR="0041622E">
        <w:rPr>
          <w:noProof/>
        </w:rPr>
        <w:t>affixed to</w:t>
      </w:r>
      <w:r w:rsidR="00A13163">
        <w:rPr>
          <w:noProof/>
        </w:rPr>
        <w:t xml:space="preserve"> the travel document.</w:t>
      </w:r>
    </w:p>
    <w:p w14:paraId="469C92C3" w14:textId="13EAFA99" w:rsidR="00532D88" w:rsidRDefault="00EF15A7" w:rsidP="00EF15A7">
      <w:pPr>
        <w:pStyle w:val="ManualConsidrant"/>
        <w:rPr>
          <w:noProof/>
        </w:rPr>
      </w:pPr>
      <w:r w:rsidRPr="00EF15A7">
        <w:t>(23)</w:t>
      </w:r>
      <w:r w:rsidRPr="00EF15A7">
        <w:tab/>
      </w:r>
      <w:r w:rsidR="00532D88">
        <w:rPr>
          <w:noProof/>
        </w:rPr>
        <w:t xml:space="preserve">In order to ensure maximum security and prevent </w:t>
      </w:r>
      <w:r w:rsidR="00603C16">
        <w:rPr>
          <w:noProof/>
        </w:rPr>
        <w:t>counterfeiting</w:t>
      </w:r>
      <w:r w:rsidR="00532D88">
        <w:rPr>
          <w:noProof/>
        </w:rPr>
        <w:t xml:space="preserve"> or forgery, t</w:t>
      </w:r>
      <w:r w:rsidR="00532D88" w:rsidRPr="009C781C">
        <w:rPr>
          <w:noProof/>
        </w:rPr>
        <w:t xml:space="preserve">he </w:t>
      </w:r>
      <w:r w:rsidR="003F464F">
        <w:rPr>
          <w:noProof/>
        </w:rPr>
        <w:t xml:space="preserve">notification of </w:t>
      </w:r>
      <w:r w:rsidR="00532D88" w:rsidRPr="009C781C">
        <w:rPr>
          <w:noProof/>
        </w:rPr>
        <w:t xml:space="preserve">digital visa should </w:t>
      </w:r>
      <w:r w:rsidR="00532D88">
        <w:rPr>
          <w:noProof/>
        </w:rPr>
        <w:t xml:space="preserve">be </w:t>
      </w:r>
      <w:r w:rsidR="008F0936" w:rsidRPr="008F0936">
        <w:rPr>
          <w:noProof/>
        </w:rPr>
        <w:t xml:space="preserve">in </w:t>
      </w:r>
      <w:r w:rsidR="00224542">
        <w:rPr>
          <w:noProof/>
        </w:rPr>
        <w:t xml:space="preserve">the </w:t>
      </w:r>
      <w:r w:rsidR="008F0936" w:rsidRPr="008F0936">
        <w:rPr>
          <w:noProof/>
        </w:rPr>
        <w:t xml:space="preserve">form of a </w:t>
      </w:r>
      <w:r w:rsidR="00342F22">
        <w:rPr>
          <w:noProof/>
        </w:rPr>
        <w:t>2D barcode</w:t>
      </w:r>
      <w:r w:rsidR="008F0936" w:rsidRPr="008F0936">
        <w:rPr>
          <w:noProof/>
        </w:rPr>
        <w:t xml:space="preserve">, cryptographically signed by </w:t>
      </w:r>
      <w:r w:rsidR="00532D88" w:rsidRPr="00972446">
        <w:rPr>
          <w:noProof/>
        </w:rPr>
        <w:t>the Country Signing Certificate Authority (CSCA) of the issuing Member State.</w:t>
      </w:r>
      <w:r w:rsidR="00532D88" w:rsidRPr="009C781C">
        <w:rPr>
          <w:noProof/>
        </w:rPr>
        <w:t xml:space="preserve"> </w:t>
      </w:r>
      <w:r w:rsidR="0060550F">
        <w:rPr>
          <w:noProof/>
        </w:rPr>
        <w:t>I</w:t>
      </w:r>
      <w:r w:rsidR="00224542">
        <w:rPr>
          <w:noProof/>
        </w:rPr>
        <w:t>n</w:t>
      </w:r>
      <w:r w:rsidR="00532D88" w:rsidRPr="009C781C">
        <w:rPr>
          <w:noProof/>
        </w:rPr>
        <w:t xml:space="preserve"> case VIS </w:t>
      </w:r>
      <w:r w:rsidR="00532D88">
        <w:rPr>
          <w:noProof/>
        </w:rPr>
        <w:t>is</w:t>
      </w:r>
      <w:r w:rsidR="00532D88" w:rsidRPr="009C781C">
        <w:rPr>
          <w:noProof/>
        </w:rPr>
        <w:t xml:space="preserve"> unavailable or unreachable</w:t>
      </w:r>
      <w:r w:rsidR="00532D88">
        <w:rPr>
          <w:noProof/>
        </w:rPr>
        <w:t>, checks would</w:t>
      </w:r>
      <w:r w:rsidR="00603C16">
        <w:rPr>
          <w:noProof/>
        </w:rPr>
        <w:t xml:space="preserve"> </w:t>
      </w:r>
      <w:r w:rsidR="00532D88" w:rsidRPr="009C781C">
        <w:rPr>
          <w:noProof/>
        </w:rPr>
        <w:t xml:space="preserve">rely on a </w:t>
      </w:r>
      <w:r w:rsidR="00342F22">
        <w:rPr>
          <w:noProof/>
        </w:rPr>
        <w:t>2D barcode</w:t>
      </w:r>
      <w:r w:rsidR="00532D88" w:rsidRPr="009C781C">
        <w:rPr>
          <w:noProof/>
        </w:rPr>
        <w:t xml:space="preserve"> from the signing authority. </w:t>
      </w:r>
    </w:p>
    <w:p w14:paraId="7FB72FA2" w14:textId="19DB7A2E" w:rsidR="00532D88" w:rsidRDefault="00EF15A7" w:rsidP="00EF15A7">
      <w:pPr>
        <w:pStyle w:val="ManualConsidrant"/>
        <w:rPr>
          <w:noProof/>
        </w:rPr>
      </w:pPr>
      <w:r w:rsidRPr="00EF15A7">
        <w:t>(24)</w:t>
      </w:r>
      <w:r w:rsidRPr="00EF15A7">
        <w:tab/>
      </w:r>
      <w:r w:rsidR="00532D88">
        <w:rPr>
          <w:noProof/>
        </w:rPr>
        <w:t>In case the travel document of the visa holder is lost, stolen or has expired and the visa is still valid, the visa holder could apply via the EU application platform for the confirmation of the visa in a new travel document</w:t>
      </w:r>
      <w:r w:rsidR="00637F38">
        <w:rPr>
          <w:noProof/>
        </w:rPr>
        <w:t xml:space="preserve"> under the condition that the new travel document is of the same type and issued by the same country as the lost, stolen or expired travel document</w:t>
      </w:r>
      <w:r w:rsidR="00532D88">
        <w:rPr>
          <w:noProof/>
        </w:rPr>
        <w:t xml:space="preserve">. </w:t>
      </w:r>
      <w:r w:rsidR="00F2726E">
        <w:rPr>
          <w:noProof/>
        </w:rPr>
        <w:t xml:space="preserve">The visa holder should appear in person to the consulate or the external service provider to present the new travel document in order to verify </w:t>
      </w:r>
      <w:r w:rsidR="000214BB">
        <w:rPr>
          <w:noProof/>
        </w:rPr>
        <w:t xml:space="preserve">the </w:t>
      </w:r>
      <w:r w:rsidR="000214BB" w:rsidRPr="001205FB">
        <w:rPr>
          <w:noProof/>
          <w:lang w:val="en-US"/>
        </w:rPr>
        <w:t>authenticity of the new travel document</w:t>
      </w:r>
      <w:r w:rsidR="00F2726E">
        <w:rPr>
          <w:noProof/>
        </w:rPr>
        <w:t>.</w:t>
      </w:r>
    </w:p>
    <w:p w14:paraId="31AB502A" w14:textId="177C6280" w:rsidR="00532D88" w:rsidRDefault="00EF15A7" w:rsidP="00EF15A7">
      <w:pPr>
        <w:pStyle w:val="ManualConsidrant"/>
        <w:rPr>
          <w:noProof/>
        </w:rPr>
      </w:pPr>
      <w:r w:rsidRPr="00EF15A7">
        <w:t>(25)</w:t>
      </w:r>
      <w:r w:rsidRPr="00EF15A7">
        <w:tab/>
      </w:r>
      <w:r w:rsidR="007B591E">
        <w:rPr>
          <w:noProof/>
        </w:rPr>
        <w:t>D</w:t>
      </w:r>
      <w:r w:rsidR="00532D88">
        <w:rPr>
          <w:noProof/>
        </w:rPr>
        <w:t>ata stored in the EU application platform</w:t>
      </w:r>
      <w:r w:rsidR="007B591E">
        <w:rPr>
          <w:noProof/>
        </w:rPr>
        <w:t xml:space="preserve"> </w:t>
      </w:r>
      <w:r w:rsidR="00CC3B2C">
        <w:rPr>
          <w:noProof/>
        </w:rPr>
        <w:t xml:space="preserve">should </w:t>
      </w:r>
      <w:r w:rsidR="007B591E">
        <w:rPr>
          <w:noProof/>
        </w:rPr>
        <w:t xml:space="preserve">be safeguarded using </w:t>
      </w:r>
      <w:r w:rsidR="00BC542F">
        <w:rPr>
          <w:noProof/>
        </w:rPr>
        <w:t>privacy-enhancing</w:t>
      </w:r>
      <w:r w:rsidR="00D751CA">
        <w:rPr>
          <w:noProof/>
        </w:rPr>
        <w:t xml:space="preserve"> implementation</w:t>
      </w:r>
      <w:r w:rsidR="00BC542F">
        <w:rPr>
          <w:noProof/>
        </w:rPr>
        <w:t xml:space="preserve"> measures</w:t>
      </w:r>
      <w:r w:rsidR="00532D88">
        <w:rPr>
          <w:noProof/>
        </w:rPr>
        <w:t>.</w:t>
      </w:r>
      <w:r w:rsidR="00CC3B2C" w:rsidRPr="00CC3B2C">
        <w:rPr>
          <w:noProof/>
          <w:highlight w:val="yellow"/>
        </w:rPr>
        <w:t xml:space="preserve"> </w:t>
      </w:r>
    </w:p>
    <w:p w14:paraId="142F2DE8" w14:textId="7D21DF31" w:rsidR="00532D88" w:rsidRDefault="00EF15A7" w:rsidP="00EF15A7">
      <w:pPr>
        <w:pStyle w:val="ManualConsidrant"/>
        <w:rPr>
          <w:noProof/>
        </w:rPr>
      </w:pPr>
      <w:r w:rsidRPr="00EF15A7">
        <w:t>(26)</w:t>
      </w:r>
      <w:r w:rsidRPr="00EF15A7">
        <w:tab/>
      </w:r>
      <w:r w:rsidR="00532D88">
        <w:rPr>
          <w:noProof/>
        </w:rPr>
        <w:t xml:space="preserve">External </w:t>
      </w:r>
      <w:r w:rsidR="00AD3E72">
        <w:rPr>
          <w:noProof/>
        </w:rPr>
        <w:t xml:space="preserve">service providers </w:t>
      </w:r>
      <w:r w:rsidR="00532D88" w:rsidRPr="00FB5FB2">
        <w:rPr>
          <w:noProof/>
        </w:rPr>
        <w:t>sh</w:t>
      </w:r>
      <w:r w:rsidR="00532D88">
        <w:rPr>
          <w:noProof/>
        </w:rPr>
        <w:t xml:space="preserve">ould </w:t>
      </w:r>
      <w:r w:rsidR="00532D88" w:rsidRPr="00FB5FB2">
        <w:rPr>
          <w:noProof/>
        </w:rPr>
        <w:t xml:space="preserve">have access to the </w:t>
      </w:r>
      <w:r w:rsidR="00BD0E74">
        <w:rPr>
          <w:noProof/>
          <w:color w:val="000000"/>
        </w:rPr>
        <w:t xml:space="preserve">EU </w:t>
      </w:r>
      <w:r w:rsidR="00532D88" w:rsidRPr="00FB5FB2">
        <w:rPr>
          <w:noProof/>
        </w:rPr>
        <w:t xml:space="preserve">application </w:t>
      </w:r>
      <w:r w:rsidR="00532D88">
        <w:rPr>
          <w:noProof/>
        </w:rPr>
        <w:t>platform only to</w:t>
      </w:r>
      <w:r w:rsidR="001205FB">
        <w:rPr>
          <w:noProof/>
        </w:rPr>
        <w:t xml:space="preserve"> </w:t>
      </w:r>
      <w:r w:rsidR="005843E2">
        <w:rPr>
          <w:noProof/>
        </w:rPr>
        <w:t xml:space="preserve">retrieve </w:t>
      </w:r>
      <w:r w:rsidR="008F68DB">
        <w:rPr>
          <w:noProof/>
        </w:rPr>
        <w:t xml:space="preserve">and review </w:t>
      </w:r>
      <w:r w:rsidR="005843E2">
        <w:rPr>
          <w:noProof/>
        </w:rPr>
        <w:t>submitted application</w:t>
      </w:r>
      <w:r w:rsidR="0041622E">
        <w:rPr>
          <w:noProof/>
        </w:rPr>
        <w:t>s</w:t>
      </w:r>
      <w:r w:rsidR="005843E2">
        <w:rPr>
          <w:noProof/>
        </w:rPr>
        <w:t xml:space="preserve">; </w:t>
      </w:r>
      <w:r w:rsidR="00532D88" w:rsidRPr="00183E49">
        <w:rPr>
          <w:noProof/>
        </w:rPr>
        <w:t>verify the data temporarily stored (</w:t>
      </w:r>
      <w:r w:rsidR="00561780">
        <w:rPr>
          <w:noProof/>
        </w:rPr>
        <w:t>for example,</w:t>
      </w:r>
      <w:r w:rsidR="00532D88" w:rsidRPr="00183E49">
        <w:rPr>
          <w:noProof/>
        </w:rPr>
        <w:t xml:space="preserve"> scan of travel document)</w:t>
      </w:r>
      <w:r w:rsidR="00532D88">
        <w:rPr>
          <w:noProof/>
        </w:rPr>
        <w:t xml:space="preserve">; </w:t>
      </w:r>
      <w:r w:rsidR="005843E2">
        <w:rPr>
          <w:noProof/>
        </w:rPr>
        <w:t xml:space="preserve">collect and </w:t>
      </w:r>
      <w:r w:rsidR="00532D88">
        <w:rPr>
          <w:noProof/>
        </w:rPr>
        <w:t>u</w:t>
      </w:r>
      <w:r w:rsidR="00532D88" w:rsidRPr="00183E49">
        <w:rPr>
          <w:noProof/>
        </w:rPr>
        <w:t>pload biometric identifiers</w:t>
      </w:r>
      <w:r w:rsidR="00532D88">
        <w:rPr>
          <w:noProof/>
        </w:rPr>
        <w:t xml:space="preserve">; </w:t>
      </w:r>
      <w:r w:rsidR="00FA74D5">
        <w:rPr>
          <w:noProof/>
        </w:rPr>
        <w:t xml:space="preserve">perform quality checks of the </w:t>
      </w:r>
      <w:r w:rsidR="00532D88">
        <w:rPr>
          <w:noProof/>
        </w:rPr>
        <w:t>upload</w:t>
      </w:r>
      <w:r w:rsidR="00FA74D5">
        <w:rPr>
          <w:noProof/>
        </w:rPr>
        <w:t>ed</w:t>
      </w:r>
      <w:r w:rsidR="00532D88">
        <w:rPr>
          <w:noProof/>
        </w:rPr>
        <w:t xml:space="preserve"> supporting documents</w:t>
      </w:r>
      <w:r w:rsidR="007359C2">
        <w:rPr>
          <w:noProof/>
        </w:rPr>
        <w:t>; c</w:t>
      </w:r>
      <w:r w:rsidR="008F68DB">
        <w:rPr>
          <w:noProof/>
        </w:rPr>
        <w:t xml:space="preserve">onfirm that </w:t>
      </w:r>
      <w:r w:rsidR="0060550F">
        <w:rPr>
          <w:noProof/>
        </w:rPr>
        <w:t xml:space="preserve">an </w:t>
      </w:r>
      <w:r w:rsidR="008F68DB">
        <w:rPr>
          <w:noProof/>
        </w:rPr>
        <w:t>application has been reviewed and thus making it available to the consulate for further processing</w:t>
      </w:r>
      <w:r w:rsidR="005843E2">
        <w:rPr>
          <w:noProof/>
        </w:rPr>
        <w:t>;</w:t>
      </w:r>
      <w:r w:rsidR="000C7260">
        <w:rPr>
          <w:noProof/>
        </w:rPr>
        <w:t xml:space="preserve"> </w:t>
      </w:r>
      <w:r w:rsidR="00AD3E72">
        <w:rPr>
          <w:noProof/>
        </w:rPr>
        <w:t xml:space="preserve">external service providers </w:t>
      </w:r>
      <w:r w:rsidR="001205FB">
        <w:rPr>
          <w:noProof/>
        </w:rPr>
        <w:t>should</w:t>
      </w:r>
      <w:r w:rsidR="00E25A29">
        <w:rPr>
          <w:noProof/>
        </w:rPr>
        <w:t xml:space="preserve"> not </w:t>
      </w:r>
      <w:r w:rsidR="000C7260">
        <w:rPr>
          <w:noProof/>
        </w:rPr>
        <w:t>have access to data stored in VIS.</w:t>
      </w:r>
      <w:r w:rsidR="00CC3B2C" w:rsidRPr="00CC3B2C">
        <w:rPr>
          <w:noProof/>
          <w:highlight w:val="yellow"/>
        </w:rPr>
        <w:t xml:space="preserve"> </w:t>
      </w:r>
    </w:p>
    <w:p w14:paraId="7100DE2B" w14:textId="6EF66231" w:rsidR="00B71F7F" w:rsidRDefault="00EF15A7" w:rsidP="00EF15A7">
      <w:pPr>
        <w:pStyle w:val="ManualConsidrant"/>
        <w:rPr>
          <w:noProof/>
        </w:rPr>
      </w:pPr>
      <w:r w:rsidRPr="00EF15A7">
        <w:t>(27)</w:t>
      </w:r>
      <w:r w:rsidRPr="00EF15A7">
        <w:tab/>
      </w:r>
      <w:r w:rsidR="00561780">
        <w:rPr>
          <w:noProof/>
        </w:rPr>
        <w:t>It is necessary to</w:t>
      </w:r>
      <w:r w:rsidR="0041622E">
        <w:rPr>
          <w:noProof/>
        </w:rPr>
        <w:t xml:space="preserve"> determine </w:t>
      </w:r>
      <w:r w:rsidR="0041622E" w:rsidRPr="004F239C">
        <w:rPr>
          <w:noProof/>
        </w:rPr>
        <w:t xml:space="preserve">the date from which </w:t>
      </w:r>
      <w:r w:rsidR="0041622E">
        <w:rPr>
          <w:noProof/>
        </w:rPr>
        <w:t xml:space="preserve">operations </w:t>
      </w:r>
      <w:r w:rsidR="0041622E" w:rsidRPr="004F239C">
        <w:rPr>
          <w:noProof/>
        </w:rPr>
        <w:t>start</w:t>
      </w:r>
      <w:r w:rsidR="0041622E">
        <w:rPr>
          <w:noProof/>
        </w:rPr>
        <w:t>, including the digital visa and the EU application platform. A Mem</w:t>
      </w:r>
      <w:r w:rsidR="004845B4">
        <w:rPr>
          <w:noProof/>
        </w:rPr>
        <w:t>ber State may, for a period of 5 years</w:t>
      </w:r>
      <w:r w:rsidR="0041622E">
        <w:rPr>
          <w:noProof/>
        </w:rPr>
        <w:t xml:space="preserve"> from the date of start of operations, decide not to avail itself of the online EU application platform. Nevertheless, a Member State may notify that it wishes to join the online EU application platform before the end of the transition period. During the</w:t>
      </w:r>
      <w:r w:rsidR="0041622E" w:rsidRPr="00670A11">
        <w:rPr>
          <w:noProof/>
        </w:rPr>
        <w:t xml:space="preserve"> transitional period, if the Member State processing </w:t>
      </w:r>
      <w:r w:rsidR="0041622E">
        <w:rPr>
          <w:noProof/>
        </w:rPr>
        <w:t xml:space="preserve">its </w:t>
      </w:r>
      <w:r w:rsidR="0041622E" w:rsidRPr="00670A11">
        <w:rPr>
          <w:noProof/>
        </w:rPr>
        <w:t>visa application</w:t>
      </w:r>
      <w:r w:rsidR="0041622E">
        <w:rPr>
          <w:noProof/>
        </w:rPr>
        <w:t>s</w:t>
      </w:r>
      <w:r w:rsidR="0041622E" w:rsidRPr="00670A11">
        <w:rPr>
          <w:noProof/>
        </w:rPr>
        <w:t xml:space="preserve"> decided not to avail itself of the </w:t>
      </w:r>
      <w:r w:rsidR="0041622E">
        <w:rPr>
          <w:noProof/>
        </w:rPr>
        <w:t xml:space="preserve">online </w:t>
      </w:r>
      <w:r w:rsidR="0041622E" w:rsidRPr="00670A11">
        <w:rPr>
          <w:noProof/>
        </w:rPr>
        <w:t>EU application platform</w:t>
      </w:r>
      <w:r w:rsidR="0041622E">
        <w:rPr>
          <w:noProof/>
        </w:rPr>
        <w:t>,</w:t>
      </w:r>
      <w:r w:rsidR="0041622E" w:rsidRPr="00670A11">
        <w:rPr>
          <w:noProof/>
        </w:rPr>
        <w:t xml:space="preserve"> </w:t>
      </w:r>
      <w:r w:rsidR="0041622E">
        <w:rPr>
          <w:noProof/>
        </w:rPr>
        <w:t xml:space="preserve">visa holders will still </w:t>
      </w:r>
      <w:r w:rsidR="0041622E" w:rsidRPr="00670A11">
        <w:rPr>
          <w:noProof/>
        </w:rPr>
        <w:t xml:space="preserve">be able to verify the digital visas using the web-service of the </w:t>
      </w:r>
      <w:r w:rsidR="00BD0E74">
        <w:rPr>
          <w:noProof/>
          <w:color w:val="000000"/>
        </w:rPr>
        <w:t xml:space="preserve">EU </w:t>
      </w:r>
      <w:r w:rsidR="0041622E" w:rsidRPr="00670A11">
        <w:rPr>
          <w:noProof/>
        </w:rPr>
        <w:t>application platform</w:t>
      </w:r>
      <w:r w:rsidR="00A13163">
        <w:rPr>
          <w:noProof/>
        </w:rPr>
        <w:t>.</w:t>
      </w:r>
    </w:p>
    <w:p w14:paraId="4957FD00" w14:textId="40ED6988" w:rsidR="00F50811" w:rsidRDefault="00EF15A7" w:rsidP="00EF15A7">
      <w:pPr>
        <w:pStyle w:val="ManualConsidrant"/>
        <w:rPr>
          <w:noProof/>
        </w:rPr>
      </w:pPr>
      <w:r w:rsidRPr="00EF15A7">
        <w:t>(28)</w:t>
      </w:r>
      <w:r w:rsidRPr="00EF15A7">
        <w:tab/>
      </w:r>
      <w:r w:rsidR="00F50811" w:rsidRPr="00F50811">
        <w:rPr>
          <w:noProof/>
        </w:rPr>
        <w:t xml:space="preserve">EU </w:t>
      </w:r>
      <w:r w:rsidR="00F50811">
        <w:rPr>
          <w:noProof/>
        </w:rPr>
        <w:t xml:space="preserve">application </w:t>
      </w:r>
      <w:r w:rsidR="00F50811" w:rsidRPr="00F50811">
        <w:rPr>
          <w:noProof/>
        </w:rPr>
        <w:t xml:space="preserve">platform </w:t>
      </w:r>
      <w:r w:rsidR="00AD6B91">
        <w:rPr>
          <w:noProof/>
        </w:rPr>
        <w:t>should</w:t>
      </w:r>
      <w:r w:rsidR="00AD6B91" w:rsidRPr="00F50811">
        <w:rPr>
          <w:noProof/>
        </w:rPr>
        <w:t xml:space="preserve"> </w:t>
      </w:r>
      <w:r w:rsidR="0003327A">
        <w:rPr>
          <w:noProof/>
        </w:rPr>
        <w:t>contain</w:t>
      </w:r>
      <w:r w:rsidR="00F50811" w:rsidRPr="00F50811">
        <w:rPr>
          <w:noProof/>
        </w:rPr>
        <w:t xml:space="preserve"> </w:t>
      </w:r>
      <w:r w:rsidR="00955C35">
        <w:rPr>
          <w:noProof/>
        </w:rPr>
        <w:t>a functionality</w:t>
      </w:r>
      <w:r w:rsidR="0003327A">
        <w:rPr>
          <w:noProof/>
        </w:rPr>
        <w:t xml:space="preserve"> for applicants</w:t>
      </w:r>
      <w:r w:rsidR="00F50811" w:rsidRPr="00F50811">
        <w:rPr>
          <w:noProof/>
        </w:rPr>
        <w:t xml:space="preserve"> to verify </w:t>
      </w:r>
      <w:r w:rsidR="0003327A">
        <w:rPr>
          <w:noProof/>
        </w:rPr>
        <w:t xml:space="preserve">their </w:t>
      </w:r>
      <w:r w:rsidR="00F50811" w:rsidRPr="00F50811">
        <w:rPr>
          <w:noProof/>
        </w:rPr>
        <w:t>digital visa</w:t>
      </w:r>
      <w:r w:rsidR="0003327A">
        <w:rPr>
          <w:noProof/>
        </w:rPr>
        <w:t>s</w:t>
      </w:r>
      <w:r w:rsidR="00F50811">
        <w:rPr>
          <w:noProof/>
        </w:rPr>
        <w:t xml:space="preserve">. </w:t>
      </w:r>
    </w:p>
    <w:p w14:paraId="4F91B9B2" w14:textId="54A45F6B" w:rsidR="00936200" w:rsidRPr="00746E59" w:rsidRDefault="00EF15A7" w:rsidP="00EF15A7">
      <w:pPr>
        <w:pStyle w:val="ManualConsidrant"/>
        <w:rPr>
          <w:noProof/>
        </w:rPr>
      </w:pPr>
      <w:r w:rsidRPr="00EF15A7">
        <w:t>(29)</w:t>
      </w:r>
      <w:r w:rsidRPr="00EF15A7">
        <w:tab/>
      </w:r>
      <w:r w:rsidR="00944C4D" w:rsidRPr="00746E59">
        <w:rPr>
          <w:noProof/>
        </w:rPr>
        <w:t xml:space="preserve">The </w:t>
      </w:r>
      <w:r w:rsidR="003E7B77" w:rsidRPr="00746E59">
        <w:rPr>
          <w:noProof/>
        </w:rPr>
        <w:t>Member States wh</w:t>
      </w:r>
      <w:r w:rsidR="00BF2A01">
        <w:rPr>
          <w:noProof/>
        </w:rPr>
        <w:t>ich</w:t>
      </w:r>
      <w:r w:rsidR="003E7B77" w:rsidRPr="00746E59">
        <w:rPr>
          <w:noProof/>
        </w:rPr>
        <w:t xml:space="preserve"> do not apply the Schengen </w:t>
      </w:r>
      <w:r w:rsidR="003E7B77" w:rsidRPr="00746E59">
        <w:rPr>
          <w:i/>
          <w:noProof/>
        </w:rPr>
        <w:t>acquis</w:t>
      </w:r>
      <w:r w:rsidR="003E7B77" w:rsidRPr="00746E59">
        <w:rPr>
          <w:noProof/>
        </w:rPr>
        <w:t xml:space="preserve"> </w:t>
      </w:r>
      <w:r w:rsidR="00944C4D" w:rsidRPr="00746E59">
        <w:rPr>
          <w:noProof/>
        </w:rPr>
        <w:t>in full</w:t>
      </w:r>
      <w:r w:rsidR="00624030" w:rsidRPr="00746E59">
        <w:rPr>
          <w:noProof/>
        </w:rPr>
        <w:t>,</w:t>
      </w:r>
      <w:r w:rsidR="003E7B77" w:rsidRPr="00746E59">
        <w:rPr>
          <w:noProof/>
        </w:rPr>
        <w:t xml:space="preserve"> and </w:t>
      </w:r>
      <w:r w:rsidR="00624030" w:rsidRPr="00746E59">
        <w:rPr>
          <w:noProof/>
        </w:rPr>
        <w:t>therefore</w:t>
      </w:r>
      <w:r w:rsidR="003E7B77" w:rsidRPr="00746E59">
        <w:rPr>
          <w:noProof/>
        </w:rPr>
        <w:t xml:space="preserve"> do not have access </w:t>
      </w:r>
      <w:r w:rsidR="00062A0F">
        <w:rPr>
          <w:noProof/>
        </w:rPr>
        <w:t xml:space="preserve">to </w:t>
      </w:r>
      <w:r w:rsidR="003E7B77" w:rsidRPr="00746E59">
        <w:rPr>
          <w:noProof/>
        </w:rPr>
        <w:t>VIS to</w:t>
      </w:r>
      <w:r w:rsidR="0022226B">
        <w:rPr>
          <w:noProof/>
        </w:rPr>
        <w:t xml:space="preserve"> enter visa applications and</w:t>
      </w:r>
      <w:r w:rsidR="003E7B77" w:rsidRPr="00746E59">
        <w:rPr>
          <w:noProof/>
        </w:rPr>
        <w:t xml:space="preserve"> store digital visas, should continue to issue visa</w:t>
      </w:r>
      <w:r w:rsidR="00624030" w:rsidRPr="00746E59">
        <w:rPr>
          <w:noProof/>
        </w:rPr>
        <w:t>s</w:t>
      </w:r>
      <w:r w:rsidR="003E7B77" w:rsidRPr="00746E59">
        <w:rPr>
          <w:noProof/>
        </w:rPr>
        <w:t xml:space="preserve"> in the form of a uniform format (sticker).</w:t>
      </w:r>
    </w:p>
    <w:p w14:paraId="248DD38F" w14:textId="499E3000" w:rsidR="003E7B77" w:rsidRDefault="00EF15A7" w:rsidP="00EF15A7">
      <w:pPr>
        <w:pStyle w:val="ManualConsidrant"/>
        <w:rPr>
          <w:noProof/>
        </w:rPr>
      </w:pPr>
      <w:r w:rsidRPr="00EF15A7">
        <w:t>(30)</w:t>
      </w:r>
      <w:r w:rsidRPr="00EF15A7">
        <w:tab/>
      </w:r>
      <w:r w:rsidR="00936200">
        <w:rPr>
          <w:noProof/>
          <w:lang w:val="en-IE"/>
        </w:rPr>
        <w:t>In order to enable the application of D</w:t>
      </w:r>
      <w:r w:rsidR="00936200" w:rsidRPr="00936200">
        <w:rPr>
          <w:noProof/>
          <w:lang w:val="en-IE"/>
        </w:rPr>
        <w:t>ecision No 565/2014/EU</w:t>
      </w:r>
      <w:r w:rsidR="00936200">
        <w:rPr>
          <w:noProof/>
          <w:lang w:val="en-IE"/>
        </w:rPr>
        <w:t xml:space="preserve">, </w:t>
      </w:r>
      <w:r w:rsidR="00936200" w:rsidRPr="00936200">
        <w:rPr>
          <w:noProof/>
          <w:lang w:val="en-IE"/>
        </w:rPr>
        <w:t>Bulgaria, Croatia, Cyprus and Romania</w:t>
      </w:r>
      <w:r w:rsidR="00936200">
        <w:rPr>
          <w:noProof/>
          <w:lang w:val="en-IE"/>
        </w:rPr>
        <w:t xml:space="preserve"> should </w:t>
      </w:r>
      <w:r w:rsidR="00936200" w:rsidRPr="007359C2">
        <w:rPr>
          <w:noProof/>
          <w:lang w:val="en-IE"/>
        </w:rPr>
        <w:t>have read-only access of digital visas stored in VIS</w:t>
      </w:r>
      <w:r w:rsidR="00936200">
        <w:rPr>
          <w:noProof/>
          <w:lang w:val="en-IE"/>
        </w:rPr>
        <w:t>.</w:t>
      </w:r>
    </w:p>
    <w:p w14:paraId="6FF9CC05" w14:textId="6A408E40" w:rsidR="00532D88" w:rsidRDefault="00EF15A7" w:rsidP="00EF15A7">
      <w:pPr>
        <w:pStyle w:val="ManualConsidrant"/>
        <w:rPr>
          <w:noProof/>
        </w:rPr>
      </w:pPr>
      <w:r w:rsidRPr="00EF15A7">
        <w:t>(31)</w:t>
      </w:r>
      <w:r w:rsidRPr="00EF15A7">
        <w:tab/>
      </w:r>
      <w:r w:rsidR="00365B8A">
        <w:rPr>
          <w:noProof/>
        </w:rPr>
        <w:t>T</w:t>
      </w:r>
      <w:r w:rsidR="00365B8A" w:rsidRPr="00365B8A">
        <w:rPr>
          <w:noProof/>
        </w:rPr>
        <w:t xml:space="preserve">he European Union Agency for the Operational Management of Large-Scale IT Systems in the Area of Freedom, Security and Justice (eu-LISA) should be responsible for the technical development and operational management of </w:t>
      </w:r>
      <w:r w:rsidR="00365B8A">
        <w:rPr>
          <w:noProof/>
        </w:rPr>
        <w:t xml:space="preserve">the </w:t>
      </w:r>
      <w:r w:rsidR="000E522F">
        <w:rPr>
          <w:noProof/>
        </w:rPr>
        <w:t xml:space="preserve">EU </w:t>
      </w:r>
      <w:r w:rsidR="00365B8A">
        <w:rPr>
          <w:noProof/>
        </w:rPr>
        <w:t>application platform</w:t>
      </w:r>
      <w:r w:rsidR="00365B8A" w:rsidRPr="00365B8A">
        <w:rPr>
          <w:noProof/>
        </w:rPr>
        <w:t xml:space="preserve"> and its components</w:t>
      </w:r>
      <w:r w:rsidR="009960B6">
        <w:rPr>
          <w:noProof/>
        </w:rPr>
        <w:t>, as part of VIS.</w:t>
      </w:r>
    </w:p>
    <w:p w14:paraId="5D14C90F" w14:textId="02D2C0F1" w:rsidR="00967803" w:rsidRPr="00FA7EE3" w:rsidRDefault="00EF15A7" w:rsidP="00EF15A7">
      <w:pPr>
        <w:pStyle w:val="ManualConsidrant"/>
        <w:rPr>
          <w:noProof/>
        </w:rPr>
      </w:pPr>
      <w:r w:rsidRPr="00EF15A7">
        <w:t>(32)</w:t>
      </w:r>
      <w:r w:rsidRPr="00EF15A7">
        <w:tab/>
      </w:r>
      <w:r w:rsidR="00532D88">
        <w:rPr>
          <w:noProof/>
        </w:rPr>
        <w:t xml:space="preserve">The </w:t>
      </w:r>
      <w:r w:rsidR="0077503B">
        <w:rPr>
          <w:noProof/>
        </w:rPr>
        <w:t xml:space="preserve">system </w:t>
      </w:r>
      <w:r w:rsidR="00532D88">
        <w:rPr>
          <w:noProof/>
        </w:rPr>
        <w:t xml:space="preserve">architecture of the </w:t>
      </w:r>
      <w:r w:rsidR="0077503B">
        <w:rPr>
          <w:noProof/>
        </w:rPr>
        <w:t xml:space="preserve">EU application platform </w:t>
      </w:r>
      <w:r w:rsidR="00623778">
        <w:rPr>
          <w:noProof/>
        </w:rPr>
        <w:t>s</w:t>
      </w:r>
      <w:r w:rsidR="00EF3469">
        <w:rPr>
          <w:noProof/>
        </w:rPr>
        <w:t>h</w:t>
      </w:r>
      <w:r w:rsidR="00532D88">
        <w:rPr>
          <w:noProof/>
        </w:rPr>
        <w:t xml:space="preserve">ould reuse the existing and upcoming systems </w:t>
      </w:r>
      <w:r w:rsidR="0022226B">
        <w:rPr>
          <w:noProof/>
        </w:rPr>
        <w:t xml:space="preserve">that are part of the new framework for interoperability </w:t>
      </w:r>
      <w:r w:rsidR="00532D88">
        <w:rPr>
          <w:noProof/>
        </w:rPr>
        <w:t xml:space="preserve">to the full extent possible, </w:t>
      </w:r>
      <w:r w:rsidR="0022226B">
        <w:rPr>
          <w:noProof/>
        </w:rPr>
        <w:t>and in particular</w:t>
      </w:r>
      <w:r w:rsidR="00532D88">
        <w:rPr>
          <w:noProof/>
        </w:rPr>
        <w:t xml:space="preserve"> </w:t>
      </w:r>
      <w:r w:rsidR="0041622E">
        <w:rPr>
          <w:noProof/>
        </w:rPr>
        <w:t>European Travel Authorisation Information System (</w:t>
      </w:r>
      <w:r w:rsidR="00532D88">
        <w:rPr>
          <w:noProof/>
        </w:rPr>
        <w:t>ETIAS</w:t>
      </w:r>
      <w:r w:rsidR="0041622E">
        <w:rPr>
          <w:noProof/>
        </w:rPr>
        <w:t>)</w:t>
      </w:r>
      <w:r w:rsidR="00532D88">
        <w:rPr>
          <w:noProof/>
        </w:rPr>
        <w:t xml:space="preserve"> and </w:t>
      </w:r>
      <w:r w:rsidR="0041622E">
        <w:rPr>
          <w:noProof/>
        </w:rPr>
        <w:t>Entry-Exit System (</w:t>
      </w:r>
      <w:r w:rsidR="00532D88">
        <w:rPr>
          <w:noProof/>
        </w:rPr>
        <w:t>EES</w:t>
      </w:r>
      <w:r w:rsidR="0041622E">
        <w:rPr>
          <w:noProof/>
        </w:rPr>
        <w:t>)</w:t>
      </w:r>
      <w:r w:rsidR="00532D88">
        <w:rPr>
          <w:noProof/>
        </w:rPr>
        <w:t xml:space="preserve">, while respecting the current limitations of </w:t>
      </w:r>
      <w:r w:rsidR="00532D88" w:rsidRPr="00FA7EE3">
        <w:rPr>
          <w:noProof/>
        </w:rPr>
        <w:t xml:space="preserve">technology and the current investments made by </w:t>
      </w:r>
      <w:r w:rsidR="00623778" w:rsidRPr="00FA7EE3">
        <w:rPr>
          <w:noProof/>
        </w:rPr>
        <w:t>Member States</w:t>
      </w:r>
      <w:r w:rsidR="00532D88" w:rsidRPr="00FA7EE3">
        <w:rPr>
          <w:noProof/>
        </w:rPr>
        <w:t xml:space="preserve"> in their own national systems. </w:t>
      </w:r>
    </w:p>
    <w:p w14:paraId="01723E5D" w14:textId="44AB8323" w:rsidR="00532D88" w:rsidRPr="00FA7EE3" w:rsidRDefault="00EF15A7" w:rsidP="00EF15A7">
      <w:pPr>
        <w:pStyle w:val="ManualConsidrant"/>
        <w:rPr>
          <w:noProof/>
        </w:rPr>
      </w:pPr>
      <w:r w:rsidRPr="00EF15A7">
        <w:t>(33)</w:t>
      </w:r>
      <w:r w:rsidRPr="00EF15A7">
        <w:tab/>
      </w:r>
      <w:r w:rsidR="0041622E" w:rsidRPr="00FA7EE3">
        <w:rPr>
          <w:noProof/>
        </w:rPr>
        <w:t>C</w:t>
      </w:r>
      <w:r w:rsidR="00DA01C7" w:rsidRPr="00FA7EE3">
        <w:rPr>
          <w:noProof/>
        </w:rPr>
        <w:t xml:space="preserve">hecking of </w:t>
      </w:r>
      <w:r w:rsidR="00532D88" w:rsidRPr="00FA7EE3">
        <w:rPr>
          <w:noProof/>
        </w:rPr>
        <w:t>digital visa</w:t>
      </w:r>
      <w:r w:rsidR="00EF3469" w:rsidRPr="00FA7EE3">
        <w:rPr>
          <w:noProof/>
        </w:rPr>
        <w:t>s at the border</w:t>
      </w:r>
      <w:r w:rsidR="00532D88" w:rsidRPr="00FA7EE3">
        <w:rPr>
          <w:noProof/>
        </w:rPr>
        <w:t xml:space="preserve"> </w:t>
      </w:r>
      <w:r w:rsidR="00EF3469" w:rsidRPr="00FA7EE3">
        <w:rPr>
          <w:noProof/>
        </w:rPr>
        <w:t>sh</w:t>
      </w:r>
      <w:r w:rsidR="00532D88" w:rsidRPr="00FA7EE3">
        <w:rPr>
          <w:noProof/>
        </w:rPr>
        <w:t>ould rely on the existing and upcoming EU system architecture for border management</w:t>
      </w:r>
      <w:r w:rsidR="00494BD7" w:rsidRPr="00FA7EE3">
        <w:rPr>
          <w:noProof/>
        </w:rPr>
        <w:t xml:space="preserve"> and </w:t>
      </w:r>
      <w:r w:rsidR="00CC3B2C" w:rsidRPr="00FA7EE3">
        <w:rPr>
          <w:noProof/>
        </w:rPr>
        <w:t xml:space="preserve">should </w:t>
      </w:r>
      <w:r w:rsidR="00532D88" w:rsidRPr="00FA7EE3">
        <w:rPr>
          <w:noProof/>
        </w:rPr>
        <w:t xml:space="preserve">consist of the visa holder’s </w:t>
      </w:r>
      <w:r w:rsidR="00494BD7" w:rsidRPr="00FA7EE3">
        <w:rPr>
          <w:noProof/>
        </w:rPr>
        <w:t xml:space="preserve">information </w:t>
      </w:r>
      <w:r w:rsidR="00532D88" w:rsidRPr="00FA7EE3">
        <w:rPr>
          <w:noProof/>
        </w:rPr>
        <w:t xml:space="preserve">stored in </w:t>
      </w:r>
      <w:r w:rsidR="00494BD7" w:rsidRPr="00FA7EE3">
        <w:rPr>
          <w:noProof/>
        </w:rPr>
        <w:t>the</w:t>
      </w:r>
      <w:r w:rsidR="00532D88" w:rsidRPr="00FA7EE3">
        <w:rPr>
          <w:noProof/>
        </w:rPr>
        <w:t xml:space="preserve"> VIS</w:t>
      </w:r>
      <w:r w:rsidR="00494BD7" w:rsidRPr="00FA7EE3">
        <w:rPr>
          <w:noProof/>
        </w:rPr>
        <w:t>.</w:t>
      </w:r>
      <w:r w:rsidR="00EF3469" w:rsidRPr="00FA7EE3">
        <w:rPr>
          <w:noProof/>
        </w:rPr>
        <w:t xml:space="preserve"> </w:t>
      </w:r>
      <w:r w:rsidR="00494BD7" w:rsidRPr="00FA7EE3">
        <w:rPr>
          <w:noProof/>
        </w:rPr>
        <w:t xml:space="preserve">This information </w:t>
      </w:r>
      <w:r w:rsidR="00AD6B91" w:rsidRPr="00FA7EE3">
        <w:rPr>
          <w:noProof/>
        </w:rPr>
        <w:t xml:space="preserve">should </w:t>
      </w:r>
      <w:r w:rsidR="00532D88" w:rsidRPr="00FA7EE3">
        <w:rPr>
          <w:noProof/>
        </w:rPr>
        <w:t xml:space="preserve">be verified </w:t>
      </w:r>
      <w:r w:rsidR="00EF3469" w:rsidRPr="00FA7EE3">
        <w:rPr>
          <w:noProof/>
        </w:rPr>
        <w:t xml:space="preserve">with </w:t>
      </w:r>
      <w:r w:rsidR="00532D88" w:rsidRPr="00FA7EE3">
        <w:rPr>
          <w:noProof/>
        </w:rPr>
        <w:t>biometric</w:t>
      </w:r>
      <w:r w:rsidR="00EF3469" w:rsidRPr="00FA7EE3">
        <w:rPr>
          <w:noProof/>
        </w:rPr>
        <w:t xml:space="preserve"> data</w:t>
      </w:r>
      <w:r w:rsidR="00532D88" w:rsidRPr="00FA7EE3">
        <w:rPr>
          <w:noProof/>
        </w:rPr>
        <w:t xml:space="preserve"> by </w:t>
      </w:r>
      <w:r w:rsidR="00623778" w:rsidRPr="00FA7EE3">
        <w:rPr>
          <w:noProof/>
        </w:rPr>
        <w:t xml:space="preserve">Member States </w:t>
      </w:r>
      <w:r w:rsidR="00532D88" w:rsidRPr="00FA7EE3">
        <w:rPr>
          <w:noProof/>
        </w:rPr>
        <w:t>authorities</w:t>
      </w:r>
      <w:r w:rsidR="000F06EF" w:rsidRPr="00FA7EE3">
        <w:rPr>
          <w:noProof/>
        </w:rPr>
        <w:t>.</w:t>
      </w:r>
      <w:r w:rsidR="00CC3B2C" w:rsidRPr="00FA7EE3">
        <w:rPr>
          <w:noProof/>
        </w:rPr>
        <w:t xml:space="preserve"> </w:t>
      </w:r>
    </w:p>
    <w:p w14:paraId="16CF1735" w14:textId="13A89010" w:rsidR="002470B4" w:rsidRPr="00FA7EE3" w:rsidRDefault="00EF15A7" w:rsidP="00EF15A7">
      <w:pPr>
        <w:pStyle w:val="ManualConsidrant"/>
        <w:rPr>
          <w:noProof/>
        </w:rPr>
      </w:pPr>
      <w:r w:rsidRPr="00EF15A7">
        <w:t>(34)</w:t>
      </w:r>
      <w:r w:rsidRPr="00EF15A7">
        <w:tab/>
      </w:r>
      <w:r w:rsidR="00247279" w:rsidRPr="00FA7EE3">
        <w:rPr>
          <w:noProof/>
        </w:rPr>
        <w:t>T</w:t>
      </w:r>
      <w:r w:rsidR="005675A8" w:rsidRPr="00FA7EE3">
        <w:rPr>
          <w:noProof/>
        </w:rPr>
        <w:t>he format for short-stay visas</w:t>
      </w:r>
      <w:r w:rsidR="00376E1D" w:rsidRPr="00FA7EE3">
        <w:rPr>
          <w:noProof/>
        </w:rPr>
        <w:t>, as set by Council Regulation (EC) No 1683/95</w:t>
      </w:r>
      <w:r w:rsidR="00427444" w:rsidRPr="00FA7EE3">
        <w:rPr>
          <w:rStyle w:val="FootnoteReference"/>
          <w:noProof/>
        </w:rPr>
        <w:footnoteReference w:id="51"/>
      </w:r>
      <w:r w:rsidR="00376E1D" w:rsidRPr="00FA7EE3">
        <w:rPr>
          <w:noProof/>
        </w:rPr>
        <w:t>,</w:t>
      </w:r>
      <w:r w:rsidR="005675A8" w:rsidRPr="00FA7EE3">
        <w:rPr>
          <w:noProof/>
        </w:rPr>
        <w:t xml:space="preserve"> is also used for long-stay visas. Therefore, the Convention implementing the Schengen Agreement</w:t>
      </w:r>
      <w:r w:rsidR="00917185" w:rsidRPr="00FA7EE3">
        <w:rPr>
          <w:rStyle w:val="FootnoteReference"/>
          <w:noProof/>
        </w:rPr>
        <w:footnoteReference w:id="52"/>
      </w:r>
      <w:r w:rsidR="00917185" w:rsidRPr="00FA7EE3">
        <w:rPr>
          <w:noProof/>
        </w:rPr>
        <w:t xml:space="preserve"> </w:t>
      </w:r>
      <w:r w:rsidR="005675A8" w:rsidRPr="00FA7EE3">
        <w:rPr>
          <w:noProof/>
        </w:rPr>
        <w:t xml:space="preserve">should be amended to enable that </w:t>
      </w:r>
      <w:r w:rsidR="00247279" w:rsidRPr="00FA7EE3">
        <w:rPr>
          <w:noProof/>
        </w:rPr>
        <w:t>long-stay</w:t>
      </w:r>
      <w:r w:rsidR="005675A8" w:rsidRPr="00FA7EE3">
        <w:rPr>
          <w:noProof/>
        </w:rPr>
        <w:t xml:space="preserve"> visas are also issued in digital for</w:t>
      </w:r>
      <w:r w:rsidR="002470B4" w:rsidRPr="00FA7EE3">
        <w:rPr>
          <w:noProof/>
        </w:rPr>
        <w:t>mat.</w:t>
      </w:r>
    </w:p>
    <w:p w14:paraId="21BA002F" w14:textId="04ED0369" w:rsidR="002470B4" w:rsidRPr="00FA7EE3" w:rsidRDefault="00EF15A7" w:rsidP="00EF15A7">
      <w:pPr>
        <w:pStyle w:val="ManualConsidrant"/>
        <w:rPr>
          <w:noProof/>
        </w:rPr>
      </w:pPr>
      <w:r w:rsidRPr="00EF15A7">
        <w:t>(35)</w:t>
      </w:r>
      <w:r w:rsidRPr="00EF15A7">
        <w:tab/>
      </w:r>
      <w:r w:rsidR="002470B4" w:rsidRPr="00FA7EE3">
        <w:rPr>
          <w:noProof/>
        </w:rPr>
        <w:t xml:space="preserve">Since the introduction of digital visas would obviate the need for </w:t>
      </w:r>
      <w:r w:rsidR="005675A8" w:rsidRPr="00FA7EE3">
        <w:rPr>
          <w:noProof/>
        </w:rPr>
        <w:t>affixing the physical</w:t>
      </w:r>
      <w:r w:rsidR="002470B4" w:rsidRPr="00FA7EE3">
        <w:rPr>
          <w:noProof/>
        </w:rPr>
        <w:t xml:space="preserve"> visa</w:t>
      </w:r>
      <w:r w:rsidR="005675A8" w:rsidRPr="00FA7EE3">
        <w:rPr>
          <w:noProof/>
        </w:rPr>
        <w:t xml:space="preserve"> sticker, the Regulation </w:t>
      </w:r>
      <w:r w:rsidR="002470B4" w:rsidRPr="00FA7EE3">
        <w:rPr>
          <w:noProof/>
        </w:rPr>
        <w:t>Council Regulation (EC) No 333/2002</w:t>
      </w:r>
      <w:r w:rsidR="00917185" w:rsidRPr="00FA7EE3">
        <w:rPr>
          <w:rStyle w:val="FootnoteReference"/>
          <w:noProof/>
        </w:rPr>
        <w:footnoteReference w:id="53"/>
      </w:r>
      <w:r w:rsidR="002470B4" w:rsidRPr="00FA7EE3">
        <w:rPr>
          <w:noProof/>
        </w:rPr>
        <w:t xml:space="preserve"> setting the uniform format for forms for affixing the visa issued by Member States to persons holding travel documents not recognised by the Member State </w:t>
      </w:r>
      <w:r w:rsidR="005675A8" w:rsidRPr="00FA7EE3">
        <w:rPr>
          <w:noProof/>
        </w:rPr>
        <w:t>should be modified</w:t>
      </w:r>
      <w:r w:rsidR="00376E1D" w:rsidRPr="00FA7EE3">
        <w:rPr>
          <w:noProof/>
        </w:rPr>
        <w:t xml:space="preserve"> accordingly</w:t>
      </w:r>
      <w:r w:rsidR="005675A8" w:rsidRPr="00FA7EE3">
        <w:rPr>
          <w:noProof/>
        </w:rPr>
        <w:t>.</w:t>
      </w:r>
    </w:p>
    <w:p w14:paraId="77A5C554" w14:textId="2A5B2025" w:rsidR="00640B26" w:rsidRPr="00FA7EE3" w:rsidRDefault="00EF15A7" w:rsidP="00EF15A7">
      <w:pPr>
        <w:pStyle w:val="ManualConsidrant"/>
        <w:rPr>
          <w:noProof/>
        </w:rPr>
      </w:pPr>
      <w:r w:rsidRPr="00EF15A7">
        <w:t>(36)</w:t>
      </w:r>
      <w:r w:rsidRPr="00EF15A7">
        <w:tab/>
      </w:r>
      <w:r w:rsidR="00376E1D" w:rsidRPr="00FA7EE3">
        <w:rPr>
          <w:noProof/>
        </w:rPr>
        <w:t>Facilitated Transit Documents (FT</w:t>
      </w:r>
      <w:r w:rsidR="00376E1D" w:rsidRPr="00376E1D">
        <w:rPr>
          <w:noProof/>
        </w:rPr>
        <w:t>D) and Facilitated Rail Transit Documents (FRTD)</w:t>
      </w:r>
      <w:r w:rsidR="0038783F" w:rsidRPr="0038783F">
        <w:rPr>
          <w:noProof/>
        </w:rPr>
        <w:t xml:space="preserve"> constitute documents having the value of transit visas authorising their holders to enter in order to pass through the territories of Member States in accordance with the provisions of the Schengen </w:t>
      </w:r>
      <w:r w:rsidR="0038783F" w:rsidRPr="00EC0933">
        <w:rPr>
          <w:i/>
          <w:noProof/>
        </w:rPr>
        <w:t>acquis</w:t>
      </w:r>
      <w:r w:rsidR="0038783F" w:rsidRPr="0038783F">
        <w:rPr>
          <w:noProof/>
        </w:rPr>
        <w:t xml:space="preserve"> concerning the crossing of external borders.</w:t>
      </w:r>
      <w:r w:rsidR="0038783F">
        <w:rPr>
          <w:noProof/>
        </w:rPr>
        <w:t xml:space="preserve"> </w:t>
      </w:r>
      <w:r w:rsidR="0038783F" w:rsidRPr="00376E1D">
        <w:rPr>
          <w:noProof/>
        </w:rPr>
        <w:t xml:space="preserve">Facilitated Transit Documents (FTD) and </w:t>
      </w:r>
      <w:r w:rsidR="0038783F" w:rsidRPr="00FA7EE3">
        <w:rPr>
          <w:noProof/>
        </w:rPr>
        <w:t>Facilitated Rail Transit Documents (FRTD)</w:t>
      </w:r>
      <w:r w:rsidR="00376E1D" w:rsidRPr="00FA7EE3">
        <w:rPr>
          <w:noProof/>
        </w:rPr>
        <w:t xml:space="preserve"> are issued in uniform formats and the application procedure is paper-based.  </w:t>
      </w:r>
      <w:r w:rsidR="0038783F" w:rsidRPr="00FA7EE3">
        <w:rPr>
          <w:noProof/>
        </w:rPr>
        <w:t xml:space="preserve">In order to reflect digitalisation developments, and </w:t>
      </w:r>
      <w:r w:rsidR="00376E1D" w:rsidRPr="00FA7EE3">
        <w:rPr>
          <w:noProof/>
        </w:rPr>
        <w:t>Council Regulation (EC) No 693/2003</w:t>
      </w:r>
      <w:r w:rsidR="00800550" w:rsidRPr="00FA7EE3">
        <w:rPr>
          <w:rStyle w:val="FootnoteReference"/>
          <w:noProof/>
        </w:rPr>
        <w:footnoteReference w:id="54"/>
      </w:r>
      <w:r w:rsidR="00376E1D" w:rsidRPr="00FA7EE3">
        <w:rPr>
          <w:noProof/>
        </w:rPr>
        <w:t xml:space="preserve"> and Council Regulation (EC) No 694/2003</w:t>
      </w:r>
      <w:r w:rsidR="00800550" w:rsidRPr="00FA7EE3">
        <w:rPr>
          <w:rStyle w:val="FootnoteReference"/>
          <w:noProof/>
        </w:rPr>
        <w:footnoteReference w:id="55"/>
      </w:r>
      <w:r w:rsidR="00376E1D" w:rsidRPr="00FA7EE3">
        <w:rPr>
          <w:noProof/>
        </w:rPr>
        <w:t xml:space="preserve">, </w:t>
      </w:r>
      <w:r w:rsidR="005675A8" w:rsidRPr="00FA7EE3">
        <w:rPr>
          <w:noProof/>
        </w:rPr>
        <w:t>should be amended to enable the issuance in digital format, as well as digital applications.</w:t>
      </w:r>
    </w:p>
    <w:p w14:paraId="2D901D31" w14:textId="56EBAD10" w:rsidR="00AD6B91" w:rsidRPr="009A1295" w:rsidRDefault="00EF15A7" w:rsidP="00EF15A7">
      <w:pPr>
        <w:pStyle w:val="ManualConsidrant"/>
        <w:rPr>
          <w:noProof/>
        </w:rPr>
      </w:pPr>
      <w:r w:rsidRPr="00EF15A7">
        <w:t>(37)</w:t>
      </w:r>
      <w:r w:rsidRPr="00EF15A7">
        <w:tab/>
      </w:r>
      <w:r w:rsidR="00AD6B91" w:rsidRPr="009A1295">
        <w:rPr>
          <w:noProof/>
        </w:rPr>
        <w:t>In order to ensure that the</w:t>
      </w:r>
      <w:r w:rsidR="00AD6B91">
        <w:rPr>
          <w:noProof/>
        </w:rPr>
        <w:t xml:space="preserve"> application form and the refusal forms </w:t>
      </w:r>
      <w:r w:rsidR="00B45ECF">
        <w:rPr>
          <w:noProof/>
        </w:rPr>
        <w:t>cater for the possibilities</w:t>
      </w:r>
      <w:r w:rsidR="00AD6B91">
        <w:rPr>
          <w:noProof/>
        </w:rPr>
        <w:t xml:space="preserve"> whe</w:t>
      </w:r>
      <w:r w:rsidR="00B45ECF">
        <w:rPr>
          <w:noProof/>
        </w:rPr>
        <w:t>n</w:t>
      </w:r>
      <w:r w:rsidR="00AD6B91">
        <w:rPr>
          <w:noProof/>
        </w:rPr>
        <w:t xml:space="preserve"> a visa applicant submitted their application via the</w:t>
      </w:r>
      <w:r w:rsidR="00AD6B91" w:rsidRPr="009A1295">
        <w:rPr>
          <w:noProof/>
        </w:rPr>
        <w:t xml:space="preserve"> EU application platform</w:t>
      </w:r>
      <w:r w:rsidR="00AD6B91">
        <w:rPr>
          <w:noProof/>
        </w:rPr>
        <w:t xml:space="preserve"> or not</w:t>
      </w:r>
      <w:r w:rsidR="00AD6B91" w:rsidRPr="009A1295">
        <w:rPr>
          <w:noProof/>
        </w:rPr>
        <w:t xml:space="preserve">, the power to adopt </w:t>
      </w:r>
      <w:r w:rsidR="00AD6B91">
        <w:rPr>
          <w:noProof/>
        </w:rPr>
        <w:t xml:space="preserve">delegated </w:t>
      </w:r>
      <w:r w:rsidR="00AD6B91" w:rsidRPr="009A1295">
        <w:rPr>
          <w:noProof/>
        </w:rPr>
        <w:t xml:space="preserve">acts in accordance with Article 290 </w:t>
      </w:r>
      <w:r w:rsidR="008B1BA3">
        <w:rPr>
          <w:noProof/>
        </w:rPr>
        <w:t xml:space="preserve">of the Treaty on the Functioning of the European Union </w:t>
      </w:r>
      <w:r w:rsidR="00AD6B91" w:rsidRPr="009A1295">
        <w:rPr>
          <w:noProof/>
        </w:rPr>
        <w:t>should be delegated to the Commissio</w:t>
      </w:r>
      <w:r w:rsidR="00AD6B91">
        <w:rPr>
          <w:noProof/>
        </w:rPr>
        <w:t>n</w:t>
      </w:r>
      <w:r w:rsidR="00AD6B91" w:rsidRPr="009A1295">
        <w:rPr>
          <w:noProof/>
        </w:rPr>
        <w:t xml:space="preserve"> to </w:t>
      </w:r>
      <w:r w:rsidR="00AD6B91">
        <w:rPr>
          <w:noProof/>
        </w:rPr>
        <w:t>amend</w:t>
      </w:r>
      <w:r w:rsidR="00AD6B91" w:rsidRPr="009A1295">
        <w:rPr>
          <w:noProof/>
        </w:rPr>
        <w:t xml:space="preserve"> </w:t>
      </w:r>
      <w:r w:rsidR="00AD6B91">
        <w:rPr>
          <w:noProof/>
        </w:rPr>
        <w:t>the</w:t>
      </w:r>
      <w:r w:rsidR="00AD6B91" w:rsidRPr="009A1295">
        <w:rPr>
          <w:noProof/>
        </w:rPr>
        <w:t xml:space="preserve"> list of information that the </w:t>
      </w:r>
      <w:r w:rsidR="00AD6B91" w:rsidRPr="00AD6B91">
        <w:rPr>
          <w:noProof/>
          <w:color w:val="000000"/>
        </w:rPr>
        <w:t xml:space="preserve">EU </w:t>
      </w:r>
      <w:r w:rsidR="00AD6B91" w:rsidRPr="009A1295">
        <w:rPr>
          <w:noProof/>
        </w:rPr>
        <w:t>application platform should contain</w:t>
      </w:r>
      <w:r w:rsidR="00AD6B91">
        <w:rPr>
          <w:noProof/>
        </w:rPr>
        <w:t xml:space="preserve"> and to amend the appropriate standard forms and formats</w:t>
      </w:r>
      <w:r w:rsidR="00AD6B91" w:rsidRPr="009A1295">
        <w:rPr>
          <w:noProof/>
        </w:rPr>
        <w:t>.</w:t>
      </w:r>
      <w:r w:rsidR="00AD6B91">
        <w:rPr>
          <w:noProof/>
        </w:rPr>
        <w:t xml:space="preserve"> </w:t>
      </w:r>
      <w:r w:rsidR="00AD6B91" w:rsidRPr="00AD6B91">
        <w:rPr>
          <w:noProof/>
          <w:sz w:val="23"/>
          <w:szCs w:val="23"/>
        </w:rPr>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00AD6B91">
        <w:rPr>
          <w:rStyle w:val="FootnoteReference"/>
          <w:noProof/>
          <w:sz w:val="23"/>
          <w:szCs w:val="23"/>
        </w:rPr>
        <w:footnoteReference w:id="56"/>
      </w:r>
      <w:r w:rsidR="00AD6B91" w:rsidRPr="00AD6B91">
        <w:rPr>
          <w:noProof/>
          <w:sz w:val="23"/>
          <w:szCs w:val="23"/>
        </w:rPr>
        <w:t>. In particular, to ensure equal participation in the preparation of delegated acts, the European Parliament and the Council</w:t>
      </w:r>
      <w:r w:rsidR="00AD3E72">
        <w:rPr>
          <w:noProof/>
          <w:sz w:val="23"/>
          <w:szCs w:val="23"/>
        </w:rPr>
        <w:t xml:space="preserve"> should</w:t>
      </w:r>
      <w:r w:rsidR="00AD6B91" w:rsidRPr="00AD6B91">
        <w:rPr>
          <w:noProof/>
          <w:sz w:val="23"/>
          <w:szCs w:val="23"/>
        </w:rPr>
        <w:t xml:space="preserve"> receive all documents at the same time as Member States' experts, and their experts</w:t>
      </w:r>
      <w:r w:rsidR="00AD3E72">
        <w:rPr>
          <w:noProof/>
          <w:sz w:val="23"/>
          <w:szCs w:val="23"/>
        </w:rPr>
        <w:t xml:space="preserve"> should</w:t>
      </w:r>
      <w:r w:rsidR="00AD6B91" w:rsidRPr="00AD6B91">
        <w:rPr>
          <w:noProof/>
          <w:sz w:val="23"/>
          <w:szCs w:val="23"/>
        </w:rPr>
        <w:t xml:space="preserve"> systematically have access to meetings of Commission expert groups dealing with the preparation of delegated acts. </w:t>
      </w:r>
    </w:p>
    <w:p w14:paraId="0CBCB1CD" w14:textId="7DEF0DA7" w:rsidR="00532D88" w:rsidRPr="00FA7EE3" w:rsidRDefault="00EF15A7" w:rsidP="00EF15A7">
      <w:pPr>
        <w:pStyle w:val="ManualConsidrant"/>
        <w:rPr>
          <w:noProof/>
        </w:rPr>
      </w:pPr>
      <w:r w:rsidRPr="00EF15A7">
        <w:t>(38)</w:t>
      </w:r>
      <w:r w:rsidRPr="00EF15A7">
        <w:tab/>
      </w:r>
      <w:r w:rsidR="003232DB">
        <w:rPr>
          <w:noProof/>
        </w:rPr>
        <w:t xml:space="preserve">Since the objectives of this Regulation, namely, the establishment of </w:t>
      </w:r>
      <w:r w:rsidR="00BD0E74">
        <w:rPr>
          <w:noProof/>
        </w:rPr>
        <w:t xml:space="preserve">the </w:t>
      </w:r>
      <w:r w:rsidR="003232DB">
        <w:rPr>
          <w:noProof/>
        </w:rPr>
        <w:t xml:space="preserve">European online visa application platform and the introduction of a digital visa </w:t>
      </w:r>
      <w:r w:rsidR="00084F8E">
        <w:rPr>
          <w:noProof/>
        </w:rPr>
        <w:t>buil</w:t>
      </w:r>
      <w:r w:rsidR="003232DB">
        <w:rPr>
          <w:noProof/>
        </w:rPr>
        <w:t>ds on other initiatives</w:t>
      </w:r>
      <w:r w:rsidR="00084F8E">
        <w:rPr>
          <w:noProof/>
        </w:rPr>
        <w:t xml:space="preserve"> aiming, on the one hand, at streamlining and harmonising the procedures in the context of the common visa policy and, on the other hand, at aligning travel, entry</w:t>
      </w:r>
      <w:r w:rsidR="00C056AF">
        <w:rPr>
          <w:noProof/>
        </w:rPr>
        <w:t xml:space="preserve"> requirements</w:t>
      </w:r>
      <w:r w:rsidR="00084F8E">
        <w:rPr>
          <w:noProof/>
        </w:rPr>
        <w:t xml:space="preserve"> and border </w:t>
      </w:r>
      <w:r w:rsidR="00C056AF">
        <w:rPr>
          <w:noProof/>
        </w:rPr>
        <w:t xml:space="preserve">checks within </w:t>
      </w:r>
      <w:r w:rsidR="00084F8E">
        <w:rPr>
          <w:noProof/>
        </w:rPr>
        <w:t xml:space="preserve">the Schengen Area with the new digital era, the </w:t>
      </w:r>
      <w:r w:rsidR="00084F8E" w:rsidRPr="00FA7EE3">
        <w:rPr>
          <w:noProof/>
        </w:rPr>
        <w:t xml:space="preserve">amendments of the related legislation are only possible at Union level and are part of the Schengen </w:t>
      </w:r>
      <w:r w:rsidR="00084F8E" w:rsidRPr="00FA7EE3">
        <w:rPr>
          <w:i/>
          <w:iCs/>
          <w:noProof/>
        </w:rPr>
        <w:t>acquis</w:t>
      </w:r>
      <w:r w:rsidR="00084F8E" w:rsidRPr="00FA7EE3">
        <w:rPr>
          <w:noProof/>
        </w:rPr>
        <w:t>. T</w:t>
      </w:r>
      <w:r w:rsidR="003232DB" w:rsidRPr="00FA7EE3">
        <w:rPr>
          <w:noProof/>
        </w:rPr>
        <w:t>he Union may adopt measures in accordance with the principle of subsidiarity as set out in Article 5 of the Treaty on European Union. In accordan</w:t>
      </w:r>
      <w:r w:rsidR="00084F8E" w:rsidRPr="00FA7EE3">
        <w:rPr>
          <w:noProof/>
        </w:rPr>
        <w:t>ce with the principle of propor</w:t>
      </w:r>
      <w:r w:rsidR="003232DB" w:rsidRPr="00FA7EE3">
        <w:rPr>
          <w:noProof/>
        </w:rPr>
        <w:t>tionality, as set out in that Article, this Regulation does not go beyond what is necessary in order to achieve those objectives.</w:t>
      </w:r>
    </w:p>
    <w:p w14:paraId="3DFDC683" w14:textId="35A45F76" w:rsidR="00851943" w:rsidRPr="00FA7EE3" w:rsidRDefault="00EF15A7" w:rsidP="00EF15A7">
      <w:pPr>
        <w:pStyle w:val="ManualConsidrant"/>
        <w:rPr>
          <w:noProof/>
        </w:rPr>
      </w:pPr>
      <w:r w:rsidRPr="00EF15A7">
        <w:t>(39)</w:t>
      </w:r>
      <w:r w:rsidRPr="00EF15A7">
        <w:tab/>
      </w:r>
      <w:r w:rsidR="00851943" w:rsidRPr="00FA7EE3">
        <w:rPr>
          <w:noProof/>
        </w:rPr>
        <w:t>This Regulation is without prejudice to the application of Directive 2004/38/EC</w:t>
      </w:r>
      <w:r w:rsidR="00062A0F" w:rsidRPr="00FA7EE3">
        <w:rPr>
          <w:noProof/>
        </w:rPr>
        <w:t xml:space="preserve"> and of Part Two of the EU-UK Withdrawal Agreement</w:t>
      </w:r>
      <w:r w:rsidR="00851943" w:rsidRPr="00FA7EE3">
        <w:rPr>
          <w:noProof/>
        </w:rPr>
        <w:t>.</w:t>
      </w:r>
      <w:r w:rsidR="009A0219" w:rsidRPr="00FA7EE3" w:rsidDel="009A0219">
        <w:rPr>
          <w:i/>
          <w:noProof/>
        </w:rPr>
        <w:t xml:space="preserve"> </w:t>
      </w:r>
    </w:p>
    <w:p w14:paraId="4BB55C8A" w14:textId="4A3A3231" w:rsidR="005D28EB" w:rsidRDefault="00EF15A7" w:rsidP="00EF15A7">
      <w:pPr>
        <w:pStyle w:val="ManualConsidrant"/>
        <w:rPr>
          <w:noProof/>
        </w:rPr>
      </w:pPr>
      <w:r w:rsidRPr="00EF15A7">
        <w:t>(40)</w:t>
      </w:r>
      <w:r w:rsidRPr="00EF15A7">
        <w:tab/>
      </w:r>
      <w:r w:rsidR="00532D88" w:rsidRPr="00FA7EE3">
        <w:rPr>
          <w:noProof/>
        </w:rPr>
        <w:t xml:space="preserve">This Regulation respects fundamental rights and observes the principles recognised in particular by </w:t>
      </w:r>
      <w:r w:rsidR="005D28EB">
        <w:rPr>
          <w:noProof/>
        </w:rPr>
        <w:t xml:space="preserve">the </w:t>
      </w:r>
      <w:r w:rsidR="000572B0" w:rsidRPr="00FA7EE3">
        <w:rPr>
          <w:noProof/>
        </w:rPr>
        <w:t>Charter of Fundamental Rights of the European Union</w:t>
      </w:r>
      <w:r w:rsidR="00532D88" w:rsidRPr="00FA7EE3">
        <w:rPr>
          <w:noProof/>
        </w:rPr>
        <w:t>.</w:t>
      </w:r>
      <w:r w:rsidR="000572B0" w:rsidRPr="00FA7EE3">
        <w:rPr>
          <w:noProof/>
        </w:rPr>
        <w:t xml:space="preserve"> </w:t>
      </w:r>
      <w:r w:rsidR="005D28EB">
        <w:rPr>
          <w:noProof/>
        </w:rPr>
        <w:t>T</w:t>
      </w:r>
      <w:r w:rsidR="00D3449A">
        <w:rPr>
          <w:noProof/>
        </w:rPr>
        <w:t xml:space="preserve">he introduction of an EU application platform and of </w:t>
      </w:r>
      <w:r w:rsidR="00AD3E72">
        <w:rPr>
          <w:noProof/>
        </w:rPr>
        <w:t xml:space="preserve">a </w:t>
      </w:r>
      <w:r w:rsidR="00D3449A">
        <w:rPr>
          <w:noProof/>
        </w:rPr>
        <w:t>digital visa will</w:t>
      </w:r>
      <w:r w:rsidR="000572B0">
        <w:rPr>
          <w:noProof/>
        </w:rPr>
        <w:t xml:space="preserve"> full</w:t>
      </w:r>
      <w:r w:rsidR="00AD3E72">
        <w:rPr>
          <w:noProof/>
        </w:rPr>
        <w:t>y</w:t>
      </w:r>
      <w:r w:rsidR="000572B0">
        <w:rPr>
          <w:noProof/>
        </w:rPr>
        <w:t xml:space="preserve"> respect the right to protection of personal data, the respect for private and family life, the rights of the child, and the protection of vulnerable persons</w:t>
      </w:r>
      <w:r w:rsidR="00AD6B91" w:rsidRPr="00AD6B91">
        <w:rPr>
          <w:noProof/>
        </w:rPr>
        <w:t xml:space="preserve"> </w:t>
      </w:r>
      <w:r w:rsidR="00AD3E72">
        <w:rPr>
          <w:noProof/>
        </w:rPr>
        <w:t>All safeguards on fundamental right</w:t>
      </w:r>
      <w:r w:rsidR="005D28EB">
        <w:rPr>
          <w:noProof/>
        </w:rPr>
        <w:t>s</w:t>
      </w:r>
      <w:r w:rsidR="00AD3E72">
        <w:rPr>
          <w:noProof/>
        </w:rPr>
        <w:t xml:space="preserve"> included in the Visa Information</w:t>
      </w:r>
      <w:r w:rsidR="00987A53">
        <w:rPr>
          <w:noProof/>
        </w:rPr>
        <w:t xml:space="preserve"> System</w:t>
      </w:r>
      <w:r w:rsidR="00AD3E72">
        <w:rPr>
          <w:noProof/>
        </w:rPr>
        <w:t xml:space="preserve"> Regulation will </w:t>
      </w:r>
      <w:r w:rsidR="00FA7EE3">
        <w:rPr>
          <w:noProof/>
        </w:rPr>
        <w:t>remain</w:t>
      </w:r>
      <w:r w:rsidR="00AD3E72">
        <w:rPr>
          <w:noProof/>
        </w:rPr>
        <w:t xml:space="preserve"> fully applicable in the</w:t>
      </w:r>
      <w:r w:rsidR="005B535C">
        <w:rPr>
          <w:noProof/>
        </w:rPr>
        <w:t xml:space="preserve"> context of the future EU Visa application platform and of the digital visa, in particular regarding to the </w:t>
      </w:r>
      <w:r w:rsidR="005D28EB">
        <w:rPr>
          <w:noProof/>
        </w:rPr>
        <w:t xml:space="preserve">rights </w:t>
      </w:r>
      <w:r w:rsidR="005B535C">
        <w:rPr>
          <w:noProof/>
        </w:rPr>
        <w:t>of child. The platform will have to take into account requirements laid down in the Accessibility Directive</w:t>
      </w:r>
      <w:r w:rsidR="005B535C">
        <w:rPr>
          <w:rStyle w:val="FootnoteReference"/>
          <w:noProof/>
        </w:rPr>
        <w:footnoteReference w:id="57"/>
      </w:r>
      <w:r w:rsidR="005B535C">
        <w:rPr>
          <w:noProof/>
        </w:rPr>
        <w:t xml:space="preserve"> to ensure an easy access for people with disabilities. </w:t>
      </w:r>
    </w:p>
    <w:p w14:paraId="07AC08E1" w14:textId="1AFBD57F" w:rsidR="00532D88" w:rsidRDefault="00EF15A7" w:rsidP="00EF15A7">
      <w:pPr>
        <w:pStyle w:val="ManualConsidrant"/>
        <w:rPr>
          <w:noProof/>
        </w:rPr>
      </w:pPr>
      <w:r w:rsidRPr="00EF15A7">
        <w:t>(41)</w:t>
      </w:r>
      <w:r w:rsidRPr="00EF15A7">
        <w:tab/>
      </w:r>
      <w:r w:rsidR="00532D88">
        <w:rPr>
          <w:noProof/>
        </w:rPr>
        <w:t xml:space="preserve">In accordance with Articles 1 and 2 of the Protocol No 22 on the Position of Denmark annexed to the Treaty on European Union and to the </w:t>
      </w:r>
      <w:r w:rsidR="008B1BA3" w:rsidRPr="00C30018">
        <w:rPr>
          <w:noProof/>
        </w:rPr>
        <w:t>Treaty on the Functioning of the European Union</w:t>
      </w:r>
      <w:r w:rsidR="00532D88">
        <w:rPr>
          <w:noProof/>
        </w:rPr>
        <w:t xml:space="preserve">, Denmark is not taking part in the adoption of this Regulation and is not bound by it or subject to its application. Given that this Regulation builds upon the Schengen </w:t>
      </w:r>
      <w:r w:rsidR="00532D88" w:rsidRPr="00EC0933">
        <w:rPr>
          <w:i/>
          <w:noProof/>
        </w:rPr>
        <w:t>acquis</w:t>
      </w:r>
      <w:r w:rsidR="00532D88">
        <w:rPr>
          <w:noProof/>
        </w:rPr>
        <w:t>, Denmark shall, in accordance with Article 4 of that Protocol, decide within a period of six months after the Council has decided on this Regulation whether it will implement it in its national law.</w:t>
      </w:r>
    </w:p>
    <w:p w14:paraId="6DDD650B" w14:textId="769DB37E" w:rsidR="00532D88" w:rsidRDefault="00EF15A7" w:rsidP="00EF15A7">
      <w:pPr>
        <w:pStyle w:val="ManualConsidrant"/>
        <w:rPr>
          <w:noProof/>
        </w:rPr>
      </w:pPr>
      <w:r w:rsidRPr="00EF15A7">
        <w:t>(42)</w:t>
      </w:r>
      <w:r w:rsidRPr="00EF15A7">
        <w:tab/>
      </w:r>
      <w:r w:rsidR="00532D88">
        <w:rPr>
          <w:noProof/>
        </w:rPr>
        <w:t xml:space="preserve">This Regulation constitutes a development of the provisions of the Schengen </w:t>
      </w:r>
      <w:r w:rsidR="00532D88" w:rsidRPr="00EC0933">
        <w:rPr>
          <w:i/>
          <w:noProof/>
        </w:rPr>
        <w:t>acquis</w:t>
      </w:r>
      <w:r w:rsidR="00532D88">
        <w:rPr>
          <w:noProof/>
        </w:rPr>
        <w:t xml:space="preserve"> in which Ireland does not take part</w:t>
      </w:r>
      <w:r w:rsidR="00532D88">
        <w:rPr>
          <w:rStyle w:val="FootnoteReference"/>
          <w:noProof/>
        </w:rPr>
        <w:footnoteReference w:id="58"/>
      </w:r>
      <w:r w:rsidR="00532D88">
        <w:rPr>
          <w:noProof/>
        </w:rPr>
        <w:t>; Ireland is therefore not taking part in the adoption of this Regulation and is not bound by it or subject to its application.</w:t>
      </w:r>
    </w:p>
    <w:p w14:paraId="617A57DF" w14:textId="6E1D56F4" w:rsidR="00532D88" w:rsidRDefault="00EF15A7" w:rsidP="00EF15A7">
      <w:pPr>
        <w:pStyle w:val="ManualConsidrant"/>
        <w:rPr>
          <w:noProof/>
        </w:rPr>
      </w:pPr>
      <w:r w:rsidRPr="00EF15A7">
        <w:t>(43)</w:t>
      </w:r>
      <w:r w:rsidRPr="00EF15A7">
        <w:tab/>
      </w:r>
      <w:r w:rsidR="00532D88">
        <w:rPr>
          <w:noProof/>
        </w:rPr>
        <w:t xml:space="preserve">As regards Iceland and Norway, this Regulation constitutes a development of the provisions of the Schengen </w:t>
      </w:r>
      <w:r w:rsidR="00532D88" w:rsidRPr="00EC0933">
        <w:rPr>
          <w:i/>
          <w:noProof/>
        </w:rPr>
        <w:t>acquis</w:t>
      </w:r>
      <w:r w:rsidR="00532D88">
        <w:rPr>
          <w:noProof/>
        </w:rPr>
        <w:t xml:space="preserve"> within the meaning of the Agreement concluded by the Council of the European Union and the Republic of Iceland and the Kingdom of Norway concerning the association </w:t>
      </w:r>
      <w:r w:rsidR="00401BA6">
        <w:rPr>
          <w:noProof/>
        </w:rPr>
        <w:t xml:space="preserve">of those two States </w:t>
      </w:r>
      <w:r w:rsidR="00532D88">
        <w:rPr>
          <w:noProof/>
        </w:rPr>
        <w:t xml:space="preserve">with the implementation, application and development of the Schengen </w:t>
      </w:r>
      <w:r w:rsidR="00532D88" w:rsidRPr="00EC0933">
        <w:rPr>
          <w:i/>
          <w:noProof/>
        </w:rPr>
        <w:t>acquis</w:t>
      </w:r>
      <w:r w:rsidR="00532D88">
        <w:rPr>
          <w:rStyle w:val="FootnoteReference"/>
          <w:noProof/>
        </w:rPr>
        <w:footnoteReference w:id="59"/>
      </w:r>
      <w:r w:rsidR="00532D88">
        <w:rPr>
          <w:noProof/>
        </w:rPr>
        <w:t xml:space="preserve"> which fall within the area referred to in Article 1, point B of Council Decision 1999/437/EC</w:t>
      </w:r>
      <w:r w:rsidR="00532D88">
        <w:rPr>
          <w:rStyle w:val="FootnoteReference"/>
          <w:noProof/>
        </w:rPr>
        <w:footnoteReference w:id="60"/>
      </w:r>
      <w:r w:rsidR="00532D88">
        <w:rPr>
          <w:noProof/>
        </w:rPr>
        <w:t>.</w:t>
      </w:r>
    </w:p>
    <w:p w14:paraId="2D89F009" w14:textId="4237B4BC" w:rsidR="00532D88" w:rsidRDefault="00EF15A7" w:rsidP="00EF15A7">
      <w:pPr>
        <w:pStyle w:val="ManualConsidrant"/>
        <w:rPr>
          <w:noProof/>
        </w:rPr>
      </w:pPr>
      <w:r w:rsidRPr="00EF15A7">
        <w:t>(44)</w:t>
      </w:r>
      <w:r w:rsidRPr="00EF15A7">
        <w:tab/>
      </w:r>
      <w:r w:rsidR="00532D88">
        <w:rPr>
          <w:noProof/>
        </w:rPr>
        <w:t xml:space="preserve">As regards Switzerland, this Regulation constitutes a development of the provisions of the Schengen </w:t>
      </w:r>
      <w:r w:rsidR="00532D88" w:rsidRPr="00EC0933">
        <w:rPr>
          <w:i/>
          <w:noProof/>
        </w:rPr>
        <w:t>acquis</w:t>
      </w:r>
      <w:r w:rsidR="00532D88">
        <w:rPr>
          <w:noProof/>
        </w:rPr>
        <w:t xml:space="preserve"> within the meaning of the Agreement between the European Union, the European Community and the Swiss Confederation on the Swiss Confederation's association with the implementation, application and development of the Schengen </w:t>
      </w:r>
      <w:r w:rsidR="00532D88" w:rsidRPr="00EC0933">
        <w:rPr>
          <w:i/>
          <w:noProof/>
        </w:rPr>
        <w:t>acquis</w:t>
      </w:r>
      <w:r w:rsidR="00532D88">
        <w:rPr>
          <w:rStyle w:val="FootnoteReference"/>
          <w:noProof/>
        </w:rPr>
        <w:footnoteReference w:id="61"/>
      </w:r>
      <w:r w:rsidR="00532D88">
        <w:rPr>
          <w:noProof/>
        </w:rPr>
        <w:t xml:space="preserve"> which fall within the area referred to in Article 1, point B, of Decision 1999/437/EC read in conjunction with Article 3 of Council Decision 2008/146/EC</w:t>
      </w:r>
      <w:r w:rsidR="00532D88">
        <w:rPr>
          <w:rStyle w:val="FootnoteReference"/>
          <w:noProof/>
        </w:rPr>
        <w:footnoteReference w:id="62"/>
      </w:r>
      <w:r w:rsidR="00532D88">
        <w:rPr>
          <w:noProof/>
        </w:rPr>
        <w:t>.</w:t>
      </w:r>
    </w:p>
    <w:p w14:paraId="1FCA63EF" w14:textId="6819D61B" w:rsidR="00532D88" w:rsidRDefault="00EF15A7" w:rsidP="00EF15A7">
      <w:pPr>
        <w:pStyle w:val="ManualConsidrant"/>
        <w:rPr>
          <w:noProof/>
        </w:rPr>
      </w:pPr>
      <w:r w:rsidRPr="00EF15A7">
        <w:t>(45)</w:t>
      </w:r>
      <w:r w:rsidRPr="00EF15A7">
        <w:tab/>
      </w:r>
      <w:r w:rsidR="00532D88">
        <w:rPr>
          <w:noProof/>
        </w:rPr>
        <w:t xml:space="preserve">As regards Liechtenstein, this Regulation constitutes a development of the provisions of the Schengen </w:t>
      </w:r>
      <w:r w:rsidR="00532D88" w:rsidRPr="00EC0933">
        <w:rPr>
          <w:i/>
          <w:noProof/>
        </w:rPr>
        <w:t>acquis</w:t>
      </w:r>
      <w:r w:rsidR="00532D88">
        <w:rPr>
          <w:noProof/>
        </w:rPr>
        <w:t xml:space="preserve"> within the meaning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w:t>
      </w:r>
      <w:r w:rsidR="00532D88" w:rsidRPr="00EC0933">
        <w:rPr>
          <w:i/>
          <w:noProof/>
        </w:rPr>
        <w:t>acquis</w:t>
      </w:r>
      <w:r w:rsidR="00532D88">
        <w:rPr>
          <w:rStyle w:val="FootnoteReference"/>
          <w:noProof/>
        </w:rPr>
        <w:footnoteReference w:id="63"/>
      </w:r>
      <w:r w:rsidR="00532D88">
        <w:rPr>
          <w:noProof/>
        </w:rPr>
        <w:t xml:space="preserve"> which fall within the area referred to in Article 1, point B, of Decision 1999/437/EC read in conjunction with Article 3 of Council Decision 2011/350/EU</w:t>
      </w:r>
      <w:r w:rsidR="00532D88">
        <w:rPr>
          <w:rStyle w:val="FootnoteReference"/>
          <w:noProof/>
        </w:rPr>
        <w:footnoteReference w:id="64"/>
      </w:r>
      <w:r w:rsidR="00532D88">
        <w:rPr>
          <w:noProof/>
        </w:rPr>
        <w:t>.</w:t>
      </w:r>
    </w:p>
    <w:p w14:paraId="3268996C" w14:textId="012E4BAD" w:rsidR="0022226B" w:rsidRPr="00FE6B76" w:rsidRDefault="00EF15A7" w:rsidP="00EF15A7">
      <w:pPr>
        <w:pStyle w:val="ManualConsidrant"/>
        <w:rPr>
          <w:noProof/>
          <w:lang w:val="en-US"/>
        </w:rPr>
      </w:pPr>
      <w:r w:rsidRPr="00EF15A7">
        <w:t>(46)</w:t>
      </w:r>
      <w:r w:rsidRPr="00EF15A7">
        <w:tab/>
      </w:r>
      <w:r w:rsidR="0022226B" w:rsidRPr="00FE6B76">
        <w:rPr>
          <w:noProof/>
          <w:shd w:val="clear" w:color="auto" w:fill="FFFFFF"/>
          <w:lang w:val="en-US"/>
        </w:rPr>
        <w:t>This Regulation constitutes an act building upon, or otherwise relating to, the Schengen </w:t>
      </w:r>
      <w:r w:rsidR="0022226B" w:rsidRPr="00FE6B76">
        <w:rPr>
          <w:rStyle w:val="oj-italic"/>
          <w:i/>
          <w:iCs/>
          <w:noProof/>
          <w:color w:val="444444"/>
          <w:sz w:val="27"/>
          <w:szCs w:val="27"/>
          <w:shd w:val="clear" w:color="auto" w:fill="FFFFFF"/>
          <w:lang w:val="en-US"/>
        </w:rPr>
        <w:t>acquis</w:t>
      </w:r>
      <w:r w:rsidR="0022226B" w:rsidRPr="00FE6B76">
        <w:rPr>
          <w:noProof/>
          <w:shd w:val="clear" w:color="auto" w:fill="FFFFFF"/>
          <w:lang w:val="en-US"/>
        </w:rPr>
        <w:t> within, respectively, the meaning of Article 3(2) of the 2003 Act of Accession, Article 4(2) of the 2005 Act of Accession and Article 4(2) of the 2011 Act of Accession</w:t>
      </w:r>
      <w:r w:rsidR="000C1854">
        <w:rPr>
          <w:noProof/>
          <w:shd w:val="clear" w:color="auto" w:fill="FFFFFF"/>
          <w:lang w:val="en-US"/>
        </w:rPr>
        <w:t>,</w:t>
      </w:r>
    </w:p>
    <w:p w14:paraId="71D296A7" w14:textId="4C30A4C7" w:rsidR="001B0785" w:rsidRPr="00FE6B76" w:rsidRDefault="00EF15A7" w:rsidP="00EF15A7">
      <w:pPr>
        <w:pStyle w:val="ManualConsidrant"/>
        <w:rPr>
          <w:noProof/>
          <w:lang w:val="en-US"/>
        </w:rPr>
      </w:pPr>
      <w:r w:rsidRPr="00EF15A7">
        <w:t>(47)</w:t>
      </w:r>
      <w:r w:rsidRPr="00EF15A7">
        <w:tab/>
      </w:r>
      <w:r w:rsidR="00BD2B6D" w:rsidRPr="00BD2B6D">
        <w:rPr>
          <w:noProof/>
        </w:rPr>
        <w:t>The European Data Protection Supervisor was consulted in accordance with Article 42 of Regulation (EU) 2018/1725 of the European Parliament and of the Council</w:t>
      </w:r>
      <w:r w:rsidR="00BD2B6D" w:rsidRPr="000E3E0B">
        <w:rPr>
          <w:rStyle w:val="FootnoteReference"/>
          <w:noProof/>
        </w:rPr>
        <w:footnoteReference w:id="65"/>
      </w:r>
      <w:r w:rsidR="00D62E54">
        <w:rPr>
          <w:noProof/>
        </w:rPr>
        <w:t xml:space="preserve"> and delivered an opinion on </w:t>
      </w:r>
      <w:r w:rsidR="00D62E54" w:rsidRPr="00D62E54">
        <w:rPr>
          <w:noProof/>
        </w:rPr>
        <w:t>[XX]</w:t>
      </w:r>
      <w:r w:rsidR="00D62E54">
        <w:rPr>
          <w:rStyle w:val="FootnoteReference"/>
          <w:noProof/>
        </w:rPr>
        <w:footnoteReference w:id="66"/>
      </w:r>
      <w:r w:rsidR="00BD2B6D" w:rsidRPr="00BD2B6D">
        <w:rPr>
          <w:noProof/>
        </w:rPr>
        <w:t>.</w:t>
      </w:r>
    </w:p>
    <w:p w14:paraId="36EA7D61" w14:textId="77777777" w:rsidR="00A40E24" w:rsidRPr="00F96E01" w:rsidRDefault="00A40E24" w:rsidP="00012221">
      <w:pPr>
        <w:pStyle w:val="Formuledadoption"/>
        <w:rPr>
          <w:noProof/>
        </w:rPr>
      </w:pPr>
      <w:r w:rsidRPr="00F96E01">
        <w:rPr>
          <w:noProof/>
        </w:rPr>
        <w:t>HAVE ADOPTED THIS REGULATION:</w:t>
      </w:r>
    </w:p>
    <w:p w14:paraId="5CD8BDB1" w14:textId="77777777" w:rsidR="00A40E24" w:rsidRPr="00F96E01" w:rsidRDefault="00A40E24" w:rsidP="00012221">
      <w:pPr>
        <w:pStyle w:val="Titrearticle"/>
        <w:rPr>
          <w:noProof/>
        </w:rPr>
      </w:pPr>
      <w:r w:rsidRPr="00F96E01">
        <w:rPr>
          <w:noProof/>
        </w:rPr>
        <w:t>Article 1</w:t>
      </w:r>
      <w:r w:rsidR="007F29CC">
        <w:rPr>
          <w:noProof/>
        </w:rPr>
        <w:br/>
        <w:t xml:space="preserve">Amendments to </w:t>
      </w:r>
      <w:r w:rsidR="007F29CC" w:rsidRPr="007F29CC">
        <w:rPr>
          <w:noProof/>
        </w:rPr>
        <w:t>Regulation (EC) No 810/2009</w:t>
      </w:r>
    </w:p>
    <w:p w14:paraId="01F205C6" w14:textId="77777777" w:rsidR="00A40E24" w:rsidRDefault="00BA6F26" w:rsidP="00012221">
      <w:pPr>
        <w:rPr>
          <w:noProof/>
          <w:sz w:val="23"/>
          <w:szCs w:val="23"/>
        </w:rPr>
      </w:pPr>
      <w:r w:rsidRPr="00BA6F26">
        <w:rPr>
          <w:noProof/>
          <w:sz w:val="23"/>
          <w:szCs w:val="23"/>
        </w:rPr>
        <w:t xml:space="preserve">Regulation (EC) No 810/2009 </w:t>
      </w:r>
      <w:r>
        <w:rPr>
          <w:noProof/>
          <w:sz w:val="23"/>
          <w:szCs w:val="23"/>
        </w:rPr>
        <w:t xml:space="preserve">is amended as follows: </w:t>
      </w:r>
    </w:p>
    <w:p w14:paraId="3CD42192" w14:textId="3A78ED34" w:rsidR="009D4A94" w:rsidRDefault="00EF15A7" w:rsidP="00EF15A7">
      <w:pPr>
        <w:pStyle w:val="Point0"/>
        <w:rPr>
          <w:noProof/>
        </w:rPr>
      </w:pPr>
      <w:r w:rsidRPr="00EF15A7">
        <w:t>(1)</w:t>
      </w:r>
      <w:r w:rsidRPr="00EF15A7">
        <w:tab/>
      </w:r>
      <w:r w:rsidR="00B73EDB">
        <w:rPr>
          <w:noProof/>
        </w:rPr>
        <w:t>i</w:t>
      </w:r>
      <w:r w:rsidR="00062A0F">
        <w:rPr>
          <w:noProof/>
        </w:rPr>
        <w:t xml:space="preserve">n </w:t>
      </w:r>
      <w:r w:rsidR="006E75D6" w:rsidRPr="006E75D6">
        <w:rPr>
          <w:noProof/>
        </w:rPr>
        <w:t>Article 1</w:t>
      </w:r>
      <w:r w:rsidR="00B73EDB">
        <w:rPr>
          <w:noProof/>
        </w:rPr>
        <w:t>(2),</w:t>
      </w:r>
      <w:r w:rsidR="006E75D6" w:rsidRPr="006E75D6">
        <w:rPr>
          <w:noProof/>
        </w:rPr>
        <w:t xml:space="preserve"> </w:t>
      </w:r>
      <w:r w:rsidR="00062A0F">
        <w:rPr>
          <w:noProof/>
        </w:rPr>
        <w:t>the following point</w:t>
      </w:r>
      <w:r w:rsidR="007D3792">
        <w:rPr>
          <w:noProof/>
        </w:rPr>
        <w:t xml:space="preserve"> (c)</w:t>
      </w:r>
      <w:r w:rsidR="00062A0F">
        <w:rPr>
          <w:noProof/>
        </w:rPr>
        <w:t xml:space="preserve"> is added</w:t>
      </w:r>
      <w:r w:rsidR="006E75D6" w:rsidRPr="006E75D6">
        <w:rPr>
          <w:noProof/>
        </w:rPr>
        <w:t xml:space="preserve">: </w:t>
      </w:r>
    </w:p>
    <w:p w14:paraId="3118B110" w14:textId="77777777" w:rsidR="00B73EDB" w:rsidRDefault="00062A0F" w:rsidP="004845B4">
      <w:pPr>
        <w:pStyle w:val="Text1"/>
        <w:rPr>
          <w:noProof/>
          <w:lang w:val="en-IE"/>
        </w:rPr>
      </w:pPr>
      <w:r w:rsidRPr="00513CAD">
        <w:rPr>
          <w:noProof/>
        </w:rPr>
        <w:t>“</w:t>
      </w:r>
      <w:r>
        <w:rPr>
          <w:noProof/>
        </w:rPr>
        <w:t xml:space="preserve">(c) </w:t>
      </w:r>
      <w:r>
        <w:rPr>
          <w:noProof/>
          <w:lang w:val="en-IE"/>
        </w:rPr>
        <w:t xml:space="preserve">the residence rights </w:t>
      </w:r>
      <w:r w:rsidRPr="00145227">
        <w:rPr>
          <w:noProof/>
          <w:lang w:val="en-IE"/>
        </w:rPr>
        <w:t>enjoyed</w:t>
      </w:r>
      <w:r>
        <w:rPr>
          <w:noProof/>
          <w:lang w:val="en-IE"/>
        </w:rPr>
        <w:t xml:space="preserve"> in the host State</w:t>
      </w:r>
      <w:r w:rsidRPr="00145227">
        <w:rPr>
          <w:noProof/>
          <w:lang w:val="en-IE"/>
        </w:rPr>
        <w:t xml:space="preserve"> by third-country nationals who</w:t>
      </w:r>
      <w:r>
        <w:rPr>
          <w:noProof/>
          <w:lang w:val="en-IE"/>
        </w:rPr>
        <w:t xml:space="preserve"> </w:t>
      </w:r>
      <w:r w:rsidRPr="00145227">
        <w:rPr>
          <w:noProof/>
          <w:lang w:val="en-IE"/>
        </w:rPr>
        <w:t xml:space="preserve">are family members of </w:t>
      </w:r>
      <w:r>
        <w:rPr>
          <w:noProof/>
          <w:lang w:val="en-IE"/>
        </w:rPr>
        <w:t>UK nationals who themselves are beneficiaries of the Agreement</w:t>
      </w:r>
      <w:r w:rsidR="00B73EDB" w:rsidRPr="00B73EDB">
        <w:rPr>
          <w:noProof/>
        </w:rPr>
        <w:t xml:space="preserve"> on the withdrawal of the United Kingdom of Great Britain and Northern Ireland from the European Union and the European Atomic Energy Community</w:t>
      </w:r>
      <w:r w:rsidR="00B73EDB">
        <w:rPr>
          <w:noProof/>
        </w:rPr>
        <w:t>* (‘</w:t>
      </w:r>
      <w:r w:rsidR="00B73EDB">
        <w:rPr>
          <w:noProof/>
          <w:lang w:val="en-IE"/>
        </w:rPr>
        <w:t>EU-UK Withdrawal Agreement</w:t>
      </w:r>
      <w:r w:rsidR="00B73EDB">
        <w:rPr>
          <w:noProof/>
        </w:rPr>
        <w:t>’)</w:t>
      </w:r>
      <w:r>
        <w:rPr>
          <w:noProof/>
          <w:lang w:val="en-IE"/>
        </w:rPr>
        <w:t>.</w:t>
      </w:r>
    </w:p>
    <w:p w14:paraId="1B4D872F" w14:textId="77777777" w:rsidR="00B73EDB" w:rsidRDefault="00B73EDB" w:rsidP="004845B4">
      <w:pPr>
        <w:pStyle w:val="Text1"/>
        <w:rPr>
          <w:noProof/>
          <w:lang w:val="en-IE"/>
        </w:rPr>
      </w:pPr>
      <w:r>
        <w:rPr>
          <w:noProof/>
          <w:lang w:val="en-IE"/>
        </w:rPr>
        <w:t>__________</w:t>
      </w:r>
    </w:p>
    <w:p w14:paraId="0847DDC9" w14:textId="77777777" w:rsidR="006E75D6" w:rsidRDefault="00B73EDB" w:rsidP="004845B4">
      <w:pPr>
        <w:pStyle w:val="Text1"/>
        <w:rPr>
          <w:noProof/>
        </w:rPr>
      </w:pPr>
      <w:r>
        <w:rPr>
          <w:noProof/>
        </w:rPr>
        <w:t xml:space="preserve">* </w:t>
      </w:r>
      <w:r w:rsidR="00183913" w:rsidRPr="00183913">
        <w:rPr>
          <w:noProof/>
        </w:rPr>
        <w:t>Agreement on the withdrawal of the United Kingdom of Great Britain and Northern Ireland from the European Union and the European Atomic Energy Community (OJ L 29, 31.1.2020, p. 7)</w:t>
      </w:r>
      <w:r w:rsidRPr="00EC0933">
        <w:rPr>
          <w:noProof/>
        </w:rPr>
        <w:t>.</w:t>
      </w:r>
      <w:r w:rsidR="00062A0F" w:rsidRPr="00513CAD">
        <w:rPr>
          <w:noProof/>
        </w:rPr>
        <w:t>”</w:t>
      </w:r>
      <w:r w:rsidR="00062A0F">
        <w:rPr>
          <w:noProof/>
        </w:rPr>
        <w:t>;</w:t>
      </w:r>
    </w:p>
    <w:p w14:paraId="481414FA" w14:textId="462FFFE6" w:rsidR="00E95912" w:rsidRDefault="00EF15A7" w:rsidP="00EF15A7">
      <w:pPr>
        <w:pStyle w:val="Point0"/>
        <w:rPr>
          <w:noProof/>
        </w:rPr>
      </w:pPr>
      <w:r w:rsidRPr="00EF15A7">
        <w:t>(2)</w:t>
      </w:r>
      <w:r w:rsidRPr="00EF15A7">
        <w:tab/>
      </w:r>
      <w:r w:rsidR="00572C14">
        <w:rPr>
          <w:noProof/>
        </w:rPr>
        <w:t xml:space="preserve">in </w:t>
      </w:r>
      <w:r w:rsidR="006B2F22">
        <w:rPr>
          <w:noProof/>
        </w:rPr>
        <w:t xml:space="preserve">Article </w:t>
      </w:r>
      <w:r w:rsidR="00E95912">
        <w:rPr>
          <w:noProof/>
        </w:rPr>
        <w:t>2</w:t>
      </w:r>
      <w:r w:rsidR="00572C14">
        <w:rPr>
          <w:noProof/>
        </w:rPr>
        <w:t>,</w:t>
      </w:r>
      <w:r w:rsidR="00CB5CD4">
        <w:rPr>
          <w:noProof/>
        </w:rPr>
        <w:t xml:space="preserve"> </w:t>
      </w:r>
      <w:r w:rsidR="00572C14">
        <w:rPr>
          <w:noProof/>
        </w:rPr>
        <w:t xml:space="preserve">the following points </w:t>
      </w:r>
      <w:r w:rsidR="007D3792">
        <w:rPr>
          <w:noProof/>
        </w:rPr>
        <w:t xml:space="preserve">10a and 10b </w:t>
      </w:r>
      <w:r w:rsidR="00572C14">
        <w:rPr>
          <w:noProof/>
        </w:rPr>
        <w:t>are inserted:</w:t>
      </w:r>
    </w:p>
    <w:p w14:paraId="4575940F" w14:textId="77777777" w:rsidR="00BF3167" w:rsidRDefault="00572C14" w:rsidP="00FA5DD4">
      <w:pPr>
        <w:pStyle w:val="Text1"/>
        <w:rPr>
          <w:noProof/>
        </w:rPr>
      </w:pPr>
      <w:r w:rsidDel="00572C14">
        <w:rPr>
          <w:noProof/>
        </w:rPr>
        <w:t xml:space="preserve"> </w:t>
      </w:r>
      <w:r w:rsidR="00CB5CD4" w:rsidRPr="00FA5DD4">
        <w:rPr>
          <w:noProof/>
        </w:rPr>
        <w:t xml:space="preserve">“10a. ‘application form’ means the </w:t>
      </w:r>
      <w:r w:rsidR="006B6F04" w:rsidRPr="00FA5DD4">
        <w:rPr>
          <w:noProof/>
        </w:rPr>
        <w:t xml:space="preserve">uniform </w:t>
      </w:r>
      <w:r w:rsidR="00CB5CD4" w:rsidRPr="00FA5DD4">
        <w:rPr>
          <w:noProof/>
        </w:rPr>
        <w:t xml:space="preserve">form </w:t>
      </w:r>
      <w:r w:rsidR="006B6F04" w:rsidRPr="00FA5DD4">
        <w:rPr>
          <w:noProof/>
        </w:rPr>
        <w:t xml:space="preserve">set out in Annex I, </w:t>
      </w:r>
      <w:r w:rsidR="006A3E5A" w:rsidRPr="00FA5DD4">
        <w:rPr>
          <w:noProof/>
        </w:rPr>
        <w:t xml:space="preserve">either </w:t>
      </w:r>
      <w:r w:rsidR="006B6F04" w:rsidRPr="00FA5DD4">
        <w:rPr>
          <w:noProof/>
        </w:rPr>
        <w:t xml:space="preserve">available online </w:t>
      </w:r>
      <w:r w:rsidR="00800772" w:rsidRPr="00FA5DD4">
        <w:rPr>
          <w:noProof/>
        </w:rPr>
        <w:t>via</w:t>
      </w:r>
      <w:r w:rsidR="006B6F04" w:rsidRPr="00FA5DD4">
        <w:rPr>
          <w:noProof/>
        </w:rPr>
        <w:t xml:space="preserve"> </w:t>
      </w:r>
      <w:r w:rsidR="00CB5CD4" w:rsidRPr="00FA5DD4">
        <w:rPr>
          <w:noProof/>
        </w:rPr>
        <w:t xml:space="preserve">the </w:t>
      </w:r>
      <w:r w:rsidR="00485587" w:rsidRPr="00FA5DD4">
        <w:rPr>
          <w:noProof/>
        </w:rPr>
        <w:t xml:space="preserve">EU </w:t>
      </w:r>
      <w:r w:rsidR="00CB5CD4" w:rsidRPr="00FA5DD4">
        <w:rPr>
          <w:noProof/>
        </w:rPr>
        <w:t xml:space="preserve">application </w:t>
      </w:r>
      <w:r w:rsidR="006B6F04" w:rsidRPr="00FA5DD4">
        <w:rPr>
          <w:noProof/>
        </w:rPr>
        <w:t xml:space="preserve">platform </w:t>
      </w:r>
      <w:r w:rsidR="00CB5CD4" w:rsidRPr="00FA5DD4">
        <w:rPr>
          <w:noProof/>
        </w:rPr>
        <w:t xml:space="preserve">or </w:t>
      </w:r>
      <w:r w:rsidR="006B6F04" w:rsidRPr="00FA5DD4">
        <w:rPr>
          <w:noProof/>
        </w:rPr>
        <w:t>on paper</w:t>
      </w:r>
      <w:r w:rsidR="00BF3167" w:rsidRPr="00FA5DD4">
        <w:rPr>
          <w:noProof/>
        </w:rPr>
        <w:t>;</w:t>
      </w:r>
      <w:r w:rsidR="00485587">
        <w:rPr>
          <w:noProof/>
        </w:rPr>
        <w:t xml:space="preserve"> </w:t>
      </w:r>
    </w:p>
    <w:p w14:paraId="4ABDEA1A" w14:textId="77777777" w:rsidR="00E17BC2" w:rsidRDefault="00BF3167" w:rsidP="00FA5DD4">
      <w:pPr>
        <w:pStyle w:val="Text1"/>
        <w:rPr>
          <w:noProof/>
        </w:rPr>
      </w:pPr>
      <w:r>
        <w:rPr>
          <w:noProof/>
        </w:rPr>
        <w:t>10b.</w:t>
      </w:r>
      <w:r w:rsidRPr="00BF3167">
        <w:rPr>
          <w:noProof/>
        </w:rPr>
        <w:t xml:space="preserve"> </w:t>
      </w:r>
      <w:r w:rsidRPr="00CB5CD4">
        <w:rPr>
          <w:noProof/>
        </w:rPr>
        <w:t>‘</w:t>
      </w:r>
      <w:r>
        <w:rPr>
          <w:noProof/>
        </w:rPr>
        <w:t>digital visa</w:t>
      </w:r>
      <w:r w:rsidRPr="00CB5CD4">
        <w:rPr>
          <w:noProof/>
        </w:rPr>
        <w:t>’</w:t>
      </w:r>
      <w:r>
        <w:rPr>
          <w:noProof/>
        </w:rPr>
        <w:t xml:space="preserve"> means v</w:t>
      </w:r>
      <w:r w:rsidRPr="00BF3167">
        <w:rPr>
          <w:noProof/>
        </w:rPr>
        <w:t>isas issued in digital format as a record in VIS</w:t>
      </w:r>
      <w:r>
        <w:rPr>
          <w:noProof/>
        </w:rPr>
        <w:t>;</w:t>
      </w:r>
      <w:r w:rsidR="00C111B2" w:rsidRPr="00513CAD">
        <w:rPr>
          <w:noProof/>
        </w:rPr>
        <w:t>”</w:t>
      </w:r>
      <w:r w:rsidR="00C111B2">
        <w:rPr>
          <w:noProof/>
        </w:rPr>
        <w:t>;</w:t>
      </w:r>
    </w:p>
    <w:p w14:paraId="72CABB70" w14:textId="39CE9B7E" w:rsidR="003F6DC7" w:rsidRDefault="00EF15A7" w:rsidP="00EF15A7">
      <w:pPr>
        <w:pStyle w:val="Point0"/>
        <w:rPr>
          <w:noProof/>
        </w:rPr>
      </w:pPr>
      <w:r w:rsidRPr="00EF15A7">
        <w:t>(3)</w:t>
      </w:r>
      <w:r w:rsidRPr="00EF15A7">
        <w:tab/>
      </w:r>
      <w:r w:rsidR="00E17BC2">
        <w:rPr>
          <w:noProof/>
        </w:rPr>
        <w:t>in Article 3</w:t>
      </w:r>
      <w:r w:rsidR="00F74928">
        <w:rPr>
          <w:noProof/>
        </w:rPr>
        <w:t>(5),</w:t>
      </w:r>
      <w:r w:rsidR="00E17BC2">
        <w:rPr>
          <w:noProof/>
        </w:rPr>
        <w:t xml:space="preserve"> point (d) is replaced by the following</w:t>
      </w:r>
      <w:r w:rsidR="00A13163">
        <w:rPr>
          <w:noProof/>
        </w:rPr>
        <w:t>:</w:t>
      </w:r>
    </w:p>
    <w:p w14:paraId="6685A947" w14:textId="77777777" w:rsidR="00E17BC2" w:rsidRDefault="00E17BC2" w:rsidP="00FA5DD4">
      <w:pPr>
        <w:pStyle w:val="Text1"/>
        <w:rPr>
          <w:noProof/>
        </w:rPr>
      </w:pPr>
      <w:r w:rsidRPr="00513CAD">
        <w:rPr>
          <w:noProof/>
        </w:rPr>
        <w:t>“</w:t>
      </w:r>
      <w:r>
        <w:rPr>
          <w:noProof/>
        </w:rPr>
        <w:t>(d)</w:t>
      </w:r>
      <w:r w:rsidR="00F74928">
        <w:rPr>
          <w:noProof/>
        </w:rPr>
        <w:t xml:space="preserve"> </w:t>
      </w:r>
      <w:r>
        <w:rPr>
          <w:noProof/>
        </w:rPr>
        <w:t>family members of citizens of the Union referred to in Article 1(2)</w:t>
      </w:r>
      <w:r w:rsidR="00F74928">
        <w:rPr>
          <w:noProof/>
        </w:rPr>
        <w:t xml:space="preserve">, point </w:t>
      </w:r>
      <w:r>
        <w:rPr>
          <w:noProof/>
        </w:rPr>
        <w:t>(a)</w:t>
      </w:r>
      <w:r w:rsidR="00F74928">
        <w:rPr>
          <w:noProof/>
        </w:rPr>
        <w:t>,</w:t>
      </w:r>
      <w:r>
        <w:rPr>
          <w:noProof/>
        </w:rPr>
        <w:t xml:space="preserve"> and family members of UK nationals who themselves are beneficiaries of the EU-UK Withdrawal Agreement referred to in Article 1(2)</w:t>
      </w:r>
      <w:r w:rsidR="00F74928">
        <w:rPr>
          <w:noProof/>
        </w:rPr>
        <w:t xml:space="preserve">, point </w:t>
      </w:r>
      <w:r>
        <w:rPr>
          <w:noProof/>
        </w:rPr>
        <w:t>(c);</w:t>
      </w:r>
      <w:r w:rsidRPr="00513CAD">
        <w:rPr>
          <w:noProof/>
        </w:rPr>
        <w:t>”</w:t>
      </w:r>
      <w:r>
        <w:rPr>
          <w:noProof/>
        </w:rPr>
        <w:t>;</w:t>
      </w:r>
    </w:p>
    <w:p w14:paraId="30BBF0B8" w14:textId="60D08015" w:rsidR="00BA6F26" w:rsidRDefault="00EF15A7" w:rsidP="00EF15A7">
      <w:pPr>
        <w:pStyle w:val="Point0"/>
        <w:rPr>
          <w:noProof/>
        </w:rPr>
      </w:pPr>
      <w:r w:rsidRPr="00EF15A7">
        <w:t>(4)</w:t>
      </w:r>
      <w:r w:rsidRPr="00EF15A7">
        <w:tab/>
      </w:r>
      <w:r w:rsidR="006F5C1D">
        <w:rPr>
          <w:noProof/>
        </w:rPr>
        <w:t>i</w:t>
      </w:r>
      <w:r w:rsidR="00012221">
        <w:rPr>
          <w:noProof/>
        </w:rPr>
        <w:t xml:space="preserve">n </w:t>
      </w:r>
      <w:r w:rsidR="001D3927" w:rsidRPr="00CE311F">
        <w:rPr>
          <w:noProof/>
        </w:rPr>
        <w:t>Article 5</w:t>
      </w:r>
      <w:r w:rsidR="00F74928">
        <w:rPr>
          <w:noProof/>
        </w:rPr>
        <w:t>(1),</w:t>
      </w:r>
      <w:r w:rsidR="001D3927">
        <w:rPr>
          <w:b/>
          <w:noProof/>
        </w:rPr>
        <w:t xml:space="preserve"> </w:t>
      </w:r>
      <w:r w:rsidR="00BA6F26" w:rsidRPr="00991D13">
        <w:rPr>
          <w:noProof/>
        </w:rPr>
        <w:t>point (b)</w:t>
      </w:r>
      <w:r w:rsidR="00BA6F26">
        <w:rPr>
          <w:noProof/>
        </w:rPr>
        <w:t xml:space="preserve"> is replaced by the following:</w:t>
      </w:r>
    </w:p>
    <w:p w14:paraId="350E9A36" w14:textId="77777777" w:rsidR="00BA6F26" w:rsidRDefault="00513CAD" w:rsidP="003511F6">
      <w:pPr>
        <w:pStyle w:val="Text1"/>
        <w:rPr>
          <w:noProof/>
        </w:rPr>
      </w:pPr>
      <w:r w:rsidRPr="00513CAD">
        <w:rPr>
          <w:noProof/>
        </w:rPr>
        <w:t>“</w:t>
      </w:r>
      <w:r w:rsidR="00012221">
        <w:rPr>
          <w:noProof/>
        </w:rPr>
        <w:t xml:space="preserve">(b) </w:t>
      </w:r>
      <w:r w:rsidR="00BA6F26">
        <w:rPr>
          <w:noProof/>
        </w:rPr>
        <w:t>if the visit includes more than one destination, or if several separate visits are to be carried out within a period of two months, the Member State whose territory constitutes the main destination of the visit(s) in terms of the length of stay, counted in days;</w:t>
      </w:r>
      <w:r w:rsidRPr="00513CAD">
        <w:rPr>
          <w:noProof/>
        </w:rPr>
        <w:t>”</w:t>
      </w:r>
      <w:r w:rsidR="00012221">
        <w:rPr>
          <w:noProof/>
        </w:rPr>
        <w:t>;</w:t>
      </w:r>
    </w:p>
    <w:p w14:paraId="0C3EDB84" w14:textId="0E1543A3" w:rsidR="00331728" w:rsidRDefault="00EF15A7" w:rsidP="00EF15A7">
      <w:pPr>
        <w:pStyle w:val="Point0"/>
        <w:rPr>
          <w:noProof/>
        </w:rPr>
      </w:pPr>
      <w:r w:rsidRPr="00EF15A7">
        <w:t>(5)</w:t>
      </w:r>
      <w:r w:rsidRPr="00EF15A7">
        <w:tab/>
      </w:r>
      <w:r w:rsidR="00F74928">
        <w:rPr>
          <w:noProof/>
        </w:rPr>
        <w:t>i</w:t>
      </w:r>
      <w:r w:rsidR="00B535EE">
        <w:rPr>
          <w:noProof/>
        </w:rPr>
        <w:t xml:space="preserve">n </w:t>
      </w:r>
      <w:r w:rsidR="00D456DF">
        <w:rPr>
          <w:noProof/>
        </w:rPr>
        <w:t>Article 8</w:t>
      </w:r>
      <w:r w:rsidR="00F74928">
        <w:rPr>
          <w:noProof/>
        </w:rPr>
        <w:t>,</w:t>
      </w:r>
      <w:r w:rsidR="00B535EE">
        <w:rPr>
          <w:noProof/>
        </w:rPr>
        <w:t xml:space="preserve"> the </w:t>
      </w:r>
      <w:r w:rsidR="00D915A0">
        <w:rPr>
          <w:noProof/>
        </w:rPr>
        <w:t>following paragraph</w:t>
      </w:r>
      <w:r w:rsidR="007D3792">
        <w:rPr>
          <w:noProof/>
        </w:rPr>
        <w:t xml:space="preserve"> 4a</w:t>
      </w:r>
      <w:r w:rsidR="00D915A0">
        <w:rPr>
          <w:noProof/>
        </w:rPr>
        <w:t xml:space="preserve"> is inserted:</w:t>
      </w:r>
    </w:p>
    <w:p w14:paraId="62781EE2" w14:textId="77777777" w:rsidR="00B535EE" w:rsidRDefault="00B535EE" w:rsidP="00FA5DD4">
      <w:pPr>
        <w:pStyle w:val="Text1"/>
        <w:rPr>
          <w:noProof/>
        </w:rPr>
      </w:pPr>
      <w:r w:rsidRPr="00513CAD">
        <w:rPr>
          <w:noProof/>
        </w:rPr>
        <w:t>“</w:t>
      </w:r>
      <w:r>
        <w:rPr>
          <w:noProof/>
        </w:rPr>
        <w:t xml:space="preserve">4a. </w:t>
      </w:r>
      <w:r w:rsidR="00DC1A2B">
        <w:rPr>
          <w:noProof/>
        </w:rPr>
        <w:t>Bilateral representation arrangements shall be displayed in the</w:t>
      </w:r>
      <w:r>
        <w:rPr>
          <w:noProof/>
        </w:rPr>
        <w:t xml:space="preserve"> </w:t>
      </w:r>
      <w:r w:rsidRPr="00B535EE">
        <w:rPr>
          <w:noProof/>
        </w:rPr>
        <w:t xml:space="preserve">EU application </w:t>
      </w:r>
      <w:r w:rsidR="00C7145D">
        <w:rPr>
          <w:noProof/>
        </w:rPr>
        <w:t>platform</w:t>
      </w:r>
      <w:r w:rsidRPr="00B535EE">
        <w:rPr>
          <w:noProof/>
        </w:rPr>
        <w:t xml:space="preserve"> referred to in Chapter Ia of Regulation (EC) No 767/2008</w:t>
      </w:r>
      <w:r w:rsidR="00DC1A2B">
        <w:rPr>
          <w:noProof/>
        </w:rPr>
        <w:t>.</w:t>
      </w:r>
      <w:r w:rsidR="00DC1A2B" w:rsidRPr="00DC1A2B">
        <w:rPr>
          <w:noProof/>
        </w:rPr>
        <w:t>”;</w:t>
      </w:r>
    </w:p>
    <w:p w14:paraId="3545AC54" w14:textId="02017C96" w:rsidR="00832E2F" w:rsidRDefault="00EF15A7" w:rsidP="00EF15A7">
      <w:pPr>
        <w:pStyle w:val="Point0"/>
        <w:rPr>
          <w:noProof/>
        </w:rPr>
      </w:pPr>
      <w:r w:rsidRPr="00EF15A7">
        <w:t>(6)</w:t>
      </w:r>
      <w:r w:rsidRPr="00EF15A7">
        <w:tab/>
      </w:r>
      <w:r w:rsidR="00832E2F" w:rsidRPr="00CE311F">
        <w:rPr>
          <w:noProof/>
        </w:rPr>
        <w:t>Article 9</w:t>
      </w:r>
      <w:r w:rsidR="00C524C2" w:rsidRPr="002A4C0D">
        <w:rPr>
          <w:b/>
          <w:noProof/>
        </w:rPr>
        <w:t xml:space="preserve"> </w:t>
      </w:r>
      <w:r w:rsidR="00C524C2" w:rsidRPr="002A4C0D">
        <w:rPr>
          <w:noProof/>
        </w:rPr>
        <w:t>is a</w:t>
      </w:r>
      <w:r w:rsidR="00C524C2">
        <w:rPr>
          <w:noProof/>
        </w:rPr>
        <w:t>mended as follows</w:t>
      </w:r>
      <w:r w:rsidR="00832E2F" w:rsidRPr="006548DB">
        <w:rPr>
          <w:noProof/>
        </w:rPr>
        <w:t>:</w:t>
      </w:r>
    </w:p>
    <w:p w14:paraId="4CF0DF64" w14:textId="0C99C404" w:rsidR="00C524C2" w:rsidRPr="006548DB" w:rsidRDefault="00EF15A7" w:rsidP="00EF15A7">
      <w:pPr>
        <w:pStyle w:val="Point0"/>
        <w:rPr>
          <w:noProof/>
        </w:rPr>
      </w:pPr>
      <w:r w:rsidRPr="00EF15A7">
        <w:t>(a)</w:t>
      </w:r>
      <w:r w:rsidRPr="00EF15A7">
        <w:tab/>
      </w:r>
      <w:r w:rsidR="00883339">
        <w:rPr>
          <w:noProof/>
        </w:rPr>
        <w:t>t</w:t>
      </w:r>
      <w:r w:rsidR="00C524C2">
        <w:rPr>
          <w:noProof/>
        </w:rPr>
        <w:t xml:space="preserve">he following paragraphs </w:t>
      </w:r>
      <w:r w:rsidR="007D3792">
        <w:rPr>
          <w:noProof/>
        </w:rPr>
        <w:t xml:space="preserve">1a and 1b </w:t>
      </w:r>
      <w:r w:rsidR="00C524C2">
        <w:rPr>
          <w:noProof/>
        </w:rPr>
        <w:t>are inserted:</w:t>
      </w:r>
    </w:p>
    <w:p w14:paraId="4FB6E71A" w14:textId="77777777" w:rsidR="006548DB" w:rsidRDefault="006548DB" w:rsidP="00213E6E">
      <w:pPr>
        <w:pStyle w:val="Text1"/>
        <w:rPr>
          <w:noProof/>
        </w:rPr>
      </w:pPr>
      <w:r w:rsidRPr="00513CAD">
        <w:rPr>
          <w:noProof/>
        </w:rPr>
        <w:t>“</w:t>
      </w:r>
      <w:r>
        <w:rPr>
          <w:noProof/>
        </w:rPr>
        <w:t xml:space="preserve">1a. </w:t>
      </w:r>
      <w:r w:rsidR="00883339">
        <w:rPr>
          <w:noProof/>
        </w:rPr>
        <w:t>A</w:t>
      </w:r>
      <w:r w:rsidR="0046272C" w:rsidRPr="0046272C">
        <w:rPr>
          <w:noProof/>
        </w:rPr>
        <w:t xml:space="preserve">pplicants shall </w:t>
      </w:r>
      <w:r w:rsidR="006C60CF">
        <w:rPr>
          <w:noProof/>
        </w:rPr>
        <w:t>lodge</w:t>
      </w:r>
      <w:r w:rsidR="0046272C" w:rsidRPr="0046272C">
        <w:rPr>
          <w:noProof/>
        </w:rPr>
        <w:t xml:space="preserve"> an application via the </w:t>
      </w:r>
      <w:r w:rsidR="00E03D06">
        <w:rPr>
          <w:noProof/>
        </w:rPr>
        <w:t xml:space="preserve">EU </w:t>
      </w:r>
      <w:r w:rsidR="00A510E4">
        <w:rPr>
          <w:noProof/>
        </w:rPr>
        <w:t xml:space="preserve">application </w:t>
      </w:r>
      <w:r w:rsidR="006C1200">
        <w:rPr>
          <w:noProof/>
        </w:rPr>
        <w:t>platform</w:t>
      </w:r>
      <w:r w:rsidR="0046272C">
        <w:rPr>
          <w:noProof/>
        </w:rPr>
        <w:t xml:space="preserve">, </w:t>
      </w:r>
      <w:r w:rsidR="00A510E4">
        <w:rPr>
          <w:noProof/>
        </w:rPr>
        <w:t>as referred to in Chapter Ia of</w:t>
      </w:r>
      <w:r w:rsidR="0046272C" w:rsidRPr="0046272C">
        <w:rPr>
          <w:noProof/>
        </w:rPr>
        <w:t xml:space="preserve"> Regulation (EC) No 767/2008</w:t>
      </w:r>
      <w:r w:rsidR="0046272C">
        <w:rPr>
          <w:noProof/>
        </w:rPr>
        <w:t>.</w:t>
      </w:r>
      <w:r w:rsidR="00D02777">
        <w:rPr>
          <w:noProof/>
        </w:rPr>
        <w:t xml:space="preserve"> </w:t>
      </w:r>
    </w:p>
    <w:p w14:paraId="36CCC03D" w14:textId="77777777" w:rsidR="00A510E4" w:rsidRDefault="006548DB" w:rsidP="00FA5DD4">
      <w:pPr>
        <w:pStyle w:val="Text1"/>
        <w:rPr>
          <w:noProof/>
        </w:rPr>
      </w:pPr>
      <w:r>
        <w:rPr>
          <w:noProof/>
        </w:rPr>
        <w:t xml:space="preserve">1b. </w:t>
      </w:r>
      <w:r w:rsidR="00A510E4">
        <w:rPr>
          <w:noProof/>
        </w:rPr>
        <w:t>By derogation from paragraph 1</w:t>
      </w:r>
      <w:r>
        <w:rPr>
          <w:noProof/>
        </w:rPr>
        <w:t>a</w:t>
      </w:r>
      <w:r w:rsidR="00A510E4">
        <w:rPr>
          <w:noProof/>
        </w:rPr>
        <w:t>, the following categories</w:t>
      </w:r>
      <w:r w:rsidR="00856EE4">
        <w:rPr>
          <w:noProof/>
        </w:rPr>
        <w:t xml:space="preserve"> of persons</w:t>
      </w:r>
      <w:r w:rsidR="00A510E4">
        <w:rPr>
          <w:noProof/>
        </w:rPr>
        <w:t xml:space="preserve"> may </w:t>
      </w:r>
      <w:r w:rsidR="006C60CF">
        <w:rPr>
          <w:noProof/>
        </w:rPr>
        <w:t>lodge an application</w:t>
      </w:r>
      <w:r w:rsidR="00A510E4">
        <w:rPr>
          <w:noProof/>
        </w:rPr>
        <w:t xml:space="preserve"> </w:t>
      </w:r>
      <w:r w:rsidR="00C86F39">
        <w:rPr>
          <w:noProof/>
        </w:rPr>
        <w:t>without</w:t>
      </w:r>
      <w:r>
        <w:rPr>
          <w:noProof/>
        </w:rPr>
        <w:t xml:space="preserve"> using the </w:t>
      </w:r>
      <w:r w:rsidR="00F479BB">
        <w:rPr>
          <w:noProof/>
        </w:rPr>
        <w:t xml:space="preserve">EU </w:t>
      </w:r>
      <w:r>
        <w:rPr>
          <w:noProof/>
        </w:rPr>
        <w:t xml:space="preserve">application </w:t>
      </w:r>
      <w:r w:rsidR="00F479BB">
        <w:rPr>
          <w:noProof/>
        </w:rPr>
        <w:t>platform</w:t>
      </w:r>
      <w:r w:rsidR="00A510E4">
        <w:rPr>
          <w:noProof/>
        </w:rPr>
        <w:t>:</w:t>
      </w:r>
    </w:p>
    <w:p w14:paraId="67F7BE4C" w14:textId="680B17B7" w:rsidR="00A510E4" w:rsidRDefault="00EF15A7" w:rsidP="00EF15A7">
      <w:pPr>
        <w:pStyle w:val="Point2"/>
        <w:rPr>
          <w:noProof/>
        </w:rPr>
      </w:pPr>
      <w:r w:rsidRPr="00EF15A7">
        <w:t>(a)</w:t>
      </w:r>
      <w:r w:rsidRPr="00EF15A7">
        <w:tab/>
      </w:r>
      <w:r w:rsidR="000060B0">
        <w:rPr>
          <w:noProof/>
        </w:rPr>
        <w:t>t</w:t>
      </w:r>
      <w:r w:rsidR="000060B0" w:rsidRPr="000060B0">
        <w:rPr>
          <w:noProof/>
        </w:rPr>
        <w:t xml:space="preserve">hird-country nationals </w:t>
      </w:r>
      <w:r w:rsidR="00A510E4">
        <w:rPr>
          <w:noProof/>
        </w:rPr>
        <w:t xml:space="preserve">in individual cases </w:t>
      </w:r>
      <w:r w:rsidR="000060B0">
        <w:rPr>
          <w:noProof/>
        </w:rPr>
        <w:t>for</w:t>
      </w:r>
      <w:r w:rsidR="00A510E4">
        <w:rPr>
          <w:noProof/>
        </w:rPr>
        <w:t xml:space="preserve"> humanitarian reasons;</w:t>
      </w:r>
    </w:p>
    <w:p w14:paraId="264C5728" w14:textId="3E51ED58" w:rsidR="002B488E" w:rsidRDefault="00EF15A7" w:rsidP="00EF15A7">
      <w:pPr>
        <w:pStyle w:val="Point2"/>
        <w:rPr>
          <w:noProof/>
        </w:rPr>
      </w:pPr>
      <w:r w:rsidRPr="00EF15A7">
        <w:t>(b)</w:t>
      </w:r>
      <w:r w:rsidRPr="00EF15A7">
        <w:tab/>
      </w:r>
      <w:r w:rsidR="00A510E4">
        <w:rPr>
          <w:noProof/>
        </w:rPr>
        <w:t>heads of State or government and members of a national government with accompanying spouses, and the members of their official delegation when they are invited by Member States’ governments or by international organisations for an official purpose, sovereigns and other senior members of a royal family, when they are invited by Member States’ governments or by international organi</w:t>
      </w:r>
      <w:r w:rsidR="00E85FAF">
        <w:rPr>
          <w:noProof/>
        </w:rPr>
        <w:t>sations for an official purpose;</w:t>
      </w:r>
    </w:p>
    <w:p w14:paraId="59B8626F" w14:textId="7EEF530C" w:rsidR="00A510E4" w:rsidRDefault="00EF15A7" w:rsidP="00EF15A7">
      <w:pPr>
        <w:pStyle w:val="Point2"/>
        <w:rPr>
          <w:noProof/>
        </w:rPr>
      </w:pPr>
      <w:r w:rsidRPr="00EF15A7">
        <w:t>(c)</w:t>
      </w:r>
      <w:r w:rsidRPr="00EF15A7">
        <w:tab/>
      </w:r>
      <w:r w:rsidR="000060B0">
        <w:rPr>
          <w:noProof/>
        </w:rPr>
        <w:t>t</w:t>
      </w:r>
      <w:r w:rsidR="000060B0" w:rsidRPr="000060B0">
        <w:rPr>
          <w:noProof/>
        </w:rPr>
        <w:t>hird-country nationals</w:t>
      </w:r>
      <w:r w:rsidR="000060B0">
        <w:rPr>
          <w:noProof/>
        </w:rPr>
        <w:t xml:space="preserve"> to whom</w:t>
      </w:r>
      <w:r w:rsidR="000060B0" w:rsidRPr="000060B0">
        <w:rPr>
          <w:noProof/>
        </w:rPr>
        <w:t xml:space="preserve"> </w:t>
      </w:r>
      <w:r w:rsidR="002B488E">
        <w:rPr>
          <w:noProof/>
        </w:rPr>
        <w:t xml:space="preserve">visas </w:t>
      </w:r>
      <w:r w:rsidR="000060B0">
        <w:rPr>
          <w:noProof/>
        </w:rPr>
        <w:t xml:space="preserve">are </w:t>
      </w:r>
      <w:r w:rsidR="002B488E">
        <w:rPr>
          <w:noProof/>
        </w:rPr>
        <w:t>issued at the external border in accordance to Chapter VI</w:t>
      </w:r>
      <w:r w:rsidR="00E85FAF">
        <w:rPr>
          <w:noProof/>
        </w:rPr>
        <w:t>.</w:t>
      </w:r>
      <w:r w:rsidR="00E85FAF" w:rsidRPr="00513CAD">
        <w:rPr>
          <w:noProof/>
        </w:rPr>
        <w:t>”</w:t>
      </w:r>
      <w:r w:rsidR="00E85FAF">
        <w:rPr>
          <w:noProof/>
        </w:rPr>
        <w:t>;</w:t>
      </w:r>
    </w:p>
    <w:p w14:paraId="11A5326A" w14:textId="371A16F4" w:rsidR="00C524C2" w:rsidRDefault="00EF15A7" w:rsidP="00EF15A7">
      <w:pPr>
        <w:pStyle w:val="Point0"/>
        <w:rPr>
          <w:noProof/>
        </w:rPr>
      </w:pPr>
      <w:r w:rsidRPr="00EF15A7">
        <w:t>(b)</w:t>
      </w:r>
      <w:r w:rsidRPr="00EF15A7">
        <w:tab/>
      </w:r>
      <w:r w:rsidR="001D3927">
        <w:rPr>
          <w:noProof/>
        </w:rPr>
        <w:t>in paragraph 4</w:t>
      </w:r>
      <w:r w:rsidR="00C524C2">
        <w:rPr>
          <w:noProof/>
        </w:rPr>
        <w:t xml:space="preserve"> the following point</w:t>
      </w:r>
      <w:r w:rsidR="007D3792">
        <w:rPr>
          <w:noProof/>
        </w:rPr>
        <w:t xml:space="preserve"> (d)</w:t>
      </w:r>
      <w:r w:rsidR="00C524C2">
        <w:rPr>
          <w:noProof/>
        </w:rPr>
        <w:t xml:space="preserve"> is added:</w:t>
      </w:r>
    </w:p>
    <w:p w14:paraId="098BCA2D" w14:textId="77777777" w:rsidR="00C524C2" w:rsidRDefault="00C524C2" w:rsidP="00E407AA">
      <w:pPr>
        <w:pStyle w:val="Text1"/>
        <w:rPr>
          <w:noProof/>
        </w:rPr>
      </w:pPr>
      <w:r w:rsidRPr="00513CAD">
        <w:rPr>
          <w:noProof/>
        </w:rPr>
        <w:t>“</w:t>
      </w:r>
      <w:r>
        <w:rPr>
          <w:noProof/>
        </w:rPr>
        <w:t xml:space="preserve">(d) </w:t>
      </w:r>
      <w:r w:rsidRPr="00C524C2">
        <w:rPr>
          <w:noProof/>
        </w:rPr>
        <w:t>by another pers</w:t>
      </w:r>
      <w:r>
        <w:rPr>
          <w:noProof/>
        </w:rPr>
        <w:t>on</w:t>
      </w:r>
      <w:r w:rsidR="00B25F6F">
        <w:rPr>
          <w:noProof/>
        </w:rPr>
        <w:t xml:space="preserve"> </w:t>
      </w:r>
      <w:r w:rsidR="00B25F6F">
        <w:rPr>
          <w:noProof/>
          <w:lang w:val="en-US"/>
        </w:rPr>
        <w:t>w</w:t>
      </w:r>
      <w:r w:rsidR="00B25F6F" w:rsidRPr="004A18DA">
        <w:rPr>
          <w:noProof/>
          <w:lang w:val="en-US"/>
        </w:rPr>
        <w:t xml:space="preserve">hen </w:t>
      </w:r>
      <w:r w:rsidR="00B25F6F">
        <w:rPr>
          <w:noProof/>
          <w:lang w:val="en-US"/>
        </w:rPr>
        <w:t>it is lodged via the</w:t>
      </w:r>
      <w:r w:rsidR="00B25F6F" w:rsidRPr="004A18DA">
        <w:rPr>
          <w:noProof/>
          <w:lang w:val="en-US"/>
        </w:rPr>
        <w:t xml:space="preserve"> EU application platform</w:t>
      </w:r>
      <w:r>
        <w:rPr>
          <w:noProof/>
        </w:rPr>
        <w:t>.</w:t>
      </w:r>
      <w:r w:rsidRPr="00513CAD">
        <w:rPr>
          <w:noProof/>
        </w:rPr>
        <w:t>”</w:t>
      </w:r>
      <w:r>
        <w:rPr>
          <w:noProof/>
        </w:rPr>
        <w:t>;</w:t>
      </w:r>
    </w:p>
    <w:p w14:paraId="52D7E6A1" w14:textId="13EAF087" w:rsidR="00832E2F" w:rsidRDefault="00EF15A7" w:rsidP="00EF15A7">
      <w:pPr>
        <w:pStyle w:val="Point0"/>
        <w:rPr>
          <w:noProof/>
        </w:rPr>
      </w:pPr>
      <w:r w:rsidRPr="00EF15A7">
        <w:t>(7)</w:t>
      </w:r>
      <w:r w:rsidRPr="00EF15A7">
        <w:tab/>
      </w:r>
      <w:r w:rsidR="00F83BFE">
        <w:rPr>
          <w:noProof/>
        </w:rPr>
        <w:t xml:space="preserve"> </w:t>
      </w:r>
      <w:r w:rsidR="00832E2F">
        <w:rPr>
          <w:noProof/>
        </w:rPr>
        <w:t xml:space="preserve">Article 10 is </w:t>
      </w:r>
      <w:r w:rsidR="00A33552">
        <w:rPr>
          <w:noProof/>
        </w:rPr>
        <w:t>amended as follows</w:t>
      </w:r>
      <w:r w:rsidR="0065733F">
        <w:rPr>
          <w:noProof/>
        </w:rPr>
        <w:t>:</w:t>
      </w:r>
    </w:p>
    <w:p w14:paraId="3FB796DD" w14:textId="2C3F4FF3" w:rsidR="00A33552" w:rsidRDefault="00EF15A7" w:rsidP="00EF15A7">
      <w:pPr>
        <w:pStyle w:val="Point0"/>
        <w:rPr>
          <w:noProof/>
        </w:rPr>
      </w:pPr>
      <w:r w:rsidRPr="00EF15A7">
        <w:t>(a)</w:t>
      </w:r>
      <w:r w:rsidRPr="00EF15A7">
        <w:tab/>
      </w:r>
      <w:r w:rsidR="00A33552">
        <w:rPr>
          <w:noProof/>
        </w:rPr>
        <w:t>paragraph 1 is replaced by the following:</w:t>
      </w:r>
    </w:p>
    <w:p w14:paraId="0123771A" w14:textId="77777777" w:rsidR="00B40E33" w:rsidRPr="003E4F2E" w:rsidRDefault="00FA5DD4" w:rsidP="00FA5DD4">
      <w:pPr>
        <w:pStyle w:val="Text1"/>
        <w:rPr>
          <w:noProof/>
        </w:rPr>
      </w:pPr>
      <w:r w:rsidRPr="00FC6A97">
        <w:rPr>
          <w:noProof/>
        </w:rPr>
        <w:t xml:space="preserve"> </w:t>
      </w:r>
      <w:r w:rsidR="00A33552" w:rsidRPr="00FC6A97">
        <w:rPr>
          <w:noProof/>
        </w:rPr>
        <w:t>“1.</w:t>
      </w:r>
      <w:r w:rsidR="00A33552">
        <w:rPr>
          <w:i/>
          <w:noProof/>
        </w:rPr>
        <w:t xml:space="preserve"> </w:t>
      </w:r>
      <w:r w:rsidR="00B40E33" w:rsidRPr="00B40E33">
        <w:rPr>
          <w:noProof/>
        </w:rPr>
        <w:t>When lodging an application, applicants shall, where required in accordance with Article 13, appear in person to provide thei</w:t>
      </w:r>
      <w:r w:rsidR="00B40E33">
        <w:rPr>
          <w:noProof/>
        </w:rPr>
        <w:t xml:space="preserve">r fingerprints </w:t>
      </w:r>
      <w:r w:rsidR="001339DA">
        <w:rPr>
          <w:noProof/>
        </w:rPr>
        <w:t>and</w:t>
      </w:r>
      <w:r w:rsidR="00B40E33">
        <w:rPr>
          <w:noProof/>
        </w:rPr>
        <w:t xml:space="preserve"> facial image. Applicants </w:t>
      </w:r>
      <w:r w:rsidR="00B40E33" w:rsidRPr="003E4F2E">
        <w:rPr>
          <w:noProof/>
        </w:rPr>
        <w:t>shall also appear in person for the verification of</w:t>
      </w:r>
      <w:r w:rsidR="0060550F">
        <w:rPr>
          <w:noProof/>
        </w:rPr>
        <w:t xml:space="preserve"> their</w:t>
      </w:r>
      <w:r w:rsidR="00B40E33" w:rsidRPr="003E4F2E">
        <w:rPr>
          <w:noProof/>
        </w:rPr>
        <w:t xml:space="preserve"> travel document in accordance with Article 12.</w:t>
      </w:r>
      <w:r w:rsidR="00A33552">
        <w:rPr>
          <w:noProof/>
        </w:rPr>
        <w:t>”</w:t>
      </w:r>
      <w:r w:rsidR="003F6DC7">
        <w:rPr>
          <w:noProof/>
        </w:rPr>
        <w:t>;</w:t>
      </w:r>
    </w:p>
    <w:p w14:paraId="489CD99E" w14:textId="4A4DF866" w:rsidR="00A33552" w:rsidRDefault="00EF15A7" w:rsidP="00EF15A7">
      <w:pPr>
        <w:pStyle w:val="Point0"/>
        <w:rPr>
          <w:noProof/>
        </w:rPr>
      </w:pPr>
      <w:r w:rsidRPr="00EF15A7">
        <w:t>(b)</w:t>
      </w:r>
      <w:r w:rsidRPr="00EF15A7">
        <w:tab/>
      </w:r>
      <w:r w:rsidR="00A33552">
        <w:rPr>
          <w:noProof/>
        </w:rPr>
        <w:t xml:space="preserve">the following paragraphs </w:t>
      </w:r>
      <w:r w:rsidR="007D3792">
        <w:rPr>
          <w:noProof/>
        </w:rPr>
        <w:t xml:space="preserve">1a and 1b </w:t>
      </w:r>
      <w:r w:rsidR="00A33552">
        <w:rPr>
          <w:noProof/>
        </w:rPr>
        <w:t>are inserted:</w:t>
      </w:r>
    </w:p>
    <w:p w14:paraId="44554C94" w14:textId="77777777" w:rsidR="00B40E33" w:rsidRPr="003E4F2E" w:rsidRDefault="00A33552" w:rsidP="00FA5DD4">
      <w:pPr>
        <w:pStyle w:val="Text1"/>
        <w:rPr>
          <w:noProof/>
        </w:rPr>
      </w:pPr>
      <w:r>
        <w:rPr>
          <w:noProof/>
        </w:rPr>
        <w:t xml:space="preserve">“1a. </w:t>
      </w:r>
      <w:r w:rsidR="00B40E33" w:rsidRPr="003E4F2E">
        <w:rPr>
          <w:noProof/>
        </w:rPr>
        <w:t>Member States may</w:t>
      </w:r>
      <w:r w:rsidR="007B3679" w:rsidRPr="003E4F2E">
        <w:rPr>
          <w:noProof/>
        </w:rPr>
        <w:t>, in justified and individual cases,</w:t>
      </w:r>
      <w:r w:rsidR="00B40E33" w:rsidRPr="003E4F2E">
        <w:rPr>
          <w:noProof/>
        </w:rPr>
        <w:t xml:space="preserve"> require </w:t>
      </w:r>
      <w:r w:rsidR="00D53B3C" w:rsidRPr="003E4F2E">
        <w:rPr>
          <w:noProof/>
        </w:rPr>
        <w:t>that the applicant presents a t</w:t>
      </w:r>
      <w:r w:rsidR="00B40E33" w:rsidRPr="003E4F2E">
        <w:rPr>
          <w:noProof/>
        </w:rPr>
        <w:t xml:space="preserve">ravel document </w:t>
      </w:r>
      <w:r w:rsidR="00D53B3C" w:rsidRPr="003E4F2E">
        <w:rPr>
          <w:noProof/>
        </w:rPr>
        <w:t>and/or provides supporting documents. This shall be</w:t>
      </w:r>
      <w:r w:rsidR="00B40E33" w:rsidRPr="003E4F2E">
        <w:rPr>
          <w:noProof/>
        </w:rPr>
        <w:t xml:space="preserve"> possible in exception</w:t>
      </w:r>
      <w:r w:rsidR="00D53B3C" w:rsidRPr="003E4F2E">
        <w:rPr>
          <w:noProof/>
        </w:rPr>
        <w:t>al cases</w:t>
      </w:r>
      <w:r w:rsidR="00B25F6F" w:rsidRPr="003E4F2E">
        <w:rPr>
          <w:noProof/>
        </w:rPr>
        <w:t xml:space="preserve"> and</w:t>
      </w:r>
      <w:r w:rsidR="00D53B3C" w:rsidRPr="003E4F2E">
        <w:rPr>
          <w:noProof/>
        </w:rPr>
        <w:t xml:space="preserve"> in cases where there is a</w:t>
      </w:r>
      <w:r w:rsidR="00B40E33" w:rsidRPr="003E4F2E">
        <w:rPr>
          <w:noProof/>
        </w:rPr>
        <w:t xml:space="preserve"> high incidence of fraudulent do</w:t>
      </w:r>
      <w:r w:rsidR="00D53B3C" w:rsidRPr="003E4F2E">
        <w:rPr>
          <w:noProof/>
        </w:rPr>
        <w:t>cument</w:t>
      </w:r>
      <w:r w:rsidR="0060550F">
        <w:rPr>
          <w:noProof/>
        </w:rPr>
        <w:t>s</w:t>
      </w:r>
      <w:r w:rsidR="00D53B3C" w:rsidRPr="003E4F2E">
        <w:rPr>
          <w:noProof/>
        </w:rPr>
        <w:t xml:space="preserve"> in a particular location. </w:t>
      </w:r>
    </w:p>
    <w:p w14:paraId="1767A854" w14:textId="77777777" w:rsidR="00D53B3C" w:rsidRPr="002B488E" w:rsidRDefault="00AE4D4C" w:rsidP="00FA5DD4">
      <w:pPr>
        <w:pStyle w:val="Text1"/>
        <w:rPr>
          <w:noProof/>
        </w:rPr>
      </w:pPr>
      <w:r>
        <w:rPr>
          <w:noProof/>
        </w:rPr>
        <w:t xml:space="preserve">1b. </w:t>
      </w:r>
      <w:r w:rsidR="00B52DDC" w:rsidRPr="002A4C0D">
        <w:rPr>
          <w:noProof/>
        </w:rPr>
        <w:t xml:space="preserve">Consulates shall, within local Schengen cooperation, assess the implementation of the conditions laid down in paragraph </w:t>
      </w:r>
      <w:r w:rsidR="00A33552">
        <w:rPr>
          <w:noProof/>
        </w:rPr>
        <w:t>1a</w:t>
      </w:r>
      <w:r w:rsidR="00B52DDC" w:rsidRPr="002A4C0D">
        <w:rPr>
          <w:noProof/>
        </w:rPr>
        <w:t>, to take account of local circumstances</w:t>
      </w:r>
      <w:r w:rsidR="00B52DDC" w:rsidRPr="002B488E">
        <w:rPr>
          <w:noProof/>
        </w:rPr>
        <w:t>.</w:t>
      </w:r>
      <w:r w:rsidR="00A33552">
        <w:rPr>
          <w:noProof/>
        </w:rPr>
        <w:t>”;</w:t>
      </w:r>
      <w:r w:rsidR="00FC6A97" w:rsidRPr="00FC6A97" w:rsidDel="00FC6A97">
        <w:rPr>
          <w:noProof/>
          <w:highlight w:val="yellow"/>
        </w:rPr>
        <w:t xml:space="preserve"> </w:t>
      </w:r>
    </w:p>
    <w:p w14:paraId="7EB15AD4" w14:textId="3B47BDED" w:rsidR="00FA5DD4" w:rsidRDefault="00EF15A7" w:rsidP="00EF15A7">
      <w:pPr>
        <w:pStyle w:val="Point0"/>
        <w:rPr>
          <w:noProof/>
        </w:rPr>
      </w:pPr>
      <w:r w:rsidRPr="00EF15A7">
        <w:t>(c)</w:t>
      </w:r>
      <w:r w:rsidRPr="00EF15A7">
        <w:tab/>
      </w:r>
      <w:r w:rsidR="00A33552">
        <w:rPr>
          <w:noProof/>
        </w:rPr>
        <w:t>paragraph 3 is replaced by the following:</w:t>
      </w:r>
    </w:p>
    <w:p w14:paraId="74F67FAF" w14:textId="77777777" w:rsidR="00613646" w:rsidRDefault="00A33552" w:rsidP="00FA5DD4">
      <w:pPr>
        <w:pStyle w:val="Text1"/>
        <w:rPr>
          <w:noProof/>
        </w:rPr>
      </w:pPr>
      <w:r>
        <w:rPr>
          <w:noProof/>
        </w:rPr>
        <w:t>“</w:t>
      </w:r>
      <w:r w:rsidRPr="00FA5DD4">
        <w:rPr>
          <w:noProof/>
        </w:rPr>
        <w:t>3</w:t>
      </w:r>
      <w:r>
        <w:rPr>
          <w:noProof/>
        </w:rPr>
        <w:t xml:space="preserve">. </w:t>
      </w:r>
      <w:r w:rsidR="00613646" w:rsidRPr="00613646">
        <w:rPr>
          <w:noProof/>
        </w:rPr>
        <w:t>When lodging the application, the applicant shall:</w:t>
      </w:r>
    </w:p>
    <w:p w14:paraId="2F8D4267" w14:textId="1BAC47B5" w:rsidR="00613646" w:rsidRDefault="00EF15A7" w:rsidP="00EF15A7">
      <w:pPr>
        <w:pStyle w:val="Point2"/>
        <w:rPr>
          <w:noProof/>
        </w:rPr>
      </w:pPr>
      <w:r w:rsidRPr="00EF15A7">
        <w:t>(a)</w:t>
      </w:r>
      <w:r w:rsidRPr="00EF15A7">
        <w:tab/>
      </w:r>
      <w:r w:rsidR="00B10EC7">
        <w:rPr>
          <w:noProof/>
        </w:rPr>
        <w:t>provide</w:t>
      </w:r>
      <w:r w:rsidR="00C86F39">
        <w:rPr>
          <w:noProof/>
        </w:rPr>
        <w:t xml:space="preserve"> data referred to in </w:t>
      </w:r>
      <w:r w:rsidR="00C86F39" w:rsidRPr="00C86F39">
        <w:rPr>
          <w:noProof/>
        </w:rPr>
        <w:t>Article 11</w:t>
      </w:r>
      <w:r w:rsidR="00C86F39">
        <w:rPr>
          <w:noProof/>
        </w:rPr>
        <w:t>;</w:t>
      </w:r>
    </w:p>
    <w:p w14:paraId="59393D90" w14:textId="03D19E23" w:rsidR="00C86F39" w:rsidRDefault="00EF15A7" w:rsidP="00EF15A7">
      <w:pPr>
        <w:pStyle w:val="Point2"/>
        <w:rPr>
          <w:noProof/>
        </w:rPr>
      </w:pPr>
      <w:r w:rsidRPr="00EF15A7">
        <w:t>(b)</w:t>
      </w:r>
      <w:r w:rsidRPr="00EF15A7">
        <w:tab/>
      </w:r>
      <w:r w:rsidR="006C60CF">
        <w:rPr>
          <w:noProof/>
        </w:rPr>
        <w:t xml:space="preserve">provide </w:t>
      </w:r>
      <w:r w:rsidR="00B10EC7">
        <w:rPr>
          <w:noProof/>
        </w:rPr>
        <w:t xml:space="preserve">proof of holding </w:t>
      </w:r>
      <w:r w:rsidR="006C60CF" w:rsidRPr="006C60CF">
        <w:rPr>
          <w:noProof/>
        </w:rPr>
        <w:t xml:space="preserve">the travel </w:t>
      </w:r>
      <w:r w:rsidR="003E4F2E" w:rsidRPr="006C60CF">
        <w:rPr>
          <w:noProof/>
        </w:rPr>
        <w:t>document</w:t>
      </w:r>
      <w:r w:rsidR="003E4F2E" w:rsidRPr="003F7E37">
        <w:rPr>
          <w:noProof/>
        </w:rPr>
        <w:t xml:space="preserve"> in</w:t>
      </w:r>
      <w:r w:rsidR="006C60CF" w:rsidRPr="003F7E37">
        <w:rPr>
          <w:noProof/>
        </w:rPr>
        <w:t xml:space="preserve"> accordance with Article 12</w:t>
      </w:r>
      <w:r w:rsidR="006C60CF" w:rsidRPr="006C60CF">
        <w:rPr>
          <w:noProof/>
        </w:rPr>
        <w:t>;</w:t>
      </w:r>
    </w:p>
    <w:p w14:paraId="03FB967B" w14:textId="732C414A" w:rsidR="00E84425" w:rsidRDefault="00EF15A7" w:rsidP="00EF15A7">
      <w:pPr>
        <w:pStyle w:val="Point2"/>
        <w:rPr>
          <w:noProof/>
        </w:rPr>
      </w:pPr>
      <w:r w:rsidRPr="00EF15A7">
        <w:t>(c)</w:t>
      </w:r>
      <w:r w:rsidRPr="00EF15A7">
        <w:tab/>
      </w:r>
      <w:r w:rsidR="00E84425" w:rsidRPr="00E84425">
        <w:rPr>
          <w:noProof/>
        </w:rPr>
        <w:t>allow his or her facial image to be taken live in accordance with Article 13 or, where the exemptions referred to in Article 13(7a) apply, present a photograph in accordance with the standards set out in Regulation (EC) No 1683/95;</w:t>
      </w:r>
    </w:p>
    <w:p w14:paraId="65C8A600" w14:textId="352BFA40" w:rsidR="00E84425" w:rsidRDefault="00EF15A7" w:rsidP="00EF15A7">
      <w:pPr>
        <w:pStyle w:val="Point2"/>
        <w:rPr>
          <w:noProof/>
        </w:rPr>
      </w:pPr>
      <w:r w:rsidRPr="00EF15A7">
        <w:t>(d)</w:t>
      </w:r>
      <w:r w:rsidRPr="00EF15A7">
        <w:tab/>
      </w:r>
      <w:r w:rsidR="00E84425" w:rsidRPr="00E84425">
        <w:rPr>
          <w:noProof/>
        </w:rPr>
        <w:t xml:space="preserve">allow the collection of his </w:t>
      </w:r>
      <w:r w:rsidR="00A33552">
        <w:rPr>
          <w:noProof/>
        </w:rPr>
        <w:t xml:space="preserve">or her </w:t>
      </w:r>
      <w:r w:rsidR="00E84425" w:rsidRPr="00E84425">
        <w:rPr>
          <w:noProof/>
        </w:rPr>
        <w:t>fingerprints in accordance with Article 13, where applicable</w:t>
      </w:r>
      <w:r w:rsidR="00E84425" w:rsidRPr="00D915A0">
        <w:rPr>
          <w:noProof/>
        </w:rPr>
        <w:t>;</w:t>
      </w:r>
    </w:p>
    <w:p w14:paraId="5D954C7A" w14:textId="6FD0B7E7" w:rsidR="00CA5F31" w:rsidRDefault="00EF15A7" w:rsidP="00EF15A7">
      <w:pPr>
        <w:pStyle w:val="Point2"/>
        <w:rPr>
          <w:noProof/>
        </w:rPr>
      </w:pPr>
      <w:r w:rsidRPr="00EF15A7">
        <w:t>(e)</w:t>
      </w:r>
      <w:r w:rsidRPr="00EF15A7">
        <w:tab/>
      </w:r>
      <w:r w:rsidR="00CA5F31" w:rsidRPr="00CA5F31">
        <w:rPr>
          <w:noProof/>
        </w:rPr>
        <w:t>pay the visa fe</w:t>
      </w:r>
      <w:r w:rsidR="00CA5F31">
        <w:rPr>
          <w:noProof/>
        </w:rPr>
        <w:t>e in accordance with Article 16;</w:t>
      </w:r>
    </w:p>
    <w:p w14:paraId="43A3D589" w14:textId="78FF28E4" w:rsidR="006C60CF" w:rsidRDefault="00EF15A7" w:rsidP="00EF15A7">
      <w:pPr>
        <w:pStyle w:val="Point2"/>
        <w:rPr>
          <w:noProof/>
        </w:rPr>
      </w:pPr>
      <w:r w:rsidRPr="00EF15A7">
        <w:t>(f)</w:t>
      </w:r>
      <w:r w:rsidRPr="00EF15A7">
        <w:tab/>
      </w:r>
      <w:r w:rsidR="006C60CF">
        <w:rPr>
          <w:noProof/>
        </w:rPr>
        <w:t xml:space="preserve">provide </w:t>
      </w:r>
      <w:r w:rsidR="00E84425">
        <w:rPr>
          <w:noProof/>
        </w:rPr>
        <w:t xml:space="preserve">proof of </w:t>
      </w:r>
      <w:r w:rsidR="006C60CF">
        <w:rPr>
          <w:noProof/>
        </w:rPr>
        <w:t xml:space="preserve">the </w:t>
      </w:r>
      <w:r w:rsidR="006C60CF" w:rsidRPr="006C60CF">
        <w:rPr>
          <w:noProof/>
        </w:rPr>
        <w:t>supporting documents</w:t>
      </w:r>
      <w:r w:rsidR="006C60CF">
        <w:rPr>
          <w:noProof/>
        </w:rPr>
        <w:t xml:space="preserve"> </w:t>
      </w:r>
      <w:r w:rsidR="006C60CF" w:rsidRPr="00303AC6">
        <w:rPr>
          <w:noProof/>
        </w:rPr>
        <w:t>in accordance with Article 14</w:t>
      </w:r>
      <w:r w:rsidR="006C60CF">
        <w:rPr>
          <w:noProof/>
        </w:rPr>
        <w:t>;</w:t>
      </w:r>
    </w:p>
    <w:p w14:paraId="7F43D437" w14:textId="02F480D5" w:rsidR="00B64457" w:rsidRDefault="00EF15A7" w:rsidP="00EF15A7">
      <w:pPr>
        <w:pStyle w:val="Point2"/>
        <w:rPr>
          <w:noProof/>
        </w:rPr>
      </w:pPr>
      <w:r w:rsidRPr="00EF15A7">
        <w:t>(g)</w:t>
      </w:r>
      <w:r w:rsidRPr="00EF15A7">
        <w:tab/>
      </w:r>
      <w:r w:rsidR="00A410FC">
        <w:rPr>
          <w:noProof/>
        </w:rPr>
        <w:t xml:space="preserve">where applicable, </w:t>
      </w:r>
      <w:r w:rsidR="006C60CF">
        <w:rPr>
          <w:noProof/>
        </w:rPr>
        <w:t xml:space="preserve">provide </w:t>
      </w:r>
      <w:r w:rsidR="00CA5F31">
        <w:rPr>
          <w:noProof/>
        </w:rPr>
        <w:t>proof</w:t>
      </w:r>
      <w:r w:rsidR="006C60CF" w:rsidRPr="006C60CF">
        <w:rPr>
          <w:noProof/>
        </w:rPr>
        <w:t xml:space="preserve"> of </w:t>
      </w:r>
      <w:r w:rsidR="00CA5F31">
        <w:rPr>
          <w:noProof/>
        </w:rPr>
        <w:t xml:space="preserve">possession of adequate and valid </w:t>
      </w:r>
      <w:r w:rsidR="006C60CF" w:rsidRPr="006C60CF">
        <w:rPr>
          <w:noProof/>
        </w:rPr>
        <w:t xml:space="preserve">travel medical </w:t>
      </w:r>
      <w:r w:rsidR="006C60CF" w:rsidRPr="00303AC6">
        <w:rPr>
          <w:noProof/>
        </w:rPr>
        <w:t>insurance in accordance with Article 15</w:t>
      </w:r>
      <w:r w:rsidR="00E84425">
        <w:rPr>
          <w:noProof/>
        </w:rPr>
        <w:t>.</w:t>
      </w:r>
      <w:r w:rsidR="00B64457" w:rsidRPr="00513CAD">
        <w:rPr>
          <w:noProof/>
        </w:rPr>
        <w:t>”</w:t>
      </w:r>
      <w:r w:rsidR="00B64457">
        <w:rPr>
          <w:noProof/>
        </w:rPr>
        <w:t>;</w:t>
      </w:r>
    </w:p>
    <w:p w14:paraId="68312DF3" w14:textId="1807EBF9" w:rsidR="006C60CF" w:rsidRPr="002A4C0D" w:rsidRDefault="00EF15A7" w:rsidP="00EF15A7">
      <w:pPr>
        <w:pStyle w:val="Point0"/>
        <w:rPr>
          <w:noProof/>
        </w:rPr>
      </w:pPr>
      <w:r w:rsidRPr="00EF15A7">
        <w:t>(8)</w:t>
      </w:r>
      <w:r w:rsidRPr="00EF15A7">
        <w:tab/>
      </w:r>
      <w:r w:rsidR="00CB59AE" w:rsidRPr="002A4C0D">
        <w:rPr>
          <w:noProof/>
        </w:rPr>
        <w:t>Article 11 is amended as follows:</w:t>
      </w:r>
    </w:p>
    <w:p w14:paraId="41BCB9BD" w14:textId="4429F0CE" w:rsidR="00F24B43" w:rsidRPr="002A4C0D" w:rsidRDefault="00EF15A7" w:rsidP="00EF15A7">
      <w:pPr>
        <w:pStyle w:val="Point0"/>
        <w:rPr>
          <w:noProof/>
        </w:rPr>
      </w:pPr>
      <w:r w:rsidRPr="00EF15A7">
        <w:t>(a)</w:t>
      </w:r>
      <w:r w:rsidRPr="00EF15A7">
        <w:tab/>
      </w:r>
      <w:r w:rsidR="00192240" w:rsidRPr="002A4C0D">
        <w:rPr>
          <w:noProof/>
        </w:rPr>
        <w:t>p</w:t>
      </w:r>
      <w:r w:rsidR="00CB59AE" w:rsidRPr="002A4C0D">
        <w:rPr>
          <w:noProof/>
        </w:rPr>
        <w:t>aragraph 1 is replaced by the following</w:t>
      </w:r>
      <w:r w:rsidR="00F24B43" w:rsidRPr="002A4C0D">
        <w:rPr>
          <w:noProof/>
        </w:rPr>
        <w:t>:</w:t>
      </w:r>
    </w:p>
    <w:p w14:paraId="002E682C" w14:textId="77777777" w:rsidR="00156A7C" w:rsidRPr="002A4C0D" w:rsidRDefault="00F24B43" w:rsidP="00691EEE">
      <w:pPr>
        <w:pStyle w:val="Text1"/>
        <w:rPr>
          <w:noProof/>
        </w:rPr>
      </w:pPr>
      <w:r w:rsidRPr="002A4C0D">
        <w:rPr>
          <w:noProof/>
        </w:rPr>
        <w:t xml:space="preserve">“1. </w:t>
      </w:r>
      <w:r w:rsidR="00156A7C" w:rsidRPr="00FA5DD4">
        <w:rPr>
          <w:noProof/>
        </w:rPr>
        <w:t>Application form shall be submitted via the EU application platform</w:t>
      </w:r>
      <w:r w:rsidR="00105B57" w:rsidRPr="00FA5DD4">
        <w:rPr>
          <w:noProof/>
        </w:rPr>
        <w:t>.</w:t>
      </w:r>
      <w:r w:rsidR="00FA5DD4">
        <w:rPr>
          <w:noProof/>
        </w:rPr>
        <w:t xml:space="preserve"> </w:t>
      </w:r>
      <w:r w:rsidR="00883339" w:rsidRPr="00FA5DD4">
        <w:rPr>
          <w:noProof/>
        </w:rPr>
        <w:t>I</w:t>
      </w:r>
      <w:r w:rsidR="00CB59AE" w:rsidRPr="00FA5DD4">
        <w:rPr>
          <w:noProof/>
        </w:rPr>
        <w:t>n</w:t>
      </w:r>
      <w:r w:rsidR="00CB59AE" w:rsidRPr="002A4C0D">
        <w:rPr>
          <w:noProof/>
        </w:rPr>
        <w:t xml:space="preserve"> cases refe</w:t>
      </w:r>
      <w:r w:rsidR="001D3927" w:rsidRPr="002A4C0D">
        <w:rPr>
          <w:noProof/>
        </w:rPr>
        <w:t>rred to in Article 9</w:t>
      </w:r>
      <w:r w:rsidR="0087075E">
        <w:rPr>
          <w:noProof/>
        </w:rPr>
        <w:t>(1b)</w:t>
      </w:r>
      <w:r w:rsidR="00CB59AE" w:rsidRPr="002A4C0D">
        <w:rPr>
          <w:noProof/>
        </w:rPr>
        <w:t>, the applicants may submit a manually or electronically completed application form set out in Annex I.</w:t>
      </w:r>
    </w:p>
    <w:p w14:paraId="0F5F11AA" w14:textId="77777777" w:rsidR="00156A7C" w:rsidRPr="002A4C0D" w:rsidRDefault="00156A7C" w:rsidP="00691EEE">
      <w:pPr>
        <w:pStyle w:val="Text1"/>
        <w:rPr>
          <w:noProof/>
        </w:rPr>
      </w:pPr>
      <w:r w:rsidRPr="002A4C0D">
        <w:rPr>
          <w:noProof/>
        </w:rPr>
        <w:t>The Commission shall adopt delegated acts in accordance with Article 51a in order to update the application form as set out in Annex I</w:t>
      </w:r>
      <w:r w:rsidR="003E4F2E">
        <w:rPr>
          <w:noProof/>
        </w:rPr>
        <w:t xml:space="preserve"> </w:t>
      </w:r>
      <w:r w:rsidR="002E7FB8">
        <w:rPr>
          <w:noProof/>
        </w:rPr>
        <w:t xml:space="preserve">or </w:t>
      </w:r>
      <w:r w:rsidRPr="002A4C0D">
        <w:rPr>
          <w:noProof/>
        </w:rPr>
        <w:t>submitted via the EU application platform.</w:t>
      </w:r>
    </w:p>
    <w:p w14:paraId="4D356AA5" w14:textId="77777777" w:rsidR="00CB59AE" w:rsidRPr="002A4C0D" w:rsidRDefault="00CB59AE" w:rsidP="003E4F2E">
      <w:pPr>
        <w:pStyle w:val="Text1"/>
        <w:rPr>
          <w:noProof/>
        </w:rPr>
      </w:pPr>
      <w:r w:rsidRPr="002A4C0D">
        <w:rPr>
          <w:noProof/>
        </w:rPr>
        <w:t>The application form shall be signed. It may be signed</w:t>
      </w:r>
      <w:r w:rsidR="00942819">
        <w:rPr>
          <w:noProof/>
        </w:rPr>
        <w:t xml:space="preserve"> </w:t>
      </w:r>
      <w:r w:rsidRPr="002A4C0D">
        <w:rPr>
          <w:noProof/>
        </w:rPr>
        <w:t>electronically. Persons included in the applicant’s travel document shall submit a separate application form. Minors shall submit an application form signed by a person exercising permanent or temporary parental authority or legal guardianship.”;</w:t>
      </w:r>
    </w:p>
    <w:p w14:paraId="15491384" w14:textId="777E5258" w:rsidR="00CB59AE" w:rsidRDefault="00EF15A7" w:rsidP="00EF15A7">
      <w:pPr>
        <w:pStyle w:val="Point0"/>
        <w:rPr>
          <w:noProof/>
        </w:rPr>
      </w:pPr>
      <w:r w:rsidRPr="00EF15A7">
        <w:t>(b)</w:t>
      </w:r>
      <w:r w:rsidRPr="00EF15A7">
        <w:tab/>
      </w:r>
      <w:r w:rsidR="002E7FB8">
        <w:rPr>
          <w:noProof/>
        </w:rPr>
        <w:t xml:space="preserve">paragraph 1b is </w:t>
      </w:r>
      <w:r w:rsidR="0087075E">
        <w:rPr>
          <w:noProof/>
        </w:rPr>
        <w:t>deleted;</w:t>
      </w:r>
    </w:p>
    <w:p w14:paraId="2F7E7743" w14:textId="4B437F7A" w:rsidR="0087075E" w:rsidRPr="002A4C0D" w:rsidRDefault="00EF15A7" w:rsidP="00EF15A7">
      <w:pPr>
        <w:pStyle w:val="Point0"/>
        <w:rPr>
          <w:noProof/>
        </w:rPr>
      </w:pPr>
      <w:r w:rsidRPr="00EF15A7">
        <w:t>(c)</w:t>
      </w:r>
      <w:r w:rsidRPr="00EF15A7">
        <w:tab/>
      </w:r>
      <w:r w:rsidR="0087075E">
        <w:rPr>
          <w:noProof/>
        </w:rPr>
        <w:t xml:space="preserve">the following paragraph </w:t>
      </w:r>
      <w:r w:rsidR="007D3792">
        <w:rPr>
          <w:noProof/>
        </w:rPr>
        <w:t xml:space="preserve">1c </w:t>
      </w:r>
      <w:r w:rsidR="0087075E">
        <w:rPr>
          <w:noProof/>
        </w:rPr>
        <w:t>is inserted:</w:t>
      </w:r>
    </w:p>
    <w:p w14:paraId="21B203AF" w14:textId="77777777" w:rsidR="00F24B43" w:rsidRPr="002A4C0D" w:rsidRDefault="00CB59AE" w:rsidP="00F91041">
      <w:pPr>
        <w:pStyle w:val="Text1"/>
        <w:rPr>
          <w:noProof/>
        </w:rPr>
      </w:pPr>
      <w:r w:rsidRPr="002A4C0D">
        <w:rPr>
          <w:noProof/>
        </w:rPr>
        <w:t>“</w:t>
      </w:r>
      <w:r w:rsidR="0087075E" w:rsidRPr="002A4C0D">
        <w:rPr>
          <w:noProof/>
        </w:rPr>
        <w:t>1</w:t>
      </w:r>
      <w:r w:rsidR="0087075E">
        <w:rPr>
          <w:noProof/>
        </w:rPr>
        <w:t>c</w:t>
      </w:r>
      <w:r w:rsidRPr="002A4C0D">
        <w:rPr>
          <w:noProof/>
        </w:rPr>
        <w:t>.</w:t>
      </w:r>
      <w:r w:rsidRPr="002A4C0D">
        <w:rPr>
          <w:noProof/>
        </w:rPr>
        <w:tab/>
        <w:t>Each applicant shall submit a completed application form including a declaration of the authenticity, completeness, correctness and reliability of the data submitted and a declaration of the veracity and reliability of the statements made. Each applicant shall also state that he or she has understood the conditions for entry referred to in Article 6 of Regulation (EU) 2016/399 and that he or she may be requested to provide the relevant supporting documents at each entry.”;</w:t>
      </w:r>
    </w:p>
    <w:p w14:paraId="454408D8" w14:textId="643E760B" w:rsidR="00192240" w:rsidRPr="002A4C0D" w:rsidRDefault="00EF15A7" w:rsidP="00EF15A7">
      <w:pPr>
        <w:pStyle w:val="Point0"/>
        <w:rPr>
          <w:noProof/>
        </w:rPr>
      </w:pPr>
      <w:r w:rsidRPr="00EF15A7">
        <w:t>(9)</w:t>
      </w:r>
      <w:r w:rsidRPr="00EF15A7">
        <w:tab/>
      </w:r>
      <w:r w:rsidR="00192240" w:rsidRPr="002A4C0D">
        <w:rPr>
          <w:noProof/>
        </w:rPr>
        <w:t xml:space="preserve">Article 12 is </w:t>
      </w:r>
      <w:r w:rsidR="00EE3738" w:rsidRPr="002A4C0D">
        <w:rPr>
          <w:noProof/>
        </w:rPr>
        <w:t>replaced by the following</w:t>
      </w:r>
      <w:r w:rsidR="00192240" w:rsidRPr="002A4C0D">
        <w:rPr>
          <w:noProof/>
        </w:rPr>
        <w:t>:</w:t>
      </w:r>
    </w:p>
    <w:p w14:paraId="5E14301E" w14:textId="77777777" w:rsidR="00EE3738" w:rsidRDefault="00EE3738" w:rsidP="00EE3738">
      <w:pPr>
        <w:pStyle w:val="Titrearticle"/>
        <w:rPr>
          <w:noProof/>
        </w:rPr>
      </w:pPr>
      <w:r>
        <w:rPr>
          <w:noProof/>
        </w:rPr>
        <w:t xml:space="preserve"> </w:t>
      </w:r>
      <w:r w:rsidRPr="00EE3738">
        <w:rPr>
          <w:i w:val="0"/>
          <w:noProof/>
        </w:rPr>
        <w:t>“</w:t>
      </w:r>
      <w:r>
        <w:rPr>
          <w:noProof/>
        </w:rPr>
        <w:t>Article 12</w:t>
      </w:r>
      <w:r>
        <w:rPr>
          <w:noProof/>
        </w:rPr>
        <w:br/>
      </w:r>
      <w:r w:rsidRPr="00EE3738">
        <w:rPr>
          <w:noProof/>
        </w:rPr>
        <w:t>Travel document</w:t>
      </w:r>
    </w:p>
    <w:p w14:paraId="4786CD15" w14:textId="2B728AAA" w:rsidR="00EE3738" w:rsidRDefault="00EF15A7" w:rsidP="00EF15A7">
      <w:pPr>
        <w:pStyle w:val="ManualNumPar1"/>
        <w:rPr>
          <w:noProof/>
        </w:rPr>
      </w:pPr>
      <w:r w:rsidRPr="00EF15A7">
        <w:t>1.</w:t>
      </w:r>
      <w:r w:rsidRPr="00EF15A7">
        <w:tab/>
      </w:r>
      <w:r w:rsidR="00EE3738">
        <w:rPr>
          <w:noProof/>
        </w:rPr>
        <w:t xml:space="preserve">The applicant shall </w:t>
      </w:r>
      <w:r w:rsidR="00CC72FF">
        <w:rPr>
          <w:noProof/>
        </w:rPr>
        <w:t xml:space="preserve">provide proof of holding </w:t>
      </w:r>
      <w:r w:rsidR="00EE3738">
        <w:rPr>
          <w:noProof/>
        </w:rPr>
        <w:t>a valid travel document satisfying the following criteria:</w:t>
      </w:r>
    </w:p>
    <w:p w14:paraId="197684D5" w14:textId="19429C4A" w:rsidR="00EE3738" w:rsidRDefault="00EF15A7" w:rsidP="00EF15A7">
      <w:pPr>
        <w:pStyle w:val="Point1"/>
        <w:rPr>
          <w:noProof/>
        </w:rPr>
      </w:pPr>
      <w:r w:rsidRPr="00EF15A7">
        <w:t>(a)</w:t>
      </w:r>
      <w:r w:rsidRPr="00EF15A7">
        <w:tab/>
      </w:r>
      <w:r w:rsidR="00EE3738">
        <w:rPr>
          <w:noProof/>
        </w:rPr>
        <w:t>its validity shall extend at least three months after the intended date of departure from the territory of the Member States or, in the case of several visits, after the last intended date of departure from the territory of the Member States. However, in a justified case of emergency, this obligation may be waived;</w:t>
      </w:r>
    </w:p>
    <w:p w14:paraId="72D2AFED" w14:textId="40C323D6" w:rsidR="003E40A7" w:rsidRDefault="00EF15A7" w:rsidP="00EF15A7">
      <w:pPr>
        <w:pStyle w:val="Point1"/>
        <w:rPr>
          <w:noProof/>
        </w:rPr>
      </w:pPr>
      <w:r w:rsidRPr="00EF15A7">
        <w:t>(b)</w:t>
      </w:r>
      <w:r w:rsidRPr="00EF15A7">
        <w:tab/>
      </w:r>
      <w:r w:rsidR="00EE3738">
        <w:rPr>
          <w:noProof/>
        </w:rPr>
        <w:t>it shall have been issued within the previous 10 years.</w:t>
      </w:r>
    </w:p>
    <w:p w14:paraId="17B3FB0E" w14:textId="77638A72" w:rsidR="003E40A7" w:rsidRDefault="00EF15A7" w:rsidP="00EF15A7">
      <w:pPr>
        <w:pStyle w:val="ManualNumPar1"/>
        <w:rPr>
          <w:noProof/>
        </w:rPr>
      </w:pPr>
      <w:r w:rsidRPr="00EF15A7">
        <w:t>2.</w:t>
      </w:r>
      <w:r w:rsidRPr="00EF15A7">
        <w:tab/>
      </w:r>
      <w:r w:rsidR="002221F5">
        <w:rPr>
          <w:noProof/>
        </w:rPr>
        <w:t>The a</w:t>
      </w:r>
      <w:r w:rsidR="008B7178" w:rsidRPr="008B7178">
        <w:rPr>
          <w:noProof/>
        </w:rPr>
        <w:t>pplicant shall only be required to present</w:t>
      </w:r>
      <w:r w:rsidR="008B7178">
        <w:rPr>
          <w:noProof/>
        </w:rPr>
        <w:t xml:space="preserve"> the travel document</w:t>
      </w:r>
      <w:r w:rsidR="005778F8">
        <w:rPr>
          <w:noProof/>
        </w:rPr>
        <w:t xml:space="preserve"> in person</w:t>
      </w:r>
      <w:r w:rsidR="008B7178">
        <w:rPr>
          <w:noProof/>
        </w:rPr>
        <w:t xml:space="preserve"> </w:t>
      </w:r>
      <w:r w:rsidR="008B7178" w:rsidRPr="008B7178">
        <w:rPr>
          <w:noProof/>
        </w:rPr>
        <w:t>i</w:t>
      </w:r>
      <w:r w:rsidR="00E52BDD">
        <w:rPr>
          <w:noProof/>
        </w:rPr>
        <w:t>n</w:t>
      </w:r>
      <w:r w:rsidR="008B7178" w:rsidRPr="008B7178">
        <w:rPr>
          <w:noProof/>
        </w:rPr>
        <w:t xml:space="preserve"> </w:t>
      </w:r>
      <w:r w:rsidR="00560286">
        <w:rPr>
          <w:noProof/>
        </w:rPr>
        <w:t>case of a first application with that travel document</w:t>
      </w:r>
      <w:r w:rsidR="00C85D1D">
        <w:rPr>
          <w:noProof/>
        </w:rPr>
        <w:t>, or if the applicant needs to provide biometrics</w:t>
      </w:r>
      <w:r w:rsidR="008B7178">
        <w:rPr>
          <w:noProof/>
        </w:rPr>
        <w:t>.</w:t>
      </w:r>
      <w:r w:rsidR="00942819">
        <w:rPr>
          <w:noProof/>
        </w:rPr>
        <w:t xml:space="preserve"> </w:t>
      </w:r>
    </w:p>
    <w:p w14:paraId="6EB3078C" w14:textId="77777777" w:rsidR="008B7178" w:rsidRDefault="00942819" w:rsidP="00FA5DD4">
      <w:pPr>
        <w:pStyle w:val="Text1"/>
        <w:rPr>
          <w:noProof/>
        </w:rPr>
      </w:pPr>
      <w:r>
        <w:rPr>
          <w:noProof/>
        </w:rPr>
        <w:t>Th</w:t>
      </w:r>
      <w:r w:rsidR="003E40A7">
        <w:rPr>
          <w:noProof/>
        </w:rPr>
        <w:t>e first subparagraph shall not affect the application of</w:t>
      </w:r>
      <w:r>
        <w:rPr>
          <w:noProof/>
        </w:rPr>
        <w:t xml:space="preserve"> Article 10(</w:t>
      </w:r>
      <w:r w:rsidR="00A33552">
        <w:rPr>
          <w:noProof/>
        </w:rPr>
        <w:t>1a</w:t>
      </w:r>
      <w:r>
        <w:rPr>
          <w:noProof/>
        </w:rPr>
        <w:t>).</w:t>
      </w:r>
    </w:p>
    <w:p w14:paraId="6535804A" w14:textId="71D0EEBC" w:rsidR="007367E0" w:rsidRPr="007367E0" w:rsidRDefault="00EF15A7" w:rsidP="00EF15A7">
      <w:pPr>
        <w:pStyle w:val="ManualNumPar1"/>
        <w:rPr>
          <w:noProof/>
        </w:rPr>
      </w:pPr>
      <w:r w:rsidRPr="00EF15A7">
        <w:t>3.</w:t>
      </w:r>
      <w:r w:rsidRPr="00EF15A7">
        <w:tab/>
      </w:r>
      <w:r w:rsidR="007367E0">
        <w:rPr>
          <w:noProof/>
        </w:rPr>
        <w:t>The travel documents shall be checked using the appropriate technology.</w:t>
      </w:r>
    </w:p>
    <w:p w14:paraId="50878F97" w14:textId="211D0837" w:rsidR="00395D02" w:rsidRDefault="00EF15A7" w:rsidP="00EF15A7">
      <w:pPr>
        <w:pStyle w:val="ManualNumPar1"/>
        <w:rPr>
          <w:noProof/>
        </w:rPr>
      </w:pPr>
      <w:r w:rsidRPr="00EF15A7">
        <w:t>4.</w:t>
      </w:r>
      <w:r w:rsidRPr="00EF15A7">
        <w:tab/>
      </w:r>
      <w:r w:rsidR="00942819" w:rsidRPr="00942819">
        <w:rPr>
          <w:noProof/>
        </w:rPr>
        <w:t>Whe</w:t>
      </w:r>
      <w:r w:rsidR="00E574EC">
        <w:rPr>
          <w:noProof/>
        </w:rPr>
        <w:t>re</w:t>
      </w:r>
      <w:r w:rsidR="00942819" w:rsidRPr="00942819">
        <w:rPr>
          <w:noProof/>
        </w:rPr>
        <w:t xml:space="preserve"> the application </w:t>
      </w:r>
      <w:r w:rsidR="00E574EC">
        <w:rPr>
          <w:noProof/>
        </w:rPr>
        <w:t>is submitted</w:t>
      </w:r>
      <w:r w:rsidR="00E574EC" w:rsidRPr="00942819">
        <w:rPr>
          <w:noProof/>
        </w:rPr>
        <w:t xml:space="preserve"> </w:t>
      </w:r>
      <w:r w:rsidR="00942819" w:rsidRPr="00942819">
        <w:rPr>
          <w:noProof/>
        </w:rPr>
        <w:t>via the EU application platform</w:t>
      </w:r>
      <w:r w:rsidR="00942819">
        <w:rPr>
          <w:noProof/>
        </w:rPr>
        <w:t>,</w:t>
      </w:r>
      <w:r w:rsidR="001B544B">
        <w:rPr>
          <w:noProof/>
        </w:rPr>
        <w:t xml:space="preserve"> </w:t>
      </w:r>
      <w:r w:rsidR="00942819" w:rsidRPr="001B544B">
        <w:rPr>
          <w:noProof/>
        </w:rPr>
        <w:t>t</w:t>
      </w:r>
      <w:r w:rsidR="002221F5">
        <w:rPr>
          <w:noProof/>
        </w:rPr>
        <w:t>he</w:t>
      </w:r>
      <w:r w:rsidR="00950022">
        <w:rPr>
          <w:noProof/>
        </w:rPr>
        <w:t xml:space="preserve"> </w:t>
      </w:r>
      <w:r w:rsidR="00950022" w:rsidRPr="00942819">
        <w:rPr>
          <w:noProof/>
          <w:lang w:val="en-IE"/>
        </w:rPr>
        <w:t xml:space="preserve">consulate </w:t>
      </w:r>
      <w:r w:rsidR="00C03F1E">
        <w:rPr>
          <w:noProof/>
        </w:rPr>
        <w:t xml:space="preserve">or </w:t>
      </w:r>
      <w:r w:rsidR="002221F5">
        <w:rPr>
          <w:noProof/>
        </w:rPr>
        <w:t>the external service provider</w:t>
      </w:r>
      <w:r w:rsidR="008B7178">
        <w:rPr>
          <w:noProof/>
        </w:rPr>
        <w:t xml:space="preserve"> shall verify</w:t>
      </w:r>
      <w:r w:rsidR="008B7178" w:rsidRPr="008B7178">
        <w:rPr>
          <w:noProof/>
        </w:rPr>
        <w:t xml:space="preserve"> that th</w:t>
      </w:r>
      <w:r w:rsidR="002221F5">
        <w:rPr>
          <w:noProof/>
        </w:rPr>
        <w:t>e</w:t>
      </w:r>
      <w:r w:rsidR="008B7178" w:rsidRPr="008B7178">
        <w:rPr>
          <w:noProof/>
        </w:rPr>
        <w:t xml:space="preserve"> </w:t>
      </w:r>
      <w:r w:rsidR="00E23C21">
        <w:rPr>
          <w:noProof/>
        </w:rPr>
        <w:t xml:space="preserve">presented </w:t>
      </w:r>
      <w:r w:rsidR="008B7178" w:rsidRPr="008B7178">
        <w:rPr>
          <w:noProof/>
        </w:rPr>
        <w:t>travel document</w:t>
      </w:r>
      <w:r w:rsidR="001B544B">
        <w:rPr>
          <w:noProof/>
        </w:rPr>
        <w:t>,</w:t>
      </w:r>
      <w:r w:rsidR="008B7178" w:rsidRPr="008B7178">
        <w:rPr>
          <w:noProof/>
        </w:rPr>
        <w:t xml:space="preserve"> </w:t>
      </w:r>
      <w:r w:rsidR="00685FC6">
        <w:rPr>
          <w:noProof/>
        </w:rPr>
        <w:t xml:space="preserve">which is </w:t>
      </w:r>
      <w:r w:rsidR="001B544B">
        <w:rPr>
          <w:noProof/>
        </w:rPr>
        <w:t xml:space="preserve">presented in person in </w:t>
      </w:r>
      <w:r w:rsidR="00AE4D4C">
        <w:rPr>
          <w:noProof/>
        </w:rPr>
        <w:t>accordance with</w:t>
      </w:r>
      <w:r w:rsidR="001B544B">
        <w:rPr>
          <w:noProof/>
        </w:rPr>
        <w:t xml:space="preserve"> paragraph 2, </w:t>
      </w:r>
      <w:r w:rsidR="008B7178" w:rsidRPr="008B7178">
        <w:rPr>
          <w:noProof/>
        </w:rPr>
        <w:t xml:space="preserve">corresponds to the scanned </w:t>
      </w:r>
      <w:r w:rsidR="008B7178">
        <w:rPr>
          <w:noProof/>
        </w:rPr>
        <w:t xml:space="preserve">copy uploaded by the applicant. </w:t>
      </w:r>
    </w:p>
    <w:p w14:paraId="7B9C8598" w14:textId="77777777" w:rsidR="008B7178" w:rsidRDefault="008B7178" w:rsidP="00FA5DD4">
      <w:pPr>
        <w:pStyle w:val="Text1"/>
        <w:rPr>
          <w:noProof/>
        </w:rPr>
      </w:pPr>
      <w:r>
        <w:rPr>
          <w:noProof/>
        </w:rPr>
        <w:t>If th</w:t>
      </w:r>
      <w:r w:rsidR="00395D02">
        <w:rPr>
          <w:noProof/>
        </w:rPr>
        <w:t>e verification</w:t>
      </w:r>
      <w:r>
        <w:rPr>
          <w:noProof/>
        </w:rPr>
        <w:t xml:space="preserve"> is done by the </w:t>
      </w:r>
      <w:r w:rsidR="002221F5">
        <w:rPr>
          <w:noProof/>
        </w:rPr>
        <w:t>external service provider</w:t>
      </w:r>
      <w:r>
        <w:rPr>
          <w:noProof/>
        </w:rPr>
        <w:t xml:space="preserve">, </w:t>
      </w:r>
      <w:r w:rsidR="007423AE">
        <w:rPr>
          <w:noProof/>
        </w:rPr>
        <w:t xml:space="preserve">the external service provider </w:t>
      </w:r>
      <w:r w:rsidR="00056B67">
        <w:rPr>
          <w:noProof/>
        </w:rPr>
        <w:t>s</w:t>
      </w:r>
      <w:r w:rsidRPr="008B7178">
        <w:rPr>
          <w:noProof/>
        </w:rPr>
        <w:t xml:space="preserve">hall use the </w:t>
      </w:r>
      <w:r w:rsidR="002221F5">
        <w:rPr>
          <w:noProof/>
        </w:rPr>
        <w:t xml:space="preserve">external service provider </w:t>
      </w:r>
      <w:r w:rsidRPr="008B7178">
        <w:rPr>
          <w:noProof/>
        </w:rPr>
        <w:t>gatewa</w:t>
      </w:r>
      <w:r>
        <w:rPr>
          <w:noProof/>
        </w:rPr>
        <w:t xml:space="preserve">y referred to in Article 7e </w:t>
      </w:r>
      <w:r w:rsidRPr="008B7178">
        <w:rPr>
          <w:noProof/>
        </w:rPr>
        <w:t>Regulation (EC) No 767/2008</w:t>
      </w:r>
      <w:r>
        <w:rPr>
          <w:noProof/>
        </w:rPr>
        <w:t>.</w:t>
      </w:r>
    </w:p>
    <w:p w14:paraId="3EBE0E15" w14:textId="4F6642C9" w:rsidR="00EE3738" w:rsidRDefault="00EF15A7" w:rsidP="00EF15A7">
      <w:pPr>
        <w:pStyle w:val="ManualNumPar1"/>
        <w:rPr>
          <w:noProof/>
        </w:rPr>
      </w:pPr>
      <w:r w:rsidRPr="00EF15A7">
        <w:t>5.</w:t>
      </w:r>
      <w:r w:rsidRPr="00EF15A7">
        <w:tab/>
      </w:r>
      <w:r w:rsidR="00AE4D4C">
        <w:rPr>
          <w:noProof/>
        </w:rPr>
        <w:t>W</w:t>
      </w:r>
      <w:r w:rsidR="008B7178" w:rsidRPr="008B7178">
        <w:rPr>
          <w:noProof/>
        </w:rPr>
        <w:t>here the quality of the scan</w:t>
      </w:r>
      <w:r w:rsidR="00AE4D4C">
        <w:rPr>
          <w:noProof/>
        </w:rPr>
        <w:t>ned copy</w:t>
      </w:r>
      <w:r w:rsidR="008B7178" w:rsidRPr="008B7178">
        <w:rPr>
          <w:noProof/>
        </w:rPr>
        <w:t xml:space="preserve"> </w:t>
      </w:r>
      <w:r w:rsidR="00AE4D4C">
        <w:rPr>
          <w:noProof/>
        </w:rPr>
        <w:t xml:space="preserve">referred to in paragraph 4 </w:t>
      </w:r>
      <w:r w:rsidR="008B7178" w:rsidRPr="008B7178">
        <w:rPr>
          <w:noProof/>
        </w:rPr>
        <w:t xml:space="preserve">is </w:t>
      </w:r>
      <w:r w:rsidR="002221F5">
        <w:rPr>
          <w:noProof/>
        </w:rPr>
        <w:t>un</w:t>
      </w:r>
      <w:r w:rsidR="008B7178" w:rsidRPr="008B7178">
        <w:rPr>
          <w:noProof/>
        </w:rPr>
        <w:t>s</w:t>
      </w:r>
      <w:r w:rsidR="002221F5">
        <w:rPr>
          <w:noProof/>
        </w:rPr>
        <w:t xml:space="preserve">atisfactory </w:t>
      </w:r>
      <w:r w:rsidR="008B7178" w:rsidRPr="008B7178">
        <w:rPr>
          <w:noProof/>
        </w:rPr>
        <w:t>or where there are doubts</w:t>
      </w:r>
      <w:r w:rsidR="0096671D">
        <w:rPr>
          <w:noProof/>
        </w:rPr>
        <w:t xml:space="preserve">, </w:t>
      </w:r>
      <w:r w:rsidR="0096671D" w:rsidRPr="003E4F2E">
        <w:rPr>
          <w:noProof/>
        </w:rPr>
        <w:t>notably regarding authenticity</w:t>
      </w:r>
      <w:r w:rsidR="00AE4D4C">
        <w:rPr>
          <w:noProof/>
        </w:rPr>
        <w:t xml:space="preserve"> </w:t>
      </w:r>
      <w:r w:rsidR="0096671D" w:rsidRPr="00E52BDD">
        <w:rPr>
          <w:noProof/>
          <w:lang w:val="en-IE"/>
        </w:rPr>
        <w:t xml:space="preserve">the competent consulate </w:t>
      </w:r>
      <w:r w:rsidR="002221F5">
        <w:rPr>
          <w:noProof/>
        </w:rPr>
        <w:t xml:space="preserve">or the external service provider </w:t>
      </w:r>
      <w:r w:rsidR="008B7178" w:rsidRPr="008B7178">
        <w:rPr>
          <w:noProof/>
        </w:rPr>
        <w:t xml:space="preserve">shall take a new scan and upload </w:t>
      </w:r>
      <w:r w:rsidR="00D97B5D">
        <w:rPr>
          <w:noProof/>
        </w:rPr>
        <w:t xml:space="preserve">it </w:t>
      </w:r>
      <w:r w:rsidR="008B7178" w:rsidRPr="008B7178">
        <w:rPr>
          <w:noProof/>
        </w:rPr>
        <w:t xml:space="preserve">to </w:t>
      </w:r>
      <w:r w:rsidR="00BD0E74">
        <w:rPr>
          <w:noProof/>
        </w:rPr>
        <w:t xml:space="preserve">the </w:t>
      </w:r>
      <w:r w:rsidR="00BD0E74">
        <w:rPr>
          <w:noProof/>
          <w:color w:val="000000"/>
        </w:rPr>
        <w:t xml:space="preserve">EU </w:t>
      </w:r>
      <w:r w:rsidR="008B7178" w:rsidRPr="008B7178">
        <w:rPr>
          <w:noProof/>
        </w:rPr>
        <w:t xml:space="preserve">application </w:t>
      </w:r>
      <w:r w:rsidR="00F479BB">
        <w:rPr>
          <w:noProof/>
        </w:rPr>
        <w:t>platform</w:t>
      </w:r>
      <w:r w:rsidR="00F91041">
        <w:rPr>
          <w:noProof/>
        </w:rPr>
        <w:t>.</w:t>
      </w:r>
      <w:r w:rsidR="00E52BDD" w:rsidRPr="00E52BDD">
        <w:rPr>
          <w:noProof/>
        </w:rPr>
        <w:t>.</w:t>
      </w:r>
      <w:r w:rsidR="00EE3738" w:rsidRPr="00513CAD">
        <w:rPr>
          <w:noProof/>
        </w:rPr>
        <w:t>”</w:t>
      </w:r>
      <w:r w:rsidR="00EE3738">
        <w:rPr>
          <w:noProof/>
        </w:rPr>
        <w:t>;</w:t>
      </w:r>
    </w:p>
    <w:p w14:paraId="1C2F0AD5" w14:textId="1A692968" w:rsidR="000D3EE7" w:rsidRDefault="00EF15A7" w:rsidP="00EF15A7">
      <w:pPr>
        <w:pStyle w:val="Point0"/>
        <w:rPr>
          <w:noProof/>
        </w:rPr>
      </w:pPr>
      <w:r w:rsidRPr="00EF15A7">
        <w:t>(10)</w:t>
      </w:r>
      <w:r w:rsidRPr="00EF15A7">
        <w:tab/>
      </w:r>
      <w:r w:rsidR="000D3EE7">
        <w:rPr>
          <w:noProof/>
        </w:rPr>
        <w:t>in Article 13</w:t>
      </w:r>
      <w:r w:rsidR="00651A55">
        <w:rPr>
          <w:noProof/>
        </w:rPr>
        <w:t>,</w:t>
      </w:r>
      <w:r w:rsidR="000D3EE7">
        <w:rPr>
          <w:noProof/>
        </w:rPr>
        <w:t xml:space="preserve"> the following paragraph</w:t>
      </w:r>
      <w:r w:rsidR="007D3792">
        <w:rPr>
          <w:noProof/>
        </w:rPr>
        <w:t xml:space="preserve"> 7c</w:t>
      </w:r>
      <w:r w:rsidR="000D3EE7">
        <w:rPr>
          <w:noProof/>
        </w:rPr>
        <w:t xml:space="preserve"> is added:</w:t>
      </w:r>
    </w:p>
    <w:p w14:paraId="53BF40A1" w14:textId="77777777" w:rsidR="004112BF" w:rsidRDefault="004112BF" w:rsidP="00F91041">
      <w:pPr>
        <w:pStyle w:val="Text1"/>
        <w:rPr>
          <w:noProof/>
        </w:rPr>
      </w:pPr>
      <w:r w:rsidRPr="00513CAD">
        <w:rPr>
          <w:noProof/>
        </w:rPr>
        <w:t>“</w:t>
      </w:r>
      <w:r w:rsidRPr="00FA5DD4">
        <w:rPr>
          <w:noProof/>
        </w:rPr>
        <w:t>7c.</w:t>
      </w:r>
      <w:r>
        <w:rPr>
          <w:noProof/>
        </w:rPr>
        <w:t xml:space="preserve"> Where </w:t>
      </w:r>
      <w:r w:rsidRPr="004112BF">
        <w:rPr>
          <w:noProof/>
        </w:rPr>
        <w:t xml:space="preserve">the biometric identifiers </w:t>
      </w:r>
      <w:r>
        <w:rPr>
          <w:noProof/>
        </w:rPr>
        <w:t>are</w:t>
      </w:r>
      <w:r w:rsidRPr="004112BF">
        <w:rPr>
          <w:noProof/>
        </w:rPr>
        <w:t xml:space="preserve"> </w:t>
      </w:r>
      <w:r w:rsidR="00646C4F">
        <w:rPr>
          <w:noProof/>
        </w:rPr>
        <w:t>collect</w:t>
      </w:r>
      <w:r w:rsidR="008F0936">
        <w:rPr>
          <w:noProof/>
        </w:rPr>
        <w:t>ed</w:t>
      </w:r>
      <w:r w:rsidR="00646C4F">
        <w:rPr>
          <w:noProof/>
        </w:rPr>
        <w:t xml:space="preserve"> by</w:t>
      </w:r>
      <w:r w:rsidR="00FA5DD4">
        <w:rPr>
          <w:noProof/>
        </w:rPr>
        <w:t xml:space="preserve"> </w:t>
      </w:r>
      <w:r w:rsidRPr="004112BF">
        <w:rPr>
          <w:noProof/>
        </w:rPr>
        <w:t>an external service provid</w:t>
      </w:r>
      <w:r>
        <w:rPr>
          <w:noProof/>
        </w:rPr>
        <w:t xml:space="preserve">er in </w:t>
      </w:r>
      <w:r w:rsidR="00AE4D4C">
        <w:rPr>
          <w:noProof/>
        </w:rPr>
        <w:t xml:space="preserve">accordance with </w:t>
      </w:r>
      <w:r>
        <w:rPr>
          <w:noProof/>
        </w:rPr>
        <w:t xml:space="preserve">Article 43, </w:t>
      </w:r>
      <w:bookmarkStart w:id="6" w:name="_Hlk101207214"/>
      <w:r>
        <w:rPr>
          <w:noProof/>
        </w:rPr>
        <w:t>the external service provider gateway</w:t>
      </w:r>
      <w:bookmarkEnd w:id="6"/>
      <w:r w:rsidRPr="004112BF">
        <w:rPr>
          <w:noProof/>
        </w:rPr>
        <w:t xml:space="preserve"> referred to in Article 7e </w:t>
      </w:r>
      <w:bookmarkStart w:id="7" w:name="_Hlk101207252"/>
      <w:r w:rsidRPr="004112BF">
        <w:rPr>
          <w:noProof/>
        </w:rPr>
        <w:t>Regulation (EC) No 767/2008</w:t>
      </w:r>
      <w:r>
        <w:rPr>
          <w:noProof/>
        </w:rPr>
        <w:t xml:space="preserve"> </w:t>
      </w:r>
      <w:bookmarkEnd w:id="7"/>
      <w:r>
        <w:rPr>
          <w:noProof/>
        </w:rPr>
        <w:t xml:space="preserve">shall be used </w:t>
      </w:r>
      <w:r w:rsidRPr="004112BF">
        <w:rPr>
          <w:noProof/>
        </w:rPr>
        <w:t>for this purpose.</w:t>
      </w:r>
      <w:r w:rsidR="00177311" w:rsidRPr="00513CAD">
        <w:rPr>
          <w:noProof/>
        </w:rPr>
        <w:t>”</w:t>
      </w:r>
      <w:r w:rsidR="00177311">
        <w:rPr>
          <w:noProof/>
        </w:rPr>
        <w:t>;</w:t>
      </w:r>
    </w:p>
    <w:p w14:paraId="6B1F439E" w14:textId="4D56EA59" w:rsidR="00B04A13" w:rsidRDefault="00EF15A7" w:rsidP="00EF15A7">
      <w:pPr>
        <w:pStyle w:val="Point0"/>
        <w:rPr>
          <w:noProof/>
        </w:rPr>
      </w:pPr>
      <w:r w:rsidRPr="00EF15A7">
        <w:t>(11)</w:t>
      </w:r>
      <w:r w:rsidRPr="00EF15A7">
        <w:tab/>
      </w:r>
      <w:r w:rsidR="004112BF">
        <w:rPr>
          <w:noProof/>
        </w:rPr>
        <w:t>Article 14</w:t>
      </w:r>
      <w:r w:rsidR="00B04A13">
        <w:rPr>
          <w:noProof/>
        </w:rPr>
        <w:t xml:space="preserve"> is amended as follows:</w:t>
      </w:r>
    </w:p>
    <w:p w14:paraId="2971EA27" w14:textId="2043350D" w:rsidR="00B04A13" w:rsidRDefault="00EF15A7" w:rsidP="00EF15A7">
      <w:pPr>
        <w:pStyle w:val="Point0"/>
        <w:rPr>
          <w:noProof/>
        </w:rPr>
      </w:pPr>
      <w:r w:rsidRPr="00EF15A7">
        <w:t>(a)</w:t>
      </w:r>
      <w:r w:rsidRPr="00EF15A7">
        <w:tab/>
      </w:r>
      <w:r w:rsidR="00B04A13" w:rsidRPr="00EC0933">
        <w:rPr>
          <w:noProof/>
        </w:rPr>
        <w:t xml:space="preserve">in paragraph </w:t>
      </w:r>
      <w:r w:rsidR="00B04A13" w:rsidRPr="00B04A13">
        <w:rPr>
          <w:noProof/>
        </w:rPr>
        <w:t>1,</w:t>
      </w:r>
      <w:r w:rsidR="004112BF">
        <w:rPr>
          <w:noProof/>
        </w:rPr>
        <w:t xml:space="preserve"> the </w:t>
      </w:r>
      <w:r w:rsidR="00B04A13">
        <w:rPr>
          <w:noProof/>
        </w:rPr>
        <w:t xml:space="preserve">introductory </w:t>
      </w:r>
      <w:r w:rsidR="004112BF">
        <w:rPr>
          <w:noProof/>
        </w:rPr>
        <w:t xml:space="preserve">words are replaced by </w:t>
      </w:r>
      <w:r w:rsidR="00B04A13">
        <w:rPr>
          <w:noProof/>
        </w:rPr>
        <w:t>the following:</w:t>
      </w:r>
      <w:r w:rsidR="00B04A13" w:rsidRPr="3DEDDE2B">
        <w:rPr>
          <w:noProof/>
        </w:rPr>
        <w:t xml:space="preserve"> </w:t>
      </w:r>
    </w:p>
    <w:p w14:paraId="1230A76C" w14:textId="77777777" w:rsidR="004112BF" w:rsidRDefault="00FA5DD4" w:rsidP="00FA5DD4">
      <w:pPr>
        <w:pStyle w:val="Text1"/>
        <w:rPr>
          <w:noProof/>
        </w:rPr>
      </w:pPr>
      <w:r w:rsidRPr="00513CAD">
        <w:rPr>
          <w:noProof/>
        </w:rPr>
        <w:t>“</w:t>
      </w:r>
      <w:r w:rsidR="00B04A13" w:rsidRPr="00B04A13">
        <w:rPr>
          <w:noProof/>
        </w:rPr>
        <w:t>When applying fo</w:t>
      </w:r>
      <w:r w:rsidR="00B04A13">
        <w:rPr>
          <w:noProof/>
        </w:rPr>
        <w:t>r a uniform visa, the applicant</w:t>
      </w:r>
      <w:r w:rsidR="00B04A13" w:rsidRPr="00B04A13">
        <w:rPr>
          <w:noProof/>
        </w:rPr>
        <w:t xml:space="preserve"> </w:t>
      </w:r>
      <w:r w:rsidR="004112BF">
        <w:rPr>
          <w:noProof/>
        </w:rPr>
        <w:t>shall provide</w:t>
      </w:r>
      <w:r w:rsidR="00857B4C">
        <w:rPr>
          <w:noProof/>
        </w:rPr>
        <w:t xml:space="preserve"> proof of</w:t>
      </w:r>
      <w:r w:rsidR="00651A55">
        <w:rPr>
          <w:noProof/>
        </w:rPr>
        <w:t>:</w:t>
      </w:r>
      <w:r w:rsidR="00B04A13">
        <w:rPr>
          <w:noProof/>
        </w:rPr>
        <w:t>”</w:t>
      </w:r>
      <w:r w:rsidR="006F07EE" w:rsidRPr="3DEDDE2B">
        <w:rPr>
          <w:noProof/>
        </w:rPr>
        <w:t>;</w:t>
      </w:r>
    </w:p>
    <w:p w14:paraId="6F93981F" w14:textId="001427B0" w:rsidR="00B04A13" w:rsidRDefault="00EF15A7" w:rsidP="00EF15A7">
      <w:pPr>
        <w:pStyle w:val="Point0"/>
        <w:rPr>
          <w:noProof/>
        </w:rPr>
      </w:pPr>
      <w:r w:rsidRPr="00EF15A7">
        <w:t>(b)</w:t>
      </w:r>
      <w:r w:rsidRPr="00EF15A7">
        <w:tab/>
      </w:r>
      <w:r w:rsidR="00B04A13" w:rsidRPr="00265031">
        <w:rPr>
          <w:noProof/>
        </w:rPr>
        <w:t xml:space="preserve">in paragraph </w:t>
      </w:r>
      <w:r w:rsidR="00B04A13">
        <w:rPr>
          <w:noProof/>
        </w:rPr>
        <w:t>2</w:t>
      </w:r>
      <w:r w:rsidR="00B04A13" w:rsidRPr="00265031">
        <w:rPr>
          <w:noProof/>
        </w:rPr>
        <w:t>,</w:t>
      </w:r>
      <w:r w:rsidR="00B04A13">
        <w:rPr>
          <w:noProof/>
        </w:rPr>
        <w:t xml:space="preserve"> the introductory words are replaced by the following:</w:t>
      </w:r>
      <w:r w:rsidR="00B04A13" w:rsidRPr="3DEDDE2B">
        <w:rPr>
          <w:noProof/>
        </w:rPr>
        <w:t xml:space="preserve"> </w:t>
      </w:r>
    </w:p>
    <w:p w14:paraId="0C3FDED1" w14:textId="77777777" w:rsidR="00B04A13" w:rsidRDefault="00B04A13" w:rsidP="00FA5DD4">
      <w:pPr>
        <w:pStyle w:val="Text1"/>
        <w:rPr>
          <w:noProof/>
        </w:rPr>
      </w:pPr>
      <w:r>
        <w:rPr>
          <w:noProof/>
        </w:rPr>
        <w:t>“</w:t>
      </w:r>
      <w:r w:rsidRPr="00B04A13">
        <w:rPr>
          <w:noProof/>
        </w:rPr>
        <w:t>When applying fo</w:t>
      </w:r>
      <w:r>
        <w:rPr>
          <w:noProof/>
        </w:rPr>
        <w:t xml:space="preserve">r </w:t>
      </w:r>
      <w:r w:rsidRPr="00B04A13">
        <w:rPr>
          <w:noProof/>
        </w:rPr>
        <w:t> an airport transit visa</w:t>
      </w:r>
      <w:r>
        <w:rPr>
          <w:noProof/>
        </w:rPr>
        <w:t>, the applicant</w:t>
      </w:r>
      <w:r w:rsidRPr="00B04A13">
        <w:rPr>
          <w:noProof/>
        </w:rPr>
        <w:t xml:space="preserve"> </w:t>
      </w:r>
      <w:r>
        <w:rPr>
          <w:noProof/>
        </w:rPr>
        <w:t>shall provide proof of</w:t>
      </w:r>
      <w:r w:rsidR="00651A55">
        <w:rPr>
          <w:noProof/>
        </w:rPr>
        <w:t>:</w:t>
      </w:r>
      <w:r>
        <w:rPr>
          <w:noProof/>
        </w:rPr>
        <w:t>”</w:t>
      </w:r>
      <w:r w:rsidRPr="3DEDDE2B">
        <w:rPr>
          <w:noProof/>
        </w:rPr>
        <w:t>;</w:t>
      </w:r>
    </w:p>
    <w:p w14:paraId="0953ADA7" w14:textId="3E69E8C8" w:rsidR="004112BF" w:rsidRDefault="00EF15A7" w:rsidP="00EF15A7">
      <w:pPr>
        <w:pStyle w:val="Point0"/>
        <w:rPr>
          <w:noProof/>
        </w:rPr>
      </w:pPr>
      <w:r w:rsidRPr="00EF15A7">
        <w:t>(12)</w:t>
      </w:r>
      <w:r w:rsidRPr="00EF15A7">
        <w:tab/>
      </w:r>
      <w:r w:rsidR="004112BF">
        <w:rPr>
          <w:noProof/>
        </w:rPr>
        <w:t>in Article 15</w:t>
      </w:r>
      <w:r w:rsidR="00427333">
        <w:rPr>
          <w:noProof/>
        </w:rPr>
        <w:t>(2),</w:t>
      </w:r>
      <w:r w:rsidR="004112BF">
        <w:rPr>
          <w:noProof/>
        </w:rPr>
        <w:t xml:space="preserve"> </w:t>
      </w:r>
      <w:r w:rsidR="00427333">
        <w:rPr>
          <w:noProof/>
        </w:rPr>
        <w:t xml:space="preserve">the </w:t>
      </w:r>
      <w:r w:rsidR="004112BF">
        <w:rPr>
          <w:noProof/>
        </w:rPr>
        <w:t>second subparagraph is replaced by the following:</w:t>
      </w:r>
    </w:p>
    <w:p w14:paraId="6A399C35" w14:textId="77777777" w:rsidR="000D3EE7" w:rsidRDefault="00177311" w:rsidP="00F91041">
      <w:pPr>
        <w:pStyle w:val="Text1"/>
        <w:rPr>
          <w:noProof/>
        </w:rPr>
      </w:pPr>
      <w:r w:rsidRPr="00513CAD">
        <w:rPr>
          <w:noProof/>
        </w:rPr>
        <w:t>“</w:t>
      </w:r>
      <w:r w:rsidR="004112BF" w:rsidRPr="004112BF">
        <w:rPr>
          <w:noProof/>
        </w:rPr>
        <w:t xml:space="preserve">In addition, such applicants shall </w:t>
      </w:r>
      <w:r w:rsidR="006F07EE">
        <w:rPr>
          <w:noProof/>
        </w:rPr>
        <w:t>declare, as part of the application form,</w:t>
      </w:r>
      <w:r w:rsidR="004112BF" w:rsidRPr="004112BF">
        <w:rPr>
          <w:noProof/>
        </w:rPr>
        <w:t xml:space="preserve"> that they are aware of the need to be in possession of travel medical insurance for subsequent stays.</w:t>
      </w:r>
      <w:r w:rsidRPr="00513CAD">
        <w:rPr>
          <w:noProof/>
        </w:rPr>
        <w:t>”</w:t>
      </w:r>
      <w:r w:rsidR="006F07EE">
        <w:rPr>
          <w:noProof/>
        </w:rPr>
        <w:t>;</w:t>
      </w:r>
    </w:p>
    <w:p w14:paraId="3F2A9477" w14:textId="754DA2C2" w:rsidR="006F07EE" w:rsidRDefault="00EF15A7" w:rsidP="00EF15A7">
      <w:pPr>
        <w:pStyle w:val="Point0"/>
        <w:rPr>
          <w:noProof/>
        </w:rPr>
      </w:pPr>
      <w:r w:rsidRPr="00EF15A7">
        <w:t>(13)</w:t>
      </w:r>
      <w:r w:rsidRPr="00EF15A7">
        <w:tab/>
      </w:r>
      <w:r w:rsidR="006F07EE">
        <w:rPr>
          <w:noProof/>
        </w:rPr>
        <w:t>in Article 1</w:t>
      </w:r>
      <w:r w:rsidR="00782074">
        <w:rPr>
          <w:noProof/>
        </w:rPr>
        <w:t>6</w:t>
      </w:r>
      <w:r w:rsidR="00427333">
        <w:rPr>
          <w:noProof/>
        </w:rPr>
        <w:t>(7),</w:t>
      </w:r>
      <w:r w:rsidR="006F07EE">
        <w:rPr>
          <w:noProof/>
        </w:rPr>
        <w:t xml:space="preserve"> </w:t>
      </w:r>
      <w:r w:rsidR="00427333">
        <w:rPr>
          <w:noProof/>
        </w:rPr>
        <w:t>the first subparagraph is replaced by the following:</w:t>
      </w:r>
    </w:p>
    <w:p w14:paraId="5F8E72B1" w14:textId="77777777" w:rsidR="00427333" w:rsidRDefault="00007A73" w:rsidP="00F91041">
      <w:pPr>
        <w:pStyle w:val="Text1"/>
        <w:rPr>
          <w:noProof/>
        </w:rPr>
      </w:pPr>
      <w:r w:rsidRPr="00513CAD">
        <w:rPr>
          <w:noProof/>
        </w:rPr>
        <w:t>“</w:t>
      </w:r>
      <w:r w:rsidR="00E17BC2">
        <w:rPr>
          <w:noProof/>
        </w:rPr>
        <w:t xml:space="preserve">For applications </w:t>
      </w:r>
      <w:r w:rsidR="00E17BC2" w:rsidRPr="00DC7E92">
        <w:rPr>
          <w:noProof/>
        </w:rPr>
        <w:t>submitted via the EU application platform</w:t>
      </w:r>
      <w:r w:rsidR="00E17BC2">
        <w:rPr>
          <w:noProof/>
        </w:rPr>
        <w:t>, t</w:t>
      </w:r>
      <w:r w:rsidR="003B134D" w:rsidRPr="003B134D">
        <w:rPr>
          <w:noProof/>
        </w:rPr>
        <w:t>he vis</w:t>
      </w:r>
      <w:r w:rsidR="003B134D">
        <w:rPr>
          <w:noProof/>
        </w:rPr>
        <w:t xml:space="preserve">a fee shall be charged in euro </w:t>
      </w:r>
      <w:r w:rsidR="003B134D" w:rsidRPr="003B134D">
        <w:rPr>
          <w:noProof/>
        </w:rPr>
        <w:t>and shall not be refundable except in t</w:t>
      </w:r>
      <w:r w:rsidR="0089131B">
        <w:rPr>
          <w:noProof/>
        </w:rPr>
        <w:t xml:space="preserve">he cases referred to in </w:t>
      </w:r>
      <w:r w:rsidR="0089131B" w:rsidRPr="008F23EC">
        <w:rPr>
          <w:noProof/>
        </w:rPr>
        <w:t>Article</w:t>
      </w:r>
      <w:r w:rsidR="003B134D" w:rsidRPr="008F23EC">
        <w:rPr>
          <w:noProof/>
        </w:rPr>
        <w:t xml:space="preserve"> 18(2) and </w:t>
      </w:r>
      <w:r w:rsidR="00427333" w:rsidRPr="008F23EC">
        <w:rPr>
          <w:noProof/>
        </w:rPr>
        <w:t xml:space="preserve">Article </w:t>
      </w:r>
      <w:r w:rsidR="003B134D" w:rsidRPr="008F23EC">
        <w:rPr>
          <w:noProof/>
        </w:rPr>
        <w:t>19</w:t>
      </w:r>
      <w:r w:rsidR="003B134D" w:rsidRPr="00D042ED">
        <w:rPr>
          <w:noProof/>
        </w:rPr>
        <w:t>(3).</w:t>
      </w:r>
      <w:r w:rsidR="00427333" w:rsidRPr="00427333">
        <w:rPr>
          <w:noProof/>
        </w:rPr>
        <w:t xml:space="preserve"> </w:t>
      </w:r>
      <w:r w:rsidR="00427333" w:rsidRPr="00513CAD">
        <w:rPr>
          <w:noProof/>
        </w:rPr>
        <w:t>”</w:t>
      </w:r>
      <w:r w:rsidR="00427333">
        <w:rPr>
          <w:noProof/>
        </w:rPr>
        <w:t>;</w:t>
      </w:r>
      <w:r w:rsidR="00A13163">
        <w:rPr>
          <w:noProof/>
        </w:rPr>
        <w:t xml:space="preserve"> </w:t>
      </w:r>
    </w:p>
    <w:p w14:paraId="76D2EBDB" w14:textId="77777777" w:rsidR="00782074" w:rsidRPr="00A243F3" w:rsidRDefault="00C25716" w:rsidP="00F91041">
      <w:pPr>
        <w:pStyle w:val="Text1"/>
        <w:rPr>
          <w:strike/>
          <w:noProof/>
        </w:rPr>
      </w:pPr>
      <w:r>
        <w:rPr>
          <w:noProof/>
        </w:rPr>
        <w:t>For application not submitted via the</w:t>
      </w:r>
      <w:r w:rsidRPr="00C25716">
        <w:rPr>
          <w:noProof/>
        </w:rPr>
        <w:t xml:space="preserve"> EU application platform</w:t>
      </w:r>
      <w:r>
        <w:rPr>
          <w:noProof/>
        </w:rPr>
        <w:t>, w</w:t>
      </w:r>
      <w:r w:rsidRPr="00A13163">
        <w:rPr>
          <w:noProof/>
        </w:rPr>
        <w:t xml:space="preserve">hen </w:t>
      </w:r>
      <w:r w:rsidR="006F07EE" w:rsidRPr="00A13163">
        <w:rPr>
          <w:noProof/>
        </w:rPr>
        <w:t>charged in a currency other than the euro, the amount of the visa fee charged in that currency shall be determined and regularly reviewed in application of the euro foreign exchange reference rate set by the European Central Bank. The amount charged may be rounded up and it shall be ensured under local Schengen cooperation that similar fees are charged</w:t>
      </w:r>
      <w:r w:rsidR="00A13163">
        <w:rPr>
          <w:noProof/>
        </w:rPr>
        <w:t>.</w:t>
      </w:r>
      <w:r w:rsidR="0089131B" w:rsidRPr="00513CAD">
        <w:rPr>
          <w:noProof/>
        </w:rPr>
        <w:t>”</w:t>
      </w:r>
      <w:r w:rsidR="0089131B">
        <w:rPr>
          <w:noProof/>
        </w:rPr>
        <w:t>;</w:t>
      </w:r>
    </w:p>
    <w:p w14:paraId="14AF1E8E" w14:textId="76E2C933" w:rsidR="006F07EE" w:rsidRDefault="00EF15A7" w:rsidP="00EF15A7">
      <w:pPr>
        <w:pStyle w:val="Point0"/>
        <w:rPr>
          <w:noProof/>
        </w:rPr>
      </w:pPr>
      <w:r w:rsidRPr="00EF15A7">
        <w:t>(14)</w:t>
      </w:r>
      <w:r w:rsidRPr="00EF15A7">
        <w:tab/>
      </w:r>
      <w:r w:rsidR="007D3792">
        <w:rPr>
          <w:noProof/>
        </w:rPr>
        <w:t>i</w:t>
      </w:r>
      <w:r w:rsidR="00DC7E92">
        <w:rPr>
          <w:noProof/>
        </w:rPr>
        <w:t xml:space="preserve">n </w:t>
      </w:r>
      <w:r w:rsidR="00536DFD">
        <w:rPr>
          <w:noProof/>
        </w:rPr>
        <w:t>Article 18</w:t>
      </w:r>
      <w:r w:rsidR="00DC7E92">
        <w:rPr>
          <w:noProof/>
        </w:rPr>
        <w:t xml:space="preserve"> </w:t>
      </w:r>
      <w:r w:rsidR="000B1EEB">
        <w:rPr>
          <w:noProof/>
        </w:rPr>
        <w:t>the following</w:t>
      </w:r>
      <w:r w:rsidR="00DC7E92">
        <w:rPr>
          <w:noProof/>
        </w:rPr>
        <w:t xml:space="preserve"> paragraph</w:t>
      </w:r>
      <w:r w:rsidR="000B1EEB">
        <w:rPr>
          <w:noProof/>
        </w:rPr>
        <w:t>s</w:t>
      </w:r>
      <w:r w:rsidR="007D3792">
        <w:rPr>
          <w:noProof/>
        </w:rPr>
        <w:t xml:space="preserve"> 3 and 4</w:t>
      </w:r>
      <w:r w:rsidR="00DC7E92">
        <w:rPr>
          <w:noProof/>
        </w:rPr>
        <w:t xml:space="preserve"> </w:t>
      </w:r>
      <w:r w:rsidR="000B1EEB">
        <w:rPr>
          <w:noProof/>
        </w:rPr>
        <w:t>are</w:t>
      </w:r>
      <w:r w:rsidR="00DC7E92">
        <w:rPr>
          <w:noProof/>
        </w:rPr>
        <w:t xml:space="preserve"> added</w:t>
      </w:r>
      <w:r w:rsidR="00536DFD">
        <w:rPr>
          <w:noProof/>
        </w:rPr>
        <w:t>:</w:t>
      </w:r>
    </w:p>
    <w:p w14:paraId="1D33F9F1" w14:textId="77777777" w:rsidR="000B1EEB" w:rsidRPr="00FA5DD4" w:rsidRDefault="00DC7E92" w:rsidP="00DC7E92">
      <w:pPr>
        <w:pStyle w:val="Text1"/>
        <w:rPr>
          <w:noProof/>
        </w:rPr>
      </w:pPr>
      <w:r w:rsidRPr="002A4C0D">
        <w:rPr>
          <w:noProof/>
        </w:rPr>
        <w:t>“</w:t>
      </w:r>
      <w:r>
        <w:rPr>
          <w:noProof/>
        </w:rPr>
        <w:t xml:space="preserve">3. </w:t>
      </w:r>
      <w:r w:rsidR="00825A4C">
        <w:rPr>
          <w:noProof/>
        </w:rPr>
        <w:t>F</w:t>
      </w:r>
      <w:r>
        <w:rPr>
          <w:noProof/>
        </w:rPr>
        <w:t xml:space="preserve">or applications </w:t>
      </w:r>
      <w:r w:rsidRPr="00DC7E92">
        <w:rPr>
          <w:noProof/>
        </w:rPr>
        <w:t>submitted via the EU application platform</w:t>
      </w:r>
      <w:r>
        <w:rPr>
          <w:noProof/>
        </w:rPr>
        <w:t>,</w:t>
      </w:r>
      <w:r w:rsidR="00825A4C">
        <w:rPr>
          <w:noProof/>
        </w:rPr>
        <w:t xml:space="preserve"> following</w:t>
      </w:r>
      <w:r w:rsidR="00825A4C" w:rsidRPr="00825A4C">
        <w:rPr>
          <w:noProof/>
        </w:rPr>
        <w:t xml:space="preserve"> the notification by the EU application pl</w:t>
      </w:r>
      <w:r w:rsidR="00825A4C">
        <w:rPr>
          <w:noProof/>
        </w:rPr>
        <w:t xml:space="preserve">atform </w:t>
      </w:r>
      <w:r w:rsidR="0099036A">
        <w:rPr>
          <w:noProof/>
        </w:rPr>
        <w:t>on the automated competence</w:t>
      </w:r>
      <w:r w:rsidR="00A63963">
        <w:rPr>
          <w:noProof/>
        </w:rPr>
        <w:t xml:space="preserve"> and admissibility</w:t>
      </w:r>
      <w:r w:rsidR="0099036A">
        <w:rPr>
          <w:noProof/>
        </w:rPr>
        <w:t xml:space="preserve"> </w:t>
      </w:r>
      <w:r w:rsidR="002F4325">
        <w:rPr>
          <w:noProof/>
        </w:rPr>
        <w:t>pre-</w:t>
      </w:r>
      <w:r w:rsidR="0099036A">
        <w:rPr>
          <w:noProof/>
        </w:rPr>
        <w:t xml:space="preserve">check </w:t>
      </w:r>
      <w:r w:rsidR="00825A4C">
        <w:rPr>
          <w:noProof/>
        </w:rPr>
        <w:t xml:space="preserve">pursuant </w:t>
      </w:r>
      <w:r w:rsidR="00825A4C" w:rsidRPr="00FA5DD4">
        <w:rPr>
          <w:noProof/>
        </w:rPr>
        <w:t>to Article 7c</w:t>
      </w:r>
      <w:r w:rsidR="00A63963" w:rsidRPr="00FA5DD4">
        <w:rPr>
          <w:noProof/>
        </w:rPr>
        <w:t>(9)</w:t>
      </w:r>
      <w:r w:rsidR="00825A4C" w:rsidRPr="00FA5DD4">
        <w:rPr>
          <w:noProof/>
        </w:rPr>
        <w:t xml:space="preserve"> of Regulation (EC) No 767/2008, the cons</w:t>
      </w:r>
      <w:r w:rsidR="00BE0F19" w:rsidRPr="00FA5DD4">
        <w:rPr>
          <w:noProof/>
        </w:rPr>
        <w:t>ulate or the central authorities</w:t>
      </w:r>
      <w:r w:rsidR="00825A4C" w:rsidRPr="00FA5DD4">
        <w:rPr>
          <w:noProof/>
        </w:rPr>
        <w:t xml:space="preserve"> of the Member State notified by the system shall verify whether </w:t>
      </w:r>
      <w:r w:rsidR="001E2ECC" w:rsidRPr="00FA5DD4">
        <w:rPr>
          <w:noProof/>
        </w:rPr>
        <w:t>they are</w:t>
      </w:r>
      <w:r w:rsidR="00825A4C" w:rsidRPr="00FA5DD4">
        <w:rPr>
          <w:noProof/>
        </w:rPr>
        <w:t xml:space="preserve"> competent to examine and decide on it</w:t>
      </w:r>
      <w:r w:rsidRPr="00FA5DD4">
        <w:rPr>
          <w:noProof/>
        </w:rPr>
        <w:t>.</w:t>
      </w:r>
    </w:p>
    <w:p w14:paraId="6E08498C" w14:textId="77777777" w:rsidR="001E2ECC" w:rsidRDefault="000B1EEB" w:rsidP="000B1EEB">
      <w:pPr>
        <w:pStyle w:val="Text1"/>
        <w:rPr>
          <w:noProof/>
        </w:rPr>
      </w:pPr>
      <w:r w:rsidRPr="00FA5DD4">
        <w:rPr>
          <w:noProof/>
        </w:rPr>
        <w:t xml:space="preserve">4. </w:t>
      </w:r>
      <w:r w:rsidR="00283D42" w:rsidRPr="00FA5DD4">
        <w:rPr>
          <w:noProof/>
        </w:rPr>
        <w:t>In cases referred to in paragraph 3, i</w:t>
      </w:r>
      <w:r w:rsidR="0099036A" w:rsidRPr="00FA5DD4">
        <w:rPr>
          <w:noProof/>
        </w:rPr>
        <w:t>f the Member State finds that it is</w:t>
      </w:r>
      <w:r w:rsidRPr="00FA5DD4">
        <w:rPr>
          <w:noProof/>
        </w:rPr>
        <w:t xml:space="preserve"> not competent, it shall, without delay, notify the applicant using the secure account service in the EU application </w:t>
      </w:r>
      <w:r w:rsidR="00C25716" w:rsidRPr="00FA5DD4">
        <w:rPr>
          <w:noProof/>
        </w:rPr>
        <w:t>platform</w:t>
      </w:r>
      <w:r w:rsidRPr="00FA5DD4">
        <w:rPr>
          <w:noProof/>
        </w:rPr>
        <w:t>, indicating</w:t>
      </w:r>
      <w:r>
        <w:rPr>
          <w:noProof/>
        </w:rPr>
        <w:t xml:space="preserve"> which Member State is competent. </w:t>
      </w:r>
    </w:p>
    <w:p w14:paraId="4EFA6623" w14:textId="77777777" w:rsidR="00DC7E92" w:rsidRDefault="000B1EEB" w:rsidP="000B1EEB">
      <w:pPr>
        <w:pStyle w:val="Text1"/>
        <w:rPr>
          <w:noProof/>
        </w:rPr>
      </w:pPr>
      <w:r>
        <w:rPr>
          <w:noProof/>
        </w:rPr>
        <w:t xml:space="preserve">The applicant may </w:t>
      </w:r>
      <w:r w:rsidR="00283D42">
        <w:rPr>
          <w:noProof/>
        </w:rPr>
        <w:t xml:space="preserve">withdraw the application. </w:t>
      </w:r>
      <w:r w:rsidR="0047151F">
        <w:rPr>
          <w:noProof/>
        </w:rPr>
        <w:t xml:space="preserve">If the application is withdrawn </w:t>
      </w:r>
      <w:r w:rsidR="00283D42">
        <w:rPr>
          <w:noProof/>
        </w:rPr>
        <w:t>a</w:t>
      </w:r>
      <w:r>
        <w:rPr>
          <w:noProof/>
        </w:rPr>
        <w:t xml:space="preserve">pplication data </w:t>
      </w:r>
      <w:r w:rsidR="001E2ECC">
        <w:rPr>
          <w:noProof/>
        </w:rPr>
        <w:t xml:space="preserve">shall </w:t>
      </w:r>
      <w:r>
        <w:rPr>
          <w:noProof/>
        </w:rPr>
        <w:t>be deleted from temporary storage</w:t>
      </w:r>
      <w:r w:rsidR="00503C3D">
        <w:rPr>
          <w:noProof/>
        </w:rPr>
        <w:t>.</w:t>
      </w:r>
      <w:r>
        <w:rPr>
          <w:noProof/>
        </w:rPr>
        <w:t>, pursuant to Article 7c of Regulation (EC) No 767/2008</w:t>
      </w:r>
      <w:r w:rsidR="008F23EC" w:rsidRPr="002A4C0D">
        <w:rPr>
          <w:noProof/>
        </w:rPr>
        <w:t>”;</w:t>
      </w:r>
    </w:p>
    <w:p w14:paraId="772D244E" w14:textId="49AC6D1D" w:rsidR="00DC7E92" w:rsidRDefault="00EF15A7" w:rsidP="00EF15A7">
      <w:pPr>
        <w:pStyle w:val="Point0"/>
        <w:rPr>
          <w:noProof/>
        </w:rPr>
      </w:pPr>
      <w:r w:rsidRPr="00EF15A7">
        <w:t>(15)</w:t>
      </w:r>
      <w:r w:rsidRPr="00EF15A7">
        <w:tab/>
      </w:r>
      <w:r w:rsidR="00DC7E92">
        <w:rPr>
          <w:noProof/>
        </w:rPr>
        <w:t>Article 19</w:t>
      </w:r>
      <w:r w:rsidR="005F6EDE">
        <w:rPr>
          <w:noProof/>
        </w:rPr>
        <w:t xml:space="preserve"> </w:t>
      </w:r>
      <w:r w:rsidR="00DC7E92">
        <w:rPr>
          <w:noProof/>
        </w:rPr>
        <w:t xml:space="preserve">is </w:t>
      </w:r>
      <w:r w:rsidR="000B1EEB">
        <w:rPr>
          <w:noProof/>
        </w:rPr>
        <w:t>amended as follows</w:t>
      </w:r>
      <w:r w:rsidR="00DC7E92">
        <w:rPr>
          <w:noProof/>
        </w:rPr>
        <w:t>:</w:t>
      </w:r>
    </w:p>
    <w:p w14:paraId="19D6AB24" w14:textId="007CAAAD" w:rsidR="000B1EEB" w:rsidRDefault="00EF15A7" w:rsidP="00EF15A7">
      <w:pPr>
        <w:pStyle w:val="Point0"/>
        <w:rPr>
          <w:noProof/>
        </w:rPr>
      </w:pPr>
      <w:r w:rsidRPr="00EF15A7">
        <w:t>(a)</w:t>
      </w:r>
      <w:r w:rsidRPr="00EF15A7">
        <w:tab/>
      </w:r>
      <w:r w:rsidR="005F5FD2" w:rsidRPr="00946B52">
        <w:rPr>
          <w:bCs/>
          <w:noProof/>
        </w:rPr>
        <w:t>the following</w:t>
      </w:r>
      <w:r w:rsidR="005F5FD2" w:rsidRPr="00946B52" w:rsidDel="005F5FD2">
        <w:rPr>
          <w:noProof/>
        </w:rPr>
        <w:t xml:space="preserve"> </w:t>
      </w:r>
      <w:r w:rsidR="000B1EEB">
        <w:rPr>
          <w:noProof/>
        </w:rPr>
        <w:t>paragraph 1a is inserted:</w:t>
      </w:r>
    </w:p>
    <w:p w14:paraId="5B703FA5" w14:textId="77777777" w:rsidR="00B2622E" w:rsidRDefault="000B1EEB" w:rsidP="003E4F2E">
      <w:pPr>
        <w:pStyle w:val="Text1"/>
        <w:rPr>
          <w:noProof/>
        </w:rPr>
      </w:pPr>
      <w:r w:rsidRPr="002A4C0D">
        <w:rPr>
          <w:noProof/>
        </w:rPr>
        <w:t>“</w:t>
      </w:r>
      <w:r>
        <w:rPr>
          <w:noProof/>
        </w:rPr>
        <w:t xml:space="preserve">1a. </w:t>
      </w:r>
      <w:r w:rsidR="00825A4C">
        <w:rPr>
          <w:noProof/>
        </w:rPr>
        <w:t>Fo</w:t>
      </w:r>
      <w:r w:rsidR="00825A4C" w:rsidRPr="00825A4C">
        <w:rPr>
          <w:noProof/>
        </w:rPr>
        <w:t>r applications submitted via the EU application platform</w:t>
      </w:r>
      <w:r w:rsidR="00825A4C">
        <w:rPr>
          <w:noProof/>
        </w:rPr>
        <w:t>, a</w:t>
      </w:r>
      <w:r w:rsidR="00A869D9" w:rsidRPr="00A869D9">
        <w:rPr>
          <w:noProof/>
        </w:rPr>
        <w:t xml:space="preserve">fter </w:t>
      </w:r>
      <w:r w:rsidR="00403F7F">
        <w:rPr>
          <w:noProof/>
        </w:rPr>
        <w:t xml:space="preserve">the </w:t>
      </w:r>
      <w:r w:rsidR="00A869D9" w:rsidRPr="00A869D9">
        <w:rPr>
          <w:noProof/>
        </w:rPr>
        <w:t xml:space="preserve">notification </w:t>
      </w:r>
      <w:r w:rsidR="002A574B">
        <w:rPr>
          <w:noProof/>
        </w:rPr>
        <w:t xml:space="preserve">by the </w:t>
      </w:r>
      <w:r w:rsidR="00B1669B">
        <w:rPr>
          <w:noProof/>
        </w:rPr>
        <w:t xml:space="preserve">EU application </w:t>
      </w:r>
      <w:r w:rsidR="00F479BB">
        <w:rPr>
          <w:noProof/>
        </w:rPr>
        <w:t>platform</w:t>
      </w:r>
      <w:r w:rsidR="002A574B">
        <w:rPr>
          <w:noProof/>
        </w:rPr>
        <w:t xml:space="preserve"> </w:t>
      </w:r>
      <w:r w:rsidR="0099036A">
        <w:rPr>
          <w:noProof/>
        </w:rPr>
        <w:t xml:space="preserve">on the automated admissibility </w:t>
      </w:r>
      <w:r w:rsidR="002F4325">
        <w:rPr>
          <w:noProof/>
        </w:rPr>
        <w:t>pre-</w:t>
      </w:r>
      <w:r w:rsidR="0099036A">
        <w:rPr>
          <w:noProof/>
        </w:rPr>
        <w:t xml:space="preserve">check pursuant to </w:t>
      </w:r>
      <w:r w:rsidR="002A574B">
        <w:rPr>
          <w:noProof/>
        </w:rPr>
        <w:t>Article 7c</w:t>
      </w:r>
      <w:r w:rsidR="00F901C1">
        <w:rPr>
          <w:noProof/>
        </w:rPr>
        <w:t>(</w:t>
      </w:r>
      <w:r w:rsidR="00A63963">
        <w:rPr>
          <w:noProof/>
        </w:rPr>
        <w:t>9</w:t>
      </w:r>
      <w:r w:rsidR="00F901C1">
        <w:rPr>
          <w:noProof/>
        </w:rPr>
        <w:t>)</w:t>
      </w:r>
      <w:r w:rsidR="002A574B">
        <w:rPr>
          <w:noProof/>
        </w:rPr>
        <w:t xml:space="preserve"> of </w:t>
      </w:r>
      <w:r w:rsidR="002A574B" w:rsidRPr="002A574B">
        <w:rPr>
          <w:noProof/>
        </w:rPr>
        <w:t>Regulation (EC) No 767/2008</w:t>
      </w:r>
      <w:r w:rsidR="0099036A">
        <w:rPr>
          <w:noProof/>
        </w:rPr>
        <w:t>,</w:t>
      </w:r>
      <w:r w:rsidR="00B2622E">
        <w:rPr>
          <w:noProof/>
        </w:rPr>
        <w:t xml:space="preserve"> </w:t>
      </w:r>
      <w:r w:rsidR="000F0F49">
        <w:rPr>
          <w:noProof/>
        </w:rPr>
        <w:t xml:space="preserve">indicating </w:t>
      </w:r>
      <w:r w:rsidR="00B2622E">
        <w:rPr>
          <w:noProof/>
        </w:rPr>
        <w:t xml:space="preserve">that the application </w:t>
      </w:r>
      <w:r w:rsidR="00D97B5D">
        <w:rPr>
          <w:noProof/>
        </w:rPr>
        <w:t>i</w:t>
      </w:r>
      <w:r w:rsidR="00B2622E">
        <w:rPr>
          <w:noProof/>
        </w:rPr>
        <w:t>s admissible</w:t>
      </w:r>
      <w:r w:rsidR="00A869D9" w:rsidRPr="00A869D9">
        <w:rPr>
          <w:noProof/>
        </w:rPr>
        <w:t>, the consulate</w:t>
      </w:r>
      <w:r w:rsidR="002A574B">
        <w:rPr>
          <w:noProof/>
        </w:rPr>
        <w:t xml:space="preserve"> </w:t>
      </w:r>
      <w:r w:rsidR="002A574B" w:rsidRPr="002A4C0D">
        <w:rPr>
          <w:noProof/>
        </w:rPr>
        <w:t>or</w:t>
      </w:r>
      <w:r w:rsidR="002A574B">
        <w:rPr>
          <w:noProof/>
        </w:rPr>
        <w:t xml:space="preserve"> the central authorities</w:t>
      </w:r>
      <w:r w:rsidR="00A869D9" w:rsidRPr="00A869D9">
        <w:rPr>
          <w:noProof/>
        </w:rPr>
        <w:t xml:space="preserve"> </w:t>
      </w:r>
      <w:r w:rsidR="00D97B5D">
        <w:rPr>
          <w:noProof/>
        </w:rPr>
        <w:t xml:space="preserve">of the </w:t>
      </w:r>
      <w:r w:rsidR="00934671">
        <w:rPr>
          <w:noProof/>
        </w:rPr>
        <w:t>M</w:t>
      </w:r>
      <w:r w:rsidR="00D97B5D">
        <w:rPr>
          <w:noProof/>
        </w:rPr>
        <w:t xml:space="preserve">ember </w:t>
      </w:r>
      <w:r w:rsidR="00934671">
        <w:rPr>
          <w:noProof/>
        </w:rPr>
        <w:t>S</w:t>
      </w:r>
      <w:r w:rsidR="00D97B5D">
        <w:rPr>
          <w:noProof/>
        </w:rPr>
        <w:t xml:space="preserve">tate </w:t>
      </w:r>
      <w:r w:rsidR="00FE6B76">
        <w:rPr>
          <w:noProof/>
        </w:rPr>
        <w:t xml:space="preserve">notified by the system </w:t>
      </w:r>
      <w:r w:rsidR="00A869D9" w:rsidRPr="00A869D9">
        <w:rPr>
          <w:noProof/>
        </w:rPr>
        <w:t>shall</w:t>
      </w:r>
      <w:r w:rsidR="002F4A09">
        <w:rPr>
          <w:noProof/>
        </w:rPr>
        <w:t xml:space="preserve"> conduct the </w:t>
      </w:r>
      <w:r w:rsidR="00A869D9" w:rsidRPr="00A869D9">
        <w:rPr>
          <w:noProof/>
        </w:rPr>
        <w:t>check</w:t>
      </w:r>
      <w:r w:rsidR="002F4A09">
        <w:rPr>
          <w:noProof/>
        </w:rPr>
        <w:t>s</w:t>
      </w:r>
      <w:r w:rsidR="008A4714">
        <w:rPr>
          <w:noProof/>
        </w:rPr>
        <w:t xml:space="preserve"> in paragraph 1</w:t>
      </w:r>
      <w:r w:rsidR="00A869D9" w:rsidRPr="00A869D9">
        <w:rPr>
          <w:noProof/>
        </w:rPr>
        <w:t xml:space="preserve"> </w:t>
      </w:r>
      <w:r w:rsidR="004E236E">
        <w:rPr>
          <w:noProof/>
        </w:rPr>
        <w:t>without delay</w:t>
      </w:r>
      <w:r>
        <w:rPr>
          <w:noProof/>
        </w:rPr>
        <w:t>.</w:t>
      </w:r>
      <w:r w:rsidRPr="002A4C0D">
        <w:rPr>
          <w:noProof/>
        </w:rPr>
        <w:t>”</w:t>
      </w:r>
      <w:r w:rsidR="00D042ED">
        <w:rPr>
          <w:noProof/>
        </w:rPr>
        <w:t>;</w:t>
      </w:r>
    </w:p>
    <w:p w14:paraId="7C46864A" w14:textId="75F2D906" w:rsidR="003E4F2E" w:rsidRDefault="00EF15A7" w:rsidP="00EF15A7">
      <w:pPr>
        <w:pStyle w:val="Point0"/>
        <w:rPr>
          <w:noProof/>
        </w:rPr>
      </w:pPr>
      <w:r w:rsidRPr="00EF15A7">
        <w:t>(b)</w:t>
      </w:r>
      <w:r w:rsidRPr="00EF15A7">
        <w:tab/>
      </w:r>
      <w:r w:rsidR="005F5FD2" w:rsidRPr="00EC0933">
        <w:rPr>
          <w:bCs/>
          <w:noProof/>
        </w:rPr>
        <w:t>the following</w:t>
      </w:r>
      <w:r w:rsidR="005F5FD2" w:rsidRPr="005F5FD2" w:rsidDel="005F5FD2">
        <w:rPr>
          <w:noProof/>
        </w:rPr>
        <w:t xml:space="preserve"> </w:t>
      </w:r>
      <w:r w:rsidR="000B1EEB">
        <w:rPr>
          <w:noProof/>
        </w:rPr>
        <w:t>paragraph 2b is inserted:</w:t>
      </w:r>
    </w:p>
    <w:p w14:paraId="389AAD8F" w14:textId="77777777" w:rsidR="00850D09" w:rsidRPr="002A4C0D" w:rsidRDefault="000B1EEB" w:rsidP="00522FB2">
      <w:pPr>
        <w:pStyle w:val="Text1"/>
        <w:rPr>
          <w:noProof/>
        </w:rPr>
      </w:pPr>
      <w:r w:rsidRPr="002A4C0D">
        <w:rPr>
          <w:noProof/>
        </w:rPr>
        <w:t>“</w:t>
      </w:r>
      <w:r>
        <w:rPr>
          <w:noProof/>
        </w:rPr>
        <w:t xml:space="preserve">2b. </w:t>
      </w:r>
      <w:r w:rsidR="008A4714">
        <w:rPr>
          <w:noProof/>
        </w:rPr>
        <w:t>Fo</w:t>
      </w:r>
      <w:r w:rsidR="008A4714" w:rsidRPr="00825A4C">
        <w:rPr>
          <w:noProof/>
        </w:rPr>
        <w:t>r applications submitted via the EU application platform</w:t>
      </w:r>
      <w:r w:rsidR="008A4714">
        <w:rPr>
          <w:noProof/>
        </w:rPr>
        <w:t>, w</w:t>
      </w:r>
      <w:r w:rsidR="00537C4D" w:rsidRPr="002A4C0D">
        <w:rPr>
          <w:noProof/>
        </w:rPr>
        <w:t>here the competent consulate or the central authorities of the competent Member State find that the conditions referred to in paragraph 1 have been fulfilled</w:t>
      </w:r>
      <w:r w:rsidR="00850D09" w:rsidRPr="002A4C0D">
        <w:rPr>
          <w:noProof/>
        </w:rPr>
        <w:t xml:space="preserve">, </w:t>
      </w:r>
      <w:r w:rsidR="00825A4C">
        <w:rPr>
          <w:noProof/>
        </w:rPr>
        <w:t xml:space="preserve">the application shall be admissible and </w:t>
      </w:r>
      <w:r w:rsidR="00781BC4" w:rsidRPr="002A4C0D">
        <w:rPr>
          <w:noProof/>
        </w:rPr>
        <w:t xml:space="preserve">the competent consulate or the central authorities of the competent Member State </w:t>
      </w:r>
      <w:r w:rsidR="00850D09" w:rsidRPr="002A4C0D">
        <w:rPr>
          <w:noProof/>
        </w:rPr>
        <w:t>shall accept the application.</w:t>
      </w:r>
      <w:r w:rsidRPr="002A4C0D">
        <w:rPr>
          <w:noProof/>
        </w:rPr>
        <w:t>”</w:t>
      </w:r>
      <w:r w:rsidR="00D042ED">
        <w:rPr>
          <w:noProof/>
        </w:rPr>
        <w:t>;</w:t>
      </w:r>
    </w:p>
    <w:p w14:paraId="21011759" w14:textId="3BEC5E85" w:rsidR="00D042ED" w:rsidRDefault="00EF15A7" w:rsidP="00EF15A7">
      <w:pPr>
        <w:pStyle w:val="Point0"/>
        <w:rPr>
          <w:noProof/>
        </w:rPr>
      </w:pPr>
      <w:r w:rsidRPr="00EF15A7">
        <w:t>(c)</w:t>
      </w:r>
      <w:r w:rsidRPr="00EF15A7">
        <w:tab/>
      </w:r>
      <w:r w:rsidR="005F5FD2" w:rsidRPr="00CD6922">
        <w:rPr>
          <w:bCs/>
          <w:noProof/>
        </w:rPr>
        <w:t>the following</w:t>
      </w:r>
      <w:r w:rsidR="005F5FD2" w:rsidRPr="00CD6922" w:rsidDel="005F5FD2">
        <w:rPr>
          <w:noProof/>
        </w:rPr>
        <w:t xml:space="preserve"> </w:t>
      </w:r>
      <w:r w:rsidR="00D042ED">
        <w:rPr>
          <w:noProof/>
        </w:rPr>
        <w:t xml:space="preserve">paragraph </w:t>
      </w:r>
      <w:r w:rsidR="00FA5DD4">
        <w:rPr>
          <w:noProof/>
        </w:rPr>
        <w:t>4a</w:t>
      </w:r>
      <w:r w:rsidR="00651A55">
        <w:rPr>
          <w:noProof/>
        </w:rPr>
        <w:t xml:space="preserve"> </w:t>
      </w:r>
      <w:r w:rsidR="00D042ED">
        <w:rPr>
          <w:noProof/>
        </w:rPr>
        <w:t xml:space="preserve">is added: </w:t>
      </w:r>
    </w:p>
    <w:p w14:paraId="41E9875A" w14:textId="77777777" w:rsidR="00D02348" w:rsidRPr="00D02348" w:rsidRDefault="00851BA0" w:rsidP="00FA5DD4">
      <w:pPr>
        <w:pStyle w:val="Text1"/>
        <w:rPr>
          <w:noProof/>
        </w:rPr>
      </w:pPr>
      <w:r w:rsidRPr="002A4C0D">
        <w:rPr>
          <w:noProof/>
        </w:rPr>
        <w:t>“</w:t>
      </w:r>
      <w:r w:rsidR="00D042ED">
        <w:rPr>
          <w:noProof/>
        </w:rPr>
        <w:t>4a. Fo</w:t>
      </w:r>
      <w:r w:rsidR="00D042ED" w:rsidRPr="00825A4C">
        <w:rPr>
          <w:noProof/>
        </w:rPr>
        <w:t>r applications submitted via the EU application platform</w:t>
      </w:r>
      <w:r w:rsidR="00D915A0">
        <w:rPr>
          <w:noProof/>
        </w:rPr>
        <w:t>,</w:t>
      </w:r>
      <w:r w:rsidR="001934D7" w:rsidRPr="002A4C0D">
        <w:rPr>
          <w:noProof/>
        </w:rPr>
        <w:t xml:space="preserve"> </w:t>
      </w:r>
      <w:r w:rsidR="00882F3E" w:rsidRPr="002A4C0D">
        <w:rPr>
          <w:noProof/>
        </w:rPr>
        <w:t xml:space="preserve">the </w:t>
      </w:r>
      <w:r w:rsidR="006D7E32" w:rsidRPr="002A4C0D">
        <w:rPr>
          <w:noProof/>
        </w:rPr>
        <w:t xml:space="preserve">competent consulate or the central authorities of the competent Member State </w:t>
      </w:r>
      <w:r w:rsidR="00641ECA">
        <w:rPr>
          <w:noProof/>
        </w:rPr>
        <w:t>shall be able to</w:t>
      </w:r>
      <w:r w:rsidR="00882F3E" w:rsidRPr="002A4C0D">
        <w:rPr>
          <w:noProof/>
        </w:rPr>
        <w:t xml:space="preserve"> accept an application which has not been lodged within the period referred to in Article 9(1),</w:t>
      </w:r>
      <w:r w:rsidR="00351E49" w:rsidRPr="002A4C0D">
        <w:rPr>
          <w:noProof/>
        </w:rPr>
        <w:t xml:space="preserve"> notably in justified cases of urgency </w:t>
      </w:r>
      <w:r w:rsidR="005F5FD2">
        <w:rPr>
          <w:noProof/>
        </w:rPr>
        <w:t>referred to</w:t>
      </w:r>
      <w:r w:rsidR="005F5FD2" w:rsidRPr="002A4C0D">
        <w:rPr>
          <w:noProof/>
        </w:rPr>
        <w:t xml:space="preserve"> </w:t>
      </w:r>
      <w:r w:rsidR="00351E49" w:rsidRPr="002A4C0D">
        <w:rPr>
          <w:noProof/>
        </w:rPr>
        <w:t>in Article 9(3)</w:t>
      </w:r>
      <w:r w:rsidR="00537C4D">
        <w:rPr>
          <w:noProof/>
        </w:rPr>
        <w:t>.</w:t>
      </w:r>
      <w:r w:rsidR="00D042ED" w:rsidRPr="002A4C0D">
        <w:rPr>
          <w:noProof/>
        </w:rPr>
        <w:t>”</w:t>
      </w:r>
      <w:r w:rsidR="00D042ED">
        <w:rPr>
          <w:noProof/>
        </w:rPr>
        <w:t>;</w:t>
      </w:r>
    </w:p>
    <w:p w14:paraId="36FA4F41" w14:textId="2F0A5F07" w:rsidR="00536DFD" w:rsidRDefault="00EF15A7" w:rsidP="00EF15A7">
      <w:pPr>
        <w:pStyle w:val="Point0"/>
        <w:rPr>
          <w:noProof/>
        </w:rPr>
      </w:pPr>
      <w:r w:rsidRPr="00EF15A7">
        <w:t>(16)</w:t>
      </w:r>
      <w:r w:rsidRPr="00EF15A7">
        <w:tab/>
      </w:r>
      <w:r w:rsidR="00D02348">
        <w:rPr>
          <w:noProof/>
        </w:rPr>
        <w:t xml:space="preserve">Article 20 </w:t>
      </w:r>
      <w:r w:rsidR="008A4714">
        <w:rPr>
          <w:noProof/>
        </w:rPr>
        <w:t>is</w:t>
      </w:r>
      <w:r w:rsidR="00D02348">
        <w:rPr>
          <w:noProof/>
        </w:rPr>
        <w:t xml:space="preserve"> deleted;</w:t>
      </w:r>
    </w:p>
    <w:p w14:paraId="3BBF35FF" w14:textId="2AE50555" w:rsidR="00212896" w:rsidRDefault="00EF15A7" w:rsidP="00EF15A7">
      <w:pPr>
        <w:pStyle w:val="Point0"/>
        <w:rPr>
          <w:noProof/>
        </w:rPr>
      </w:pPr>
      <w:r w:rsidRPr="00EF15A7">
        <w:t>(17)</w:t>
      </w:r>
      <w:r w:rsidRPr="00EF15A7">
        <w:tab/>
      </w:r>
      <w:r w:rsidR="00F26875">
        <w:rPr>
          <w:noProof/>
        </w:rPr>
        <w:t>A</w:t>
      </w:r>
      <w:r w:rsidR="00CF4D57">
        <w:rPr>
          <w:noProof/>
        </w:rPr>
        <w:t>rticle 2</w:t>
      </w:r>
      <w:r w:rsidR="00A96F6E">
        <w:rPr>
          <w:noProof/>
        </w:rPr>
        <w:t>1</w:t>
      </w:r>
      <w:r w:rsidR="00CF4D57">
        <w:rPr>
          <w:noProof/>
        </w:rPr>
        <w:t xml:space="preserve"> </w:t>
      </w:r>
      <w:r w:rsidR="00212896">
        <w:rPr>
          <w:noProof/>
        </w:rPr>
        <w:t>is amended as follows:</w:t>
      </w:r>
    </w:p>
    <w:p w14:paraId="3187591F" w14:textId="6505CF0D" w:rsidR="00212896" w:rsidRDefault="00EF15A7" w:rsidP="00EF15A7">
      <w:pPr>
        <w:pStyle w:val="Point0"/>
        <w:rPr>
          <w:noProof/>
        </w:rPr>
      </w:pPr>
      <w:r w:rsidRPr="00EF15A7">
        <w:t>(a)</w:t>
      </w:r>
      <w:r w:rsidRPr="00EF15A7">
        <w:tab/>
      </w:r>
      <w:r w:rsidR="00212896">
        <w:rPr>
          <w:noProof/>
        </w:rPr>
        <w:t xml:space="preserve">in </w:t>
      </w:r>
      <w:r w:rsidR="00CF4D57">
        <w:rPr>
          <w:noProof/>
        </w:rPr>
        <w:t>pa</w:t>
      </w:r>
      <w:r w:rsidR="001D3927">
        <w:rPr>
          <w:noProof/>
        </w:rPr>
        <w:t>ragraph 3</w:t>
      </w:r>
      <w:r w:rsidR="00212896">
        <w:rPr>
          <w:noProof/>
        </w:rPr>
        <w:t>,</w:t>
      </w:r>
      <w:r w:rsidR="00CF4D57">
        <w:rPr>
          <w:noProof/>
        </w:rPr>
        <w:t xml:space="preserve"> point (a)</w:t>
      </w:r>
      <w:r w:rsidR="00A96F6E">
        <w:rPr>
          <w:noProof/>
        </w:rPr>
        <w:t xml:space="preserve"> </w:t>
      </w:r>
      <w:r w:rsidR="00212896">
        <w:rPr>
          <w:noProof/>
        </w:rPr>
        <w:t>is replaced by the following</w:t>
      </w:r>
    </w:p>
    <w:p w14:paraId="3072B9CD" w14:textId="77777777" w:rsidR="00CF4D57" w:rsidRDefault="00212896" w:rsidP="00FA5DD4">
      <w:pPr>
        <w:pStyle w:val="Text1"/>
        <w:rPr>
          <w:noProof/>
        </w:rPr>
      </w:pPr>
      <w:r>
        <w:rPr>
          <w:noProof/>
        </w:rPr>
        <w:t xml:space="preserve">“(a) </w:t>
      </w:r>
      <w:r w:rsidRPr="00212896">
        <w:rPr>
          <w:noProof/>
        </w:rPr>
        <w:t xml:space="preserve">that the </w:t>
      </w:r>
      <w:r w:rsidR="00CF4D57" w:rsidRPr="00CF4D57">
        <w:rPr>
          <w:noProof/>
        </w:rPr>
        <w:t>travel document</w:t>
      </w:r>
      <w:r w:rsidR="00CF4D57" w:rsidRPr="3DEDDE2B">
        <w:rPr>
          <w:noProof/>
        </w:rPr>
        <w:t xml:space="preserve"> </w:t>
      </w:r>
      <w:r w:rsidR="00CF4D57">
        <w:rPr>
          <w:noProof/>
        </w:rPr>
        <w:t>provided or</w:t>
      </w:r>
      <w:r w:rsidR="00CF4D57" w:rsidRPr="00CF4D57">
        <w:rPr>
          <w:noProof/>
        </w:rPr>
        <w:t xml:space="preserve"> presented</w:t>
      </w:r>
      <w:r w:rsidRPr="00212896">
        <w:rPr>
          <w:noProof/>
        </w:rPr>
        <w:t xml:space="preserve"> is not false, counterfeit or forged;</w:t>
      </w:r>
      <w:r>
        <w:rPr>
          <w:noProof/>
        </w:rPr>
        <w:t>”</w:t>
      </w:r>
      <w:r w:rsidR="00CF4D57" w:rsidRPr="3DEDDE2B">
        <w:rPr>
          <w:noProof/>
        </w:rPr>
        <w:t>;</w:t>
      </w:r>
    </w:p>
    <w:p w14:paraId="3C4EC883" w14:textId="49E15850" w:rsidR="00212896" w:rsidRDefault="00EF15A7" w:rsidP="00EF15A7">
      <w:pPr>
        <w:pStyle w:val="Point0"/>
        <w:rPr>
          <w:noProof/>
        </w:rPr>
      </w:pPr>
      <w:r w:rsidRPr="00EF15A7">
        <w:t>(b)</w:t>
      </w:r>
      <w:r w:rsidRPr="00EF15A7">
        <w:tab/>
      </w:r>
      <w:r w:rsidR="00212896">
        <w:rPr>
          <w:noProof/>
        </w:rPr>
        <w:t>in paragraph 6, point (a) is replaced by the following</w:t>
      </w:r>
    </w:p>
    <w:p w14:paraId="356F17AB" w14:textId="77777777" w:rsidR="00212896" w:rsidRDefault="00212896" w:rsidP="00FA5DD4">
      <w:pPr>
        <w:pStyle w:val="Text1"/>
        <w:rPr>
          <w:noProof/>
        </w:rPr>
      </w:pPr>
      <w:r>
        <w:rPr>
          <w:noProof/>
        </w:rPr>
        <w:t xml:space="preserve">“(a) </w:t>
      </w:r>
      <w:r w:rsidRPr="00212896">
        <w:rPr>
          <w:noProof/>
        </w:rPr>
        <w:t xml:space="preserve">that the </w:t>
      </w:r>
      <w:r w:rsidRPr="00CF4D57">
        <w:rPr>
          <w:noProof/>
        </w:rPr>
        <w:t>travel document</w:t>
      </w:r>
      <w:r w:rsidRPr="3DEDDE2B">
        <w:rPr>
          <w:noProof/>
        </w:rPr>
        <w:t xml:space="preserve"> </w:t>
      </w:r>
      <w:r>
        <w:rPr>
          <w:noProof/>
        </w:rPr>
        <w:t>provided or</w:t>
      </w:r>
      <w:r w:rsidRPr="00CF4D57">
        <w:rPr>
          <w:noProof/>
        </w:rPr>
        <w:t xml:space="preserve"> presented</w:t>
      </w:r>
      <w:r w:rsidRPr="00212896">
        <w:rPr>
          <w:noProof/>
        </w:rPr>
        <w:t xml:space="preserve"> is not false, counterfeit or forged;</w:t>
      </w:r>
      <w:r>
        <w:rPr>
          <w:noProof/>
        </w:rPr>
        <w:t>”</w:t>
      </w:r>
      <w:r w:rsidRPr="3DEDDE2B">
        <w:rPr>
          <w:noProof/>
        </w:rPr>
        <w:t>;</w:t>
      </w:r>
    </w:p>
    <w:p w14:paraId="01EBB8F1" w14:textId="6513F66B" w:rsidR="0058013A" w:rsidRDefault="00EF15A7" w:rsidP="00EF15A7">
      <w:pPr>
        <w:pStyle w:val="Point0"/>
        <w:rPr>
          <w:noProof/>
        </w:rPr>
      </w:pPr>
      <w:r w:rsidRPr="00EF15A7">
        <w:t>(18)</w:t>
      </w:r>
      <w:r w:rsidRPr="00EF15A7">
        <w:tab/>
      </w:r>
      <w:r w:rsidR="00236014">
        <w:rPr>
          <w:noProof/>
        </w:rPr>
        <w:t>Article 24 is amended as follows:</w:t>
      </w:r>
    </w:p>
    <w:p w14:paraId="4B22A368" w14:textId="54052973" w:rsidR="003E40A7" w:rsidRDefault="00EF15A7" w:rsidP="00EF15A7">
      <w:pPr>
        <w:pStyle w:val="Point0"/>
        <w:rPr>
          <w:noProof/>
        </w:rPr>
      </w:pPr>
      <w:r w:rsidRPr="00EF15A7">
        <w:t>(a)</w:t>
      </w:r>
      <w:r w:rsidRPr="00EF15A7">
        <w:tab/>
      </w:r>
      <w:r w:rsidR="003E40A7" w:rsidRPr="005849DC">
        <w:rPr>
          <w:noProof/>
        </w:rPr>
        <w:t xml:space="preserve">in paragraph </w:t>
      </w:r>
      <w:r w:rsidR="005849DC" w:rsidRPr="003F2323">
        <w:rPr>
          <w:noProof/>
        </w:rPr>
        <w:t>1</w:t>
      </w:r>
      <w:r w:rsidR="00E40A5D" w:rsidRPr="005849DC">
        <w:rPr>
          <w:noProof/>
        </w:rPr>
        <w:t>,</w:t>
      </w:r>
      <w:r w:rsidR="003E40A7" w:rsidRPr="005849DC">
        <w:rPr>
          <w:noProof/>
        </w:rPr>
        <w:t xml:space="preserve"> </w:t>
      </w:r>
      <w:r w:rsidR="005849DC" w:rsidRPr="003F2323">
        <w:rPr>
          <w:noProof/>
        </w:rPr>
        <w:t>third</w:t>
      </w:r>
      <w:r w:rsidR="003E40A7" w:rsidRPr="005849DC">
        <w:rPr>
          <w:noProof/>
        </w:rPr>
        <w:t xml:space="preserve"> subparagraph,</w:t>
      </w:r>
      <w:r w:rsidR="003E40A7">
        <w:rPr>
          <w:noProof/>
        </w:rPr>
        <w:t xml:space="preserve"> the reference to “</w:t>
      </w:r>
      <w:r w:rsidR="003E40A7" w:rsidRPr="003E40A7">
        <w:rPr>
          <w:noProof/>
        </w:rPr>
        <w:t>point (a) of Article 12</w:t>
      </w:r>
      <w:r w:rsidR="003E40A7">
        <w:rPr>
          <w:noProof/>
        </w:rPr>
        <w:t>” is replaced by reference to “</w:t>
      </w:r>
      <w:r w:rsidR="003E40A7" w:rsidRPr="003E40A7">
        <w:rPr>
          <w:noProof/>
        </w:rPr>
        <w:t>Article 12</w:t>
      </w:r>
      <w:r w:rsidR="003E40A7" w:rsidRPr="00FA5DD4">
        <w:rPr>
          <w:noProof/>
        </w:rPr>
        <w:t>(1),</w:t>
      </w:r>
      <w:r w:rsidR="003E40A7" w:rsidRPr="003E40A7">
        <w:rPr>
          <w:noProof/>
        </w:rPr>
        <w:t xml:space="preserve"> </w:t>
      </w:r>
      <w:r w:rsidR="003E40A7">
        <w:rPr>
          <w:noProof/>
        </w:rPr>
        <w:t>point (a)”</w:t>
      </w:r>
      <w:r w:rsidR="003F2323">
        <w:rPr>
          <w:noProof/>
        </w:rPr>
        <w:t>;</w:t>
      </w:r>
      <w:r w:rsidR="003E40A7">
        <w:rPr>
          <w:noProof/>
        </w:rPr>
        <w:t xml:space="preserve"> </w:t>
      </w:r>
    </w:p>
    <w:p w14:paraId="0AE3ACEC" w14:textId="3628BDC6" w:rsidR="00814927" w:rsidRDefault="00EF15A7" w:rsidP="00EF15A7">
      <w:pPr>
        <w:pStyle w:val="Point0"/>
        <w:rPr>
          <w:noProof/>
        </w:rPr>
      </w:pPr>
      <w:r w:rsidRPr="00EF15A7">
        <w:t>(b)</w:t>
      </w:r>
      <w:r w:rsidRPr="00EF15A7">
        <w:tab/>
      </w:r>
      <w:r w:rsidR="00814927">
        <w:rPr>
          <w:noProof/>
        </w:rPr>
        <w:t xml:space="preserve">in </w:t>
      </w:r>
      <w:r w:rsidR="004C0560">
        <w:rPr>
          <w:noProof/>
        </w:rPr>
        <w:t xml:space="preserve">paragraph 2 first subparagraph, the </w:t>
      </w:r>
      <w:r w:rsidR="00814927">
        <w:rPr>
          <w:noProof/>
        </w:rPr>
        <w:t xml:space="preserve">introductory </w:t>
      </w:r>
      <w:r w:rsidR="004C0560">
        <w:rPr>
          <w:noProof/>
        </w:rPr>
        <w:t xml:space="preserve">words are </w:t>
      </w:r>
      <w:r w:rsidR="00814927">
        <w:rPr>
          <w:noProof/>
        </w:rPr>
        <w:t>replaced by the following</w:t>
      </w:r>
      <w:r w:rsidR="004C0560">
        <w:rPr>
          <w:noProof/>
        </w:rPr>
        <w:t xml:space="preserve">: </w:t>
      </w:r>
    </w:p>
    <w:p w14:paraId="5B6D7F92" w14:textId="77777777" w:rsidR="00236014" w:rsidRDefault="004C0560" w:rsidP="00FA5DD4">
      <w:pPr>
        <w:pStyle w:val="Text1"/>
        <w:rPr>
          <w:noProof/>
        </w:rPr>
      </w:pPr>
      <w:r w:rsidRPr="00513CAD">
        <w:rPr>
          <w:noProof/>
        </w:rPr>
        <w:t>“</w:t>
      </w:r>
      <w:r w:rsidR="00814927" w:rsidRPr="00814927">
        <w:rPr>
          <w:noProof/>
        </w:rPr>
        <w:t>Provided that the applicant fulfils the entry conditions set out in Article 6(1)</w:t>
      </w:r>
      <w:r w:rsidR="00814927">
        <w:rPr>
          <w:noProof/>
        </w:rPr>
        <w:t>,</w:t>
      </w:r>
      <w:r w:rsidR="00814927" w:rsidRPr="00814927">
        <w:rPr>
          <w:noProof/>
        </w:rPr>
        <w:t xml:space="preserve"> point</w:t>
      </w:r>
      <w:r w:rsidR="00814927">
        <w:rPr>
          <w:noProof/>
        </w:rPr>
        <w:t xml:space="preserve">s (a), </w:t>
      </w:r>
      <w:r w:rsidR="00814927" w:rsidRPr="00814927">
        <w:rPr>
          <w:noProof/>
        </w:rPr>
        <w:t>(c)</w:t>
      </w:r>
      <w:r w:rsidR="00814927">
        <w:rPr>
          <w:noProof/>
        </w:rPr>
        <w:t>, (d) and</w:t>
      </w:r>
      <w:r w:rsidR="00814927" w:rsidRPr="00814927">
        <w:rPr>
          <w:noProof/>
        </w:rPr>
        <w:t xml:space="preserve"> (e)</w:t>
      </w:r>
      <w:r w:rsidR="00520570">
        <w:rPr>
          <w:noProof/>
        </w:rPr>
        <w:t>,</w:t>
      </w:r>
      <w:r w:rsidR="00814927" w:rsidRPr="00814927">
        <w:rPr>
          <w:noProof/>
        </w:rPr>
        <w:t xml:space="preserve"> of Regulation (EU) 2016/399, multiple-entry visas with a long validity shall be issued for the following validity periods</w:t>
      </w:r>
      <w:r w:rsidR="0029675A">
        <w:rPr>
          <w:noProof/>
        </w:rPr>
        <w:t>:</w:t>
      </w:r>
      <w:r w:rsidRPr="00513CAD">
        <w:rPr>
          <w:noProof/>
        </w:rPr>
        <w:t>”</w:t>
      </w:r>
      <w:r>
        <w:rPr>
          <w:noProof/>
        </w:rPr>
        <w:t>;</w:t>
      </w:r>
    </w:p>
    <w:p w14:paraId="12C3F9D4" w14:textId="0FBF3A35" w:rsidR="00236014" w:rsidRDefault="00EF15A7" w:rsidP="00EF15A7">
      <w:pPr>
        <w:pStyle w:val="Point0"/>
        <w:rPr>
          <w:noProof/>
        </w:rPr>
      </w:pPr>
      <w:r w:rsidRPr="00EF15A7">
        <w:t>(c)</w:t>
      </w:r>
      <w:r w:rsidRPr="00EF15A7">
        <w:tab/>
      </w:r>
      <w:r w:rsidR="0059655D">
        <w:rPr>
          <w:noProof/>
        </w:rPr>
        <w:t>t</w:t>
      </w:r>
      <w:r w:rsidR="00236014">
        <w:rPr>
          <w:noProof/>
        </w:rPr>
        <w:t xml:space="preserve">he </w:t>
      </w:r>
      <w:r w:rsidR="00034BB7">
        <w:rPr>
          <w:noProof/>
        </w:rPr>
        <w:t>following paragraph</w:t>
      </w:r>
      <w:r w:rsidR="00E40A5D">
        <w:rPr>
          <w:noProof/>
        </w:rPr>
        <w:t xml:space="preserve"> 2aa</w:t>
      </w:r>
      <w:r w:rsidR="00034BB7">
        <w:rPr>
          <w:noProof/>
        </w:rPr>
        <w:t xml:space="preserve"> is</w:t>
      </w:r>
      <w:r w:rsidR="00236014">
        <w:rPr>
          <w:noProof/>
        </w:rPr>
        <w:t xml:space="preserve"> </w:t>
      </w:r>
      <w:r w:rsidR="00E40A5D">
        <w:rPr>
          <w:noProof/>
        </w:rPr>
        <w:t>inserted</w:t>
      </w:r>
      <w:r w:rsidR="00236014">
        <w:rPr>
          <w:noProof/>
        </w:rPr>
        <w:t>:</w:t>
      </w:r>
    </w:p>
    <w:p w14:paraId="0354022D" w14:textId="77777777" w:rsidR="00236014" w:rsidRDefault="00034BB7" w:rsidP="00F91041">
      <w:pPr>
        <w:pStyle w:val="Text1"/>
        <w:rPr>
          <w:noProof/>
        </w:rPr>
      </w:pPr>
      <w:r w:rsidRPr="00513CAD">
        <w:rPr>
          <w:noProof/>
        </w:rPr>
        <w:t>“</w:t>
      </w:r>
      <w:r w:rsidR="004C0560" w:rsidRPr="004C0560">
        <w:rPr>
          <w:noProof/>
        </w:rPr>
        <w:t>2aa</w:t>
      </w:r>
      <w:r w:rsidR="00E40A5D">
        <w:rPr>
          <w:noProof/>
        </w:rPr>
        <w:t>.</w:t>
      </w:r>
      <w:r w:rsidR="004C0560" w:rsidRPr="004C0560">
        <w:rPr>
          <w:noProof/>
        </w:rPr>
        <w:t xml:space="preserve"> The validity of the </w:t>
      </w:r>
      <w:r w:rsidRPr="00034BB7">
        <w:rPr>
          <w:noProof/>
        </w:rPr>
        <w:t>multiple-entry visas</w:t>
      </w:r>
      <w:r w:rsidR="004C0560" w:rsidRPr="004C0560">
        <w:rPr>
          <w:noProof/>
        </w:rPr>
        <w:t xml:space="preserve"> with a long validity </w:t>
      </w:r>
      <w:r w:rsidR="00E1783B">
        <w:rPr>
          <w:noProof/>
        </w:rPr>
        <w:t xml:space="preserve">periods </w:t>
      </w:r>
      <w:r w:rsidR="004C0560" w:rsidRPr="004C0560">
        <w:rPr>
          <w:noProof/>
        </w:rPr>
        <w:t>shall not be restricted by the v</w:t>
      </w:r>
      <w:r>
        <w:rPr>
          <w:noProof/>
        </w:rPr>
        <w:t>alidity of the travel document</w:t>
      </w:r>
      <w:r w:rsidR="004206CD" w:rsidRPr="00513CAD">
        <w:rPr>
          <w:noProof/>
        </w:rPr>
        <w:t>”</w:t>
      </w:r>
      <w:r w:rsidR="004206CD">
        <w:rPr>
          <w:noProof/>
        </w:rPr>
        <w:t>;</w:t>
      </w:r>
    </w:p>
    <w:p w14:paraId="48E428C0" w14:textId="66E58F81" w:rsidR="001515FB" w:rsidRDefault="00EF15A7" w:rsidP="00EF15A7">
      <w:pPr>
        <w:pStyle w:val="Point0"/>
        <w:rPr>
          <w:noProof/>
        </w:rPr>
      </w:pPr>
      <w:r w:rsidRPr="00EF15A7">
        <w:t>(19)</w:t>
      </w:r>
      <w:r w:rsidRPr="00EF15A7">
        <w:tab/>
      </w:r>
      <w:r w:rsidR="001515FB">
        <w:rPr>
          <w:noProof/>
        </w:rPr>
        <w:t>in Arti</w:t>
      </w:r>
      <w:r w:rsidR="00967504">
        <w:rPr>
          <w:noProof/>
        </w:rPr>
        <w:t>cle 25, the following paragraph</w:t>
      </w:r>
      <w:r w:rsidR="00E40A5D">
        <w:rPr>
          <w:noProof/>
        </w:rPr>
        <w:t xml:space="preserve"> 6</w:t>
      </w:r>
      <w:r w:rsidR="00967504">
        <w:rPr>
          <w:noProof/>
        </w:rPr>
        <w:t xml:space="preserve"> </w:t>
      </w:r>
      <w:r w:rsidR="00A71C09">
        <w:rPr>
          <w:noProof/>
        </w:rPr>
        <w:t xml:space="preserve">is </w:t>
      </w:r>
      <w:r w:rsidR="001515FB">
        <w:rPr>
          <w:noProof/>
        </w:rPr>
        <w:t xml:space="preserve">added: </w:t>
      </w:r>
    </w:p>
    <w:p w14:paraId="73FC34A0" w14:textId="77777777" w:rsidR="00C054D4" w:rsidRPr="00907D78" w:rsidRDefault="00FA5DD4" w:rsidP="00F91041">
      <w:pPr>
        <w:pStyle w:val="Text1"/>
        <w:rPr>
          <w:noProof/>
        </w:rPr>
      </w:pPr>
      <w:r w:rsidRPr="00513CAD">
        <w:rPr>
          <w:noProof/>
        </w:rPr>
        <w:t>“</w:t>
      </w:r>
      <w:r w:rsidR="00A71C09">
        <w:rPr>
          <w:noProof/>
        </w:rPr>
        <w:t>6</w:t>
      </w:r>
      <w:r w:rsidR="001926F3">
        <w:rPr>
          <w:noProof/>
        </w:rPr>
        <w:t>. Issuing a visa in digital f</w:t>
      </w:r>
      <w:r w:rsidR="002437A8">
        <w:rPr>
          <w:noProof/>
        </w:rPr>
        <w:t xml:space="preserve">ormat </w:t>
      </w:r>
      <w:r w:rsidR="00B73693">
        <w:rPr>
          <w:noProof/>
        </w:rPr>
        <w:t>shall not affect</w:t>
      </w:r>
      <w:r w:rsidR="002437A8" w:rsidRPr="002E7273">
        <w:rPr>
          <w:noProof/>
        </w:rPr>
        <w:t xml:space="preserve"> the </w:t>
      </w:r>
      <w:r w:rsidR="00B16C16" w:rsidRPr="00B16C16">
        <w:rPr>
          <w:noProof/>
        </w:rPr>
        <w:t>competence of Member States in relation to</w:t>
      </w:r>
      <w:r w:rsidR="00554DF2">
        <w:rPr>
          <w:noProof/>
        </w:rPr>
        <w:t xml:space="preserve"> </w:t>
      </w:r>
      <w:r w:rsidR="002437A8" w:rsidRPr="002E7273">
        <w:rPr>
          <w:noProof/>
        </w:rPr>
        <w:t>the recognition of travel documents</w:t>
      </w:r>
      <w:r w:rsidR="00B16C16">
        <w:rPr>
          <w:noProof/>
        </w:rPr>
        <w:t>.</w:t>
      </w:r>
      <w:r w:rsidR="00EE438A">
        <w:rPr>
          <w:noProof/>
        </w:rPr>
        <w:t xml:space="preserve"> </w:t>
      </w:r>
      <w:r w:rsidR="00B16C16">
        <w:rPr>
          <w:noProof/>
        </w:rPr>
        <w:t>This</w:t>
      </w:r>
      <w:r w:rsidR="00EE438A">
        <w:rPr>
          <w:noProof/>
        </w:rPr>
        <w:t xml:space="preserve"> </w:t>
      </w:r>
      <w:r w:rsidR="00B16C16">
        <w:rPr>
          <w:noProof/>
        </w:rPr>
        <w:t>includes</w:t>
      </w:r>
      <w:r w:rsidR="00B16C16" w:rsidRPr="002E7273">
        <w:rPr>
          <w:noProof/>
        </w:rPr>
        <w:t xml:space="preserve"> </w:t>
      </w:r>
      <w:r w:rsidR="00B16C16">
        <w:rPr>
          <w:noProof/>
        </w:rPr>
        <w:t xml:space="preserve">those travel documents </w:t>
      </w:r>
      <w:r w:rsidR="002437A8" w:rsidRPr="002E7273">
        <w:rPr>
          <w:noProof/>
        </w:rPr>
        <w:t>that are not recognised by one or more,</w:t>
      </w:r>
      <w:r w:rsidR="002437A8" w:rsidRPr="002437A8">
        <w:rPr>
          <w:noProof/>
        </w:rPr>
        <w:t xml:space="preserve"> but not all Member States</w:t>
      </w:r>
      <w:r w:rsidR="002437A8">
        <w:rPr>
          <w:noProof/>
        </w:rPr>
        <w:t>.</w:t>
      </w:r>
      <w:r w:rsidR="00967504" w:rsidRPr="00907D78">
        <w:rPr>
          <w:noProof/>
        </w:rPr>
        <w:t>”;</w:t>
      </w:r>
    </w:p>
    <w:p w14:paraId="2D7BDE07" w14:textId="5711F4B4" w:rsidR="004A27CF" w:rsidRDefault="00EF15A7" w:rsidP="00EF15A7">
      <w:pPr>
        <w:pStyle w:val="Point0"/>
        <w:rPr>
          <w:noProof/>
        </w:rPr>
      </w:pPr>
      <w:r w:rsidRPr="00EF15A7">
        <w:t>(20)</w:t>
      </w:r>
      <w:r w:rsidRPr="00EF15A7">
        <w:tab/>
      </w:r>
      <w:r w:rsidR="00B50E2B">
        <w:rPr>
          <w:noProof/>
        </w:rPr>
        <w:t xml:space="preserve">the following Article </w:t>
      </w:r>
      <w:r w:rsidR="00E40A5D">
        <w:rPr>
          <w:noProof/>
        </w:rPr>
        <w:t xml:space="preserve">26a </w:t>
      </w:r>
      <w:r w:rsidR="00B50E2B">
        <w:rPr>
          <w:noProof/>
        </w:rPr>
        <w:t>is inserted:</w:t>
      </w:r>
    </w:p>
    <w:p w14:paraId="04018EC9" w14:textId="77777777" w:rsidR="00557941" w:rsidRDefault="00557941" w:rsidP="00557941">
      <w:pPr>
        <w:pStyle w:val="Titrearticle"/>
        <w:rPr>
          <w:noProof/>
        </w:rPr>
      </w:pPr>
      <w:r w:rsidRPr="00513CAD">
        <w:rPr>
          <w:noProof/>
        </w:rPr>
        <w:t>“</w:t>
      </w:r>
      <w:r>
        <w:rPr>
          <w:noProof/>
        </w:rPr>
        <w:t>Article 26a</w:t>
      </w:r>
      <w:r>
        <w:rPr>
          <w:noProof/>
        </w:rPr>
        <w:br/>
        <w:t>Digital visas</w:t>
      </w:r>
    </w:p>
    <w:p w14:paraId="4ACF5922" w14:textId="77777777" w:rsidR="00B50E2B" w:rsidRPr="00557941" w:rsidRDefault="00B50E2B" w:rsidP="000E3E0B">
      <w:pPr>
        <w:rPr>
          <w:noProof/>
        </w:rPr>
      </w:pPr>
      <w:r w:rsidRPr="00557941">
        <w:rPr>
          <w:noProof/>
        </w:rPr>
        <w:t>Visas shall be issued in digital format</w:t>
      </w:r>
      <w:r w:rsidR="00F93498">
        <w:rPr>
          <w:noProof/>
        </w:rPr>
        <w:t xml:space="preserve"> as a </w:t>
      </w:r>
      <w:r w:rsidR="00EB0227">
        <w:rPr>
          <w:noProof/>
        </w:rPr>
        <w:t>record in VIS</w:t>
      </w:r>
      <w:r w:rsidRPr="00557941">
        <w:rPr>
          <w:noProof/>
        </w:rPr>
        <w:t xml:space="preserve">, including a </w:t>
      </w:r>
      <w:r w:rsidR="00EB0227">
        <w:rPr>
          <w:noProof/>
        </w:rPr>
        <w:t xml:space="preserve">unique </w:t>
      </w:r>
      <w:r w:rsidRPr="00557941">
        <w:rPr>
          <w:noProof/>
        </w:rPr>
        <w:t>visa number.</w:t>
      </w:r>
      <w:r w:rsidR="00987A53" w:rsidRPr="00987A53">
        <w:rPr>
          <w:noProof/>
        </w:rPr>
        <w:t xml:space="preserve"> </w:t>
      </w:r>
      <w:r w:rsidR="00987A53" w:rsidRPr="00907D78">
        <w:rPr>
          <w:noProof/>
        </w:rPr>
        <w:t>”;</w:t>
      </w:r>
    </w:p>
    <w:p w14:paraId="0F9B5C53" w14:textId="731711C7" w:rsidR="00690FEB" w:rsidRDefault="00EF15A7" w:rsidP="00EF15A7">
      <w:pPr>
        <w:pStyle w:val="Point0"/>
        <w:rPr>
          <w:noProof/>
        </w:rPr>
      </w:pPr>
      <w:r w:rsidRPr="00EF15A7">
        <w:t>(21)</w:t>
      </w:r>
      <w:r w:rsidRPr="00EF15A7">
        <w:tab/>
      </w:r>
      <w:r w:rsidR="00B20B87">
        <w:rPr>
          <w:noProof/>
        </w:rPr>
        <w:t>Article 32 is amended as follows:</w:t>
      </w:r>
    </w:p>
    <w:p w14:paraId="56319000" w14:textId="1327A5FA" w:rsidR="0004640E" w:rsidRDefault="00EF15A7" w:rsidP="00EF15A7">
      <w:pPr>
        <w:pStyle w:val="Point0"/>
        <w:rPr>
          <w:noProof/>
        </w:rPr>
      </w:pPr>
      <w:r w:rsidRPr="00EF15A7">
        <w:t>(a)</w:t>
      </w:r>
      <w:r w:rsidRPr="00EF15A7">
        <w:tab/>
      </w:r>
      <w:r w:rsidR="009232DE">
        <w:rPr>
          <w:noProof/>
        </w:rPr>
        <w:t>p</w:t>
      </w:r>
      <w:r w:rsidR="0004640E">
        <w:rPr>
          <w:noProof/>
        </w:rPr>
        <w:t>aragraph 2 is replaced by the following:</w:t>
      </w:r>
    </w:p>
    <w:p w14:paraId="466E4483" w14:textId="77777777" w:rsidR="00237252" w:rsidRDefault="0004640E" w:rsidP="00F91041">
      <w:pPr>
        <w:pStyle w:val="Text1"/>
        <w:rPr>
          <w:noProof/>
        </w:rPr>
      </w:pPr>
      <w:r w:rsidRPr="00513CAD">
        <w:rPr>
          <w:noProof/>
        </w:rPr>
        <w:t>“</w:t>
      </w:r>
      <w:r>
        <w:rPr>
          <w:noProof/>
        </w:rPr>
        <w:t>2</w:t>
      </w:r>
      <w:r w:rsidR="00851BA0">
        <w:rPr>
          <w:noProof/>
        </w:rPr>
        <w:t xml:space="preserve">. </w:t>
      </w:r>
      <w:r w:rsidR="00851BA0" w:rsidRPr="00CB25FA">
        <w:rPr>
          <w:noProof/>
        </w:rPr>
        <w:t>For</w:t>
      </w:r>
      <w:r w:rsidR="00CB25FA" w:rsidRPr="00CB25FA">
        <w:rPr>
          <w:noProof/>
        </w:rPr>
        <w:t xml:space="preserve"> applications submitted via the EU application platform</w:t>
      </w:r>
      <w:r w:rsidR="00CB25FA">
        <w:rPr>
          <w:noProof/>
        </w:rPr>
        <w:t>, i</w:t>
      </w:r>
      <w:r w:rsidR="00EB0227">
        <w:rPr>
          <w:noProof/>
        </w:rPr>
        <w:t>nformation regarding</w:t>
      </w:r>
      <w:r w:rsidR="00EB0227" w:rsidRPr="0004640E">
        <w:rPr>
          <w:noProof/>
        </w:rPr>
        <w:t xml:space="preserve"> </w:t>
      </w:r>
      <w:r w:rsidRPr="0004640E">
        <w:rPr>
          <w:noProof/>
        </w:rPr>
        <w:t>decision</w:t>
      </w:r>
      <w:r w:rsidR="00EB0227">
        <w:rPr>
          <w:noProof/>
        </w:rPr>
        <w:t>s</w:t>
      </w:r>
      <w:r w:rsidRPr="0004640E">
        <w:rPr>
          <w:noProof/>
        </w:rPr>
        <w:t xml:space="preserve"> on refusal and the reasons on which it is based shall be notified to the applicant</w:t>
      </w:r>
      <w:r w:rsidR="009232DE">
        <w:rPr>
          <w:noProof/>
        </w:rPr>
        <w:t xml:space="preserve"> </w:t>
      </w:r>
      <w:r w:rsidR="009232DE" w:rsidRPr="004206CD">
        <w:rPr>
          <w:noProof/>
        </w:rPr>
        <w:t xml:space="preserve">by </w:t>
      </w:r>
      <w:r w:rsidR="007C27F4">
        <w:rPr>
          <w:noProof/>
        </w:rPr>
        <w:t xml:space="preserve">secure </w:t>
      </w:r>
      <w:r w:rsidR="009232DE" w:rsidRPr="004206CD">
        <w:rPr>
          <w:noProof/>
        </w:rPr>
        <w:t>electronic means</w:t>
      </w:r>
      <w:r w:rsidR="009232DE">
        <w:rPr>
          <w:noProof/>
        </w:rPr>
        <w:t xml:space="preserve"> </w:t>
      </w:r>
      <w:r w:rsidR="007423AE">
        <w:rPr>
          <w:noProof/>
        </w:rPr>
        <w:t xml:space="preserve">in accordance with </w:t>
      </w:r>
      <w:r w:rsidR="00141516" w:rsidRPr="00141516">
        <w:rPr>
          <w:noProof/>
        </w:rPr>
        <w:t xml:space="preserve">Article 7f(1) </w:t>
      </w:r>
      <w:r w:rsidR="009232DE">
        <w:rPr>
          <w:noProof/>
        </w:rPr>
        <w:t xml:space="preserve">of </w:t>
      </w:r>
      <w:r w:rsidR="009232DE" w:rsidRPr="004206CD">
        <w:rPr>
          <w:noProof/>
        </w:rPr>
        <w:t>Regulation (EC) No 767/2008</w:t>
      </w:r>
      <w:r>
        <w:rPr>
          <w:noProof/>
        </w:rPr>
        <w:t xml:space="preserve">. </w:t>
      </w:r>
      <w:r w:rsidR="009232DE">
        <w:rPr>
          <w:noProof/>
        </w:rPr>
        <w:t xml:space="preserve">The notification will contain the </w:t>
      </w:r>
      <w:r w:rsidR="00FF0E21">
        <w:rPr>
          <w:noProof/>
        </w:rPr>
        <w:t xml:space="preserve">same </w:t>
      </w:r>
      <w:r w:rsidR="009232DE">
        <w:rPr>
          <w:noProof/>
        </w:rPr>
        <w:t>information</w:t>
      </w:r>
      <w:r w:rsidR="00CB25FA">
        <w:rPr>
          <w:noProof/>
        </w:rPr>
        <w:t xml:space="preserve"> as set out in Annex VI,</w:t>
      </w:r>
      <w:r w:rsidRPr="0004640E">
        <w:rPr>
          <w:noProof/>
        </w:rPr>
        <w:t xml:space="preserve"> in the language of the Member State that has taken the final decision on the application and another official language o</w:t>
      </w:r>
      <w:r w:rsidR="009232DE">
        <w:rPr>
          <w:noProof/>
        </w:rPr>
        <w:t>f the Union.</w:t>
      </w:r>
    </w:p>
    <w:p w14:paraId="0F4740BE" w14:textId="77777777" w:rsidR="008805D4" w:rsidRDefault="00237252" w:rsidP="00851BA0">
      <w:pPr>
        <w:pStyle w:val="Text1"/>
        <w:rPr>
          <w:noProof/>
        </w:rPr>
      </w:pPr>
      <w:r>
        <w:rPr>
          <w:noProof/>
        </w:rPr>
        <w:t>Member States</w:t>
      </w:r>
      <w:r w:rsidRPr="00237252">
        <w:rPr>
          <w:noProof/>
        </w:rPr>
        <w:t xml:space="preserve"> may add additional document</w:t>
      </w:r>
      <w:r>
        <w:rPr>
          <w:noProof/>
        </w:rPr>
        <w:t xml:space="preserve">s to the standard notification, </w:t>
      </w:r>
      <w:r w:rsidR="00851BA0">
        <w:rPr>
          <w:noProof/>
        </w:rPr>
        <w:t>justifying t</w:t>
      </w:r>
      <w:r w:rsidRPr="00237252">
        <w:rPr>
          <w:noProof/>
        </w:rPr>
        <w:t>he refusal</w:t>
      </w:r>
      <w:r w:rsidR="008805D4">
        <w:rPr>
          <w:noProof/>
        </w:rPr>
        <w:t>.</w:t>
      </w:r>
    </w:p>
    <w:p w14:paraId="3B8B62C2" w14:textId="77777777" w:rsidR="008805D4" w:rsidRDefault="00FF0E21" w:rsidP="00851BA0">
      <w:pPr>
        <w:pStyle w:val="Text1"/>
        <w:rPr>
          <w:noProof/>
        </w:rPr>
      </w:pPr>
      <w:r w:rsidRPr="00FF0E21">
        <w:rPr>
          <w:noProof/>
        </w:rPr>
        <w:t>For applications</w:t>
      </w:r>
      <w:r>
        <w:rPr>
          <w:noProof/>
        </w:rPr>
        <w:t xml:space="preserve"> not</w:t>
      </w:r>
      <w:r w:rsidRPr="00FF0E21">
        <w:rPr>
          <w:noProof/>
        </w:rPr>
        <w:t xml:space="preserve"> submitted via the EU application platform </w:t>
      </w:r>
      <w:r>
        <w:rPr>
          <w:noProof/>
        </w:rPr>
        <w:t>i</w:t>
      </w:r>
      <w:r w:rsidR="008805D4">
        <w:rPr>
          <w:noProof/>
        </w:rPr>
        <w:t xml:space="preserve">n </w:t>
      </w:r>
      <w:r w:rsidR="008805D4" w:rsidRPr="008805D4">
        <w:rPr>
          <w:noProof/>
        </w:rPr>
        <w:t>cases referr</w:t>
      </w:r>
      <w:r w:rsidR="00D915A0">
        <w:rPr>
          <w:noProof/>
        </w:rPr>
        <w:t>ed to in Article 9</w:t>
      </w:r>
      <w:r w:rsidR="00C2781D">
        <w:rPr>
          <w:noProof/>
        </w:rPr>
        <w:t>(1b)</w:t>
      </w:r>
      <w:r w:rsidR="008805D4" w:rsidRPr="008805D4">
        <w:rPr>
          <w:noProof/>
        </w:rPr>
        <w:t>,</w:t>
      </w:r>
      <w:r w:rsidR="008805D4">
        <w:rPr>
          <w:noProof/>
        </w:rPr>
        <w:t xml:space="preserve"> a</w:t>
      </w:r>
      <w:r w:rsidR="008805D4" w:rsidRPr="008805D4">
        <w:rPr>
          <w:noProof/>
        </w:rPr>
        <w:t xml:space="preserve"> decision on refusal and the reasons on which it is based </w:t>
      </w:r>
      <w:r w:rsidR="008805D4">
        <w:rPr>
          <w:noProof/>
        </w:rPr>
        <w:t xml:space="preserve">shall be </w:t>
      </w:r>
      <w:r w:rsidR="008805D4" w:rsidRPr="008805D4">
        <w:rPr>
          <w:noProof/>
        </w:rPr>
        <w:t>notified to the applicant by means of the standard form set out in Annex VI in the language of the Member State that has taken the final decision on the application and another official language of the Union.</w:t>
      </w:r>
    </w:p>
    <w:p w14:paraId="6D588CFB" w14:textId="77777777" w:rsidR="009232DE" w:rsidRDefault="008805D4" w:rsidP="001E2E75">
      <w:pPr>
        <w:pStyle w:val="Text1"/>
        <w:rPr>
          <w:noProof/>
        </w:rPr>
      </w:pPr>
      <w:r w:rsidRPr="001E2E75">
        <w:rPr>
          <w:noProof/>
          <w:lang w:val="en-IE"/>
        </w:rPr>
        <w:t xml:space="preserve">The Commission shall adopt delegated acts in accordance with Article 51a in order </w:t>
      </w:r>
      <w:r>
        <w:rPr>
          <w:noProof/>
        </w:rPr>
        <w:t xml:space="preserve">to </w:t>
      </w:r>
      <w:r w:rsidR="00236CA5">
        <w:rPr>
          <w:noProof/>
        </w:rPr>
        <w:t xml:space="preserve">amend </w:t>
      </w:r>
      <w:r>
        <w:rPr>
          <w:noProof/>
        </w:rPr>
        <w:t xml:space="preserve">the </w:t>
      </w:r>
      <w:r w:rsidR="002578B8">
        <w:rPr>
          <w:noProof/>
        </w:rPr>
        <w:t xml:space="preserve">refusal </w:t>
      </w:r>
      <w:r>
        <w:rPr>
          <w:noProof/>
        </w:rPr>
        <w:t>form</w:t>
      </w:r>
      <w:r w:rsidR="00FF0E21">
        <w:rPr>
          <w:noProof/>
        </w:rPr>
        <w:t>,</w:t>
      </w:r>
      <w:r>
        <w:rPr>
          <w:noProof/>
        </w:rPr>
        <w:t xml:space="preserve"> as set out in Annex VI</w:t>
      </w:r>
      <w:r w:rsidR="00851BA0">
        <w:rPr>
          <w:noProof/>
        </w:rPr>
        <w:t xml:space="preserve"> </w:t>
      </w:r>
      <w:r w:rsidR="00CB25FA">
        <w:rPr>
          <w:noProof/>
        </w:rPr>
        <w:t xml:space="preserve">or </w:t>
      </w:r>
      <w:r w:rsidR="00FF0E21">
        <w:rPr>
          <w:noProof/>
        </w:rPr>
        <w:t>as a</w:t>
      </w:r>
      <w:r>
        <w:rPr>
          <w:noProof/>
        </w:rPr>
        <w:t xml:space="preserve"> notification </w:t>
      </w:r>
      <w:r w:rsidR="001A1F42" w:rsidRPr="001A1F42">
        <w:rPr>
          <w:noProof/>
        </w:rPr>
        <w:t>as referred to in Chapter Ia of Regulation (EC) No 767/2008</w:t>
      </w:r>
      <w:r>
        <w:rPr>
          <w:noProof/>
        </w:rPr>
        <w:t>.</w:t>
      </w:r>
      <w:r w:rsidR="009232DE" w:rsidRPr="00513CAD">
        <w:rPr>
          <w:noProof/>
        </w:rPr>
        <w:t>”</w:t>
      </w:r>
      <w:r w:rsidR="009232DE">
        <w:rPr>
          <w:noProof/>
        </w:rPr>
        <w:t>;</w:t>
      </w:r>
    </w:p>
    <w:p w14:paraId="79257796" w14:textId="0ACDC5BD" w:rsidR="00214091" w:rsidRPr="00214091" w:rsidRDefault="00EF15A7" w:rsidP="00EF15A7">
      <w:pPr>
        <w:pStyle w:val="Point0"/>
        <w:rPr>
          <w:noProof/>
        </w:rPr>
      </w:pPr>
      <w:r w:rsidRPr="00EF15A7">
        <w:t>(b)</w:t>
      </w:r>
      <w:r w:rsidRPr="00EF15A7">
        <w:tab/>
      </w:r>
      <w:r w:rsidR="009232DE">
        <w:rPr>
          <w:noProof/>
        </w:rPr>
        <w:t xml:space="preserve">in paragraph 3, the </w:t>
      </w:r>
      <w:r w:rsidR="00214091">
        <w:rPr>
          <w:noProof/>
        </w:rPr>
        <w:t xml:space="preserve">third sentence is </w:t>
      </w:r>
      <w:r w:rsidR="00214091" w:rsidRPr="00214091">
        <w:rPr>
          <w:noProof/>
        </w:rPr>
        <w:t>replaced by the following:</w:t>
      </w:r>
    </w:p>
    <w:p w14:paraId="2D699FD1" w14:textId="77777777" w:rsidR="009232DE" w:rsidRPr="00214091" w:rsidRDefault="00FA5DD4" w:rsidP="00FA5DD4">
      <w:pPr>
        <w:pStyle w:val="Text1"/>
        <w:rPr>
          <w:noProof/>
        </w:rPr>
      </w:pPr>
      <w:r w:rsidRPr="00513CAD">
        <w:rPr>
          <w:noProof/>
        </w:rPr>
        <w:t>“</w:t>
      </w:r>
      <w:r w:rsidR="00214091" w:rsidRPr="00214091">
        <w:rPr>
          <w:noProof/>
        </w:rPr>
        <w:t xml:space="preserve">Member States shall provide applicants with information regarding the procedure to be followed in the event of an appeal, as specified </w:t>
      </w:r>
      <w:r w:rsidR="00861C47" w:rsidRPr="0068480E">
        <w:rPr>
          <w:noProof/>
        </w:rPr>
        <w:t xml:space="preserve">as specified in Annex VI </w:t>
      </w:r>
      <w:r w:rsidR="00FF0E21" w:rsidRPr="0068480E">
        <w:rPr>
          <w:noProof/>
        </w:rPr>
        <w:t xml:space="preserve">or in the refusal notification </w:t>
      </w:r>
      <w:r w:rsidR="00192F23" w:rsidRPr="00214091">
        <w:rPr>
          <w:noProof/>
        </w:rPr>
        <w:t>sent via the EU application platform</w:t>
      </w:r>
      <w:r w:rsidRPr="00513CAD">
        <w:rPr>
          <w:noProof/>
        </w:rPr>
        <w:t>”</w:t>
      </w:r>
      <w:r w:rsidR="00BE260E" w:rsidRPr="00214091">
        <w:rPr>
          <w:noProof/>
        </w:rPr>
        <w:t>;</w:t>
      </w:r>
    </w:p>
    <w:p w14:paraId="4824E52C" w14:textId="3DD761C0" w:rsidR="009232DE" w:rsidRDefault="00EF15A7" w:rsidP="00EF15A7">
      <w:pPr>
        <w:pStyle w:val="Point0"/>
        <w:rPr>
          <w:noProof/>
        </w:rPr>
      </w:pPr>
      <w:r w:rsidRPr="00EF15A7">
        <w:t>(22)</w:t>
      </w:r>
      <w:r w:rsidRPr="00EF15A7">
        <w:tab/>
      </w:r>
      <w:r w:rsidR="00B943D0">
        <w:rPr>
          <w:noProof/>
        </w:rPr>
        <w:t xml:space="preserve">the following </w:t>
      </w:r>
      <w:r w:rsidR="003F6DC7">
        <w:rPr>
          <w:noProof/>
        </w:rPr>
        <w:t>A</w:t>
      </w:r>
      <w:r w:rsidR="00B943D0">
        <w:rPr>
          <w:noProof/>
        </w:rPr>
        <w:t xml:space="preserve">rticle </w:t>
      </w:r>
      <w:r w:rsidR="00214091">
        <w:rPr>
          <w:noProof/>
        </w:rPr>
        <w:t xml:space="preserve">32a </w:t>
      </w:r>
      <w:r w:rsidR="00B943D0">
        <w:rPr>
          <w:noProof/>
        </w:rPr>
        <w:t>is inserted:</w:t>
      </w:r>
    </w:p>
    <w:p w14:paraId="4A78B76E" w14:textId="77777777" w:rsidR="00B20B87" w:rsidRDefault="00D92492" w:rsidP="00D92492">
      <w:pPr>
        <w:pStyle w:val="Titrearticle"/>
        <w:rPr>
          <w:noProof/>
        </w:rPr>
      </w:pPr>
      <w:r w:rsidRPr="00D92492">
        <w:rPr>
          <w:i w:val="0"/>
          <w:noProof/>
        </w:rPr>
        <w:t>“</w:t>
      </w:r>
      <w:r>
        <w:rPr>
          <w:noProof/>
        </w:rPr>
        <w:t>Article 32a</w:t>
      </w:r>
      <w:r>
        <w:rPr>
          <w:noProof/>
        </w:rPr>
        <w:br/>
      </w:r>
      <w:r w:rsidRPr="00D92492">
        <w:rPr>
          <w:noProof/>
        </w:rPr>
        <w:t>Confirmation of a valid visa in a new travel document</w:t>
      </w:r>
    </w:p>
    <w:p w14:paraId="1421C6C3" w14:textId="35D4C005" w:rsidR="00D92492" w:rsidRDefault="00EF15A7" w:rsidP="00EF15A7">
      <w:pPr>
        <w:pStyle w:val="ManualNumPar1"/>
        <w:rPr>
          <w:noProof/>
        </w:rPr>
      </w:pPr>
      <w:r w:rsidRPr="00EF15A7">
        <w:t>1.</w:t>
      </w:r>
      <w:r w:rsidRPr="00EF15A7">
        <w:tab/>
      </w:r>
      <w:r w:rsidR="00BE260E" w:rsidRPr="00BE260E">
        <w:rPr>
          <w:noProof/>
        </w:rPr>
        <w:t xml:space="preserve">Visa holders whose travel document has been lost, stolen or has expired and whose visa is still valid may apply for the confirmation of the visa </w:t>
      </w:r>
      <w:r w:rsidR="000D5983">
        <w:rPr>
          <w:noProof/>
        </w:rPr>
        <w:t>linked to</w:t>
      </w:r>
      <w:r w:rsidR="000D5983" w:rsidRPr="00BE260E">
        <w:rPr>
          <w:noProof/>
        </w:rPr>
        <w:t xml:space="preserve"> </w:t>
      </w:r>
      <w:r w:rsidR="00BE260E" w:rsidRPr="00BE260E">
        <w:rPr>
          <w:noProof/>
        </w:rPr>
        <w:t>a new travel document</w:t>
      </w:r>
      <w:r w:rsidR="00BE260E">
        <w:rPr>
          <w:noProof/>
        </w:rPr>
        <w:t>.</w:t>
      </w:r>
    </w:p>
    <w:p w14:paraId="6ED2EB79" w14:textId="3A003A99" w:rsidR="00D643D1" w:rsidRDefault="00EF15A7" w:rsidP="00EF15A7">
      <w:pPr>
        <w:pStyle w:val="ManualNumPar1"/>
        <w:rPr>
          <w:noProof/>
        </w:rPr>
      </w:pPr>
      <w:r w:rsidRPr="00EF15A7">
        <w:t>2.</w:t>
      </w:r>
      <w:r w:rsidRPr="00EF15A7">
        <w:tab/>
      </w:r>
      <w:r w:rsidR="00BE260E">
        <w:rPr>
          <w:noProof/>
        </w:rPr>
        <w:t>The</w:t>
      </w:r>
      <w:r w:rsidR="00452A96">
        <w:rPr>
          <w:noProof/>
        </w:rPr>
        <w:t xml:space="preserve"> visa holders</w:t>
      </w:r>
      <w:r w:rsidR="00D643D1">
        <w:rPr>
          <w:noProof/>
        </w:rPr>
        <w:t xml:space="preserve"> referred to in paragraph 1</w:t>
      </w:r>
      <w:r w:rsidR="00452A96">
        <w:rPr>
          <w:noProof/>
        </w:rPr>
        <w:t xml:space="preserve"> shall apply</w:t>
      </w:r>
      <w:r w:rsidR="00BE260E" w:rsidRPr="31CEFD57">
        <w:rPr>
          <w:noProof/>
        </w:rPr>
        <w:t xml:space="preserve"> </w:t>
      </w:r>
      <w:r w:rsidR="00D643D1">
        <w:rPr>
          <w:noProof/>
        </w:rPr>
        <w:t xml:space="preserve">for confirmation of the visa in a new travel document </w:t>
      </w:r>
      <w:r w:rsidR="00BE260E" w:rsidRPr="00BE260E">
        <w:rPr>
          <w:noProof/>
        </w:rPr>
        <w:t>via the</w:t>
      </w:r>
      <w:r w:rsidR="00861C47">
        <w:rPr>
          <w:noProof/>
        </w:rPr>
        <w:t xml:space="preserve"> EU</w:t>
      </w:r>
      <w:r w:rsidR="00BE260E" w:rsidRPr="00BE260E">
        <w:rPr>
          <w:noProof/>
        </w:rPr>
        <w:t xml:space="preserve"> application </w:t>
      </w:r>
      <w:r w:rsidR="00F479BB">
        <w:rPr>
          <w:noProof/>
        </w:rPr>
        <w:t>platform</w:t>
      </w:r>
      <w:r w:rsidR="00452A96" w:rsidRPr="00452A96">
        <w:rPr>
          <w:noProof/>
        </w:rPr>
        <w:t xml:space="preserve"> referred to in Chapter </w:t>
      </w:r>
      <w:r w:rsidR="00452A96" w:rsidRPr="00BB0156">
        <w:rPr>
          <w:noProof/>
        </w:rPr>
        <w:t>I</w:t>
      </w:r>
      <w:r w:rsidR="00452A96" w:rsidRPr="00452A96">
        <w:rPr>
          <w:noProof/>
        </w:rPr>
        <w:t>a of Regulation (EC) No 767/2008</w:t>
      </w:r>
      <w:r w:rsidR="00452A96" w:rsidRPr="31CEFD57">
        <w:rPr>
          <w:noProof/>
        </w:rPr>
        <w:t xml:space="preserve">. </w:t>
      </w:r>
      <w:r w:rsidR="00D643D1">
        <w:rPr>
          <w:noProof/>
        </w:rPr>
        <w:t xml:space="preserve">They shall </w:t>
      </w:r>
      <w:r w:rsidR="00D643D1" w:rsidRPr="00BE260E">
        <w:rPr>
          <w:noProof/>
        </w:rPr>
        <w:t>provide</w:t>
      </w:r>
      <w:r w:rsidR="00D643D1">
        <w:rPr>
          <w:noProof/>
        </w:rPr>
        <w:t xml:space="preserve"> the following</w:t>
      </w:r>
      <w:r w:rsidR="00D643D1" w:rsidRPr="00BE260E">
        <w:rPr>
          <w:noProof/>
        </w:rPr>
        <w:t xml:space="preserve"> personal data</w:t>
      </w:r>
      <w:r w:rsidR="00D643D1" w:rsidRPr="31CEFD57">
        <w:rPr>
          <w:noProof/>
        </w:rPr>
        <w:t xml:space="preserve">: </w:t>
      </w:r>
    </w:p>
    <w:p w14:paraId="2CA0697C" w14:textId="12469CF6" w:rsidR="00D643D1" w:rsidRPr="00A40E64" w:rsidRDefault="00EF15A7" w:rsidP="00EF15A7">
      <w:pPr>
        <w:pStyle w:val="Point0"/>
        <w:rPr>
          <w:noProof/>
        </w:rPr>
      </w:pPr>
      <w:r w:rsidRPr="00EF15A7">
        <w:t>(a)</w:t>
      </w:r>
      <w:r w:rsidRPr="00EF15A7">
        <w:tab/>
      </w:r>
      <w:r w:rsidR="00BE260E" w:rsidRPr="00A40E64">
        <w:rPr>
          <w:noProof/>
        </w:rPr>
        <w:t>name, da</w:t>
      </w:r>
      <w:r w:rsidR="00D643D1" w:rsidRPr="00A40E64">
        <w:rPr>
          <w:noProof/>
        </w:rPr>
        <w:t>ta of birth, nationality;</w:t>
      </w:r>
    </w:p>
    <w:p w14:paraId="20FB7C83" w14:textId="0907FB76" w:rsidR="00D643D1" w:rsidRPr="00A40E64" w:rsidRDefault="00EF15A7" w:rsidP="00EF15A7">
      <w:pPr>
        <w:pStyle w:val="Point0"/>
        <w:rPr>
          <w:noProof/>
        </w:rPr>
      </w:pPr>
      <w:r w:rsidRPr="00EF15A7">
        <w:t>(b)</w:t>
      </w:r>
      <w:r w:rsidRPr="00EF15A7">
        <w:tab/>
      </w:r>
      <w:r w:rsidR="00D643D1" w:rsidRPr="00A40E64">
        <w:rPr>
          <w:noProof/>
        </w:rPr>
        <w:t xml:space="preserve">number of </w:t>
      </w:r>
      <w:r w:rsidR="007C2B7C" w:rsidRPr="00A40E64">
        <w:rPr>
          <w:noProof/>
        </w:rPr>
        <w:t xml:space="preserve">the </w:t>
      </w:r>
      <w:r w:rsidR="00D643D1" w:rsidRPr="00A40E64">
        <w:rPr>
          <w:noProof/>
        </w:rPr>
        <w:t>visa;</w:t>
      </w:r>
    </w:p>
    <w:p w14:paraId="6AE4657C" w14:textId="167B08A9" w:rsidR="00D643D1" w:rsidRPr="00A40E64" w:rsidRDefault="00EF15A7" w:rsidP="00EF15A7">
      <w:pPr>
        <w:pStyle w:val="Point0"/>
        <w:rPr>
          <w:noProof/>
        </w:rPr>
      </w:pPr>
      <w:r w:rsidRPr="00EF15A7">
        <w:t>(c)</w:t>
      </w:r>
      <w:r w:rsidRPr="00EF15A7">
        <w:tab/>
      </w:r>
      <w:r w:rsidR="00BE260E" w:rsidRPr="00A40E64">
        <w:rPr>
          <w:noProof/>
        </w:rPr>
        <w:t xml:space="preserve">data of </w:t>
      </w:r>
      <w:r w:rsidR="007C2B7C" w:rsidRPr="00A40E64">
        <w:rPr>
          <w:noProof/>
        </w:rPr>
        <w:t xml:space="preserve">the </w:t>
      </w:r>
      <w:r w:rsidR="00BE260E" w:rsidRPr="00A40E64">
        <w:rPr>
          <w:noProof/>
        </w:rPr>
        <w:t>lost</w:t>
      </w:r>
      <w:r w:rsidR="007C2B7C" w:rsidRPr="00A40E64">
        <w:rPr>
          <w:noProof/>
        </w:rPr>
        <w:t xml:space="preserve">, </w:t>
      </w:r>
      <w:r w:rsidR="00D643D1" w:rsidRPr="00A40E64">
        <w:rPr>
          <w:noProof/>
        </w:rPr>
        <w:t>stolen</w:t>
      </w:r>
      <w:r w:rsidR="007C2B7C" w:rsidRPr="00A40E64">
        <w:rPr>
          <w:noProof/>
        </w:rPr>
        <w:t xml:space="preserve"> or </w:t>
      </w:r>
      <w:r w:rsidR="00D643D1" w:rsidRPr="00A40E64">
        <w:rPr>
          <w:noProof/>
        </w:rPr>
        <w:t>expired travel document;</w:t>
      </w:r>
    </w:p>
    <w:p w14:paraId="57163337" w14:textId="6D9C0BBB" w:rsidR="00D643D1" w:rsidRPr="00A40E64" w:rsidRDefault="00EF15A7" w:rsidP="00EF15A7">
      <w:pPr>
        <w:pStyle w:val="Point0"/>
        <w:rPr>
          <w:noProof/>
        </w:rPr>
      </w:pPr>
      <w:r w:rsidRPr="00EF15A7">
        <w:t>(d)</w:t>
      </w:r>
      <w:r w:rsidRPr="00EF15A7">
        <w:tab/>
      </w:r>
      <w:r w:rsidR="00BE260E" w:rsidRPr="00A40E64">
        <w:rPr>
          <w:noProof/>
        </w:rPr>
        <w:t>data of new travel docu</w:t>
      </w:r>
      <w:r w:rsidR="00D643D1" w:rsidRPr="00A40E64">
        <w:rPr>
          <w:noProof/>
        </w:rPr>
        <w:t>ment;</w:t>
      </w:r>
    </w:p>
    <w:p w14:paraId="09B7B7D9" w14:textId="27F142CA" w:rsidR="00D643D1" w:rsidRPr="00A40E64" w:rsidRDefault="00EF15A7" w:rsidP="00EF15A7">
      <w:pPr>
        <w:pStyle w:val="Point0"/>
        <w:rPr>
          <w:noProof/>
        </w:rPr>
      </w:pPr>
      <w:r w:rsidRPr="00EF15A7">
        <w:t>(e)</w:t>
      </w:r>
      <w:r w:rsidRPr="00EF15A7">
        <w:tab/>
      </w:r>
      <w:r w:rsidR="00D643D1" w:rsidRPr="00A40E64">
        <w:rPr>
          <w:noProof/>
        </w:rPr>
        <w:t>scan of bio</w:t>
      </w:r>
      <w:r w:rsidR="00653174">
        <w:rPr>
          <w:noProof/>
        </w:rPr>
        <w:t xml:space="preserve">data </w:t>
      </w:r>
      <w:r w:rsidR="00D643D1" w:rsidRPr="00A40E64">
        <w:rPr>
          <w:noProof/>
        </w:rPr>
        <w:t>page;</w:t>
      </w:r>
    </w:p>
    <w:p w14:paraId="6814C4C4" w14:textId="4B236547" w:rsidR="00BE260E" w:rsidRDefault="00EF15A7" w:rsidP="00EF15A7">
      <w:pPr>
        <w:pStyle w:val="Point0"/>
        <w:rPr>
          <w:noProof/>
        </w:rPr>
      </w:pPr>
      <w:r w:rsidRPr="00EF15A7">
        <w:t>(f)</w:t>
      </w:r>
      <w:r w:rsidRPr="00EF15A7">
        <w:tab/>
      </w:r>
      <w:r w:rsidR="00BE260E" w:rsidRPr="00A40E64">
        <w:rPr>
          <w:noProof/>
        </w:rPr>
        <w:t>proof o</w:t>
      </w:r>
      <w:r w:rsidR="00F87F33" w:rsidRPr="00A40E64">
        <w:rPr>
          <w:noProof/>
        </w:rPr>
        <w:t>f</w:t>
      </w:r>
      <w:r w:rsidR="00BE260E" w:rsidRPr="00A40E64">
        <w:rPr>
          <w:noProof/>
        </w:rPr>
        <w:t xml:space="preserve"> lo</w:t>
      </w:r>
      <w:r w:rsidR="007C2B7C" w:rsidRPr="00A40E64">
        <w:rPr>
          <w:noProof/>
        </w:rPr>
        <w:t>s</w:t>
      </w:r>
      <w:r w:rsidR="00BE260E" w:rsidRPr="00A40E64">
        <w:rPr>
          <w:noProof/>
        </w:rPr>
        <w:t>s</w:t>
      </w:r>
      <w:r w:rsidR="007C2B7C" w:rsidRPr="00A40E64">
        <w:rPr>
          <w:noProof/>
        </w:rPr>
        <w:t xml:space="preserve"> or theft of </w:t>
      </w:r>
      <w:r w:rsidR="00BE1653">
        <w:rPr>
          <w:noProof/>
        </w:rPr>
        <w:t xml:space="preserve">the </w:t>
      </w:r>
      <w:r w:rsidR="007C2B7C" w:rsidRPr="00A40E64">
        <w:rPr>
          <w:noProof/>
        </w:rPr>
        <w:t>travel document</w:t>
      </w:r>
      <w:r w:rsidR="00F87F33" w:rsidRPr="00A40E64">
        <w:rPr>
          <w:noProof/>
        </w:rPr>
        <w:t xml:space="preserve"> or expiry</w:t>
      </w:r>
      <w:r w:rsidR="00D643D1">
        <w:rPr>
          <w:noProof/>
        </w:rPr>
        <w:t>.</w:t>
      </w:r>
    </w:p>
    <w:p w14:paraId="7FCD713C" w14:textId="4550E30E" w:rsidR="00BE260E" w:rsidRDefault="00EF15A7" w:rsidP="00EF15A7">
      <w:pPr>
        <w:pStyle w:val="ManualNumPar1"/>
        <w:rPr>
          <w:noProof/>
        </w:rPr>
      </w:pPr>
      <w:r w:rsidRPr="00EF15A7">
        <w:t>3.</w:t>
      </w:r>
      <w:r w:rsidRPr="00EF15A7">
        <w:tab/>
      </w:r>
      <w:r w:rsidR="00D643D1">
        <w:rPr>
          <w:noProof/>
        </w:rPr>
        <w:t xml:space="preserve">The visa holder shall pay the </w:t>
      </w:r>
      <w:r w:rsidR="00BE260E" w:rsidRPr="00BE260E">
        <w:rPr>
          <w:noProof/>
        </w:rPr>
        <w:t>visa confirmation fee</w:t>
      </w:r>
      <w:r w:rsidR="00D643D1">
        <w:rPr>
          <w:noProof/>
        </w:rPr>
        <w:t xml:space="preserve"> of EUR </w:t>
      </w:r>
      <w:r w:rsidR="002D2607">
        <w:rPr>
          <w:noProof/>
        </w:rPr>
        <w:t>3</w:t>
      </w:r>
      <w:r w:rsidR="007C2B7C">
        <w:rPr>
          <w:noProof/>
        </w:rPr>
        <w:t xml:space="preserve">0. </w:t>
      </w:r>
      <w:r w:rsidR="00D643D1">
        <w:rPr>
          <w:noProof/>
        </w:rPr>
        <w:t xml:space="preserve"> </w:t>
      </w:r>
    </w:p>
    <w:p w14:paraId="077E096E" w14:textId="6EF19793" w:rsidR="00BE260E" w:rsidRDefault="00EF15A7" w:rsidP="00EF15A7">
      <w:pPr>
        <w:pStyle w:val="ManualNumPar1"/>
        <w:rPr>
          <w:noProof/>
        </w:rPr>
      </w:pPr>
      <w:r w:rsidRPr="00EF15A7">
        <w:t>4.</w:t>
      </w:r>
      <w:r w:rsidRPr="00EF15A7">
        <w:tab/>
      </w:r>
      <w:r w:rsidR="00D643D1">
        <w:rPr>
          <w:noProof/>
        </w:rPr>
        <w:t xml:space="preserve">The visa holder shall </w:t>
      </w:r>
      <w:r w:rsidR="00D643D1" w:rsidRPr="00D643D1">
        <w:rPr>
          <w:noProof/>
        </w:rPr>
        <w:t xml:space="preserve">be required to </w:t>
      </w:r>
      <w:r w:rsidR="00BE2C5C">
        <w:rPr>
          <w:noProof/>
        </w:rPr>
        <w:t>appear in person for the</w:t>
      </w:r>
      <w:r w:rsidR="00D643D1" w:rsidRPr="1F9E6C70">
        <w:rPr>
          <w:noProof/>
        </w:rPr>
        <w:t xml:space="preserve"> </w:t>
      </w:r>
      <w:r w:rsidR="00D643D1" w:rsidRPr="00D643D1">
        <w:rPr>
          <w:noProof/>
        </w:rPr>
        <w:t>present</w:t>
      </w:r>
      <w:r w:rsidR="00BE2C5C">
        <w:rPr>
          <w:noProof/>
        </w:rPr>
        <w:t>atio</w:t>
      </w:r>
      <w:r w:rsidR="007E03A7">
        <w:rPr>
          <w:noProof/>
        </w:rPr>
        <w:t>n of</w:t>
      </w:r>
      <w:r w:rsidR="00D643D1" w:rsidRPr="00D643D1">
        <w:rPr>
          <w:noProof/>
        </w:rPr>
        <w:t xml:space="preserve"> the </w:t>
      </w:r>
      <w:r w:rsidR="00D643D1">
        <w:rPr>
          <w:noProof/>
        </w:rPr>
        <w:t xml:space="preserve">new </w:t>
      </w:r>
      <w:r w:rsidR="00D643D1" w:rsidRPr="00D643D1">
        <w:rPr>
          <w:noProof/>
        </w:rPr>
        <w:t>travel document</w:t>
      </w:r>
      <w:r w:rsidR="00D643D1">
        <w:rPr>
          <w:noProof/>
        </w:rPr>
        <w:t xml:space="preserve"> in order to</w:t>
      </w:r>
      <w:r w:rsidR="00D643D1" w:rsidRPr="00D643D1">
        <w:rPr>
          <w:noProof/>
        </w:rPr>
        <w:t xml:space="preserve"> verify that this travel document corresponds to the scanned copy uploaded </w:t>
      </w:r>
      <w:r w:rsidR="00D643D1">
        <w:rPr>
          <w:noProof/>
        </w:rPr>
        <w:t xml:space="preserve">via the </w:t>
      </w:r>
      <w:r w:rsidR="007C2B7C">
        <w:rPr>
          <w:noProof/>
        </w:rPr>
        <w:t xml:space="preserve">EU </w:t>
      </w:r>
      <w:r w:rsidR="00D643D1">
        <w:rPr>
          <w:noProof/>
        </w:rPr>
        <w:t xml:space="preserve">application </w:t>
      </w:r>
      <w:r w:rsidR="00F479BB">
        <w:rPr>
          <w:noProof/>
        </w:rPr>
        <w:t>platform</w:t>
      </w:r>
      <w:r w:rsidR="006B2B29">
        <w:rPr>
          <w:noProof/>
        </w:rPr>
        <w:t xml:space="preserve">, and </w:t>
      </w:r>
      <w:r w:rsidR="006B2B29" w:rsidRPr="006B2B29">
        <w:rPr>
          <w:noProof/>
        </w:rPr>
        <w:t xml:space="preserve">that bearer of the travel document </w:t>
      </w:r>
      <w:r w:rsidR="006B2B29">
        <w:rPr>
          <w:noProof/>
        </w:rPr>
        <w:t>corresponds to the person for whom a visa was issued</w:t>
      </w:r>
      <w:r w:rsidR="00D643D1" w:rsidRPr="1F9E6C70">
        <w:rPr>
          <w:noProof/>
        </w:rPr>
        <w:t>.</w:t>
      </w:r>
    </w:p>
    <w:p w14:paraId="093C738B" w14:textId="7480094C" w:rsidR="006B2B29" w:rsidRPr="006B2B29" w:rsidRDefault="00EF15A7" w:rsidP="00EF15A7">
      <w:pPr>
        <w:pStyle w:val="ManualNumPar1"/>
        <w:rPr>
          <w:noProof/>
        </w:rPr>
      </w:pPr>
      <w:r w:rsidRPr="00EF15A7">
        <w:t>5.</w:t>
      </w:r>
      <w:r w:rsidRPr="00EF15A7">
        <w:tab/>
      </w:r>
      <w:r w:rsidR="006B2B29">
        <w:rPr>
          <w:noProof/>
        </w:rPr>
        <w:t xml:space="preserve">The new travel document shall fulfil conditions </w:t>
      </w:r>
      <w:r w:rsidR="00C03EF8">
        <w:rPr>
          <w:noProof/>
        </w:rPr>
        <w:t xml:space="preserve">laid down </w:t>
      </w:r>
      <w:r w:rsidR="006B2B29">
        <w:rPr>
          <w:noProof/>
        </w:rPr>
        <w:t>in Article 12.</w:t>
      </w:r>
    </w:p>
    <w:p w14:paraId="6F293FE9" w14:textId="651868F9" w:rsidR="00D643D1" w:rsidRDefault="00EF15A7" w:rsidP="00EF15A7">
      <w:pPr>
        <w:pStyle w:val="ManualNumPar1"/>
        <w:rPr>
          <w:noProof/>
        </w:rPr>
      </w:pPr>
      <w:r w:rsidRPr="00EF15A7">
        <w:t>6.</w:t>
      </w:r>
      <w:r w:rsidRPr="00EF15A7">
        <w:tab/>
      </w:r>
      <w:r w:rsidR="00D643D1">
        <w:rPr>
          <w:noProof/>
        </w:rPr>
        <w:t xml:space="preserve">Where </w:t>
      </w:r>
      <w:r w:rsidR="00747B83">
        <w:rPr>
          <w:noProof/>
        </w:rPr>
        <w:t xml:space="preserve">the </w:t>
      </w:r>
      <w:r w:rsidR="00493F0C" w:rsidRPr="00493F0C">
        <w:rPr>
          <w:noProof/>
        </w:rPr>
        <w:t>competent consulate or the central authorities of the competent Member State</w:t>
      </w:r>
      <w:r w:rsidR="00747B83">
        <w:rPr>
          <w:noProof/>
        </w:rPr>
        <w:t xml:space="preserve"> determines</w:t>
      </w:r>
      <w:r w:rsidR="00D643D1">
        <w:rPr>
          <w:noProof/>
        </w:rPr>
        <w:t xml:space="preserve"> that the valid visa can be confirmed in a new travel document</w:t>
      </w:r>
      <w:r w:rsidR="00747B83">
        <w:rPr>
          <w:noProof/>
        </w:rPr>
        <w:t xml:space="preserve">, </w:t>
      </w:r>
      <w:r w:rsidR="00493F0C">
        <w:rPr>
          <w:noProof/>
        </w:rPr>
        <w:t>it</w:t>
      </w:r>
      <w:r w:rsidR="00747B83">
        <w:rPr>
          <w:noProof/>
        </w:rPr>
        <w:t xml:space="preserve"> shall enter the data in the application file in VIS pursuant to Article 12a of </w:t>
      </w:r>
      <w:r w:rsidR="00747B83" w:rsidRPr="00747B83">
        <w:rPr>
          <w:noProof/>
        </w:rPr>
        <w:t>Regulation (EC) No 767/2008</w:t>
      </w:r>
      <w:r w:rsidR="00747B83">
        <w:rPr>
          <w:noProof/>
        </w:rPr>
        <w:t>.</w:t>
      </w:r>
    </w:p>
    <w:p w14:paraId="1C85B220" w14:textId="4EA9D9E1" w:rsidR="00747B83" w:rsidRPr="00747B83" w:rsidRDefault="00EF15A7" w:rsidP="00EF15A7">
      <w:pPr>
        <w:pStyle w:val="ManualNumPar1"/>
        <w:rPr>
          <w:noProof/>
        </w:rPr>
      </w:pPr>
      <w:r w:rsidRPr="00EF15A7">
        <w:t>7.</w:t>
      </w:r>
      <w:r w:rsidRPr="00EF15A7">
        <w:tab/>
      </w:r>
      <w:r w:rsidR="00DA3449">
        <w:rPr>
          <w:noProof/>
        </w:rPr>
        <w:t>The fact that</w:t>
      </w:r>
      <w:r w:rsidR="00DA3449" w:rsidRPr="00747B83">
        <w:rPr>
          <w:noProof/>
        </w:rPr>
        <w:t xml:space="preserve"> </w:t>
      </w:r>
      <w:r w:rsidR="00747B83" w:rsidRPr="00747B83">
        <w:rPr>
          <w:noProof/>
        </w:rPr>
        <w:t xml:space="preserve">a visa is </w:t>
      </w:r>
      <w:r w:rsidR="005D3111">
        <w:rPr>
          <w:noProof/>
        </w:rPr>
        <w:t>confirmed in a new travel document</w:t>
      </w:r>
      <w:r w:rsidR="006B2B29">
        <w:rPr>
          <w:noProof/>
        </w:rPr>
        <w:t xml:space="preserve"> shall be notified to the applicant by secure electronic means</w:t>
      </w:r>
      <w:r w:rsidR="003C55D6">
        <w:rPr>
          <w:noProof/>
        </w:rPr>
        <w:t xml:space="preserve"> </w:t>
      </w:r>
      <w:r w:rsidR="007423AE">
        <w:rPr>
          <w:noProof/>
        </w:rPr>
        <w:t xml:space="preserve">in accordance with </w:t>
      </w:r>
      <w:r w:rsidR="005E1678">
        <w:rPr>
          <w:noProof/>
        </w:rPr>
        <w:t xml:space="preserve">Article 7f of </w:t>
      </w:r>
      <w:r w:rsidR="005E1678" w:rsidRPr="00747B83">
        <w:rPr>
          <w:noProof/>
        </w:rPr>
        <w:t>Regulation (EC) No 767/2008</w:t>
      </w:r>
      <w:r w:rsidR="00C03EF8">
        <w:rPr>
          <w:noProof/>
        </w:rPr>
        <w:t>.</w:t>
      </w:r>
    </w:p>
    <w:p w14:paraId="500F3F6E" w14:textId="132D5F33" w:rsidR="008B6135" w:rsidRDefault="00EF15A7" w:rsidP="00EF15A7">
      <w:pPr>
        <w:pStyle w:val="ManualNumPar1"/>
        <w:rPr>
          <w:noProof/>
        </w:rPr>
      </w:pPr>
      <w:r w:rsidRPr="00EF15A7">
        <w:t>8.</w:t>
      </w:r>
      <w:r w:rsidRPr="00EF15A7">
        <w:tab/>
      </w:r>
      <w:r w:rsidR="008B6135">
        <w:rPr>
          <w:noProof/>
        </w:rPr>
        <w:t xml:space="preserve">Where the </w:t>
      </w:r>
      <w:r w:rsidR="00311300" w:rsidRPr="002221F5">
        <w:rPr>
          <w:noProof/>
          <w:lang w:val="en-IE"/>
        </w:rPr>
        <w:t xml:space="preserve">competent </w:t>
      </w:r>
      <w:r w:rsidR="008B6135" w:rsidRPr="002221F5">
        <w:rPr>
          <w:noProof/>
          <w:lang w:val="en-IE"/>
        </w:rPr>
        <w:t>consulate</w:t>
      </w:r>
      <w:r w:rsidR="00311300" w:rsidRPr="002221F5">
        <w:rPr>
          <w:noProof/>
          <w:lang w:val="en-IE"/>
        </w:rPr>
        <w:t xml:space="preserve"> or the central authorities of</w:t>
      </w:r>
      <w:r w:rsidR="00311300">
        <w:rPr>
          <w:noProof/>
          <w:lang w:val="en-IE"/>
        </w:rPr>
        <w:t xml:space="preserve"> </w:t>
      </w:r>
      <w:r w:rsidR="00311300" w:rsidRPr="002221F5">
        <w:rPr>
          <w:noProof/>
          <w:lang w:val="en-IE"/>
        </w:rPr>
        <w:t xml:space="preserve">the competent </w:t>
      </w:r>
      <w:r w:rsidR="00311300">
        <w:rPr>
          <w:noProof/>
          <w:lang w:val="en-IE"/>
        </w:rPr>
        <w:t>Member State</w:t>
      </w:r>
      <w:r w:rsidR="00DA6DC8">
        <w:rPr>
          <w:noProof/>
          <w:lang w:val="en-IE"/>
        </w:rPr>
        <w:t xml:space="preserve"> </w:t>
      </w:r>
      <w:r w:rsidR="008B6135">
        <w:rPr>
          <w:noProof/>
        </w:rPr>
        <w:t xml:space="preserve">cannot determine </w:t>
      </w:r>
      <w:r w:rsidR="00557644">
        <w:rPr>
          <w:noProof/>
        </w:rPr>
        <w:t xml:space="preserve">whether </w:t>
      </w:r>
      <w:r w:rsidR="008B6135">
        <w:rPr>
          <w:noProof/>
        </w:rPr>
        <w:t xml:space="preserve">the valid visa can be confirmed in a new travel document, notably because of </w:t>
      </w:r>
      <w:r w:rsidR="00BE260E" w:rsidRPr="00BE260E">
        <w:rPr>
          <w:noProof/>
        </w:rPr>
        <w:t xml:space="preserve">doubts </w:t>
      </w:r>
      <w:r w:rsidR="008B6135">
        <w:rPr>
          <w:noProof/>
        </w:rPr>
        <w:t xml:space="preserve">regarding the </w:t>
      </w:r>
      <w:r w:rsidR="00BE260E" w:rsidRPr="00BE260E">
        <w:rPr>
          <w:noProof/>
        </w:rPr>
        <w:t>identity</w:t>
      </w:r>
      <w:r w:rsidR="008B6135">
        <w:rPr>
          <w:noProof/>
        </w:rPr>
        <w:t xml:space="preserve"> of the visa holder,</w:t>
      </w:r>
      <w:r w:rsidR="00BE260E" w:rsidRPr="00BE260E">
        <w:rPr>
          <w:noProof/>
        </w:rPr>
        <w:t xml:space="preserve"> </w:t>
      </w:r>
      <w:r w:rsidR="00311300">
        <w:rPr>
          <w:noProof/>
        </w:rPr>
        <w:t>it</w:t>
      </w:r>
      <w:r w:rsidR="008B6135">
        <w:rPr>
          <w:noProof/>
        </w:rPr>
        <w:t xml:space="preserve"> shall: </w:t>
      </w:r>
    </w:p>
    <w:p w14:paraId="74013593" w14:textId="29A0A6D7" w:rsidR="00BE260E" w:rsidRDefault="00EF15A7" w:rsidP="00EF15A7">
      <w:pPr>
        <w:pStyle w:val="Point1"/>
        <w:rPr>
          <w:noProof/>
        </w:rPr>
      </w:pPr>
      <w:r w:rsidRPr="00EF15A7">
        <w:t>(a)</w:t>
      </w:r>
      <w:r w:rsidRPr="00EF15A7">
        <w:tab/>
      </w:r>
      <w:r w:rsidR="00BE260E" w:rsidRPr="00BE260E">
        <w:rPr>
          <w:noProof/>
        </w:rPr>
        <w:t>refuse the confirmation</w:t>
      </w:r>
      <w:r w:rsidR="008B6135">
        <w:rPr>
          <w:noProof/>
        </w:rPr>
        <w:t xml:space="preserve">; </w:t>
      </w:r>
    </w:p>
    <w:p w14:paraId="6D7147B4" w14:textId="51A45D6B" w:rsidR="00BE260E" w:rsidRDefault="00EF15A7" w:rsidP="00EF15A7">
      <w:pPr>
        <w:pStyle w:val="Point1"/>
        <w:rPr>
          <w:noProof/>
        </w:rPr>
      </w:pPr>
      <w:r w:rsidRPr="00EF15A7">
        <w:t>(b)</w:t>
      </w:r>
      <w:r w:rsidRPr="00EF15A7">
        <w:tab/>
      </w:r>
      <w:r w:rsidR="008B6135">
        <w:rPr>
          <w:noProof/>
        </w:rPr>
        <w:t>revoke the valid visa,</w:t>
      </w:r>
      <w:r w:rsidR="00BE260E" w:rsidRPr="00BE260E">
        <w:rPr>
          <w:noProof/>
        </w:rPr>
        <w:t xml:space="preserve"> in accordance with Article 34.</w:t>
      </w:r>
    </w:p>
    <w:p w14:paraId="2DD8B59C" w14:textId="37E119B7" w:rsidR="006305AC" w:rsidRDefault="00EF15A7" w:rsidP="00EF15A7">
      <w:pPr>
        <w:pStyle w:val="ManualNumPar1"/>
        <w:rPr>
          <w:noProof/>
        </w:rPr>
      </w:pPr>
      <w:r w:rsidRPr="00EF15A7">
        <w:t>9.</w:t>
      </w:r>
      <w:r w:rsidRPr="00EF15A7">
        <w:tab/>
      </w:r>
      <w:r w:rsidR="00A40E64">
        <w:rPr>
          <w:noProof/>
        </w:rPr>
        <w:t>T</w:t>
      </w:r>
      <w:r w:rsidR="006305AC" w:rsidRPr="00A40E64">
        <w:rPr>
          <w:noProof/>
        </w:rPr>
        <w:t>h</w:t>
      </w:r>
      <w:r w:rsidR="003C55D6">
        <w:rPr>
          <w:noProof/>
        </w:rPr>
        <w:t>e procedure regarding the c</w:t>
      </w:r>
      <w:r w:rsidR="003C55D6" w:rsidRPr="003C55D6">
        <w:rPr>
          <w:noProof/>
        </w:rPr>
        <w:t xml:space="preserve">onfirmation of a valid visa in a new travel document </w:t>
      </w:r>
      <w:r w:rsidR="00D932AA">
        <w:rPr>
          <w:noProof/>
        </w:rPr>
        <w:t>shall not preclude the visa holder</w:t>
      </w:r>
      <w:r w:rsidR="006305AC" w:rsidRPr="00A40E64">
        <w:rPr>
          <w:noProof/>
        </w:rPr>
        <w:t xml:space="preserve">  to</w:t>
      </w:r>
      <w:r w:rsidR="00D932AA">
        <w:rPr>
          <w:noProof/>
        </w:rPr>
        <w:t xml:space="preserve"> submit</w:t>
      </w:r>
      <w:r w:rsidR="006305AC" w:rsidRPr="00A40E64">
        <w:rPr>
          <w:noProof/>
        </w:rPr>
        <w:t xml:space="preserve"> a new visa application</w:t>
      </w:r>
      <w:r w:rsidR="00A40E64" w:rsidRPr="00A40E64">
        <w:rPr>
          <w:noProof/>
        </w:rPr>
        <w:t>.</w:t>
      </w:r>
      <w:r w:rsidR="00A40E64" w:rsidRPr="00513CAD">
        <w:rPr>
          <w:noProof/>
        </w:rPr>
        <w:t>”</w:t>
      </w:r>
      <w:r w:rsidR="00A40E64">
        <w:rPr>
          <w:noProof/>
        </w:rPr>
        <w:t>;</w:t>
      </w:r>
    </w:p>
    <w:p w14:paraId="6DBBE6D4" w14:textId="67977144" w:rsidR="009239D5" w:rsidRDefault="00EF15A7" w:rsidP="00EF15A7">
      <w:pPr>
        <w:pStyle w:val="Point0"/>
        <w:rPr>
          <w:noProof/>
        </w:rPr>
      </w:pPr>
      <w:r w:rsidRPr="00EF15A7">
        <w:t>(23)</w:t>
      </w:r>
      <w:r w:rsidRPr="00EF15A7">
        <w:tab/>
      </w:r>
      <w:r w:rsidR="006305AC">
        <w:rPr>
          <w:noProof/>
        </w:rPr>
        <w:t>Article 33</w:t>
      </w:r>
      <w:r w:rsidR="009239D5">
        <w:rPr>
          <w:noProof/>
        </w:rPr>
        <w:t xml:space="preserve"> is amended as follows:</w:t>
      </w:r>
    </w:p>
    <w:p w14:paraId="5C9345F4" w14:textId="47C4E524" w:rsidR="006305AC" w:rsidRDefault="00EF15A7" w:rsidP="00EF15A7">
      <w:pPr>
        <w:pStyle w:val="Point0"/>
        <w:rPr>
          <w:noProof/>
        </w:rPr>
      </w:pPr>
      <w:r w:rsidRPr="00EF15A7">
        <w:t>(a)</w:t>
      </w:r>
      <w:r w:rsidRPr="00EF15A7">
        <w:tab/>
      </w:r>
      <w:r w:rsidR="009239D5">
        <w:rPr>
          <w:noProof/>
        </w:rPr>
        <w:t>paragraph 6 is replaced by the following</w:t>
      </w:r>
      <w:r w:rsidR="006305AC">
        <w:rPr>
          <w:noProof/>
        </w:rPr>
        <w:t>:</w:t>
      </w:r>
    </w:p>
    <w:p w14:paraId="18EF940F" w14:textId="77777777" w:rsidR="006305AC" w:rsidRDefault="009239D5" w:rsidP="00711B63">
      <w:pPr>
        <w:pStyle w:val="Text1"/>
        <w:rPr>
          <w:noProof/>
        </w:rPr>
      </w:pPr>
      <w:r w:rsidRPr="00513CAD">
        <w:rPr>
          <w:noProof/>
        </w:rPr>
        <w:t>“</w:t>
      </w:r>
      <w:r>
        <w:rPr>
          <w:noProof/>
        </w:rPr>
        <w:t xml:space="preserve">6. </w:t>
      </w:r>
      <w:r w:rsidRPr="009239D5">
        <w:rPr>
          <w:noProof/>
        </w:rPr>
        <w:t xml:space="preserve">Visa holders may apply for extension online via the </w:t>
      </w:r>
      <w:r w:rsidR="00635B36">
        <w:rPr>
          <w:noProof/>
        </w:rPr>
        <w:t xml:space="preserve">EU </w:t>
      </w:r>
      <w:r w:rsidRPr="009239D5">
        <w:rPr>
          <w:noProof/>
        </w:rPr>
        <w:t xml:space="preserve">application </w:t>
      </w:r>
      <w:r w:rsidR="00F479BB">
        <w:rPr>
          <w:noProof/>
        </w:rPr>
        <w:t>platform</w:t>
      </w:r>
      <w:r w:rsidR="003C55D6">
        <w:rPr>
          <w:noProof/>
        </w:rPr>
        <w:t>. They shall</w:t>
      </w:r>
      <w:r w:rsidRPr="009239D5">
        <w:rPr>
          <w:noProof/>
        </w:rPr>
        <w:t xml:space="preserve"> provide personal data, number of visa and travel document, upload supporting document</w:t>
      </w:r>
      <w:r w:rsidR="0060550F">
        <w:rPr>
          <w:noProof/>
        </w:rPr>
        <w:t>s</w:t>
      </w:r>
      <w:r w:rsidRPr="009239D5">
        <w:rPr>
          <w:noProof/>
        </w:rPr>
        <w:t xml:space="preserve"> proving force majeure</w:t>
      </w:r>
      <w:r w:rsidR="00C34AF6">
        <w:rPr>
          <w:noProof/>
        </w:rPr>
        <w:t xml:space="preserve">, </w:t>
      </w:r>
      <w:r w:rsidRPr="009239D5">
        <w:rPr>
          <w:noProof/>
        </w:rPr>
        <w:t xml:space="preserve">humanitarian reasons </w:t>
      </w:r>
      <w:r w:rsidR="00C34AF6">
        <w:rPr>
          <w:noProof/>
        </w:rPr>
        <w:t>and/or</w:t>
      </w:r>
      <w:r w:rsidRPr="009239D5">
        <w:rPr>
          <w:noProof/>
        </w:rPr>
        <w:t xml:space="preserve"> serious personal reasons</w:t>
      </w:r>
      <w:r w:rsidR="00557644">
        <w:rPr>
          <w:noProof/>
        </w:rPr>
        <w:t xml:space="preserve"> </w:t>
      </w:r>
      <w:r w:rsidR="00557644" w:rsidRPr="00557644">
        <w:rPr>
          <w:noProof/>
        </w:rPr>
        <w:t xml:space="preserve">preventing </w:t>
      </w:r>
      <w:r w:rsidR="00557644">
        <w:rPr>
          <w:noProof/>
        </w:rPr>
        <w:t>them</w:t>
      </w:r>
      <w:r w:rsidR="00557644" w:rsidRPr="00557644">
        <w:rPr>
          <w:noProof/>
        </w:rPr>
        <w:t xml:space="preserve"> from leaving the territory of the Member States</w:t>
      </w:r>
      <w:r w:rsidRPr="009239D5">
        <w:rPr>
          <w:noProof/>
        </w:rPr>
        <w:t xml:space="preserve">, </w:t>
      </w:r>
      <w:r w:rsidR="00C34AF6">
        <w:rPr>
          <w:noProof/>
        </w:rPr>
        <w:t xml:space="preserve">and </w:t>
      </w:r>
      <w:r w:rsidRPr="009239D5">
        <w:rPr>
          <w:noProof/>
        </w:rPr>
        <w:t xml:space="preserve">pay </w:t>
      </w:r>
      <w:r w:rsidR="003C55D6">
        <w:rPr>
          <w:noProof/>
        </w:rPr>
        <w:t xml:space="preserve">the </w:t>
      </w:r>
      <w:r w:rsidRPr="009239D5">
        <w:rPr>
          <w:noProof/>
        </w:rPr>
        <w:t>fee of EUR 30 only in case of serious personal reasons</w:t>
      </w:r>
      <w:r w:rsidR="003C55D6">
        <w:rPr>
          <w:noProof/>
        </w:rPr>
        <w:t xml:space="preserve"> referred to in paragraph 2</w:t>
      </w:r>
      <w:r>
        <w:rPr>
          <w:noProof/>
        </w:rPr>
        <w:t>.</w:t>
      </w:r>
      <w:r w:rsidRPr="00513CAD">
        <w:rPr>
          <w:noProof/>
        </w:rPr>
        <w:t>”</w:t>
      </w:r>
      <w:r>
        <w:rPr>
          <w:noProof/>
        </w:rPr>
        <w:t>;</w:t>
      </w:r>
    </w:p>
    <w:p w14:paraId="3A0FC4F0" w14:textId="055FD040" w:rsidR="009239D5" w:rsidRDefault="00EF15A7" w:rsidP="00EF15A7">
      <w:pPr>
        <w:pStyle w:val="Point0"/>
        <w:rPr>
          <w:noProof/>
        </w:rPr>
      </w:pPr>
      <w:r w:rsidRPr="00EF15A7">
        <w:t>(b)</w:t>
      </w:r>
      <w:r w:rsidRPr="00EF15A7">
        <w:tab/>
      </w:r>
      <w:r w:rsidR="009239D5">
        <w:rPr>
          <w:noProof/>
        </w:rPr>
        <w:t>the following paragraph</w:t>
      </w:r>
      <w:r w:rsidR="00214091">
        <w:rPr>
          <w:noProof/>
        </w:rPr>
        <w:t xml:space="preserve"> 8</w:t>
      </w:r>
      <w:r w:rsidR="009239D5">
        <w:rPr>
          <w:noProof/>
        </w:rPr>
        <w:t xml:space="preserve"> </w:t>
      </w:r>
      <w:r w:rsidR="003C55D6">
        <w:rPr>
          <w:noProof/>
        </w:rPr>
        <w:t xml:space="preserve">is </w:t>
      </w:r>
      <w:r w:rsidR="009239D5">
        <w:rPr>
          <w:noProof/>
        </w:rPr>
        <w:t>added:</w:t>
      </w:r>
    </w:p>
    <w:p w14:paraId="0A02FB97" w14:textId="77777777" w:rsidR="00BE260E" w:rsidRDefault="00EF0D7F" w:rsidP="00711B63">
      <w:pPr>
        <w:pStyle w:val="Text1"/>
        <w:rPr>
          <w:noProof/>
        </w:rPr>
      </w:pPr>
      <w:r w:rsidRPr="00513CAD">
        <w:rPr>
          <w:noProof/>
        </w:rPr>
        <w:t>“</w:t>
      </w:r>
      <w:r w:rsidR="003C55D6">
        <w:rPr>
          <w:noProof/>
        </w:rPr>
        <w:t>8</w:t>
      </w:r>
      <w:r w:rsidR="009239D5">
        <w:rPr>
          <w:noProof/>
        </w:rPr>
        <w:t xml:space="preserve">. </w:t>
      </w:r>
      <w:r>
        <w:rPr>
          <w:noProof/>
        </w:rPr>
        <w:t xml:space="preserve">When a </w:t>
      </w:r>
      <w:r w:rsidRPr="00FA5DD4">
        <w:rPr>
          <w:noProof/>
        </w:rPr>
        <w:t xml:space="preserve">visa is extended </w:t>
      </w:r>
      <w:r w:rsidR="00D932AA" w:rsidRPr="00FA5DD4">
        <w:rPr>
          <w:noProof/>
        </w:rPr>
        <w:t xml:space="preserve">pursuant </w:t>
      </w:r>
      <w:r w:rsidRPr="00FA5DD4">
        <w:rPr>
          <w:noProof/>
        </w:rPr>
        <w:t xml:space="preserve">to </w:t>
      </w:r>
      <w:r w:rsidR="00557644" w:rsidRPr="00FA5DD4">
        <w:rPr>
          <w:noProof/>
        </w:rPr>
        <w:t xml:space="preserve">paragraphs 1 to 7 of </w:t>
      </w:r>
      <w:r w:rsidRPr="00FA5DD4">
        <w:rPr>
          <w:noProof/>
        </w:rPr>
        <w:t>this Article</w:t>
      </w:r>
      <w:r w:rsidR="003A5B04" w:rsidRPr="00FA5DD4">
        <w:rPr>
          <w:noProof/>
        </w:rPr>
        <w:t xml:space="preserve"> via the EU application platform</w:t>
      </w:r>
      <w:r w:rsidRPr="00FA5DD4">
        <w:rPr>
          <w:noProof/>
        </w:rPr>
        <w:t>,</w:t>
      </w:r>
      <w:r w:rsidR="003C55D6" w:rsidRPr="00FA5DD4">
        <w:rPr>
          <w:noProof/>
        </w:rPr>
        <w:t xml:space="preserve"> </w:t>
      </w:r>
      <w:r w:rsidR="00F0072E" w:rsidRPr="00FA5DD4">
        <w:rPr>
          <w:noProof/>
        </w:rPr>
        <w:t>the extension</w:t>
      </w:r>
      <w:r w:rsidR="00557644">
        <w:rPr>
          <w:noProof/>
        </w:rPr>
        <w:t xml:space="preserve"> </w:t>
      </w:r>
      <w:r w:rsidR="003C55D6" w:rsidRPr="003C55D6">
        <w:rPr>
          <w:noProof/>
        </w:rPr>
        <w:t>shall be notified to the appli</w:t>
      </w:r>
      <w:r w:rsidR="003C55D6">
        <w:rPr>
          <w:noProof/>
        </w:rPr>
        <w:t>cant by secure electronic means</w:t>
      </w:r>
      <w:r w:rsidR="005E1678">
        <w:rPr>
          <w:noProof/>
        </w:rPr>
        <w:t xml:space="preserve"> </w:t>
      </w:r>
      <w:r w:rsidR="007423AE">
        <w:rPr>
          <w:noProof/>
        </w:rPr>
        <w:t xml:space="preserve">in accordance with </w:t>
      </w:r>
      <w:r w:rsidR="005E1678">
        <w:rPr>
          <w:noProof/>
        </w:rPr>
        <w:t xml:space="preserve">Article 7f of </w:t>
      </w:r>
      <w:r w:rsidR="005E1678" w:rsidRPr="00747B83">
        <w:rPr>
          <w:noProof/>
        </w:rPr>
        <w:t>Regulation (EC) No 767/2008</w:t>
      </w:r>
      <w:r w:rsidRPr="00EF0D7F">
        <w:rPr>
          <w:noProof/>
        </w:rPr>
        <w:t>.”;</w:t>
      </w:r>
    </w:p>
    <w:p w14:paraId="2F7A7F83" w14:textId="3A27010B" w:rsidR="00EF0D7F" w:rsidRDefault="00EF15A7" w:rsidP="00EF15A7">
      <w:pPr>
        <w:pStyle w:val="Point0"/>
        <w:rPr>
          <w:noProof/>
        </w:rPr>
      </w:pPr>
      <w:r w:rsidRPr="00EF15A7">
        <w:t>(24)</w:t>
      </w:r>
      <w:r w:rsidRPr="00EF15A7">
        <w:tab/>
      </w:r>
      <w:r w:rsidR="00EF0D7F">
        <w:rPr>
          <w:noProof/>
        </w:rPr>
        <w:t>Article 34</w:t>
      </w:r>
      <w:r w:rsidR="00987A53">
        <w:rPr>
          <w:noProof/>
        </w:rPr>
        <w:t xml:space="preserve"> is</w:t>
      </w:r>
      <w:r w:rsidR="00EF0D7F">
        <w:rPr>
          <w:noProof/>
        </w:rPr>
        <w:t xml:space="preserve"> amended as follows: </w:t>
      </w:r>
    </w:p>
    <w:p w14:paraId="097A8C26" w14:textId="0DE8E1B1" w:rsidR="00EF0D7F" w:rsidRDefault="00EF15A7" w:rsidP="00EF15A7">
      <w:pPr>
        <w:pStyle w:val="Point0"/>
        <w:rPr>
          <w:noProof/>
        </w:rPr>
      </w:pPr>
      <w:r w:rsidRPr="00EF15A7">
        <w:t>(a)</w:t>
      </w:r>
      <w:r w:rsidRPr="00EF15A7">
        <w:tab/>
      </w:r>
      <w:r w:rsidR="00EF0D7F">
        <w:rPr>
          <w:noProof/>
        </w:rPr>
        <w:t>paragraph</w:t>
      </w:r>
      <w:r w:rsidR="00214091">
        <w:rPr>
          <w:noProof/>
        </w:rPr>
        <w:t>s</w:t>
      </w:r>
      <w:r w:rsidR="00EF0D7F">
        <w:rPr>
          <w:noProof/>
        </w:rPr>
        <w:t xml:space="preserve"> 5</w:t>
      </w:r>
      <w:r w:rsidR="00214091">
        <w:rPr>
          <w:noProof/>
        </w:rPr>
        <w:t xml:space="preserve"> and 6</w:t>
      </w:r>
      <w:r w:rsidR="00EF0D7F">
        <w:rPr>
          <w:noProof/>
        </w:rPr>
        <w:t xml:space="preserve"> </w:t>
      </w:r>
      <w:r w:rsidR="00214091">
        <w:rPr>
          <w:noProof/>
        </w:rPr>
        <w:t>are</w:t>
      </w:r>
      <w:r w:rsidR="00EF0D7F">
        <w:rPr>
          <w:noProof/>
        </w:rPr>
        <w:t xml:space="preserve"> </w:t>
      </w:r>
      <w:r w:rsidR="006D2DFD">
        <w:rPr>
          <w:noProof/>
        </w:rPr>
        <w:t>replaced by the following:</w:t>
      </w:r>
    </w:p>
    <w:p w14:paraId="3D5F5330" w14:textId="77777777" w:rsidR="003A5B04" w:rsidRDefault="003A5B04" w:rsidP="00FA5DD4">
      <w:pPr>
        <w:pStyle w:val="Text1"/>
        <w:rPr>
          <w:noProof/>
        </w:rPr>
      </w:pPr>
      <w:r w:rsidRPr="00513CAD">
        <w:rPr>
          <w:noProof/>
        </w:rPr>
        <w:t>“</w:t>
      </w:r>
      <w:r w:rsidR="00851BA0">
        <w:rPr>
          <w:noProof/>
        </w:rPr>
        <w:t xml:space="preserve">5. </w:t>
      </w:r>
      <w:r w:rsidR="006D2DFD">
        <w:rPr>
          <w:noProof/>
        </w:rPr>
        <w:t>I</w:t>
      </w:r>
      <w:r>
        <w:rPr>
          <w:noProof/>
        </w:rPr>
        <w:t xml:space="preserve">f </w:t>
      </w:r>
      <w:r w:rsidRPr="003A5B04">
        <w:rPr>
          <w:noProof/>
        </w:rPr>
        <w:t xml:space="preserve">a visa </w:t>
      </w:r>
      <w:r w:rsidR="006D2DFD">
        <w:rPr>
          <w:noProof/>
        </w:rPr>
        <w:t xml:space="preserve">not issued </w:t>
      </w:r>
      <w:r w:rsidR="006D2DFD" w:rsidRPr="003A5B04">
        <w:rPr>
          <w:noProof/>
        </w:rPr>
        <w:t xml:space="preserve">in digital format </w:t>
      </w:r>
      <w:r w:rsidRPr="003A5B04">
        <w:rPr>
          <w:noProof/>
        </w:rPr>
        <w:t>is annulled or revoked, a stamp stating ‘ANNULLED’ or ‘REVOKED’ shall be affixed to it and the optically variable feature of the visa sticker, the security feature ‘latent image effect’ as well as the term ‘visa’ shall be invalidated by being crossed out.</w:t>
      </w:r>
    </w:p>
    <w:p w14:paraId="0D0739EC" w14:textId="77777777" w:rsidR="00EF0D7F" w:rsidRDefault="00EF0D7F" w:rsidP="00851BA0">
      <w:pPr>
        <w:pStyle w:val="Text1"/>
        <w:rPr>
          <w:noProof/>
        </w:rPr>
      </w:pPr>
      <w:r>
        <w:rPr>
          <w:noProof/>
        </w:rPr>
        <w:t xml:space="preserve">6. </w:t>
      </w:r>
      <w:r w:rsidRPr="00EF0D7F">
        <w:rPr>
          <w:noProof/>
        </w:rPr>
        <w:t>A decision on annulment or revocation of a visa and the reasons on which it is based sha</w:t>
      </w:r>
      <w:r>
        <w:rPr>
          <w:noProof/>
        </w:rPr>
        <w:t xml:space="preserve">ll be </w:t>
      </w:r>
      <w:r w:rsidR="00B410BA">
        <w:rPr>
          <w:noProof/>
        </w:rPr>
        <w:t>issued in digital format by entering the data into the VIS</w:t>
      </w:r>
      <w:r w:rsidR="003C55D6">
        <w:rPr>
          <w:noProof/>
        </w:rPr>
        <w:t>,</w:t>
      </w:r>
      <w:r w:rsidR="00B410BA">
        <w:rPr>
          <w:noProof/>
        </w:rPr>
        <w:t xml:space="preserve"> pursuant to Article 12 of </w:t>
      </w:r>
      <w:r w:rsidR="00B410BA" w:rsidRPr="00747B83">
        <w:rPr>
          <w:noProof/>
        </w:rPr>
        <w:t>Regulation (EC) No 767/2008</w:t>
      </w:r>
      <w:r w:rsidR="003C55D6">
        <w:rPr>
          <w:noProof/>
        </w:rPr>
        <w:t>,</w:t>
      </w:r>
      <w:r w:rsidR="00B410BA">
        <w:rPr>
          <w:noProof/>
        </w:rPr>
        <w:t xml:space="preserve"> </w:t>
      </w:r>
      <w:r w:rsidR="00E8069D">
        <w:rPr>
          <w:noProof/>
        </w:rPr>
        <w:t xml:space="preserve">and </w:t>
      </w:r>
      <w:r>
        <w:rPr>
          <w:noProof/>
        </w:rPr>
        <w:t>notified to the applicant</w:t>
      </w:r>
      <w:r w:rsidRPr="00EF0D7F">
        <w:rPr>
          <w:noProof/>
        </w:rPr>
        <w:t xml:space="preserve"> by </w:t>
      </w:r>
      <w:r w:rsidR="00226A7E">
        <w:rPr>
          <w:noProof/>
        </w:rPr>
        <w:t xml:space="preserve">secure </w:t>
      </w:r>
      <w:r w:rsidRPr="00EF0D7F">
        <w:rPr>
          <w:noProof/>
        </w:rPr>
        <w:t xml:space="preserve">electronic means </w:t>
      </w:r>
      <w:r w:rsidR="007423AE">
        <w:rPr>
          <w:noProof/>
        </w:rPr>
        <w:t xml:space="preserve">in accordance with </w:t>
      </w:r>
      <w:r w:rsidR="005E1678">
        <w:rPr>
          <w:noProof/>
        </w:rPr>
        <w:t>Article 7f</w:t>
      </w:r>
      <w:r w:rsidRPr="00EF0D7F">
        <w:rPr>
          <w:noProof/>
        </w:rPr>
        <w:t xml:space="preserve"> of Regulation (EC) No 767/2008</w:t>
      </w:r>
      <w:r w:rsidR="000B2C27">
        <w:rPr>
          <w:noProof/>
        </w:rPr>
        <w:t xml:space="preserve"> or </w:t>
      </w:r>
      <w:r w:rsidR="000B2C27" w:rsidRPr="000B2C27">
        <w:rPr>
          <w:noProof/>
        </w:rPr>
        <w:t>by means of the standard form set out in Annex VI</w:t>
      </w:r>
      <w:r w:rsidR="000B2C27">
        <w:rPr>
          <w:noProof/>
        </w:rPr>
        <w:t xml:space="preserve"> f</w:t>
      </w:r>
      <w:r w:rsidR="000B2C27" w:rsidRPr="000B2C27">
        <w:rPr>
          <w:noProof/>
        </w:rPr>
        <w:t>or applications not submitted via the EU application platform</w:t>
      </w:r>
      <w:r w:rsidRPr="00EF0D7F">
        <w:rPr>
          <w:noProof/>
        </w:rPr>
        <w:t>.</w:t>
      </w:r>
      <w:r w:rsidR="00237252">
        <w:rPr>
          <w:noProof/>
        </w:rPr>
        <w:t xml:space="preserve"> </w:t>
      </w:r>
      <w:r w:rsidR="00237252" w:rsidRPr="00237252">
        <w:rPr>
          <w:noProof/>
        </w:rPr>
        <w:t xml:space="preserve">The notification </w:t>
      </w:r>
      <w:r w:rsidR="00A13163">
        <w:rPr>
          <w:noProof/>
        </w:rPr>
        <w:t>shall</w:t>
      </w:r>
      <w:r w:rsidR="00237252" w:rsidRPr="00237252">
        <w:rPr>
          <w:noProof/>
        </w:rPr>
        <w:t xml:space="preserve"> contain the information set out in Annex VI</w:t>
      </w:r>
      <w:r w:rsidR="00851BA0">
        <w:rPr>
          <w:noProof/>
        </w:rPr>
        <w:t>.</w:t>
      </w:r>
      <w:r w:rsidR="00237252" w:rsidRPr="00EF0D7F">
        <w:rPr>
          <w:noProof/>
        </w:rPr>
        <w:t>”;</w:t>
      </w:r>
    </w:p>
    <w:p w14:paraId="6945D245" w14:textId="6A605D51" w:rsidR="00214091" w:rsidRPr="00EC0933" w:rsidRDefault="00EF15A7" w:rsidP="00EF15A7">
      <w:pPr>
        <w:pStyle w:val="Point0"/>
        <w:rPr>
          <w:noProof/>
        </w:rPr>
      </w:pPr>
      <w:r w:rsidRPr="00EF15A7">
        <w:t>(b)</w:t>
      </w:r>
      <w:r w:rsidRPr="00EF15A7">
        <w:tab/>
      </w:r>
      <w:r w:rsidR="00237252" w:rsidRPr="00640B26">
        <w:rPr>
          <w:noProof/>
        </w:rPr>
        <w:t xml:space="preserve">in paragraph 7, </w:t>
      </w:r>
      <w:r w:rsidR="00214091" w:rsidRPr="00D62E54">
        <w:rPr>
          <w:noProof/>
        </w:rPr>
        <w:t xml:space="preserve">the </w:t>
      </w:r>
      <w:r w:rsidR="00214091" w:rsidRPr="00EC0933">
        <w:rPr>
          <w:noProof/>
        </w:rPr>
        <w:t>third sentence is replaced by the following:</w:t>
      </w:r>
    </w:p>
    <w:p w14:paraId="36A0A278" w14:textId="77777777" w:rsidR="00981928" w:rsidRPr="0068480E" w:rsidRDefault="00214091" w:rsidP="00FA5DD4">
      <w:pPr>
        <w:pStyle w:val="Text1"/>
        <w:rPr>
          <w:noProof/>
        </w:rPr>
      </w:pPr>
      <w:r w:rsidRPr="00EC0933">
        <w:rPr>
          <w:noProof/>
        </w:rPr>
        <w:t>‘</w:t>
      </w:r>
      <w:r w:rsidRPr="00214091">
        <w:rPr>
          <w:noProof/>
        </w:rPr>
        <w:t xml:space="preserve">Member States shall provide applicants with information regarding the procedure to be followed in the event of an appeal, </w:t>
      </w:r>
      <w:r w:rsidR="00B77332" w:rsidRPr="00214091">
        <w:rPr>
          <w:noProof/>
        </w:rPr>
        <w:t>as set</w:t>
      </w:r>
      <w:r w:rsidR="00B77332" w:rsidRPr="00FE3BC0">
        <w:rPr>
          <w:noProof/>
        </w:rPr>
        <w:t xml:space="preserve"> out in Annex VI or in the notification sent via the EU application platform’</w:t>
      </w:r>
      <w:r w:rsidR="00237252" w:rsidRPr="0068480E">
        <w:rPr>
          <w:noProof/>
        </w:rPr>
        <w:t>;</w:t>
      </w:r>
    </w:p>
    <w:p w14:paraId="4B85A3AB" w14:textId="5E79312C" w:rsidR="00981928" w:rsidRDefault="00EF15A7" w:rsidP="00EF15A7">
      <w:pPr>
        <w:pStyle w:val="Point0"/>
        <w:rPr>
          <w:noProof/>
        </w:rPr>
      </w:pPr>
      <w:r w:rsidRPr="00EF15A7">
        <w:t>(25)</w:t>
      </w:r>
      <w:r w:rsidRPr="00EF15A7">
        <w:tab/>
      </w:r>
      <w:r w:rsidR="00237252">
        <w:rPr>
          <w:noProof/>
        </w:rPr>
        <w:t>Article 37</w:t>
      </w:r>
      <w:r w:rsidR="00981928">
        <w:rPr>
          <w:noProof/>
        </w:rPr>
        <w:t xml:space="preserve"> is amended as follows:</w:t>
      </w:r>
    </w:p>
    <w:p w14:paraId="60E4BB4C" w14:textId="3F52970A" w:rsidR="003777A5" w:rsidRDefault="00EF15A7" w:rsidP="00EF15A7">
      <w:pPr>
        <w:pStyle w:val="Point0"/>
        <w:rPr>
          <w:noProof/>
        </w:rPr>
      </w:pPr>
      <w:r w:rsidRPr="00EF15A7">
        <w:t>(a)</w:t>
      </w:r>
      <w:r w:rsidRPr="00EF15A7">
        <w:tab/>
      </w:r>
      <w:r w:rsidR="00981928">
        <w:rPr>
          <w:noProof/>
        </w:rPr>
        <w:t xml:space="preserve">paragraph 2 is </w:t>
      </w:r>
      <w:r w:rsidR="00E54B71">
        <w:rPr>
          <w:noProof/>
        </w:rPr>
        <w:t>replaced by the following</w:t>
      </w:r>
      <w:r w:rsidR="003777A5">
        <w:rPr>
          <w:noProof/>
        </w:rPr>
        <w:t>:</w:t>
      </w:r>
    </w:p>
    <w:p w14:paraId="41F24D31" w14:textId="77777777" w:rsidR="00981928" w:rsidRDefault="003777A5" w:rsidP="003777A5">
      <w:pPr>
        <w:pStyle w:val="Text1"/>
        <w:rPr>
          <w:noProof/>
        </w:rPr>
      </w:pPr>
      <w:r w:rsidRPr="00E16A03">
        <w:rPr>
          <w:noProof/>
        </w:rPr>
        <w:t>“</w:t>
      </w:r>
      <w:r w:rsidR="00E54B71">
        <w:rPr>
          <w:noProof/>
        </w:rPr>
        <w:t xml:space="preserve">2. </w:t>
      </w:r>
      <w:r>
        <w:rPr>
          <w:noProof/>
        </w:rPr>
        <w:t xml:space="preserve">For </w:t>
      </w:r>
      <w:r w:rsidRPr="003777A5">
        <w:rPr>
          <w:noProof/>
        </w:rPr>
        <w:t>Member States wh</w:t>
      </w:r>
      <w:r w:rsidR="00BF2A01">
        <w:rPr>
          <w:noProof/>
        </w:rPr>
        <w:t>ich</w:t>
      </w:r>
      <w:r w:rsidRPr="003777A5">
        <w:rPr>
          <w:noProof/>
        </w:rPr>
        <w:t xml:space="preserve"> do not issue visas in digital format</w:t>
      </w:r>
      <w:r>
        <w:rPr>
          <w:noProof/>
        </w:rPr>
        <w:t xml:space="preserve">, </w:t>
      </w:r>
      <w:r w:rsidR="00851BA0">
        <w:rPr>
          <w:noProof/>
        </w:rPr>
        <w:t>th</w:t>
      </w:r>
      <w:r w:rsidRPr="003777A5">
        <w:rPr>
          <w:noProof/>
        </w:rPr>
        <w:t>e storage and handling of visa stickers shall be subject to adequate security measures to avoid fraud or loss. Each consulate shall keep an account of its stock of visa stickers and register how each visa sticker has been used. Any significant loss of blank visa stickers shall be reported to the Commission.</w:t>
      </w:r>
      <w:r w:rsidRPr="00DF490F">
        <w:rPr>
          <w:noProof/>
        </w:rPr>
        <w:t>”</w:t>
      </w:r>
      <w:r>
        <w:rPr>
          <w:noProof/>
        </w:rPr>
        <w:t>;</w:t>
      </w:r>
      <w:r w:rsidRPr="003777A5" w:rsidDel="003777A5">
        <w:rPr>
          <w:noProof/>
        </w:rPr>
        <w:t xml:space="preserve"> </w:t>
      </w:r>
    </w:p>
    <w:p w14:paraId="078830F0" w14:textId="2B8C457D" w:rsidR="00E54B71" w:rsidRDefault="00EF15A7" w:rsidP="00EF15A7">
      <w:pPr>
        <w:pStyle w:val="Point0"/>
        <w:rPr>
          <w:noProof/>
        </w:rPr>
      </w:pPr>
      <w:r w:rsidRPr="00EF15A7">
        <w:t>(b)</w:t>
      </w:r>
      <w:r w:rsidRPr="00EF15A7">
        <w:tab/>
      </w:r>
      <w:r w:rsidR="00981928">
        <w:rPr>
          <w:noProof/>
        </w:rPr>
        <w:t xml:space="preserve">in paragraph 3, </w:t>
      </w:r>
      <w:r w:rsidR="00E54B71">
        <w:rPr>
          <w:noProof/>
        </w:rPr>
        <w:t xml:space="preserve">the </w:t>
      </w:r>
      <w:r w:rsidR="00981928">
        <w:rPr>
          <w:noProof/>
        </w:rPr>
        <w:t xml:space="preserve">first </w:t>
      </w:r>
      <w:r w:rsidR="00E54B71">
        <w:rPr>
          <w:noProof/>
        </w:rPr>
        <w:t xml:space="preserve">sentence is replaced by the following: </w:t>
      </w:r>
    </w:p>
    <w:p w14:paraId="0ECA1C64" w14:textId="77777777" w:rsidR="00237252" w:rsidRDefault="00E54B71" w:rsidP="00FA5DD4">
      <w:pPr>
        <w:pStyle w:val="Text1"/>
        <w:rPr>
          <w:noProof/>
        </w:rPr>
      </w:pPr>
      <w:r>
        <w:rPr>
          <w:noProof/>
        </w:rPr>
        <w:t>“</w:t>
      </w:r>
      <w:r w:rsidRPr="00E54B71">
        <w:rPr>
          <w:noProof/>
        </w:rPr>
        <w:t> Consulates or central authorities shall keep archives of applications in electronic format. </w:t>
      </w:r>
      <w:r>
        <w:rPr>
          <w:noProof/>
        </w:rPr>
        <w:t>”</w:t>
      </w:r>
      <w:r w:rsidR="00DE4E39">
        <w:rPr>
          <w:noProof/>
        </w:rPr>
        <w:t>;</w:t>
      </w:r>
    </w:p>
    <w:p w14:paraId="7AAFDA74" w14:textId="4F5FDC1E" w:rsidR="00237252" w:rsidRDefault="00EF15A7" w:rsidP="00EF15A7">
      <w:pPr>
        <w:pStyle w:val="Point0"/>
        <w:rPr>
          <w:noProof/>
        </w:rPr>
      </w:pPr>
      <w:r w:rsidRPr="00EF15A7">
        <w:t>(26)</w:t>
      </w:r>
      <w:r w:rsidRPr="00EF15A7">
        <w:tab/>
      </w:r>
      <w:r w:rsidR="00237252">
        <w:rPr>
          <w:noProof/>
        </w:rPr>
        <w:t>Article 38</w:t>
      </w:r>
      <w:r w:rsidR="00981928">
        <w:rPr>
          <w:noProof/>
        </w:rPr>
        <w:t xml:space="preserve"> is amended as follows:</w:t>
      </w:r>
    </w:p>
    <w:p w14:paraId="475C81D6" w14:textId="7724871A" w:rsidR="00981928" w:rsidRDefault="00EF15A7" w:rsidP="00EF15A7">
      <w:pPr>
        <w:pStyle w:val="Point0"/>
        <w:rPr>
          <w:noProof/>
        </w:rPr>
      </w:pPr>
      <w:r w:rsidRPr="00EF15A7">
        <w:t>(a)</w:t>
      </w:r>
      <w:r w:rsidRPr="00EF15A7">
        <w:tab/>
      </w:r>
      <w:r w:rsidR="00981928">
        <w:rPr>
          <w:noProof/>
        </w:rPr>
        <w:t>paragraph 1a</w:t>
      </w:r>
      <w:r w:rsidR="004E3EA9" w:rsidRPr="004E3EA9">
        <w:rPr>
          <w:noProof/>
        </w:rPr>
        <w:t xml:space="preserve"> </w:t>
      </w:r>
      <w:r w:rsidR="004E3EA9">
        <w:rPr>
          <w:noProof/>
        </w:rPr>
        <w:t>is replaced by the following:</w:t>
      </w:r>
    </w:p>
    <w:p w14:paraId="42EDC596" w14:textId="77777777" w:rsidR="004E3EA9" w:rsidRDefault="004E3EA9" w:rsidP="00F557C7">
      <w:pPr>
        <w:pStyle w:val="Text1"/>
        <w:rPr>
          <w:noProof/>
        </w:rPr>
      </w:pPr>
      <w:r>
        <w:rPr>
          <w:noProof/>
        </w:rPr>
        <w:t>“</w:t>
      </w:r>
      <w:r w:rsidRPr="004E3EA9">
        <w:rPr>
          <w:noProof/>
        </w:rPr>
        <w:t>Member States shall ensure that the entire visa procedure in consulates, including the lodging and handling of applications and the practical cooperation with external service providers, is monitored by expatriate staff to ensure the integrity of all stages of the procedure.</w:t>
      </w:r>
      <w:r>
        <w:rPr>
          <w:noProof/>
        </w:rPr>
        <w:t>”;</w:t>
      </w:r>
    </w:p>
    <w:p w14:paraId="36C1D2FA" w14:textId="3DF83C0D" w:rsidR="00981928" w:rsidRDefault="00EF15A7" w:rsidP="00EF15A7">
      <w:pPr>
        <w:pStyle w:val="Point0"/>
        <w:rPr>
          <w:noProof/>
        </w:rPr>
      </w:pPr>
      <w:r w:rsidRPr="00EF15A7">
        <w:t>(b)</w:t>
      </w:r>
      <w:r w:rsidRPr="00EF15A7">
        <w:tab/>
      </w:r>
      <w:r w:rsidR="00981928">
        <w:rPr>
          <w:noProof/>
        </w:rPr>
        <w:t xml:space="preserve">the following paragraph </w:t>
      </w:r>
      <w:r w:rsidR="00214091">
        <w:rPr>
          <w:noProof/>
        </w:rPr>
        <w:t xml:space="preserve">3c </w:t>
      </w:r>
      <w:r w:rsidR="00981928">
        <w:rPr>
          <w:noProof/>
        </w:rPr>
        <w:t>is inserted:</w:t>
      </w:r>
    </w:p>
    <w:p w14:paraId="44C77F3C" w14:textId="77777777" w:rsidR="00981928" w:rsidRDefault="00981928" w:rsidP="00711B63">
      <w:pPr>
        <w:pStyle w:val="Text1"/>
        <w:rPr>
          <w:noProof/>
        </w:rPr>
      </w:pPr>
      <w:r w:rsidRPr="00513CAD">
        <w:rPr>
          <w:noProof/>
        </w:rPr>
        <w:t>“</w:t>
      </w:r>
      <w:r>
        <w:rPr>
          <w:noProof/>
        </w:rPr>
        <w:t xml:space="preserve">3c. </w:t>
      </w:r>
      <w:r w:rsidRPr="00981928">
        <w:rPr>
          <w:noProof/>
        </w:rPr>
        <w:t>Member Sta</w:t>
      </w:r>
      <w:r w:rsidR="00851BA0">
        <w:rPr>
          <w:noProof/>
        </w:rPr>
        <w:t>tes’</w:t>
      </w:r>
      <w:r w:rsidRPr="00981928">
        <w:rPr>
          <w:noProof/>
        </w:rPr>
        <w:t xml:space="preserve"> central authorities shall provide appropriate training</w:t>
      </w:r>
      <w:r w:rsidR="00162043">
        <w:rPr>
          <w:noProof/>
        </w:rPr>
        <w:t xml:space="preserve"> to their staff</w:t>
      </w:r>
      <w:r w:rsidRPr="00981928">
        <w:rPr>
          <w:noProof/>
        </w:rPr>
        <w:t xml:space="preserve"> regarding </w:t>
      </w:r>
      <w:r>
        <w:rPr>
          <w:noProof/>
        </w:rPr>
        <w:t xml:space="preserve">the </w:t>
      </w:r>
      <w:r w:rsidR="00BD0E74">
        <w:rPr>
          <w:noProof/>
          <w:color w:val="000000"/>
        </w:rPr>
        <w:t xml:space="preserve">EU </w:t>
      </w:r>
      <w:r w:rsidRPr="00981928">
        <w:rPr>
          <w:noProof/>
        </w:rPr>
        <w:t xml:space="preserve">application </w:t>
      </w:r>
      <w:r w:rsidR="00F479BB">
        <w:rPr>
          <w:noProof/>
        </w:rPr>
        <w:t>platform</w:t>
      </w:r>
      <w:r>
        <w:rPr>
          <w:noProof/>
        </w:rPr>
        <w:t>.</w:t>
      </w:r>
      <w:r w:rsidRPr="00513CAD">
        <w:rPr>
          <w:noProof/>
        </w:rPr>
        <w:t>”</w:t>
      </w:r>
      <w:r>
        <w:rPr>
          <w:noProof/>
        </w:rPr>
        <w:t>;</w:t>
      </w:r>
    </w:p>
    <w:p w14:paraId="34690667" w14:textId="6A32E7EC" w:rsidR="00BA511E" w:rsidRDefault="00EF15A7" w:rsidP="00EF15A7">
      <w:pPr>
        <w:pStyle w:val="Point0"/>
        <w:rPr>
          <w:noProof/>
        </w:rPr>
      </w:pPr>
      <w:r w:rsidRPr="00EF15A7">
        <w:t>(27)</w:t>
      </w:r>
      <w:r w:rsidRPr="00EF15A7">
        <w:tab/>
      </w:r>
      <w:r w:rsidR="00BA511E">
        <w:rPr>
          <w:noProof/>
        </w:rPr>
        <w:t>Article 42 is deleted.</w:t>
      </w:r>
    </w:p>
    <w:p w14:paraId="3C275C95" w14:textId="75982E3E" w:rsidR="00237252" w:rsidRDefault="00EF15A7" w:rsidP="00EF15A7">
      <w:pPr>
        <w:pStyle w:val="Point0"/>
        <w:rPr>
          <w:noProof/>
        </w:rPr>
      </w:pPr>
      <w:r w:rsidRPr="00EF15A7">
        <w:t>(28)</w:t>
      </w:r>
      <w:r w:rsidRPr="00EF15A7">
        <w:tab/>
      </w:r>
      <w:r w:rsidR="00237252">
        <w:rPr>
          <w:noProof/>
        </w:rPr>
        <w:t xml:space="preserve">Article </w:t>
      </w:r>
      <w:r w:rsidR="00237252" w:rsidRPr="00C00F83">
        <w:rPr>
          <w:noProof/>
        </w:rPr>
        <w:t>43 i</w:t>
      </w:r>
      <w:r w:rsidR="00237252">
        <w:rPr>
          <w:noProof/>
        </w:rPr>
        <w:t>s</w:t>
      </w:r>
      <w:r w:rsidR="00066129">
        <w:rPr>
          <w:noProof/>
        </w:rPr>
        <w:t xml:space="preserve"> amended as follows:</w:t>
      </w:r>
    </w:p>
    <w:p w14:paraId="4D179EB0" w14:textId="583EA04A" w:rsidR="00395D02" w:rsidRDefault="00EF15A7" w:rsidP="00EF15A7">
      <w:pPr>
        <w:pStyle w:val="Point0"/>
        <w:rPr>
          <w:noProof/>
        </w:rPr>
      </w:pPr>
      <w:r w:rsidRPr="00EF15A7">
        <w:t>(a)</w:t>
      </w:r>
      <w:r w:rsidRPr="00EF15A7">
        <w:tab/>
      </w:r>
      <w:r w:rsidR="00066129">
        <w:rPr>
          <w:noProof/>
        </w:rPr>
        <w:t xml:space="preserve">paragraph 4 </w:t>
      </w:r>
      <w:r w:rsidR="00395D02">
        <w:rPr>
          <w:noProof/>
        </w:rPr>
        <w:t>is replaced by the following:</w:t>
      </w:r>
    </w:p>
    <w:p w14:paraId="1E2FA89F" w14:textId="77777777" w:rsidR="00066129" w:rsidRDefault="00395D02" w:rsidP="00F557C7">
      <w:pPr>
        <w:pStyle w:val="Text1"/>
        <w:rPr>
          <w:noProof/>
        </w:rPr>
      </w:pPr>
      <w:r>
        <w:rPr>
          <w:noProof/>
        </w:rPr>
        <w:t>“</w:t>
      </w:r>
      <w:r w:rsidRPr="00395D02">
        <w:rPr>
          <w:noProof/>
        </w:rPr>
        <w:t>4.  The examination of applications, interviews</w:t>
      </w:r>
      <w:r>
        <w:rPr>
          <w:noProof/>
        </w:rPr>
        <w:t>,</w:t>
      </w:r>
      <w:r w:rsidRPr="00395D02">
        <w:rPr>
          <w:noProof/>
        </w:rPr>
        <w:t xml:space="preserve"> where appropriate</w:t>
      </w:r>
      <w:r>
        <w:rPr>
          <w:noProof/>
        </w:rPr>
        <w:t xml:space="preserve">, </w:t>
      </w:r>
      <w:r w:rsidRPr="00DE4E39">
        <w:rPr>
          <w:noProof/>
        </w:rPr>
        <w:t>and</w:t>
      </w:r>
      <w:r w:rsidRPr="00395D02">
        <w:rPr>
          <w:noProof/>
        </w:rPr>
        <w:t xml:space="preserve"> the decision on applications shall be carried out only by the consulate.</w:t>
      </w:r>
      <w:r>
        <w:rPr>
          <w:noProof/>
        </w:rPr>
        <w:t>”</w:t>
      </w:r>
      <w:r w:rsidR="00066129">
        <w:rPr>
          <w:noProof/>
        </w:rPr>
        <w:t>;</w:t>
      </w:r>
    </w:p>
    <w:p w14:paraId="256497B5" w14:textId="546F989D" w:rsidR="00066129" w:rsidRDefault="00EF15A7" w:rsidP="00EF15A7">
      <w:pPr>
        <w:pStyle w:val="Point0"/>
        <w:rPr>
          <w:noProof/>
        </w:rPr>
      </w:pPr>
      <w:r w:rsidRPr="00EF15A7">
        <w:t>(b)</w:t>
      </w:r>
      <w:r w:rsidRPr="00EF15A7">
        <w:tab/>
      </w:r>
      <w:r w:rsidR="00066129">
        <w:rPr>
          <w:noProof/>
        </w:rPr>
        <w:t xml:space="preserve">in </w:t>
      </w:r>
      <w:r w:rsidR="002316EC">
        <w:rPr>
          <w:noProof/>
        </w:rPr>
        <w:t xml:space="preserve">paragraph </w:t>
      </w:r>
      <w:r w:rsidR="00066129">
        <w:rPr>
          <w:noProof/>
        </w:rPr>
        <w:t>5, the following</w:t>
      </w:r>
      <w:r w:rsidR="00214091">
        <w:rPr>
          <w:noProof/>
        </w:rPr>
        <w:t xml:space="preserve"> second</w:t>
      </w:r>
      <w:r w:rsidR="00066129">
        <w:rPr>
          <w:noProof/>
        </w:rPr>
        <w:t xml:space="preserve"> subparagraph is added:</w:t>
      </w:r>
    </w:p>
    <w:p w14:paraId="1F1CBA38" w14:textId="77777777" w:rsidR="00FD3BE5" w:rsidRDefault="00737902" w:rsidP="00711B63">
      <w:pPr>
        <w:pStyle w:val="Text1"/>
        <w:rPr>
          <w:noProof/>
        </w:rPr>
      </w:pPr>
      <w:r w:rsidRPr="00513CAD">
        <w:rPr>
          <w:noProof/>
        </w:rPr>
        <w:t>“</w:t>
      </w:r>
      <w:r>
        <w:rPr>
          <w:noProof/>
        </w:rPr>
        <w:t>B</w:t>
      </w:r>
      <w:r w:rsidR="00FD3BE5">
        <w:rPr>
          <w:noProof/>
        </w:rPr>
        <w:t>y way of derogation</w:t>
      </w:r>
      <w:r w:rsidR="00066129">
        <w:rPr>
          <w:noProof/>
        </w:rPr>
        <w:t xml:space="preserve">, </w:t>
      </w:r>
      <w:r>
        <w:rPr>
          <w:noProof/>
        </w:rPr>
        <w:t xml:space="preserve">external service providers </w:t>
      </w:r>
      <w:r w:rsidR="00066129">
        <w:rPr>
          <w:noProof/>
        </w:rPr>
        <w:t xml:space="preserve">may have access to the </w:t>
      </w:r>
      <w:r w:rsidR="00BD0E74">
        <w:rPr>
          <w:noProof/>
          <w:color w:val="000000"/>
        </w:rPr>
        <w:t xml:space="preserve">EU </w:t>
      </w:r>
      <w:r w:rsidR="00066129">
        <w:rPr>
          <w:noProof/>
        </w:rPr>
        <w:t>applicat</w:t>
      </w:r>
      <w:r>
        <w:rPr>
          <w:noProof/>
        </w:rPr>
        <w:t xml:space="preserve">ion </w:t>
      </w:r>
      <w:r w:rsidR="00F479BB">
        <w:rPr>
          <w:noProof/>
        </w:rPr>
        <w:t>platform</w:t>
      </w:r>
      <w:r>
        <w:rPr>
          <w:noProof/>
        </w:rPr>
        <w:t xml:space="preserve"> via the </w:t>
      </w:r>
      <w:r w:rsidR="003E4A14">
        <w:rPr>
          <w:noProof/>
        </w:rPr>
        <w:t>external service provider</w:t>
      </w:r>
      <w:r>
        <w:rPr>
          <w:noProof/>
        </w:rPr>
        <w:t xml:space="preserve"> gateway referred to in</w:t>
      </w:r>
      <w:r w:rsidR="00066129">
        <w:rPr>
          <w:noProof/>
        </w:rPr>
        <w:t xml:space="preserve"> Article 7e </w:t>
      </w:r>
      <w:r w:rsidRPr="00737902">
        <w:rPr>
          <w:noProof/>
        </w:rPr>
        <w:t>of Regulation (EC) No 767/2008</w:t>
      </w:r>
      <w:r>
        <w:rPr>
          <w:noProof/>
        </w:rPr>
        <w:t xml:space="preserve"> </w:t>
      </w:r>
      <w:r w:rsidR="00FD3BE5">
        <w:rPr>
          <w:noProof/>
        </w:rPr>
        <w:t>to:</w:t>
      </w:r>
    </w:p>
    <w:p w14:paraId="2C20CA6A" w14:textId="1A4B43AA" w:rsidR="00FD3BE5" w:rsidRDefault="00EF15A7" w:rsidP="00EF15A7">
      <w:pPr>
        <w:pStyle w:val="Point1"/>
        <w:rPr>
          <w:noProof/>
        </w:rPr>
      </w:pPr>
      <w:r w:rsidRPr="00EF15A7">
        <w:t>(a)</w:t>
      </w:r>
      <w:r w:rsidRPr="00EF15A7">
        <w:tab/>
      </w:r>
      <w:r w:rsidR="00FD3BE5">
        <w:rPr>
          <w:noProof/>
        </w:rPr>
        <w:t xml:space="preserve">verify the data </w:t>
      </w:r>
      <w:r w:rsidR="003777A5">
        <w:rPr>
          <w:noProof/>
        </w:rPr>
        <w:t>uploaded by the applicant</w:t>
      </w:r>
      <w:r w:rsidR="00FD3BE5">
        <w:rPr>
          <w:noProof/>
        </w:rPr>
        <w:t>;</w:t>
      </w:r>
    </w:p>
    <w:p w14:paraId="010216B5" w14:textId="71E932B5" w:rsidR="00FD3BE5" w:rsidRDefault="00EF15A7" w:rsidP="00EF15A7">
      <w:pPr>
        <w:pStyle w:val="Point1"/>
        <w:rPr>
          <w:noProof/>
        </w:rPr>
      </w:pPr>
      <w:r w:rsidRPr="00EF15A7">
        <w:t>(b)</w:t>
      </w:r>
      <w:r w:rsidRPr="00EF15A7">
        <w:tab/>
      </w:r>
      <w:r w:rsidR="00FD3BE5">
        <w:rPr>
          <w:noProof/>
        </w:rPr>
        <w:t>upload biometric identifiers;</w:t>
      </w:r>
    </w:p>
    <w:p w14:paraId="482DDB32" w14:textId="31B117C2" w:rsidR="00FD3BE5" w:rsidRDefault="00EF15A7" w:rsidP="00EF15A7">
      <w:pPr>
        <w:pStyle w:val="Point1"/>
        <w:rPr>
          <w:noProof/>
        </w:rPr>
      </w:pPr>
      <w:r w:rsidRPr="00EF15A7">
        <w:t>(c)</w:t>
      </w:r>
      <w:r w:rsidRPr="00EF15A7">
        <w:tab/>
      </w:r>
      <w:r w:rsidR="00FD3BE5">
        <w:rPr>
          <w:noProof/>
        </w:rPr>
        <w:t>upload the supporting documents;</w:t>
      </w:r>
    </w:p>
    <w:p w14:paraId="223EE4E9" w14:textId="43FBE5F1" w:rsidR="00FD3BE5" w:rsidRDefault="00EF15A7" w:rsidP="00EF15A7">
      <w:pPr>
        <w:pStyle w:val="Point1"/>
        <w:rPr>
          <w:noProof/>
        </w:rPr>
      </w:pPr>
      <w:r w:rsidRPr="00EF15A7">
        <w:t>(d)</w:t>
      </w:r>
      <w:r w:rsidRPr="00EF15A7">
        <w:tab/>
      </w:r>
      <w:r w:rsidR="00FD3BE5">
        <w:rPr>
          <w:noProof/>
        </w:rPr>
        <w:t>use the appointment tool to indicate available slots</w:t>
      </w:r>
      <w:r w:rsidR="00882144">
        <w:rPr>
          <w:noProof/>
        </w:rPr>
        <w:t>.</w:t>
      </w:r>
      <w:r w:rsidR="00882144" w:rsidRPr="00513CAD">
        <w:rPr>
          <w:noProof/>
        </w:rPr>
        <w:t>”</w:t>
      </w:r>
      <w:r w:rsidR="00882144">
        <w:rPr>
          <w:noProof/>
        </w:rPr>
        <w:t>;</w:t>
      </w:r>
    </w:p>
    <w:p w14:paraId="61E0721E" w14:textId="7265BC76" w:rsidR="00882144" w:rsidRDefault="00EF15A7" w:rsidP="00EF15A7">
      <w:pPr>
        <w:pStyle w:val="Point0"/>
        <w:rPr>
          <w:noProof/>
        </w:rPr>
      </w:pPr>
      <w:r w:rsidRPr="00EF15A7">
        <w:t>(c)</w:t>
      </w:r>
      <w:r w:rsidRPr="00EF15A7">
        <w:tab/>
      </w:r>
      <w:r w:rsidR="001651A0">
        <w:rPr>
          <w:noProof/>
        </w:rPr>
        <w:t xml:space="preserve">paragraph </w:t>
      </w:r>
      <w:r w:rsidR="00882144">
        <w:rPr>
          <w:noProof/>
        </w:rPr>
        <w:t>6 is amended as follows:</w:t>
      </w:r>
    </w:p>
    <w:p w14:paraId="7A86E0EE" w14:textId="1EFD31A1" w:rsidR="007D3393" w:rsidRDefault="00EF15A7" w:rsidP="00EF15A7">
      <w:pPr>
        <w:pStyle w:val="Point2"/>
        <w:rPr>
          <w:noProof/>
        </w:rPr>
      </w:pPr>
      <w:r w:rsidRPr="00EF15A7">
        <w:t>(1)</w:t>
      </w:r>
      <w:r w:rsidRPr="00EF15A7">
        <w:tab/>
      </w:r>
      <w:r w:rsidR="00851BA0">
        <w:rPr>
          <w:noProof/>
        </w:rPr>
        <w:t>p</w:t>
      </w:r>
      <w:r w:rsidR="00882144" w:rsidRPr="00882144">
        <w:rPr>
          <w:noProof/>
        </w:rPr>
        <w:t>oi</w:t>
      </w:r>
      <w:r w:rsidR="00851BA0">
        <w:rPr>
          <w:noProof/>
        </w:rPr>
        <w:t xml:space="preserve">nt </w:t>
      </w:r>
      <w:r w:rsidR="00882144" w:rsidRPr="00882144">
        <w:rPr>
          <w:noProof/>
        </w:rPr>
        <w:t>(c)</w:t>
      </w:r>
      <w:r w:rsidR="007D3393">
        <w:rPr>
          <w:noProof/>
        </w:rPr>
        <w:t xml:space="preserve"> is replaced by the follow</w:t>
      </w:r>
      <w:r w:rsidR="00851BA0">
        <w:rPr>
          <w:noProof/>
        </w:rPr>
        <w:t>ing</w:t>
      </w:r>
      <w:r w:rsidR="00882144" w:rsidRPr="00882144">
        <w:rPr>
          <w:noProof/>
        </w:rPr>
        <w:t>:</w:t>
      </w:r>
    </w:p>
    <w:p w14:paraId="23700A37" w14:textId="77777777" w:rsidR="00882144" w:rsidRDefault="007D3393" w:rsidP="00C96065">
      <w:pPr>
        <w:pStyle w:val="Text3"/>
        <w:rPr>
          <w:noProof/>
        </w:rPr>
      </w:pPr>
      <w:r w:rsidRPr="00513CAD">
        <w:rPr>
          <w:noProof/>
        </w:rPr>
        <w:t>“</w:t>
      </w:r>
      <w:r>
        <w:rPr>
          <w:noProof/>
        </w:rPr>
        <w:t xml:space="preserve">(c) collecting data </w:t>
      </w:r>
      <w:r w:rsidR="003777A5">
        <w:rPr>
          <w:noProof/>
        </w:rPr>
        <w:t>(</w:t>
      </w:r>
      <w:r w:rsidRPr="007D3393">
        <w:rPr>
          <w:noProof/>
        </w:rPr>
        <w:t>including collection of biometric id</w:t>
      </w:r>
      <w:r>
        <w:rPr>
          <w:noProof/>
        </w:rPr>
        <w:t xml:space="preserve">entifiers </w:t>
      </w:r>
      <w:r w:rsidRPr="00882144">
        <w:rPr>
          <w:noProof/>
        </w:rPr>
        <w:t>and, in exceptional cases, supporting documents</w:t>
      </w:r>
      <w:r w:rsidR="003777A5">
        <w:rPr>
          <w:noProof/>
        </w:rPr>
        <w:t xml:space="preserve"> and</w:t>
      </w:r>
      <w:r>
        <w:rPr>
          <w:noProof/>
        </w:rPr>
        <w:t xml:space="preserve"> </w:t>
      </w:r>
      <w:r w:rsidRPr="003E4A14">
        <w:rPr>
          <w:noProof/>
        </w:rPr>
        <w:t>documents needed for identity check</w:t>
      </w:r>
      <w:r>
        <w:rPr>
          <w:noProof/>
        </w:rPr>
        <w:t>s</w:t>
      </w:r>
      <w:r w:rsidR="003777A5">
        <w:rPr>
          <w:noProof/>
        </w:rPr>
        <w:t>)</w:t>
      </w:r>
      <w:r>
        <w:rPr>
          <w:noProof/>
        </w:rPr>
        <w:t xml:space="preserve">, </w:t>
      </w:r>
      <w:r w:rsidR="0009086F">
        <w:rPr>
          <w:noProof/>
        </w:rPr>
        <w:t xml:space="preserve">transmitting them to the consulate or the central authorities where applicable, </w:t>
      </w:r>
      <w:r w:rsidRPr="007D3393">
        <w:rPr>
          <w:noProof/>
        </w:rPr>
        <w:t xml:space="preserve">and </w:t>
      </w:r>
      <w:r>
        <w:rPr>
          <w:noProof/>
        </w:rPr>
        <w:t xml:space="preserve">uploading them to the </w:t>
      </w:r>
      <w:r w:rsidR="0009086F">
        <w:rPr>
          <w:noProof/>
        </w:rPr>
        <w:t xml:space="preserve">EU </w:t>
      </w:r>
      <w:r>
        <w:rPr>
          <w:noProof/>
        </w:rPr>
        <w:t xml:space="preserve">application </w:t>
      </w:r>
      <w:r w:rsidR="00F479BB">
        <w:rPr>
          <w:noProof/>
        </w:rPr>
        <w:t>platform</w:t>
      </w:r>
      <w:r w:rsidR="006B7026">
        <w:rPr>
          <w:noProof/>
        </w:rPr>
        <w:t>;</w:t>
      </w:r>
      <w:r w:rsidRPr="00513CAD">
        <w:rPr>
          <w:noProof/>
        </w:rPr>
        <w:t>”</w:t>
      </w:r>
      <w:r>
        <w:rPr>
          <w:noProof/>
        </w:rPr>
        <w:t>;</w:t>
      </w:r>
    </w:p>
    <w:p w14:paraId="1C44AE48" w14:textId="4A259620" w:rsidR="007D3393" w:rsidRDefault="00EF15A7" w:rsidP="00EF15A7">
      <w:pPr>
        <w:pStyle w:val="Point2"/>
        <w:rPr>
          <w:noProof/>
        </w:rPr>
      </w:pPr>
      <w:r w:rsidRPr="00EF15A7">
        <w:t>(2)</w:t>
      </w:r>
      <w:r w:rsidRPr="00EF15A7">
        <w:tab/>
      </w:r>
      <w:r w:rsidR="007D3393">
        <w:rPr>
          <w:noProof/>
        </w:rPr>
        <w:t>the following point</w:t>
      </w:r>
      <w:r w:rsidR="00FE3BC0">
        <w:rPr>
          <w:noProof/>
        </w:rPr>
        <w:t xml:space="preserve"> (ca)</w:t>
      </w:r>
      <w:r w:rsidR="007D3393">
        <w:rPr>
          <w:noProof/>
        </w:rPr>
        <w:t xml:space="preserve"> is inserted:</w:t>
      </w:r>
    </w:p>
    <w:p w14:paraId="11DED2E1" w14:textId="77777777" w:rsidR="00882144" w:rsidRDefault="007D3393" w:rsidP="00C96065">
      <w:pPr>
        <w:pStyle w:val="Text3"/>
        <w:rPr>
          <w:noProof/>
        </w:rPr>
      </w:pPr>
      <w:r w:rsidRPr="00513CAD">
        <w:rPr>
          <w:noProof/>
        </w:rPr>
        <w:t>“</w:t>
      </w:r>
      <w:r>
        <w:rPr>
          <w:noProof/>
        </w:rPr>
        <w:t xml:space="preserve">(ca) </w:t>
      </w:r>
      <w:r w:rsidR="00882144" w:rsidRPr="003E4A14">
        <w:rPr>
          <w:noProof/>
        </w:rPr>
        <w:t>verify the travel document against the copy uploaded by the applicant</w:t>
      </w:r>
      <w:r w:rsidR="00C96065">
        <w:rPr>
          <w:noProof/>
        </w:rPr>
        <w:t>;</w:t>
      </w:r>
      <w:r w:rsidRPr="00513CAD">
        <w:rPr>
          <w:noProof/>
        </w:rPr>
        <w:t>”</w:t>
      </w:r>
      <w:r>
        <w:rPr>
          <w:noProof/>
        </w:rPr>
        <w:t>;</w:t>
      </w:r>
    </w:p>
    <w:p w14:paraId="2C4CC999" w14:textId="0332AD0E" w:rsidR="003E4A14" w:rsidRDefault="00EF15A7" w:rsidP="00EF15A7">
      <w:pPr>
        <w:pStyle w:val="Point0"/>
        <w:rPr>
          <w:noProof/>
        </w:rPr>
      </w:pPr>
      <w:r w:rsidRPr="00EF15A7">
        <w:t>(29)</w:t>
      </w:r>
      <w:r w:rsidRPr="00EF15A7">
        <w:tab/>
      </w:r>
      <w:r w:rsidR="003E4A14">
        <w:rPr>
          <w:noProof/>
        </w:rPr>
        <w:t xml:space="preserve">in </w:t>
      </w:r>
      <w:r w:rsidR="00237252">
        <w:rPr>
          <w:noProof/>
        </w:rPr>
        <w:t>Article 44</w:t>
      </w:r>
      <w:r w:rsidR="00585724">
        <w:rPr>
          <w:noProof/>
        </w:rPr>
        <w:t>,</w:t>
      </w:r>
      <w:r w:rsidR="00981928">
        <w:rPr>
          <w:noProof/>
        </w:rPr>
        <w:t xml:space="preserve"> </w:t>
      </w:r>
      <w:r w:rsidR="00585724">
        <w:rPr>
          <w:noProof/>
        </w:rPr>
        <w:t xml:space="preserve">the following </w:t>
      </w:r>
      <w:r w:rsidR="003E4A14">
        <w:rPr>
          <w:noProof/>
        </w:rPr>
        <w:t>paragraph</w:t>
      </w:r>
      <w:r w:rsidR="00FE3BC0">
        <w:rPr>
          <w:noProof/>
        </w:rPr>
        <w:t xml:space="preserve"> 1a</w:t>
      </w:r>
      <w:r w:rsidR="003E4A14">
        <w:rPr>
          <w:noProof/>
        </w:rPr>
        <w:t xml:space="preserve"> </w:t>
      </w:r>
      <w:r w:rsidR="00981928">
        <w:rPr>
          <w:noProof/>
        </w:rPr>
        <w:t xml:space="preserve">is </w:t>
      </w:r>
      <w:r w:rsidR="003E4A14">
        <w:rPr>
          <w:noProof/>
        </w:rPr>
        <w:t>inserted </w:t>
      </w:r>
      <w:r w:rsidR="003E4A14" w:rsidRPr="00C90887">
        <w:rPr>
          <w:rStyle w:val="CommentReference"/>
          <w:rFonts w:eastAsia="Times New Roman"/>
          <w:noProof/>
          <w:lang w:eastAsia="en-GB"/>
        </w:rPr>
        <w:t>:</w:t>
      </w:r>
    </w:p>
    <w:p w14:paraId="18DEAD7A" w14:textId="77777777" w:rsidR="00237252" w:rsidRDefault="003E4A14" w:rsidP="003E4A14">
      <w:pPr>
        <w:ind w:left="720"/>
        <w:rPr>
          <w:noProof/>
        </w:rPr>
      </w:pPr>
      <w:r w:rsidRPr="00513CAD">
        <w:rPr>
          <w:noProof/>
        </w:rPr>
        <w:t>“</w:t>
      </w:r>
      <w:r>
        <w:rPr>
          <w:noProof/>
        </w:rPr>
        <w:t xml:space="preserve">1a. </w:t>
      </w:r>
      <w:r w:rsidR="00585724">
        <w:rPr>
          <w:noProof/>
        </w:rPr>
        <w:t>Paragraph 1 shall not apply</w:t>
      </w:r>
      <w:r w:rsidR="00DF0B25">
        <w:rPr>
          <w:noProof/>
        </w:rPr>
        <w:t xml:space="preserve"> </w:t>
      </w:r>
      <w:r w:rsidR="0062202A">
        <w:rPr>
          <w:noProof/>
        </w:rPr>
        <w:t xml:space="preserve">to the access that </w:t>
      </w:r>
      <w:r w:rsidR="00DF0B25" w:rsidRPr="00DF0B25">
        <w:rPr>
          <w:noProof/>
        </w:rPr>
        <w:t xml:space="preserve">external service providers may have to the </w:t>
      </w:r>
      <w:r w:rsidR="00BD0E74">
        <w:rPr>
          <w:noProof/>
          <w:color w:val="000000"/>
        </w:rPr>
        <w:t xml:space="preserve">EU </w:t>
      </w:r>
      <w:r w:rsidR="00DF0B25" w:rsidRPr="00DF0B25">
        <w:rPr>
          <w:noProof/>
        </w:rPr>
        <w:t>application platform via the external service provider gateway referred to in Article 7e of Regulation (EC) No 767/2008</w:t>
      </w:r>
      <w:r w:rsidR="00DF0B25">
        <w:rPr>
          <w:noProof/>
        </w:rPr>
        <w:t>.</w:t>
      </w:r>
      <w:r w:rsidR="00DF0B25" w:rsidRPr="003E4A14">
        <w:rPr>
          <w:noProof/>
        </w:rPr>
        <w:t>”</w:t>
      </w:r>
      <w:r w:rsidR="00DF0B25">
        <w:rPr>
          <w:noProof/>
        </w:rPr>
        <w:t>;</w:t>
      </w:r>
    </w:p>
    <w:p w14:paraId="31B1F252" w14:textId="251A7622" w:rsidR="00237252" w:rsidRPr="0048258A" w:rsidRDefault="00EF15A7" w:rsidP="00EF15A7">
      <w:pPr>
        <w:pStyle w:val="Point0"/>
        <w:rPr>
          <w:noProof/>
        </w:rPr>
      </w:pPr>
      <w:r w:rsidRPr="00EF15A7">
        <w:t>(30)</w:t>
      </w:r>
      <w:r w:rsidRPr="00EF15A7">
        <w:tab/>
      </w:r>
      <w:r w:rsidR="003D72FB">
        <w:rPr>
          <w:noProof/>
        </w:rPr>
        <w:t xml:space="preserve">in </w:t>
      </w:r>
      <w:r w:rsidR="00237252" w:rsidRPr="0048258A">
        <w:rPr>
          <w:noProof/>
        </w:rPr>
        <w:t>Article 47</w:t>
      </w:r>
      <w:r w:rsidR="00FE3BC0">
        <w:rPr>
          <w:noProof/>
        </w:rPr>
        <w:t>,</w:t>
      </w:r>
      <w:r w:rsidR="002B6942">
        <w:rPr>
          <w:noProof/>
        </w:rPr>
        <w:t xml:space="preserve"> </w:t>
      </w:r>
      <w:r w:rsidR="003D72FB">
        <w:rPr>
          <w:noProof/>
        </w:rPr>
        <w:t>the following paragraph</w:t>
      </w:r>
      <w:r w:rsidR="00ED3267">
        <w:rPr>
          <w:noProof/>
        </w:rPr>
        <w:t xml:space="preserve"> 3</w:t>
      </w:r>
      <w:r w:rsidR="003D72FB">
        <w:rPr>
          <w:noProof/>
        </w:rPr>
        <w:t xml:space="preserve"> is added</w:t>
      </w:r>
      <w:r w:rsidR="002B6942">
        <w:rPr>
          <w:noProof/>
        </w:rPr>
        <w:t>:</w:t>
      </w:r>
    </w:p>
    <w:p w14:paraId="12A9F4D4" w14:textId="77777777" w:rsidR="00D93283" w:rsidRDefault="003D72FB" w:rsidP="00851BA0">
      <w:pPr>
        <w:ind w:left="720"/>
        <w:rPr>
          <w:noProof/>
        </w:rPr>
      </w:pPr>
      <w:r w:rsidRPr="00513CAD">
        <w:rPr>
          <w:noProof/>
        </w:rPr>
        <w:t>“</w:t>
      </w:r>
      <w:r>
        <w:rPr>
          <w:noProof/>
        </w:rPr>
        <w:t xml:space="preserve">3. </w:t>
      </w:r>
      <w:r w:rsidR="0048258A">
        <w:rPr>
          <w:noProof/>
        </w:rPr>
        <w:t xml:space="preserve">The </w:t>
      </w:r>
      <w:r>
        <w:rPr>
          <w:noProof/>
        </w:rPr>
        <w:t xml:space="preserve">EU </w:t>
      </w:r>
      <w:r w:rsidR="0048258A" w:rsidRPr="0048258A">
        <w:rPr>
          <w:noProof/>
        </w:rPr>
        <w:t xml:space="preserve">application </w:t>
      </w:r>
      <w:r w:rsidR="00F479BB">
        <w:rPr>
          <w:noProof/>
        </w:rPr>
        <w:t>platform</w:t>
      </w:r>
      <w:r w:rsidR="0048258A" w:rsidRPr="0048258A">
        <w:rPr>
          <w:noProof/>
        </w:rPr>
        <w:t xml:space="preserve"> shall</w:t>
      </w:r>
      <w:r w:rsidR="0048258A">
        <w:rPr>
          <w:noProof/>
        </w:rPr>
        <w:t xml:space="preserve"> provide </w:t>
      </w:r>
      <w:r w:rsidR="0048258A" w:rsidRPr="0048258A">
        <w:rPr>
          <w:noProof/>
        </w:rPr>
        <w:t>the general public with all relevant information in relation to the applic</w:t>
      </w:r>
      <w:r w:rsidR="0048258A">
        <w:rPr>
          <w:noProof/>
        </w:rPr>
        <w:t>ation for a visa</w:t>
      </w:r>
      <w:r w:rsidR="00933DF5">
        <w:rPr>
          <w:noProof/>
        </w:rPr>
        <w:t xml:space="preserve"> via the EU application platform</w:t>
      </w:r>
      <w:r w:rsidR="0048258A">
        <w:rPr>
          <w:noProof/>
        </w:rPr>
        <w:t>, in particular</w:t>
      </w:r>
      <w:r w:rsidR="00933DF5">
        <w:rPr>
          <w:noProof/>
        </w:rPr>
        <w:t xml:space="preserve"> the information </w:t>
      </w:r>
      <w:r w:rsidR="0048258A">
        <w:rPr>
          <w:noProof/>
        </w:rPr>
        <w:t xml:space="preserve">referred to in Article 7a of </w:t>
      </w:r>
      <w:r w:rsidR="0048258A" w:rsidRPr="0048258A">
        <w:rPr>
          <w:noProof/>
        </w:rPr>
        <w:t>Regulation (EC) No 767/2008</w:t>
      </w:r>
      <w:r w:rsidR="0048258A">
        <w:rPr>
          <w:noProof/>
        </w:rPr>
        <w:t>.</w:t>
      </w:r>
      <w:r w:rsidR="00933DF5" w:rsidRPr="00EF0D7F">
        <w:rPr>
          <w:noProof/>
        </w:rPr>
        <w:t>”;</w:t>
      </w:r>
    </w:p>
    <w:p w14:paraId="1D2235F8" w14:textId="1AE382B7" w:rsidR="000C5D1D" w:rsidRDefault="00EF15A7" w:rsidP="00EF15A7">
      <w:pPr>
        <w:pStyle w:val="Point0"/>
        <w:rPr>
          <w:noProof/>
        </w:rPr>
      </w:pPr>
      <w:r w:rsidRPr="00EF15A7">
        <w:t>(31)</w:t>
      </w:r>
      <w:r w:rsidRPr="00EF15A7">
        <w:tab/>
      </w:r>
      <w:r w:rsidR="00585724">
        <w:rPr>
          <w:noProof/>
        </w:rPr>
        <w:t xml:space="preserve">in </w:t>
      </w:r>
      <w:r w:rsidR="000C5D1D">
        <w:rPr>
          <w:noProof/>
        </w:rPr>
        <w:t>Article 51a</w:t>
      </w:r>
      <w:r w:rsidR="00585724">
        <w:rPr>
          <w:noProof/>
        </w:rPr>
        <w:t>(2), (3) and (6)</w:t>
      </w:r>
      <w:r w:rsidR="000C5D1D">
        <w:rPr>
          <w:noProof/>
        </w:rPr>
        <w:t xml:space="preserve"> </w:t>
      </w:r>
      <w:r w:rsidR="00E1375E" w:rsidRPr="00E1375E">
        <w:rPr>
          <w:noProof/>
        </w:rPr>
        <w:t xml:space="preserve">the </w:t>
      </w:r>
      <w:r w:rsidR="00585724">
        <w:rPr>
          <w:noProof/>
        </w:rPr>
        <w:t>reference to</w:t>
      </w:r>
      <w:r w:rsidR="00585724" w:rsidRPr="00E1375E">
        <w:rPr>
          <w:noProof/>
        </w:rPr>
        <w:t xml:space="preserve"> </w:t>
      </w:r>
      <w:r w:rsidR="00585724">
        <w:rPr>
          <w:noProof/>
        </w:rPr>
        <w:t>“</w:t>
      </w:r>
      <w:r w:rsidR="00B01448">
        <w:rPr>
          <w:noProof/>
        </w:rPr>
        <w:t>Article 16(9)</w:t>
      </w:r>
      <w:r w:rsidR="00585724">
        <w:rPr>
          <w:noProof/>
        </w:rPr>
        <w:t>”</w:t>
      </w:r>
      <w:r w:rsidR="00E1375E" w:rsidRPr="00E1375E">
        <w:rPr>
          <w:noProof/>
        </w:rPr>
        <w:t xml:space="preserve"> </w:t>
      </w:r>
      <w:r w:rsidR="00585724">
        <w:rPr>
          <w:noProof/>
        </w:rPr>
        <w:t xml:space="preserve">is </w:t>
      </w:r>
      <w:r w:rsidR="00B01448">
        <w:rPr>
          <w:noProof/>
        </w:rPr>
        <w:t>replaced by</w:t>
      </w:r>
      <w:r w:rsidR="00E1375E" w:rsidRPr="00E1375E">
        <w:rPr>
          <w:noProof/>
        </w:rPr>
        <w:t xml:space="preserve"> </w:t>
      </w:r>
      <w:r w:rsidR="00585724">
        <w:rPr>
          <w:noProof/>
        </w:rPr>
        <w:t>reference to “</w:t>
      </w:r>
      <w:r w:rsidR="00B01448">
        <w:rPr>
          <w:noProof/>
        </w:rPr>
        <w:t>Article 11(1)</w:t>
      </w:r>
      <w:r w:rsidR="00CF5762">
        <w:rPr>
          <w:noProof/>
        </w:rPr>
        <w:t xml:space="preserve">, </w:t>
      </w:r>
      <w:r w:rsidR="00B01448">
        <w:rPr>
          <w:noProof/>
        </w:rPr>
        <w:t>Article 16(9)</w:t>
      </w:r>
      <w:r w:rsidR="00CF5762">
        <w:rPr>
          <w:noProof/>
        </w:rPr>
        <w:t xml:space="preserve"> and Article 32(2)</w:t>
      </w:r>
      <w:r w:rsidR="00585724">
        <w:rPr>
          <w:noProof/>
        </w:rPr>
        <w:t>”</w:t>
      </w:r>
      <w:r w:rsidR="00E1375E" w:rsidRPr="00E1375E">
        <w:rPr>
          <w:noProof/>
        </w:rPr>
        <w:t>;</w:t>
      </w:r>
    </w:p>
    <w:p w14:paraId="447D3379" w14:textId="7FAC952B" w:rsidR="006B2F22" w:rsidRDefault="00EF15A7" w:rsidP="00EF15A7">
      <w:pPr>
        <w:pStyle w:val="Point0"/>
        <w:rPr>
          <w:noProof/>
        </w:rPr>
      </w:pPr>
      <w:r w:rsidRPr="00EF15A7">
        <w:t>(32)</w:t>
      </w:r>
      <w:r w:rsidRPr="00EF15A7">
        <w:tab/>
      </w:r>
      <w:r w:rsidR="004173CD">
        <w:rPr>
          <w:noProof/>
        </w:rPr>
        <w:t xml:space="preserve">in </w:t>
      </w:r>
      <w:r w:rsidR="006B2F22">
        <w:rPr>
          <w:noProof/>
        </w:rPr>
        <w:t>Article 53</w:t>
      </w:r>
      <w:r w:rsidR="004173CD">
        <w:rPr>
          <w:noProof/>
        </w:rPr>
        <w:t>(1),</w:t>
      </w:r>
      <w:r w:rsidR="006B2F22">
        <w:rPr>
          <w:noProof/>
        </w:rPr>
        <w:t xml:space="preserve"> point (f) is</w:t>
      </w:r>
      <w:r w:rsidR="00F71897">
        <w:rPr>
          <w:noProof/>
        </w:rPr>
        <w:t xml:space="preserve"> replaced by the following:</w:t>
      </w:r>
    </w:p>
    <w:p w14:paraId="122C94A2" w14:textId="77777777" w:rsidR="00FF0FD2" w:rsidRDefault="00F71897" w:rsidP="00F557C7">
      <w:pPr>
        <w:pStyle w:val="Text1"/>
        <w:rPr>
          <w:noProof/>
        </w:rPr>
      </w:pPr>
      <w:r w:rsidRPr="00513CAD">
        <w:rPr>
          <w:noProof/>
        </w:rPr>
        <w:t>“</w:t>
      </w:r>
      <w:r>
        <w:rPr>
          <w:noProof/>
        </w:rPr>
        <w:t>(f) for Member</w:t>
      </w:r>
      <w:r w:rsidRPr="00F71897">
        <w:rPr>
          <w:noProof/>
        </w:rPr>
        <w:t xml:space="preserve"> </w:t>
      </w:r>
      <w:r>
        <w:rPr>
          <w:noProof/>
        </w:rPr>
        <w:t xml:space="preserve">States </w:t>
      </w:r>
      <w:r w:rsidR="00D40316">
        <w:rPr>
          <w:noProof/>
        </w:rPr>
        <w:t xml:space="preserve">which do </w:t>
      </w:r>
      <w:r>
        <w:rPr>
          <w:noProof/>
        </w:rPr>
        <w:t>not issu</w:t>
      </w:r>
      <w:r w:rsidR="00D40316">
        <w:rPr>
          <w:noProof/>
        </w:rPr>
        <w:t>e</w:t>
      </w:r>
      <w:r>
        <w:rPr>
          <w:noProof/>
        </w:rPr>
        <w:t xml:space="preserve"> visas</w:t>
      </w:r>
      <w:r w:rsidRPr="00F71897">
        <w:rPr>
          <w:noProof/>
        </w:rPr>
        <w:t xml:space="preserve"> in digital format</w:t>
      </w:r>
      <w:r>
        <w:rPr>
          <w:noProof/>
        </w:rPr>
        <w:t xml:space="preserve">, </w:t>
      </w:r>
      <w:r w:rsidRPr="00F71897">
        <w:rPr>
          <w:noProof/>
        </w:rPr>
        <w:t>the additional national entries in the ‘comments’ section of the visa sticker, as referred to in Article 27(2)</w:t>
      </w:r>
      <w:r>
        <w:rPr>
          <w:noProof/>
        </w:rPr>
        <w:t>;</w:t>
      </w:r>
      <w:r w:rsidRPr="00EF0D7F">
        <w:rPr>
          <w:noProof/>
        </w:rPr>
        <w:t>”;</w:t>
      </w:r>
    </w:p>
    <w:p w14:paraId="534EBF00" w14:textId="56EDE665" w:rsidR="00532D88" w:rsidRPr="00AE1107" w:rsidRDefault="00EF15A7" w:rsidP="00EF15A7">
      <w:pPr>
        <w:pStyle w:val="Point0"/>
        <w:rPr>
          <w:noProof/>
        </w:rPr>
      </w:pPr>
      <w:r w:rsidRPr="00EF15A7">
        <w:t>(33)</w:t>
      </w:r>
      <w:r w:rsidRPr="00EF15A7">
        <w:tab/>
      </w:r>
      <w:r w:rsidR="00632611" w:rsidRPr="00AE1107">
        <w:rPr>
          <w:noProof/>
        </w:rPr>
        <w:t>Annex III</w:t>
      </w:r>
      <w:r w:rsidR="00E27F6C" w:rsidRPr="00AE1107">
        <w:rPr>
          <w:noProof/>
        </w:rPr>
        <w:t xml:space="preserve"> is deleted.</w:t>
      </w:r>
    </w:p>
    <w:p w14:paraId="0F024D07" w14:textId="77777777" w:rsidR="00012221" w:rsidRDefault="00012221" w:rsidP="00012221">
      <w:pPr>
        <w:pStyle w:val="Titrearticle"/>
        <w:rPr>
          <w:noProof/>
        </w:rPr>
      </w:pPr>
      <w:r>
        <w:rPr>
          <w:noProof/>
        </w:rPr>
        <w:t>Article 2</w:t>
      </w:r>
      <w:r w:rsidR="007F29CC">
        <w:rPr>
          <w:noProof/>
        </w:rPr>
        <w:br/>
        <w:t xml:space="preserve">Amendments to </w:t>
      </w:r>
      <w:r w:rsidR="007F29CC" w:rsidRPr="007F29CC">
        <w:rPr>
          <w:noProof/>
        </w:rPr>
        <w:t>Regulation (EC) No 767/2008</w:t>
      </w:r>
    </w:p>
    <w:p w14:paraId="6651B9D7" w14:textId="77777777" w:rsidR="00012221" w:rsidRDefault="00012221" w:rsidP="00012221">
      <w:pPr>
        <w:rPr>
          <w:noProof/>
          <w:sz w:val="23"/>
          <w:szCs w:val="23"/>
        </w:rPr>
      </w:pPr>
      <w:r w:rsidRPr="00012221">
        <w:rPr>
          <w:noProof/>
          <w:sz w:val="23"/>
          <w:szCs w:val="23"/>
        </w:rPr>
        <w:t>Regulation (EC) No 767/2008</w:t>
      </w:r>
      <w:r>
        <w:rPr>
          <w:noProof/>
          <w:sz w:val="23"/>
          <w:szCs w:val="23"/>
        </w:rPr>
        <w:t xml:space="preserve"> is amended as follows:</w:t>
      </w:r>
    </w:p>
    <w:p w14:paraId="68536510" w14:textId="7FFAE346" w:rsidR="00BB5EB0" w:rsidRDefault="00EF15A7" w:rsidP="00EF15A7">
      <w:pPr>
        <w:pStyle w:val="Point0"/>
        <w:rPr>
          <w:noProof/>
        </w:rPr>
      </w:pPr>
      <w:r w:rsidRPr="00EF15A7">
        <w:t>(1)</w:t>
      </w:r>
      <w:r w:rsidRPr="00EF15A7">
        <w:tab/>
      </w:r>
      <w:r w:rsidR="00012221" w:rsidRPr="00A13163">
        <w:rPr>
          <w:noProof/>
        </w:rPr>
        <w:t>Article 2a</w:t>
      </w:r>
      <w:r w:rsidR="00012221">
        <w:rPr>
          <w:noProof/>
        </w:rPr>
        <w:t xml:space="preserve"> is amended as follows:</w:t>
      </w:r>
    </w:p>
    <w:p w14:paraId="62590F98" w14:textId="111F7C94" w:rsidR="001E4C36" w:rsidRDefault="00EF15A7" w:rsidP="00EF15A7">
      <w:pPr>
        <w:pStyle w:val="Point0"/>
        <w:rPr>
          <w:noProof/>
        </w:rPr>
      </w:pPr>
      <w:r w:rsidRPr="00EF15A7">
        <w:t>(a)</w:t>
      </w:r>
      <w:r w:rsidRPr="00EF15A7">
        <w:tab/>
      </w:r>
      <w:r w:rsidR="006F5C1D">
        <w:rPr>
          <w:noProof/>
        </w:rPr>
        <w:t>p</w:t>
      </w:r>
      <w:r w:rsidR="001D3927">
        <w:rPr>
          <w:noProof/>
        </w:rPr>
        <w:t>aragraph 1</w:t>
      </w:r>
      <w:r w:rsidR="00000E9A">
        <w:rPr>
          <w:noProof/>
        </w:rPr>
        <w:t xml:space="preserve"> is amended as follows:</w:t>
      </w:r>
    </w:p>
    <w:p w14:paraId="0DB832EE" w14:textId="459F7385" w:rsidR="002747DF" w:rsidRDefault="00EF15A7" w:rsidP="00EF15A7">
      <w:pPr>
        <w:pStyle w:val="Point2"/>
        <w:rPr>
          <w:noProof/>
        </w:rPr>
      </w:pPr>
      <w:r w:rsidRPr="00EF15A7">
        <w:t>(1)</w:t>
      </w:r>
      <w:r w:rsidRPr="00EF15A7">
        <w:tab/>
      </w:r>
      <w:r w:rsidR="002747DF">
        <w:rPr>
          <w:noProof/>
        </w:rPr>
        <w:t>the following point is i</w:t>
      </w:r>
      <w:r w:rsidR="00851BA0">
        <w:rPr>
          <w:noProof/>
        </w:rPr>
        <w:t>n</w:t>
      </w:r>
      <w:r w:rsidR="002747DF">
        <w:rPr>
          <w:noProof/>
        </w:rPr>
        <w:t>serted:</w:t>
      </w:r>
    </w:p>
    <w:p w14:paraId="6E869FD6" w14:textId="77777777" w:rsidR="006548DB" w:rsidRPr="003E4F2E" w:rsidRDefault="002747DF" w:rsidP="006548DB">
      <w:pPr>
        <w:pStyle w:val="Text3"/>
        <w:rPr>
          <w:noProof/>
          <w:lang w:val="fr-BE"/>
        </w:rPr>
      </w:pPr>
      <w:r>
        <w:rPr>
          <w:noProof/>
        </w:rPr>
        <w:t xml:space="preserve"> </w:t>
      </w:r>
      <w:r w:rsidRPr="003E4F2E">
        <w:rPr>
          <w:noProof/>
          <w:lang w:val="fr-BE"/>
        </w:rPr>
        <w:t xml:space="preserve">“(fa) </w:t>
      </w:r>
      <w:r w:rsidR="00E00FC1" w:rsidRPr="003E4F2E">
        <w:rPr>
          <w:noProof/>
          <w:lang w:val="fr-BE"/>
        </w:rPr>
        <w:t xml:space="preserve">EU </w:t>
      </w:r>
      <w:r w:rsidRPr="003E4F2E">
        <w:rPr>
          <w:noProof/>
          <w:lang w:val="fr-BE"/>
        </w:rPr>
        <w:t xml:space="preserve">application </w:t>
      </w:r>
      <w:r w:rsidR="00F479BB" w:rsidRPr="003E4F2E">
        <w:rPr>
          <w:noProof/>
          <w:lang w:val="fr-BE"/>
        </w:rPr>
        <w:t>platform</w:t>
      </w:r>
      <w:r w:rsidR="006548DB" w:rsidRPr="003E4F2E">
        <w:rPr>
          <w:noProof/>
          <w:lang w:val="fr-BE"/>
        </w:rPr>
        <w:t>;”;</w:t>
      </w:r>
    </w:p>
    <w:p w14:paraId="3DAECA9B" w14:textId="6ACC95E5" w:rsidR="00BB5EB0" w:rsidRDefault="00EF15A7" w:rsidP="00EF15A7">
      <w:pPr>
        <w:pStyle w:val="Point2"/>
        <w:rPr>
          <w:noProof/>
        </w:rPr>
      </w:pPr>
      <w:r w:rsidRPr="00EF15A7">
        <w:t>(2)</w:t>
      </w:r>
      <w:r w:rsidRPr="00EF15A7">
        <w:tab/>
      </w:r>
      <w:r w:rsidR="002747DF">
        <w:rPr>
          <w:noProof/>
        </w:rPr>
        <w:t>t</w:t>
      </w:r>
      <w:r w:rsidR="00BB5EB0">
        <w:rPr>
          <w:noProof/>
        </w:rPr>
        <w:t xml:space="preserve">he following </w:t>
      </w:r>
      <w:r w:rsidR="002747DF">
        <w:rPr>
          <w:noProof/>
        </w:rPr>
        <w:t>sub</w:t>
      </w:r>
      <w:r w:rsidR="00BB5EB0">
        <w:rPr>
          <w:noProof/>
        </w:rPr>
        <w:t xml:space="preserve">paragraph is </w:t>
      </w:r>
      <w:r w:rsidR="002747DF">
        <w:rPr>
          <w:noProof/>
        </w:rPr>
        <w:t>added:</w:t>
      </w:r>
    </w:p>
    <w:p w14:paraId="759F6B81" w14:textId="77777777" w:rsidR="002747DF" w:rsidRDefault="002747DF" w:rsidP="00000E9A">
      <w:pPr>
        <w:pStyle w:val="Text3"/>
        <w:rPr>
          <w:noProof/>
        </w:rPr>
      </w:pPr>
      <w:r w:rsidRPr="00513CAD">
        <w:rPr>
          <w:noProof/>
        </w:rPr>
        <w:t>“</w:t>
      </w:r>
      <w:r>
        <w:rPr>
          <w:noProof/>
        </w:rPr>
        <w:t>T</w:t>
      </w:r>
      <w:r w:rsidRPr="002747DF">
        <w:rPr>
          <w:noProof/>
        </w:rPr>
        <w:t xml:space="preserve">he </w:t>
      </w:r>
      <w:r w:rsidR="00BD0E74">
        <w:rPr>
          <w:noProof/>
          <w:color w:val="000000"/>
        </w:rPr>
        <w:t>EU</w:t>
      </w:r>
      <w:r w:rsidR="00BD0E74" w:rsidRPr="00EC0933">
        <w:rPr>
          <w:noProof/>
          <w:color w:val="000000"/>
        </w:rPr>
        <w:t xml:space="preserve"> </w:t>
      </w:r>
      <w:r w:rsidRPr="002747DF">
        <w:rPr>
          <w:noProof/>
        </w:rPr>
        <w:t xml:space="preserve">application </w:t>
      </w:r>
      <w:r w:rsidR="00F479BB">
        <w:rPr>
          <w:noProof/>
        </w:rPr>
        <w:t>platform</w:t>
      </w:r>
      <w:r w:rsidRPr="002747DF">
        <w:rPr>
          <w:noProof/>
        </w:rPr>
        <w:t xml:space="preserve"> shall share and re-use as much as technically possible the hardware and software components of </w:t>
      </w:r>
      <w:r>
        <w:rPr>
          <w:noProof/>
        </w:rPr>
        <w:t>th</w:t>
      </w:r>
      <w:r w:rsidRPr="002747DF">
        <w:rPr>
          <w:noProof/>
        </w:rPr>
        <w:t>e EES web service</w:t>
      </w:r>
      <w:r>
        <w:rPr>
          <w:noProof/>
        </w:rPr>
        <w:t xml:space="preserve"> and the ETIAS </w:t>
      </w:r>
      <w:r w:rsidRPr="002747DF">
        <w:rPr>
          <w:noProof/>
        </w:rPr>
        <w:t>website and the app for mobile devices</w:t>
      </w:r>
      <w:r>
        <w:rPr>
          <w:noProof/>
        </w:rPr>
        <w:t>.</w:t>
      </w:r>
      <w:r w:rsidRPr="00513CAD">
        <w:rPr>
          <w:noProof/>
        </w:rPr>
        <w:t>”</w:t>
      </w:r>
      <w:r>
        <w:rPr>
          <w:noProof/>
        </w:rPr>
        <w:t>;</w:t>
      </w:r>
    </w:p>
    <w:p w14:paraId="7FEC33D6" w14:textId="0657A11D" w:rsidR="00BB5EB0" w:rsidRDefault="00EF15A7" w:rsidP="00EF15A7">
      <w:pPr>
        <w:pStyle w:val="Point0"/>
        <w:rPr>
          <w:noProof/>
        </w:rPr>
      </w:pPr>
      <w:r w:rsidRPr="00EF15A7">
        <w:t>(b)</w:t>
      </w:r>
      <w:r w:rsidRPr="00EF15A7">
        <w:tab/>
      </w:r>
      <w:r w:rsidR="006F5C1D">
        <w:rPr>
          <w:noProof/>
        </w:rPr>
        <w:t>t</w:t>
      </w:r>
      <w:r w:rsidR="00492E5E">
        <w:rPr>
          <w:noProof/>
        </w:rPr>
        <w:t>he following paragraph</w:t>
      </w:r>
      <w:r w:rsidR="00B93427">
        <w:rPr>
          <w:noProof/>
        </w:rPr>
        <w:t xml:space="preserve"> 6</w:t>
      </w:r>
      <w:r w:rsidR="00492E5E">
        <w:rPr>
          <w:noProof/>
        </w:rPr>
        <w:t xml:space="preserve"> is added:</w:t>
      </w:r>
    </w:p>
    <w:p w14:paraId="238DA23D" w14:textId="77777777" w:rsidR="00492E5E" w:rsidRDefault="00492E5E" w:rsidP="00000E9A">
      <w:pPr>
        <w:pStyle w:val="Text2"/>
        <w:rPr>
          <w:noProof/>
        </w:rPr>
      </w:pPr>
      <w:r w:rsidRPr="00513CAD">
        <w:rPr>
          <w:noProof/>
        </w:rPr>
        <w:t>“</w:t>
      </w:r>
      <w:r w:rsidR="00105C98">
        <w:rPr>
          <w:noProof/>
        </w:rPr>
        <w:t>6.</w:t>
      </w:r>
      <w:r>
        <w:rPr>
          <w:noProof/>
        </w:rPr>
        <w:t xml:space="preserve"> </w:t>
      </w:r>
      <w:r w:rsidRPr="00492E5E">
        <w:rPr>
          <w:noProof/>
        </w:rPr>
        <w:t xml:space="preserve">The </w:t>
      </w:r>
      <w:r w:rsidR="00BD0E74">
        <w:rPr>
          <w:noProof/>
          <w:color w:val="000000"/>
        </w:rPr>
        <w:t>EU</w:t>
      </w:r>
      <w:r w:rsidR="00BD0E74" w:rsidRPr="00EC0933">
        <w:rPr>
          <w:noProof/>
          <w:color w:val="000000"/>
        </w:rPr>
        <w:t xml:space="preserve"> </w:t>
      </w:r>
      <w:r w:rsidRPr="00492E5E">
        <w:rPr>
          <w:noProof/>
        </w:rPr>
        <w:t xml:space="preserve">application </w:t>
      </w:r>
      <w:r w:rsidR="00F479BB">
        <w:rPr>
          <w:noProof/>
        </w:rPr>
        <w:t>platform</w:t>
      </w:r>
      <w:r w:rsidRPr="00492E5E">
        <w:rPr>
          <w:noProof/>
        </w:rPr>
        <w:t xml:space="preserve"> shall consist of the following components</w:t>
      </w:r>
      <w:r>
        <w:rPr>
          <w:noProof/>
        </w:rPr>
        <w:t>:</w:t>
      </w:r>
    </w:p>
    <w:p w14:paraId="0B95BDA1" w14:textId="5845BC5A" w:rsidR="009B79BF" w:rsidRDefault="00EF15A7" w:rsidP="00EF15A7">
      <w:pPr>
        <w:pStyle w:val="Point3"/>
        <w:rPr>
          <w:noProof/>
        </w:rPr>
      </w:pPr>
      <w:r w:rsidRPr="00EF15A7">
        <w:t>(a)</w:t>
      </w:r>
      <w:r w:rsidRPr="00EF15A7">
        <w:tab/>
      </w:r>
      <w:r w:rsidR="009B79BF">
        <w:rPr>
          <w:noProof/>
        </w:rPr>
        <w:t>a</w:t>
      </w:r>
      <w:r w:rsidR="009B79BF" w:rsidRPr="009B79BF">
        <w:rPr>
          <w:noProof/>
        </w:rPr>
        <w:t xml:space="preserve"> public website and </w:t>
      </w:r>
      <w:r w:rsidR="00F546DA">
        <w:rPr>
          <w:noProof/>
        </w:rPr>
        <w:t>an</w:t>
      </w:r>
      <w:r w:rsidR="009B79BF" w:rsidRPr="009B79BF">
        <w:rPr>
          <w:noProof/>
        </w:rPr>
        <w:t xml:space="preserve"> app for mobile devices</w:t>
      </w:r>
      <w:r w:rsidR="009B79BF">
        <w:rPr>
          <w:noProof/>
        </w:rPr>
        <w:t>;</w:t>
      </w:r>
    </w:p>
    <w:p w14:paraId="0A987733" w14:textId="1DDD9264" w:rsidR="009B79BF" w:rsidRDefault="00EF15A7" w:rsidP="00EF15A7">
      <w:pPr>
        <w:pStyle w:val="Point3"/>
        <w:rPr>
          <w:noProof/>
        </w:rPr>
      </w:pPr>
      <w:r w:rsidRPr="00EF15A7">
        <w:t>(b)</w:t>
      </w:r>
      <w:r w:rsidRPr="00EF15A7">
        <w:tab/>
      </w:r>
      <w:r w:rsidR="009B79BF">
        <w:rPr>
          <w:noProof/>
        </w:rPr>
        <w:t>t</w:t>
      </w:r>
      <w:r w:rsidR="009B79BF" w:rsidRPr="009B79BF">
        <w:rPr>
          <w:noProof/>
        </w:rPr>
        <w:t>emporary storage capacit</w:t>
      </w:r>
      <w:r w:rsidR="009B79BF">
        <w:rPr>
          <w:noProof/>
        </w:rPr>
        <w:t>y;</w:t>
      </w:r>
    </w:p>
    <w:p w14:paraId="16218B5D" w14:textId="79611E8A" w:rsidR="009B79BF" w:rsidRDefault="00EF15A7" w:rsidP="00EF15A7">
      <w:pPr>
        <w:pStyle w:val="Point3"/>
        <w:rPr>
          <w:noProof/>
        </w:rPr>
      </w:pPr>
      <w:r w:rsidRPr="00EF15A7">
        <w:t>(c)</w:t>
      </w:r>
      <w:r w:rsidRPr="00EF15A7">
        <w:tab/>
      </w:r>
      <w:r w:rsidR="009B79BF">
        <w:rPr>
          <w:noProof/>
        </w:rPr>
        <w:t xml:space="preserve">a </w:t>
      </w:r>
      <w:r w:rsidR="009B79BF" w:rsidRPr="009B79BF">
        <w:rPr>
          <w:noProof/>
        </w:rPr>
        <w:t>secure account service</w:t>
      </w:r>
      <w:r w:rsidR="009B79BF">
        <w:rPr>
          <w:noProof/>
        </w:rPr>
        <w:t>;</w:t>
      </w:r>
    </w:p>
    <w:p w14:paraId="1FEC2C3B" w14:textId="2AC241C0" w:rsidR="009B79BF" w:rsidRDefault="00EF15A7" w:rsidP="00EF15A7">
      <w:pPr>
        <w:pStyle w:val="Point3"/>
        <w:rPr>
          <w:noProof/>
        </w:rPr>
      </w:pPr>
      <w:r w:rsidRPr="00EF15A7">
        <w:t>(d)</w:t>
      </w:r>
      <w:r w:rsidRPr="00EF15A7">
        <w:tab/>
      </w:r>
      <w:r w:rsidR="009B79BF" w:rsidRPr="009B79BF">
        <w:rPr>
          <w:noProof/>
        </w:rPr>
        <w:t>a verification tool for applicants</w:t>
      </w:r>
      <w:r w:rsidR="009B79BF">
        <w:rPr>
          <w:noProof/>
        </w:rPr>
        <w:t>;</w:t>
      </w:r>
    </w:p>
    <w:p w14:paraId="426984D0" w14:textId="6642C667" w:rsidR="00955C35" w:rsidRDefault="00EF15A7" w:rsidP="00EF15A7">
      <w:pPr>
        <w:pStyle w:val="Point3"/>
        <w:rPr>
          <w:noProof/>
        </w:rPr>
      </w:pPr>
      <w:r w:rsidRPr="00EF15A7">
        <w:t>(e)</w:t>
      </w:r>
      <w:r w:rsidRPr="00EF15A7">
        <w:tab/>
      </w:r>
      <w:r w:rsidR="00955C35">
        <w:rPr>
          <w:noProof/>
        </w:rPr>
        <w:t xml:space="preserve">web-service for </w:t>
      </w:r>
      <w:r w:rsidR="004258D1">
        <w:rPr>
          <w:noProof/>
        </w:rPr>
        <w:t>visa holders</w:t>
      </w:r>
    </w:p>
    <w:p w14:paraId="6518EDF0" w14:textId="562F0E41" w:rsidR="009B79BF" w:rsidRDefault="00EF15A7" w:rsidP="00EF15A7">
      <w:pPr>
        <w:pStyle w:val="Point3"/>
        <w:rPr>
          <w:noProof/>
        </w:rPr>
      </w:pPr>
      <w:r w:rsidRPr="00EF15A7">
        <w:t>(f)</w:t>
      </w:r>
      <w:r w:rsidRPr="00EF15A7">
        <w:tab/>
      </w:r>
      <w:r w:rsidR="009B79BF" w:rsidRPr="009B79BF">
        <w:rPr>
          <w:noProof/>
        </w:rPr>
        <w:t>an email service</w:t>
      </w:r>
      <w:r w:rsidR="009B79BF">
        <w:rPr>
          <w:noProof/>
        </w:rPr>
        <w:t>;</w:t>
      </w:r>
    </w:p>
    <w:p w14:paraId="086CE9E1" w14:textId="448FA80F" w:rsidR="009B79BF" w:rsidRDefault="00EF15A7" w:rsidP="00EF15A7">
      <w:pPr>
        <w:pStyle w:val="Point3"/>
        <w:rPr>
          <w:noProof/>
        </w:rPr>
      </w:pPr>
      <w:r w:rsidRPr="00EF15A7">
        <w:t>(g)</w:t>
      </w:r>
      <w:r w:rsidRPr="00EF15A7">
        <w:tab/>
      </w:r>
      <w:r w:rsidR="009B79BF">
        <w:rPr>
          <w:noProof/>
        </w:rPr>
        <w:t>a payment tool;</w:t>
      </w:r>
    </w:p>
    <w:p w14:paraId="55552079" w14:textId="7F824B4C" w:rsidR="009B79BF" w:rsidRDefault="00EF15A7" w:rsidP="00EF15A7">
      <w:pPr>
        <w:pStyle w:val="Point3"/>
        <w:rPr>
          <w:noProof/>
        </w:rPr>
      </w:pPr>
      <w:r w:rsidRPr="00EF15A7">
        <w:t>(h)</w:t>
      </w:r>
      <w:r w:rsidRPr="00EF15A7">
        <w:tab/>
      </w:r>
      <w:r w:rsidR="009B79BF">
        <w:rPr>
          <w:noProof/>
        </w:rPr>
        <w:t>an appointment tool;</w:t>
      </w:r>
    </w:p>
    <w:p w14:paraId="3DCBA397" w14:textId="1861EB08" w:rsidR="009B79BF" w:rsidRDefault="00EF15A7" w:rsidP="00EF15A7">
      <w:pPr>
        <w:pStyle w:val="Point3"/>
        <w:rPr>
          <w:noProof/>
        </w:rPr>
      </w:pPr>
      <w:r w:rsidRPr="00EF15A7">
        <w:t>(i)</w:t>
      </w:r>
      <w:r w:rsidRPr="00EF15A7">
        <w:tab/>
      </w:r>
      <w:r w:rsidR="009B79BF">
        <w:rPr>
          <w:noProof/>
        </w:rPr>
        <w:t xml:space="preserve">an </w:t>
      </w:r>
      <w:r w:rsidR="00FB5FB2" w:rsidRPr="00D05299">
        <w:rPr>
          <w:noProof/>
        </w:rPr>
        <w:t xml:space="preserve">external service provider </w:t>
      </w:r>
      <w:r w:rsidR="009B79BF" w:rsidRPr="00D05299">
        <w:rPr>
          <w:noProof/>
        </w:rPr>
        <w:t>gateway</w:t>
      </w:r>
      <w:r w:rsidR="009B79BF">
        <w:rPr>
          <w:noProof/>
        </w:rPr>
        <w:t>;</w:t>
      </w:r>
    </w:p>
    <w:p w14:paraId="484FA555" w14:textId="603CD270" w:rsidR="009B79BF" w:rsidRDefault="00EF15A7" w:rsidP="00EF15A7">
      <w:pPr>
        <w:pStyle w:val="Point3"/>
        <w:rPr>
          <w:noProof/>
        </w:rPr>
      </w:pPr>
      <w:r w:rsidRPr="00EF15A7">
        <w:t>(j)</w:t>
      </w:r>
      <w:r w:rsidRPr="00EF15A7">
        <w:tab/>
      </w:r>
      <w:r w:rsidR="009B79BF">
        <w:rPr>
          <w:noProof/>
        </w:rPr>
        <w:t>a c</w:t>
      </w:r>
      <w:r w:rsidR="009B79BF" w:rsidRPr="009B79BF">
        <w:rPr>
          <w:noProof/>
        </w:rPr>
        <w:t xml:space="preserve">onfiguration module </w:t>
      </w:r>
      <w:r w:rsidR="009B79BF">
        <w:rPr>
          <w:noProof/>
        </w:rPr>
        <w:t xml:space="preserve">that shall cater for </w:t>
      </w:r>
      <w:r w:rsidR="00466376">
        <w:rPr>
          <w:noProof/>
        </w:rPr>
        <w:t>eu-LISA</w:t>
      </w:r>
      <w:r w:rsidR="009B79BF">
        <w:rPr>
          <w:noProof/>
        </w:rPr>
        <w:t>,</w:t>
      </w:r>
      <w:r w:rsidR="009B79BF" w:rsidRPr="009B79BF">
        <w:rPr>
          <w:noProof/>
        </w:rPr>
        <w:t xml:space="preserve"> </w:t>
      </w:r>
      <w:r w:rsidR="009B79BF">
        <w:rPr>
          <w:noProof/>
        </w:rPr>
        <w:t>central authorities and consulates;</w:t>
      </w:r>
    </w:p>
    <w:p w14:paraId="328680AD" w14:textId="3895A738" w:rsidR="009B79BF" w:rsidRDefault="00EF15A7" w:rsidP="00EF15A7">
      <w:pPr>
        <w:pStyle w:val="Point3"/>
        <w:rPr>
          <w:noProof/>
        </w:rPr>
      </w:pPr>
      <w:r w:rsidRPr="00EF15A7">
        <w:t>(k)</w:t>
      </w:r>
      <w:r w:rsidRPr="00EF15A7">
        <w:tab/>
      </w:r>
      <w:r w:rsidR="009B79BF">
        <w:rPr>
          <w:noProof/>
        </w:rPr>
        <w:t>a software to generate and</w:t>
      </w:r>
      <w:r w:rsidR="009B79BF" w:rsidRPr="009B79BF">
        <w:rPr>
          <w:noProof/>
        </w:rPr>
        <w:t xml:space="preserve"> read </w:t>
      </w:r>
      <w:r w:rsidR="00226A7E">
        <w:rPr>
          <w:noProof/>
        </w:rPr>
        <w:t xml:space="preserve">encrypted </w:t>
      </w:r>
      <w:r w:rsidR="009B79BF" w:rsidRPr="002E7273">
        <w:rPr>
          <w:noProof/>
        </w:rPr>
        <w:t>2D barcode</w:t>
      </w:r>
      <w:r w:rsidR="009B79BF">
        <w:rPr>
          <w:noProof/>
        </w:rPr>
        <w:t>;</w:t>
      </w:r>
    </w:p>
    <w:p w14:paraId="6D033BAB" w14:textId="0576C5F9" w:rsidR="00000E9A" w:rsidRDefault="00EF15A7" w:rsidP="00EF15A7">
      <w:pPr>
        <w:pStyle w:val="Point3"/>
        <w:rPr>
          <w:noProof/>
        </w:rPr>
      </w:pPr>
      <w:r w:rsidRPr="00EF15A7">
        <w:t>(l)</w:t>
      </w:r>
      <w:r w:rsidRPr="00EF15A7">
        <w:tab/>
      </w:r>
      <w:r w:rsidR="00123069">
        <w:rPr>
          <w:noProof/>
        </w:rPr>
        <w:t xml:space="preserve">a secure web service enabling the components of the </w:t>
      </w:r>
      <w:r w:rsidR="00BD0E74">
        <w:rPr>
          <w:noProof/>
          <w:color w:val="000000"/>
        </w:rPr>
        <w:t xml:space="preserve">EU </w:t>
      </w:r>
      <w:r w:rsidR="00123069">
        <w:rPr>
          <w:noProof/>
        </w:rPr>
        <w:t xml:space="preserve">application </w:t>
      </w:r>
      <w:r w:rsidR="00F479BB">
        <w:rPr>
          <w:noProof/>
        </w:rPr>
        <w:t>platform</w:t>
      </w:r>
      <w:r w:rsidR="00000E9A">
        <w:rPr>
          <w:noProof/>
        </w:rPr>
        <w:t xml:space="preserve"> to communicate;</w:t>
      </w:r>
    </w:p>
    <w:p w14:paraId="3015129F" w14:textId="010DB21D" w:rsidR="0031627E" w:rsidRDefault="00EF15A7" w:rsidP="00EF15A7">
      <w:pPr>
        <w:pStyle w:val="Point3"/>
        <w:rPr>
          <w:noProof/>
        </w:rPr>
      </w:pPr>
      <w:r w:rsidRPr="00EF15A7">
        <w:t>(m)</w:t>
      </w:r>
      <w:r w:rsidRPr="00EF15A7">
        <w:tab/>
      </w:r>
      <w:r w:rsidR="00D05299">
        <w:rPr>
          <w:noProof/>
        </w:rPr>
        <w:t>a</w:t>
      </w:r>
      <w:r w:rsidR="00000E9A">
        <w:rPr>
          <w:noProof/>
        </w:rPr>
        <w:t xml:space="preserve"> h</w:t>
      </w:r>
      <w:r w:rsidR="00000E9A" w:rsidRPr="00000E9A">
        <w:rPr>
          <w:noProof/>
        </w:rPr>
        <w:t xml:space="preserve">elpdesk function </w:t>
      </w:r>
      <w:r w:rsidR="00000E9A" w:rsidRPr="00D05299">
        <w:rPr>
          <w:noProof/>
        </w:rPr>
        <w:t xml:space="preserve">to be managed by </w:t>
      </w:r>
      <w:r w:rsidR="00466376">
        <w:rPr>
          <w:noProof/>
        </w:rPr>
        <w:t>eu-LISA</w:t>
      </w:r>
      <w:r w:rsidR="0031627E">
        <w:rPr>
          <w:noProof/>
        </w:rPr>
        <w:t>;</w:t>
      </w:r>
    </w:p>
    <w:p w14:paraId="33782F36" w14:textId="07E897A1" w:rsidR="009B79BF" w:rsidRDefault="00EF15A7" w:rsidP="00EF15A7">
      <w:pPr>
        <w:pStyle w:val="Point3"/>
        <w:rPr>
          <w:noProof/>
        </w:rPr>
      </w:pPr>
      <w:r w:rsidRPr="00EF15A7">
        <w:t>(n)</w:t>
      </w:r>
      <w:r w:rsidRPr="00EF15A7">
        <w:tab/>
      </w:r>
      <w:r w:rsidR="0031627E" w:rsidRPr="0031627E">
        <w:rPr>
          <w:noProof/>
        </w:rPr>
        <w:t>read-only</w:t>
      </w:r>
      <w:r w:rsidR="008B4A73">
        <w:rPr>
          <w:noProof/>
        </w:rPr>
        <w:t xml:space="preserve"> copy of</w:t>
      </w:r>
      <w:r w:rsidR="0031627E" w:rsidRPr="0031627E">
        <w:rPr>
          <w:noProof/>
        </w:rPr>
        <w:t xml:space="preserve"> </w:t>
      </w:r>
      <w:r w:rsidR="0031627E">
        <w:rPr>
          <w:noProof/>
        </w:rPr>
        <w:t xml:space="preserve">VIS </w:t>
      </w:r>
      <w:r w:rsidR="0031627E" w:rsidRPr="0031627E">
        <w:rPr>
          <w:noProof/>
        </w:rPr>
        <w:t>database</w:t>
      </w:r>
      <w:r w:rsidR="00000E9A" w:rsidRPr="00D05299">
        <w:rPr>
          <w:noProof/>
        </w:rPr>
        <w:t>.</w:t>
      </w:r>
      <w:r w:rsidR="00000E9A" w:rsidRPr="00513CAD">
        <w:rPr>
          <w:noProof/>
        </w:rPr>
        <w:t>”</w:t>
      </w:r>
      <w:r w:rsidR="00000E9A">
        <w:rPr>
          <w:noProof/>
        </w:rPr>
        <w:t>;</w:t>
      </w:r>
    </w:p>
    <w:p w14:paraId="24B7EF1B" w14:textId="6C3D54BC" w:rsidR="00186081" w:rsidRDefault="00EF15A7" w:rsidP="00EF15A7">
      <w:pPr>
        <w:pStyle w:val="Point0"/>
        <w:rPr>
          <w:noProof/>
        </w:rPr>
      </w:pPr>
      <w:r w:rsidRPr="00EF15A7">
        <w:t>(2)</w:t>
      </w:r>
      <w:r w:rsidRPr="00EF15A7">
        <w:tab/>
      </w:r>
      <w:r w:rsidR="003556CB">
        <w:rPr>
          <w:noProof/>
        </w:rPr>
        <w:t>i</w:t>
      </w:r>
      <w:r w:rsidR="00A72EFE" w:rsidRPr="00A72EFE">
        <w:rPr>
          <w:noProof/>
        </w:rPr>
        <w:t xml:space="preserve">n </w:t>
      </w:r>
      <w:r w:rsidR="00186081" w:rsidRPr="00CE311F">
        <w:rPr>
          <w:noProof/>
        </w:rPr>
        <w:t>Article 4</w:t>
      </w:r>
      <w:r w:rsidR="003556CB">
        <w:rPr>
          <w:noProof/>
        </w:rPr>
        <w:t>,</w:t>
      </w:r>
      <w:r w:rsidR="00186081" w:rsidRPr="00CE311F">
        <w:rPr>
          <w:noProof/>
        </w:rPr>
        <w:t xml:space="preserve"> </w:t>
      </w:r>
      <w:r w:rsidR="00A72EFE" w:rsidRPr="00CE311F">
        <w:rPr>
          <w:noProof/>
        </w:rPr>
        <w:t>point</w:t>
      </w:r>
      <w:r w:rsidR="00186081">
        <w:rPr>
          <w:noProof/>
        </w:rPr>
        <w:t xml:space="preserve"> 2 is replaced by the following:</w:t>
      </w:r>
    </w:p>
    <w:p w14:paraId="3F5C9309" w14:textId="77777777" w:rsidR="00186081" w:rsidRDefault="002F0825" w:rsidP="00345D49">
      <w:pPr>
        <w:pStyle w:val="Text1"/>
        <w:rPr>
          <w:noProof/>
        </w:rPr>
      </w:pPr>
      <w:r w:rsidRPr="3DEDDE2B">
        <w:rPr>
          <w:noProof/>
        </w:rPr>
        <w:t>“</w:t>
      </w:r>
      <w:r w:rsidR="00A72EFE">
        <w:rPr>
          <w:noProof/>
        </w:rPr>
        <w:t xml:space="preserve">2. </w:t>
      </w:r>
      <w:r w:rsidR="00A72EFE">
        <w:rPr>
          <w:noProof/>
          <w:color w:val="444444"/>
          <w:sz w:val="27"/>
          <w:szCs w:val="27"/>
          <w:shd w:val="clear" w:color="auto" w:fill="FFFFFF"/>
        </w:rPr>
        <w:t>‘</w:t>
      </w:r>
      <w:r w:rsidR="00D05299">
        <w:rPr>
          <w:noProof/>
        </w:rPr>
        <w:t>d</w:t>
      </w:r>
      <w:r w:rsidR="00A72EFE">
        <w:rPr>
          <w:noProof/>
        </w:rPr>
        <w:t>igital visa</w:t>
      </w:r>
      <w:r w:rsidR="00A72EFE">
        <w:rPr>
          <w:noProof/>
          <w:color w:val="444444"/>
          <w:sz w:val="27"/>
          <w:szCs w:val="27"/>
          <w:shd w:val="clear" w:color="auto" w:fill="FFFFFF"/>
        </w:rPr>
        <w:t>’</w:t>
      </w:r>
      <w:r w:rsidR="00186081">
        <w:rPr>
          <w:noProof/>
        </w:rPr>
        <w:t xml:space="preserve"> means the visa in digital format</w:t>
      </w:r>
      <w:r w:rsidR="00D40316">
        <w:rPr>
          <w:noProof/>
        </w:rPr>
        <w:t xml:space="preserve"> referred to in </w:t>
      </w:r>
      <w:r w:rsidR="00186081">
        <w:rPr>
          <w:noProof/>
        </w:rPr>
        <w:t>Article</w:t>
      </w:r>
      <w:r w:rsidR="001B4F4F" w:rsidRPr="3DEDDE2B">
        <w:rPr>
          <w:noProof/>
        </w:rPr>
        <w:t xml:space="preserve"> </w:t>
      </w:r>
      <w:r w:rsidR="00A51ECD">
        <w:rPr>
          <w:noProof/>
        </w:rPr>
        <w:t>26</w:t>
      </w:r>
      <w:r w:rsidR="003556CB">
        <w:rPr>
          <w:noProof/>
        </w:rPr>
        <w:t>a</w:t>
      </w:r>
      <w:r w:rsidR="00186081">
        <w:rPr>
          <w:noProof/>
        </w:rPr>
        <w:t xml:space="preserve"> of Regulation </w:t>
      </w:r>
      <w:r>
        <w:rPr>
          <w:noProof/>
        </w:rPr>
        <w:t>(EC) No 810/2009</w:t>
      </w:r>
      <w:r w:rsidR="00345D49" w:rsidRPr="3DEDDE2B">
        <w:rPr>
          <w:noProof/>
        </w:rPr>
        <w:t>;</w:t>
      </w:r>
      <w:r w:rsidRPr="3DEDDE2B">
        <w:rPr>
          <w:noProof/>
        </w:rPr>
        <w:t>”</w:t>
      </w:r>
    </w:p>
    <w:p w14:paraId="5D818AE6" w14:textId="021B4BF3" w:rsidR="00BB5EB0" w:rsidRDefault="00EF15A7" w:rsidP="00EF15A7">
      <w:pPr>
        <w:pStyle w:val="Point0"/>
        <w:rPr>
          <w:noProof/>
        </w:rPr>
      </w:pPr>
      <w:r w:rsidRPr="00EF15A7">
        <w:t>(3)</w:t>
      </w:r>
      <w:r w:rsidRPr="00EF15A7">
        <w:tab/>
      </w:r>
      <w:r w:rsidR="006F5C1D">
        <w:rPr>
          <w:noProof/>
        </w:rPr>
        <w:t>t</w:t>
      </w:r>
      <w:r w:rsidR="00BB5EB0">
        <w:rPr>
          <w:noProof/>
        </w:rPr>
        <w:t xml:space="preserve">he following </w:t>
      </w:r>
      <w:r w:rsidR="00B93427">
        <w:rPr>
          <w:noProof/>
        </w:rPr>
        <w:t>C</w:t>
      </w:r>
      <w:r w:rsidR="00BB5EB0" w:rsidRPr="00CE311F">
        <w:rPr>
          <w:noProof/>
        </w:rPr>
        <w:t>hapter Ia is</w:t>
      </w:r>
      <w:r w:rsidR="00BB5EB0" w:rsidRPr="00BB5EB0">
        <w:rPr>
          <w:noProof/>
        </w:rPr>
        <w:t xml:space="preserve"> inserted:</w:t>
      </w:r>
    </w:p>
    <w:p w14:paraId="4DBA7019" w14:textId="77777777" w:rsidR="00F26553" w:rsidRPr="00B57D0D" w:rsidRDefault="00F26553" w:rsidP="005A69FD">
      <w:pPr>
        <w:pStyle w:val="ChapterTitle"/>
        <w:rPr>
          <w:noProof/>
          <w:lang w:val="fr-BE"/>
        </w:rPr>
      </w:pPr>
      <w:r w:rsidRPr="00F479BB">
        <w:rPr>
          <w:noProof/>
          <w:lang w:val="fr-BE"/>
        </w:rPr>
        <w:t>“</w:t>
      </w:r>
      <w:r w:rsidR="005733E5" w:rsidRPr="00F479BB">
        <w:rPr>
          <w:noProof/>
          <w:lang w:val="fr-BE"/>
        </w:rPr>
        <w:t>C</w:t>
      </w:r>
      <w:r w:rsidRPr="00B57D0D">
        <w:rPr>
          <w:noProof/>
          <w:lang w:val="fr-BE"/>
        </w:rPr>
        <w:t>HAPTER Ia</w:t>
      </w:r>
      <w:r w:rsidR="005A69FD" w:rsidRPr="00B57D0D">
        <w:rPr>
          <w:noProof/>
          <w:lang w:val="fr-BE"/>
        </w:rPr>
        <w:br/>
      </w:r>
      <w:r w:rsidR="00F479BB" w:rsidRPr="00F3241D">
        <w:rPr>
          <w:noProof/>
          <w:lang w:val="fr-BE"/>
        </w:rPr>
        <w:t xml:space="preserve">EU </w:t>
      </w:r>
      <w:r w:rsidR="00C17906">
        <w:rPr>
          <w:noProof/>
          <w:lang w:val="fr-BE"/>
        </w:rPr>
        <w:t xml:space="preserve">ONLINE </w:t>
      </w:r>
      <w:r w:rsidR="007F4F76">
        <w:rPr>
          <w:noProof/>
          <w:lang w:val="fr-BE"/>
        </w:rPr>
        <w:t xml:space="preserve">VISA </w:t>
      </w:r>
      <w:r w:rsidRPr="00F479BB">
        <w:rPr>
          <w:noProof/>
          <w:lang w:val="fr-BE"/>
        </w:rPr>
        <w:t xml:space="preserve">APPLICATION </w:t>
      </w:r>
      <w:r w:rsidR="00F479BB" w:rsidRPr="00B57D0D">
        <w:rPr>
          <w:noProof/>
          <w:lang w:val="fr-BE"/>
        </w:rPr>
        <w:t>PLATFORM</w:t>
      </w:r>
    </w:p>
    <w:p w14:paraId="046B410F" w14:textId="77777777" w:rsidR="00F26553" w:rsidRPr="008A0749" w:rsidRDefault="00F26553" w:rsidP="00F26553">
      <w:pPr>
        <w:pStyle w:val="Titrearticle"/>
        <w:rPr>
          <w:noProof/>
        </w:rPr>
      </w:pPr>
      <w:r w:rsidRPr="008A0749">
        <w:rPr>
          <w:noProof/>
        </w:rPr>
        <w:t>Article 7a</w:t>
      </w:r>
      <w:r w:rsidRPr="008A0749">
        <w:rPr>
          <w:noProof/>
        </w:rPr>
        <w:br/>
      </w:r>
      <w:r w:rsidR="002B145F">
        <w:rPr>
          <w:noProof/>
        </w:rPr>
        <w:t xml:space="preserve">General </w:t>
      </w:r>
      <w:r w:rsidR="00301802">
        <w:rPr>
          <w:noProof/>
        </w:rPr>
        <w:t xml:space="preserve">public </w:t>
      </w:r>
      <w:r w:rsidR="002B145F">
        <w:rPr>
          <w:noProof/>
        </w:rPr>
        <w:t xml:space="preserve">information </w:t>
      </w:r>
      <w:r w:rsidR="008A0749" w:rsidRPr="008A0749">
        <w:rPr>
          <w:noProof/>
        </w:rPr>
        <w:t>o</w:t>
      </w:r>
      <w:r w:rsidR="002B145F">
        <w:rPr>
          <w:noProof/>
        </w:rPr>
        <w:t>n</w:t>
      </w:r>
      <w:r w:rsidR="008A0749" w:rsidRPr="008A0749">
        <w:rPr>
          <w:noProof/>
        </w:rPr>
        <w:t xml:space="preserve"> the </w:t>
      </w:r>
      <w:r w:rsidR="002B145F">
        <w:rPr>
          <w:noProof/>
        </w:rPr>
        <w:t>EU-</w:t>
      </w:r>
      <w:r w:rsidR="008A0749">
        <w:rPr>
          <w:noProof/>
        </w:rPr>
        <w:t xml:space="preserve">application </w:t>
      </w:r>
      <w:r w:rsidR="00F479BB">
        <w:rPr>
          <w:noProof/>
        </w:rPr>
        <w:t>platform</w:t>
      </w:r>
    </w:p>
    <w:p w14:paraId="21AB84FD" w14:textId="6A6364B4" w:rsidR="008A0749" w:rsidRDefault="00EF15A7" w:rsidP="00EF15A7">
      <w:pPr>
        <w:pStyle w:val="ManualNumPar1"/>
        <w:rPr>
          <w:noProof/>
        </w:rPr>
      </w:pPr>
      <w:r w:rsidRPr="00EF15A7">
        <w:t>1.</w:t>
      </w:r>
      <w:r w:rsidRPr="00EF15A7">
        <w:tab/>
      </w:r>
      <w:r w:rsidR="008A0749">
        <w:rPr>
          <w:noProof/>
        </w:rPr>
        <w:t xml:space="preserve">The </w:t>
      </w:r>
      <w:r w:rsidR="007F4F76">
        <w:rPr>
          <w:noProof/>
        </w:rPr>
        <w:t xml:space="preserve">EU </w:t>
      </w:r>
      <w:r w:rsidR="00C17906">
        <w:rPr>
          <w:noProof/>
        </w:rPr>
        <w:t xml:space="preserve">Online </w:t>
      </w:r>
      <w:r w:rsidR="007F4F76">
        <w:rPr>
          <w:noProof/>
        </w:rPr>
        <w:t>Visa A</w:t>
      </w:r>
      <w:r w:rsidR="008A0749">
        <w:rPr>
          <w:noProof/>
        </w:rPr>
        <w:t xml:space="preserve">pplication </w:t>
      </w:r>
      <w:r w:rsidR="007F4F76">
        <w:rPr>
          <w:noProof/>
        </w:rPr>
        <w:t>P</w:t>
      </w:r>
      <w:r w:rsidR="00F479BB">
        <w:rPr>
          <w:noProof/>
        </w:rPr>
        <w:t>latform</w:t>
      </w:r>
      <w:r w:rsidR="003556CB">
        <w:rPr>
          <w:noProof/>
        </w:rPr>
        <w:t xml:space="preserve"> (‘EU Application Platform’)</w:t>
      </w:r>
      <w:r w:rsidR="008A0749">
        <w:rPr>
          <w:noProof/>
        </w:rPr>
        <w:t xml:space="preserve"> shall provide general information to the public as referred to in Article 47 of </w:t>
      </w:r>
      <w:r w:rsidR="008A0749" w:rsidRPr="008A0749">
        <w:rPr>
          <w:noProof/>
        </w:rPr>
        <w:t>Regulation (EC) No 810/2009</w:t>
      </w:r>
      <w:r w:rsidR="008A0749">
        <w:rPr>
          <w:noProof/>
        </w:rPr>
        <w:t>.</w:t>
      </w:r>
    </w:p>
    <w:p w14:paraId="4C199BA7" w14:textId="77777777" w:rsidR="008A0749" w:rsidRDefault="00466376" w:rsidP="00522FB2">
      <w:pPr>
        <w:pStyle w:val="Text1"/>
        <w:rPr>
          <w:noProof/>
        </w:rPr>
      </w:pPr>
      <w:r>
        <w:rPr>
          <w:noProof/>
        </w:rPr>
        <w:t>The Commission</w:t>
      </w:r>
      <w:r w:rsidR="005725DE">
        <w:rPr>
          <w:noProof/>
        </w:rPr>
        <w:t xml:space="preserve"> and the Member States shall be responsible for providing the information</w:t>
      </w:r>
      <w:r w:rsidR="00D05299">
        <w:rPr>
          <w:noProof/>
        </w:rPr>
        <w:t>,</w:t>
      </w:r>
      <w:r w:rsidR="005725DE">
        <w:rPr>
          <w:noProof/>
        </w:rPr>
        <w:t xml:space="preserve"> in accordance with their </w:t>
      </w:r>
      <w:r w:rsidR="00D05299">
        <w:rPr>
          <w:noProof/>
        </w:rPr>
        <w:t xml:space="preserve">respective </w:t>
      </w:r>
      <w:r w:rsidR="005725DE">
        <w:rPr>
          <w:noProof/>
        </w:rPr>
        <w:t xml:space="preserve">responsibilities </w:t>
      </w:r>
      <w:r w:rsidR="004552BE">
        <w:rPr>
          <w:noProof/>
        </w:rPr>
        <w:t xml:space="preserve">set out </w:t>
      </w:r>
      <w:r w:rsidR="001016A9">
        <w:rPr>
          <w:noProof/>
        </w:rPr>
        <w:t xml:space="preserve">in paragraphs 2 to </w:t>
      </w:r>
      <w:r w:rsidR="00D05299">
        <w:rPr>
          <w:noProof/>
        </w:rPr>
        <w:t>4</w:t>
      </w:r>
      <w:r w:rsidR="001016A9">
        <w:rPr>
          <w:noProof/>
        </w:rPr>
        <w:t xml:space="preserve"> of this Article</w:t>
      </w:r>
      <w:r w:rsidR="005725DE">
        <w:rPr>
          <w:noProof/>
        </w:rPr>
        <w:t>.</w:t>
      </w:r>
    </w:p>
    <w:p w14:paraId="0D7522EC" w14:textId="1E136DAE" w:rsidR="005725DE" w:rsidRPr="002E7273" w:rsidRDefault="00EF15A7" w:rsidP="00EF15A7">
      <w:pPr>
        <w:pStyle w:val="ManualNumPar1"/>
        <w:rPr>
          <w:noProof/>
        </w:rPr>
      </w:pPr>
      <w:r w:rsidRPr="00EF15A7">
        <w:t>2.</w:t>
      </w:r>
      <w:r w:rsidRPr="00EF15A7">
        <w:tab/>
      </w:r>
      <w:r w:rsidR="00466376">
        <w:rPr>
          <w:noProof/>
        </w:rPr>
        <w:t>eu-LISA</w:t>
      </w:r>
      <w:r w:rsidR="001016A9" w:rsidRPr="002E7273">
        <w:rPr>
          <w:noProof/>
        </w:rPr>
        <w:t xml:space="preserve"> shall </w:t>
      </w:r>
      <w:r w:rsidR="00D36F18" w:rsidRPr="002E7273">
        <w:rPr>
          <w:noProof/>
        </w:rPr>
        <w:t xml:space="preserve">be responsible for </w:t>
      </w:r>
      <w:r w:rsidR="002B145F">
        <w:rPr>
          <w:noProof/>
        </w:rPr>
        <w:t>publishing and updating</w:t>
      </w:r>
      <w:r w:rsidR="0088642E">
        <w:rPr>
          <w:noProof/>
        </w:rPr>
        <w:t xml:space="preserve"> </w:t>
      </w:r>
      <w:r w:rsidR="002B145F">
        <w:rPr>
          <w:noProof/>
        </w:rPr>
        <w:t xml:space="preserve">the following  </w:t>
      </w:r>
      <w:r w:rsidR="00F0072E">
        <w:rPr>
          <w:noProof/>
        </w:rPr>
        <w:t xml:space="preserve">general public </w:t>
      </w:r>
      <w:r w:rsidR="002B145F">
        <w:rPr>
          <w:noProof/>
        </w:rPr>
        <w:t>information on the EU-application platform</w:t>
      </w:r>
      <w:r w:rsidR="00466376">
        <w:rPr>
          <w:noProof/>
        </w:rPr>
        <w:t xml:space="preserve">, upon receiving the </w:t>
      </w:r>
      <w:r w:rsidR="00792135">
        <w:rPr>
          <w:noProof/>
        </w:rPr>
        <w:t xml:space="preserve">following </w:t>
      </w:r>
      <w:r w:rsidR="00466376">
        <w:rPr>
          <w:noProof/>
        </w:rPr>
        <w:t>information from the Commission</w:t>
      </w:r>
      <w:r w:rsidR="006C4C42">
        <w:rPr>
          <w:noProof/>
        </w:rPr>
        <w:t xml:space="preserve"> or the Member States</w:t>
      </w:r>
      <w:r w:rsidR="005725DE" w:rsidRPr="002E7273">
        <w:rPr>
          <w:noProof/>
        </w:rPr>
        <w:t>:</w:t>
      </w:r>
    </w:p>
    <w:p w14:paraId="61C975A0" w14:textId="10D6DE1B" w:rsidR="005725DE" w:rsidRPr="002E7273" w:rsidRDefault="00EF15A7" w:rsidP="00EF15A7">
      <w:pPr>
        <w:pStyle w:val="Point0"/>
        <w:rPr>
          <w:noProof/>
        </w:rPr>
      </w:pPr>
      <w:r w:rsidRPr="00EF15A7">
        <w:t>(a)</w:t>
      </w:r>
      <w:r w:rsidRPr="00EF15A7">
        <w:tab/>
      </w:r>
      <w:r w:rsidR="001016A9" w:rsidRPr="002E7273">
        <w:rPr>
          <w:noProof/>
        </w:rPr>
        <w:t>the visa requirements, including visa lists, visa waiver agreem</w:t>
      </w:r>
      <w:r w:rsidR="00CE311F">
        <w:rPr>
          <w:noProof/>
        </w:rPr>
        <w:t xml:space="preserve">ents; including for diplomatic and service passports, </w:t>
      </w:r>
      <w:r w:rsidR="001F449E">
        <w:rPr>
          <w:noProof/>
        </w:rPr>
        <w:t xml:space="preserve">and including </w:t>
      </w:r>
      <w:r w:rsidR="00CE311F">
        <w:rPr>
          <w:noProof/>
        </w:rPr>
        <w:t>cases of</w:t>
      </w:r>
      <w:r w:rsidR="001016A9" w:rsidRPr="002E7273">
        <w:rPr>
          <w:noProof/>
        </w:rPr>
        <w:t xml:space="preserve"> possible </w:t>
      </w:r>
      <w:r w:rsidR="00CE311F">
        <w:rPr>
          <w:noProof/>
        </w:rPr>
        <w:t xml:space="preserve">suspension of visa-free travel, </w:t>
      </w:r>
      <w:r w:rsidR="00B93427">
        <w:rPr>
          <w:noProof/>
        </w:rPr>
        <w:t>under</w:t>
      </w:r>
      <w:r w:rsidR="00CE311F">
        <w:rPr>
          <w:noProof/>
        </w:rPr>
        <w:t xml:space="preserve"> </w:t>
      </w:r>
      <w:r w:rsidR="001016A9" w:rsidRPr="002E7273">
        <w:rPr>
          <w:noProof/>
        </w:rPr>
        <w:t>Articles 3</w:t>
      </w:r>
      <w:r w:rsidR="007920E5">
        <w:rPr>
          <w:noProof/>
        </w:rPr>
        <w:t>, 4</w:t>
      </w:r>
      <w:r w:rsidR="00B93427">
        <w:rPr>
          <w:noProof/>
        </w:rPr>
        <w:t>,</w:t>
      </w:r>
      <w:r w:rsidR="007920E5">
        <w:rPr>
          <w:noProof/>
        </w:rPr>
        <w:t xml:space="preserve"> </w:t>
      </w:r>
      <w:r w:rsidR="001016A9" w:rsidRPr="002E7273">
        <w:rPr>
          <w:noProof/>
        </w:rPr>
        <w:t xml:space="preserve">5, 7, 8 </w:t>
      </w:r>
      <w:r w:rsidR="007920E5" w:rsidRPr="002E7273">
        <w:rPr>
          <w:noProof/>
        </w:rPr>
        <w:t xml:space="preserve">of </w:t>
      </w:r>
      <w:r w:rsidR="007920E5" w:rsidRPr="00CE311F">
        <w:rPr>
          <w:noProof/>
        </w:rPr>
        <w:t>Regulation (EU) 2018/1806</w:t>
      </w:r>
      <w:r w:rsidR="004552BE">
        <w:rPr>
          <w:noProof/>
        </w:rPr>
        <w:t xml:space="preserve"> </w:t>
      </w:r>
      <w:r w:rsidR="001016A9" w:rsidRPr="002E7273">
        <w:rPr>
          <w:noProof/>
        </w:rPr>
        <w:t xml:space="preserve">and </w:t>
      </w:r>
      <w:r w:rsidR="00BA152A">
        <w:rPr>
          <w:noProof/>
        </w:rPr>
        <w:t>A</w:t>
      </w:r>
      <w:r w:rsidR="001016A9" w:rsidRPr="002E7273">
        <w:rPr>
          <w:noProof/>
        </w:rPr>
        <w:t>nnexes</w:t>
      </w:r>
      <w:r w:rsidR="00BA152A">
        <w:rPr>
          <w:noProof/>
        </w:rPr>
        <w:t xml:space="preserve"> I and </w:t>
      </w:r>
      <w:r w:rsidR="00AE05E9">
        <w:rPr>
          <w:noProof/>
          <w:lang w:val="en-IE"/>
        </w:rPr>
        <w:t xml:space="preserve">the </w:t>
      </w:r>
      <w:r w:rsidR="00BA152A">
        <w:rPr>
          <w:noProof/>
        </w:rPr>
        <w:t>II</w:t>
      </w:r>
      <w:r w:rsidR="007920E5">
        <w:rPr>
          <w:noProof/>
        </w:rPr>
        <w:t xml:space="preserve"> thereto</w:t>
      </w:r>
      <w:r w:rsidR="001F449E">
        <w:rPr>
          <w:noProof/>
        </w:rPr>
        <w:t>, as well as information pursuant to Directive 2004/38/EC and</w:t>
      </w:r>
      <w:r w:rsidR="00C730E6">
        <w:rPr>
          <w:noProof/>
        </w:rPr>
        <w:t xml:space="preserve"> EU</w:t>
      </w:r>
      <w:r w:rsidR="00AE05E9">
        <w:rPr>
          <w:noProof/>
          <w:lang w:val="en-IE"/>
        </w:rPr>
        <w:t>-UK Withdrawal Agreement</w:t>
      </w:r>
      <w:r w:rsidR="001016A9" w:rsidRPr="002E7273">
        <w:rPr>
          <w:noProof/>
        </w:rPr>
        <w:t>;</w:t>
      </w:r>
    </w:p>
    <w:p w14:paraId="08B25651" w14:textId="731BE96D" w:rsidR="001016A9" w:rsidRPr="002E7273" w:rsidRDefault="00EF15A7" w:rsidP="00EF15A7">
      <w:pPr>
        <w:pStyle w:val="Point0"/>
        <w:rPr>
          <w:noProof/>
        </w:rPr>
      </w:pPr>
      <w:r w:rsidRPr="00EF15A7">
        <w:t>(b)</w:t>
      </w:r>
      <w:r w:rsidRPr="00EF15A7">
        <w:tab/>
      </w:r>
      <w:r w:rsidR="00D36F18" w:rsidRPr="002E7273">
        <w:rPr>
          <w:noProof/>
        </w:rPr>
        <w:t>t</w:t>
      </w:r>
      <w:r w:rsidR="00CE311F">
        <w:rPr>
          <w:noProof/>
        </w:rPr>
        <w:t xml:space="preserve">he amount of the visa fees </w:t>
      </w:r>
      <w:r w:rsidR="004552BE">
        <w:rPr>
          <w:noProof/>
        </w:rPr>
        <w:t xml:space="preserve">referred to in </w:t>
      </w:r>
      <w:r w:rsidR="00D36F18" w:rsidRPr="002E7273">
        <w:rPr>
          <w:noProof/>
        </w:rPr>
        <w:t xml:space="preserve">Article 16 </w:t>
      </w:r>
      <w:r w:rsidR="00284894">
        <w:rPr>
          <w:noProof/>
        </w:rPr>
        <w:t xml:space="preserve">of </w:t>
      </w:r>
      <w:r w:rsidR="00284894" w:rsidRPr="008A0749">
        <w:rPr>
          <w:noProof/>
        </w:rPr>
        <w:t>Regulation (EC) No 810/2009</w:t>
      </w:r>
      <w:r w:rsidR="00284894">
        <w:rPr>
          <w:noProof/>
        </w:rPr>
        <w:t>; reduced or higher fees in case of visa facilitation agreement, or a</w:t>
      </w:r>
      <w:r w:rsidR="00D36F18" w:rsidRPr="002E7273">
        <w:rPr>
          <w:noProof/>
        </w:rPr>
        <w:t xml:space="preserve"> readmission</w:t>
      </w:r>
      <w:r w:rsidR="00284894">
        <w:rPr>
          <w:noProof/>
        </w:rPr>
        <w:t xml:space="preserve">-related measure </w:t>
      </w:r>
      <w:r w:rsidR="001F449E">
        <w:rPr>
          <w:noProof/>
        </w:rPr>
        <w:t xml:space="preserve">stemming from </w:t>
      </w:r>
      <w:r w:rsidR="00D36F18" w:rsidRPr="001F449E">
        <w:rPr>
          <w:i/>
          <w:noProof/>
        </w:rPr>
        <w:t xml:space="preserve"> </w:t>
      </w:r>
      <w:r w:rsidR="00D36F18" w:rsidRPr="002E7273">
        <w:rPr>
          <w:noProof/>
        </w:rPr>
        <w:t xml:space="preserve">Article 25a </w:t>
      </w:r>
      <w:r w:rsidR="00284894">
        <w:rPr>
          <w:noProof/>
        </w:rPr>
        <w:t xml:space="preserve">of </w:t>
      </w:r>
      <w:r w:rsidR="004552BE">
        <w:rPr>
          <w:noProof/>
        </w:rPr>
        <w:t xml:space="preserve">that </w:t>
      </w:r>
      <w:r w:rsidR="00284894" w:rsidRPr="008A0749">
        <w:rPr>
          <w:noProof/>
        </w:rPr>
        <w:t>Regulation</w:t>
      </w:r>
      <w:r w:rsidR="001F449E">
        <w:rPr>
          <w:noProof/>
        </w:rPr>
        <w:t>,</w:t>
      </w:r>
      <w:r w:rsidR="00F31E7F" w:rsidRPr="00F31E7F">
        <w:rPr>
          <w:noProof/>
        </w:rPr>
        <w:t xml:space="preserve"> </w:t>
      </w:r>
      <w:r w:rsidR="00AE05E9">
        <w:rPr>
          <w:noProof/>
        </w:rPr>
        <w:t xml:space="preserve">as well as Directive 2004/38/EC and </w:t>
      </w:r>
      <w:r w:rsidR="00AE05E9">
        <w:rPr>
          <w:noProof/>
          <w:lang w:val="en-IE"/>
        </w:rPr>
        <w:t>the EU-UK Withdrawal Agreement</w:t>
      </w:r>
      <w:r w:rsidR="00D36F18" w:rsidRPr="002E7273">
        <w:rPr>
          <w:noProof/>
        </w:rPr>
        <w:t>;</w:t>
      </w:r>
    </w:p>
    <w:p w14:paraId="3CA61713" w14:textId="4CB266BB" w:rsidR="00D36F18" w:rsidRPr="002E7273" w:rsidRDefault="00EF15A7" w:rsidP="00EF15A7">
      <w:pPr>
        <w:pStyle w:val="Point0"/>
        <w:rPr>
          <w:noProof/>
        </w:rPr>
      </w:pPr>
      <w:r w:rsidRPr="00EF15A7">
        <w:t>(c)</w:t>
      </w:r>
      <w:r w:rsidRPr="00EF15A7">
        <w:tab/>
      </w:r>
      <w:r w:rsidR="007B22F8">
        <w:rPr>
          <w:noProof/>
        </w:rPr>
        <w:t xml:space="preserve">where applicable, </w:t>
      </w:r>
      <w:r w:rsidR="00D36F18" w:rsidRPr="002E7273">
        <w:rPr>
          <w:noProof/>
        </w:rPr>
        <w:t>harmonise</w:t>
      </w:r>
      <w:r w:rsidR="00284894">
        <w:rPr>
          <w:noProof/>
        </w:rPr>
        <w:t xml:space="preserve">d lists of supporting documents, </w:t>
      </w:r>
      <w:r w:rsidR="00BA152A">
        <w:rPr>
          <w:noProof/>
        </w:rPr>
        <w:t>establish</w:t>
      </w:r>
      <w:r w:rsidR="005849DC">
        <w:rPr>
          <w:noProof/>
        </w:rPr>
        <w:t>ed</w:t>
      </w:r>
      <w:r w:rsidR="00BA152A">
        <w:rPr>
          <w:noProof/>
        </w:rPr>
        <w:t xml:space="preserve"> </w:t>
      </w:r>
      <w:r w:rsidR="00284894">
        <w:rPr>
          <w:noProof/>
        </w:rPr>
        <w:t xml:space="preserve">in accordance with </w:t>
      </w:r>
      <w:r w:rsidR="00D36F18" w:rsidRPr="002E7273">
        <w:rPr>
          <w:noProof/>
        </w:rPr>
        <w:t>Article 14(5a)</w:t>
      </w:r>
      <w:r w:rsidR="00284894">
        <w:rPr>
          <w:noProof/>
        </w:rPr>
        <w:t xml:space="preserve"> of</w:t>
      </w:r>
      <w:r w:rsidR="00D36F18" w:rsidRPr="002E7273">
        <w:rPr>
          <w:noProof/>
        </w:rPr>
        <w:t xml:space="preserve"> </w:t>
      </w:r>
      <w:r w:rsidR="00284894" w:rsidRPr="008A0749">
        <w:rPr>
          <w:noProof/>
        </w:rPr>
        <w:t>Regulation (EC) No 810/2009</w:t>
      </w:r>
      <w:r w:rsidR="00D36F18" w:rsidRPr="002E7273">
        <w:rPr>
          <w:noProof/>
        </w:rPr>
        <w:t>;</w:t>
      </w:r>
    </w:p>
    <w:p w14:paraId="4AD00FD7" w14:textId="2FCFA9D0" w:rsidR="006C4C42" w:rsidRDefault="00EF15A7" w:rsidP="00EF15A7">
      <w:pPr>
        <w:pStyle w:val="Point0"/>
        <w:rPr>
          <w:noProof/>
        </w:rPr>
      </w:pPr>
      <w:r w:rsidRPr="00EF15A7">
        <w:t>(d)</w:t>
      </w:r>
      <w:r w:rsidRPr="00EF15A7">
        <w:tab/>
      </w:r>
      <w:r w:rsidR="007B22F8">
        <w:rPr>
          <w:noProof/>
        </w:rPr>
        <w:t xml:space="preserve">where applicable, </w:t>
      </w:r>
      <w:r w:rsidR="00D36F18" w:rsidRPr="002E7273">
        <w:rPr>
          <w:noProof/>
        </w:rPr>
        <w:t>travel medical ins</w:t>
      </w:r>
      <w:r w:rsidR="00284894">
        <w:rPr>
          <w:noProof/>
        </w:rPr>
        <w:t xml:space="preserve">urance requirements, in accordance with Article 15 of </w:t>
      </w:r>
      <w:r w:rsidR="00284894" w:rsidRPr="008A0749">
        <w:rPr>
          <w:noProof/>
        </w:rPr>
        <w:t>Regulation (EC) No 810/2009</w:t>
      </w:r>
      <w:r w:rsidR="00D36F18" w:rsidRPr="002E7273">
        <w:rPr>
          <w:noProof/>
        </w:rPr>
        <w:t>.</w:t>
      </w:r>
    </w:p>
    <w:p w14:paraId="2AFC8013" w14:textId="77777777" w:rsidR="00D36F18" w:rsidRPr="002E7273" w:rsidRDefault="006C4C42" w:rsidP="00522FB2">
      <w:pPr>
        <w:pStyle w:val="Text1"/>
        <w:rPr>
          <w:noProof/>
        </w:rPr>
      </w:pPr>
      <w:r>
        <w:rPr>
          <w:noProof/>
        </w:rPr>
        <w:t xml:space="preserve">In case a Member State provides the information, eu-LISA shall configure the </w:t>
      </w:r>
      <w:r w:rsidR="0063496F">
        <w:rPr>
          <w:noProof/>
        </w:rPr>
        <w:t xml:space="preserve">EU application platform </w:t>
      </w:r>
      <w:r>
        <w:rPr>
          <w:noProof/>
        </w:rPr>
        <w:t xml:space="preserve">upon confirmation </w:t>
      </w:r>
      <w:r w:rsidR="00792135">
        <w:rPr>
          <w:noProof/>
        </w:rPr>
        <w:t xml:space="preserve">of this information </w:t>
      </w:r>
      <w:r>
        <w:rPr>
          <w:noProof/>
        </w:rPr>
        <w:t xml:space="preserve">from the Commission. </w:t>
      </w:r>
    </w:p>
    <w:p w14:paraId="33CA31FE" w14:textId="4EA87650" w:rsidR="00D36F18" w:rsidRPr="002E7273" w:rsidRDefault="00EF15A7" w:rsidP="00EF15A7">
      <w:pPr>
        <w:pStyle w:val="ManualNumPar1"/>
        <w:rPr>
          <w:noProof/>
        </w:rPr>
      </w:pPr>
      <w:r w:rsidRPr="00EF15A7">
        <w:t>3.</w:t>
      </w:r>
      <w:r w:rsidRPr="00EF15A7">
        <w:tab/>
      </w:r>
      <w:r w:rsidR="00D36F18" w:rsidRPr="002E7273">
        <w:rPr>
          <w:noProof/>
        </w:rPr>
        <w:t xml:space="preserve">The central visa authorities shall be responsible for </w:t>
      </w:r>
      <w:r w:rsidR="00D117FA">
        <w:rPr>
          <w:noProof/>
        </w:rPr>
        <w:t>inputting</w:t>
      </w:r>
      <w:r w:rsidR="00D36F18" w:rsidRPr="002E7273">
        <w:rPr>
          <w:noProof/>
        </w:rPr>
        <w:t xml:space="preserve"> the following elements:</w:t>
      </w:r>
    </w:p>
    <w:p w14:paraId="6EECB5FC" w14:textId="7CCC8F75" w:rsidR="00D36F18" w:rsidRPr="002E7273" w:rsidRDefault="00EF15A7" w:rsidP="00EF15A7">
      <w:pPr>
        <w:pStyle w:val="Point0"/>
        <w:rPr>
          <w:noProof/>
        </w:rPr>
      </w:pPr>
      <w:r w:rsidRPr="00EF15A7">
        <w:t>(a)</w:t>
      </w:r>
      <w:r w:rsidRPr="00EF15A7">
        <w:tab/>
      </w:r>
      <w:r w:rsidR="00D36F18" w:rsidRPr="002E7273">
        <w:rPr>
          <w:noProof/>
        </w:rPr>
        <w:t xml:space="preserve">locations of consulates and their territorial competence </w:t>
      </w:r>
      <w:r w:rsidR="004552BE">
        <w:rPr>
          <w:noProof/>
        </w:rPr>
        <w:t xml:space="preserve">referred to in </w:t>
      </w:r>
      <w:r w:rsidR="00D36F18" w:rsidRPr="002E7273">
        <w:rPr>
          <w:noProof/>
        </w:rPr>
        <w:t xml:space="preserve">Article 6 </w:t>
      </w:r>
      <w:r w:rsidR="00284894">
        <w:rPr>
          <w:noProof/>
        </w:rPr>
        <w:t xml:space="preserve">of </w:t>
      </w:r>
      <w:r w:rsidR="00284894" w:rsidRPr="008A0749">
        <w:rPr>
          <w:noProof/>
        </w:rPr>
        <w:t>Regulation (EC) No 810/2009</w:t>
      </w:r>
      <w:r w:rsidR="00D36F18" w:rsidRPr="002E7273">
        <w:rPr>
          <w:noProof/>
        </w:rPr>
        <w:t>;</w:t>
      </w:r>
    </w:p>
    <w:p w14:paraId="0A0E8727" w14:textId="4F11E6B5" w:rsidR="00D36F18" w:rsidRPr="00284894" w:rsidRDefault="00EF15A7" w:rsidP="00EF15A7">
      <w:pPr>
        <w:pStyle w:val="Point0"/>
        <w:rPr>
          <w:noProof/>
        </w:rPr>
      </w:pPr>
      <w:r w:rsidRPr="00EF15A7">
        <w:t>(b)</w:t>
      </w:r>
      <w:r w:rsidRPr="00EF15A7">
        <w:tab/>
      </w:r>
      <w:r w:rsidR="00D36F18" w:rsidRPr="00284894">
        <w:rPr>
          <w:noProof/>
        </w:rPr>
        <w:t xml:space="preserve">representation agreements </w:t>
      </w:r>
      <w:r w:rsidR="004552BE">
        <w:rPr>
          <w:noProof/>
        </w:rPr>
        <w:t>or</w:t>
      </w:r>
      <w:r w:rsidR="004552BE" w:rsidRPr="00284894">
        <w:rPr>
          <w:noProof/>
        </w:rPr>
        <w:t xml:space="preserve"> </w:t>
      </w:r>
      <w:r w:rsidR="00D36F18" w:rsidRPr="00284894">
        <w:rPr>
          <w:noProof/>
        </w:rPr>
        <w:t xml:space="preserve">arrangements </w:t>
      </w:r>
      <w:r w:rsidR="004552BE">
        <w:rPr>
          <w:noProof/>
        </w:rPr>
        <w:t xml:space="preserve">referred to in </w:t>
      </w:r>
      <w:r w:rsidR="00D36F18" w:rsidRPr="00284894">
        <w:rPr>
          <w:noProof/>
        </w:rPr>
        <w:t xml:space="preserve">Article 8 </w:t>
      </w:r>
      <w:r w:rsidR="00284894" w:rsidRPr="00284894">
        <w:rPr>
          <w:noProof/>
        </w:rPr>
        <w:t xml:space="preserve">of </w:t>
      </w:r>
      <w:r w:rsidR="00284894" w:rsidRPr="008A0749">
        <w:rPr>
          <w:noProof/>
        </w:rPr>
        <w:t>Regulation (EC) No 810/2009</w:t>
      </w:r>
      <w:r w:rsidR="00D36F18" w:rsidRPr="00284894">
        <w:rPr>
          <w:noProof/>
        </w:rPr>
        <w:t>;</w:t>
      </w:r>
    </w:p>
    <w:p w14:paraId="6A63875B" w14:textId="531E5E3B" w:rsidR="00D36F18" w:rsidRPr="002E7273" w:rsidRDefault="00EF15A7" w:rsidP="00EF15A7">
      <w:pPr>
        <w:pStyle w:val="Point0"/>
        <w:rPr>
          <w:noProof/>
        </w:rPr>
      </w:pPr>
      <w:r w:rsidRPr="00EF15A7">
        <w:t>(c)</w:t>
      </w:r>
      <w:r w:rsidRPr="00EF15A7">
        <w:tab/>
      </w:r>
      <w:r w:rsidR="00FB5FB2" w:rsidRPr="002E7273">
        <w:rPr>
          <w:noProof/>
        </w:rPr>
        <w:t>use of external service providers</w:t>
      </w:r>
      <w:r w:rsidR="00D36F18" w:rsidRPr="002E7273">
        <w:rPr>
          <w:noProof/>
        </w:rPr>
        <w:t xml:space="preserve"> and their locations </w:t>
      </w:r>
      <w:r w:rsidR="004552BE">
        <w:rPr>
          <w:noProof/>
        </w:rPr>
        <w:t xml:space="preserve">referred to in </w:t>
      </w:r>
      <w:r w:rsidR="00D36F18" w:rsidRPr="002E7273">
        <w:rPr>
          <w:noProof/>
        </w:rPr>
        <w:t xml:space="preserve">Article 43 </w:t>
      </w:r>
      <w:r w:rsidR="00284894" w:rsidRPr="00284894">
        <w:rPr>
          <w:noProof/>
        </w:rPr>
        <w:t xml:space="preserve">of </w:t>
      </w:r>
      <w:r w:rsidR="00284894" w:rsidRPr="008A0749">
        <w:rPr>
          <w:noProof/>
        </w:rPr>
        <w:t>Regulation (EC) No 810/2009</w:t>
      </w:r>
      <w:r w:rsidR="00D36F18" w:rsidRPr="002E7273">
        <w:rPr>
          <w:noProof/>
        </w:rPr>
        <w:t>;</w:t>
      </w:r>
    </w:p>
    <w:p w14:paraId="074CA400" w14:textId="548D7DC2" w:rsidR="00D36F18" w:rsidRPr="002E7273" w:rsidRDefault="00EF15A7" w:rsidP="00EF15A7">
      <w:pPr>
        <w:pStyle w:val="Point0"/>
        <w:rPr>
          <w:noProof/>
        </w:rPr>
      </w:pPr>
      <w:r w:rsidRPr="00EF15A7">
        <w:t>(d)</w:t>
      </w:r>
      <w:r w:rsidRPr="00EF15A7">
        <w:tab/>
      </w:r>
      <w:r w:rsidR="00D36F18" w:rsidRPr="002E7273">
        <w:rPr>
          <w:noProof/>
        </w:rPr>
        <w:t xml:space="preserve">supporting documents </w:t>
      </w:r>
      <w:r w:rsidR="004552BE">
        <w:rPr>
          <w:noProof/>
        </w:rPr>
        <w:t xml:space="preserve">referred to in </w:t>
      </w:r>
      <w:r w:rsidR="00D36F18" w:rsidRPr="002E7273">
        <w:rPr>
          <w:noProof/>
        </w:rPr>
        <w:t xml:space="preserve">Article 14 </w:t>
      </w:r>
      <w:r w:rsidR="00284894" w:rsidRPr="00284894">
        <w:rPr>
          <w:noProof/>
        </w:rPr>
        <w:t xml:space="preserve">of </w:t>
      </w:r>
      <w:r w:rsidR="00284894" w:rsidRPr="008A0749">
        <w:rPr>
          <w:noProof/>
        </w:rPr>
        <w:t>Regulation (EC) No 810/2009</w:t>
      </w:r>
      <w:r w:rsidR="00AE05E9">
        <w:rPr>
          <w:noProof/>
        </w:rPr>
        <w:t xml:space="preserve">, </w:t>
      </w:r>
      <w:r w:rsidR="001F449E">
        <w:rPr>
          <w:noProof/>
        </w:rPr>
        <w:t xml:space="preserve"> </w:t>
      </w:r>
      <w:r w:rsidR="00B56CFA" w:rsidRPr="00DA08CF">
        <w:rPr>
          <w:noProof/>
        </w:rPr>
        <w:t xml:space="preserve">as well as those applicable pursuant </w:t>
      </w:r>
      <w:r w:rsidR="001F449E">
        <w:rPr>
          <w:noProof/>
        </w:rPr>
        <w:t xml:space="preserve">to </w:t>
      </w:r>
      <w:r w:rsidR="00AE05E9">
        <w:rPr>
          <w:noProof/>
        </w:rPr>
        <w:t xml:space="preserve">Directive 2004/38/EC and </w:t>
      </w:r>
      <w:r w:rsidR="00AE05E9">
        <w:rPr>
          <w:noProof/>
          <w:lang w:val="en-IE"/>
        </w:rPr>
        <w:t>the EU-UK Withdrawal Agreement</w:t>
      </w:r>
      <w:r w:rsidR="00D36F18" w:rsidRPr="002E7273">
        <w:rPr>
          <w:noProof/>
        </w:rPr>
        <w:t>;</w:t>
      </w:r>
    </w:p>
    <w:p w14:paraId="223C43BB" w14:textId="298453BF" w:rsidR="00D36F18" w:rsidRPr="002E7273" w:rsidRDefault="00EF15A7" w:rsidP="00EF15A7">
      <w:pPr>
        <w:pStyle w:val="Point0"/>
        <w:rPr>
          <w:noProof/>
        </w:rPr>
      </w:pPr>
      <w:r w:rsidRPr="00EF15A7">
        <w:t>(e)</w:t>
      </w:r>
      <w:r w:rsidRPr="00EF15A7">
        <w:tab/>
      </w:r>
      <w:r w:rsidR="00D36F18" w:rsidRPr="002E7273">
        <w:rPr>
          <w:noProof/>
        </w:rPr>
        <w:t xml:space="preserve">optional visa waivers </w:t>
      </w:r>
      <w:r w:rsidR="004552BE">
        <w:rPr>
          <w:noProof/>
        </w:rPr>
        <w:t xml:space="preserve">referred to in </w:t>
      </w:r>
      <w:r w:rsidR="00D36F18" w:rsidRPr="002E7273">
        <w:rPr>
          <w:noProof/>
        </w:rPr>
        <w:t xml:space="preserve">Article 6 </w:t>
      </w:r>
      <w:r w:rsidR="00284894" w:rsidRPr="002E7273">
        <w:rPr>
          <w:noProof/>
        </w:rPr>
        <w:t xml:space="preserve">of </w:t>
      </w:r>
      <w:r w:rsidR="00284894" w:rsidRPr="00CE311F">
        <w:rPr>
          <w:noProof/>
        </w:rPr>
        <w:t>Regulation (EU) 2018/1806</w:t>
      </w:r>
      <w:r w:rsidR="00D36F18" w:rsidRPr="002E7273">
        <w:rPr>
          <w:noProof/>
        </w:rPr>
        <w:t>;</w:t>
      </w:r>
    </w:p>
    <w:p w14:paraId="7CFF2B74" w14:textId="7FD1AA6F" w:rsidR="00D36F18" w:rsidRPr="002E5202" w:rsidRDefault="00EF15A7" w:rsidP="00EF15A7">
      <w:pPr>
        <w:pStyle w:val="Point0"/>
        <w:rPr>
          <w:noProof/>
        </w:rPr>
      </w:pPr>
      <w:r w:rsidRPr="00EF15A7">
        <w:t>(f)</w:t>
      </w:r>
      <w:r w:rsidRPr="00EF15A7">
        <w:tab/>
      </w:r>
      <w:r w:rsidR="00D36F18" w:rsidRPr="002E5202">
        <w:rPr>
          <w:noProof/>
        </w:rPr>
        <w:t xml:space="preserve">optional visa fee waivers </w:t>
      </w:r>
      <w:r w:rsidR="004552BE">
        <w:rPr>
          <w:noProof/>
        </w:rPr>
        <w:t xml:space="preserve">referred to in </w:t>
      </w:r>
      <w:r w:rsidR="00D36F18" w:rsidRPr="002E5202">
        <w:rPr>
          <w:noProof/>
        </w:rPr>
        <w:t xml:space="preserve">Article 16(5) </w:t>
      </w:r>
      <w:r w:rsidR="00284894" w:rsidRPr="008A0749">
        <w:rPr>
          <w:noProof/>
        </w:rPr>
        <w:t>Regulation (EC) No 810/2009</w:t>
      </w:r>
      <w:r w:rsidR="00D36F18" w:rsidRPr="002E5202">
        <w:rPr>
          <w:noProof/>
        </w:rPr>
        <w:t>.</w:t>
      </w:r>
    </w:p>
    <w:p w14:paraId="64330F21" w14:textId="7E117C12" w:rsidR="00D36F18" w:rsidRPr="002E7273" w:rsidRDefault="00EF15A7" w:rsidP="00EF15A7">
      <w:pPr>
        <w:pStyle w:val="ManualNumPar1"/>
        <w:rPr>
          <w:noProof/>
        </w:rPr>
      </w:pPr>
      <w:r w:rsidRPr="00EF15A7">
        <w:t>4.</w:t>
      </w:r>
      <w:r w:rsidRPr="00EF15A7">
        <w:tab/>
      </w:r>
      <w:r w:rsidR="00D36F18" w:rsidRPr="002E7273">
        <w:rPr>
          <w:noProof/>
        </w:rPr>
        <w:t>The</w:t>
      </w:r>
      <w:r w:rsidR="00B84A3B" w:rsidRPr="002E7273">
        <w:rPr>
          <w:noProof/>
        </w:rPr>
        <w:t xml:space="preserve"> consulate or the central authorities of the competent Member State</w:t>
      </w:r>
      <w:r w:rsidR="00D36F18" w:rsidRPr="002E7273">
        <w:rPr>
          <w:noProof/>
        </w:rPr>
        <w:t xml:space="preserve"> shall be responsible for </w:t>
      </w:r>
      <w:r w:rsidR="001F449E">
        <w:rPr>
          <w:noProof/>
        </w:rPr>
        <w:t>inputting</w:t>
      </w:r>
      <w:r w:rsidR="00C730E6">
        <w:rPr>
          <w:noProof/>
        </w:rPr>
        <w:t xml:space="preserve"> </w:t>
      </w:r>
      <w:r w:rsidR="00D36F18" w:rsidRPr="002E7273">
        <w:rPr>
          <w:noProof/>
        </w:rPr>
        <w:t>the following elements:</w:t>
      </w:r>
    </w:p>
    <w:p w14:paraId="15D846EC" w14:textId="0DAE9832" w:rsidR="00D36F18" w:rsidRPr="002E7273" w:rsidRDefault="00EF15A7" w:rsidP="00EF15A7">
      <w:pPr>
        <w:pStyle w:val="Point0"/>
        <w:rPr>
          <w:noProof/>
        </w:rPr>
      </w:pPr>
      <w:r w:rsidRPr="00EF15A7">
        <w:t>(a)</w:t>
      </w:r>
      <w:r w:rsidRPr="00EF15A7">
        <w:tab/>
      </w:r>
      <w:r w:rsidR="0026087F" w:rsidRPr="002E7273">
        <w:rPr>
          <w:noProof/>
        </w:rPr>
        <w:t>c</w:t>
      </w:r>
      <w:r w:rsidR="00D36F18" w:rsidRPr="002E7273">
        <w:rPr>
          <w:noProof/>
        </w:rPr>
        <w:t xml:space="preserve">ontact </w:t>
      </w:r>
      <w:r w:rsidR="00FB5FB2" w:rsidRPr="002E7273">
        <w:rPr>
          <w:noProof/>
        </w:rPr>
        <w:t>details and access rights of external service providers</w:t>
      </w:r>
      <w:r w:rsidR="00D36F18" w:rsidRPr="002E7273">
        <w:rPr>
          <w:noProof/>
        </w:rPr>
        <w:t xml:space="preserve"> </w:t>
      </w:r>
      <w:r w:rsidR="004552BE">
        <w:rPr>
          <w:noProof/>
        </w:rPr>
        <w:t xml:space="preserve">including </w:t>
      </w:r>
      <w:r w:rsidR="00D36F18" w:rsidRPr="002E7273">
        <w:rPr>
          <w:noProof/>
        </w:rPr>
        <w:t>for the appointment tool;</w:t>
      </w:r>
    </w:p>
    <w:p w14:paraId="25258EB9" w14:textId="1461F988" w:rsidR="00D36F18" w:rsidRPr="002E7273" w:rsidRDefault="00EF15A7" w:rsidP="00EF15A7">
      <w:pPr>
        <w:pStyle w:val="Point0"/>
        <w:rPr>
          <w:noProof/>
        </w:rPr>
      </w:pPr>
      <w:r w:rsidRPr="00EF15A7">
        <w:t>(b)</w:t>
      </w:r>
      <w:r w:rsidRPr="00EF15A7">
        <w:tab/>
      </w:r>
      <w:r w:rsidR="00D36F18" w:rsidRPr="002E7273">
        <w:rPr>
          <w:noProof/>
        </w:rPr>
        <w:t>appointment tool, including available slots;</w:t>
      </w:r>
    </w:p>
    <w:p w14:paraId="2CE11185" w14:textId="39A89B7E" w:rsidR="00D36F18" w:rsidRPr="002E7273" w:rsidRDefault="00EF15A7" w:rsidP="00EF15A7">
      <w:pPr>
        <w:pStyle w:val="Point0"/>
        <w:rPr>
          <w:noProof/>
        </w:rPr>
      </w:pPr>
      <w:r w:rsidRPr="00EF15A7">
        <w:t>(c)</w:t>
      </w:r>
      <w:r w:rsidRPr="00EF15A7">
        <w:tab/>
      </w:r>
      <w:r w:rsidR="00D36F18" w:rsidRPr="002E7273">
        <w:rPr>
          <w:noProof/>
        </w:rPr>
        <w:t>number of applications accepted per week/month.</w:t>
      </w:r>
    </w:p>
    <w:p w14:paraId="5169EBA4" w14:textId="77777777" w:rsidR="00D36F18" w:rsidRDefault="00D36F18" w:rsidP="00D36F18">
      <w:pPr>
        <w:pStyle w:val="Titrearticle"/>
        <w:rPr>
          <w:noProof/>
        </w:rPr>
      </w:pPr>
      <w:r>
        <w:rPr>
          <w:noProof/>
        </w:rPr>
        <w:t>Article 7b</w:t>
      </w:r>
      <w:r>
        <w:rPr>
          <w:noProof/>
        </w:rPr>
        <w:br/>
      </w:r>
      <w:r w:rsidR="00C17906">
        <w:rPr>
          <w:noProof/>
        </w:rPr>
        <w:t>Online a</w:t>
      </w:r>
      <w:r>
        <w:rPr>
          <w:noProof/>
        </w:rPr>
        <w:t>pplication form</w:t>
      </w:r>
    </w:p>
    <w:p w14:paraId="6781C1A0" w14:textId="7B319EDE" w:rsidR="00891AA0" w:rsidRDefault="00EF15A7" w:rsidP="00EF15A7">
      <w:pPr>
        <w:pStyle w:val="ManualNumPar1"/>
        <w:rPr>
          <w:noProof/>
        </w:rPr>
      </w:pPr>
      <w:r w:rsidRPr="00EF15A7">
        <w:t>1.</w:t>
      </w:r>
      <w:r w:rsidRPr="00EF15A7">
        <w:tab/>
      </w:r>
      <w:r w:rsidR="00891AA0" w:rsidRPr="00891AA0">
        <w:rPr>
          <w:noProof/>
        </w:rPr>
        <w:t xml:space="preserve">Each applicant shall submit a completed </w:t>
      </w:r>
      <w:r w:rsidR="00C17906">
        <w:rPr>
          <w:noProof/>
        </w:rPr>
        <w:t xml:space="preserve">online </w:t>
      </w:r>
      <w:r w:rsidR="00891AA0" w:rsidRPr="00891AA0">
        <w:rPr>
          <w:noProof/>
        </w:rPr>
        <w:t>application</w:t>
      </w:r>
      <w:r w:rsidR="00891AA0">
        <w:rPr>
          <w:noProof/>
        </w:rPr>
        <w:t xml:space="preserve"> referred to in </w:t>
      </w:r>
      <w:r w:rsidR="00891AA0" w:rsidRPr="00891AA0">
        <w:rPr>
          <w:noProof/>
        </w:rPr>
        <w:t xml:space="preserve">Article </w:t>
      </w:r>
      <w:r w:rsidR="00891AA0">
        <w:rPr>
          <w:noProof/>
        </w:rPr>
        <w:t>11</w:t>
      </w:r>
      <w:r w:rsidR="00891AA0" w:rsidRPr="00891AA0">
        <w:rPr>
          <w:noProof/>
        </w:rPr>
        <w:t xml:space="preserve"> of Regulation (EC) No 810/2009</w:t>
      </w:r>
      <w:r w:rsidR="00D96831">
        <w:rPr>
          <w:noProof/>
        </w:rPr>
        <w:t>, using the EU application platform</w:t>
      </w:r>
      <w:r w:rsidR="00891AA0">
        <w:rPr>
          <w:noProof/>
        </w:rPr>
        <w:t xml:space="preserve">. </w:t>
      </w:r>
    </w:p>
    <w:p w14:paraId="77EE092A" w14:textId="55961F0A" w:rsidR="00C1148F" w:rsidRPr="00C1148F" w:rsidRDefault="00EF15A7" w:rsidP="00EF15A7">
      <w:pPr>
        <w:pStyle w:val="ManualNumPar1"/>
        <w:rPr>
          <w:noProof/>
        </w:rPr>
      </w:pPr>
      <w:r w:rsidRPr="00EF15A7">
        <w:t>2.</w:t>
      </w:r>
      <w:r w:rsidRPr="00EF15A7">
        <w:tab/>
      </w:r>
      <w:r w:rsidR="00006D59">
        <w:rPr>
          <w:noProof/>
        </w:rPr>
        <w:t xml:space="preserve">Without prejudice to Article 7ba, </w:t>
      </w:r>
      <w:r w:rsidR="00891AA0" w:rsidRPr="00C1148F">
        <w:rPr>
          <w:noProof/>
        </w:rPr>
        <w:t>he applicant shall provide the following personal data in the application form</w:t>
      </w:r>
      <w:r w:rsidR="00C1148F" w:rsidRPr="00C1148F">
        <w:rPr>
          <w:noProof/>
        </w:rPr>
        <w:t>:</w:t>
      </w:r>
    </w:p>
    <w:p w14:paraId="01E27BA2" w14:textId="3F08F46F" w:rsidR="00F97C1C" w:rsidRDefault="00EF15A7" w:rsidP="00EF15A7">
      <w:pPr>
        <w:pStyle w:val="Point1"/>
        <w:rPr>
          <w:noProof/>
        </w:rPr>
      </w:pPr>
      <w:r w:rsidRPr="00EF15A7">
        <w:t>(1)</w:t>
      </w:r>
      <w:r w:rsidRPr="00EF15A7">
        <w:tab/>
      </w:r>
      <w:r w:rsidR="00F4474C">
        <w:rPr>
          <w:noProof/>
        </w:rPr>
        <w:t>s</w:t>
      </w:r>
      <w:r w:rsidR="00F97C1C">
        <w:rPr>
          <w:noProof/>
        </w:rPr>
        <w:t>urname</w:t>
      </w:r>
      <w:r w:rsidR="00907D69">
        <w:rPr>
          <w:noProof/>
        </w:rPr>
        <w:t>(s)</w:t>
      </w:r>
      <w:r w:rsidR="00F97C1C">
        <w:rPr>
          <w:noProof/>
        </w:rPr>
        <w:t xml:space="preserve"> (family name)</w:t>
      </w:r>
      <w:r w:rsidR="00BA152A">
        <w:rPr>
          <w:noProof/>
        </w:rPr>
        <w:t>;</w:t>
      </w:r>
      <w:r w:rsidR="00F97C1C">
        <w:rPr>
          <w:noProof/>
        </w:rPr>
        <w:t xml:space="preserve"> </w:t>
      </w:r>
    </w:p>
    <w:p w14:paraId="68ADB490" w14:textId="24392339" w:rsidR="00F97C1C" w:rsidRDefault="00EF15A7" w:rsidP="00EF15A7">
      <w:pPr>
        <w:pStyle w:val="Point1"/>
        <w:rPr>
          <w:noProof/>
        </w:rPr>
      </w:pPr>
      <w:r w:rsidRPr="00EF15A7">
        <w:t>(2)</w:t>
      </w:r>
      <w:r w:rsidRPr="00EF15A7">
        <w:tab/>
      </w:r>
      <w:r w:rsidR="00F4474C">
        <w:rPr>
          <w:noProof/>
        </w:rPr>
        <w:t>s</w:t>
      </w:r>
      <w:r w:rsidR="00F97C1C">
        <w:rPr>
          <w:noProof/>
        </w:rPr>
        <w:t>urname at birth (</w:t>
      </w:r>
      <w:r w:rsidR="00D45C02">
        <w:rPr>
          <w:noProof/>
        </w:rPr>
        <w:t>f</w:t>
      </w:r>
      <w:r w:rsidR="00F97C1C">
        <w:rPr>
          <w:noProof/>
        </w:rPr>
        <w:t xml:space="preserve">ormer family name(s)); </w:t>
      </w:r>
    </w:p>
    <w:p w14:paraId="6AF4F9CA" w14:textId="0D342341" w:rsidR="00F97C1C" w:rsidRDefault="00EF15A7" w:rsidP="00EF15A7">
      <w:pPr>
        <w:pStyle w:val="Point1"/>
        <w:rPr>
          <w:noProof/>
        </w:rPr>
      </w:pPr>
      <w:r w:rsidRPr="00EF15A7">
        <w:t>(3)</w:t>
      </w:r>
      <w:r w:rsidRPr="00EF15A7">
        <w:tab/>
      </w:r>
      <w:r w:rsidR="00F4474C">
        <w:rPr>
          <w:noProof/>
        </w:rPr>
        <w:t>f</w:t>
      </w:r>
      <w:r w:rsidR="00F97C1C">
        <w:rPr>
          <w:noProof/>
        </w:rPr>
        <w:t>irst name(s) (</w:t>
      </w:r>
      <w:r w:rsidR="00D45C02">
        <w:rPr>
          <w:noProof/>
        </w:rPr>
        <w:t>g</w:t>
      </w:r>
      <w:r w:rsidR="00F97C1C">
        <w:rPr>
          <w:noProof/>
        </w:rPr>
        <w:t>iven name(s))</w:t>
      </w:r>
      <w:r w:rsidR="00BA152A">
        <w:rPr>
          <w:noProof/>
        </w:rPr>
        <w:t>;</w:t>
      </w:r>
    </w:p>
    <w:p w14:paraId="531FA66E" w14:textId="45774F90" w:rsidR="00F97C1C" w:rsidRDefault="00EF15A7" w:rsidP="00EF15A7">
      <w:pPr>
        <w:pStyle w:val="Point1"/>
        <w:rPr>
          <w:noProof/>
        </w:rPr>
      </w:pPr>
      <w:r w:rsidRPr="00EF15A7">
        <w:t>(4)</w:t>
      </w:r>
      <w:r w:rsidRPr="00EF15A7">
        <w:tab/>
      </w:r>
      <w:r w:rsidR="00F4474C">
        <w:rPr>
          <w:noProof/>
        </w:rPr>
        <w:t>d</w:t>
      </w:r>
      <w:r w:rsidR="00F97C1C">
        <w:rPr>
          <w:noProof/>
        </w:rPr>
        <w:t>ate of birth (day-month-year)</w:t>
      </w:r>
      <w:r w:rsidR="00BA152A">
        <w:rPr>
          <w:noProof/>
        </w:rPr>
        <w:t>;</w:t>
      </w:r>
    </w:p>
    <w:p w14:paraId="0040A11B" w14:textId="438E4EF1" w:rsidR="00F97C1C" w:rsidRDefault="00EF15A7" w:rsidP="00EF15A7">
      <w:pPr>
        <w:pStyle w:val="Point1"/>
        <w:rPr>
          <w:noProof/>
        </w:rPr>
      </w:pPr>
      <w:r w:rsidRPr="00EF15A7">
        <w:t>(5)</w:t>
      </w:r>
      <w:r w:rsidRPr="00EF15A7">
        <w:tab/>
      </w:r>
      <w:r w:rsidR="00F4474C">
        <w:rPr>
          <w:noProof/>
        </w:rPr>
        <w:t>p</w:t>
      </w:r>
      <w:r w:rsidR="00F97C1C">
        <w:rPr>
          <w:noProof/>
        </w:rPr>
        <w:t>lace of birth</w:t>
      </w:r>
      <w:r w:rsidR="00BA152A">
        <w:rPr>
          <w:noProof/>
        </w:rPr>
        <w:t>;</w:t>
      </w:r>
    </w:p>
    <w:p w14:paraId="4A7145CD" w14:textId="547264B5" w:rsidR="00F97C1C" w:rsidRDefault="00EF15A7" w:rsidP="00EF15A7">
      <w:pPr>
        <w:pStyle w:val="Point1"/>
        <w:rPr>
          <w:noProof/>
        </w:rPr>
      </w:pPr>
      <w:r w:rsidRPr="00EF15A7">
        <w:t>(6)</w:t>
      </w:r>
      <w:r w:rsidRPr="00EF15A7">
        <w:tab/>
      </w:r>
      <w:r w:rsidR="00F4474C">
        <w:rPr>
          <w:noProof/>
        </w:rPr>
        <w:t>c</w:t>
      </w:r>
      <w:r w:rsidR="00F97C1C">
        <w:rPr>
          <w:noProof/>
        </w:rPr>
        <w:t>ountry of birth</w:t>
      </w:r>
      <w:r w:rsidR="00BA152A">
        <w:rPr>
          <w:noProof/>
        </w:rPr>
        <w:t>;</w:t>
      </w:r>
    </w:p>
    <w:p w14:paraId="768F9DC4" w14:textId="6CD22215" w:rsidR="00F97C1C" w:rsidRDefault="00EF15A7" w:rsidP="00EF15A7">
      <w:pPr>
        <w:pStyle w:val="Point1"/>
        <w:rPr>
          <w:noProof/>
        </w:rPr>
      </w:pPr>
      <w:r w:rsidRPr="00EF15A7">
        <w:t>(7)</w:t>
      </w:r>
      <w:r w:rsidRPr="00EF15A7">
        <w:tab/>
      </w:r>
      <w:r w:rsidR="00F4474C">
        <w:rPr>
          <w:noProof/>
        </w:rPr>
        <w:t>c</w:t>
      </w:r>
      <w:r w:rsidR="00F97C1C">
        <w:rPr>
          <w:noProof/>
        </w:rPr>
        <w:t xml:space="preserve">urrent nationality; </w:t>
      </w:r>
      <w:r w:rsidR="00D45C02">
        <w:rPr>
          <w:noProof/>
        </w:rPr>
        <w:t>n</w:t>
      </w:r>
      <w:r w:rsidR="00F97C1C">
        <w:rPr>
          <w:noProof/>
        </w:rPr>
        <w:t xml:space="preserve">ationalities at birth, if different; </w:t>
      </w:r>
      <w:r w:rsidR="00D45C02">
        <w:rPr>
          <w:noProof/>
        </w:rPr>
        <w:t>o</w:t>
      </w:r>
      <w:r w:rsidR="00F97C1C">
        <w:rPr>
          <w:noProof/>
        </w:rPr>
        <w:t>ther nationalities</w:t>
      </w:r>
      <w:r w:rsidR="00BA152A">
        <w:rPr>
          <w:noProof/>
        </w:rPr>
        <w:t>;</w:t>
      </w:r>
    </w:p>
    <w:p w14:paraId="7EA45DB0" w14:textId="3D186B1E" w:rsidR="00F97C1C" w:rsidRDefault="00EF15A7" w:rsidP="00EF15A7">
      <w:pPr>
        <w:pStyle w:val="Point1"/>
        <w:rPr>
          <w:noProof/>
        </w:rPr>
      </w:pPr>
      <w:r w:rsidRPr="00EF15A7">
        <w:t>(8)</w:t>
      </w:r>
      <w:r w:rsidRPr="00EF15A7">
        <w:tab/>
      </w:r>
      <w:r w:rsidR="00F4474C">
        <w:rPr>
          <w:noProof/>
        </w:rPr>
        <w:t>s</w:t>
      </w:r>
      <w:r w:rsidR="00F97C1C">
        <w:rPr>
          <w:noProof/>
        </w:rPr>
        <w:t>ex</w:t>
      </w:r>
      <w:r w:rsidR="00BA152A">
        <w:rPr>
          <w:noProof/>
        </w:rPr>
        <w:t>;</w:t>
      </w:r>
    </w:p>
    <w:p w14:paraId="02AB21F3" w14:textId="0C65EBEC" w:rsidR="00F97C1C" w:rsidRDefault="00EF15A7" w:rsidP="00EF15A7">
      <w:pPr>
        <w:pStyle w:val="Point1"/>
        <w:rPr>
          <w:noProof/>
        </w:rPr>
      </w:pPr>
      <w:r w:rsidRPr="00EF15A7">
        <w:t>(9)</w:t>
      </w:r>
      <w:r w:rsidRPr="00EF15A7">
        <w:tab/>
      </w:r>
      <w:r w:rsidR="00F4474C">
        <w:rPr>
          <w:noProof/>
        </w:rPr>
        <w:t>c</w:t>
      </w:r>
      <w:r w:rsidR="00F97C1C">
        <w:rPr>
          <w:noProof/>
        </w:rPr>
        <w:t>ivil status</w:t>
      </w:r>
      <w:r w:rsidR="00BA152A">
        <w:rPr>
          <w:noProof/>
        </w:rPr>
        <w:t>;</w:t>
      </w:r>
    </w:p>
    <w:p w14:paraId="7A42283D" w14:textId="6025276A" w:rsidR="00F97C1C" w:rsidRDefault="00EF15A7" w:rsidP="00EF15A7">
      <w:pPr>
        <w:pStyle w:val="Point1"/>
        <w:rPr>
          <w:noProof/>
        </w:rPr>
      </w:pPr>
      <w:r w:rsidRPr="00EF15A7">
        <w:t>(10)</w:t>
      </w:r>
      <w:r w:rsidRPr="00EF15A7">
        <w:tab/>
      </w:r>
      <w:r w:rsidR="00F4474C">
        <w:rPr>
          <w:noProof/>
        </w:rPr>
        <w:t>p</w:t>
      </w:r>
      <w:r w:rsidR="00F97C1C">
        <w:rPr>
          <w:noProof/>
        </w:rPr>
        <w:t>arental authority (in case of minors) /legal guardian (surname, first name, address, if different from the applicant’s, telephone n</w:t>
      </w:r>
      <w:r w:rsidR="0060550F">
        <w:rPr>
          <w:noProof/>
        </w:rPr>
        <w:t>umber</w:t>
      </w:r>
      <w:r w:rsidR="00F97C1C">
        <w:rPr>
          <w:noProof/>
        </w:rPr>
        <w:t>, e-mail address, and nationality)</w:t>
      </w:r>
      <w:r w:rsidR="00BA152A">
        <w:rPr>
          <w:noProof/>
        </w:rPr>
        <w:t>;</w:t>
      </w:r>
    </w:p>
    <w:p w14:paraId="570E9882" w14:textId="4C472361" w:rsidR="00F97C1C" w:rsidRDefault="00EF15A7" w:rsidP="00EF15A7">
      <w:pPr>
        <w:pStyle w:val="Point1"/>
        <w:rPr>
          <w:noProof/>
        </w:rPr>
      </w:pPr>
      <w:r w:rsidRPr="00EF15A7">
        <w:t>(11)</w:t>
      </w:r>
      <w:r w:rsidRPr="00EF15A7">
        <w:tab/>
      </w:r>
      <w:r w:rsidR="00F4474C">
        <w:rPr>
          <w:noProof/>
        </w:rPr>
        <w:t>n</w:t>
      </w:r>
      <w:r w:rsidR="00F97C1C">
        <w:rPr>
          <w:noProof/>
        </w:rPr>
        <w:t>ational identity number, where applicable</w:t>
      </w:r>
      <w:r w:rsidR="00BA152A">
        <w:rPr>
          <w:noProof/>
        </w:rPr>
        <w:t>;</w:t>
      </w:r>
    </w:p>
    <w:p w14:paraId="65FD96CE" w14:textId="3A939EFD" w:rsidR="00F97C1C" w:rsidRDefault="00EF15A7" w:rsidP="00EF15A7">
      <w:pPr>
        <w:pStyle w:val="Point1"/>
        <w:rPr>
          <w:noProof/>
        </w:rPr>
      </w:pPr>
      <w:r w:rsidRPr="00EF15A7">
        <w:t>(12)</w:t>
      </w:r>
      <w:r w:rsidRPr="00EF15A7">
        <w:tab/>
      </w:r>
      <w:r w:rsidR="00F4474C">
        <w:rPr>
          <w:noProof/>
        </w:rPr>
        <w:t>t</w:t>
      </w:r>
      <w:r w:rsidR="00F97C1C">
        <w:rPr>
          <w:noProof/>
        </w:rPr>
        <w:t>ype of travel document</w:t>
      </w:r>
      <w:r w:rsidR="00BA152A">
        <w:rPr>
          <w:noProof/>
        </w:rPr>
        <w:t>;</w:t>
      </w:r>
    </w:p>
    <w:p w14:paraId="4C8F4609" w14:textId="688111C5" w:rsidR="00F97C1C" w:rsidRDefault="00EF15A7" w:rsidP="00EF15A7">
      <w:pPr>
        <w:pStyle w:val="Point1"/>
        <w:rPr>
          <w:noProof/>
        </w:rPr>
      </w:pPr>
      <w:r w:rsidRPr="00EF15A7">
        <w:t>(13)</w:t>
      </w:r>
      <w:r w:rsidRPr="00EF15A7">
        <w:tab/>
      </w:r>
      <w:r w:rsidR="00F4474C">
        <w:rPr>
          <w:noProof/>
        </w:rPr>
        <w:t>n</w:t>
      </w:r>
      <w:r w:rsidR="00F97C1C">
        <w:rPr>
          <w:noProof/>
        </w:rPr>
        <w:t>umber of the travel document</w:t>
      </w:r>
      <w:r w:rsidR="00BA152A">
        <w:rPr>
          <w:noProof/>
        </w:rPr>
        <w:t>;</w:t>
      </w:r>
      <w:r w:rsidR="00F97C1C">
        <w:rPr>
          <w:noProof/>
        </w:rPr>
        <w:t xml:space="preserve"> </w:t>
      </w:r>
    </w:p>
    <w:p w14:paraId="2F7EA202" w14:textId="502CFA09" w:rsidR="00F97C1C" w:rsidRDefault="00EF15A7" w:rsidP="00EF15A7">
      <w:pPr>
        <w:pStyle w:val="Point1"/>
        <w:rPr>
          <w:noProof/>
        </w:rPr>
      </w:pPr>
      <w:r w:rsidRPr="00EF15A7">
        <w:t>(14)</w:t>
      </w:r>
      <w:r w:rsidRPr="00EF15A7">
        <w:tab/>
      </w:r>
      <w:r w:rsidR="00F4474C">
        <w:rPr>
          <w:noProof/>
        </w:rPr>
        <w:t>d</w:t>
      </w:r>
      <w:r w:rsidR="00F97C1C">
        <w:rPr>
          <w:noProof/>
        </w:rPr>
        <w:t>ate of issue</w:t>
      </w:r>
      <w:r w:rsidR="00BA152A">
        <w:rPr>
          <w:noProof/>
        </w:rPr>
        <w:t>;</w:t>
      </w:r>
    </w:p>
    <w:p w14:paraId="2819FF4B" w14:textId="45079D5E" w:rsidR="00F97C1C" w:rsidRDefault="00EF15A7" w:rsidP="00EF15A7">
      <w:pPr>
        <w:pStyle w:val="Point1"/>
        <w:rPr>
          <w:noProof/>
        </w:rPr>
      </w:pPr>
      <w:r w:rsidRPr="00EF15A7">
        <w:t>(15)</w:t>
      </w:r>
      <w:r w:rsidRPr="00EF15A7">
        <w:tab/>
      </w:r>
      <w:r w:rsidR="00F4474C">
        <w:rPr>
          <w:noProof/>
        </w:rPr>
        <w:t>v</w:t>
      </w:r>
      <w:r w:rsidR="00F97C1C">
        <w:rPr>
          <w:noProof/>
        </w:rPr>
        <w:t>alid until</w:t>
      </w:r>
      <w:r w:rsidR="00BA152A">
        <w:rPr>
          <w:noProof/>
        </w:rPr>
        <w:t>;</w:t>
      </w:r>
    </w:p>
    <w:p w14:paraId="0863AE8D" w14:textId="2B966E06" w:rsidR="00F97C1C" w:rsidRDefault="00EF15A7" w:rsidP="00EF15A7">
      <w:pPr>
        <w:pStyle w:val="Point1"/>
        <w:rPr>
          <w:noProof/>
        </w:rPr>
      </w:pPr>
      <w:r w:rsidRPr="00EF15A7">
        <w:t>(16)</w:t>
      </w:r>
      <w:r w:rsidRPr="00EF15A7">
        <w:tab/>
      </w:r>
      <w:r w:rsidR="00F4474C">
        <w:rPr>
          <w:noProof/>
        </w:rPr>
        <w:t>i</w:t>
      </w:r>
      <w:r w:rsidR="00F97C1C">
        <w:rPr>
          <w:noProof/>
        </w:rPr>
        <w:t>ssued by (country)</w:t>
      </w:r>
      <w:r w:rsidR="00BA152A">
        <w:rPr>
          <w:noProof/>
        </w:rPr>
        <w:t>;</w:t>
      </w:r>
    </w:p>
    <w:p w14:paraId="732C0394" w14:textId="5ADB569B" w:rsidR="00F97C1C" w:rsidRDefault="00EF15A7" w:rsidP="00EF15A7">
      <w:pPr>
        <w:pStyle w:val="Point1"/>
        <w:rPr>
          <w:noProof/>
        </w:rPr>
      </w:pPr>
      <w:r w:rsidRPr="00EF15A7">
        <w:t>(17)</w:t>
      </w:r>
      <w:r w:rsidRPr="00EF15A7">
        <w:tab/>
      </w:r>
      <w:r w:rsidR="00F4474C">
        <w:rPr>
          <w:noProof/>
        </w:rPr>
        <w:t>p</w:t>
      </w:r>
      <w:r w:rsidR="00F97C1C">
        <w:rPr>
          <w:noProof/>
        </w:rPr>
        <w:t>ersonal data of the family member who is a</w:t>
      </w:r>
      <w:r w:rsidR="00F11D99">
        <w:rPr>
          <w:noProof/>
        </w:rPr>
        <w:t xml:space="preserve"> mobil</w:t>
      </w:r>
      <w:r w:rsidR="00ED0A85">
        <w:rPr>
          <w:noProof/>
        </w:rPr>
        <w:t xml:space="preserve">e </w:t>
      </w:r>
      <w:r w:rsidR="00F11D99">
        <w:rPr>
          <w:noProof/>
        </w:rPr>
        <w:t>e</w:t>
      </w:r>
      <w:r w:rsidR="00F97C1C">
        <w:rPr>
          <w:noProof/>
        </w:rPr>
        <w:t xml:space="preserve"> EU, EEA or CH citizen</w:t>
      </w:r>
      <w:r w:rsidR="00E17BC2">
        <w:rPr>
          <w:noProof/>
        </w:rPr>
        <w:t xml:space="preserve">  or </w:t>
      </w:r>
      <w:r w:rsidR="00671E32">
        <w:rPr>
          <w:noProof/>
        </w:rPr>
        <w:t xml:space="preserve">who is </w:t>
      </w:r>
      <w:r w:rsidR="00E17BC2">
        <w:rPr>
          <w:noProof/>
        </w:rPr>
        <w:t xml:space="preserve">a UK national beneficiary of the EU-UK Withdrawal </w:t>
      </w:r>
      <w:r w:rsidR="00BA152A" w:rsidRPr="00EC0933">
        <w:rPr>
          <w:noProof/>
          <w:lang w:val="en-IE"/>
        </w:rPr>
        <w:t>Agreement</w:t>
      </w:r>
      <w:r w:rsidR="00BA152A" w:rsidRPr="00B73EDB">
        <w:rPr>
          <w:noProof/>
        </w:rPr>
        <w:t xml:space="preserve"> </w:t>
      </w:r>
      <w:r w:rsidR="00B56CFA" w:rsidRPr="00DA08CF">
        <w:rPr>
          <w:noProof/>
        </w:rPr>
        <w:t>in the host State for which the visa application is made</w:t>
      </w:r>
      <w:r w:rsidR="00330893">
        <w:rPr>
          <w:noProof/>
        </w:rPr>
        <w:t xml:space="preserve">, </w:t>
      </w:r>
      <w:r w:rsidR="00F97C1C">
        <w:rPr>
          <w:noProof/>
        </w:rPr>
        <w:t xml:space="preserve">if applicable: </w:t>
      </w:r>
      <w:r w:rsidR="00BA152A">
        <w:rPr>
          <w:noProof/>
        </w:rPr>
        <w:t>s</w:t>
      </w:r>
      <w:r w:rsidR="00F97C1C">
        <w:rPr>
          <w:noProof/>
        </w:rPr>
        <w:t>urname (</w:t>
      </w:r>
      <w:r w:rsidR="00BA152A">
        <w:rPr>
          <w:noProof/>
        </w:rPr>
        <w:t>f</w:t>
      </w:r>
      <w:r w:rsidR="00F97C1C">
        <w:rPr>
          <w:noProof/>
        </w:rPr>
        <w:t xml:space="preserve">amily name), </w:t>
      </w:r>
      <w:r w:rsidR="00BA152A">
        <w:rPr>
          <w:noProof/>
        </w:rPr>
        <w:t>f</w:t>
      </w:r>
      <w:r w:rsidR="00F97C1C">
        <w:rPr>
          <w:noProof/>
        </w:rPr>
        <w:t>irst name(s) (</w:t>
      </w:r>
      <w:r w:rsidR="00BA152A">
        <w:rPr>
          <w:noProof/>
        </w:rPr>
        <w:t>g</w:t>
      </w:r>
      <w:r w:rsidR="00F97C1C">
        <w:rPr>
          <w:noProof/>
        </w:rPr>
        <w:t xml:space="preserve">iven name(s)), </w:t>
      </w:r>
      <w:r w:rsidR="00BA152A">
        <w:rPr>
          <w:noProof/>
        </w:rPr>
        <w:t>d</w:t>
      </w:r>
      <w:r w:rsidR="00F97C1C">
        <w:rPr>
          <w:noProof/>
        </w:rPr>
        <w:t xml:space="preserve">ate of birth, </w:t>
      </w:r>
      <w:r w:rsidR="00BA152A">
        <w:rPr>
          <w:noProof/>
        </w:rPr>
        <w:t>n</w:t>
      </w:r>
      <w:r w:rsidR="00F97C1C">
        <w:rPr>
          <w:noProof/>
        </w:rPr>
        <w:t xml:space="preserve">ationality, </w:t>
      </w:r>
      <w:r w:rsidR="00BA152A">
        <w:rPr>
          <w:noProof/>
        </w:rPr>
        <w:t>n</w:t>
      </w:r>
      <w:r w:rsidR="00F97C1C">
        <w:rPr>
          <w:noProof/>
        </w:rPr>
        <w:t>umber of travel document or ID card</w:t>
      </w:r>
      <w:r w:rsidR="00BA152A">
        <w:rPr>
          <w:noProof/>
        </w:rPr>
        <w:t>;</w:t>
      </w:r>
    </w:p>
    <w:p w14:paraId="7A9232FB" w14:textId="753A5BA9" w:rsidR="001A73BD" w:rsidRDefault="00EF15A7" w:rsidP="00EF15A7">
      <w:pPr>
        <w:pStyle w:val="Point1"/>
        <w:rPr>
          <w:noProof/>
        </w:rPr>
      </w:pPr>
      <w:r w:rsidRPr="00EF15A7">
        <w:t>(18)</w:t>
      </w:r>
      <w:r w:rsidRPr="00EF15A7">
        <w:tab/>
      </w:r>
      <w:r w:rsidR="00F97C1C">
        <w:rPr>
          <w:noProof/>
        </w:rPr>
        <w:t xml:space="preserve">Family relationship with a </w:t>
      </w:r>
      <w:r w:rsidR="00ED623B">
        <w:rPr>
          <w:noProof/>
        </w:rPr>
        <w:t xml:space="preserve">mobile </w:t>
      </w:r>
      <w:r w:rsidR="00F97C1C">
        <w:rPr>
          <w:noProof/>
        </w:rPr>
        <w:t>EU, EEA or CH citizen</w:t>
      </w:r>
      <w:r w:rsidR="00E17BC2">
        <w:rPr>
          <w:noProof/>
        </w:rPr>
        <w:t xml:space="preserve"> or</w:t>
      </w:r>
      <w:r w:rsidR="00D02FFA">
        <w:rPr>
          <w:noProof/>
        </w:rPr>
        <w:t xml:space="preserve"> with</w:t>
      </w:r>
      <w:r w:rsidR="00E17BC2">
        <w:rPr>
          <w:noProof/>
        </w:rPr>
        <w:t xml:space="preserve"> a UK national who is a beneficiary of the EU-UK Withdrawal Agreement</w:t>
      </w:r>
      <w:r w:rsidR="00D02FFA">
        <w:rPr>
          <w:noProof/>
        </w:rPr>
        <w:t xml:space="preserve"> in the host State for which the visa application is made,</w:t>
      </w:r>
      <w:r w:rsidR="00F97C1C">
        <w:rPr>
          <w:noProof/>
        </w:rPr>
        <w:t xml:space="preserve"> if applicable</w:t>
      </w:r>
    </w:p>
    <w:p w14:paraId="55BACEE1" w14:textId="18B86654" w:rsidR="00F97C1C" w:rsidRDefault="00EF15A7" w:rsidP="00EF15A7">
      <w:pPr>
        <w:pStyle w:val="Point1"/>
        <w:rPr>
          <w:noProof/>
        </w:rPr>
      </w:pPr>
      <w:r w:rsidRPr="00EF15A7">
        <w:t>(19)</w:t>
      </w:r>
      <w:r w:rsidRPr="00EF15A7">
        <w:tab/>
      </w:r>
      <w:r w:rsidR="00F97C1C">
        <w:rPr>
          <w:noProof/>
        </w:rPr>
        <w:t>Applicant’s home address and email address, telephone n</w:t>
      </w:r>
      <w:r w:rsidR="0060550F">
        <w:rPr>
          <w:noProof/>
        </w:rPr>
        <w:t>umber</w:t>
      </w:r>
      <w:r w:rsidR="00BA152A">
        <w:rPr>
          <w:noProof/>
        </w:rPr>
        <w:t>;</w:t>
      </w:r>
    </w:p>
    <w:p w14:paraId="7A9F65C7" w14:textId="3E53322B" w:rsidR="00F97C1C" w:rsidRDefault="00EF15A7" w:rsidP="00EF15A7">
      <w:pPr>
        <w:pStyle w:val="Point1"/>
        <w:rPr>
          <w:noProof/>
        </w:rPr>
      </w:pPr>
      <w:r w:rsidRPr="00EF15A7">
        <w:t>(20)</w:t>
      </w:r>
      <w:r w:rsidRPr="00EF15A7">
        <w:tab/>
      </w:r>
      <w:r w:rsidR="00F4474C">
        <w:rPr>
          <w:noProof/>
        </w:rPr>
        <w:t>r</w:t>
      </w:r>
      <w:r w:rsidR="00F97C1C">
        <w:rPr>
          <w:noProof/>
        </w:rPr>
        <w:t>esidence in a country other than the country of current nationality</w:t>
      </w:r>
      <w:r w:rsidR="00BA152A">
        <w:rPr>
          <w:noProof/>
        </w:rPr>
        <w:t>;</w:t>
      </w:r>
    </w:p>
    <w:p w14:paraId="50106D8A" w14:textId="710094A3" w:rsidR="00F97C1C" w:rsidRDefault="00EF15A7" w:rsidP="00EF15A7">
      <w:pPr>
        <w:pStyle w:val="Point1"/>
        <w:rPr>
          <w:noProof/>
        </w:rPr>
      </w:pPr>
      <w:r w:rsidRPr="00EF15A7">
        <w:t>(21)</w:t>
      </w:r>
      <w:r w:rsidRPr="00EF15A7">
        <w:tab/>
      </w:r>
      <w:r w:rsidR="00F4474C">
        <w:rPr>
          <w:noProof/>
        </w:rPr>
        <w:t>c</w:t>
      </w:r>
      <w:r w:rsidR="00F97C1C">
        <w:rPr>
          <w:noProof/>
        </w:rPr>
        <w:t>urrent occupation</w:t>
      </w:r>
      <w:r w:rsidR="00BA152A">
        <w:rPr>
          <w:noProof/>
        </w:rPr>
        <w:t>;</w:t>
      </w:r>
    </w:p>
    <w:p w14:paraId="214736DA" w14:textId="2830BE48" w:rsidR="00F97C1C" w:rsidRDefault="00EF15A7" w:rsidP="00EF15A7">
      <w:pPr>
        <w:pStyle w:val="Point1"/>
        <w:rPr>
          <w:noProof/>
        </w:rPr>
      </w:pPr>
      <w:r w:rsidRPr="00EF15A7">
        <w:t>(22)</w:t>
      </w:r>
      <w:r w:rsidRPr="00EF15A7">
        <w:tab/>
      </w:r>
      <w:r w:rsidR="00F4474C">
        <w:rPr>
          <w:noProof/>
        </w:rPr>
        <w:t>e</w:t>
      </w:r>
      <w:r w:rsidR="00F97C1C">
        <w:rPr>
          <w:noProof/>
        </w:rPr>
        <w:t>mployer and employer’s address and telephone number: for students name and address of educational establishment</w:t>
      </w:r>
      <w:r w:rsidR="00BA152A">
        <w:rPr>
          <w:noProof/>
        </w:rPr>
        <w:t>;</w:t>
      </w:r>
    </w:p>
    <w:p w14:paraId="44101C5E" w14:textId="4D0A88D9" w:rsidR="00F97C1C" w:rsidRDefault="00EF15A7" w:rsidP="00EF15A7">
      <w:pPr>
        <w:pStyle w:val="Point1"/>
        <w:rPr>
          <w:noProof/>
        </w:rPr>
      </w:pPr>
      <w:r w:rsidRPr="00EF15A7">
        <w:t>(23)</w:t>
      </w:r>
      <w:r w:rsidRPr="00EF15A7">
        <w:tab/>
      </w:r>
      <w:r w:rsidR="00F4474C">
        <w:rPr>
          <w:noProof/>
        </w:rPr>
        <w:t>p</w:t>
      </w:r>
      <w:r w:rsidR="00F97C1C">
        <w:rPr>
          <w:noProof/>
        </w:rPr>
        <w:t>urpose(s) of the journey</w:t>
      </w:r>
      <w:r w:rsidR="00BA152A">
        <w:rPr>
          <w:noProof/>
        </w:rPr>
        <w:t>;</w:t>
      </w:r>
    </w:p>
    <w:p w14:paraId="391D0D74" w14:textId="6521641D" w:rsidR="00F97C1C" w:rsidRDefault="00EF15A7" w:rsidP="00EF15A7">
      <w:pPr>
        <w:pStyle w:val="Point1"/>
        <w:rPr>
          <w:noProof/>
        </w:rPr>
      </w:pPr>
      <w:r w:rsidRPr="00EF15A7">
        <w:t>(24)</w:t>
      </w:r>
      <w:r w:rsidRPr="00EF15A7">
        <w:tab/>
      </w:r>
      <w:r w:rsidR="00F4474C">
        <w:rPr>
          <w:noProof/>
        </w:rPr>
        <w:t>a</w:t>
      </w:r>
      <w:r w:rsidR="00F97C1C">
        <w:rPr>
          <w:noProof/>
        </w:rPr>
        <w:t>dditional information on purpose of stay</w:t>
      </w:r>
      <w:r w:rsidR="00BA152A">
        <w:rPr>
          <w:noProof/>
        </w:rPr>
        <w:t>;</w:t>
      </w:r>
    </w:p>
    <w:p w14:paraId="2A99E3AC" w14:textId="308478F7" w:rsidR="00F97C1C" w:rsidRDefault="00EF15A7" w:rsidP="00EF15A7">
      <w:pPr>
        <w:pStyle w:val="Point1"/>
        <w:rPr>
          <w:noProof/>
        </w:rPr>
      </w:pPr>
      <w:r w:rsidRPr="00EF15A7">
        <w:t>(25)</w:t>
      </w:r>
      <w:r w:rsidRPr="00EF15A7">
        <w:tab/>
      </w:r>
      <w:r w:rsidR="00F97C1C">
        <w:rPr>
          <w:noProof/>
        </w:rPr>
        <w:t>Member State of main destination (and other Member States of destination, if applicable)</w:t>
      </w:r>
      <w:r w:rsidR="00BA152A">
        <w:rPr>
          <w:noProof/>
        </w:rPr>
        <w:t>;</w:t>
      </w:r>
    </w:p>
    <w:p w14:paraId="6CC010BA" w14:textId="02A935E0" w:rsidR="00F97C1C" w:rsidRDefault="00EF15A7" w:rsidP="00EF15A7">
      <w:pPr>
        <w:pStyle w:val="Point1"/>
        <w:rPr>
          <w:noProof/>
        </w:rPr>
      </w:pPr>
      <w:r w:rsidRPr="00EF15A7">
        <w:t>(26)</w:t>
      </w:r>
      <w:r w:rsidRPr="00EF15A7">
        <w:tab/>
      </w:r>
      <w:r w:rsidR="00F97C1C">
        <w:rPr>
          <w:noProof/>
        </w:rPr>
        <w:t>Member State of first entry</w:t>
      </w:r>
      <w:r w:rsidR="00EB1665">
        <w:rPr>
          <w:noProof/>
        </w:rPr>
        <w:t>;</w:t>
      </w:r>
    </w:p>
    <w:p w14:paraId="1F4EA835" w14:textId="77CCB0D8" w:rsidR="00F97C1C" w:rsidRDefault="00EF15A7" w:rsidP="00EF15A7">
      <w:pPr>
        <w:pStyle w:val="Point1"/>
        <w:rPr>
          <w:noProof/>
        </w:rPr>
      </w:pPr>
      <w:r w:rsidRPr="00EF15A7">
        <w:t>(27)</w:t>
      </w:r>
      <w:r w:rsidRPr="00EF15A7">
        <w:tab/>
      </w:r>
      <w:r w:rsidR="00F4474C">
        <w:rPr>
          <w:noProof/>
        </w:rPr>
        <w:t>n</w:t>
      </w:r>
      <w:r w:rsidR="00F97C1C">
        <w:rPr>
          <w:noProof/>
        </w:rPr>
        <w:t>umber of entries requested; intended date of arrival of the first intended stay in the Schengen area; Intended date of departure from the Schengen area after the first intended stay;</w:t>
      </w:r>
    </w:p>
    <w:p w14:paraId="2797BDD1" w14:textId="554CA116" w:rsidR="00F97C1C" w:rsidRDefault="00EF15A7" w:rsidP="00EF15A7">
      <w:pPr>
        <w:pStyle w:val="Point1"/>
        <w:rPr>
          <w:noProof/>
        </w:rPr>
      </w:pPr>
      <w:r w:rsidRPr="00EF15A7">
        <w:t>(28)</w:t>
      </w:r>
      <w:r w:rsidRPr="00EF15A7">
        <w:tab/>
      </w:r>
      <w:r w:rsidR="00F4474C">
        <w:rPr>
          <w:noProof/>
        </w:rPr>
        <w:t>f</w:t>
      </w:r>
      <w:r w:rsidR="00F97C1C">
        <w:rPr>
          <w:noProof/>
        </w:rPr>
        <w:t>ingerprints collected previously for the purpose of applying for a Schengen visa; date (if known); visa number, if known</w:t>
      </w:r>
      <w:r w:rsidR="00EB1665">
        <w:rPr>
          <w:noProof/>
        </w:rPr>
        <w:t>;</w:t>
      </w:r>
    </w:p>
    <w:p w14:paraId="0359B620" w14:textId="01E8A69E" w:rsidR="00F97C1C" w:rsidRDefault="00EF15A7" w:rsidP="00EF15A7">
      <w:pPr>
        <w:pStyle w:val="Point1"/>
        <w:rPr>
          <w:noProof/>
        </w:rPr>
      </w:pPr>
      <w:r w:rsidRPr="00EF15A7">
        <w:t>(29)</w:t>
      </w:r>
      <w:r w:rsidRPr="00EF15A7">
        <w:tab/>
      </w:r>
      <w:r w:rsidR="00F4474C">
        <w:rPr>
          <w:noProof/>
        </w:rPr>
        <w:t>e</w:t>
      </w:r>
      <w:r w:rsidR="00F97C1C">
        <w:rPr>
          <w:noProof/>
        </w:rPr>
        <w:t>ntry permit for the final country of destination, where applicable</w:t>
      </w:r>
      <w:r w:rsidR="00EB1665">
        <w:rPr>
          <w:noProof/>
        </w:rPr>
        <w:t>;</w:t>
      </w:r>
    </w:p>
    <w:p w14:paraId="23AC89C5" w14:textId="6BB4608B" w:rsidR="00F97C1C" w:rsidRDefault="00EF15A7" w:rsidP="00EF15A7">
      <w:pPr>
        <w:pStyle w:val="Point1"/>
        <w:rPr>
          <w:noProof/>
        </w:rPr>
      </w:pPr>
      <w:r w:rsidRPr="00EF15A7">
        <w:t>(30)</w:t>
      </w:r>
      <w:r w:rsidRPr="00EF15A7">
        <w:tab/>
      </w:r>
      <w:r w:rsidR="007C755A">
        <w:rPr>
          <w:noProof/>
        </w:rPr>
        <w:t>s</w:t>
      </w:r>
      <w:r w:rsidR="00F97C1C">
        <w:rPr>
          <w:noProof/>
        </w:rPr>
        <w:t>urname and first name of the inviting person(s) in the Member State(s). If not applicable, name of hotel(s) or temporary accommodation(s) in the Member State(s)</w:t>
      </w:r>
      <w:r w:rsidR="00EB1665">
        <w:rPr>
          <w:noProof/>
        </w:rPr>
        <w:t>;</w:t>
      </w:r>
    </w:p>
    <w:p w14:paraId="2D2E217C" w14:textId="09C1D27B" w:rsidR="00F97C1C" w:rsidRDefault="00EF15A7" w:rsidP="00EF15A7">
      <w:pPr>
        <w:pStyle w:val="Point1"/>
        <w:rPr>
          <w:noProof/>
        </w:rPr>
      </w:pPr>
      <w:r w:rsidRPr="00EF15A7">
        <w:t>(31)</w:t>
      </w:r>
      <w:r w:rsidRPr="00EF15A7">
        <w:tab/>
      </w:r>
      <w:r w:rsidR="00F4474C">
        <w:rPr>
          <w:noProof/>
        </w:rPr>
        <w:t>n</w:t>
      </w:r>
      <w:r w:rsidR="00F97C1C">
        <w:rPr>
          <w:noProof/>
        </w:rPr>
        <w:t>ame and address of inviting company/organisation</w:t>
      </w:r>
    </w:p>
    <w:p w14:paraId="5DC7607F" w14:textId="3C90600E" w:rsidR="00FE1C1F" w:rsidRDefault="00EF15A7" w:rsidP="00EF15A7">
      <w:pPr>
        <w:pStyle w:val="Point1"/>
        <w:rPr>
          <w:noProof/>
        </w:rPr>
      </w:pPr>
      <w:r w:rsidRPr="00EF15A7">
        <w:t>(32)</w:t>
      </w:r>
      <w:r w:rsidRPr="00EF15A7">
        <w:tab/>
      </w:r>
      <w:r w:rsidR="007E6B69">
        <w:rPr>
          <w:noProof/>
        </w:rPr>
        <w:t>how the c</w:t>
      </w:r>
      <w:r w:rsidR="00F97C1C">
        <w:rPr>
          <w:noProof/>
        </w:rPr>
        <w:t xml:space="preserve">ost of travelling and living during </w:t>
      </w:r>
      <w:r w:rsidR="00FE1C1F">
        <w:rPr>
          <w:noProof/>
        </w:rPr>
        <w:t>the applicant’s stay is covered</w:t>
      </w:r>
      <w:r w:rsidR="00D45C02">
        <w:rPr>
          <w:noProof/>
        </w:rPr>
        <w:t>;</w:t>
      </w:r>
    </w:p>
    <w:p w14:paraId="44CDC8CB" w14:textId="77777777" w:rsidR="007A063F" w:rsidRDefault="00FE1C1F" w:rsidP="007A063F">
      <w:pPr>
        <w:pStyle w:val="Text1"/>
        <w:rPr>
          <w:noProof/>
        </w:rPr>
      </w:pPr>
      <w:r>
        <w:rPr>
          <w:noProof/>
        </w:rPr>
        <w:t>The applicant shall also provide an email address</w:t>
      </w:r>
      <w:r w:rsidR="007A063F">
        <w:rPr>
          <w:noProof/>
        </w:rPr>
        <w:t xml:space="preserve">. </w:t>
      </w:r>
    </w:p>
    <w:p w14:paraId="259CF9BA" w14:textId="77777777" w:rsidR="008124EC" w:rsidRPr="00C1148F" w:rsidRDefault="008124EC" w:rsidP="007A063F">
      <w:pPr>
        <w:pStyle w:val="Text1"/>
        <w:rPr>
          <w:noProof/>
        </w:rPr>
      </w:pPr>
      <w:r>
        <w:rPr>
          <w:noProof/>
        </w:rPr>
        <w:t>All such data</w:t>
      </w:r>
      <w:r w:rsidR="00330893">
        <w:rPr>
          <w:noProof/>
        </w:rPr>
        <w:t xml:space="preserve"> shall </w:t>
      </w:r>
      <w:r>
        <w:rPr>
          <w:noProof/>
        </w:rPr>
        <w:t xml:space="preserve">be recorded and stored </w:t>
      </w:r>
      <w:r w:rsidRPr="008124EC">
        <w:rPr>
          <w:noProof/>
        </w:rPr>
        <w:t>temporary storage capacity</w:t>
      </w:r>
      <w:r>
        <w:rPr>
          <w:noProof/>
        </w:rPr>
        <w:t xml:space="preserve"> in line with the data retention periods defined </w:t>
      </w:r>
      <w:r w:rsidR="002E37BF">
        <w:rPr>
          <w:noProof/>
        </w:rPr>
        <w:t>in Article 7c.</w:t>
      </w:r>
    </w:p>
    <w:p w14:paraId="12251037" w14:textId="6BC9ECDA" w:rsidR="00891AA0" w:rsidRPr="00871418" w:rsidRDefault="00EF15A7" w:rsidP="00EF15A7">
      <w:pPr>
        <w:pStyle w:val="ManualNumPar1"/>
        <w:rPr>
          <w:noProof/>
        </w:rPr>
      </w:pPr>
      <w:r w:rsidRPr="00EF15A7">
        <w:t>3.</w:t>
      </w:r>
      <w:r w:rsidRPr="00EF15A7">
        <w:tab/>
      </w:r>
      <w:r w:rsidR="00330893">
        <w:rPr>
          <w:noProof/>
        </w:rPr>
        <w:t xml:space="preserve">The EU application platform shall </w:t>
      </w:r>
      <w:r w:rsidR="005726A9">
        <w:rPr>
          <w:noProof/>
        </w:rPr>
        <w:t>also contain a</w:t>
      </w:r>
      <w:r w:rsidR="003415CF" w:rsidRPr="00871418">
        <w:rPr>
          <w:noProof/>
        </w:rPr>
        <w:t xml:space="preserve"> </w:t>
      </w:r>
      <w:r w:rsidR="00871418" w:rsidRPr="00871418">
        <w:rPr>
          <w:noProof/>
        </w:rPr>
        <w:t xml:space="preserve">secure account </w:t>
      </w:r>
      <w:r w:rsidR="00871418" w:rsidRPr="007A063F">
        <w:rPr>
          <w:noProof/>
        </w:rPr>
        <w:t>service</w:t>
      </w:r>
      <w:r w:rsidR="00871418" w:rsidRPr="007A063F">
        <w:rPr>
          <w:i/>
          <w:noProof/>
        </w:rPr>
        <w:t>.</w:t>
      </w:r>
      <w:r w:rsidR="00871418" w:rsidRPr="00871418">
        <w:rPr>
          <w:noProof/>
        </w:rPr>
        <w:t xml:space="preserve"> </w:t>
      </w:r>
      <w:r w:rsidR="00871418">
        <w:rPr>
          <w:noProof/>
        </w:rPr>
        <w:t>The secure account service shall have the possibility for the applicant t</w:t>
      </w:r>
      <w:r w:rsidR="00793649" w:rsidRPr="00871418">
        <w:rPr>
          <w:noProof/>
        </w:rPr>
        <w:t xml:space="preserve">o keep </w:t>
      </w:r>
      <w:r w:rsidR="00871418">
        <w:rPr>
          <w:noProof/>
        </w:rPr>
        <w:t xml:space="preserve">the </w:t>
      </w:r>
      <w:r w:rsidR="00793649" w:rsidRPr="00871418">
        <w:rPr>
          <w:noProof/>
        </w:rPr>
        <w:t>data</w:t>
      </w:r>
      <w:r w:rsidR="00871418">
        <w:rPr>
          <w:noProof/>
        </w:rPr>
        <w:t xml:space="preserve"> provided</w:t>
      </w:r>
      <w:r w:rsidR="00793649" w:rsidRPr="00871418">
        <w:rPr>
          <w:noProof/>
        </w:rPr>
        <w:t xml:space="preserve"> for </w:t>
      </w:r>
      <w:r w:rsidR="00871418">
        <w:rPr>
          <w:noProof/>
        </w:rPr>
        <w:t>subsequent</w:t>
      </w:r>
      <w:r w:rsidR="00793649" w:rsidRPr="00871418">
        <w:rPr>
          <w:noProof/>
        </w:rPr>
        <w:t xml:space="preserve"> applications</w:t>
      </w:r>
      <w:r w:rsidR="002E37BF">
        <w:rPr>
          <w:noProof/>
        </w:rPr>
        <w:t xml:space="preserve">, but only if </w:t>
      </w:r>
      <w:r w:rsidR="002E37BF" w:rsidRPr="002E37BF">
        <w:rPr>
          <w:noProof/>
        </w:rPr>
        <w:t>the applicant freely and explicitly consents</w:t>
      </w:r>
      <w:r w:rsidR="002E37BF">
        <w:rPr>
          <w:noProof/>
        </w:rPr>
        <w:t xml:space="preserve"> to such storage</w:t>
      </w:r>
      <w:r w:rsidR="00793649" w:rsidRPr="00871418">
        <w:rPr>
          <w:noProof/>
        </w:rPr>
        <w:t>.</w:t>
      </w:r>
    </w:p>
    <w:p w14:paraId="32EBD7F0" w14:textId="77777777" w:rsidR="00793649" w:rsidRPr="00851BA0" w:rsidRDefault="00871418" w:rsidP="00522FB2">
      <w:pPr>
        <w:pStyle w:val="Text1"/>
        <w:rPr>
          <w:noProof/>
          <w:highlight w:val="yellow"/>
        </w:rPr>
      </w:pPr>
      <w:r>
        <w:rPr>
          <w:noProof/>
        </w:rPr>
        <w:t xml:space="preserve">The secure account service shall contain </w:t>
      </w:r>
      <w:r w:rsidR="00685A5C">
        <w:rPr>
          <w:noProof/>
        </w:rPr>
        <w:t xml:space="preserve">the </w:t>
      </w:r>
      <w:r w:rsidRPr="00871418">
        <w:rPr>
          <w:noProof/>
        </w:rPr>
        <w:t>possibility for the applicant to</w:t>
      </w:r>
      <w:r w:rsidR="00793649" w:rsidRPr="00871418">
        <w:rPr>
          <w:noProof/>
        </w:rPr>
        <w:t xml:space="preserve"> submi</w:t>
      </w:r>
      <w:r w:rsidRPr="00871418">
        <w:rPr>
          <w:noProof/>
        </w:rPr>
        <w:t>t application in several steps.</w:t>
      </w:r>
      <w:r w:rsidRPr="028A771E">
        <w:rPr>
          <w:noProof/>
        </w:rPr>
        <w:t xml:space="preserve"> </w:t>
      </w:r>
      <w:r w:rsidRPr="00D16568">
        <w:rPr>
          <w:noProof/>
        </w:rPr>
        <w:t xml:space="preserve">The Commission shall adopt delegated acts in accordance with Article </w:t>
      </w:r>
      <w:r>
        <w:rPr>
          <w:noProof/>
        </w:rPr>
        <w:t>48a</w:t>
      </w:r>
      <w:r w:rsidRPr="00D16568">
        <w:rPr>
          <w:noProof/>
        </w:rPr>
        <w:t xml:space="preserve"> in order to define the requirements of the secure account service</w:t>
      </w:r>
      <w:r>
        <w:rPr>
          <w:noProof/>
        </w:rPr>
        <w:t xml:space="preserve">, including the </w:t>
      </w:r>
      <w:r w:rsidRPr="00871418">
        <w:rPr>
          <w:noProof/>
        </w:rPr>
        <w:t>retention peri</w:t>
      </w:r>
      <w:r>
        <w:rPr>
          <w:noProof/>
        </w:rPr>
        <w:t>od</w:t>
      </w:r>
      <w:r w:rsidR="002E37BF">
        <w:rPr>
          <w:noProof/>
        </w:rPr>
        <w:t xml:space="preserve"> for data stored therein and</w:t>
      </w:r>
      <w:r>
        <w:rPr>
          <w:noProof/>
        </w:rPr>
        <w:t xml:space="preserve"> for uncompleted applications</w:t>
      </w:r>
      <w:r w:rsidR="00B10705">
        <w:rPr>
          <w:noProof/>
        </w:rPr>
        <w:t xml:space="preserve"> or applications which do not pass the competence and admissibility check</w:t>
      </w:r>
      <w:r w:rsidRPr="028A771E">
        <w:rPr>
          <w:noProof/>
        </w:rPr>
        <w:t>.</w:t>
      </w:r>
    </w:p>
    <w:p w14:paraId="1CC7D061" w14:textId="03AF011A" w:rsidR="00085215" w:rsidRPr="00851BA0" w:rsidRDefault="00EF15A7" w:rsidP="00EF15A7">
      <w:pPr>
        <w:pStyle w:val="ManualNumPar1"/>
        <w:rPr>
          <w:noProof/>
        </w:rPr>
      </w:pPr>
      <w:r w:rsidRPr="00EF15A7">
        <w:t>4.</w:t>
      </w:r>
      <w:r w:rsidRPr="00EF15A7">
        <w:tab/>
      </w:r>
      <w:r w:rsidR="00085215" w:rsidRPr="00891AA0">
        <w:rPr>
          <w:noProof/>
        </w:rPr>
        <w:t xml:space="preserve">The </w:t>
      </w:r>
      <w:r w:rsidR="00085215" w:rsidRPr="00851BA0">
        <w:rPr>
          <w:noProof/>
        </w:rPr>
        <w:t xml:space="preserve">data referred to in paragraph </w:t>
      </w:r>
      <w:r w:rsidR="00FE1A60" w:rsidRPr="00851BA0">
        <w:rPr>
          <w:noProof/>
        </w:rPr>
        <w:t xml:space="preserve">2 </w:t>
      </w:r>
      <w:r w:rsidR="00085215" w:rsidRPr="00851BA0">
        <w:rPr>
          <w:noProof/>
        </w:rPr>
        <w:t>shall be introduced by the applicant in Latin alphabet characters.</w:t>
      </w:r>
    </w:p>
    <w:p w14:paraId="3891E9F0" w14:textId="601E40F6" w:rsidR="00891AA0" w:rsidRPr="00851BA0" w:rsidRDefault="00EF15A7" w:rsidP="00EF15A7">
      <w:pPr>
        <w:pStyle w:val="ManualNumPar1"/>
        <w:rPr>
          <w:noProof/>
        </w:rPr>
      </w:pPr>
      <w:r w:rsidRPr="00EF15A7">
        <w:t>5.</w:t>
      </w:r>
      <w:r w:rsidRPr="00EF15A7">
        <w:tab/>
      </w:r>
      <w:r w:rsidR="00891AA0" w:rsidRPr="00851BA0">
        <w:rPr>
          <w:noProof/>
        </w:rPr>
        <w:t xml:space="preserve">On submission of the </w:t>
      </w:r>
      <w:r w:rsidR="00C17906" w:rsidRPr="00851BA0">
        <w:rPr>
          <w:noProof/>
        </w:rPr>
        <w:t xml:space="preserve">online </w:t>
      </w:r>
      <w:r w:rsidR="00891AA0" w:rsidRPr="00851BA0">
        <w:rPr>
          <w:noProof/>
        </w:rPr>
        <w:t xml:space="preserve">application form, the </w:t>
      </w:r>
      <w:r w:rsidR="00911F67">
        <w:rPr>
          <w:noProof/>
        </w:rPr>
        <w:t xml:space="preserve">EU </w:t>
      </w:r>
      <w:r w:rsidR="00891AA0" w:rsidRPr="00851BA0">
        <w:rPr>
          <w:noProof/>
        </w:rPr>
        <w:t xml:space="preserve">application </w:t>
      </w:r>
      <w:r w:rsidR="00F479BB" w:rsidRPr="00851BA0">
        <w:rPr>
          <w:noProof/>
        </w:rPr>
        <w:t>platform</w:t>
      </w:r>
      <w:r w:rsidR="00891AA0" w:rsidRPr="00851BA0">
        <w:rPr>
          <w:noProof/>
        </w:rPr>
        <w:t xml:space="preserve"> shall collect the IP address from which the application form was submitted</w:t>
      </w:r>
      <w:r w:rsidR="00157542" w:rsidRPr="00851BA0">
        <w:rPr>
          <w:noProof/>
        </w:rPr>
        <w:t xml:space="preserve"> and add</w:t>
      </w:r>
      <w:r w:rsidR="00911F67">
        <w:rPr>
          <w:noProof/>
        </w:rPr>
        <w:t xml:space="preserve"> </w:t>
      </w:r>
      <w:r w:rsidR="00157542" w:rsidRPr="00851BA0">
        <w:rPr>
          <w:noProof/>
        </w:rPr>
        <w:t>it as part of data of the application</w:t>
      </w:r>
      <w:r w:rsidR="00891AA0" w:rsidRPr="00851BA0">
        <w:rPr>
          <w:noProof/>
        </w:rPr>
        <w:t>.</w:t>
      </w:r>
    </w:p>
    <w:p w14:paraId="50C867B7" w14:textId="696844A4" w:rsidR="0038308B" w:rsidRPr="00F24B43" w:rsidRDefault="00EF15A7" w:rsidP="00EF15A7">
      <w:pPr>
        <w:pStyle w:val="ManualNumPar1"/>
        <w:rPr>
          <w:noProof/>
        </w:rPr>
      </w:pPr>
      <w:r w:rsidRPr="00EF15A7">
        <w:t>6.</w:t>
      </w:r>
      <w:r w:rsidRPr="00EF15A7">
        <w:tab/>
      </w:r>
      <w:r w:rsidR="0038308B">
        <w:rPr>
          <w:noProof/>
        </w:rPr>
        <w:t xml:space="preserve">The Commission shall, by </w:t>
      </w:r>
      <w:r w:rsidR="0038308B" w:rsidRPr="00F24B43">
        <w:rPr>
          <w:noProof/>
        </w:rPr>
        <w:t>means of implementing acts</w:t>
      </w:r>
      <w:r w:rsidR="0038308B">
        <w:rPr>
          <w:noProof/>
        </w:rPr>
        <w:t>, define the content of a s</w:t>
      </w:r>
      <w:r w:rsidR="00085215" w:rsidRPr="00085215">
        <w:rPr>
          <w:noProof/>
        </w:rPr>
        <w:t xml:space="preserve">implified application forms </w:t>
      </w:r>
      <w:r w:rsidR="00085215" w:rsidRPr="002E7273">
        <w:rPr>
          <w:noProof/>
        </w:rPr>
        <w:t>for confi</w:t>
      </w:r>
      <w:r w:rsidR="00C1148F" w:rsidRPr="002E7273">
        <w:rPr>
          <w:noProof/>
        </w:rPr>
        <w:t>rmation of valid visas in a new travel document, as referred to in Article 32a</w:t>
      </w:r>
      <w:r w:rsidR="009A033C" w:rsidRPr="009A033C">
        <w:rPr>
          <w:noProof/>
        </w:rPr>
        <w:t xml:space="preserve"> </w:t>
      </w:r>
      <w:r w:rsidR="009A033C" w:rsidRPr="002E7273">
        <w:rPr>
          <w:noProof/>
        </w:rPr>
        <w:t>of Regulation (EC) No 810/2009</w:t>
      </w:r>
      <w:r w:rsidR="00C1148F" w:rsidRPr="002E7273">
        <w:rPr>
          <w:noProof/>
        </w:rPr>
        <w:t xml:space="preserve">, and for extension of visas, as referred to in </w:t>
      </w:r>
      <w:r w:rsidR="00085215" w:rsidRPr="002E7273">
        <w:rPr>
          <w:noProof/>
        </w:rPr>
        <w:t>Article 33</w:t>
      </w:r>
      <w:r w:rsidR="00C1148F" w:rsidRPr="002E7273">
        <w:rPr>
          <w:noProof/>
        </w:rPr>
        <w:t xml:space="preserve"> of</w:t>
      </w:r>
      <w:r w:rsidR="009A033C">
        <w:rPr>
          <w:noProof/>
        </w:rPr>
        <w:t xml:space="preserve"> that</w:t>
      </w:r>
      <w:r w:rsidR="00C1148F" w:rsidRPr="002E7273">
        <w:rPr>
          <w:noProof/>
        </w:rPr>
        <w:t xml:space="preserve"> Regulation</w:t>
      </w:r>
      <w:r w:rsidR="00AD7F19">
        <w:rPr>
          <w:noProof/>
        </w:rPr>
        <w:t>, using the EU application platform</w:t>
      </w:r>
      <w:r w:rsidR="00C1148F" w:rsidRPr="002E7273">
        <w:rPr>
          <w:noProof/>
        </w:rPr>
        <w:t>.</w:t>
      </w:r>
      <w:r w:rsidR="00F4474C">
        <w:rPr>
          <w:noProof/>
        </w:rPr>
        <w:t xml:space="preserve"> </w:t>
      </w:r>
      <w:r w:rsidR="0038308B" w:rsidRPr="00F24B43">
        <w:rPr>
          <w:noProof/>
        </w:rPr>
        <w:t xml:space="preserve">Those implementing acts shall be adopted in accordance with the examination procedure referred to in Article </w:t>
      </w:r>
      <w:r w:rsidR="0038308B">
        <w:rPr>
          <w:noProof/>
        </w:rPr>
        <w:t>49</w:t>
      </w:r>
      <w:r w:rsidR="0038308B" w:rsidRPr="00F24B43">
        <w:rPr>
          <w:noProof/>
        </w:rPr>
        <w:t>(2).</w:t>
      </w:r>
    </w:p>
    <w:p w14:paraId="333FB4EB" w14:textId="0AB1FDF5" w:rsidR="004C27CF" w:rsidRDefault="00EF15A7" w:rsidP="00EF15A7">
      <w:pPr>
        <w:pStyle w:val="ManualNumPar1"/>
        <w:rPr>
          <w:noProof/>
        </w:rPr>
      </w:pPr>
      <w:r w:rsidRPr="00EF15A7">
        <w:t>7.</w:t>
      </w:r>
      <w:r w:rsidRPr="00EF15A7">
        <w:tab/>
      </w:r>
      <w:r w:rsidR="00F24B43" w:rsidRPr="00F24B43">
        <w:rPr>
          <w:noProof/>
        </w:rPr>
        <w:t xml:space="preserve">The Commission shall, by </w:t>
      </w:r>
      <w:r w:rsidR="00F24B43" w:rsidRPr="00851BA0">
        <w:rPr>
          <w:noProof/>
        </w:rPr>
        <w:t>means of implementing acts, define</w:t>
      </w:r>
      <w:r w:rsidR="00F24B43" w:rsidRPr="00F24B43">
        <w:rPr>
          <w:noProof/>
        </w:rPr>
        <w:t xml:space="preserve"> the requirements concerning the format of the personal data referred to in paragraphs 2 </w:t>
      </w:r>
      <w:r w:rsidR="00F24B43" w:rsidRPr="007A063F">
        <w:rPr>
          <w:noProof/>
        </w:rPr>
        <w:t xml:space="preserve">and </w:t>
      </w:r>
      <w:r w:rsidR="005726A9" w:rsidRPr="007A063F">
        <w:rPr>
          <w:noProof/>
        </w:rPr>
        <w:t>5</w:t>
      </w:r>
      <w:r w:rsidR="00C33740" w:rsidRPr="007A063F">
        <w:rPr>
          <w:noProof/>
        </w:rPr>
        <w:t xml:space="preserve"> </w:t>
      </w:r>
      <w:r w:rsidR="00F24B43" w:rsidRPr="007A063F">
        <w:rPr>
          <w:noProof/>
        </w:rPr>
        <w:t>of</w:t>
      </w:r>
      <w:r w:rsidR="00F24B43" w:rsidRPr="00F24B43">
        <w:rPr>
          <w:noProof/>
        </w:rPr>
        <w:t xml:space="preserve"> this Article to be inserted in the application form as well as parameters and verifications to be implemented for ensuring the completeness of the application and the coherence of those data. Those implementing acts shall be adopted in accordance with the examination procedure referred to in Article </w:t>
      </w:r>
      <w:r w:rsidR="00F24B43">
        <w:rPr>
          <w:noProof/>
        </w:rPr>
        <w:t>49</w:t>
      </w:r>
      <w:r w:rsidR="00F24B43" w:rsidRPr="00F24B43">
        <w:rPr>
          <w:noProof/>
        </w:rPr>
        <w:t>(2).</w:t>
      </w:r>
    </w:p>
    <w:p w14:paraId="2E0C6241" w14:textId="77777777" w:rsidR="004C27CF" w:rsidRDefault="004C27CF" w:rsidP="004C27CF">
      <w:pPr>
        <w:pStyle w:val="Titrearticle"/>
        <w:rPr>
          <w:noProof/>
        </w:rPr>
      </w:pPr>
      <w:r>
        <w:rPr>
          <w:noProof/>
        </w:rPr>
        <w:t>Article 7ba</w:t>
      </w:r>
      <w:r>
        <w:rPr>
          <w:noProof/>
        </w:rPr>
        <w:br/>
      </w:r>
      <w:r w:rsidR="002126B4">
        <w:rPr>
          <w:noProof/>
        </w:rPr>
        <w:t>Specific provisions on the use of the EU application platform by</w:t>
      </w:r>
      <w:r w:rsidRPr="004C27CF">
        <w:rPr>
          <w:noProof/>
        </w:rPr>
        <w:t xml:space="preserve"> family members of Union citizens or of other third-country nationals enjoying the right of free movement under Union law </w:t>
      </w:r>
      <w:r w:rsidR="002D1A16">
        <w:rPr>
          <w:noProof/>
        </w:rPr>
        <w:t>or of UK nationals who are beneficiaries of the EU-UK Withdrawal Agreement</w:t>
      </w:r>
      <w:r w:rsidR="002126B4">
        <w:rPr>
          <w:noProof/>
        </w:rPr>
        <w:t xml:space="preserve"> </w:t>
      </w:r>
    </w:p>
    <w:p w14:paraId="2C222B03" w14:textId="5420D5AC" w:rsidR="00CA617D" w:rsidRDefault="00EF15A7" w:rsidP="00EF15A7">
      <w:pPr>
        <w:pStyle w:val="ManualNumPar1"/>
        <w:rPr>
          <w:noProof/>
        </w:rPr>
      </w:pPr>
      <w:r w:rsidRPr="00EF15A7">
        <w:t>1.</w:t>
      </w:r>
      <w:r w:rsidRPr="00EF15A7">
        <w:tab/>
      </w:r>
      <w:r w:rsidR="00CA617D">
        <w:rPr>
          <w:noProof/>
        </w:rPr>
        <w:t xml:space="preserve">A </w:t>
      </w:r>
      <w:r w:rsidR="004C27CF" w:rsidRPr="004C27CF">
        <w:rPr>
          <w:noProof/>
        </w:rPr>
        <w:t>third-country national who is a family member of a Union citizen to whom Directive 2</w:t>
      </w:r>
      <w:r w:rsidR="004C27CF">
        <w:rPr>
          <w:noProof/>
        </w:rPr>
        <w:t>004/38/EC applies or of a third-</w:t>
      </w:r>
      <w:r w:rsidR="004C27CF" w:rsidRPr="004C27CF">
        <w:rPr>
          <w:noProof/>
        </w:rPr>
        <w:t xml:space="preserve">country national enjoying the right of free movement equivalent to that of Union citizens under an agreement between the Union and its Member States, on the one hand, and a third country, on the other, </w:t>
      </w:r>
      <w:r w:rsidR="00CA617D">
        <w:rPr>
          <w:noProof/>
        </w:rPr>
        <w:t>may lodge an application</w:t>
      </w:r>
      <w:r w:rsidR="00F93285" w:rsidRPr="00F93285">
        <w:rPr>
          <w:noProof/>
        </w:rPr>
        <w:t xml:space="preserve"> </w:t>
      </w:r>
      <w:r w:rsidR="00F93285">
        <w:rPr>
          <w:noProof/>
        </w:rPr>
        <w:t xml:space="preserve">for a visa, </w:t>
      </w:r>
      <w:r w:rsidR="00CA617D">
        <w:rPr>
          <w:noProof/>
        </w:rPr>
        <w:t xml:space="preserve">without using the EU application platform and </w:t>
      </w:r>
      <w:r w:rsidR="00CA617D" w:rsidRPr="0083129A">
        <w:rPr>
          <w:noProof/>
        </w:rPr>
        <w:t>be entitled to lodge the</w:t>
      </w:r>
      <w:r w:rsidR="00CA617D">
        <w:rPr>
          <w:noProof/>
        </w:rPr>
        <w:t xml:space="preserve"> application</w:t>
      </w:r>
      <w:r w:rsidR="00CA617D" w:rsidRPr="0083129A">
        <w:rPr>
          <w:noProof/>
        </w:rPr>
        <w:t xml:space="preserve"> in person at the consulate or at the external service providers</w:t>
      </w:r>
      <w:r w:rsidR="00006D59">
        <w:rPr>
          <w:noProof/>
        </w:rPr>
        <w:t xml:space="preserve"> premises</w:t>
      </w:r>
      <w:r w:rsidR="00CA617D" w:rsidRPr="0083129A">
        <w:rPr>
          <w:noProof/>
        </w:rPr>
        <w:t>, at their choice.</w:t>
      </w:r>
    </w:p>
    <w:p w14:paraId="35D8CBEF" w14:textId="10381F98" w:rsidR="00587CD4" w:rsidRDefault="00EF15A7" w:rsidP="00EF15A7">
      <w:pPr>
        <w:pStyle w:val="ManualNumPar1"/>
        <w:rPr>
          <w:noProof/>
        </w:rPr>
      </w:pPr>
      <w:r w:rsidRPr="00EF15A7">
        <w:t>2.</w:t>
      </w:r>
      <w:r w:rsidRPr="00EF15A7">
        <w:tab/>
      </w:r>
      <w:r w:rsidR="004C27CF" w:rsidRPr="00A04D9E">
        <w:rPr>
          <w:noProof/>
          <w:color w:val="444444"/>
          <w:shd w:val="clear" w:color="auto" w:fill="FFFFFF"/>
        </w:rPr>
        <w:t>Whe</w:t>
      </w:r>
      <w:r w:rsidR="00CA617D" w:rsidRPr="00A04D9E">
        <w:rPr>
          <w:noProof/>
          <w:color w:val="444444"/>
          <w:shd w:val="clear" w:color="auto" w:fill="FFFFFF"/>
        </w:rPr>
        <w:t>re</w:t>
      </w:r>
      <w:r w:rsidR="004C27CF" w:rsidRPr="00A04D9E">
        <w:rPr>
          <w:noProof/>
          <w:color w:val="444444"/>
          <w:shd w:val="clear" w:color="auto" w:fill="FFFFFF"/>
        </w:rPr>
        <w:t xml:space="preserve"> </w:t>
      </w:r>
      <w:r w:rsidR="00CA617D" w:rsidRPr="00A04D9E">
        <w:rPr>
          <w:noProof/>
          <w:color w:val="444444"/>
          <w:shd w:val="clear" w:color="auto" w:fill="FFFFFF"/>
        </w:rPr>
        <w:t>a</w:t>
      </w:r>
      <w:r w:rsidR="00CA617D" w:rsidRPr="00A04D9E">
        <w:rPr>
          <w:noProof/>
        </w:rPr>
        <w:t xml:space="preserve"> third-country national who is a family member of a Union citizen to whom Directive 2004/38/EC applies o</w:t>
      </w:r>
      <w:r w:rsidR="00CA617D" w:rsidRPr="00425D78">
        <w:rPr>
          <w:noProof/>
        </w:rPr>
        <w:t xml:space="preserve">r of a third-country national enjoying the right of free movement equivalent to that of Union citizens under an agreement between the Union and its Member States, on the one hand, and a third country, on the </w:t>
      </w:r>
      <w:r w:rsidR="00CA617D" w:rsidRPr="004A3169">
        <w:rPr>
          <w:noProof/>
        </w:rPr>
        <w:t>other, applies</w:t>
      </w:r>
      <w:r w:rsidR="004C27CF" w:rsidRPr="00A04D9E">
        <w:rPr>
          <w:noProof/>
          <w:color w:val="444444"/>
          <w:shd w:val="clear" w:color="auto" w:fill="FFFFFF"/>
        </w:rPr>
        <w:t xml:space="preserve"> for a visa</w:t>
      </w:r>
      <w:r w:rsidR="00CE5C7C" w:rsidRPr="00A04D9E">
        <w:rPr>
          <w:noProof/>
          <w:color w:val="444444"/>
          <w:shd w:val="clear" w:color="auto" w:fill="FFFFFF"/>
        </w:rPr>
        <w:t xml:space="preserve"> </w:t>
      </w:r>
      <w:r w:rsidR="004C27CF" w:rsidRPr="00A04D9E">
        <w:rPr>
          <w:noProof/>
        </w:rPr>
        <w:t>using the EU application platform</w:t>
      </w:r>
      <w:r w:rsidR="004C27CF" w:rsidRPr="00425D78">
        <w:rPr>
          <w:noProof/>
        </w:rPr>
        <w:t xml:space="preserve">, </w:t>
      </w:r>
      <w:r w:rsidR="00CE5C7C" w:rsidRPr="00425D78">
        <w:rPr>
          <w:noProof/>
        </w:rPr>
        <w:t xml:space="preserve">the application process </w:t>
      </w:r>
      <w:r w:rsidR="00425D78" w:rsidRPr="00425D78">
        <w:rPr>
          <w:noProof/>
        </w:rPr>
        <w:t>shall be carried out in accordance with Directive 2004/38/EC.</w:t>
      </w:r>
    </w:p>
    <w:p w14:paraId="5914725B" w14:textId="78A94139" w:rsidR="004C27CF" w:rsidRPr="00587CD4" w:rsidRDefault="00EF15A7" w:rsidP="00EF15A7">
      <w:pPr>
        <w:pStyle w:val="ManualNumPar1"/>
        <w:rPr>
          <w:noProof/>
        </w:rPr>
      </w:pPr>
      <w:r w:rsidRPr="00EF15A7">
        <w:t>3.</w:t>
      </w:r>
      <w:r w:rsidRPr="00EF15A7">
        <w:tab/>
      </w:r>
      <w:r w:rsidR="00E94A91" w:rsidRPr="00587CD4">
        <w:rPr>
          <w:noProof/>
          <w:shd w:val="clear" w:color="auto" w:fill="FFFFFF"/>
        </w:rPr>
        <w:t xml:space="preserve">In particular, </w:t>
      </w:r>
      <w:r w:rsidR="00A25A9D" w:rsidRPr="00587CD4">
        <w:rPr>
          <w:noProof/>
          <w:shd w:val="clear" w:color="auto" w:fill="FFFFFF"/>
        </w:rPr>
        <w:t xml:space="preserve">the </w:t>
      </w:r>
      <w:r w:rsidR="002126B4" w:rsidRPr="00587CD4">
        <w:rPr>
          <w:noProof/>
          <w:shd w:val="clear" w:color="auto" w:fill="FFFFFF"/>
        </w:rPr>
        <w:t xml:space="preserve">EU application platform shall be designed so as to ensure that </w:t>
      </w:r>
      <w:r w:rsidR="004C27CF" w:rsidRPr="00587CD4">
        <w:rPr>
          <w:noProof/>
          <w:shd w:val="clear" w:color="auto" w:fill="FFFFFF"/>
        </w:rPr>
        <w:t>the following specific rules shall apply:</w:t>
      </w:r>
    </w:p>
    <w:p w14:paraId="0073E16F" w14:textId="4C9E86E1" w:rsidR="00E94A91" w:rsidRPr="00A04D9E" w:rsidRDefault="00EF15A7" w:rsidP="00EF15A7">
      <w:pPr>
        <w:pStyle w:val="Point2"/>
        <w:rPr>
          <w:noProof/>
        </w:rPr>
      </w:pPr>
      <w:r w:rsidRPr="00EF15A7">
        <w:t>(a)</w:t>
      </w:r>
      <w:r w:rsidRPr="00EF15A7">
        <w:tab/>
      </w:r>
      <w:r w:rsidR="006A3142" w:rsidRPr="00A04D9E">
        <w:rPr>
          <w:noProof/>
        </w:rPr>
        <w:t>the visa fee shall be waived;</w:t>
      </w:r>
    </w:p>
    <w:p w14:paraId="789C00AA" w14:textId="050C86DD" w:rsidR="00E94A91" w:rsidRPr="00A04D9E" w:rsidRDefault="00EF15A7" w:rsidP="00EF15A7">
      <w:pPr>
        <w:pStyle w:val="Point2"/>
        <w:rPr>
          <w:noProof/>
        </w:rPr>
      </w:pPr>
      <w:r w:rsidRPr="00EF15A7">
        <w:t>(b)</w:t>
      </w:r>
      <w:r w:rsidRPr="00EF15A7">
        <w:tab/>
      </w:r>
      <w:r w:rsidR="00E94A91" w:rsidRPr="00A04D9E">
        <w:rPr>
          <w:noProof/>
        </w:rPr>
        <w:t xml:space="preserve">in the </w:t>
      </w:r>
      <w:r w:rsidR="00CE5C7C" w:rsidRPr="00A04D9E">
        <w:rPr>
          <w:noProof/>
        </w:rPr>
        <w:t xml:space="preserve">visa </w:t>
      </w:r>
      <w:r w:rsidR="00E94A91" w:rsidRPr="00A04D9E">
        <w:rPr>
          <w:noProof/>
        </w:rPr>
        <w:t>application form, the applicant shall not provide the following personal data:</w:t>
      </w:r>
    </w:p>
    <w:p w14:paraId="13D27372" w14:textId="5FDEE538" w:rsidR="00E94A91" w:rsidRPr="00A04D9E" w:rsidRDefault="00EF15A7" w:rsidP="00EF15A7">
      <w:pPr>
        <w:pStyle w:val="Point3"/>
        <w:rPr>
          <w:noProof/>
        </w:rPr>
      </w:pPr>
      <w:r w:rsidRPr="00EF15A7">
        <w:t>(a)</w:t>
      </w:r>
      <w:r w:rsidRPr="00EF15A7">
        <w:tab/>
      </w:r>
      <w:r w:rsidR="00E94A91" w:rsidRPr="00A04D9E">
        <w:rPr>
          <w:noProof/>
        </w:rPr>
        <w:t>Current occupation</w:t>
      </w:r>
    </w:p>
    <w:p w14:paraId="0BA39AD5" w14:textId="04B99D94" w:rsidR="00E94A91" w:rsidRDefault="00EF15A7" w:rsidP="00EF15A7">
      <w:pPr>
        <w:pStyle w:val="Point3"/>
        <w:rPr>
          <w:noProof/>
        </w:rPr>
      </w:pPr>
      <w:r w:rsidRPr="00EF15A7">
        <w:t>(b)</w:t>
      </w:r>
      <w:r w:rsidRPr="00EF15A7">
        <w:tab/>
      </w:r>
      <w:r w:rsidR="00E94A91" w:rsidRPr="00A04D9E">
        <w:rPr>
          <w:noProof/>
        </w:rPr>
        <w:t>Employer and employer’s address and telephone number: for students name and address of educational establishment</w:t>
      </w:r>
    </w:p>
    <w:p w14:paraId="1E779C9F" w14:textId="086E2622" w:rsidR="00E94A91" w:rsidRPr="00A04D9E" w:rsidRDefault="00EF15A7" w:rsidP="00EF15A7">
      <w:pPr>
        <w:pStyle w:val="Point3"/>
        <w:rPr>
          <w:noProof/>
        </w:rPr>
      </w:pPr>
      <w:r w:rsidRPr="00EF15A7">
        <w:t>(c)</w:t>
      </w:r>
      <w:r w:rsidRPr="00EF15A7">
        <w:tab/>
      </w:r>
      <w:r w:rsidR="00E94A91" w:rsidRPr="00A04D9E">
        <w:rPr>
          <w:noProof/>
        </w:rPr>
        <w:t>Surname and first name of the inviting person(s) in the Member State(s). If not applicable, name of hotel(s) or temporary accommodation(s) in the Member State(s)</w:t>
      </w:r>
    </w:p>
    <w:p w14:paraId="6DC03EEC" w14:textId="0F108940" w:rsidR="00E94A91" w:rsidRPr="00A04D9E" w:rsidRDefault="00EF15A7" w:rsidP="00EF15A7">
      <w:pPr>
        <w:pStyle w:val="Point3"/>
        <w:rPr>
          <w:noProof/>
        </w:rPr>
      </w:pPr>
      <w:r w:rsidRPr="00EF15A7">
        <w:t>(d)</w:t>
      </w:r>
      <w:r w:rsidRPr="00EF15A7">
        <w:tab/>
      </w:r>
      <w:r w:rsidR="00E94A91" w:rsidRPr="00A04D9E">
        <w:rPr>
          <w:noProof/>
        </w:rPr>
        <w:t>Name and address of inviting company/organisation</w:t>
      </w:r>
    </w:p>
    <w:p w14:paraId="033AE8A9" w14:textId="2333A368" w:rsidR="00E94A91" w:rsidRPr="00A04D9E" w:rsidRDefault="00EF15A7" w:rsidP="00EF15A7">
      <w:pPr>
        <w:pStyle w:val="Point3"/>
        <w:rPr>
          <w:noProof/>
        </w:rPr>
      </w:pPr>
      <w:r w:rsidRPr="00EF15A7">
        <w:t>(e)</w:t>
      </w:r>
      <w:r w:rsidRPr="00EF15A7">
        <w:tab/>
      </w:r>
      <w:r w:rsidR="00E94A91" w:rsidRPr="00A04D9E">
        <w:rPr>
          <w:noProof/>
        </w:rPr>
        <w:t>Means of how the cost of travelling and living during the applicant’s stay is covered.</w:t>
      </w:r>
    </w:p>
    <w:p w14:paraId="05FC57DE" w14:textId="1534BC97" w:rsidR="002E3986" w:rsidRPr="002E3986" w:rsidRDefault="00EF15A7" w:rsidP="00EF15A7">
      <w:pPr>
        <w:pStyle w:val="Point2"/>
        <w:rPr>
          <w:noProof/>
        </w:rPr>
      </w:pPr>
      <w:r w:rsidRPr="00EF15A7">
        <w:t>(c)</w:t>
      </w:r>
      <w:r w:rsidRPr="00EF15A7">
        <w:tab/>
      </w:r>
      <w:r w:rsidR="002E3986" w:rsidRPr="002E3986">
        <w:rPr>
          <w:noProof/>
        </w:rPr>
        <w:t xml:space="preserve"> </w:t>
      </w:r>
      <w:r w:rsidR="002126B4" w:rsidRPr="002E3986">
        <w:rPr>
          <w:noProof/>
        </w:rPr>
        <w:t xml:space="preserve">the applicant should </w:t>
      </w:r>
      <w:r w:rsidR="00E04A35" w:rsidRPr="002E3986">
        <w:rPr>
          <w:noProof/>
        </w:rPr>
        <w:t>be able to submit</w:t>
      </w:r>
      <w:r w:rsidR="008D1A30" w:rsidRPr="002E3986">
        <w:rPr>
          <w:noProof/>
        </w:rPr>
        <w:t xml:space="preserve"> documents</w:t>
      </w:r>
      <w:r w:rsidR="00E04A35" w:rsidRPr="002E3986">
        <w:rPr>
          <w:noProof/>
        </w:rPr>
        <w:t xml:space="preserve"> </w:t>
      </w:r>
      <w:r w:rsidR="004620F5" w:rsidRPr="002E3986">
        <w:rPr>
          <w:noProof/>
        </w:rPr>
        <w:t>establishing</w:t>
      </w:r>
      <w:r w:rsidR="00366C85" w:rsidRPr="002E3986">
        <w:rPr>
          <w:noProof/>
        </w:rPr>
        <w:t xml:space="preserve"> </w:t>
      </w:r>
      <w:r w:rsidR="002607C3" w:rsidRPr="002E3986">
        <w:rPr>
          <w:noProof/>
        </w:rPr>
        <w:t xml:space="preserve">that </w:t>
      </w:r>
      <w:r w:rsidR="00731367" w:rsidRPr="002E3986">
        <w:rPr>
          <w:noProof/>
        </w:rPr>
        <w:t xml:space="preserve">he/she </w:t>
      </w:r>
      <w:r w:rsidR="002607C3" w:rsidRPr="002E3986">
        <w:rPr>
          <w:noProof/>
        </w:rPr>
        <w:t>is a member of the family of a Union citizen to whom Directive 2004/38/EC applies or of a third-country national enjoying the right of free movement equivalent to that of Union citizens under an agreement between the Union and its Member States, on the one hand, and a third country, on the other</w:t>
      </w:r>
      <w:r w:rsidR="002E3986" w:rsidRPr="002E3986">
        <w:rPr>
          <w:noProof/>
        </w:rPr>
        <w:t xml:space="preserve">. The applicant should not be requested </w:t>
      </w:r>
      <w:r w:rsidR="002E3986">
        <w:rPr>
          <w:noProof/>
        </w:rPr>
        <w:t xml:space="preserve">to submit </w:t>
      </w:r>
      <w:r w:rsidR="002E3986" w:rsidRPr="002E3986">
        <w:rPr>
          <w:noProof/>
        </w:rPr>
        <w:t xml:space="preserve">supporting documents referred to under Article 14 of Regulation (EC) No 810/2009 </w:t>
      </w:r>
      <w:r w:rsidR="002E3986">
        <w:rPr>
          <w:noProof/>
        </w:rPr>
        <w:t>nor</w:t>
      </w:r>
      <w:r w:rsidR="002E3986" w:rsidRPr="002E3986">
        <w:rPr>
          <w:noProof/>
        </w:rPr>
        <w:t xml:space="preserve"> proof of possession of adequate and valid travel medical insurance in accordance with Article 15 of Regulation (EC) No 810/2009 should not be requested</w:t>
      </w:r>
      <w:r w:rsidR="003660EA">
        <w:rPr>
          <w:noProof/>
        </w:rPr>
        <w:t>.</w:t>
      </w:r>
    </w:p>
    <w:p w14:paraId="3CC3832B" w14:textId="285D0FD2" w:rsidR="008D1A30" w:rsidRPr="00D87CA8" w:rsidRDefault="00EF15A7" w:rsidP="00EF15A7">
      <w:pPr>
        <w:pStyle w:val="Point2"/>
        <w:rPr>
          <w:noProof/>
        </w:rPr>
      </w:pPr>
      <w:r w:rsidRPr="00EF15A7">
        <w:t>(d)</w:t>
      </w:r>
      <w:r w:rsidRPr="00EF15A7">
        <w:tab/>
      </w:r>
      <w:r w:rsidR="003660EA">
        <w:rPr>
          <w:noProof/>
        </w:rPr>
        <w:t>b</w:t>
      </w:r>
      <w:r w:rsidR="003660EA" w:rsidRPr="003A212F">
        <w:rPr>
          <w:noProof/>
        </w:rPr>
        <w:t xml:space="preserve">y way of </w:t>
      </w:r>
      <w:r w:rsidR="003660EA" w:rsidRPr="00321E63">
        <w:rPr>
          <w:noProof/>
        </w:rPr>
        <w:t>derogation from Article 7c(8)</w:t>
      </w:r>
      <w:r w:rsidR="003660EA" w:rsidRPr="007C1D70">
        <w:rPr>
          <w:noProof/>
        </w:rPr>
        <w:t xml:space="preserve">, </w:t>
      </w:r>
      <w:r w:rsidR="008D1A30" w:rsidRPr="00D87CA8">
        <w:rPr>
          <w:noProof/>
        </w:rPr>
        <w:t xml:space="preserve">the automated admissibility pre-check </w:t>
      </w:r>
      <w:r w:rsidR="003660EA" w:rsidRPr="00D87CA8">
        <w:rPr>
          <w:noProof/>
        </w:rPr>
        <w:t xml:space="preserve">shall only </w:t>
      </w:r>
      <w:r w:rsidR="008D1A30" w:rsidRPr="00D87CA8">
        <w:rPr>
          <w:noProof/>
        </w:rPr>
        <w:t xml:space="preserve">verify </w:t>
      </w:r>
      <w:r w:rsidR="003660EA" w:rsidRPr="00D87CA8">
        <w:rPr>
          <w:noProof/>
        </w:rPr>
        <w:t>whether</w:t>
      </w:r>
      <w:r w:rsidR="008D1A30" w:rsidRPr="00D87CA8">
        <w:rPr>
          <w:noProof/>
        </w:rPr>
        <w:t>:</w:t>
      </w:r>
    </w:p>
    <w:p w14:paraId="338BD6D7" w14:textId="7BFCB29C" w:rsidR="003660EA" w:rsidRPr="00321E63" w:rsidRDefault="00EF15A7" w:rsidP="00EF15A7">
      <w:pPr>
        <w:pStyle w:val="Point3"/>
        <w:rPr>
          <w:noProof/>
        </w:rPr>
      </w:pPr>
      <w:r w:rsidRPr="00EF15A7">
        <w:t>(a)</w:t>
      </w:r>
      <w:r w:rsidRPr="00EF15A7">
        <w:tab/>
      </w:r>
      <w:r w:rsidR="003660EA" w:rsidRPr="00321E63">
        <w:rPr>
          <w:noProof/>
        </w:rPr>
        <w:t xml:space="preserve">all the required fields of the application form are filled in; </w:t>
      </w:r>
    </w:p>
    <w:p w14:paraId="16BDB293" w14:textId="155F16DC" w:rsidR="003660EA" w:rsidRPr="00D87CA8" w:rsidRDefault="00EF15A7" w:rsidP="00EF15A7">
      <w:pPr>
        <w:pStyle w:val="Point3"/>
        <w:rPr>
          <w:noProof/>
        </w:rPr>
      </w:pPr>
      <w:r w:rsidRPr="00EF15A7">
        <w:t>(b)</w:t>
      </w:r>
      <w:r w:rsidRPr="00EF15A7">
        <w:tab/>
      </w:r>
      <w:r w:rsidR="003660EA" w:rsidRPr="00D87CA8">
        <w:rPr>
          <w:noProof/>
        </w:rPr>
        <w:t xml:space="preserve">proof of holding a valid </w:t>
      </w:r>
      <w:r w:rsidR="00321E63" w:rsidRPr="00D87CA8">
        <w:rPr>
          <w:noProof/>
        </w:rPr>
        <w:t>passport</w:t>
      </w:r>
      <w:r w:rsidR="003660EA" w:rsidRPr="00D87CA8">
        <w:rPr>
          <w:noProof/>
        </w:rPr>
        <w:t xml:space="preserve"> in accordance with Directive 2004/38/EC is provided; </w:t>
      </w:r>
    </w:p>
    <w:p w14:paraId="06787B49" w14:textId="59E73167" w:rsidR="003660EA" w:rsidRPr="00321E63" w:rsidRDefault="00EF15A7" w:rsidP="00EF15A7">
      <w:pPr>
        <w:pStyle w:val="Point3"/>
        <w:rPr>
          <w:noProof/>
        </w:rPr>
      </w:pPr>
      <w:r w:rsidRPr="00EF15A7">
        <w:t>(c)</w:t>
      </w:r>
      <w:r w:rsidRPr="00EF15A7">
        <w:tab/>
      </w:r>
      <w:r w:rsidR="003660EA" w:rsidRPr="00321E63">
        <w:rPr>
          <w:noProof/>
        </w:rPr>
        <w:t xml:space="preserve">the biometric data of the applicant have been collected, if applicable. </w:t>
      </w:r>
    </w:p>
    <w:p w14:paraId="571E56BE" w14:textId="5C483A08" w:rsidR="006A3142" w:rsidRPr="00A04D9E" w:rsidRDefault="00EF15A7" w:rsidP="00EF15A7">
      <w:pPr>
        <w:pStyle w:val="Point2"/>
        <w:rPr>
          <w:noProof/>
        </w:rPr>
      </w:pPr>
      <w:r w:rsidRPr="00EF15A7">
        <w:t>(e)</w:t>
      </w:r>
      <w:r w:rsidRPr="00EF15A7">
        <w:tab/>
      </w:r>
      <w:r w:rsidR="00EE4F83" w:rsidRPr="00A04D9E">
        <w:rPr>
          <w:noProof/>
        </w:rPr>
        <w:t xml:space="preserve"> </w:t>
      </w:r>
      <w:r w:rsidR="00F93285" w:rsidRPr="00A04D9E">
        <w:rPr>
          <w:noProof/>
        </w:rPr>
        <w:t xml:space="preserve">where a visa is issued, </w:t>
      </w:r>
      <w:r w:rsidR="006A3142" w:rsidRPr="00A04D9E">
        <w:rPr>
          <w:noProof/>
        </w:rPr>
        <w:t xml:space="preserve">in the notification laid down in Article </w:t>
      </w:r>
      <w:r w:rsidR="00F93285" w:rsidRPr="004A3169">
        <w:rPr>
          <w:noProof/>
        </w:rPr>
        <w:t xml:space="preserve">7f, </w:t>
      </w:r>
      <w:r w:rsidR="006A3142" w:rsidRPr="00A04D9E">
        <w:rPr>
          <w:noProof/>
        </w:rPr>
        <w:t xml:space="preserve">the applicant shall receive </w:t>
      </w:r>
      <w:r w:rsidR="00447F5F">
        <w:rPr>
          <w:noProof/>
        </w:rPr>
        <w:t xml:space="preserve">a </w:t>
      </w:r>
      <w:r w:rsidR="006A3142" w:rsidRPr="00A04D9E">
        <w:rPr>
          <w:noProof/>
        </w:rPr>
        <w:t xml:space="preserve">reminder that the family member of a citizen exercising the right of free movement who is in possession of a </w:t>
      </w:r>
      <w:r w:rsidR="00E30FA2">
        <w:rPr>
          <w:noProof/>
        </w:rPr>
        <w:t xml:space="preserve">visa </w:t>
      </w:r>
      <w:r w:rsidR="006A3142" w:rsidRPr="00A04D9E">
        <w:rPr>
          <w:noProof/>
        </w:rPr>
        <w:t>only has a right to enter if that family member is accompanied by or joining the Union citizen or other third-country national exercising his or her right of free movement</w:t>
      </w:r>
      <w:r w:rsidR="00E30FA2">
        <w:rPr>
          <w:noProof/>
        </w:rPr>
        <w:t>.</w:t>
      </w:r>
    </w:p>
    <w:p w14:paraId="41F28BD8" w14:textId="4A954A17" w:rsidR="00CA617D" w:rsidRPr="00A04D9E" w:rsidRDefault="00EF15A7" w:rsidP="00EF15A7">
      <w:pPr>
        <w:pStyle w:val="ManualNumPar1"/>
        <w:rPr>
          <w:noProof/>
        </w:rPr>
      </w:pPr>
      <w:r w:rsidRPr="00EF15A7">
        <w:t>4.</w:t>
      </w:r>
      <w:r w:rsidRPr="00EF15A7">
        <w:tab/>
      </w:r>
      <w:r w:rsidR="00CA617D" w:rsidRPr="004A3169">
        <w:rPr>
          <w:noProof/>
          <w:shd w:val="clear" w:color="auto" w:fill="FFFFFF"/>
        </w:rPr>
        <w:t>Parag</w:t>
      </w:r>
      <w:r w:rsidR="005B7094" w:rsidRPr="004A3169">
        <w:rPr>
          <w:noProof/>
          <w:shd w:val="clear" w:color="auto" w:fill="FFFFFF"/>
        </w:rPr>
        <w:t>raphs</w:t>
      </w:r>
      <w:r w:rsidR="00CA617D" w:rsidRPr="004A3169">
        <w:rPr>
          <w:noProof/>
          <w:shd w:val="clear" w:color="auto" w:fill="FFFFFF"/>
        </w:rPr>
        <w:t xml:space="preserve"> 1 </w:t>
      </w:r>
      <w:r w:rsidR="00CE5C7C" w:rsidRPr="004A3169">
        <w:rPr>
          <w:noProof/>
          <w:shd w:val="clear" w:color="auto" w:fill="FFFFFF"/>
        </w:rPr>
        <w:t>and 2</w:t>
      </w:r>
      <w:r w:rsidR="00CA617D" w:rsidRPr="004A3169">
        <w:rPr>
          <w:noProof/>
          <w:shd w:val="clear" w:color="auto" w:fill="FFFFFF"/>
        </w:rPr>
        <w:t xml:space="preserve"> also apply where </w:t>
      </w:r>
      <w:r w:rsidR="00CA617D" w:rsidRPr="00A04D9E">
        <w:rPr>
          <w:noProof/>
          <w:shd w:val="clear" w:color="auto" w:fill="FFFFFF"/>
        </w:rPr>
        <w:t xml:space="preserve">a </w:t>
      </w:r>
      <w:r w:rsidR="00CA617D" w:rsidRPr="004A3169">
        <w:rPr>
          <w:noProof/>
          <w:shd w:val="clear" w:color="auto" w:fill="FFFFFF"/>
        </w:rPr>
        <w:t xml:space="preserve">third-country national who is a family member of a Union citizen to whom Directive 2004/38/EC applies or of a third-country national enjoying the right of free movement equivalent to that of Union citizens under an agreement between the Union and its Member States, on the one hand, and a third country, on the other, </w:t>
      </w:r>
      <w:r w:rsidR="005A33F9">
        <w:rPr>
          <w:noProof/>
          <w:shd w:val="clear" w:color="auto" w:fill="FFFFFF"/>
        </w:rPr>
        <w:t>requires</w:t>
      </w:r>
      <w:r w:rsidR="00CE5C7C" w:rsidRPr="004A3169">
        <w:rPr>
          <w:noProof/>
          <w:shd w:val="clear" w:color="auto" w:fill="FFFFFF"/>
        </w:rPr>
        <w:t xml:space="preserve"> a visa extension or </w:t>
      </w:r>
      <w:r w:rsidR="00A04D9E" w:rsidRPr="004A3169">
        <w:rPr>
          <w:noProof/>
          <w:shd w:val="clear" w:color="auto" w:fill="FFFFFF"/>
        </w:rPr>
        <w:t xml:space="preserve">a </w:t>
      </w:r>
      <w:r w:rsidR="00CE5C7C" w:rsidRPr="004A3169">
        <w:rPr>
          <w:noProof/>
          <w:shd w:val="clear" w:color="auto" w:fill="FFFFFF"/>
        </w:rPr>
        <w:t>confirmation of the visa in a new travel document</w:t>
      </w:r>
      <w:r w:rsidR="00EE4F83" w:rsidRPr="004A3169">
        <w:rPr>
          <w:noProof/>
          <w:shd w:val="clear" w:color="auto" w:fill="FFFFFF"/>
        </w:rPr>
        <w:t>.</w:t>
      </w:r>
      <w:r w:rsidR="00CE5C7C" w:rsidRPr="004A3169">
        <w:rPr>
          <w:noProof/>
          <w:shd w:val="clear" w:color="auto" w:fill="FFFFFF"/>
        </w:rPr>
        <w:t xml:space="preserve"> The visa extension fee and the visa confirmation fee shall be waived.</w:t>
      </w:r>
    </w:p>
    <w:p w14:paraId="10EBA8A0" w14:textId="5B78F67F" w:rsidR="00E75C42" w:rsidRPr="004C27CF" w:rsidRDefault="00EF15A7" w:rsidP="00EF15A7">
      <w:pPr>
        <w:pStyle w:val="ManualNumPar1"/>
        <w:rPr>
          <w:noProof/>
        </w:rPr>
      </w:pPr>
      <w:r w:rsidRPr="00EF15A7">
        <w:t>5.</w:t>
      </w:r>
      <w:r w:rsidRPr="00EF15A7">
        <w:tab/>
      </w:r>
      <w:r w:rsidR="00E75C42" w:rsidRPr="00EC0933">
        <w:rPr>
          <w:noProof/>
          <w:szCs w:val="24"/>
        </w:rPr>
        <w:t xml:space="preserve">Paragraphs 1 </w:t>
      </w:r>
      <w:r w:rsidR="00E75C42">
        <w:rPr>
          <w:noProof/>
          <w:szCs w:val="24"/>
        </w:rPr>
        <w:t>to 4 shall</w:t>
      </w:r>
      <w:r w:rsidR="00E75C42" w:rsidRPr="00EC0933">
        <w:rPr>
          <w:noProof/>
          <w:szCs w:val="24"/>
        </w:rPr>
        <w:t xml:space="preserve"> apply </w:t>
      </w:r>
      <w:r w:rsidR="00193672" w:rsidRPr="00EC0933">
        <w:rPr>
          <w:i/>
          <w:noProof/>
          <w:szCs w:val="24"/>
        </w:rPr>
        <w:t>mutatis mutandis</w:t>
      </w:r>
      <w:r w:rsidR="00193672">
        <w:rPr>
          <w:noProof/>
          <w:szCs w:val="24"/>
        </w:rPr>
        <w:t xml:space="preserve"> </w:t>
      </w:r>
      <w:r w:rsidR="00A51EAF">
        <w:rPr>
          <w:noProof/>
          <w:szCs w:val="24"/>
        </w:rPr>
        <w:t xml:space="preserve">to </w:t>
      </w:r>
      <w:r w:rsidR="00E75C42" w:rsidRPr="00145227">
        <w:rPr>
          <w:noProof/>
          <w:lang w:val="en-IE"/>
        </w:rPr>
        <w:t xml:space="preserve">family members of </w:t>
      </w:r>
      <w:r w:rsidR="00E75C42">
        <w:rPr>
          <w:noProof/>
          <w:lang w:val="en-IE"/>
        </w:rPr>
        <w:t>UK nationals who themselves are beneficiaries of the EU-UK Withdrawal Agreement</w:t>
      </w:r>
      <w:r w:rsidR="00307FF7">
        <w:rPr>
          <w:noProof/>
          <w:lang w:val="en-IE"/>
        </w:rPr>
        <w:t xml:space="preserve"> </w:t>
      </w:r>
      <w:r w:rsidR="00307FF7">
        <w:rPr>
          <w:noProof/>
        </w:rPr>
        <w:t>in the host State for which the visa application is made.</w:t>
      </w:r>
    </w:p>
    <w:p w14:paraId="3BB0BCB8" w14:textId="77777777" w:rsidR="003606D2" w:rsidRDefault="003606D2" w:rsidP="003606D2">
      <w:pPr>
        <w:pStyle w:val="Titrearticle"/>
        <w:rPr>
          <w:noProof/>
        </w:rPr>
      </w:pPr>
      <w:r>
        <w:rPr>
          <w:noProof/>
        </w:rPr>
        <w:t>Article 7c</w:t>
      </w:r>
      <w:r>
        <w:rPr>
          <w:noProof/>
        </w:rPr>
        <w:br/>
        <w:t>Application process</w:t>
      </w:r>
      <w:r w:rsidR="0040348A">
        <w:rPr>
          <w:noProof/>
        </w:rPr>
        <w:t xml:space="preserve"> using the EU application platform</w:t>
      </w:r>
    </w:p>
    <w:p w14:paraId="0644BA56" w14:textId="27D6188F" w:rsidR="008C3E84" w:rsidRDefault="00EF15A7" w:rsidP="00EF15A7">
      <w:pPr>
        <w:pStyle w:val="ManualNumPar1"/>
        <w:rPr>
          <w:noProof/>
          <w:lang w:val="en-IE"/>
        </w:rPr>
      </w:pPr>
      <w:r w:rsidRPr="00EF15A7">
        <w:t>1.</w:t>
      </w:r>
      <w:r w:rsidRPr="00EF15A7">
        <w:tab/>
      </w:r>
      <w:r w:rsidR="007600A4">
        <w:rPr>
          <w:noProof/>
        </w:rPr>
        <w:t>U</w:t>
      </w:r>
      <w:r w:rsidR="007600A4" w:rsidRPr="007600A4">
        <w:rPr>
          <w:noProof/>
        </w:rPr>
        <w:t>pon submission of the application form pursuant to</w:t>
      </w:r>
      <w:r w:rsidR="00FE1A60">
        <w:rPr>
          <w:noProof/>
        </w:rPr>
        <w:t xml:space="preserve"> Article 7b, the </w:t>
      </w:r>
      <w:r w:rsidR="00BD0E74" w:rsidRPr="00EC0933">
        <w:rPr>
          <w:noProof/>
        </w:rPr>
        <w:t xml:space="preserve">EU </w:t>
      </w:r>
      <w:r w:rsidR="00FE1A60">
        <w:rPr>
          <w:noProof/>
        </w:rPr>
        <w:t>application p</w:t>
      </w:r>
      <w:r w:rsidR="00F479BB" w:rsidRPr="00EC0933">
        <w:rPr>
          <w:noProof/>
        </w:rPr>
        <w:t>latform</w:t>
      </w:r>
      <w:r w:rsidR="008C3E84" w:rsidRPr="00EC0933">
        <w:rPr>
          <w:noProof/>
        </w:rPr>
        <w:t xml:space="preserve"> shall determine the type of visa</w:t>
      </w:r>
      <w:r w:rsidR="00A13163" w:rsidRPr="00EC0933">
        <w:rPr>
          <w:noProof/>
        </w:rPr>
        <w:t xml:space="preserve"> applied for</w:t>
      </w:r>
      <w:r w:rsidR="00FE1A60" w:rsidRPr="00EC0933">
        <w:rPr>
          <w:noProof/>
        </w:rPr>
        <w:t xml:space="preserve">, and </w:t>
      </w:r>
      <w:r w:rsidR="0075520F" w:rsidRPr="00EC0933">
        <w:rPr>
          <w:noProof/>
        </w:rPr>
        <w:t xml:space="preserve">conduct an automated competence pre-check to </w:t>
      </w:r>
      <w:r w:rsidR="00D96831" w:rsidRPr="00EC0933">
        <w:rPr>
          <w:noProof/>
        </w:rPr>
        <w:t xml:space="preserve">automatically </w:t>
      </w:r>
      <w:r w:rsidR="00C017E9" w:rsidRPr="00EC0933">
        <w:rPr>
          <w:noProof/>
        </w:rPr>
        <w:t>pre-</w:t>
      </w:r>
      <w:r w:rsidR="00D96831" w:rsidRPr="00EC0933">
        <w:rPr>
          <w:noProof/>
        </w:rPr>
        <w:t xml:space="preserve">determine </w:t>
      </w:r>
      <w:r w:rsidR="00FE1A60" w:rsidRPr="00EC0933">
        <w:rPr>
          <w:noProof/>
        </w:rPr>
        <w:t>the competent Member State</w:t>
      </w:r>
      <w:r w:rsidR="008C3E84" w:rsidRPr="00EC0933">
        <w:rPr>
          <w:noProof/>
        </w:rPr>
        <w:t xml:space="preserve"> on the basis of the data provided by the applicant</w:t>
      </w:r>
      <w:r w:rsidR="00FE1A60" w:rsidRPr="00EC0933">
        <w:rPr>
          <w:noProof/>
        </w:rPr>
        <w:t>.</w:t>
      </w:r>
      <w:r w:rsidR="00D96831" w:rsidRPr="00EC0933">
        <w:rPr>
          <w:noProof/>
        </w:rPr>
        <w:t xml:space="preserve"> </w:t>
      </w:r>
      <w:r w:rsidR="0040348A" w:rsidRPr="00EC0933">
        <w:rPr>
          <w:noProof/>
        </w:rPr>
        <w:t xml:space="preserve">This </w:t>
      </w:r>
      <w:r w:rsidR="0047315E" w:rsidRPr="00EC0933">
        <w:rPr>
          <w:noProof/>
        </w:rPr>
        <w:t>shall not preclude</w:t>
      </w:r>
      <w:r w:rsidR="0040348A" w:rsidRPr="00EC0933">
        <w:rPr>
          <w:noProof/>
        </w:rPr>
        <w:t xml:space="preserve"> the manual verification of the competence by the Member States in accordance with Article 18(3) of Regulation (EC) No 810/2009.</w:t>
      </w:r>
    </w:p>
    <w:p w14:paraId="15AD2067" w14:textId="77777777" w:rsidR="000A5B42" w:rsidRPr="000A5B42" w:rsidRDefault="000A5B42" w:rsidP="00EC0933">
      <w:pPr>
        <w:pStyle w:val="Text1"/>
        <w:rPr>
          <w:noProof/>
          <w:lang w:val="en-IE"/>
        </w:rPr>
      </w:pPr>
      <w:r>
        <w:rPr>
          <w:noProof/>
        </w:rPr>
        <w:t xml:space="preserve">The </w:t>
      </w:r>
      <w:r w:rsidR="00670005">
        <w:rPr>
          <w:noProof/>
        </w:rPr>
        <w:t xml:space="preserve">EU application </w:t>
      </w:r>
      <w:r>
        <w:rPr>
          <w:noProof/>
        </w:rPr>
        <w:t xml:space="preserve">platform shall </w:t>
      </w:r>
      <w:r w:rsidR="00670005">
        <w:rPr>
          <w:noProof/>
        </w:rPr>
        <w:t xml:space="preserve">be designed in such a way to </w:t>
      </w:r>
      <w:r>
        <w:rPr>
          <w:noProof/>
        </w:rPr>
        <w:t xml:space="preserve">allow applicants to indicate whether they are legally present, but not residing in a jurisdiction, as referred to in Article 6 (2) </w:t>
      </w:r>
      <w:r w:rsidRPr="00917FA5">
        <w:rPr>
          <w:noProof/>
          <w:color w:val="000000"/>
          <w:szCs w:val="27"/>
        </w:rPr>
        <w:t>of Regulation (EC) No 810/2009</w:t>
      </w:r>
    </w:p>
    <w:p w14:paraId="2DC0DADF" w14:textId="3000C018" w:rsidR="00C1148F" w:rsidRPr="00F228C8" w:rsidRDefault="00EF15A7" w:rsidP="00EF15A7">
      <w:pPr>
        <w:pStyle w:val="ManualNumPar1"/>
        <w:rPr>
          <w:noProof/>
        </w:rPr>
      </w:pPr>
      <w:r w:rsidRPr="00EF15A7">
        <w:t>2.</w:t>
      </w:r>
      <w:r w:rsidRPr="00EF15A7">
        <w:tab/>
      </w:r>
      <w:r w:rsidR="008C3E84" w:rsidRPr="00F228C8">
        <w:rPr>
          <w:noProof/>
        </w:rPr>
        <w:t xml:space="preserve">Applicants shall </w:t>
      </w:r>
      <w:r w:rsidR="0093580C" w:rsidRPr="00F228C8">
        <w:rPr>
          <w:noProof/>
        </w:rPr>
        <w:t xml:space="preserve">be able to use the EU application platform to </w:t>
      </w:r>
      <w:r w:rsidR="008C3E84" w:rsidRPr="00F228C8">
        <w:rPr>
          <w:noProof/>
        </w:rPr>
        <w:t xml:space="preserve">submit </w:t>
      </w:r>
      <w:r w:rsidR="00E20F7E" w:rsidRPr="00F228C8">
        <w:rPr>
          <w:noProof/>
        </w:rPr>
        <w:t>a</w:t>
      </w:r>
      <w:r w:rsidR="0093580C" w:rsidRPr="00F228C8">
        <w:rPr>
          <w:noProof/>
        </w:rPr>
        <w:t xml:space="preserve"> scanned</w:t>
      </w:r>
      <w:r w:rsidR="00E20F7E" w:rsidRPr="00F228C8">
        <w:rPr>
          <w:noProof/>
        </w:rPr>
        <w:t xml:space="preserve"> copy of </w:t>
      </w:r>
      <w:r w:rsidR="00316672" w:rsidRPr="00F228C8">
        <w:rPr>
          <w:noProof/>
        </w:rPr>
        <w:t xml:space="preserve">the </w:t>
      </w:r>
      <w:r w:rsidR="00E20F7E" w:rsidRPr="00F228C8">
        <w:rPr>
          <w:noProof/>
        </w:rPr>
        <w:t xml:space="preserve">travel document in electronic format, as well as </w:t>
      </w:r>
      <w:r w:rsidR="008C3E84" w:rsidRPr="00F228C8">
        <w:rPr>
          <w:noProof/>
        </w:rPr>
        <w:t>supporting document</w:t>
      </w:r>
      <w:r w:rsidR="00E20F7E" w:rsidRPr="00F228C8">
        <w:rPr>
          <w:noProof/>
        </w:rPr>
        <w:t>s and proof of travel medical insurance</w:t>
      </w:r>
      <w:r w:rsidR="0093580C" w:rsidRPr="00F228C8">
        <w:rPr>
          <w:noProof/>
        </w:rPr>
        <w:t xml:space="preserve"> in digital format</w:t>
      </w:r>
      <w:r w:rsidR="00E20F7E" w:rsidRPr="00F228C8">
        <w:rPr>
          <w:noProof/>
        </w:rPr>
        <w:t>,</w:t>
      </w:r>
      <w:r w:rsidR="0093580C" w:rsidRPr="00F228C8">
        <w:rPr>
          <w:noProof/>
        </w:rPr>
        <w:t xml:space="preserve"> as applicable,</w:t>
      </w:r>
      <w:r w:rsidR="00E20F7E" w:rsidRPr="00F228C8">
        <w:rPr>
          <w:noProof/>
        </w:rPr>
        <w:t xml:space="preserve"> pursuant to Regulation (EC) No 810/2009</w:t>
      </w:r>
      <w:r w:rsidR="00227646" w:rsidRPr="00F228C8">
        <w:rPr>
          <w:noProof/>
        </w:rPr>
        <w:t xml:space="preserve"> or Directive 2004/38/EC</w:t>
      </w:r>
      <w:r w:rsidR="00C1148F" w:rsidRPr="00F228C8">
        <w:rPr>
          <w:noProof/>
        </w:rPr>
        <w:t xml:space="preserve">. </w:t>
      </w:r>
    </w:p>
    <w:p w14:paraId="5A99737A" w14:textId="5C547B08" w:rsidR="00C1148F" w:rsidRDefault="00EF15A7" w:rsidP="00EF15A7">
      <w:pPr>
        <w:pStyle w:val="ManualNumPar1"/>
        <w:rPr>
          <w:noProof/>
        </w:rPr>
      </w:pPr>
      <w:r w:rsidRPr="00EF15A7">
        <w:t>3.</w:t>
      </w:r>
      <w:r w:rsidRPr="00EF15A7">
        <w:tab/>
      </w:r>
      <w:r w:rsidR="00C1148F" w:rsidRPr="00C1148F">
        <w:rPr>
          <w:noProof/>
        </w:rPr>
        <w:t xml:space="preserve">The Commission shall, by means </w:t>
      </w:r>
      <w:r w:rsidR="00C1148F" w:rsidRPr="00851BA0">
        <w:rPr>
          <w:noProof/>
        </w:rPr>
        <w:t>of implementing acts</w:t>
      </w:r>
      <w:r w:rsidR="00C1148F">
        <w:rPr>
          <w:noProof/>
        </w:rPr>
        <w:t xml:space="preserve">, define the technical requirements concerning the format of </w:t>
      </w:r>
      <w:r w:rsidR="00C1148F" w:rsidRPr="00C1148F">
        <w:rPr>
          <w:noProof/>
        </w:rPr>
        <w:t>supporting documents, travel medical insurance and copy of travel document in electronic format</w:t>
      </w:r>
      <w:r w:rsidR="00C1148F">
        <w:rPr>
          <w:noProof/>
        </w:rPr>
        <w:t xml:space="preserve">. </w:t>
      </w:r>
      <w:r w:rsidR="00C1148F" w:rsidRPr="00C1148F">
        <w:rPr>
          <w:noProof/>
        </w:rPr>
        <w:t>Those implementing acts shall be adopted in accordance with the examination procedure referred to in Article 49(2).</w:t>
      </w:r>
    </w:p>
    <w:p w14:paraId="4BF000B0" w14:textId="4F21BCCA" w:rsidR="0093580C" w:rsidRPr="0093580C" w:rsidRDefault="00EF15A7" w:rsidP="00EF15A7">
      <w:pPr>
        <w:pStyle w:val="ManualNumPar1"/>
        <w:rPr>
          <w:noProof/>
        </w:rPr>
      </w:pPr>
      <w:r w:rsidRPr="00EF15A7">
        <w:t>4.</w:t>
      </w:r>
      <w:r w:rsidRPr="00EF15A7">
        <w:tab/>
      </w:r>
      <w:r w:rsidR="0093580C" w:rsidRPr="0093580C">
        <w:rPr>
          <w:noProof/>
        </w:rPr>
        <w:t xml:space="preserve">If necessary, the applicant shall </w:t>
      </w:r>
      <w:r w:rsidR="0093580C">
        <w:rPr>
          <w:noProof/>
          <w:color w:val="000000"/>
        </w:rPr>
        <w:t>be able to use the EU application platform to</w:t>
      </w:r>
      <w:r w:rsidR="0093580C" w:rsidRPr="0093580C">
        <w:rPr>
          <w:noProof/>
        </w:rPr>
        <w:t xml:space="preserve"> pay the visa fee using the payment tool referred to in Article 7d</w:t>
      </w:r>
      <w:r w:rsidR="0093580C">
        <w:rPr>
          <w:noProof/>
        </w:rPr>
        <w:t>.</w:t>
      </w:r>
    </w:p>
    <w:p w14:paraId="515732F5" w14:textId="14E92449" w:rsidR="008C3E84" w:rsidRPr="003E4F2E" w:rsidRDefault="00EF15A7" w:rsidP="00EF15A7">
      <w:pPr>
        <w:pStyle w:val="ManualNumPar1"/>
        <w:rPr>
          <w:noProof/>
        </w:rPr>
      </w:pPr>
      <w:r w:rsidRPr="00EF15A7">
        <w:t>5.</w:t>
      </w:r>
      <w:r w:rsidRPr="00EF15A7">
        <w:tab/>
      </w:r>
      <w:r w:rsidR="00E20F7E" w:rsidRPr="000A22BB">
        <w:rPr>
          <w:noProof/>
        </w:rPr>
        <w:t xml:space="preserve">The </w:t>
      </w:r>
      <w:r w:rsidR="0093580C">
        <w:rPr>
          <w:noProof/>
        </w:rPr>
        <w:t xml:space="preserve">EU </w:t>
      </w:r>
      <w:r w:rsidR="00E20F7E" w:rsidRPr="000A22BB">
        <w:rPr>
          <w:noProof/>
        </w:rPr>
        <w:t>application p</w:t>
      </w:r>
      <w:r w:rsidR="00F479BB" w:rsidRPr="00A140FD">
        <w:rPr>
          <w:noProof/>
        </w:rPr>
        <w:t>latform</w:t>
      </w:r>
      <w:r w:rsidR="008C3E84" w:rsidRPr="00A140FD">
        <w:rPr>
          <w:noProof/>
        </w:rPr>
        <w:t xml:space="preserve"> shall</w:t>
      </w:r>
      <w:r w:rsidR="0093580C">
        <w:rPr>
          <w:noProof/>
        </w:rPr>
        <w:t xml:space="preserve"> be able to</w:t>
      </w:r>
      <w:r w:rsidR="008C3E84" w:rsidRPr="00A140FD">
        <w:rPr>
          <w:noProof/>
        </w:rPr>
        <w:t xml:space="preserve"> check in </w:t>
      </w:r>
      <w:r w:rsidR="00C1148F" w:rsidRPr="00A140FD">
        <w:rPr>
          <w:noProof/>
        </w:rPr>
        <w:t xml:space="preserve">the read-only copy of </w:t>
      </w:r>
      <w:r w:rsidR="008C3E84" w:rsidRPr="00A140FD">
        <w:rPr>
          <w:noProof/>
        </w:rPr>
        <w:t>VIS</w:t>
      </w:r>
      <w:r w:rsidR="00C1148F" w:rsidRPr="00A140FD">
        <w:rPr>
          <w:noProof/>
        </w:rPr>
        <w:t xml:space="preserve"> </w:t>
      </w:r>
      <w:r w:rsidR="008C3E84" w:rsidRPr="00A140FD">
        <w:rPr>
          <w:noProof/>
        </w:rPr>
        <w:t xml:space="preserve">whether the applicant’s biometrics were taken in the last 59 months </w:t>
      </w:r>
      <w:r w:rsidR="008C3E84" w:rsidRPr="000A22BB">
        <w:rPr>
          <w:noProof/>
        </w:rPr>
        <w:t>and whether the applicant has already applied with the same travel do</w:t>
      </w:r>
      <w:r w:rsidR="008C3E84" w:rsidRPr="00A140FD">
        <w:rPr>
          <w:noProof/>
        </w:rPr>
        <w:t>cument</w:t>
      </w:r>
      <w:r w:rsidR="00CA3981" w:rsidRPr="00A140FD">
        <w:rPr>
          <w:noProof/>
        </w:rPr>
        <w:t>:</w:t>
      </w:r>
    </w:p>
    <w:p w14:paraId="194AC4BC" w14:textId="77777777" w:rsidR="002B0223" w:rsidRDefault="00F4474C" w:rsidP="00EE125B">
      <w:pPr>
        <w:pStyle w:val="Text1"/>
        <w:rPr>
          <w:noProof/>
        </w:rPr>
      </w:pPr>
      <w:r>
        <w:rPr>
          <w:noProof/>
        </w:rPr>
        <w:t>Where</w:t>
      </w:r>
      <w:r w:rsidRPr="00F3241D">
        <w:rPr>
          <w:noProof/>
        </w:rPr>
        <w:t xml:space="preserve"> </w:t>
      </w:r>
      <w:r w:rsidR="00CA3981">
        <w:rPr>
          <w:noProof/>
        </w:rPr>
        <w:t>this is the case</w:t>
      </w:r>
      <w:r w:rsidR="00EC2375">
        <w:rPr>
          <w:noProof/>
        </w:rPr>
        <w:t xml:space="preserve">, </w:t>
      </w:r>
      <w:r w:rsidR="0093580C" w:rsidRPr="00693AF8">
        <w:rPr>
          <w:noProof/>
        </w:rPr>
        <w:t xml:space="preserve">the </w:t>
      </w:r>
      <w:r w:rsidR="00BD0E74">
        <w:rPr>
          <w:noProof/>
          <w:color w:val="000000"/>
        </w:rPr>
        <w:t xml:space="preserve">EU </w:t>
      </w:r>
      <w:r w:rsidR="0093580C" w:rsidRPr="00693AF8">
        <w:rPr>
          <w:noProof/>
        </w:rPr>
        <w:t>application platform shall notify the applicant</w:t>
      </w:r>
      <w:r w:rsidR="0093580C">
        <w:rPr>
          <w:noProof/>
        </w:rPr>
        <w:t xml:space="preserve"> that </w:t>
      </w:r>
      <w:r w:rsidR="0086184C">
        <w:rPr>
          <w:noProof/>
        </w:rPr>
        <w:t>no visit to consulate or external service provider</w:t>
      </w:r>
      <w:r w:rsidR="008C3E84" w:rsidRPr="00F3241D">
        <w:rPr>
          <w:noProof/>
        </w:rPr>
        <w:t xml:space="preserve"> is </w:t>
      </w:r>
      <w:r w:rsidR="0086184C">
        <w:rPr>
          <w:noProof/>
        </w:rPr>
        <w:t>required</w:t>
      </w:r>
      <w:r w:rsidR="004F4B85">
        <w:rPr>
          <w:noProof/>
        </w:rPr>
        <w:t xml:space="preserve"> to lodge the application</w:t>
      </w:r>
      <w:r w:rsidR="00CA3981">
        <w:rPr>
          <w:noProof/>
        </w:rPr>
        <w:t>;</w:t>
      </w:r>
    </w:p>
    <w:p w14:paraId="646A3111" w14:textId="77777777" w:rsidR="008C3E84" w:rsidRPr="00F3241D" w:rsidRDefault="00F4474C" w:rsidP="00EE125B">
      <w:pPr>
        <w:pStyle w:val="Text1"/>
        <w:rPr>
          <w:noProof/>
        </w:rPr>
      </w:pPr>
      <w:r>
        <w:rPr>
          <w:noProof/>
        </w:rPr>
        <w:t xml:space="preserve">Where </w:t>
      </w:r>
      <w:r w:rsidR="00CA3981">
        <w:rPr>
          <w:noProof/>
        </w:rPr>
        <w:t xml:space="preserve">this is not the case, </w:t>
      </w:r>
      <w:r w:rsidR="00693AF8" w:rsidRPr="00693AF8">
        <w:rPr>
          <w:noProof/>
        </w:rPr>
        <w:t xml:space="preserve">the </w:t>
      </w:r>
      <w:r w:rsidR="00BD0E74" w:rsidRPr="00EE125B">
        <w:rPr>
          <w:noProof/>
        </w:rPr>
        <w:t xml:space="preserve">EU </w:t>
      </w:r>
      <w:r w:rsidR="00693AF8" w:rsidRPr="00693AF8">
        <w:rPr>
          <w:noProof/>
        </w:rPr>
        <w:t xml:space="preserve">application platform shall notify the applicant </w:t>
      </w:r>
      <w:r w:rsidR="00693AF8">
        <w:rPr>
          <w:noProof/>
        </w:rPr>
        <w:t xml:space="preserve">to arrange </w:t>
      </w:r>
      <w:r w:rsidR="00CA3981">
        <w:rPr>
          <w:noProof/>
        </w:rPr>
        <w:t>a</w:t>
      </w:r>
      <w:r w:rsidR="008C3E84" w:rsidRPr="00F3241D">
        <w:rPr>
          <w:noProof/>
        </w:rPr>
        <w:t xml:space="preserve"> visit to consulate</w:t>
      </w:r>
      <w:r w:rsidR="0086184C">
        <w:rPr>
          <w:noProof/>
        </w:rPr>
        <w:t xml:space="preserve"> or external service provider</w:t>
      </w:r>
      <w:r w:rsidR="00693AF8">
        <w:rPr>
          <w:noProof/>
        </w:rPr>
        <w:t>, as</w:t>
      </w:r>
      <w:r w:rsidR="00693AF8" w:rsidRPr="00F3241D">
        <w:rPr>
          <w:noProof/>
        </w:rPr>
        <w:t xml:space="preserve"> </w:t>
      </w:r>
      <w:r w:rsidR="0086184C">
        <w:rPr>
          <w:noProof/>
        </w:rPr>
        <w:t>required</w:t>
      </w:r>
      <w:r w:rsidR="004F4B85">
        <w:rPr>
          <w:noProof/>
        </w:rPr>
        <w:t>, to lodge the application</w:t>
      </w:r>
      <w:r w:rsidR="00CA3981">
        <w:rPr>
          <w:noProof/>
        </w:rPr>
        <w:t>.</w:t>
      </w:r>
    </w:p>
    <w:p w14:paraId="58E95209" w14:textId="1FBF9CA5" w:rsidR="008C3E84" w:rsidRPr="00EC0933" w:rsidRDefault="00EF15A7" w:rsidP="00EF15A7">
      <w:pPr>
        <w:pStyle w:val="ManualNumPar1"/>
        <w:rPr>
          <w:noProof/>
        </w:rPr>
      </w:pPr>
      <w:r w:rsidRPr="00EF15A7">
        <w:t>6.</w:t>
      </w:r>
      <w:r w:rsidRPr="00EF15A7">
        <w:tab/>
      </w:r>
      <w:r w:rsidR="005C0F02" w:rsidRPr="00EC0933">
        <w:rPr>
          <w:noProof/>
        </w:rPr>
        <w:t xml:space="preserve">If </w:t>
      </w:r>
      <w:r w:rsidR="00BA013B" w:rsidRPr="00EC0933">
        <w:rPr>
          <w:noProof/>
        </w:rPr>
        <w:t xml:space="preserve">a visit to consulate or external service provider is </w:t>
      </w:r>
      <w:r w:rsidR="005C0F02" w:rsidRPr="00EC0933">
        <w:rPr>
          <w:noProof/>
        </w:rPr>
        <w:t>necessary</w:t>
      </w:r>
      <w:r w:rsidR="00BA013B" w:rsidRPr="00BA013B">
        <w:rPr>
          <w:noProof/>
        </w:rPr>
        <w:t xml:space="preserve"> </w:t>
      </w:r>
      <w:r w:rsidR="00BA013B">
        <w:rPr>
          <w:noProof/>
        </w:rPr>
        <w:t xml:space="preserve">in accordance with </w:t>
      </w:r>
      <w:r w:rsidR="00851BA0" w:rsidRPr="00EC0933">
        <w:rPr>
          <w:noProof/>
        </w:rPr>
        <w:t>Regulation (EC) No 810/2009</w:t>
      </w:r>
      <w:r w:rsidR="005C0F02" w:rsidRPr="00EC0933">
        <w:rPr>
          <w:noProof/>
        </w:rPr>
        <w:t xml:space="preserve">, </w:t>
      </w:r>
      <w:r w:rsidR="00BA013B" w:rsidRPr="00EC0933">
        <w:rPr>
          <w:noProof/>
        </w:rPr>
        <w:t xml:space="preserve">a </w:t>
      </w:r>
      <w:r w:rsidR="005C0F02" w:rsidRPr="00EC0933">
        <w:rPr>
          <w:noProof/>
        </w:rPr>
        <w:t xml:space="preserve">Member State </w:t>
      </w:r>
      <w:r w:rsidR="00BA013B" w:rsidRPr="00EC0933">
        <w:rPr>
          <w:noProof/>
        </w:rPr>
        <w:t xml:space="preserve">may </w:t>
      </w:r>
      <w:r w:rsidR="005C0F02" w:rsidRPr="00EC0933">
        <w:rPr>
          <w:noProof/>
        </w:rPr>
        <w:t xml:space="preserve">decide </w:t>
      </w:r>
      <w:r w:rsidR="00BA013B" w:rsidRPr="00EC0933">
        <w:rPr>
          <w:noProof/>
        </w:rPr>
        <w:t>to use the</w:t>
      </w:r>
      <w:r w:rsidR="00854E20" w:rsidRPr="00EC0933">
        <w:rPr>
          <w:noProof/>
        </w:rPr>
        <w:t xml:space="preserve"> appointment tool referred to </w:t>
      </w:r>
      <w:r w:rsidR="00A13163" w:rsidRPr="00EC0933">
        <w:rPr>
          <w:noProof/>
        </w:rPr>
        <w:t>in Article 7d for this purpose</w:t>
      </w:r>
      <w:r w:rsidR="00854E20" w:rsidRPr="00EC0933">
        <w:rPr>
          <w:noProof/>
        </w:rPr>
        <w:t>.</w:t>
      </w:r>
    </w:p>
    <w:p w14:paraId="09FCFC96" w14:textId="6209744D" w:rsidR="00BA013B" w:rsidRPr="00F3241D" w:rsidRDefault="00EF15A7" w:rsidP="00EF15A7">
      <w:pPr>
        <w:pStyle w:val="ManualNumPar1"/>
        <w:rPr>
          <w:noProof/>
        </w:rPr>
      </w:pPr>
      <w:r w:rsidRPr="00EF15A7">
        <w:t>7.</w:t>
      </w:r>
      <w:r w:rsidRPr="00EF15A7">
        <w:tab/>
      </w:r>
      <w:r w:rsidR="00BA013B" w:rsidRPr="00BA013B">
        <w:rPr>
          <w:noProof/>
        </w:rPr>
        <w:t>The applicant shall submit the application, including declaration of the authenticity, completeness, correctness and reliability of data.</w:t>
      </w:r>
    </w:p>
    <w:p w14:paraId="4972CDC0" w14:textId="2D34EA33" w:rsidR="002B0223" w:rsidRDefault="00EF15A7" w:rsidP="00EF15A7">
      <w:pPr>
        <w:pStyle w:val="ManualNumPar1"/>
        <w:rPr>
          <w:noProof/>
        </w:rPr>
      </w:pPr>
      <w:r w:rsidRPr="00EF15A7">
        <w:t>8.</w:t>
      </w:r>
      <w:r w:rsidRPr="00EF15A7">
        <w:tab/>
      </w:r>
      <w:r w:rsidR="0009595D">
        <w:rPr>
          <w:noProof/>
        </w:rPr>
        <w:t>After the applicant submits the application via the EU application platform, t</w:t>
      </w:r>
      <w:r w:rsidR="0027451F">
        <w:rPr>
          <w:noProof/>
        </w:rPr>
        <w:t xml:space="preserve">he </w:t>
      </w:r>
      <w:r w:rsidR="00BD0E74">
        <w:rPr>
          <w:noProof/>
        </w:rPr>
        <w:t xml:space="preserve">EU </w:t>
      </w:r>
      <w:r w:rsidR="0027451F">
        <w:rPr>
          <w:noProof/>
        </w:rPr>
        <w:t>application platform shall perform an a</w:t>
      </w:r>
      <w:r w:rsidR="008C3E84" w:rsidRPr="00F3241D">
        <w:rPr>
          <w:noProof/>
        </w:rPr>
        <w:t xml:space="preserve">utomated admissibility </w:t>
      </w:r>
      <w:r w:rsidR="00C017E9">
        <w:rPr>
          <w:noProof/>
        </w:rPr>
        <w:t>pre-</w:t>
      </w:r>
      <w:r w:rsidR="008C3E84" w:rsidRPr="00F3241D">
        <w:rPr>
          <w:noProof/>
        </w:rPr>
        <w:t>check</w:t>
      </w:r>
      <w:r w:rsidR="0027451F">
        <w:rPr>
          <w:noProof/>
        </w:rPr>
        <w:t>.</w:t>
      </w:r>
    </w:p>
    <w:p w14:paraId="544C0E9F" w14:textId="77777777" w:rsidR="00F768F9" w:rsidRPr="00F768F9" w:rsidRDefault="00F768F9" w:rsidP="00522FB2">
      <w:pPr>
        <w:pStyle w:val="Text1"/>
        <w:rPr>
          <w:noProof/>
        </w:rPr>
      </w:pPr>
      <w:r>
        <w:rPr>
          <w:noProof/>
        </w:rPr>
        <w:t xml:space="preserve">The </w:t>
      </w:r>
      <w:r w:rsidRPr="002E7273">
        <w:rPr>
          <w:noProof/>
        </w:rPr>
        <w:t xml:space="preserve">automated admissibility </w:t>
      </w:r>
      <w:r w:rsidR="00C017E9">
        <w:rPr>
          <w:noProof/>
        </w:rPr>
        <w:t xml:space="preserve">pre-check </w:t>
      </w:r>
      <w:r w:rsidRPr="002E7273">
        <w:rPr>
          <w:noProof/>
        </w:rPr>
        <w:t>shall</w:t>
      </w:r>
      <w:r w:rsidR="00EC2375">
        <w:rPr>
          <w:noProof/>
        </w:rPr>
        <w:t xml:space="preserve"> automatically verify whether</w:t>
      </w:r>
      <w:r w:rsidRPr="00F768F9">
        <w:rPr>
          <w:noProof/>
        </w:rPr>
        <w:t>:</w:t>
      </w:r>
    </w:p>
    <w:p w14:paraId="04D9DBBB" w14:textId="06CE2382" w:rsidR="00017275" w:rsidRPr="00017275" w:rsidRDefault="00EF15A7" w:rsidP="00EF15A7">
      <w:pPr>
        <w:pStyle w:val="Point1"/>
        <w:rPr>
          <w:noProof/>
        </w:rPr>
      </w:pPr>
      <w:r w:rsidRPr="00EF15A7">
        <w:t>(a)</w:t>
      </w:r>
      <w:r w:rsidRPr="00EF15A7">
        <w:tab/>
      </w:r>
      <w:r w:rsidR="00017275" w:rsidRPr="00017275">
        <w:rPr>
          <w:noProof/>
        </w:rPr>
        <w:t>the application has been lodged within the period referred to in Article 9(1)</w:t>
      </w:r>
      <w:r w:rsidR="004C54EF">
        <w:rPr>
          <w:noProof/>
        </w:rPr>
        <w:t>, if applicable</w:t>
      </w:r>
      <w:r w:rsidR="00017275">
        <w:rPr>
          <w:noProof/>
        </w:rPr>
        <w:t>;</w:t>
      </w:r>
    </w:p>
    <w:p w14:paraId="34CF52FA" w14:textId="6C835E86" w:rsidR="00A63963" w:rsidRDefault="00EF15A7" w:rsidP="00EF15A7">
      <w:pPr>
        <w:pStyle w:val="Point1"/>
        <w:rPr>
          <w:noProof/>
        </w:rPr>
      </w:pPr>
      <w:r w:rsidRPr="00EF15A7">
        <w:t>(b)</w:t>
      </w:r>
      <w:r w:rsidRPr="00EF15A7">
        <w:tab/>
      </w:r>
      <w:r w:rsidR="00F768F9" w:rsidRPr="00F768F9">
        <w:rPr>
          <w:noProof/>
        </w:rPr>
        <w:t xml:space="preserve">all the </w:t>
      </w:r>
      <w:r w:rsidR="00812BBD">
        <w:rPr>
          <w:noProof/>
        </w:rPr>
        <w:t xml:space="preserve">required </w:t>
      </w:r>
      <w:r w:rsidR="00F768F9" w:rsidRPr="00F768F9">
        <w:rPr>
          <w:noProof/>
        </w:rPr>
        <w:t>fields of the application form are filled in</w:t>
      </w:r>
      <w:r w:rsidR="00A63963">
        <w:rPr>
          <w:noProof/>
        </w:rPr>
        <w:t>;</w:t>
      </w:r>
      <w:r w:rsidR="00F768F9" w:rsidRPr="00F768F9">
        <w:rPr>
          <w:noProof/>
        </w:rPr>
        <w:t xml:space="preserve"> </w:t>
      </w:r>
    </w:p>
    <w:p w14:paraId="10AF0396" w14:textId="1366DEF0" w:rsidR="00F768F9" w:rsidRDefault="00EF15A7" w:rsidP="00EF15A7">
      <w:pPr>
        <w:pStyle w:val="Point1"/>
        <w:rPr>
          <w:noProof/>
        </w:rPr>
      </w:pPr>
      <w:r w:rsidRPr="00EF15A7">
        <w:t>(c)</w:t>
      </w:r>
      <w:r w:rsidRPr="00EF15A7">
        <w:tab/>
      </w:r>
      <w:r w:rsidR="00A63963">
        <w:rPr>
          <w:noProof/>
        </w:rPr>
        <w:t xml:space="preserve">proof of holding a travel document in accordance with Article 12 of </w:t>
      </w:r>
      <w:r w:rsidR="00A63963" w:rsidRPr="00A63963">
        <w:rPr>
          <w:noProof/>
        </w:rPr>
        <w:t>Regulation (EC) No 810/2009</w:t>
      </w:r>
      <w:r w:rsidR="00A63963">
        <w:rPr>
          <w:noProof/>
        </w:rPr>
        <w:t xml:space="preserve"> is provided</w:t>
      </w:r>
      <w:r w:rsidR="00F768F9" w:rsidRPr="00F768F9">
        <w:rPr>
          <w:noProof/>
        </w:rPr>
        <w:t>;</w:t>
      </w:r>
    </w:p>
    <w:p w14:paraId="25293EE7" w14:textId="08CF4A6D" w:rsidR="00017275" w:rsidRPr="00F768F9" w:rsidRDefault="00EF15A7" w:rsidP="00EF15A7">
      <w:pPr>
        <w:pStyle w:val="Point1"/>
        <w:rPr>
          <w:noProof/>
        </w:rPr>
      </w:pPr>
      <w:r w:rsidRPr="00EF15A7">
        <w:t>(d)</w:t>
      </w:r>
      <w:r w:rsidRPr="00EF15A7">
        <w:tab/>
      </w:r>
      <w:r w:rsidR="00017275">
        <w:rPr>
          <w:noProof/>
        </w:rPr>
        <w:t>the biometric data of the applicant have been collected</w:t>
      </w:r>
      <w:r w:rsidR="00A63963">
        <w:rPr>
          <w:noProof/>
        </w:rPr>
        <w:t>, if applicable</w:t>
      </w:r>
      <w:r w:rsidR="00017275">
        <w:rPr>
          <w:noProof/>
        </w:rPr>
        <w:t xml:space="preserve">; </w:t>
      </w:r>
    </w:p>
    <w:p w14:paraId="3A5EDA3E" w14:textId="608C7E1F" w:rsidR="00503370" w:rsidRDefault="00EF15A7" w:rsidP="00EF15A7">
      <w:pPr>
        <w:pStyle w:val="Point1"/>
        <w:rPr>
          <w:noProof/>
        </w:rPr>
      </w:pPr>
      <w:r w:rsidRPr="00EF15A7">
        <w:t>(e)</w:t>
      </w:r>
      <w:r w:rsidRPr="00EF15A7">
        <w:tab/>
      </w:r>
      <w:r w:rsidR="00F768F9" w:rsidRPr="00F768F9">
        <w:rPr>
          <w:noProof/>
        </w:rPr>
        <w:t xml:space="preserve">the </w:t>
      </w:r>
      <w:r w:rsidR="00017275">
        <w:rPr>
          <w:noProof/>
        </w:rPr>
        <w:t>visa</w:t>
      </w:r>
      <w:r w:rsidR="00F768F9" w:rsidRPr="00F768F9">
        <w:rPr>
          <w:noProof/>
        </w:rPr>
        <w:t xml:space="preserve"> fee has been collected</w:t>
      </w:r>
      <w:r w:rsidR="00A63963">
        <w:rPr>
          <w:noProof/>
        </w:rPr>
        <w:t>, if applicable</w:t>
      </w:r>
      <w:r w:rsidR="00503370">
        <w:rPr>
          <w:noProof/>
        </w:rPr>
        <w:t xml:space="preserve">; </w:t>
      </w:r>
    </w:p>
    <w:p w14:paraId="63E74A72" w14:textId="28BFC8F1" w:rsidR="002B0223" w:rsidRDefault="00EF15A7" w:rsidP="00EF15A7">
      <w:pPr>
        <w:pStyle w:val="ManualNumPar1"/>
        <w:rPr>
          <w:noProof/>
        </w:rPr>
      </w:pPr>
      <w:r w:rsidRPr="00EF15A7">
        <w:t>9.</w:t>
      </w:r>
      <w:r w:rsidRPr="00EF15A7">
        <w:tab/>
      </w:r>
      <w:r w:rsidR="0027451F" w:rsidRPr="000A22BB">
        <w:rPr>
          <w:noProof/>
          <w:color w:val="000000"/>
        </w:rPr>
        <w:t xml:space="preserve">If </w:t>
      </w:r>
      <w:r w:rsidR="00BD0E74">
        <w:rPr>
          <w:noProof/>
          <w:color w:val="000000"/>
        </w:rPr>
        <w:t xml:space="preserve">according to </w:t>
      </w:r>
      <w:r w:rsidR="009A281E" w:rsidRPr="00A140FD">
        <w:rPr>
          <w:noProof/>
          <w:color w:val="000000"/>
        </w:rPr>
        <w:t xml:space="preserve">the automated admissibility </w:t>
      </w:r>
      <w:r w:rsidR="00C017E9">
        <w:rPr>
          <w:noProof/>
          <w:color w:val="000000"/>
        </w:rPr>
        <w:t>pre-</w:t>
      </w:r>
      <w:r w:rsidR="009A281E" w:rsidRPr="00A140FD">
        <w:rPr>
          <w:noProof/>
          <w:color w:val="000000"/>
        </w:rPr>
        <w:t xml:space="preserve">check the application is admissible, </w:t>
      </w:r>
      <w:r w:rsidR="007B6BAB">
        <w:rPr>
          <w:noProof/>
          <w:color w:val="000000"/>
        </w:rPr>
        <w:t>the EU application platform</w:t>
      </w:r>
      <w:r w:rsidR="00017275" w:rsidRPr="00A140FD">
        <w:rPr>
          <w:noProof/>
          <w:color w:val="000000"/>
        </w:rPr>
        <w:t xml:space="preserve"> shall send a </w:t>
      </w:r>
      <w:r w:rsidR="008C3E84" w:rsidRPr="00F3241D">
        <w:rPr>
          <w:noProof/>
        </w:rPr>
        <w:t xml:space="preserve">notification to </w:t>
      </w:r>
      <w:r w:rsidR="00316672" w:rsidRPr="00EE125B">
        <w:rPr>
          <w:noProof/>
        </w:rPr>
        <w:t xml:space="preserve">the </w:t>
      </w:r>
      <w:r w:rsidR="00EC2375" w:rsidRPr="00EE125B">
        <w:rPr>
          <w:noProof/>
        </w:rPr>
        <w:t>consulate or the central authorities</w:t>
      </w:r>
      <w:r w:rsidR="007D2414" w:rsidRPr="00EE125B">
        <w:rPr>
          <w:noProof/>
        </w:rPr>
        <w:t xml:space="preserve"> </w:t>
      </w:r>
      <w:r w:rsidR="00EC2375" w:rsidRPr="00EE125B">
        <w:rPr>
          <w:noProof/>
        </w:rPr>
        <w:t>of the</w:t>
      </w:r>
      <w:r w:rsidR="00EC2375" w:rsidRPr="00EC2375">
        <w:rPr>
          <w:noProof/>
        </w:rPr>
        <w:t xml:space="preserve"> Member State</w:t>
      </w:r>
      <w:r w:rsidR="00DD4783">
        <w:rPr>
          <w:noProof/>
        </w:rPr>
        <w:t xml:space="preserve"> with the </w:t>
      </w:r>
      <w:r w:rsidR="00CF30AF">
        <w:rPr>
          <w:noProof/>
        </w:rPr>
        <w:t xml:space="preserve">combined </w:t>
      </w:r>
      <w:r w:rsidR="00DD4783">
        <w:rPr>
          <w:noProof/>
        </w:rPr>
        <w:t xml:space="preserve">result of the automated competence and admissibility </w:t>
      </w:r>
      <w:r w:rsidR="00C017E9">
        <w:rPr>
          <w:noProof/>
        </w:rPr>
        <w:t>pre-</w:t>
      </w:r>
      <w:r w:rsidR="00DD4783">
        <w:rPr>
          <w:noProof/>
        </w:rPr>
        <w:t>check</w:t>
      </w:r>
      <w:r w:rsidR="00017275">
        <w:rPr>
          <w:noProof/>
        </w:rPr>
        <w:t xml:space="preserve">. </w:t>
      </w:r>
    </w:p>
    <w:p w14:paraId="3B1FF405" w14:textId="77777777" w:rsidR="00B213CD" w:rsidRDefault="00017275" w:rsidP="00522FB2">
      <w:pPr>
        <w:pStyle w:val="Text1"/>
        <w:rPr>
          <w:noProof/>
        </w:rPr>
      </w:pPr>
      <w:r w:rsidRPr="0027451F">
        <w:rPr>
          <w:noProof/>
        </w:rPr>
        <w:t xml:space="preserve">If </w:t>
      </w:r>
      <w:r w:rsidR="007D2414">
        <w:rPr>
          <w:noProof/>
          <w:color w:val="000000"/>
        </w:rPr>
        <w:t>according to</w:t>
      </w:r>
      <w:r w:rsidR="007D2414" w:rsidRPr="0092346E">
        <w:rPr>
          <w:noProof/>
          <w:color w:val="000000"/>
        </w:rPr>
        <w:t xml:space="preserve"> </w:t>
      </w:r>
      <w:r>
        <w:rPr>
          <w:noProof/>
        </w:rPr>
        <w:t xml:space="preserve">the automated admissibility </w:t>
      </w:r>
      <w:r w:rsidR="00C017E9">
        <w:rPr>
          <w:noProof/>
        </w:rPr>
        <w:t>pre-</w:t>
      </w:r>
      <w:r>
        <w:rPr>
          <w:noProof/>
        </w:rPr>
        <w:t xml:space="preserve">check the application is not admissible, </w:t>
      </w:r>
      <w:r w:rsidR="007B6BAB">
        <w:rPr>
          <w:noProof/>
          <w:color w:val="000000"/>
        </w:rPr>
        <w:t>the EU application platform</w:t>
      </w:r>
      <w:r>
        <w:rPr>
          <w:noProof/>
        </w:rPr>
        <w:t xml:space="preserve"> shall send a notification to the applicant and notify which part of the application file is missing</w:t>
      </w:r>
      <w:r w:rsidR="00D8564E">
        <w:rPr>
          <w:noProof/>
        </w:rPr>
        <w:t>.</w:t>
      </w:r>
    </w:p>
    <w:p w14:paraId="53E14047" w14:textId="77777777" w:rsidR="00017275" w:rsidRPr="00017275" w:rsidRDefault="00B213CD" w:rsidP="00522FB2">
      <w:pPr>
        <w:pStyle w:val="Text1"/>
        <w:rPr>
          <w:noProof/>
        </w:rPr>
      </w:pPr>
      <w:r>
        <w:rPr>
          <w:noProof/>
        </w:rPr>
        <w:t xml:space="preserve">The application platform shall </w:t>
      </w:r>
      <w:r w:rsidRPr="00B213CD">
        <w:rPr>
          <w:noProof/>
        </w:rPr>
        <w:t xml:space="preserve">be designed so as to ensure that </w:t>
      </w:r>
      <w:r>
        <w:rPr>
          <w:noProof/>
        </w:rPr>
        <w:t xml:space="preserve">Article 19 paragraphs (4) and (4a) of </w:t>
      </w:r>
      <w:r w:rsidRPr="00B213CD">
        <w:rPr>
          <w:noProof/>
        </w:rPr>
        <w:t xml:space="preserve">Regulation (EC) No 810/2009 </w:t>
      </w:r>
      <w:r>
        <w:rPr>
          <w:noProof/>
        </w:rPr>
        <w:t>can</w:t>
      </w:r>
      <w:r w:rsidRPr="00B213CD">
        <w:rPr>
          <w:noProof/>
        </w:rPr>
        <w:t xml:space="preserve"> apply</w:t>
      </w:r>
      <w:r>
        <w:rPr>
          <w:noProof/>
        </w:rPr>
        <w:t>, in order to allow applications to be considered admissible.</w:t>
      </w:r>
    </w:p>
    <w:p w14:paraId="036BC32E" w14:textId="249FFD29" w:rsidR="008C3E84" w:rsidRPr="00DD4783" w:rsidRDefault="00EF15A7" w:rsidP="00EF15A7">
      <w:pPr>
        <w:pStyle w:val="ManualNumPar1"/>
        <w:rPr>
          <w:noProof/>
        </w:rPr>
      </w:pPr>
      <w:r w:rsidRPr="00EF15A7">
        <w:t>10.</w:t>
      </w:r>
      <w:r w:rsidRPr="00EF15A7">
        <w:tab/>
      </w:r>
      <w:r w:rsidR="00017275" w:rsidRPr="00DD4783">
        <w:rPr>
          <w:noProof/>
        </w:rPr>
        <w:t xml:space="preserve">Following the </w:t>
      </w:r>
      <w:r w:rsidR="00DD4783" w:rsidRPr="00DD4783">
        <w:rPr>
          <w:noProof/>
        </w:rPr>
        <w:t xml:space="preserve">notification </w:t>
      </w:r>
      <w:r w:rsidR="009D7B53">
        <w:rPr>
          <w:noProof/>
        </w:rPr>
        <w:t xml:space="preserve">referred to </w:t>
      </w:r>
      <w:r w:rsidR="00DD4783" w:rsidRPr="00DD4783">
        <w:rPr>
          <w:noProof/>
        </w:rPr>
        <w:t>in paragraph 9</w:t>
      </w:r>
      <w:r w:rsidR="00017275" w:rsidRPr="00DD4783">
        <w:rPr>
          <w:noProof/>
        </w:rPr>
        <w:t xml:space="preserve">, the </w:t>
      </w:r>
      <w:r w:rsidR="00EC2375" w:rsidRPr="00DD4783">
        <w:rPr>
          <w:noProof/>
        </w:rPr>
        <w:t xml:space="preserve">consulate or the central authorities of the Member State shall perform </w:t>
      </w:r>
      <w:r w:rsidR="00DD4783" w:rsidRPr="00DD4783">
        <w:rPr>
          <w:noProof/>
        </w:rPr>
        <w:t>a manual verification of the competence</w:t>
      </w:r>
      <w:r w:rsidR="00DD4783">
        <w:rPr>
          <w:noProof/>
        </w:rPr>
        <w:t>, in</w:t>
      </w:r>
      <w:r w:rsidR="00DD4783" w:rsidRPr="00DD4783">
        <w:rPr>
          <w:noProof/>
        </w:rPr>
        <w:t xml:space="preserve"> accordance with Article 18(3) of Regulation (EC) No 810/2009</w:t>
      </w:r>
      <w:r w:rsidR="00DD4783">
        <w:rPr>
          <w:noProof/>
        </w:rPr>
        <w:t>, and</w:t>
      </w:r>
      <w:r w:rsidR="00CF30AF">
        <w:rPr>
          <w:noProof/>
        </w:rPr>
        <w:t xml:space="preserve"> subsequently if needed,</w:t>
      </w:r>
      <w:r w:rsidR="00DD4783">
        <w:rPr>
          <w:noProof/>
        </w:rPr>
        <w:t xml:space="preserve"> a manual verification of admissibility in accordance with Article 19</w:t>
      </w:r>
      <w:r w:rsidR="00EC2375" w:rsidRPr="00DD4783">
        <w:rPr>
          <w:noProof/>
        </w:rPr>
        <w:t>.</w:t>
      </w:r>
      <w:r w:rsidR="001E2ECC">
        <w:rPr>
          <w:noProof/>
        </w:rPr>
        <w:t xml:space="preserve"> of that Regulation</w:t>
      </w:r>
      <w:r w:rsidR="00EC2375" w:rsidRPr="00DD4783">
        <w:rPr>
          <w:noProof/>
        </w:rPr>
        <w:t>.</w:t>
      </w:r>
    </w:p>
    <w:p w14:paraId="582B77F4" w14:textId="54E65D8E" w:rsidR="005573BD" w:rsidRDefault="00EF15A7" w:rsidP="00EF15A7">
      <w:pPr>
        <w:pStyle w:val="ManualNumPar1"/>
        <w:rPr>
          <w:noProof/>
        </w:rPr>
      </w:pPr>
      <w:r w:rsidRPr="00EF15A7">
        <w:t>11.</w:t>
      </w:r>
      <w:r w:rsidRPr="00EF15A7">
        <w:tab/>
      </w:r>
      <w:r w:rsidR="00CF30AF" w:rsidRPr="00CF30AF">
        <w:rPr>
          <w:noProof/>
        </w:rPr>
        <w:t>If the competent consulate or the central authorities of the competent Member State</w:t>
      </w:r>
      <w:r w:rsidR="00CF30AF">
        <w:rPr>
          <w:noProof/>
        </w:rPr>
        <w:t xml:space="preserve"> accept the application submitted via the EU </w:t>
      </w:r>
      <w:r w:rsidR="00CF30AF" w:rsidRPr="00EE125B">
        <w:rPr>
          <w:noProof/>
        </w:rPr>
        <w:t xml:space="preserve">application </w:t>
      </w:r>
      <w:r w:rsidR="00EE125B">
        <w:rPr>
          <w:noProof/>
        </w:rPr>
        <w:t>platform</w:t>
      </w:r>
      <w:r w:rsidR="00D13DC0" w:rsidRPr="00EE125B">
        <w:rPr>
          <w:noProof/>
        </w:rPr>
        <w:t xml:space="preserve"> </w:t>
      </w:r>
      <w:r w:rsidR="00CF30AF" w:rsidRPr="00EE125B">
        <w:rPr>
          <w:noProof/>
        </w:rPr>
        <w:t>the</w:t>
      </w:r>
      <w:r w:rsidR="00CF30AF">
        <w:rPr>
          <w:noProof/>
        </w:rPr>
        <w:t xml:space="preserve"> </w:t>
      </w:r>
      <w:r w:rsidR="00D13DC0" w:rsidRPr="00CF30AF">
        <w:rPr>
          <w:noProof/>
        </w:rPr>
        <w:t>data shall be transferred to</w:t>
      </w:r>
      <w:r w:rsidR="008C3E84" w:rsidRPr="00CF30AF">
        <w:rPr>
          <w:noProof/>
        </w:rPr>
        <w:t xml:space="preserve"> </w:t>
      </w:r>
      <w:r w:rsidR="00D13DC0" w:rsidRPr="00CF30AF">
        <w:rPr>
          <w:noProof/>
        </w:rPr>
        <w:t xml:space="preserve">the </w:t>
      </w:r>
      <w:r w:rsidR="008C3E84" w:rsidRPr="00CF30AF">
        <w:rPr>
          <w:noProof/>
        </w:rPr>
        <w:t xml:space="preserve">national </w:t>
      </w:r>
      <w:r w:rsidR="00D13DC0" w:rsidRPr="00CF30AF">
        <w:rPr>
          <w:noProof/>
        </w:rPr>
        <w:t xml:space="preserve">system from temporary storage. The data shall be </w:t>
      </w:r>
      <w:r w:rsidR="00C02C75">
        <w:rPr>
          <w:noProof/>
        </w:rPr>
        <w:t xml:space="preserve">immediately </w:t>
      </w:r>
      <w:r w:rsidR="00D13DC0" w:rsidRPr="00CF30AF">
        <w:rPr>
          <w:noProof/>
        </w:rPr>
        <w:t xml:space="preserve">deleted from </w:t>
      </w:r>
      <w:r w:rsidR="008C3E84" w:rsidRPr="00CF30AF">
        <w:rPr>
          <w:noProof/>
        </w:rPr>
        <w:t>temporary storage, with the exception of contact data</w:t>
      </w:r>
      <w:r w:rsidR="00D13DC0" w:rsidRPr="00CF30AF">
        <w:rPr>
          <w:noProof/>
        </w:rPr>
        <w:t xml:space="preserve"> linked to the secure account service.</w:t>
      </w:r>
    </w:p>
    <w:p w14:paraId="16A5A6FB" w14:textId="0C87E845" w:rsidR="008C3E84" w:rsidRPr="00EE125B" w:rsidRDefault="00EF15A7" w:rsidP="00EF15A7">
      <w:pPr>
        <w:pStyle w:val="ManualNumPar1"/>
        <w:rPr>
          <w:noProof/>
        </w:rPr>
      </w:pPr>
      <w:r w:rsidRPr="00EF15A7">
        <w:t>12.</w:t>
      </w:r>
      <w:r w:rsidRPr="00EF15A7">
        <w:tab/>
      </w:r>
      <w:r w:rsidR="005573BD" w:rsidRPr="005573BD">
        <w:rPr>
          <w:noProof/>
        </w:rPr>
        <w:t xml:space="preserve">If the applicant withdraws the application following the automated competence and admissibility pre-check, </w:t>
      </w:r>
      <w:r w:rsidR="005573BD">
        <w:rPr>
          <w:noProof/>
        </w:rPr>
        <w:t>the</w:t>
      </w:r>
      <w:r w:rsidR="005573BD" w:rsidRPr="005573BD">
        <w:rPr>
          <w:noProof/>
        </w:rPr>
        <w:t xml:space="preserve"> data shall be immediately deleted from temporary storage, with the exception of contact data linked to the secure account service.</w:t>
      </w:r>
    </w:p>
    <w:p w14:paraId="6C03AEC4" w14:textId="04F6D64D" w:rsidR="008C3E84" w:rsidRPr="00D13DC0" w:rsidRDefault="00EF15A7" w:rsidP="00EF15A7">
      <w:pPr>
        <w:pStyle w:val="ManualNumPar1"/>
        <w:rPr>
          <w:noProof/>
        </w:rPr>
      </w:pPr>
      <w:r w:rsidRPr="00EF15A7">
        <w:t>13.</w:t>
      </w:r>
      <w:r w:rsidRPr="00EF15A7">
        <w:tab/>
      </w:r>
      <w:r w:rsidR="00D13DC0">
        <w:rPr>
          <w:noProof/>
        </w:rPr>
        <w:t>T</w:t>
      </w:r>
      <w:r w:rsidR="00D13DC0" w:rsidRPr="00D13DC0">
        <w:rPr>
          <w:noProof/>
        </w:rPr>
        <w:t xml:space="preserve">he competent consulate or the central authorities of the competent Member State </w:t>
      </w:r>
      <w:r w:rsidR="00D13DC0">
        <w:rPr>
          <w:noProof/>
        </w:rPr>
        <w:t xml:space="preserve">may </w:t>
      </w:r>
      <w:r w:rsidR="00090EF5">
        <w:rPr>
          <w:noProof/>
        </w:rPr>
        <w:t xml:space="preserve">use </w:t>
      </w:r>
      <w:r w:rsidR="00D13DC0">
        <w:rPr>
          <w:noProof/>
        </w:rPr>
        <w:t>the secure account service</w:t>
      </w:r>
      <w:r w:rsidR="00090EF5">
        <w:rPr>
          <w:noProof/>
        </w:rPr>
        <w:t xml:space="preserve"> to communicate with the applicants.</w:t>
      </w:r>
    </w:p>
    <w:p w14:paraId="64548F42" w14:textId="77777777" w:rsidR="003606D2" w:rsidRDefault="003606D2" w:rsidP="003606D2">
      <w:pPr>
        <w:pStyle w:val="Titrearticle"/>
        <w:rPr>
          <w:noProof/>
        </w:rPr>
      </w:pPr>
      <w:r>
        <w:rPr>
          <w:noProof/>
        </w:rPr>
        <w:t>Article 7d</w:t>
      </w:r>
      <w:r>
        <w:rPr>
          <w:noProof/>
        </w:rPr>
        <w:br/>
      </w:r>
      <w:r w:rsidRPr="003606D2">
        <w:rPr>
          <w:noProof/>
        </w:rPr>
        <w:t>Payment tool and appointment tool</w:t>
      </w:r>
    </w:p>
    <w:p w14:paraId="1B08D323" w14:textId="7C9F43BE" w:rsidR="0040239E" w:rsidRPr="0040239E" w:rsidRDefault="00EF15A7" w:rsidP="00EF15A7">
      <w:pPr>
        <w:pStyle w:val="ManualNumPar1"/>
        <w:rPr>
          <w:noProof/>
        </w:rPr>
      </w:pPr>
      <w:r w:rsidRPr="00EF15A7">
        <w:t>1.</w:t>
      </w:r>
      <w:r w:rsidRPr="00EF15A7">
        <w:tab/>
      </w:r>
      <w:r w:rsidR="0040239E">
        <w:rPr>
          <w:noProof/>
        </w:rPr>
        <w:t>A p</w:t>
      </w:r>
      <w:r w:rsidR="003606D2" w:rsidRPr="003606D2">
        <w:rPr>
          <w:noProof/>
        </w:rPr>
        <w:t>ayment tool</w:t>
      </w:r>
      <w:r w:rsidR="0040239E">
        <w:rPr>
          <w:noProof/>
        </w:rPr>
        <w:t xml:space="preserve"> shall be used to pay the visa fee</w:t>
      </w:r>
      <w:r w:rsidR="00090EF5">
        <w:rPr>
          <w:noProof/>
        </w:rPr>
        <w:t xml:space="preserve"> using the EU application </w:t>
      </w:r>
      <w:r w:rsidR="00C7145D" w:rsidRPr="00EE125B">
        <w:rPr>
          <w:noProof/>
        </w:rPr>
        <w:t>platform</w:t>
      </w:r>
      <w:r w:rsidR="0040239E" w:rsidRPr="00EE125B">
        <w:rPr>
          <w:noProof/>
        </w:rPr>
        <w:t>. The</w:t>
      </w:r>
      <w:r w:rsidR="0040239E">
        <w:rPr>
          <w:noProof/>
        </w:rPr>
        <w:t xml:space="preserve"> payment tool shall be </w:t>
      </w:r>
      <w:r w:rsidR="007E3EE1" w:rsidRPr="0040239E">
        <w:rPr>
          <w:noProof/>
          <w:lang w:val="en-IE" w:eastAsia="en-IE"/>
        </w:rPr>
        <w:t xml:space="preserve">managed </w:t>
      </w:r>
      <w:r w:rsidR="007E3EE1" w:rsidRPr="0040239E">
        <w:rPr>
          <w:noProof/>
        </w:rPr>
        <w:t>by third party provider</w:t>
      </w:r>
      <w:r w:rsidR="0040239E" w:rsidRPr="0040239E">
        <w:rPr>
          <w:noProof/>
        </w:rPr>
        <w:t>.</w:t>
      </w:r>
    </w:p>
    <w:p w14:paraId="3C98985E" w14:textId="2C957466" w:rsidR="0040239E" w:rsidRPr="001504B3" w:rsidRDefault="00EF15A7" w:rsidP="00EF15A7">
      <w:pPr>
        <w:pStyle w:val="ManualNumPar1"/>
        <w:rPr>
          <w:noProof/>
        </w:rPr>
      </w:pPr>
      <w:r w:rsidRPr="00EF15A7">
        <w:t>2.</w:t>
      </w:r>
      <w:r w:rsidRPr="00EF15A7">
        <w:tab/>
      </w:r>
      <w:r w:rsidR="0040239E" w:rsidRPr="0040239E">
        <w:rPr>
          <w:noProof/>
        </w:rPr>
        <w:t xml:space="preserve">The Commission shall, by </w:t>
      </w:r>
      <w:r w:rsidR="0040239E" w:rsidRPr="001504B3">
        <w:rPr>
          <w:noProof/>
        </w:rPr>
        <w:t>means of implementing acts, define the requirements concerning the payment tool referred to in paragraph 1 of this Article, including the reimbursement modalities for applicants. Those implementing acts shall be adopted in accordance with the examination procedure referred to in Article 49(2).</w:t>
      </w:r>
    </w:p>
    <w:p w14:paraId="451A1FE5" w14:textId="1DD26C67" w:rsidR="000D4208" w:rsidRPr="001504B3" w:rsidRDefault="00EF15A7" w:rsidP="00EF15A7">
      <w:pPr>
        <w:pStyle w:val="ManualNumPar1"/>
        <w:rPr>
          <w:noProof/>
        </w:rPr>
      </w:pPr>
      <w:r w:rsidRPr="00EF15A7">
        <w:t>3.</w:t>
      </w:r>
      <w:r w:rsidRPr="00EF15A7">
        <w:tab/>
      </w:r>
      <w:r w:rsidR="0040239E" w:rsidRPr="001504B3">
        <w:rPr>
          <w:noProof/>
        </w:rPr>
        <w:t xml:space="preserve">A </w:t>
      </w:r>
      <w:r w:rsidR="007E3EE1" w:rsidRPr="001504B3">
        <w:rPr>
          <w:noProof/>
        </w:rPr>
        <w:t>tool</w:t>
      </w:r>
      <w:r w:rsidR="0040239E" w:rsidRPr="001504B3">
        <w:rPr>
          <w:noProof/>
        </w:rPr>
        <w:t xml:space="preserve"> </w:t>
      </w:r>
      <w:r w:rsidR="00DE2CDA">
        <w:rPr>
          <w:noProof/>
        </w:rPr>
        <w:t xml:space="preserve">for managing </w:t>
      </w:r>
      <w:r w:rsidR="00DE2CDA" w:rsidRPr="001504B3">
        <w:rPr>
          <w:noProof/>
        </w:rPr>
        <w:t>appointment</w:t>
      </w:r>
      <w:r w:rsidR="00DE2CDA">
        <w:rPr>
          <w:noProof/>
        </w:rPr>
        <w:t>s</w:t>
      </w:r>
      <w:r w:rsidR="00DE2CDA" w:rsidRPr="001504B3">
        <w:rPr>
          <w:noProof/>
        </w:rPr>
        <w:t xml:space="preserve"> </w:t>
      </w:r>
      <w:r w:rsidR="0040239E" w:rsidRPr="001504B3">
        <w:rPr>
          <w:noProof/>
        </w:rPr>
        <w:t>may be used by Member State</w:t>
      </w:r>
      <w:r w:rsidR="00A13163">
        <w:rPr>
          <w:noProof/>
        </w:rPr>
        <w:t>s or external service providers</w:t>
      </w:r>
      <w:r w:rsidR="0040239E" w:rsidRPr="001504B3">
        <w:rPr>
          <w:noProof/>
        </w:rPr>
        <w:t>.</w:t>
      </w:r>
    </w:p>
    <w:p w14:paraId="1646748D" w14:textId="482A6786" w:rsidR="0040239E" w:rsidRPr="0040239E" w:rsidRDefault="00EF15A7" w:rsidP="00EF15A7">
      <w:pPr>
        <w:pStyle w:val="ManualNumPar1"/>
        <w:rPr>
          <w:noProof/>
        </w:rPr>
      </w:pPr>
      <w:r w:rsidRPr="00EF15A7">
        <w:t>4.</w:t>
      </w:r>
      <w:r w:rsidRPr="00EF15A7">
        <w:tab/>
      </w:r>
      <w:r w:rsidR="0040239E" w:rsidRPr="001504B3">
        <w:rPr>
          <w:noProof/>
        </w:rPr>
        <w:t>The Commission shall, by means of implementing acts,</w:t>
      </w:r>
      <w:r w:rsidR="0040239E" w:rsidRPr="0040239E">
        <w:rPr>
          <w:noProof/>
        </w:rPr>
        <w:t xml:space="preserve"> define the requirements concerning the </w:t>
      </w:r>
      <w:r w:rsidR="0040239E">
        <w:rPr>
          <w:noProof/>
        </w:rPr>
        <w:t>appointment tool referred to in paragraph 3 of this Article, including the modalities for confirmation of appointments, the link to existing appointment tools or information on walk-in appointments to be configured by the consulates or external service providers</w:t>
      </w:r>
      <w:r w:rsidR="00F6136E">
        <w:rPr>
          <w:noProof/>
        </w:rPr>
        <w:t xml:space="preserve"> and</w:t>
      </w:r>
      <w:r w:rsidR="00227646">
        <w:rPr>
          <w:noProof/>
        </w:rPr>
        <w:t xml:space="preserve"> the </w:t>
      </w:r>
      <w:r w:rsidR="00631BC9">
        <w:rPr>
          <w:noProof/>
        </w:rPr>
        <w:t xml:space="preserve">technical modalities </w:t>
      </w:r>
      <w:r w:rsidR="00227646">
        <w:rPr>
          <w:noProof/>
        </w:rPr>
        <w:t xml:space="preserve">to </w:t>
      </w:r>
      <w:r w:rsidR="00F6136E">
        <w:rPr>
          <w:noProof/>
        </w:rPr>
        <w:t xml:space="preserve">ensure that any </w:t>
      </w:r>
      <w:r w:rsidR="00227646" w:rsidRPr="00A04D9E">
        <w:rPr>
          <w:noProof/>
          <w:szCs w:val="24"/>
        </w:rPr>
        <w:t>family member of a Union citizen to whom Directive 2004/38/EC applies o</w:t>
      </w:r>
      <w:r w:rsidR="00227646" w:rsidRPr="00425D78">
        <w:rPr>
          <w:noProof/>
          <w:szCs w:val="24"/>
        </w:rPr>
        <w:t xml:space="preserve">r of a third-country national enjoying the right of free movement equivalent to that of Union citizens under an agreement between the Union and its Member States, on the one hand, and a third country, on the </w:t>
      </w:r>
      <w:r w:rsidR="00227646" w:rsidRPr="004A3169">
        <w:rPr>
          <w:noProof/>
          <w:szCs w:val="24"/>
        </w:rPr>
        <w:t>other</w:t>
      </w:r>
      <w:r w:rsidR="00096AE6">
        <w:rPr>
          <w:noProof/>
          <w:szCs w:val="24"/>
        </w:rPr>
        <w:t>,</w:t>
      </w:r>
      <w:r w:rsidR="00DE12AD">
        <w:rPr>
          <w:noProof/>
          <w:szCs w:val="24"/>
        </w:rPr>
        <w:t xml:space="preserve"> or </w:t>
      </w:r>
      <w:r w:rsidR="00DE12AD" w:rsidRPr="00145227">
        <w:rPr>
          <w:noProof/>
          <w:lang w:val="en-IE"/>
        </w:rPr>
        <w:t xml:space="preserve">of </w:t>
      </w:r>
      <w:r w:rsidR="00DE12AD">
        <w:rPr>
          <w:noProof/>
          <w:lang w:val="en-IE"/>
        </w:rPr>
        <w:t xml:space="preserve">UK nationals who themselves are beneficiaries of the EU-UK Withdrawal Agreement </w:t>
      </w:r>
      <w:r w:rsidR="00DE12AD">
        <w:rPr>
          <w:noProof/>
        </w:rPr>
        <w:t>in the host State for which the visa application is made</w:t>
      </w:r>
      <w:r w:rsidR="00F6136E">
        <w:rPr>
          <w:noProof/>
          <w:szCs w:val="24"/>
        </w:rPr>
        <w:t xml:space="preserve"> can benefit from an accelerated procedure.</w:t>
      </w:r>
      <w:r w:rsidR="00227646">
        <w:rPr>
          <w:noProof/>
        </w:rPr>
        <w:t xml:space="preserve"> </w:t>
      </w:r>
      <w:r w:rsidR="0040239E" w:rsidRPr="0040239E">
        <w:rPr>
          <w:noProof/>
        </w:rPr>
        <w:t>Those implementing acts shall be adopted in accordance with the examination procedure referred to in Article 49(2).</w:t>
      </w:r>
    </w:p>
    <w:p w14:paraId="27F20F54" w14:textId="77777777" w:rsidR="00FB5FB2" w:rsidRDefault="00FB5FB2" w:rsidP="00FB5FB2">
      <w:pPr>
        <w:pStyle w:val="Titrearticle"/>
        <w:rPr>
          <w:noProof/>
        </w:rPr>
      </w:pPr>
      <w:r>
        <w:rPr>
          <w:noProof/>
        </w:rPr>
        <w:t>Article 7</w:t>
      </w:r>
      <w:r w:rsidR="00183E49">
        <w:rPr>
          <w:noProof/>
        </w:rPr>
        <w:t>e</w:t>
      </w:r>
      <w:r>
        <w:rPr>
          <w:noProof/>
        </w:rPr>
        <w:br/>
        <w:t>External service provider gateway</w:t>
      </w:r>
    </w:p>
    <w:p w14:paraId="0C42D5A5" w14:textId="0A8C6C7B" w:rsidR="003606D2" w:rsidRDefault="00EF15A7" w:rsidP="00EF15A7">
      <w:pPr>
        <w:pStyle w:val="ManualNumPar1"/>
        <w:rPr>
          <w:noProof/>
        </w:rPr>
      </w:pPr>
      <w:r w:rsidRPr="00EF15A7">
        <w:t>1.</w:t>
      </w:r>
      <w:r w:rsidRPr="00EF15A7">
        <w:tab/>
      </w:r>
      <w:r w:rsidR="00FB5FB2">
        <w:rPr>
          <w:noProof/>
        </w:rPr>
        <w:t xml:space="preserve">External service providers </w:t>
      </w:r>
      <w:r w:rsidR="00FB5FB2" w:rsidRPr="00FB5FB2">
        <w:rPr>
          <w:noProof/>
        </w:rPr>
        <w:t xml:space="preserve">shall have access to the </w:t>
      </w:r>
      <w:r w:rsidR="00BD0E74">
        <w:rPr>
          <w:noProof/>
          <w:color w:val="000000"/>
        </w:rPr>
        <w:t xml:space="preserve">EU </w:t>
      </w:r>
      <w:r w:rsidR="00FB5FB2" w:rsidRPr="00FB5FB2">
        <w:rPr>
          <w:noProof/>
        </w:rPr>
        <w:t xml:space="preserve">application </w:t>
      </w:r>
      <w:r w:rsidR="00F479BB">
        <w:rPr>
          <w:noProof/>
        </w:rPr>
        <w:t>platform</w:t>
      </w:r>
      <w:r w:rsidR="00310DCC">
        <w:rPr>
          <w:noProof/>
        </w:rPr>
        <w:t xml:space="preserve"> using the external service gateway</w:t>
      </w:r>
      <w:r w:rsidR="00FB5FB2">
        <w:rPr>
          <w:noProof/>
        </w:rPr>
        <w:t xml:space="preserve"> only to</w:t>
      </w:r>
      <w:r w:rsidR="00FB5FB2" w:rsidRPr="00FB5FB2">
        <w:rPr>
          <w:noProof/>
        </w:rPr>
        <w:t>:</w:t>
      </w:r>
    </w:p>
    <w:p w14:paraId="7B0AE365" w14:textId="35474770" w:rsidR="00FB5FB2" w:rsidRDefault="00EF15A7" w:rsidP="00EF15A7">
      <w:pPr>
        <w:pStyle w:val="Point1"/>
        <w:rPr>
          <w:noProof/>
        </w:rPr>
      </w:pPr>
      <w:r w:rsidRPr="00EF15A7">
        <w:t>(a)</w:t>
      </w:r>
      <w:r w:rsidRPr="00EF15A7">
        <w:tab/>
      </w:r>
      <w:r w:rsidR="00090EF5">
        <w:rPr>
          <w:noProof/>
        </w:rPr>
        <w:t>v</w:t>
      </w:r>
      <w:r w:rsidR="00183E49" w:rsidRPr="00183E49">
        <w:rPr>
          <w:noProof/>
        </w:rPr>
        <w:t>erify</w:t>
      </w:r>
      <w:r w:rsidR="004D32A2">
        <w:rPr>
          <w:noProof/>
        </w:rPr>
        <w:t xml:space="preserve"> and </w:t>
      </w:r>
      <w:r w:rsidR="004D32A2" w:rsidRPr="004D32A2">
        <w:rPr>
          <w:noProof/>
        </w:rPr>
        <w:t xml:space="preserve">perform quality checks </w:t>
      </w:r>
      <w:r w:rsidR="004D32A2">
        <w:rPr>
          <w:noProof/>
        </w:rPr>
        <w:t>on</w:t>
      </w:r>
      <w:r w:rsidR="00183E49" w:rsidRPr="00183E49">
        <w:rPr>
          <w:noProof/>
        </w:rPr>
        <w:t xml:space="preserve"> the </w:t>
      </w:r>
      <w:r w:rsidR="00401C9B">
        <w:rPr>
          <w:noProof/>
        </w:rPr>
        <w:t>data uploaded in the temporary storage capacity, notably the scanned copy of the travel document</w:t>
      </w:r>
      <w:r w:rsidR="00183E49">
        <w:rPr>
          <w:noProof/>
        </w:rPr>
        <w:t>;</w:t>
      </w:r>
    </w:p>
    <w:p w14:paraId="6BC28C54" w14:textId="0591611D" w:rsidR="00183E49" w:rsidRDefault="00EF15A7" w:rsidP="00EF15A7">
      <w:pPr>
        <w:pStyle w:val="Point1"/>
        <w:rPr>
          <w:noProof/>
        </w:rPr>
      </w:pPr>
      <w:r w:rsidRPr="00EF15A7">
        <w:t>(b)</w:t>
      </w:r>
      <w:r w:rsidRPr="00EF15A7">
        <w:tab/>
      </w:r>
      <w:r w:rsidR="00183E49" w:rsidRPr="00183E49">
        <w:rPr>
          <w:noProof/>
        </w:rPr>
        <w:t xml:space="preserve">upload </w:t>
      </w:r>
      <w:r w:rsidR="00310DCC">
        <w:rPr>
          <w:noProof/>
        </w:rPr>
        <w:t xml:space="preserve">the </w:t>
      </w:r>
      <w:r w:rsidR="00183E49" w:rsidRPr="00183E49">
        <w:rPr>
          <w:noProof/>
        </w:rPr>
        <w:t>biometric identifiers</w:t>
      </w:r>
      <w:r w:rsidR="00183E49">
        <w:rPr>
          <w:noProof/>
        </w:rPr>
        <w:t>;</w:t>
      </w:r>
    </w:p>
    <w:p w14:paraId="218E6F6C" w14:textId="32ABD82F" w:rsidR="00FD3BE5" w:rsidRDefault="00EF15A7" w:rsidP="00EF15A7">
      <w:pPr>
        <w:pStyle w:val="Point1"/>
        <w:rPr>
          <w:noProof/>
        </w:rPr>
      </w:pPr>
      <w:r w:rsidRPr="00EF15A7">
        <w:t>(c)</w:t>
      </w:r>
      <w:r w:rsidRPr="00EF15A7">
        <w:tab/>
      </w:r>
      <w:r w:rsidR="00FD3BE5">
        <w:rPr>
          <w:noProof/>
        </w:rPr>
        <w:t>upload the supporting documents</w:t>
      </w:r>
      <w:r w:rsidR="00696CB7">
        <w:rPr>
          <w:noProof/>
        </w:rPr>
        <w:t>, if needed</w:t>
      </w:r>
      <w:r w:rsidR="00FD3BE5">
        <w:rPr>
          <w:noProof/>
        </w:rPr>
        <w:t>;</w:t>
      </w:r>
    </w:p>
    <w:p w14:paraId="70555447" w14:textId="76F1BB50" w:rsidR="00822416" w:rsidRDefault="00EF15A7" w:rsidP="00EF15A7">
      <w:pPr>
        <w:pStyle w:val="Point1"/>
        <w:rPr>
          <w:noProof/>
        </w:rPr>
      </w:pPr>
      <w:r w:rsidRPr="00EF15A7">
        <w:t>(d)</w:t>
      </w:r>
      <w:r w:rsidRPr="00EF15A7">
        <w:tab/>
      </w:r>
      <w:r w:rsidR="00401C9B">
        <w:rPr>
          <w:noProof/>
        </w:rPr>
        <w:t>use the appointment tool to indicate available slots, if applicable</w:t>
      </w:r>
      <w:r w:rsidR="00F4474C">
        <w:rPr>
          <w:noProof/>
        </w:rPr>
        <w:t>;</w:t>
      </w:r>
    </w:p>
    <w:p w14:paraId="148F2407" w14:textId="6BDF7754" w:rsidR="00183E49" w:rsidRDefault="00EF15A7" w:rsidP="00EF15A7">
      <w:pPr>
        <w:pStyle w:val="Point1"/>
        <w:rPr>
          <w:noProof/>
        </w:rPr>
      </w:pPr>
      <w:r w:rsidRPr="00EF15A7">
        <w:t>(e)</w:t>
      </w:r>
      <w:r w:rsidRPr="00EF15A7">
        <w:tab/>
      </w:r>
      <w:r w:rsidR="00822416" w:rsidRPr="00822416">
        <w:rPr>
          <w:noProof/>
        </w:rPr>
        <w:t>mak</w:t>
      </w:r>
      <w:r w:rsidR="005726A9">
        <w:rPr>
          <w:noProof/>
        </w:rPr>
        <w:t>e application</w:t>
      </w:r>
      <w:r w:rsidR="00822416" w:rsidRPr="00822416">
        <w:rPr>
          <w:noProof/>
        </w:rPr>
        <w:t xml:space="preserve"> available to the consulate for further processin</w:t>
      </w:r>
      <w:r w:rsidR="00822416">
        <w:rPr>
          <w:noProof/>
        </w:rPr>
        <w:t>g</w:t>
      </w:r>
      <w:r w:rsidR="00183E49">
        <w:rPr>
          <w:noProof/>
        </w:rPr>
        <w:t>.</w:t>
      </w:r>
    </w:p>
    <w:p w14:paraId="5265DA50" w14:textId="5823AE38" w:rsidR="00401C9B" w:rsidRDefault="00EF15A7" w:rsidP="00EF15A7">
      <w:pPr>
        <w:pStyle w:val="ManualNumPar1"/>
        <w:rPr>
          <w:noProof/>
        </w:rPr>
      </w:pPr>
      <w:r w:rsidRPr="00EF15A7">
        <w:t>2.</w:t>
      </w:r>
      <w:r w:rsidRPr="00EF15A7">
        <w:tab/>
      </w:r>
      <w:r w:rsidR="00401C9B">
        <w:rPr>
          <w:noProof/>
        </w:rPr>
        <w:t>An authentication scheme, reserved exclusively for external service providers, shall be set up</w:t>
      </w:r>
      <w:r w:rsidR="000C32FD">
        <w:rPr>
          <w:noProof/>
        </w:rPr>
        <w:t xml:space="preserve"> by Member States</w:t>
      </w:r>
      <w:r w:rsidR="00401C9B">
        <w:rPr>
          <w:noProof/>
        </w:rPr>
        <w:t xml:space="preserve"> in order to allow access to the gateway for the purposes of this Article to the duly authorised staff members. When setting up the authentication scheme, information security risk management and the principles of data protection by design and by default shall be taken into account.</w:t>
      </w:r>
    </w:p>
    <w:p w14:paraId="28750AA0" w14:textId="062F1ACC" w:rsidR="00183E49" w:rsidRDefault="00EF15A7" w:rsidP="00EF15A7">
      <w:pPr>
        <w:pStyle w:val="ManualNumPar1"/>
        <w:rPr>
          <w:noProof/>
        </w:rPr>
      </w:pPr>
      <w:r w:rsidRPr="00EF15A7">
        <w:t>3.</w:t>
      </w:r>
      <w:r w:rsidRPr="00EF15A7">
        <w:tab/>
      </w:r>
      <w:r w:rsidR="00401C9B">
        <w:rPr>
          <w:noProof/>
        </w:rPr>
        <w:t xml:space="preserve">The Commission shall </w:t>
      </w:r>
      <w:r w:rsidR="00401C9B" w:rsidRPr="001504B3">
        <w:rPr>
          <w:noProof/>
        </w:rPr>
        <w:t>adopt implementing acts to lay</w:t>
      </w:r>
      <w:r w:rsidR="00401C9B">
        <w:rPr>
          <w:noProof/>
        </w:rPr>
        <w:t xml:space="preserve"> down the authentication scheme for external service provider staff members. Those implementing acts shall be adopted in accordance with the examination procedur</w:t>
      </w:r>
      <w:r w:rsidR="00A13163">
        <w:rPr>
          <w:noProof/>
        </w:rPr>
        <w:t>e referred to in Article 49(2)</w:t>
      </w:r>
      <w:r w:rsidR="00183E49">
        <w:rPr>
          <w:noProof/>
        </w:rPr>
        <w:t>.</w:t>
      </w:r>
    </w:p>
    <w:p w14:paraId="2D25749E" w14:textId="77777777" w:rsidR="00183E49" w:rsidRDefault="00183E49" w:rsidP="00183E49">
      <w:pPr>
        <w:pStyle w:val="Titrearticle"/>
        <w:rPr>
          <w:noProof/>
        </w:rPr>
      </w:pPr>
      <w:r>
        <w:rPr>
          <w:noProof/>
        </w:rPr>
        <w:t>Article 7f</w:t>
      </w:r>
      <w:r>
        <w:rPr>
          <w:noProof/>
        </w:rPr>
        <w:br/>
        <w:t>Notification of decisions</w:t>
      </w:r>
    </w:p>
    <w:p w14:paraId="10F798BC" w14:textId="19AFBE95" w:rsidR="00BB1B36" w:rsidRDefault="00EF15A7" w:rsidP="00EF15A7">
      <w:pPr>
        <w:pStyle w:val="ManualNumPar1"/>
        <w:rPr>
          <w:noProof/>
        </w:rPr>
      </w:pPr>
      <w:r w:rsidRPr="00EF15A7">
        <w:t>1.</w:t>
      </w:r>
      <w:r w:rsidRPr="00EF15A7">
        <w:tab/>
      </w:r>
      <w:r w:rsidR="00BB1B36" w:rsidRPr="00F3241D">
        <w:rPr>
          <w:noProof/>
          <w:lang w:val="en-IE"/>
        </w:rPr>
        <w:t xml:space="preserve">Applicants </w:t>
      </w:r>
      <w:r w:rsidR="000C32FD">
        <w:rPr>
          <w:noProof/>
          <w:lang w:val="en-IE"/>
        </w:rPr>
        <w:t xml:space="preserve">and </w:t>
      </w:r>
      <w:r w:rsidR="00BB1B36" w:rsidRPr="00F3241D">
        <w:rPr>
          <w:noProof/>
          <w:lang w:val="en-IE"/>
        </w:rPr>
        <w:t>visa holders shall be notified of decisions taken by Membe</w:t>
      </w:r>
      <w:r w:rsidR="000C32FD">
        <w:rPr>
          <w:noProof/>
          <w:lang w:val="en-IE"/>
        </w:rPr>
        <w:t>r States on their applications or</w:t>
      </w:r>
      <w:r w:rsidR="00BB1B36" w:rsidRPr="00F3241D">
        <w:rPr>
          <w:noProof/>
          <w:lang w:val="en-IE"/>
        </w:rPr>
        <w:t xml:space="preserve"> issued visas </w:t>
      </w:r>
      <w:r w:rsidR="000C32FD">
        <w:rPr>
          <w:noProof/>
          <w:lang w:val="en-IE"/>
        </w:rPr>
        <w:t xml:space="preserve">by </w:t>
      </w:r>
      <w:r w:rsidR="00E02116">
        <w:rPr>
          <w:noProof/>
          <w:lang w:val="en-IE"/>
        </w:rPr>
        <w:t xml:space="preserve">secure </w:t>
      </w:r>
      <w:r w:rsidR="000C32FD">
        <w:rPr>
          <w:noProof/>
          <w:lang w:val="en-IE"/>
        </w:rPr>
        <w:t>electronic means</w:t>
      </w:r>
      <w:r w:rsidR="00DC764F" w:rsidRPr="00DC764F">
        <w:rPr>
          <w:noProof/>
        </w:rPr>
        <w:t>.</w:t>
      </w:r>
    </w:p>
    <w:p w14:paraId="05AB14C8" w14:textId="482A4BEE" w:rsidR="00FC2F5E" w:rsidRDefault="00EF15A7" w:rsidP="00EF15A7">
      <w:pPr>
        <w:pStyle w:val="ManualNumPar1"/>
        <w:rPr>
          <w:noProof/>
        </w:rPr>
      </w:pPr>
      <w:r w:rsidRPr="00EF15A7">
        <w:t>2.</w:t>
      </w:r>
      <w:r w:rsidRPr="00EF15A7">
        <w:tab/>
      </w:r>
      <w:r w:rsidR="00FC2F5E">
        <w:rPr>
          <w:noProof/>
        </w:rPr>
        <w:t xml:space="preserve">The </w:t>
      </w:r>
      <w:r w:rsidR="00A5500B">
        <w:rPr>
          <w:noProof/>
        </w:rPr>
        <w:t>notifications</w:t>
      </w:r>
      <w:r w:rsidR="00FC2F5E">
        <w:rPr>
          <w:noProof/>
        </w:rPr>
        <w:t xml:space="preserve"> to applicants or visa holders, as applicable, shall contain the following data:</w:t>
      </w:r>
    </w:p>
    <w:p w14:paraId="0F48DDC7" w14:textId="256C55F5" w:rsidR="00BB1B36" w:rsidRDefault="00EF15A7" w:rsidP="00EF15A7">
      <w:pPr>
        <w:pStyle w:val="Point0"/>
        <w:rPr>
          <w:noProof/>
        </w:rPr>
      </w:pPr>
      <w:r w:rsidRPr="00EF15A7">
        <w:t>(a)</w:t>
      </w:r>
      <w:r w:rsidRPr="00EF15A7">
        <w:tab/>
      </w:r>
      <w:r w:rsidR="00FC2F5E">
        <w:rPr>
          <w:noProof/>
        </w:rPr>
        <w:t>for v</w:t>
      </w:r>
      <w:r w:rsidR="00BB1B36" w:rsidRPr="00F3241D">
        <w:rPr>
          <w:noProof/>
        </w:rPr>
        <w:t>isa issued: data listed in A</w:t>
      </w:r>
      <w:r w:rsidR="00FC2F5E">
        <w:rPr>
          <w:noProof/>
        </w:rPr>
        <w:t>rticle</w:t>
      </w:r>
      <w:r w:rsidR="00F4474C">
        <w:rPr>
          <w:noProof/>
        </w:rPr>
        <w:t>s</w:t>
      </w:r>
      <w:r w:rsidR="00FC2F5E">
        <w:rPr>
          <w:noProof/>
        </w:rPr>
        <w:t xml:space="preserve"> 24, 25 or 26 </w:t>
      </w:r>
      <w:r w:rsidR="00701494">
        <w:rPr>
          <w:noProof/>
        </w:rPr>
        <w:t xml:space="preserve">of </w:t>
      </w:r>
      <w:r w:rsidR="00701494" w:rsidRPr="00701494">
        <w:rPr>
          <w:noProof/>
        </w:rPr>
        <w:t>Regulation (EC) No 810/2009</w:t>
      </w:r>
      <w:r w:rsidR="00FC2F5E">
        <w:rPr>
          <w:noProof/>
        </w:rPr>
        <w:t xml:space="preserve"> and </w:t>
      </w:r>
      <w:r w:rsidR="00BB1B36" w:rsidRPr="00F3241D">
        <w:rPr>
          <w:noProof/>
        </w:rPr>
        <w:t xml:space="preserve">Article 10 </w:t>
      </w:r>
      <w:r w:rsidR="00701494">
        <w:rPr>
          <w:noProof/>
        </w:rPr>
        <w:t xml:space="preserve">of </w:t>
      </w:r>
      <w:r w:rsidR="00FE0CAC">
        <w:rPr>
          <w:noProof/>
        </w:rPr>
        <w:t xml:space="preserve">this </w:t>
      </w:r>
      <w:r w:rsidR="00701494" w:rsidRPr="00701494">
        <w:rPr>
          <w:noProof/>
        </w:rPr>
        <w:t>Regulation</w:t>
      </w:r>
      <w:r w:rsidR="00FC2F5E">
        <w:rPr>
          <w:noProof/>
        </w:rPr>
        <w:t>;</w:t>
      </w:r>
    </w:p>
    <w:p w14:paraId="7970D9B4" w14:textId="23DB0C1C" w:rsidR="00BB1B36" w:rsidRPr="00701494" w:rsidRDefault="00EF15A7" w:rsidP="00EF15A7">
      <w:pPr>
        <w:pStyle w:val="Point0"/>
        <w:rPr>
          <w:noProof/>
        </w:rPr>
      </w:pPr>
      <w:r w:rsidRPr="00EF15A7">
        <w:t>(b)</w:t>
      </w:r>
      <w:r w:rsidRPr="00EF15A7">
        <w:tab/>
      </w:r>
      <w:r w:rsidR="00FC2F5E" w:rsidRPr="00701494">
        <w:rPr>
          <w:noProof/>
        </w:rPr>
        <w:t>for v</w:t>
      </w:r>
      <w:r w:rsidR="00BB1B36" w:rsidRPr="00701494">
        <w:rPr>
          <w:noProof/>
        </w:rPr>
        <w:t xml:space="preserve">isa refused: data listed in Article 32 </w:t>
      </w:r>
      <w:r w:rsidR="00701494">
        <w:rPr>
          <w:noProof/>
        </w:rPr>
        <w:t xml:space="preserve">of </w:t>
      </w:r>
      <w:r w:rsidR="00701494" w:rsidRPr="00701494">
        <w:rPr>
          <w:noProof/>
        </w:rPr>
        <w:t>Regulation (EC) No 810/2009</w:t>
      </w:r>
      <w:r w:rsidR="00701494">
        <w:rPr>
          <w:noProof/>
        </w:rPr>
        <w:t xml:space="preserve"> and </w:t>
      </w:r>
      <w:r w:rsidR="00BB1B36" w:rsidRPr="00701494">
        <w:rPr>
          <w:noProof/>
        </w:rPr>
        <w:t xml:space="preserve">Article 12 </w:t>
      </w:r>
      <w:r w:rsidR="00701494">
        <w:rPr>
          <w:noProof/>
        </w:rPr>
        <w:t xml:space="preserve">of </w:t>
      </w:r>
      <w:r w:rsidR="00FE0CAC">
        <w:rPr>
          <w:noProof/>
        </w:rPr>
        <w:t xml:space="preserve">this </w:t>
      </w:r>
      <w:r w:rsidR="00701494" w:rsidRPr="00701494">
        <w:rPr>
          <w:noProof/>
        </w:rPr>
        <w:t>Regulation</w:t>
      </w:r>
      <w:r w:rsidR="00FC2F5E" w:rsidRPr="00701494">
        <w:rPr>
          <w:noProof/>
        </w:rPr>
        <w:t>;</w:t>
      </w:r>
    </w:p>
    <w:p w14:paraId="795CDA5A" w14:textId="5AC071D0" w:rsidR="00BB1B36" w:rsidRPr="00701494" w:rsidRDefault="00EF15A7" w:rsidP="00EF15A7">
      <w:pPr>
        <w:pStyle w:val="Point0"/>
        <w:rPr>
          <w:noProof/>
        </w:rPr>
      </w:pPr>
      <w:r w:rsidRPr="00EF15A7">
        <w:t>(c)</w:t>
      </w:r>
      <w:r w:rsidRPr="00EF15A7">
        <w:tab/>
      </w:r>
      <w:r w:rsidR="00701494">
        <w:rPr>
          <w:noProof/>
        </w:rPr>
        <w:t>f</w:t>
      </w:r>
      <w:r w:rsidR="00FC2F5E" w:rsidRPr="00701494">
        <w:rPr>
          <w:noProof/>
        </w:rPr>
        <w:t>or v</w:t>
      </w:r>
      <w:r w:rsidR="00BB1B36" w:rsidRPr="00701494">
        <w:rPr>
          <w:noProof/>
        </w:rPr>
        <w:t>isa confirmed</w:t>
      </w:r>
      <w:r w:rsidR="00090EF5" w:rsidRPr="00701494">
        <w:rPr>
          <w:noProof/>
        </w:rPr>
        <w:t> </w:t>
      </w:r>
      <w:r w:rsidR="00BB1B36" w:rsidRPr="00701494">
        <w:rPr>
          <w:noProof/>
        </w:rPr>
        <w:t xml:space="preserve">: data listed in Article 32a </w:t>
      </w:r>
      <w:r w:rsidR="00701494">
        <w:rPr>
          <w:noProof/>
        </w:rPr>
        <w:t xml:space="preserve">of </w:t>
      </w:r>
      <w:r w:rsidR="00701494" w:rsidRPr="00701494">
        <w:rPr>
          <w:noProof/>
        </w:rPr>
        <w:t>Regulation (EC) No 810/2009</w:t>
      </w:r>
      <w:r w:rsidR="00701494">
        <w:rPr>
          <w:noProof/>
        </w:rPr>
        <w:t xml:space="preserve"> and</w:t>
      </w:r>
      <w:r w:rsidR="00BB1B36" w:rsidRPr="00701494">
        <w:rPr>
          <w:noProof/>
        </w:rPr>
        <w:t xml:space="preserve"> Article 12a </w:t>
      </w:r>
      <w:r w:rsidR="00701494">
        <w:rPr>
          <w:noProof/>
        </w:rPr>
        <w:t xml:space="preserve">of </w:t>
      </w:r>
      <w:r w:rsidR="00FE0CAC">
        <w:rPr>
          <w:noProof/>
        </w:rPr>
        <w:t xml:space="preserve">this </w:t>
      </w:r>
      <w:r w:rsidR="00701494" w:rsidRPr="00701494">
        <w:rPr>
          <w:noProof/>
        </w:rPr>
        <w:t>Regulation</w:t>
      </w:r>
      <w:r w:rsidR="00FC2F5E" w:rsidRPr="00701494">
        <w:rPr>
          <w:noProof/>
        </w:rPr>
        <w:t>;</w:t>
      </w:r>
    </w:p>
    <w:p w14:paraId="7A31BA95" w14:textId="76B00BC5" w:rsidR="00BB1B36" w:rsidRPr="00701494" w:rsidRDefault="00EF15A7" w:rsidP="00EF15A7">
      <w:pPr>
        <w:pStyle w:val="Point0"/>
        <w:rPr>
          <w:noProof/>
        </w:rPr>
      </w:pPr>
      <w:r w:rsidRPr="00EF15A7">
        <w:t>(d)</w:t>
      </w:r>
      <w:r w:rsidRPr="00EF15A7">
        <w:tab/>
      </w:r>
      <w:r w:rsidR="00701494">
        <w:rPr>
          <w:noProof/>
        </w:rPr>
        <w:t>f</w:t>
      </w:r>
      <w:r w:rsidR="00FC2F5E" w:rsidRPr="00701494">
        <w:rPr>
          <w:noProof/>
        </w:rPr>
        <w:t>or v</w:t>
      </w:r>
      <w:r w:rsidR="00BB1B36" w:rsidRPr="00701494">
        <w:rPr>
          <w:noProof/>
        </w:rPr>
        <w:t>isa extended</w:t>
      </w:r>
      <w:r w:rsidR="00090EF5" w:rsidRPr="00701494">
        <w:rPr>
          <w:noProof/>
        </w:rPr>
        <w:t> </w:t>
      </w:r>
      <w:r w:rsidR="00BB1B36" w:rsidRPr="00701494">
        <w:rPr>
          <w:noProof/>
        </w:rPr>
        <w:t xml:space="preserve">: data listed in Article 33 </w:t>
      </w:r>
      <w:r w:rsidR="00701494">
        <w:rPr>
          <w:noProof/>
        </w:rPr>
        <w:t xml:space="preserve">of </w:t>
      </w:r>
      <w:r w:rsidR="00701494" w:rsidRPr="00701494">
        <w:rPr>
          <w:noProof/>
        </w:rPr>
        <w:t>Regulation (EC) No 810/2009</w:t>
      </w:r>
      <w:r w:rsidR="00701494">
        <w:rPr>
          <w:noProof/>
        </w:rPr>
        <w:t xml:space="preserve">  and </w:t>
      </w:r>
      <w:r w:rsidR="00BB1B36" w:rsidRPr="00701494">
        <w:rPr>
          <w:noProof/>
        </w:rPr>
        <w:t xml:space="preserve">Article 14 </w:t>
      </w:r>
      <w:r w:rsidR="00701494">
        <w:rPr>
          <w:noProof/>
        </w:rPr>
        <w:t xml:space="preserve">of </w:t>
      </w:r>
      <w:r w:rsidR="00FE0CAC">
        <w:rPr>
          <w:noProof/>
        </w:rPr>
        <w:t xml:space="preserve">this </w:t>
      </w:r>
      <w:r w:rsidR="00701494" w:rsidRPr="00701494">
        <w:rPr>
          <w:noProof/>
        </w:rPr>
        <w:t>Regulation</w:t>
      </w:r>
      <w:r w:rsidR="00FC2F5E" w:rsidRPr="00701494">
        <w:rPr>
          <w:noProof/>
        </w:rPr>
        <w:t>;</w:t>
      </w:r>
    </w:p>
    <w:p w14:paraId="60CFEB20" w14:textId="2DC1964E" w:rsidR="00BB1B36" w:rsidRPr="00FC2F5E" w:rsidRDefault="00EF15A7" w:rsidP="00EF15A7">
      <w:pPr>
        <w:pStyle w:val="Point0"/>
        <w:rPr>
          <w:noProof/>
        </w:rPr>
      </w:pPr>
      <w:r w:rsidRPr="00EF15A7">
        <w:t>(e)</w:t>
      </w:r>
      <w:r w:rsidRPr="00EF15A7">
        <w:tab/>
      </w:r>
      <w:r w:rsidR="00FC2F5E">
        <w:rPr>
          <w:noProof/>
        </w:rPr>
        <w:t>f</w:t>
      </w:r>
      <w:r w:rsidR="00FC2F5E" w:rsidRPr="00FC2F5E">
        <w:rPr>
          <w:noProof/>
        </w:rPr>
        <w:t>or v</w:t>
      </w:r>
      <w:r w:rsidR="00BB1B36" w:rsidRPr="00FC2F5E">
        <w:rPr>
          <w:noProof/>
        </w:rPr>
        <w:t xml:space="preserve">isa annulled or revoked: data listed in Article 33 </w:t>
      </w:r>
      <w:r w:rsidR="00701494">
        <w:rPr>
          <w:noProof/>
        </w:rPr>
        <w:t xml:space="preserve">of </w:t>
      </w:r>
      <w:r w:rsidR="00701494" w:rsidRPr="00701494">
        <w:rPr>
          <w:noProof/>
        </w:rPr>
        <w:t>Regulation (EC) No 810/2009</w:t>
      </w:r>
      <w:r w:rsidR="00701494">
        <w:rPr>
          <w:noProof/>
        </w:rPr>
        <w:t xml:space="preserve"> and</w:t>
      </w:r>
      <w:r w:rsidR="00BB1B36" w:rsidRPr="00FC2F5E">
        <w:rPr>
          <w:noProof/>
        </w:rPr>
        <w:t xml:space="preserve"> Article 13 </w:t>
      </w:r>
      <w:r w:rsidR="00701494">
        <w:rPr>
          <w:noProof/>
        </w:rPr>
        <w:t xml:space="preserve">of </w:t>
      </w:r>
      <w:r w:rsidR="00FE0CAC">
        <w:rPr>
          <w:noProof/>
        </w:rPr>
        <w:t xml:space="preserve">this </w:t>
      </w:r>
      <w:r w:rsidR="00701494" w:rsidRPr="00701494">
        <w:rPr>
          <w:noProof/>
        </w:rPr>
        <w:t>Regulation</w:t>
      </w:r>
      <w:r w:rsidR="00FC2F5E">
        <w:rPr>
          <w:noProof/>
        </w:rPr>
        <w:t>.</w:t>
      </w:r>
    </w:p>
    <w:p w14:paraId="237C145A" w14:textId="37FADB73" w:rsidR="00FC2F5E" w:rsidRPr="00851BA0" w:rsidRDefault="00EF15A7" w:rsidP="00EF15A7">
      <w:pPr>
        <w:pStyle w:val="ManualNumPar1"/>
        <w:rPr>
          <w:noProof/>
        </w:rPr>
      </w:pPr>
      <w:r w:rsidRPr="00EF15A7">
        <w:t>3.</w:t>
      </w:r>
      <w:r w:rsidRPr="00EF15A7">
        <w:tab/>
      </w:r>
      <w:r w:rsidR="00DC764F" w:rsidRPr="000A22BB">
        <w:rPr>
          <w:noProof/>
          <w:color w:val="000000"/>
        </w:rPr>
        <w:t>T</w:t>
      </w:r>
      <w:r w:rsidR="00DC764F" w:rsidRPr="004206CD">
        <w:rPr>
          <w:noProof/>
        </w:rPr>
        <w:t>he notification</w:t>
      </w:r>
      <w:r w:rsidR="00A7793C">
        <w:rPr>
          <w:noProof/>
        </w:rPr>
        <w:t xml:space="preserve"> </w:t>
      </w:r>
      <w:r w:rsidR="00455641">
        <w:rPr>
          <w:noProof/>
        </w:rPr>
        <w:t xml:space="preserve">referred to in paragraph 2 </w:t>
      </w:r>
      <w:r w:rsidR="00FC2F5E">
        <w:rPr>
          <w:noProof/>
        </w:rPr>
        <w:t xml:space="preserve">shall contain </w:t>
      </w:r>
      <w:r w:rsidR="00DC764F">
        <w:rPr>
          <w:noProof/>
        </w:rPr>
        <w:t xml:space="preserve">a </w:t>
      </w:r>
      <w:r w:rsidR="00DC764F" w:rsidRPr="004206CD">
        <w:rPr>
          <w:noProof/>
        </w:rPr>
        <w:t>2D barcode digitally signed by the issuing authority</w:t>
      </w:r>
      <w:r w:rsidR="007B6BAB">
        <w:rPr>
          <w:noProof/>
        </w:rPr>
        <w:t>, and the facial image of the holder</w:t>
      </w:r>
      <w:r w:rsidR="00FE0CAC">
        <w:rPr>
          <w:noProof/>
        </w:rPr>
        <w:t>.</w:t>
      </w:r>
      <w:r w:rsidR="00342F22">
        <w:rPr>
          <w:noProof/>
        </w:rPr>
        <w:t xml:space="preserve"> </w:t>
      </w:r>
      <w:r w:rsidR="00FE0CAC">
        <w:rPr>
          <w:noProof/>
        </w:rPr>
        <w:t xml:space="preserve">The </w:t>
      </w:r>
      <w:r w:rsidR="00FE0CAC" w:rsidRPr="004206CD">
        <w:rPr>
          <w:noProof/>
        </w:rPr>
        <w:t xml:space="preserve">2D barcode </w:t>
      </w:r>
      <w:r w:rsidR="00FE0CAC">
        <w:rPr>
          <w:noProof/>
        </w:rPr>
        <w:t xml:space="preserve">shall </w:t>
      </w:r>
      <w:r w:rsidR="00342F22">
        <w:rPr>
          <w:noProof/>
        </w:rPr>
        <w:t>contain the information</w:t>
      </w:r>
      <w:r w:rsidR="00090EF5">
        <w:rPr>
          <w:noProof/>
        </w:rPr>
        <w:t xml:space="preserve"> referred to in paragraph 2</w:t>
      </w:r>
      <w:r w:rsidR="00DC764F" w:rsidRPr="00851BA0">
        <w:rPr>
          <w:noProof/>
        </w:rPr>
        <w:t>.</w:t>
      </w:r>
    </w:p>
    <w:p w14:paraId="6A257F7C" w14:textId="77777777" w:rsidR="00DC764F" w:rsidRDefault="00FC2F5E" w:rsidP="00522FB2">
      <w:pPr>
        <w:pStyle w:val="Text1"/>
        <w:rPr>
          <w:noProof/>
        </w:rPr>
      </w:pPr>
      <w:r w:rsidRPr="00FC2F5E">
        <w:rPr>
          <w:noProof/>
        </w:rPr>
        <w:t xml:space="preserve">The notification shall be </w:t>
      </w:r>
      <w:r>
        <w:rPr>
          <w:noProof/>
        </w:rPr>
        <w:t>in printable format.</w:t>
      </w:r>
    </w:p>
    <w:p w14:paraId="3B989A21" w14:textId="61D809BF" w:rsidR="00DC764F" w:rsidRPr="00FC2F5E" w:rsidRDefault="00EF15A7" w:rsidP="00EF15A7">
      <w:pPr>
        <w:pStyle w:val="ManualNumPar1"/>
        <w:rPr>
          <w:noProof/>
        </w:rPr>
      </w:pPr>
      <w:r w:rsidRPr="00EF15A7">
        <w:t>4.</w:t>
      </w:r>
      <w:r w:rsidRPr="00EF15A7">
        <w:tab/>
      </w:r>
      <w:r w:rsidR="00DC764F" w:rsidRPr="00FC2F5E">
        <w:rPr>
          <w:noProof/>
        </w:rPr>
        <w:t xml:space="preserve">The Commission shall adopt </w:t>
      </w:r>
      <w:r w:rsidR="00DC764F" w:rsidRPr="00851BA0">
        <w:rPr>
          <w:noProof/>
        </w:rPr>
        <w:t>implementing acts t</w:t>
      </w:r>
      <w:r w:rsidR="00DC764F" w:rsidRPr="00FC2F5E">
        <w:rPr>
          <w:noProof/>
        </w:rPr>
        <w:t xml:space="preserve">o lay down technical specifications of the </w:t>
      </w:r>
      <w:r w:rsidR="000E466E" w:rsidRPr="00FC2F5E">
        <w:rPr>
          <w:noProof/>
        </w:rPr>
        <w:t xml:space="preserve">digital </w:t>
      </w:r>
      <w:r w:rsidR="00986B8A" w:rsidRPr="00FC2F5E">
        <w:rPr>
          <w:noProof/>
        </w:rPr>
        <w:t xml:space="preserve">visas </w:t>
      </w:r>
      <w:r w:rsidR="00DC764F" w:rsidRPr="00FC2F5E">
        <w:rPr>
          <w:noProof/>
        </w:rPr>
        <w:t>and the notification refer</w:t>
      </w:r>
      <w:r w:rsidR="00986B8A" w:rsidRPr="00FC2F5E">
        <w:rPr>
          <w:noProof/>
        </w:rPr>
        <w:t>red to in paragraph 1</w:t>
      </w:r>
      <w:r w:rsidR="00FC2F5E" w:rsidRPr="00FC2F5E">
        <w:rPr>
          <w:noProof/>
        </w:rPr>
        <w:t>,</w:t>
      </w:r>
      <w:r w:rsidR="00FC2F5E">
        <w:rPr>
          <w:noProof/>
        </w:rPr>
        <w:t xml:space="preserve"> including details</w:t>
      </w:r>
      <w:r w:rsidR="00FC2F5E" w:rsidRPr="00FC2F5E">
        <w:rPr>
          <w:noProof/>
        </w:rPr>
        <w:t xml:space="preserve"> on </w:t>
      </w:r>
      <w:r w:rsidR="00FC2F5E">
        <w:rPr>
          <w:noProof/>
        </w:rPr>
        <w:t>the format of the notification, such as 2D barcode</w:t>
      </w:r>
      <w:r w:rsidR="00FE0CAC">
        <w:rPr>
          <w:noProof/>
        </w:rPr>
        <w:t xml:space="preserve"> and</w:t>
      </w:r>
      <w:r w:rsidR="00FC2F5E">
        <w:rPr>
          <w:noProof/>
        </w:rPr>
        <w:t xml:space="preserve"> printable format.</w:t>
      </w:r>
      <w:r w:rsidR="00DC764F" w:rsidRPr="00FC2F5E">
        <w:rPr>
          <w:noProof/>
        </w:rPr>
        <w:t xml:space="preserve"> Those implementing acts shall be adopted in accordance with the examination procedure referred to in Article 49(2).</w:t>
      </w:r>
    </w:p>
    <w:p w14:paraId="685DB4E9" w14:textId="77777777" w:rsidR="00183E49" w:rsidRDefault="00183E49" w:rsidP="00183E49">
      <w:pPr>
        <w:pStyle w:val="Titrearticle"/>
        <w:rPr>
          <w:noProof/>
        </w:rPr>
      </w:pPr>
      <w:r>
        <w:rPr>
          <w:noProof/>
        </w:rPr>
        <w:t>Article 7g</w:t>
      </w:r>
      <w:r>
        <w:rPr>
          <w:noProof/>
        </w:rPr>
        <w:br/>
        <w:t>Verification tool</w:t>
      </w:r>
    </w:p>
    <w:p w14:paraId="6DF22F13" w14:textId="0678C2DB" w:rsidR="00234447" w:rsidRDefault="00EF15A7" w:rsidP="00EF15A7">
      <w:pPr>
        <w:pStyle w:val="ManualNumPar1"/>
        <w:rPr>
          <w:noProof/>
        </w:rPr>
      </w:pPr>
      <w:r w:rsidRPr="00EF15A7">
        <w:t>1.</w:t>
      </w:r>
      <w:r w:rsidRPr="00EF15A7">
        <w:tab/>
      </w:r>
      <w:r w:rsidR="00234447">
        <w:rPr>
          <w:noProof/>
        </w:rPr>
        <w:t>The verification tool shall allow applicants and visa holders to check:</w:t>
      </w:r>
    </w:p>
    <w:p w14:paraId="7F04E356" w14:textId="5859C21D" w:rsidR="00234447" w:rsidRDefault="00EF15A7" w:rsidP="00EF15A7">
      <w:pPr>
        <w:pStyle w:val="Point0"/>
        <w:rPr>
          <w:noProof/>
        </w:rPr>
      </w:pPr>
      <w:r w:rsidRPr="00EF15A7">
        <w:t>(a)</w:t>
      </w:r>
      <w:r w:rsidRPr="00EF15A7">
        <w:tab/>
      </w:r>
      <w:r w:rsidR="00234447">
        <w:rPr>
          <w:noProof/>
        </w:rPr>
        <w:t>status of their application;</w:t>
      </w:r>
    </w:p>
    <w:p w14:paraId="799248C2" w14:textId="717CB5DD" w:rsidR="00234447" w:rsidRDefault="00EF15A7" w:rsidP="00EF15A7">
      <w:pPr>
        <w:pStyle w:val="Point0"/>
        <w:rPr>
          <w:noProof/>
        </w:rPr>
      </w:pPr>
      <w:r w:rsidRPr="00EF15A7">
        <w:t>(b)</w:t>
      </w:r>
      <w:r w:rsidRPr="00EF15A7">
        <w:tab/>
      </w:r>
      <w:r w:rsidR="00C933F0">
        <w:rPr>
          <w:noProof/>
        </w:rPr>
        <w:t>s</w:t>
      </w:r>
      <w:r w:rsidR="00234447">
        <w:rPr>
          <w:noProof/>
        </w:rPr>
        <w:t>tatus and validity o</w:t>
      </w:r>
      <w:r w:rsidR="007B6BAB">
        <w:rPr>
          <w:noProof/>
        </w:rPr>
        <w:t>f</w:t>
      </w:r>
      <w:r w:rsidR="00234447">
        <w:rPr>
          <w:noProof/>
        </w:rPr>
        <w:t xml:space="preserve"> their visa.</w:t>
      </w:r>
    </w:p>
    <w:p w14:paraId="7BFE37AE" w14:textId="6E9F5494" w:rsidR="00955C35" w:rsidRDefault="00EF15A7" w:rsidP="00EF15A7">
      <w:pPr>
        <w:pStyle w:val="ManualNumPar1"/>
        <w:rPr>
          <w:noProof/>
        </w:rPr>
      </w:pPr>
      <w:r w:rsidRPr="00EF15A7">
        <w:t>2.</w:t>
      </w:r>
      <w:r w:rsidRPr="00EF15A7">
        <w:tab/>
      </w:r>
      <w:r w:rsidR="00234447">
        <w:rPr>
          <w:noProof/>
        </w:rPr>
        <w:t>The verification tool shall be based on the se</w:t>
      </w:r>
      <w:r w:rsidR="00234447" w:rsidRPr="00234447">
        <w:rPr>
          <w:noProof/>
        </w:rPr>
        <w:t>cure account service</w:t>
      </w:r>
      <w:r w:rsidR="00234447">
        <w:rPr>
          <w:noProof/>
        </w:rPr>
        <w:t xml:space="preserve"> referred to in Article 7b</w:t>
      </w:r>
      <w:r w:rsidR="000E466E">
        <w:rPr>
          <w:noProof/>
        </w:rPr>
        <w:t>(3)</w:t>
      </w:r>
      <w:r w:rsidR="00234447">
        <w:rPr>
          <w:noProof/>
        </w:rPr>
        <w:t>.</w:t>
      </w:r>
    </w:p>
    <w:p w14:paraId="62AAFC21" w14:textId="07840423" w:rsidR="00E528DD" w:rsidRDefault="00EF15A7" w:rsidP="00EF15A7">
      <w:pPr>
        <w:pStyle w:val="ManualNumPar1"/>
        <w:rPr>
          <w:noProof/>
        </w:rPr>
      </w:pPr>
      <w:r w:rsidRPr="00EF15A7">
        <w:t>3.</w:t>
      </w:r>
      <w:r w:rsidRPr="00EF15A7">
        <w:tab/>
      </w:r>
      <w:r w:rsidR="00955C35">
        <w:rPr>
          <w:noProof/>
        </w:rPr>
        <w:t xml:space="preserve">The </w:t>
      </w:r>
      <w:r w:rsidR="00955C35" w:rsidRPr="00955C35">
        <w:rPr>
          <w:noProof/>
        </w:rPr>
        <w:t xml:space="preserve">EU </w:t>
      </w:r>
      <w:r w:rsidR="00955C35">
        <w:rPr>
          <w:noProof/>
        </w:rPr>
        <w:t>application platform shall offer a web-service</w:t>
      </w:r>
      <w:r w:rsidR="00955C35" w:rsidRPr="00955C35">
        <w:rPr>
          <w:noProof/>
        </w:rPr>
        <w:t xml:space="preserve"> functionality </w:t>
      </w:r>
      <w:r w:rsidR="00E76F38">
        <w:rPr>
          <w:noProof/>
        </w:rPr>
        <w:t>for applicants</w:t>
      </w:r>
      <w:r w:rsidR="00955C35" w:rsidRPr="00955C35">
        <w:rPr>
          <w:noProof/>
        </w:rPr>
        <w:t xml:space="preserve"> to verify </w:t>
      </w:r>
      <w:r w:rsidR="00955C35">
        <w:rPr>
          <w:noProof/>
        </w:rPr>
        <w:t xml:space="preserve">the </w:t>
      </w:r>
      <w:r w:rsidR="00955C35" w:rsidRPr="00955C35">
        <w:rPr>
          <w:noProof/>
        </w:rPr>
        <w:t>digital visa</w:t>
      </w:r>
      <w:r w:rsidR="007B6BAB">
        <w:rPr>
          <w:noProof/>
        </w:rPr>
        <w:t xml:space="preserve"> </w:t>
      </w:r>
      <w:r w:rsidR="00955C35">
        <w:rPr>
          <w:noProof/>
        </w:rPr>
        <w:t>without the secure account service.</w:t>
      </w:r>
    </w:p>
    <w:p w14:paraId="549769CF" w14:textId="5BD4A327" w:rsidR="00343F3E" w:rsidRDefault="00EF15A7" w:rsidP="00EF15A7">
      <w:pPr>
        <w:pStyle w:val="ManualNumPar1"/>
        <w:rPr>
          <w:noProof/>
        </w:rPr>
      </w:pPr>
      <w:r w:rsidRPr="00EF15A7">
        <w:t>4.</w:t>
      </w:r>
      <w:r w:rsidRPr="00EF15A7">
        <w:tab/>
      </w:r>
      <w:r w:rsidR="00E528DD" w:rsidRPr="00E528DD">
        <w:rPr>
          <w:noProof/>
        </w:rPr>
        <w:t>The Commission shall adopt implementing acts concerning the detailed rules on the conditions for the operation of the web service and the data protection and security rules applicable to the web service</w:t>
      </w:r>
      <w:r w:rsidR="00D950D9">
        <w:rPr>
          <w:noProof/>
        </w:rPr>
        <w:t xml:space="preserve">, </w:t>
      </w:r>
      <w:r w:rsidR="00E76F38">
        <w:rPr>
          <w:noProof/>
        </w:rPr>
        <w:t xml:space="preserve">including </w:t>
      </w:r>
      <w:r w:rsidR="00D950D9">
        <w:rPr>
          <w:noProof/>
        </w:rPr>
        <w:t>unique identifier for the applicant</w:t>
      </w:r>
      <w:r w:rsidR="00E528DD" w:rsidRPr="00E528DD">
        <w:rPr>
          <w:noProof/>
        </w:rPr>
        <w:t>. Those implementing acts shall be adopted in accordance with the examination procedure</w:t>
      </w:r>
      <w:r w:rsidR="00E528DD">
        <w:rPr>
          <w:noProof/>
        </w:rPr>
        <w:t xml:space="preserve"> referred to in Article 49(2).</w:t>
      </w:r>
      <w:r w:rsidR="0050223B" w:rsidDel="0050223B">
        <w:rPr>
          <w:noProof/>
        </w:rPr>
        <w:t xml:space="preserve"> </w:t>
      </w:r>
      <w:r w:rsidR="00183E49" w:rsidRPr="00513CAD">
        <w:rPr>
          <w:noProof/>
        </w:rPr>
        <w:t>”</w:t>
      </w:r>
      <w:r w:rsidR="00183E49">
        <w:rPr>
          <w:noProof/>
        </w:rPr>
        <w:t>;</w:t>
      </w:r>
    </w:p>
    <w:p w14:paraId="4FC312A6" w14:textId="09780140" w:rsidR="00105C98" w:rsidRDefault="00EF15A7" w:rsidP="00EF15A7">
      <w:pPr>
        <w:pStyle w:val="Point0"/>
        <w:rPr>
          <w:noProof/>
        </w:rPr>
      </w:pPr>
      <w:r w:rsidRPr="00EF15A7">
        <w:t>(4)</w:t>
      </w:r>
      <w:r w:rsidRPr="00EF15A7">
        <w:tab/>
      </w:r>
      <w:r w:rsidR="00832AF3">
        <w:rPr>
          <w:noProof/>
        </w:rPr>
        <w:t>i</w:t>
      </w:r>
      <w:r w:rsidR="00D140AA">
        <w:rPr>
          <w:noProof/>
        </w:rPr>
        <w:t xml:space="preserve">n </w:t>
      </w:r>
      <w:r w:rsidR="00105C98" w:rsidRPr="002E5202">
        <w:rPr>
          <w:noProof/>
        </w:rPr>
        <w:t>Article 9</w:t>
      </w:r>
      <w:r w:rsidR="000E466E">
        <w:rPr>
          <w:noProof/>
        </w:rPr>
        <w:t>(4)</w:t>
      </w:r>
      <w:r w:rsidR="00F4474C">
        <w:rPr>
          <w:noProof/>
        </w:rPr>
        <w:t>,</w:t>
      </w:r>
      <w:r w:rsidR="00D140AA" w:rsidRPr="002E5202">
        <w:rPr>
          <w:noProof/>
        </w:rPr>
        <w:t xml:space="preserve"> </w:t>
      </w:r>
      <w:r w:rsidR="00D140AA">
        <w:rPr>
          <w:noProof/>
        </w:rPr>
        <w:t>the following points</w:t>
      </w:r>
      <w:r w:rsidR="00A317E1">
        <w:rPr>
          <w:noProof/>
        </w:rPr>
        <w:t xml:space="preserve"> </w:t>
      </w:r>
      <w:r w:rsidR="00D140AA">
        <w:rPr>
          <w:noProof/>
        </w:rPr>
        <w:t>are added</w:t>
      </w:r>
      <w:r w:rsidR="00105C98">
        <w:rPr>
          <w:noProof/>
        </w:rPr>
        <w:t>:</w:t>
      </w:r>
    </w:p>
    <w:p w14:paraId="09AF4C17" w14:textId="77777777" w:rsidR="007B6BAB" w:rsidRDefault="005A69FD" w:rsidP="00065B46">
      <w:pPr>
        <w:pStyle w:val="Text1"/>
        <w:rPr>
          <w:noProof/>
        </w:rPr>
      </w:pPr>
      <w:r w:rsidRPr="00343F3E">
        <w:rPr>
          <w:noProof/>
        </w:rPr>
        <w:t>“</w:t>
      </w:r>
      <w:r w:rsidR="007B6BAB">
        <w:rPr>
          <w:noProof/>
        </w:rPr>
        <w:t xml:space="preserve">(na) </w:t>
      </w:r>
      <w:r w:rsidR="007B6BAB" w:rsidRPr="00B02073">
        <w:rPr>
          <w:noProof/>
        </w:rPr>
        <w:t>if applicable, the fact that the applicant applies as a family member of UK nationals who is a beneficiary of the EU-UK Withdrawal Agreement in the host State for which the visa application is made</w:t>
      </w:r>
      <w:r w:rsidR="007B6BAB">
        <w:rPr>
          <w:noProof/>
        </w:rPr>
        <w:t xml:space="preserve">; </w:t>
      </w:r>
    </w:p>
    <w:p w14:paraId="2506C368" w14:textId="77777777" w:rsidR="00FD7408" w:rsidRDefault="00FD7408" w:rsidP="00065B46">
      <w:pPr>
        <w:pStyle w:val="Text1"/>
        <w:rPr>
          <w:noProof/>
        </w:rPr>
      </w:pPr>
      <w:r>
        <w:rPr>
          <w:noProof/>
        </w:rPr>
        <w:t xml:space="preserve">(o) </w:t>
      </w:r>
      <w:r w:rsidRPr="00FD7408">
        <w:rPr>
          <w:noProof/>
        </w:rPr>
        <w:t>email address</w:t>
      </w:r>
      <w:r>
        <w:rPr>
          <w:noProof/>
        </w:rPr>
        <w:t>;</w:t>
      </w:r>
    </w:p>
    <w:p w14:paraId="0F833757" w14:textId="77777777" w:rsidR="00183A12" w:rsidRPr="003C2BE5" w:rsidRDefault="00FD7408" w:rsidP="00065B46">
      <w:pPr>
        <w:pStyle w:val="Text1"/>
        <w:rPr>
          <w:noProof/>
        </w:rPr>
      </w:pPr>
      <w:r>
        <w:rPr>
          <w:noProof/>
        </w:rPr>
        <w:t>(p)</w:t>
      </w:r>
      <w:r w:rsidRPr="00FD7408">
        <w:rPr>
          <w:noProof/>
        </w:rPr>
        <w:t xml:space="preserve"> IP address from which the application form was submitted</w:t>
      </w:r>
      <w:r>
        <w:rPr>
          <w:noProof/>
        </w:rPr>
        <w:t>.</w:t>
      </w:r>
      <w:r w:rsidRPr="00513CAD">
        <w:rPr>
          <w:noProof/>
        </w:rPr>
        <w:t>”</w:t>
      </w:r>
      <w:r>
        <w:rPr>
          <w:noProof/>
        </w:rPr>
        <w:t>;</w:t>
      </w:r>
    </w:p>
    <w:p w14:paraId="37EEADD1" w14:textId="1FD6AB58" w:rsidR="00637AA2" w:rsidRDefault="00EF15A7" w:rsidP="00EF15A7">
      <w:pPr>
        <w:pStyle w:val="Point0"/>
        <w:rPr>
          <w:noProof/>
        </w:rPr>
      </w:pPr>
      <w:r w:rsidRPr="00EF15A7">
        <w:t>(5)</w:t>
      </w:r>
      <w:r w:rsidRPr="00EF15A7">
        <w:tab/>
      </w:r>
      <w:r w:rsidR="00637AA2">
        <w:rPr>
          <w:noProof/>
        </w:rPr>
        <w:t xml:space="preserve">In Article 9b the following paragraph </w:t>
      </w:r>
      <w:r w:rsidR="000E3E0B">
        <w:rPr>
          <w:noProof/>
        </w:rPr>
        <w:t>is</w:t>
      </w:r>
      <w:r w:rsidR="00637AA2">
        <w:rPr>
          <w:noProof/>
        </w:rPr>
        <w:t xml:space="preserve"> added:</w:t>
      </w:r>
    </w:p>
    <w:p w14:paraId="5A8F0104" w14:textId="77777777" w:rsidR="00637AA2" w:rsidRDefault="00637AA2" w:rsidP="00EE125B">
      <w:pPr>
        <w:pStyle w:val="Text1"/>
        <w:rPr>
          <w:noProof/>
        </w:rPr>
      </w:pPr>
      <w:r>
        <w:rPr>
          <w:noProof/>
          <w:color w:val="444444"/>
          <w:szCs w:val="24"/>
          <w:shd w:val="clear" w:color="auto" w:fill="FFFFFF"/>
        </w:rPr>
        <w:t>“</w:t>
      </w:r>
      <w:r w:rsidR="0050223B">
        <w:rPr>
          <w:noProof/>
        </w:rPr>
        <w:t>5.</w:t>
      </w:r>
      <w:r w:rsidR="00AB1918">
        <w:rPr>
          <w:noProof/>
        </w:rPr>
        <w:t xml:space="preserve"> </w:t>
      </w:r>
      <w:r w:rsidR="001335BA" w:rsidRPr="001335BA">
        <w:rPr>
          <w:noProof/>
          <w:szCs w:val="24"/>
        </w:rPr>
        <w:t xml:space="preserve">Paragraphs 1 to </w:t>
      </w:r>
      <w:r w:rsidR="0050223B">
        <w:rPr>
          <w:noProof/>
          <w:szCs w:val="24"/>
        </w:rPr>
        <w:t>4</w:t>
      </w:r>
      <w:r w:rsidR="001335BA" w:rsidRPr="001335BA">
        <w:rPr>
          <w:noProof/>
          <w:szCs w:val="24"/>
        </w:rPr>
        <w:t xml:space="preserve"> shall apply </w:t>
      </w:r>
      <w:r w:rsidR="001335BA" w:rsidRPr="001335BA">
        <w:rPr>
          <w:i/>
          <w:noProof/>
          <w:szCs w:val="24"/>
        </w:rPr>
        <w:t>mutatis mutandis</w:t>
      </w:r>
      <w:r w:rsidR="001335BA" w:rsidRPr="001335BA">
        <w:rPr>
          <w:noProof/>
          <w:szCs w:val="24"/>
        </w:rPr>
        <w:t xml:space="preserve"> to </w:t>
      </w:r>
      <w:r w:rsidR="001335BA" w:rsidRPr="001335BA">
        <w:rPr>
          <w:noProof/>
          <w:lang w:val="en-IE"/>
        </w:rPr>
        <w:t xml:space="preserve">family members of UK nationals who themselves are beneficiaries of the EU-UK Withdrawal Agreement </w:t>
      </w:r>
      <w:r w:rsidR="001335BA">
        <w:rPr>
          <w:noProof/>
        </w:rPr>
        <w:t>in the host State for which the visa application is made.”</w:t>
      </w:r>
      <w:r w:rsidR="00EE125B">
        <w:rPr>
          <w:noProof/>
        </w:rPr>
        <w:t>;</w:t>
      </w:r>
    </w:p>
    <w:p w14:paraId="3B26EB58" w14:textId="36BD8651" w:rsidR="00CF621C" w:rsidRPr="00CF621C" w:rsidRDefault="00EF15A7" w:rsidP="00EF15A7">
      <w:pPr>
        <w:pStyle w:val="Point0"/>
        <w:rPr>
          <w:noProof/>
        </w:rPr>
      </w:pPr>
      <w:r w:rsidRPr="00EF15A7">
        <w:t>(6)</w:t>
      </w:r>
      <w:r w:rsidRPr="00EF15A7">
        <w:tab/>
      </w:r>
      <w:r w:rsidR="00832AF3" w:rsidRPr="002E5202">
        <w:rPr>
          <w:noProof/>
        </w:rPr>
        <w:t>Article 10</w:t>
      </w:r>
      <w:r w:rsidR="00DE3C5C">
        <w:rPr>
          <w:b/>
          <w:noProof/>
        </w:rPr>
        <w:t xml:space="preserve"> </w:t>
      </w:r>
      <w:r w:rsidR="00DE3C5C">
        <w:rPr>
          <w:noProof/>
        </w:rPr>
        <w:t>is amended as follows:</w:t>
      </w:r>
    </w:p>
    <w:p w14:paraId="5F1F503B" w14:textId="4639E972" w:rsidR="00FD7408" w:rsidRDefault="00EF15A7" w:rsidP="00EF15A7">
      <w:pPr>
        <w:pStyle w:val="Point1"/>
        <w:rPr>
          <w:noProof/>
        </w:rPr>
      </w:pPr>
      <w:r w:rsidRPr="00EF15A7">
        <w:t>(a)</w:t>
      </w:r>
      <w:r w:rsidRPr="00EF15A7">
        <w:tab/>
      </w:r>
      <w:r w:rsidR="00F4474C">
        <w:rPr>
          <w:noProof/>
        </w:rPr>
        <w:t xml:space="preserve">in </w:t>
      </w:r>
      <w:r w:rsidR="00DE3C5C">
        <w:rPr>
          <w:noProof/>
        </w:rPr>
        <w:t>p</w:t>
      </w:r>
      <w:r w:rsidR="00CF621C">
        <w:rPr>
          <w:noProof/>
        </w:rPr>
        <w:t xml:space="preserve">aragraph </w:t>
      </w:r>
      <w:r w:rsidR="001D3927">
        <w:rPr>
          <w:noProof/>
        </w:rPr>
        <w:t>1</w:t>
      </w:r>
      <w:r w:rsidR="00F4474C">
        <w:rPr>
          <w:noProof/>
        </w:rPr>
        <w:t>,</w:t>
      </w:r>
      <w:r w:rsidR="00832AF3" w:rsidRPr="00CF621C">
        <w:rPr>
          <w:noProof/>
        </w:rPr>
        <w:t xml:space="preserve"> point (e) is</w:t>
      </w:r>
      <w:r w:rsidR="00832AF3" w:rsidRPr="00832AF3">
        <w:rPr>
          <w:noProof/>
        </w:rPr>
        <w:t xml:space="preserve"> replaced by the following</w:t>
      </w:r>
      <w:r w:rsidR="00602887">
        <w:rPr>
          <w:noProof/>
        </w:rPr>
        <w:t>:</w:t>
      </w:r>
    </w:p>
    <w:p w14:paraId="4F55C94A" w14:textId="77777777" w:rsidR="00832AF3" w:rsidRDefault="00832AF3" w:rsidP="0050223B">
      <w:pPr>
        <w:pStyle w:val="Text2"/>
        <w:rPr>
          <w:noProof/>
        </w:rPr>
      </w:pPr>
      <w:r w:rsidRPr="00832AF3">
        <w:rPr>
          <w:noProof/>
        </w:rPr>
        <w:t>“</w:t>
      </w:r>
      <w:r>
        <w:rPr>
          <w:noProof/>
        </w:rPr>
        <w:t>(e) visa number;</w:t>
      </w:r>
      <w:r w:rsidRPr="00513CAD">
        <w:rPr>
          <w:noProof/>
        </w:rPr>
        <w:t>”</w:t>
      </w:r>
      <w:r>
        <w:rPr>
          <w:noProof/>
        </w:rPr>
        <w:t>;</w:t>
      </w:r>
    </w:p>
    <w:p w14:paraId="2917FE44" w14:textId="7A0C5586" w:rsidR="00CF621C" w:rsidRPr="00EE125B" w:rsidRDefault="00EF15A7" w:rsidP="00EF15A7">
      <w:pPr>
        <w:pStyle w:val="Point1"/>
        <w:rPr>
          <w:noProof/>
        </w:rPr>
      </w:pPr>
      <w:r w:rsidRPr="00EF15A7">
        <w:t>(b)</w:t>
      </w:r>
      <w:r w:rsidRPr="00EF15A7">
        <w:tab/>
      </w:r>
      <w:r w:rsidR="001D3927" w:rsidRPr="00EE125B">
        <w:rPr>
          <w:noProof/>
        </w:rPr>
        <w:t>in paragraph 1</w:t>
      </w:r>
      <w:r w:rsidR="00DE3C5C" w:rsidRPr="00EE125B">
        <w:rPr>
          <w:noProof/>
        </w:rPr>
        <w:t>, point (k) is deleted.</w:t>
      </w:r>
    </w:p>
    <w:p w14:paraId="18823D23" w14:textId="69A1AA3A" w:rsidR="006708C4" w:rsidRPr="00EE125B" w:rsidRDefault="00EF15A7" w:rsidP="00EF15A7">
      <w:pPr>
        <w:pStyle w:val="Point1"/>
        <w:rPr>
          <w:noProof/>
        </w:rPr>
      </w:pPr>
      <w:r w:rsidRPr="00EF15A7">
        <w:t>(c)</w:t>
      </w:r>
      <w:r w:rsidRPr="00EF15A7">
        <w:tab/>
      </w:r>
      <w:r w:rsidR="006708C4" w:rsidRPr="00EE125B">
        <w:rPr>
          <w:noProof/>
        </w:rPr>
        <w:t>in paragraph 1, point (m) is added</w:t>
      </w:r>
    </w:p>
    <w:p w14:paraId="577037AA" w14:textId="77777777" w:rsidR="00E01BE1" w:rsidRPr="004C27CF" w:rsidRDefault="00EE125B" w:rsidP="00EE125B">
      <w:pPr>
        <w:pStyle w:val="Text1"/>
        <w:rPr>
          <w:noProof/>
        </w:rPr>
      </w:pPr>
      <w:r>
        <w:rPr>
          <w:noProof/>
          <w:color w:val="444444"/>
          <w:szCs w:val="24"/>
          <w:shd w:val="clear" w:color="auto" w:fill="FFFFFF"/>
        </w:rPr>
        <w:t>“</w:t>
      </w:r>
      <w:r w:rsidR="006708C4" w:rsidRPr="00EE125B">
        <w:rPr>
          <w:noProof/>
        </w:rPr>
        <w:t xml:space="preserve">(m) if applicable, the status of the person indicating that the third-country national is a member of the family of </w:t>
      </w:r>
      <w:r w:rsidR="00E01BE1" w:rsidRPr="00EE125B">
        <w:rPr>
          <w:noProof/>
        </w:rPr>
        <w:t>UK national who is a beneficiary of the EU-UK Withdrawal Agreement in the host State for which the visa application is made.</w:t>
      </w:r>
      <w:r>
        <w:rPr>
          <w:noProof/>
        </w:rPr>
        <w:t>”;</w:t>
      </w:r>
    </w:p>
    <w:p w14:paraId="07144755" w14:textId="3106B6DB" w:rsidR="00832AF3" w:rsidRDefault="00EF15A7" w:rsidP="00EF15A7">
      <w:pPr>
        <w:pStyle w:val="Point0"/>
        <w:rPr>
          <w:noProof/>
        </w:rPr>
      </w:pPr>
      <w:r w:rsidRPr="00EF15A7">
        <w:t>(7)</w:t>
      </w:r>
      <w:r w:rsidRPr="00EF15A7">
        <w:tab/>
      </w:r>
      <w:r w:rsidR="00832AF3">
        <w:rPr>
          <w:noProof/>
        </w:rPr>
        <w:t>the following Article</w:t>
      </w:r>
      <w:r w:rsidR="00A317E1">
        <w:rPr>
          <w:noProof/>
        </w:rPr>
        <w:t xml:space="preserve"> 12a</w:t>
      </w:r>
      <w:r w:rsidR="00832AF3">
        <w:rPr>
          <w:noProof/>
        </w:rPr>
        <w:t xml:space="preserve"> is inserted:</w:t>
      </w:r>
    </w:p>
    <w:p w14:paraId="300141CD" w14:textId="77777777" w:rsidR="00C61D4D" w:rsidRDefault="00C61D4D" w:rsidP="00C61D4D">
      <w:pPr>
        <w:pStyle w:val="Titrearticle"/>
        <w:rPr>
          <w:noProof/>
        </w:rPr>
      </w:pPr>
      <w:r w:rsidRPr="00C61D4D">
        <w:rPr>
          <w:i w:val="0"/>
          <w:noProof/>
        </w:rPr>
        <w:t>“</w:t>
      </w:r>
      <w:r>
        <w:rPr>
          <w:noProof/>
        </w:rPr>
        <w:t>Article 12a</w:t>
      </w:r>
      <w:r>
        <w:rPr>
          <w:noProof/>
        </w:rPr>
        <w:br/>
      </w:r>
      <w:r w:rsidRPr="00C61D4D">
        <w:rPr>
          <w:noProof/>
        </w:rPr>
        <w:t>Data to be added for a visa confirmed</w:t>
      </w:r>
    </w:p>
    <w:p w14:paraId="3B46189C" w14:textId="79FB194E" w:rsidR="00C61D4D" w:rsidRDefault="00EF15A7" w:rsidP="00EF15A7">
      <w:pPr>
        <w:pStyle w:val="ManualNumPar1"/>
        <w:rPr>
          <w:noProof/>
        </w:rPr>
      </w:pPr>
      <w:r w:rsidRPr="00EF15A7">
        <w:t>1.</w:t>
      </w:r>
      <w:r w:rsidRPr="00EF15A7">
        <w:tab/>
      </w:r>
      <w:r w:rsidR="00C61D4D" w:rsidRPr="00C61D4D">
        <w:rPr>
          <w:noProof/>
        </w:rPr>
        <w:t xml:space="preserve">Where a decision has been taken to </w:t>
      </w:r>
      <w:r w:rsidR="00C61D4D">
        <w:rPr>
          <w:noProof/>
        </w:rPr>
        <w:t>confirm</w:t>
      </w:r>
      <w:r w:rsidR="00C61D4D" w:rsidRPr="00C61D4D">
        <w:rPr>
          <w:noProof/>
        </w:rPr>
        <w:t xml:space="preserve"> a visa, the visa authority that has taken the decision shall add the following data to the application file:</w:t>
      </w:r>
    </w:p>
    <w:p w14:paraId="0B2AE8EC" w14:textId="7DB092C2" w:rsidR="00C61D4D" w:rsidRDefault="00EF15A7" w:rsidP="00EF15A7">
      <w:pPr>
        <w:pStyle w:val="Point0"/>
        <w:rPr>
          <w:noProof/>
        </w:rPr>
      </w:pPr>
      <w:r w:rsidRPr="00EF15A7">
        <w:t>(a)</w:t>
      </w:r>
      <w:r w:rsidRPr="00EF15A7">
        <w:tab/>
      </w:r>
      <w:r w:rsidR="00C61D4D" w:rsidRPr="00C61D4D">
        <w:rPr>
          <w:noProof/>
        </w:rPr>
        <w:t>status information</w:t>
      </w:r>
      <w:r w:rsidR="00C61D4D">
        <w:rPr>
          <w:noProof/>
        </w:rPr>
        <w:t>;</w:t>
      </w:r>
    </w:p>
    <w:p w14:paraId="08366DD2" w14:textId="133BF19B" w:rsidR="00C61D4D" w:rsidRDefault="00EF15A7" w:rsidP="00EF15A7">
      <w:pPr>
        <w:pStyle w:val="Point0"/>
        <w:rPr>
          <w:noProof/>
        </w:rPr>
      </w:pPr>
      <w:r w:rsidRPr="00EF15A7">
        <w:t>(b)</w:t>
      </w:r>
      <w:r w:rsidRPr="00EF15A7">
        <w:tab/>
      </w:r>
      <w:r w:rsidR="00C61D4D" w:rsidRPr="00C61D4D">
        <w:rPr>
          <w:noProof/>
        </w:rPr>
        <w:t>authority that confirmed the visa</w:t>
      </w:r>
      <w:r w:rsidR="00C61D4D">
        <w:rPr>
          <w:noProof/>
        </w:rPr>
        <w:t>;</w:t>
      </w:r>
    </w:p>
    <w:p w14:paraId="2B1FBABA" w14:textId="3540D519" w:rsidR="00C61D4D" w:rsidRDefault="00EF15A7" w:rsidP="00EF15A7">
      <w:pPr>
        <w:pStyle w:val="Point0"/>
        <w:rPr>
          <w:noProof/>
        </w:rPr>
      </w:pPr>
      <w:r w:rsidRPr="00EF15A7">
        <w:t>(c)</w:t>
      </w:r>
      <w:r w:rsidRPr="00EF15A7">
        <w:tab/>
      </w:r>
      <w:r w:rsidR="00C61D4D" w:rsidRPr="00C61D4D">
        <w:rPr>
          <w:noProof/>
        </w:rPr>
        <w:t>place and date of the decision</w:t>
      </w:r>
      <w:r w:rsidR="00C61D4D">
        <w:rPr>
          <w:noProof/>
        </w:rPr>
        <w:t>;</w:t>
      </w:r>
    </w:p>
    <w:p w14:paraId="7B4B3634" w14:textId="3D099FB6" w:rsidR="00C61D4D" w:rsidRPr="00C61D4D" w:rsidRDefault="00EF15A7" w:rsidP="00EF15A7">
      <w:pPr>
        <w:pStyle w:val="Point0"/>
        <w:rPr>
          <w:noProof/>
        </w:rPr>
      </w:pPr>
      <w:r w:rsidRPr="00EF15A7">
        <w:t>(d)</w:t>
      </w:r>
      <w:r w:rsidRPr="00EF15A7">
        <w:tab/>
      </w:r>
      <w:r w:rsidR="00B8735B">
        <w:rPr>
          <w:noProof/>
        </w:rPr>
        <w:t xml:space="preserve">new travel document data, including number, issuing country and </w:t>
      </w:r>
      <w:r w:rsidR="00C61D4D" w:rsidRPr="00B8735B">
        <w:rPr>
          <w:noProof/>
        </w:rPr>
        <w:t xml:space="preserve">authority, </w:t>
      </w:r>
      <w:r w:rsidR="00B8735B">
        <w:rPr>
          <w:noProof/>
        </w:rPr>
        <w:t>issuing date, expiry date</w:t>
      </w:r>
      <w:r w:rsidR="00C61D4D">
        <w:rPr>
          <w:noProof/>
        </w:rPr>
        <w:t>.</w:t>
      </w:r>
    </w:p>
    <w:p w14:paraId="0F6B516B" w14:textId="03465A7A" w:rsidR="00602887" w:rsidRPr="00EE125B" w:rsidRDefault="00EF15A7" w:rsidP="00EF15A7">
      <w:pPr>
        <w:pStyle w:val="ManualNumPar1"/>
        <w:rPr>
          <w:noProof/>
        </w:rPr>
      </w:pPr>
      <w:r w:rsidRPr="00EF15A7">
        <w:t>2.</w:t>
      </w:r>
      <w:r w:rsidRPr="00EF15A7">
        <w:tab/>
      </w:r>
      <w:r w:rsidR="00C61D4D" w:rsidRPr="00C61D4D">
        <w:rPr>
          <w:noProof/>
        </w:rPr>
        <w:t xml:space="preserve">Where a decision has been taken to </w:t>
      </w:r>
      <w:r w:rsidR="00C61D4D">
        <w:rPr>
          <w:noProof/>
        </w:rPr>
        <w:t>confirm</w:t>
      </w:r>
      <w:r w:rsidR="00C61D4D" w:rsidRPr="00C61D4D">
        <w:rPr>
          <w:noProof/>
        </w:rPr>
        <w:t xml:space="preserve"> a visa, </w:t>
      </w:r>
      <w:r w:rsidR="009175D1">
        <w:rPr>
          <w:noProof/>
        </w:rPr>
        <w:t xml:space="preserve">the system </w:t>
      </w:r>
      <w:r w:rsidR="00C61D4D" w:rsidRPr="00C61D4D">
        <w:rPr>
          <w:noProof/>
        </w:rPr>
        <w:t>shall immediately retrieve and export from the VIS into the</w:t>
      </w:r>
      <w:r w:rsidR="003A21FC">
        <w:rPr>
          <w:noProof/>
        </w:rPr>
        <w:t xml:space="preserve"> EES</w:t>
      </w:r>
      <w:r w:rsidR="00C61D4D" w:rsidRPr="00C61D4D">
        <w:rPr>
          <w:noProof/>
        </w:rPr>
        <w:t xml:space="preserve"> the data listed </w:t>
      </w:r>
      <w:r w:rsidR="000F38FF">
        <w:rPr>
          <w:noProof/>
        </w:rPr>
        <w:t>in</w:t>
      </w:r>
      <w:r w:rsidR="000F38FF" w:rsidRPr="00C61D4D">
        <w:rPr>
          <w:noProof/>
        </w:rPr>
        <w:t xml:space="preserve"> </w:t>
      </w:r>
      <w:r w:rsidR="00C61D4D" w:rsidRPr="00C61D4D">
        <w:rPr>
          <w:noProof/>
        </w:rPr>
        <w:t>Article 19(1) of Regulation</w:t>
      </w:r>
      <w:r w:rsidR="00B36546">
        <w:rPr>
          <w:noProof/>
        </w:rPr>
        <w:t xml:space="preserve"> (EU) </w:t>
      </w:r>
      <w:r w:rsidR="00EE125B">
        <w:rPr>
          <w:noProof/>
        </w:rPr>
        <w:t xml:space="preserve"> (EU) 2017/</w:t>
      </w:r>
      <w:r w:rsidR="00EE125B" w:rsidRPr="00EE125B">
        <w:rPr>
          <w:noProof/>
        </w:rPr>
        <w:t>2226</w:t>
      </w:r>
      <w:r w:rsidR="00C61D4D" w:rsidRPr="00EE125B">
        <w:rPr>
          <w:noProof/>
        </w:rPr>
        <w:t>.</w:t>
      </w:r>
      <w:r w:rsidR="003A21FC" w:rsidRPr="00EE125B">
        <w:rPr>
          <w:noProof/>
        </w:rPr>
        <w:t>”;</w:t>
      </w:r>
    </w:p>
    <w:p w14:paraId="231F3856" w14:textId="1D849B4B" w:rsidR="00FE47C6" w:rsidRPr="00FE47C6" w:rsidRDefault="00EF15A7" w:rsidP="00EF15A7">
      <w:pPr>
        <w:pStyle w:val="Point0"/>
        <w:rPr>
          <w:noProof/>
        </w:rPr>
      </w:pPr>
      <w:r w:rsidRPr="00EF15A7">
        <w:t>(8)</w:t>
      </w:r>
      <w:r w:rsidRPr="00EF15A7">
        <w:tab/>
      </w:r>
      <w:r w:rsidR="00B36546">
        <w:rPr>
          <w:noProof/>
        </w:rPr>
        <w:t xml:space="preserve">in </w:t>
      </w:r>
      <w:r w:rsidR="00FE47C6" w:rsidRPr="002E5202">
        <w:rPr>
          <w:noProof/>
        </w:rPr>
        <w:t>Article 14</w:t>
      </w:r>
      <w:r w:rsidR="00B36546">
        <w:rPr>
          <w:noProof/>
        </w:rPr>
        <w:t>(1),</w:t>
      </w:r>
      <w:r w:rsidR="00FE47C6">
        <w:rPr>
          <w:noProof/>
        </w:rPr>
        <w:t xml:space="preserve"> point (d</w:t>
      </w:r>
      <w:r w:rsidR="00FE47C6" w:rsidRPr="00FE47C6">
        <w:rPr>
          <w:noProof/>
        </w:rPr>
        <w:t>) is replaced by the following:</w:t>
      </w:r>
    </w:p>
    <w:p w14:paraId="7FC0F323" w14:textId="77777777" w:rsidR="00FE47C6" w:rsidRDefault="00FE47C6" w:rsidP="00065B46">
      <w:pPr>
        <w:pStyle w:val="Text1"/>
        <w:rPr>
          <w:noProof/>
        </w:rPr>
      </w:pPr>
      <w:r w:rsidRPr="00832AF3">
        <w:rPr>
          <w:noProof/>
        </w:rPr>
        <w:t>“</w:t>
      </w:r>
      <w:r>
        <w:rPr>
          <w:noProof/>
        </w:rPr>
        <w:t>(d) visa number of the extended visa;</w:t>
      </w:r>
      <w:r w:rsidRPr="00513CAD">
        <w:rPr>
          <w:noProof/>
        </w:rPr>
        <w:t>”</w:t>
      </w:r>
      <w:r>
        <w:rPr>
          <w:noProof/>
        </w:rPr>
        <w:t>;</w:t>
      </w:r>
    </w:p>
    <w:p w14:paraId="283C72E3" w14:textId="1007FD14" w:rsidR="002F0825" w:rsidRDefault="00EF15A7" w:rsidP="00EF15A7">
      <w:pPr>
        <w:pStyle w:val="Point0"/>
        <w:rPr>
          <w:noProof/>
        </w:rPr>
      </w:pPr>
      <w:r w:rsidRPr="00EF15A7">
        <w:t>(9)</w:t>
      </w:r>
      <w:r w:rsidRPr="00EF15A7">
        <w:tab/>
      </w:r>
      <w:r w:rsidR="00B36546">
        <w:rPr>
          <w:noProof/>
        </w:rPr>
        <w:t xml:space="preserve">in </w:t>
      </w:r>
      <w:r w:rsidR="002F0825" w:rsidRPr="002E5202">
        <w:rPr>
          <w:noProof/>
        </w:rPr>
        <w:t>Article 15</w:t>
      </w:r>
      <w:r w:rsidR="00B36546">
        <w:rPr>
          <w:noProof/>
        </w:rPr>
        <w:t>(2),</w:t>
      </w:r>
      <w:r w:rsidR="00254EAC">
        <w:rPr>
          <w:noProof/>
        </w:rPr>
        <w:t xml:space="preserve"> point </w:t>
      </w:r>
      <w:r w:rsidR="002F0825">
        <w:rPr>
          <w:noProof/>
        </w:rPr>
        <w:t>(f) is replaced by the following:</w:t>
      </w:r>
    </w:p>
    <w:p w14:paraId="32103AF8" w14:textId="77777777" w:rsidR="002F0825" w:rsidRPr="00F3241D" w:rsidRDefault="002F0825" w:rsidP="00065B46">
      <w:pPr>
        <w:pStyle w:val="Text1"/>
        <w:rPr>
          <w:noProof/>
        </w:rPr>
      </w:pPr>
      <w:r w:rsidRPr="00F3241D">
        <w:rPr>
          <w:noProof/>
        </w:rPr>
        <w:t>“(f)</w:t>
      </w:r>
      <w:r>
        <w:rPr>
          <w:b/>
          <w:noProof/>
        </w:rPr>
        <w:t xml:space="preserve"> </w:t>
      </w:r>
      <w:r>
        <w:rPr>
          <w:noProof/>
        </w:rPr>
        <w:t>the visa number, long-stay visa or residence permit</w:t>
      </w:r>
      <w:r w:rsidR="001559FF">
        <w:rPr>
          <w:noProof/>
        </w:rPr>
        <w:t xml:space="preserve"> number</w:t>
      </w:r>
      <w:r>
        <w:rPr>
          <w:noProof/>
        </w:rPr>
        <w:t xml:space="preserve"> and the date of issue of any previous visa, long-stay visa or residence permit;”</w:t>
      </w:r>
    </w:p>
    <w:p w14:paraId="33B30107" w14:textId="535F7493" w:rsidR="003A21FC" w:rsidRDefault="00EF15A7" w:rsidP="00EF15A7">
      <w:pPr>
        <w:pStyle w:val="Point0"/>
        <w:rPr>
          <w:noProof/>
        </w:rPr>
      </w:pPr>
      <w:r w:rsidRPr="00EF15A7">
        <w:t>(10)</w:t>
      </w:r>
      <w:r w:rsidRPr="00EF15A7">
        <w:tab/>
      </w:r>
      <w:r w:rsidR="003A21FC" w:rsidRPr="002E5202">
        <w:rPr>
          <w:noProof/>
        </w:rPr>
        <w:t>Article 18</w:t>
      </w:r>
      <w:r w:rsidR="003A21FC">
        <w:rPr>
          <w:noProof/>
        </w:rPr>
        <w:t xml:space="preserve"> is amended as follows:</w:t>
      </w:r>
    </w:p>
    <w:p w14:paraId="753B4793" w14:textId="29DE61EC" w:rsidR="00515F7F" w:rsidRDefault="00EF15A7" w:rsidP="00EF15A7">
      <w:pPr>
        <w:pStyle w:val="Point1"/>
        <w:rPr>
          <w:noProof/>
        </w:rPr>
      </w:pPr>
      <w:r w:rsidRPr="00EF15A7">
        <w:t>(a)</w:t>
      </w:r>
      <w:r w:rsidRPr="00EF15A7">
        <w:tab/>
      </w:r>
      <w:r w:rsidR="00515F7F">
        <w:rPr>
          <w:noProof/>
        </w:rPr>
        <w:t>in paragraph 1</w:t>
      </w:r>
      <w:r w:rsidR="00B36546">
        <w:rPr>
          <w:noProof/>
        </w:rPr>
        <w:t>,</w:t>
      </w:r>
      <w:r w:rsidR="00515F7F">
        <w:rPr>
          <w:noProof/>
        </w:rPr>
        <w:t xml:space="preserve"> point (b) is deleted;</w:t>
      </w:r>
    </w:p>
    <w:p w14:paraId="7E35D107" w14:textId="7351F2D9" w:rsidR="00515F7F" w:rsidRDefault="00EF15A7" w:rsidP="00EF15A7">
      <w:pPr>
        <w:pStyle w:val="Point1"/>
        <w:rPr>
          <w:noProof/>
        </w:rPr>
      </w:pPr>
      <w:r w:rsidRPr="00EF15A7">
        <w:t>(b)</w:t>
      </w:r>
      <w:r w:rsidRPr="00EF15A7">
        <w:tab/>
      </w:r>
      <w:r w:rsidR="00B36953">
        <w:rPr>
          <w:noProof/>
        </w:rPr>
        <w:t>p</w:t>
      </w:r>
      <w:r w:rsidR="00515F7F">
        <w:rPr>
          <w:noProof/>
        </w:rPr>
        <w:t>aragraph 3 is replaced by the following:</w:t>
      </w:r>
    </w:p>
    <w:p w14:paraId="71A0F8D8" w14:textId="77777777" w:rsidR="00515F7F" w:rsidRDefault="00515F7F" w:rsidP="00065B46">
      <w:pPr>
        <w:pStyle w:val="Text1"/>
        <w:rPr>
          <w:noProof/>
        </w:rPr>
      </w:pPr>
      <w:r w:rsidRPr="00515F7F">
        <w:rPr>
          <w:noProof/>
        </w:rPr>
        <w:t>“</w:t>
      </w:r>
      <w:r>
        <w:rPr>
          <w:noProof/>
        </w:rPr>
        <w:t xml:space="preserve">3. </w:t>
      </w:r>
      <w:r w:rsidRPr="00515F7F">
        <w:rPr>
          <w:noProof/>
        </w:rPr>
        <w:t>By way of derogation from paragraph 2 of this Article, where a search is launched in the EES pursuant to Article 23(2) or (4) of Regulation (EU) 2017/2226, the competent border authority may search the VIS without making use of the interoperability with the EES, where specific circumstances so require, in particular, where it is technically impossible, on a temporary basis, to consult the EES data or in the event of a failure of the EES.</w:t>
      </w:r>
      <w:r w:rsidR="00545E0F" w:rsidRPr="00513CAD">
        <w:rPr>
          <w:noProof/>
        </w:rPr>
        <w:t>”</w:t>
      </w:r>
      <w:r w:rsidR="00545E0F">
        <w:rPr>
          <w:noProof/>
        </w:rPr>
        <w:t>;</w:t>
      </w:r>
    </w:p>
    <w:p w14:paraId="477767AF" w14:textId="048B6943" w:rsidR="005123AF" w:rsidRDefault="00EF15A7" w:rsidP="00EF15A7">
      <w:pPr>
        <w:pStyle w:val="Point0"/>
        <w:rPr>
          <w:noProof/>
        </w:rPr>
      </w:pPr>
      <w:r w:rsidRPr="00EF15A7">
        <w:t>(11)</w:t>
      </w:r>
      <w:r w:rsidRPr="00EF15A7">
        <w:tab/>
      </w:r>
      <w:r w:rsidR="005123AF">
        <w:rPr>
          <w:noProof/>
        </w:rPr>
        <w:t xml:space="preserve">the following </w:t>
      </w:r>
      <w:r w:rsidR="00A317E1">
        <w:rPr>
          <w:noProof/>
        </w:rPr>
        <w:t>A</w:t>
      </w:r>
      <w:r w:rsidR="005123AF">
        <w:rPr>
          <w:noProof/>
        </w:rPr>
        <w:t>rticle</w:t>
      </w:r>
      <w:r w:rsidR="00A317E1">
        <w:rPr>
          <w:noProof/>
        </w:rPr>
        <w:t xml:space="preserve"> 18e</w:t>
      </w:r>
      <w:r w:rsidR="005123AF">
        <w:rPr>
          <w:noProof/>
        </w:rPr>
        <w:t xml:space="preserve"> is inserted:</w:t>
      </w:r>
    </w:p>
    <w:p w14:paraId="4AD19019" w14:textId="77777777" w:rsidR="00EF3370" w:rsidRDefault="00EF3370" w:rsidP="00EF3370">
      <w:pPr>
        <w:pStyle w:val="Titrearticle"/>
        <w:rPr>
          <w:noProof/>
        </w:rPr>
      </w:pPr>
      <w:r w:rsidRPr="00515F7F">
        <w:rPr>
          <w:noProof/>
        </w:rPr>
        <w:t>“</w:t>
      </w:r>
      <w:r>
        <w:rPr>
          <w:noProof/>
        </w:rPr>
        <w:t>Article 18e</w:t>
      </w:r>
      <w:r>
        <w:rPr>
          <w:noProof/>
        </w:rPr>
        <w:br/>
      </w:r>
      <w:r w:rsidRPr="00EF3370">
        <w:rPr>
          <w:noProof/>
        </w:rPr>
        <w:t>Fall-back procedures in the case of a technical impossibility to access data at the external borders</w:t>
      </w:r>
    </w:p>
    <w:p w14:paraId="6491DBA8" w14:textId="53E49DED" w:rsidR="00EF3370" w:rsidRPr="00EF3370" w:rsidRDefault="00EF15A7" w:rsidP="00EF15A7">
      <w:pPr>
        <w:pStyle w:val="ManualNumPar1"/>
        <w:rPr>
          <w:noProof/>
          <w:lang w:eastAsia="en-GB"/>
        </w:rPr>
      </w:pPr>
      <w:r w:rsidRPr="00EF15A7">
        <w:t>1.</w:t>
      </w:r>
      <w:r w:rsidRPr="00EF15A7">
        <w:tab/>
      </w:r>
      <w:r w:rsidR="00EF3370" w:rsidRPr="00EF3370">
        <w:rPr>
          <w:noProof/>
          <w:lang w:eastAsia="en-GB"/>
        </w:rPr>
        <w:t xml:space="preserve">Where it is technically impossible to proceed with the consultation referred to in Article </w:t>
      </w:r>
      <w:r w:rsidR="00EF3370">
        <w:rPr>
          <w:noProof/>
          <w:lang w:eastAsia="en-GB"/>
        </w:rPr>
        <w:t>18</w:t>
      </w:r>
      <w:r w:rsidR="00EF3370" w:rsidRPr="00EF3370">
        <w:rPr>
          <w:noProof/>
          <w:lang w:eastAsia="en-GB"/>
        </w:rPr>
        <w:t xml:space="preserve"> because of a failure of any part of </w:t>
      </w:r>
      <w:r w:rsidR="00EF3370">
        <w:rPr>
          <w:noProof/>
          <w:lang w:eastAsia="en-GB"/>
        </w:rPr>
        <w:t>VIS</w:t>
      </w:r>
      <w:r w:rsidR="00EF3370" w:rsidRPr="00EF3370">
        <w:rPr>
          <w:noProof/>
          <w:lang w:eastAsia="en-GB"/>
        </w:rPr>
        <w:t xml:space="preserve">, </w:t>
      </w:r>
      <w:r w:rsidR="00EF3370">
        <w:rPr>
          <w:noProof/>
          <w:lang w:eastAsia="en-GB"/>
        </w:rPr>
        <w:t>eu-LISA</w:t>
      </w:r>
      <w:r w:rsidR="00EF3370" w:rsidRPr="00EF3370">
        <w:rPr>
          <w:noProof/>
          <w:lang w:eastAsia="en-GB"/>
        </w:rPr>
        <w:t xml:space="preserve"> shall notify the border authorities </w:t>
      </w:r>
      <w:r w:rsidR="000F38FF">
        <w:rPr>
          <w:noProof/>
          <w:lang w:eastAsia="en-GB"/>
        </w:rPr>
        <w:t xml:space="preserve">of </w:t>
      </w:r>
      <w:r w:rsidR="00EF3370" w:rsidRPr="00EF3370">
        <w:rPr>
          <w:noProof/>
          <w:lang w:eastAsia="en-GB"/>
        </w:rPr>
        <w:t>the Member States.</w:t>
      </w:r>
    </w:p>
    <w:p w14:paraId="4AA4AE4C" w14:textId="5F0B69BF" w:rsidR="00EF3370" w:rsidRPr="00EF3370" w:rsidRDefault="00EF15A7" w:rsidP="00EF15A7">
      <w:pPr>
        <w:pStyle w:val="ManualNumPar1"/>
        <w:rPr>
          <w:noProof/>
          <w:lang w:eastAsia="en-GB"/>
        </w:rPr>
      </w:pPr>
      <w:r w:rsidRPr="00EF15A7">
        <w:t>2.</w:t>
      </w:r>
      <w:r w:rsidRPr="00EF15A7">
        <w:tab/>
      </w:r>
      <w:r w:rsidR="00EF3370">
        <w:rPr>
          <w:noProof/>
          <w:lang w:eastAsia="en-GB"/>
        </w:rPr>
        <w:t>Wh</w:t>
      </w:r>
      <w:r w:rsidR="00EF3370" w:rsidRPr="00EF3370">
        <w:rPr>
          <w:noProof/>
          <w:lang w:eastAsia="en-GB"/>
        </w:rPr>
        <w:t xml:space="preserve">ere it is technically impossible to perform the search referred to in Article </w:t>
      </w:r>
      <w:r w:rsidR="00EF3370">
        <w:rPr>
          <w:noProof/>
          <w:lang w:eastAsia="en-GB"/>
        </w:rPr>
        <w:t>18</w:t>
      </w:r>
      <w:r w:rsidR="00EF3370" w:rsidRPr="00EF3370">
        <w:rPr>
          <w:noProof/>
          <w:lang w:eastAsia="en-GB"/>
        </w:rPr>
        <w:t xml:space="preserve"> because of a failure of the national border infrastructure in a Member State, the border authorities shall notify the </w:t>
      </w:r>
      <w:r w:rsidR="00EF3370">
        <w:rPr>
          <w:noProof/>
          <w:lang w:eastAsia="en-GB"/>
        </w:rPr>
        <w:t>eu-LISA</w:t>
      </w:r>
      <w:r w:rsidR="00EF3370" w:rsidRPr="00EF3370">
        <w:rPr>
          <w:noProof/>
          <w:lang w:eastAsia="en-GB"/>
        </w:rPr>
        <w:t xml:space="preserve">. eu-LISA </w:t>
      </w:r>
      <w:r w:rsidR="00EF3370">
        <w:rPr>
          <w:noProof/>
          <w:lang w:eastAsia="en-GB"/>
        </w:rPr>
        <w:t>shall then inform the</w:t>
      </w:r>
      <w:r w:rsidR="00EF3370" w:rsidRPr="00EF3370">
        <w:rPr>
          <w:noProof/>
          <w:lang w:eastAsia="en-GB"/>
        </w:rPr>
        <w:t xml:space="preserve"> Commission.</w:t>
      </w:r>
    </w:p>
    <w:p w14:paraId="2ABF7386" w14:textId="73F6D30C" w:rsidR="00EF3370" w:rsidRPr="00EF3370" w:rsidRDefault="00EF15A7" w:rsidP="00EF15A7">
      <w:pPr>
        <w:pStyle w:val="ManualNumPar1"/>
        <w:rPr>
          <w:noProof/>
          <w:lang w:eastAsia="en-GB"/>
        </w:rPr>
      </w:pPr>
      <w:r w:rsidRPr="00EF15A7">
        <w:t>3.</w:t>
      </w:r>
      <w:r w:rsidRPr="00EF15A7">
        <w:tab/>
      </w:r>
      <w:r w:rsidR="00EF3370" w:rsidRPr="00EF3370">
        <w:rPr>
          <w:noProof/>
          <w:lang w:eastAsia="en-GB"/>
        </w:rPr>
        <w:t xml:space="preserve">In cases referred to in paragraphs 1 and 2 of this Article, the border authorities shall follow their national contingency plans. </w:t>
      </w:r>
      <w:r w:rsidR="005F71C7">
        <w:rPr>
          <w:noProof/>
          <w:lang w:eastAsia="en-GB"/>
        </w:rPr>
        <w:t>T</w:t>
      </w:r>
      <w:r w:rsidR="00EF3370" w:rsidRPr="00EF3370">
        <w:rPr>
          <w:noProof/>
          <w:lang w:eastAsia="en-GB"/>
        </w:rPr>
        <w:t xml:space="preserve">he national contingency plan may authorise the border authorities to derogate temporarily from the obligation to consult </w:t>
      </w:r>
      <w:r w:rsidR="00EF3370">
        <w:rPr>
          <w:noProof/>
          <w:lang w:eastAsia="en-GB"/>
        </w:rPr>
        <w:t>VIS</w:t>
      </w:r>
      <w:r w:rsidR="00EF3370" w:rsidRPr="00EF3370">
        <w:rPr>
          <w:noProof/>
          <w:lang w:eastAsia="en-GB"/>
        </w:rPr>
        <w:t xml:space="preserve"> referred to in Article </w:t>
      </w:r>
      <w:r w:rsidR="00EF3370">
        <w:rPr>
          <w:noProof/>
          <w:lang w:eastAsia="en-GB"/>
        </w:rPr>
        <w:t>8</w:t>
      </w:r>
      <w:r w:rsidR="00EF3370" w:rsidRPr="00EF3370">
        <w:rPr>
          <w:noProof/>
          <w:lang w:eastAsia="en-GB"/>
        </w:rPr>
        <w:t xml:space="preserve"> of </w:t>
      </w:r>
      <w:r w:rsidR="005F71C7" w:rsidRPr="005F71C7">
        <w:rPr>
          <w:noProof/>
          <w:lang w:eastAsia="en-GB"/>
        </w:rPr>
        <w:t>Regulation (EU) 2016/399</w:t>
      </w:r>
      <w:r w:rsidR="00EF3370" w:rsidRPr="00EF3370">
        <w:rPr>
          <w:noProof/>
          <w:lang w:eastAsia="en-GB"/>
        </w:rPr>
        <w:t>.</w:t>
      </w:r>
      <w:r w:rsidR="006533CB">
        <w:rPr>
          <w:noProof/>
          <w:lang w:eastAsia="en-GB"/>
        </w:rPr>
        <w:t xml:space="preserve"> </w:t>
      </w:r>
    </w:p>
    <w:p w14:paraId="0DBFB453" w14:textId="18EA6A25" w:rsidR="00EE125B" w:rsidRDefault="00EF15A7" w:rsidP="00EF15A7">
      <w:pPr>
        <w:pStyle w:val="ManualNumPar1"/>
        <w:rPr>
          <w:noProof/>
        </w:rPr>
      </w:pPr>
      <w:r w:rsidRPr="00EF15A7">
        <w:t>4.</w:t>
      </w:r>
      <w:r w:rsidRPr="00EF15A7">
        <w:tab/>
      </w:r>
      <w:r w:rsidR="00EF3370">
        <w:rPr>
          <w:noProof/>
          <w:lang w:eastAsia="en-GB"/>
        </w:rPr>
        <w:t>T</w:t>
      </w:r>
      <w:r w:rsidR="00EF3370" w:rsidRPr="00EF3370">
        <w:rPr>
          <w:noProof/>
          <w:lang w:eastAsia="en-GB"/>
        </w:rPr>
        <w:t xml:space="preserve">he Commission shall, by means of implementing acts, adopt model contingency plans for the cases referred to in paragraphs 1 and 2 of this Article, including the procedures to be followed by border authorities. Those implementing acts shall be adopted in accordance with the examination procedure referred to in Article </w:t>
      </w:r>
      <w:r w:rsidR="00DA13C6">
        <w:rPr>
          <w:noProof/>
          <w:lang w:eastAsia="en-GB"/>
        </w:rPr>
        <w:t>49</w:t>
      </w:r>
      <w:r w:rsidR="00EF3370" w:rsidRPr="00EF3370">
        <w:rPr>
          <w:noProof/>
          <w:lang w:eastAsia="en-GB"/>
        </w:rPr>
        <w:t xml:space="preserve">(2). Member States shall adopt their </w:t>
      </w:r>
      <w:r w:rsidR="00EF3370" w:rsidRPr="00EE125B">
        <w:rPr>
          <w:noProof/>
        </w:rPr>
        <w:t>national contingency plans</w:t>
      </w:r>
      <w:r w:rsidR="00EF3370" w:rsidRPr="00EF3370">
        <w:rPr>
          <w:noProof/>
          <w:lang w:eastAsia="en-GB"/>
        </w:rPr>
        <w:t xml:space="preserve"> using the model contingency plans as a basis, to be adapted as necessary at the national level.</w:t>
      </w:r>
      <w:r w:rsidR="00015EEC">
        <w:rPr>
          <w:noProof/>
        </w:rPr>
        <w:t>”;</w:t>
      </w:r>
    </w:p>
    <w:p w14:paraId="0E758310" w14:textId="3BCBEA5B" w:rsidR="00545E0F" w:rsidRDefault="00EF15A7" w:rsidP="00EF15A7">
      <w:pPr>
        <w:pStyle w:val="Point0"/>
        <w:rPr>
          <w:noProof/>
        </w:rPr>
      </w:pPr>
      <w:r w:rsidRPr="00EF15A7">
        <w:t>(12)</w:t>
      </w:r>
      <w:r w:rsidRPr="00EF15A7">
        <w:tab/>
      </w:r>
      <w:r w:rsidR="00B36546">
        <w:rPr>
          <w:noProof/>
        </w:rPr>
        <w:t xml:space="preserve">in </w:t>
      </w:r>
      <w:r w:rsidR="00545E0F">
        <w:rPr>
          <w:noProof/>
        </w:rPr>
        <w:t>Article 19</w:t>
      </w:r>
      <w:r w:rsidR="00B36546">
        <w:rPr>
          <w:noProof/>
        </w:rPr>
        <w:t>,</w:t>
      </w:r>
      <w:r w:rsidR="00545E0F">
        <w:rPr>
          <w:noProof/>
        </w:rPr>
        <w:t xml:space="preserve"> </w:t>
      </w:r>
      <w:r w:rsidR="00DF490F">
        <w:rPr>
          <w:noProof/>
        </w:rPr>
        <w:t xml:space="preserve">paragraph 1 is </w:t>
      </w:r>
      <w:r w:rsidR="00B36546">
        <w:rPr>
          <w:noProof/>
        </w:rPr>
        <w:t>replaced by the following</w:t>
      </w:r>
      <w:r w:rsidR="00DF490F">
        <w:rPr>
          <w:noProof/>
        </w:rPr>
        <w:t>:</w:t>
      </w:r>
    </w:p>
    <w:p w14:paraId="4D31A50C" w14:textId="77777777" w:rsidR="00DF490F" w:rsidRDefault="00DF490F" w:rsidP="00A4467F">
      <w:pPr>
        <w:pStyle w:val="Text1"/>
        <w:rPr>
          <w:noProof/>
        </w:rPr>
      </w:pPr>
      <w:r w:rsidRPr="00515F7F">
        <w:rPr>
          <w:noProof/>
        </w:rPr>
        <w:t>“</w:t>
      </w:r>
      <w:r>
        <w:rPr>
          <w:noProof/>
        </w:rPr>
        <w:t xml:space="preserve">1. For the sole purpose of verifying the identity of the visa holder and/or the authenticity of the visa and/or whether the conditions for entry to, stay or residence on the territory of the Member States are fulfilled, the authorities competent for carrying out checks within the territory of the Member States as to whether the conditions for entry to, stay or residence on the territory of the Member States are fulfilled, shall have access to search </w:t>
      </w:r>
      <w:r w:rsidRPr="00B55FEF">
        <w:rPr>
          <w:noProof/>
        </w:rPr>
        <w:t xml:space="preserve">with the number of the </w:t>
      </w:r>
      <w:r w:rsidRPr="00414440">
        <w:rPr>
          <w:noProof/>
        </w:rPr>
        <w:t>visa</w:t>
      </w:r>
      <w:r w:rsidRPr="00EC0933">
        <w:rPr>
          <w:noProof/>
        </w:rPr>
        <w:t xml:space="preserve"> </w:t>
      </w:r>
      <w:r w:rsidRPr="00DF490F">
        <w:rPr>
          <w:noProof/>
        </w:rPr>
        <w:t>in combination with verification of fingerprints of the visa holder</w:t>
      </w:r>
      <w:r>
        <w:rPr>
          <w:noProof/>
        </w:rPr>
        <w:t xml:space="preserve">. </w:t>
      </w:r>
    </w:p>
    <w:p w14:paraId="0495ABF5" w14:textId="77777777" w:rsidR="00DF490F" w:rsidRDefault="00DF490F" w:rsidP="00065B46">
      <w:pPr>
        <w:pStyle w:val="Text1"/>
        <w:rPr>
          <w:noProof/>
        </w:rPr>
      </w:pPr>
      <w:r w:rsidRPr="00EE125B">
        <w:rPr>
          <w:noProof/>
        </w:rPr>
        <w:t>Where the identity of the visa holder cannot be verified with fingerprints</w:t>
      </w:r>
      <w:r w:rsidR="00EE125B" w:rsidRPr="00EE125B">
        <w:rPr>
          <w:noProof/>
        </w:rPr>
        <w:t xml:space="preserve"> </w:t>
      </w:r>
      <w:r w:rsidR="001C65AC" w:rsidRPr="00EE125B">
        <w:rPr>
          <w:noProof/>
        </w:rPr>
        <w:t>t</w:t>
      </w:r>
      <w:r w:rsidRPr="00EE125B">
        <w:rPr>
          <w:noProof/>
        </w:rPr>
        <w:t>he competent authorities may also carry out the verification with the</w:t>
      </w:r>
      <w:r w:rsidR="001C65AC" w:rsidRPr="00EE125B">
        <w:rPr>
          <w:noProof/>
        </w:rPr>
        <w:t xml:space="preserve"> </w:t>
      </w:r>
      <w:r w:rsidRPr="00EE125B">
        <w:rPr>
          <w:noProof/>
        </w:rPr>
        <w:t>facial image</w:t>
      </w:r>
      <w:r w:rsidR="00EE125B">
        <w:rPr>
          <w:noProof/>
        </w:rPr>
        <w:t>.”;</w:t>
      </w:r>
    </w:p>
    <w:p w14:paraId="7CF28D5F" w14:textId="049AA581" w:rsidR="003A21FC" w:rsidRDefault="00EF15A7" w:rsidP="00EF15A7">
      <w:pPr>
        <w:pStyle w:val="Point0"/>
        <w:rPr>
          <w:noProof/>
        </w:rPr>
      </w:pPr>
      <w:r w:rsidRPr="00EF15A7">
        <w:t>(13)</w:t>
      </w:r>
      <w:r w:rsidRPr="00EF15A7">
        <w:tab/>
      </w:r>
      <w:r w:rsidR="00A4467F">
        <w:rPr>
          <w:noProof/>
        </w:rPr>
        <w:t>i</w:t>
      </w:r>
      <w:r w:rsidR="00DF490F">
        <w:rPr>
          <w:noProof/>
        </w:rPr>
        <w:t>n Article 20</w:t>
      </w:r>
      <w:r w:rsidR="00414440">
        <w:rPr>
          <w:noProof/>
        </w:rPr>
        <w:t>(2)</w:t>
      </w:r>
      <w:r w:rsidR="001D3927">
        <w:rPr>
          <w:noProof/>
        </w:rPr>
        <w:t>,</w:t>
      </w:r>
      <w:r w:rsidR="00A4467F">
        <w:rPr>
          <w:noProof/>
        </w:rPr>
        <w:t xml:space="preserve"> point (d) is replaced by the following:</w:t>
      </w:r>
    </w:p>
    <w:p w14:paraId="00267EA2" w14:textId="77777777" w:rsidR="00A4467F" w:rsidRDefault="00A4467F" w:rsidP="00A4467F">
      <w:pPr>
        <w:pStyle w:val="Text1"/>
        <w:rPr>
          <w:noProof/>
        </w:rPr>
      </w:pPr>
      <w:r w:rsidRPr="00515F7F">
        <w:rPr>
          <w:noProof/>
        </w:rPr>
        <w:t>“</w:t>
      </w:r>
      <w:r>
        <w:rPr>
          <w:noProof/>
        </w:rPr>
        <w:t>(d)</w:t>
      </w:r>
      <w:r>
        <w:rPr>
          <w:noProof/>
        </w:rPr>
        <w:tab/>
        <w:t>the data entered in respect of any visa issued, refused, confirmed, annulled, revoked or extended referred to in Articles 10 to 14.”</w:t>
      </w:r>
      <w:r w:rsidR="00373300">
        <w:rPr>
          <w:noProof/>
        </w:rPr>
        <w:t>;</w:t>
      </w:r>
    </w:p>
    <w:p w14:paraId="5FD4CFE9" w14:textId="382528CA" w:rsidR="00A4467F" w:rsidRDefault="00EF15A7" w:rsidP="00EF15A7">
      <w:pPr>
        <w:pStyle w:val="Point0"/>
        <w:rPr>
          <w:noProof/>
        </w:rPr>
      </w:pPr>
      <w:r w:rsidRPr="00EF15A7">
        <w:t>(14)</w:t>
      </w:r>
      <w:r w:rsidRPr="00EF15A7">
        <w:tab/>
      </w:r>
      <w:r w:rsidR="001D3927">
        <w:rPr>
          <w:noProof/>
        </w:rPr>
        <w:t>in Article 21</w:t>
      </w:r>
      <w:r w:rsidR="00414440">
        <w:rPr>
          <w:noProof/>
        </w:rPr>
        <w:t>(2)</w:t>
      </w:r>
      <w:r w:rsidR="001D3927">
        <w:rPr>
          <w:noProof/>
        </w:rPr>
        <w:t>,</w:t>
      </w:r>
      <w:r w:rsidR="00A4467F">
        <w:rPr>
          <w:noProof/>
        </w:rPr>
        <w:t xml:space="preserve"> point (d) is replaced by the following:</w:t>
      </w:r>
    </w:p>
    <w:p w14:paraId="02390D4B" w14:textId="77777777" w:rsidR="00A4467F" w:rsidRDefault="00373300" w:rsidP="00A4467F">
      <w:pPr>
        <w:pStyle w:val="Text1"/>
        <w:rPr>
          <w:noProof/>
        </w:rPr>
      </w:pPr>
      <w:r w:rsidRPr="00515F7F">
        <w:rPr>
          <w:noProof/>
        </w:rPr>
        <w:t>“</w:t>
      </w:r>
      <w:r w:rsidR="00A4467F">
        <w:rPr>
          <w:noProof/>
        </w:rPr>
        <w:t>(d)</w:t>
      </w:r>
      <w:r w:rsidR="00A4467F">
        <w:rPr>
          <w:noProof/>
        </w:rPr>
        <w:tab/>
        <w:t>the data entered in respect of any visa issued,</w:t>
      </w:r>
      <w:r>
        <w:rPr>
          <w:noProof/>
        </w:rPr>
        <w:t xml:space="preserve"> confirmed,</w:t>
      </w:r>
      <w:r w:rsidR="00A4467F">
        <w:rPr>
          <w:noProof/>
        </w:rPr>
        <w:t xml:space="preserve"> annulled, revoked or extended referred to in Articles 10, 12a, 13 and 14;</w:t>
      </w:r>
      <w:r>
        <w:rPr>
          <w:noProof/>
        </w:rPr>
        <w:t>”;</w:t>
      </w:r>
    </w:p>
    <w:p w14:paraId="61BFAA78" w14:textId="511545D7" w:rsidR="00A4467F" w:rsidRDefault="00EF15A7" w:rsidP="00EF15A7">
      <w:pPr>
        <w:pStyle w:val="Point0"/>
        <w:rPr>
          <w:noProof/>
        </w:rPr>
      </w:pPr>
      <w:r w:rsidRPr="00EF15A7">
        <w:t>(15)</w:t>
      </w:r>
      <w:r w:rsidRPr="00EF15A7">
        <w:tab/>
      </w:r>
      <w:r w:rsidR="001D3927">
        <w:rPr>
          <w:noProof/>
        </w:rPr>
        <w:t>in Article 22</w:t>
      </w:r>
      <w:r w:rsidR="00414440">
        <w:rPr>
          <w:noProof/>
        </w:rPr>
        <w:t>(2)</w:t>
      </w:r>
      <w:r w:rsidR="001D3927">
        <w:rPr>
          <w:noProof/>
        </w:rPr>
        <w:t>,</w:t>
      </w:r>
      <w:r w:rsidR="00373300">
        <w:rPr>
          <w:noProof/>
        </w:rPr>
        <w:t xml:space="preserve"> point (e</w:t>
      </w:r>
      <w:r w:rsidR="00A4467F">
        <w:rPr>
          <w:noProof/>
        </w:rPr>
        <w:t>) is replaced by the following:</w:t>
      </w:r>
    </w:p>
    <w:p w14:paraId="10FBAE97" w14:textId="77777777" w:rsidR="00A4467F" w:rsidRDefault="00373300" w:rsidP="00065B46">
      <w:pPr>
        <w:pStyle w:val="Text1"/>
        <w:rPr>
          <w:noProof/>
        </w:rPr>
      </w:pPr>
      <w:r w:rsidRPr="00515F7F">
        <w:rPr>
          <w:noProof/>
        </w:rPr>
        <w:t>“</w:t>
      </w:r>
      <w:r>
        <w:rPr>
          <w:noProof/>
        </w:rPr>
        <w:t>(e)</w:t>
      </w:r>
      <w:r>
        <w:rPr>
          <w:noProof/>
        </w:rPr>
        <w:tab/>
        <w:t>the data entered in respect of any visa issued, confirmed, annulled, revoked or extended referred to in Articles 10, 12a, 13 and 14;”;</w:t>
      </w:r>
    </w:p>
    <w:p w14:paraId="22659E0A" w14:textId="16EE5A92" w:rsidR="00307891" w:rsidRDefault="00EF15A7" w:rsidP="00EF15A7">
      <w:pPr>
        <w:pStyle w:val="Point0"/>
        <w:rPr>
          <w:noProof/>
        </w:rPr>
      </w:pPr>
      <w:r w:rsidRPr="00EF15A7">
        <w:t>(16)</w:t>
      </w:r>
      <w:r w:rsidRPr="00EF15A7">
        <w:tab/>
      </w:r>
      <w:r w:rsidR="00254EAC">
        <w:rPr>
          <w:noProof/>
        </w:rPr>
        <w:t>in Article 22f</w:t>
      </w:r>
      <w:r w:rsidR="00414440">
        <w:rPr>
          <w:noProof/>
        </w:rPr>
        <w:t>(1)</w:t>
      </w:r>
      <w:r w:rsidR="00254EAC">
        <w:rPr>
          <w:noProof/>
        </w:rPr>
        <w:t>, point (d) is replaced by the following:</w:t>
      </w:r>
    </w:p>
    <w:p w14:paraId="2F6CAE8A" w14:textId="77777777" w:rsidR="00254EAC" w:rsidRDefault="00254EAC" w:rsidP="00065B46">
      <w:pPr>
        <w:pStyle w:val="Text1"/>
        <w:rPr>
          <w:noProof/>
        </w:rPr>
      </w:pPr>
      <w:r>
        <w:rPr>
          <w:noProof/>
        </w:rPr>
        <w:t>“(d) the visa number</w:t>
      </w:r>
      <w:r w:rsidR="00954F9B">
        <w:rPr>
          <w:noProof/>
        </w:rPr>
        <w:t>;</w:t>
      </w:r>
      <w:r>
        <w:rPr>
          <w:noProof/>
        </w:rPr>
        <w:t>”</w:t>
      </w:r>
      <w:r w:rsidR="00463A39">
        <w:rPr>
          <w:noProof/>
        </w:rPr>
        <w:t>;</w:t>
      </w:r>
    </w:p>
    <w:p w14:paraId="7770B3DA" w14:textId="68CCE15B" w:rsidR="00C970FF" w:rsidRDefault="00EF15A7" w:rsidP="00EF15A7">
      <w:pPr>
        <w:pStyle w:val="Point0"/>
        <w:rPr>
          <w:noProof/>
        </w:rPr>
      </w:pPr>
      <w:r w:rsidRPr="00EF15A7">
        <w:t>(17)</w:t>
      </w:r>
      <w:r w:rsidRPr="00EF15A7">
        <w:tab/>
      </w:r>
      <w:r w:rsidR="00014F58">
        <w:rPr>
          <w:noProof/>
        </w:rPr>
        <w:t xml:space="preserve">in </w:t>
      </w:r>
      <w:r w:rsidR="00254EAC" w:rsidRPr="005B2725">
        <w:rPr>
          <w:noProof/>
        </w:rPr>
        <w:t xml:space="preserve">Article 22o, paragraph </w:t>
      </w:r>
      <w:r w:rsidR="00463A39">
        <w:rPr>
          <w:noProof/>
        </w:rPr>
        <w:t>3</w:t>
      </w:r>
      <w:r w:rsidR="00255013" w:rsidRPr="005B2725">
        <w:rPr>
          <w:noProof/>
        </w:rPr>
        <w:t xml:space="preserve"> </w:t>
      </w:r>
      <w:r w:rsidR="00C970FF">
        <w:rPr>
          <w:noProof/>
        </w:rPr>
        <w:t>is amended as follows:</w:t>
      </w:r>
    </w:p>
    <w:p w14:paraId="39B0BC97" w14:textId="72921217" w:rsidR="0068480E" w:rsidRDefault="00EF15A7" w:rsidP="00EF15A7">
      <w:pPr>
        <w:pStyle w:val="Point1"/>
        <w:rPr>
          <w:noProof/>
        </w:rPr>
      </w:pPr>
      <w:r w:rsidRPr="00EF15A7">
        <w:t>(a)</w:t>
      </w:r>
      <w:r w:rsidRPr="00EF15A7">
        <w:tab/>
      </w:r>
      <w:r w:rsidR="00255013" w:rsidRPr="00851BA0">
        <w:rPr>
          <w:noProof/>
        </w:rPr>
        <w:t>point (c)</w:t>
      </w:r>
      <w:r w:rsidR="005B2725" w:rsidRPr="00851BA0">
        <w:rPr>
          <w:noProof/>
        </w:rPr>
        <w:t xml:space="preserve"> </w:t>
      </w:r>
      <w:r w:rsidR="0068480E">
        <w:rPr>
          <w:noProof/>
        </w:rPr>
        <w:t>is replaced by the following:</w:t>
      </w:r>
    </w:p>
    <w:p w14:paraId="4C3FB336" w14:textId="77777777" w:rsidR="0068480E" w:rsidRPr="00EC0933" w:rsidRDefault="0068480E" w:rsidP="00EE125B">
      <w:pPr>
        <w:pStyle w:val="Text2"/>
        <w:rPr>
          <w:noProof/>
          <w:lang w:val="en-IE"/>
        </w:rPr>
      </w:pPr>
      <w:r>
        <w:rPr>
          <w:noProof/>
        </w:rPr>
        <w:t>“</w:t>
      </w:r>
      <w:r>
        <w:rPr>
          <w:noProof/>
          <w:lang w:val="en-IE"/>
        </w:rPr>
        <w:t xml:space="preserve">(c) </w:t>
      </w:r>
      <w:r w:rsidRPr="0068480E">
        <w:rPr>
          <w:noProof/>
          <w:lang w:val="en-IE"/>
        </w:rPr>
        <w:t>visa number or number of the long-stay visa or residence permit and the date of expiry of the validity of the visa, long-stay visa or residence permit, as applicable;</w:t>
      </w:r>
      <w:r>
        <w:rPr>
          <w:noProof/>
          <w:lang w:val="en-IE"/>
        </w:rPr>
        <w:t>”;</w:t>
      </w:r>
    </w:p>
    <w:p w14:paraId="42CB0DF6" w14:textId="6492E618" w:rsidR="00C970FF" w:rsidRPr="00851BA0" w:rsidRDefault="00EF15A7" w:rsidP="00EF15A7">
      <w:pPr>
        <w:pStyle w:val="Point1"/>
        <w:rPr>
          <w:noProof/>
        </w:rPr>
      </w:pPr>
      <w:r w:rsidRPr="00EF15A7">
        <w:t>(b)</w:t>
      </w:r>
      <w:r w:rsidRPr="00EF15A7">
        <w:tab/>
      </w:r>
      <w:r w:rsidR="00C970FF" w:rsidRPr="00851BA0">
        <w:rPr>
          <w:noProof/>
        </w:rPr>
        <w:t>the following point</w:t>
      </w:r>
      <w:r w:rsidR="009175D1" w:rsidRPr="00851BA0">
        <w:rPr>
          <w:noProof/>
        </w:rPr>
        <w:t>s</w:t>
      </w:r>
      <w:r w:rsidR="0068480E">
        <w:rPr>
          <w:noProof/>
        </w:rPr>
        <w:t xml:space="preserve"> (f) and (g)</w:t>
      </w:r>
      <w:r w:rsidR="00C970FF" w:rsidRPr="00851BA0">
        <w:rPr>
          <w:noProof/>
        </w:rPr>
        <w:t xml:space="preserve"> </w:t>
      </w:r>
      <w:r w:rsidR="009175D1" w:rsidRPr="00851BA0">
        <w:rPr>
          <w:noProof/>
        </w:rPr>
        <w:t xml:space="preserve">are </w:t>
      </w:r>
      <w:r w:rsidR="00C970FF" w:rsidRPr="00851BA0">
        <w:rPr>
          <w:noProof/>
        </w:rPr>
        <w:t>added:</w:t>
      </w:r>
    </w:p>
    <w:p w14:paraId="02E36D10" w14:textId="77777777" w:rsidR="00EE125B" w:rsidRDefault="0056762B" w:rsidP="00EE125B">
      <w:pPr>
        <w:pStyle w:val="Text2"/>
        <w:rPr>
          <w:noProof/>
        </w:rPr>
      </w:pPr>
      <w:r w:rsidRPr="0056762B" w:rsidDel="0056762B">
        <w:rPr>
          <w:noProof/>
        </w:rPr>
        <w:t xml:space="preserve"> </w:t>
      </w:r>
      <w:r w:rsidR="00463A39" w:rsidRPr="00851BA0">
        <w:rPr>
          <w:noProof/>
        </w:rPr>
        <w:t>“(f</w:t>
      </w:r>
      <w:r w:rsidR="00C970FF" w:rsidRPr="00851BA0">
        <w:rPr>
          <w:noProof/>
        </w:rPr>
        <w:t xml:space="preserve">) </w:t>
      </w:r>
      <w:r w:rsidR="00463A39" w:rsidRPr="00851BA0">
        <w:rPr>
          <w:noProof/>
        </w:rPr>
        <w:t>IP address</w:t>
      </w:r>
      <w:r w:rsidR="00EE125B">
        <w:rPr>
          <w:noProof/>
        </w:rPr>
        <w:t>;</w:t>
      </w:r>
    </w:p>
    <w:p w14:paraId="69DBB85B" w14:textId="77777777" w:rsidR="00C970FF" w:rsidRDefault="009175D1" w:rsidP="00EE125B">
      <w:pPr>
        <w:pStyle w:val="Text2"/>
        <w:rPr>
          <w:noProof/>
        </w:rPr>
      </w:pPr>
      <w:r w:rsidRPr="00851BA0">
        <w:rPr>
          <w:noProof/>
        </w:rPr>
        <w:t>(g) email address</w:t>
      </w:r>
      <w:r w:rsidR="0068480E">
        <w:rPr>
          <w:noProof/>
        </w:rPr>
        <w:t>.</w:t>
      </w:r>
      <w:r w:rsidRPr="00851BA0">
        <w:rPr>
          <w:noProof/>
        </w:rPr>
        <w:t>”</w:t>
      </w:r>
      <w:r w:rsidR="00463A39" w:rsidRPr="00851BA0">
        <w:rPr>
          <w:noProof/>
        </w:rPr>
        <w:t>;</w:t>
      </w:r>
    </w:p>
    <w:p w14:paraId="2D3C6815" w14:textId="0B30A768" w:rsidR="00463A39" w:rsidRDefault="00EF15A7" w:rsidP="00EF15A7">
      <w:pPr>
        <w:pStyle w:val="Point0"/>
        <w:rPr>
          <w:noProof/>
        </w:rPr>
      </w:pPr>
      <w:r w:rsidRPr="00EF15A7">
        <w:t>(18)</w:t>
      </w:r>
      <w:r w:rsidRPr="00EF15A7">
        <w:tab/>
      </w:r>
      <w:r w:rsidR="00C970FF">
        <w:rPr>
          <w:noProof/>
        </w:rPr>
        <w:t xml:space="preserve">in </w:t>
      </w:r>
      <w:r w:rsidR="00254EAC" w:rsidRPr="005B2725">
        <w:rPr>
          <w:noProof/>
        </w:rPr>
        <w:t>Article 22r, paragraph 3</w:t>
      </w:r>
      <w:r w:rsidR="00463A39">
        <w:rPr>
          <w:noProof/>
        </w:rPr>
        <w:t xml:space="preserve"> is amended as follows: </w:t>
      </w:r>
    </w:p>
    <w:p w14:paraId="0171C320" w14:textId="192DC022" w:rsidR="001C30EB" w:rsidRDefault="00EF15A7" w:rsidP="00EF15A7">
      <w:pPr>
        <w:pStyle w:val="Point1"/>
        <w:rPr>
          <w:noProof/>
        </w:rPr>
      </w:pPr>
      <w:r w:rsidRPr="00EF15A7">
        <w:t>(a)</w:t>
      </w:r>
      <w:r w:rsidRPr="00EF15A7">
        <w:tab/>
      </w:r>
      <w:r w:rsidR="0023273B" w:rsidRPr="00851BA0">
        <w:rPr>
          <w:noProof/>
        </w:rPr>
        <w:t>point (c</w:t>
      </w:r>
      <w:r w:rsidR="005B2725" w:rsidRPr="00851BA0">
        <w:rPr>
          <w:noProof/>
        </w:rPr>
        <w:t xml:space="preserve">) </w:t>
      </w:r>
      <w:r w:rsidR="0068480E">
        <w:rPr>
          <w:noProof/>
        </w:rPr>
        <w:t>is replaced by the following:</w:t>
      </w:r>
    </w:p>
    <w:p w14:paraId="04575FC5" w14:textId="77777777" w:rsidR="00320DDC" w:rsidRDefault="0068480E" w:rsidP="00157400">
      <w:pPr>
        <w:pStyle w:val="Text1"/>
        <w:rPr>
          <w:noProof/>
        </w:rPr>
      </w:pPr>
      <w:r>
        <w:rPr>
          <w:noProof/>
        </w:rPr>
        <w:t>“(c) visa number or number of the long-stay visa or residence permit and the date of expiry of the validity of the visa, long-stay visa or residence permit, as applicable;”;</w:t>
      </w:r>
    </w:p>
    <w:p w14:paraId="2701C470" w14:textId="067A341C" w:rsidR="00463A39" w:rsidRPr="00851BA0" w:rsidRDefault="00EF15A7" w:rsidP="00EF15A7">
      <w:pPr>
        <w:pStyle w:val="Point1"/>
        <w:rPr>
          <w:noProof/>
        </w:rPr>
      </w:pPr>
      <w:r w:rsidRPr="00EF15A7">
        <w:t>(b)</w:t>
      </w:r>
      <w:r w:rsidRPr="00EF15A7">
        <w:tab/>
      </w:r>
      <w:r w:rsidR="00463A39" w:rsidRPr="00851BA0">
        <w:rPr>
          <w:noProof/>
        </w:rPr>
        <w:t>the following point</w:t>
      </w:r>
      <w:r w:rsidR="00A317E1">
        <w:rPr>
          <w:noProof/>
        </w:rPr>
        <w:t>s</w:t>
      </w:r>
      <w:r w:rsidR="00463A39" w:rsidRPr="00851BA0">
        <w:rPr>
          <w:noProof/>
        </w:rPr>
        <w:t xml:space="preserve"> </w:t>
      </w:r>
      <w:r w:rsidR="00A317E1">
        <w:rPr>
          <w:noProof/>
        </w:rPr>
        <w:t>(f) and (g) are</w:t>
      </w:r>
      <w:r w:rsidR="00463A39" w:rsidRPr="00851BA0">
        <w:rPr>
          <w:noProof/>
        </w:rPr>
        <w:t xml:space="preserve"> added:</w:t>
      </w:r>
    </w:p>
    <w:p w14:paraId="09D9C0AF" w14:textId="77777777" w:rsidR="00EE125B" w:rsidRDefault="0056762B" w:rsidP="00065B46">
      <w:pPr>
        <w:pStyle w:val="Text1"/>
        <w:rPr>
          <w:noProof/>
        </w:rPr>
      </w:pPr>
      <w:r w:rsidRPr="0056762B" w:rsidDel="0056762B">
        <w:rPr>
          <w:noProof/>
        </w:rPr>
        <w:t xml:space="preserve"> </w:t>
      </w:r>
      <w:r w:rsidR="00463A39" w:rsidRPr="00851BA0">
        <w:rPr>
          <w:noProof/>
        </w:rPr>
        <w:t>“(f) IP address</w:t>
      </w:r>
      <w:r w:rsidR="00EE125B">
        <w:rPr>
          <w:noProof/>
        </w:rPr>
        <w:t>;</w:t>
      </w:r>
    </w:p>
    <w:p w14:paraId="01C1B269" w14:textId="77777777" w:rsidR="00463A39" w:rsidRPr="00851BA0" w:rsidRDefault="009175D1" w:rsidP="00065B46">
      <w:pPr>
        <w:pStyle w:val="Text1"/>
        <w:rPr>
          <w:noProof/>
        </w:rPr>
      </w:pPr>
      <w:r w:rsidRPr="00851BA0">
        <w:rPr>
          <w:noProof/>
        </w:rPr>
        <w:t>(g) email address</w:t>
      </w:r>
      <w:r w:rsidR="00463A39" w:rsidRPr="00851BA0">
        <w:rPr>
          <w:noProof/>
        </w:rPr>
        <w:t>”;</w:t>
      </w:r>
    </w:p>
    <w:p w14:paraId="7EE62425" w14:textId="1F652647" w:rsidR="00211872" w:rsidRDefault="00EF15A7" w:rsidP="00EF15A7">
      <w:pPr>
        <w:pStyle w:val="Point0"/>
        <w:rPr>
          <w:noProof/>
        </w:rPr>
      </w:pPr>
      <w:r w:rsidRPr="00EF15A7">
        <w:t>(19)</w:t>
      </w:r>
      <w:r w:rsidRPr="00EF15A7">
        <w:tab/>
      </w:r>
      <w:r w:rsidR="00686A70" w:rsidRPr="00851BA0">
        <w:rPr>
          <w:noProof/>
        </w:rPr>
        <w:t xml:space="preserve">in </w:t>
      </w:r>
      <w:r w:rsidR="00211872" w:rsidRPr="00851BA0">
        <w:rPr>
          <w:noProof/>
        </w:rPr>
        <w:t>Article 45(2)</w:t>
      </w:r>
      <w:r w:rsidR="00414440">
        <w:rPr>
          <w:noProof/>
        </w:rPr>
        <w:t>,</w:t>
      </w:r>
      <w:r w:rsidR="00686A70" w:rsidRPr="00851BA0">
        <w:rPr>
          <w:noProof/>
        </w:rPr>
        <w:t xml:space="preserve"> the following points </w:t>
      </w:r>
      <w:r w:rsidR="00A317E1">
        <w:rPr>
          <w:noProof/>
        </w:rPr>
        <w:t xml:space="preserve">(g) to (o) </w:t>
      </w:r>
      <w:r w:rsidR="00686A70" w:rsidRPr="00851BA0">
        <w:rPr>
          <w:noProof/>
        </w:rPr>
        <w:t>are added:</w:t>
      </w:r>
    </w:p>
    <w:p w14:paraId="5E059844" w14:textId="77777777" w:rsidR="00CF40A6" w:rsidRPr="00320DDC" w:rsidRDefault="00CF40A6" w:rsidP="00014F58">
      <w:pPr>
        <w:pStyle w:val="Text1"/>
        <w:rPr>
          <w:noProof/>
        </w:rPr>
      </w:pPr>
      <w:r w:rsidRPr="008703D6">
        <w:rPr>
          <w:noProof/>
        </w:rPr>
        <w:t xml:space="preserve">“(g) </w:t>
      </w:r>
      <w:r w:rsidR="005726A9" w:rsidRPr="00320DDC">
        <w:rPr>
          <w:noProof/>
        </w:rPr>
        <w:t xml:space="preserve">for </w:t>
      </w:r>
      <w:r w:rsidRPr="00320DDC">
        <w:rPr>
          <w:noProof/>
        </w:rPr>
        <w:t>defin</w:t>
      </w:r>
      <w:r w:rsidR="005726A9" w:rsidRPr="00320DDC">
        <w:rPr>
          <w:noProof/>
        </w:rPr>
        <w:t>ing</w:t>
      </w:r>
      <w:r w:rsidR="00320DDC" w:rsidRPr="00320DDC">
        <w:rPr>
          <w:noProof/>
        </w:rPr>
        <w:t xml:space="preserve"> </w:t>
      </w:r>
      <w:r w:rsidRPr="00320DDC">
        <w:rPr>
          <w:noProof/>
        </w:rPr>
        <w:t>the content of a simplified application forms for confirmation of valid visas in a new travel document and for extension of visas, in accordance with Article 7b;</w:t>
      </w:r>
    </w:p>
    <w:p w14:paraId="17AF4265" w14:textId="77777777" w:rsidR="00CF40A6" w:rsidRPr="00320DDC" w:rsidRDefault="00CF40A6" w:rsidP="008703D6">
      <w:pPr>
        <w:pStyle w:val="Text1"/>
        <w:rPr>
          <w:noProof/>
        </w:rPr>
      </w:pPr>
      <w:r w:rsidRPr="00320DDC">
        <w:rPr>
          <w:noProof/>
        </w:rPr>
        <w:t xml:space="preserve">(h) </w:t>
      </w:r>
      <w:r w:rsidR="005726A9" w:rsidRPr="00320DDC">
        <w:rPr>
          <w:noProof/>
        </w:rPr>
        <w:t>for</w:t>
      </w:r>
      <w:r w:rsidRPr="00320DDC">
        <w:rPr>
          <w:noProof/>
        </w:rPr>
        <w:t xml:space="preserve"> defin</w:t>
      </w:r>
      <w:r w:rsidR="005726A9" w:rsidRPr="00320DDC">
        <w:rPr>
          <w:noProof/>
        </w:rPr>
        <w:t>ing</w:t>
      </w:r>
      <w:r w:rsidRPr="00320DDC">
        <w:rPr>
          <w:noProof/>
        </w:rPr>
        <w:t xml:space="preserve"> requirements concerning the format of the personal data in the online application form, in accordance with Article 7b;</w:t>
      </w:r>
    </w:p>
    <w:p w14:paraId="3992E06D" w14:textId="77777777" w:rsidR="00CF40A6" w:rsidRPr="00320DDC" w:rsidRDefault="00CF40A6" w:rsidP="008703D6">
      <w:pPr>
        <w:pStyle w:val="Text1"/>
        <w:rPr>
          <w:noProof/>
        </w:rPr>
      </w:pPr>
      <w:r w:rsidRPr="00320DDC">
        <w:rPr>
          <w:noProof/>
        </w:rPr>
        <w:t xml:space="preserve">(i) </w:t>
      </w:r>
      <w:r w:rsidR="005726A9" w:rsidRPr="00320DDC">
        <w:rPr>
          <w:noProof/>
        </w:rPr>
        <w:t>for</w:t>
      </w:r>
      <w:r w:rsidRPr="00320DDC">
        <w:rPr>
          <w:noProof/>
        </w:rPr>
        <w:t xml:space="preserve"> defin</w:t>
      </w:r>
      <w:r w:rsidR="005726A9" w:rsidRPr="00320DDC">
        <w:rPr>
          <w:noProof/>
        </w:rPr>
        <w:t>ing</w:t>
      </w:r>
      <w:r w:rsidRPr="00320DDC">
        <w:rPr>
          <w:noProof/>
        </w:rPr>
        <w:t xml:space="preserve"> the technical requirements concerning the format of supporting documents, travel medical insurance and copy of travel document in electronic format to be provided via the EU application platform, in accordance with Article</w:t>
      </w:r>
      <w:r w:rsidR="00E15C8C" w:rsidRPr="00320DDC">
        <w:rPr>
          <w:noProof/>
        </w:rPr>
        <w:t>s</w:t>
      </w:r>
      <w:r w:rsidRPr="00320DDC">
        <w:rPr>
          <w:noProof/>
        </w:rPr>
        <w:t xml:space="preserve"> 7c</w:t>
      </w:r>
      <w:r w:rsidR="00E15C8C" w:rsidRPr="00320DDC">
        <w:rPr>
          <w:noProof/>
        </w:rPr>
        <w:t xml:space="preserve"> and 7ba</w:t>
      </w:r>
      <w:r w:rsidRPr="00320DDC">
        <w:rPr>
          <w:noProof/>
        </w:rPr>
        <w:t>;</w:t>
      </w:r>
    </w:p>
    <w:p w14:paraId="52B8973A" w14:textId="77777777" w:rsidR="00CF40A6" w:rsidRPr="00320DDC" w:rsidRDefault="00CF40A6" w:rsidP="008703D6">
      <w:pPr>
        <w:pStyle w:val="Text1"/>
        <w:rPr>
          <w:noProof/>
        </w:rPr>
      </w:pPr>
      <w:r w:rsidRPr="00320DDC">
        <w:rPr>
          <w:noProof/>
        </w:rPr>
        <w:t xml:space="preserve">(j) </w:t>
      </w:r>
      <w:r w:rsidR="005726A9" w:rsidRPr="00320DDC">
        <w:rPr>
          <w:noProof/>
        </w:rPr>
        <w:t>for</w:t>
      </w:r>
      <w:r w:rsidR="00014F58" w:rsidRPr="00320DDC">
        <w:rPr>
          <w:noProof/>
        </w:rPr>
        <w:t xml:space="preserve"> </w:t>
      </w:r>
      <w:r w:rsidRPr="00320DDC">
        <w:rPr>
          <w:noProof/>
        </w:rPr>
        <w:t>defin</w:t>
      </w:r>
      <w:r w:rsidR="005726A9" w:rsidRPr="00320DDC">
        <w:rPr>
          <w:noProof/>
        </w:rPr>
        <w:t>ing</w:t>
      </w:r>
      <w:r w:rsidRPr="00320DDC">
        <w:rPr>
          <w:noProof/>
        </w:rPr>
        <w:t xml:space="preserve"> the requirements concerning the payment tool, including the reimbursement modalities for applicants, in accordance with Article 7d;</w:t>
      </w:r>
    </w:p>
    <w:p w14:paraId="0E8E7FEA" w14:textId="77777777" w:rsidR="00CF40A6" w:rsidRPr="00320DDC" w:rsidRDefault="00CF40A6" w:rsidP="008703D6">
      <w:pPr>
        <w:pStyle w:val="Text1"/>
        <w:rPr>
          <w:noProof/>
        </w:rPr>
      </w:pPr>
      <w:r w:rsidRPr="00320DDC">
        <w:rPr>
          <w:noProof/>
        </w:rPr>
        <w:t xml:space="preserve">(k) </w:t>
      </w:r>
      <w:r w:rsidR="005726A9" w:rsidRPr="00320DDC">
        <w:rPr>
          <w:noProof/>
        </w:rPr>
        <w:t>for</w:t>
      </w:r>
      <w:r w:rsidR="00014F58" w:rsidRPr="00320DDC">
        <w:rPr>
          <w:noProof/>
        </w:rPr>
        <w:t xml:space="preserve"> </w:t>
      </w:r>
      <w:r w:rsidRPr="00320DDC">
        <w:rPr>
          <w:noProof/>
        </w:rPr>
        <w:t>defin</w:t>
      </w:r>
      <w:r w:rsidR="005726A9" w:rsidRPr="00320DDC">
        <w:rPr>
          <w:noProof/>
        </w:rPr>
        <w:t>ing</w:t>
      </w:r>
      <w:r w:rsidRPr="00320DDC">
        <w:rPr>
          <w:noProof/>
        </w:rPr>
        <w:t xml:space="preserve"> the requirements concerning the appointment tool referred, including the modalities for confirmation of appointments, and the link to existing appointment tools or information on walk-in appointments to be configured by the consulates or external service providers, in accordance with Article 7d;</w:t>
      </w:r>
    </w:p>
    <w:p w14:paraId="0BCDE072" w14:textId="77777777" w:rsidR="00CF40A6" w:rsidRPr="00320DDC" w:rsidRDefault="00CF40A6" w:rsidP="008703D6">
      <w:pPr>
        <w:pStyle w:val="Text1"/>
        <w:rPr>
          <w:noProof/>
        </w:rPr>
      </w:pPr>
      <w:r w:rsidRPr="00320DDC">
        <w:rPr>
          <w:noProof/>
        </w:rPr>
        <w:t xml:space="preserve">(l) </w:t>
      </w:r>
      <w:r w:rsidR="005726A9" w:rsidRPr="00320DDC">
        <w:rPr>
          <w:noProof/>
        </w:rPr>
        <w:t>for</w:t>
      </w:r>
      <w:r w:rsidRPr="00320DDC">
        <w:rPr>
          <w:noProof/>
        </w:rPr>
        <w:t xml:space="preserve"> lay</w:t>
      </w:r>
      <w:r w:rsidR="005726A9" w:rsidRPr="00320DDC">
        <w:rPr>
          <w:noProof/>
        </w:rPr>
        <w:t>ing</w:t>
      </w:r>
      <w:r w:rsidRPr="00320DDC">
        <w:rPr>
          <w:noProof/>
        </w:rPr>
        <w:t xml:space="preserve"> down the authentication scheme for external service provider staff members using the External service provider gateway, in accordance with Article 7e;</w:t>
      </w:r>
    </w:p>
    <w:p w14:paraId="74281DDF" w14:textId="77777777" w:rsidR="00CF40A6" w:rsidRPr="00320DDC" w:rsidRDefault="00CF40A6" w:rsidP="008703D6">
      <w:pPr>
        <w:pStyle w:val="Text1"/>
        <w:rPr>
          <w:noProof/>
        </w:rPr>
      </w:pPr>
      <w:r w:rsidRPr="00320DDC">
        <w:rPr>
          <w:noProof/>
        </w:rPr>
        <w:t xml:space="preserve">(m) </w:t>
      </w:r>
      <w:r w:rsidR="005726A9" w:rsidRPr="00320DDC">
        <w:rPr>
          <w:noProof/>
        </w:rPr>
        <w:t>for</w:t>
      </w:r>
      <w:r w:rsidRPr="00320DDC">
        <w:rPr>
          <w:noProof/>
        </w:rPr>
        <w:t xml:space="preserve"> lay</w:t>
      </w:r>
      <w:r w:rsidR="005726A9" w:rsidRPr="00320DDC">
        <w:rPr>
          <w:noProof/>
        </w:rPr>
        <w:t>ing</w:t>
      </w:r>
      <w:r w:rsidRPr="00320DDC">
        <w:rPr>
          <w:noProof/>
        </w:rPr>
        <w:t xml:space="preserve"> down technical specifications of the visas in digital format, and the visa notification, including details on the format of the notification, such as 2D barcode, printable format, in accordance with Article 7f;</w:t>
      </w:r>
    </w:p>
    <w:p w14:paraId="420EF783" w14:textId="77777777" w:rsidR="00CF40A6" w:rsidRPr="00320DDC" w:rsidRDefault="00CF40A6" w:rsidP="008703D6">
      <w:pPr>
        <w:pStyle w:val="Text1"/>
        <w:rPr>
          <w:noProof/>
        </w:rPr>
      </w:pPr>
      <w:r w:rsidRPr="00320DDC">
        <w:rPr>
          <w:noProof/>
        </w:rPr>
        <w:t xml:space="preserve">(n) </w:t>
      </w:r>
      <w:r w:rsidR="005726A9" w:rsidRPr="00320DDC">
        <w:rPr>
          <w:noProof/>
        </w:rPr>
        <w:t>for</w:t>
      </w:r>
      <w:r w:rsidRPr="00320DDC">
        <w:rPr>
          <w:noProof/>
        </w:rPr>
        <w:t xml:space="preserve"> lay</w:t>
      </w:r>
      <w:r w:rsidR="005726A9" w:rsidRPr="00320DDC">
        <w:rPr>
          <w:noProof/>
        </w:rPr>
        <w:t>ing</w:t>
      </w:r>
      <w:r w:rsidRPr="00320DDC">
        <w:rPr>
          <w:noProof/>
        </w:rPr>
        <w:t xml:space="preserve"> down detailed rules on the conditions for the operation of the web service and the data protection and security rules applicable to the web service, in accordance with Article 7g;</w:t>
      </w:r>
    </w:p>
    <w:p w14:paraId="533A2E09" w14:textId="77777777" w:rsidR="00CF40A6" w:rsidRPr="008703D6" w:rsidRDefault="00CF40A6" w:rsidP="008703D6">
      <w:pPr>
        <w:pStyle w:val="Text1"/>
        <w:rPr>
          <w:noProof/>
        </w:rPr>
      </w:pPr>
      <w:r w:rsidRPr="00320DDC">
        <w:rPr>
          <w:noProof/>
        </w:rPr>
        <w:t xml:space="preserve">(o) </w:t>
      </w:r>
      <w:r w:rsidR="005726A9" w:rsidRPr="00320DDC">
        <w:rPr>
          <w:noProof/>
        </w:rPr>
        <w:t>for</w:t>
      </w:r>
      <w:r w:rsidRPr="00320DDC">
        <w:rPr>
          <w:noProof/>
        </w:rPr>
        <w:t xml:space="preserve"> defin</w:t>
      </w:r>
      <w:r w:rsidR="005726A9" w:rsidRPr="00320DDC">
        <w:rPr>
          <w:noProof/>
        </w:rPr>
        <w:t>ing</w:t>
      </w:r>
      <w:r w:rsidRPr="00320DDC">
        <w:rPr>
          <w:noProof/>
        </w:rPr>
        <w:t xml:space="preserve"> model contingency plans regarding fall-back procedures in the case of a technical impossibility</w:t>
      </w:r>
      <w:r w:rsidRPr="008703D6">
        <w:rPr>
          <w:noProof/>
        </w:rPr>
        <w:t xml:space="preserve"> to access data at the external borders, including the procedures to be followed by border authorities ,</w:t>
      </w:r>
      <w:r w:rsidR="00D915A0" w:rsidRPr="008703D6">
        <w:rPr>
          <w:noProof/>
        </w:rPr>
        <w:t xml:space="preserve"> in accordance with Article 18e</w:t>
      </w:r>
      <w:r w:rsidRPr="008703D6">
        <w:rPr>
          <w:noProof/>
        </w:rPr>
        <w:t>.”;</w:t>
      </w:r>
    </w:p>
    <w:p w14:paraId="7A04FA1D" w14:textId="3857E7D2" w:rsidR="008D1D34" w:rsidRDefault="00EF15A7" w:rsidP="00EF15A7">
      <w:pPr>
        <w:pStyle w:val="Point0"/>
        <w:rPr>
          <w:noProof/>
        </w:rPr>
      </w:pPr>
      <w:r w:rsidRPr="00EF15A7">
        <w:t>(20)</w:t>
      </w:r>
      <w:r w:rsidRPr="00EF15A7">
        <w:tab/>
      </w:r>
      <w:r w:rsidR="00601A22">
        <w:rPr>
          <w:noProof/>
        </w:rPr>
        <w:t xml:space="preserve">in </w:t>
      </w:r>
      <w:r w:rsidR="008D1D34" w:rsidRPr="00601A22">
        <w:rPr>
          <w:noProof/>
        </w:rPr>
        <w:t xml:space="preserve">Article </w:t>
      </w:r>
      <w:r w:rsidR="008D1D34" w:rsidRPr="00AC2BA4">
        <w:rPr>
          <w:noProof/>
        </w:rPr>
        <w:t>48a</w:t>
      </w:r>
      <w:r w:rsidR="00AC2BA4" w:rsidRPr="006922DD">
        <w:rPr>
          <w:noProof/>
        </w:rPr>
        <w:t>(2), (3) and (6),</w:t>
      </w:r>
      <w:r w:rsidR="008D1D34" w:rsidRPr="00AC2BA4">
        <w:rPr>
          <w:noProof/>
        </w:rPr>
        <w:t xml:space="preserve"> the </w:t>
      </w:r>
      <w:r w:rsidR="00AC2BA4" w:rsidRPr="00EC0933">
        <w:rPr>
          <w:noProof/>
        </w:rPr>
        <w:t>references to</w:t>
      </w:r>
      <w:r w:rsidR="00AC2BA4" w:rsidRPr="00AC2BA4">
        <w:rPr>
          <w:noProof/>
        </w:rPr>
        <w:t xml:space="preserve"> </w:t>
      </w:r>
      <w:r w:rsidR="00AC2BA4" w:rsidRPr="00EC0933">
        <w:rPr>
          <w:noProof/>
        </w:rPr>
        <w:t>“</w:t>
      </w:r>
      <w:r w:rsidR="00C14DD8" w:rsidRPr="00AC2BA4">
        <w:rPr>
          <w:noProof/>
        </w:rPr>
        <w:t>Article 9, Article 9h(2), Article 9j(2) and Article 22b(18)</w:t>
      </w:r>
      <w:r w:rsidR="00AC2BA4" w:rsidRPr="00EC0933">
        <w:rPr>
          <w:noProof/>
        </w:rPr>
        <w:t>”</w:t>
      </w:r>
      <w:r w:rsidR="008D1D34" w:rsidRPr="00AC2BA4">
        <w:rPr>
          <w:noProof/>
        </w:rPr>
        <w:t xml:space="preserve"> are replaced by </w:t>
      </w:r>
      <w:r w:rsidR="00AC2BA4" w:rsidRPr="00EC0933">
        <w:rPr>
          <w:noProof/>
        </w:rPr>
        <w:t>references to “</w:t>
      </w:r>
      <w:r w:rsidR="00B24188" w:rsidRPr="00AC2BA4">
        <w:rPr>
          <w:noProof/>
        </w:rPr>
        <w:t xml:space="preserve">Article </w:t>
      </w:r>
      <w:r w:rsidR="00C14DD8" w:rsidRPr="00AC2BA4">
        <w:rPr>
          <w:noProof/>
        </w:rPr>
        <w:t>7b, Article 9, Article 9h(2), Article 9j(2) and Article 22b(18)</w:t>
      </w:r>
      <w:r w:rsidR="00AC2BA4" w:rsidRPr="00AC2BA4">
        <w:rPr>
          <w:noProof/>
        </w:rPr>
        <w:t>”</w:t>
      </w:r>
      <w:r w:rsidR="00B24188" w:rsidRPr="00AC2BA4">
        <w:rPr>
          <w:noProof/>
        </w:rPr>
        <w:t>.</w:t>
      </w:r>
    </w:p>
    <w:p w14:paraId="2BFC2B7D" w14:textId="77777777" w:rsidR="00FB1CD1" w:rsidRPr="00FB1CD1" w:rsidRDefault="004C3D34" w:rsidP="00EC0933">
      <w:pPr>
        <w:pStyle w:val="Text1"/>
        <w:rPr>
          <w:noProof/>
        </w:rPr>
      </w:pPr>
      <w:r w:rsidDel="004C3D34">
        <w:rPr>
          <w:noProof/>
        </w:rPr>
        <w:t xml:space="preserve"> </w:t>
      </w:r>
    </w:p>
    <w:p w14:paraId="041D251E" w14:textId="77777777" w:rsidR="00DE6B83" w:rsidRDefault="00DE6B83" w:rsidP="00DE6B83">
      <w:pPr>
        <w:pStyle w:val="Titrearticle"/>
        <w:rPr>
          <w:noProof/>
        </w:rPr>
      </w:pPr>
      <w:r>
        <w:rPr>
          <w:noProof/>
        </w:rPr>
        <w:t>Article 3</w:t>
      </w:r>
      <w:r w:rsidR="007F29CC">
        <w:rPr>
          <w:noProof/>
        </w:rPr>
        <w:br/>
        <w:t xml:space="preserve">Amendments to </w:t>
      </w:r>
      <w:r w:rsidR="007F29CC" w:rsidRPr="007F29CC">
        <w:rPr>
          <w:noProof/>
        </w:rPr>
        <w:t>Council Regulation (EC) No 1683/95</w:t>
      </w:r>
      <w:r w:rsidR="001E25B7">
        <w:rPr>
          <w:rStyle w:val="FootnoteReference"/>
          <w:noProof/>
        </w:rPr>
        <w:footnoteReference w:id="67"/>
      </w:r>
    </w:p>
    <w:p w14:paraId="6D25A70B" w14:textId="77777777" w:rsidR="00DE6B83" w:rsidRDefault="00DE6B83" w:rsidP="00DE6B83">
      <w:pPr>
        <w:rPr>
          <w:noProof/>
          <w:sz w:val="23"/>
          <w:szCs w:val="23"/>
        </w:rPr>
      </w:pPr>
      <w:r w:rsidRPr="00DE6B83">
        <w:rPr>
          <w:noProof/>
          <w:sz w:val="23"/>
          <w:szCs w:val="23"/>
        </w:rPr>
        <w:t>Regulation (EC) No 1683/95</w:t>
      </w:r>
      <w:r w:rsidR="007F29CC">
        <w:rPr>
          <w:noProof/>
          <w:sz w:val="23"/>
          <w:szCs w:val="23"/>
        </w:rPr>
        <w:t xml:space="preserve"> </w:t>
      </w:r>
      <w:r w:rsidR="008341EA">
        <w:rPr>
          <w:noProof/>
          <w:sz w:val="23"/>
          <w:szCs w:val="23"/>
        </w:rPr>
        <w:t>is amended as follows</w:t>
      </w:r>
      <w:r w:rsidR="00A8453E">
        <w:rPr>
          <w:noProof/>
          <w:sz w:val="23"/>
          <w:szCs w:val="23"/>
        </w:rPr>
        <w:t>:</w:t>
      </w:r>
    </w:p>
    <w:p w14:paraId="58864535" w14:textId="12649940" w:rsidR="008341EA" w:rsidRDefault="00EF15A7" w:rsidP="00EF15A7">
      <w:pPr>
        <w:pStyle w:val="Point0"/>
        <w:rPr>
          <w:noProof/>
        </w:rPr>
      </w:pPr>
      <w:r w:rsidRPr="00EF15A7">
        <w:t>(1)</w:t>
      </w:r>
      <w:r w:rsidRPr="00EF15A7">
        <w:tab/>
      </w:r>
      <w:r w:rsidR="008341EA">
        <w:rPr>
          <w:noProof/>
        </w:rPr>
        <w:t>Article 1 is replaced by the following:</w:t>
      </w:r>
    </w:p>
    <w:p w14:paraId="3219F7F8" w14:textId="77777777" w:rsidR="008075CF" w:rsidRDefault="00B512D4" w:rsidP="008075CF">
      <w:pPr>
        <w:pStyle w:val="Titrearticle"/>
        <w:rPr>
          <w:noProof/>
        </w:rPr>
      </w:pPr>
      <w:r w:rsidRPr="00515F7F">
        <w:rPr>
          <w:noProof/>
        </w:rPr>
        <w:t>“</w:t>
      </w:r>
      <w:r w:rsidR="00D42EF8">
        <w:rPr>
          <w:noProof/>
        </w:rPr>
        <w:t xml:space="preserve">Article </w:t>
      </w:r>
      <w:r>
        <w:rPr>
          <w:noProof/>
        </w:rPr>
        <w:t>1</w:t>
      </w:r>
    </w:p>
    <w:p w14:paraId="294AA648" w14:textId="77777777" w:rsidR="00B512D4" w:rsidRDefault="008075CF" w:rsidP="008075CF">
      <w:pPr>
        <w:rPr>
          <w:noProof/>
        </w:rPr>
      </w:pPr>
      <w:r w:rsidRPr="008075CF">
        <w:rPr>
          <w:noProof/>
        </w:rPr>
        <w:t>Visas issued in conformity with Article 5</w:t>
      </w:r>
      <w:r>
        <w:rPr>
          <w:noProof/>
        </w:rPr>
        <w:t xml:space="preserve"> of this Regulation </w:t>
      </w:r>
      <w:r w:rsidRPr="008075CF">
        <w:rPr>
          <w:noProof/>
        </w:rPr>
        <w:t xml:space="preserve">by the Member States </w:t>
      </w:r>
      <w:r>
        <w:rPr>
          <w:noProof/>
        </w:rPr>
        <w:t>wh</w:t>
      </w:r>
      <w:r w:rsidR="00BF2A01">
        <w:rPr>
          <w:noProof/>
        </w:rPr>
        <w:t>ich</w:t>
      </w:r>
      <w:r>
        <w:rPr>
          <w:noProof/>
        </w:rPr>
        <w:t xml:space="preserve"> do not issue visas in digital format </w:t>
      </w:r>
      <w:r w:rsidR="00D40316">
        <w:rPr>
          <w:noProof/>
        </w:rPr>
        <w:t>referred to</w:t>
      </w:r>
      <w:r>
        <w:rPr>
          <w:noProof/>
        </w:rPr>
        <w:t xml:space="preserve"> in Article </w:t>
      </w:r>
      <w:r w:rsidRPr="00EF15CF">
        <w:rPr>
          <w:noProof/>
        </w:rPr>
        <w:t>26</w:t>
      </w:r>
      <w:r w:rsidR="003556CB">
        <w:rPr>
          <w:noProof/>
        </w:rPr>
        <w:t>a</w:t>
      </w:r>
      <w:r>
        <w:rPr>
          <w:noProof/>
        </w:rPr>
        <w:t xml:space="preserve"> of </w:t>
      </w:r>
      <w:r w:rsidRPr="008075CF">
        <w:rPr>
          <w:noProof/>
        </w:rPr>
        <w:t>Regulation (EC) No 810/2009 shall be produced in the form of a uniform format (sticker). They shall conform to the specifications set out in the Annex.</w:t>
      </w:r>
      <w:r w:rsidR="00334BAB" w:rsidRPr="00DF490F">
        <w:rPr>
          <w:noProof/>
        </w:rPr>
        <w:t>”;</w:t>
      </w:r>
    </w:p>
    <w:p w14:paraId="2FD9F30C" w14:textId="382C311B" w:rsidR="00E16A03" w:rsidRDefault="00EF15A7" w:rsidP="00EF15A7">
      <w:pPr>
        <w:pStyle w:val="Point0"/>
        <w:rPr>
          <w:noProof/>
        </w:rPr>
      </w:pPr>
      <w:r w:rsidRPr="00EF15A7">
        <w:t>(2)</w:t>
      </w:r>
      <w:r w:rsidRPr="00EF15A7">
        <w:tab/>
      </w:r>
      <w:r w:rsidR="00414440">
        <w:rPr>
          <w:noProof/>
        </w:rPr>
        <w:t xml:space="preserve">in Article 7, </w:t>
      </w:r>
      <w:r w:rsidR="001E25B7">
        <w:rPr>
          <w:noProof/>
        </w:rPr>
        <w:t>the following fourth</w:t>
      </w:r>
      <w:r w:rsidR="00E16A03">
        <w:rPr>
          <w:noProof/>
        </w:rPr>
        <w:t xml:space="preserve"> paragraph is added:</w:t>
      </w:r>
    </w:p>
    <w:p w14:paraId="574DD37F" w14:textId="77777777" w:rsidR="00E16A03" w:rsidRDefault="00E16A03" w:rsidP="00EF4B34">
      <w:pPr>
        <w:pStyle w:val="Text1"/>
        <w:rPr>
          <w:noProof/>
        </w:rPr>
      </w:pPr>
      <w:r w:rsidRPr="00E16A03">
        <w:rPr>
          <w:noProof/>
        </w:rPr>
        <w:t>“</w:t>
      </w:r>
      <w:r>
        <w:rPr>
          <w:noProof/>
        </w:rPr>
        <w:t xml:space="preserve">The </w:t>
      </w:r>
      <w:r w:rsidRPr="00E16A03">
        <w:rPr>
          <w:noProof/>
        </w:rPr>
        <w:t xml:space="preserve">use the uniform visa format for purposes other </w:t>
      </w:r>
      <w:r>
        <w:rPr>
          <w:noProof/>
        </w:rPr>
        <w:t xml:space="preserve">than those covered by Article 5 is without prejudice to issuing </w:t>
      </w:r>
      <w:r w:rsidRPr="00E16A03">
        <w:rPr>
          <w:noProof/>
        </w:rPr>
        <w:t xml:space="preserve">visas in digital format </w:t>
      </w:r>
      <w:r w:rsidR="00D40316">
        <w:rPr>
          <w:noProof/>
        </w:rPr>
        <w:t xml:space="preserve">referred to </w:t>
      </w:r>
      <w:r w:rsidRPr="00E16A03">
        <w:rPr>
          <w:noProof/>
        </w:rPr>
        <w:t>in Article 26</w:t>
      </w:r>
      <w:r w:rsidR="003556CB">
        <w:rPr>
          <w:noProof/>
        </w:rPr>
        <w:t>a</w:t>
      </w:r>
      <w:r w:rsidRPr="00E16A03">
        <w:rPr>
          <w:noProof/>
        </w:rPr>
        <w:t xml:space="preserve"> of Regulation (EC) No 810/2009</w:t>
      </w:r>
      <w:r>
        <w:rPr>
          <w:noProof/>
        </w:rPr>
        <w:t>.</w:t>
      </w:r>
      <w:r w:rsidRPr="00DF490F">
        <w:rPr>
          <w:noProof/>
        </w:rPr>
        <w:t>”</w:t>
      </w:r>
      <w:r w:rsidR="00BF57B3">
        <w:rPr>
          <w:noProof/>
        </w:rPr>
        <w:t>.</w:t>
      </w:r>
    </w:p>
    <w:p w14:paraId="5FB79B8E" w14:textId="77777777" w:rsidR="00D42EF8" w:rsidRDefault="00D42EF8" w:rsidP="00D42EF8">
      <w:pPr>
        <w:pStyle w:val="Titrearticle"/>
        <w:rPr>
          <w:noProof/>
        </w:rPr>
      </w:pPr>
      <w:r>
        <w:rPr>
          <w:noProof/>
        </w:rPr>
        <w:t>Article 4</w:t>
      </w:r>
      <w:r w:rsidR="003F673E">
        <w:rPr>
          <w:noProof/>
        </w:rPr>
        <w:br/>
      </w:r>
      <w:r w:rsidR="002961CC">
        <w:rPr>
          <w:noProof/>
        </w:rPr>
        <w:t xml:space="preserve">Amendments to </w:t>
      </w:r>
      <w:r w:rsidR="003F673E">
        <w:rPr>
          <w:noProof/>
        </w:rPr>
        <w:t xml:space="preserve">Council </w:t>
      </w:r>
      <w:r w:rsidR="003F673E" w:rsidRPr="003F673E">
        <w:rPr>
          <w:noProof/>
        </w:rPr>
        <w:t>Regulation (EC) No 333/2002</w:t>
      </w:r>
      <w:r w:rsidR="00A917DD">
        <w:rPr>
          <w:rStyle w:val="FootnoteReference"/>
          <w:noProof/>
        </w:rPr>
        <w:footnoteReference w:id="68"/>
      </w:r>
      <w:r w:rsidR="003F673E" w:rsidRPr="003F673E">
        <w:rPr>
          <w:noProof/>
        </w:rPr>
        <w:t xml:space="preserve"> </w:t>
      </w:r>
    </w:p>
    <w:p w14:paraId="21D7906C" w14:textId="77777777" w:rsidR="002961CC" w:rsidRDefault="00414440" w:rsidP="00D42EF8">
      <w:pPr>
        <w:rPr>
          <w:noProof/>
        </w:rPr>
      </w:pPr>
      <w:r>
        <w:rPr>
          <w:noProof/>
        </w:rPr>
        <w:t xml:space="preserve">In </w:t>
      </w:r>
      <w:r w:rsidR="002961CC">
        <w:rPr>
          <w:noProof/>
        </w:rPr>
        <w:t xml:space="preserve">Article 1 of </w:t>
      </w:r>
      <w:r w:rsidR="007F29CC" w:rsidRPr="007F29CC">
        <w:rPr>
          <w:noProof/>
        </w:rPr>
        <w:t>Regulation (EC) No 333/2002</w:t>
      </w:r>
      <w:r>
        <w:rPr>
          <w:noProof/>
        </w:rPr>
        <w:t>, paragraph 1</w:t>
      </w:r>
      <w:r w:rsidR="00E95912">
        <w:rPr>
          <w:noProof/>
        </w:rPr>
        <w:t xml:space="preserve"> is</w:t>
      </w:r>
      <w:r w:rsidR="002961CC">
        <w:rPr>
          <w:noProof/>
        </w:rPr>
        <w:t xml:space="preserve"> replaced by the following: </w:t>
      </w:r>
    </w:p>
    <w:p w14:paraId="65CC400C" w14:textId="77777777" w:rsidR="002961CC" w:rsidRDefault="002961CC" w:rsidP="002961CC">
      <w:pPr>
        <w:rPr>
          <w:noProof/>
        </w:rPr>
      </w:pPr>
      <w:r w:rsidRPr="00E16A03">
        <w:rPr>
          <w:noProof/>
        </w:rPr>
        <w:t>“</w:t>
      </w:r>
      <w:r>
        <w:rPr>
          <w:noProof/>
        </w:rPr>
        <w:t>1.</w:t>
      </w:r>
      <w:r w:rsidRPr="002401BD">
        <w:rPr>
          <w:noProof/>
        </w:rPr>
        <w:t xml:space="preserve"> </w:t>
      </w:r>
      <w:r>
        <w:rPr>
          <w:noProof/>
        </w:rPr>
        <w:t>T</w:t>
      </w:r>
      <w:r w:rsidRPr="002401BD">
        <w:rPr>
          <w:noProof/>
        </w:rPr>
        <w:t>his Regulation</w:t>
      </w:r>
      <w:r>
        <w:rPr>
          <w:noProof/>
        </w:rPr>
        <w:t xml:space="preserve"> shall apply to</w:t>
      </w:r>
      <w:r w:rsidR="00BF2A01">
        <w:rPr>
          <w:noProof/>
        </w:rPr>
        <w:t xml:space="preserve"> Member States which</w:t>
      </w:r>
      <w:r w:rsidRPr="002401BD">
        <w:rPr>
          <w:noProof/>
        </w:rPr>
        <w:t xml:space="preserve"> do not issue visas in digital format </w:t>
      </w:r>
      <w:r w:rsidR="00D40316">
        <w:rPr>
          <w:noProof/>
        </w:rPr>
        <w:t xml:space="preserve">referred to </w:t>
      </w:r>
      <w:r w:rsidRPr="002401BD">
        <w:rPr>
          <w:noProof/>
        </w:rPr>
        <w:t>in Article 26</w:t>
      </w:r>
      <w:r w:rsidR="003556CB">
        <w:rPr>
          <w:noProof/>
        </w:rPr>
        <w:t>a</w:t>
      </w:r>
      <w:r w:rsidRPr="002401BD">
        <w:rPr>
          <w:noProof/>
        </w:rPr>
        <w:t xml:space="preserve"> of Regulation (EC) No 810/2009</w:t>
      </w:r>
      <w:r w:rsidR="00A917DD" w:rsidRPr="00A917DD">
        <w:rPr>
          <w:noProof/>
        </w:rPr>
        <w:t xml:space="preserve"> </w:t>
      </w:r>
      <w:r w:rsidR="00A917DD">
        <w:rPr>
          <w:noProof/>
        </w:rPr>
        <w:t>of the European Parliament and of the Council*</w:t>
      </w:r>
      <w:r w:rsidRPr="002401BD">
        <w:rPr>
          <w:noProof/>
        </w:rPr>
        <w:t>.</w:t>
      </w:r>
    </w:p>
    <w:p w14:paraId="67C1EAC4" w14:textId="77777777" w:rsidR="00A917DD" w:rsidRDefault="002961CC" w:rsidP="002961CC">
      <w:pPr>
        <w:rPr>
          <w:noProof/>
        </w:rPr>
      </w:pPr>
      <w:r w:rsidRPr="002401BD">
        <w:rPr>
          <w:noProof/>
        </w:rPr>
        <w:t>For the purposes of this Regulation, "form for affixing a visa" shall mean the document issued by the authorities of a Member State to the holder of a travel document which is not recognised by that Member State, to which its competent authorities affix a visa.</w:t>
      </w:r>
      <w:r w:rsidR="00754F2A" w:rsidRPr="00DF490F">
        <w:rPr>
          <w:noProof/>
        </w:rPr>
        <w:t>”</w:t>
      </w:r>
      <w:r w:rsidR="00754F2A">
        <w:rPr>
          <w:noProof/>
        </w:rPr>
        <w:t>.</w:t>
      </w:r>
    </w:p>
    <w:p w14:paraId="15585C50" w14:textId="77777777" w:rsidR="00A917DD" w:rsidRDefault="00A917DD" w:rsidP="002961CC">
      <w:pPr>
        <w:rPr>
          <w:noProof/>
        </w:rPr>
      </w:pPr>
      <w:r>
        <w:rPr>
          <w:noProof/>
        </w:rPr>
        <w:t>_________</w:t>
      </w:r>
    </w:p>
    <w:p w14:paraId="79DA2D3E" w14:textId="77777777" w:rsidR="002961CC" w:rsidRDefault="00A917DD" w:rsidP="002961CC">
      <w:pPr>
        <w:rPr>
          <w:noProof/>
        </w:rPr>
      </w:pPr>
      <w:r>
        <w:rPr>
          <w:noProof/>
        </w:rPr>
        <w:t xml:space="preserve">* Regulation (EC) No 810/2009 of the European Parliament and of the Council of 13 July 2009 establishing a Community Code on Visas (Visa Code) </w:t>
      </w:r>
      <w:r w:rsidRPr="00AE5C9E">
        <w:rPr>
          <w:noProof/>
        </w:rPr>
        <w:t>(OJ L 243 15.9.2009, p. 1)</w:t>
      </w:r>
      <w:r>
        <w:rPr>
          <w:noProof/>
        </w:rPr>
        <w:t>.</w:t>
      </w:r>
      <w:r w:rsidR="002961CC" w:rsidRPr="00DF490F">
        <w:rPr>
          <w:noProof/>
        </w:rPr>
        <w:t>”</w:t>
      </w:r>
      <w:r w:rsidR="002961CC">
        <w:rPr>
          <w:noProof/>
        </w:rPr>
        <w:t>.</w:t>
      </w:r>
    </w:p>
    <w:p w14:paraId="4206AEF7" w14:textId="77777777" w:rsidR="007F29CC" w:rsidRDefault="007F29CC" w:rsidP="007F29CC">
      <w:pPr>
        <w:pStyle w:val="Titrearticle"/>
        <w:rPr>
          <w:noProof/>
        </w:rPr>
      </w:pPr>
      <w:r>
        <w:rPr>
          <w:noProof/>
        </w:rPr>
        <w:t>Article 5</w:t>
      </w:r>
      <w:r w:rsidR="00C06B36">
        <w:rPr>
          <w:noProof/>
        </w:rPr>
        <w:br/>
      </w:r>
      <w:r w:rsidR="00C06B36" w:rsidRPr="00754F2A">
        <w:rPr>
          <w:noProof/>
        </w:rPr>
        <w:t>Amendments to Council Regulation (EC) No 694/2003</w:t>
      </w:r>
      <w:r w:rsidR="00A917DD" w:rsidRPr="00754F2A">
        <w:rPr>
          <w:rStyle w:val="FootnoteReference"/>
          <w:noProof/>
        </w:rPr>
        <w:footnoteReference w:id="69"/>
      </w:r>
      <w:r w:rsidR="00C06B36" w:rsidRPr="00C06B36">
        <w:rPr>
          <w:noProof/>
        </w:rPr>
        <w:t xml:space="preserve"> </w:t>
      </w:r>
    </w:p>
    <w:p w14:paraId="157314EC" w14:textId="77777777" w:rsidR="007F29CC" w:rsidRDefault="007F29CC" w:rsidP="007F29CC">
      <w:pPr>
        <w:rPr>
          <w:noProof/>
        </w:rPr>
      </w:pPr>
      <w:r w:rsidRPr="007F29CC">
        <w:rPr>
          <w:noProof/>
        </w:rPr>
        <w:t>Regulation (EC) No 694/2003</w:t>
      </w:r>
      <w:r w:rsidR="00B20AF5">
        <w:rPr>
          <w:noProof/>
        </w:rPr>
        <w:t xml:space="preserve"> is amended as follows:</w:t>
      </w:r>
    </w:p>
    <w:p w14:paraId="7AF65761" w14:textId="1469C160" w:rsidR="00821844" w:rsidRDefault="00EF15A7" w:rsidP="00EF15A7">
      <w:pPr>
        <w:pStyle w:val="Point0"/>
        <w:rPr>
          <w:noProof/>
        </w:rPr>
      </w:pPr>
      <w:r w:rsidRPr="00EF15A7">
        <w:t>(1)</w:t>
      </w:r>
      <w:r w:rsidRPr="00EF15A7">
        <w:tab/>
      </w:r>
      <w:r w:rsidR="00414440" w:rsidDel="00414440">
        <w:rPr>
          <w:noProof/>
        </w:rPr>
        <w:t xml:space="preserve"> </w:t>
      </w:r>
      <w:r w:rsidR="00B20AF5">
        <w:rPr>
          <w:noProof/>
        </w:rPr>
        <w:t xml:space="preserve">Article </w:t>
      </w:r>
      <w:r w:rsidR="00BD0536">
        <w:rPr>
          <w:noProof/>
        </w:rPr>
        <w:t>1 is replaced by the following</w:t>
      </w:r>
      <w:r w:rsidR="00B20AF5">
        <w:rPr>
          <w:noProof/>
        </w:rPr>
        <w:t>:</w:t>
      </w:r>
    </w:p>
    <w:p w14:paraId="5783268A" w14:textId="77777777" w:rsidR="00BD0536" w:rsidRDefault="00BD0536" w:rsidP="00BD0536">
      <w:pPr>
        <w:pStyle w:val="Titrearticle"/>
        <w:rPr>
          <w:noProof/>
        </w:rPr>
      </w:pPr>
      <w:r w:rsidRPr="00515F7F">
        <w:rPr>
          <w:noProof/>
        </w:rPr>
        <w:t>“</w:t>
      </w:r>
      <w:r>
        <w:rPr>
          <w:noProof/>
        </w:rPr>
        <w:t>Article 1</w:t>
      </w:r>
    </w:p>
    <w:p w14:paraId="5D6A512D" w14:textId="4A4356E7" w:rsidR="00BD0536" w:rsidRDefault="00EF15A7" w:rsidP="00EF15A7">
      <w:pPr>
        <w:pStyle w:val="ManualNumPar1"/>
        <w:rPr>
          <w:noProof/>
        </w:rPr>
      </w:pPr>
      <w:r w:rsidRPr="00EF15A7">
        <w:t>1.</w:t>
      </w:r>
      <w:r w:rsidRPr="00EF15A7">
        <w:tab/>
      </w:r>
      <w:r w:rsidR="00BD0536" w:rsidRPr="00BD0536">
        <w:rPr>
          <w:noProof/>
        </w:rPr>
        <w:t xml:space="preserve">Facilitated Transit Documents (FTD) issued by the Member States as referred to in Article 2(1) of Regulation (EC) No 693/2003 shall be issued in digital format </w:t>
      </w:r>
      <w:r w:rsidR="00D40316">
        <w:rPr>
          <w:noProof/>
        </w:rPr>
        <w:t xml:space="preserve">referred to </w:t>
      </w:r>
      <w:r w:rsidR="00BD0536" w:rsidRPr="00BD0536">
        <w:rPr>
          <w:noProof/>
        </w:rPr>
        <w:t>in Article 26</w:t>
      </w:r>
      <w:r w:rsidR="003556CB">
        <w:rPr>
          <w:noProof/>
        </w:rPr>
        <w:t>a</w:t>
      </w:r>
      <w:r w:rsidR="00BD0536" w:rsidRPr="00BD0536">
        <w:rPr>
          <w:noProof/>
        </w:rPr>
        <w:t xml:space="preserve"> of Regulation (EC) No 810/2009</w:t>
      </w:r>
      <w:r w:rsidR="00A917DD" w:rsidRPr="00A917DD">
        <w:rPr>
          <w:noProof/>
        </w:rPr>
        <w:t xml:space="preserve"> of the European Parliament and of the Council </w:t>
      </w:r>
      <w:r w:rsidR="00A917DD">
        <w:rPr>
          <w:noProof/>
        </w:rPr>
        <w:t>*</w:t>
      </w:r>
      <w:r w:rsidR="00BD0536" w:rsidRPr="00BD0536">
        <w:rPr>
          <w:noProof/>
        </w:rPr>
        <w:t xml:space="preserve"> and shall have the same value as </w:t>
      </w:r>
      <w:r w:rsidR="00B75490">
        <w:rPr>
          <w:noProof/>
        </w:rPr>
        <w:t>limited territorial validity</w:t>
      </w:r>
      <w:r w:rsidR="00BD0536" w:rsidRPr="00BD0536">
        <w:rPr>
          <w:noProof/>
        </w:rPr>
        <w:t xml:space="preserve"> visas</w:t>
      </w:r>
      <w:r w:rsidR="00A4730F">
        <w:rPr>
          <w:noProof/>
        </w:rPr>
        <w:t xml:space="preserve"> with the purpose of transit</w:t>
      </w:r>
      <w:r w:rsidR="00BD0536" w:rsidRPr="00BD0536">
        <w:rPr>
          <w:noProof/>
        </w:rPr>
        <w:t>.</w:t>
      </w:r>
      <w:r w:rsidR="00513E6D">
        <w:rPr>
          <w:noProof/>
        </w:rPr>
        <w:t xml:space="preserve"> In addition, the digital format shall contain clear indication that the issued document is FTD.</w:t>
      </w:r>
    </w:p>
    <w:p w14:paraId="52B90B68" w14:textId="176CF6C3" w:rsidR="00A917DD" w:rsidRDefault="00EF15A7" w:rsidP="00EF15A7">
      <w:pPr>
        <w:pStyle w:val="ManualNumPar1"/>
        <w:rPr>
          <w:noProof/>
        </w:rPr>
      </w:pPr>
      <w:r w:rsidRPr="00EF15A7">
        <w:t>2.</w:t>
      </w:r>
      <w:r w:rsidRPr="00EF15A7">
        <w:tab/>
      </w:r>
      <w:r w:rsidR="00BD0536" w:rsidRPr="00BD0536">
        <w:rPr>
          <w:noProof/>
        </w:rPr>
        <w:t xml:space="preserve">Facilitated Rail Transit Documents (FRTD) issued by the Member States as referred to in Article 2(2) of Regulation (EC) No 693/2003 shall be issued in digital format </w:t>
      </w:r>
      <w:r w:rsidR="00D40316">
        <w:rPr>
          <w:noProof/>
        </w:rPr>
        <w:t xml:space="preserve">referred to </w:t>
      </w:r>
      <w:r w:rsidR="00BD0536" w:rsidRPr="00BD0536">
        <w:rPr>
          <w:noProof/>
        </w:rPr>
        <w:t>in Article 26</w:t>
      </w:r>
      <w:r w:rsidR="003556CB">
        <w:rPr>
          <w:noProof/>
        </w:rPr>
        <w:t>a</w:t>
      </w:r>
      <w:r w:rsidR="00BD0536" w:rsidRPr="00BD0536">
        <w:rPr>
          <w:noProof/>
        </w:rPr>
        <w:t xml:space="preserve"> of Regulation (EC) No 810/2009 and shall have the same value as </w:t>
      </w:r>
      <w:r w:rsidR="00A4730F">
        <w:rPr>
          <w:noProof/>
        </w:rPr>
        <w:t>limited territorial validity</w:t>
      </w:r>
      <w:r w:rsidR="00A4730F" w:rsidRPr="00BD0536">
        <w:rPr>
          <w:noProof/>
        </w:rPr>
        <w:t xml:space="preserve"> </w:t>
      </w:r>
      <w:r w:rsidR="00BD0536" w:rsidRPr="00BD0536">
        <w:rPr>
          <w:noProof/>
        </w:rPr>
        <w:t>visas</w:t>
      </w:r>
      <w:r w:rsidR="00A4730F">
        <w:rPr>
          <w:noProof/>
        </w:rPr>
        <w:t xml:space="preserve"> with the purpose of </w:t>
      </w:r>
      <w:r w:rsidR="00AD30F0">
        <w:rPr>
          <w:noProof/>
        </w:rPr>
        <w:t>transit</w:t>
      </w:r>
      <w:r w:rsidR="00513E6D">
        <w:rPr>
          <w:noProof/>
        </w:rPr>
        <w:t>. In addition, the digital format shall contain clear indication that the issued document is FRT</w:t>
      </w:r>
      <w:r w:rsidR="00BD0536">
        <w:rPr>
          <w:noProof/>
        </w:rPr>
        <w:t>.</w:t>
      </w:r>
      <w:r w:rsidR="00BD0536" w:rsidRPr="00DF490F">
        <w:rPr>
          <w:noProof/>
        </w:rPr>
        <w:t>”</w:t>
      </w:r>
      <w:r w:rsidR="00BD0536">
        <w:rPr>
          <w:noProof/>
        </w:rPr>
        <w:t>.</w:t>
      </w:r>
    </w:p>
    <w:p w14:paraId="1FF76961" w14:textId="77777777" w:rsidR="00A917DD" w:rsidRDefault="00A917DD" w:rsidP="00754F2A">
      <w:pPr>
        <w:pStyle w:val="Text1"/>
        <w:rPr>
          <w:noProof/>
        </w:rPr>
      </w:pPr>
      <w:r>
        <w:rPr>
          <w:noProof/>
        </w:rPr>
        <w:t>__________</w:t>
      </w:r>
    </w:p>
    <w:p w14:paraId="7192647C" w14:textId="77777777" w:rsidR="00BD0536" w:rsidRDefault="00A917DD" w:rsidP="000E3E0B">
      <w:pPr>
        <w:rPr>
          <w:noProof/>
        </w:rPr>
      </w:pPr>
      <w:r>
        <w:rPr>
          <w:noProof/>
        </w:rPr>
        <w:t xml:space="preserve"> * </w:t>
      </w:r>
      <w:r w:rsidRPr="00A917DD">
        <w:rPr>
          <w:noProof/>
        </w:rPr>
        <w:t>Regulation (EC) No 810/2009 of the European Parliament and of the Council of 13 July 2009 establishing a Community Code on Visas (Visa Code) (OJ L 243 15.9.2009, p. 1).</w:t>
      </w:r>
      <w:r w:rsidR="00BD0536" w:rsidRPr="00DF490F">
        <w:rPr>
          <w:noProof/>
        </w:rPr>
        <w:t>”</w:t>
      </w:r>
      <w:r w:rsidR="00BD0536">
        <w:rPr>
          <w:noProof/>
        </w:rPr>
        <w:t>.</w:t>
      </w:r>
    </w:p>
    <w:p w14:paraId="1825D65F" w14:textId="28DF3E7C" w:rsidR="005F4D11" w:rsidRDefault="00EF15A7" w:rsidP="00EF15A7">
      <w:pPr>
        <w:pStyle w:val="Point0"/>
        <w:rPr>
          <w:noProof/>
        </w:rPr>
      </w:pPr>
      <w:r w:rsidRPr="00EF15A7">
        <w:t>(2)</w:t>
      </w:r>
      <w:r w:rsidRPr="00EF15A7">
        <w:tab/>
      </w:r>
      <w:r w:rsidR="005F4D11">
        <w:rPr>
          <w:noProof/>
        </w:rPr>
        <w:t>In Article 2(1), the first subparagraph is replaced by the following:</w:t>
      </w:r>
    </w:p>
    <w:p w14:paraId="7E9DAE95" w14:textId="77777777" w:rsidR="005F4D11" w:rsidRDefault="005F4D11" w:rsidP="00EC0933">
      <w:pPr>
        <w:pStyle w:val="Text1"/>
        <w:rPr>
          <w:noProof/>
        </w:rPr>
      </w:pPr>
      <w:r w:rsidRPr="00515F7F">
        <w:rPr>
          <w:noProof/>
        </w:rPr>
        <w:t>“</w:t>
      </w:r>
      <w:r>
        <w:rPr>
          <w:noProof/>
        </w:rPr>
        <w:t xml:space="preserve">1. </w:t>
      </w:r>
      <w:r w:rsidRPr="005F4D11">
        <w:rPr>
          <w:noProof/>
        </w:rPr>
        <w:t xml:space="preserve">Further technical specifications for the </w:t>
      </w:r>
      <w:r>
        <w:rPr>
          <w:noProof/>
        </w:rPr>
        <w:t>digital</w:t>
      </w:r>
      <w:r w:rsidRPr="005F4D11">
        <w:rPr>
          <w:noProof/>
        </w:rPr>
        <w:t xml:space="preserve"> format for FTD and FRTD</w:t>
      </w:r>
      <w:r w:rsidR="00513E6D">
        <w:rPr>
          <w:noProof/>
        </w:rPr>
        <w:t>, including</w:t>
      </w:r>
      <w:r w:rsidRPr="005F4D11">
        <w:rPr>
          <w:noProof/>
        </w:rPr>
        <w:t xml:space="preserve"> relating to the following</w:t>
      </w:r>
      <w:r w:rsidR="00513E6D">
        <w:rPr>
          <w:noProof/>
        </w:rPr>
        <w:t>,</w:t>
      </w:r>
      <w:r w:rsidRPr="005F4D11">
        <w:rPr>
          <w:noProof/>
        </w:rPr>
        <w:t xml:space="preserve"> shall be established in accordance with the procedure referred to in Article 4(2): </w:t>
      </w:r>
      <w:r w:rsidRPr="00DF490F">
        <w:rPr>
          <w:noProof/>
        </w:rPr>
        <w:t>”</w:t>
      </w:r>
      <w:r>
        <w:rPr>
          <w:noProof/>
        </w:rPr>
        <w:t>;</w:t>
      </w:r>
    </w:p>
    <w:p w14:paraId="023F938D" w14:textId="3735E000" w:rsidR="005F4D11" w:rsidRDefault="00EF15A7" w:rsidP="00EF15A7">
      <w:pPr>
        <w:pStyle w:val="Point0"/>
        <w:rPr>
          <w:noProof/>
        </w:rPr>
      </w:pPr>
      <w:r w:rsidRPr="00EF15A7">
        <w:t>(3)</w:t>
      </w:r>
      <w:r w:rsidRPr="00EF15A7">
        <w:tab/>
      </w:r>
      <w:r w:rsidR="00C8372C">
        <w:rPr>
          <w:noProof/>
        </w:rPr>
        <w:t>In Article 6, the first subparagraph is replaced by the following:</w:t>
      </w:r>
    </w:p>
    <w:p w14:paraId="5C0C40CB" w14:textId="77777777" w:rsidR="00C8372C" w:rsidRPr="005F4D11" w:rsidRDefault="00C8372C" w:rsidP="00EC0933">
      <w:pPr>
        <w:pStyle w:val="Text1"/>
        <w:rPr>
          <w:noProof/>
        </w:rPr>
      </w:pPr>
      <w:r w:rsidRPr="00515F7F">
        <w:rPr>
          <w:noProof/>
        </w:rPr>
        <w:t>“</w:t>
      </w:r>
      <w:r>
        <w:rPr>
          <w:noProof/>
        </w:rPr>
        <w:t xml:space="preserve">2. </w:t>
      </w:r>
      <w:r w:rsidRPr="00C8372C">
        <w:rPr>
          <w:noProof/>
        </w:rPr>
        <w:t xml:space="preserve">Member States which have decided to do so shall issue the </w:t>
      </w:r>
      <w:r>
        <w:rPr>
          <w:noProof/>
        </w:rPr>
        <w:t>digital</w:t>
      </w:r>
      <w:r w:rsidRPr="00C8372C">
        <w:rPr>
          <w:noProof/>
        </w:rPr>
        <w:t xml:space="preserve"> format for FTD and FRTD as referred to in Article 1 no later than one year after the adoption of the additional security features and requirement</w:t>
      </w:r>
      <w:r>
        <w:rPr>
          <w:noProof/>
        </w:rPr>
        <w:t>s referred to in Article 2</w:t>
      </w:r>
      <w:r w:rsidR="00754F2A">
        <w:rPr>
          <w:noProof/>
        </w:rPr>
        <w:t>.</w:t>
      </w:r>
      <w:r w:rsidRPr="00DF490F">
        <w:rPr>
          <w:noProof/>
        </w:rPr>
        <w:t>”</w:t>
      </w:r>
      <w:r>
        <w:rPr>
          <w:noProof/>
        </w:rPr>
        <w:t>.</w:t>
      </w:r>
    </w:p>
    <w:p w14:paraId="5D1E8AE8" w14:textId="77777777" w:rsidR="007F29CC" w:rsidRDefault="007F29CC" w:rsidP="007F29CC">
      <w:pPr>
        <w:pStyle w:val="Titrearticle"/>
        <w:rPr>
          <w:noProof/>
        </w:rPr>
      </w:pPr>
      <w:r>
        <w:rPr>
          <w:noProof/>
        </w:rPr>
        <w:t>Article 6</w:t>
      </w:r>
      <w:r>
        <w:rPr>
          <w:noProof/>
        </w:rPr>
        <w:br/>
      </w:r>
      <w:r w:rsidRPr="007F29CC">
        <w:rPr>
          <w:noProof/>
        </w:rPr>
        <w:t>Amendment to the Convention implementing the Schengen Agreement</w:t>
      </w:r>
      <w:r w:rsidR="004503DF">
        <w:rPr>
          <w:rStyle w:val="FootnoteReference"/>
          <w:noProof/>
        </w:rPr>
        <w:footnoteReference w:id="70"/>
      </w:r>
      <w:r w:rsidR="004503DF" w:rsidRPr="00C06B36">
        <w:rPr>
          <w:noProof/>
        </w:rPr>
        <w:t xml:space="preserve"> </w:t>
      </w:r>
    </w:p>
    <w:p w14:paraId="77C3CAFB" w14:textId="77777777" w:rsidR="007F29CC" w:rsidRDefault="007F29CC" w:rsidP="007F29CC">
      <w:pPr>
        <w:rPr>
          <w:noProof/>
        </w:rPr>
      </w:pPr>
      <w:r w:rsidRPr="000E6341">
        <w:rPr>
          <w:noProof/>
        </w:rPr>
        <w:t>Article 18 of the Convention implementing the Schengen Agreement is amended</w:t>
      </w:r>
      <w:r w:rsidRPr="007F29CC">
        <w:rPr>
          <w:noProof/>
        </w:rPr>
        <w:t xml:space="preserve"> as follows:</w:t>
      </w:r>
    </w:p>
    <w:p w14:paraId="2D4F042F" w14:textId="0FA139DF" w:rsidR="007F29CC" w:rsidRDefault="00EF15A7" w:rsidP="00EF15A7">
      <w:pPr>
        <w:pStyle w:val="Point0"/>
        <w:rPr>
          <w:noProof/>
        </w:rPr>
      </w:pPr>
      <w:r w:rsidRPr="00EF15A7">
        <w:t>(1)</w:t>
      </w:r>
      <w:r w:rsidRPr="00EF15A7">
        <w:tab/>
      </w:r>
      <w:r w:rsidR="009B363A">
        <w:rPr>
          <w:noProof/>
        </w:rPr>
        <w:t>p</w:t>
      </w:r>
      <w:r w:rsidR="00FD2C7A">
        <w:rPr>
          <w:noProof/>
        </w:rPr>
        <w:t xml:space="preserve">aragraph </w:t>
      </w:r>
      <w:r w:rsidR="00D915A0">
        <w:rPr>
          <w:noProof/>
        </w:rPr>
        <w:t>1 is replaced by the following:</w:t>
      </w:r>
    </w:p>
    <w:p w14:paraId="4B60426F" w14:textId="77777777" w:rsidR="008C513B" w:rsidRDefault="00562D41" w:rsidP="00562D41">
      <w:pPr>
        <w:pStyle w:val="Text1"/>
        <w:rPr>
          <w:noProof/>
        </w:rPr>
      </w:pPr>
      <w:r w:rsidRPr="00515F7F">
        <w:rPr>
          <w:noProof/>
        </w:rPr>
        <w:t>“</w:t>
      </w:r>
      <w:r>
        <w:rPr>
          <w:noProof/>
        </w:rPr>
        <w:t xml:space="preserve">1. </w:t>
      </w:r>
      <w:r w:rsidR="006A79EA" w:rsidRPr="006A79EA">
        <w:rPr>
          <w:noProof/>
        </w:rPr>
        <w:t xml:space="preserve">Visas for stays exceeding </w:t>
      </w:r>
      <w:r w:rsidR="009175D1">
        <w:rPr>
          <w:noProof/>
        </w:rPr>
        <w:t>90 days</w:t>
      </w:r>
      <w:r w:rsidR="006A79EA" w:rsidRPr="006A79EA">
        <w:rPr>
          <w:noProof/>
        </w:rPr>
        <w:t xml:space="preserve"> (long-stay visas) shall be national visas issued by one of the Member States in accordance with its national law or Union law. Such visas shall be </w:t>
      </w:r>
      <w:r w:rsidR="00FD2C7A">
        <w:rPr>
          <w:noProof/>
        </w:rPr>
        <w:t>in</w:t>
      </w:r>
      <w:r w:rsidR="006A79EA" w:rsidRPr="006A79EA">
        <w:rPr>
          <w:noProof/>
        </w:rPr>
        <w:t xml:space="preserve"> issued</w:t>
      </w:r>
      <w:r w:rsidR="00FD2C7A">
        <w:rPr>
          <w:noProof/>
        </w:rPr>
        <w:t xml:space="preserve"> </w:t>
      </w:r>
      <w:r w:rsidR="00FD2C7A" w:rsidRPr="00FD2C7A">
        <w:rPr>
          <w:noProof/>
        </w:rPr>
        <w:t xml:space="preserve">digital format </w:t>
      </w:r>
      <w:r w:rsidR="00D40316">
        <w:rPr>
          <w:noProof/>
        </w:rPr>
        <w:t xml:space="preserve">referred to </w:t>
      </w:r>
      <w:r w:rsidR="00FD2C7A" w:rsidRPr="00FD2C7A">
        <w:rPr>
          <w:noProof/>
        </w:rPr>
        <w:t xml:space="preserve">in Article </w:t>
      </w:r>
      <w:r w:rsidR="00FD2C7A" w:rsidRPr="00B55FEF">
        <w:rPr>
          <w:noProof/>
        </w:rPr>
        <w:t>26</w:t>
      </w:r>
      <w:r w:rsidR="003556CB">
        <w:rPr>
          <w:noProof/>
        </w:rPr>
        <w:t>a</w:t>
      </w:r>
      <w:r w:rsidR="00FD2C7A" w:rsidRPr="00FD2C7A">
        <w:rPr>
          <w:noProof/>
        </w:rPr>
        <w:t xml:space="preserve"> of Regulation (EC) No 810/2009</w:t>
      </w:r>
      <w:r w:rsidR="00FD2C7A">
        <w:rPr>
          <w:noProof/>
        </w:rPr>
        <w:t xml:space="preserve">. </w:t>
      </w:r>
    </w:p>
    <w:p w14:paraId="46E1817A" w14:textId="77777777" w:rsidR="006A79EA" w:rsidRDefault="00FD2C7A" w:rsidP="00562D41">
      <w:pPr>
        <w:pStyle w:val="Text1"/>
        <w:rPr>
          <w:noProof/>
        </w:rPr>
      </w:pPr>
      <w:r>
        <w:rPr>
          <w:noProof/>
        </w:rPr>
        <w:t xml:space="preserve">By way of exception, </w:t>
      </w:r>
      <w:r w:rsidRPr="008075CF">
        <w:rPr>
          <w:noProof/>
        </w:rPr>
        <w:t xml:space="preserve">Member States </w:t>
      </w:r>
      <w:r>
        <w:rPr>
          <w:noProof/>
        </w:rPr>
        <w:t>wh</w:t>
      </w:r>
      <w:r w:rsidR="00BF2A01">
        <w:rPr>
          <w:noProof/>
        </w:rPr>
        <w:t>ich</w:t>
      </w:r>
      <w:r>
        <w:rPr>
          <w:noProof/>
        </w:rPr>
        <w:t xml:space="preserve"> do not issue visas in digital format </w:t>
      </w:r>
      <w:r w:rsidR="00D40316">
        <w:rPr>
          <w:noProof/>
        </w:rPr>
        <w:t xml:space="preserve">referred to </w:t>
      </w:r>
      <w:r>
        <w:rPr>
          <w:noProof/>
        </w:rPr>
        <w:t xml:space="preserve">in Article </w:t>
      </w:r>
      <w:r w:rsidRPr="00B55FEF">
        <w:rPr>
          <w:noProof/>
        </w:rPr>
        <w:t>26</w:t>
      </w:r>
      <w:r w:rsidR="003556CB">
        <w:rPr>
          <w:noProof/>
        </w:rPr>
        <w:t>a</w:t>
      </w:r>
      <w:r>
        <w:rPr>
          <w:noProof/>
        </w:rPr>
        <w:t xml:space="preserve"> of </w:t>
      </w:r>
      <w:r w:rsidRPr="008075CF">
        <w:rPr>
          <w:noProof/>
        </w:rPr>
        <w:t>Regulation (EC) No 810/2009</w:t>
      </w:r>
      <w:r>
        <w:rPr>
          <w:noProof/>
        </w:rPr>
        <w:t xml:space="preserve"> shall issue visas</w:t>
      </w:r>
      <w:r w:rsidR="006A79EA" w:rsidRPr="006A79EA">
        <w:rPr>
          <w:noProof/>
        </w:rPr>
        <w:t xml:space="preserve"> in the uniform format for visas as set out in Council Regulation (EC) No 1683/95 </w:t>
      </w:r>
      <w:r w:rsidR="006A79EA" w:rsidRPr="008C513B">
        <w:rPr>
          <w:noProof/>
          <w:vertAlign w:val="superscript"/>
        </w:rPr>
        <w:t xml:space="preserve">( </w:t>
      </w:r>
      <w:r w:rsidR="008C513B">
        <w:rPr>
          <w:noProof/>
          <w:vertAlign w:val="superscript"/>
        </w:rPr>
        <w:t>*</w:t>
      </w:r>
      <w:r w:rsidR="006A79EA" w:rsidRPr="008C513B">
        <w:rPr>
          <w:noProof/>
          <w:vertAlign w:val="superscript"/>
        </w:rPr>
        <w:t xml:space="preserve"> )</w:t>
      </w:r>
      <w:r w:rsidR="006A79EA" w:rsidRPr="006A79EA">
        <w:rPr>
          <w:noProof/>
        </w:rPr>
        <w:t xml:space="preserve"> with the heading specifying the type of visa with the letter “D”. They shall be filled out in accordance with the relevant provisions of Annex VII to Regulation (EC) No 810/2009 of the European Parliament and of the Council of 13 July 2009 establishing a Community Code on Visas (Visa Code)</w:t>
      </w:r>
      <w:r w:rsidR="006A79EA">
        <w:rPr>
          <w:noProof/>
        </w:rPr>
        <w:t>.</w:t>
      </w:r>
      <w:r w:rsidR="00562D41" w:rsidRPr="00DF490F">
        <w:rPr>
          <w:noProof/>
        </w:rPr>
        <w:t>”</w:t>
      </w:r>
      <w:r w:rsidR="00562D41">
        <w:rPr>
          <w:noProof/>
        </w:rPr>
        <w:t>;</w:t>
      </w:r>
    </w:p>
    <w:p w14:paraId="54310767" w14:textId="3D44B359" w:rsidR="00FD2C7A" w:rsidRPr="00FD2C7A" w:rsidRDefault="00EF15A7" w:rsidP="00EF15A7">
      <w:pPr>
        <w:pStyle w:val="Point0"/>
        <w:rPr>
          <w:noProof/>
        </w:rPr>
      </w:pPr>
      <w:r w:rsidRPr="00EF15A7">
        <w:t>(2)</w:t>
      </w:r>
      <w:r w:rsidRPr="00EF15A7">
        <w:tab/>
      </w:r>
      <w:r w:rsidR="009B363A">
        <w:rPr>
          <w:noProof/>
        </w:rPr>
        <w:t>t</w:t>
      </w:r>
      <w:r w:rsidR="00FD2C7A">
        <w:rPr>
          <w:noProof/>
        </w:rPr>
        <w:t>he f</w:t>
      </w:r>
      <w:r w:rsidR="00D915A0">
        <w:rPr>
          <w:noProof/>
        </w:rPr>
        <w:t>ollowing paragraph</w:t>
      </w:r>
      <w:r w:rsidR="005614D5">
        <w:rPr>
          <w:noProof/>
        </w:rPr>
        <w:t xml:space="preserve"> 1a</w:t>
      </w:r>
      <w:r w:rsidR="00D915A0">
        <w:rPr>
          <w:noProof/>
        </w:rPr>
        <w:t xml:space="preserve"> is inserted:</w:t>
      </w:r>
    </w:p>
    <w:p w14:paraId="77F5CB56" w14:textId="77777777" w:rsidR="00FD2C7A" w:rsidRPr="00FD2C7A" w:rsidRDefault="00562D41" w:rsidP="00562D41">
      <w:pPr>
        <w:pStyle w:val="Text1"/>
        <w:rPr>
          <w:noProof/>
        </w:rPr>
      </w:pPr>
      <w:r w:rsidRPr="00515F7F">
        <w:rPr>
          <w:noProof/>
        </w:rPr>
        <w:t>“</w:t>
      </w:r>
      <w:r>
        <w:rPr>
          <w:noProof/>
        </w:rPr>
        <w:t>1a. L</w:t>
      </w:r>
      <w:r w:rsidRPr="006A79EA">
        <w:rPr>
          <w:noProof/>
        </w:rPr>
        <w:t>ong-stay visas</w:t>
      </w:r>
      <w:r>
        <w:rPr>
          <w:noProof/>
        </w:rPr>
        <w:t xml:space="preserve"> issued in digital format shall be notified to applicants by electronic means </w:t>
      </w:r>
      <w:r w:rsidR="007423AE">
        <w:rPr>
          <w:noProof/>
        </w:rPr>
        <w:t>in accordance with</w:t>
      </w:r>
      <w:r>
        <w:rPr>
          <w:noProof/>
        </w:rPr>
        <w:t xml:space="preserve"> </w:t>
      </w:r>
      <w:r w:rsidR="00B825DE">
        <w:rPr>
          <w:noProof/>
        </w:rPr>
        <w:t>Article 7f</w:t>
      </w:r>
      <w:r>
        <w:rPr>
          <w:noProof/>
        </w:rPr>
        <w:t xml:space="preserve"> of Regulation (EC) </w:t>
      </w:r>
      <w:r w:rsidRPr="00562D41">
        <w:rPr>
          <w:noProof/>
        </w:rPr>
        <w:t>No 767/2008</w:t>
      </w:r>
      <w:r>
        <w:rPr>
          <w:noProof/>
        </w:rPr>
        <w:t>.</w:t>
      </w:r>
      <w:r w:rsidRPr="00DF490F">
        <w:rPr>
          <w:noProof/>
        </w:rPr>
        <w:t>”</w:t>
      </w:r>
      <w:r>
        <w:rPr>
          <w:noProof/>
        </w:rPr>
        <w:t xml:space="preserve">. </w:t>
      </w:r>
    </w:p>
    <w:p w14:paraId="2B86A90A" w14:textId="77777777" w:rsidR="007F29CC" w:rsidRDefault="007F29CC" w:rsidP="007F29CC">
      <w:pPr>
        <w:pStyle w:val="Titrearticle"/>
        <w:rPr>
          <w:noProof/>
        </w:rPr>
      </w:pPr>
      <w:r>
        <w:rPr>
          <w:noProof/>
        </w:rPr>
        <w:t>Article 7</w:t>
      </w:r>
      <w:r>
        <w:rPr>
          <w:noProof/>
        </w:rPr>
        <w:br/>
        <w:t xml:space="preserve">Amendment to </w:t>
      </w:r>
      <w:r w:rsidR="00B1250C" w:rsidRPr="00B1250C">
        <w:rPr>
          <w:noProof/>
        </w:rPr>
        <w:t>Council Regulation (EC) No 693/</w:t>
      </w:r>
      <w:r w:rsidR="00B1250C" w:rsidRPr="00754F2A">
        <w:rPr>
          <w:noProof/>
        </w:rPr>
        <w:t>2003</w:t>
      </w:r>
      <w:r w:rsidR="005614D5" w:rsidRPr="00754F2A">
        <w:rPr>
          <w:rStyle w:val="FootnoteReference"/>
          <w:noProof/>
        </w:rPr>
        <w:footnoteReference w:id="71"/>
      </w:r>
    </w:p>
    <w:p w14:paraId="680FB5C7" w14:textId="77777777" w:rsidR="007F29CC" w:rsidRDefault="007F29CC" w:rsidP="007F29CC">
      <w:pPr>
        <w:rPr>
          <w:noProof/>
        </w:rPr>
      </w:pPr>
      <w:r w:rsidRPr="007F29CC">
        <w:rPr>
          <w:noProof/>
        </w:rPr>
        <w:t xml:space="preserve">Regulation (EC) No 693/2003 </w:t>
      </w:r>
      <w:r w:rsidR="00D915A0">
        <w:rPr>
          <w:noProof/>
        </w:rPr>
        <w:t>is amended as follows:</w:t>
      </w:r>
    </w:p>
    <w:p w14:paraId="3DBD88A2" w14:textId="323BDAC6" w:rsidR="00DC6C4B" w:rsidRDefault="00EF15A7" w:rsidP="00EF15A7">
      <w:pPr>
        <w:pStyle w:val="Point0"/>
        <w:rPr>
          <w:noProof/>
        </w:rPr>
      </w:pPr>
      <w:r w:rsidRPr="00EF15A7">
        <w:t>(1)</w:t>
      </w:r>
      <w:r w:rsidRPr="00EF15A7">
        <w:tab/>
      </w:r>
      <w:r w:rsidR="00C87416">
        <w:rPr>
          <w:noProof/>
        </w:rPr>
        <w:t xml:space="preserve">in </w:t>
      </w:r>
      <w:r w:rsidR="00DC6C4B" w:rsidRPr="00DC6C4B">
        <w:rPr>
          <w:noProof/>
        </w:rPr>
        <w:t>Article 2</w:t>
      </w:r>
      <w:r w:rsidR="00C87416">
        <w:rPr>
          <w:noProof/>
        </w:rPr>
        <w:t>,</w:t>
      </w:r>
      <w:r w:rsidR="00DC6C4B" w:rsidRPr="00DC6C4B">
        <w:rPr>
          <w:noProof/>
        </w:rPr>
        <w:t xml:space="preserve"> paragraph </w:t>
      </w:r>
      <w:r w:rsidR="00522FB2">
        <w:rPr>
          <w:noProof/>
        </w:rPr>
        <w:t>3</w:t>
      </w:r>
      <w:r w:rsidR="00DC6C4B" w:rsidRPr="00DC6C4B">
        <w:rPr>
          <w:noProof/>
        </w:rPr>
        <w:t xml:space="preserve"> is replaced by the following</w:t>
      </w:r>
      <w:r w:rsidR="00DC6C4B">
        <w:rPr>
          <w:noProof/>
        </w:rPr>
        <w:t>:</w:t>
      </w:r>
    </w:p>
    <w:p w14:paraId="2B2F7390" w14:textId="77777777" w:rsidR="005614D5" w:rsidRDefault="00DC6C4B" w:rsidP="00DC6C4B">
      <w:pPr>
        <w:ind w:left="720"/>
        <w:rPr>
          <w:noProof/>
        </w:rPr>
      </w:pPr>
      <w:r w:rsidRPr="00515F7F">
        <w:rPr>
          <w:noProof/>
        </w:rPr>
        <w:t>“</w:t>
      </w:r>
      <w:r>
        <w:rPr>
          <w:noProof/>
        </w:rPr>
        <w:t xml:space="preserve">3. </w:t>
      </w:r>
      <w:r w:rsidR="00D915A0">
        <w:rPr>
          <w:noProof/>
        </w:rPr>
        <w:t>The FTD/FRTD shall be issued in</w:t>
      </w:r>
      <w:r w:rsidRPr="000D7162">
        <w:rPr>
          <w:noProof/>
        </w:rPr>
        <w:t xml:space="preserve"> digital format </w:t>
      </w:r>
      <w:r w:rsidR="00D40316">
        <w:rPr>
          <w:noProof/>
        </w:rPr>
        <w:t xml:space="preserve">referred to </w:t>
      </w:r>
      <w:r w:rsidRPr="000D7162">
        <w:rPr>
          <w:noProof/>
        </w:rPr>
        <w:t>in Article 26</w:t>
      </w:r>
      <w:r w:rsidR="003556CB">
        <w:rPr>
          <w:noProof/>
        </w:rPr>
        <w:t>a</w:t>
      </w:r>
      <w:r w:rsidRPr="000D7162">
        <w:rPr>
          <w:noProof/>
        </w:rPr>
        <w:t xml:space="preserve"> of Regulation (EC) No 810/200</w:t>
      </w:r>
      <w:r w:rsidRPr="00BA7C77">
        <w:rPr>
          <w:noProof/>
        </w:rPr>
        <w:t>9</w:t>
      </w:r>
      <w:r w:rsidR="005614D5">
        <w:rPr>
          <w:noProof/>
        </w:rPr>
        <w:t>*</w:t>
      </w:r>
    </w:p>
    <w:p w14:paraId="56712471" w14:textId="77777777" w:rsidR="005614D5" w:rsidRDefault="005614D5" w:rsidP="00754F2A">
      <w:pPr>
        <w:pStyle w:val="Text1"/>
        <w:rPr>
          <w:noProof/>
        </w:rPr>
      </w:pPr>
      <w:r>
        <w:rPr>
          <w:noProof/>
        </w:rPr>
        <w:t>__________</w:t>
      </w:r>
    </w:p>
    <w:p w14:paraId="4D8FE7AE" w14:textId="77777777" w:rsidR="00DC6C4B" w:rsidRDefault="005614D5" w:rsidP="005614D5">
      <w:pPr>
        <w:ind w:left="720"/>
        <w:rPr>
          <w:noProof/>
        </w:rPr>
      </w:pPr>
      <w:r>
        <w:rPr>
          <w:noProof/>
        </w:rPr>
        <w:t xml:space="preserve">* </w:t>
      </w:r>
      <w:r w:rsidRPr="00A917DD">
        <w:rPr>
          <w:noProof/>
        </w:rPr>
        <w:t>Regulation (EC) No 810/2009 of the European Parliament and of the Council of 13 July 2009 establishing a Community Code on Visas (Visa Code) (OJ L 243 15.9.2009, p. 1)</w:t>
      </w:r>
      <w:r w:rsidR="00DC6C4B">
        <w:rPr>
          <w:noProof/>
        </w:rPr>
        <w:t>.”;</w:t>
      </w:r>
    </w:p>
    <w:p w14:paraId="24B7D5E1" w14:textId="45BE57D2" w:rsidR="00796D24" w:rsidRDefault="00EF15A7" w:rsidP="00EF15A7">
      <w:pPr>
        <w:pStyle w:val="Point0"/>
        <w:rPr>
          <w:noProof/>
        </w:rPr>
      </w:pPr>
      <w:r w:rsidRPr="00EF15A7">
        <w:t>(2)</w:t>
      </w:r>
      <w:r w:rsidRPr="00EF15A7">
        <w:tab/>
      </w:r>
      <w:r w:rsidR="009A76D0">
        <w:rPr>
          <w:noProof/>
        </w:rPr>
        <w:t xml:space="preserve">Article </w:t>
      </w:r>
      <w:r w:rsidR="00892F88">
        <w:rPr>
          <w:noProof/>
        </w:rPr>
        <w:t>5</w:t>
      </w:r>
      <w:r w:rsidR="00796D24">
        <w:rPr>
          <w:noProof/>
        </w:rPr>
        <w:t xml:space="preserve"> is amended as follows:</w:t>
      </w:r>
    </w:p>
    <w:p w14:paraId="3B94E025" w14:textId="01F24143" w:rsidR="00796D24" w:rsidRPr="00796D24" w:rsidRDefault="00EF15A7" w:rsidP="00EF15A7">
      <w:pPr>
        <w:pStyle w:val="Point0"/>
        <w:rPr>
          <w:noProof/>
        </w:rPr>
      </w:pPr>
      <w:r w:rsidRPr="00EF15A7">
        <w:t>(a)</w:t>
      </w:r>
      <w:r w:rsidRPr="00EF15A7">
        <w:tab/>
      </w:r>
      <w:r w:rsidR="00796D24">
        <w:rPr>
          <w:noProof/>
        </w:rPr>
        <w:t>In paragraph 1, the first</w:t>
      </w:r>
      <w:r w:rsidR="00796D24" w:rsidRPr="00796D24">
        <w:rPr>
          <w:noProof/>
        </w:rPr>
        <w:t xml:space="preserve"> sentence is replaced by the following:</w:t>
      </w:r>
    </w:p>
    <w:p w14:paraId="5967C940" w14:textId="77777777" w:rsidR="00796D24" w:rsidRDefault="00796D24" w:rsidP="00796D24">
      <w:pPr>
        <w:pStyle w:val="Text1"/>
        <w:rPr>
          <w:noProof/>
        </w:rPr>
      </w:pPr>
      <w:r w:rsidRPr="00515F7F">
        <w:rPr>
          <w:noProof/>
        </w:rPr>
        <w:t>“</w:t>
      </w:r>
      <w:r w:rsidRPr="00796D24">
        <w:rPr>
          <w:noProof/>
        </w:rPr>
        <w:t xml:space="preserve">The application for an FTD shall be </w:t>
      </w:r>
      <w:r>
        <w:rPr>
          <w:noProof/>
        </w:rPr>
        <w:t>submitted</w:t>
      </w:r>
      <w:r w:rsidRPr="00796D24">
        <w:rPr>
          <w:noProof/>
        </w:rPr>
        <w:t xml:space="preserve"> to the consular authorities of a Member State which has communicated its decision to issue the FTD/FRTD in accordance with Article 12. </w:t>
      </w:r>
      <w:r>
        <w:rPr>
          <w:noProof/>
        </w:rPr>
        <w:t>”;</w:t>
      </w:r>
    </w:p>
    <w:p w14:paraId="7DA085F8" w14:textId="710257E1" w:rsidR="009A76D0" w:rsidRDefault="00EF15A7" w:rsidP="00EF15A7">
      <w:pPr>
        <w:pStyle w:val="Point0"/>
        <w:rPr>
          <w:noProof/>
        </w:rPr>
      </w:pPr>
      <w:r w:rsidRPr="00EF15A7">
        <w:t>(b)</w:t>
      </w:r>
      <w:r w:rsidRPr="00EF15A7">
        <w:tab/>
      </w:r>
      <w:r w:rsidR="00796D24">
        <w:rPr>
          <w:noProof/>
        </w:rPr>
        <w:t xml:space="preserve">the </w:t>
      </w:r>
      <w:r w:rsidR="00892F88">
        <w:rPr>
          <w:noProof/>
        </w:rPr>
        <w:t xml:space="preserve">following paragraph </w:t>
      </w:r>
      <w:r w:rsidR="005614D5">
        <w:rPr>
          <w:noProof/>
        </w:rPr>
        <w:t xml:space="preserve">5 </w:t>
      </w:r>
      <w:r w:rsidR="00892F88">
        <w:rPr>
          <w:noProof/>
        </w:rPr>
        <w:t>is inserted</w:t>
      </w:r>
      <w:r w:rsidR="009A76D0">
        <w:rPr>
          <w:noProof/>
        </w:rPr>
        <w:t>:</w:t>
      </w:r>
    </w:p>
    <w:p w14:paraId="1240869D" w14:textId="77777777" w:rsidR="009A76D0" w:rsidRDefault="009A76D0" w:rsidP="00495EF5">
      <w:pPr>
        <w:pStyle w:val="Text1"/>
        <w:rPr>
          <w:noProof/>
        </w:rPr>
      </w:pPr>
      <w:r w:rsidRPr="00515F7F">
        <w:rPr>
          <w:noProof/>
        </w:rPr>
        <w:t>“</w:t>
      </w:r>
      <w:r w:rsidR="00892F88">
        <w:rPr>
          <w:noProof/>
        </w:rPr>
        <w:t xml:space="preserve">5. </w:t>
      </w:r>
      <w:r w:rsidRPr="009A76D0">
        <w:rPr>
          <w:noProof/>
        </w:rPr>
        <w:t>The application for an FTD</w:t>
      </w:r>
      <w:r w:rsidR="00180133">
        <w:rPr>
          <w:noProof/>
        </w:rPr>
        <w:t xml:space="preserve"> and FRTD</w:t>
      </w:r>
      <w:r w:rsidRPr="009A76D0">
        <w:rPr>
          <w:noProof/>
        </w:rPr>
        <w:t xml:space="preserve"> shall be </w:t>
      </w:r>
      <w:r>
        <w:rPr>
          <w:noProof/>
        </w:rPr>
        <w:t xml:space="preserve">carried out using </w:t>
      </w:r>
      <w:r w:rsidR="00D32F59">
        <w:rPr>
          <w:noProof/>
        </w:rPr>
        <w:t xml:space="preserve">an </w:t>
      </w:r>
      <w:r>
        <w:rPr>
          <w:noProof/>
        </w:rPr>
        <w:t xml:space="preserve">online application </w:t>
      </w:r>
      <w:r w:rsidR="00BB74AB">
        <w:rPr>
          <w:noProof/>
        </w:rPr>
        <w:t xml:space="preserve"> tool</w:t>
      </w:r>
      <w:r w:rsidRPr="009A76D0">
        <w:rPr>
          <w:noProof/>
        </w:rPr>
        <w:t>.</w:t>
      </w:r>
      <w:r>
        <w:rPr>
          <w:noProof/>
        </w:rPr>
        <w:t xml:space="preserve"> </w:t>
      </w:r>
      <w:r w:rsidR="00892F88">
        <w:rPr>
          <w:noProof/>
        </w:rPr>
        <w:t xml:space="preserve">The online application </w:t>
      </w:r>
      <w:r w:rsidR="00BB74AB">
        <w:rPr>
          <w:noProof/>
        </w:rPr>
        <w:t xml:space="preserve">tool </w:t>
      </w:r>
      <w:r w:rsidR="00892F88">
        <w:rPr>
          <w:noProof/>
        </w:rPr>
        <w:t>shall contain data referred to in paragraphs 3 and 4 of this Article.”.</w:t>
      </w:r>
    </w:p>
    <w:p w14:paraId="5078F0E7" w14:textId="7573A809" w:rsidR="00652A2C" w:rsidRDefault="00EF15A7" w:rsidP="00EF15A7">
      <w:pPr>
        <w:pStyle w:val="Point0"/>
        <w:rPr>
          <w:noProof/>
        </w:rPr>
      </w:pPr>
      <w:r w:rsidRPr="00EF15A7">
        <w:t>(3)</w:t>
      </w:r>
      <w:r w:rsidRPr="00EF15A7">
        <w:tab/>
      </w:r>
      <w:r w:rsidR="00C87416">
        <w:rPr>
          <w:noProof/>
        </w:rPr>
        <w:t>i</w:t>
      </w:r>
      <w:r w:rsidR="00892F88">
        <w:rPr>
          <w:noProof/>
        </w:rPr>
        <w:t>n Article 6</w:t>
      </w:r>
      <w:r w:rsidR="00C87416">
        <w:rPr>
          <w:noProof/>
        </w:rPr>
        <w:t>,</w:t>
      </w:r>
      <w:r w:rsidR="00892F88">
        <w:rPr>
          <w:noProof/>
        </w:rPr>
        <w:t xml:space="preserve"> paragraph</w:t>
      </w:r>
      <w:r w:rsidR="00522518">
        <w:rPr>
          <w:noProof/>
        </w:rPr>
        <w:t>s</w:t>
      </w:r>
      <w:r w:rsidR="00892F88">
        <w:rPr>
          <w:noProof/>
        </w:rPr>
        <w:t xml:space="preserve"> 2</w:t>
      </w:r>
      <w:r w:rsidR="00C87416">
        <w:rPr>
          <w:noProof/>
        </w:rPr>
        <w:t>, 3 and</w:t>
      </w:r>
      <w:r w:rsidR="00892F88">
        <w:rPr>
          <w:noProof/>
        </w:rPr>
        <w:t xml:space="preserve"> 4 are replaced by the following:</w:t>
      </w:r>
    </w:p>
    <w:p w14:paraId="4ABEACC7" w14:textId="77777777" w:rsidR="00892F88" w:rsidRDefault="00892F88" w:rsidP="00495EF5">
      <w:pPr>
        <w:pStyle w:val="Text1"/>
        <w:rPr>
          <w:noProof/>
        </w:rPr>
      </w:pPr>
      <w:r w:rsidRPr="00515F7F">
        <w:rPr>
          <w:noProof/>
        </w:rPr>
        <w:t>“</w:t>
      </w:r>
      <w:r>
        <w:rPr>
          <w:noProof/>
        </w:rPr>
        <w:t>2. No FTD/FRTD shall be issued for a travel document that has expired.</w:t>
      </w:r>
    </w:p>
    <w:p w14:paraId="0FF7267D" w14:textId="77777777" w:rsidR="00892F88" w:rsidRDefault="00892F88" w:rsidP="00495EF5">
      <w:pPr>
        <w:pStyle w:val="Text1"/>
        <w:rPr>
          <w:noProof/>
        </w:rPr>
      </w:pPr>
      <w:r>
        <w:rPr>
          <w:noProof/>
        </w:rPr>
        <w:t>3. The period of validity of the travel doc</w:t>
      </w:r>
      <w:r w:rsidR="00D915A0">
        <w:rPr>
          <w:noProof/>
        </w:rPr>
        <w:t>ument for which the FTD/FRTD is</w:t>
      </w:r>
      <w:r>
        <w:rPr>
          <w:noProof/>
        </w:rPr>
        <w:t xml:space="preserve"> issued shall be longer than that of the FTD/FRTD.</w:t>
      </w:r>
    </w:p>
    <w:p w14:paraId="178C34DF" w14:textId="77777777" w:rsidR="00892F88" w:rsidRDefault="00D915A0" w:rsidP="00495EF5">
      <w:pPr>
        <w:pStyle w:val="Text1"/>
        <w:rPr>
          <w:noProof/>
        </w:rPr>
      </w:pPr>
      <w:r>
        <w:rPr>
          <w:noProof/>
        </w:rPr>
        <w:t>4. No FTD/FRTD shall be</w:t>
      </w:r>
      <w:r w:rsidR="00892F88">
        <w:rPr>
          <w:noProof/>
        </w:rPr>
        <w:t xml:space="preserve"> issued for a travel document if that travel document is not vali</w:t>
      </w:r>
      <w:r>
        <w:rPr>
          <w:noProof/>
        </w:rPr>
        <w:t>d for any of the Member States.</w:t>
      </w:r>
      <w:r w:rsidR="00892F88">
        <w:rPr>
          <w:noProof/>
        </w:rPr>
        <w:t xml:space="preserve"> If a travel document is only valid for one Member State or for a number of Member States, the FTD/FRTD shall be limited to the Member State or Member States in question.”.</w:t>
      </w:r>
    </w:p>
    <w:p w14:paraId="78D50FF9" w14:textId="77777777" w:rsidR="00E869C9" w:rsidRDefault="00162282" w:rsidP="00E869C9">
      <w:pPr>
        <w:pStyle w:val="Titrearticle"/>
        <w:rPr>
          <w:noProof/>
        </w:rPr>
      </w:pPr>
      <w:r>
        <w:rPr>
          <w:noProof/>
        </w:rPr>
        <w:t>Article 8</w:t>
      </w:r>
      <w:r w:rsidR="00E869C9">
        <w:rPr>
          <w:noProof/>
        </w:rPr>
        <w:br/>
        <w:t xml:space="preserve">Amendments to </w:t>
      </w:r>
      <w:r w:rsidR="00E869C9" w:rsidRPr="00E869C9">
        <w:rPr>
          <w:noProof/>
        </w:rPr>
        <w:t>Regulation (EU) 2017/2226</w:t>
      </w:r>
      <w:r w:rsidR="005614D5">
        <w:rPr>
          <w:noProof/>
        </w:rPr>
        <w:t xml:space="preserve"> of the European Parliament and of the Council</w:t>
      </w:r>
      <w:r w:rsidR="005614D5">
        <w:rPr>
          <w:rStyle w:val="FootnoteReference"/>
          <w:noProof/>
        </w:rPr>
        <w:footnoteReference w:id="72"/>
      </w:r>
      <w:r w:rsidR="00E869C9">
        <w:rPr>
          <w:noProof/>
        </w:rPr>
        <w:t xml:space="preserve"> </w:t>
      </w:r>
    </w:p>
    <w:p w14:paraId="20D2AFCE" w14:textId="77777777" w:rsidR="00E869C9" w:rsidRDefault="00E869C9" w:rsidP="00E869C9">
      <w:pPr>
        <w:rPr>
          <w:noProof/>
        </w:rPr>
      </w:pPr>
      <w:r w:rsidRPr="00E869C9">
        <w:rPr>
          <w:noProof/>
        </w:rPr>
        <w:t>Regulation (EU) 2017/2226</w:t>
      </w:r>
      <w:r>
        <w:rPr>
          <w:noProof/>
        </w:rPr>
        <w:t xml:space="preserve"> is amended as follows:</w:t>
      </w:r>
    </w:p>
    <w:p w14:paraId="4DAF3E7D" w14:textId="6C1B7C12" w:rsidR="00E869C9" w:rsidRPr="00D62E54" w:rsidRDefault="00EF15A7" w:rsidP="00EF15A7">
      <w:pPr>
        <w:pStyle w:val="Point0"/>
        <w:rPr>
          <w:noProof/>
        </w:rPr>
      </w:pPr>
      <w:r w:rsidRPr="00EF15A7">
        <w:t>(1)</w:t>
      </w:r>
      <w:r w:rsidRPr="00EF15A7">
        <w:tab/>
      </w:r>
      <w:r w:rsidR="00761992" w:rsidRPr="00057DA8">
        <w:rPr>
          <w:noProof/>
        </w:rPr>
        <w:t>in Article 16(2), point (d) is replaced by the following:</w:t>
      </w:r>
    </w:p>
    <w:p w14:paraId="56FD1448" w14:textId="77777777" w:rsidR="00761992" w:rsidRPr="00EC0933" w:rsidRDefault="00761992" w:rsidP="00754F2A">
      <w:pPr>
        <w:pStyle w:val="Text1"/>
        <w:rPr>
          <w:noProof/>
        </w:rPr>
      </w:pPr>
      <w:r w:rsidRPr="00057DA8">
        <w:rPr>
          <w:noProof/>
        </w:rPr>
        <w:t>“(d) where applicable, the short-stay visa number, including the three letter code of the issuing Member State, the type of short-stay visa, the end date of the maximum duration of the stay as authorised by the short-stay visa, which shall be updated at each entry, and the date of expiry of the validity of the short-stay visa;”</w:t>
      </w:r>
    </w:p>
    <w:p w14:paraId="45FFE3F3" w14:textId="1A027A53" w:rsidR="00761992" w:rsidRDefault="00EF15A7" w:rsidP="00EF15A7">
      <w:pPr>
        <w:pStyle w:val="Point0"/>
        <w:rPr>
          <w:noProof/>
        </w:rPr>
      </w:pPr>
      <w:r w:rsidRPr="00EF15A7">
        <w:t>(2)</w:t>
      </w:r>
      <w:r w:rsidRPr="00EF15A7">
        <w:tab/>
      </w:r>
      <w:r w:rsidR="00A91EDE" w:rsidRPr="00907D78">
        <w:rPr>
          <w:noProof/>
        </w:rPr>
        <w:t xml:space="preserve">Article </w:t>
      </w:r>
      <w:r w:rsidR="00A91EDE">
        <w:rPr>
          <w:noProof/>
        </w:rPr>
        <w:t>19</w:t>
      </w:r>
      <w:r w:rsidR="00761992">
        <w:rPr>
          <w:noProof/>
        </w:rPr>
        <w:t xml:space="preserve"> is amended as follows:</w:t>
      </w:r>
      <w:r w:rsidR="00A91EDE" w:rsidRPr="00907D78">
        <w:rPr>
          <w:noProof/>
        </w:rPr>
        <w:t xml:space="preserve">, </w:t>
      </w:r>
    </w:p>
    <w:p w14:paraId="04D8BA4C" w14:textId="42AA4AC0" w:rsidR="00761992" w:rsidRPr="00754F2A" w:rsidRDefault="00EF15A7" w:rsidP="00EF15A7">
      <w:pPr>
        <w:pStyle w:val="Point1"/>
        <w:rPr>
          <w:noProof/>
        </w:rPr>
      </w:pPr>
      <w:r w:rsidRPr="00EF15A7">
        <w:t>(a)</w:t>
      </w:r>
      <w:r w:rsidRPr="00EF15A7">
        <w:tab/>
      </w:r>
      <w:r w:rsidR="00761992" w:rsidRPr="00754F2A">
        <w:rPr>
          <w:noProof/>
        </w:rPr>
        <w:t xml:space="preserve">in paragraph </w:t>
      </w:r>
      <w:r w:rsidR="006E5759" w:rsidRPr="00754F2A">
        <w:rPr>
          <w:noProof/>
        </w:rPr>
        <w:t>1</w:t>
      </w:r>
      <w:r w:rsidR="00761992" w:rsidRPr="00754F2A">
        <w:rPr>
          <w:noProof/>
        </w:rPr>
        <w:t>, point (d) is replaced by the following:</w:t>
      </w:r>
    </w:p>
    <w:p w14:paraId="096FA0FF" w14:textId="77777777" w:rsidR="00761992" w:rsidRDefault="00761992" w:rsidP="00754F2A">
      <w:pPr>
        <w:pStyle w:val="Text1"/>
        <w:rPr>
          <w:noProof/>
        </w:rPr>
      </w:pPr>
      <w:r>
        <w:rPr>
          <w:noProof/>
        </w:rPr>
        <w:t>“(d) where applicable, the new visa number, including the three letter code of the issuing country;”;</w:t>
      </w:r>
    </w:p>
    <w:p w14:paraId="1A8010A2" w14:textId="41E67F31" w:rsidR="00A91EDE" w:rsidRDefault="00EF15A7" w:rsidP="00EF15A7">
      <w:pPr>
        <w:pStyle w:val="Point1"/>
        <w:rPr>
          <w:noProof/>
        </w:rPr>
      </w:pPr>
      <w:r w:rsidRPr="00EF15A7">
        <w:t>(b)</w:t>
      </w:r>
      <w:r w:rsidRPr="00EF15A7">
        <w:tab/>
      </w:r>
      <w:r w:rsidR="00A91EDE" w:rsidRPr="00907D78">
        <w:rPr>
          <w:noProof/>
        </w:rPr>
        <w:t>the</w:t>
      </w:r>
      <w:r w:rsidR="00A91EDE">
        <w:rPr>
          <w:noProof/>
        </w:rPr>
        <w:t xml:space="preserve"> following paragraph</w:t>
      </w:r>
      <w:r w:rsidR="005614D5">
        <w:rPr>
          <w:noProof/>
        </w:rPr>
        <w:t xml:space="preserve"> 7</w:t>
      </w:r>
      <w:r w:rsidR="00A91EDE">
        <w:rPr>
          <w:noProof/>
        </w:rPr>
        <w:t xml:space="preserve"> is added:</w:t>
      </w:r>
    </w:p>
    <w:p w14:paraId="3E0AE0F5" w14:textId="77777777" w:rsidR="00A91EDE" w:rsidRPr="00754F2A" w:rsidRDefault="00A91EDE" w:rsidP="00495EF5">
      <w:pPr>
        <w:pStyle w:val="Text1"/>
        <w:rPr>
          <w:noProof/>
        </w:rPr>
      </w:pPr>
      <w:r w:rsidRPr="00A91EDE">
        <w:rPr>
          <w:noProof/>
        </w:rPr>
        <w:t>“</w:t>
      </w:r>
      <w:r>
        <w:rPr>
          <w:noProof/>
        </w:rPr>
        <w:t xml:space="preserve">7. </w:t>
      </w:r>
      <w:r w:rsidRPr="00A91EDE">
        <w:rPr>
          <w:noProof/>
        </w:rPr>
        <w:t xml:space="preserve">Where a decision has been taken to </w:t>
      </w:r>
      <w:r>
        <w:rPr>
          <w:noProof/>
        </w:rPr>
        <w:t xml:space="preserve">confirm a </w:t>
      </w:r>
      <w:r w:rsidR="004561DD">
        <w:rPr>
          <w:noProof/>
        </w:rPr>
        <w:t xml:space="preserve">valid </w:t>
      </w:r>
      <w:r w:rsidR="00761992">
        <w:rPr>
          <w:noProof/>
        </w:rPr>
        <w:t xml:space="preserve">visa </w:t>
      </w:r>
      <w:r w:rsidR="004561DD" w:rsidRPr="00A91EDE">
        <w:rPr>
          <w:noProof/>
        </w:rPr>
        <w:t>in</w:t>
      </w:r>
      <w:r w:rsidRPr="00A91EDE">
        <w:rPr>
          <w:noProof/>
        </w:rPr>
        <w:t xml:space="preserve"> a new travel document, the visa authority which has taken the decision shall immediately retrieve the data provided for in paragraph 1 of this Article from the VIS and </w:t>
      </w:r>
      <w:r w:rsidRPr="00754F2A">
        <w:rPr>
          <w:noProof/>
        </w:rPr>
        <w:t xml:space="preserve">import them directly into the EES in accordance with Articles </w:t>
      </w:r>
      <w:r w:rsidR="00EE312A" w:rsidRPr="00754F2A">
        <w:rPr>
          <w:noProof/>
        </w:rPr>
        <w:t>12a</w:t>
      </w:r>
      <w:r w:rsidRPr="00754F2A">
        <w:rPr>
          <w:noProof/>
        </w:rPr>
        <w:t xml:space="preserve"> of Regulation (EC) No 767/2008.</w:t>
      </w:r>
      <w:r w:rsidR="00D915A0" w:rsidRPr="00754F2A">
        <w:rPr>
          <w:noProof/>
        </w:rPr>
        <w:t>”.</w:t>
      </w:r>
    </w:p>
    <w:p w14:paraId="4264E322" w14:textId="6B5F4BA9" w:rsidR="00761992" w:rsidRPr="00754F2A" w:rsidRDefault="00EF15A7" w:rsidP="00EF15A7">
      <w:pPr>
        <w:pStyle w:val="Point0"/>
        <w:rPr>
          <w:noProof/>
        </w:rPr>
      </w:pPr>
      <w:r w:rsidRPr="00EF15A7">
        <w:t>(3)</w:t>
      </w:r>
      <w:r w:rsidRPr="00EF15A7">
        <w:tab/>
      </w:r>
      <w:r w:rsidR="00761992" w:rsidRPr="00754F2A">
        <w:rPr>
          <w:noProof/>
        </w:rPr>
        <w:t>in Article 24(2), point (b) is replaced by the following:</w:t>
      </w:r>
    </w:p>
    <w:p w14:paraId="336A57CF" w14:textId="77777777" w:rsidR="00761992" w:rsidRPr="00754F2A" w:rsidRDefault="00761992" w:rsidP="00754F2A">
      <w:pPr>
        <w:pStyle w:val="Text1"/>
        <w:rPr>
          <w:noProof/>
        </w:rPr>
      </w:pPr>
      <w:r w:rsidRPr="00754F2A">
        <w:rPr>
          <w:noProof/>
        </w:rPr>
        <w:t xml:space="preserve">“(b) </w:t>
      </w:r>
      <w:r w:rsidRPr="00754F2A">
        <w:rPr>
          <w:rFonts w:hint="eastAsia"/>
          <w:noProof/>
        </w:rPr>
        <w:t>the short-stay visa number, including the three letter code of the issuing Member State referred to in Article 16(2</w:t>
      </w:r>
      <w:r w:rsidRPr="00754F2A">
        <w:rPr>
          <w:noProof/>
        </w:rPr>
        <w:t>),</w:t>
      </w:r>
      <w:r w:rsidRPr="00754F2A">
        <w:rPr>
          <w:rFonts w:hint="eastAsia"/>
          <w:noProof/>
        </w:rPr>
        <w:t xml:space="preserve"> point (d);</w:t>
      </w:r>
      <w:r w:rsidRPr="00754F2A">
        <w:rPr>
          <w:noProof/>
        </w:rPr>
        <w:t>”;</w:t>
      </w:r>
    </w:p>
    <w:p w14:paraId="11B76C7B" w14:textId="6409E9E8" w:rsidR="00761992" w:rsidRPr="00754F2A" w:rsidRDefault="00EF15A7" w:rsidP="00EF15A7">
      <w:pPr>
        <w:pStyle w:val="Point0"/>
        <w:rPr>
          <w:noProof/>
        </w:rPr>
      </w:pPr>
      <w:r w:rsidRPr="00EF15A7">
        <w:t>(4)</w:t>
      </w:r>
      <w:r w:rsidRPr="00EF15A7">
        <w:tab/>
      </w:r>
      <w:r w:rsidR="00761992" w:rsidRPr="00754F2A">
        <w:rPr>
          <w:noProof/>
        </w:rPr>
        <w:t>in Article 32(5), point (c) is replaced by the following:</w:t>
      </w:r>
    </w:p>
    <w:p w14:paraId="44C95AB6" w14:textId="77777777" w:rsidR="00761992" w:rsidRPr="00754F2A" w:rsidRDefault="00761992" w:rsidP="00754F2A">
      <w:pPr>
        <w:pStyle w:val="Text1"/>
        <w:rPr>
          <w:noProof/>
        </w:rPr>
      </w:pPr>
      <w:r w:rsidRPr="00754F2A">
        <w:rPr>
          <w:noProof/>
        </w:rPr>
        <w:t>“(</w:t>
      </w:r>
      <w:r w:rsidR="007B6BAB">
        <w:rPr>
          <w:noProof/>
        </w:rPr>
        <w:t>c</w:t>
      </w:r>
      <w:r w:rsidRPr="00754F2A">
        <w:rPr>
          <w:noProof/>
        </w:rPr>
        <w:t xml:space="preserve">) </w:t>
      </w:r>
      <w:r w:rsidRPr="00754F2A">
        <w:rPr>
          <w:rFonts w:hint="eastAsia"/>
          <w:noProof/>
        </w:rPr>
        <w:t>visa number and the date of expiry of the validity of the visa;</w:t>
      </w:r>
      <w:r w:rsidRPr="00754F2A">
        <w:rPr>
          <w:noProof/>
        </w:rPr>
        <w:t>”.</w:t>
      </w:r>
    </w:p>
    <w:p w14:paraId="7BA9E283" w14:textId="77777777" w:rsidR="00E869C9" w:rsidRDefault="00E869C9" w:rsidP="00495EF5">
      <w:pPr>
        <w:pStyle w:val="Text1"/>
        <w:rPr>
          <w:noProof/>
        </w:rPr>
      </w:pPr>
    </w:p>
    <w:p w14:paraId="3F63B918" w14:textId="77777777" w:rsidR="00B632CA" w:rsidRDefault="00B632CA" w:rsidP="00B632CA">
      <w:pPr>
        <w:pStyle w:val="Titrearticle"/>
        <w:rPr>
          <w:noProof/>
        </w:rPr>
      </w:pPr>
      <w:r>
        <w:rPr>
          <w:noProof/>
        </w:rPr>
        <w:t xml:space="preserve">Article </w:t>
      </w:r>
      <w:r w:rsidR="007B6BAB">
        <w:rPr>
          <w:noProof/>
        </w:rPr>
        <w:t>9</w:t>
      </w:r>
      <w:r>
        <w:rPr>
          <w:noProof/>
        </w:rPr>
        <w:br/>
      </w:r>
      <w:r w:rsidR="0018613C">
        <w:rPr>
          <w:noProof/>
        </w:rPr>
        <w:t>E</w:t>
      </w:r>
      <w:r>
        <w:rPr>
          <w:noProof/>
        </w:rPr>
        <w:t>valuation</w:t>
      </w:r>
      <w:r w:rsidR="0018613C">
        <w:rPr>
          <w:noProof/>
        </w:rPr>
        <w:t xml:space="preserve"> of the EU application platform</w:t>
      </w:r>
    </w:p>
    <w:p w14:paraId="6FC0B125" w14:textId="715EFC82" w:rsidR="00B632CA" w:rsidRDefault="00EF15A7" w:rsidP="00EF15A7">
      <w:pPr>
        <w:pStyle w:val="ManualNumPar1"/>
        <w:rPr>
          <w:noProof/>
        </w:rPr>
      </w:pPr>
      <w:r w:rsidRPr="00EF15A7">
        <w:t>1.</w:t>
      </w:r>
      <w:r w:rsidRPr="00EF15A7">
        <w:tab/>
      </w:r>
      <w:r w:rsidR="002961CC">
        <w:rPr>
          <w:noProof/>
        </w:rPr>
        <w:t>Five</w:t>
      </w:r>
      <w:r w:rsidR="002961CC" w:rsidRPr="00B632CA">
        <w:rPr>
          <w:noProof/>
        </w:rPr>
        <w:t xml:space="preserve"> </w:t>
      </w:r>
      <w:r w:rsidR="00B632CA" w:rsidRPr="00B632CA">
        <w:rPr>
          <w:noProof/>
        </w:rPr>
        <w:t xml:space="preserve">years after the date of </w:t>
      </w:r>
      <w:r w:rsidR="002961CC">
        <w:rPr>
          <w:noProof/>
        </w:rPr>
        <w:t>start of operations</w:t>
      </w:r>
      <w:r w:rsidR="002961CC" w:rsidRPr="00B632CA">
        <w:rPr>
          <w:noProof/>
        </w:rPr>
        <w:t xml:space="preserve"> </w:t>
      </w:r>
      <w:r w:rsidR="002961CC">
        <w:rPr>
          <w:noProof/>
        </w:rPr>
        <w:t>according to Article 12</w:t>
      </w:r>
      <w:r w:rsidR="00B632CA" w:rsidRPr="00B632CA">
        <w:rPr>
          <w:noProof/>
        </w:rPr>
        <w:t xml:space="preserve"> of this Regulation, the Commission shall </w:t>
      </w:r>
      <w:r w:rsidR="0018613C">
        <w:rPr>
          <w:noProof/>
        </w:rPr>
        <w:t>evaluate the operation of the EU application platform.</w:t>
      </w:r>
      <w:r w:rsidR="00F96040">
        <w:rPr>
          <w:noProof/>
        </w:rPr>
        <w:t xml:space="preserve"> </w:t>
      </w:r>
      <w:r w:rsidR="00B632CA" w:rsidRPr="00B632CA">
        <w:rPr>
          <w:noProof/>
        </w:rPr>
        <w:t xml:space="preserve"> </w:t>
      </w:r>
      <w:r w:rsidR="00F96040">
        <w:rPr>
          <w:noProof/>
        </w:rPr>
        <w:t xml:space="preserve">This </w:t>
      </w:r>
      <w:r w:rsidR="00B632CA" w:rsidRPr="00B632CA">
        <w:rPr>
          <w:noProof/>
        </w:rPr>
        <w:t>evaluation shall include an examination of the results achieved against objectives and of the implementation of the provisions of Regulation (EC) No 810/2009</w:t>
      </w:r>
      <w:r w:rsidR="00B632CA">
        <w:rPr>
          <w:noProof/>
        </w:rPr>
        <w:t xml:space="preserve"> and Regulation</w:t>
      </w:r>
      <w:r w:rsidR="00B632CA" w:rsidRPr="00B632CA">
        <w:rPr>
          <w:noProof/>
        </w:rPr>
        <w:t xml:space="preserve"> (EC) No 767/200</w:t>
      </w:r>
      <w:r w:rsidR="009175D1">
        <w:rPr>
          <w:noProof/>
        </w:rPr>
        <w:t>8</w:t>
      </w:r>
      <w:r w:rsidR="00B632CA" w:rsidRPr="00B632CA">
        <w:rPr>
          <w:noProof/>
        </w:rPr>
        <w:t>, as amended by this Regulation.</w:t>
      </w:r>
    </w:p>
    <w:p w14:paraId="4E58DA11" w14:textId="78DA7F9F" w:rsidR="00B632CA" w:rsidRPr="00B632CA" w:rsidRDefault="00EF15A7" w:rsidP="00EF15A7">
      <w:pPr>
        <w:pStyle w:val="ManualNumPar1"/>
        <w:rPr>
          <w:noProof/>
        </w:rPr>
      </w:pPr>
      <w:r w:rsidRPr="00EF15A7">
        <w:t>2.</w:t>
      </w:r>
      <w:r w:rsidRPr="00EF15A7">
        <w:tab/>
      </w:r>
      <w:r w:rsidR="00B632CA" w:rsidRPr="00B632CA">
        <w:rPr>
          <w:noProof/>
        </w:rPr>
        <w:t xml:space="preserve">The Commission shall transmit the evaluation referred to in paragraph 1 to the European Parliament and the Council. On the basis of the evaluation, the Commission </w:t>
      </w:r>
      <w:r w:rsidR="0018613C">
        <w:rPr>
          <w:noProof/>
        </w:rPr>
        <w:t>shall</w:t>
      </w:r>
      <w:r w:rsidR="0018613C" w:rsidRPr="00B632CA">
        <w:rPr>
          <w:noProof/>
        </w:rPr>
        <w:t xml:space="preserve"> </w:t>
      </w:r>
      <w:r w:rsidR="00B632CA" w:rsidRPr="00B632CA">
        <w:rPr>
          <w:noProof/>
        </w:rPr>
        <w:t>submit, where necessary, appropriate proposals.</w:t>
      </w:r>
    </w:p>
    <w:p w14:paraId="41B2A14E" w14:textId="77777777" w:rsidR="00BE7EAE" w:rsidRDefault="006D0F1D" w:rsidP="00F228C8">
      <w:pPr>
        <w:pStyle w:val="Titrearticle"/>
        <w:rPr>
          <w:noProof/>
        </w:rPr>
      </w:pPr>
      <w:r>
        <w:rPr>
          <w:noProof/>
        </w:rPr>
        <w:t>Article 1</w:t>
      </w:r>
      <w:r w:rsidR="00BE7EAE">
        <w:rPr>
          <w:noProof/>
        </w:rPr>
        <w:t>0</w:t>
      </w:r>
      <w:r>
        <w:rPr>
          <w:noProof/>
        </w:rPr>
        <w:br/>
        <w:t>Start of operations</w:t>
      </w:r>
      <w:r w:rsidR="004C3D34">
        <w:rPr>
          <w:noProof/>
        </w:rPr>
        <w:t xml:space="preserve"> of the EU application platform</w:t>
      </w:r>
      <w:r>
        <w:rPr>
          <w:noProof/>
        </w:rPr>
        <w:br/>
      </w:r>
    </w:p>
    <w:p w14:paraId="7CE31316" w14:textId="26467A9C" w:rsidR="006D0F1D" w:rsidRDefault="00EF15A7" w:rsidP="00EF15A7">
      <w:pPr>
        <w:pStyle w:val="ManualNumPar1"/>
        <w:rPr>
          <w:noProof/>
        </w:rPr>
      </w:pPr>
      <w:r w:rsidRPr="00EF15A7">
        <w:t>1.</w:t>
      </w:r>
      <w:r w:rsidRPr="00EF15A7">
        <w:tab/>
      </w:r>
      <w:r w:rsidR="006D0F1D" w:rsidRPr="006D0F1D">
        <w:rPr>
          <w:noProof/>
        </w:rPr>
        <w:t xml:space="preserve">The Commission shall determine the date from which </w:t>
      </w:r>
      <w:r w:rsidR="00826D7B">
        <w:rPr>
          <w:noProof/>
        </w:rPr>
        <w:t>operations</w:t>
      </w:r>
      <w:r w:rsidR="00F10BEB">
        <w:rPr>
          <w:noProof/>
        </w:rPr>
        <w:t xml:space="preserve"> of the EU application platform</w:t>
      </w:r>
      <w:r w:rsidR="006F1E78">
        <w:rPr>
          <w:noProof/>
        </w:rPr>
        <w:t xml:space="preserve"> </w:t>
      </w:r>
      <w:r w:rsidR="00826D7B" w:rsidRPr="00826D7B">
        <w:rPr>
          <w:noProof/>
        </w:rPr>
        <w:t xml:space="preserve"> st</w:t>
      </w:r>
      <w:r w:rsidR="00826D7B">
        <w:rPr>
          <w:noProof/>
        </w:rPr>
        <w:t xml:space="preserve">art pursuant to this Regulation, </w:t>
      </w:r>
      <w:r w:rsidR="006D0F1D" w:rsidRPr="006D0F1D">
        <w:rPr>
          <w:noProof/>
        </w:rPr>
        <w:t>once the following conditions have been met:</w:t>
      </w:r>
    </w:p>
    <w:p w14:paraId="2E602675" w14:textId="02C3A2BA" w:rsidR="00826D7B" w:rsidRDefault="00EF15A7" w:rsidP="00EF15A7">
      <w:pPr>
        <w:pStyle w:val="Point1"/>
        <w:rPr>
          <w:noProof/>
        </w:rPr>
      </w:pPr>
      <w:r w:rsidRPr="00EF15A7">
        <w:t>(a)</w:t>
      </w:r>
      <w:r w:rsidRPr="00EF15A7">
        <w:tab/>
      </w:r>
      <w:r w:rsidR="002961CC" w:rsidRPr="002961CC">
        <w:rPr>
          <w:noProof/>
        </w:rPr>
        <w:t xml:space="preserve">the measures referred to in </w:t>
      </w:r>
      <w:r w:rsidR="00B825DE">
        <w:rPr>
          <w:noProof/>
        </w:rPr>
        <w:t>Article 1</w:t>
      </w:r>
      <w:r w:rsidR="003F6DC7">
        <w:rPr>
          <w:noProof/>
        </w:rPr>
        <w:t>,</w:t>
      </w:r>
      <w:r w:rsidR="00B825DE">
        <w:rPr>
          <w:noProof/>
        </w:rPr>
        <w:t xml:space="preserve"> point </w:t>
      </w:r>
      <w:r w:rsidR="00386EC8">
        <w:rPr>
          <w:noProof/>
        </w:rPr>
        <w:t>(31)</w:t>
      </w:r>
      <w:r w:rsidR="00B825DE">
        <w:rPr>
          <w:noProof/>
        </w:rPr>
        <w:t xml:space="preserve"> and </w:t>
      </w:r>
      <w:r w:rsidR="002961CC" w:rsidRPr="002961CC">
        <w:rPr>
          <w:noProof/>
        </w:rPr>
        <w:t>Article</w:t>
      </w:r>
      <w:r w:rsidR="00B825DE">
        <w:rPr>
          <w:noProof/>
        </w:rPr>
        <w:t xml:space="preserve"> 2</w:t>
      </w:r>
      <w:r w:rsidR="003F6DC7">
        <w:rPr>
          <w:noProof/>
        </w:rPr>
        <w:t>,</w:t>
      </w:r>
      <w:r w:rsidR="00B825DE">
        <w:rPr>
          <w:noProof/>
        </w:rPr>
        <w:t xml:space="preserve"> points (19) and </w:t>
      </w:r>
      <w:r w:rsidR="00D915A0">
        <w:rPr>
          <w:noProof/>
        </w:rPr>
        <w:t>(</w:t>
      </w:r>
      <w:r w:rsidR="00B825DE">
        <w:rPr>
          <w:noProof/>
        </w:rPr>
        <w:t>20</w:t>
      </w:r>
      <w:r w:rsidR="00D915A0">
        <w:rPr>
          <w:noProof/>
        </w:rPr>
        <w:t>)</w:t>
      </w:r>
      <w:r w:rsidR="006F1E78">
        <w:rPr>
          <w:noProof/>
        </w:rPr>
        <w:t xml:space="preserve"> </w:t>
      </w:r>
      <w:r w:rsidR="00826D7B">
        <w:rPr>
          <w:noProof/>
        </w:rPr>
        <w:t xml:space="preserve"> have been adopted;</w:t>
      </w:r>
    </w:p>
    <w:p w14:paraId="39B02CE6" w14:textId="377E4902" w:rsidR="00826D7B" w:rsidRPr="00754F2A" w:rsidRDefault="00EF15A7" w:rsidP="00EF15A7">
      <w:pPr>
        <w:pStyle w:val="Point1"/>
        <w:rPr>
          <w:noProof/>
        </w:rPr>
      </w:pPr>
      <w:r w:rsidRPr="00EF15A7">
        <w:t>(b)</w:t>
      </w:r>
      <w:r w:rsidRPr="00EF15A7">
        <w:tab/>
      </w:r>
      <w:r w:rsidR="00826D7B">
        <w:rPr>
          <w:noProof/>
        </w:rPr>
        <w:t xml:space="preserve">eu-LISA has declared the successful completion </w:t>
      </w:r>
      <w:r w:rsidR="00826D7B" w:rsidRPr="00754F2A">
        <w:rPr>
          <w:noProof/>
        </w:rPr>
        <w:t>of a comprehensive tests</w:t>
      </w:r>
      <w:r w:rsidR="00754F2A">
        <w:rPr>
          <w:noProof/>
        </w:rPr>
        <w:t>;</w:t>
      </w:r>
    </w:p>
    <w:p w14:paraId="36B73797" w14:textId="6BAF19D1" w:rsidR="00826D7B" w:rsidRDefault="00EF15A7" w:rsidP="00EF15A7">
      <w:pPr>
        <w:pStyle w:val="Point1"/>
        <w:rPr>
          <w:noProof/>
        </w:rPr>
      </w:pPr>
      <w:r w:rsidRPr="00EF15A7">
        <w:t>(c)</w:t>
      </w:r>
      <w:r w:rsidRPr="00EF15A7">
        <w:tab/>
      </w:r>
      <w:r w:rsidR="00826D7B">
        <w:rPr>
          <w:noProof/>
        </w:rPr>
        <w:t xml:space="preserve">eu-LISA </w:t>
      </w:r>
      <w:r w:rsidR="006C4C42">
        <w:rPr>
          <w:noProof/>
        </w:rPr>
        <w:t>has</w:t>
      </w:r>
      <w:r w:rsidR="00826D7B">
        <w:rPr>
          <w:noProof/>
        </w:rPr>
        <w:t xml:space="preserve"> validated the technical and legal arrangements</w:t>
      </w:r>
      <w:r w:rsidR="00F10BEB">
        <w:rPr>
          <w:noProof/>
        </w:rPr>
        <w:t xml:space="preserve"> and notified them to the </w:t>
      </w:r>
      <w:r w:rsidR="00754F2A">
        <w:rPr>
          <w:noProof/>
        </w:rPr>
        <w:t>Commission</w:t>
      </w:r>
      <w:r w:rsidR="00826D7B">
        <w:rPr>
          <w:noProof/>
        </w:rPr>
        <w:t>.</w:t>
      </w:r>
    </w:p>
    <w:p w14:paraId="2DDC7300" w14:textId="1A1D28B3" w:rsidR="004E5145" w:rsidRDefault="00EF15A7" w:rsidP="00EF15A7">
      <w:pPr>
        <w:pStyle w:val="ManualNumPar1"/>
        <w:rPr>
          <w:noProof/>
        </w:rPr>
      </w:pPr>
      <w:r w:rsidRPr="00EF15A7">
        <w:t>2.</w:t>
      </w:r>
      <w:r w:rsidRPr="00EF15A7">
        <w:tab/>
      </w:r>
      <w:r w:rsidR="004E5145">
        <w:rPr>
          <w:noProof/>
        </w:rPr>
        <w:t xml:space="preserve">The Commission decision referred to in paragraph 1 shall be published in the </w:t>
      </w:r>
      <w:r w:rsidR="004E5145" w:rsidRPr="00EC0933">
        <w:rPr>
          <w:rStyle w:val="italic"/>
          <w:i/>
          <w:noProof/>
        </w:rPr>
        <w:t>Official Journal of the European Union</w:t>
      </w:r>
      <w:r w:rsidR="004E5145">
        <w:rPr>
          <w:noProof/>
        </w:rPr>
        <w:t>.</w:t>
      </w:r>
    </w:p>
    <w:p w14:paraId="7D3483FD" w14:textId="34C2394E" w:rsidR="000A35C7" w:rsidRDefault="00EF15A7" w:rsidP="00EF15A7">
      <w:pPr>
        <w:pStyle w:val="ManualNumPar1"/>
        <w:rPr>
          <w:noProof/>
        </w:rPr>
      </w:pPr>
      <w:r w:rsidRPr="00EF15A7">
        <w:t>3.</w:t>
      </w:r>
      <w:r w:rsidRPr="00EF15A7">
        <w:tab/>
      </w:r>
      <w:r w:rsidR="00853DAD">
        <w:rPr>
          <w:noProof/>
        </w:rPr>
        <w:t xml:space="preserve">By way of </w:t>
      </w:r>
      <w:r w:rsidR="00853DAD" w:rsidRPr="00853DAD">
        <w:rPr>
          <w:noProof/>
        </w:rPr>
        <w:t xml:space="preserve">derogating from </w:t>
      </w:r>
      <w:r w:rsidR="00853DAD">
        <w:rPr>
          <w:noProof/>
        </w:rPr>
        <w:t xml:space="preserve">paragraph 1, and without prejudice to </w:t>
      </w:r>
      <w:r w:rsidR="009D5471">
        <w:rPr>
          <w:noProof/>
        </w:rPr>
        <w:t>issuing visas in digital format</w:t>
      </w:r>
      <w:r w:rsidR="00853DAD">
        <w:rPr>
          <w:noProof/>
        </w:rPr>
        <w:t>, a Mem</w:t>
      </w:r>
      <w:r w:rsidR="00D915A0">
        <w:rPr>
          <w:noProof/>
        </w:rPr>
        <w:t>ber State may, for a period of 5 years</w:t>
      </w:r>
      <w:r w:rsidR="00853DAD">
        <w:rPr>
          <w:noProof/>
        </w:rPr>
        <w:t xml:space="preserve"> from the date referred to in paragraph 1, </w:t>
      </w:r>
      <w:r w:rsidR="002C77D4">
        <w:rPr>
          <w:noProof/>
        </w:rPr>
        <w:t>decide not to avail</w:t>
      </w:r>
      <w:r w:rsidR="000A35C7">
        <w:rPr>
          <w:noProof/>
        </w:rPr>
        <w:t xml:space="preserve"> itself</w:t>
      </w:r>
      <w:r w:rsidR="002C77D4">
        <w:rPr>
          <w:noProof/>
        </w:rPr>
        <w:t xml:space="preserve"> of</w:t>
      </w:r>
      <w:r w:rsidR="00853DAD" w:rsidRPr="00853DAD">
        <w:rPr>
          <w:noProof/>
        </w:rPr>
        <w:t xml:space="preserve"> the EU application platform</w:t>
      </w:r>
      <w:r w:rsidR="000A35C7">
        <w:rPr>
          <w:noProof/>
        </w:rPr>
        <w:t>.</w:t>
      </w:r>
    </w:p>
    <w:p w14:paraId="62B87B91" w14:textId="77777777" w:rsidR="00853DAD" w:rsidRDefault="000A35C7" w:rsidP="00754F2A">
      <w:pPr>
        <w:pStyle w:val="Text1"/>
        <w:rPr>
          <w:noProof/>
        </w:rPr>
      </w:pPr>
      <w:r>
        <w:rPr>
          <w:noProof/>
        </w:rPr>
        <w:t xml:space="preserve">In this case, the Member State shall notify the Commission regarding its decision not to avail itself of the EU application platform during the transition period. The Commission shall publish the notification in the </w:t>
      </w:r>
      <w:r w:rsidRPr="00EC0933">
        <w:rPr>
          <w:i/>
          <w:noProof/>
        </w:rPr>
        <w:t>Official Journal of the European Union</w:t>
      </w:r>
      <w:r>
        <w:rPr>
          <w:noProof/>
        </w:rPr>
        <w:t>.</w:t>
      </w:r>
      <w:r w:rsidR="00117F1C">
        <w:rPr>
          <w:noProof/>
        </w:rPr>
        <w:t xml:space="preserve"> </w:t>
      </w:r>
    </w:p>
    <w:p w14:paraId="5A6950DA" w14:textId="77777777" w:rsidR="00D33CCB" w:rsidRPr="00D33CCB" w:rsidRDefault="00955C35" w:rsidP="00522FB2">
      <w:pPr>
        <w:pStyle w:val="Text1"/>
        <w:rPr>
          <w:noProof/>
        </w:rPr>
      </w:pPr>
      <w:r>
        <w:rPr>
          <w:noProof/>
        </w:rPr>
        <w:t xml:space="preserve">During this transitional period, </w:t>
      </w:r>
      <w:r w:rsidR="00E65E16">
        <w:rPr>
          <w:noProof/>
        </w:rPr>
        <w:t>visa holders</w:t>
      </w:r>
      <w:r>
        <w:rPr>
          <w:noProof/>
        </w:rPr>
        <w:t xml:space="preserve"> shall be able to verify the digital visas </w:t>
      </w:r>
      <w:r w:rsidR="00A65D3C">
        <w:rPr>
          <w:noProof/>
        </w:rPr>
        <w:t>using the web-service of the online visa application platform</w:t>
      </w:r>
      <w:r w:rsidR="001A6168">
        <w:rPr>
          <w:noProof/>
        </w:rPr>
        <w:t xml:space="preserve">, referred to in Article 7g of </w:t>
      </w:r>
      <w:r w:rsidR="00513820" w:rsidRPr="00513820">
        <w:rPr>
          <w:noProof/>
        </w:rPr>
        <w:t>Regulation (EC) No 767/2008</w:t>
      </w:r>
      <w:r w:rsidR="00A65D3C">
        <w:rPr>
          <w:noProof/>
        </w:rPr>
        <w:t xml:space="preserve"> if the Member State processing their visa application decided not to avail itself of the EU application platform</w:t>
      </w:r>
      <w:r w:rsidR="00D33CCB">
        <w:rPr>
          <w:noProof/>
        </w:rPr>
        <w:t>.</w:t>
      </w:r>
    </w:p>
    <w:p w14:paraId="154F999C" w14:textId="6E4A5595" w:rsidR="00B55FEF" w:rsidRDefault="00EF15A7" w:rsidP="00EF15A7">
      <w:pPr>
        <w:pStyle w:val="ManualNumPar1"/>
        <w:rPr>
          <w:noProof/>
        </w:rPr>
      </w:pPr>
      <w:r w:rsidRPr="00EF15A7">
        <w:t>4.</w:t>
      </w:r>
      <w:r w:rsidRPr="00EF15A7">
        <w:tab/>
      </w:r>
      <w:r w:rsidR="004E5145">
        <w:rPr>
          <w:noProof/>
        </w:rPr>
        <w:t xml:space="preserve">A </w:t>
      </w:r>
      <w:r w:rsidR="00853DAD">
        <w:rPr>
          <w:noProof/>
        </w:rPr>
        <w:t xml:space="preserve">Member State </w:t>
      </w:r>
      <w:r w:rsidR="004E5145">
        <w:rPr>
          <w:noProof/>
        </w:rPr>
        <w:t xml:space="preserve">may </w:t>
      </w:r>
      <w:r w:rsidR="00B55FEF">
        <w:rPr>
          <w:noProof/>
        </w:rPr>
        <w:t>notify the Commission and eu-LISA</w:t>
      </w:r>
      <w:r w:rsidR="00853DAD">
        <w:rPr>
          <w:noProof/>
        </w:rPr>
        <w:t xml:space="preserve"> that it wishes to </w:t>
      </w:r>
      <w:r w:rsidR="00F10BEB">
        <w:rPr>
          <w:noProof/>
        </w:rPr>
        <w:t xml:space="preserve">avail itself of </w:t>
      </w:r>
      <w:r w:rsidR="00853DAD">
        <w:rPr>
          <w:noProof/>
        </w:rPr>
        <w:t>the EU application platform</w:t>
      </w:r>
      <w:r w:rsidR="00B55FEF">
        <w:rPr>
          <w:noProof/>
        </w:rPr>
        <w:t xml:space="preserve"> before the end of the transition period</w:t>
      </w:r>
      <w:r w:rsidR="000A35C7">
        <w:rPr>
          <w:noProof/>
        </w:rPr>
        <w:t xml:space="preserve"> referred to in paragraph 3</w:t>
      </w:r>
      <w:r w:rsidR="00853DAD">
        <w:rPr>
          <w:noProof/>
        </w:rPr>
        <w:t>.</w:t>
      </w:r>
      <w:r w:rsidR="00B55FEF">
        <w:rPr>
          <w:noProof/>
        </w:rPr>
        <w:t xml:space="preserve"> </w:t>
      </w:r>
    </w:p>
    <w:p w14:paraId="29C4A40E" w14:textId="77777777" w:rsidR="00853DAD" w:rsidRDefault="00B55FEF" w:rsidP="00522FB2">
      <w:pPr>
        <w:pStyle w:val="Text1"/>
        <w:rPr>
          <w:noProof/>
        </w:rPr>
      </w:pPr>
      <w:r>
        <w:rPr>
          <w:noProof/>
        </w:rPr>
        <w:t xml:space="preserve">The </w:t>
      </w:r>
      <w:r w:rsidRPr="00B55FEF">
        <w:rPr>
          <w:noProof/>
        </w:rPr>
        <w:t>Commission shall determine the date from</w:t>
      </w:r>
      <w:r>
        <w:rPr>
          <w:noProof/>
        </w:rPr>
        <w:t xml:space="preserve"> which this </w:t>
      </w:r>
      <w:r w:rsidR="00C03EF8">
        <w:rPr>
          <w:noProof/>
        </w:rPr>
        <w:t xml:space="preserve">shall </w:t>
      </w:r>
      <w:r>
        <w:rPr>
          <w:noProof/>
        </w:rPr>
        <w:t>be applicable.</w:t>
      </w:r>
      <w:r w:rsidR="004E5145">
        <w:rPr>
          <w:noProof/>
        </w:rPr>
        <w:t xml:space="preserve"> The Commission decision shall be published in the </w:t>
      </w:r>
      <w:r w:rsidR="004E5145" w:rsidRPr="00513820">
        <w:rPr>
          <w:i/>
          <w:noProof/>
        </w:rPr>
        <w:t>Official Journal of the European Union</w:t>
      </w:r>
      <w:r w:rsidR="004E5145">
        <w:rPr>
          <w:noProof/>
        </w:rPr>
        <w:t>.</w:t>
      </w:r>
    </w:p>
    <w:p w14:paraId="77D67145" w14:textId="77777777" w:rsidR="00A40E24" w:rsidRPr="00F96E01" w:rsidRDefault="00A40E24" w:rsidP="00012221">
      <w:pPr>
        <w:pStyle w:val="Titrearticle"/>
        <w:rPr>
          <w:noProof/>
        </w:rPr>
      </w:pPr>
      <w:r w:rsidRPr="00754F2A">
        <w:rPr>
          <w:noProof/>
        </w:rPr>
        <w:t xml:space="preserve">Article </w:t>
      </w:r>
      <w:r w:rsidR="006D0F1D" w:rsidRPr="00754F2A">
        <w:rPr>
          <w:noProof/>
        </w:rPr>
        <w:t>1</w:t>
      </w:r>
      <w:r w:rsidR="00C92441">
        <w:rPr>
          <w:noProof/>
        </w:rPr>
        <w:t>1</w:t>
      </w:r>
      <w:r w:rsidR="00754F2A">
        <w:rPr>
          <w:noProof/>
        </w:rPr>
        <w:br/>
        <w:t>Entry into force</w:t>
      </w:r>
    </w:p>
    <w:p w14:paraId="78C44924" w14:textId="77777777" w:rsidR="00A40E24" w:rsidRPr="00F96E01" w:rsidRDefault="00A40E24" w:rsidP="00012221">
      <w:pPr>
        <w:rPr>
          <w:noProof/>
        </w:rPr>
      </w:pPr>
      <w:r w:rsidRPr="00F96E01">
        <w:rPr>
          <w:noProof/>
        </w:rPr>
        <w:t xml:space="preserve">This Regulation shall enter into force on the </w:t>
      </w:r>
      <w:r w:rsidR="00826D7B" w:rsidRPr="00CF1C4F">
        <w:rPr>
          <w:noProof/>
        </w:rPr>
        <w:t>twentieth </w:t>
      </w:r>
      <w:r w:rsidRPr="00F96E01">
        <w:rPr>
          <w:noProof/>
        </w:rPr>
        <w:t xml:space="preserve">day following that of its publication in the </w:t>
      </w:r>
      <w:r w:rsidRPr="00F96E01">
        <w:rPr>
          <w:i/>
          <w:noProof/>
        </w:rPr>
        <w:t>Official Journal of the European Union</w:t>
      </w:r>
      <w:r w:rsidRPr="00F96E01">
        <w:rPr>
          <w:noProof/>
        </w:rPr>
        <w:t>.</w:t>
      </w:r>
    </w:p>
    <w:p w14:paraId="1D36EBA2" w14:textId="77777777" w:rsidR="00A40E24" w:rsidRDefault="00A40E24" w:rsidP="00012221">
      <w:pPr>
        <w:pStyle w:val="Applicationdirecte"/>
        <w:rPr>
          <w:noProof/>
        </w:rPr>
      </w:pPr>
      <w:r w:rsidRPr="00F96E01">
        <w:rPr>
          <w:noProof/>
        </w:rPr>
        <w:t>This Regulation shall be binding in its entirety and directly applicable in the Member States in accordance with the Treaties.</w:t>
      </w:r>
    </w:p>
    <w:p w14:paraId="5EFA5B93" w14:textId="64FDE66E" w:rsidR="00A40E24" w:rsidRDefault="000E4E4D" w:rsidP="00AC7C40">
      <w:pPr>
        <w:pStyle w:val="Fait"/>
        <w:rPr>
          <w:noProof/>
        </w:rPr>
      </w:pPr>
      <w:r w:rsidRPr="000E4E4D">
        <w:t>Done at Brussels,</w:t>
      </w:r>
    </w:p>
    <w:p w14:paraId="4597F94F" w14:textId="77777777" w:rsidR="00A40E24" w:rsidRDefault="00A40E24" w:rsidP="00AC7C40">
      <w:pPr>
        <w:pStyle w:val="Institutionquisigne"/>
        <w:rPr>
          <w:noProof/>
        </w:rPr>
      </w:pPr>
      <w:r w:rsidRPr="00A40E24">
        <w:rPr>
          <w:noProof/>
        </w:rPr>
        <w:t>For the European Parliament</w:t>
      </w:r>
      <w:r w:rsidRPr="00A40E24">
        <w:rPr>
          <w:noProof/>
        </w:rPr>
        <w:tab/>
        <w:t>For the Council</w:t>
      </w:r>
    </w:p>
    <w:p w14:paraId="72441C8B" w14:textId="77777777" w:rsidR="00A40E24" w:rsidRDefault="00A40E24" w:rsidP="00A40E24">
      <w:pPr>
        <w:pStyle w:val="Personnequisigne"/>
        <w:rPr>
          <w:noProof/>
        </w:rPr>
      </w:pPr>
      <w:r w:rsidRPr="00A40E24">
        <w:rPr>
          <w:noProof/>
        </w:rPr>
        <w:t>The President</w:t>
      </w:r>
      <w:r w:rsidRPr="00A40E24">
        <w:rPr>
          <w:noProof/>
        </w:rPr>
        <w:tab/>
        <w:t>The President</w:t>
      </w:r>
    </w:p>
    <w:p w14:paraId="3A080053" w14:textId="77777777" w:rsidR="00A40E24" w:rsidRDefault="00A40E24" w:rsidP="00A40E24">
      <w:pPr>
        <w:rPr>
          <w:noProof/>
        </w:rPr>
        <w:sectPr w:rsidR="00A40E24" w:rsidSect="00FB3ECA">
          <w:pgSz w:w="11907" w:h="16839"/>
          <w:pgMar w:top="1134" w:right="1417" w:bottom="1134" w:left="1417" w:header="709" w:footer="709" w:gutter="0"/>
          <w:cols w:space="708"/>
          <w:docGrid w:linePitch="360"/>
        </w:sectPr>
      </w:pPr>
    </w:p>
    <w:p w14:paraId="6001457E" w14:textId="77777777" w:rsidR="00A40E24" w:rsidRDefault="00E04CDE" w:rsidP="00E04CDE">
      <w:pPr>
        <w:pStyle w:val="Fichefinanciretitre"/>
        <w:keepNext/>
        <w:rPr>
          <w:noProof/>
        </w:rPr>
      </w:pPr>
      <w:r w:rsidRPr="00E04CDE">
        <w:rPr>
          <w:noProof/>
        </w:rPr>
        <w:t>LEGISLATIVE FINANCIAL STATEMENT</w:t>
      </w:r>
    </w:p>
    <w:p w14:paraId="2BD3EEB5" w14:textId="2E14C806" w:rsidR="00E04CDE" w:rsidRDefault="00EF15A7" w:rsidP="00EF15A7">
      <w:pPr>
        <w:pStyle w:val="ManualHeading1"/>
        <w:rPr>
          <w:noProof/>
        </w:rPr>
      </w:pPr>
      <w:r w:rsidRPr="00EF15A7">
        <w:t>1.</w:t>
      </w:r>
      <w:r w:rsidRPr="00EF15A7">
        <w:tab/>
      </w:r>
      <w:r w:rsidR="00E04CDE">
        <w:rPr>
          <w:noProof/>
        </w:rPr>
        <w:t xml:space="preserve">FRAMEWORK OF THE PROPOSAL/INITIATIVE </w:t>
      </w:r>
    </w:p>
    <w:p w14:paraId="7C7959DC" w14:textId="52129617" w:rsidR="00E04CDE" w:rsidRDefault="00EF15A7" w:rsidP="00EF15A7">
      <w:pPr>
        <w:pStyle w:val="ManualHeading2"/>
        <w:rPr>
          <w:noProof/>
        </w:rPr>
      </w:pPr>
      <w:r w:rsidRPr="00EF15A7">
        <w:t>1.1.</w:t>
      </w:r>
      <w:r w:rsidRPr="00EF15A7">
        <w:tab/>
      </w:r>
      <w:r w:rsidR="00E04CDE">
        <w:rPr>
          <w:noProof/>
        </w:rPr>
        <w:t>Title of the proposal/initiative</w:t>
      </w:r>
    </w:p>
    <w:p w14:paraId="56795165"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Digitalisation of Visa Procedures</w:t>
      </w:r>
    </w:p>
    <w:p w14:paraId="07346EEE"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p>
    <w:p w14:paraId="01904EC5" w14:textId="4D5BB3EE" w:rsidR="00E04CDE" w:rsidRDefault="00EF15A7" w:rsidP="00EF15A7">
      <w:pPr>
        <w:pStyle w:val="ManualHeading2"/>
        <w:rPr>
          <w:i/>
          <w:noProof/>
        </w:rPr>
      </w:pPr>
      <w:r w:rsidRPr="00EF15A7">
        <w:t>1.2.</w:t>
      </w:r>
      <w:r w:rsidRPr="00EF15A7">
        <w:tab/>
      </w:r>
      <w:r w:rsidR="00E04CDE">
        <w:rPr>
          <w:noProof/>
        </w:rPr>
        <w:t>Policy area(s) concerned</w:t>
      </w:r>
      <w:r w:rsidR="00E04CDE">
        <w:rPr>
          <w:i/>
          <w:noProof/>
        </w:rPr>
        <w:t xml:space="preserve"> </w:t>
      </w:r>
    </w:p>
    <w:p w14:paraId="182A98C9"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Home Affairs</w:t>
      </w:r>
    </w:p>
    <w:p w14:paraId="353419DC"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p>
    <w:p w14:paraId="2AD0CCCD" w14:textId="783CBE41" w:rsidR="00E04CDE" w:rsidRDefault="00EF15A7" w:rsidP="00EF15A7">
      <w:pPr>
        <w:pStyle w:val="ManualHeading2"/>
        <w:rPr>
          <w:bCs/>
          <w:noProof/>
          <w:szCs w:val="24"/>
        </w:rPr>
      </w:pPr>
      <w:r w:rsidRPr="00EF15A7">
        <w:t>1.3.</w:t>
      </w:r>
      <w:r w:rsidRPr="00EF15A7">
        <w:tab/>
      </w:r>
      <w:r w:rsidR="00E04CDE">
        <w:rPr>
          <w:noProof/>
        </w:rPr>
        <w:t xml:space="preserve">The proposal/initiative relates to: </w:t>
      </w:r>
    </w:p>
    <w:p w14:paraId="274D9553" w14:textId="77777777" w:rsidR="00E04CDE" w:rsidRDefault="00E04CDE" w:rsidP="00E04CDE">
      <w:pPr>
        <w:pStyle w:val="Text1"/>
        <w:rPr>
          <w:b/>
          <w:noProof/>
          <w:sz w:val="22"/>
        </w:rPr>
      </w:pPr>
      <w:r>
        <w:rPr>
          <w:noProof/>
          <w:sz w:val="22"/>
        </w:rPr>
        <w:sym w:font="Wingdings" w:char="F0FC"/>
      </w:r>
      <w:r>
        <w:rPr>
          <w:b/>
          <w:i/>
          <w:noProof/>
          <w:sz w:val="22"/>
        </w:rPr>
        <w:t xml:space="preserve"> </w:t>
      </w:r>
      <w:r>
        <w:rPr>
          <w:b/>
          <w:noProof/>
        </w:rPr>
        <w:t>a new action</w:t>
      </w:r>
      <w:r>
        <w:rPr>
          <w:b/>
          <w:noProof/>
          <w:sz w:val="22"/>
        </w:rPr>
        <w:t xml:space="preserve"> </w:t>
      </w:r>
    </w:p>
    <w:p w14:paraId="66665FDD" w14:textId="77777777" w:rsidR="00E04CDE" w:rsidRDefault="00E04CDE" w:rsidP="00E04CDE">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73"/>
      </w:r>
      <w:r>
        <w:rPr>
          <w:noProof/>
          <w:sz w:val="22"/>
        </w:rPr>
        <w:t xml:space="preserve"> </w:t>
      </w:r>
    </w:p>
    <w:p w14:paraId="00788728" w14:textId="77777777" w:rsidR="00E04CDE" w:rsidRDefault="00E04CDE" w:rsidP="00E04CDE">
      <w:pPr>
        <w:pStyle w:val="Text1"/>
        <w:rPr>
          <w:noProof/>
          <w:sz w:val="22"/>
        </w:rPr>
      </w:pPr>
      <w:r>
        <w:rPr>
          <w:noProof/>
          <w:sz w:val="22"/>
        </w:rPr>
        <w:sym w:font="Wingdings" w:char="F0A8"/>
      </w:r>
      <w:r>
        <w:rPr>
          <w:i/>
          <w:noProof/>
          <w:sz w:val="22"/>
        </w:rPr>
        <w:t xml:space="preserve"> </w:t>
      </w:r>
      <w:r>
        <w:rPr>
          <w:b/>
          <w:noProof/>
        </w:rPr>
        <w:t>the extension of an existing action</w:t>
      </w:r>
      <w:r>
        <w:rPr>
          <w:noProof/>
          <w:sz w:val="22"/>
        </w:rPr>
        <w:t xml:space="preserve"> </w:t>
      </w:r>
    </w:p>
    <w:p w14:paraId="2AE5A781" w14:textId="77777777" w:rsidR="00E04CDE" w:rsidRDefault="00E04CDE" w:rsidP="00E04CDE">
      <w:pPr>
        <w:pStyle w:val="Text1"/>
        <w:rPr>
          <w:noProof/>
        </w:rPr>
      </w:pPr>
      <w:r>
        <w:rPr>
          <w:noProof/>
          <w:sz w:val="22"/>
        </w:rPr>
        <w:sym w:font="Wingdings" w:char="F0A8"/>
      </w:r>
      <w:r>
        <w:rPr>
          <w:i/>
          <w:noProof/>
          <w:sz w:val="22"/>
        </w:rPr>
        <w:t xml:space="preserve"> </w:t>
      </w:r>
      <w:r w:rsidRPr="0085149D">
        <w:rPr>
          <w:b/>
          <w:noProof/>
        </w:rPr>
        <w:t xml:space="preserve">a merger or redirection of </w:t>
      </w:r>
      <w:r w:rsidRPr="00A952FE">
        <w:rPr>
          <w:b/>
          <w:noProof/>
        </w:rPr>
        <w:t>one or more actions towards another/a new action</w:t>
      </w:r>
      <w:r>
        <w:rPr>
          <w:noProof/>
        </w:rPr>
        <w:t xml:space="preserve"> </w:t>
      </w:r>
    </w:p>
    <w:p w14:paraId="4757CC84" w14:textId="54310940" w:rsidR="00E04CDE" w:rsidRDefault="00EF15A7" w:rsidP="00EF15A7">
      <w:pPr>
        <w:pStyle w:val="ManualHeading2"/>
        <w:rPr>
          <w:bCs/>
          <w:noProof/>
          <w:szCs w:val="24"/>
        </w:rPr>
      </w:pPr>
      <w:r w:rsidRPr="00EF15A7">
        <w:t>1.4.</w:t>
      </w:r>
      <w:r w:rsidRPr="00EF15A7">
        <w:tab/>
      </w:r>
      <w:r w:rsidR="00E04CDE">
        <w:rPr>
          <w:noProof/>
        </w:rPr>
        <w:t>Objective(s)</w:t>
      </w:r>
    </w:p>
    <w:p w14:paraId="0E4DC254" w14:textId="148F2FFF" w:rsidR="00E04CDE" w:rsidRPr="009B753E" w:rsidRDefault="00EF15A7" w:rsidP="00EF15A7">
      <w:pPr>
        <w:pStyle w:val="ManualHeading3"/>
        <w:rPr>
          <w:noProof/>
        </w:rPr>
      </w:pPr>
      <w:r w:rsidRPr="00EF15A7">
        <w:t>1.4.1.</w:t>
      </w:r>
      <w:r w:rsidRPr="00EF15A7">
        <w:tab/>
      </w:r>
      <w:r w:rsidR="00E04CDE" w:rsidRPr="00D52751">
        <w:rPr>
          <w:noProof/>
        </w:rPr>
        <w:t>General objective</w:t>
      </w:r>
      <w:r w:rsidR="00E04CDE">
        <w:rPr>
          <w:noProof/>
        </w:rPr>
        <w:t>(s)</w:t>
      </w:r>
    </w:p>
    <w:p w14:paraId="5824CE8E"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r w:rsidRPr="000E3E0B">
        <w:rPr>
          <w:noProof/>
        </w:rPr>
        <w:t>The general objective of the initiative is to contribute to the digitalisation of public services, making Europe fit for the digital age as well as to contribute to a secure, safe and resilient EU and to make the EU a more attractive destination for travellers and enhance its perception as a single geographical entity applying a common visa policy.</w:t>
      </w:r>
    </w:p>
    <w:p w14:paraId="171506B7" w14:textId="64C92B4E" w:rsidR="00E04CDE" w:rsidRPr="001A05AC" w:rsidRDefault="00EF15A7" w:rsidP="00EF15A7">
      <w:pPr>
        <w:pStyle w:val="ManualHeading3"/>
        <w:rPr>
          <w:bCs/>
          <w:noProof/>
          <w:szCs w:val="24"/>
        </w:rPr>
      </w:pPr>
      <w:r w:rsidRPr="00EF15A7">
        <w:t>1.4.2.</w:t>
      </w:r>
      <w:r w:rsidRPr="00EF15A7">
        <w:tab/>
      </w:r>
      <w:r w:rsidR="00E04CDE" w:rsidRPr="001A05AC">
        <w:rPr>
          <w:noProof/>
        </w:rPr>
        <w:t>Specific objective(s)</w:t>
      </w:r>
    </w:p>
    <w:p w14:paraId="1CAF47E4" w14:textId="77777777" w:rsidR="00E04CDE" w:rsidRPr="00D528FC" w:rsidRDefault="00E04CDE" w:rsidP="00E04CDE">
      <w:pPr>
        <w:pStyle w:val="Text1"/>
        <w:pBdr>
          <w:top w:val="single" w:sz="4" w:space="1" w:color="auto"/>
          <w:left w:val="single" w:sz="4" w:space="4" w:color="auto"/>
          <w:bottom w:val="single" w:sz="4" w:space="1" w:color="auto"/>
          <w:right w:val="single" w:sz="4" w:space="4" w:color="auto"/>
        </w:pBdr>
        <w:rPr>
          <w:noProof/>
        </w:rPr>
      </w:pPr>
      <w:r w:rsidRPr="001A05AC">
        <w:rPr>
          <w:noProof/>
        </w:rPr>
        <w:t xml:space="preserve">Specific objective N°1: </w:t>
      </w:r>
      <w:r w:rsidRPr="00D528FC">
        <w:rPr>
          <w:noProof/>
        </w:rPr>
        <w:t>To modernise, simplify and harmonise the visa application process for Member States and TCNs by digitalising the visa procedure</w:t>
      </w:r>
    </w:p>
    <w:p w14:paraId="0B65AC28"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r w:rsidRPr="000E3E0B">
        <w:rPr>
          <w:noProof/>
        </w:rPr>
        <w:t>Specific objective N°2: To reduce risks of (identity) fraud, forgery and facilitate the verification process at the border through digitalisation</w:t>
      </w:r>
    </w:p>
    <w:p w14:paraId="568A2218"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r w:rsidRPr="000E3E0B">
        <w:rPr>
          <w:noProof/>
        </w:rPr>
        <w:t>To achieve these specific objectives, the proposal includes the creation of a single EU Visa application platform and the implementation of a digital visa instead of a visa sticker.</w:t>
      </w:r>
    </w:p>
    <w:p w14:paraId="0C4AC8F7" w14:textId="4AE8EC97" w:rsidR="00E04CDE" w:rsidRPr="00BD0A20" w:rsidRDefault="00EF15A7" w:rsidP="00EF15A7">
      <w:pPr>
        <w:pStyle w:val="ManualHeading3"/>
        <w:rPr>
          <w:noProof/>
        </w:rPr>
      </w:pPr>
      <w:r w:rsidRPr="00EF15A7">
        <w:t>1.4.3.</w:t>
      </w:r>
      <w:r w:rsidRPr="00EF15A7">
        <w:tab/>
      </w:r>
      <w:r w:rsidR="00E04CDE" w:rsidRPr="00BD0A20">
        <w:rPr>
          <w:noProof/>
        </w:rPr>
        <w:t>Expected result(s) and impact</w:t>
      </w:r>
    </w:p>
    <w:p w14:paraId="2C0C61D5" w14:textId="77777777" w:rsidR="00E04CDE" w:rsidRDefault="00E04CDE" w:rsidP="00E04CDE">
      <w:pPr>
        <w:pStyle w:val="Text1"/>
        <w:rPr>
          <w:i/>
          <w:noProof/>
          <w:sz w:val="20"/>
        </w:rPr>
      </w:pPr>
      <w:r>
        <w:rPr>
          <w:i/>
          <w:noProof/>
          <w:sz w:val="20"/>
        </w:rPr>
        <w:t>Specify the effects which the proposal/initiative should have on the beneficiaries/groups targeted.</w:t>
      </w:r>
    </w:p>
    <w:p w14:paraId="7211E166"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would have a positive impact on EU travel and GDP with an additional GDP of EUR 53.3 billion on the 2025-2029 period, as it would mark the transition from a largely paper-based application process to a truly digital and largely harmonised process. </w:t>
      </w:r>
    </w:p>
    <w:p w14:paraId="3300E8A9"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The EU visa application platform would benefit Member States by decreasing time spent processing visa applications for consulates and filing the paper applications in the archive.  The digital visa would improve the internal security of the Schengen area, as the visa sticker could no longer be falsified, and would considerably reduce the administrative burden on Member States’ central authorities and consulates, who would no longer have to spend time and money on manufacturing, ordering and securely transporting visa stickers to the consulates. Overall, according to the cost benefit analysis carried out in the context of the impact assessment, Member States would save EUR 553 million in administrative costs on the 2025-2029 period.</w:t>
      </w:r>
    </w:p>
    <w:p w14:paraId="44EA76BB"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Finally, visa applicants would also benefit from the proposal. Repeat visa applicants would no longer need to incur the cost of travel to apply for a visa, and applicants would keep their travel documents with them throughout the application process. Each applicant would save 31 per application out of a total of EUR 74 spent for each application.</w:t>
      </w:r>
    </w:p>
    <w:p w14:paraId="71D9CDE1"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p>
    <w:p w14:paraId="4BBC2ACC" w14:textId="1C82399D" w:rsidR="00E04CDE" w:rsidRDefault="00EF15A7" w:rsidP="00EF15A7">
      <w:pPr>
        <w:pStyle w:val="ManualHeading3"/>
        <w:rPr>
          <w:noProof/>
          <w:szCs w:val="24"/>
        </w:rPr>
      </w:pPr>
      <w:r w:rsidRPr="00EF15A7">
        <w:t>1.4.4.</w:t>
      </w:r>
      <w:r w:rsidRPr="00EF15A7">
        <w:tab/>
      </w:r>
      <w:r w:rsidR="00E04CDE">
        <w:rPr>
          <w:noProof/>
        </w:rPr>
        <w:t>Indicators of performance</w:t>
      </w:r>
    </w:p>
    <w:p w14:paraId="0CC2A9E8" w14:textId="77777777" w:rsidR="00E04CDE" w:rsidRDefault="00E04CDE" w:rsidP="00E04CDE">
      <w:pPr>
        <w:pStyle w:val="Text1"/>
        <w:rPr>
          <w:i/>
          <w:noProof/>
          <w:sz w:val="20"/>
        </w:rPr>
      </w:pPr>
      <w:r>
        <w:rPr>
          <w:i/>
          <w:noProof/>
          <w:sz w:val="20"/>
        </w:rPr>
        <w:t>Specify the indicators for monitoring progress and achievements.</w:t>
      </w:r>
    </w:p>
    <w:p w14:paraId="22FCDBEF"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r w:rsidRPr="000E3E0B">
        <w:rPr>
          <w:noProof/>
        </w:rPr>
        <w:t xml:space="preserve">Indicator 1: Share of the applications submitted through the EU visa application platform out of the total Schengen visa applications. </w:t>
      </w:r>
    </w:p>
    <w:p w14:paraId="598E3192"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r w:rsidRPr="000E3E0B">
        <w:rPr>
          <w:noProof/>
        </w:rPr>
        <w:t>Target: 95% at the end of the transition period (31 December 2030)</w:t>
      </w:r>
    </w:p>
    <w:p w14:paraId="3F108E66"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p>
    <w:p w14:paraId="7933A928"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r w:rsidRPr="000E3E0B">
        <w:rPr>
          <w:noProof/>
        </w:rPr>
        <w:t>Indicator 2: Share of digital visas issued out of the total number of visas issued.</w:t>
      </w:r>
    </w:p>
    <w:p w14:paraId="4DED5605"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r w:rsidRPr="000E3E0B">
        <w:rPr>
          <w:noProof/>
        </w:rPr>
        <w:t>Target: 100% at the entry into force of the EU Visa application platform (1 January 2026)</w:t>
      </w:r>
    </w:p>
    <w:p w14:paraId="2509ECA3"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p>
    <w:p w14:paraId="08C7F57F"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r w:rsidRPr="000E3E0B">
        <w:rPr>
          <w:noProof/>
        </w:rPr>
        <w:t>Indicator 3: Percentage of visa applications submitted with External Service Provider (ESPs) intervention – 90%</w:t>
      </w:r>
    </w:p>
    <w:p w14:paraId="7A21B92A"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r w:rsidRPr="000E3E0B">
        <w:rPr>
          <w:noProof/>
        </w:rPr>
        <w:t>Target: 75% of visa application submitted without ESP intervention- at the end of transition period (31 December 2030)</w:t>
      </w:r>
    </w:p>
    <w:p w14:paraId="7AC96AA7" w14:textId="77777777" w:rsidR="00E04CDE" w:rsidRPr="0081333F" w:rsidRDefault="00E04CDE" w:rsidP="00E04CDE">
      <w:pPr>
        <w:pStyle w:val="Text1"/>
        <w:pBdr>
          <w:top w:val="single" w:sz="4" w:space="1" w:color="auto"/>
          <w:left w:val="single" w:sz="4" w:space="4" w:color="auto"/>
          <w:bottom w:val="single" w:sz="4" w:space="1" w:color="auto"/>
          <w:right w:val="single" w:sz="4" w:space="4" w:color="auto"/>
        </w:pBdr>
        <w:rPr>
          <w:noProof/>
        </w:rPr>
      </w:pPr>
    </w:p>
    <w:p w14:paraId="1C0D862D" w14:textId="77777777" w:rsidR="00E04CDE" w:rsidRPr="0081333F" w:rsidRDefault="00E04CDE" w:rsidP="00E04CDE">
      <w:pPr>
        <w:pStyle w:val="Text1"/>
        <w:pBdr>
          <w:top w:val="single" w:sz="4" w:space="1" w:color="auto"/>
          <w:left w:val="single" w:sz="4" w:space="4" w:color="auto"/>
          <w:bottom w:val="single" w:sz="4" w:space="1" w:color="auto"/>
          <w:right w:val="single" w:sz="4" w:space="4" w:color="auto"/>
        </w:pBdr>
        <w:rPr>
          <w:noProof/>
        </w:rPr>
      </w:pPr>
    </w:p>
    <w:p w14:paraId="4DE1296A" w14:textId="619E99E1" w:rsidR="00315C0D" w:rsidRDefault="00EF15A7" w:rsidP="00EF15A7">
      <w:pPr>
        <w:pStyle w:val="ManualHeading4"/>
        <w:rPr>
          <w:noProof/>
        </w:rPr>
      </w:pPr>
      <w:r w:rsidRPr="00EF15A7">
        <w:t>1.4.4.1.</w:t>
      </w:r>
      <w:r w:rsidRPr="00EF15A7">
        <w:tab/>
      </w:r>
      <w:r w:rsidR="00E04CDE" w:rsidRPr="00346C8D">
        <w:rPr>
          <w:noProof/>
        </w:rPr>
        <w:t>Effectiveness and timeliness: indicators should allow to monitor performance by providing information on progress on a regular basis and on achievements along the programming period.</w:t>
      </w:r>
    </w:p>
    <w:p w14:paraId="51FEA2C5" w14:textId="3F880E6F" w:rsidR="0032395E" w:rsidRDefault="00EF15A7" w:rsidP="00EF15A7">
      <w:pPr>
        <w:pStyle w:val="ManualHeading4"/>
        <w:rPr>
          <w:noProof/>
        </w:rPr>
      </w:pPr>
      <w:r w:rsidRPr="00EF15A7">
        <w:t>1.4.4.2.</w:t>
      </w:r>
      <w:r w:rsidRPr="00EF15A7">
        <w:tab/>
      </w:r>
      <w:r w:rsidR="00E04CDE" w:rsidRPr="00346C8D">
        <w:rPr>
          <w:noProof/>
        </w:rPr>
        <w:t>Efficiency: processes should be optimized for collection and processing of data, avoiding unnecessary or duplicative requests for information</w:t>
      </w:r>
    </w:p>
    <w:p w14:paraId="30B7428C" w14:textId="66A4135F" w:rsidR="0032395E" w:rsidRDefault="00EF15A7" w:rsidP="00EF15A7">
      <w:pPr>
        <w:pStyle w:val="ManualHeading4"/>
        <w:rPr>
          <w:noProof/>
        </w:rPr>
      </w:pPr>
      <w:r w:rsidRPr="00EF15A7">
        <w:t>1.4.4.3.</w:t>
      </w:r>
      <w:r w:rsidRPr="00EF15A7">
        <w:tab/>
      </w:r>
      <w:r w:rsidR="00E04CDE" w:rsidRPr="00346C8D">
        <w:rPr>
          <w:noProof/>
        </w:rPr>
        <w:t>Relevance of the indicators and the need to limit the associated administrative burden.</w:t>
      </w:r>
    </w:p>
    <w:p w14:paraId="0180CCAE" w14:textId="5722A1BF" w:rsidR="00E04CDE" w:rsidRPr="00346C8D" w:rsidRDefault="00EF15A7" w:rsidP="00EF15A7">
      <w:pPr>
        <w:pStyle w:val="ManualHeading4"/>
        <w:rPr>
          <w:noProof/>
        </w:rPr>
      </w:pPr>
      <w:r w:rsidRPr="00EF15A7">
        <w:t>1.4.4.4.</w:t>
      </w:r>
      <w:r w:rsidRPr="00EF15A7">
        <w:tab/>
      </w:r>
      <w:r w:rsidR="00E04CDE" w:rsidRPr="00346C8D">
        <w:rPr>
          <w:noProof/>
        </w:rPr>
        <w:t>Clarity: indicators should be delivered in a clear and understandable form, with supporting metadata and in a form that facilitates proper interpretation and meaningful communication.</w:t>
      </w:r>
    </w:p>
    <w:p w14:paraId="4538DE31" w14:textId="77777777" w:rsidR="00E04CDE" w:rsidRPr="00346C8D" w:rsidRDefault="00E04CDE" w:rsidP="00E04CDE">
      <w:pPr>
        <w:pStyle w:val="Text1"/>
        <w:pBdr>
          <w:top w:val="single" w:sz="4" w:space="1" w:color="auto"/>
          <w:left w:val="single" w:sz="4" w:space="4" w:color="auto"/>
          <w:bottom w:val="single" w:sz="4" w:space="1" w:color="auto"/>
          <w:right w:val="single" w:sz="4" w:space="4" w:color="auto"/>
        </w:pBdr>
        <w:rPr>
          <w:noProof/>
        </w:rPr>
      </w:pPr>
      <w:r w:rsidRPr="00346C8D">
        <w:rPr>
          <w:noProof/>
        </w:rPr>
        <w:t>Each indicator should be accompanied by targets and baseline.</w:t>
      </w:r>
    </w:p>
    <w:p w14:paraId="31B0D35F" w14:textId="20EA49EC" w:rsidR="00E04CDE" w:rsidRDefault="00EF15A7" w:rsidP="00EF15A7">
      <w:pPr>
        <w:pStyle w:val="ManualHeading2"/>
        <w:rPr>
          <w:bCs/>
          <w:noProof/>
          <w:szCs w:val="24"/>
        </w:rPr>
      </w:pPr>
      <w:r w:rsidRPr="00EF15A7">
        <w:t>1.5.</w:t>
      </w:r>
      <w:r w:rsidRPr="00EF15A7">
        <w:tab/>
      </w:r>
      <w:r w:rsidR="00E04CDE">
        <w:rPr>
          <w:noProof/>
        </w:rPr>
        <w:t xml:space="preserve">Grounds for the proposal/initiative </w:t>
      </w:r>
    </w:p>
    <w:p w14:paraId="67A9B315" w14:textId="64580CA7" w:rsidR="00E04CDE" w:rsidRDefault="00EF15A7" w:rsidP="00EF15A7">
      <w:pPr>
        <w:pStyle w:val="ManualHeading3"/>
        <w:rPr>
          <w:noProof/>
        </w:rPr>
      </w:pPr>
      <w:r w:rsidRPr="00EF15A7">
        <w:t>1.5.1.</w:t>
      </w:r>
      <w:r w:rsidRPr="00EF15A7">
        <w:tab/>
      </w:r>
      <w:r w:rsidR="00E04CDE">
        <w:rPr>
          <w:noProof/>
        </w:rPr>
        <w:t>Requirement(s) to be met in the short or long term including a detailed timeline for roll-out of the implementation of the initiative</w:t>
      </w:r>
    </w:p>
    <w:p w14:paraId="74482915"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on digitalisation of visa Procedure was announced in the 2018 Commission communication on Visa Policy. </w:t>
      </w:r>
      <w:r w:rsidRPr="00DD6F51">
        <w:rPr>
          <w:noProof/>
        </w:rPr>
        <w:t>The New Pact on Migration and Asylum proposed by the Commission on 23 September 2020 set the objective of making the visa procedure fully digitalised by 2025, with a digital visa and the ability to submit visa applications online.</w:t>
      </w:r>
    </w:p>
    <w:p w14:paraId="0F5CFF85"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Following the adoption of legislation by the colegislators  (at the latest end 2023), the development of the EU Visa application </w:t>
      </w:r>
      <w:r w:rsidR="00C7145D">
        <w:rPr>
          <w:noProof/>
        </w:rPr>
        <w:t xml:space="preserve">platform </w:t>
      </w:r>
      <w:r>
        <w:rPr>
          <w:noProof/>
        </w:rPr>
        <w:t xml:space="preserve">by the </w:t>
      </w:r>
      <w:r w:rsidRPr="00CB7062">
        <w:rPr>
          <w:noProof/>
        </w:rPr>
        <w:t>European Union Agency for the Operational Management of Large-Scale IT Systems in the Area of Freedom, Security and Justice​ (</w:t>
      </w:r>
      <w:r>
        <w:rPr>
          <w:noProof/>
        </w:rPr>
        <w:t xml:space="preserve">eu-LISA) could start and would last two years (2024-2025). This development would rely on lessons learnt from the development of a </w:t>
      </w:r>
      <w:r w:rsidR="00C7145D">
        <w:rPr>
          <w:noProof/>
        </w:rPr>
        <w:t xml:space="preserve">platform </w:t>
      </w:r>
      <w:r>
        <w:rPr>
          <w:noProof/>
        </w:rPr>
        <w:t xml:space="preserve">prototype by eu-LISA in 2020-2021. </w:t>
      </w:r>
    </w:p>
    <w:p w14:paraId="7DC35293"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Meanwhile, Member States would carry out the necessary investments to connect to the EU Visa application platform and implement the digital visa and be ready for beginning of 2026 when the Visa application platform could go live. For those Member States who would chose not to use the EU Visa application</w:t>
      </w:r>
      <w:r w:rsidR="005D28EB">
        <w:rPr>
          <w:noProof/>
        </w:rPr>
        <w:t xml:space="preserve"> platform</w:t>
      </w:r>
      <w:r>
        <w:rPr>
          <w:noProof/>
        </w:rPr>
        <w:t xml:space="preserve"> as from beginning 2026, they would have still two years to carry out the necessary investments, possibly phase out their national portals and use the single EU </w:t>
      </w:r>
      <w:r w:rsidR="005D28EB">
        <w:rPr>
          <w:noProof/>
        </w:rPr>
        <w:t xml:space="preserve">visa </w:t>
      </w:r>
      <w:r>
        <w:rPr>
          <w:noProof/>
        </w:rPr>
        <w:t>application platform for their applications.</w:t>
      </w:r>
    </w:p>
    <w:p w14:paraId="4943D99F"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In 2026, the EU visa application platform and the digital visa would coexist. After the end of the transition period (end 2028), all </w:t>
      </w:r>
      <w:r w:rsidR="005D28EB">
        <w:rPr>
          <w:noProof/>
        </w:rPr>
        <w:t xml:space="preserve">visa </w:t>
      </w:r>
      <w:r>
        <w:rPr>
          <w:noProof/>
        </w:rPr>
        <w:t xml:space="preserve">applications would be lodged online throught the EU visa application platform (except a few exceptionnal cases for which a paper procedure would remain possible). </w:t>
      </w:r>
    </w:p>
    <w:p w14:paraId="4B008B4B"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After the start of operations, eu-LISA will have to regularly update the EU </w:t>
      </w:r>
      <w:r w:rsidR="005D28EB">
        <w:rPr>
          <w:noProof/>
        </w:rPr>
        <w:t xml:space="preserve">visa application </w:t>
      </w:r>
      <w:r>
        <w:rPr>
          <w:noProof/>
        </w:rPr>
        <w:t xml:space="preserve">platform and maintain it and Member States will have to do the same for their </w:t>
      </w:r>
      <w:r w:rsidR="005D28EB">
        <w:rPr>
          <w:noProof/>
        </w:rPr>
        <w:t xml:space="preserve">national </w:t>
      </w:r>
      <w:r>
        <w:rPr>
          <w:noProof/>
        </w:rPr>
        <w:t>components linked to the platform.</w:t>
      </w:r>
    </w:p>
    <w:p w14:paraId="6EEC909D"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p>
    <w:p w14:paraId="0474C51C"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p>
    <w:p w14:paraId="0EBA7035" w14:textId="37D43DEA" w:rsidR="00E04CDE" w:rsidRDefault="00EF15A7" w:rsidP="00EF15A7">
      <w:pPr>
        <w:pStyle w:val="ManualHeading3"/>
        <w:rPr>
          <w:bCs/>
          <w:noProof/>
          <w:szCs w:val="24"/>
        </w:rPr>
      </w:pPr>
      <w:r w:rsidRPr="00EF15A7">
        <w:t>1.5.2.</w:t>
      </w:r>
      <w:r w:rsidRPr="00EF15A7">
        <w:tab/>
      </w:r>
      <w:r w:rsidR="00E04CDE">
        <w:rPr>
          <w:noProof/>
        </w:rPr>
        <w:t xml:space="preserve">Added value of Union </w:t>
      </w:r>
      <w:r w:rsidR="00E04CDE" w:rsidRPr="00CD72BB">
        <w:rPr>
          <w:noProof/>
        </w:rPr>
        <w:t>involvement (it may result from different factors, e.g. coordination gains, legal certainty, great</w:t>
      </w:r>
      <w:r w:rsidR="00E04CDE" w:rsidRPr="004830A5">
        <w:rPr>
          <w:noProof/>
        </w:rPr>
        <w:t>er effectiveness or complementarities).</w:t>
      </w:r>
      <w:r w:rsidR="00E04CDE">
        <w:rPr>
          <w:noProof/>
        </w:rPr>
        <w:t xml:space="preserve"> For the purposes of this point 'added value of Union involvement' is the value resulting from Union intervention which is additional to the value that would have been otherwise created by Member States alone.</w:t>
      </w:r>
    </w:p>
    <w:p w14:paraId="216F5B1A"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sidRPr="00AD1FB8">
        <w:rPr>
          <w:noProof/>
        </w:rPr>
        <w:t>Reasons for action at European level (ex-ante)</w:t>
      </w:r>
      <w:r w:rsidRPr="00D52751">
        <w:rPr>
          <w:noProof/>
        </w:rPr>
        <w:t xml:space="preserve"> </w:t>
      </w:r>
    </w:p>
    <w:p w14:paraId="4806B09D"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As the Schengen visa procedure is harmonised at EU level and regulated in great detail in the Visa Code, the VIS Regulation and the uniform format for visas Regulation, the shortcomings identified inte context of the impact assessment are inextricably related to existing EU legislation. The problems identified are unlikely to disappear in the near future and they are directly related to the current legal provisions. For both aspects of the initiative (visa application procedure and format of the visa) by reason of scale, effects and impact of the envisaged actions, action to solve these problems can only be taken efficiently and systematically at EU level. The continuation of current situation, where Member States develop (or not) their own digital tools would only partially solve the problems identified. Only an intervention at EU level would generate greater added value.</w:t>
      </w:r>
    </w:p>
    <w:p w14:paraId="43B24B68"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sidRPr="00AD1FB8">
        <w:rPr>
          <w:noProof/>
        </w:rPr>
        <w:t xml:space="preserve">Expected generated </w:t>
      </w:r>
      <w:r>
        <w:rPr>
          <w:noProof/>
        </w:rPr>
        <w:t>Union</w:t>
      </w:r>
      <w:r w:rsidRPr="00AD1FB8">
        <w:rPr>
          <w:noProof/>
        </w:rPr>
        <w:t xml:space="preserve"> added value (ex-post)</w:t>
      </w:r>
      <w:r w:rsidR="005D28EB">
        <w:rPr>
          <w:noProof/>
        </w:rPr>
        <w:t>.</w:t>
      </w:r>
      <w:r w:rsidRPr="00AD1FB8">
        <w:rPr>
          <w:noProof/>
        </w:rPr>
        <w:t xml:space="preserve"> </w:t>
      </w:r>
      <w:r w:rsidRPr="004B674E">
        <w:rPr>
          <w:noProof/>
        </w:rPr>
        <w:t xml:space="preserve">By facilitating the </w:t>
      </w:r>
      <w:r w:rsidR="005D28EB">
        <w:rPr>
          <w:noProof/>
        </w:rPr>
        <w:t>v</w:t>
      </w:r>
      <w:r w:rsidR="005D28EB" w:rsidRPr="004B674E">
        <w:rPr>
          <w:noProof/>
        </w:rPr>
        <w:t xml:space="preserve">isa </w:t>
      </w:r>
      <w:r w:rsidRPr="004B674E">
        <w:rPr>
          <w:noProof/>
        </w:rPr>
        <w:t xml:space="preserve">application by visa-required third-country nationals through a single </w:t>
      </w:r>
      <w:r w:rsidR="005D28EB">
        <w:rPr>
          <w:noProof/>
        </w:rPr>
        <w:t xml:space="preserve">EU visa </w:t>
      </w:r>
      <w:r w:rsidRPr="004B674E">
        <w:rPr>
          <w:noProof/>
        </w:rPr>
        <w:t>application platform with less costly and easier application procedures, the proposal will decrease the application cost for visa applicants by 31 € on average per applicant (out of 74 €). It will trigger an increase in travels to the EU compared to the situation where the EU would not act. This will generate an increase in GDP contribution of visa-required travellers of 53.5 bn on the 2025-2029 period.  The creation of a single</w:t>
      </w:r>
      <w:r w:rsidR="005D28EB">
        <w:rPr>
          <w:noProof/>
        </w:rPr>
        <w:t xml:space="preserve"> EU visa</w:t>
      </w:r>
      <w:r w:rsidRPr="004B674E">
        <w:rPr>
          <w:noProof/>
        </w:rPr>
        <w:t xml:space="preserve"> application platform used by all Member States would allow savings on querie</w:t>
      </w:r>
      <w:r>
        <w:rPr>
          <w:noProof/>
        </w:rPr>
        <w:t>s</w:t>
      </w:r>
      <w:r w:rsidRPr="004B674E">
        <w:rPr>
          <w:noProof/>
        </w:rPr>
        <w:t xml:space="preserve"> by visa applicants</w:t>
      </w:r>
      <w:r>
        <w:rPr>
          <w:noProof/>
        </w:rPr>
        <w:t xml:space="preserve"> and</w:t>
      </w:r>
      <w:r w:rsidRPr="004B674E">
        <w:rPr>
          <w:noProof/>
        </w:rPr>
        <w:t xml:space="preserve"> </w:t>
      </w:r>
      <w:r>
        <w:rPr>
          <w:noProof/>
        </w:rPr>
        <w:t xml:space="preserve">on the </w:t>
      </w:r>
      <w:r w:rsidRPr="004B674E">
        <w:rPr>
          <w:noProof/>
        </w:rPr>
        <w:t>manag</w:t>
      </w:r>
      <w:r>
        <w:rPr>
          <w:noProof/>
        </w:rPr>
        <w:t xml:space="preserve">ement of </w:t>
      </w:r>
      <w:r w:rsidRPr="004B674E">
        <w:rPr>
          <w:noProof/>
        </w:rPr>
        <w:t>paper-based applications</w:t>
      </w:r>
      <w:r>
        <w:rPr>
          <w:noProof/>
        </w:rPr>
        <w:t>. The introduction of a digital visa would also generate savings on the management of paper visa-stickers. These two changes, only made possible by EU intervention would allow savings of EUR 553 million for all Member States of the 2025-2029 period. By creating a single entry point for visa applications, it would also project a homogeneous image of the EU towards the outside world.</w:t>
      </w:r>
    </w:p>
    <w:p w14:paraId="2A039C7D" w14:textId="130B6953" w:rsidR="00E04CDE" w:rsidRDefault="00EF15A7" w:rsidP="00EF15A7">
      <w:pPr>
        <w:pStyle w:val="ManualHeading3"/>
        <w:rPr>
          <w:noProof/>
        </w:rPr>
      </w:pPr>
      <w:r w:rsidRPr="00EF15A7">
        <w:t>1.5.3.</w:t>
      </w:r>
      <w:r w:rsidRPr="00EF15A7">
        <w:tab/>
      </w:r>
      <w:r w:rsidR="00E04CDE">
        <w:rPr>
          <w:noProof/>
        </w:rPr>
        <w:t>Lessons learned from similar experiences in the past</w:t>
      </w:r>
    </w:p>
    <w:p w14:paraId="67973ABA"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The lessons learnt from the introduction of the Visa Information System and other large IT systems suggest that the introduction of a new large IT system can generally take longer than expected and that Member States must benefit from the support of EU funding to finance their national investments. This will be the case with the </w:t>
      </w:r>
      <w:r w:rsidRPr="00C66C82">
        <w:rPr>
          <w:noProof/>
        </w:rPr>
        <w:t xml:space="preserve">Instrument for  Financial Support for </w:t>
      </w:r>
      <w:r>
        <w:rPr>
          <w:noProof/>
        </w:rPr>
        <w:t>Border Management and Visa Policy (BMVI) 2021-2027 for which digitalisaiton of visa procedures has clearly been identified as a priority.</w:t>
      </w:r>
    </w:p>
    <w:p w14:paraId="2FB4F12D"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p>
    <w:p w14:paraId="4B950BA3" w14:textId="69057FF9" w:rsidR="00E04CDE" w:rsidRDefault="00EF15A7" w:rsidP="00EF15A7">
      <w:pPr>
        <w:pStyle w:val="ManualHeading3"/>
        <w:rPr>
          <w:noProof/>
        </w:rPr>
      </w:pPr>
      <w:r w:rsidRPr="00EF15A7">
        <w:t>1.5.4.</w:t>
      </w:r>
      <w:r w:rsidRPr="00EF15A7">
        <w:tab/>
      </w:r>
      <w:r w:rsidR="00E04CDE">
        <w:rPr>
          <w:noProof/>
        </w:rPr>
        <w:t>Compatibility with the Multiannual Financial Framework and possible synergies with other appropriate instruments</w:t>
      </w:r>
    </w:p>
    <w:p w14:paraId="2FEC4036"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The investments required at EU level and Member States level are compatible with the 2021-2027 multi</w:t>
      </w:r>
      <w:r w:rsidRPr="00C66C82">
        <w:rPr>
          <w:noProof/>
        </w:rPr>
        <w:t xml:space="preserve">annual </w:t>
      </w:r>
      <w:r>
        <w:rPr>
          <w:noProof/>
        </w:rPr>
        <w:t>financial framework with the use of the BMVI to finance these investments.</w:t>
      </w:r>
    </w:p>
    <w:p w14:paraId="156822D9"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p>
    <w:p w14:paraId="570DA065" w14:textId="2865EB6D" w:rsidR="00E04CDE" w:rsidRDefault="00EF15A7" w:rsidP="00EF15A7">
      <w:pPr>
        <w:pStyle w:val="ManualHeading3"/>
        <w:rPr>
          <w:noProof/>
        </w:rPr>
      </w:pPr>
      <w:r w:rsidRPr="00EF15A7">
        <w:t>1.5.5.</w:t>
      </w:r>
      <w:r w:rsidRPr="00EF15A7">
        <w:tab/>
      </w:r>
      <w:r w:rsidR="00E04CDE">
        <w:rPr>
          <w:noProof/>
        </w:rPr>
        <w:t>Assessment of the different available financing options, including scope for redeployment</w:t>
      </w:r>
    </w:p>
    <w:p w14:paraId="40CF1A0F"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sidRPr="00CA4F08">
        <w:rPr>
          <w:noProof/>
        </w:rPr>
        <w:t>The appropriations needed to fi</w:t>
      </w:r>
      <w:r w:rsidR="005D28EB">
        <w:rPr>
          <w:noProof/>
        </w:rPr>
        <w:t>n</w:t>
      </w:r>
      <w:r w:rsidRPr="00CA4F08">
        <w:rPr>
          <w:noProof/>
        </w:rPr>
        <w:t xml:space="preserve">ance the development of the </w:t>
      </w:r>
      <w:r w:rsidR="005D28EB">
        <w:rPr>
          <w:noProof/>
        </w:rPr>
        <w:t>EU v</w:t>
      </w:r>
      <w:r w:rsidRPr="00CA4F08">
        <w:rPr>
          <w:noProof/>
        </w:rPr>
        <w:t>isa application platform by eu-LISA (EUR 69.325 million) have not been planned under the eu-LISA MFF allocation, as this is a new proposal for which amounts were not known at the time of the proposal. It is proposed to reinforce the eu-LISA budget for the amounts needed in 2023, 2024, 2025, 2026 and 2027 by transferring</w:t>
      </w:r>
      <w:r>
        <w:rPr>
          <w:noProof/>
        </w:rPr>
        <w:t xml:space="preserve"> appropriations from the corresponding thematic facilities of the Border Management and Visa Policy (BMVI).</w:t>
      </w:r>
    </w:p>
    <w:p w14:paraId="64278358"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p>
    <w:p w14:paraId="5AE6B543" w14:textId="77777777" w:rsidR="00E04CDE" w:rsidRPr="00AF322C" w:rsidRDefault="00E04CDE" w:rsidP="00E04CDE">
      <w:pPr>
        <w:pStyle w:val="Text1"/>
        <w:rPr>
          <w:noProof/>
        </w:rPr>
      </w:pPr>
    </w:p>
    <w:p w14:paraId="5FC4B390" w14:textId="377F4424" w:rsidR="00E04CDE" w:rsidRDefault="00E04CDE" w:rsidP="00EF15A7">
      <w:pPr>
        <w:pStyle w:val="ManualHeading2"/>
        <w:rPr>
          <w:bCs/>
          <w:noProof/>
          <w:szCs w:val="24"/>
        </w:rPr>
      </w:pPr>
      <w:r>
        <w:rPr>
          <w:noProof/>
        </w:rPr>
        <w:br w:type="page"/>
      </w:r>
      <w:r w:rsidR="00EF15A7" w:rsidRPr="00EF15A7">
        <w:t>1.6.</w:t>
      </w:r>
      <w:r w:rsidR="00EF15A7" w:rsidRPr="00EF15A7">
        <w:tab/>
      </w:r>
      <w:r>
        <w:rPr>
          <w:noProof/>
        </w:rPr>
        <w:t>Duration and financial impact of the proposal/initiative</w:t>
      </w:r>
    </w:p>
    <w:p w14:paraId="18298E8E" w14:textId="77777777" w:rsidR="00E04CDE" w:rsidRDefault="00E04CDE" w:rsidP="00E04CDE">
      <w:pPr>
        <w:pStyle w:val="Text1"/>
        <w:rPr>
          <w:noProof/>
        </w:rPr>
      </w:pPr>
      <w:r>
        <w:rPr>
          <w:noProof/>
        </w:rPr>
        <w:sym w:font="Wingdings" w:char="F0A8"/>
      </w:r>
      <w:r>
        <w:rPr>
          <w:b/>
          <w:noProof/>
        </w:rPr>
        <w:t xml:space="preserve">limited duration </w:t>
      </w:r>
    </w:p>
    <w:p w14:paraId="0D4E9F00" w14:textId="77777777" w:rsidR="00E04CDE" w:rsidRDefault="00E04CDE" w:rsidP="00E04CDE">
      <w:pPr>
        <w:pStyle w:val="ListDash2"/>
        <w:rPr>
          <w:noProof/>
        </w:rPr>
      </w:pPr>
      <w:r>
        <w:rPr>
          <w:noProof/>
        </w:rPr>
        <w:sym w:font="Wingdings" w:char="F0A8"/>
      </w:r>
      <w:r>
        <w:rPr>
          <w:noProof/>
        </w:rPr>
        <w:tab/>
        <w:t xml:space="preserve">in effect from [DD/MM]YYYY to [DD/MM]YYYY </w:t>
      </w:r>
    </w:p>
    <w:p w14:paraId="1C368C6F" w14:textId="77777777" w:rsidR="00E04CDE" w:rsidRDefault="00E04CDE" w:rsidP="00E04CDE">
      <w:pPr>
        <w:pStyle w:val="ListDash2"/>
        <w:rPr>
          <w:noProof/>
        </w:rPr>
      </w:pPr>
      <w:r>
        <w:rPr>
          <w:noProof/>
        </w:rPr>
        <w:sym w:font="Wingdings" w:char="F0A8"/>
      </w:r>
      <w:r>
        <w:rPr>
          <w:noProof/>
        </w:rPr>
        <w:tab/>
        <w:t xml:space="preserve">Financial impact from YYYY to YYYY for commitment appropriations and from YYYY to YYYY for payment appropriations. </w:t>
      </w:r>
    </w:p>
    <w:p w14:paraId="73B63219" w14:textId="77777777" w:rsidR="00E04CDE" w:rsidRDefault="00E04CDE" w:rsidP="00E04CDE">
      <w:pPr>
        <w:pStyle w:val="Text1"/>
        <w:rPr>
          <w:noProof/>
        </w:rPr>
      </w:pPr>
      <w:r>
        <w:rPr>
          <w:noProof/>
        </w:rPr>
        <w:sym w:font="Wingdings" w:char="F0FC"/>
      </w:r>
      <w:r>
        <w:rPr>
          <w:b/>
          <w:i/>
          <w:noProof/>
        </w:rPr>
        <w:t xml:space="preserve"> </w:t>
      </w:r>
      <w:r>
        <w:rPr>
          <w:b/>
          <w:noProof/>
        </w:rPr>
        <w:t>unlimited duration</w:t>
      </w:r>
    </w:p>
    <w:p w14:paraId="2FACD6A1" w14:textId="77777777" w:rsidR="00E04CDE" w:rsidRDefault="00E04CDE" w:rsidP="00E04CDE">
      <w:pPr>
        <w:pStyle w:val="ListDash1"/>
        <w:rPr>
          <w:noProof/>
        </w:rPr>
      </w:pPr>
      <w:r>
        <w:rPr>
          <w:noProof/>
        </w:rPr>
        <w:t>Implementation with a start-up/development period from 2024 to 2025,</w:t>
      </w:r>
    </w:p>
    <w:p w14:paraId="14B2A78C" w14:textId="77777777" w:rsidR="00E04CDE" w:rsidRDefault="00E04CDE" w:rsidP="00E04CDE">
      <w:pPr>
        <w:pStyle w:val="ListDash1"/>
        <w:rPr>
          <w:noProof/>
        </w:rPr>
      </w:pPr>
      <w:r>
        <w:rPr>
          <w:noProof/>
        </w:rPr>
        <w:t>followed by full-scale operation as from 2026.</w:t>
      </w:r>
    </w:p>
    <w:p w14:paraId="24D25D29" w14:textId="206AAD18" w:rsidR="00E04CDE" w:rsidRDefault="00EF15A7" w:rsidP="00EF15A7">
      <w:pPr>
        <w:pStyle w:val="ManualHeading2"/>
        <w:rPr>
          <w:bCs/>
          <w:noProof/>
          <w:szCs w:val="24"/>
        </w:rPr>
      </w:pPr>
      <w:r w:rsidRPr="00EF15A7">
        <w:t>1.7.</w:t>
      </w:r>
      <w:r w:rsidRPr="00EF15A7">
        <w:tab/>
      </w:r>
      <w:r w:rsidR="00E04CDE">
        <w:rPr>
          <w:noProof/>
        </w:rPr>
        <w:t>Management mode(s) planned</w:t>
      </w:r>
      <w:r w:rsidR="00E04CDE">
        <w:rPr>
          <w:rStyle w:val="FootnoteReference"/>
          <w:noProof/>
        </w:rPr>
        <w:footnoteReference w:id="74"/>
      </w:r>
      <w:r w:rsidR="00E04CDE">
        <w:rPr>
          <w:rStyle w:val="FootnoteReference"/>
          <w:noProof/>
        </w:rPr>
        <w:t xml:space="preserve"> </w:t>
      </w:r>
    </w:p>
    <w:p w14:paraId="354CA352" w14:textId="77777777" w:rsidR="00E04CDE" w:rsidRDefault="00E04CDE" w:rsidP="00E04CDE">
      <w:pPr>
        <w:pStyle w:val="Text1"/>
        <w:rPr>
          <w:noProof/>
        </w:rPr>
      </w:pPr>
      <w:r>
        <w:rPr>
          <w:noProof/>
        </w:rPr>
        <w:sym w:font="Wingdings" w:char="F0A8"/>
      </w:r>
      <w:r>
        <w:rPr>
          <w:i/>
          <w:noProof/>
        </w:rPr>
        <w:t xml:space="preserve"> </w:t>
      </w:r>
      <w:r>
        <w:rPr>
          <w:b/>
          <w:noProof/>
        </w:rPr>
        <w:t>Direct management</w:t>
      </w:r>
      <w:r>
        <w:rPr>
          <w:noProof/>
        </w:rPr>
        <w:t xml:space="preserve"> by the Commission</w:t>
      </w:r>
    </w:p>
    <w:p w14:paraId="582247D2" w14:textId="77777777" w:rsidR="00E04CDE" w:rsidRDefault="00E04CDE" w:rsidP="00E04CDE">
      <w:pPr>
        <w:pStyle w:val="ListDash2"/>
        <w:rPr>
          <w:rFonts w:cs="EUAlbertina"/>
          <w:noProof/>
        </w:rPr>
      </w:pPr>
      <w:r>
        <w:rPr>
          <w:noProof/>
        </w:rPr>
        <w:sym w:font="Wingdings" w:char="F0A8"/>
      </w:r>
      <w:r>
        <w:rPr>
          <w:noProof/>
        </w:rPr>
        <w:t xml:space="preserve"> by its departments, including by its staff in the Union delegations; </w:t>
      </w:r>
    </w:p>
    <w:p w14:paraId="362A249F" w14:textId="77777777" w:rsidR="00E04CDE" w:rsidRDefault="00E04CDE" w:rsidP="00E04CDE">
      <w:pPr>
        <w:pStyle w:val="ListDash2"/>
        <w:rPr>
          <w:noProof/>
        </w:rPr>
      </w:pPr>
      <w:r>
        <w:rPr>
          <w:noProof/>
        </w:rPr>
        <w:sym w:font="Wingdings" w:char="F0A8"/>
      </w:r>
      <w:r>
        <w:rPr>
          <w:noProof/>
        </w:rPr>
        <w:tab/>
        <w:t xml:space="preserve">by the executive agencies </w:t>
      </w:r>
    </w:p>
    <w:p w14:paraId="09CBBFBB" w14:textId="77777777" w:rsidR="00E04CDE" w:rsidRDefault="00E04CDE" w:rsidP="00E04CDE">
      <w:pPr>
        <w:pStyle w:val="Text1"/>
        <w:rPr>
          <w:noProof/>
        </w:rPr>
      </w:pPr>
      <w:r>
        <w:rPr>
          <w:noProof/>
        </w:rPr>
        <w:sym w:font="Wingdings" w:char="F0FC"/>
      </w:r>
      <w:r>
        <w:rPr>
          <w:b/>
          <w:i/>
          <w:noProof/>
        </w:rPr>
        <w:t xml:space="preserve"> </w:t>
      </w:r>
      <w:r>
        <w:rPr>
          <w:b/>
          <w:noProof/>
        </w:rPr>
        <w:t>Shared management</w:t>
      </w:r>
      <w:r>
        <w:rPr>
          <w:noProof/>
        </w:rPr>
        <w:t xml:space="preserve"> with the Member States </w:t>
      </w:r>
    </w:p>
    <w:p w14:paraId="688725D9" w14:textId="77777777" w:rsidR="00E04CDE" w:rsidRDefault="00E04CDE" w:rsidP="00E04CDE">
      <w:pPr>
        <w:pStyle w:val="Text1"/>
        <w:rPr>
          <w:noProof/>
        </w:rPr>
      </w:pPr>
      <w:r>
        <w:rPr>
          <w:noProof/>
        </w:rPr>
        <w:sym w:font="Wingdings" w:char="F0FC"/>
      </w:r>
      <w:r>
        <w:rPr>
          <w:i/>
          <w:noProof/>
        </w:rPr>
        <w:t xml:space="preserve"> </w:t>
      </w:r>
      <w:r>
        <w:rPr>
          <w:b/>
          <w:noProof/>
        </w:rPr>
        <w:t>Indirect management</w:t>
      </w:r>
      <w:r>
        <w:rPr>
          <w:noProof/>
        </w:rPr>
        <w:t xml:space="preserve"> by entrusting budget implementation tasks to:</w:t>
      </w:r>
    </w:p>
    <w:p w14:paraId="23C3E986" w14:textId="77777777" w:rsidR="00E04CDE" w:rsidRDefault="00E04CDE" w:rsidP="00E04CDE">
      <w:pPr>
        <w:pStyle w:val="ListDash2"/>
        <w:rPr>
          <w:noProof/>
        </w:rPr>
      </w:pPr>
      <w:r>
        <w:rPr>
          <w:noProof/>
        </w:rPr>
        <w:sym w:font="Wingdings" w:char="F0A8"/>
      </w:r>
      <w:r>
        <w:rPr>
          <w:noProof/>
        </w:rPr>
        <w:t xml:space="preserve"> third countries or the bodies they have designated;</w:t>
      </w:r>
    </w:p>
    <w:p w14:paraId="2DE27E8A" w14:textId="77777777" w:rsidR="00E04CDE" w:rsidRDefault="00E04CDE" w:rsidP="00E04CDE">
      <w:pPr>
        <w:pStyle w:val="ListDash2"/>
        <w:rPr>
          <w:noProof/>
        </w:rPr>
      </w:pPr>
      <w:r>
        <w:rPr>
          <w:noProof/>
        </w:rPr>
        <w:sym w:font="Wingdings" w:char="F0A8"/>
      </w:r>
      <w:r>
        <w:rPr>
          <w:noProof/>
        </w:rPr>
        <w:t xml:space="preserve"> international organisations and their agencies (to be specified);</w:t>
      </w:r>
    </w:p>
    <w:p w14:paraId="651D4B33" w14:textId="77777777" w:rsidR="00E04CDE" w:rsidRDefault="00E04CDE" w:rsidP="00E04CDE">
      <w:pPr>
        <w:pStyle w:val="ListDash2"/>
        <w:rPr>
          <w:noProof/>
        </w:rPr>
      </w:pPr>
      <w:r>
        <w:rPr>
          <w:noProof/>
        </w:rPr>
        <w:sym w:font="Wingdings" w:char="F0A8"/>
      </w:r>
      <w:r>
        <w:rPr>
          <w:noProof/>
        </w:rPr>
        <w:t xml:space="preserve"> the EIB and the European Investment Fund;</w:t>
      </w:r>
    </w:p>
    <w:p w14:paraId="2FDABFEA" w14:textId="77777777" w:rsidR="00E04CDE" w:rsidRDefault="00E04CDE" w:rsidP="00E04CDE">
      <w:pPr>
        <w:pStyle w:val="ListDash2"/>
        <w:rPr>
          <w:noProof/>
        </w:rPr>
      </w:pPr>
      <w:r>
        <w:rPr>
          <w:noProof/>
        </w:rPr>
        <w:sym w:font="Wingdings" w:char="F0FC"/>
      </w:r>
      <w:r>
        <w:rPr>
          <w:noProof/>
        </w:rPr>
        <w:t xml:space="preserve"> bodies referred to in Articles 70 and 71 of the Financial Regulation;</w:t>
      </w:r>
    </w:p>
    <w:p w14:paraId="76014C6C" w14:textId="77777777" w:rsidR="00E04CDE" w:rsidRDefault="00E04CDE" w:rsidP="00E04CDE">
      <w:pPr>
        <w:pStyle w:val="ListDash2"/>
        <w:rPr>
          <w:noProof/>
        </w:rPr>
      </w:pPr>
      <w:r>
        <w:rPr>
          <w:noProof/>
        </w:rPr>
        <w:sym w:font="Wingdings" w:char="F0A8"/>
      </w:r>
      <w:r>
        <w:rPr>
          <w:noProof/>
        </w:rPr>
        <w:t xml:space="preserve"> public law bodies;</w:t>
      </w:r>
    </w:p>
    <w:p w14:paraId="2ADDB1F6" w14:textId="77777777" w:rsidR="00E04CDE" w:rsidRDefault="00E04CDE" w:rsidP="00E04CDE">
      <w:pPr>
        <w:pStyle w:val="ListDash2"/>
        <w:rPr>
          <w:noProof/>
        </w:rPr>
      </w:pPr>
      <w:r>
        <w:rPr>
          <w:noProof/>
        </w:rPr>
        <w:sym w:font="Wingdings" w:char="F0A8"/>
      </w:r>
      <w:r>
        <w:rPr>
          <w:noProof/>
        </w:rPr>
        <w:t xml:space="preserve"> bodies governed by private law with a public service mission to the extent that they are provided with adequate financial guarantees;</w:t>
      </w:r>
    </w:p>
    <w:p w14:paraId="16010568" w14:textId="77777777" w:rsidR="00E04CDE" w:rsidRDefault="00E04CDE" w:rsidP="00E04CDE">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are provided with adequate financial guarantees;</w:t>
      </w:r>
    </w:p>
    <w:p w14:paraId="403934DB" w14:textId="77777777" w:rsidR="00E04CDE" w:rsidRDefault="00E04CDE" w:rsidP="00E04CDE">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14:paraId="6DAD99BC" w14:textId="77777777" w:rsidR="00E04CDE" w:rsidRDefault="00E04CDE" w:rsidP="00E04CDE">
      <w:pPr>
        <w:pStyle w:val="ListDash2"/>
        <w:rPr>
          <w:i/>
          <w:noProof/>
          <w:sz w:val="18"/>
          <w:u w:val="single"/>
        </w:rPr>
      </w:pPr>
      <w:r>
        <w:rPr>
          <w:i/>
          <w:noProof/>
          <w:sz w:val="18"/>
        </w:rPr>
        <w:t>If more than one management mode is indicated, please provide details in the ‘Comments’ section.</w:t>
      </w:r>
    </w:p>
    <w:p w14:paraId="37EFBBE1" w14:textId="77777777" w:rsidR="00E04CDE" w:rsidRDefault="00E04CDE" w:rsidP="00E04CDE">
      <w:pPr>
        <w:rPr>
          <w:noProof/>
        </w:rPr>
      </w:pPr>
      <w:r>
        <w:rPr>
          <w:noProof/>
        </w:rPr>
        <w:t xml:space="preserve">Comments </w:t>
      </w:r>
    </w:p>
    <w:p w14:paraId="030786E0" w14:textId="77777777" w:rsidR="00E04CDE" w:rsidRDefault="00E04CDE" w:rsidP="00E04CDE">
      <w:pPr>
        <w:pBdr>
          <w:top w:val="single" w:sz="4" w:space="1" w:color="auto"/>
          <w:left w:val="single" w:sz="4" w:space="4" w:color="auto"/>
          <w:bottom w:val="single" w:sz="4" w:space="1" w:color="auto"/>
          <w:right w:val="single" w:sz="4" w:space="4" w:color="auto"/>
        </w:pBdr>
        <w:rPr>
          <w:noProof/>
        </w:rPr>
      </w:pPr>
      <w:r>
        <w:rPr>
          <w:noProof/>
        </w:rPr>
        <w:t xml:space="preserve">The development phase of the </w:t>
      </w:r>
      <w:r w:rsidR="005D28EB">
        <w:rPr>
          <w:noProof/>
        </w:rPr>
        <w:t>EU v</w:t>
      </w:r>
      <w:r>
        <w:rPr>
          <w:noProof/>
        </w:rPr>
        <w:t xml:space="preserve">isa application platform is expected to last two years during which eu-LISA will develop the platform. The </w:t>
      </w:r>
      <w:r w:rsidR="005D28EB">
        <w:rPr>
          <w:noProof/>
        </w:rPr>
        <w:t xml:space="preserve">EU visa application </w:t>
      </w:r>
      <w:r>
        <w:rPr>
          <w:noProof/>
        </w:rPr>
        <w:t xml:space="preserve">platform will be operational as from first January 2026. </w:t>
      </w:r>
    </w:p>
    <w:p w14:paraId="52CDF493" w14:textId="77777777" w:rsidR="00E04CDE" w:rsidRDefault="00E04CDE" w:rsidP="00E04CDE">
      <w:pPr>
        <w:pBdr>
          <w:top w:val="single" w:sz="4" w:space="1" w:color="auto"/>
          <w:left w:val="single" w:sz="4" w:space="4" w:color="auto"/>
          <w:bottom w:val="single" w:sz="4" w:space="1" w:color="auto"/>
          <w:right w:val="single" w:sz="4" w:space="4" w:color="auto"/>
        </w:pBdr>
        <w:rPr>
          <w:noProof/>
        </w:rPr>
      </w:pPr>
    </w:p>
    <w:p w14:paraId="422C83E5" w14:textId="77777777" w:rsidR="00E04CDE" w:rsidRDefault="00E04CDE" w:rsidP="00E04CDE">
      <w:pPr>
        <w:rPr>
          <w:noProof/>
        </w:rPr>
        <w:sectPr w:rsidR="00E04CDE" w:rsidSect="00FB3ECA">
          <w:pgSz w:w="11907" w:h="16840" w:code="9"/>
          <w:pgMar w:top="1134" w:right="1418" w:bottom="1134" w:left="1418" w:header="709" w:footer="709" w:gutter="0"/>
          <w:cols w:space="708"/>
          <w:docGrid w:linePitch="360"/>
        </w:sectPr>
      </w:pPr>
    </w:p>
    <w:p w14:paraId="40CCC687" w14:textId="40EEB38B" w:rsidR="00E04CDE" w:rsidRDefault="00EF15A7" w:rsidP="00EF15A7">
      <w:pPr>
        <w:pStyle w:val="ManualHeading1"/>
        <w:rPr>
          <w:bCs/>
          <w:noProof/>
          <w:szCs w:val="24"/>
        </w:rPr>
      </w:pPr>
      <w:r w:rsidRPr="00EF15A7">
        <w:t>2.</w:t>
      </w:r>
      <w:r w:rsidRPr="00EF15A7">
        <w:tab/>
      </w:r>
      <w:r w:rsidR="00E04CDE">
        <w:rPr>
          <w:noProof/>
        </w:rPr>
        <w:t xml:space="preserve">MANAGEMENT MEASURES </w:t>
      </w:r>
    </w:p>
    <w:p w14:paraId="0AE8F6D2" w14:textId="4A1FCC55" w:rsidR="00E04CDE" w:rsidRDefault="00EF15A7" w:rsidP="00EF15A7">
      <w:pPr>
        <w:pStyle w:val="ManualHeading2"/>
        <w:rPr>
          <w:noProof/>
        </w:rPr>
      </w:pPr>
      <w:r w:rsidRPr="00EF15A7">
        <w:t>2.1.</w:t>
      </w:r>
      <w:r w:rsidRPr="00EF15A7">
        <w:tab/>
      </w:r>
      <w:r w:rsidR="00E04CDE">
        <w:rPr>
          <w:noProof/>
        </w:rPr>
        <w:t xml:space="preserve">Monitoring and reporting rules </w:t>
      </w:r>
    </w:p>
    <w:p w14:paraId="26519E99" w14:textId="77777777" w:rsidR="00E04CDE" w:rsidRDefault="00E04CDE" w:rsidP="00E04CDE">
      <w:pPr>
        <w:pStyle w:val="Text1"/>
        <w:rPr>
          <w:i/>
          <w:noProof/>
          <w:sz w:val="20"/>
        </w:rPr>
      </w:pPr>
      <w:r>
        <w:rPr>
          <w:i/>
          <w:noProof/>
          <w:sz w:val="20"/>
        </w:rPr>
        <w:t>Specify frequency and conditions.</w:t>
      </w:r>
    </w:p>
    <w:p w14:paraId="243E11ED" w14:textId="77777777" w:rsidR="00E04CDE" w:rsidRPr="002827E1" w:rsidRDefault="00E04CDE" w:rsidP="00E04CDE">
      <w:pPr>
        <w:pStyle w:val="Text1"/>
        <w:pBdr>
          <w:top w:val="single" w:sz="4" w:space="1" w:color="auto"/>
          <w:left w:val="single" w:sz="4" w:space="4" w:color="auto"/>
          <w:bottom w:val="single" w:sz="4" w:space="1" w:color="auto"/>
          <w:right w:val="single" w:sz="4" w:space="4" w:color="auto"/>
        </w:pBdr>
        <w:rPr>
          <w:noProof/>
          <w:u w:val="single"/>
        </w:rPr>
      </w:pPr>
      <w:r w:rsidRPr="002827E1">
        <w:rPr>
          <w:noProof/>
          <w:u w:val="single"/>
        </w:rPr>
        <w:t xml:space="preserve">Shared management: </w:t>
      </w:r>
    </w:p>
    <w:p w14:paraId="7C42695E"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Each Member State shall establish a management and control systems for its programme and ensure the quality and the reliability of the monitoring system and of data on indicators, in accordance with the Common Provision Regulation (CPR). The Member States shall send each year an assurance package, which includes the annual accounts, the management declaration and the audit authority's opinions on the accounts, the management and control system and the legality and regularity of the expenditure declared in the annual accounts. This assurance package will be used by the Commission to determine the amount chargeable to the Fund for the accounting year. A review meeting between the Commission and each Member State shall be organised every two years to examine the performance of each programmes. The Member States send 6 times per year data for each programme broken down by specific objectives. These data refers to the cost of operations and the values of common output and result indicators.</w:t>
      </w:r>
    </w:p>
    <w:p w14:paraId="1AD124CD"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The Member States will send an annual performance report, which should set out information on the progress in the implementation of the programme and in achieving the milestones and targets. It should also raise any issues affecting the performance of the programme and describe the action taken to address them.</w:t>
      </w:r>
    </w:p>
    <w:p w14:paraId="647D8471"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At the end of the period, each Member States shall submit a final performance report. The final report should focus on the progress made towards achieving the objectives of the programme and should give an overview of the key issues that affected the programme’s performance, the measures taken to address those issues and the assessment of the effectiveness of these measures. In addition it should present the contribution of the programme to tackling the challenges identified in the relevant EU recommendations addressed to the Member State, the progress made in achieving the targets set out in the performance framework, the findings of the relevant evaluations and the follow-up given to those findings and the results of the communication actions. </w:t>
      </w:r>
    </w:p>
    <w:p w14:paraId="3E4ED731"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The Commission shall carry out a mid-term and a retrospective evaluation of the actions implemented under this Fund, in line with the Common Provisions Regulation. The mid-term evaluation should be based in particular on the mid-term evaluation of programmes submitted to the Commission by the Member States by 31 December 2024.</w:t>
      </w:r>
    </w:p>
    <w:p w14:paraId="71A23B1B" w14:textId="77777777" w:rsidR="00E04CDE" w:rsidRPr="00B62E4B" w:rsidRDefault="00E04CDE" w:rsidP="00E04CDE">
      <w:pPr>
        <w:pStyle w:val="Text1"/>
        <w:pBdr>
          <w:top w:val="single" w:sz="4" w:space="1" w:color="auto"/>
          <w:left w:val="single" w:sz="4" w:space="4" w:color="auto"/>
          <w:bottom w:val="single" w:sz="4" w:space="1" w:color="auto"/>
          <w:right w:val="single" w:sz="4" w:space="4" w:color="auto"/>
        </w:pBdr>
        <w:rPr>
          <w:noProof/>
          <w:u w:val="single"/>
        </w:rPr>
      </w:pPr>
      <w:r w:rsidRPr="00B62E4B">
        <w:rPr>
          <w:noProof/>
          <w:u w:val="single"/>
        </w:rPr>
        <w:t xml:space="preserve">Indirect management </w:t>
      </w:r>
    </w:p>
    <w:p w14:paraId="77C25F82"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sz w:val="23"/>
          <w:szCs w:val="23"/>
        </w:rPr>
      </w:pPr>
      <w:r w:rsidRPr="00554357">
        <w:rPr>
          <w:noProof/>
          <w:sz w:val="23"/>
          <w:szCs w:val="23"/>
        </w:rPr>
        <w:t xml:space="preserve">The monitoring and reporting of the proposal will follow the principles outlined in eu-LISA’s Regulation, Financial Regulation and in line with the Common Approach on decentralised agencies. </w:t>
      </w:r>
      <w:r>
        <w:rPr>
          <w:noProof/>
          <w:sz w:val="23"/>
          <w:szCs w:val="23"/>
        </w:rPr>
        <w:t xml:space="preserve">eu-LISA must notably send each year to the Commission, the European Parliament and the Council a Single Programming Document containing multi-annual and annual work programmes and resources programming. The Document sets out the objectives, expected results and performance indicators to monitor the achievement of the objectives and the results. eu-LISA must also submit a Consolidated Annual Activity Report to the management board. This report notably includes information on the achievement of the objectives and results set out in the Single Programming Document. The report must also be sent to the Commission, the European Parliament and the Council. </w:t>
      </w:r>
    </w:p>
    <w:p w14:paraId="76D70339"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sz w:val="23"/>
          <w:szCs w:val="23"/>
        </w:rPr>
        <w:t>Moreover, as outlined in Article 39 of eu-LISA’s Regulation, by 12 December 2023, and every five years thereafter, the Commission, after consulting the Management Board, shall evaluate, in accordance with the Commission’s guidelines, the performance of the Agency in relation to its objectives, mandate, locations and tasks. That evaluation shall also include an examination of the implementation of this Regulation and the way and extent to which the Agency effectively contributes to the operational management of large-scale IT systems and to the establishment of a coordinated, cost-effective and coherent IT environment at Union level in the area of freedom, security and justice. That evaluation shall, in particular, assess the possible need to modify the mandate of the Agency and the financial implications of any such modification. The Management Board may issue recommendations regarding amendments to this Regulation to the Commission.</w:t>
      </w:r>
    </w:p>
    <w:p w14:paraId="31A38B6F"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p>
    <w:p w14:paraId="6A28E030" w14:textId="77777777" w:rsidR="00E04CDE" w:rsidRDefault="00E04CDE" w:rsidP="00E04CDE">
      <w:pPr>
        <w:pStyle w:val="Default"/>
        <w:rPr>
          <w:noProof/>
          <w:sz w:val="23"/>
          <w:szCs w:val="23"/>
        </w:rPr>
      </w:pPr>
      <w:r>
        <w:rPr>
          <w:noProof/>
          <w:sz w:val="23"/>
          <w:szCs w:val="23"/>
        </w:rPr>
        <w:t xml:space="preserve"> </w:t>
      </w:r>
    </w:p>
    <w:p w14:paraId="3D2D7A7D" w14:textId="5EDFC89B" w:rsidR="00E04CDE" w:rsidRDefault="00EF15A7" w:rsidP="00EF15A7">
      <w:pPr>
        <w:pStyle w:val="ManualHeading2"/>
        <w:rPr>
          <w:bCs/>
          <w:noProof/>
          <w:szCs w:val="24"/>
        </w:rPr>
      </w:pPr>
      <w:r w:rsidRPr="00EF15A7">
        <w:t>2.2.</w:t>
      </w:r>
      <w:r w:rsidRPr="00EF15A7">
        <w:tab/>
      </w:r>
      <w:r w:rsidR="00E04CDE">
        <w:rPr>
          <w:noProof/>
        </w:rPr>
        <w:t xml:space="preserve">Management and control system(s) </w:t>
      </w:r>
    </w:p>
    <w:p w14:paraId="14C0DA37" w14:textId="0B8094F9" w:rsidR="00E04CDE" w:rsidRPr="00721674" w:rsidRDefault="00EF15A7" w:rsidP="00EF15A7">
      <w:pPr>
        <w:pStyle w:val="ManualHeading3"/>
        <w:rPr>
          <w:noProof/>
        </w:rPr>
      </w:pPr>
      <w:r w:rsidRPr="00EF15A7">
        <w:t>2.2.1.</w:t>
      </w:r>
      <w:r w:rsidRPr="00EF15A7">
        <w:tab/>
      </w:r>
      <w:r w:rsidR="00E04CDE">
        <w:rPr>
          <w:noProof/>
        </w:rPr>
        <w:t>Justification of the management mode(s), the funding implementation mechanism(s), the payment modalities and the control strategy proposed</w:t>
      </w:r>
    </w:p>
    <w:p w14:paraId="45802A6D" w14:textId="77777777" w:rsidR="00E04CDE" w:rsidRPr="00B62E4B" w:rsidRDefault="00E04CDE" w:rsidP="00E04CDE">
      <w:pPr>
        <w:pStyle w:val="Text1"/>
        <w:pBdr>
          <w:top w:val="single" w:sz="4" w:space="1" w:color="auto"/>
          <w:left w:val="single" w:sz="4" w:space="4" w:color="auto"/>
          <w:bottom w:val="single" w:sz="4" w:space="1" w:color="auto"/>
          <w:right w:val="single" w:sz="4" w:space="4" w:color="auto"/>
        </w:pBdr>
        <w:rPr>
          <w:noProof/>
          <w:u w:val="single"/>
        </w:rPr>
      </w:pPr>
      <w:r w:rsidRPr="00B62E4B">
        <w:rPr>
          <w:noProof/>
          <w:u w:val="single"/>
        </w:rPr>
        <w:t>Shared management</w:t>
      </w:r>
    </w:p>
    <w:p w14:paraId="60E86526"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As per the regulation of the European Parliament and of the Council establishing, as part of the Integrated Border Management Fund, the instrument for financial support for border management and visa will be managed under the CPR (Common Provision Regulation) rules. </w:t>
      </w:r>
    </w:p>
    <w:p w14:paraId="4E7D3C91"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For shared management, the CPR builds on the management and control strategy in place for the 2014-2020 programming period but introduces some measures aimed at simplifying the implementation and reducing the control burden at the level of both beneficiaries and Member States. </w:t>
      </w:r>
    </w:p>
    <w:p w14:paraId="358977BE"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The novelties include: </w:t>
      </w:r>
    </w:p>
    <w:p w14:paraId="75C39188"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 the removal of the designation procedure (which should allow to speed up the implementation of the programmes) </w:t>
      </w:r>
    </w:p>
    <w:p w14:paraId="6AB3029E"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 management verifications (administrative and on-the-spot) to be carried out by the managing authority on a risk-basis (compared to the 100% administrative controls required in the 2014-2020 programming period). Furthermore, under certain conditions, the managing authorities may apply proportionate control arrangements in line with the national procedures. </w:t>
      </w:r>
    </w:p>
    <w:p w14:paraId="70785D1C"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 conditions to avoid multiple audits on the same operation/expenditure </w:t>
      </w:r>
    </w:p>
    <w:p w14:paraId="5498E2B9"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The programme authorities will submit to the Commission interim payment claims based on expenditure incurred by beneficiaries. The CPR allows the managing authorities to carry out management verifications on a risk-basis and </w:t>
      </w:r>
      <w:r w:rsidR="00F701F6">
        <w:rPr>
          <w:noProof/>
        </w:rPr>
        <w:t xml:space="preserve">provides also for </w:t>
      </w:r>
      <w:r>
        <w:rPr>
          <w:noProof/>
        </w:rPr>
        <w:t xml:space="preserve">specific controls (e.g. on-the-spot controls by the managing authority and audits of operations/expenditure by the audit authority) after the associated expenditure has been declared to the Commission in the interim payment claims. In order to mitigate the risk of reimbursing ineligible expenditure, the CPR </w:t>
      </w:r>
      <w:r w:rsidR="00F701F6">
        <w:rPr>
          <w:noProof/>
        </w:rPr>
        <w:t xml:space="preserve">lays down </w:t>
      </w:r>
      <w:r>
        <w:rPr>
          <w:noProof/>
        </w:rPr>
        <w:t>the Commission's interim payments to be capped at 90%, given that at this moment only part of the national controls have been carried out. The Commission will pay the remaining balance following the annual clearance of accounts exercise, upon receipt of the assurance package from the programme authorities. Any irregularities detected by the Commission or the European Court of Auditors after the transmission of the annual assurance package may lead to a net financial correction.</w:t>
      </w:r>
    </w:p>
    <w:p w14:paraId="083EAE40" w14:textId="77777777" w:rsidR="00E04CDE" w:rsidRPr="00B62E4B" w:rsidRDefault="00E04CDE" w:rsidP="00E04CDE">
      <w:pPr>
        <w:pStyle w:val="Text1"/>
        <w:pBdr>
          <w:top w:val="single" w:sz="4" w:space="1" w:color="auto"/>
          <w:left w:val="single" w:sz="4" w:space="4" w:color="auto"/>
          <w:bottom w:val="single" w:sz="4" w:space="1" w:color="auto"/>
          <w:right w:val="single" w:sz="4" w:space="4" w:color="auto"/>
        </w:pBdr>
        <w:rPr>
          <w:noProof/>
          <w:u w:val="single"/>
        </w:rPr>
      </w:pPr>
      <w:r w:rsidRPr="00B62E4B">
        <w:rPr>
          <w:noProof/>
          <w:u w:val="single"/>
        </w:rPr>
        <w:t>Indirect management</w:t>
      </w:r>
    </w:p>
    <w:p w14:paraId="67AF74F6"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Part of the proposal will be implemented via eu-LISA budget through indirect management.</w:t>
      </w:r>
    </w:p>
    <w:p w14:paraId="5126E58C"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Pursuant to the principle of sound financial management, the budget of eu-LISA shall be implemented in compliance with effective and efficient internal control. eu-LISA is therefore bound to implement an appropriate control strategy coordinated among appropriate actors involved in the control chain.</w:t>
      </w:r>
    </w:p>
    <w:p w14:paraId="5C410014"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Regarding ex-post controls, eu-LISA, as a decentralised agency, is notably subject to:</w:t>
      </w:r>
    </w:p>
    <w:p w14:paraId="44ACDF66"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internal audit by the Internal Audit Service of the Commission;</w:t>
      </w:r>
    </w:p>
    <w:p w14:paraId="3703279E"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annual reports by the European Court of Auditors, giving a statement of assurance as to the reliability of the annual accounts and the legality and regularity of the underlying transactions;</w:t>
      </w:r>
    </w:p>
    <w:p w14:paraId="0F13B0E4"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annual discharge granted by the European Parliament;</w:t>
      </w:r>
    </w:p>
    <w:p w14:paraId="0175E22A"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possible investigations conducted by OLAF to ensure, in particular, that the resources allocated to agencies are put to proper use.</w:t>
      </w:r>
    </w:p>
    <w:p w14:paraId="227215BD"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As partner DG to eu-LISA, DG HOME will implement its Control Strategy on decentralised agencies to ensure reliable reporting in the framework of its Annual Activity Report (AAR). While decentralised agencies have full responsibility for the implementation of their budget, DG HOME is responsible for regular payment of annual contributions established by the Budgetary Authority.</w:t>
      </w:r>
    </w:p>
    <w:p w14:paraId="0DB8BB25"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Finally, the European Ombudsman provides a further layer of control and accountability at eu-LISA.</w:t>
      </w:r>
    </w:p>
    <w:p w14:paraId="02F0445D" w14:textId="67A3A1BC" w:rsidR="00E04CDE" w:rsidRDefault="00EF15A7" w:rsidP="00EF15A7">
      <w:pPr>
        <w:pStyle w:val="ManualHeading3"/>
        <w:rPr>
          <w:bCs/>
          <w:noProof/>
          <w:szCs w:val="24"/>
        </w:rPr>
      </w:pPr>
      <w:r w:rsidRPr="00EF15A7">
        <w:t>2.2.2.</w:t>
      </w:r>
      <w:r w:rsidRPr="00EF15A7">
        <w:tab/>
      </w:r>
      <w:r w:rsidR="00E04CDE">
        <w:rPr>
          <w:noProof/>
        </w:rPr>
        <w:t>Information concerning the risks identified and the internal control system(s) set up to mitigate them</w:t>
      </w:r>
    </w:p>
    <w:p w14:paraId="567B4B4F"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No specific risks have been identified at this stage. </w:t>
      </w:r>
    </w:p>
    <w:p w14:paraId="5304FBA4"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For the part management under shared management, the general risks in relation to the implementation of the current programmes concerns the under-implementation of the Fund by the Member States and the possible errors derived from the complexity of rules and weaknesses in management and control systems. The draft CPR simplifies the regulatory framework by harmonising the rules and management and control systems across the different Funds implemented under shared management. It simplifies also the control requirements (e.g. risk-based management verifications, possibility for proportionate control arrangements based on national procedures, limitations of audit work in terms of timing and/or specific operations)</w:t>
      </w:r>
    </w:p>
    <w:p w14:paraId="0136A4E3"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For the budget implemented by eu-LISA, a specific Internal Control Framework based on the Internal Control Framework of the European Commission is required. The Single Programming Document must provide information on the internal control systems, while the Consolidated Annual Activity Report (CAAR) must contain information on the efficiency and effectiveness of the internal control systems, including as regards risk assessment. The CAAR 2019 reports that, management of the Agency has reasonable assurance that appropriate internal controls are in place and that they are functioning as intended. Throughout the year, the major risks were appropriately identified and managed. This assurance is further confirmed by the results of the internal and external audits performed.</w:t>
      </w:r>
    </w:p>
    <w:p w14:paraId="286057EE"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Another level of internal supervision is also provided by eu-LISA’s Internal Audit Capability, on the basis of an annual audit plan notably taking into consideration the assessment of risks in eu-LISA. The Internal Audit Capability helps eu-LISA in accomplishing its objectives by bringing a systematic and disciplined approach to evaluate the effectiveness of risk management, control, and governance processes, and by issuing recommendations for their improvement.</w:t>
      </w:r>
    </w:p>
    <w:p w14:paraId="131A1989"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Moreover, the European Data Protection Supervisor and eu-LISA’s data protection officer (an independent function attached directly to the Management Board Secretariat) supervise eu-LISA’s processing of personal data.</w:t>
      </w:r>
    </w:p>
    <w:p w14:paraId="6B52541A"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Finally, as partner DG of eu-LISA, DG HOME runs an annual risk management exercise to identify and assess potential high risks related to agencies’ operations, including eu-LISA. Risks considered as critical are reported annually in DG HOME management plan and are accompanied by an action plan stating the mitigating action.</w:t>
      </w:r>
    </w:p>
    <w:p w14:paraId="50715BE6" w14:textId="6CD2A227" w:rsidR="00E04CDE" w:rsidRDefault="00EF15A7" w:rsidP="00EF15A7">
      <w:pPr>
        <w:pStyle w:val="ManualHeading3"/>
        <w:rPr>
          <w:noProof/>
        </w:rPr>
      </w:pPr>
      <w:r w:rsidRPr="00EF15A7">
        <w:t>2.2.3.</w:t>
      </w:r>
      <w:r w:rsidRPr="00EF15A7">
        <w:tab/>
      </w:r>
      <w:r w:rsidR="00E04CDE">
        <w:rPr>
          <w:noProof/>
        </w:rPr>
        <w:t xml:space="preserve">Estimation and justification of the cost-effectiveness of the controls (ratio of "control costs ÷ value of the related funds managed"), and assessment of the expected levels of risk of error (at payment &amp; at closure) </w:t>
      </w:r>
    </w:p>
    <w:p w14:paraId="27DF5EBF"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sidRPr="00F65872">
        <w:rPr>
          <w:noProof/>
          <w:u w:val="single"/>
        </w:rPr>
        <w:t>For the shared management part</w:t>
      </w:r>
      <w:r>
        <w:rPr>
          <w:noProof/>
        </w:rPr>
        <w:t xml:space="preserve">, the cost of controls is expected to remain the same or potentially be reduced for Member States. For the present programming cycle 2014-2020, as of 2017, the cumulative cost of control by the Member States is estimated at approximately 5% of the total amount of payments requested by the Member States for the year 2017. </w:t>
      </w:r>
    </w:p>
    <w:p w14:paraId="3F429735"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This percentage is expected to decrease with efficiency gains in implementation of the programmes and increase in payments to Member States. </w:t>
      </w:r>
    </w:p>
    <w:p w14:paraId="78AFB394" w14:textId="77777777" w:rsidR="00E04CDE" w:rsidRPr="00346C8D"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With the risk based approach to management and controls being introduced in the draft CPR coupled </w:t>
      </w:r>
      <w:r w:rsidRPr="00346C8D">
        <w:rPr>
          <w:noProof/>
        </w:rPr>
        <w:t>with enhanced drive to adopt simplified cost options (SCOs), the cost of controls for Member States is expected to be reduced further.</w:t>
      </w:r>
    </w:p>
    <w:p w14:paraId="0789211E"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r w:rsidRPr="000E3E0B">
        <w:rPr>
          <w:noProof/>
        </w:rPr>
        <w:t>For eu-LISA, the ratio of “control costs/value of the related funds managed” is reported on by the Commission. The 2020 AAR of DG HOME reports 0.21% for this ratio in relation to Indirect Management Entrusted Entities and Decentralised Agencies, including eu-LISA.</w:t>
      </w:r>
    </w:p>
    <w:p w14:paraId="32C82230"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r w:rsidRPr="000E3E0B">
        <w:rPr>
          <w:noProof/>
        </w:rPr>
        <w:t>The European Court of Auditors confirmed the legality and regularity of eu-LISA’s annual accounts for 2019, which implies an error rate below 2%. There are no indications that the error rate will worsen in the coming years.</w:t>
      </w:r>
    </w:p>
    <w:p w14:paraId="42D45E4F" w14:textId="77777777" w:rsidR="00E04CDE" w:rsidRPr="000E3E0B" w:rsidRDefault="00E04CDE" w:rsidP="00E04CDE">
      <w:pPr>
        <w:pStyle w:val="Text1"/>
        <w:pBdr>
          <w:top w:val="single" w:sz="4" w:space="1" w:color="auto"/>
          <w:left w:val="single" w:sz="4" w:space="4" w:color="auto"/>
          <w:bottom w:val="single" w:sz="4" w:space="1" w:color="auto"/>
          <w:right w:val="single" w:sz="4" w:space="4" w:color="auto"/>
        </w:pBdr>
        <w:rPr>
          <w:noProof/>
        </w:rPr>
      </w:pPr>
      <w:r w:rsidRPr="000E3E0B">
        <w:rPr>
          <w:noProof/>
        </w:rPr>
        <w:t>Moreover, article 80 of eu-LISA’s Financial Regulation provides for the possibility for the agency to share an internal audit capability with other Union bodies functioning in the same policy area if the internal audit capability of a single Union body is not cost-effective.</w:t>
      </w:r>
    </w:p>
    <w:p w14:paraId="6832D27D" w14:textId="4CE44908" w:rsidR="00E04CDE" w:rsidRDefault="00EF15A7" w:rsidP="00EF15A7">
      <w:pPr>
        <w:pStyle w:val="ManualHeading2"/>
        <w:rPr>
          <w:bCs/>
          <w:noProof/>
          <w:szCs w:val="24"/>
        </w:rPr>
      </w:pPr>
      <w:r w:rsidRPr="00EF15A7">
        <w:t>2.3.</w:t>
      </w:r>
      <w:r w:rsidRPr="00EF15A7">
        <w:tab/>
      </w:r>
      <w:r w:rsidR="00E04CDE">
        <w:rPr>
          <w:noProof/>
        </w:rPr>
        <w:t xml:space="preserve">Measures to prevent fraud and irregularities </w:t>
      </w:r>
    </w:p>
    <w:p w14:paraId="00C204CB" w14:textId="77777777" w:rsidR="00E04CDE" w:rsidRDefault="00E04CDE" w:rsidP="00E04CDE">
      <w:pPr>
        <w:pStyle w:val="Text1"/>
        <w:rPr>
          <w:i/>
          <w:noProof/>
          <w:sz w:val="20"/>
        </w:rPr>
      </w:pPr>
      <w:r>
        <w:rPr>
          <w:i/>
          <w:noProof/>
          <w:sz w:val="20"/>
        </w:rPr>
        <w:t>Specify existing or envisaged prevention and protection measures, e.g. from the Anti-Fraud Strategy.</w:t>
      </w:r>
    </w:p>
    <w:p w14:paraId="2E3E8B22"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DG HOME will continue to apply its Anti-Fraud Strategy in line with the Commission's Anti-Fraud Strategy (CAFS) in order to ensure inter alia that its internal anti-fraud related controls are fully aligned with the CAFS and that its fraud risk management approach is geared to identify fraud risk areas and adequate responses. </w:t>
      </w:r>
    </w:p>
    <w:p w14:paraId="306C5159"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As </w:t>
      </w:r>
      <w:r w:rsidRPr="00554357">
        <w:rPr>
          <w:noProof/>
          <w:u w:val="single"/>
        </w:rPr>
        <w:t>regards shared management,</w:t>
      </w:r>
      <w:r>
        <w:rPr>
          <w:noProof/>
        </w:rPr>
        <w:t xml:space="preserve"> Member States shall ensure the legality and regularity of expenditure included in the account submitted to the Commission. In this context, Member States shall take all required actions to prevent, detect and correct irregularities. As in the present programming cycle 2014-2020 Member States are obliged to put in place procedures for detection of irregularities and antifraud coupled with the specific Commission Delegated Regulation on reporting of irregularities. Anti-Fraud measures will remain a cross-cutting principle and obligation for Member States.</w:t>
      </w:r>
    </w:p>
    <w:p w14:paraId="467998F0"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sidRPr="00554357">
        <w:rPr>
          <w:noProof/>
          <w:u w:val="single"/>
        </w:rPr>
        <w:t>For indirect management</w:t>
      </w:r>
      <w:r>
        <w:rPr>
          <w:noProof/>
        </w:rPr>
        <w:t>, the measures related to combating fraud, corruption and any other illegal activities are outlined, inter alia, in article 50 of eu-LISA’s Regulation and under Title X of eu-LISA’s Financial Regulation.</w:t>
      </w:r>
    </w:p>
    <w:p w14:paraId="41ED09F7"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eu-LISA shall notably participate in fraud prevention activities of the European Anti-fraud Office and inform the Commission without delay on cases of presumed fraud and other financial irregularities – in line with its internal anti-fraud strategy.</w:t>
      </w:r>
    </w:p>
    <w:p w14:paraId="3DA41190"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 xml:space="preserve">Moreover, as partner DG, DG HOME has developed and implemented its own anti-fraud strategy on the basis of the methodology provided by OLAF. Decentralised agencies, including eu-LISA, fall within the scope of the strategy. DG HOME 2020 AAR concluded that the fraud prevention and detection processes worked satisfactorily and therefore contributed to the assurance on the achievement of the internal control objectives. </w:t>
      </w:r>
    </w:p>
    <w:p w14:paraId="5A428A11"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p>
    <w:p w14:paraId="45B79653" w14:textId="77777777" w:rsidR="00E04CDE" w:rsidRDefault="00E04CDE" w:rsidP="00E04CDE">
      <w:pPr>
        <w:rPr>
          <w:noProof/>
        </w:rPr>
        <w:sectPr w:rsidR="00E04CDE" w:rsidSect="00FB3ECA">
          <w:pgSz w:w="11907" w:h="16840" w:code="9"/>
          <w:pgMar w:top="1134" w:right="1418" w:bottom="1134" w:left="1418" w:header="709" w:footer="709" w:gutter="0"/>
          <w:cols w:space="708"/>
          <w:docGrid w:linePitch="360"/>
        </w:sectPr>
      </w:pPr>
    </w:p>
    <w:p w14:paraId="2F0EDA6D" w14:textId="58F86916" w:rsidR="00E04CDE" w:rsidRDefault="00EF15A7" w:rsidP="00EF15A7">
      <w:pPr>
        <w:pStyle w:val="ManualHeading1"/>
        <w:rPr>
          <w:bCs/>
          <w:noProof/>
          <w:szCs w:val="24"/>
        </w:rPr>
      </w:pPr>
      <w:r w:rsidRPr="00EF15A7">
        <w:t>3.</w:t>
      </w:r>
      <w:r w:rsidRPr="00EF15A7">
        <w:tab/>
      </w:r>
      <w:r w:rsidR="00E04CDE">
        <w:rPr>
          <w:noProof/>
        </w:rPr>
        <w:t xml:space="preserve">ESTIMATED FINANCIAL IMPACT OF THE PROPOSAL/INITIATIVE </w:t>
      </w:r>
    </w:p>
    <w:p w14:paraId="67DE4D21" w14:textId="1D6579A5" w:rsidR="00E04CDE" w:rsidRDefault="00EF15A7" w:rsidP="00EF15A7">
      <w:pPr>
        <w:pStyle w:val="ManualHeading2"/>
        <w:rPr>
          <w:noProof/>
        </w:rPr>
      </w:pPr>
      <w:r w:rsidRPr="00EF15A7">
        <w:t>3.1.</w:t>
      </w:r>
      <w:r w:rsidRPr="00EF15A7">
        <w:tab/>
      </w:r>
      <w:r w:rsidR="00E04CDE">
        <w:rPr>
          <w:noProof/>
        </w:rPr>
        <w:t xml:space="preserve">Heading(s) of the multiannual financial framework and expenditure budget line(s) affected </w:t>
      </w:r>
    </w:p>
    <w:p w14:paraId="5641DA68" w14:textId="77777777" w:rsidR="00E04CDE" w:rsidRDefault="00E04CDE" w:rsidP="00E04CDE">
      <w:pPr>
        <w:pStyle w:val="ListBullet1"/>
        <w:rPr>
          <w:noProof/>
        </w:rPr>
      </w:pPr>
      <w:r>
        <w:rPr>
          <w:noProof/>
        </w:rPr>
        <w:t xml:space="preserve">Existing budget lines </w:t>
      </w:r>
    </w:p>
    <w:p w14:paraId="3764A571" w14:textId="77777777" w:rsidR="00E04CDE" w:rsidRPr="009B753E" w:rsidRDefault="00E04CDE" w:rsidP="00E04CDE">
      <w:pPr>
        <w:pStyle w:val="Text1"/>
        <w:rPr>
          <w:i/>
          <w:noProof/>
        </w:rPr>
      </w:pPr>
      <w:r w:rsidRPr="009B753E">
        <w:rPr>
          <w:i/>
          <w:noProof/>
          <w:u w:val="single"/>
        </w:rPr>
        <w:t>In order</w:t>
      </w:r>
      <w:r w:rsidRPr="009B753E">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E04CDE" w14:paraId="787B591B" w14:textId="77777777" w:rsidTr="002B76DD">
        <w:tc>
          <w:tcPr>
            <w:tcW w:w="1080" w:type="dxa"/>
            <w:vMerge w:val="restart"/>
            <w:vAlign w:val="center"/>
          </w:tcPr>
          <w:p w14:paraId="2B2BBBD7" w14:textId="77777777" w:rsidR="00E04CDE" w:rsidRPr="00AC4CC8" w:rsidRDefault="00E04CDE" w:rsidP="002B76DD">
            <w:pPr>
              <w:spacing w:before="60" w:after="60"/>
              <w:jc w:val="center"/>
              <w:rPr>
                <w:noProof/>
                <w:sz w:val="18"/>
                <w:szCs w:val="18"/>
              </w:rPr>
            </w:pPr>
            <w:r w:rsidRPr="00AC4CC8">
              <w:rPr>
                <w:noProof/>
                <w:sz w:val="18"/>
                <w:szCs w:val="18"/>
              </w:rPr>
              <w:t xml:space="preserve">Heading of </w:t>
            </w:r>
          </w:p>
          <w:p w14:paraId="47D1EE23" w14:textId="77777777" w:rsidR="00E04CDE" w:rsidRPr="00AC4CC8" w:rsidRDefault="00E04CDE" w:rsidP="002B76DD">
            <w:pPr>
              <w:spacing w:before="60" w:after="60"/>
              <w:jc w:val="center"/>
              <w:rPr>
                <w:noProof/>
                <w:sz w:val="18"/>
                <w:szCs w:val="18"/>
              </w:rPr>
            </w:pPr>
            <w:r w:rsidRPr="00AC4CC8">
              <w:rPr>
                <w:noProof/>
                <w:sz w:val="18"/>
                <w:szCs w:val="18"/>
              </w:rPr>
              <w:t xml:space="preserve">multiannual </w:t>
            </w:r>
          </w:p>
          <w:p w14:paraId="5BA9960C" w14:textId="77777777" w:rsidR="00E04CDE" w:rsidRPr="00AC4CC8" w:rsidRDefault="00E04CDE" w:rsidP="002B76DD">
            <w:pPr>
              <w:spacing w:before="60" w:after="60"/>
              <w:jc w:val="center"/>
              <w:rPr>
                <w:noProof/>
                <w:sz w:val="18"/>
                <w:szCs w:val="18"/>
              </w:rPr>
            </w:pPr>
            <w:r w:rsidRPr="00AC4CC8">
              <w:rPr>
                <w:noProof/>
                <w:sz w:val="18"/>
                <w:szCs w:val="18"/>
              </w:rPr>
              <w:t xml:space="preserve">financial </w:t>
            </w:r>
          </w:p>
          <w:p w14:paraId="13EE2254" w14:textId="77777777" w:rsidR="00E04CDE" w:rsidRPr="002741DB" w:rsidRDefault="00E04CDE" w:rsidP="002B76DD">
            <w:pPr>
              <w:spacing w:before="60" w:after="60"/>
              <w:jc w:val="center"/>
              <w:rPr>
                <w:noProof/>
                <w:sz w:val="20"/>
              </w:rPr>
            </w:pPr>
            <w:r w:rsidRPr="00AC4CC8">
              <w:rPr>
                <w:noProof/>
                <w:sz w:val="18"/>
                <w:szCs w:val="18"/>
              </w:rPr>
              <w:t>framework</w:t>
            </w:r>
          </w:p>
        </w:tc>
        <w:tc>
          <w:tcPr>
            <w:tcW w:w="3960" w:type="dxa"/>
            <w:vAlign w:val="center"/>
          </w:tcPr>
          <w:p w14:paraId="31A7AD6F" w14:textId="77777777" w:rsidR="00E04CDE" w:rsidRPr="002741DB" w:rsidRDefault="00E04CDE" w:rsidP="002B76DD">
            <w:pPr>
              <w:spacing w:before="60" w:after="60"/>
              <w:jc w:val="center"/>
              <w:rPr>
                <w:noProof/>
                <w:sz w:val="20"/>
              </w:rPr>
            </w:pPr>
            <w:r>
              <w:rPr>
                <w:noProof/>
                <w:sz w:val="20"/>
              </w:rPr>
              <w:t>Budget line</w:t>
            </w:r>
          </w:p>
        </w:tc>
        <w:tc>
          <w:tcPr>
            <w:tcW w:w="1080" w:type="dxa"/>
            <w:vAlign w:val="center"/>
          </w:tcPr>
          <w:p w14:paraId="08B548A7" w14:textId="77777777" w:rsidR="00E04CDE" w:rsidRDefault="00E04CDE" w:rsidP="002B76DD">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14:paraId="2DB0F387" w14:textId="77777777" w:rsidR="00E04CDE" w:rsidRDefault="00E04CDE" w:rsidP="002B76DD">
            <w:pPr>
              <w:spacing w:before="60" w:after="60"/>
              <w:jc w:val="center"/>
              <w:rPr>
                <w:noProof/>
              </w:rPr>
            </w:pPr>
            <w:r>
              <w:rPr>
                <w:noProof/>
                <w:sz w:val="20"/>
              </w:rPr>
              <w:t xml:space="preserve">Contribution </w:t>
            </w:r>
          </w:p>
        </w:tc>
      </w:tr>
      <w:tr w:rsidR="00E04CDE" w14:paraId="6994891A" w14:textId="77777777" w:rsidTr="002B76DD">
        <w:tc>
          <w:tcPr>
            <w:tcW w:w="1080" w:type="dxa"/>
            <w:vMerge/>
            <w:vAlign w:val="center"/>
          </w:tcPr>
          <w:p w14:paraId="2F16638F" w14:textId="77777777" w:rsidR="00E04CDE" w:rsidRPr="002741DB" w:rsidRDefault="00E04CDE" w:rsidP="002B76DD">
            <w:pPr>
              <w:jc w:val="center"/>
              <w:rPr>
                <w:noProof/>
                <w:sz w:val="20"/>
              </w:rPr>
            </w:pPr>
          </w:p>
        </w:tc>
        <w:tc>
          <w:tcPr>
            <w:tcW w:w="3960" w:type="dxa"/>
            <w:vAlign w:val="center"/>
          </w:tcPr>
          <w:p w14:paraId="08F63D71" w14:textId="77777777" w:rsidR="00E04CDE" w:rsidRPr="002741DB" w:rsidRDefault="00E04CDE" w:rsidP="002B76DD">
            <w:pPr>
              <w:rPr>
                <w:noProof/>
                <w:sz w:val="20"/>
              </w:rPr>
            </w:pPr>
            <w:r w:rsidRPr="002741DB">
              <w:rPr>
                <w:noProof/>
                <w:sz w:val="20"/>
              </w:rPr>
              <w:t>Number</w:t>
            </w:r>
          </w:p>
        </w:tc>
        <w:tc>
          <w:tcPr>
            <w:tcW w:w="1080" w:type="dxa"/>
            <w:vAlign w:val="center"/>
          </w:tcPr>
          <w:p w14:paraId="699FDF61" w14:textId="77777777" w:rsidR="00E04CDE" w:rsidRDefault="00E04CDE" w:rsidP="002B76DD">
            <w:pPr>
              <w:jc w:val="center"/>
              <w:rPr>
                <w:noProof/>
              </w:rPr>
            </w:pPr>
            <w:r>
              <w:rPr>
                <w:noProof/>
                <w:sz w:val="18"/>
              </w:rPr>
              <w:t>Diff./Non-diff.</w:t>
            </w:r>
            <w:r>
              <w:rPr>
                <w:rStyle w:val="FootnoteReference"/>
                <w:noProof/>
                <w:sz w:val="18"/>
              </w:rPr>
              <w:footnoteReference w:id="75"/>
            </w:r>
          </w:p>
        </w:tc>
        <w:tc>
          <w:tcPr>
            <w:tcW w:w="956" w:type="dxa"/>
            <w:vAlign w:val="center"/>
          </w:tcPr>
          <w:p w14:paraId="35498972" w14:textId="77777777" w:rsidR="00E04CDE" w:rsidRDefault="00E04CDE" w:rsidP="002B76DD">
            <w:pPr>
              <w:jc w:val="center"/>
              <w:rPr>
                <w:noProof/>
              </w:rPr>
            </w:pPr>
            <w:r>
              <w:rPr>
                <w:noProof/>
                <w:sz w:val="18"/>
              </w:rPr>
              <w:t>from EFTA countries</w:t>
            </w:r>
            <w:r>
              <w:rPr>
                <w:rStyle w:val="FootnoteReference"/>
                <w:noProof/>
                <w:sz w:val="18"/>
              </w:rPr>
              <w:footnoteReference w:id="76"/>
            </w:r>
          </w:p>
          <w:p w14:paraId="612AA1E5" w14:textId="77777777" w:rsidR="00E04CDE" w:rsidRDefault="00E04CDE" w:rsidP="002B76DD">
            <w:pPr>
              <w:spacing w:before="0" w:after="0"/>
              <w:jc w:val="center"/>
              <w:rPr>
                <w:b/>
                <w:noProof/>
                <w:sz w:val="18"/>
              </w:rPr>
            </w:pPr>
          </w:p>
        </w:tc>
        <w:tc>
          <w:tcPr>
            <w:tcW w:w="1080" w:type="dxa"/>
            <w:vAlign w:val="center"/>
          </w:tcPr>
          <w:p w14:paraId="3B91B2F8" w14:textId="77777777" w:rsidR="00E04CDE" w:rsidRDefault="00E04CDE" w:rsidP="002B76DD">
            <w:pPr>
              <w:jc w:val="center"/>
              <w:rPr>
                <w:noProof/>
              </w:rPr>
            </w:pPr>
            <w:r>
              <w:rPr>
                <w:noProof/>
                <w:sz w:val="18"/>
              </w:rPr>
              <w:t>from candidate countries</w:t>
            </w:r>
            <w:r>
              <w:rPr>
                <w:rStyle w:val="FootnoteReference"/>
                <w:noProof/>
                <w:sz w:val="18"/>
              </w:rPr>
              <w:footnoteReference w:id="77"/>
            </w:r>
          </w:p>
          <w:p w14:paraId="5F8BB9B2" w14:textId="77777777" w:rsidR="00E04CDE" w:rsidRDefault="00E04CDE" w:rsidP="002B76DD">
            <w:pPr>
              <w:spacing w:before="0" w:after="0"/>
              <w:jc w:val="center"/>
              <w:rPr>
                <w:noProof/>
                <w:sz w:val="18"/>
              </w:rPr>
            </w:pPr>
          </w:p>
        </w:tc>
        <w:tc>
          <w:tcPr>
            <w:tcW w:w="956" w:type="dxa"/>
            <w:vAlign w:val="center"/>
          </w:tcPr>
          <w:p w14:paraId="0E5FC732" w14:textId="77777777" w:rsidR="00E04CDE" w:rsidRDefault="00E04CDE" w:rsidP="002B76DD">
            <w:pPr>
              <w:jc w:val="center"/>
              <w:rPr>
                <w:noProof/>
                <w:sz w:val="18"/>
              </w:rPr>
            </w:pPr>
            <w:r>
              <w:rPr>
                <w:noProof/>
                <w:sz w:val="18"/>
              </w:rPr>
              <w:t>from third countries</w:t>
            </w:r>
          </w:p>
        </w:tc>
        <w:tc>
          <w:tcPr>
            <w:tcW w:w="1448" w:type="dxa"/>
            <w:vAlign w:val="center"/>
          </w:tcPr>
          <w:p w14:paraId="0B69815D" w14:textId="77777777" w:rsidR="00E04CDE" w:rsidRDefault="00E04CDE" w:rsidP="002B76DD">
            <w:pPr>
              <w:jc w:val="center"/>
              <w:rPr>
                <w:noProof/>
              </w:rPr>
            </w:pPr>
            <w:r>
              <w:rPr>
                <w:noProof/>
                <w:sz w:val="16"/>
              </w:rPr>
              <w:t xml:space="preserve">within the meaning of Article 21(2)(b) of the Financial Regulation </w:t>
            </w:r>
          </w:p>
        </w:tc>
      </w:tr>
      <w:tr w:rsidR="00E04CDE" w14:paraId="02A728FE" w14:textId="77777777" w:rsidTr="002B76DD">
        <w:tc>
          <w:tcPr>
            <w:tcW w:w="1080" w:type="dxa"/>
            <w:vAlign w:val="center"/>
          </w:tcPr>
          <w:p w14:paraId="025C8CC1" w14:textId="77777777" w:rsidR="00E04CDE" w:rsidRPr="00AC4CC8" w:rsidRDefault="00E04CDE" w:rsidP="002B76DD">
            <w:pPr>
              <w:jc w:val="center"/>
              <w:rPr>
                <w:noProof/>
              </w:rPr>
            </w:pPr>
            <w:r w:rsidRPr="00AC4CC8">
              <w:rPr>
                <w:noProof/>
              </w:rPr>
              <w:t>4</w:t>
            </w:r>
          </w:p>
        </w:tc>
        <w:tc>
          <w:tcPr>
            <w:tcW w:w="3960" w:type="dxa"/>
            <w:vAlign w:val="center"/>
          </w:tcPr>
          <w:p w14:paraId="33908794" w14:textId="77777777" w:rsidR="00E04CDE" w:rsidRDefault="00E04CDE" w:rsidP="002B76DD">
            <w:pPr>
              <w:spacing w:after="60"/>
              <w:rPr>
                <w:noProof/>
              </w:rPr>
            </w:pPr>
            <w:r w:rsidRPr="00A736F1">
              <w:rPr>
                <w:noProof/>
                <w:sz w:val="20"/>
              </w:rPr>
              <w:t>11</w:t>
            </w:r>
            <w:r>
              <w:rPr>
                <w:noProof/>
                <w:sz w:val="20"/>
              </w:rPr>
              <w:t>.</w:t>
            </w:r>
            <w:r w:rsidRPr="00A736F1">
              <w:rPr>
                <w:noProof/>
                <w:sz w:val="20"/>
              </w:rPr>
              <w:t xml:space="preserve">1002 – European Agency for the </w:t>
            </w:r>
            <w:r>
              <w:rPr>
                <w:noProof/>
                <w:sz w:val="20"/>
              </w:rPr>
              <w:t>O</w:t>
            </w:r>
            <w:r w:rsidRPr="00A736F1">
              <w:rPr>
                <w:noProof/>
                <w:sz w:val="20"/>
              </w:rPr>
              <w:t xml:space="preserve">perational </w:t>
            </w:r>
            <w:r>
              <w:rPr>
                <w:noProof/>
                <w:sz w:val="20"/>
              </w:rPr>
              <w:t>M</w:t>
            </w:r>
            <w:r w:rsidRPr="00A736F1">
              <w:rPr>
                <w:noProof/>
                <w:sz w:val="20"/>
              </w:rPr>
              <w:t xml:space="preserve">anagement of </w:t>
            </w:r>
            <w:r>
              <w:rPr>
                <w:noProof/>
                <w:sz w:val="20"/>
              </w:rPr>
              <w:t>L</w:t>
            </w:r>
            <w:r w:rsidRPr="00A736F1">
              <w:rPr>
                <w:noProof/>
                <w:sz w:val="20"/>
              </w:rPr>
              <w:t>arge-</w:t>
            </w:r>
            <w:r>
              <w:rPr>
                <w:noProof/>
                <w:sz w:val="20"/>
              </w:rPr>
              <w:t>S</w:t>
            </w:r>
            <w:r w:rsidRPr="00A736F1">
              <w:rPr>
                <w:noProof/>
                <w:sz w:val="20"/>
              </w:rPr>
              <w:t xml:space="preserve">cale IT </w:t>
            </w:r>
            <w:r>
              <w:rPr>
                <w:noProof/>
                <w:sz w:val="20"/>
              </w:rPr>
              <w:t>S</w:t>
            </w:r>
            <w:r w:rsidRPr="00A736F1">
              <w:rPr>
                <w:noProof/>
                <w:sz w:val="20"/>
              </w:rPr>
              <w:t xml:space="preserve">ystems in the </w:t>
            </w:r>
            <w:r>
              <w:rPr>
                <w:noProof/>
                <w:sz w:val="20"/>
              </w:rPr>
              <w:t>A</w:t>
            </w:r>
            <w:r w:rsidRPr="00A736F1">
              <w:rPr>
                <w:noProof/>
                <w:sz w:val="20"/>
              </w:rPr>
              <w:t xml:space="preserve">rea of </w:t>
            </w:r>
            <w:r>
              <w:rPr>
                <w:noProof/>
                <w:sz w:val="20"/>
              </w:rPr>
              <w:t>F</w:t>
            </w:r>
            <w:r w:rsidRPr="00A736F1">
              <w:rPr>
                <w:noProof/>
                <w:sz w:val="20"/>
              </w:rPr>
              <w:t xml:space="preserve">reedom, </w:t>
            </w:r>
            <w:r>
              <w:rPr>
                <w:noProof/>
                <w:sz w:val="20"/>
              </w:rPr>
              <w:t>S</w:t>
            </w:r>
            <w:r w:rsidRPr="00A736F1">
              <w:rPr>
                <w:noProof/>
                <w:sz w:val="20"/>
              </w:rPr>
              <w:t xml:space="preserve">ecurity and </w:t>
            </w:r>
            <w:r>
              <w:rPr>
                <w:noProof/>
                <w:sz w:val="20"/>
              </w:rPr>
              <w:t>J</w:t>
            </w:r>
            <w:r w:rsidRPr="00A736F1">
              <w:rPr>
                <w:noProof/>
                <w:sz w:val="20"/>
              </w:rPr>
              <w:t>ustice (eu-LISA)</w:t>
            </w:r>
          </w:p>
        </w:tc>
        <w:tc>
          <w:tcPr>
            <w:tcW w:w="1080" w:type="dxa"/>
            <w:vAlign w:val="center"/>
          </w:tcPr>
          <w:p w14:paraId="4AAE0CD6" w14:textId="77777777" w:rsidR="00E04CDE" w:rsidRDefault="00E04CDE" w:rsidP="002B76DD">
            <w:pPr>
              <w:jc w:val="center"/>
              <w:rPr>
                <w:noProof/>
                <w:color w:val="0000FF"/>
              </w:rPr>
            </w:pPr>
            <w:r>
              <w:rPr>
                <w:noProof/>
                <w:sz w:val="22"/>
              </w:rPr>
              <w:t>Diff.</w:t>
            </w:r>
          </w:p>
        </w:tc>
        <w:tc>
          <w:tcPr>
            <w:tcW w:w="956" w:type="dxa"/>
            <w:vAlign w:val="center"/>
          </w:tcPr>
          <w:p w14:paraId="122F56F2" w14:textId="77777777" w:rsidR="00E04CDE" w:rsidRPr="008D0E8A" w:rsidRDefault="00E04CDE" w:rsidP="002B76DD">
            <w:pPr>
              <w:jc w:val="center"/>
              <w:rPr>
                <w:noProof/>
                <w:sz w:val="20"/>
                <w:szCs w:val="20"/>
              </w:rPr>
            </w:pPr>
            <w:r w:rsidRPr="007974DD">
              <w:rPr>
                <w:noProof/>
                <w:sz w:val="20"/>
                <w:szCs w:val="20"/>
              </w:rPr>
              <w:t>NO</w:t>
            </w:r>
          </w:p>
        </w:tc>
        <w:tc>
          <w:tcPr>
            <w:tcW w:w="1080" w:type="dxa"/>
            <w:vAlign w:val="center"/>
          </w:tcPr>
          <w:p w14:paraId="3D27364A" w14:textId="77777777" w:rsidR="00E04CDE" w:rsidRPr="008D0E8A" w:rsidRDefault="00E04CDE" w:rsidP="002B76DD">
            <w:pPr>
              <w:jc w:val="center"/>
              <w:rPr>
                <w:noProof/>
                <w:sz w:val="20"/>
                <w:szCs w:val="20"/>
              </w:rPr>
            </w:pPr>
            <w:r w:rsidRPr="007974DD">
              <w:rPr>
                <w:noProof/>
                <w:sz w:val="20"/>
                <w:szCs w:val="20"/>
              </w:rPr>
              <w:t>NO</w:t>
            </w:r>
          </w:p>
        </w:tc>
        <w:tc>
          <w:tcPr>
            <w:tcW w:w="956" w:type="dxa"/>
            <w:vAlign w:val="center"/>
          </w:tcPr>
          <w:p w14:paraId="245A8D73" w14:textId="77777777" w:rsidR="00E04CDE" w:rsidRPr="008D0E8A" w:rsidRDefault="00E04CDE" w:rsidP="002B76DD">
            <w:pPr>
              <w:jc w:val="center"/>
              <w:rPr>
                <w:noProof/>
                <w:sz w:val="20"/>
                <w:szCs w:val="20"/>
              </w:rPr>
            </w:pPr>
            <w:r w:rsidRPr="007974DD">
              <w:rPr>
                <w:noProof/>
                <w:sz w:val="20"/>
                <w:szCs w:val="20"/>
              </w:rPr>
              <w:t>YES</w:t>
            </w:r>
          </w:p>
        </w:tc>
        <w:tc>
          <w:tcPr>
            <w:tcW w:w="1448" w:type="dxa"/>
            <w:vAlign w:val="center"/>
          </w:tcPr>
          <w:p w14:paraId="40F14314" w14:textId="77777777" w:rsidR="00E04CDE" w:rsidRPr="008D0E8A" w:rsidRDefault="00E04CDE" w:rsidP="002B76DD">
            <w:pPr>
              <w:jc w:val="center"/>
              <w:rPr>
                <w:noProof/>
                <w:sz w:val="20"/>
                <w:szCs w:val="20"/>
              </w:rPr>
            </w:pPr>
            <w:r w:rsidRPr="007974DD">
              <w:rPr>
                <w:noProof/>
                <w:sz w:val="20"/>
                <w:szCs w:val="20"/>
              </w:rPr>
              <w:t>NO</w:t>
            </w:r>
          </w:p>
        </w:tc>
      </w:tr>
      <w:tr w:rsidR="00E04CDE" w14:paraId="7052C2E3" w14:textId="77777777" w:rsidTr="002B76DD">
        <w:tc>
          <w:tcPr>
            <w:tcW w:w="1080" w:type="dxa"/>
            <w:vAlign w:val="center"/>
          </w:tcPr>
          <w:p w14:paraId="61DC39C4" w14:textId="77777777" w:rsidR="00E04CDE" w:rsidRPr="00AC4CC8" w:rsidRDefault="00E04CDE" w:rsidP="002B76DD">
            <w:pPr>
              <w:jc w:val="center"/>
              <w:rPr>
                <w:noProof/>
              </w:rPr>
            </w:pPr>
            <w:r w:rsidRPr="00AC4CC8">
              <w:rPr>
                <w:noProof/>
              </w:rPr>
              <w:t>4</w:t>
            </w:r>
          </w:p>
        </w:tc>
        <w:tc>
          <w:tcPr>
            <w:tcW w:w="3960" w:type="dxa"/>
            <w:vAlign w:val="center"/>
          </w:tcPr>
          <w:p w14:paraId="58A0F576" w14:textId="77777777" w:rsidR="00E04CDE" w:rsidRPr="00F228C8" w:rsidRDefault="00E04CDE" w:rsidP="002B76DD">
            <w:pPr>
              <w:spacing w:after="60"/>
              <w:rPr>
                <w:noProof/>
                <w:sz w:val="20"/>
                <w:lang w:val="sv-SE"/>
              </w:rPr>
            </w:pPr>
            <w:r w:rsidRPr="00F228C8">
              <w:rPr>
                <w:noProof/>
                <w:sz w:val="20"/>
                <w:lang w:val="sv-SE"/>
              </w:rPr>
              <w:t>11.02.01 – 'Border Management and Visa Instrument'</w:t>
            </w:r>
          </w:p>
        </w:tc>
        <w:tc>
          <w:tcPr>
            <w:tcW w:w="1080" w:type="dxa"/>
            <w:vAlign w:val="center"/>
          </w:tcPr>
          <w:p w14:paraId="31F597DE" w14:textId="77777777" w:rsidR="00E04CDE" w:rsidRDefault="00E04CDE" w:rsidP="002B76DD">
            <w:pPr>
              <w:jc w:val="center"/>
              <w:rPr>
                <w:noProof/>
                <w:sz w:val="22"/>
              </w:rPr>
            </w:pPr>
            <w:r>
              <w:rPr>
                <w:noProof/>
                <w:sz w:val="22"/>
              </w:rPr>
              <w:t>Diff.</w:t>
            </w:r>
          </w:p>
        </w:tc>
        <w:tc>
          <w:tcPr>
            <w:tcW w:w="956" w:type="dxa"/>
            <w:vAlign w:val="center"/>
          </w:tcPr>
          <w:p w14:paraId="35CFFDFC" w14:textId="77777777" w:rsidR="00E04CDE" w:rsidRPr="007974DD" w:rsidRDefault="00E04CDE" w:rsidP="002B76DD">
            <w:pPr>
              <w:jc w:val="center"/>
              <w:rPr>
                <w:noProof/>
                <w:sz w:val="20"/>
                <w:szCs w:val="20"/>
              </w:rPr>
            </w:pPr>
            <w:r w:rsidRPr="007974DD">
              <w:rPr>
                <w:noProof/>
                <w:sz w:val="20"/>
                <w:szCs w:val="20"/>
              </w:rPr>
              <w:t>NO</w:t>
            </w:r>
          </w:p>
        </w:tc>
        <w:tc>
          <w:tcPr>
            <w:tcW w:w="1080" w:type="dxa"/>
            <w:vAlign w:val="center"/>
          </w:tcPr>
          <w:p w14:paraId="074F7A54" w14:textId="77777777" w:rsidR="00E04CDE" w:rsidRPr="007974DD" w:rsidRDefault="00E04CDE" w:rsidP="002B76DD">
            <w:pPr>
              <w:jc w:val="center"/>
              <w:rPr>
                <w:noProof/>
                <w:sz w:val="20"/>
                <w:szCs w:val="20"/>
              </w:rPr>
            </w:pPr>
            <w:r w:rsidRPr="007974DD">
              <w:rPr>
                <w:noProof/>
                <w:sz w:val="20"/>
                <w:szCs w:val="20"/>
              </w:rPr>
              <w:t>NO</w:t>
            </w:r>
          </w:p>
        </w:tc>
        <w:tc>
          <w:tcPr>
            <w:tcW w:w="956" w:type="dxa"/>
            <w:vAlign w:val="center"/>
          </w:tcPr>
          <w:p w14:paraId="0F148A76" w14:textId="77777777" w:rsidR="00E04CDE" w:rsidRPr="007974DD" w:rsidRDefault="00E04CDE" w:rsidP="002B76DD">
            <w:pPr>
              <w:jc w:val="center"/>
              <w:rPr>
                <w:noProof/>
                <w:sz w:val="20"/>
                <w:szCs w:val="20"/>
              </w:rPr>
            </w:pPr>
            <w:r w:rsidRPr="007974DD">
              <w:rPr>
                <w:noProof/>
                <w:sz w:val="20"/>
                <w:szCs w:val="20"/>
              </w:rPr>
              <w:t>YES</w:t>
            </w:r>
          </w:p>
        </w:tc>
        <w:tc>
          <w:tcPr>
            <w:tcW w:w="1448" w:type="dxa"/>
            <w:vAlign w:val="center"/>
          </w:tcPr>
          <w:p w14:paraId="22108F36" w14:textId="77777777" w:rsidR="00E04CDE" w:rsidRPr="007974DD" w:rsidRDefault="00E04CDE" w:rsidP="002B76DD">
            <w:pPr>
              <w:jc w:val="center"/>
              <w:rPr>
                <w:noProof/>
                <w:sz w:val="20"/>
                <w:szCs w:val="20"/>
              </w:rPr>
            </w:pPr>
            <w:r w:rsidRPr="007974DD">
              <w:rPr>
                <w:noProof/>
                <w:sz w:val="20"/>
                <w:szCs w:val="20"/>
              </w:rPr>
              <w:t>NO</w:t>
            </w:r>
          </w:p>
        </w:tc>
      </w:tr>
      <w:tr w:rsidR="00E04CDE" w14:paraId="7B75339F" w14:textId="77777777" w:rsidTr="002B76DD">
        <w:tc>
          <w:tcPr>
            <w:tcW w:w="1080" w:type="dxa"/>
            <w:vAlign w:val="center"/>
          </w:tcPr>
          <w:p w14:paraId="320B681D" w14:textId="77777777" w:rsidR="00E04CDE" w:rsidRPr="00AC4CC8" w:rsidRDefault="00E04CDE" w:rsidP="002B76DD">
            <w:pPr>
              <w:jc w:val="center"/>
              <w:rPr>
                <w:noProof/>
              </w:rPr>
            </w:pPr>
            <w:r w:rsidRPr="00AC4CC8">
              <w:rPr>
                <w:noProof/>
              </w:rPr>
              <w:t>4</w:t>
            </w:r>
          </w:p>
        </w:tc>
        <w:tc>
          <w:tcPr>
            <w:tcW w:w="3960" w:type="dxa"/>
            <w:vAlign w:val="center"/>
          </w:tcPr>
          <w:p w14:paraId="7AA5FEDE" w14:textId="77777777" w:rsidR="00E04CDE" w:rsidRPr="00A736F1" w:rsidRDefault="00E04CDE" w:rsidP="002B76DD">
            <w:pPr>
              <w:spacing w:after="60"/>
              <w:rPr>
                <w:noProof/>
                <w:sz w:val="20"/>
              </w:rPr>
            </w:pPr>
            <w:r w:rsidRPr="00AC4CC8">
              <w:rPr>
                <w:noProof/>
                <w:sz w:val="20"/>
              </w:rPr>
              <w:t xml:space="preserve">11.01.01 – Support expenditure for the "Integrated Border Management Fund (IBMF) — Instrument for financial support for </w:t>
            </w:r>
            <w:r>
              <w:rPr>
                <w:noProof/>
                <w:sz w:val="20"/>
              </w:rPr>
              <w:t>B</w:t>
            </w:r>
            <w:r w:rsidRPr="00AC4CC8">
              <w:rPr>
                <w:noProof/>
                <w:sz w:val="20"/>
              </w:rPr>
              <w:t xml:space="preserve">order </w:t>
            </w:r>
            <w:r>
              <w:rPr>
                <w:noProof/>
                <w:sz w:val="20"/>
              </w:rPr>
              <w:t>M</w:t>
            </w:r>
            <w:r w:rsidRPr="00AC4CC8">
              <w:rPr>
                <w:noProof/>
                <w:sz w:val="20"/>
              </w:rPr>
              <w:t xml:space="preserve">anagement and </w:t>
            </w:r>
            <w:r>
              <w:rPr>
                <w:noProof/>
                <w:sz w:val="20"/>
              </w:rPr>
              <w:t>V</w:t>
            </w:r>
            <w:r w:rsidRPr="00AC4CC8">
              <w:rPr>
                <w:noProof/>
                <w:sz w:val="20"/>
              </w:rPr>
              <w:t>isa</w:t>
            </w:r>
            <w:r>
              <w:rPr>
                <w:noProof/>
                <w:sz w:val="20"/>
              </w:rPr>
              <w:t xml:space="preserve"> Policy</w:t>
            </w:r>
            <w:r w:rsidRPr="00AC4CC8">
              <w:rPr>
                <w:noProof/>
                <w:sz w:val="20"/>
              </w:rPr>
              <w:t xml:space="preserve"> (BMVI)"</w:t>
            </w:r>
          </w:p>
        </w:tc>
        <w:tc>
          <w:tcPr>
            <w:tcW w:w="1080" w:type="dxa"/>
            <w:vAlign w:val="center"/>
          </w:tcPr>
          <w:p w14:paraId="4D2F7EC9" w14:textId="77777777" w:rsidR="00E04CDE" w:rsidRDefault="00E04CDE" w:rsidP="002B76DD">
            <w:pPr>
              <w:jc w:val="center"/>
              <w:rPr>
                <w:noProof/>
                <w:sz w:val="22"/>
              </w:rPr>
            </w:pPr>
            <w:r w:rsidRPr="00AC4CC8">
              <w:rPr>
                <w:noProof/>
                <w:sz w:val="22"/>
              </w:rPr>
              <w:t>Non-diff.</w:t>
            </w:r>
          </w:p>
        </w:tc>
        <w:tc>
          <w:tcPr>
            <w:tcW w:w="956" w:type="dxa"/>
            <w:vAlign w:val="center"/>
          </w:tcPr>
          <w:p w14:paraId="321FD3D7" w14:textId="77777777" w:rsidR="00E04CDE" w:rsidRPr="007974DD" w:rsidRDefault="00E04CDE" w:rsidP="002B76DD">
            <w:pPr>
              <w:jc w:val="center"/>
              <w:rPr>
                <w:noProof/>
                <w:sz w:val="20"/>
                <w:szCs w:val="20"/>
              </w:rPr>
            </w:pPr>
            <w:r w:rsidRPr="007974DD">
              <w:rPr>
                <w:noProof/>
                <w:sz w:val="20"/>
                <w:szCs w:val="20"/>
              </w:rPr>
              <w:t>NO</w:t>
            </w:r>
          </w:p>
        </w:tc>
        <w:tc>
          <w:tcPr>
            <w:tcW w:w="1080" w:type="dxa"/>
            <w:vAlign w:val="center"/>
          </w:tcPr>
          <w:p w14:paraId="0A0EAB63" w14:textId="77777777" w:rsidR="00E04CDE" w:rsidRPr="007974DD" w:rsidRDefault="00E04CDE" w:rsidP="002B76DD">
            <w:pPr>
              <w:jc w:val="center"/>
              <w:rPr>
                <w:noProof/>
                <w:sz w:val="20"/>
                <w:szCs w:val="20"/>
              </w:rPr>
            </w:pPr>
            <w:r w:rsidRPr="007974DD">
              <w:rPr>
                <w:noProof/>
                <w:sz w:val="20"/>
                <w:szCs w:val="20"/>
              </w:rPr>
              <w:t>NO</w:t>
            </w:r>
          </w:p>
        </w:tc>
        <w:tc>
          <w:tcPr>
            <w:tcW w:w="956" w:type="dxa"/>
            <w:vAlign w:val="center"/>
          </w:tcPr>
          <w:p w14:paraId="6FD1A4FE" w14:textId="77777777" w:rsidR="00E04CDE" w:rsidRPr="007974DD" w:rsidRDefault="00E04CDE" w:rsidP="002B76DD">
            <w:pPr>
              <w:jc w:val="center"/>
              <w:rPr>
                <w:noProof/>
                <w:sz w:val="20"/>
                <w:szCs w:val="20"/>
              </w:rPr>
            </w:pPr>
            <w:r w:rsidRPr="007974DD">
              <w:rPr>
                <w:noProof/>
                <w:sz w:val="20"/>
                <w:szCs w:val="20"/>
              </w:rPr>
              <w:t>YES</w:t>
            </w:r>
          </w:p>
        </w:tc>
        <w:tc>
          <w:tcPr>
            <w:tcW w:w="1448" w:type="dxa"/>
            <w:vAlign w:val="center"/>
          </w:tcPr>
          <w:p w14:paraId="58B38EAC" w14:textId="77777777" w:rsidR="00E04CDE" w:rsidRPr="007974DD" w:rsidRDefault="00E04CDE" w:rsidP="002B76DD">
            <w:pPr>
              <w:jc w:val="center"/>
              <w:rPr>
                <w:noProof/>
                <w:sz w:val="20"/>
                <w:szCs w:val="20"/>
              </w:rPr>
            </w:pPr>
            <w:r w:rsidRPr="007974DD">
              <w:rPr>
                <w:noProof/>
                <w:sz w:val="20"/>
                <w:szCs w:val="20"/>
              </w:rPr>
              <w:t>NO</w:t>
            </w:r>
          </w:p>
        </w:tc>
      </w:tr>
    </w:tbl>
    <w:p w14:paraId="5A4A647B" w14:textId="77777777" w:rsidR="00E04CDE" w:rsidRDefault="00E04CDE" w:rsidP="00E04CDE">
      <w:pPr>
        <w:pStyle w:val="ListBullet1"/>
        <w:rPr>
          <w:noProof/>
        </w:rPr>
      </w:pPr>
      <w:r>
        <w:rPr>
          <w:noProof/>
        </w:rPr>
        <w:t xml:space="preserve">New budget lines requested </w:t>
      </w:r>
    </w:p>
    <w:p w14:paraId="72FD9720" w14:textId="77777777" w:rsidR="00E04CDE" w:rsidRDefault="00E04CDE" w:rsidP="00E04CDE">
      <w:pPr>
        <w:pStyle w:val="Text1"/>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E04CDE" w14:paraId="24021434" w14:textId="77777777" w:rsidTr="002B76DD">
        <w:tc>
          <w:tcPr>
            <w:tcW w:w="1080" w:type="dxa"/>
            <w:vMerge w:val="restart"/>
            <w:vAlign w:val="center"/>
          </w:tcPr>
          <w:p w14:paraId="059B9BAB" w14:textId="77777777" w:rsidR="00E04CDE" w:rsidRDefault="00E04CDE" w:rsidP="002B76DD">
            <w:pPr>
              <w:spacing w:before="60" w:after="60"/>
              <w:jc w:val="center"/>
              <w:rPr>
                <w:noProof/>
                <w:sz w:val="18"/>
                <w:szCs w:val="18"/>
              </w:rPr>
            </w:pPr>
            <w:r>
              <w:rPr>
                <w:noProof/>
                <w:sz w:val="18"/>
              </w:rPr>
              <w:t>Heading of multiannual financial framework</w:t>
            </w:r>
          </w:p>
        </w:tc>
        <w:tc>
          <w:tcPr>
            <w:tcW w:w="3960" w:type="dxa"/>
            <w:vAlign w:val="center"/>
          </w:tcPr>
          <w:p w14:paraId="3DAF981B" w14:textId="77777777" w:rsidR="00E04CDE" w:rsidRDefault="00E04CDE" w:rsidP="002B76DD">
            <w:pPr>
              <w:spacing w:before="60" w:after="60"/>
              <w:jc w:val="center"/>
              <w:rPr>
                <w:noProof/>
              </w:rPr>
            </w:pPr>
            <w:r>
              <w:rPr>
                <w:noProof/>
                <w:sz w:val="20"/>
              </w:rPr>
              <w:t>Budget line</w:t>
            </w:r>
          </w:p>
        </w:tc>
        <w:tc>
          <w:tcPr>
            <w:tcW w:w="1080" w:type="dxa"/>
            <w:vAlign w:val="center"/>
          </w:tcPr>
          <w:p w14:paraId="146B2B5D" w14:textId="77777777" w:rsidR="00E04CDE" w:rsidRDefault="00E04CDE" w:rsidP="002B76DD">
            <w:pPr>
              <w:spacing w:before="60" w:after="60"/>
              <w:jc w:val="center"/>
              <w:rPr>
                <w:noProof/>
              </w:rPr>
            </w:pPr>
            <w:r>
              <w:rPr>
                <w:noProof/>
                <w:sz w:val="18"/>
              </w:rPr>
              <w:t>Type of</w:t>
            </w:r>
            <w:r>
              <w:rPr>
                <w:noProof/>
                <w:sz w:val="22"/>
              </w:rPr>
              <w:br/>
            </w:r>
            <w:r>
              <w:rPr>
                <w:noProof/>
                <w:sz w:val="18"/>
              </w:rPr>
              <w:t>expenditure</w:t>
            </w:r>
          </w:p>
        </w:tc>
        <w:tc>
          <w:tcPr>
            <w:tcW w:w="4440" w:type="dxa"/>
            <w:gridSpan w:val="4"/>
            <w:vAlign w:val="center"/>
          </w:tcPr>
          <w:p w14:paraId="6E6B434F" w14:textId="77777777" w:rsidR="00E04CDE" w:rsidRDefault="00E04CDE" w:rsidP="002B76DD">
            <w:pPr>
              <w:spacing w:before="60" w:after="60"/>
              <w:jc w:val="center"/>
              <w:rPr>
                <w:noProof/>
              </w:rPr>
            </w:pPr>
            <w:r>
              <w:rPr>
                <w:noProof/>
                <w:sz w:val="20"/>
              </w:rPr>
              <w:t xml:space="preserve">Contribution </w:t>
            </w:r>
          </w:p>
        </w:tc>
      </w:tr>
      <w:tr w:rsidR="00E04CDE" w14:paraId="4B60E343" w14:textId="77777777" w:rsidTr="002B76DD">
        <w:tc>
          <w:tcPr>
            <w:tcW w:w="1080" w:type="dxa"/>
            <w:vMerge/>
            <w:vAlign w:val="center"/>
          </w:tcPr>
          <w:p w14:paraId="7ECDD4F2" w14:textId="77777777" w:rsidR="00E04CDE" w:rsidRDefault="00E04CDE" w:rsidP="002B76DD">
            <w:pPr>
              <w:jc w:val="center"/>
              <w:rPr>
                <w:noProof/>
              </w:rPr>
            </w:pPr>
          </w:p>
        </w:tc>
        <w:tc>
          <w:tcPr>
            <w:tcW w:w="3960" w:type="dxa"/>
            <w:vAlign w:val="center"/>
          </w:tcPr>
          <w:p w14:paraId="396F41C0" w14:textId="77777777" w:rsidR="00E04CDE" w:rsidRDefault="00E04CDE" w:rsidP="002B76DD">
            <w:pPr>
              <w:rPr>
                <w:noProof/>
              </w:rPr>
            </w:pPr>
            <w:r>
              <w:rPr>
                <w:noProof/>
                <w:sz w:val="20"/>
              </w:rPr>
              <w:t xml:space="preserve">Number </w:t>
            </w:r>
            <w:r>
              <w:rPr>
                <w:noProof/>
                <w:sz w:val="22"/>
              </w:rPr>
              <w:br/>
            </w:r>
          </w:p>
        </w:tc>
        <w:tc>
          <w:tcPr>
            <w:tcW w:w="1080" w:type="dxa"/>
            <w:vAlign w:val="center"/>
          </w:tcPr>
          <w:p w14:paraId="7C3A23B6" w14:textId="77777777" w:rsidR="00E04CDE" w:rsidRDefault="00E04CDE" w:rsidP="002B76DD">
            <w:pPr>
              <w:jc w:val="center"/>
              <w:rPr>
                <w:noProof/>
              </w:rPr>
            </w:pPr>
            <w:r>
              <w:rPr>
                <w:noProof/>
                <w:sz w:val="18"/>
              </w:rPr>
              <w:t>Diff./Non-diff.</w:t>
            </w:r>
          </w:p>
        </w:tc>
        <w:tc>
          <w:tcPr>
            <w:tcW w:w="956" w:type="dxa"/>
            <w:vAlign w:val="center"/>
          </w:tcPr>
          <w:p w14:paraId="5D78E976" w14:textId="77777777" w:rsidR="00E04CDE" w:rsidRDefault="00E04CDE" w:rsidP="002B76DD">
            <w:pPr>
              <w:jc w:val="center"/>
              <w:rPr>
                <w:noProof/>
                <w:sz w:val="18"/>
              </w:rPr>
            </w:pPr>
            <w:r>
              <w:rPr>
                <w:noProof/>
                <w:sz w:val="18"/>
              </w:rPr>
              <w:t>from EFTA countries</w:t>
            </w:r>
          </w:p>
        </w:tc>
        <w:tc>
          <w:tcPr>
            <w:tcW w:w="1080" w:type="dxa"/>
            <w:vAlign w:val="center"/>
          </w:tcPr>
          <w:p w14:paraId="02A146E3" w14:textId="77777777" w:rsidR="00E04CDE" w:rsidRDefault="00E04CDE" w:rsidP="002B76DD">
            <w:pPr>
              <w:jc w:val="center"/>
              <w:rPr>
                <w:noProof/>
                <w:sz w:val="18"/>
              </w:rPr>
            </w:pPr>
            <w:r>
              <w:rPr>
                <w:noProof/>
                <w:sz w:val="18"/>
              </w:rPr>
              <w:t>from candidate countries</w:t>
            </w:r>
          </w:p>
        </w:tc>
        <w:tc>
          <w:tcPr>
            <w:tcW w:w="956" w:type="dxa"/>
            <w:vAlign w:val="center"/>
          </w:tcPr>
          <w:p w14:paraId="00291EFA" w14:textId="77777777" w:rsidR="00E04CDE" w:rsidRDefault="00E04CDE" w:rsidP="002B76DD">
            <w:pPr>
              <w:jc w:val="center"/>
              <w:rPr>
                <w:noProof/>
                <w:sz w:val="18"/>
              </w:rPr>
            </w:pPr>
            <w:r>
              <w:rPr>
                <w:noProof/>
                <w:sz w:val="18"/>
              </w:rPr>
              <w:t>from third countries</w:t>
            </w:r>
          </w:p>
        </w:tc>
        <w:tc>
          <w:tcPr>
            <w:tcW w:w="1448" w:type="dxa"/>
            <w:vAlign w:val="center"/>
          </w:tcPr>
          <w:p w14:paraId="44960C41" w14:textId="77777777" w:rsidR="00E04CDE" w:rsidRDefault="00E04CDE" w:rsidP="002B76DD">
            <w:pPr>
              <w:jc w:val="center"/>
              <w:rPr>
                <w:noProof/>
              </w:rPr>
            </w:pPr>
            <w:r>
              <w:rPr>
                <w:noProof/>
                <w:sz w:val="16"/>
              </w:rPr>
              <w:t xml:space="preserve">within the meaning of Article 21(2)(b) of the Financial Regulation </w:t>
            </w:r>
          </w:p>
        </w:tc>
      </w:tr>
      <w:tr w:rsidR="00E04CDE" w14:paraId="14656DFF" w14:textId="77777777" w:rsidTr="002B76DD">
        <w:tc>
          <w:tcPr>
            <w:tcW w:w="1080" w:type="dxa"/>
            <w:vAlign w:val="center"/>
          </w:tcPr>
          <w:p w14:paraId="5EFB601F" w14:textId="77777777" w:rsidR="00E04CDE" w:rsidRDefault="00E04CDE" w:rsidP="002B76DD">
            <w:pPr>
              <w:jc w:val="center"/>
              <w:rPr>
                <w:noProof/>
                <w:color w:val="0000FF"/>
              </w:rPr>
            </w:pPr>
          </w:p>
        </w:tc>
        <w:tc>
          <w:tcPr>
            <w:tcW w:w="3960" w:type="dxa"/>
            <w:vAlign w:val="center"/>
          </w:tcPr>
          <w:p w14:paraId="6CA37CD8" w14:textId="77777777" w:rsidR="00E04CDE" w:rsidRDefault="00E04CDE" w:rsidP="002B76DD">
            <w:pPr>
              <w:spacing w:before="60"/>
              <w:rPr>
                <w:noProof/>
              </w:rPr>
            </w:pPr>
            <w:r>
              <w:rPr>
                <w:noProof/>
                <w:sz w:val="22"/>
              </w:rPr>
              <w:t>[XX.YY.YY.YY]</w:t>
            </w:r>
          </w:p>
          <w:p w14:paraId="56F966C6" w14:textId="77777777" w:rsidR="00E04CDE" w:rsidRDefault="00E04CDE" w:rsidP="002B76DD">
            <w:pPr>
              <w:spacing w:after="60"/>
              <w:rPr>
                <w:noProof/>
                <w:color w:val="0000FF"/>
              </w:rPr>
            </w:pPr>
          </w:p>
        </w:tc>
        <w:tc>
          <w:tcPr>
            <w:tcW w:w="1080" w:type="dxa"/>
            <w:vAlign w:val="center"/>
          </w:tcPr>
          <w:p w14:paraId="38E8A0F5" w14:textId="77777777" w:rsidR="00E04CDE" w:rsidRDefault="00E04CDE" w:rsidP="002B76DD">
            <w:pPr>
              <w:jc w:val="center"/>
              <w:rPr>
                <w:noProof/>
                <w:color w:val="0000FF"/>
              </w:rPr>
            </w:pPr>
          </w:p>
        </w:tc>
        <w:tc>
          <w:tcPr>
            <w:tcW w:w="956" w:type="dxa"/>
            <w:vAlign w:val="center"/>
          </w:tcPr>
          <w:p w14:paraId="4F73A77A" w14:textId="77777777" w:rsidR="00E04CDE" w:rsidRPr="008D0E8A" w:rsidRDefault="00E04CDE" w:rsidP="002B76DD">
            <w:pPr>
              <w:jc w:val="center"/>
              <w:rPr>
                <w:noProof/>
                <w:sz w:val="20"/>
                <w:szCs w:val="20"/>
              </w:rPr>
            </w:pPr>
            <w:r w:rsidRPr="007974DD">
              <w:rPr>
                <w:noProof/>
                <w:sz w:val="20"/>
                <w:szCs w:val="20"/>
              </w:rPr>
              <w:t>YES/NO</w:t>
            </w:r>
          </w:p>
        </w:tc>
        <w:tc>
          <w:tcPr>
            <w:tcW w:w="1080" w:type="dxa"/>
            <w:vAlign w:val="center"/>
          </w:tcPr>
          <w:p w14:paraId="22ECD04F" w14:textId="77777777" w:rsidR="00E04CDE" w:rsidRPr="008D0E8A" w:rsidRDefault="00E04CDE" w:rsidP="002B76DD">
            <w:pPr>
              <w:jc w:val="center"/>
              <w:rPr>
                <w:noProof/>
                <w:color w:val="0000FF"/>
                <w:sz w:val="20"/>
                <w:szCs w:val="20"/>
              </w:rPr>
            </w:pPr>
            <w:r w:rsidRPr="007974DD">
              <w:rPr>
                <w:noProof/>
                <w:sz w:val="20"/>
                <w:szCs w:val="20"/>
              </w:rPr>
              <w:t>YES/NO</w:t>
            </w:r>
          </w:p>
        </w:tc>
        <w:tc>
          <w:tcPr>
            <w:tcW w:w="956" w:type="dxa"/>
            <w:vAlign w:val="center"/>
          </w:tcPr>
          <w:p w14:paraId="72002A22" w14:textId="77777777" w:rsidR="00E04CDE" w:rsidRPr="008D0E8A" w:rsidRDefault="00E04CDE" w:rsidP="002B76DD">
            <w:pPr>
              <w:jc w:val="center"/>
              <w:rPr>
                <w:noProof/>
                <w:color w:val="0000FF"/>
                <w:sz w:val="20"/>
                <w:szCs w:val="20"/>
              </w:rPr>
            </w:pPr>
            <w:r w:rsidRPr="007974DD">
              <w:rPr>
                <w:noProof/>
                <w:sz w:val="20"/>
                <w:szCs w:val="20"/>
              </w:rPr>
              <w:t>YES/NO</w:t>
            </w:r>
          </w:p>
        </w:tc>
        <w:tc>
          <w:tcPr>
            <w:tcW w:w="1448" w:type="dxa"/>
            <w:vAlign w:val="center"/>
          </w:tcPr>
          <w:p w14:paraId="0B5D467A" w14:textId="77777777" w:rsidR="00E04CDE" w:rsidRPr="008D0E8A" w:rsidRDefault="00E04CDE" w:rsidP="002B76DD">
            <w:pPr>
              <w:jc w:val="center"/>
              <w:rPr>
                <w:noProof/>
                <w:sz w:val="20"/>
                <w:szCs w:val="20"/>
              </w:rPr>
            </w:pPr>
            <w:r w:rsidRPr="007974DD">
              <w:rPr>
                <w:noProof/>
                <w:sz w:val="20"/>
                <w:szCs w:val="20"/>
              </w:rPr>
              <w:t>YES/NO</w:t>
            </w:r>
          </w:p>
        </w:tc>
      </w:tr>
    </w:tbl>
    <w:p w14:paraId="1239818B" w14:textId="77777777" w:rsidR="00E04CDE" w:rsidRDefault="00E04CDE" w:rsidP="00E04CDE">
      <w:pPr>
        <w:rPr>
          <w:noProof/>
        </w:rPr>
        <w:sectPr w:rsidR="00E04CDE" w:rsidSect="00FB3ECA">
          <w:pgSz w:w="11907" w:h="16840" w:code="1"/>
          <w:pgMar w:top="1134" w:right="1418" w:bottom="1134" w:left="1418" w:header="709" w:footer="709" w:gutter="0"/>
          <w:cols w:space="708"/>
          <w:docGrid w:linePitch="360"/>
        </w:sectPr>
      </w:pPr>
    </w:p>
    <w:p w14:paraId="432B63EC" w14:textId="5D624106" w:rsidR="00E04CDE" w:rsidRDefault="00EF15A7" w:rsidP="00EF15A7">
      <w:pPr>
        <w:pStyle w:val="ManualHeading2"/>
        <w:rPr>
          <w:bCs/>
          <w:noProof/>
          <w:szCs w:val="24"/>
        </w:rPr>
      </w:pPr>
      <w:r w:rsidRPr="00EF15A7">
        <w:t>3.2.</w:t>
      </w:r>
      <w:r w:rsidRPr="00EF15A7">
        <w:tab/>
      </w:r>
      <w:r w:rsidR="00E04CDE">
        <w:rPr>
          <w:noProof/>
        </w:rPr>
        <w:t xml:space="preserve">Estimated financial impact of the proposal on appropriations </w:t>
      </w:r>
    </w:p>
    <w:p w14:paraId="72A537F0" w14:textId="148F6D56" w:rsidR="00E04CDE" w:rsidRDefault="00EF15A7" w:rsidP="00EF15A7">
      <w:pPr>
        <w:pStyle w:val="ManualHeading3"/>
        <w:rPr>
          <w:noProof/>
        </w:rPr>
      </w:pPr>
      <w:r w:rsidRPr="00EF15A7">
        <w:t>3.2.1.</w:t>
      </w:r>
      <w:r w:rsidRPr="00EF15A7">
        <w:tab/>
      </w:r>
      <w:r w:rsidR="00E04CDE">
        <w:rPr>
          <w:noProof/>
        </w:rPr>
        <w:t xml:space="preserve">Summary of estimated impact on operational appropriations </w:t>
      </w:r>
    </w:p>
    <w:p w14:paraId="475FDEE9" w14:textId="77777777" w:rsidR="00E04CDE" w:rsidRDefault="00E04CDE" w:rsidP="00E04CDE">
      <w:pPr>
        <w:pStyle w:val="ListDash1"/>
        <w:rPr>
          <w:noProof/>
        </w:rPr>
      </w:pPr>
      <w:r>
        <w:rPr>
          <w:noProof/>
        </w:rPr>
        <w:sym w:font="Wingdings" w:char="F0A8"/>
      </w:r>
      <w:r>
        <w:rPr>
          <w:noProof/>
        </w:rPr>
        <w:tab/>
        <w:t xml:space="preserve">The proposal/initiative does not require the use of operational appropriations </w:t>
      </w:r>
    </w:p>
    <w:p w14:paraId="43F759B3" w14:textId="77777777" w:rsidR="00E04CDE" w:rsidRDefault="00E04CDE" w:rsidP="00E04CDE">
      <w:pPr>
        <w:pStyle w:val="ListDash1"/>
        <w:rPr>
          <w:noProof/>
        </w:rPr>
      </w:pPr>
      <w:r>
        <w:rPr>
          <w:noProof/>
        </w:rPr>
        <w:sym w:font="Wingdings" w:char="F0FE"/>
      </w:r>
      <w:r>
        <w:rPr>
          <w:noProof/>
        </w:rPr>
        <w:tab/>
        <w:t>The proposal/initiative requires the use of operational appropriations, as explained below:</w:t>
      </w:r>
    </w:p>
    <w:p w14:paraId="033905B1" w14:textId="77777777" w:rsidR="00E04CDE" w:rsidRPr="001A68DA" w:rsidRDefault="00E04CDE" w:rsidP="00E04CDE">
      <w:pPr>
        <w:jc w:val="right"/>
        <w:rPr>
          <w:noProof/>
          <w:sz w:val="18"/>
          <w:szCs w:val="18"/>
        </w:rPr>
      </w:pPr>
      <w:r w:rsidRPr="007974DD">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E04CDE" w14:paraId="01DC870F" w14:textId="77777777" w:rsidTr="002B76DD">
        <w:trPr>
          <w:jc w:val="center"/>
        </w:trPr>
        <w:tc>
          <w:tcPr>
            <w:tcW w:w="4744" w:type="dxa"/>
            <w:shd w:val="thinDiagStripe" w:color="C0C0C0" w:fill="auto"/>
            <w:vAlign w:val="center"/>
          </w:tcPr>
          <w:p w14:paraId="3D9C0CBA" w14:textId="77777777" w:rsidR="00E04CDE" w:rsidRDefault="00E04CDE" w:rsidP="002B76DD">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14:paraId="26A1029B" w14:textId="77777777" w:rsidR="00E04CDE" w:rsidRDefault="00E04CDE" w:rsidP="002B76DD">
            <w:pPr>
              <w:spacing w:before="60" w:after="60"/>
              <w:jc w:val="center"/>
              <w:rPr>
                <w:noProof/>
              </w:rPr>
            </w:pPr>
            <w:r>
              <w:rPr>
                <w:noProof/>
                <w:sz w:val="22"/>
              </w:rPr>
              <w:t>4</w:t>
            </w:r>
          </w:p>
        </w:tc>
        <w:tc>
          <w:tcPr>
            <w:tcW w:w="7817" w:type="dxa"/>
            <w:vAlign w:val="center"/>
          </w:tcPr>
          <w:p w14:paraId="09EDC649" w14:textId="77777777" w:rsidR="00E04CDE" w:rsidRDefault="00E04CDE" w:rsidP="002B76DD">
            <w:pPr>
              <w:spacing w:before="60" w:after="60"/>
              <w:rPr>
                <w:noProof/>
              </w:rPr>
            </w:pPr>
            <w:r>
              <w:rPr>
                <w:noProof/>
              </w:rPr>
              <w:t>Migration and borders</w:t>
            </w:r>
          </w:p>
        </w:tc>
      </w:tr>
    </w:tbl>
    <w:p w14:paraId="04360832" w14:textId="77777777" w:rsidR="00E04CDE" w:rsidRDefault="00E04CDE" w:rsidP="00E04CDE">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1006"/>
      </w:tblGrid>
      <w:tr w:rsidR="005E22F8" w14:paraId="78EA6CC9" w14:textId="77777777" w:rsidTr="002B76DD">
        <w:tc>
          <w:tcPr>
            <w:tcW w:w="3960" w:type="dxa"/>
            <w:vAlign w:val="center"/>
          </w:tcPr>
          <w:p w14:paraId="27E50D0E" w14:textId="77777777" w:rsidR="005E22F8" w:rsidRDefault="005E22F8" w:rsidP="002B76DD">
            <w:pPr>
              <w:jc w:val="center"/>
              <w:rPr>
                <w:noProof/>
              </w:rPr>
            </w:pPr>
            <w:r>
              <w:rPr>
                <w:noProof/>
                <w:sz w:val="22"/>
              </w:rPr>
              <w:t>DG: HOME AFFAIRS</w:t>
            </w:r>
          </w:p>
        </w:tc>
        <w:tc>
          <w:tcPr>
            <w:tcW w:w="1560" w:type="dxa"/>
            <w:gridSpan w:val="2"/>
          </w:tcPr>
          <w:p w14:paraId="1932A6F9" w14:textId="77777777" w:rsidR="005E22F8" w:rsidRDefault="005E22F8" w:rsidP="002B76DD">
            <w:pPr>
              <w:rPr>
                <w:noProof/>
                <w:sz w:val="20"/>
              </w:rPr>
            </w:pPr>
          </w:p>
        </w:tc>
        <w:tc>
          <w:tcPr>
            <w:tcW w:w="534" w:type="dxa"/>
          </w:tcPr>
          <w:p w14:paraId="473C6155" w14:textId="77777777" w:rsidR="005E22F8" w:rsidRDefault="005E22F8" w:rsidP="002B76DD">
            <w:pPr>
              <w:jc w:val="center"/>
              <w:rPr>
                <w:noProof/>
                <w:sz w:val="20"/>
              </w:rPr>
            </w:pPr>
          </w:p>
        </w:tc>
        <w:tc>
          <w:tcPr>
            <w:tcW w:w="868" w:type="dxa"/>
            <w:vAlign w:val="center"/>
          </w:tcPr>
          <w:p w14:paraId="726EC4EB" w14:textId="77777777" w:rsidR="005E22F8" w:rsidRDefault="005E22F8" w:rsidP="002B76DD">
            <w:pPr>
              <w:jc w:val="center"/>
              <w:rPr>
                <w:noProof/>
                <w:sz w:val="20"/>
              </w:rPr>
            </w:pPr>
            <w:r>
              <w:rPr>
                <w:noProof/>
                <w:sz w:val="20"/>
              </w:rPr>
              <w:t>Year</w:t>
            </w:r>
            <w:r>
              <w:rPr>
                <w:noProof/>
                <w:sz w:val="22"/>
              </w:rPr>
              <w:br/>
            </w:r>
            <w:r>
              <w:rPr>
                <w:b/>
                <w:noProof/>
                <w:sz w:val="20"/>
              </w:rPr>
              <w:t>2024</w:t>
            </w:r>
          </w:p>
        </w:tc>
        <w:tc>
          <w:tcPr>
            <w:tcW w:w="868" w:type="dxa"/>
            <w:vAlign w:val="center"/>
          </w:tcPr>
          <w:p w14:paraId="1E855506" w14:textId="77777777" w:rsidR="005E22F8" w:rsidRDefault="005E22F8" w:rsidP="002B76DD">
            <w:pPr>
              <w:jc w:val="center"/>
              <w:rPr>
                <w:noProof/>
                <w:sz w:val="20"/>
              </w:rPr>
            </w:pPr>
            <w:r>
              <w:rPr>
                <w:noProof/>
                <w:sz w:val="20"/>
              </w:rPr>
              <w:t>Year</w:t>
            </w:r>
            <w:r>
              <w:rPr>
                <w:noProof/>
                <w:sz w:val="22"/>
              </w:rPr>
              <w:br/>
            </w:r>
            <w:r>
              <w:rPr>
                <w:b/>
                <w:noProof/>
                <w:sz w:val="20"/>
              </w:rPr>
              <w:t>2025</w:t>
            </w:r>
          </w:p>
        </w:tc>
        <w:tc>
          <w:tcPr>
            <w:tcW w:w="868" w:type="dxa"/>
            <w:vAlign w:val="center"/>
          </w:tcPr>
          <w:p w14:paraId="7C1B7F26" w14:textId="77777777" w:rsidR="005E22F8" w:rsidRDefault="005E22F8" w:rsidP="002B76DD">
            <w:pPr>
              <w:jc w:val="center"/>
              <w:rPr>
                <w:noProof/>
                <w:sz w:val="20"/>
              </w:rPr>
            </w:pPr>
            <w:r>
              <w:rPr>
                <w:noProof/>
                <w:sz w:val="20"/>
              </w:rPr>
              <w:t>Year</w:t>
            </w:r>
            <w:r>
              <w:rPr>
                <w:noProof/>
                <w:sz w:val="22"/>
              </w:rPr>
              <w:br/>
            </w:r>
            <w:r>
              <w:rPr>
                <w:b/>
                <w:noProof/>
                <w:sz w:val="20"/>
              </w:rPr>
              <w:t>2026</w:t>
            </w:r>
          </w:p>
        </w:tc>
        <w:tc>
          <w:tcPr>
            <w:tcW w:w="868" w:type="dxa"/>
            <w:vAlign w:val="center"/>
          </w:tcPr>
          <w:p w14:paraId="45E9C8F2" w14:textId="77777777" w:rsidR="005E22F8" w:rsidRDefault="005E22F8" w:rsidP="002B76DD">
            <w:pPr>
              <w:jc w:val="center"/>
              <w:rPr>
                <w:noProof/>
                <w:sz w:val="20"/>
              </w:rPr>
            </w:pPr>
            <w:r>
              <w:rPr>
                <w:noProof/>
                <w:sz w:val="20"/>
              </w:rPr>
              <w:t>Year</w:t>
            </w:r>
            <w:r>
              <w:rPr>
                <w:noProof/>
                <w:sz w:val="22"/>
              </w:rPr>
              <w:br/>
            </w:r>
            <w:r>
              <w:rPr>
                <w:b/>
                <w:noProof/>
                <w:sz w:val="20"/>
              </w:rPr>
              <w:t>2027</w:t>
            </w:r>
          </w:p>
        </w:tc>
        <w:tc>
          <w:tcPr>
            <w:tcW w:w="1006" w:type="dxa"/>
            <w:vAlign w:val="center"/>
          </w:tcPr>
          <w:p w14:paraId="34CEB45F" w14:textId="77777777" w:rsidR="005E22F8" w:rsidRDefault="005E22F8" w:rsidP="002B76DD">
            <w:pPr>
              <w:jc w:val="center"/>
              <w:rPr>
                <w:b/>
                <w:noProof/>
                <w:sz w:val="20"/>
              </w:rPr>
            </w:pPr>
            <w:r>
              <w:rPr>
                <w:b/>
                <w:noProof/>
                <w:sz w:val="20"/>
              </w:rPr>
              <w:t>TOTAL</w:t>
            </w:r>
          </w:p>
        </w:tc>
      </w:tr>
      <w:tr w:rsidR="005E22F8" w14:paraId="6E3EFC9C" w14:textId="77777777" w:rsidTr="002B76DD">
        <w:trPr>
          <w:trHeight w:val="213"/>
        </w:trPr>
        <w:tc>
          <w:tcPr>
            <w:tcW w:w="6054" w:type="dxa"/>
            <w:gridSpan w:val="4"/>
            <w:vAlign w:val="center"/>
          </w:tcPr>
          <w:p w14:paraId="545C57C6" w14:textId="77777777" w:rsidR="005E22F8" w:rsidRDefault="005E22F8" w:rsidP="002B76DD">
            <w:pPr>
              <w:spacing w:before="20" w:after="20"/>
              <w:rPr>
                <w:noProof/>
                <w:sz w:val="21"/>
              </w:rPr>
            </w:pPr>
            <w:r>
              <w:rPr>
                <w:noProof/>
                <w:sz w:val="21"/>
              </w:rPr>
              <w:sym w:font="Wingdings" w:char="F09F"/>
            </w:r>
            <w:r>
              <w:rPr>
                <w:noProof/>
                <w:sz w:val="21"/>
              </w:rPr>
              <w:t xml:space="preserve"> Operational appropriations </w:t>
            </w:r>
          </w:p>
        </w:tc>
        <w:tc>
          <w:tcPr>
            <w:tcW w:w="868" w:type="dxa"/>
          </w:tcPr>
          <w:p w14:paraId="75A03166" w14:textId="77777777" w:rsidR="005E22F8" w:rsidRDefault="005E22F8" w:rsidP="002B76DD">
            <w:pPr>
              <w:rPr>
                <w:noProof/>
                <w:sz w:val="20"/>
              </w:rPr>
            </w:pPr>
          </w:p>
        </w:tc>
        <w:tc>
          <w:tcPr>
            <w:tcW w:w="868" w:type="dxa"/>
            <w:vAlign w:val="center"/>
          </w:tcPr>
          <w:p w14:paraId="1D941A88" w14:textId="77777777" w:rsidR="005E22F8" w:rsidRDefault="005E22F8" w:rsidP="002B76DD">
            <w:pPr>
              <w:rPr>
                <w:noProof/>
                <w:sz w:val="20"/>
              </w:rPr>
            </w:pPr>
          </w:p>
        </w:tc>
        <w:tc>
          <w:tcPr>
            <w:tcW w:w="868" w:type="dxa"/>
            <w:vAlign w:val="center"/>
          </w:tcPr>
          <w:p w14:paraId="55CA8C47" w14:textId="77777777" w:rsidR="005E22F8" w:rsidRDefault="005E22F8" w:rsidP="002B76DD">
            <w:pPr>
              <w:rPr>
                <w:noProof/>
                <w:sz w:val="20"/>
              </w:rPr>
            </w:pPr>
          </w:p>
        </w:tc>
        <w:tc>
          <w:tcPr>
            <w:tcW w:w="868" w:type="dxa"/>
            <w:vAlign w:val="center"/>
          </w:tcPr>
          <w:p w14:paraId="56745476" w14:textId="77777777" w:rsidR="005E22F8" w:rsidRDefault="005E22F8" w:rsidP="002B76DD">
            <w:pPr>
              <w:rPr>
                <w:noProof/>
                <w:sz w:val="20"/>
              </w:rPr>
            </w:pPr>
          </w:p>
        </w:tc>
        <w:tc>
          <w:tcPr>
            <w:tcW w:w="1006" w:type="dxa"/>
            <w:vAlign w:val="center"/>
          </w:tcPr>
          <w:p w14:paraId="47D91672" w14:textId="77777777" w:rsidR="005E22F8" w:rsidRDefault="005E22F8" w:rsidP="002B76DD">
            <w:pPr>
              <w:rPr>
                <w:b/>
                <w:noProof/>
                <w:sz w:val="20"/>
              </w:rPr>
            </w:pPr>
          </w:p>
        </w:tc>
      </w:tr>
      <w:tr w:rsidR="005E22F8" w14:paraId="3144116B" w14:textId="77777777" w:rsidTr="002B76DD">
        <w:trPr>
          <w:trHeight w:val="277"/>
        </w:trPr>
        <w:tc>
          <w:tcPr>
            <w:tcW w:w="3960" w:type="dxa"/>
            <w:vMerge w:val="restart"/>
            <w:vAlign w:val="center"/>
          </w:tcPr>
          <w:tbl>
            <w:tblPr>
              <w:tblW w:w="0" w:type="auto"/>
              <w:tblBorders>
                <w:top w:val="nil"/>
                <w:left w:val="nil"/>
                <w:bottom w:val="nil"/>
                <w:right w:val="nil"/>
              </w:tblBorders>
              <w:tblLayout w:type="fixed"/>
              <w:tblLook w:val="0000" w:firstRow="0" w:lastRow="0" w:firstColumn="0" w:lastColumn="0" w:noHBand="0" w:noVBand="0"/>
            </w:tblPr>
            <w:tblGrid>
              <w:gridCol w:w="3723"/>
            </w:tblGrid>
            <w:tr w:rsidR="005E22F8" w:rsidRPr="003A294B" w14:paraId="71479D91" w14:textId="77777777" w:rsidTr="002B76DD">
              <w:trPr>
                <w:trHeight w:val="523"/>
              </w:trPr>
              <w:tc>
                <w:tcPr>
                  <w:tcW w:w="3723" w:type="dxa"/>
                </w:tcPr>
                <w:p w14:paraId="016DEDC7" w14:textId="77777777" w:rsidR="005E22F8" w:rsidRPr="003A294B" w:rsidRDefault="005E22F8" w:rsidP="005E22F8">
                  <w:pPr>
                    <w:rPr>
                      <w:noProof/>
                      <w:color w:val="000000"/>
                      <w:sz w:val="23"/>
                      <w:szCs w:val="23"/>
                      <w:lang w:val="en-IE"/>
                    </w:rPr>
                  </w:pPr>
                  <w:r w:rsidRPr="009759DA">
                    <w:rPr>
                      <w:noProof/>
                      <w:sz w:val="20"/>
                    </w:rPr>
                    <w:t>11</w:t>
                  </w:r>
                  <w:r>
                    <w:rPr>
                      <w:noProof/>
                      <w:sz w:val="20"/>
                    </w:rPr>
                    <w:t>.</w:t>
                  </w:r>
                  <w:r w:rsidRPr="009759DA">
                    <w:rPr>
                      <w:noProof/>
                      <w:sz w:val="20"/>
                    </w:rPr>
                    <w:t>10</w:t>
                  </w:r>
                  <w:r>
                    <w:rPr>
                      <w:noProof/>
                      <w:sz w:val="20"/>
                    </w:rPr>
                    <w:t>.</w:t>
                  </w:r>
                  <w:r w:rsidRPr="009759DA">
                    <w:rPr>
                      <w:noProof/>
                      <w:sz w:val="20"/>
                    </w:rPr>
                    <w:t xml:space="preserve">02 - </w:t>
                  </w:r>
                  <w:r w:rsidRPr="00D82361">
                    <w:rPr>
                      <w:noProof/>
                      <w:sz w:val="20"/>
                    </w:rPr>
                    <w:t>European Agency for the Operational Management of Large-Scale IT Systems in the Area of Freedom, Security and Justice (eu-LISA)</w:t>
                  </w:r>
                </w:p>
              </w:tc>
            </w:tr>
          </w:tbl>
          <w:p w14:paraId="6374BF4F" w14:textId="77777777" w:rsidR="005E22F8" w:rsidRDefault="005E22F8" w:rsidP="005E22F8">
            <w:pPr>
              <w:rPr>
                <w:noProof/>
              </w:rPr>
            </w:pPr>
          </w:p>
        </w:tc>
        <w:tc>
          <w:tcPr>
            <w:tcW w:w="1440" w:type="dxa"/>
            <w:vAlign w:val="center"/>
          </w:tcPr>
          <w:p w14:paraId="10DC13D7" w14:textId="77777777" w:rsidR="005E22F8" w:rsidRDefault="005E22F8" w:rsidP="005E22F8">
            <w:pPr>
              <w:spacing w:before="20" w:after="20"/>
              <w:rPr>
                <w:noProof/>
                <w:sz w:val="18"/>
              </w:rPr>
            </w:pPr>
            <w:r>
              <w:rPr>
                <w:noProof/>
                <w:sz w:val="18"/>
              </w:rPr>
              <w:t>Commitments</w:t>
            </w:r>
          </w:p>
        </w:tc>
        <w:tc>
          <w:tcPr>
            <w:tcW w:w="654" w:type="dxa"/>
            <w:gridSpan w:val="2"/>
            <w:vAlign w:val="center"/>
          </w:tcPr>
          <w:p w14:paraId="65F1E649" w14:textId="77777777" w:rsidR="005E22F8" w:rsidRDefault="005E22F8" w:rsidP="005E22F8">
            <w:pPr>
              <w:spacing w:before="20" w:after="20"/>
              <w:jc w:val="center"/>
              <w:rPr>
                <w:noProof/>
                <w:sz w:val="14"/>
              </w:rPr>
            </w:pPr>
            <w:r>
              <w:rPr>
                <w:noProof/>
                <w:sz w:val="14"/>
              </w:rPr>
              <w:t>(1a)</w:t>
            </w:r>
          </w:p>
        </w:tc>
        <w:tc>
          <w:tcPr>
            <w:tcW w:w="868" w:type="dxa"/>
            <w:tcBorders>
              <w:bottom w:val="single" w:sz="4" w:space="0" w:color="auto"/>
            </w:tcBorders>
          </w:tcPr>
          <w:p w14:paraId="0C1C6DCB" w14:textId="77777777" w:rsidR="005E22F8" w:rsidRPr="006B6257" w:rsidRDefault="005E22F8" w:rsidP="005E22F8">
            <w:pPr>
              <w:spacing w:before="20" w:after="20"/>
              <w:jc w:val="right"/>
              <w:rPr>
                <w:noProof/>
                <w:sz w:val="20"/>
                <w:szCs w:val="20"/>
              </w:rPr>
            </w:pPr>
            <w:r w:rsidRPr="005B1934">
              <w:rPr>
                <w:noProof/>
                <w:sz w:val="20"/>
                <w:szCs w:val="20"/>
              </w:rPr>
              <w:t xml:space="preserve"> 19.945 </w:t>
            </w:r>
          </w:p>
        </w:tc>
        <w:tc>
          <w:tcPr>
            <w:tcW w:w="868" w:type="dxa"/>
            <w:tcBorders>
              <w:bottom w:val="single" w:sz="4" w:space="0" w:color="auto"/>
            </w:tcBorders>
          </w:tcPr>
          <w:p w14:paraId="39ACAE1B" w14:textId="77777777" w:rsidR="005E22F8" w:rsidRPr="006B6257" w:rsidRDefault="005E22F8" w:rsidP="005E22F8">
            <w:pPr>
              <w:spacing w:before="20" w:after="20"/>
              <w:jc w:val="right"/>
              <w:rPr>
                <w:noProof/>
                <w:sz w:val="20"/>
                <w:szCs w:val="20"/>
              </w:rPr>
            </w:pPr>
            <w:r w:rsidRPr="005B1934">
              <w:rPr>
                <w:noProof/>
                <w:sz w:val="20"/>
                <w:szCs w:val="20"/>
              </w:rPr>
              <w:t xml:space="preserve"> 22.825 </w:t>
            </w:r>
          </w:p>
        </w:tc>
        <w:tc>
          <w:tcPr>
            <w:tcW w:w="868" w:type="dxa"/>
          </w:tcPr>
          <w:p w14:paraId="30A025D7" w14:textId="77777777" w:rsidR="005E22F8" w:rsidRPr="006B6257" w:rsidRDefault="005E22F8" w:rsidP="005E22F8">
            <w:pPr>
              <w:spacing w:before="20" w:after="20"/>
              <w:jc w:val="right"/>
              <w:rPr>
                <w:noProof/>
                <w:sz w:val="20"/>
                <w:szCs w:val="20"/>
              </w:rPr>
            </w:pPr>
            <w:r w:rsidRPr="005B1934">
              <w:rPr>
                <w:noProof/>
                <w:sz w:val="20"/>
                <w:szCs w:val="20"/>
              </w:rPr>
              <w:t xml:space="preserve"> 12.800 </w:t>
            </w:r>
          </w:p>
        </w:tc>
        <w:tc>
          <w:tcPr>
            <w:tcW w:w="868" w:type="dxa"/>
          </w:tcPr>
          <w:p w14:paraId="0AD86F64" w14:textId="77777777" w:rsidR="005E22F8" w:rsidRPr="006B6257" w:rsidRDefault="005E22F8" w:rsidP="005E22F8">
            <w:pPr>
              <w:spacing w:before="20" w:after="20"/>
              <w:jc w:val="right"/>
              <w:rPr>
                <w:noProof/>
                <w:sz w:val="20"/>
                <w:szCs w:val="20"/>
              </w:rPr>
            </w:pPr>
            <w:r w:rsidRPr="005B1934">
              <w:rPr>
                <w:noProof/>
                <w:sz w:val="20"/>
                <w:szCs w:val="20"/>
              </w:rPr>
              <w:t xml:space="preserve"> 12.800 </w:t>
            </w:r>
          </w:p>
        </w:tc>
        <w:tc>
          <w:tcPr>
            <w:tcW w:w="1006" w:type="dxa"/>
          </w:tcPr>
          <w:p w14:paraId="2C361157" w14:textId="77777777" w:rsidR="005E22F8" w:rsidRPr="006B6257" w:rsidRDefault="005E22F8" w:rsidP="005E22F8">
            <w:pPr>
              <w:spacing w:before="20" w:after="20"/>
              <w:jc w:val="right"/>
              <w:rPr>
                <w:b/>
                <w:noProof/>
                <w:sz w:val="20"/>
                <w:szCs w:val="20"/>
              </w:rPr>
            </w:pPr>
            <w:r w:rsidRPr="005B1934">
              <w:rPr>
                <w:noProof/>
                <w:sz w:val="20"/>
                <w:szCs w:val="20"/>
              </w:rPr>
              <w:t xml:space="preserve"> 68.370 </w:t>
            </w:r>
          </w:p>
        </w:tc>
      </w:tr>
      <w:tr w:rsidR="005E22F8" w14:paraId="64B04E64" w14:textId="77777777" w:rsidTr="002B76DD">
        <w:tc>
          <w:tcPr>
            <w:tcW w:w="3960" w:type="dxa"/>
            <w:vMerge/>
          </w:tcPr>
          <w:p w14:paraId="1B5D1568" w14:textId="77777777" w:rsidR="005E22F8" w:rsidRDefault="005E22F8" w:rsidP="005E22F8">
            <w:pPr>
              <w:jc w:val="center"/>
              <w:rPr>
                <w:noProof/>
                <w:sz w:val="20"/>
              </w:rPr>
            </w:pPr>
          </w:p>
        </w:tc>
        <w:tc>
          <w:tcPr>
            <w:tcW w:w="1440" w:type="dxa"/>
            <w:vAlign w:val="center"/>
          </w:tcPr>
          <w:p w14:paraId="5D0B00F5" w14:textId="77777777" w:rsidR="005E22F8" w:rsidRDefault="005E22F8" w:rsidP="005E22F8">
            <w:pPr>
              <w:spacing w:before="20" w:after="20"/>
              <w:rPr>
                <w:noProof/>
                <w:sz w:val="18"/>
              </w:rPr>
            </w:pPr>
            <w:r>
              <w:rPr>
                <w:noProof/>
                <w:sz w:val="18"/>
              </w:rPr>
              <w:t>Payments</w:t>
            </w:r>
          </w:p>
        </w:tc>
        <w:tc>
          <w:tcPr>
            <w:tcW w:w="654" w:type="dxa"/>
            <w:gridSpan w:val="2"/>
            <w:vAlign w:val="center"/>
          </w:tcPr>
          <w:p w14:paraId="0A30B077" w14:textId="77777777" w:rsidR="005E22F8" w:rsidRDefault="005E22F8" w:rsidP="005E22F8">
            <w:pPr>
              <w:spacing w:before="20" w:after="20"/>
              <w:jc w:val="center"/>
              <w:rPr>
                <w:noProof/>
                <w:sz w:val="14"/>
              </w:rPr>
            </w:pPr>
            <w:r>
              <w:rPr>
                <w:noProof/>
                <w:sz w:val="14"/>
              </w:rPr>
              <w:t>(2a)</w:t>
            </w:r>
          </w:p>
        </w:tc>
        <w:tc>
          <w:tcPr>
            <w:tcW w:w="868" w:type="dxa"/>
          </w:tcPr>
          <w:p w14:paraId="08EE8992" w14:textId="77777777" w:rsidR="005E22F8" w:rsidRPr="006B6257" w:rsidRDefault="005E22F8" w:rsidP="005E22F8">
            <w:pPr>
              <w:spacing w:before="20" w:after="20"/>
              <w:jc w:val="right"/>
              <w:rPr>
                <w:noProof/>
                <w:sz w:val="20"/>
                <w:szCs w:val="20"/>
              </w:rPr>
            </w:pPr>
            <w:r w:rsidRPr="005B1934">
              <w:rPr>
                <w:noProof/>
                <w:sz w:val="20"/>
                <w:szCs w:val="20"/>
              </w:rPr>
              <w:t xml:space="preserve"> 19.945 </w:t>
            </w:r>
          </w:p>
        </w:tc>
        <w:tc>
          <w:tcPr>
            <w:tcW w:w="868" w:type="dxa"/>
          </w:tcPr>
          <w:p w14:paraId="42204C54" w14:textId="77777777" w:rsidR="005E22F8" w:rsidRPr="006B6257" w:rsidRDefault="005E22F8" w:rsidP="005E22F8">
            <w:pPr>
              <w:spacing w:before="20" w:after="20"/>
              <w:jc w:val="right"/>
              <w:rPr>
                <w:noProof/>
                <w:sz w:val="20"/>
                <w:szCs w:val="20"/>
              </w:rPr>
            </w:pPr>
            <w:r w:rsidRPr="005B1934">
              <w:rPr>
                <w:noProof/>
                <w:sz w:val="20"/>
                <w:szCs w:val="20"/>
              </w:rPr>
              <w:t xml:space="preserve"> 22.825 </w:t>
            </w:r>
          </w:p>
        </w:tc>
        <w:tc>
          <w:tcPr>
            <w:tcW w:w="868" w:type="dxa"/>
          </w:tcPr>
          <w:p w14:paraId="6C1D0562" w14:textId="77777777" w:rsidR="005E22F8" w:rsidRPr="006B6257" w:rsidRDefault="005E22F8" w:rsidP="005E22F8">
            <w:pPr>
              <w:spacing w:before="20" w:after="20"/>
              <w:jc w:val="right"/>
              <w:rPr>
                <w:noProof/>
                <w:sz w:val="20"/>
                <w:szCs w:val="20"/>
              </w:rPr>
            </w:pPr>
            <w:r w:rsidRPr="005B1934">
              <w:rPr>
                <w:noProof/>
                <w:sz w:val="20"/>
                <w:szCs w:val="20"/>
              </w:rPr>
              <w:t xml:space="preserve"> 12.800 </w:t>
            </w:r>
          </w:p>
        </w:tc>
        <w:tc>
          <w:tcPr>
            <w:tcW w:w="868" w:type="dxa"/>
          </w:tcPr>
          <w:p w14:paraId="30647CC2" w14:textId="77777777" w:rsidR="005E22F8" w:rsidRPr="006B6257" w:rsidRDefault="005E22F8" w:rsidP="005E22F8">
            <w:pPr>
              <w:spacing w:before="20" w:after="20"/>
              <w:jc w:val="right"/>
              <w:rPr>
                <w:noProof/>
                <w:sz w:val="20"/>
                <w:szCs w:val="20"/>
              </w:rPr>
            </w:pPr>
            <w:r w:rsidRPr="005B1934">
              <w:rPr>
                <w:noProof/>
                <w:sz w:val="20"/>
                <w:szCs w:val="20"/>
              </w:rPr>
              <w:t xml:space="preserve"> 12.800 </w:t>
            </w:r>
          </w:p>
        </w:tc>
        <w:tc>
          <w:tcPr>
            <w:tcW w:w="1006" w:type="dxa"/>
          </w:tcPr>
          <w:p w14:paraId="1A12F792" w14:textId="77777777" w:rsidR="005E22F8" w:rsidRPr="006B6257" w:rsidRDefault="005E22F8" w:rsidP="005E22F8">
            <w:pPr>
              <w:spacing w:before="20" w:after="20"/>
              <w:jc w:val="right"/>
              <w:rPr>
                <w:b/>
                <w:noProof/>
                <w:sz w:val="20"/>
                <w:szCs w:val="20"/>
              </w:rPr>
            </w:pPr>
            <w:r w:rsidRPr="005B1934">
              <w:rPr>
                <w:noProof/>
                <w:sz w:val="20"/>
                <w:szCs w:val="20"/>
              </w:rPr>
              <w:t xml:space="preserve"> 68.370 </w:t>
            </w:r>
          </w:p>
        </w:tc>
      </w:tr>
      <w:tr w:rsidR="005E22F8" w14:paraId="3702F20E" w14:textId="77777777" w:rsidTr="002B76DD">
        <w:tc>
          <w:tcPr>
            <w:tcW w:w="3960" w:type="dxa"/>
            <w:vMerge w:val="restart"/>
            <w:vAlign w:val="center"/>
          </w:tcPr>
          <w:p w14:paraId="5ABC2E90" w14:textId="77777777" w:rsidR="005E22F8" w:rsidRDefault="005E22F8" w:rsidP="002B76DD">
            <w:pPr>
              <w:rPr>
                <w:noProof/>
              </w:rPr>
            </w:pPr>
            <w:r w:rsidRPr="009759DA">
              <w:rPr>
                <w:noProof/>
                <w:sz w:val="20"/>
              </w:rPr>
              <w:t xml:space="preserve">11.02.01 – 'Border Management and Visa </w:t>
            </w:r>
            <w:r>
              <w:rPr>
                <w:noProof/>
                <w:sz w:val="20"/>
              </w:rPr>
              <w:t>Policy</w:t>
            </w:r>
          </w:p>
        </w:tc>
        <w:tc>
          <w:tcPr>
            <w:tcW w:w="1440" w:type="dxa"/>
            <w:vAlign w:val="center"/>
          </w:tcPr>
          <w:p w14:paraId="00533B29" w14:textId="77777777" w:rsidR="005E22F8" w:rsidRDefault="005E22F8" w:rsidP="002B76DD">
            <w:pPr>
              <w:spacing w:before="20" w:after="20"/>
              <w:rPr>
                <w:noProof/>
                <w:sz w:val="18"/>
              </w:rPr>
            </w:pPr>
            <w:r>
              <w:rPr>
                <w:noProof/>
                <w:sz w:val="18"/>
              </w:rPr>
              <w:t>Commitments</w:t>
            </w:r>
          </w:p>
        </w:tc>
        <w:tc>
          <w:tcPr>
            <w:tcW w:w="654" w:type="dxa"/>
            <w:gridSpan w:val="2"/>
            <w:vAlign w:val="center"/>
          </w:tcPr>
          <w:p w14:paraId="14113624" w14:textId="77777777" w:rsidR="005E22F8" w:rsidRDefault="005E22F8" w:rsidP="002B76DD">
            <w:pPr>
              <w:spacing w:before="20" w:after="20"/>
              <w:jc w:val="center"/>
              <w:rPr>
                <w:noProof/>
                <w:sz w:val="14"/>
              </w:rPr>
            </w:pPr>
            <w:r>
              <w:rPr>
                <w:noProof/>
                <w:sz w:val="14"/>
              </w:rPr>
              <w:t>(1b)</w:t>
            </w:r>
          </w:p>
        </w:tc>
        <w:tc>
          <w:tcPr>
            <w:tcW w:w="868" w:type="dxa"/>
            <w:tcBorders>
              <w:top w:val="single" w:sz="4" w:space="0" w:color="auto"/>
              <w:left w:val="nil"/>
              <w:bottom w:val="single" w:sz="4" w:space="0" w:color="auto"/>
              <w:right w:val="single" w:sz="4" w:space="0" w:color="auto"/>
            </w:tcBorders>
          </w:tcPr>
          <w:p w14:paraId="7356B6ED" w14:textId="77777777" w:rsidR="005E22F8" w:rsidRPr="006B6257" w:rsidRDefault="005E22F8" w:rsidP="002B76DD">
            <w:pPr>
              <w:spacing w:before="20" w:after="20"/>
              <w:jc w:val="right"/>
              <w:rPr>
                <w:noProof/>
                <w:sz w:val="20"/>
                <w:szCs w:val="20"/>
              </w:rPr>
            </w:pPr>
            <w:r w:rsidRPr="00806131">
              <w:rPr>
                <w:noProof/>
                <w:sz w:val="20"/>
                <w:szCs w:val="20"/>
              </w:rPr>
              <w:t xml:space="preserve"> 33.400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60B4A4FA" w14:textId="77777777" w:rsidR="005E22F8" w:rsidRPr="006B6257" w:rsidRDefault="005E22F8" w:rsidP="002B76DD">
            <w:pPr>
              <w:spacing w:before="20" w:after="20"/>
              <w:jc w:val="right"/>
              <w:rPr>
                <w:noProof/>
                <w:sz w:val="20"/>
                <w:szCs w:val="20"/>
              </w:rPr>
            </w:pPr>
            <w:r w:rsidRPr="00806131">
              <w:rPr>
                <w:noProof/>
                <w:sz w:val="20"/>
                <w:szCs w:val="20"/>
              </w:rPr>
              <w:t xml:space="preserve"> 50.958 </w:t>
            </w:r>
          </w:p>
        </w:tc>
        <w:tc>
          <w:tcPr>
            <w:tcW w:w="868" w:type="dxa"/>
            <w:tcBorders>
              <w:top w:val="single" w:sz="4" w:space="0" w:color="auto"/>
              <w:left w:val="nil"/>
              <w:bottom w:val="single" w:sz="4" w:space="0" w:color="auto"/>
              <w:right w:val="single" w:sz="4" w:space="0" w:color="auto"/>
            </w:tcBorders>
            <w:shd w:val="clear" w:color="auto" w:fill="auto"/>
          </w:tcPr>
          <w:p w14:paraId="0D29F90B" w14:textId="77777777" w:rsidR="005E22F8" w:rsidRPr="006B6257" w:rsidRDefault="005E22F8" w:rsidP="002B76DD">
            <w:pPr>
              <w:spacing w:before="20" w:after="20"/>
              <w:jc w:val="right"/>
              <w:rPr>
                <w:noProof/>
                <w:sz w:val="20"/>
                <w:szCs w:val="20"/>
              </w:rPr>
            </w:pPr>
            <w:r w:rsidRPr="00806131">
              <w:rPr>
                <w:noProof/>
                <w:sz w:val="20"/>
                <w:szCs w:val="20"/>
              </w:rPr>
              <w:t xml:space="preserve"> 14.100 </w:t>
            </w:r>
          </w:p>
        </w:tc>
        <w:tc>
          <w:tcPr>
            <w:tcW w:w="868" w:type="dxa"/>
            <w:tcBorders>
              <w:top w:val="single" w:sz="4" w:space="0" w:color="auto"/>
              <w:left w:val="nil"/>
              <w:bottom w:val="single" w:sz="4" w:space="0" w:color="auto"/>
              <w:right w:val="single" w:sz="4" w:space="0" w:color="auto"/>
            </w:tcBorders>
            <w:shd w:val="clear" w:color="auto" w:fill="auto"/>
          </w:tcPr>
          <w:p w14:paraId="1E43D5E4" w14:textId="77777777" w:rsidR="005E22F8" w:rsidRPr="006B6257" w:rsidRDefault="005E22F8" w:rsidP="002B76DD">
            <w:pPr>
              <w:spacing w:before="20" w:after="20"/>
              <w:jc w:val="right"/>
              <w:rPr>
                <w:noProof/>
                <w:sz w:val="20"/>
                <w:szCs w:val="20"/>
              </w:rPr>
            </w:pPr>
            <w:r w:rsidRPr="00806131">
              <w:rPr>
                <w:noProof/>
                <w:sz w:val="20"/>
                <w:szCs w:val="20"/>
              </w:rPr>
              <w:t xml:space="preserve"> 14.100 </w:t>
            </w:r>
          </w:p>
        </w:tc>
        <w:tc>
          <w:tcPr>
            <w:tcW w:w="1006" w:type="dxa"/>
            <w:tcBorders>
              <w:top w:val="single" w:sz="4" w:space="0" w:color="auto"/>
              <w:left w:val="nil"/>
              <w:bottom w:val="single" w:sz="4" w:space="0" w:color="auto"/>
              <w:right w:val="single" w:sz="4" w:space="0" w:color="auto"/>
            </w:tcBorders>
            <w:shd w:val="clear" w:color="auto" w:fill="auto"/>
          </w:tcPr>
          <w:p w14:paraId="2B715CD4" w14:textId="77777777" w:rsidR="005E22F8" w:rsidRPr="006B6257" w:rsidRDefault="005E22F8" w:rsidP="002B76DD">
            <w:pPr>
              <w:spacing w:before="20" w:after="20"/>
              <w:jc w:val="right"/>
              <w:rPr>
                <w:b/>
                <w:noProof/>
                <w:sz w:val="20"/>
                <w:szCs w:val="20"/>
              </w:rPr>
            </w:pPr>
            <w:r w:rsidRPr="00806131">
              <w:rPr>
                <w:noProof/>
                <w:sz w:val="20"/>
                <w:szCs w:val="20"/>
              </w:rPr>
              <w:t xml:space="preserve"> 112.558 </w:t>
            </w:r>
          </w:p>
        </w:tc>
      </w:tr>
      <w:tr w:rsidR="005E22F8" w14:paraId="18F544AF" w14:textId="77777777" w:rsidTr="002B76DD">
        <w:tc>
          <w:tcPr>
            <w:tcW w:w="3960" w:type="dxa"/>
            <w:vMerge/>
          </w:tcPr>
          <w:p w14:paraId="070CD00B" w14:textId="77777777" w:rsidR="005E22F8" w:rsidRDefault="005E22F8" w:rsidP="002B76DD">
            <w:pPr>
              <w:jc w:val="center"/>
              <w:rPr>
                <w:noProof/>
                <w:sz w:val="20"/>
              </w:rPr>
            </w:pPr>
          </w:p>
        </w:tc>
        <w:tc>
          <w:tcPr>
            <w:tcW w:w="1440" w:type="dxa"/>
            <w:vAlign w:val="center"/>
          </w:tcPr>
          <w:p w14:paraId="1195D804" w14:textId="77777777" w:rsidR="005E22F8" w:rsidRDefault="005E22F8" w:rsidP="002B76DD">
            <w:pPr>
              <w:spacing w:before="20" w:after="20"/>
              <w:rPr>
                <w:noProof/>
                <w:sz w:val="18"/>
              </w:rPr>
            </w:pPr>
            <w:r>
              <w:rPr>
                <w:noProof/>
                <w:sz w:val="18"/>
              </w:rPr>
              <w:t>Payments</w:t>
            </w:r>
          </w:p>
        </w:tc>
        <w:tc>
          <w:tcPr>
            <w:tcW w:w="654" w:type="dxa"/>
            <w:gridSpan w:val="2"/>
            <w:vAlign w:val="center"/>
          </w:tcPr>
          <w:p w14:paraId="3C8CD6C3" w14:textId="77777777" w:rsidR="005E22F8" w:rsidRDefault="005E22F8" w:rsidP="002B76DD">
            <w:pPr>
              <w:spacing w:before="20" w:after="20"/>
              <w:jc w:val="center"/>
              <w:rPr>
                <w:noProof/>
                <w:sz w:val="14"/>
              </w:rPr>
            </w:pPr>
            <w:r>
              <w:rPr>
                <w:noProof/>
                <w:sz w:val="14"/>
              </w:rPr>
              <w:t>(2b)</w:t>
            </w:r>
          </w:p>
        </w:tc>
        <w:tc>
          <w:tcPr>
            <w:tcW w:w="868" w:type="dxa"/>
            <w:tcBorders>
              <w:top w:val="single" w:sz="4" w:space="0" w:color="auto"/>
              <w:left w:val="nil"/>
              <w:bottom w:val="single" w:sz="4" w:space="0" w:color="auto"/>
              <w:right w:val="single" w:sz="4" w:space="0" w:color="auto"/>
            </w:tcBorders>
          </w:tcPr>
          <w:p w14:paraId="0217D15B" w14:textId="77777777" w:rsidR="005E22F8" w:rsidRPr="006B6257" w:rsidRDefault="005E22F8" w:rsidP="002B76DD">
            <w:pPr>
              <w:spacing w:before="20" w:after="20"/>
              <w:jc w:val="right"/>
              <w:rPr>
                <w:noProof/>
                <w:sz w:val="20"/>
                <w:szCs w:val="20"/>
              </w:rPr>
            </w:pPr>
            <w:r w:rsidRPr="00806131">
              <w:rPr>
                <w:noProof/>
                <w:sz w:val="20"/>
                <w:szCs w:val="20"/>
              </w:rPr>
              <w:t xml:space="preserve"> 19.661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66C753B8" w14:textId="77777777" w:rsidR="005E22F8" w:rsidRPr="006B6257" w:rsidRDefault="005E22F8" w:rsidP="002B76DD">
            <w:pPr>
              <w:spacing w:before="20" w:after="20"/>
              <w:jc w:val="right"/>
              <w:rPr>
                <w:noProof/>
                <w:sz w:val="20"/>
                <w:szCs w:val="20"/>
              </w:rPr>
            </w:pPr>
            <w:r w:rsidRPr="00806131">
              <w:rPr>
                <w:noProof/>
                <w:sz w:val="20"/>
                <w:szCs w:val="20"/>
              </w:rPr>
              <w:t xml:space="preserve"> 34.260 </w:t>
            </w:r>
          </w:p>
        </w:tc>
        <w:tc>
          <w:tcPr>
            <w:tcW w:w="868" w:type="dxa"/>
            <w:tcBorders>
              <w:top w:val="nil"/>
              <w:left w:val="nil"/>
              <w:bottom w:val="single" w:sz="4" w:space="0" w:color="auto"/>
              <w:right w:val="single" w:sz="4" w:space="0" w:color="auto"/>
            </w:tcBorders>
            <w:shd w:val="clear" w:color="auto" w:fill="auto"/>
          </w:tcPr>
          <w:p w14:paraId="07E39483" w14:textId="77777777" w:rsidR="005E22F8" w:rsidRPr="006B6257" w:rsidRDefault="005E22F8" w:rsidP="002B76DD">
            <w:pPr>
              <w:spacing w:before="20" w:after="20"/>
              <w:jc w:val="right"/>
              <w:rPr>
                <w:noProof/>
                <w:sz w:val="20"/>
                <w:szCs w:val="20"/>
              </w:rPr>
            </w:pPr>
            <w:r w:rsidRPr="00806131">
              <w:rPr>
                <w:noProof/>
                <w:sz w:val="20"/>
                <w:szCs w:val="20"/>
              </w:rPr>
              <w:t xml:space="preserve"> 12.420 </w:t>
            </w:r>
          </w:p>
        </w:tc>
        <w:tc>
          <w:tcPr>
            <w:tcW w:w="868" w:type="dxa"/>
            <w:tcBorders>
              <w:top w:val="nil"/>
              <w:left w:val="nil"/>
              <w:bottom w:val="single" w:sz="4" w:space="0" w:color="auto"/>
              <w:right w:val="single" w:sz="4" w:space="0" w:color="auto"/>
            </w:tcBorders>
            <w:shd w:val="clear" w:color="auto" w:fill="auto"/>
          </w:tcPr>
          <w:p w14:paraId="40C527D4" w14:textId="77777777" w:rsidR="005E22F8" w:rsidRPr="006B6257" w:rsidRDefault="005E22F8" w:rsidP="002B76DD">
            <w:pPr>
              <w:spacing w:before="20" w:after="20"/>
              <w:jc w:val="right"/>
              <w:rPr>
                <w:noProof/>
                <w:sz w:val="20"/>
                <w:szCs w:val="20"/>
              </w:rPr>
            </w:pPr>
            <w:r w:rsidRPr="00806131">
              <w:rPr>
                <w:noProof/>
                <w:sz w:val="20"/>
                <w:szCs w:val="20"/>
              </w:rPr>
              <w:t xml:space="preserve"> 12.292 </w:t>
            </w:r>
          </w:p>
        </w:tc>
        <w:tc>
          <w:tcPr>
            <w:tcW w:w="1006" w:type="dxa"/>
            <w:tcBorders>
              <w:top w:val="nil"/>
              <w:left w:val="nil"/>
              <w:bottom w:val="single" w:sz="4" w:space="0" w:color="auto"/>
              <w:right w:val="single" w:sz="4" w:space="0" w:color="auto"/>
            </w:tcBorders>
            <w:shd w:val="clear" w:color="auto" w:fill="auto"/>
          </w:tcPr>
          <w:p w14:paraId="6695B95E" w14:textId="77777777" w:rsidR="005E22F8" w:rsidRPr="006B6257" w:rsidRDefault="005E22F8" w:rsidP="002B76DD">
            <w:pPr>
              <w:spacing w:before="20" w:after="20"/>
              <w:jc w:val="right"/>
              <w:rPr>
                <w:b/>
                <w:noProof/>
                <w:sz w:val="20"/>
                <w:szCs w:val="20"/>
              </w:rPr>
            </w:pPr>
            <w:r w:rsidRPr="00806131">
              <w:rPr>
                <w:noProof/>
                <w:sz w:val="20"/>
                <w:szCs w:val="20"/>
              </w:rPr>
              <w:t xml:space="preserve"> 78.633 </w:t>
            </w:r>
          </w:p>
        </w:tc>
      </w:tr>
      <w:tr w:rsidR="005E22F8" w14:paraId="5A9C7598" w14:textId="77777777" w:rsidTr="002B76DD">
        <w:tc>
          <w:tcPr>
            <w:tcW w:w="3960" w:type="dxa"/>
            <w:vMerge w:val="restart"/>
            <w:vAlign w:val="center"/>
          </w:tcPr>
          <w:p w14:paraId="1458B8E1" w14:textId="77777777" w:rsidR="005E22F8" w:rsidRDefault="005E22F8" w:rsidP="005E22F8">
            <w:pPr>
              <w:jc w:val="center"/>
              <w:rPr>
                <w:b/>
                <w:noProof/>
              </w:rPr>
            </w:pPr>
            <w:r>
              <w:rPr>
                <w:b/>
                <w:noProof/>
                <w:sz w:val="22"/>
              </w:rPr>
              <w:t>TOTAL appropriations</w:t>
            </w:r>
            <w:r>
              <w:rPr>
                <w:noProof/>
                <w:sz w:val="22"/>
              </w:rPr>
              <w:br/>
            </w:r>
            <w:r>
              <w:rPr>
                <w:b/>
                <w:noProof/>
                <w:sz w:val="22"/>
              </w:rPr>
              <w:t xml:space="preserve">for DG </w:t>
            </w:r>
            <w:r w:rsidRPr="00A56C5D">
              <w:rPr>
                <w:b/>
                <w:bCs/>
                <w:noProof/>
                <w:sz w:val="22"/>
              </w:rPr>
              <w:t>HOME AFFAIRS</w:t>
            </w:r>
          </w:p>
        </w:tc>
        <w:tc>
          <w:tcPr>
            <w:tcW w:w="1440" w:type="dxa"/>
            <w:vAlign w:val="center"/>
          </w:tcPr>
          <w:p w14:paraId="2AB95845" w14:textId="77777777" w:rsidR="005E22F8" w:rsidRDefault="005E22F8" w:rsidP="005E22F8">
            <w:pPr>
              <w:rPr>
                <w:noProof/>
                <w:sz w:val="18"/>
              </w:rPr>
            </w:pPr>
            <w:r>
              <w:rPr>
                <w:noProof/>
                <w:sz w:val="18"/>
              </w:rPr>
              <w:t>Commitments</w:t>
            </w:r>
          </w:p>
        </w:tc>
        <w:tc>
          <w:tcPr>
            <w:tcW w:w="654" w:type="dxa"/>
            <w:gridSpan w:val="2"/>
            <w:vAlign w:val="center"/>
          </w:tcPr>
          <w:p w14:paraId="237C2250" w14:textId="77777777" w:rsidR="005E22F8" w:rsidRDefault="005E22F8" w:rsidP="005E22F8">
            <w:pPr>
              <w:jc w:val="center"/>
              <w:rPr>
                <w:noProof/>
                <w:sz w:val="14"/>
              </w:rPr>
            </w:pPr>
            <w:r>
              <w:rPr>
                <w:noProof/>
                <w:sz w:val="14"/>
              </w:rPr>
              <w:t>=1a+1b +3</w:t>
            </w:r>
          </w:p>
        </w:tc>
        <w:tc>
          <w:tcPr>
            <w:tcW w:w="868" w:type="dxa"/>
            <w:tcBorders>
              <w:top w:val="single" w:sz="4" w:space="0" w:color="auto"/>
              <w:left w:val="nil"/>
              <w:bottom w:val="single" w:sz="4" w:space="0" w:color="auto"/>
              <w:right w:val="single" w:sz="4" w:space="0" w:color="auto"/>
            </w:tcBorders>
          </w:tcPr>
          <w:p w14:paraId="6C3D2955" w14:textId="77777777" w:rsidR="005E22F8" w:rsidRPr="006B6257" w:rsidRDefault="005E22F8" w:rsidP="005E22F8">
            <w:pPr>
              <w:spacing w:before="20" w:after="20"/>
              <w:jc w:val="right"/>
              <w:rPr>
                <w:noProof/>
                <w:sz w:val="20"/>
                <w:szCs w:val="20"/>
              </w:rPr>
            </w:pPr>
            <w:r w:rsidRPr="005B1934">
              <w:rPr>
                <w:noProof/>
                <w:sz w:val="20"/>
                <w:szCs w:val="20"/>
              </w:rPr>
              <w:t xml:space="preserve"> 53.345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01678CA8" w14:textId="77777777" w:rsidR="005E22F8" w:rsidRPr="006B6257" w:rsidRDefault="005E22F8" w:rsidP="005E22F8">
            <w:pPr>
              <w:spacing w:before="20" w:after="20"/>
              <w:jc w:val="right"/>
              <w:rPr>
                <w:noProof/>
                <w:sz w:val="20"/>
                <w:szCs w:val="20"/>
              </w:rPr>
            </w:pPr>
            <w:r w:rsidRPr="005B1934">
              <w:rPr>
                <w:noProof/>
                <w:sz w:val="20"/>
                <w:szCs w:val="20"/>
              </w:rPr>
              <w:t xml:space="preserve"> 73.783 </w:t>
            </w:r>
          </w:p>
        </w:tc>
        <w:tc>
          <w:tcPr>
            <w:tcW w:w="868" w:type="dxa"/>
            <w:tcBorders>
              <w:top w:val="single" w:sz="4" w:space="0" w:color="auto"/>
              <w:left w:val="nil"/>
              <w:bottom w:val="single" w:sz="4" w:space="0" w:color="auto"/>
              <w:right w:val="single" w:sz="4" w:space="0" w:color="auto"/>
            </w:tcBorders>
            <w:shd w:val="clear" w:color="auto" w:fill="auto"/>
          </w:tcPr>
          <w:p w14:paraId="7C8BB65C" w14:textId="77777777" w:rsidR="005E22F8" w:rsidRPr="006B6257" w:rsidRDefault="005E22F8" w:rsidP="005E22F8">
            <w:pPr>
              <w:spacing w:before="20" w:after="20"/>
              <w:jc w:val="right"/>
              <w:rPr>
                <w:noProof/>
                <w:sz w:val="20"/>
                <w:szCs w:val="20"/>
              </w:rPr>
            </w:pPr>
            <w:r w:rsidRPr="005B1934">
              <w:rPr>
                <w:noProof/>
                <w:sz w:val="20"/>
                <w:szCs w:val="20"/>
              </w:rPr>
              <w:t xml:space="preserve"> 26.900 </w:t>
            </w:r>
          </w:p>
        </w:tc>
        <w:tc>
          <w:tcPr>
            <w:tcW w:w="868" w:type="dxa"/>
            <w:tcBorders>
              <w:top w:val="single" w:sz="4" w:space="0" w:color="auto"/>
              <w:left w:val="nil"/>
              <w:bottom w:val="single" w:sz="4" w:space="0" w:color="auto"/>
              <w:right w:val="single" w:sz="4" w:space="0" w:color="auto"/>
            </w:tcBorders>
            <w:shd w:val="clear" w:color="auto" w:fill="auto"/>
          </w:tcPr>
          <w:p w14:paraId="16DFE382" w14:textId="77777777" w:rsidR="005E22F8" w:rsidRPr="006B6257" w:rsidRDefault="005E22F8" w:rsidP="005E22F8">
            <w:pPr>
              <w:spacing w:before="20" w:after="20"/>
              <w:jc w:val="right"/>
              <w:rPr>
                <w:noProof/>
                <w:sz w:val="20"/>
                <w:szCs w:val="20"/>
              </w:rPr>
            </w:pPr>
            <w:r w:rsidRPr="005B1934">
              <w:rPr>
                <w:noProof/>
                <w:sz w:val="20"/>
                <w:szCs w:val="20"/>
              </w:rPr>
              <w:t xml:space="preserve"> 26.900 </w:t>
            </w:r>
          </w:p>
        </w:tc>
        <w:tc>
          <w:tcPr>
            <w:tcW w:w="1006" w:type="dxa"/>
            <w:tcBorders>
              <w:top w:val="single" w:sz="4" w:space="0" w:color="auto"/>
              <w:left w:val="nil"/>
              <w:bottom w:val="single" w:sz="4" w:space="0" w:color="auto"/>
              <w:right w:val="single" w:sz="4" w:space="0" w:color="auto"/>
            </w:tcBorders>
          </w:tcPr>
          <w:p w14:paraId="2627A973" w14:textId="77777777" w:rsidR="005E22F8" w:rsidRPr="006B6257" w:rsidRDefault="005E22F8" w:rsidP="005E22F8">
            <w:pPr>
              <w:spacing w:before="20" w:after="20"/>
              <w:jc w:val="right"/>
              <w:rPr>
                <w:noProof/>
                <w:sz w:val="20"/>
                <w:szCs w:val="20"/>
              </w:rPr>
            </w:pPr>
            <w:r w:rsidRPr="005B1934">
              <w:rPr>
                <w:noProof/>
                <w:sz w:val="20"/>
                <w:szCs w:val="20"/>
              </w:rPr>
              <w:t xml:space="preserve"> 180.928 </w:t>
            </w:r>
          </w:p>
        </w:tc>
      </w:tr>
      <w:tr w:rsidR="005E22F8" w14:paraId="0C95443C" w14:textId="77777777" w:rsidTr="002B76DD">
        <w:tc>
          <w:tcPr>
            <w:tcW w:w="3960" w:type="dxa"/>
            <w:vMerge/>
          </w:tcPr>
          <w:p w14:paraId="3F5839BC" w14:textId="77777777" w:rsidR="005E22F8" w:rsidRDefault="005E22F8" w:rsidP="005E22F8">
            <w:pPr>
              <w:rPr>
                <w:noProof/>
                <w:sz w:val="20"/>
              </w:rPr>
            </w:pPr>
          </w:p>
        </w:tc>
        <w:tc>
          <w:tcPr>
            <w:tcW w:w="1440" w:type="dxa"/>
            <w:vAlign w:val="center"/>
          </w:tcPr>
          <w:p w14:paraId="36ABC241" w14:textId="77777777" w:rsidR="005E22F8" w:rsidRDefault="005E22F8" w:rsidP="005E22F8">
            <w:pPr>
              <w:rPr>
                <w:noProof/>
                <w:sz w:val="18"/>
              </w:rPr>
            </w:pPr>
            <w:r>
              <w:rPr>
                <w:noProof/>
                <w:sz w:val="18"/>
              </w:rPr>
              <w:t>Payments</w:t>
            </w:r>
          </w:p>
        </w:tc>
        <w:tc>
          <w:tcPr>
            <w:tcW w:w="654" w:type="dxa"/>
            <w:gridSpan w:val="2"/>
            <w:vAlign w:val="center"/>
          </w:tcPr>
          <w:p w14:paraId="76481319" w14:textId="77777777" w:rsidR="005E22F8" w:rsidRDefault="005E22F8" w:rsidP="005E22F8">
            <w:pPr>
              <w:jc w:val="center"/>
              <w:rPr>
                <w:noProof/>
                <w:sz w:val="14"/>
              </w:rPr>
            </w:pPr>
            <w:r>
              <w:rPr>
                <w:noProof/>
                <w:sz w:val="14"/>
              </w:rPr>
              <w:t>=2a+2b</w:t>
            </w:r>
          </w:p>
          <w:p w14:paraId="46119DF8" w14:textId="77777777" w:rsidR="005E22F8" w:rsidRDefault="005E22F8" w:rsidP="005E22F8">
            <w:pPr>
              <w:jc w:val="center"/>
              <w:rPr>
                <w:noProof/>
                <w:sz w:val="14"/>
              </w:rPr>
            </w:pPr>
            <w:r>
              <w:rPr>
                <w:noProof/>
                <w:sz w:val="14"/>
              </w:rPr>
              <w:t>+3</w:t>
            </w:r>
          </w:p>
        </w:tc>
        <w:tc>
          <w:tcPr>
            <w:tcW w:w="868" w:type="dxa"/>
            <w:tcBorders>
              <w:top w:val="single" w:sz="4" w:space="0" w:color="auto"/>
              <w:left w:val="nil"/>
              <w:bottom w:val="single" w:sz="4" w:space="0" w:color="auto"/>
              <w:right w:val="single" w:sz="4" w:space="0" w:color="auto"/>
            </w:tcBorders>
          </w:tcPr>
          <w:p w14:paraId="2CE5FE8C" w14:textId="77777777" w:rsidR="005E22F8" w:rsidRPr="006B6257" w:rsidRDefault="005E22F8" w:rsidP="005E22F8">
            <w:pPr>
              <w:spacing w:before="20" w:after="20"/>
              <w:jc w:val="right"/>
              <w:rPr>
                <w:noProof/>
                <w:sz w:val="20"/>
                <w:szCs w:val="20"/>
              </w:rPr>
            </w:pPr>
            <w:r w:rsidRPr="005B1934">
              <w:rPr>
                <w:noProof/>
                <w:sz w:val="20"/>
                <w:szCs w:val="20"/>
              </w:rPr>
              <w:t xml:space="preserve"> 39.606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0E631754" w14:textId="77777777" w:rsidR="005E22F8" w:rsidRPr="006B6257" w:rsidRDefault="005E22F8" w:rsidP="005E22F8">
            <w:pPr>
              <w:spacing w:before="20" w:after="20"/>
              <w:jc w:val="right"/>
              <w:rPr>
                <w:noProof/>
                <w:sz w:val="20"/>
                <w:szCs w:val="20"/>
              </w:rPr>
            </w:pPr>
            <w:r w:rsidRPr="005B1934">
              <w:rPr>
                <w:noProof/>
                <w:sz w:val="20"/>
                <w:szCs w:val="20"/>
              </w:rPr>
              <w:t xml:space="preserve"> 57.085 </w:t>
            </w:r>
          </w:p>
        </w:tc>
        <w:tc>
          <w:tcPr>
            <w:tcW w:w="868" w:type="dxa"/>
            <w:tcBorders>
              <w:top w:val="nil"/>
              <w:left w:val="nil"/>
              <w:bottom w:val="single" w:sz="4" w:space="0" w:color="auto"/>
              <w:right w:val="single" w:sz="4" w:space="0" w:color="auto"/>
            </w:tcBorders>
            <w:shd w:val="clear" w:color="auto" w:fill="auto"/>
          </w:tcPr>
          <w:p w14:paraId="0A82BC86" w14:textId="77777777" w:rsidR="005E22F8" w:rsidRPr="006B6257" w:rsidRDefault="005E22F8" w:rsidP="005E22F8">
            <w:pPr>
              <w:spacing w:before="20" w:after="20"/>
              <w:jc w:val="right"/>
              <w:rPr>
                <w:noProof/>
                <w:sz w:val="20"/>
                <w:szCs w:val="20"/>
              </w:rPr>
            </w:pPr>
            <w:r w:rsidRPr="005B1934">
              <w:rPr>
                <w:noProof/>
                <w:sz w:val="20"/>
                <w:szCs w:val="20"/>
              </w:rPr>
              <w:t xml:space="preserve"> 25.220 </w:t>
            </w:r>
          </w:p>
        </w:tc>
        <w:tc>
          <w:tcPr>
            <w:tcW w:w="868" w:type="dxa"/>
            <w:tcBorders>
              <w:top w:val="nil"/>
              <w:left w:val="nil"/>
              <w:bottom w:val="single" w:sz="4" w:space="0" w:color="auto"/>
              <w:right w:val="single" w:sz="4" w:space="0" w:color="auto"/>
            </w:tcBorders>
            <w:shd w:val="clear" w:color="auto" w:fill="auto"/>
          </w:tcPr>
          <w:p w14:paraId="54870D56" w14:textId="77777777" w:rsidR="005E22F8" w:rsidRPr="006B6257" w:rsidRDefault="005E22F8" w:rsidP="005E22F8">
            <w:pPr>
              <w:spacing w:before="20" w:after="20"/>
              <w:jc w:val="right"/>
              <w:rPr>
                <w:noProof/>
                <w:sz w:val="20"/>
                <w:szCs w:val="20"/>
              </w:rPr>
            </w:pPr>
            <w:r w:rsidRPr="005B1934">
              <w:rPr>
                <w:noProof/>
                <w:sz w:val="20"/>
                <w:szCs w:val="20"/>
              </w:rPr>
              <w:t xml:space="preserve"> 25.092 </w:t>
            </w:r>
          </w:p>
        </w:tc>
        <w:tc>
          <w:tcPr>
            <w:tcW w:w="1006" w:type="dxa"/>
            <w:tcBorders>
              <w:top w:val="nil"/>
              <w:left w:val="nil"/>
              <w:bottom w:val="single" w:sz="4" w:space="0" w:color="auto"/>
              <w:right w:val="single" w:sz="4" w:space="0" w:color="auto"/>
            </w:tcBorders>
          </w:tcPr>
          <w:p w14:paraId="5C177FF8" w14:textId="77777777" w:rsidR="005E22F8" w:rsidRPr="006B6257" w:rsidRDefault="005E22F8" w:rsidP="005E22F8">
            <w:pPr>
              <w:spacing w:before="20" w:after="20"/>
              <w:jc w:val="right"/>
              <w:rPr>
                <w:noProof/>
                <w:sz w:val="20"/>
                <w:szCs w:val="20"/>
              </w:rPr>
            </w:pPr>
            <w:r w:rsidRPr="005B1934">
              <w:rPr>
                <w:noProof/>
                <w:sz w:val="20"/>
                <w:szCs w:val="20"/>
              </w:rPr>
              <w:t xml:space="preserve"> 147.003 </w:t>
            </w:r>
          </w:p>
        </w:tc>
      </w:tr>
    </w:tbl>
    <w:p w14:paraId="55675DEE" w14:textId="77777777" w:rsidR="00E04CDE" w:rsidRDefault="00E04CDE" w:rsidP="00E04CDE">
      <w:pPr>
        <w:rPr>
          <w:noProof/>
        </w:rPr>
      </w:pP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tblGrid>
      <w:tr w:rsidR="005E22F8" w14:paraId="614D0510" w14:textId="77777777" w:rsidTr="002B76DD">
        <w:trPr>
          <w:trHeight w:val="277"/>
        </w:trPr>
        <w:tc>
          <w:tcPr>
            <w:tcW w:w="3960" w:type="dxa"/>
            <w:vMerge w:val="restart"/>
            <w:vAlign w:val="center"/>
          </w:tcPr>
          <w:p w14:paraId="798B4CC6" w14:textId="77777777" w:rsidR="005E22F8" w:rsidRDefault="005E22F8" w:rsidP="005E22F8">
            <w:pPr>
              <w:spacing w:before="20" w:after="20"/>
              <w:rPr>
                <w:noProof/>
              </w:rPr>
            </w:pPr>
            <w:r>
              <w:rPr>
                <w:noProof/>
                <w:sz w:val="22"/>
              </w:rPr>
              <w:br w:type="page"/>
            </w:r>
            <w:r>
              <w:rPr>
                <w:noProof/>
                <w:sz w:val="21"/>
              </w:rPr>
              <w:sym w:font="Wingdings" w:char="F09F"/>
            </w:r>
            <w:r>
              <w:rPr>
                <w:noProof/>
                <w:sz w:val="21"/>
              </w:rPr>
              <w:t xml:space="preserve"> TOTAL operational appropriations </w:t>
            </w:r>
          </w:p>
        </w:tc>
        <w:tc>
          <w:tcPr>
            <w:tcW w:w="1440" w:type="dxa"/>
            <w:vAlign w:val="center"/>
          </w:tcPr>
          <w:p w14:paraId="700D358C" w14:textId="77777777" w:rsidR="005E22F8" w:rsidRDefault="005E22F8" w:rsidP="005E22F8">
            <w:pPr>
              <w:spacing w:beforeLines="20" w:before="48" w:afterLines="20" w:after="48"/>
              <w:rPr>
                <w:noProof/>
                <w:sz w:val="18"/>
              </w:rPr>
            </w:pPr>
            <w:r>
              <w:rPr>
                <w:noProof/>
                <w:sz w:val="18"/>
              </w:rPr>
              <w:t>Commitments</w:t>
            </w:r>
          </w:p>
        </w:tc>
        <w:tc>
          <w:tcPr>
            <w:tcW w:w="654" w:type="dxa"/>
            <w:vAlign w:val="center"/>
          </w:tcPr>
          <w:p w14:paraId="45CC322C" w14:textId="77777777" w:rsidR="005E22F8" w:rsidRDefault="005E22F8" w:rsidP="005E22F8">
            <w:pPr>
              <w:spacing w:beforeLines="20" w:before="48" w:afterLines="20" w:after="48"/>
              <w:jc w:val="center"/>
              <w:rPr>
                <w:noProof/>
                <w:sz w:val="14"/>
              </w:rPr>
            </w:pPr>
            <w:r>
              <w:rPr>
                <w:noProof/>
                <w:sz w:val="14"/>
              </w:rPr>
              <w:t>(4)</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45AD94A1" w14:textId="77777777" w:rsidR="005E22F8" w:rsidRDefault="005E22F8" w:rsidP="005E22F8">
            <w:pPr>
              <w:spacing w:before="20" w:after="20"/>
              <w:jc w:val="right"/>
              <w:rPr>
                <w:noProof/>
                <w:sz w:val="20"/>
                <w:szCs w:val="20"/>
              </w:rPr>
            </w:pPr>
          </w:p>
          <w:p w14:paraId="2F2BCBBE" w14:textId="77777777" w:rsidR="005E22F8" w:rsidRPr="007C491C" w:rsidRDefault="005E22F8" w:rsidP="005E22F8">
            <w:pPr>
              <w:spacing w:before="20" w:after="20"/>
              <w:jc w:val="right"/>
              <w:rPr>
                <w:noProof/>
                <w:sz w:val="20"/>
                <w:szCs w:val="20"/>
              </w:rPr>
            </w:pPr>
            <w:r w:rsidRPr="009B0068">
              <w:rPr>
                <w:noProof/>
                <w:sz w:val="20"/>
                <w:szCs w:val="20"/>
              </w:rPr>
              <w:t xml:space="preserve"> 53.345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E33F70A" w14:textId="77777777" w:rsidR="005E22F8" w:rsidRDefault="005E22F8" w:rsidP="005E22F8">
            <w:pPr>
              <w:spacing w:before="20" w:after="20"/>
              <w:jc w:val="right"/>
              <w:rPr>
                <w:noProof/>
                <w:sz w:val="20"/>
                <w:szCs w:val="20"/>
              </w:rPr>
            </w:pPr>
            <w:r w:rsidRPr="009B0068">
              <w:rPr>
                <w:noProof/>
                <w:sz w:val="20"/>
                <w:szCs w:val="20"/>
              </w:rPr>
              <w:t xml:space="preserve"> </w:t>
            </w:r>
          </w:p>
          <w:p w14:paraId="6A990B41" w14:textId="77777777" w:rsidR="005E22F8" w:rsidRDefault="005E22F8" w:rsidP="005E22F8">
            <w:pPr>
              <w:spacing w:before="20" w:after="20"/>
              <w:jc w:val="right"/>
              <w:rPr>
                <w:noProof/>
                <w:sz w:val="20"/>
              </w:rPr>
            </w:pPr>
            <w:r w:rsidRPr="009B0068">
              <w:rPr>
                <w:noProof/>
                <w:sz w:val="20"/>
                <w:szCs w:val="20"/>
              </w:rPr>
              <w:t xml:space="preserve">73.783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0C51A78A" w14:textId="77777777" w:rsidR="005E22F8" w:rsidRDefault="005E22F8" w:rsidP="005E22F8">
            <w:pPr>
              <w:spacing w:before="20" w:after="20"/>
              <w:jc w:val="right"/>
              <w:rPr>
                <w:noProof/>
                <w:sz w:val="20"/>
                <w:szCs w:val="20"/>
              </w:rPr>
            </w:pPr>
            <w:r w:rsidRPr="009B0068">
              <w:rPr>
                <w:noProof/>
                <w:sz w:val="20"/>
                <w:szCs w:val="20"/>
              </w:rPr>
              <w:t xml:space="preserve"> </w:t>
            </w:r>
          </w:p>
          <w:p w14:paraId="33951454" w14:textId="77777777" w:rsidR="005E22F8" w:rsidRDefault="005E22F8" w:rsidP="005E22F8">
            <w:pPr>
              <w:spacing w:before="20" w:after="20"/>
              <w:jc w:val="right"/>
              <w:rPr>
                <w:noProof/>
                <w:sz w:val="20"/>
              </w:rPr>
            </w:pPr>
            <w:r w:rsidRPr="009B0068">
              <w:rPr>
                <w:noProof/>
                <w:sz w:val="20"/>
                <w:szCs w:val="20"/>
              </w:rPr>
              <w:t xml:space="preserve">26.900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7939A105" w14:textId="77777777" w:rsidR="005E22F8" w:rsidRDefault="005E22F8" w:rsidP="005E22F8">
            <w:pPr>
              <w:spacing w:before="20" w:after="20"/>
              <w:jc w:val="right"/>
              <w:rPr>
                <w:noProof/>
                <w:sz w:val="20"/>
                <w:szCs w:val="20"/>
              </w:rPr>
            </w:pPr>
            <w:r w:rsidRPr="009B0068">
              <w:rPr>
                <w:noProof/>
                <w:sz w:val="20"/>
                <w:szCs w:val="20"/>
              </w:rPr>
              <w:t xml:space="preserve"> </w:t>
            </w:r>
          </w:p>
          <w:p w14:paraId="32E33A19" w14:textId="77777777" w:rsidR="005E22F8" w:rsidRDefault="005E22F8" w:rsidP="005E22F8">
            <w:pPr>
              <w:spacing w:before="20" w:after="20"/>
              <w:jc w:val="right"/>
              <w:rPr>
                <w:noProof/>
                <w:sz w:val="20"/>
              </w:rPr>
            </w:pPr>
            <w:r w:rsidRPr="009B0068">
              <w:rPr>
                <w:noProof/>
                <w:sz w:val="20"/>
                <w:szCs w:val="20"/>
              </w:rPr>
              <w:t xml:space="preserve">26.900 </w:t>
            </w:r>
          </w:p>
        </w:tc>
        <w:tc>
          <w:tcPr>
            <w:tcW w:w="868" w:type="dxa"/>
            <w:tcBorders>
              <w:top w:val="single" w:sz="4" w:space="0" w:color="auto"/>
              <w:left w:val="single" w:sz="4" w:space="0" w:color="auto"/>
              <w:bottom w:val="single" w:sz="4" w:space="0" w:color="auto"/>
              <w:right w:val="single" w:sz="4" w:space="0" w:color="auto"/>
            </w:tcBorders>
          </w:tcPr>
          <w:p w14:paraId="52389F88" w14:textId="77777777" w:rsidR="005E22F8" w:rsidRDefault="005E22F8" w:rsidP="005E22F8">
            <w:pPr>
              <w:spacing w:before="20" w:after="20"/>
              <w:jc w:val="right"/>
              <w:rPr>
                <w:noProof/>
                <w:sz w:val="20"/>
              </w:rPr>
            </w:pPr>
            <w:r w:rsidRPr="009B0068">
              <w:rPr>
                <w:noProof/>
                <w:sz w:val="20"/>
                <w:szCs w:val="20"/>
              </w:rPr>
              <w:t xml:space="preserve"> 180.928 </w:t>
            </w:r>
          </w:p>
        </w:tc>
      </w:tr>
      <w:tr w:rsidR="005E22F8" w14:paraId="49C290D9" w14:textId="77777777" w:rsidTr="002B76DD">
        <w:tc>
          <w:tcPr>
            <w:tcW w:w="3960" w:type="dxa"/>
            <w:vMerge/>
          </w:tcPr>
          <w:p w14:paraId="62C81CCA" w14:textId="77777777" w:rsidR="005E22F8" w:rsidRDefault="005E22F8" w:rsidP="005E22F8">
            <w:pPr>
              <w:jc w:val="center"/>
              <w:rPr>
                <w:noProof/>
                <w:sz w:val="20"/>
              </w:rPr>
            </w:pPr>
          </w:p>
        </w:tc>
        <w:tc>
          <w:tcPr>
            <w:tcW w:w="1440" w:type="dxa"/>
            <w:vAlign w:val="center"/>
          </w:tcPr>
          <w:p w14:paraId="32055364" w14:textId="77777777" w:rsidR="005E22F8" w:rsidRDefault="005E22F8" w:rsidP="005E22F8">
            <w:pPr>
              <w:spacing w:beforeLines="20" w:before="48" w:afterLines="20" w:after="48"/>
              <w:rPr>
                <w:noProof/>
                <w:sz w:val="18"/>
              </w:rPr>
            </w:pPr>
            <w:r>
              <w:rPr>
                <w:noProof/>
                <w:sz w:val="18"/>
              </w:rPr>
              <w:t>Payments</w:t>
            </w:r>
          </w:p>
        </w:tc>
        <w:tc>
          <w:tcPr>
            <w:tcW w:w="654" w:type="dxa"/>
            <w:vAlign w:val="center"/>
          </w:tcPr>
          <w:p w14:paraId="115CED49" w14:textId="77777777" w:rsidR="005E22F8" w:rsidRDefault="005E22F8" w:rsidP="005E22F8">
            <w:pPr>
              <w:spacing w:beforeLines="20" w:before="48" w:afterLines="20" w:after="48"/>
              <w:jc w:val="center"/>
              <w:rPr>
                <w:noProof/>
                <w:sz w:val="14"/>
              </w:rPr>
            </w:pPr>
            <w:r>
              <w:rPr>
                <w:noProof/>
                <w:sz w:val="14"/>
              </w:rPr>
              <w:t>(5)</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507C7B6" w14:textId="77777777" w:rsidR="005E22F8" w:rsidRPr="007C491C" w:rsidRDefault="005E22F8" w:rsidP="005E22F8">
            <w:pPr>
              <w:spacing w:before="20" w:after="20"/>
              <w:jc w:val="right"/>
              <w:rPr>
                <w:noProof/>
                <w:sz w:val="20"/>
                <w:szCs w:val="20"/>
              </w:rPr>
            </w:pPr>
            <w:r w:rsidRPr="009B0068">
              <w:rPr>
                <w:noProof/>
                <w:sz w:val="20"/>
                <w:szCs w:val="20"/>
              </w:rPr>
              <w:t xml:space="preserve"> 39.606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068561D2" w14:textId="77777777" w:rsidR="005E22F8" w:rsidRDefault="005E22F8" w:rsidP="005E22F8">
            <w:pPr>
              <w:spacing w:before="20" w:after="20"/>
              <w:jc w:val="right"/>
              <w:rPr>
                <w:noProof/>
                <w:sz w:val="20"/>
              </w:rPr>
            </w:pPr>
            <w:r w:rsidRPr="009B0068">
              <w:rPr>
                <w:noProof/>
                <w:sz w:val="20"/>
                <w:szCs w:val="20"/>
              </w:rPr>
              <w:t xml:space="preserve"> 57.085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46065A74" w14:textId="77777777" w:rsidR="005E22F8" w:rsidRDefault="005E22F8" w:rsidP="005E22F8">
            <w:pPr>
              <w:spacing w:before="20" w:after="20"/>
              <w:jc w:val="right"/>
              <w:rPr>
                <w:noProof/>
                <w:sz w:val="20"/>
              </w:rPr>
            </w:pPr>
            <w:r w:rsidRPr="009B0068">
              <w:rPr>
                <w:noProof/>
                <w:sz w:val="20"/>
                <w:szCs w:val="20"/>
              </w:rPr>
              <w:t xml:space="preserve"> 25.220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7CC8F193" w14:textId="77777777" w:rsidR="005E22F8" w:rsidRDefault="005E22F8" w:rsidP="005E22F8">
            <w:pPr>
              <w:spacing w:before="20" w:after="20"/>
              <w:jc w:val="right"/>
              <w:rPr>
                <w:noProof/>
                <w:sz w:val="20"/>
              </w:rPr>
            </w:pPr>
            <w:r w:rsidRPr="009B0068">
              <w:rPr>
                <w:noProof/>
                <w:sz w:val="20"/>
                <w:szCs w:val="20"/>
              </w:rPr>
              <w:t xml:space="preserve"> 25.092 </w:t>
            </w:r>
          </w:p>
        </w:tc>
        <w:tc>
          <w:tcPr>
            <w:tcW w:w="868" w:type="dxa"/>
            <w:tcBorders>
              <w:top w:val="single" w:sz="4" w:space="0" w:color="auto"/>
              <w:left w:val="single" w:sz="4" w:space="0" w:color="auto"/>
              <w:bottom w:val="single" w:sz="4" w:space="0" w:color="auto"/>
              <w:right w:val="single" w:sz="4" w:space="0" w:color="auto"/>
            </w:tcBorders>
          </w:tcPr>
          <w:p w14:paraId="43E881A6" w14:textId="77777777" w:rsidR="005E22F8" w:rsidRDefault="005E22F8" w:rsidP="005E22F8">
            <w:pPr>
              <w:spacing w:before="20" w:after="20"/>
              <w:jc w:val="right"/>
              <w:rPr>
                <w:noProof/>
                <w:sz w:val="20"/>
              </w:rPr>
            </w:pPr>
            <w:r w:rsidRPr="009B0068">
              <w:rPr>
                <w:noProof/>
                <w:sz w:val="20"/>
                <w:szCs w:val="20"/>
              </w:rPr>
              <w:t xml:space="preserve">147.003 </w:t>
            </w:r>
          </w:p>
        </w:tc>
      </w:tr>
      <w:tr w:rsidR="005E22F8" w14:paraId="0957838D" w14:textId="77777777" w:rsidTr="002B76DD">
        <w:trPr>
          <w:trHeight w:val="533"/>
        </w:trPr>
        <w:tc>
          <w:tcPr>
            <w:tcW w:w="5400" w:type="dxa"/>
            <w:gridSpan w:val="2"/>
            <w:vAlign w:val="center"/>
          </w:tcPr>
          <w:p w14:paraId="483BC2FA" w14:textId="77777777" w:rsidR="005E22F8" w:rsidRDefault="005E22F8" w:rsidP="002B76DD">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14:paraId="37B3CB1C" w14:textId="77777777" w:rsidR="005E22F8" w:rsidRDefault="005E22F8" w:rsidP="002B76DD">
            <w:pPr>
              <w:spacing w:beforeLines="20" w:before="48" w:afterLines="20" w:after="48"/>
              <w:jc w:val="center"/>
              <w:rPr>
                <w:noProof/>
                <w:sz w:val="14"/>
              </w:rPr>
            </w:pPr>
            <w:r>
              <w:rPr>
                <w:noProof/>
                <w:sz w:val="14"/>
              </w:rPr>
              <w:t>(6)</w:t>
            </w:r>
          </w:p>
        </w:tc>
        <w:tc>
          <w:tcPr>
            <w:tcW w:w="868" w:type="dxa"/>
          </w:tcPr>
          <w:p w14:paraId="0783C64B" w14:textId="77777777" w:rsidR="005E22F8" w:rsidRDefault="005E22F8" w:rsidP="002B76DD">
            <w:pPr>
              <w:spacing w:before="20" w:after="20"/>
              <w:jc w:val="right"/>
              <w:rPr>
                <w:b/>
                <w:noProof/>
                <w:sz w:val="20"/>
              </w:rPr>
            </w:pPr>
          </w:p>
        </w:tc>
        <w:tc>
          <w:tcPr>
            <w:tcW w:w="868" w:type="dxa"/>
            <w:vAlign w:val="center"/>
          </w:tcPr>
          <w:p w14:paraId="655AEBE8" w14:textId="77777777" w:rsidR="005E22F8" w:rsidRDefault="005E22F8" w:rsidP="002B76DD">
            <w:pPr>
              <w:spacing w:before="20" w:after="20"/>
              <w:jc w:val="right"/>
              <w:rPr>
                <w:b/>
                <w:noProof/>
                <w:sz w:val="20"/>
              </w:rPr>
            </w:pPr>
          </w:p>
        </w:tc>
        <w:tc>
          <w:tcPr>
            <w:tcW w:w="868" w:type="dxa"/>
            <w:vAlign w:val="center"/>
          </w:tcPr>
          <w:p w14:paraId="6C191A1D" w14:textId="77777777" w:rsidR="005E22F8" w:rsidRDefault="005E22F8" w:rsidP="002B76DD">
            <w:pPr>
              <w:spacing w:before="20" w:after="20"/>
              <w:jc w:val="right"/>
              <w:rPr>
                <w:b/>
                <w:noProof/>
                <w:sz w:val="20"/>
              </w:rPr>
            </w:pPr>
          </w:p>
        </w:tc>
        <w:tc>
          <w:tcPr>
            <w:tcW w:w="868" w:type="dxa"/>
            <w:vAlign w:val="center"/>
          </w:tcPr>
          <w:p w14:paraId="1A0BCDE3" w14:textId="77777777" w:rsidR="005E22F8" w:rsidRDefault="005E22F8" w:rsidP="002B76DD">
            <w:pPr>
              <w:spacing w:before="20" w:after="20"/>
              <w:jc w:val="right"/>
              <w:rPr>
                <w:b/>
                <w:noProof/>
                <w:sz w:val="20"/>
              </w:rPr>
            </w:pPr>
          </w:p>
        </w:tc>
        <w:tc>
          <w:tcPr>
            <w:tcW w:w="868" w:type="dxa"/>
            <w:vAlign w:val="center"/>
          </w:tcPr>
          <w:p w14:paraId="51E640F9" w14:textId="77777777" w:rsidR="005E22F8" w:rsidRDefault="005E22F8" w:rsidP="002B76DD">
            <w:pPr>
              <w:spacing w:before="20" w:after="20"/>
              <w:jc w:val="right"/>
              <w:rPr>
                <w:b/>
                <w:noProof/>
                <w:sz w:val="20"/>
              </w:rPr>
            </w:pPr>
          </w:p>
        </w:tc>
      </w:tr>
      <w:tr w:rsidR="005E22F8" w14:paraId="6272B9C5" w14:textId="77777777" w:rsidTr="002B76DD">
        <w:tc>
          <w:tcPr>
            <w:tcW w:w="3960" w:type="dxa"/>
            <w:vMerge w:val="restart"/>
            <w:shd w:val="thinDiagStripe" w:color="C0C0C0" w:fill="auto"/>
            <w:vAlign w:val="center"/>
          </w:tcPr>
          <w:p w14:paraId="7D5E6BB2" w14:textId="77777777" w:rsidR="005E22F8" w:rsidRDefault="005E22F8" w:rsidP="005E22F8">
            <w:pPr>
              <w:jc w:val="center"/>
              <w:rPr>
                <w:b/>
                <w:noProof/>
              </w:rPr>
            </w:pPr>
            <w:r>
              <w:rPr>
                <w:b/>
                <w:noProof/>
                <w:sz w:val="22"/>
              </w:rPr>
              <w:t xml:space="preserve">TOTAL appropriations </w:t>
            </w:r>
            <w:r>
              <w:rPr>
                <w:noProof/>
                <w:sz w:val="22"/>
              </w:rPr>
              <w:br/>
            </w:r>
            <w:r>
              <w:rPr>
                <w:b/>
                <w:noProof/>
                <w:sz w:val="22"/>
              </w:rPr>
              <w:t>under HEADING 4</w:t>
            </w:r>
            <w:r>
              <w:rPr>
                <w:noProof/>
                <w:sz w:val="22"/>
              </w:rPr>
              <w:br/>
              <w:t>of the multiannual financial framework</w:t>
            </w:r>
          </w:p>
        </w:tc>
        <w:tc>
          <w:tcPr>
            <w:tcW w:w="1440" w:type="dxa"/>
            <w:vAlign w:val="center"/>
          </w:tcPr>
          <w:p w14:paraId="2A5683B3" w14:textId="77777777" w:rsidR="005E22F8" w:rsidRDefault="005E22F8" w:rsidP="005E22F8">
            <w:pPr>
              <w:rPr>
                <w:noProof/>
                <w:sz w:val="18"/>
              </w:rPr>
            </w:pPr>
            <w:r>
              <w:rPr>
                <w:noProof/>
                <w:sz w:val="18"/>
              </w:rPr>
              <w:t>Commitments</w:t>
            </w:r>
          </w:p>
        </w:tc>
        <w:tc>
          <w:tcPr>
            <w:tcW w:w="654" w:type="dxa"/>
            <w:vAlign w:val="center"/>
          </w:tcPr>
          <w:p w14:paraId="54074391" w14:textId="77777777" w:rsidR="005E22F8" w:rsidRDefault="005E22F8" w:rsidP="005E22F8">
            <w:pPr>
              <w:jc w:val="center"/>
              <w:rPr>
                <w:noProof/>
                <w:sz w:val="14"/>
              </w:rPr>
            </w:pPr>
            <w:r>
              <w:rPr>
                <w:noProof/>
                <w:sz w:val="14"/>
              </w:rPr>
              <w:t>=4+ 6</w:t>
            </w:r>
          </w:p>
        </w:tc>
        <w:tc>
          <w:tcPr>
            <w:tcW w:w="868" w:type="dxa"/>
            <w:tcBorders>
              <w:top w:val="single" w:sz="4" w:space="0" w:color="auto"/>
              <w:left w:val="single" w:sz="4" w:space="0" w:color="auto"/>
              <w:bottom w:val="single" w:sz="4" w:space="0" w:color="auto"/>
              <w:right w:val="single" w:sz="4" w:space="0" w:color="auto"/>
            </w:tcBorders>
          </w:tcPr>
          <w:p w14:paraId="35B7EDD7" w14:textId="77777777" w:rsidR="005E22F8" w:rsidRDefault="005E22F8" w:rsidP="005E22F8">
            <w:pPr>
              <w:spacing w:before="20" w:after="20"/>
              <w:jc w:val="right"/>
              <w:rPr>
                <w:noProof/>
                <w:sz w:val="20"/>
                <w:szCs w:val="20"/>
              </w:rPr>
            </w:pPr>
          </w:p>
          <w:p w14:paraId="6C2C149D" w14:textId="77777777" w:rsidR="005E22F8" w:rsidRPr="007C491C" w:rsidRDefault="005E22F8" w:rsidP="005E22F8">
            <w:pPr>
              <w:spacing w:before="20" w:after="20"/>
              <w:jc w:val="right"/>
              <w:rPr>
                <w:noProof/>
                <w:sz w:val="20"/>
                <w:szCs w:val="20"/>
              </w:rPr>
            </w:pPr>
            <w:r w:rsidRPr="009B0068">
              <w:rPr>
                <w:noProof/>
                <w:sz w:val="20"/>
                <w:szCs w:val="20"/>
              </w:rPr>
              <w:t xml:space="preserve"> 53.345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721FBE1F" w14:textId="77777777" w:rsidR="005E22F8" w:rsidRDefault="005E22F8" w:rsidP="005E22F8">
            <w:pPr>
              <w:spacing w:before="20" w:after="20"/>
              <w:jc w:val="right"/>
              <w:rPr>
                <w:noProof/>
                <w:sz w:val="20"/>
                <w:szCs w:val="20"/>
              </w:rPr>
            </w:pPr>
            <w:r w:rsidRPr="009B0068">
              <w:rPr>
                <w:noProof/>
                <w:sz w:val="20"/>
                <w:szCs w:val="20"/>
              </w:rPr>
              <w:t xml:space="preserve"> </w:t>
            </w:r>
          </w:p>
          <w:p w14:paraId="46CDAB77" w14:textId="77777777" w:rsidR="005E22F8" w:rsidRDefault="005E22F8" w:rsidP="005E22F8">
            <w:pPr>
              <w:spacing w:before="20" w:after="20"/>
              <w:jc w:val="right"/>
              <w:rPr>
                <w:noProof/>
                <w:sz w:val="20"/>
              </w:rPr>
            </w:pPr>
            <w:r w:rsidRPr="009B0068">
              <w:rPr>
                <w:noProof/>
                <w:sz w:val="20"/>
                <w:szCs w:val="20"/>
              </w:rPr>
              <w:t xml:space="preserve">73.783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5B37C5FA" w14:textId="77777777" w:rsidR="005E22F8" w:rsidRDefault="005E22F8" w:rsidP="005E22F8">
            <w:pPr>
              <w:spacing w:before="20" w:after="20"/>
              <w:jc w:val="right"/>
              <w:rPr>
                <w:noProof/>
                <w:sz w:val="20"/>
                <w:szCs w:val="20"/>
              </w:rPr>
            </w:pPr>
            <w:r w:rsidRPr="009B0068">
              <w:rPr>
                <w:noProof/>
                <w:sz w:val="20"/>
                <w:szCs w:val="20"/>
              </w:rPr>
              <w:t xml:space="preserve"> </w:t>
            </w:r>
          </w:p>
          <w:p w14:paraId="05B2E82F" w14:textId="77777777" w:rsidR="005E22F8" w:rsidRDefault="005E22F8" w:rsidP="005E22F8">
            <w:pPr>
              <w:spacing w:before="20" w:after="20"/>
              <w:jc w:val="right"/>
              <w:rPr>
                <w:noProof/>
                <w:sz w:val="20"/>
              </w:rPr>
            </w:pPr>
            <w:r w:rsidRPr="009B0068">
              <w:rPr>
                <w:noProof/>
                <w:sz w:val="20"/>
                <w:szCs w:val="20"/>
              </w:rPr>
              <w:t xml:space="preserve">26.900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B81F6D1" w14:textId="77777777" w:rsidR="005E22F8" w:rsidRDefault="005E22F8" w:rsidP="005E22F8">
            <w:pPr>
              <w:spacing w:before="20" w:after="20"/>
              <w:jc w:val="right"/>
              <w:rPr>
                <w:noProof/>
                <w:sz w:val="20"/>
                <w:szCs w:val="20"/>
              </w:rPr>
            </w:pPr>
            <w:r w:rsidRPr="009B0068">
              <w:rPr>
                <w:noProof/>
                <w:sz w:val="20"/>
                <w:szCs w:val="20"/>
              </w:rPr>
              <w:t xml:space="preserve"> </w:t>
            </w:r>
          </w:p>
          <w:p w14:paraId="03E67C0F" w14:textId="77777777" w:rsidR="005E22F8" w:rsidRDefault="005E22F8" w:rsidP="005E22F8">
            <w:pPr>
              <w:spacing w:before="20" w:after="20"/>
              <w:jc w:val="right"/>
              <w:rPr>
                <w:noProof/>
                <w:sz w:val="20"/>
              </w:rPr>
            </w:pPr>
            <w:r w:rsidRPr="009B0068">
              <w:rPr>
                <w:noProof/>
                <w:sz w:val="20"/>
                <w:szCs w:val="20"/>
              </w:rPr>
              <w:t xml:space="preserve">26.900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C31ED8B" w14:textId="77777777" w:rsidR="005E22F8" w:rsidRDefault="005E22F8" w:rsidP="005E22F8">
            <w:pPr>
              <w:spacing w:before="20" w:after="20"/>
              <w:jc w:val="right"/>
              <w:rPr>
                <w:noProof/>
                <w:sz w:val="20"/>
              </w:rPr>
            </w:pPr>
            <w:r w:rsidRPr="009B0068">
              <w:rPr>
                <w:noProof/>
                <w:sz w:val="20"/>
                <w:szCs w:val="20"/>
              </w:rPr>
              <w:t xml:space="preserve"> 180.928 </w:t>
            </w:r>
          </w:p>
        </w:tc>
      </w:tr>
      <w:tr w:rsidR="005E22F8" w14:paraId="2D1DAA24" w14:textId="77777777" w:rsidTr="002B76DD">
        <w:tc>
          <w:tcPr>
            <w:tcW w:w="3960" w:type="dxa"/>
            <w:vMerge/>
            <w:shd w:val="thinDiagStripe" w:color="C0C0C0" w:fill="auto"/>
          </w:tcPr>
          <w:p w14:paraId="664DB752" w14:textId="77777777" w:rsidR="005E22F8" w:rsidRDefault="005E22F8" w:rsidP="005E22F8">
            <w:pPr>
              <w:rPr>
                <w:noProof/>
                <w:sz w:val="20"/>
              </w:rPr>
            </w:pPr>
          </w:p>
        </w:tc>
        <w:tc>
          <w:tcPr>
            <w:tcW w:w="1440" w:type="dxa"/>
            <w:vAlign w:val="center"/>
          </w:tcPr>
          <w:p w14:paraId="4E7EAF30" w14:textId="77777777" w:rsidR="005E22F8" w:rsidRDefault="005E22F8" w:rsidP="005E22F8">
            <w:pPr>
              <w:rPr>
                <w:noProof/>
                <w:sz w:val="18"/>
              </w:rPr>
            </w:pPr>
            <w:r>
              <w:rPr>
                <w:noProof/>
                <w:sz w:val="18"/>
              </w:rPr>
              <w:t>Payments</w:t>
            </w:r>
          </w:p>
        </w:tc>
        <w:tc>
          <w:tcPr>
            <w:tcW w:w="654" w:type="dxa"/>
            <w:vAlign w:val="center"/>
          </w:tcPr>
          <w:p w14:paraId="6D139B94" w14:textId="77777777" w:rsidR="005E22F8" w:rsidRDefault="005E22F8" w:rsidP="005E22F8">
            <w:pPr>
              <w:jc w:val="center"/>
              <w:rPr>
                <w:noProof/>
                <w:sz w:val="14"/>
              </w:rPr>
            </w:pPr>
            <w:r>
              <w:rPr>
                <w:noProof/>
                <w:sz w:val="14"/>
              </w:rPr>
              <w:t>=5+ 6</w:t>
            </w:r>
          </w:p>
        </w:tc>
        <w:tc>
          <w:tcPr>
            <w:tcW w:w="868" w:type="dxa"/>
            <w:tcBorders>
              <w:top w:val="single" w:sz="4" w:space="0" w:color="auto"/>
              <w:left w:val="single" w:sz="4" w:space="0" w:color="auto"/>
              <w:bottom w:val="single" w:sz="4" w:space="0" w:color="auto"/>
              <w:right w:val="single" w:sz="4" w:space="0" w:color="auto"/>
            </w:tcBorders>
          </w:tcPr>
          <w:p w14:paraId="2444601F" w14:textId="77777777" w:rsidR="005E22F8" w:rsidRPr="007C491C" w:rsidRDefault="005E22F8" w:rsidP="005E22F8">
            <w:pPr>
              <w:spacing w:before="20" w:after="20"/>
              <w:jc w:val="right"/>
              <w:rPr>
                <w:noProof/>
                <w:sz w:val="20"/>
                <w:szCs w:val="20"/>
              </w:rPr>
            </w:pPr>
            <w:r w:rsidRPr="009B0068">
              <w:rPr>
                <w:noProof/>
                <w:sz w:val="20"/>
                <w:szCs w:val="20"/>
              </w:rPr>
              <w:t xml:space="preserve"> 39.606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6E2859B4" w14:textId="77777777" w:rsidR="005E22F8" w:rsidRDefault="005E22F8" w:rsidP="005E22F8">
            <w:pPr>
              <w:spacing w:before="20" w:after="20"/>
              <w:jc w:val="right"/>
              <w:rPr>
                <w:noProof/>
                <w:sz w:val="20"/>
              </w:rPr>
            </w:pPr>
            <w:r w:rsidRPr="009B0068">
              <w:rPr>
                <w:noProof/>
                <w:sz w:val="20"/>
                <w:szCs w:val="20"/>
              </w:rPr>
              <w:t xml:space="preserve"> 57.085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1D06436E" w14:textId="77777777" w:rsidR="005E22F8" w:rsidRDefault="005E22F8" w:rsidP="005E22F8">
            <w:pPr>
              <w:spacing w:before="20" w:after="20"/>
              <w:jc w:val="right"/>
              <w:rPr>
                <w:noProof/>
                <w:sz w:val="20"/>
              </w:rPr>
            </w:pPr>
            <w:r w:rsidRPr="009B0068">
              <w:rPr>
                <w:noProof/>
                <w:sz w:val="20"/>
                <w:szCs w:val="20"/>
              </w:rPr>
              <w:t xml:space="preserve"> 25.220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1455A250" w14:textId="77777777" w:rsidR="005E22F8" w:rsidRDefault="005E22F8" w:rsidP="005E22F8">
            <w:pPr>
              <w:spacing w:before="20" w:after="20"/>
              <w:jc w:val="right"/>
              <w:rPr>
                <w:noProof/>
                <w:sz w:val="20"/>
              </w:rPr>
            </w:pPr>
            <w:r w:rsidRPr="009B0068">
              <w:rPr>
                <w:noProof/>
                <w:sz w:val="20"/>
                <w:szCs w:val="20"/>
              </w:rPr>
              <w:t xml:space="preserve"> 25.092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4409840" w14:textId="77777777" w:rsidR="005E22F8" w:rsidRDefault="005E22F8" w:rsidP="005E22F8">
            <w:pPr>
              <w:spacing w:before="20" w:after="20"/>
              <w:jc w:val="right"/>
              <w:rPr>
                <w:noProof/>
                <w:sz w:val="20"/>
              </w:rPr>
            </w:pPr>
            <w:r w:rsidRPr="009B0068">
              <w:rPr>
                <w:noProof/>
                <w:sz w:val="20"/>
                <w:szCs w:val="20"/>
              </w:rPr>
              <w:t xml:space="preserve">147.003 </w:t>
            </w:r>
          </w:p>
        </w:tc>
      </w:tr>
    </w:tbl>
    <w:p w14:paraId="6614E737" w14:textId="77777777" w:rsidR="00E04CDE" w:rsidRDefault="00E04CDE" w:rsidP="00E04CDE">
      <w:pPr>
        <w:spacing w:after="40"/>
        <w:rPr>
          <w:b/>
          <w:noProof/>
          <w:sz w:val="22"/>
          <w:u w:val="single"/>
        </w:rPr>
      </w:pPr>
      <w:r>
        <w:rPr>
          <w:b/>
          <w:noProof/>
          <w:sz w:val="22"/>
          <w:u w:val="single"/>
        </w:rPr>
        <w:t>If more than one operational heading is affected by the proposal / initiative, repeat the section above: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tblGrid>
      <w:tr w:rsidR="005E22F8" w14:paraId="671FC14F" w14:textId="77777777" w:rsidTr="00EC0933">
        <w:trPr>
          <w:trHeight w:val="277"/>
        </w:trPr>
        <w:tc>
          <w:tcPr>
            <w:tcW w:w="3960" w:type="dxa"/>
            <w:vMerge w:val="restart"/>
            <w:tcBorders>
              <w:top w:val="single" w:sz="4" w:space="0" w:color="auto"/>
              <w:left w:val="single" w:sz="4" w:space="0" w:color="auto"/>
              <w:bottom w:val="single" w:sz="4" w:space="0" w:color="FF0000"/>
            </w:tcBorders>
            <w:vAlign w:val="center"/>
          </w:tcPr>
          <w:p w14:paraId="4AF71567" w14:textId="77777777" w:rsidR="005E22F8" w:rsidRDefault="005E22F8" w:rsidP="005E22F8">
            <w:pPr>
              <w:spacing w:before="20" w:after="20"/>
              <w:rPr>
                <w:noProof/>
              </w:rPr>
            </w:pPr>
            <w:r>
              <w:rPr>
                <w:noProof/>
                <w:sz w:val="21"/>
              </w:rPr>
              <w:sym w:font="Wingdings" w:char="F09F"/>
            </w:r>
            <w:r>
              <w:rPr>
                <w:noProof/>
                <w:sz w:val="21"/>
              </w:rPr>
              <w:t xml:space="preserve"> TOTAL operational appropriations (all operational headings)</w:t>
            </w:r>
          </w:p>
        </w:tc>
        <w:tc>
          <w:tcPr>
            <w:tcW w:w="1440" w:type="dxa"/>
            <w:tcBorders>
              <w:top w:val="single" w:sz="4" w:space="0" w:color="auto"/>
            </w:tcBorders>
            <w:vAlign w:val="center"/>
          </w:tcPr>
          <w:p w14:paraId="03FCE3E4" w14:textId="77777777" w:rsidR="005E22F8" w:rsidRDefault="005E22F8" w:rsidP="005E22F8">
            <w:pPr>
              <w:spacing w:beforeLines="20" w:before="48" w:afterLines="20" w:after="48"/>
              <w:rPr>
                <w:noProof/>
                <w:sz w:val="18"/>
              </w:rPr>
            </w:pPr>
            <w:r>
              <w:rPr>
                <w:noProof/>
                <w:sz w:val="18"/>
              </w:rPr>
              <w:t>Commitments</w:t>
            </w:r>
          </w:p>
        </w:tc>
        <w:tc>
          <w:tcPr>
            <w:tcW w:w="654" w:type="dxa"/>
            <w:tcBorders>
              <w:top w:val="single" w:sz="4" w:space="0" w:color="auto"/>
            </w:tcBorders>
            <w:vAlign w:val="center"/>
          </w:tcPr>
          <w:p w14:paraId="17BF62A5" w14:textId="77777777" w:rsidR="005E22F8" w:rsidRDefault="005E22F8" w:rsidP="005E22F8">
            <w:pPr>
              <w:spacing w:beforeLines="20" w:before="48" w:afterLines="20" w:after="48"/>
              <w:jc w:val="center"/>
              <w:rPr>
                <w:noProof/>
                <w:sz w:val="14"/>
              </w:rPr>
            </w:pPr>
            <w:r>
              <w:rPr>
                <w:noProof/>
                <w:sz w:val="14"/>
              </w:rPr>
              <w:t>(4)</w:t>
            </w:r>
          </w:p>
        </w:tc>
        <w:tc>
          <w:tcPr>
            <w:tcW w:w="868" w:type="dxa"/>
            <w:tcBorders>
              <w:top w:val="single" w:sz="4" w:space="0" w:color="auto"/>
              <w:left w:val="single" w:sz="4" w:space="0" w:color="auto"/>
              <w:bottom w:val="single" w:sz="4" w:space="0" w:color="auto"/>
              <w:right w:val="single" w:sz="4" w:space="0" w:color="auto"/>
            </w:tcBorders>
          </w:tcPr>
          <w:p w14:paraId="24380BFD" w14:textId="77777777" w:rsidR="005E22F8" w:rsidRDefault="005E22F8" w:rsidP="005E22F8">
            <w:pPr>
              <w:spacing w:before="20" w:after="20"/>
              <w:jc w:val="right"/>
              <w:rPr>
                <w:noProof/>
                <w:sz w:val="20"/>
                <w:szCs w:val="20"/>
              </w:rPr>
            </w:pPr>
          </w:p>
          <w:p w14:paraId="1530BDA8" w14:textId="77777777" w:rsidR="005E22F8" w:rsidRDefault="005E22F8" w:rsidP="005E22F8">
            <w:pPr>
              <w:spacing w:before="20" w:after="20"/>
              <w:jc w:val="right"/>
              <w:rPr>
                <w:noProof/>
                <w:sz w:val="20"/>
              </w:rPr>
            </w:pPr>
            <w:r w:rsidRPr="009B0068">
              <w:rPr>
                <w:noProof/>
                <w:sz w:val="20"/>
                <w:szCs w:val="20"/>
              </w:rPr>
              <w:t xml:space="preserve"> 53.345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09E89A38" w14:textId="77777777" w:rsidR="005E22F8" w:rsidRDefault="005E22F8" w:rsidP="005E22F8">
            <w:pPr>
              <w:spacing w:before="20" w:after="20"/>
              <w:jc w:val="right"/>
              <w:rPr>
                <w:noProof/>
                <w:sz w:val="20"/>
                <w:szCs w:val="20"/>
              </w:rPr>
            </w:pPr>
            <w:r w:rsidRPr="009B0068">
              <w:rPr>
                <w:noProof/>
                <w:sz w:val="20"/>
                <w:szCs w:val="20"/>
              </w:rPr>
              <w:t xml:space="preserve"> </w:t>
            </w:r>
          </w:p>
          <w:p w14:paraId="3B71150F" w14:textId="77777777" w:rsidR="005E22F8" w:rsidRDefault="005E22F8" w:rsidP="005E22F8">
            <w:pPr>
              <w:spacing w:before="20" w:after="20"/>
              <w:jc w:val="right"/>
              <w:rPr>
                <w:noProof/>
                <w:sz w:val="20"/>
              </w:rPr>
            </w:pPr>
            <w:r w:rsidRPr="009B0068">
              <w:rPr>
                <w:noProof/>
                <w:sz w:val="20"/>
                <w:szCs w:val="20"/>
              </w:rPr>
              <w:t xml:space="preserve">73.783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7C41BB8F" w14:textId="77777777" w:rsidR="005E22F8" w:rsidRDefault="005E22F8" w:rsidP="005E22F8">
            <w:pPr>
              <w:spacing w:before="20" w:after="20"/>
              <w:jc w:val="right"/>
              <w:rPr>
                <w:noProof/>
                <w:sz w:val="20"/>
                <w:szCs w:val="20"/>
              </w:rPr>
            </w:pPr>
            <w:r w:rsidRPr="009B0068">
              <w:rPr>
                <w:noProof/>
                <w:sz w:val="20"/>
                <w:szCs w:val="20"/>
              </w:rPr>
              <w:t xml:space="preserve"> </w:t>
            </w:r>
          </w:p>
          <w:p w14:paraId="00C5585C" w14:textId="77777777" w:rsidR="005E22F8" w:rsidRDefault="005E22F8" w:rsidP="005E22F8">
            <w:pPr>
              <w:spacing w:before="20" w:after="20"/>
              <w:jc w:val="right"/>
              <w:rPr>
                <w:noProof/>
                <w:sz w:val="20"/>
              </w:rPr>
            </w:pPr>
            <w:r w:rsidRPr="009B0068">
              <w:rPr>
                <w:noProof/>
                <w:sz w:val="20"/>
                <w:szCs w:val="20"/>
              </w:rPr>
              <w:t xml:space="preserve">26.900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2DDB7B31" w14:textId="77777777" w:rsidR="005E22F8" w:rsidRDefault="005E22F8" w:rsidP="005E22F8">
            <w:pPr>
              <w:spacing w:before="20" w:after="20"/>
              <w:jc w:val="right"/>
              <w:rPr>
                <w:noProof/>
                <w:sz w:val="20"/>
                <w:szCs w:val="20"/>
              </w:rPr>
            </w:pPr>
            <w:r w:rsidRPr="009B0068">
              <w:rPr>
                <w:noProof/>
                <w:sz w:val="20"/>
                <w:szCs w:val="20"/>
              </w:rPr>
              <w:t xml:space="preserve"> </w:t>
            </w:r>
          </w:p>
          <w:p w14:paraId="5811E25D" w14:textId="77777777" w:rsidR="005E22F8" w:rsidRDefault="005E22F8" w:rsidP="005E22F8">
            <w:pPr>
              <w:spacing w:before="20" w:after="20"/>
              <w:jc w:val="right"/>
              <w:rPr>
                <w:noProof/>
                <w:sz w:val="20"/>
              </w:rPr>
            </w:pPr>
            <w:r w:rsidRPr="009B0068">
              <w:rPr>
                <w:noProof/>
                <w:sz w:val="20"/>
                <w:szCs w:val="20"/>
              </w:rPr>
              <w:t xml:space="preserve">26.900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4125EDC7" w14:textId="77777777" w:rsidR="005E22F8" w:rsidRDefault="005E22F8" w:rsidP="005E22F8">
            <w:pPr>
              <w:spacing w:before="20" w:after="20"/>
              <w:jc w:val="right"/>
              <w:rPr>
                <w:noProof/>
                <w:sz w:val="20"/>
              </w:rPr>
            </w:pPr>
            <w:r w:rsidRPr="009B0068">
              <w:rPr>
                <w:noProof/>
                <w:sz w:val="20"/>
                <w:szCs w:val="20"/>
              </w:rPr>
              <w:t xml:space="preserve"> 180.928 </w:t>
            </w:r>
          </w:p>
        </w:tc>
      </w:tr>
      <w:tr w:rsidR="005E22F8" w14:paraId="24DA0A09" w14:textId="77777777" w:rsidTr="00EC0933">
        <w:tc>
          <w:tcPr>
            <w:tcW w:w="3960" w:type="dxa"/>
            <w:vMerge/>
            <w:tcBorders>
              <w:top w:val="single" w:sz="4" w:space="0" w:color="FF0000"/>
              <w:left w:val="single" w:sz="4" w:space="0" w:color="auto"/>
              <w:bottom w:val="single" w:sz="4" w:space="0" w:color="FF0000"/>
            </w:tcBorders>
          </w:tcPr>
          <w:p w14:paraId="4847E19E" w14:textId="77777777" w:rsidR="005E22F8" w:rsidRDefault="005E22F8" w:rsidP="005E22F8">
            <w:pPr>
              <w:jc w:val="center"/>
              <w:rPr>
                <w:noProof/>
                <w:sz w:val="20"/>
              </w:rPr>
            </w:pPr>
          </w:p>
        </w:tc>
        <w:tc>
          <w:tcPr>
            <w:tcW w:w="1440" w:type="dxa"/>
            <w:vAlign w:val="center"/>
          </w:tcPr>
          <w:p w14:paraId="08A75626" w14:textId="77777777" w:rsidR="005E22F8" w:rsidRDefault="005E22F8" w:rsidP="005E22F8">
            <w:pPr>
              <w:spacing w:beforeLines="20" w:before="48" w:afterLines="20" w:after="48"/>
              <w:rPr>
                <w:noProof/>
                <w:sz w:val="18"/>
              </w:rPr>
            </w:pPr>
            <w:r>
              <w:rPr>
                <w:noProof/>
                <w:sz w:val="18"/>
              </w:rPr>
              <w:t>Payments</w:t>
            </w:r>
          </w:p>
        </w:tc>
        <w:tc>
          <w:tcPr>
            <w:tcW w:w="654" w:type="dxa"/>
            <w:vAlign w:val="center"/>
          </w:tcPr>
          <w:p w14:paraId="16A0AAED" w14:textId="77777777" w:rsidR="005E22F8" w:rsidRDefault="005E22F8" w:rsidP="005E22F8">
            <w:pPr>
              <w:spacing w:beforeLines="20" w:before="48" w:afterLines="20" w:after="48"/>
              <w:jc w:val="center"/>
              <w:rPr>
                <w:noProof/>
                <w:sz w:val="14"/>
              </w:rPr>
            </w:pPr>
            <w:r>
              <w:rPr>
                <w:noProof/>
                <w:sz w:val="14"/>
              </w:rPr>
              <w:t>(5)</w:t>
            </w:r>
          </w:p>
        </w:tc>
        <w:tc>
          <w:tcPr>
            <w:tcW w:w="868" w:type="dxa"/>
            <w:tcBorders>
              <w:top w:val="single" w:sz="4" w:space="0" w:color="auto"/>
              <w:left w:val="single" w:sz="4" w:space="0" w:color="auto"/>
              <w:bottom w:val="single" w:sz="4" w:space="0" w:color="auto"/>
              <w:right w:val="single" w:sz="4" w:space="0" w:color="auto"/>
            </w:tcBorders>
          </w:tcPr>
          <w:p w14:paraId="2CCA05A3" w14:textId="77777777" w:rsidR="005E22F8" w:rsidRDefault="005E22F8" w:rsidP="005E22F8">
            <w:pPr>
              <w:spacing w:before="20" w:after="20"/>
              <w:jc w:val="right"/>
              <w:rPr>
                <w:noProof/>
                <w:sz w:val="20"/>
              </w:rPr>
            </w:pPr>
            <w:r w:rsidRPr="009B0068">
              <w:rPr>
                <w:noProof/>
                <w:sz w:val="20"/>
                <w:szCs w:val="20"/>
              </w:rPr>
              <w:t xml:space="preserve"> 39.606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5D471940" w14:textId="77777777" w:rsidR="005E22F8" w:rsidRDefault="005E22F8" w:rsidP="005E22F8">
            <w:pPr>
              <w:spacing w:before="20" w:after="20"/>
              <w:jc w:val="right"/>
              <w:rPr>
                <w:noProof/>
                <w:sz w:val="20"/>
              </w:rPr>
            </w:pPr>
            <w:r w:rsidRPr="009B0068">
              <w:rPr>
                <w:noProof/>
                <w:sz w:val="20"/>
                <w:szCs w:val="20"/>
              </w:rPr>
              <w:t xml:space="preserve"> 57.085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0BA0A0B1" w14:textId="77777777" w:rsidR="005E22F8" w:rsidRDefault="005E22F8" w:rsidP="005E22F8">
            <w:pPr>
              <w:spacing w:before="20" w:after="20"/>
              <w:jc w:val="right"/>
              <w:rPr>
                <w:noProof/>
                <w:sz w:val="20"/>
              </w:rPr>
            </w:pPr>
            <w:r w:rsidRPr="009B0068">
              <w:rPr>
                <w:noProof/>
                <w:sz w:val="20"/>
                <w:szCs w:val="20"/>
              </w:rPr>
              <w:t xml:space="preserve"> 25.220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2C41641E" w14:textId="77777777" w:rsidR="005E22F8" w:rsidRDefault="005E22F8" w:rsidP="005E22F8">
            <w:pPr>
              <w:spacing w:before="20" w:after="20"/>
              <w:jc w:val="right"/>
              <w:rPr>
                <w:noProof/>
                <w:sz w:val="20"/>
              </w:rPr>
            </w:pPr>
            <w:r w:rsidRPr="009B0068">
              <w:rPr>
                <w:noProof/>
                <w:sz w:val="20"/>
                <w:szCs w:val="20"/>
              </w:rPr>
              <w:t xml:space="preserve"> 25.092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63AAA71E" w14:textId="77777777" w:rsidR="005E22F8" w:rsidRDefault="005E22F8" w:rsidP="005E22F8">
            <w:pPr>
              <w:spacing w:before="20" w:after="20"/>
              <w:jc w:val="right"/>
              <w:rPr>
                <w:noProof/>
                <w:sz w:val="20"/>
              </w:rPr>
            </w:pPr>
            <w:r w:rsidRPr="009B0068">
              <w:rPr>
                <w:noProof/>
                <w:sz w:val="20"/>
                <w:szCs w:val="20"/>
              </w:rPr>
              <w:t xml:space="preserve">147.003 </w:t>
            </w:r>
          </w:p>
        </w:tc>
      </w:tr>
      <w:tr w:rsidR="005E22F8" w14:paraId="6EC877F8" w14:textId="77777777" w:rsidTr="002B76DD">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5BBFB078" w14:textId="77777777" w:rsidR="005E22F8" w:rsidRDefault="005E22F8" w:rsidP="002B76DD">
            <w:pPr>
              <w:spacing w:beforeLines="20" w:before="48" w:afterLines="20" w:after="48"/>
              <w:rPr>
                <w:noProof/>
              </w:rPr>
            </w:pPr>
            <w:r>
              <w:rPr>
                <w:noProof/>
                <w:sz w:val="21"/>
              </w:rPr>
              <w:t xml:space="preserve"> TOTAL appropriations of an administrative nature financed from the envelope for specific programmes (all operational headings)</w:t>
            </w:r>
          </w:p>
        </w:tc>
        <w:tc>
          <w:tcPr>
            <w:tcW w:w="654" w:type="dxa"/>
            <w:vAlign w:val="center"/>
          </w:tcPr>
          <w:p w14:paraId="63E1C415" w14:textId="77777777" w:rsidR="005E22F8" w:rsidRDefault="005E22F8" w:rsidP="002B76DD">
            <w:pPr>
              <w:rPr>
                <w:noProof/>
              </w:rPr>
            </w:pPr>
          </w:p>
          <w:p w14:paraId="672C4752" w14:textId="77777777" w:rsidR="005E22F8" w:rsidRDefault="005E22F8" w:rsidP="002B76DD">
            <w:pPr>
              <w:spacing w:beforeLines="20" w:before="48" w:afterLines="20" w:after="48"/>
              <w:jc w:val="center"/>
              <w:rPr>
                <w:noProof/>
                <w:sz w:val="14"/>
              </w:rPr>
            </w:pPr>
            <w:r>
              <w:rPr>
                <w:noProof/>
                <w:sz w:val="14"/>
              </w:rPr>
              <w:t>(6)</w:t>
            </w:r>
          </w:p>
        </w:tc>
        <w:tc>
          <w:tcPr>
            <w:tcW w:w="868" w:type="dxa"/>
          </w:tcPr>
          <w:p w14:paraId="28B911FF" w14:textId="77777777" w:rsidR="005E22F8" w:rsidRDefault="005E22F8" w:rsidP="002B76DD">
            <w:pPr>
              <w:spacing w:before="20" w:after="20"/>
              <w:jc w:val="right"/>
              <w:rPr>
                <w:b/>
                <w:noProof/>
                <w:sz w:val="20"/>
              </w:rPr>
            </w:pPr>
          </w:p>
        </w:tc>
        <w:tc>
          <w:tcPr>
            <w:tcW w:w="868" w:type="dxa"/>
            <w:vAlign w:val="center"/>
          </w:tcPr>
          <w:p w14:paraId="5EF42B1E" w14:textId="77777777" w:rsidR="005E22F8" w:rsidRDefault="005E22F8" w:rsidP="002B76DD">
            <w:pPr>
              <w:spacing w:before="20" w:after="20"/>
              <w:jc w:val="right"/>
              <w:rPr>
                <w:b/>
                <w:noProof/>
                <w:sz w:val="20"/>
              </w:rPr>
            </w:pPr>
          </w:p>
        </w:tc>
        <w:tc>
          <w:tcPr>
            <w:tcW w:w="868" w:type="dxa"/>
            <w:vAlign w:val="center"/>
          </w:tcPr>
          <w:p w14:paraId="582702AD" w14:textId="77777777" w:rsidR="005E22F8" w:rsidRDefault="005E22F8" w:rsidP="002B76DD">
            <w:pPr>
              <w:spacing w:before="20" w:after="20"/>
              <w:jc w:val="right"/>
              <w:rPr>
                <w:b/>
                <w:noProof/>
                <w:sz w:val="20"/>
              </w:rPr>
            </w:pPr>
          </w:p>
        </w:tc>
        <w:tc>
          <w:tcPr>
            <w:tcW w:w="868" w:type="dxa"/>
            <w:vAlign w:val="center"/>
          </w:tcPr>
          <w:p w14:paraId="6B9E8C73" w14:textId="77777777" w:rsidR="005E22F8" w:rsidRDefault="005E22F8" w:rsidP="002B76DD">
            <w:pPr>
              <w:spacing w:before="20" w:after="20"/>
              <w:jc w:val="right"/>
              <w:rPr>
                <w:b/>
                <w:noProof/>
                <w:sz w:val="20"/>
              </w:rPr>
            </w:pPr>
          </w:p>
        </w:tc>
        <w:tc>
          <w:tcPr>
            <w:tcW w:w="868" w:type="dxa"/>
            <w:vAlign w:val="center"/>
          </w:tcPr>
          <w:p w14:paraId="3C7EFD4E" w14:textId="77777777" w:rsidR="005E22F8" w:rsidRDefault="005E22F8" w:rsidP="002B76DD">
            <w:pPr>
              <w:spacing w:before="20" w:after="20"/>
              <w:jc w:val="right"/>
              <w:rPr>
                <w:b/>
                <w:noProof/>
                <w:sz w:val="20"/>
              </w:rPr>
            </w:pPr>
          </w:p>
        </w:tc>
      </w:tr>
      <w:tr w:rsidR="005E22F8" w14:paraId="3A461413" w14:textId="77777777" w:rsidTr="00EC0933">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1BAF4EBF" w14:textId="77777777" w:rsidR="005E22F8" w:rsidRDefault="005E22F8" w:rsidP="005E22F8">
            <w:pPr>
              <w:jc w:val="center"/>
              <w:rPr>
                <w:b/>
                <w:noProof/>
              </w:rPr>
            </w:pPr>
            <w:r>
              <w:rPr>
                <w:b/>
                <w:noProof/>
                <w:sz w:val="22"/>
              </w:rPr>
              <w:t xml:space="preserve">TOTAL appropriations </w:t>
            </w:r>
            <w:r>
              <w:rPr>
                <w:noProof/>
                <w:sz w:val="22"/>
              </w:rPr>
              <w:br/>
            </w:r>
            <w:r>
              <w:rPr>
                <w:b/>
                <w:noProof/>
                <w:sz w:val="22"/>
              </w:rPr>
              <w:t>under HEADINGS 1 to 6</w:t>
            </w:r>
            <w:r>
              <w:rPr>
                <w:noProof/>
                <w:sz w:val="22"/>
              </w:rPr>
              <w:br/>
              <w:t>of the multiannual financial framework</w:t>
            </w:r>
            <w:r>
              <w:rPr>
                <w:noProof/>
                <w:sz w:val="22"/>
              </w:rPr>
              <w:br/>
            </w:r>
            <w:r>
              <w:rPr>
                <w:noProof/>
                <w:sz w:val="20"/>
              </w:rPr>
              <w:t>(Reference amount)</w:t>
            </w:r>
          </w:p>
        </w:tc>
        <w:tc>
          <w:tcPr>
            <w:tcW w:w="1440" w:type="dxa"/>
            <w:vAlign w:val="center"/>
          </w:tcPr>
          <w:p w14:paraId="2F6CAD5C" w14:textId="77777777" w:rsidR="005E22F8" w:rsidRDefault="005E22F8" w:rsidP="005E22F8">
            <w:pPr>
              <w:rPr>
                <w:noProof/>
                <w:sz w:val="18"/>
              </w:rPr>
            </w:pPr>
            <w:r>
              <w:rPr>
                <w:noProof/>
                <w:sz w:val="18"/>
              </w:rPr>
              <w:t>Commitments</w:t>
            </w:r>
          </w:p>
        </w:tc>
        <w:tc>
          <w:tcPr>
            <w:tcW w:w="654" w:type="dxa"/>
            <w:vAlign w:val="center"/>
          </w:tcPr>
          <w:p w14:paraId="77437032" w14:textId="77777777" w:rsidR="005E22F8" w:rsidRDefault="005E22F8" w:rsidP="005E22F8">
            <w:pPr>
              <w:jc w:val="center"/>
              <w:rPr>
                <w:noProof/>
                <w:sz w:val="14"/>
              </w:rPr>
            </w:pPr>
            <w:r>
              <w:rPr>
                <w:noProof/>
                <w:sz w:val="14"/>
              </w:rPr>
              <w:t>=4+ 6</w:t>
            </w:r>
          </w:p>
        </w:tc>
        <w:tc>
          <w:tcPr>
            <w:tcW w:w="868" w:type="dxa"/>
            <w:tcBorders>
              <w:top w:val="single" w:sz="4" w:space="0" w:color="auto"/>
              <w:left w:val="single" w:sz="4" w:space="0" w:color="auto"/>
              <w:bottom w:val="single" w:sz="4" w:space="0" w:color="auto"/>
              <w:right w:val="single" w:sz="4" w:space="0" w:color="auto"/>
            </w:tcBorders>
          </w:tcPr>
          <w:p w14:paraId="71341CD5" w14:textId="77777777" w:rsidR="005E22F8" w:rsidRDefault="005E22F8" w:rsidP="005E22F8">
            <w:pPr>
              <w:spacing w:before="20" w:after="20"/>
              <w:jc w:val="right"/>
              <w:rPr>
                <w:noProof/>
                <w:sz w:val="20"/>
                <w:szCs w:val="20"/>
              </w:rPr>
            </w:pPr>
          </w:p>
          <w:p w14:paraId="7742FC28" w14:textId="77777777" w:rsidR="005E22F8" w:rsidRDefault="005E22F8" w:rsidP="005E22F8">
            <w:pPr>
              <w:spacing w:before="20" w:after="20"/>
              <w:jc w:val="right"/>
              <w:rPr>
                <w:noProof/>
                <w:sz w:val="20"/>
              </w:rPr>
            </w:pPr>
            <w:r w:rsidRPr="009B0068">
              <w:rPr>
                <w:noProof/>
                <w:sz w:val="20"/>
                <w:szCs w:val="20"/>
              </w:rPr>
              <w:t xml:space="preserve"> 53.345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5FD07035" w14:textId="77777777" w:rsidR="005E22F8" w:rsidRDefault="005E22F8" w:rsidP="005E22F8">
            <w:pPr>
              <w:spacing w:before="20" w:after="20"/>
              <w:jc w:val="right"/>
              <w:rPr>
                <w:noProof/>
                <w:sz w:val="20"/>
                <w:szCs w:val="20"/>
              </w:rPr>
            </w:pPr>
            <w:r w:rsidRPr="009B0068">
              <w:rPr>
                <w:noProof/>
                <w:sz w:val="20"/>
                <w:szCs w:val="20"/>
              </w:rPr>
              <w:t xml:space="preserve"> </w:t>
            </w:r>
          </w:p>
          <w:p w14:paraId="5A6D8DD3" w14:textId="77777777" w:rsidR="005E22F8" w:rsidRDefault="005E22F8" w:rsidP="005E22F8">
            <w:pPr>
              <w:spacing w:before="20" w:after="20"/>
              <w:jc w:val="right"/>
              <w:rPr>
                <w:noProof/>
                <w:sz w:val="20"/>
              </w:rPr>
            </w:pPr>
            <w:r w:rsidRPr="009B0068">
              <w:rPr>
                <w:noProof/>
                <w:sz w:val="20"/>
                <w:szCs w:val="20"/>
              </w:rPr>
              <w:t xml:space="preserve">73.783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7E6B90F" w14:textId="77777777" w:rsidR="005E22F8" w:rsidRDefault="005E22F8" w:rsidP="005E22F8">
            <w:pPr>
              <w:spacing w:before="20" w:after="20"/>
              <w:jc w:val="right"/>
              <w:rPr>
                <w:noProof/>
                <w:sz w:val="20"/>
                <w:szCs w:val="20"/>
              </w:rPr>
            </w:pPr>
            <w:r w:rsidRPr="009B0068">
              <w:rPr>
                <w:noProof/>
                <w:sz w:val="20"/>
                <w:szCs w:val="20"/>
              </w:rPr>
              <w:t xml:space="preserve"> </w:t>
            </w:r>
          </w:p>
          <w:p w14:paraId="29565363" w14:textId="77777777" w:rsidR="005E22F8" w:rsidRDefault="005E22F8" w:rsidP="005E22F8">
            <w:pPr>
              <w:spacing w:before="20" w:after="20"/>
              <w:jc w:val="right"/>
              <w:rPr>
                <w:noProof/>
                <w:sz w:val="20"/>
              </w:rPr>
            </w:pPr>
            <w:r w:rsidRPr="009B0068">
              <w:rPr>
                <w:noProof/>
                <w:sz w:val="20"/>
                <w:szCs w:val="20"/>
              </w:rPr>
              <w:t xml:space="preserve">26.900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6FC9B5C2" w14:textId="77777777" w:rsidR="005E22F8" w:rsidRDefault="005E22F8" w:rsidP="005E22F8">
            <w:pPr>
              <w:spacing w:before="20" w:after="20"/>
              <w:jc w:val="right"/>
              <w:rPr>
                <w:noProof/>
                <w:sz w:val="20"/>
                <w:szCs w:val="20"/>
              </w:rPr>
            </w:pPr>
            <w:r w:rsidRPr="009B0068">
              <w:rPr>
                <w:noProof/>
                <w:sz w:val="20"/>
                <w:szCs w:val="20"/>
              </w:rPr>
              <w:t xml:space="preserve"> </w:t>
            </w:r>
          </w:p>
          <w:p w14:paraId="284EC78B" w14:textId="77777777" w:rsidR="005E22F8" w:rsidRDefault="005E22F8" w:rsidP="005E22F8">
            <w:pPr>
              <w:spacing w:before="20" w:after="20"/>
              <w:jc w:val="right"/>
              <w:rPr>
                <w:noProof/>
                <w:sz w:val="20"/>
              </w:rPr>
            </w:pPr>
            <w:r w:rsidRPr="009B0068">
              <w:rPr>
                <w:noProof/>
                <w:sz w:val="20"/>
                <w:szCs w:val="20"/>
              </w:rPr>
              <w:t xml:space="preserve">26.900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7149E0E8" w14:textId="77777777" w:rsidR="005E22F8" w:rsidRDefault="005E22F8" w:rsidP="005E22F8">
            <w:pPr>
              <w:spacing w:before="20" w:after="20"/>
              <w:jc w:val="right"/>
              <w:rPr>
                <w:noProof/>
                <w:sz w:val="20"/>
              </w:rPr>
            </w:pPr>
            <w:r w:rsidRPr="009B0068">
              <w:rPr>
                <w:noProof/>
                <w:sz w:val="20"/>
                <w:szCs w:val="20"/>
              </w:rPr>
              <w:t xml:space="preserve"> 180.928 </w:t>
            </w:r>
          </w:p>
        </w:tc>
      </w:tr>
      <w:tr w:rsidR="005E22F8" w14:paraId="2553D91C" w14:textId="77777777" w:rsidTr="00EC0933">
        <w:tc>
          <w:tcPr>
            <w:tcW w:w="3960" w:type="dxa"/>
            <w:vMerge/>
            <w:tcBorders>
              <w:top w:val="single" w:sz="4" w:space="0" w:color="FF0000"/>
              <w:left w:val="single" w:sz="4" w:space="0" w:color="auto"/>
              <w:bottom w:val="single" w:sz="4" w:space="0" w:color="auto"/>
            </w:tcBorders>
            <w:shd w:val="thinDiagStripe" w:color="C0C0C0" w:fill="auto"/>
          </w:tcPr>
          <w:p w14:paraId="2D7CF70B" w14:textId="77777777" w:rsidR="005E22F8" w:rsidRDefault="005E22F8" w:rsidP="005E22F8">
            <w:pPr>
              <w:rPr>
                <w:noProof/>
                <w:sz w:val="20"/>
              </w:rPr>
            </w:pPr>
          </w:p>
        </w:tc>
        <w:tc>
          <w:tcPr>
            <w:tcW w:w="1440" w:type="dxa"/>
            <w:tcBorders>
              <w:bottom w:val="single" w:sz="4" w:space="0" w:color="auto"/>
            </w:tcBorders>
            <w:vAlign w:val="center"/>
          </w:tcPr>
          <w:p w14:paraId="2E1E282E" w14:textId="77777777" w:rsidR="005E22F8" w:rsidRDefault="005E22F8" w:rsidP="005E22F8">
            <w:pPr>
              <w:rPr>
                <w:noProof/>
                <w:sz w:val="18"/>
              </w:rPr>
            </w:pPr>
            <w:r>
              <w:rPr>
                <w:noProof/>
                <w:sz w:val="18"/>
              </w:rPr>
              <w:t>Payments</w:t>
            </w:r>
          </w:p>
        </w:tc>
        <w:tc>
          <w:tcPr>
            <w:tcW w:w="654" w:type="dxa"/>
            <w:tcBorders>
              <w:bottom w:val="single" w:sz="4" w:space="0" w:color="auto"/>
            </w:tcBorders>
            <w:vAlign w:val="center"/>
          </w:tcPr>
          <w:p w14:paraId="55F8359D" w14:textId="77777777" w:rsidR="005E22F8" w:rsidRDefault="005E22F8" w:rsidP="005E22F8">
            <w:pPr>
              <w:jc w:val="center"/>
              <w:rPr>
                <w:noProof/>
                <w:sz w:val="14"/>
              </w:rPr>
            </w:pPr>
            <w:r>
              <w:rPr>
                <w:noProof/>
                <w:sz w:val="14"/>
              </w:rPr>
              <w:t>=5+ 6</w:t>
            </w:r>
          </w:p>
        </w:tc>
        <w:tc>
          <w:tcPr>
            <w:tcW w:w="868" w:type="dxa"/>
            <w:tcBorders>
              <w:top w:val="single" w:sz="4" w:space="0" w:color="auto"/>
              <w:left w:val="single" w:sz="4" w:space="0" w:color="auto"/>
              <w:bottom w:val="single" w:sz="4" w:space="0" w:color="auto"/>
              <w:right w:val="single" w:sz="4" w:space="0" w:color="auto"/>
            </w:tcBorders>
          </w:tcPr>
          <w:p w14:paraId="2E2DBE20" w14:textId="77777777" w:rsidR="005E22F8" w:rsidRDefault="005E22F8" w:rsidP="005E22F8">
            <w:pPr>
              <w:spacing w:before="20" w:after="20"/>
              <w:jc w:val="right"/>
              <w:rPr>
                <w:noProof/>
                <w:sz w:val="20"/>
              </w:rPr>
            </w:pPr>
            <w:r w:rsidRPr="009B0068">
              <w:rPr>
                <w:noProof/>
                <w:sz w:val="20"/>
                <w:szCs w:val="20"/>
              </w:rPr>
              <w:t xml:space="preserve"> 39.606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2BE38F4B" w14:textId="77777777" w:rsidR="005E22F8" w:rsidRDefault="005E22F8" w:rsidP="005E22F8">
            <w:pPr>
              <w:spacing w:before="20" w:after="20"/>
              <w:jc w:val="right"/>
              <w:rPr>
                <w:noProof/>
                <w:sz w:val="20"/>
              </w:rPr>
            </w:pPr>
            <w:r w:rsidRPr="009B0068">
              <w:rPr>
                <w:noProof/>
                <w:sz w:val="20"/>
                <w:szCs w:val="20"/>
              </w:rPr>
              <w:t xml:space="preserve"> 57.085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53FCF687" w14:textId="77777777" w:rsidR="005E22F8" w:rsidRDefault="005E22F8" w:rsidP="005E22F8">
            <w:pPr>
              <w:spacing w:before="20" w:after="20"/>
              <w:jc w:val="right"/>
              <w:rPr>
                <w:noProof/>
                <w:sz w:val="20"/>
              </w:rPr>
            </w:pPr>
            <w:r w:rsidRPr="009B0068">
              <w:rPr>
                <w:noProof/>
                <w:sz w:val="20"/>
                <w:szCs w:val="20"/>
              </w:rPr>
              <w:t xml:space="preserve"> 25.220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2A8A816B" w14:textId="77777777" w:rsidR="005E22F8" w:rsidRDefault="005E22F8" w:rsidP="005E22F8">
            <w:pPr>
              <w:spacing w:before="20" w:after="20"/>
              <w:jc w:val="right"/>
              <w:rPr>
                <w:noProof/>
                <w:sz w:val="20"/>
              </w:rPr>
            </w:pPr>
            <w:r w:rsidRPr="009B0068">
              <w:rPr>
                <w:noProof/>
                <w:sz w:val="20"/>
                <w:szCs w:val="20"/>
              </w:rPr>
              <w:t xml:space="preserve"> 25.092 </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1E93C0B0" w14:textId="77777777" w:rsidR="005E22F8" w:rsidRDefault="005E22F8" w:rsidP="005E22F8">
            <w:pPr>
              <w:spacing w:before="20" w:after="20"/>
              <w:jc w:val="right"/>
              <w:rPr>
                <w:noProof/>
                <w:sz w:val="20"/>
              </w:rPr>
            </w:pPr>
            <w:r w:rsidRPr="009B0068">
              <w:rPr>
                <w:noProof/>
                <w:sz w:val="20"/>
                <w:szCs w:val="20"/>
              </w:rPr>
              <w:t xml:space="preserve">147.003 </w:t>
            </w:r>
          </w:p>
        </w:tc>
      </w:tr>
    </w:tbl>
    <w:p w14:paraId="1CBCD15A" w14:textId="77777777" w:rsidR="00E04CDE" w:rsidRDefault="00E04CDE" w:rsidP="00E04CDE">
      <w:pPr>
        <w:rPr>
          <w:noProof/>
        </w:rPr>
      </w:pPr>
    </w:p>
    <w:p w14:paraId="12B83CCB" w14:textId="77777777" w:rsidR="00E04CDE" w:rsidRDefault="00E04CDE" w:rsidP="00E04CDE">
      <w:pPr>
        <w:rPr>
          <w:noProof/>
        </w:rPr>
      </w:pPr>
    </w:p>
    <w:p w14:paraId="4100FC15" w14:textId="77777777" w:rsidR="00E04CDE" w:rsidRDefault="00E04CDE" w:rsidP="00E04CDE">
      <w:pPr>
        <w:rPr>
          <w:noProof/>
        </w:rPr>
      </w:pPr>
    </w:p>
    <w:p w14:paraId="5DD37E47" w14:textId="77777777" w:rsidR="00E04CDE" w:rsidRDefault="00E04CDE" w:rsidP="00E04CDE">
      <w:pPr>
        <w:rPr>
          <w:noProof/>
        </w:rPr>
      </w:pPr>
    </w:p>
    <w:p w14:paraId="15A06308" w14:textId="77777777" w:rsidR="00E04CDE" w:rsidRDefault="00E04CDE" w:rsidP="00E04CDE">
      <w:pPr>
        <w:rPr>
          <w:noProof/>
        </w:rPr>
      </w:pPr>
    </w:p>
    <w:p w14:paraId="4503D956" w14:textId="77777777" w:rsidR="00E04CDE" w:rsidRDefault="00E04CDE" w:rsidP="00E04CDE">
      <w:pPr>
        <w:rPr>
          <w:noProof/>
        </w:rPr>
      </w:pPr>
    </w:p>
    <w:p w14:paraId="3FB59142" w14:textId="77777777" w:rsidR="00E04CDE" w:rsidRDefault="00E04CDE" w:rsidP="00E04CDE">
      <w:pPr>
        <w:rPr>
          <w:noProof/>
        </w:rPr>
      </w:pPr>
    </w:p>
    <w:p w14:paraId="339262B9" w14:textId="77777777" w:rsidR="00E04CDE" w:rsidRDefault="00E04CDE" w:rsidP="00E04CDE">
      <w:pPr>
        <w:rPr>
          <w:noProof/>
        </w:rPr>
      </w:pPr>
    </w:p>
    <w:p w14:paraId="11E23391" w14:textId="77777777" w:rsidR="00E04CDE" w:rsidRDefault="00E04CDE" w:rsidP="00E04CDE">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E04CDE" w14:paraId="42441A99" w14:textId="77777777" w:rsidTr="002B76DD">
        <w:trPr>
          <w:jc w:val="center"/>
        </w:trPr>
        <w:tc>
          <w:tcPr>
            <w:tcW w:w="4744" w:type="dxa"/>
            <w:shd w:val="thinDiagStripe" w:color="C0C0C0" w:fill="auto"/>
            <w:vAlign w:val="center"/>
          </w:tcPr>
          <w:p w14:paraId="2DE10BC8" w14:textId="77777777" w:rsidR="00E04CDE" w:rsidRDefault="00E04CDE" w:rsidP="002B76DD">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14:paraId="2D8DC3C9" w14:textId="77777777" w:rsidR="00E04CDE" w:rsidRDefault="00E04CDE" w:rsidP="002B76DD">
            <w:pPr>
              <w:spacing w:before="60" w:after="60"/>
              <w:jc w:val="center"/>
              <w:rPr>
                <w:noProof/>
              </w:rPr>
            </w:pPr>
            <w:r>
              <w:rPr>
                <w:b/>
                <w:noProof/>
                <w:sz w:val="22"/>
              </w:rPr>
              <w:t>7</w:t>
            </w:r>
          </w:p>
        </w:tc>
        <w:tc>
          <w:tcPr>
            <w:tcW w:w="7817" w:type="dxa"/>
            <w:vAlign w:val="center"/>
          </w:tcPr>
          <w:p w14:paraId="329CBE7A" w14:textId="77777777" w:rsidR="00E04CDE" w:rsidRDefault="00E04CDE" w:rsidP="002B76DD">
            <w:pPr>
              <w:spacing w:before="60" w:after="60"/>
              <w:rPr>
                <w:noProof/>
              </w:rPr>
            </w:pPr>
            <w:r>
              <w:rPr>
                <w:noProof/>
                <w:sz w:val="22"/>
              </w:rPr>
              <w:t>‘Administrative expenditure’</w:t>
            </w:r>
          </w:p>
        </w:tc>
      </w:tr>
    </w:tbl>
    <w:p w14:paraId="49BD35F9" w14:textId="77777777" w:rsidR="00E04CDE" w:rsidRDefault="00E04CDE" w:rsidP="00E04CDE">
      <w:pPr>
        <w:jc w:val="left"/>
        <w:rPr>
          <w:noProof/>
          <w:sz w:val="20"/>
        </w:rPr>
      </w:pPr>
      <w:r w:rsidRPr="007974DD">
        <w:rPr>
          <w:noProof/>
        </w:rPr>
        <w:t xml:space="preserve">This section should be filled in using the 'budget data of an administrative nature' to be firstly introduced in the </w:t>
      </w:r>
      <w:hyperlink r:id="rId15" w:history="1">
        <w:r w:rsidRPr="007974DD">
          <w:rPr>
            <w:rStyle w:val="Hyperlink"/>
            <w:noProof/>
          </w:rPr>
          <w:t>Annex to the Legislative Financial Statement</w:t>
        </w:r>
      </w:hyperlink>
      <w:r w:rsidRPr="007974DD">
        <w:rPr>
          <w:noProof/>
        </w:rPr>
        <w:t xml:space="preserve"> (Annex V </w:t>
      </w:r>
      <w:r>
        <w:rPr>
          <w:noProof/>
        </w:rPr>
        <w:t xml:space="preserve">to </w:t>
      </w:r>
      <w:r w:rsidRPr="007974DD">
        <w:rPr>
          <w:noProof/>
        </w:rPr>
        <w:t>the internal rules), which is uploaded to DECIDE for interservice consultation purposes.</w:t>
      </w:r>
    </w:p>
    <w:p w14:paraId="7ACC7BDA" w14:textId="77777777" w:rsidR="00E04CDE" w:rsidRDefault="00E04CDE" w:rsidP="00E04CDE">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E04CDE" w14:paraId="3D252D2A" w14:textId="77777777" w:rsidTr="002B76DD">
        <w:tc>
          <w:tcPr>
            <w:tcW w:w="3960" w:type="dxa"/>
            <w:tcBorders>
              <w:top w:val="nil"/>
              <w:left w:val="nil"/>
              <w:right w:val="nil"/>
            </w:tcBorders>
            <w:vAlign w:val="center"/>
          </w:tcPr>
          <w:p w14:paraId="11B857B4" w14:textId="77777777" w:rsidR="00E04CDE" w:rsidRDefault="00E04CDE" w:rsidP="002B76DD">
            <w:pPr>
              <w:jc w:val="center"/>
              <w:rPr>
                <w:noProof/>
              </w:rPr>
            </w:pPr>
          </w:p>
        </w:tc>
        <w:tc>
          <w:tcPr>
            <w:tcW w:w="1560" w:type="dxa"/>
            <w:tcBorders>
              <w:top w:val="nil"/>
              <w:left w:val="nil"/>
              <w:right w:val="nil"/>
            </w:tcBorders>
          </w:tcPr>
          <w:p w14:paraId="68095174" w14:textId="77777777" w:rsidR="00E04CDE" w:rsidRDefault="00E04CDE" w:rsidP="002B76DD">
            <w:pPr>
              <w:rPr>
                <w:noProof/>
                <w:sz w:val="20"/>
              </w:rPr>
            </w:pPr>
          </w:p>
        </w:tc>
        <w:tc>
          <w:tcPr>
            <w:tcW w:w="534" w:type="dxa"/>
            <w:tcBorders>
              <w:top w:val="nil"/>
              <w:left w:val="nil"/>
            </w:tcBorders>
          </w:tcPr>
          <w:p w14:paraId="4886D0C4" w14:textId="77777777" w:rsidR="00E04CDE" w:rsidRDefault="00E04CDE" w:rsidP="002B76DD">
            <w:pPr>
              <w:jc w:val="center"/>
              <w:rPr>
                <w:noProof/>
                <w:sz w:val="20"/>
              </w:rPr>
            </w:pPr>
          </w:p>
        </w:tc>
        <w:tc>
          <w:tcPr>
            <w:tcW w:w="868" w:type="dxa"/>
            <w:vAlign w:val="center"/>
          </w:tcPr>
          <w:p w14:paraId="7703D22E" w14:textId="77777777" w:rsidR="00E04CDE" w:rsidRDefault="00E04CDE" w:rsidP="002B76DD">
            <w:pPr>
              <w:jc w:val="center"/>
              <w:rPr>
                <w:noProof/>
                <w:sz w:val="20"/>
              </w:rPr>
            </w:pPr>
            <w:r>
              <w:rPr>
                <w:noProof/>
                <w:sz w:val="20"/>
              </w:rPr>
              <w:t>Year</w:t>
            </w:r>
            <w:r>
              <w:rPr>
                <w:noProof/>
                <w:sz w:val="22"/>
              </w:rPr>
              <w:br/>
            </w:r>
            <w:r>
              <w:rPr>
                <w:b/>
                <w:noProof/>
                <w:sz w:val="20"/>
              </w:rPr>
              <w:t>N</w:t>
            </w:r>
          </w:p>
        </w:tc>
        <w:tc>
          <w:tcPr>
            <w:tcW w:w="868" w:type="dxa"/>
            <w:vAlign w:val="center"/>
          </w:tcPr>
          <w:p w14:paraId="68A32CE3" w14:textId="77777777" w:rsidR="00E04CDE" w:rsidRDefault="00E04CDE" w:rsidP="002B76DD">
            <w:pPr>
              <w:jc w:val="center"/>
              <w:rPr>
                <w:noProof/>
                <w:sz w:val="20"/>
              </w:rPr>
            </w:pPr>
            <w:r>
              <w:rPr>
                <w:noProof/>
                <w:sz w:val="20"/>
              </w:rPr>
              <w:t>Year</w:t>
            </w:r>
            <w:r>
              <w:rPr>
                <w:noProof/>
                <w:sz w:val="22"/>
              </w:rPr>
              <w:br/>
            </w:r>
            <w:r>
              <w:rPr>
                <w:b/>
                <w:noProof/>
                <w:sz w:val="20"/>
              </w:rPr>
              <w:t>N+1</w:t>
            </w:r>
          </w:p>
        </w:tc>
        <w:tc>
          <w:tcPr>
            <w:tcW w:w="868" w:type="dxa"/>
            <w:vAlign w:val="center"/>
          </w:tcPr>
          <w:p w14:paraId="56FDFC2C" w14:textId="77777777" w:rsidR="00E04CDE" w:rsidRDefault="00E04CDE" w:rsidP="002B76DD">
            <w:pPr>
              <w:jc w:val="center"/>
              <w:rPr>
                <w:noProof/>
                <w:sz w:val="20"/>
              </w:rPr>
            </w:pPr>
            <w:r>
              <w:rPr>
                <w:noProof/>
                <w:sz w:val="20"/>
              </w:rPr>
              <w:t>Year</w:t>
            </w:r>
            <w:r>
              <w:rPr>
                <w:noProof/>
                <w:sz w:val="22"/>
              </w:rPr>
              <w:br/>
            </w:r>
            <w:r>
              <w:rPr>
                <w:b/>
                <w:noProof/>
                <w:sz w:val="20"/>
              </w:rPr>
              <w:t>N+2</w:t>
            </w:r>
          </w:p>
        </w:tc>
        <w:tc>
          <w:tcPr>
            <w:tcW w:w="868" w:type="dxa"/>
            <w:vAlign w:val="center"/>
          </w:tcPr>
          <w:p w14:paraId="68BFF98D" w14:textId="77777777" w:rsidR="00E04CDE" w:rsidRDefault="00E04CDE" w:rsidP="002B76DD">
            <w:pPr>
              <w:jc w:val="center"/>
              <w:rPr>
                <w:noProof/>
                <w:sz w:val="20"/>
              </w:rPr>
            </w:pPr>
            <w:r>
              <w:rPr>
                <w:noProof/>
                <w:sz w:val="20"/>
              </w:rPr>
              <w:t>Year</w:t>
            </w:r>
            <w:r>
              <w:rPr>
                <w:noProof/>
                <w:sz w:val="22"/>
              </w:rPr>
              <w:br/>
            </w:r>
            <w:r>
              <w:rPr>
                <w:b/>
                <w:noProof/>
                <w:sz w:val="20"/>
              </w:rPr>
              <w:t>N+3</w:t>
            </w:r>
          </w:p>
        </w:tc>
        <w:tc>
          <w:tcPr>
            <w:tcW w:w="2604" w:type="dxa"/>
            <w:gridSpan w:val="3"/>
            <w:vAlign w:val="center"/>
          </w:tcPr>
          <w:p w14:paraId="27D580B3" w14:textId="77777777" w:rsidR="00E04CDE" w:rsidRDefault="00E04CDE" w:rsidP="002B76DD">
            <w:pPr>
              <w:jc w:val="center"/>
              <w:rPr>
                <w:b/>
                <w:noProof/>
                <w:sz w:val="18"/>
              </w:rPr>
            </w:pPr>
            <w:r>
              <w:rPr>
                <w:noProof/>
                <w:sz w:val="18"/>
              </w:rPr>
              <w:t xml:space="preserve">Enter as many years as necessary to show the duration of the impact (see point 1.6) </w:t>
            </w:r>
          </w:p>
        </w:tc>
        <w:tc>
          <w:tcPr>
            <w:tcW w:w="1777" w:type="dxa"/>
            <w:vAlign w:val="center"/>
          </w:tcPr>
          <w:p w14:paraId="44B70AC6" w14:textId="77777777" w:rsidR="00E04CDE" w:rsidRDefault="00E04CDE" w:rsidP="002B76DD">
            <w:pPr>
              <w:jc w:val="center"/>
              <w:rPr>
                <w:b/>
                <w:noProof/>
                <w:sz w:val="20"/>
              </w:rPr>
            </w:pPr>
            <w:r>
              <w:rPr>
                <w:b/>
                <w:noProof/>
                <w:sz w:val="20"/>
              </w:rPr>
              <w:t>TOTAL</w:t>
            </w:r>
          </w:p>
        </w:tc>
      </w:tr>
      <w:tr w:rsidR="00E04CDE" w14:paraId="4F25FFAD" w14:textId="77777777" w:rsidTr="002B76DD">
        <w:trPr>
          <w:gridAfter w:val="10"/>
          <w:wAfter w:w="9947" w:type="dxa"/>
        </w:trPr>
        <w:tc>
          <w:tcPr>
            <w:tcW w:w="3960" w:type="dxa"/>
            <w:vAlign w:val="center"/>
          </w:tcPr>
          <w:p w14:paraId="564278ED" w14:textId="77777777" w:rsidR="00E04CDE" w:rsidRDefault="00E04CDE" w:rsidP="002B76DD">
            <w:pPr>
              <w:spacing w:before="60" w:after="60"/>
              <w:jc w:val="center"/>
              <w:rPr>
                <w:noProof/>
              </w:rPr>
            </w:pPr>
            <w:r>
              <w:rPr>
                <w:noProof/>
                <w:sz w:val="22"/>
              </w:rPr>
              <w:t>DG: &lt;…….&gt;</w:t>
            </w:r>
          </w:p>
        </w:tc>
      </w:tr>
      <w:tr w:rsidR="00E04CDE" w14:paraId="254ADA13" w14:textId="77777777" w:rsidTr="002B76DD">
        <w:trPr>
          <w:trHeight w:val="313"/>
        </w:trPr>
        <w:tc>
          <w:tcPr>
            <w:tcW w:w="6054" w:type="dxa"/>
            <w:gridSpan w:val="3"/>
            <w:vAlign w:val="center"/>
          </w:tcPr>
          <w:p w14:paraId="7FCE790B" w14:textId="77777777" w:rsidR="00E04CDE" w:rsidRDefault="00E04CDE" w:rsidP="002B76DD">
            <w:pPr>
              <w:spacing w:before="20" w:after="20"/>
              <w:rPr>
                <w:noProof/>
              </w:rPr>
            </w:pPr>
            <w:r>
              <w:rPr>
                <w:noProof/>
                <w:sz w:val="22"/>
              </w:rPr>
              <w:sym w:font="Wingdings" w:char="F09F"/>
            </w:r>
            <w:r>
              <w:rPr>
                <w:noProof/>
                <w:sz w:val="22"/>
              </w:rPr>
              <w:t xml:space="preserve"> Human resources </w:t>
            </w:r>
          </w:p>
        </w:tc>
        <w:tc>
          <w:tcPr>
            <w:tcW w:w="868" w:type="dxa"/>
            <w:vAlign w:val="center"/>
          </w:tcPr>
          <w:p w14:paraId="2F069C19" w14:textId="77777777" w:rsidR="00E04CDE" w:rsidRDefault="00E04CDE" w:rsidP="002B76DD">
            <w:pPr>
              <w:spacing w:before="20" w:after="20"/>
              <w:jc w:val="right"/>
              <w:rPr>
                <w:noProof/>
                <w:sz w:val="20"/>
              </w:rPr>
            </w:pPr>
          </w:p>
        </w:tc>
        <w:tc>
          <w:tcPr>
            <w:tcW w:w="868" w:type="dxa"/>
            <w:vAlign w:val="center"/>
          </w:tcPr>
          <w:p w14:paraId="2B9F43B9" w14:textId="77777777" w:rsidR="00E04CDE" w:rsidRDefault="00E04CDE" w:rsidP="002B76DD">
            <w:pPr>
              <w:spacing w:before="20" w:after="20"/>
              <w:jc w:val="right"/>
              <w:rPr>
                <w:noProof/>
                <w:sz w:val="20"/>
              </w:rPr>
            </w:pPr>
          </w:p>
        </w:tc>
        <w:tc>
          <w:tcPr>
            <w:tcW w:w="868" w:type="dxa"/>
            <w:vAlign w:val="center"/>
          </w:tcPr>
          <w:p w14:paraId="17F5E57A" w14:textId="77777777" w:rsidR="00E04CDE" w:rsidRDefault="00E04CDE" w:rsidP="002B76DD">
            <w:pPr>
              <w:spacing w:before="20" w:after="20"/>
              <w:jc w:val="right"/>
              <w:rPr>
                <w:noProof/>
                <w:sz w:val="20"/>
              </w:rPr>
            </w:pPr>
          </w:p>
        </w:tc>
        <w:tc>
          <w:tcPr>
            <w:tcW w:w="868" w:type="dxa"/>
            <w:vAlign w:val="center"/>
          </w:tcPr>
          <w:p w14:paraId="4F7147EB" w14:textId="77777777" w:rsidR="00E04CDE" w:rsidRDefault="00E04CDE" w:rsidP="002B76DD">
            <w:pPr>
              <w:spacing w:before="20" w:after="20"/>
              <w:jc w:val="right"/>
              <w:rPr>
                <w:noProof/>
                <w:sz w:val="20"/>
              </w:rPr>
            </w:pPr>
          </w:p>
        </w:tc>
        <w:tc>
          <w:tcPr>
            <w:tcW w:w="868" w:type="dxa"/>
            <w:vAlign w:val="center"/>
          </w:tcPr>
          <w:p w14:paraId="47E0F0F7" w14:textId="77777777" w:rsidR="00E04CDE" w:rsidRDefault="00E04CDE" w:rsidP="002B76DD">
            <w:pPr>
              <w:spacing w:before="20" w:after="20"/>
              <w:jc w:val="right"/>
              <w:rPr>
                <w:noProof/>
                <w:sz w:val="20"/>
              </w:rPr>
            </w:pPr>
          </w:p>
        </w:tc>
        <w:tc>
          <w:tcPr>
            <w:tcW w:w="868" w:type="dxa"/>
            <w:vAlign w:val="center"/>
          </w:tcPr>
          <w:p w14:paraId="1B891178" w14:textId="77777777" w:rsidR="00E04CDE" w:rsidRDefault="00E04CDE" w:rsidP="002B76DD">
            <w:pPr>
              <w:spacing w:before="20" w:after="20"/>
              <w:jc w:val="right"/>
              <w:rPr>
                <w:noProof/>
                <w:sz w:val="20"/>
              </w:rPr>
            </w:pPr>
          </w:p>
        </w:tc>
        <w:tc>
          <w:tcPr>
            <w:tcW w:w="868" w:type="dxa"/>
            <w:vAlign w:val="center"/>
          </w:tcPr>
          <w:p w14:paraId="746FE4FC" w14:textId="77777777" w:rsidR="00E04CDE" w:rsidRDefault="00E04CDE" w:rsidP="002B76DD">
            <w:pPr>
              <w:spacing w:before="20" w:after="20"/>
              <w:jc w:val="right"/>
              <w:rPr>
                <w:b/>
                <w:noProof/>
                <w:sz w:val="20"/>
              </w:rPr>
            </w:pPr>
          </w:p>
        </w:tc>
        <w:tc>
          <w:tcPr>
            <w:tcW w:w="1777" w:type="dxa"/>
            <w:vAlign w:val="center"/>
          </w:tcPr>
          <w:p w14:paraId="03B080D3" w14:textId="77777777" w:rsidR="00E04CDE" w:rsidRDefault="00E04CDE" w:rsidP="002B76DD">
            <w:pPr>
              <w:spacing w:before="20" w:after="20"/>
              <w:jc w:val="right"/>
              <w:rPr>
                <w:b/>
                <w:noProof/>
                <w:sz w:val="20"/>
              </w:rPr>
            </w:pPr>
          </w:p>
        </w:tc>
      </w:tr>
      <w:tr w:rsidR="00E04CDE" w14:paraId="39D00834" w14:textId="77777777" w:rsidTr="002B76DD">
        <w:trPr>
          <w:trHeight w:val="351"/>
        </w:trPr>
        <w:tc>
          <w:tcPr>
            <w:tcW w:w="6054" w:type="dxa"/>
            <w:gridSpan w:val="3"/>
            <w:vAlign w:val="center"/>
          </w:tcPr>
          <w:p w14:paraId="439CBFF4" w14:textId="77777777" w:rsidR="00E04CDE" w:rsidRDefault="00E04CDE" w:rsidP="002B76DD">
            <w:pPr>
              <w:spacing w:before="20" w:after="20"/>
              <w:rPr>
                <w:noProof/>
              </w:rPr>
            </w:pPr>
            <w:r>
              <w:rPr>
                <w:noProof/>
                <w:sz w:val="22"/>
              </w:rPr>
              <w:sym w:font="Wingdings" w:char="F09F"/>
            </w:r>
            <w:r>
              <w:rPr>
                <w:noProof/>
                <w:sz w:val="22"/>
              </w:rPr>
              <w:t xml:space="preserve"> Other administrative expenditure </w:t>
            </w:r>
          </w:p>
        </w:tc>
        <w:tc>
          <w:tcPr>
            <w:tcW w:w="868" w:type="dxa"/>
            <w:vAlign w:val="center"/>
          </w:tcPr>
          <w:p w14:paraId="6F7CBE31" w14:textId="77777777" w:rsidR="00E04CDE" w:rsidRDefault="00E04CDE" w:rsidP="002B76DD">
            <w:pPr>
              <w:spacing w:before="20" w:after="20"/>
              <w:jc w:val="right"/>
              <w:rPr>
                <w:b/>
                <w:noProof/>
                <w:sz w:val="20"/>
              </w:rPr>
            </w:pPr>
          </w:p>
        </w:tc>
        <w:tc>
          <w:tcPr>
            <w:tcW w:w="868" w:type="dxa"/>
            <w:vAlign w:val="center"/>
          </w:tcPr>
          <w:p w14:paraId="1F9953BD" w14:textId="77777777" w:rsidR="00E04CDE" w:rsidRDefault="00E04CDE" w:rsidP="002B76DD">
            <w:pPr>
              <w:spacing w:before="20" w:after="20"/>
              <w:jc w:val="right"/>
              <w:rPr>
                <w:b/>
                <w:noProof/>
                <w:sz w:val="20"/>
              </w:rPr>
            </w:pPr>
          </w:p>
        </w:tc>
        <w:tc>
          <w:tcPr>
            <w:tcW w:w="868" w:type="dxa"/>
            <w:vAlign w:val="center"/>
          </w:tcPr>
          <w:p w14:paraId="582E4FE7" w14:textId="77777777" w:rsidR="00E04CDE" w:rsidRDefault="00E04CDE" w:rsidP="002B76DD">
            <w:pPr>
              <w:spacing w:before="20" w:after="20"/>
              <w:jc w:val="right"/>
              <w:rPr>
                <w:b/>
                <w:noProof/>
                <w:sz w:val="20"/>
              </w:rPr>
            </w:pPr>
          </w:p>
        </w:tc>
        <w:tc>
          <w:tcPr>
            <w:tcW w:w="868" w:type="dxa"/>
            <w:vAlign w:val="center"/>
          </w:tcPr>
          <w:p w14:paraId="03BC2D62" w14:textId="77777777" w:rsidR="00E04CDE" w:rsidRDefault="00E04CDE" w:rsidP="002B76DD">
            <w:pPr>
              <w:spacing w:before="20" w:after="20"/>
              <w:jc w:val="right"/>
              <w:rPr>
                <w:b/>
                <w:noProof/>
                <w:sz w:val="20"/>
              </w:rPr>
            </w:pPr>
          </w:p>
        </w:tc>
        <w:tc>
          <w:tcPr>
            <w:tcW w:w="868" w:type="dxa"/>
            <w:vAlign w:val="center"/>
          </w:tcPr>
          <w:p w14:paraId="6525C19F" w14:textId="77777777" w:rsidR="00E04CDE" w:rsidRDefault="00E04CDE" w:rsidP="002B76DD">
            <w:pPr>
              <w:spacing w:before="20" w:after="20"/>
              <w:jc w:val="right"/>
              <w:rPr>
                <w:b/>
                <w:noProof/>
                <w:sz w:val="20"/>
              </w:rPr>
            </w:pPr>
          </w:p>
        </w:tc>
        <w:tc>
          <w:tcPr>
            <w:tcW w:w="868" w:type="dxa"/>
            <w:vAlign w:val="center"/>
          </w:tcPr>
          <w:p w14:paraId="7481D35D" w14:textId="77777777" w:rsidR="00E04CDE" w:rsidRDefault="00E04CDE" w:rsidP="002B76DD">
            <w:pPr>
              <w:spacing w:before="20" w:after="20"/>
              <w:jc w:val="right"/>
              <w:rPr>
                <w:b/>
                <w:noProof/>
                <w:sz w:val="20"/>
              </w:rPr>
            </w:pPr>
          </w:p>
        </w:tc>
        <w:tc>
          <w:tcPr>
            <w:tcW w:w="868" w:type="dxa"/>
            <w:vAlign w:val="center"/>
          </w:tcPr>
          <w:p w14:paraId="3396987D" w14:textId="77777777" w:rsidR="00E04CDE" w:rsidRDefault="00E04CDE" w:rsidP="002B76DD">
            <w:pPr>
              <w:spacing w:before="20" w:after="20"/>
              <w:jc w:val="right"/>
              <w:rPr>
                <w:b/>
                <w:noProof/>
                <w:sz w:val="20"/>
              </w:rPr>
            </w:pPr>
          </w:p>
        </w:tc>
        <w:tc>
          <w:tcPr>
            <w:tcW w:w="1777" w:type="dxa"/>
            <w:vAlign w:val="center"/>
          </w:tcPr>
          <w:p w14:paraId="3364B712" w14:textId="77777777" w:rsidR="00E04CDE" w:rsidRDefault="00E04CDE" w:rsidP="002B76DD">
            <w:pPr>
              <w:spacing w:before="20" w:after="20"/>
              <w:jc w:val="right"/>
              <w:rPr>
                <w:b/>
                <w:noProof/>
                <w:sz w:val="20"/>
              </w:rPr>
            </w:pPr>
          </w:p>
        </w:tc>
      </w:tr>
      <w:tr w:rsidR="00E04CDE" w14:paraId="5AA8F2C8" w14:textId="77777777" w:rsidTr="002B76DD">
        <w:tc>
          <w:tcPr>
            <w:tcW w:w="3960" w:type="dxa"/>
            <w:vAlign w:val="center"/>
          </w:tcPr>
          <w:p w14:paraId="7CD7847C" w14:textId="77777777" w:rsidR="00E04CDE" w:rsidRDefault="00E04CDE" w:rsidP="002B76DD">
            <w:pPr>
              <w:jc w:val="center"/>
              <w:rPr>
                <w:b/>
                <w:noProof/>
              </w:rPr>
            </w:pPr>
            <w:r>
              <w:rPr>
                <w:b/>
                <w:noProof/>
                <w:sz w:val="22"/>
              </w:rPr>
              <w:t xml:space="preserve">TOTAL DG </w:t>
            </w:r>
            <w:r>
              <w:rPr>
                <w:noProof/>
                <w:sz w:val="22"/>
              </w:rPr>
              <w:t>&lt;…….&gt;</w:t>
            </w:r>
          </w:p>
        </w:tc>
        <w:tc>
          <w:tcPr>
            <w:tcW w:w="2094" w:type="dxa"/>
            <w:gridSpan w:val="2"/>
            <w:vAlign w:val="center"/>
          </w:tcPr>
          <w:p w14:paraId="730281D4" w14:textId="77777777" w:rsidR="00E04CDE" w:rsidRDefault="00E04CDE" w:rsidP="002B76DD">
            <w:pPr>
              <w:rPr>
                <w:noProof/>
                <w:sz w:val="14"/>
              </w:rPr>
            </w:pPr>
            <w:r>
              <w:rPr>
                <w:noProof/>
                <w:sz w:val="18"/>
              </w:rPr>
              <w:t xml:space="preserve">Appropriations </w:t>
            </w:r>
          </w:p>
        </w:tc>
        <w:tc>
          <w:tcPr>
            <w:tcW w:w="868" w:type="dxa"/>
            <w:vAlign w:val="center"/>
          </w:tcPr>
          <w:p w14:paraId="423B9ABA" w14:textId="77777777" w:rsidR="00E04CDE" w:rsidRDefault="00E04CDE" w:rsidP="002B76DD">
            <w:pPr>
              <w:spacing w:before="60" w:after="60"/>
              <w:jc w:val="right"/>
              <w:rPr>
                <w:noProof/>
                <w:sz w:val="20"/>
              </w:rPr>
            </w:pPr>
          </w:p>
        </w:tc>
        <w:tc>
          <w:tcPr>
            <w:tcW w:w="868" w:type="dxa"/>
            <w:vAlign w:val="center"/>
          </w:tcPr>
          <w:p w14:paraId="03AB9D07" w14:textId="77777777" w:rsidR="00E04CDE" w:rsidRDefault="00E04CDE" w:rsidP="002B76DD">
            <w:pPr>
              <w:spacing w:before="20" w:after="20"/>
              <w:jc w:val="right"/>
              <w:rPr>
                <w:noProof/>
                <w:sz w:val="20"/>
              </w:rPr>
            </w:pPr>
          </w:p>
        </w:tc>
        <w:tc>
          <w:tcPr>
            <w:tcW w:w="868" w:type="dxa"/>
            <w:vAlign w:val="center"/>
          </w:tcPr>
          <w:p w14:paraId="69B3C5A5" w14:textId="77777777" w:rsidR="00E04CDE" w:rsidRDefault="00E04CDE" w:rsidP="002B76DD">
            <w:pPr>
              <w:spacing w:before="20" w:after="20"/>
              <w:jc w:val="right"/>
              <w:rPr>
                <w:noProof/>
                <w:sz w:val="20"/>
              </w:rPr>
            </w:pPr>
          </w:p>
        </w:tc>
        <w:tc>
          <w:tcPr>
            <w:tcW w:w="868" w:type="dxa"/>
            <w:vAlign w:val="center"/>
          </w:tcPr>
          <w:p w14:paraId="30B23C4F" w14:textId="77777777" w:rsidR="00E04CDE" w:rsidRDefault="00E04CDE" w:rsidP="002B76DD">
            <w:pPr>
              <w:spacing w:before="20" w:after="20"/>
              <w:jc w:val="right"/>
              <w:rPr>
                <w:noProof/>
                <w:sz w:val="20"/>
              </w:rPr>
            </w:pPr>
          </w:p>
        </w:tc>
        <w:tc>
          <w:tcPr>
            <w:tcW w:w="868" w:type="dxa"/>
            <w:vAlign w:val="center"/>
          </w:tcPr>
          <w:p w14:paraId="40C075B8" w14:textId="77777777" w:rsidR="00E04CDE" w:rsidRDefault="00E04CDE" w:rsidP="002B76DD">
            <w:pPr>
              <w:spacing w:before="20" w:after="20"/>
              <w:jc w:val="right"/>
              <w:rPr>
                <w:noProof/>
                <w:sz w:val="20"/>
              </w:rPr>
            </w:pPr>
          </w:p>
        </w:tc>
        <w:tc>
          <w:tcPr>
            <w:tcW w:w="868" w:type="dxa"/>
            <w:vAlign w:val="center"/>
          </w:tcPr>
          <w:p w14:paraId="3270F793" w14:textId="77777777" w:rsidR="00E04CDE" w:rsidRDefault="00E04CDE" w:rsidP="002B76DD">
            <w:pPr>
              <w:spacing w:before="20" w:after="20"/>
              <w:jc w:val="right"/>
              <w:rPr>
                <w:noProof/>
                <w:sz w:val="20"/>
              </w:rPr>
            </w:pPr>
          </w:p>
        </w:tc>
        <w:tc>
          <w:tcPr>
            <w:tcW w:w="868" w:type="dxa"/>
            <w:vAlign w:val="center"/>
          </w:tcPr>
          <w:p w14:paraId="32D6932D" w14:textId="77777777" w:rsidR="00E04CDE" w:rsidRDefault="00E04CDE" w:rsidP="002B76DD">
            <w:pPr>
              <w:spacing w:before="20" w:after="20"/>
              <w:jc w:val="right"/>
              <w:rPr>
                <w:b/>
                <w:noProof/>
                <w:sz w:val="20"/>
              </w:rPr>
            </w:pPr>
          </w:p>
        </w:tc>
        <w:tc>
          <w:tcPr>
            <w:tcW w:w="1777" w:type="dxa"/>
            <w:vAlign w:val="center"/>
          </w:tcPr>
          <w:p w14:paraId="6CD8F7D7" w14:textId="77777777" w:rsidR="00E04CDE" w:rsidRDefault="00E04CDE" w:rsidP="002B76DD">
            <w:pPr>
              <w:spacing w:before="20" w:after="20"/>
              <w:jc w:val="right"/>
              <w:rPr>
                <w:b/>
                <w:noProof/>
                <w:sz w:val="20"/>
              </w:rPr>
            </w:pPr>
          </w:p>
        </w:tc>
      </w:tr>
    </w:tbl>
    <w:p w14:paraId="1E76D047" w14:textId="77777777" w:rsidR="00E04CDE" w:rsidRDefault="00E04CDE" w:rsidP="00E04CDE">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E04CDE" w14:paraId="27EBD45C" w14:textId="77777777" w:rsidTr="002B76DD">
        <w:tc>
          <w:tcPr>
            <w:tcW w:w="3960" w:type="dxa"/>
            <w:shd w:val="thinDiagStripe" w:color="C0C0C0" w:fill="auto"/>
            <w:vAlign w:val="center"/>
          </w:tcPr>
          <w:p w14:paraId="4F2103AA" w14:textId="77777777" w:rsidR="00E04CDE" w:rsidRDefault="00E04CDE" w:rsidP="002B76DD">
            <w:pPr>
              <w:jc w:val="center"/>
              <w:rPr>
                <w:b/>
                <w:noProof/>
              </w:rPr>
            </w:pPr>
            <w:r>
              <w:rPr>
                <w:b/>
                <w:noProof/>
                <w:sz w:val="22"/>
              </w:rPr>
              <w:t>TOTAL appropriations</w:t>
            </w:r>
            <w:r>
              <w:rPr>
                <w:noProof/>
                <w:sz w:val="22"/>
              </w:rPr>
              <w:br/>
            </w:r>
            <w:r>
              <w:rPr>
                <w:b/>
                <w:noProof/>
                <w:sz w:val="22"/>
              </w:rPr>
              <w:t>under HEADING 7</w:t>
            </w:r>
            <w:r>
              <w:rPr>
                <w:noProof/>
                <w:sz w:val="22"/>
              </w:rPr>
              <w:br/>
              <w:t>of the multiannual financial framework</w:t>
            </w:r>
            <w:r>
              <w:rPr>
                <w:b/>
                <w:noProof/>
                <w:sz w:val="22"/>
              </w:rPr>
              <w:t xml:space="preserve"> </w:t>
            </w:r>
          </w:p>
        </w:tc>
        <w:tc>
          <w:tcPr>
            <w:tcW w:w="2094" w:type="dxa"/>
            <w:vAlign w:val="center"/>
          </w:tcPr>
          <w:p w14:paraId="409682B9" w14:textId="77777777" w:rsidR="00E04CDE" w:rsidRDefault="00E04CDE" w:rsidP="002B76DD">
            <w:pPr>
              <w:spacing w:before="40" w:after="40"/>
              <w:rPr>
                <w:noProof/>
              </w:rPr>
            </w:pPr>
            <w:r>
              <w:rPr>
                <w:noProof/>
                <w:sz w:val="18"/>
              </w:rPr>
              <w:t>(Total commitments = Total payments)</w:t>
            </w:r>
          </w:p>
        </w:tc>
        <w:tc>
          <w:tcPr>
            <w:tcW w:w="868" w:type="dxa"/>
            <w:vAlign w:val="center"/>
          </w:tcPr>
          <w:p w14:paraId="6921D79C" w14:textId="77777777" w:rsidR="00E04CDE" w:rsidRDefault="00E04CDE" w:rsidP="002B76DD">
            <w:pPr>
              <w:spacing w:before="20" w:after="20"/>
              <w:jc w:val="right"/>
              <w:rPr>
                <w:noProof/>
                <w:sz w:val="20"/>
              </w:rPr>
            </w:pPr>
          </w:p>
        </w:tc>
        <w:tc>
          <w:tcPr>
            <w:tcW w:w="868" w:type="dxa"/>
            <w:vAlign w:val="center"/>
          </w:tcPr>
          <w:p w14:paraId="525964CC" w14:textId="77777777" w:rsidR="00E04CDE" w:rsidRDefault="00E04CDE" w:rsidP="002B76DD">
            <w:pPr>
              <w:spacing w:before="20" w:after="20"/>
              <w:jc w:val="right"/>
              <w:rPr>
                <w:noProof/>
                <w:sz w:val="20"/>
              </w:rPr>
            </w:pPr>
          </w:p>
        </w:tc>
        <w:tc>
          <w:tcPr>
            <w:tcW w:w="868" w:type="dxa"/>
            <w:vAlign w:val="center"/>
          </w:tcPr>
          <w:p w14:paraId="4A7CB9E1" w14:textId="77777777" w:rsidR="00E04CDE" w:rsidRDefault="00E04CDE" w:rsidP="002B76DD">
            <w:pPr>
              <w:spacing w:before="20" w:after="20"/>
              <w:jc w:val="right"/>
              <w:rPr>
                <w:noProof/>
                <w:sz w:val="20"/>
              </w:rPr>
            </w:pPr>
          </w:p>
        </w:tc>
        <w:tc>
          <w:tcPr>
            <w:tcW w:w="868" w:type="dxa"/>
            <w:vAlign w:val="center"/>
          </w:tcPr>
          <w:p w14:paraId="2DF3C96D" w14:textId="77777777" w:rsidR="00E04CDE" w:rsidRDefault="00E04CDE" w:rsidP="002B76DD">
            <w:pPr>
              <w:spacing w:before="20" w:after="20"/>
              <w:jc w:val="right"/>
              <w:rPr>
                <w:noProof/>
                <w:sz w:val="20"/>
              </w:rPr>
            </w:pPr>
          </w:p>
        </w:tc>
        <w:tc>
          <w:tcPr>
            <w:tcW w:w="868" w:type="dxa"/>
            <w:vAlign w:val="center"/>
          </w:tcPr>
          <w:p w14:paraId="7C832885" w14:textId="77777777" w:rsidR="00E04CDE" w:rsidRDefault="00E04CDE" w:rsidP="002B76DD">
            <w:pPr>
              <w:spacing w:before="20" w:after="20"/>
              <w:jc w:val="right"/>
              <w:rPr>
                <w:noProof/>
                <w:sz w:val="20"/>
              </w:rPr>
            </w:pPr>
          </w:p>
        </w:tc>
        <w:tc>
          <w:tcPr>
            <w:tcW w:w="868" w:type="dxa"/>
            <w:vAlign w:val="center"/>
          </w:tcPr>
          <w:p w14:paraId="4EB672EC" w14:textId="77777777" w:rsidR="00E04CDE" w:rsidRDefault="00E04CDE" w:rsidP="002B76DD">
            <w:pPr>
              <w:spacing w:before="20" w:after="20"/>
              <w:jc w:val="right"/>
              <w:rPr>
                <w:noProof/>
                <w:sz w:val="20"/>
              </w:rPr>
            </w:pPr>
          </w:p>
        </w:tc>
        <w:tc>
          <w:tcPr>
            <w:tcW w:w="868" w:type="dxa"/>
            <w:vAlign w:val="center"/>
          </w:tcPr>
          <w:p w14:paraId="4863A445" w14:textId="77777777" w:rsidR="00E04CDE" w:rsidRDefault="00E04CDE" w:rsidP="002B76DD">
            <w:pPr>
              <w:spacing w:before="20" w:after="20"/>
              <w:jc w:val="right"/>
              <w:rPr>
                <w:b/>
                <w:noProof/>
                <w:sz w:val="20"/>
              </w:rPr>
            </w:pPr>
          </w:p>
        </w:tc>
        <w:tc>
          <w:tcPr>
            <w:tcW w:w="1777" w:type="dxa"/>
            <w:vAlign w:val="center"/>
          </w:tcPr>
          <w:p w14:paraId="31A1D16B" w14:textId="77777777" w:rsidR="00E04CDE" w:rsidRDefault="00E04CDE" w:rsidP="002B76DD">
            <w:pPr>
              <w:spacing w:before="20" w:after="20"/>
              <w:jc w:val="right"/>
              <w:rPr>
                <w:b/>
                <w:noProof/>
                <w:sz w:val="20"/>
              </w:rPr>
            </w:pPr>
          </w:p>
        </w:tc>
      </w:tr>
    </w:tbl>
    <w:p w14:paraId="1D3E82C6" w14:textId="77777777" w:rsidR="00E04CDE" w:rsidRDefault="00E04CDE" w:rsidP="00E04CDE">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006"/>
      </w:tblGrid>
      <w:tr w:rsidR="005E22F8" w14:paraId="46861370" w14:textId="77777777" w:rsidTr="002B76DD">
        <w:tc>
          <w:tcPr>
            <w:tcW w:w="3960" w:type="dxa"/>
            <w:tcBorders>
              <w:top w:val="nil"/>
              <w:left w:val="nil"/>
              <w:right w:val="nil"/>
            </w:tcBorders>
            <w:vAlign w:val="center"/>
          </w:tcPr>
          <w:p w14:paraId="022BA5FF" w14:textId="77777777" w:rsidR="005E22F8" w:rsidRDefault="005E22F8" w:rsidP="002B76DD">
            <w:pPr>
              <w:jc w:val="center"/>
              <w:rPr>
                <w:noProof/>
              </w:rPr>
            </w:pPr>
          </w:p>
        </w:tc>
        <w:tc>
          <w:tcPr>
            <w:tcW w:w="1560" w:type="dxa"/>
            <w:tcBorders>
              <w:top w:val="nil"/>
              <w:left w:val="nil"/>
              <w:right w:val="nil"/>
            </w:tcBorders>
          </w:tcPr>
          <w:p w14:paraId="5F8BE6BA" w14:textId="77777777" w:rsidR="005E22F8" w:rsidRDefault="005E22F8" w:rsidP="002B76DD">
            <w:pPr>
              <w:rPr>
                <w:noProof/>
                <w:sz w:val="20"/>
              </w:rPr>
            </w:pPr>
          </w:p>
        </w:tc>
        <w:tc>
          <w:tcPr>
            <w:tcW w:w="534" w:type="dxa"/>
            <w:tcBorders>
              <w:top w:val="nil"/>
              <w:left w:val="nil"/>
            </w:tcBorders>
          </w:tcPr>
          <w:p w14:paraId="151F452B" w14:textId="77777777" w:rsidR="005E22F8" w:rsidRDefault="005E22F8" w:rsidP="002B76DD">
            <w:pPr>
              <w:jc w:val="center"/>
              <w:rPr>
                <w:noProof/>
                <w:sz w:val="20"/>
              </w:rPr>
            </w:pPr>
          </w:p>
        </w:tc>
        <w:tc>
          <w:tcPr>
            <w:tcW w:w="868" w:type="dxa"/>
            <w:vAlign w:val="center"/>
          </w:tcPr>
          <w:p w14:paraId="6BAD33B2" w14:textId="77777777" w:rsidR="005E22F8" w:rsidRDefault="005E22F8" w:rsidP="002B76DD">
            <w:pPr>
              <w:jc w:val="center"/>
              <w:rPr>
                <w:noProof/>
                <w:sz w:val="20"/>
              </w:rPr>
            </w:pPr>
            <w:r>
              <w:rPr>
                <w:noProof/>
                <w:sz w:val="20"/>
              </w:rPr>
              <w:t>Year</w:t>
            </w:r>
            <w:r>
              <w:rPr>
                <w:noProof/>
                <w:sz w:val="22"/>
              </w:rPr>
              <w:br/>
            </w:r>
            <w:r>
              <w:rPr>
                <w:b/>
                <w:noProof/>
                <w:sz w:val="20"/>
              </w:rPr>
              <w:t>2024</w:t>
            </w:r>
          </w:p>
        </w:tc>
        <w:tc>
          <w:tcPr>
            <w:tcW w:w="868" w:type="dxa"/>
            <w:vAlign w:val="center"/>
          </w:tcPr>
          <w:p w14:paraId="6EA532E4" w14:textId="77777777" w:rsidR="005E22F8" w:rsidRDefault="005E22F8" w:rsidP="002B76DD">
            <w:pPr>
              <w:jc w:val="center"/>
              <w:rPr>
                <w:noProof/>
                <w:sz w:val="20"/>
              </w:rPr>
            </w:pPr>
            <w:r>
              <w:rPr>
                <w:noProof/>
                <w:sz w:val="20"/>
              </w:rPr>
              <w:t>Year</w:t>
            </w:r>
            <w:r>
              <w:rPr>
                <w:noProof/>
                <w:sz w:val="22"/>
              </w:rPr>
              <w:br/>
            </w:r>
            <w:r>
              <w:rPr>
                <w:b/>
                <w:noProof/>
                <w:sz w:val="20"/>
              </w:rPr>
              <w:t>2025</w:t>
            </w:r>
          </w:p>
        </w:tc>
        <w:tc>
          <w:tcPr>
            <w:tcW w:w="868" w:type="dxa"/>
            <w:vAlign w:val="center"/>
          </w:tcPr>
          <w:p w14:paraId="529E3F27" w14:textId="77777777" w:rsidR="005E22F8" w:rsidRDefault="005E22F8" w:rsidP="002B76DD">
            <w:pPr>
              <w:jc w:val="center"/>
              <w:rPr>
                <w:noProof/>
                <w:sz w:val="20"/>
              </w:rPr>
            </w:pPr>
            <w:r>
              <w:rPr>
                <w:noProof/>
                <w:sz w:val="20"/>
              </w:rPr>
              <w:t>Year</w:t>
            </w:r>
            <w:r>
              <w:rPr>
                <w:noProof/>
                <w:sz w:val="22"/>
              </w:rPr>
              <w:br/>
            </w:r>
            <w:r>
              <w:rPr>
                <w:b/>
                <w:noProof/>
                <w:sz w:val="20"/>
              </w:rPr>
              <w:t>2026</w:t>
            </w:r>
          </w:p>
        </w:tc>
        <w:tc>
          <w:tcPr>
            <w:tcW w:w="868" w:type="dxa"/>
            <w:vAlign w:val="center"/>
          </w:tcPr>
          <w:p w14:paraId="1BE98B6B" w14:textId="77777777" w:rsidR="005E22F8" w:rsidRDefault="005E22F8" w:rsidP="002B76DD">
            <w:pPr>
              <w:jc w:val="center"/>
              <w:rPr>
                <w:b/>
                <w:noProof/>
                <w:sz w:val="18"/>
              </w:rPr>
            </w:pPr>
            <w:r>
              <w:rPr>
                <w:noProof/>
                <w:sz w:val="20"/>
              </w:rPr>
              <w:t>Year</w:t>
            </w:r>
            <w:r>
              <w:rPr>
                <w:noProof/>
                <w:sz w:val="22"/>
              </w:rPr>
              <w:br/>
            </w:r>
            <w:r>
              <w:rPr>
                <w:b/>
                <w:noProof/>
                <w:sz w:val="20"/>
              </w:rPr>
              <w:t>2027</w:t>
            </w:r>
          </w:p>
        </w:tc>
        <w:tc>
          <w:tcPr>
            <w:tcW w:w="1006" w:type="dxa"/>
            <w:vAlign w:val="center"/>
          </w:tcPr>
          <w:p w14:paraId="69964FF3" w14:textId="77777777" w:rsidR="005E22F8" w:rsidRDefault="005E22F8" w:rsidP="002B76DD">
            <w:pPr>
              <w:jc w:val="center"/>
              <w:rPr>
                <w:b/>
                <w:noProof/>
                <w:sz w:val="20"/>
              </w:rPr>
            </w:pPr>
            <w:r>
              <w:rPr>
                <w:b/>
                <w:noProof/>
                <w:sz w:val="20"/>
              </w:rPr>
              <w:t>TOTAL</w:t>
            </w:r>
          </w:p>
        </w:tc>
      </w:tr>
      <w:tr w:rsidR="005E22F8" w14:paraId="4D9AA1AB" w14:textId="77777777" w:rsidTr="002B76DD">
        <w:tc>
          <w:tcPr>
            <w:tcW w:w="3960" w:type="dxa"/>
            <w:vMerge w:val="restart"/>
            <w:shd w:val="clear" w:color="auto" w:fill="C0C0C0"/>
            <w:vAlign w:val="center"/>
          </w:tcPr>
          <w:p w14:paraId="20A49AB0" w14:textId="77777777" w:rsidR="005E22F8" w:rsidRDefault="005E22F8" w:rsidP="005E22F8">
            <w:pPr>
              <w:jc w:val="center"/>
              <w:rPr>
                <w:b/>
                <w:noProof/>
              </w:rPr>
            </w:pPr>
            <w:r>
              <w:rPr>
                <w:b/>
                <w:noProof/>
                <w:sz w:val="22"/>
              </w:rPr>
              <w:t xml:space="preserve">TOTAL appropriations </w:t>
            </w:r>
            <w:r>
              <w:rPr>
                <w:noProof/>
                <w:sz w:val="22"/>
              </w:rPr>
              <w:br/>
            </w:r>
            <w:r>
              <w:rPr>
                <w:b/>
                <w:noProof/>
                <w:sz w:val="22"/>
              </w:rPr>
              <w:t>under HEADINGS 1 to 7</w:t>
            </w:r>
            <w:r>
              <w:rPr>
                <w:noProof/>
                <w:sz w:val="22"/>
              </w:rPr>
              <w:br/>
              <w:t>of the multiannual financial framework</w:t>
            </w:r>
            <w:r>
              <w:rPr>
                <w:b/>
                <w:noProof/>
                <w:sz w:val="22"/>
              </w:rPr>
              <w:t xml:space="preserve"> </w:t>
            </w:r>
          </w:p>
        </w:tc>
        <w:tc>
          <w:tcPr>
            <w:tcW w:w="2094" w:type="dxa"/>
            <w:gridSpan w:val="2"/>
            <w:vAlign w:val="center"/>
          </w:tcPr>
          <w:p w14:paraId="65CF1419" w14:textId="77777777" w:rsidR="005E22F8" w:rsidRDefault="005E22F8" w:rsidP="005E22F8">
            <w:pPr>
              <w:rPr>
                <w:noProof/>
                <w:sz w:val="14"/>
              </w:rPr>
            </w:pPr>
            <w:r>
              <w:rPr>
                <w:noProof/>
                <w:sz w:val="18"/>
              </w:rPr>
              <w:t>Commitments</w:t>
            </w:r>
          </w:p>
        </w:tc>
        <w:tc>
          <w:tcPr>
            <w:tcW w:w="868" w:type="dxa"/>
          </w:tcPr>
          <w:p w14:paraId="5442EBD5" w14:textId="77777777" w:rsidR="005E22F8" w:rsidRDefault="005E22F8" w:rsidP="005E22F8">
            <w:pPr>
              <w:spacing w:before="20" w:after="20"/>
              <w:jc w:val="right"/>
              <w:rPr>
                <w:noProof/>
                <w:sz w:val="20"/>
                <w:szCs w:val="20"/>
              </w:rPr>
            </w:pPr>
          </w:p>
          <w:p w14:paraId="265E21AC" w14:textId="77777777" w:rsidR="005E22F8" w:rsidRDefault="005E22F8" w:rsidP="005E22F8">
            <w:pPr>
              <w:spacing w:before="60" w:after="60"/>
              <w:jc w:val="right"/>
              <w:rPr>
                <w:noProof/>
                <w:sz w:val="20"/>
              </w:rPr>
            </w:pPr>
            <w:r w:rsidRPr="009B0068">
              <w:rPr>
                <w:noProof/>
                <w:sz w:val="20"/>
                <w:szCs w:val="20"/>
              </w:rPr>
              <w:t xml:space="preserve"> 53.345 </w:t>
            </w:r>
          </w:p>
        </w:tc>
        <w:tc>
          <w:tcPr>
            <w:tcW w:w="868" w:type="dxa"/>
          </w:tcPr>
          <w:p w14:paraId="043E8E6B" w14:textId="77777777" w:rsidR="005E22F8" w:rsidRDefault="005E22F8" w:rsidP="005E22F8">
            <w:pPr>
              <w:spacing w:before="20" w:after="20"/>
              <w:jc w:val="right"/>
              <w:rPr>
                <w:noProof/>
                <w:sz w:val="20"/>
                <w:szCs w:val="20"/>
              </w:rPr>
            </w:pPr>
            <w:r w:rsidRPr="009B0068">
              <w:rPr>
                <w:noProof/>
                <w:sz w:val="20"/>
                <w:szCs w:val="20"/>
              </w:rPr>
              <w:t xml:space="preserve"> </w:t>
            </w:r>
          </w:p>
          <w:p w14:paraId="6EEA448F" w14:textId="77777777" w:rsidR="005E22F8" w:rsidRDefault="005E22F8" w:rsidP="005E22F8">
            <w:pPr>
              <w:spacing w:before="60" w:after="60"/>
              <w:jc w:val="right"/>
              <w:rPr>
                <w:noProof/>
                <w:sz w:val="20"/>
              </w:rPr>
            </w:pPr>
            <w:r w:rsidRPr="009B0068">
              <w:rPr>
                <w:noProof/>
                <w:sz w:val="20"/>
                <w:szCs w:val="20"/>
              </w:rPr>
              <w:t xml:space="preserve">73.783 </w:t>
            </w:r>
          </w:p>
        </w:tc>
        <w:tc>
          <w:tcPr>
            <w:tcW w:w="868" w:type="dxa"/>
          </w:tcPr>
          <w:p w14:paraId="2C5509CD" w14:textId="77777777" w:rsidR="005E22F8" w:rsidRDefault="005E22F8" w:rsidP="005E22F8">
            <w:pPr>
              <w:spacing w:before="20" w:after="20"/>
              <w:jc w:val="right"/>
              <w:rPr>
                <w:noProof/>
                <w:sz w:val="20"/>
                <w:szCs w:val="20"/>
              </w:rPr>
            </w:pPr>
            <w:r w:rsidRPr="009B0068">
              <w:rPr>
                <w:noProof/>
                <w:sz w:val="20"/>
                <w:szCs w:val="20"/>
              </w:rPr>
              <w:t xml:space="preserve"> </w:t>
            </w:r>
          </w:p>
          <w:p w14:paraId="5565CE05" w14:textId="77777777" w:rsidR="005E22F8" w:rsidRDefault="005E22F8" w:rsidP="005E22F8">
            <w:pPr>
              <w:spacing w:before="60" w:after="60"/>
              <w:jc w:val="right"/>
              <w:rPr>
                <w:noProof/>
                <w:sz w:val="20"/>
              </w:rPr>
            </w:pPr>
            <w:r w:rsidRPr="009B0068">
              <w:rPr>
                <w:noProof/>
                <w:sz w:val="20"/>
                <w:szCs w:val="20"/>
              </w:rPr>
              <w:t xml:space="preserve">26.900 </w:t>
            </w:r>
          </w:p>
        </w:tc>
        <w:tc>
          <w:tcPr>
            <w:tcW w:w="868" w:type="dxa"/>
          </w:tcPr>
          <w:p w14:paraId="3D9D79C5" w14:textId="77777777" w:rsidR="005E22F8" w:rsidRDefault="005E22F8" w:rsidP="005E22F8">
            <w:pPr>
              <w:spacing w:before="20" w:after="20"/>
              <w:jc w:val="right"/>
              <w:rPr>
                <w:noProof/>
                <w:sz w:val="20"/>
                <w:szCs w:val="20"/>
              </w:rPr>
            </w:pPr>
            <w:r w:rsidRPr="009B0068">
              <w:rPr>
                <w:noProof/>
                <w:sz w:val="20"/>
                <w:szCs w:val="20"/>
              </w:rPr>
              <w:t xml:space="preserve"> </w:t>
            </w:r>
          </w:p>
          <w:p w14:paraId="5D55603E" w14:textId="77777777" w:rsidR="005E22F8" w:rsidRDefault="005E22F8" w:rsidP="005E22F8">
            <w:pPr>
              <w:spacing w:before="60" w:after="60"/>
              <w:jc w:val="right"/>
              <w:rPr>
                <w:noProof/>
                <w:sz w:val="20"/>
              </w:rPr>
            </w:pPr>
            <w:r w:rsidRPr="009B0068">
              <w:rPr>
                <w:noProof/>
                <w:sz w:val="20"/>
                <w:szCs w:val="20"/>
              </w:rPr>
              <w:t xml:space="preserve">26.900 </w:t>
            </w:r>
          </w:p>
        </w:tc>
        <w:tc>
          <w:tcPr>
            <w:tcW w:w="1006" w:type="dxa"/>
          </w:tcPr>
          <w:p w14:paraId="2F5A1705" w14:textId="77777777" w:rsidR="005E22F8" w:rsidRDefault="005E22F8" w:rsidP="005E22F8">
            <w:pPr>
              <w:spacing w:before="60" w:after="60"/>
              <w:jc w:val="right"/>
              <w:rPr>
                <w:noProof/>
                <w:sz w:val="20"/>
                <w:szCs w:val="20"/>
              </w:rPr>
            </w:pPr>
            <w:r w:rsidRPr="009B0068">
              <w:rPr>
                <w:noProof/>
                <w:sz w:val="20"/>
                <w:szCs w:val="20"/>
              </w:rPr>
              <w:t xml:space="preserve"> </w:t>
            </w:r>
          </w:p>
          <w:p w14:paraId="2E31F542" w14:textId="77777777" w:rsidR="005E22F8" w:rsidRDefault="005E22F8" w:rsidP="005E22F8">
            <w:pPr>
              <w:spacing w:before="60" w:after="60"/>
              <w:jc w:val="right"/>
              <w:rPr>
                <w:b/>
                <w:noProof/>
                <w:sz w:val="20"/>
              </w:rPr>
            </w:pPr>
            <w:r w:rsidRPr="009B0068">
              <w:rPr>
                <w:noProof/>
                <w:sz w:val="20"/>
                <w:szCs w:val="20"/>
              </w:rPr>
              <w:t xml:space="preserve">180.928 </w:t>
            </w:r>
          </w:p>
        </w:tc>
      </w:tr>
      <w:tr w:rsidR="005E22F8" w14:paraId="6DDCEE82" w14:textId="77777777" w:rsidTr="002B76DD">
        <w:tc>
          <w:tcPr>
            <w:tcW w:w="3960" w:type="dxa"/>
            <w:vMerge/>
            <w:shd w:val="clear" w:color="auto" w:fill="C0C0C0"/>
          </w:tcPr>
          <w:p w14:paraId="4038FBE8" w14:textId="77777777" w:rsidR="005E22F8" w:rsidRDefault="005E22F8" w:rsidP="005E22F8">
            <w:pPr>
              <w:rPr>
                <w:noProof/>
                <w:sz w:val="20"/>
              </w:rPr>
            </w:pPr>
          </w:p>
        </w:tc>
        <w:tc>
          <w:tcPr>
            <w:tcW w:w="2094" w:type="dxa"/>
            <w:gridSpan w:val="2"/>
            <w:vAlign w:val="center"/>
          </w:tcPr>
          <w:p w14:paraId="6524C480" w14:textId="77777777" w:rsidR="005E22F8" w:rsidRDefault="005E22F8" w:rsidP="005E22F8">
            <w:pPr>
              <w:rPr>
                <w:noProof/>
                <w:sz w:val="14"/>
              </w:rPr>
            </w:pPr>
            <w:r>
              <w:rPr>
                <w:noProof/>
                <w:sz w:val="18"/>
              </w:rPr>
              <w:t>Payments</w:t>
            </w:r>
          </w:p>
        </w:tc>
        <w:tc>
          <w:tcPr>
            <w:tcW w:w="868" w:type="dxa"/>
          </w:tcPr>
          <w:p w14:paraId="4E935ECE" w14:textId="77777777" w:rsidR="005E22F8" w:rsidRDefault="005E22F8" w:rsidP="005E22F8">
            <w:pPr>
              <w:spacing w:before="60" w:after="60"/>
              <w:jc w:val="right"/>
              <w:rPr>
                <w:noProof/>
                <w:sz w:val="20"/>
              </w:rPr>
            </w:pPr>
            <w:r w:rsidRPr="009B0068">
              <w:rPr>
                <w:noProof/>
                <w:sz w:val="20"/>
                <w:szCs w:val="20"/>
              </w:rPr>
              <w:t xml:space="preserve"> 39.606 </w:t>
            </w:r>
          </w:p>
        </w:tc>
        <w:tc>
          <w:tcPr>
            <w:tcW w:w="868" w:type="dxa"/>
          </w:tcPr>
          <w:p w14:paraId="06A8EBCB" w14:textId="77777777" w:rsidR="005E22F8" w:rsidRDefault="005E22F8" w:rsidP="005E22F8">
            <w:pPr>
              <w:spacing w:before="60" w:after="60"/>
              <w:jc w:val="right"/>
              <w:rPr>
                <w:noProof/>
                <w:sz w:val="20"/>
              </w:rPr>
            </w:pPr>
            <w:r w:rsidRPr="009B0068">
              <w:rPr>
                <w:noProof/>
                <w:sz w:val="20"/>
                <w:szCs w:val="20"/>
              </w:rPr>
              <w:t xml:space="preserve"> 57.085 </w:t>
            </w:r>
          </w:p>
        </w:tc>
        <w:tc>
          <w:tcPr>
            <w:tcW w:w="868" w:type="dxa"/>
          </w:tcPr>
          <w:p w14:paraId="196A6DE4" w14:textId="77777777" w:rsidR="005E22F8" w:rsidRDefault="005E22F8" w:rsidP="005E22F8">
            <w:pPr>
              <w:spacing w:before="60" w:after="60"/>
              <w:jc w:val="right"/>
              <w:rPr>
                <w:noProof/>
                <w:sz w:val="20"/>
              </w:rPr>
            </w:pPr>
            <w:r w:rsidRPr="009B0068">
              <w:rPr>
                <w:noProof/>
                <w:sz w:val="20"/>
                <w:szCs w:val="20"/>
              </w:rPr>
              <w:t xml:space="preserve"> 25.220 </w:t>
            </w:r>
          </w:p>
        </w:tc>
        <w:tc>
          <w:tcPr>
            <w:tcW w:w="868" w:type="dxa"/>
          </w:tcPr>
          <w:p w14:paraId="23067E93" w14:textId="77777777" w:rsidR="005E22F8" w:rsidRDefault="005E22F8" w:rsidP="005E22F8">
            <w:pPr>
              <w:spacing w:before="60" w:after="60"/>
              <w:jc w:val="right"/>
              <w:rPr>
                <w:noProof/>
                <w:sz w:val="20"/>
              </w:rPr>
            </w:pPr>
            <w:r w:rsidRPr="009B0068">
              <w:rPr>
                <w:noProof/>
                <w:sz w:val="20"/>
                <w:szCs w:val="20"/>
              </w:rPr>
              <w:t xml:space="preserve"> 25.092 </w:t>
            </w:r>
          </w:p>
        </w:tc>
        <w:tc>
          <w:tcPr>
            <w:tcW w:w="1006" w:type="dxa"/>
          </w:tcPr>
          <w:p w14:paraId="4B329076" w14:textId="77777777" w:rsidR="005E22F8" w:rsidRDefault="005E22F8" w:rsidP="005E22F8">
            <w:pPr>
              <w:spacing w:before="60" w:after="60"/>
              <w:jc w:val="right"/>
              <w:rPr>
                <w:b/>
                <w:noProof/>
                <w:sz w:val="20"/>
              </w:rPr>
            </w:pPr>
            <w:r w:rsidRPr="009B0068">
              <w:rPr>
                <w:noProof/>
                <w:sz w:val="20"/>
                <w:szCs w:val="20"/>
              </w:rPr>
              <w:t xml:space="preserve">147.003 </w:t>
            </w:r>
          </w:p>
        </w:tc>
      </w:tr>
    </w:tbl>
    <w:p w14:paraId="4FB6E3CB" w14:textId="77777777" w:rsidR="00E04CDE" w:rsidRDefault="00E04CDE" w:rsidP="00E04CDE">
      <w:pPr>
        <w:rPr>
          <w:noProof/>
        </w:rPr>
      </w:pPr>
    </w:p>
    <w:p w14:paraId="364DB23F" w14:textId="77777777" w:rsidR="00E04CDE" w:rsidRDefault="00E04CDE" w:rsidP="00E04CDE">
      <w:pPr>
        <w:rPr>
          <w:b/>
          <w:noProof/>
        </w:rPr>
      </w:pPr>
      <w:r w:rsidRPr="00122FBE">
        <w:rPr>
          <w:b/>
          <w:noProof/>
        </w:rPr>
        <w:t>eu-LISA: breakdown of expenditure per title</w:t>
      </w:r>
    </w:p>
    <w:tbl>
      <w:tblPr>
        <w:tblW w:w="11873" w:type="dxa"/>
        <w:tblInd w:w="108" w:type="dxa"/>
        <w:tblLook w:val="04A0" w:firstRow="1" w:lastRow="0" w:firstColumn="1" w:lastColumn="0" w:noHBand="0" w:noVBand="1"/>
      </w:tblPr>
      <w:tblGrid>
        <w:gridCol w:w="4506"/>
        <w:gridCol w:w="1676"/>
        <w:gridCol w:w="1072"/>
        <w:gridCol w:w="1072"/>
        <w:gridCol w:w="1072"/>
        <w:gridCol w:w="1247"/>
        <w:gridCol w:w="1228"/>
      </w:tblGrid>
      <w:tr w:rsidR="00CF1323" w:rsidRPr="00FF7D2B" w14:paraId="4421EE88" w14:textId="77777777" w:rsidTr="00EC0933">
        <w:trPr>
          <w:trHeight w:val="288"/>
        </w:trPr>
        <w:tc>
          <w:tcPr>
            <w:tcW w:w="4506" w:type="dxa"/>
            <w:tcBorders>
              <w:top w:val="nil"/>
              <w:left w:val="nil"/>
              <w:bottom w:val="nil"/>
              <w:right w:val="nil"/>
            </w:tcBorders>
            <w:shd w:val="clear" w:color="auto" w:fill="auto"/>
            <w:vAlign w:val="bottom"/>
            <w:hideMark/>
          </w:tcPr>
          <w:p w14:paraId="5DBBEA02" w14:textId="77777777" w:rsidR="00CF1323" w:rsidRPr="00FF7D2B" w:rsidRDefault="00CF1323" w:rsidP="002B76DD">
            <w:pPr>
              <w:spacing w:before="0" w:after="0"/>
              <w:jc w:val="left"/>
              <w:rPr>
                <w:rFonts w:ascii="Calibri" w:eastAsia="Times New Roman" w:hAnsi="Calibri" w:cs="Calibri"/>
                <w:b/>
                <w:bCs/>
                <w:noProof/>
                <w:color w:val="000000"/>
                <w:sz w:val="22"/>
                <w:lang w:val="en-US"/>
              </w:rPr>
            </w:pPr>
            <w:r w:rsidRPr="00FF7D2B">
              <w:rPr>
                <w:rFonts w:ascii="Calibri" w:eastAsia="Times New Roman" w:hAnsi="Calibri" w:cs="Calibri"/>
                <w:b/>
                <w:bCs/>
                <w:noProof/>
                <w:color w:val="000000"/>
                <w:sz w:val="22"/>
                <w:lang w:val="en-US"/>
              </w:rPr>
              <w:t>eu-LiSA</w:t>
            </w:r>
          </w:p>
        </w:tc>
        <w:tc>
          <w:tcPr>
            <w:tcW w:w="1676" w:type="dxa"/>
            <w:tcBorders>
              <w:top w:val="nil"/>
              <w:left w:val="nil"/>
              <w:bottom w:val="nil"/>
              <w:right w:val="nil"/>
            </w:tcBorders>
            <w:shd w:val="clear" w:color="auto" w:fill="auto"/>
            <w:vAlign w:val="bottom"/>
            <w:hideMark/>
          </w:tcPr>
          <w:p w14:paraId="0D0D47BD" w14:textId="77777777" w:rsidR="00CF1323" w:rsidRPr="00FF7D2B" w:rsidRDefault="00CF1323" w:rsidP="002B76DD">
            <w:pPr>
              <w:spacing w:before="0" w:after="0"/>
              <w:jc w:val="left"/>
              <w:rPr>
                <w:rFonts w:ascii="Calibri" w:eastAsia="Times New Roman" w:hAnsi="Calibri" w:cs="Calibri"/>
                <w:b/>
                <w:bCs/>
                <w:noProof/>
                <w:color w:val="000000"/>
                <w:sz w:val="22"/>
                <w:lang w:val="en-US"/>
              </w:rPr>
            </w:pPr>
          </w:p>
        </w:tc>
        <w:tc>
          <w:tcPr>
            <w:tcW w:w="1072" w:type="dxa"/>
            <w:tcBorders>
              <w:top w:val="nil"/>
              <w:left w:val="nil"/>
              <w:bottom w:val="single" w:sz="4" w:space="0" w:color="auto"/>
              <w:right w:val="nil"/>
            </w:tcBorders>
            <w:shd w:val="clear" w:color="auto" w:fill="auto"/>
          </w:tcPr>
          <w:p w14:paraId="5185DE8C" w14:textId="77777777" w:rsidR="00CF1323" w:rsidRPr="00FF7D2B" w:rsidRDefault="00CF1323" w:rsidP="002B76DD">
            <w:pPr>
              <w:spacing w:before="0" w:after="0"/>
              <w:jc w:val="left"/>
              <w:rPr>
                <w:rFonts w:eastAsia="Times New Roman"/>
                <w:noProof/>
                <w:sz w:val="20"/>
                <w:szCs w:val="20"/>
                <w:lang w:val="en-US"/>
              </w:rPr>
            </w:pPr>
          </w:p>
        </w:tc>
        <w:tc>
          <w:tcPr>
            <w:tcW w:w="1072" w:type="dxa"/>
            <w:tcBorders>
              <w:top w:val="nil"/>
              <w:left w:val="nil"/>
              <w:bottom w:val="single" w:sz="4" w:space="0" w:color="auto"/>
              <w:right w:val="nil"/>
            </w:tcBorders>
            <w:shd w:val="clear" w:color="auto" w:fill="auto"/>
            <w:vAlign w:val="bottom"/>
            <w:hideMark/>
          </w:tcPr>
          <w:p w14:paraId="17B7863D" w14:textId="77777777" w:rsidR="00CF1323" w:rsidRPr="00FF7D2B" w:rsidRDefault="00CF1323" w:rsidP="002B76DD">
            <w:pPr>
              <w:spacing w:before="0" w:after="0"/>
              <w:jc w:val="left"/>
              <w:rPr>
                <w:rFonts w:eastAsia="Times New Roman"/>
                <w:noProof/>
                <w:sz w:val="20"/>
                <w:szCs w:val="20"/>
                <w:lang w:val="en-US"/>
              </w:rPr>
            </w:pPr>
          </w:p>
        </w:tc>
        <w:tc>
          <w:tcPr>
            <w:tcW w:w="1072" w:type="dxa"/>
            <w:tcBorders>
              <w:top w:val="nil"/>
              <w:left w:val="nil"/>
              <w:bottom w:val="nil"/>
              <w:right w:val="nil"/>
            </w:tcBorders>
            <w:shd w:val="clear" w:color="auto" w:fill="auto"/>
            <w:vAlign w:val="bottom"/>
            <w:hideMark/>
          </w:tcPr>
          <w:p w14:paraId="76A5A2C8" w14:textId="77777777" w:rsidR="00CF1323" w:rsidRPr="00FF7D2B" w:rsidRDefault="00CF1323" w:rsidP="002B76DD">
            <w:pPr>
              <w:spacing w:before="0" w:after="0"/>
              <w:jc w:val="left"/>
              <w:rPr>
                <w:rFonts w:eastAsia="Times New Roman"/>
                <w:noProof/>
                <w:sz w:val="20"/>
                <w:szCs w:val="20"/>
                <w:lang w:val="en-US"/>
              </w:rPr>
            </w:pPr>
          </w:p>
        </w:tc>
        <w:tc>
          <w:tcPr>
            <w:tcW w:w="1247" w:type="dxa"/>
            <w:tcBorders>
              <w:top w:val="nil"/>
              <w:left w:val="nil"/>
              <w:bottom w:val="nil"/>
              <w:right w:val="nil"/>
            </w:tcBorders>
            <w:shd w:val="clear" w:color="auto" w:fill="auto"/>
            <w:vAlign w:val="bottom"/>
            <w:hideMark/>
          </w:tcPr>
          <w:p w14:paraId="4B62BD94" w14:textId="77777777" w:rsidR="00CF1323" w:rsidRPr="00FF7D2B" w:rsidRDefault="00CF1323" w:rsidP="002B76DD">
            <w:pPr>
              <w:spacing w:before="0" w:after="0"/>
              <w:jc w:val="left"/>
              <w:rPr>
                <w:rFonts w:eastAsia="Times New Roman"/>
                <w:noProof/>
                <w:sz w:val="20"/>
                <w:szCs w:val="20"/>
                <w:lang w:val="en-US"/>
              </w:rPr>
            </w:pPr>
          </w:p>
        </w:tc>
        <w:tc>
          <w:tcPr>
            <w:tcW w:w="1228" w:type="dxa"/>
            <w:tcBorders>
              <w:top w:val="nil"/>
              <w:left w:val="nil"/>
              <w:bottom w:val="nil"/>
              <w:right w:val="nil"/>
            </w:tcBorders>
            <w:vAlign w:val="bottom"/>
            <w:hideMark/>
          </w:tcPr>
          <w:p w14:paraId="260FB866" w14:textId="77777777" w:rsidR="00CF1323" w:rsidRPr="00FF7D2B" w:rsidRDefault="00CF1323" w:rsidP="002B76DD">
            <w:pPr>
              <w:spacing w:before="0" w:after="0"/>
              <w:jc w:val="left"/>
              <w:rPr>
                <w:rFonts w:eastAsia="Times New Roman"/>
                <w:noProof/>
                <w:sz w:val="20"/>
                <w:szCs w:val="20"/>
                <w:lang w:val="en-US"/>
              </w:rPr>
            </w:pPr>
          </w:p>
        </w:tc>
      </w:tr>
      <w:tr w:rsidR="00CF1323" w:rsidRPr="00FF7D2B" w14:paraId="13835FC4" w14:textId="77777777" w:rsidTr="00EC0933">
        <w:trPr>
          <w:trHeight w:val="288"/>
        </w:trPr>
        <w:tc>
          <w:tcPr>
            <w:tcW w:w="45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8AA33" w14:textId="77777777" w:rsidR="00CF1323" w:rsidRPr="00FF7D2B" w:rsidRDefault="00CF1323" w:rsidP="002B76DD">
            <w:pPr>
              <w:spacing w:before="0" w:after="0"/>
              <w:jc w:val="left"/>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 </w:t>
            </w:r>
          </w:p>
        </w:tc>
        <w:tc>
          <w:tcPr>
            <w:tcW w:w="1676" w:type="dxa"/>
            <w:tcBorders>
              <w:top w:val="single" w:sz="4" w:space="0" w:color="auto"/>
              <w:left w:val="nil"/>
              <w:bottom w:val="single" w:sz="4" w:space="0" w:color="auto"/>
              <w:right w:val="single" w:sz="4" w:space="0" w:color="auto"/>
            </w:tcBorders>
            <w:shd w:val="clear" w:color="auto" w:fill="auto"/>
            <w:vAlign w:val="bottom"/>
            <w:hideMark/>
          </w:tcPr>
          <w:p w14:paraId="01365BB8" w14:textId="77777777" w:rsidR="00CF1323" w:rsidRPr="00FF7D2B" w:rsidRDefault="00CF1323" w:rsidP="002B76DD">
            <w:pPr>
              <w:spacing w:before="0" w:after="0"/>
              <w:jc w:val="left"/>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Appropriations</w:t>
            </w: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1D69589E" w14:textId="77777777" w:rsidR="00CF1323" w:rsidRPr="00FF7D2B" w:rsidRDefault="00CF1323" w:rsidP="002B76DD">
            <w:pPr>
              <w:spacing w:before="0" w:after="0"/>
              <w:jc w:val="center"/>
              <w:rPr>
                <w:rFonts w:ascii="Calibri" w:eastAsia="Times New Roman" w:hAnsi="Calibri" w:cs="Calibri"/>
                <w:noProof/>
                <w:color w:val="000000"/>
                <w:sz w:val="22"/>
                <w:lang w:val="en-US"/>
              </w:rPr>
            </w:pPr>
            <w:r>
              <w:rPr>
                <w:rFonts w:ascii="Calibri" w:eastAsia="Times New Roman" w:hAnsi="Calibri" w:cs="Calibri"/>
                <w:noProof/>
                <w:color w:val="000000"/>
                <w:sz w:val="22"/>
                <w:lang w:val="en-US"/>
              </w:rPr>
              <w:t>2024</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976C5" w14:textId="77777777" w:rsidR="00CF1323" w:rsidRPr="00FF7D2B" w:rsidRDefault="00CF1323" w:rsidP="002B76DD">
            <w:pPr>
              <w:spacing w:before="0" w:after="0"/>
              <w:jc w:val="center"/>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2025</w:t>
            </w:r>
          </w:p>
        </w:tc>
        <w:tc>
          <w:tcPr>
            <w:tcW w:w="1072" w:type="dxa"/>
            <w:tcBorders>
              <w:top w:val="single" w:sz="4" w:space="0" w:color="auto"/>
              <w:left w:val="nil"/>
              <w:bottom w:val="single" w:sz="4" w:space="0" w:color="auto"/>
              <w:right w:val="single" w:sz="4" w:space="0" w:color="auto"/>
            </w:tcBorders>
            <w:shd w:val="clear" w:color="auto" w:fill="auto"/>
            <w:vAlign w:val="bottom"/>
            <w:hideMark/>
          </w:tcPr>
          <w:p w14:paraId="67CE52F2" w14:textId="77777777" w:rsidR="00CF1323" w:rsidRPr="00FF7D2B" w:rsidRDefault="00CF1323" w:rsidP="002B76DD">
            <w:pPr>
              <w:spacing w:before="0" w:after="0"/>
              <w:jc w:val="center"/>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2026</w:t>
            </w:r>
          </w:p>
        </w:tc>
        <w:tc>
          <w:tcPr>
            <w:tcW w:w="1247" w:type="dxa"/>
            <w:tcBorders>
              <w:top w:val="single" w:sz="4" w:space="0" w:color="auto"/>
              <w:left w:val="nil"/>
              <w:bottom w:val="single" w:sz="4" w:space="0" w:color="auto"/>
              <w:right w:val="single" w:sz="4" w:space="0" w:color="auto"/>
            </w:tcBorders>
            <w:shd w:val="clear" w:color="auto" w:fill="auto"/>
            <w:vAlign w:val="bottom"/>
            <w:hideMark/>
          </w:tcPr>
          <w:p w14:paraId="7150FB62" w14:textId="77777777" w:rsidR="00CF1323" w:rsidRPr="00FF7D2B" w:rsidRDefault="00CF1323" w:rsidP="002B76DD">
            <w:pPr>
              <w:spacing w:before="0" w:after="0"/>
              <w:jc w:val="center"/>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2027</w:t>
            </w:r>
          </w:p>
        </w:tc>
        <w:tc>
          <w:tcPr>
            <w:tcW w:w="1228" w:type="dxa"/>
            <w:tcBorders>
              <w:top w:val="single" w:sz="4" w:space="0" w:color="auto"/>
              <w:left w:val="nil"/>
              <w:bottom w:val="single" w:sz="4" w:space="0" w:color="auto"/>
              <w:right w:val="single" w:sz="4" w:space="0" w:color="auto"/>
            </w:tcBorders>
            <w:vAlign w:val="bottom"/>
            <w:hideMark/>
          </w:tcPr>
          <w:p w14:paraId="4AC8C6E7" w14:textId="77777777" w:rsidR="00CF1323" w:rsidRPr="00FF7D2B" w:rsidRDefault="00CF1323" w:rsidP="002B76DD">
            <w:pPr>
              <w:spacing w:before="0" w:after="0"/>
              <w:jc w:val="center"/>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Total</w:t>
            </w:r>
          </w:p>
        </w:tc>
      </w:tr>
      <w:tr w:rsidR="00CF1323" w:rsidRPr="00FF7D2B" w14:paraId="52F3A39B" w14:textId="77777777" w:rsidTr="00EC0933">
        <w:trPr>
          <w:trHeight w:val="288"/>
        </w:trPr>
        <w:tc>
          <w:tcPr>
            <w:tcW w:w="4506" w:type="dxa"/>
            <w:vMerge w:val="restart"/>
            <w:tcBorders>
              <w:top w:val="nil"/>
              <w:left w:val="single" w:sz="4" w:space="0" w:color="auto"/>
              <w:bottom w:val="single" w:sz="4" w:space="0" w:color="000000"/>
              <w:right w:val="single" w:sz="4" w:space="0" w:color="auto"/>
            </w:tcBorders>
            <w:shd w:val="clear" w:color="auto" w:fill="auto"/>
            <w:vAlign w:val="bottom"/>
            <w:hideMark/>
          </w:tcPr>
          <w:p w14:paraId="31FD9F7F" w14:textId="77777777" w:rsidR="00CF1323" w:rsidRPr="00FF7D2B" w:rsidRDefault="00CF1323" w:rsidP="00CF1323">
            <w:pPr>
              <w:spacing w:before="0" w:after="0"/>
              <w:jc w:val="left"/>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Title 1: Staff expenditure</w:t>
            </w:r>
          </w:p>
        </w:tc>
        <w:tc>
          <w:tcPr>
            <w:tcW w:w="1676" w:type="dxa"/>
            <w:tcBorders>
              <w:top w:val="nil"/>
              <w:left w:val="nil"/>
              <w:bottom w:val="single" w:sz="4" w:space="0" w:color="auto"/>
              <w:right w:val="single" w:sz="4" w:space="0" w:color="auto"/>
            </w:tcBorders>
            <w:shd w:val="clear" w:color="auto" w:fill="auto"/>
            <w:vAlign w:val="bottom"/>
            <w:hideMark/>
          </w:tcPr>
          <w:p w14:paraId="69DC94F0" w14:textId="77777777" w:rsidR="00CF1323" w:rsidRPr="00FF7D2B" w:rsidRDefault="00CF1323" w:rsidP="00CF1323">
            <w:pPr>
              <w:spacing w:before="0" w:after="0"/>
              <w:jc w:val="left"/>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CA</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tcPr>
          <w:p w14:paraId="4E4AB82B"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0.520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882290"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1.040 </w:t>
            </w:r>
          </w:p>
        </w:tc>
        <w:tc>
          <w:tcPr>
            <w:tcW w:w="1072" w:type="dxa"/>
            <w:tcBorders>
              <w:top w:val="nil"/>
              <w:left w:val="nil"/>
              <w:bottom w:val="single" w:sz="4" w:space="0" w:color="auto"/>
              <w:right w:val="single" w:sz="4" w:space="0" w:color="auto"/>
            </w:tcBorders>
            <w:shd w:val="clear" w:color="auto" w:fill="auto"/>
            <w:vAlign w:val="bottom"/>
            <w:hideMark/>
          </w:tcPr>
          <w:p w14:paraId="38A2B917"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1.040 </w:t>
            </w:r>
          </w:p>
        </w:tc>
        <w:tc>
          <w:tcPr>
            <w:tcW w:w="1247" w:type="dxa"/>
            <w:tcBorders>
              <w:top w:val="nil"/>
              <w:left w:val="nil"/>
              <w:bottom w:val="single" w:sz="4" w:space="0" w:color="auto"/>
              <w:right w:val="single" w:sz="4" w:space="0" w:color="auto"/>
            </w:tcBorders>
            <w:shd w:val="clear" w:color="auto" w:fill="auto"/>
            <w:vAlign w:val="bottom"/>
            <w:hideMark/>
          </w:tcPr>
          <w:p w14:paraId="55A38BD5"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1.125 </w:t>
            </w:r>
          </w:p>
        </w:tc>
        <w:tc>
          <w:tcPr>
            <w:tcW w:w="1228" w:type="dxa"/>
            <w:tcBorders>
              <w:top w:val="nil"/>
              <w:left w:val="nil"/>
              <w:bottom w:val="single" w:sz="4" w:space="0" w:color="auto"/>
              <w:right w:val="single" w:sz="4" w:space="0" w:color="auto"/>
            </w:tcBorders>
            <w:vAlign w:val="bottom"/>
            <w:hideMark/>
          </w:tcPr>
          <w:p w14:paraId="7E385A78"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3.725 </w:t>
            </w:r>
          </w:p>
        </w:tc>
      </w:tr>
      <w:tr w:rsidR="00CF1323" w:rsidRPr="00FF7D2B" w14:paraId="3431A1A9" w14:textId="77777777" w:rsidTr="00EC0933">
        <w:trPr>
          <w:trHeight w:val="288"/>
        </w:trPr>
        <w:tc>
          <w:tcPr>
            <w:tcW w:w="4506" w:type="dxa"/>
            <w:vMerge/>
            <w:tcBorders>
              <w:top w:val="nil"/>
              <w:left w:val="single" w:sz="4" w:space="0" w:color="auto"/>
              <w:bottom w:val="single" w:sz="4" w:space="0" w:color="000000"/>
              <w:right w:val="single" w:sz="4" w:space="0" w:color="auto"/>
            </w:tcBorders>
            <w:vAlign w:val="center"/>
            <w:hideMark/>
          </w:tcPr>
          <w:p w14:paraId="67D84E71" w14:textId="77777777" w:rsidR="00CF1323" w:rsidRPr="00FF7D2B" w:rsidRDefault="00CF1323" w:rsidP="00CF1323">
            <w:pPr>
              <w:spacing w:before="0" w:after="0"/>
              <w:jc w:val="left"/>
              <w:rPr>
                <w:rFonts w:ascii="Calibri" w:eastAsia="Times New Roman" w:hAnsi="Calibri" w:cs="Calibri"/>
                <w:noProof/>
                <w:color w:val="000000"/>
                <w:sz w:val="22"/>
                <w:lang w:val="en-US"/>
              </w:rPr>
            </w:pPr>
          </w:p>
        </w:tc>
        <w:tc>
          <w:tcPr>
            <w:tcW w:w="1676" w:type="dxa"/>
            <w:tcBorders>
              <w:top w:val="nil"/>
              <w:left w:val="nil"/>
              <w:bottom w:val="single" w:sz="4" w:space="0" w:color="auto"/>
              <w:right w:val="single" w:sz="4" w:space="0" w:color="auto"/>
            </w:tcBorders>
            <w:shd w:val="clear" w:color="auto" w:fill="auto"/>
            <w:vAlign w:val="bottom"/>
            <w:hideMark/>
          </w:tcPr>
          <w:p w14:paraId="70463CC9" w14:textId="77777777" w:rsidR="00CF1323" w:rsidRPr="00FF7D2B" w:rsidRDefault="00CF1323" w:rsidP="00CF1323">
            <w:pPr>
              <w:spacing w:before="0" w:after="0"/>
              <w:jc w:val="left"/>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PA</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tcPr>
          <w:p w14:paraId="5196CEE6"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0.520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8C2C57"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1.040 </w:t>
            </w:r>
          </w:p>
        </w:tc>
        <w:tc>
          <w:tcPr>
            <w:tcW w:w="1072" w:type="dxa"/>
            <w:tcBorders>
              <w:top w:val="nil"/>
              <w:left w:val="nil"/>
              <w:bottom w:val="single" w:sz="4" w:space="0" w:color="auto"/>
              <w:right w:val="single" w:sz="4" w:space="0" w:color="auto"/>
            </w:tcBorders>
            <w:shd w:val="clear" w:color="auto" w:fill="auto"/>
            <w:vAlign w:val="bottom"/>
            <w:hideMark/>
          </w:tcPr>
          <w:p w14:paraId="198DD6D5"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1.040 </w:t>
            </w:r>
          </w:p>
        </w:tc>
        <w:tc>
          <w:tcPr>
            <w:tcW w:w="1247" w:type="dxa"/>
            <w:tcBorders>
              <w:top w:val="nil"/>
              <w:left w:val="nil"/>
              <w:bottom w:val="single" w:sz="4" w:space="0" w:color="auto"/>
              <w:right w:val="single" w:sz="4" w:space="0" w:color="auto"/>
            </w:tcBorders>
            <w:shd w:val="clear" w:color="auto" w:fill="auto"/>
            <w:vAlign w:val="bottom"/>
            <w:hideMark/>
          </w:tcPr>
          <w:p w14:paraId="717758F5"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1.125 </w:t>
            </w:r>
          </w:p>
        </w:tc>
        <w:tc>
          <w:tcPr>
            <w:tcW w:w="1228" w:type="dxa"/>
            <w:tcBorders>
              <w:top w:val="nil"/>
              <w:left w:val="nil"/>
              <w:bottom w:val="single" w:sz="4" w:space="0" w:color="auto"/>
              <w:right w:val="single" w:sz="4" w:space="0" w:color="auto"/>
            </w:tcBorders>
            <w:vAlign w:val="bottom"/>
            <w:hideMark/>
          </w:tcPr>
          <w:p w14:paraId="0A9C95F5"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3.725 </w:t>
            </w:r>
          </w:p>
        </w:tc>
      </w:tr>
      <w:tr w:rsidR="00CF1323" w:rsidRPr="00FF7D2B" w14:paraId="65763BD7" w14:textId="77777777" w:rsidTr="00EC0933">
        <w:trPr>
          <w:trHeight w:val="288"/>
        </w:trPr>
        <w:tc>
          <w:tcPr>
            <w:tcW w:w="4506" w:type="dxa"/>
            <w:vMerge w:val="restart"/>
            <w:tcBorders>
              <w:top w:val="nil"/>
              <w:left w:val="single" w:sz="4" w:space="0" w:color="auto"/>
              <w:bottom w:val="single" w:sz="4" w:space="0" w:color="000000"/>
              <w:right w:val="single" w:sz="4" w:space="0" w:color="auto"/>
            </w:tcBorders>
            <w:shd w:val="clear" w:color="auto" w:fill="auto"/>
            <w:vAlign w:val="bottom"/>
            <w:hideMark/>
          </w:tcPr>
          <w:p w14:paraId="6F139913" w14:textId="77777777" w:rsidR="00CF1323" w:rsidRPr="00FF7D2B" w:rsidRDefault="00CF1323" w:rsidP="00CF1323">
            <w:pPr>
              <w:spacing w:before="0" w:after="0"/>
              <w:jc w:val="left"/>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 xml:space="preserve">Title 2:  Infrastructure and operating expenditure </w:t>
            </w:r>
          </w:p>
        </w:tc>
        <w:tc>
          <w:tcPr>
            <w:tcW w:w="1676" w:type="dxa"/>
            <w:tcBorders>
              <w:top w:val="nil"/>
              <w:left w:val="nil"/>
              <w:bottom w:val="single" w:sz="4" w:space="0" w:color="auto"/>
              <w:right w:val="single" w:sz="4" w:space="0" w:color="auto"/>
            </w:tcBorders>
            <w:shd w:val="clear" w:color="auto" w:fill="auto"/>
            <w:vAlign w:val="bottom"/>
            <w:hideMark/>
          </w:tcPr>
          <w:p w14:paraId="5DE44F15" w14:textId="77777777" w:rsidR="00CF1323" w:rsidRPr="00FF7D2B" w:rsidRDefault="00CF1323" w:rsidP="00CF1323">
            <w:pPr>
              <w:spacing w:before="0" w:after="0"/>
              <w:jc w:val="left"/>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CA</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tcPr>
          <w:p w14:paraId="1ABAC919"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C19036"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w:t>
            </w:r>
          </w:p>
        </w:tc>
        <w:tc>
          <w:tcPr>
            <w:tcW w:w="1072" w:type="dxa"/>
            <w:tcBorders>
              <w:top w:val="nil"/>
              <w:left w:val="nil"/>
              <w:bottom w:val="single" w:sz="4" w:space="0" w:color="auto"/>
              <w:right w:val="single" w:sz="4" w:space="0" w:color="auto"/>
            </w:tcBorders>
            <w:shd w:val="clear" w:color="auto" w:fill="auto"/>
            <w:vAlign w:val="bottom"/>
            <w:hideMark/>
          </w:tcPr>
          <w:p w14:paraId="3EC63013"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11.760 </w:t>
            </w:r>
          </w:p>
        </w:tc>
        <w:tc>
          <w:tcPr>
            <w:tcW w:w="1247" w:type="dxa"/>
            <w:tcBorders>
              <w:top w:val="nil"/>
              <w:left w:val="nil"/>
              <w:bottom w:val="single" w:sz="4" w:space="0" w:color="auto"/>
              <w:right w:val="single" w:sz="4" w:space="0" w:color="auto"/>
            </w:tcBorders>
            <w:shd w:val="clear" w:color="auto" w:fill="auto"/>
            <w:vAlign w:val="bottom"/>
            <w:hideMark/>
          </w:tcPr>
          <w:p w14:paraId="542F152E"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11.675 </w:t>
            </w:r>
          </w:p>
        </w:tc>
        <w:tc>
          <w:tcPr>
            <w:tcW w:w="1228" w:type="dxa"/>
            <w:tcBorders>
              <w:top w:val="nil"/>
              <w:left w:val="nil"/>
              <w:bottom w:val="single" w:sz="4" w:space="0" w:color="auto"/>
              <w:right w:val="single" w:sz="4" w:space="0" w:color="auto"/>
            </w:tcBorders>
            <w:vAlign w:val="bottom"/>
            <w:hideMark/>
          </w:tcPr>
          <w:p w14:paraId="2D4C5C1B"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23.435 </w:t>
            </w:r>
          </w:p>
        </w:tc>
      </w:tr>
      <w:tr w:rsidR="00CF1323" w:rsidRPr="00FF7D2B" w14:paraId="5D74F6A7" w14:textId="77777777" w:rsidTr="00EC0933">
        <w:trPr>
          <w:trHeight w:val="288"/>
        </w:trPr>
        <w:tc>
          <w:tcPr>
            <w:tcW w:w="4506" w:type="dxa"/>
            <w:vMerge/>
            <w:tcBorders>
              <w:top w:val="nil"/>
              <w:left w:val="single" w:sz="4" w:space="0" w:color="auto"/>
              <w:bottom w:val="single" w:sz="4" w:space="0" w:color="000000"/>
              <w:right w:val="single" w:sz="4" w:space="0" w:color="auto"/>
            </w:tcBorders>
            <w:vAlign w:val="center"/>
            <w:hideMark/>
          </w:tcPr>
          <w:p w14:paraId="03E2A49D" w14:textId="77777777" w:rsidR="00CF1323" w:rsidRPr="00FF7D2B" w:rsidRDefault="00CF1323" w:rsidP="00CF1323">
            <w:pPr>
              <w:spacing w:before="0" w:after="0"/>
              <w:jc w:val="left"/>
              <w:rPr>
                <w:rFonts w:ascii="Calibri" w:eastAsia="Times New Roman" w:hAnsi="Calibri" w:cs="Calibri"/>
                <w:noProof/>
                <w:color w:val="000000"/>
                <w:sz w:val="22"/>
                <w:lang w:val="en-US"/>
              </w:rPr>
            </w:pPr>
          </w:p>
        </w:tc>
        <w:tc>
          <w:tcPr>
            <w:tcW w:w="1676" w:type="dxa"/>
            <w:tcBorders>
              <w:top w:val="nil"/>
              <w:left w:val="nil"/>
              <w:bottom w:val="single" w:sz="4" w:space="0" w:color="auto"/>
              <w:right w:val="single" w:sz="4" w:space="0" w:color="auto"/>
            </w:tcBorders>
            <w:shd w:val="clear" w:color="auto" w:fill="auto"/>
            <w:vAlign w:val="bottom"/>
            <w:hideMark/>
          </w:tcPr>
          <w:p w14:paraId="28D1D807" w14:textId="77777777" w:rsidR="00CF1323" w:rsidRPr="00FF7D2B" w:rsidRDefault="00CF1323" w:rsidP="00CF1323">
            <w:pPr>
              <w:spacing w:before="0" w:after="0"/>
              <w:jc w:val="left"/>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PA</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tcPr>
          <w:p w14:paraId="155958D7"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B1F0D9"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   </w:t>
            </w:r>
          </w:p>
        </w:tc>
        <w:tc>
          <w:tcPr>
            <w:tcW w:w="1072" w:type="dxa"/>
            <w:tcBorders>
              <w:top w:val="nil"/>
              <w:left w:val="nil"/>
              <w:bottom w:val="single" w:sz="4" w:space="0" w:color="auto"/>
              <w:right w:val="single" w:sz="4" w:space="0" w:color="auto"/>
            </w:tcBorders>
            <w:shd w:val="clear" w:color="auto" w:fill="auto"/>
            <w:vAlign w:val="bottom"/>
            <w:hideMark/>
          </w:tcPr>
          <w:p w14:paraId="087165EA"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11.760 </w:t>
            </w:r>
          </w:p>
        </w:tc>
        <w:tc>
          <w:tcPr>
            <w:tcW w:w="1247" w:type="dxa"/>
            <w:tcBorders>
              <w:top w:val="nil"/>
              <w:left w:val="nil"/>
              <w:bottom w:val="single" w:sz="4" w:space="0" w:color="auto"/>
              <w:right w:val="single" w:sz="4" w:space="0" w:color="auto"/>
            </w:tcBorders>
            <w:shd w:val="clear" w:color="auto" w:fill="auto"/>
            <w:vAlign w:val="bottom"/>
            <w:hideMark/>
          </w:tcPr>
          <w:p w14:paraId="015F7483"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11.675 </w:t>
            </w:r>
          </w:p>
        </w:tc>
        <w:tc>
          <w:tcPr>
            <w:tcW w:w="1228" w:type="dxa"/>
            <w:tcBorders>
              <w:top w:val="nil"/>
              <w:left w:val="nil"/>
              <w:bottom w:val="single" w:sz="4" w:space="0" w:color="auto"/>
              <w:right w:val="single" w:sz="4" w:space="0" w:color="auto"/>
            </w:tcBorders>
            <w:vAlign w:val="bottom"/>
            <w:hideMark/>
          </w:tcPr>
          <w:p w14:paraId="46058966"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23.435 </w:t>
            </w:r>
          </w:p>
        </w:tc>
      </w:tr>
      <w:tr w:rsidR="00CF1323" w:rsidRPr="00FF7D2B" w14:paraId="045EAFA7" w14:textId="77777777" w:rsidTr="00EC0933">
        <w:trPr>
          <w:trHeight w:val="288"/>
        </w:trPr>
        <w:tc>
          <w:tcPr>
            <w:tcW w:w="4506" w:type="dxa"/>
            <w:vMerge w:val="restart"/>
            <w:tcBorders>
              <w:top w:val="nil"/>
              <w:left w:val="single" w:sz="4" w:space="0" w:color="auto"/>
              <w:bottom w:val="single" w:sz="4" w:space="0" w:color="000000"/>
              <w:right w:val="single" w:sz="4" w:space="0" w:color="auto"/>
            </w:tcBorders>
            <w:shd w:val="clear" w:color="auto" w:fill="auto"/>
            <w:vAlign w:val="bottom"/>
            <w:hideMark/>
          </w:tcPr>
          <w:p w14:paraId="6B275FD9" w14:textId="77777777" w:rsidR="00CF1323" w:rsidRPr="00FF7D2B" w:rsidRDefault="00CF1323" w:rsidP="00CF1323">
            <w:pPr>
              <w:spacing w:before="0" w:after="0"/>
              <w:jc w:val="left"/>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Title 3: Operational expenditure</w:t>
            </w:r>
          </w:p>
        </w:tc>
        <w:tc>
          <w:tcPr>
            <w:tcW w:w="1676" w:type="dxa"/>
            <w:tcBorders>
              <w:top w:val="nil"/>
              <w:left w:val="nil"/>
              <w:bottom w:val="single" w:sz="4" w:space="0" w:color="auto"/>
              <w:right w:val="single" w:sz="4" w:space="0" w:color="auto"/>
            </w:tcBorders>
            <w:shd w:val="clear" w:color="auto" w:fill="auto"/>
            <w:vAlign w:val="bottom"/>
            <w:hideMark/>
          </w:tcPr>
          <w:p w14:paraId="6094F959" w14:textId="77777777" w:rsidR="00CF1323" w:rsidRPr="00FF7D2B" w:rsidRDefault="00CF1323" w:rsidP="00CF1323">
            <w:pPr>
              <w:spacing w:before="0" w:after="0"/>
              <w:jc w:val="left"/>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CA</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tcPr>
          <w:p w14:paraId="4E2EAC5D"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19.425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974E3D"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21.785 </w:t>
            </w:r>
          </w:p>
        </w:tc>
        <w:tc>
          <w:tcPr>
            <w:tcW w:w="1072" w:type="dxa"/>
            <w:tcBorders>
              <w:top w:val="nil"/>
              <w:left w:val="nil"/>
              <w:bottom w:val="single" w:sz="4" w:space="0" w:color="auto"/>
              <w:right w:val="single" w:sz="4" w:space="0" w:color="auto"/>
            </w:tcBorders>
            <w:shd w:val="clear" w:color="auto" w:fill="auto"/>
            <w:vAlign w:val="bottom"/>
            <w:hideMark/>
          </w:tcPr>
          <w:p w14:paraId="1AA16DED"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w:t>
            </w:r>
          </w:p>
        </w:tc>
        <w:tc>
          <w:tcPr>
            <w:tcW w:w="1247" w:type="dxa"/>
            <w:tcBorders>
              <w:top w:val="nil"/>
              <w:left w:val="nil"/>
              <w:bottom w:val="single" w:sz="4" w:space="0" w:color="auto"/>
              <w:right w:val="single" w:sz="4" w:space="0" w:color="auto"/>
            </w:tcBorders>
            <w:shd w:val="clear" w:color="auto" w:fill="auto"/>
            <w:vAlign w:val="bottom"/>
            <w:hideMark/>
          </w:tcPr>
          <w:p w14:paraId="3E02E900"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w:t>
            </w:r>
          </w:p>
        </w:tc>
        <w:tc>
          <w:tcPr>
            <w:tcW w:w="1228" w:type="dxa"/>
            <w:tcBorders>
              <w:top w:val="nil"/>
              <w:left w:val="nil"/>
              <w:bottom w:val="single" w:sz="4" w:space="0" w:color="auto"/>
              <w:right w:val="single" w:sz="4" w:space="0" w:color="auto"/>
            </w:tcBorders>
            <w:vAlign w:val="bottom"/>
            <w:hideMark/>
          </w:tcPr>
          <w:p w14:paraId="10B17EEB"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41.210 </w:t>
            </w:r>
          </w:p>
        </w:tc>
      </w:tr>
      <w:tr w:rsidR="00CF1323" w:rsidRPr="00FF7D2B" w14:paraId="4F71B822" w14:textId="77777777" w:rsidTr="00EC0933">
        <w:trPr>
          <w:trHeight w:val="288"/>
        </w:trPr>
        <w:tc>
          <w:tcPr>
            <w:tcW w:w="4506" w:type="dxa"/>
            <w:vMerge/>
            <w:tcBorders>
              <w:top w:val="nil"/>
              <w:left w:val="single" w:sz="4" w:space="0" w:color="auto"/>
              <w:bottom w:val="single" w:sz="4" w:space="0" w:color="000000"/>
              <w:right w:val="single" w:sz="4" w:space="0" w:color="auto"/>
            </w:tcBorders>
            <w:vAlign w:val="center"/>
            <w:hideMark/>
          </w:tcPr>
          <w:p w14:paraId="3F854893" w14:textId="77777777" w:rsidR="00CF1323" w:rsidRPr="00FF7D2B" w:rsidRDefault="00CF1323" w:rsidP="00CF1323">
            <w:pPr>
              <w:spacing w:before="0" w:after="0"/>
              <w:jc w:val="left"/>
              <w:rPr>
                <w:rFonts w:ascii="Calibri" w:eastAsia="Times New Roman" w:hAnsi="Calibri" w:cs="Calibri"/>
                <w:noProof/>
                <w:color w:val="000000"/>
                <w:sz w:val="22"/>
                <w:lang w:val="en-US"/>
              </w:rPr>
            </w:pPr>
          </w:p>
        </w:tc>
        <w:tc>
          <w:tcPr>
            <w:tcW w:w="1676" w:type="dxa"/>
            <w:tcBorders>
              <w:top w:val="nil"/>
              <w:left w:val="nil"/>
              <w:bottom w:val="single" w:sz="4" w:space="0" w:color="auto"/>
              <w:right w:val="single" w:sz="4" w:space="0" w:color="auto"/>
            </w:tcBorders>
            <w:shd w:val="clear" w:color="auto" w:fill="auto"/>
            <w:vAlign w:val="bottom"/>
            <w:hideMark/>
          </w:tcPr>
          <w:p w14:paraId="773DFE00" w14:textId="77777777" w:rsidR="00CF1323" w:rsidRPr="00FF7D2B" w:rsidRDefault="00CF1323" w:rsidP="00CF1323">
            <w:pPr>
              <w:spacing w:before="0" w:after="0"/>
              <w:jc w:val="left"/>
              <w:rPr>
                <w:rFonts w:ascii="Calibri" w:eastAsia="Times New Roman" w:hAnsi="Calibri" w:cs="Calibri"/>
                <w:noProof/>
                <w:color w:val="000000"/>
                <w:sz w:val="22"/>
                <w:lang w:val="en-US"/>
              </w:rPr>
            </w:pPr>
            <w:r w:rsidRPr="00FF7D2B">
              <w:rPr>
                <w:rFonts w:ascii="Calibri" w:eastAsia="Times New Roman" w:hAnsi="Calibri" w:cs="Calibri"/>
                <w:noProof/>
                <w:color w:val="000000"/>
                <w:sz w:val="22"/>
                <w:lang w:val="en-US"/>
              </w:rPr>
              <w:t>PA</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tcPr>
          <w:p w14:paraId="20463499"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19.425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5C88F4"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21.785 </w:t>
            </w:r>
          </w:p>
        </w:tc>
        <w:tc>
          <w:tcPr>
            <w:tcW w:w="1072" w:type="dxa"/>
            <w:tcBorders>
              <w:top w:val="nil"/>
              <w:left w:val="nil"/>
              <w:bottom w:val="single" w:sz="4" w:space="0" w:color="auto"/>
              <w:right w:val="single" w:sz="4" w:space="0" w:color="auto"/>
            </w:tcBorders>
            <w:shd w:val="clear" w:color="auto" w:fill="auto"/>
            <w:vAlign w:val="bottom"/>
            <w:hideMark/>
          </w:tcPr>
          <w:p w14:paraId="38FEDB66"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   </w:t>
            </w:r>
          </w:p>
        </w:tc>
        <w:tc>
          <w:tcPr>
            <w:tcW w:w="1247" w:type="dxa"/>
            <w:tcBorders>
              <w:top w:val="nil"/>
              <w:left w:val="nil"/>
              <w:bottom w:val="single" w:sz="4" w:space="0" w:color="auto"/>
              <w:right w:val="single" w:sz="4" w:space="0" w:color="auto"/>
            </w:tcBorders>
            <w:shd w:val="clear" w:color="auto" w:fill="auto"/>
            <w:vAlign w:val="bottom"/>
            <w:hideMark/>
          </w:tcPr>
          <w:p w14:paraId="24339AF8"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   </w:t>
            </w:r>
          </w:p>
        </w:tc>
        <w:tc>
          <w:tcPr>
            <w:tcW w:w="1228" w:type="dxa"/>
            <w:tcBorders>
              <w:top w:val="nil"/>
              <w:left w:val="nil"/>
              <w:bottom w:val="single" w:sz="4" w:space="0" w:color="auto"/>
              <w:right w:val="single" w:sz="4" w:space="0" w:color="auto"/>
            </w:tcBorders>
            <w:vAlign w:val="bottom"/>
            <w:hideMark/>
          </w:tcPr>
          <w:p w14:paraId="6ACCD76F" w14:textId="77777777" w:rsidR="00CF1323" w:rsidRPr="00FF7D2B" w:rsidRDefault="00CF1323" w:rsidP="00CF1323">
            <w:pPr>
              <w:spacing w:before="0" w:after="0"/>
              <w:jc w:val="right"/>
              <w:rPr>
                <w:rFonts w:ascii="Calibri" w:eastAsia="Times New Roman" w:hAnsi="Calibri" w:cs="Calibri"/>
                <w:noProof/>
                <w:color w:val="000000"/>
                <w:sz w:val="22"/>
                <w:lang w:val="en-US"/>
              </w:rPr>
            </w:pPr>
            <w:r>
              <w:rPr>
                <w:rFonts w:ascii="Calibri" w:hAnsi="Calibri" w:cs="Calibri"/>
                <w:noProof/>
                <w:color w:val="000000"/>
                <w:sz w:val="22"/>
              </w:rPr>
              <w:t xml:space="preserve">          41.210 </w:t>
            </w:r>
          </w:p>
        </w:tc>
      </w:tr>
      <w:tr w:rsidR="00CF1323" w:rsidRPr="00FF7D2B" w14:paraId="0DCD621B" w14:textId="77777777" w:rsidTr="00EC0933">
        <w:trPr>
          <w:trHeight w:val="288"/>
        </w:trPr>
        <w:tc>
          <w:tcPr>
            <w:tcW w:w="4506" w:type="dxa"/>
            <w:tcBorders>
              <w:top w:val="nil"/>
              <w:left w:val="single" w:sz="4" w:space="0" w:color="auto"/>
              <w:bottom w:val="single" w:sz="4" w:space="0" w:color="auto"/>
              <w:right w:val="single" w:sz="4" w:space="0" w:color="auto"/>
            </w:tcBorders>
            <w:shd w:val="clear" w:color="auto" w:fill="auto"/>
            <w:vAlign w:val="bottom"/>
            <w:hideMark/>
          </w:tcPr>
          <w:p w14:paraId="58B1BF1A" w14:textId="77777777" w:rsidR="00CF1323" w:rsidRPr="00FF7D2B" w:rsidRDefault="00CF1323" w:rsidP="00CF1323">
            <w:pPr>
              <w:spacing w:before="0" w:after="0"/>
              <w:jc w:val="left"/>
              <w:rPr>
                <w:rFonts w:ascii="Calibri" w:eastAsia="Times New Roman" w:hAnsi="Calibri" w:cs="Calibri"/>
                <w:b/>
                <w:bCs/>
                <w:noProof/>
                <w:color w:val="000000"/>
                <w:sz w:val="22"/>
                <w:lang w:val="en-US"/>
              </w:rPr>
            </w:pPr>
            <w:r w:rsidRPr="00FF7D2B">
              <w:rPr>
                <w:rFonts w:ascii="Calibri" w:eastAsia="Times New Roman" w:hAnsi="Calibri" w:cs="Calibri"/>
                <w:b/>
                <w:bCs/>
                <w:noProof/>
                <w:color w:val="000000"/>
                <w:sz w:val="22"/>
                <w:lang w:val="en-US"/>
              </w:rPr>
              <w:t>TOTAL</w:t>
            </w:r>
          </w:p>
        </w:tc>
        <w:tc>
          <w:tcPr>
            <w:tcW w:w="1676" w:type="dxa"/>
            <w:tcBorders>
              <w:top w:val="nil"/>
              <w:left w:val="nil"/>
              <w:bottom w:val="single" w:sz="4" w:space="0" w:color="auto"/>
              <w:right w:val="single" w:sz="4" w:space="0" w:color="auto"/>
            </w:tcBorders>
            <w:shd w:val="clear" w:color="auto" w:fill="auto"/>
            <w:vAlign w:val="bottom"/>
            <w:hideMark/>
          </w:tcPr>
          <w:p w14:paraId="35FD1E9D" w14:textId="77777777" w:rsidR="00CF1323" w:rsidRPr="00FF7D2B" w:rsidRDefault="00CF1323" w:rsidP="00CF1323">
            <w:pPr>
              <w:spacing w:before="0" w:after="0"/>
              <w:jc w:val="left"/>
              <w:rPr>
                <w:rFonts w:ascii="Calibri" w:eastAsia="Times New Roman" w:hAnsi="Calibri" w:cs="Calibri"/>
                <w:b/>
                <w:bCs/>
                <w:noProof/>
                <w:color w:val="000000"/>
                <w:sz w:val="22"/>
                <w:lang w:val="en-US"/>
              </w:rPr>
            </w:pPr>
            <w:r w:rsidRPr="00FF7D2B">
              <w:rPr>
                <w:rFonts w:ascii="Calibri" w:eastAsia="Times New Roman" w:hAnsi="Calibri" w:cs="Calibri"/>
                <w:b/>
                <w:bCs/>
                <w:noProof/>
                <w:color w:val="000000"/>
                <w:sz w:val="22"/>
                <w:lang w:val="en-US"/>
              </w:rPr>
              <w:t>CA</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tcPr>
          <w:p w14:paraId="4A8C4287" w14:textId="77777777" w:rsidR="00CF1323" w:rsidRPr="00FF7D2B" w:rsidRDefault="00CF1323" w:rsidP="00CF1323">
            <w:pPr>
              <w:spacing w:before="0" w:after="0"/>
              <w:jc w:val="right"/>
              <w:rPr>
                <w:rFonts w:ascii="Calibri" w:eastAsia="Times New Roman" w:hAnsi="Calibri" w:cs="Calibri"/>
                <w:b/>
                <w:bCs/>
                <w:noProof/>
                <w:color w:val="000000"/>
                <w:sz w:val="22"/>
                <w:lang w:val="en-US"/>
              </w:rPr>
            </w:pPr>
            <w:r>
              <w:rPr>
                <w:rFonts w:ascii="Calibri" w:hAnsi="Calibri" w:cs="Calibri"/>
                <w:b/>
                <w:bCs/>
                <w:noProof/>
                <w:color w:val="000000"/>
                <w:sz w:val="22"/>
              </w:rPr>
              <w:t xml:space="preserve">       19.945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1188D" w14:textId="77777777" w:rsidR="00CF1323" w:rsidRPr="00FF7D2B" w:rsidRDefault="00CF1323" w:rsidP="00CF1323">
            <w:pPr>
              <w:spacing w:before="0" w:after="0"/>
              <w:jc w:val="right"/>
              <w:rPr>
                <w:rFonts w:ascii="Calibri" w:eastAsia="Times New Roman" w:hAnsi="Calibri" w:cs="Calibri"/>
                <w:b/>
                <w:bCs/>
                <w:noProof/>
                <w:color w:val="000000"/>
                <w:sz w:val="22"/>
                <w:lang w:val="en-US"/>
              </w:rPr>
            </w:pPr>
            <w:r>
              <w:rPr>
                <w:rFonts w:ascii="Calibri" w:hAnsi="Calibri" w:cs="Calibri"/>
                <w:b/>
                <w:bCs/>
                <w:noProof/>
                <w:color w:val="000000"/>
                <w:sz w:val="22"/>
              </w:rPr>
              <w:t xml:space="preserve">       22.825 </w:t>
            </w:r>
          </w:p>
        </w:tc>
        <w:tc>
          <w:tcPr>
            <w:tcW w:w="1072" w:type="dxa"/>
            <w:tcBorders>
              <w:top w:val="nil"/>
              <w:left w:val="nil"/>
              <w:bottom w:val="single" w:sz="4" w:space="0" w:color="auto"/>
              <w:right w:val="single" w:sz="4" w:space="0" w:color="auto"/>
            </w:tcBorders>
            <w:shd w:val="clear" w:color="auto" w:fill="auto"/>
            <w:vAlign w:val="bottom"/>
            <w:hideMark/>
          </w:tcPr>
          <w:p w14:paraId="33779517" w14:textId="77777777" w:rsidR="00CF1323" w:rsidRPr="00FF7D2B" w:rsidRDefault="00CF1323" w:rsidP="00CF1323">
            <w:pPr>
              <w:spacing w:before="0" w:after="0"/>
              <w:jc w:val="right"/>
              <w:rPr>
                <w:rFonts w:ascii="Calibri" w:eastAsia="Times New Roman" w:hAnsi="Calibri" w:cs="Calibri"/>
                <w:b/>
                <w:bCs/>
                <w:noProof/>
                <w:color w:val="000000"/>
                <w:sz w:val="22"/>
                <w:lang w:val="en-US"/>
              </w:rPr>
            </w:pPr>
            <w:r>
              <w:rPr>
                <w:rFonts w:ascii="Calibri" w:hAnsi="Calibri" w:cs="Calibri"/>
                <w:b/>
                <w:bCs/>
                <w:noProof/>
                <w:color w:val="000000"/>
                <w:sz w:val="22"/>
              </w:rPr>
              <w:t xml:space="preserve">       12.800 </w:t>
            </w:r>
          </w:p>
        </w:tc>
        <w:tc>
          <w:tcPr>
            <w:tcW w:w="1247" w:type="dxa"/>
            <w:tcBorders>
              <w:top w:val="nil"/>
              <w:left w:val="nil"/>
              <w:bottom w:val="single" w:sz="4" w:space="0" w:color="auto"/>
              <w:right w:val="single" w:sz="4" w:space="0" w:color="auto"/>
            </w:tcBorders>
            <w:shd w:val="clear" w:color="auto" w:fill="auto"/>
            <w:vAlign w:val="bottom"/>
            <w:hideMark/>
          </w:tcPr>
          <w:p w14:paraId="0D9F7238" w14:textId="77777777" w:rsidR="00CF1323" w:rsidRPr="00FF7D2B" w:rsidRDefault="00CF1323" w:rsidP="00CF1323">
            <w:pPr>
              <w:spacing w:before="0" w:after="0"/>
              <w:jc w:val="right"/>
              <w:rPr>
                <w:rFonts w:ascii="Calibri" w:eastAsia="Times New Roman" w:hAnsi="Calibri" w:cs="Calibri"/>
                <w:b/>
                <w:bCs/>
                <w:noProof/>
                <w:color w:val="000000"/>
                <w:sz w:val="22"/>
                <w:lang w:val="en-US"/>
              </w:rPr>
            </w:pPr>
            <w:r>
              <w:rPr>
                <w:rFonts w:ascii="Calibri" w:hAnsi="Calibri" w:cs="Calibri"/>
                <w:b/>
                <w:bCs/>
                <w:noProof/>
                <w:color w:val="000000"/>
                <w:sz w:val="22"/>
              </w:rPr>
              <w:t xml:space="preserve">           12.800 </w:t>
            </w:r>
          </w:p>
        </w:tc>
        <w:tc>
          <w:tcPr>
            <w:tcW w:w="1228" w:type="dxa"/>
            <w:tcBorders>
              <w:top w:val="nil"/>
              <w:left w:val="nil"/>
              <w:bottom w:val="single" w:sz="4" w:space="0" w:color="auto"/>
              <w:right w:val="single" w:sz="4" w:space="0" w:color="auto"/>
            </w:tcBorders>
            <w:vAlign w:val="bottom"/>
            <w:hideMark/>
          </w:tcPr>
          <w:p w14:paraId="38ED972D" w14:textId="77777777" w:rsidR="00CF1323" w:rsidRPr="00FF7D2B" w:rsidRDefault="00CF1323" w:rsidP="00CF1323">
            <w:pPr>
              <w:spacing w:before="0" w:after="0"/>
              <w:jc w:val="right"/>
              <w:rPr>
                <w:rFonts w:ascii="Calibri" w:eastAsia="Times New Roman" w:hAnsi="Calibri" w:cs="Calibri"/>
                <w:b/>
                <w:bCs/>
                <w:noProof/>
                <w:color w:val="000000"/>
                <w:sz w:val="22"/>
                <w:lang w:val="en-US"/>
              </w:rPr>
            </w:pPr>
            <w:r>
              <w:rPr>
                <w:rFonts w:ascii="Calibri" w:hAnsi="Calibri" w:cs="Calibri"/>
                <w:b/>
                <w:bCs/>
                <w:noProof/>
                <w:color w:val="000000"/>
                <w:sz w:val="22"/>
              </w:rPr>
              <w:t xml:space="preserve">          68.370 </w:t>
            </w:r>
          </w:p>
        </w:tc>
      </w:tr>
      <w:tr w:rsidR="00CF1323" w:rsidRPr="00FF7D2B" w14:paraId="1E640BB6" w14:textId="77777777" w:rsidTr="00EC0933">
        <w:trPr>
          <w:trHeight w:val="288"/>
        </w:trPr>
        <w:tc>
          <w:tcPr>
            <w:tcW w:w="4506" w:type="dxa"/>
            <w:tcBorders>
              <w:top w:val="nil"/>
              <w:left w:val="single" w:sz="4" w:space="0" w:color="auto"/>
              <w:bottom w:val="single" w:sz="4" w:space="0" w:color="auto"/>
              <w:right w:val="single" w:sz="4" w:space="0" w:color="auto"/>
            </w:tcBorders>
            <w:shd w:val="clear" w:color="auto" w:fill="auto"/>
            <w:vAlign w:val="bottom"/>
            <w:hideMark/>
          </w:tcPr>
          <w:p w14:paraId="1B396799" w14:textId="77777777" w:rsidR="00CF1323" w:rsidRPr="00FF7D2B" w:rsidRDefault="00CF1323" w:rsidP="00CF1323">
            <w:pPr>
              <w:spacing w:before="0" w:after="0"/>
              <w:jc w:val="left"/>
              <w:rPr>
                <w:rFonts w:ascii="Calibri" w:eastAsia="Times New Roman" w:hAnsi="Calibri" w:cs="Calibri"/>
                <w:b/>
                <w:bCs/>
                <w:noProof/>
                <w:color w:val="000000"/>
                <w:sz w:val="22"/>
                <w:lang w:val="en-US"/>
              </w:rPr>
            </w:pPr>
            <w:r w:rsidRPr="00FF7D2B">
              <w:rPr>
                <w:rFonts w:ascii="Calibri" w:eastAsia="Times New Roman" w:hAnsi="Calibri" w:cs="Calibri"/>
                <w:b/>
                <w:bCs/>
                <w:noProof/>
                <w:color w:val="000000"/>
                <w:sz w:val="22"/>
                <w:lang w:val="en-US"/>
              </w:rPr>
              <w:t> </w:t>
            </w:r>
          </w:p>
        </w:tc>
        <w:tc>
          <w:tcPr>
            <w:tcW w:w="1676" w:type="dxa"/>
            <w:tcBorders>
              <w:top w:val="nil"/>
              <w:left w:val="nil"/>
              <w:bottom w:val="single" w:sz="4" w:space="0" w:color="auto"/>
              <w:right w:val="single" w:sz="4" w:space="0" w:color="auto"/>
            </w:tcBorders>
            <w:shd w:val="clear" w:color="auto" w:fill="auto"/>
            <w:vAlign w:val="bottom"/>
            <w:hideMark/>
          </w:tcPr>
          <w:p w14:paraId="04481E7E" w14:textId="77777777" w:rsidR="00CF1323" w:rsidRPr="00FF7D2B" w:rsidRDefault="00CF1323" w:rsidP="00CF1323">
            <w:pPr>
              <w:spacing w:before="0" w:after="0"/>
              <w:jc w:val="left"/>
              <w:rPr>
                <w:rFonts w:ascii="Calibri" w:eastAsia="Times New Roman" w:hAnsi="Calibri" w:cs="Calibri"/>
                <w:b/>
                <w:bCs/>
                <w:noProof/>
                <w:color w:val="000000"/>
                <w:sz w:val="22"/>
                <w:lang w:val="en-US"/>
              </w:rPr>
            </w:pPr>
            <w:r w:rsidRPr="00FF7D2B">
              <w:rPr>
                <w:rFonts w:ascii="Calibri" w:eastAsia="Times New Roman" w:hAnsi="Calibri" w:cs="Calibri"/>
                <w:b/>
                <w:bCs/>
                <w:noProof/>
                <w:color w:val="000000"/>
                <w:sz w:val="22"/>
                <w:lang w:val="en-US"/>
              </w:rPr>
              <w:t>PA</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tcPr>
          <w:p w14:paraId="5DC68D4E" w14:textId="77777777" w:rsidR="00CF1323" w:rsidRPr="00FF7D2B" w:rsidRDefault="00CF1323" w:rsidP="00CF1323">
            <w:pPr>
              <w:spacing w:before="0" w:after="0"/>
              <w:jc w:val="right"/>
              <w:rPr>
                <w:rFonts w:ascii="Calibri" w:eastAsia="Times New Roman" w:hAnsi="Calibri" w:cs="Calibri"/>
                <w:b/>
                <w:bCs/>
                <w:noProof/>
                <w:color w:val="000000"/>
                <w:sz w:val="22"/>
                <w:lang w:val="en-US"/>
              </w:rPr>
            </w:pPr>
            <w:r>
              <w:rPr>
                <w:rFonts w:ascii="Calibri" w:hAnsi="Calibri" w:cs="Calibri"/>
                <w:b/>
                <w:bCs/>
                <w:noProof/>
                <w:color w:val="000000"/>
                <w:sz w:val="22"/>
              </w:rPr>
              <w:t xml:space="preserve">       19.945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27D8C2" w14:textId="77777777" w:rsidR="00CF1323" w:rsidRPr="00FF7D2B" w:rsidRDefault="00CF1323" w:rsidP="00CF1323">
            <w:pPr>
              <w:spacing w:before="0" w:after="0"/>
              <w:jc w:val="right"/>
              <w:rPr>
                <w:rFonts w:ascii="Calibri" w:eastAsia="Times New Roman" w:hAnsi="Calibri" w:cs="Calibri"/>
                <w:b/>
                <w:bCs/>
                <w:noProof/>
                <w:color w:val="000000"/>
                <w:sz w:val="22"/>
                <w:lang w:val="en-US"/>
              </w:rPr>
            </w:pPr>
            <w:r>
              <w:rPr>
                <w:rFonts w:ascii="Calibri" w:hAnsi="Calibri" w:cs="Calibri"/>
                <w:b/>
                <w:bCs/>
                <w:noProof/>
                <w:color w:val="000000"/>
                <w:sz w:val="22"/>
              </w:rPr>
              <w:t xml:space="preserve">       22.825 </w:t>
            </w:r>
          </w:p>
        </w:tc>
        <w:tc>
          <w:tcPr>
            <w:tcW w:w="1072" w:type="dxa"/>
            <w:tcBorders>
              <w:top w:val="nil"/>
              <w:left w:val="nil"/>
              <w:bottom w:val="single" w:sz="4" w:space="0" w:color="auto"/>
              <w:right w:val="single" w:sz="4" w:space="0" w:color="auto"/>
            </w:tcBorders>
            <w:shd w:val="clear" w:color="auto" w:fill="auto"/>
            <w:vAlign w:val="bottom"/>
            <w:hideMark/>
          </w:tcPr>
          <w:p w14:paraId="04B341C7" w14:textId="77777777" w:rsidR="00CF1323" w:rsidRPr="00FF7D2B" w:rsidRDefault="00CF1323" w:rsidP="00CF1323">
            <w:pPr>
              <w:spacing w:before="0" w:after="0"/>
              <w:jc w:val="right"/>
              <w:rPr>
                <w:rFonts w:ascii="Calibri" w:eastAsia="Times New Roman" w:hAnsi="Calibri" w:cs="Calibri"/>
                <w:b/>
                <w:bCs/>
                <w:noProof/>
                <w:color w:val="000000"/>
                <w:sz w:val="22"/>
                <w:lang w:val="en-US"/>
              </w:rPr>
            </w:pPr>
            <w:r>
              <w:rPr>
                <w:rFonts w:ascii="Calibri" w:hAnsi="Calibri" w:cs="Calibri"/>
                <w:b/>
                <w:bCs/>
                <w:noProof/>
                <w:color w:val="000000"/>
                <w:sz w:val="22"/>
              </w:rPr>
              <w:t xml:space="preserve">       12.800 </w:t>
            </w:r>
          </w:p>
        </w:tc>
        <w:tc>
          <w:tcPr>
            <w:tcW w:w="1247" w:type="dxa"/>
            <w:tcBorders>
              <w:top w:val="nil"/>
              <w:left w:val="nil"/>
              <w:bottom w:val="single" w:sz="4" w:space="0" w:color="auto"/>
              <w:right w:val="single" w:sz="4" w:space="0" w:color="auto"/>
            </w:tcBorders>
            <w:shd w:val="clear" w:color="auto" w:fill="auto"/>
            <w:vAlign w:val="bottom"/>
            <w:hideMark/>
          </w:tcPr>
          <w:p w14:paraId="6BEF24B7" w14:textId="77777777" w:rsidR="00CF1323" w:rsidRPr="00FF7D2B" w:rsidRDefault="00CF1323" w:rsidP="00CF1323">
            <w:pPr>
              <w:spacing w:before="0" w:after="0"/>
              <w:jc w:val="right"/>
              <w:rPr>
                <w:rFonts w:ascii="Calibri" w:eastAsia="Times New Roman" w:hAnsi="Calibri" w:cs="Calibri"/>
                <w:b/>
                <w:bCs/>
                <w:noProof/>
                <w:color w:val="000000"/>
                <w:sz w:val="22"/>
                <w:lang w:val="en-US"/>
              </w:rPr>
            </w:pPr>
            <w:r>
              <w:rPr>
                <w:rFonts w:ascii="Calibri" w:hAnsi="Calibri" w:cs="Calibri"/>
                <w:b/>
                <w:bCs/>
                <w:noProof/>
                <w:color w:val="000000"/>
                <w:sz w:val="22"/>
              </w:rPr>
              <w:t xml:space="preserve">           12.800 </w:t>
            </w:r>
          </w:p>
        </w:tc>
        <w:tc>
          <w:tcPr>
            <w:tcW w:w="1228" w:type="dxa"/>
            <w:tcBorders>
              <w:top w:val="nil"/>
              <w:left w:val="nil"/>
              <w:bottom w:val="single" w:sz="4" w:space="0" w:color="auto"/>
              <w:right w:val="single" w:sz="4" w:space="0" w:color="auto"/>
            </w:tcBorders>
            <w:vAlign w:val="bottom"/>
            <w:hideMark/>
          </w:tcPr>
          <w:p w14:paraId="50606DE0" w14:textId="77777777" w:rsidR="00CF1323" w:rsidRPr="00FF7D2B" w:rsidRDefault="00CF1323" w:rsidP="00CF1323">
            <w:pPr>
              <w:spacing w:before="0" w:after="0"/>
              <w:jc w:val="right"/>
              <w:rPr>
                <w:rFonts w:ascii="Calibri" w:eastAsia="Times New Roman" w:hAnsi="Calibri" w:cs="Calibri"/>
                <w:b/>
                <w:bCs/>
                <w:noProof/>
                <w:color w:val="000000"/>
                <w:sz w:val="22"/>
                <w:lang w:val="en-US"/>
              </w:rPr>
            </w:pPr>
            <w:r>
              <w:rPr>
                <w:rFonts w:ascii="Calibri" w:hAnsi="Calibri" w:cs="Calibri"/>
                <w:b/>
                <w:bCs/>
                <w:noProof/>
                <w:color w:val="000000"/>
                <w:sz w:val="22"/>
              </w:rPr>
              <w:t xml:space="preserve">          68.370 </w:t>
            </w:r>
          </w:p>
        </w:tc>
      </w:tr>
    </w:tbl>
    <w:p w14:paraId="7F21F6B7" w14:textId="77777777" w:rsidR="00E04CDE" w:rsidRDefault="00E04CDE" w:rsidP="00E04CDE">
      <w:pPr>
        <w:rPr>
          <w:noProof/>
        </w:rPr>
      </w:pPr>
      <w:r>
        <w:rPr>
          <w:noProof/>
        </w:rPr>
        <w:t>These expenses will cover costs related to:</w:t>
      </w:r>
    </w:p>
    <w:p w14:paraId="5502D41F" w14:textId="77777777" w:rsidR="00E04CDE" w:rsidRDefault="00E04CDE" w:rsidP="00E04CDE">
      <w:pPr>
        <w:pStyle w:val="Bullet0"/>
        <w:rPr>
          <w:noProof/>
        </w:rPr>
      </w:pPr>
      <w:r>
        <w:rPr>
          <w:noProof/>
        </w:rPr>
        <w:t>development</w:t>
      </w:r>
      <w:r w:rsidRPr="00721900">
        <w:rPr>
          <w:noProof/>
        </w:rPr>
        <w:t xml:space="preserve"> and maintenance of an EU visa application platform</w:t>
      </w:r>
      <w:r>
        <w:rPr>
          <w:noProof/>
        </w:rPr>
        <w:t>,</w:t>
      </w:r>
    </w:p>
    <w:p w14:paraId="68909D06" w14:textId="77777777" w:rsidR="00E04CDE" w:rsidRPr="00FF7D2B" w:rsidRDefault="00E04CDE" w:rsidP="00E04CDE">
      <w:pPr>
        <w:pStyle w:val="Bullet0"/>
        <w:rPr>
          <w:noProof/>
        </w:rPr>
      </w:pPr>
      <w:r>
        <w:rPr>
          <w:noProof/>
        </w:rPr>
        <w:t xml:space="preserve">gradual </w:t>
      </w:r>
      <w:r w:rsidRPr="00FF7D2B">
        <w:rPr>
          <w:noProof/>
        </w:rPr>
        <w:t>recruitment of additional 5 temporary agents (AD) and 5 contract agents for the</w:t>
      </w:r>
      <w:r>
        <w:rPr>
          <w:noProof/>
        </w:rPr>
        <w:t xml:space="preserve"> development and</w:t>
      </w:r>
      <w:r w:rsidRPr="00FF7D2B">
        <w:rPr>
          <w:noProof/>
        </w:rPr>
        <w:t xml:space="preserve"> maintenance of the EU visa application platform as from 202</w:t>
      </w:r>
      <w:r>
        <w:rPr>
          <w:noProof/>
        </w:rPr>
        <w:t>3</w:t>
      </w:r>
      <w:r w:rsidRPr="00FF7D2B">
        <w:rPr>
          <w:noProof/>
        </w:rPr>
        <w:t>.</w:t>
      </w:r>
    </w:p>
    <w:p w14:paraId="0EE4E160" w14:textId="77777777" w:rsidR="00E04CDE" w:rsidRDefault="00E04CDE" w:rsidP="00E04CDE">
      <w:pPr>
        <w:pStyle w:val="ListParagraph"/>
        <w:spacing w:before="0" w:after="0"/>
        <w:ind w:left="1440"/>
        <w:contextualSpacing w:val="0"/>
        <w:jc w:val="left"/>
        <w:rPr>
          <w:noProof/>
        </w:rPr>
      </w:pPr>
      <w:r>
        <w:rPr>
          <w:noProof/>
        </w:rPr>
        <w:t xml:space="preserve"> </w:t>
      </w:r>
    </w:p>
    <w:p w14:paraId="7DA6CC74" w14:textId="77777777" w:rsidR="00E04CDE" w:rsidRDefault="00E04CDE" w:rsidP="00E04CDE">
      <w:pPr>
        <w:rPr>
          <w:noProof/>
        </w:rPr>
      </w:pPr>
    </w:p>
    <w:p w14:paraId="02FE8145" w14:textId="77777777" w:rsidR="00E04CDE" w:rsidRDefault="00E04CDE" w:rsidP="00E04CDE">
      <w:pPr>
        <w:rPr>
          <w:noProof/>
        </w:rPr>
      </w:pPr>
    </w:p>
    <w:p w14:paraId="78B1E2BE" w14:textId="77777777" w:rsidR="00E04CDE" w:rsidRDefault="00E04CDE" w:rsidP="00E04CDE">
      <w:pPr>
        <w:rPr>
          <w:noProof/>
        </w:rPr>
      </w:pPr>
    </w:p>
    <w:p w14:paraId="5B549972" w14:textId="77777777" w:rsidR="00E04CDE" w:rsidRDefault="00E04CDE" w:rsidP="00E04CDE">
      <w:pPr>
        <w:rPr>
          <w:noProof/>
        </w:rPr>
      </w:pPr>
    </w:p>
    <w:p w14:paraId="578F9616" w14:textId="32BCEAFB" w:rsidR="00E04CDE" w:rsidRDefault="00EF15A7" w:rsidP="00EF15A7">
      <w:pPr>
        <w:pStyle w:val="ManualHeading3"/>
        <w:rPr>
          <w:bCs/>
          <w:noProof/>
          <w:szCs w:val="24"/>
        </w:rPr>
      </w:pPr>
      <w:r w:rsidRPr="00EF15A7">
        <w:t>3.2.2.</w:t>
      </w:r>
      <w:r w:rsidRPr="00EF15A7">
        <w:tab/>
      </w:r>
      <w:r w:rsidR="00E04CDE">
        <w:rPr>
          <w:noProof/>
        </w:rPr>
        <w:t xml:space="preserve">Estimated output funded with operational appropriations </w:t>
      </w:r>
    </w:p>
    <w:p w14:paraId="3A7DA482" w14:textId="77777777" w:rsidR="00E04CDE" w:rsidRDefault="00E04CDE" w:rsidP="00E04CDE">
      <w:pPr>
        <w:jc w:val="right"/>
        <w:rPr>
          <w:noProof/>
          <w:sz w:val="20"/>
        </w:rPr>
      </w:pPr>
      <w:r>
        <w:rPr>
          <w:noProof/>
          <w:sz w:val="20"/>
        </w:rPr>
        <w:t>Commitment appropriations in EUR million (to three decimal places)</w:t>
      </w:r>
    </w:p>
    <w:tbl>
      <w:tblPr>
        <w:tblW w:w="13720" w:type="dxa"/>
        <w:tblInd w:w="118" w:type="dxa"/>
        <w:tblLook w:val="04A0" w:firstRow="1" w:lastRow="0" w:firstColumn="1" w:lastColumn="0" w:noHBand="0" w:noVBand="1"/>
      </w:tblPr>
      <w:tblGrid>
        <w:gridCol w:w="1716"/>
        <w:gridCol w:w="1146"/>
        <w:gridCol w:w="2946"/>
        <w:gridCol w:w="826"/>
        <w:gridCol w:w="637"/>
        <w:gridCol w:w="787"/>
        <w:gridCol w:w="621"/>
        <w:gridCol w:w="787"/>
        <w:gridCol w:w="621"/>
        <w:gridCol w:w="787"/>
        <w:gridCol w:w="621"/>
        <w:gridCol w:w="787"/>
        <w:gridCol w:w="637"/>
        <w:gridCol w:w="801"/>
      </w:tblGrid>
      <w:tr w:rsidR="00C92441" w14:paraId="165BA4E4" w14:textId="77777777" w:rsidTr="00C92441">
        <w:trPr>
          <w:trHeight w:val="236"/>
        </w:trPr>
        <w:tc>
          <w:tcPr>
            <w:tcW w:w="1716" w:type="dxa"/>
            <w:vMerge w:val="restart"/>
            <w:tcBorders>
              <w:top w:val="single" w:sz="8" w:space="0" w:color="auto"/>
              <w:left w:val="single" w:sz="8" w:space="0" w:color="auto"/>
              <w:bottom w:val="nil"/>
              <w:right w:val="single" w:sz="8" w:space="0" w:color="auto"/>
            </w:tcBorders>
            <w:vAlign w:val="center"/>
            <w:hideMark/>
          </w:tcPr>
          <w:p w14:paraId="011CD2E4" w14:textId="77777777" w:rsidR="00C92441" w:rsidRDefault="00C92441">
            <w:pPr>
              <w:spacing w:after="0"/>
              <w:jc w:val="center"/>
              <w:rPr>
                <w:rFonts w:eastAsia="Times New Roman"/>
                <w:b/>
                <w:bCs/>
                <w:noProof/>
                <w:color w:val="000000"/>
                <w:sz w:val="18"/>
                <w:szCs w:val="18"/>
                <w:lang w:eastAsia="en-IE"/>
              </w:rPr>
            </w:pPr>
            <w:bookmarkStart w:id="8" w:name="RANGE!A1:N23"/>
            <w:r>
              <w:rPr>
                <w:rFonts w:eastAsia="Times New Roman"/>
                <w:b/>
                <w:bCs/>
                <w:noProof/>
                <w:color w:val="000000"/>
                <w:sz w:val="18"/>
                <w:szCs w:val="18"/>
                <w:lang w:eastAsia="en-IE"/>
              </w:rPr>
              <w:t xml:space="preserve">Indicate objectives and outputs </w:t>
            </w:r>
            <w:bookmarkEnd w:id="8"/>
          </w:p>
        </w:tc>
        <w:tc>
          <w:tcPr>
            <w:tcW w:w="1146" w:type="dxa"/>
            <w:vMerge w:val="restart"/>
            <w:tcBorders>
              <w:top w:val="single" w:sz="8" w:space="0" w:color="auto"/>
              <w:left w:val="single" w:sz="8" w:space="0" w:color="auto"/>
              <w:bottom w:val="single" w:sz="8" w:space="0" w:color="000000"/>
              <w:right w:val="nil"/>
            </w:tcBorders>
            <w:vAlign w:val="center"/>
            <w:hideMark/>
          </w:tcPr>
          <w:p w14:paraId="49D3292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2946" w:type="dxa"/>
            <w:vMerge w:val="restart"/>
            <w:tcBorders>
              <w:top w:val="single" w:sz="8" w:space="0" w:color="auto"/>
              <w:left w:val="single" w:sz="8" w:space="0" w:color="auto"/>
              <w:bottom w:val="single" w:sz="8" w:space="0" w:color="000000"/>
              <w:right w:val="nil"/>
            </w:tcBorders>
            <w:vAlign w:val="center"/>
            <w:hideMark/>
          </w:tcPr>
          <w:p w14:paraId="44DDA896"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26" w:type="dxa"/>
            <w:vMerge w:val="restart"/>
            <w:tcBorders>
              <w:top w:val="single" w:sz="8" w:space="0" w:color="auto"/>
              <w:left w:val="single" w:sz="8" w:space="0" w:color="auto"/>
              <w:bottom w:val="single" w:sz="8" w:space="0" w:color="000000"/>
              <w:right w:val="nil"/>
            </w:tcBorders>
            <w:vAlign w:val="center"/>
            <w:hideMark/>
          </w:tcPr>
          <w:p w14:paraId="06996062"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1424" w:type="dxa"/>
            <w:gridSpan w:val="2"/>
            <w:tcBorders>
              <w:top w:val="single" w:sz="8" w:space="0" w:color="auto"/>
              <w:left w:val="single" w:sz="8" w:space="0" w:color="auto"/>
              <w:bottom w:val="nil"/>
              <w:right w:val="single" w:sz="8" w:space="0" w:color="000000"/>
            </w:tcBorders>
            <w:vAlign w:val="center"/>
            <w:hideMark/>
          </w:tcPr>
          <w:p w14:paraId="4513339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Year </w:t>
            </w:r>
          </w:p>
        </w:tc>
        <w:tc>
          <w:tcPr>
            <w:tcW w:w="1408" w:type="dxa"/>
            <w:gridSpan w:val="2"/>
            <w:tcBorders>
              <w:top w:val="single" w:sz="8" w:space="0" w:color="auto"/>
              <w:left w:val="nil"/>
              <w:bottom w:val="nil"/>
              <w:right w:val="single" w:sz="8" w:space="0" w:color="000000"/>
            </w:tcBorders>
            <w:vAlign w:val="center"/>
            <w:hideMark/>
          </w:tcPr>
          <w:p w14:paraId="0CAE22B6"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Year </w:t>
            </w:r>
          </w:p>
        </w:tc>
        <w:tc>
          <w:tcPr>
            <w:tcW w:w="1408" w:type="dxa"/>
            <w:gridSpan w:val="2"/>
            <w:tcBorders>
              <w:top w:val="single" w:sz="8" w:space="0" w:color="auto"/>
              <w:left w:val="nil"/>
              <w:bottom w:val="nil"/>
              <w:right w:val="single" w:sz="8" w:space="0" w:color="000000"/>
            </w:tcBorders>
            <w:vAlign w:val="center"/>
            <w:hideMark/>
          </w:tcPr>
          <w:p w14:paraId="0F765C37"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Year </w:t>
            </w:r>
          </w:p>
        </w:tc>
        <w:tc>
          <w:tcPr>
            <w:tcW w:w="1408" w:type="dxa"/>
            <w:gridSpan w:val="2"/>
            <w:tcBorders>
              <w:top w:val="single" w:sz="8" w:space="0" w:color="auto"/>
              <w:left w:val="nil"/>
              <w:bottom w:val="nil"/>
              <w:right w:val="single" w:sz="8" w:space="0" w:color="000000"/>
            </w:tcBorders>
            <w:vAlign w:val="center"/>
            <w:hideMark/>
          </w:tcPr>
          <w:p w14:paraId="4ABC5105"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Year </w:t>
            </w:r>
          </w:p>
        </w:tc>
        <w:tc>
          <w:tcPr>
            <w:tcW w:w="1438" w:type="dxa"/>
            <w:gridSpan w:val="2"/>
            <w:tcBorders>
              <w:top w:val="single" w:sz="8" w:space="0" w:color="auto"/>
              <w:left w:val="nil"/>
              <w:bottom w:val="nil"/>
              <w:right w:val="single" w:sz="8" w:space="0" w:color="000000"/>
            </w:tcBorders>
            <w:vAlign w:val="center"/>
            <w:hideMark/>
          </w:tcPr>
          <w:p w14:paraId="357CF8A5"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TOTAL </w:t>
            </w:r>
          </w:p>
        </w:tc>
      </w:tr>
      <w:tr w:rsidR="00C92441" w14:paraId="45DAAEF3" w14:textId="77777777" w:rsidTr="00C92441">
        <w:trPr>
          <w:trHeight w:val="309"/>
        </w:trPr>
        <w:tc>
          <w:tcPr>
            <w:tcW w:w="0" w:type="auto"/>
            <w:vMerge/>
            <w:tcBorders>
              <w:top w:val="single" w:sz="8" w:space="0" w:color="auto"/>
              <w:left w:val="single" w:sz="8" w:space="0" w:color="auto"/>
              <w:bottom w:val="nil"/>
              <w:right w:val="single" w:sz="8" w:space="0" w:color="auto"/>
            </w:tcBorders>
            <w:vAlign w:val="center"/>
            <w:hideMark/>
          </w:tcPr>
          <w:p w14:paraId="54D1753A" w14:textId="77777777" w:rsidR="00C92441" w:rsidRDefault="00C92441">
            <w:pPr>
              <w:spacing w:after="0"/>
              <w:rPr>
                <w:rFonts w:eastAsia="Times New Roman"/>
                <w:b/>
                <w:bCs/>
                <w:noProof/>
                <w:color w:val="000000"/>
                <w:sz w:val="18"/>
                <w:szCs w:val="18"/>
                <w:lang w:val="en-IE" w:eastAsia="en-IE"/>
              </w:rPr>
            </w:pPr>
          </w:p>
        </w:tc>
        <w:tc>
          <w:tcPr>
            <w:tcW w:w="0" w:type="auto"/>
            <w:vMerge/>
            <w:tcBorders>
              <w:top w:val="single" w:sz="8" w:space="0" w:color="auto"/>
              <w:left w:val="single" w:sz="8" w:space="0" w:color="auto"/>
              <w:bottom w:val="single" w:sz="8" w:space="0" w:color="000000"/>
              <w:right w:val="nil"/>
            </w:tcBorders>
            <w:vAlign w:val="center"/>
            <w:hideMark/>
          </w:tcPr>
          <w:p w14:paraId="028B06F8" w14:textId="77777777" w:rsidR="00C92441" w:rsidRDefault="00C92441">
            <w:pPr>
              <w:spacing w:after="0"/>
              <w:rPr>
                <w:rFonts w:eastAsia="Times New Roman"/>
                <w:noProof/>
                <w:color w:val="000000"/>
                <w:sz w:val="18"/>
                <w:szCs w:val="18"/>
                <w:lang w:val="en-IE" w:eastAsia="en-IE"/>
              </w:rPr>
            </w:pPr>
          </w:p>
        </w:tc>
        <w:tc>
          <w:tcPr>
            <w:tcW w:w="0" w:type="auto"/>
            <w:vMerge/>
            <w:tcBorders>
              <w:top w:val="single" w:sz="8" w:space="0" w:color="auto"/>
              <w:left w:val="single" w:sz="8" w:space="0" w:color="auto"/>
              <w:bottom w:val="single" w:sz="8" w:space="0" w:color="000000"/>
              <w:right w:val="nil"/>
            </w:tcBorders>
            <w:vAlign w:val="center"/>
            <w:hideMark/>
          </w:tcPr>
          <w:p w14:paraId="2A9703DA" w14:textId="77777777" w:rsidR="00C92441" w:rsidRDefault="00C92441">
            <w:pPr>
              <w:spacing w:after="0"/>
              <w:rPr>
                <w:rFonts w:eastAsia="Times New Roman"/>
                <w:noProof/>
                <w:color w:val="000000"/>
                <w:sz w:val="18"/>
                <w:szCs w:val="18"/>
                <w:lang w:val="en-IE" w:eastAsia="en-IE"/>
              </w:rPr>
            </w:pPr>
          </w:p>
        </w:tc>
        <w:tc>
          <w:tcPr>
            <w:tcW w:w="0" w:type="auto"/>
            <w:vMerge/>
            <w:tcBorders>
              <w:top w:val="single" w:sz="8" w:space="0" w:color="auto"/>
              <w:left w:val="single" w:sz="8" w:space="0" w:color="auto"/>
              <w:bottom w:val="single" w:sz="8" w:space="0" w:color="000000"/>
              <w:right w:val="nil"/>
            </w:tcBorders>
            <w:vAlign w:val="center"/>
            <w:hideMark/>
          </w:tcPr>
          <w:p w14:paraId="7E7B9F08" w14:textId="77777777" w:rsidR="00C92441" w:rsidRDefault="00C92441">
            <w:pPr>
              <w:spacing w:after="0"/>
              <w:rPr>
                <w:rFonts w:eastAsia="Times New Roman"/>
                <w:noProof/>
                <w:color w:val="000000"/>
                <w:sz w:val="18"/>
                <w:szCs w:val="18"/>
                <w:lang w:val="en-IE" w:eastAsia="en-IE"/>
              </w:rPr>
            </w:pPr>
          </w:p>
        </w:tc>
        <w:tc>
          <w:tcPr>
            <w:tcW w:w="1424" w:type="dxa"/>
            <w:gridSpan w:val="2"/>
            <w:tcBorders>
              <w:top w:val="nil"/>
              <w:left w:val="single" w:sz="8" w:space="0" w:color="auto"/>
              <w:bottom w:val="single" w:sz="8" w:space="0" w:color="auto"/>
              <w:right w:val="single" w:sz="8" w:space="0" w:color="000000"/>
            </w:tcBorders>
            <w:vAlign w:val="center"/>
            <w:hideMark/>
          </w:tcPr>
          <w:p w14:paraId="6790E8C5"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2024</w:t>
            </w:r>
          </w:p>
        </w:tc>
        <w:tc>
          <w:tcPr>
            <w:tcW w:w="1408" w:type="dxa"/>
            <w:gridSpan w:val="2"/>
            <w:tcBorders>
              <w:top w:val="nil"/>
              <w:left w:val="nil"/>
              <w:bottom w:val="single" w:sz="8" w:space="0" w:color="auto"/>
              <w:right w:val="single" w:sz="8" w:space="0" w:color="000000"/>
            </w:tcBorders>
            <w:vAlign w:val="center"/>
            <w:hideMark/>
          </w:tcPr>
          <w:p w14:paraId="3D3EB8F0"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2025</w:t>
            </w:r>
          </w:p>
        </w:tc>
        <w:tc>
          <w:tcPr>
            <w:tcW w:w="1408" w:type="dxa"/>
            <w:gridSpan w:val="2"/>
            <w:tcBorders>
              <w:top w:val="nil"/>
              <w:left w:val="nil"/>
              <w:bottom w:val="single" w:sz="8" w:space="0" w:color="auto"/>
              <w:right w:val="single" w:sz="8" w:space="0" w:color="000000"/>
            </w:tcBorders>
            <w:vAlign w:val="center"/>
            <w:hideMark/>
          </w:tcPr>
          <w:p w14:paraId="2A49B431"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2026</w:t>
            </w:r>
          </w:p>
        </w:tc>
        <w:tc>
          <w:tcPr>
            <w:tcW w:w="1408" w:type="dxa"/>
            <w:gridSpan w:val="2"/>
            <w:tcBorders>
              <w:top w:val="nil"/>
              <w:left w:val="nil"/>
              <w:bottom w:val="single" w:sz="8" w:space="0" w:color="auto"/>
              <w:right w:val="single" w:sz="8" w:space="0" w:color="000000"/>
            </w:tcBorders>
            <w:vAlign w:val="center"/>
            <w:hideMark/>
          </w:tcPr>
          <w:p w14:paraId="68928FF1"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2027</w:t>
            </w:r>
          </w:p>
        </w:tc>
        <w:tc>
          <w:tcPr>
            <w:tcW w:w="1438" w:type="dxa"/>
            <w:gridSpan w:val="2"/>
            <w:tcBorders>
              <w:top w:val="nil"/>
              <w:left w:val="nil"/>
              <w:bottom w:val="single" w:sz="8" w:space="0" w:color="auto"/>
              <w:right w:val="single" w:sz="8" w:space="0" w:color="000000"/>
            </w:tcBorders>
            <w:vAlign w:val="center"/>
            <w:hideMark/>
          </w:tcPr>
          <w:p w14:paraId="59A91014"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w:t>
            </w:r>
          </w:p>
        </w:tc>
      </w:tr>
      <w:tr w:rsidR="00C92441" w14:paraId="072AE85A" w14:textId="77777777" w:rsidTr="00C92441">
        <w:trPr>
          <w:trHeight w:val="256"/>
        </w:trPr>
        <w:tc>
          <w:tcPr>
            <w:tcW w:w="1716" w:type="dxa"/>
            <w:tcBorders>
              <w:top w:val="nil"/>
              <w:left w:val="single" w:sz="8" w:space="0" w:color="auto"/>
              <w:bottom w:val="nil"/>
              <w:right w:val="nil"/>
            </w:tcBorders>
            <w:vAlign w:val="center"/>
            <w:hideMark/>
          </w:tcPr>
          <w:p w14:paraId="71767864" w14:textId="77777777" w:rsidR="00C92441" w:rsidRDefault="00C92441">
            <w:pPr>
              <w:spacing w:after="0"/>
              <w:jc w:val="center"/>
              <w:rPr>
                <w:rFonts w:ascii="Wingdings" w:eastAsia="Times New Roman" w:hAnsi="Wingdings" w:cs="Calibri"/>
                <w:noProof/>
                <w:color w:val="000000"/>
                <w:sz w:val="18"/>
                <w:szCs w:val="18"/>
                <w:lang w:eastAsia="en-IE"/>
              </w:rPr>
            </w:pPr>
            <w:r>
              <w:rPr>
                <w:rFonts w:ascii="Wingdings" w:eastAsia="Times New Roman" w:hAnsi="Wingdings" w:cs="Calibri"/>
                <w:noProof/>
                <w:color w:val="000000"/>
                <w:sz w:val="18"/>
                <w:szCs w:val="18"/>
                <w:lang w:eastAsia="en-IE"/>
              </w:rPr>
              <w:t></w:t>
            </w:r>
          </w:p>
        </w:tc>
        <w:tc>
          <w:tcPr>
            <w:tcW w:w="1146" w:type="dxa"/>
            <w:vMerge w:val="restart"/>
            <w:tcBorders>
              <w:top w:val="nil"/>
              <w:left w:val="single" w:sz="8" w:space="0" w:color="auto"/>
              <w:bottom w:val="nil"/>
              <w:right w:val="nil"/>
            </w:tcBorders>
            <w:vAlign w:val="center"/>
            <w:hideMark/>
          </w:tcPr>
          <w:p w14:paraId="68F5858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Phase</w:t>
            </w:r>
          </w:p>
        </w:tc>
        <w:tc>
          <w:tcPr>
            <w:tcW w:w="2946" w:type="dxa"/>
            <w:vMerge w:val="restart"/>
            <w:tcBorders>
              <w:top w:val="nil"/>
              <w:left w:val="single" w:sz="8" w:space="0" w:color="auto"/>
              <w:bottom w:val="nil"/>
              <w:right w:val="nil"/>
            </w:tcBorders>
            <w:vAlign w:val="center"/>
            <w:hideMark/>
          </w:tcPr>
          <w:p w14:paraId="2E111105"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Type</w:t>
            </w:r>
          </w:p>
        </w:tc>
        <w:tc>
          <w:tcPr>
            <w:tcW w:w="826" w:type="dxa"/>
            <w:vMerge w:val="restart"/>
            <w:tcBorders>
              <w:top w:val="nil"/>
              <w:left w:val="single" w:sz="8" w:space="0" w:color="auto"/>
              <w:bottom w:val="nil"/>
              <w:right w:val="nil"/>
            </w:tcBorders>
            <w:vAlign w:val="center"/>
            <w:hideMark/>
          </w:tcPr>
          <w:p w14:paraId="5FC6B964"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Average cost</w:t>
            </w:r>
          </w:p>
        </w:tc>
        <w:tc>
          <w:tcPr>
            <w:tcW w:w="637" w:type="dxa"/>
            <w:vMerge w:val="restart"/>
            <w:tcBorders>
              <w:top w:val="nil"/>
              <w:left w:val="single" w:sz="8" w:space="0" w:color="auto"/>
              <w:bottom w:val="single" w:sz="8" w:space="0" w:color="000000"/>
              <w:right w:val="dashed" w:sz="8" w:space="0" w:color="auto"/>
            </w:tcBorders>
            <w:textDirection w:val="btLr"/>
            <w:vAlign w:val="center"/>
            <w:hideMark/>
          </w:tcPr>
          <w:p w14:paraId="65C32397"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Number  </w:t>
            </w:r>
          </w:p>
        </w:tc>
        <w:tc>
          <w:tcPr>
            <w:tcW w:w="787" w:type="dxa"/>
            <w:vMerge w:val="restart"/>
            <w:tcBorders>
              <w:top w:val="nil"/>
              <w:left w:val="dashed" w:sz="8" w:space="0" w:color="auto"/>
              <w:bottom w:val="single" w:sz="8" w:space="0" w:color="000000"/>
              <w:right w:val="single" w:sz="8" w:space="0" w:color="auto"/>
            </w:tcBorders>
            <w:vAlign w:val="center"/>
            <w:hideMark/>
          </w:tcPr>
          <w:p w14:paraId="0A395823"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Cost </w:t>
            </w:r>
          </w:p>
        </w:tc>
        <w:tc>
          <w:tcPr>
            <w:tcW w:w="621" w:type="dxa"/>
            <w:vMerge w:val="restart"/>
            <w:tcBorders>
              <w:top w:val="nil"/>
              <w:left w:val="single" w:sz="8" w:space="0" w:color="auto"/>
              <w:bottom w:val="single" w:sz="8" w:space="0" w:color="000000"/>
              <w:right w:val="dashed" w:sz="8" w:space="0" w:color="auto"/>
            </w:tcBorders>
            <w:textDirection w:val="btLr"/>
            <w:vAlign w:val="center"/>
            <w:hideMark/>
          </w:tcPr>
          <w:p w14:paraId="54F6E8F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Number  </w:t>
            </w:r>
          </w:p>
        </w:tc>
        <w:tc>
          <w:tcPr>
            <w:tcW w:w="787" w:type="dxa"/>
            <w:vMerge w:val="restart"/>
            <w:tcBorders>
              <w:top w:val="nil"/>
              <w:left w:val="dashed" w:sz="8" w:space="0" w:color="auto"/>
              <w:bottom w:val="single" w:sz="8" w:space="0" w:color="000000"/>
              <w:right w:val="single" w:sz="8" w:space="0" w:color="auto"/>
            </w:tcBorders>
            <w:vAlign w:val="center"/>
            <w:hideMark/>
          </w:tcPr>
          <w:p w14:paraId="1F552D8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Cost </w:t>
            </w:r>
          </w:p>
        </w:tc>
        <w:tc>
          <w:tcPr>
            <w:tcW w:w="621" w:type="dxa"/>
            <w:vMerge w:val="restart"/>
            <w:tcBorders>
              <w:top w:val="nil"/>
              <w:left w:val="single" w:sz="8" w:space="0" w:color="auto"/>
              <w:bottom w:val="single" w:sz="8" w:space="0" w:color="000000"/>
              <w:right w:val="dashed" w:sz="8" w:space="0" w:color="auto"/>
            </w:tcBorders>
            <w:textDirection w:val="btLr"/>
            <w:vAlign w:val="center"/>
            <w:hideMark/>
          </w:tcPr>
          <w:p w14:paraId="21C0FC1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Number  </w:t>
            </w:r>
          </w:p>
        </w:tc>
        <w:tc>
          <w:tcPr>
            <w:tcW w:w="787" w:type="dxa"/>
            <w:vMerge w:val="restart"/>
            <w:tcBorders>
              <w:top w:val="nil"/>
              <w:left w:val="dashed" w:sz="8" w:space="0" w:color="auto"/>
              <w:bottom w:val="single" w:sz="8" w:space="0" w:color="000000"/>
              <w:right w:val="single" w:sz="8" w:space="0" w:color="auto"/>
            </w:tcBorders>
            <w:vAlign w:val="center"/>
            <w:hideMark/>
          </w:tcPr>
          <w:p w14:paraId="0394135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Cost </w:t>
            </w:r>
          </w:p>
        </w:tc>
        <w:tc>
          <w:tcPr>
            <w:tcW w:w="621" w:type="dxa"/>
            <w:vMerge w:val="restart"/>
            <w:tcBorders>
              <w:top w:val="nil"/>
              <w:left w:val="single" w:sz="8" w:space="0" w:color="auto"/>
              <w:bottom w:val="single" w:sz="8" w:space="0" w:color="000000"/>
              <w:right w:val="dashed" w:sz="8" w:space="0" w:color="auto"/>
            </w:tcBorders>
            <w:textDirection w:val="btLr"/>
            <w:vAlign w:val="center"/>
            <w:hideMark/>
          </w:tcPr>
          <w:p w14:paraId="62B5C1CC"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Number  </w:t>
            </w:r>
          </w:p>
        </w:tc>
        <w:tc>
          <w:tcPr>
            <w:tcW w:w="787" w:type="dxa"/>
            <w:vMerge w:val="restart"/>
            <w:tcBorders>
              <w:top w:val="nil"/>
              <w:left w:val="dashed" w:sz="8" w:space="0" w:color="auto"/>
              <w:bottom w:val="single" w:sz="8" w:space="0" w:color="000000"/>
              <w:right w:val="single" w:sz="8" w:space="0" w:color="auto"/>
            </w:tcBorders>
            <w:vAlign w:val="center"/>
            <w:hideMark/>
          </w:tcPr>
          <w:p w14:paraId="71D891DD"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Cost </w:t>
            </w:r>
          </w:p>
        </w:tc>
        <w:tc>
          <w:tcPr>
            <w:tcW w:w="637" w:type="dxa"/>
            <w:vMerge w:val="restart"/>
            <w:tcBorders>
              <w:top w:val="nil"/>
              <w:left w:val="single" w:sz="8" w:space="0" w:color="auto"/>
              <w:bottom w:val="single" w:sz="8" w:space="0" w:color="000000"/>
              <w:right w:val="nil"/>
            </w:tcBorders>
            <w:textDirection w:val="btLr"/>
            <w:vAlign w:val="center"/>
            <w:hideMark/>
          </w:tcPr>
          <w:p w14:paraId="1C60B490"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Number </w:t>
            </w:r>
          </w:p>
        </w:tc>
        <w:tc>
          <w:tcPr>
            <w:tcW w:w="801" w:type="dxa"/>
            <w:vMerge w:val="restart"/>
            <w:tcBorders>
              <w:top w:val="nil"/>
              <w:left w:val="dashed" w:sz="8" w:space="0" w:color="auto"/>
              <w:bottom w:val="single" w:sz="8" w:space="0" w:color="000000"/>
              <w:right w:val="single" w:sz="8" w:space="0" w:color="auto"/>
            </w:tcBorders>
            <w:vAlign w:val="center"/>
            <w:hideMark/>
          </w:tcPr>
          <w:p w14:paraId="44FBB3B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Cost </w:t>
            </w:r>
          </w:p>
        </w:tc>
      </w:tr>
      <w:tr w:rsidR="00C92441" w14:paraId="767AB109" w14:textId="77777777" w:rsidTr="00C92441">
        <w:trPr>
          <w:trHeight w:val="372"/>
        </w:trPr>
        <w:tc>
          <w:tcPr>
            <w:tcW w:w="1716" w:type="dxa"/>
            <w:tcBorders>
              <w:top w:val="nil"/>
              <w:left w:val="single" w:sz="8" w:space="0" w:color="auto"/>
              <w:bottom w:val="nil"/>
              <w:right w:val="nil"/>
            </w:tcBorders>
            <w:vAlign w:val="center"/>
            <w:hideMark/>
          </w:tcPr>
          <w:p w14:paraId="142068E4" w14:textId="77777777" w:rsidR="00C92441" w:rsidRDefault="00C92441">
            <w:pPr>
              <w:spacing w:after="0"/>
              <w:rPr>
                <w:rFonts w:ascii="Calibri" w:eastAsia="Times New Roman" w:hAnsi="Calibri" w:cs="Calibri"/>
                <w:noProof/>
                <w:color w:val="000000"/>
                <w:sz w:val="22"/>
                <w:lang w:eastAsia="en-IE"/>
              </w:rPr>
            </w:pPr>
            <w:r>
              <w:rPr>
                <w:rFonts w:ascii="Calibri" w:eastAsia="Times New Roman" w:hAnsi="Calibri" w:cs="Calibri"/>
                <w:noProof/>
                <w:color w:val="000000"/>
                <w:lang w:eastAsia="en-IE"/>
              </w:rPr>
              <w:t> </w:t>
            </w:r>
          </w:p>
        </w:tc>
        <w:tc>
          <w:tcPr>
            <w:tcW w:w="0" w:type="auto"/>
            <w:vMerge/>
            <w:tcBorders>
              <w:top w:val="nil"/>
              <w:left w:val="single" w:sz="8" w:space="0" w:color="auto"/>
              <w:bottom w:val="nil"/>
              <w:right w:val="nil"/>
            </w:tcBorders>
            <w:vAlign w:val="center"/>
            <w:hideMark/>
          </w:tcPr>
          <w:p w14:paraId="3A649C0A" w14:textId="77777777" w:rsidR="00C92441" w:rsidRDefault="00C92441">
            <w:pPr>
              <w:spacing w:after="0"/>
              <w:rPr>
                <w:rFonts w:eastAsia="Times New Roman"/>
                <w:noProof/>
                <w:color w:val="000000"/>
                <w:sz w:val="18"/>
                <w:szCs w:val="18"/>
                <w:lang w:val="en-IE" w:eastAsia="en-IE"/>
              </w:rPr>
            </w:pPr>
          </w:p>
        </w:tc>
        <w:tc>
          <w:tcPr>
            <w:tcW w:w="0" w:type="auto"/>
            <w:vMerge/>
            <w:tcBorders>
              <w:top w:val="nil"/>
              <w:left w:val="single" w:sz="8" w:space="0" w:color="auto"/>
              <w:bottom w:val="nil"/>
              <w:right w:val="nil"/>
            </w:tcBorders>
            <w:vAlign w:val="center"/>
            <w:hideMark/>
          </w:tcPr>
          <w:p w14:paraId="40C301BA" w14:textId="77777777" w:rsidR="00C92441" w:rsidRDefault="00C92441">
            <w:pPr>
              <w:spacing w:after="0"/>
              <w:rPr>
                <w:rFonts w:eastAsia="Times New Roman"/>
                <w:noProof/>
                <w:color w:val="000000"/>
                <w:sz w:val="18"/>
                <w:szCs w:val="18"/>
                <w:lang w:val="en-IE" w:eastAsia="en-IE"/>
              </w:rPr>
            </w:pPr>
          </w:p>
        </w:tc>
        <w:tc>
          <w:tcPr>
            <w:tcW w:w="0" w:type="auto"/>
            <w:vMerge/>
            <w:tcBorders>
              <w:top w:val="nil"/>
              <w:left w:val="single" w:sz="8" w:space="0" w:color="auto"/>
              <w:bottom w:val="nil"/>
              <w:right w:val="nil"/>
            </w:tcBorders>
            <w:vAlign w:val="center"/>
            <w:hideMark/>
          </w:tcPr>
          <w:p w14:paraId="14260B19" w14:textId="77777777" w:rsidR="00C92441" w:rsidRDefault="00C92441">
            <w:pPr>
              <w:spacing w:after="0"/>
              <w:rPr>
                <w:rFonts w:eastAsia="Times New Roman"/>
                <w:noProof/>
                <w:color w:val="000000"/>
                <w:sz w:val="18"/>
                <w:szCs w:val="18"/>
                <w:lang w:val="en-IE" w:eastAsia="en-IE"/>
              </w:rPr>
            </w:pPr>
          </w:p>
        </w:tc>
        <w:tc>
          <w:tcPr>
            <w:tcW w:w="0" w:type="auto"/>
            <w:vMerge/>
            <w:tcBorders>
              <w:top w:val="nil"/>
              <w:left w:val="single" w:sz="8" w:space="0" w:color="auto"/>
              <w:bottom w:val="single" w:sz="8" w:space="0" w:color="000000"/>
              <w:right w:val="dashed" w:sz="8" w:space="0" w:color="auto"/>
            </w:tcBorders>
            <w:vAlign w:val="center"/>
            <w:hideMark/>
          </w:tcPr>
          <w:p w14:paraId="12847F59" w14:textId="77777777" w:rsidR="00C92441" w:rsidRDefault="00C92441">
            <w:pPr>
              <w:spacing w:after="0"/>
              <w:rPr>
                <w:rFonts w:eastAsia="Times New Roman"/>
                <w:noProof/>
                <w:color w:val="000000"/>
                <w:sz w:val="18"/>
                <w:szCs w:val="18"/>
                <w:lang w:val="en-IE" w:eastAsia="en-IE"/>
              </w:rPr>
            </w:pPr>
          </w:p>
        </w:tc>
        <w:tc>
          <w:tcPr>
            <w:tcW w:w="0" w:type="auto"/>
            <w:vMerge/>
            <w:tcBorders>
              <w:top w:val="nil"/>
              <w:left w:val="dashed" w:sz="8" w:space="0" w:color="auto"/>
              <w:bottom w:val="single" w:sz="8" w:space="0" w:color="000000"/>
              <w:right w:val="single" w:sz="8" w:space="0" w:color="auto"/>
            </w:tcBorders>
            <w:vAlign w:val="center"/>
            <w:hideMark/>
          </w:tcPr>
          <w:p w14:paraId="001634D4" w14:textId="77777777" w:rsidR="00C92441" w:rsidRDefault="00C92441">
            <w:pPr>
              <w:spacing w:after="0"/>
              <w:rPr>
                <w:rFonts w:eastAsia="Times New Roman"/>
                <w:noProof/>
                <w:color w:val="000000"/>
                <w:sz w:val="18"/>
                <w:szCs w:val="18"/>
                <w:lang w:val="en-IE" w:eastAsia="en-IE"/>
              </w:rPr>
            </w:pPr>
          </w:p>
        </w:tc>
        <w:tc>
          <w:tcPr>
            <w:tcW w:w="0" w:type="auto"/>
            <w:vMerge/>
            <w:tcBorders>
              <w:top w:val="nil"/>
              <w:left w:val="single" w:sz="8" w:space="0" w:color="auto"/>
              <w:bottom w:val="single" w:sz="8" w:space="0" w:color="000000"/>
              <w:right w:val="dashed" w:sz="8" w:space="0" w:color="auto"/>
            </w:tcBorders>
            <w:vAlign w:val="center"/>
            <w:hideMark/>
          </w:tcPr>
          <w:p w14:paraId="6EF56508" w14:textId="77777777" w:rsidR="00C92441" w:rsidRDefault="00C92441">
            <w:pPr>
              <w:spacing w:after="0"/>
              <w:rPr>
                <w:rFonts w:eastAsia="Times New Roman"/>
                <w:noProof/>
                <w:color w:val="000000"/>
                <w:sz w:val="18"/>
                <w:szCs w:val="18"/>
                <w:lang w:val="en-IE" w:eastAsia="en-IE"/>
              </w:rPr>
            </w:pPr>
          </w:p>
        </w:tc>
        <w:tc>
          <w:tcPr>
            <w:tcW w:w="0" w:type="auto"/>
            <w:vMerge/>
            <w:tcBorders>
              <w:top w:val="nil"/>
              <w:left w:val="dashed" w:sz="8" w:space="0" w:color="auto"/>
              <w:bottom w:val="single" w:sz="8" w:space="0" w:color="000000"/>
              <w:right w:val="single" w:sz="8" w:space="0" w:color="auto"/>
            </w:tcBorders>
            <w:vAlign w:val="center"/>
            <w:hideMark/>
          </w:tcPr>
          <w:p w14:paraId="5731D0B4" w14:textId="77777777" w:rsidR="00C92441" w:rsidRDefault="00C92441">
            <w:pPr>
              <w:spacing w:after="0"/>
              <w:rPr>
                <w:rFonts w:eastAsia="Times New Roman"/>
                <w:noProof/>
                <w:color w:val="000000"/>
                <w:sz w:val="18"/>
                <w:szCs w:val="18"/>
                <w:lang w:val="en-IE" w:eastAsia="en-IE"/>
              </w:rPr>
            </w:pPr>
          </w:p>
        </w:tc>
        <w:tc>
          <w:tcPr>
            <w:tcW w:w="0" w:type="auto"/>
            <w:vMerge/>
            <w:tcBorders>
              <w:top w:val="nil"/>
              <w:left w:val="single" w:sz="8" w:space="0" w:color="auto"/>
              <w:bottom w:val="single" w:sz="8" w:space="0" w:color="000000"/>
              <w:right w:val="dashed" w:sz="8" w:space="0" w:color="auto"/>
            </w:tcBorders>
            <w:vAlign w:val="center"/>
            <w:hideMark/>
          </w:tcPr>
          <w:p w14:paraId="2D206721" w14:textId="77777777" w:rsidR="00C92441" w:rsidRDefault="00C92441">
            <w:pPr>
              <w:spacing w:after="0"/>
              <w:rPr>
                <w:rFonts w:eastAsia="Times New Roman"/>
                <w:noProof/>
                <w:color w:val="000000"/>
                <w:sz w:val="18"/>
                <w:szCs w:val="18"/>
                <w:lang w:val="en-IE" w:eastAsia="en-IE"/>
              </w:rPr>
            </w:pPr>
          </w:p>
        </w:tc>
        <w:tc>
          <w:tcPr>
            <w:tcW w:w="0" w:type="auto"/>
            <w:vMerge/>
            <w:tcBorders>
              <w:top w:val="nil"/>
              <w:left w:val="dashed" w:sz="8" w:space="0" w:color="auto"/>
              <w:bottom w:val="single" w:sz="8" w:space="0" w:color="000000"/>
              <w:right w:val="single" w:sz="8" w:space="0" w:color="auto"/>
            </w:tcBorders>
            <w:vAlign w:val="center"/>
            <w:hideMark/>
          </w:tcPr>
          <w:p w14:paraId="4F211961" w14:textId="77777777" w:rsidR="00C92441" w:rsidRDefault="00C92441">
            <w:pPr>
              <w:spacing w:after="0"/>
              <w:rPr>
                <w:rFonts w:eastAsia="Times New Roman"/>
                <w:noProof/>
                <w:color w:val="000000"/>
                <w:sz w:val="18"/>
                <w:szCs w:val="18"/>
                <w:lang w:val="en-IE" w:eastAsia="en-IE"/>
              </w:rPr>
            </w:pPr>
          </w:p>
        </w:tc>
        <w:tc>
          <w:tcPr>
            <w:tcW w:w="0" w:type="auto"/>
            <w:vMerge/>
            <w:tcBorders>
              <w:top w:val="nil"/>
              <w:left w:val="single" w:sz="8" w:space="0" w:color="auto"/>
              <w:bottom w:val="single" w:sz="8" w:space="0" w:color="000000"/>
              <w:right w:val="dashed" w:sz="8" w:space="0" w:color="auto"/>
            </w:tcBorders>
            <w:vAlign w:val="center"/>
            <w:hideMark/>
          </w:tcPr>
          <w:p w14:paraId="43D78783" w14:textId="77777777" w:rsidR="00C92441" w:rsidRDefault="00C92441">
            <w:pPr>
              <w:spacing w:after="0"/>
              <w:rPr>
                <w:rFonts w:eastAsia="Times New Roman"/>
                <w:noProof/>
                <w:color w:val="000000"/>
                <w:sz w:val="18"/>
                <w:szCs w:val="18"/>
                <w:lang w:val="en-IE" w:eastAsia="en-IE"/>
              </w:rPr>
            </w:pPr>
          </w:p>
        </w:tc>
        <w:tc>
          <w:tcPr>
            <w:tcW w:w="0" w:type="auto"/>
            <w:vMerge/>
            <w:tcBorders>
              <w:top w:val="nil"/>
              <w:left w:val="dashed" w:sz="8" w:space="0" w:color="auto"/>
              <w:bottom w:val="single" w:sz="8" w:space="0" w:color="000000"/>
              <w:right w:val="single" w:sz="8" w:space="0" w:color="auto"/>
            </w:tcBorders>
            <w:vAlign w:val="center"/>
            <w:hideMark/>
          </w:tcPr>
          <w:p w14:paraId="3E768E4C" w14:textId="77777777" w:rsidR="00C92441" w:rsidRDefault="00C92441">
            <w:pPr>
              <w:spacing w:after="0"/>
              <w:rPr>
                <w:rFonts w:eastAsia="Times New Roman"/>
                <w:noProof/>
                <w:color w:val="000000"/>
                <w:sz w:val="18"/>
                <w:szCs w:val="18"/>
                <w:lang w:val="en-IE" w:eastAsia="en-IE"/>
              </w:rPr>
            </w:pPr>
          </w:p>
        </w:tc>
        <w:tc>
          <w:tcPr>
            <w:tcW w:w="0" w:type="auto"/>
            <w:vMerge/>
            <w:tcBorders>
              <w:top w:val="nil"/>
              <w:left w:val="single" w:sz="8" w:space="0" w:color="auto"/>
              <w:bottom w:val="single" w:sz="8" w:space="0" w:color="000000"/>
              <w:right w:val="nil"/>
            </w:tcBorders>
            <w:vAlign w:val="center"/>
            <w:hideMark/>
          </w:tcPr>
          <w:p w14:paraId="653DCE0D" w14:textId="77777777" w:rsidR="00C92441" w:rsidRDefault="00C92441">
            <w:pPr>
              <w:spacing w:after="0"/>
              <w:rPr>
                <w:rFonts w:eastAsia="Times New Roman"/>
                <w:noProof/>
                <w:color w:val="000000"/>
                <w:sz w:val="18"/>
                <w:szCs w:val="18"/>
                <w:lang w:val="en-IE" w:eastAsia="en-IE"/>
              </w:rPr>
            </w:pPr>
          </w:p>
        </w:tc>
        <w:tc>
          <w:tcPr>
            <w:tcW w:w="0" w:type="auto"/>
            <w:vMerge/>
            <w:tcBorders>
              <w:top w:val="nil"/>
              <w:left w:val="dashed" w:sz="8" w:space="0" w:color="auto"/>
              <w:bottom w:val="single" w:sz="8" w:space="0" w:color="000000"/>
              <w:right w:val="single" w:sz="8" w:space="0" w:color="auto"/>
            </w:tcBorders>
            <w:vAlign w:val="center"/>
            <w:hideMark/>
          </w:tcPr>
          <w:p w14:paraId="0F16BDC4" w14:textId="77777777" w:rsidR="00C92441" w:rsidRDefault="00C92441">
            <w:pPr>
              <w:spacing w:after="0"/>
              <w:rPr>
                <w:rFonts w:eastAsia="Times New Roman"/>
                <w:noProof/>
                <w:color w:val="000000"/>
                <w:sz w:val="18"/>
                <w:szCs w:val="18"/>
                <w:lang w:val="en-IE" w:eastAsia="en-IE"/>
              </w:rPr>
            </w:pPr>
          </w:p>
        </w:tc>
      </w:tr>
      <w:tr w:rsidR="00C92441" w14:paraId="3A84A204" w14:textId="77777777" w:rsidTr="00C92441">
        <w:trPr>
          <w:trHeight w:val="279"/>
        </w:trPr>
        <w:tc>
          <w:tcPr>
            <w:tcW w:w="13720" w:type="dxa"/>
            <w:gridSpan w:val="14"/>
            <w:tcBorders>
              <w:top w:val="single" w:sz="8" w:space="0" w:color="auto"/>
              <w:left w:val="single" w:sz="8" w:space="0" w:color="auto"/>
              <w:bottom w:val="single" w:sz="8" w:space="0" w:color="auto"/>
              <w:right w:val="single" w:sz="8" w:space="0" w:color="000000"/>
            </w:tcBorders>
            <w:vAlign w:val="center"/>
            <w:hideMark/>
          </w:tcPr>
          <w:p w14:paraId="5BE6A63F" w14:textId="77777777" w:rsidR="00C92441" w:rsidRDefault="00C92441">
            <w:pPr>
              <w:spacing w:after="0"/>
              <w:rPr>
                <w:rFonts w:eastAsia="Times New Roman"/>
                <w:noProof/>
                <w:color w:val="000000"/>
                <w:sz w:val="18"/>
                <w:szCs w:val="18"/>
                <w:lang w:eastAsia="en-IE"/>
              </w:rPr>
            </w:pPr>
            <w:bookmarkStart w:id="9" w:name="RANGE!A5"/>
            <w:r>
              <w:rPr>
                <w:rFonts w:eastAsia="Times New Roman"/>
                <w:noProof/>
                <w:color w:val="000000"/>
                <w:sz w:val="18"/>
                <w:szCs w:val="18"/>
                <w:lang w:eastAsia="en-IE"/>
              </w:rPr>
              <w:t>SPECIFIC OBJECTIVE NO 1: EU visa application platform (setting up and miantenance)</w:t>
            </w:r>
            <w:bookmarkEnd w:id="9"/>
          </w:p>
        </w:tc>
      </w:tr>
      <w:tr w:rsidR="00C92441" w14:paraId="68CBC768" w14:textId="77777777" w:rsidTr="00C92441">
        <w:trPr>
          <w:trHeight w:val="279"/>
        </w:trPr>
        <w:tc>
          <w:tcPr>
            <w:tcW w:w="1716" w:type="dxa"/>
            <w:tcBorders>
              <w:top w:val="nil"/>
              <w:left w:val="single" w:sz="8" w:space="0" w:color="auto"/>
              <w:bottom w:val="nil"/>
              <w:right w:val="single" w:sz="8" w:space="0" w:color="auto"/>
            </w:tcBorders>
            <w:vAlign w:val="center"/>
            <w:hideMark/>
          </w:tcPr>
          <w:p w14:paraId="0D485936"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1146" w:type="dxa"/>
            <w:vMerge w:val="restart"/>
            <w:tcBorders>
              <w:top w:val="nil"/>
              <w:left w:val="single" w:sz="8" w:space="0" w:color="auto"/>
              <w:bottom w:val="single" w:sz="8" w:space="0" w:color="000000"/>
              <w:right w:val="single" w:sz="8" w:space="0" w:color="auto"/>
            </w:tcBorders>
            <w:vAlign w:val="center"/>
            <w:hideMark/>
          </w:tcPr>
          <w:p w14:paraId="2B93135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Initial set-up </w:t>
            </w:r>
          </w:p>
        </w:tc>
        <w:tc>
          <w:tcPr>
            <w:tcW w:w="2946" w:type="dxa"/>
            <w:tcBorders>
              <w:top w:val="nil"/>
              <w:left w:val="nil"/>
              <w:bottom w:val="nil"/>
              <w:right w:val="single" w:sz="8" w:space="0" w:color="auto"/>
            </w:tcBorders>
            <w:vAlign w:val="center"/>
            <w:hideMark/>
          </w:tcPr>
          <w:p w14:paraId="445A6060"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Design </w:t>
            </w:r>
          </w:p>
        </w:tc>
        <w:tc>
          <w:tcPr>
            <w:tcW w:w="826" w:type="dxa"/>
            <w:tcBorders>
              <w:top w:val="nil"/>
              <w:left w:val="nil"/>
              <w:bottom w:val="nil"/>
              <w:right w:val="single" w:sz="8" w:space="0" w:color="auto"/>
            </w:tcBorders>
            <w:vAlign w:val="center"/>
            <w:hideMark/>
          </w:tcPr>
          <w:p w14:paraId="5A30264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nil"/>
              <w:left w:val="nil"/>
              <w:bottom w:val="nil"/>
              <w:right w:val="single" w:sz="8" w:space="0" w:color="auto"/>
            </w:tcBorders>
            <w:vAlign w:val="center"/>
            <w:hideMark/>
          </w:tcPr>
          <w:p w14:paraId="043A599A"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nil"/>
              <w:right w:val="single" w:sz="8" w:space="0" w:color="auto"/>
            </w:tcBorders>
            <w:vAlign w:val="center"/>
            <w:hideMark/>
          </w:tcPr>
          <w:p w14:paraId="4D8C2590"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6,562 </w:t>
            </w:r>
          </w:p>
        </w:tc>
        <w:tc>
          <w:tcPr>
            <w:tcW w:w="621" w:type="dxa"/>
            <w:tcBorders>
              <w:top w:val="nil"/>
              <w:left w:val="nil"/>
              <w:bottom w:val="single" w:sz="8" w:space="0" w:color="auto"/>
              <w:right w:val="single" w:sz="8" w:space="0" w:color="auto"/>
            </w:tcBorders>
            <w:vAlign w:val="center"/>
            <w:hideMark/>
          </w:tcPr>
          <w:p w14:paraId="1489DD22"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07F51056"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1,666 </w:t>
            </w:r>
          </w:p>
        </w:tc>
        <w:tc>
          <w:tcPr>
            <w:tcW w:w="621" w:type="dxa"/>
            <w:tcBorders>
              <w:top w:val="nil"/>
              <w:left w:val="nil"/>
              <w:bottom w:val="single" w:sz="8" w:space="0" w:color="auto"/>
              <w:right w:val="single" w:sz="8" w:space="0" w:color="auto"/>
            </w:tcBorders>
            <w:vAlign w:val="center"/>
            <w:hideMark/>
          </w:tcPr>
          <w:p w14:paraId="5F806272"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5B4D99E3"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4B157793"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119921A4"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nil"/>
              <w:left w:val="nil"/>
              <w:bottom w:val="single" w:sz="8" w:space="0" w:color="auto"/>
              <w:right w:val="single" w:sz="8" w:space="0" w:color="auto"/>
            </w:tcBorders>
            <w:vAlign w:val="center"/>
            <w:hideMark/>
          </w:tcPr>
          <w:p w14:paraId="3AAC3EE2"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7CF547A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8,228 </w:t>
            </w:r>
          </w:p>
        </w:tc>
      </w:tr>
      <w:tr w:rsidR="00C92441" w14:paraId="6A06A4D4" w14:textId="77777777" w:rsidTr="00C92441">
        <w:trPr>
          <w:trHeight w:val="279"/>
        </w:trPr>
        <w:tc>
          <w:tcPr>
            <w:tcW w:w="1716" w:type="dxa"/>
            <w:tcBorders>
              <w:top w:val="single" w:sz="8" w:space="0" w:color="auto"/>
              <w:left w:val="single" w:sz="8" w:space="0" w:color="auto"/>
              <w:bottom w:val="nil"/>
              <w:right w:val="single" w:sz="8" w:space="0" w:color="auto"/>
            </w:tcBorders>
            <w:vAlign w:val="center"/>
            <w:hideMark/>
          </w:tcPr>
          <w:p w14:paraId="6CADE1E1"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0" w:type="auto"/>
            <w:vMerge/>
            <w:tcBorders>
              <w:top w:val="nil"/>
              <w:left w:val="single" w:sz="8" w:space="0" w:color="auto"/>
              <w:bottom w:val="single" w:sz="8" w:space="0" w:color="000000"/>
              <w:right w:val="single" w:sz="8" w:space="0" w:color="auto"/>
            </w:tcBorders>
            <w:vAlign w:val="center"/>
            <w:hideMark/>
          </w:tcPr>
          <w:p w14:paraId="65BF73AA" w14:textId="77777777" w:rsidR="00C92441" w:rsidRDefault="00C92441">
            <w:pPr>
              <w:spacing w:after="0"/>
              <w:rPr>
                <w:rFonts w:eastAsia="Times New Roman"/>
                <w:noProof/>
                <w:color w:val="000000"/>
                <w:sz w:val="18"/>
                <w:szCs w:val="18"/>
                <w:lang w:val="en-IE" w:eastAsia="en-IE"/>
              </w:rPr>
            </w:pPr>
          </w:p>
        </w:tc>
        <w:tc>
          <w:tcPr>
            <w:tcW w:w="2946" w:type="dxa"/>
            <w:tcBorders>
              <w:top w:val="single" w:sz="8" w:space="0" w:color="auto"/>
              <w:left w:val="nil"/>
              <w:bottom w:val="nil"/>
              <w:right w:val="single" w:sz="8" w:space="0" w:color="auto"/>
            </w:tcBorders>
            <w:vAlign w:val="center"/>
            <w:hideMark/>
          </w:tcPr>
          <w:p w14:paraId="7CC53591"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Development </w:t>
            </w:r>
          </w:p>
        </w:tc>
        <w:tc>
          <w:tcPr>
            <w:tcW w:w="826" w:type="dxa"/>
            <w:tcBorders>
              <w:top w:val="single" w:sz="8" w:space="0" w:color="auto"/>
              <w:left w:val="nil"/>
              <w:bottom w:val="nil"/>
              <w:right w:val="single" w:sz="8" w:space="0" w:color="auto"/>
            </w:tcBorders>
            <w:vAlign w:val="center"/>
            <w:hideMark/>
          </w:tcPr>
          <w:p w14:paraId="34A502B3"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39654CC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7E3FD152"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3,108 </w:t>
            </w:r>
          </w:p>
        </w:tc>
        <w:tc>
          <w:tcPr>
            <w:tcW w:w="621" w:type="dxa"/>
            <w:tcBorders>
              <w:top w:val="nil"/>
              <w:left w:val="nil"/>
              <w:bottom w:val="single" w:sz="8" w:space="0" w:color="auto"/>
              <w:right w:val="single" w:sz="8" w:space="0" w:color="auto"/>
            </w:tcBorders>
            <w:vAlign w:val="center"/>
            <w:hideMark/>
          </w:tcPr>
          <w:p w14:paraId="714E453A"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62C2A772"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4,736 </w:t>
            </w:r>
          </w:p>
        </w:tc>
        <w:tc>
          <w:tcPr>
            <w:tcW w:w="621" w:type="dxa"/>
            <w:tcBorders>
              <w:top w:val="nil"/>
              <w:left w:val="nil"/>
              <w:bottom w:val="single" w:sz="8" w:space="0" w:color="auto"/>
              <w:right w:val="single" w:sz="8" w:space="0" w:color="auto"/>
            </w:tcBorders>
            <w:vAlign w:val="center"/>
            <w:hideMark/>
          </w:tcPr>
          <w:p w14:paraId="609EB77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43F18ED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2501F845"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579E35F3"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nil"/>
              <w:left w:val="nil"/>
              <w:bottom w:val="single" w:sz="8" w:space="0" w:color="auto"/>
              <w:right w:val="single" w:sz="8" w:space="0" w:color="auto"/>
            </w:tcBorders>
            <w:vAlign w:val="center"/>
            <w:hideMark/>
          </w:tcPr>
          <w:p w14:paraId="6B887EAC"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6E706CB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7,844 </w:t>
            </w:r>
          </w:p>
        </w:tc>
      </w:tr>
      <w:tr w:rsidR="00C92441" w14:paraId="02465E41" w14:textId="77777777" w:rsidTr="00C92441">
        <w:trPr>
          <w:trHeight w:val="279"/>
        </w:trPr>
        <w:tc>
          <w:tcPr>
            <w:tcW w:w="1716" w:type="dxa"/>
            <w:tcBorders>
              <w:top w:val="single" w:sz="8" w:space="0" w:color="auto"/>
              <w:left w:val="single" w:sz="8" w:space="0" w:color="auto"/>
              <w:bottom w:val="nil"/>
              <w:right w:val="single" w:sz="8" w:space="0" w:color="auto"/>
            </w:tcBorders>
            <w:vAlign w:val="center"/>
            <w:hideMark/>
          </w:tcPr>
          <w:p w14:paraId="1BEE53D3"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0" w:type="auto"/>
            <w:vMerge/>
            <w:tcBorders>
              <w:top w:val="nil"/>
              <w:left w:val="single" w:sz="8" w:space="0" w:color="auto"/>
              <w:bottom w:val="single" w:sz="8" w:space="0" w:color="000000"/>
              <w:right w:val="single" w:sz="8" w:space="0" w:color="auto"/>
            </w:tcBorders>
            <w:vAlign w:val="center"/>
            <w:hideMark/>
          </w:tcPr>
          <w:p w14:paraId="21129454" w14:textId="77777777" w:rsidR="00C92441" w:rsidRDefault="00C92441">
            <w:pPr>
              <w:spacing w:after="0"/>
              <w:rPr>
                <w:rFonts w:eastAsia="Times New Roman"/>
                <w:noProof/>
                <w:color w:val="000000"/>
                <w:sz w:val="18"/>
                <w:szCs w:val="18"/>
                <w:lang w:val="en-IE" w:eastAsia="en-IE"/>
              </w:rPr>
            </w:pPr>
          </w:p>
        </w:tc>
        <w:tc>
          <w:tcPr>
            <w:tcW w:w="2946" w:type="dxa"/>
            <w:tcBorders>
              <w:top w:val="single" w:sz="8" w:space="0" w:color="auto"/>
              <w:left w:val="nil"/>
              <w:bottom w:val="nil"/>
              <w:right w:val="single" w:sz="8" w:space="0" w:color="auto"/>
            </w:tcBorders>
            <w:vAlign w:val="center"/>
            <w:hideMark/>
          </w:tcPr>
          <w:p w14:paraId="60D129B7"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Testing </w:t>
            </w:r>
          </w:p>
        </w:tc>
        <w:tc>
          <w:tcPr>
            <w:tcW w:w="826" w:type="dxa"/>
            <w:tcBorders>
              <w:top w:val="single" w:sz="8" w:space="0" w:color="auto"/>
              <w:left w:val="nil"/>
              <w:bottom w:val="nil"/>
              <w:right w:val="single" w:sz="8" w:space="0" w:color="auto"/>
            </w:tcBorders>
            <w:vAlign w:val="center"/>
            <w:hideMark/>
          </w:tcPr>
          <w:p w14:paraId="533A2B18"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79941AD8"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41D6DC96"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1,252 </w:t>
            </w:r>
          </w:p>
        </w:tc>
        <w:tc>
          <w:tcPr>
            <w:tcW w:w="621" w:type="dxa"/>
            <w:tcBorders>
              <w:top w:val="nil"/>
              <w:left w:val="nil"/>
              <w:bottom w:val="single" w:sz="8" w:space="0" w:color="auto"/>
              <w:right w:val="single" w:sz="8" w:space="0" w:color="auto"/>
            </w:tcBorders>
            <w:vAlign w:val="center"/>
            <w:hideMark/>
          </w:tcPr>
          <w:p w14:paraId="6AD933B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29A2E447"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5,087 </w:t>
            </w:r>
          </w:p>
        </w:tc>
        <w:tc>
          <w:tcPr>
            <w:tcW w:w="621" w:type="dxa"/>
            <w:tcBorders>
              <w:top w:val="nil"/>
              <w:left w:val="nil"/>
              <w:bottom w:val="single" w:sz="8" w:space="0" w:color="auto"/>
              <w:right w:val="single" w:sz="8" w:space="0" w:color="auto"/>
            </w:tcBorders>
            <w:vAlign w:val="center"/>
            <w:hideMark/>
          </w:tcPr>
          <w:p w14:paraId="691C532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7EAE02EF"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74B384E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25FDA7E5"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nil"/>
              <w:left w:val="nil"/>
              <w:bottom w:val="single" w:sz="8" w:space="0" w:color="auto"/>
              <w:right w:val="single" w:sz="8" w:space="0" w:color="auto"/>
            </w:tcBorders>
            <w:vAlign w:val="center"/>
            <w:hideMark/>
          </w:tcPr>
          <w:p w14:paraId="0F1ED54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2CE903DF"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6,339 </w:t>
            </w:r>
          </w:p>
        </w:tc>
      </w:tr>
      <w:tr w:rsidR="00C92441" w14:paraId="37F373E6" w14:textId="77777777" w:rsidTr="00C92441">
        <w:trPr>
          <w:trHeight w:val="279"/>
        </w:trPr>
        <w:tc>
          <w:tcPr>
            <w:tcW w:w="1716" w:type="dxa"/>
            <w:tcBorders>
              <w:top w:val="single" w:sz="8" w:space="0" w:color="auto"/>
              <w:left w:val="single" w:sz="8" w:space="0" w:color="auto"/>
              <w:bottom w:val="nil"/>
              <w:right w:val="single" w:sz="8" w:space="0" w:color="auto"/>
            </w:tcBorders>
            <w:vAlign w:val="center"/>
            <w:hideMark/>
          </w:tcPr>
          <w:p w14:paraId="609A87BA"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0" w:type="auto"/>
            <w:vMerge/>
            <w:tcBorders>
              <w:top w:val="nil"/>
              <w:left w:val="single" w:sz="8" w:space="0" w:color="auto"/>
              <w:bottom w:val="single" w:sz="8" w:space="0" w:color="000000"/>
              <w:right w:val="single" w:sz="8" w:space="0" w:color="auto"/>
            </w:tcBorders>
            <w:vAlign w:val="center"/>
            <w:hideMark/>
          </w:tcPr>
          <w:p w14:paraId="2355D98B" w14:textId="77777777" w:rsidR="00C92441" w:rsidRDefault="00C92441">
            <w:pPr>
              <w:spacing w:after="0"/>
              <w:rPr>
                <w:rFonts w:eastAsia="Times New Roman"/>
                <w:noProof/>
                <w:color w:val="000000"/>
                <w:sz w:val="18"/>
                <w:szCs w:val="18"/>
                <w:lang w:val="en-IE" w:eastAsia="en-IE"/>
              </w:rPr>
            </w:pPr>
          </w:p>
        </w:tc>
        <w:tc>
          <w:tcPr>
            <w:tcW w:w="2946" w:type="dxa"/>
            <w:tcBorders>
              <w:top w:val="single" w:sz="8" w:space="0" w:color="auto"/>
              <w:left w:val="nil"/>
              <w:bottom w:val="nil"/>
              <w:right w:val="single" w:sz="8" w:space="0" w:color="auto"/>
            </w:tcBorders>
            <w:vAlign w:val="center"/>
            <w:hideMark/>
          </w:tcPr>
          <w:p w14:paraId="2F87745A"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Deployment </w:t>
            </w:r>
          </w:p>
        </w:tc>
        <w:tc>
          <w:tcPr>
            <w:tcW w:w="826" w:type="dxa"/>
            <w:tcBorders>
              <w:top w:val="single" w:sz="8" w:space="0" w:color="auto"/>
              <w:left w:val="nil"/>
              <w:bottom w:val="nil"/>
              <w:right w:val="single" w:sz="8" w:space="0" w:color="auto"/>
            </w:tcBorders>
            <w:vAlign w:val="center"/>
            <w:hideMark/>
          </w:tcPr>
          <w:p w14:paraId="7A8765C7"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37586F44"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56B153CD"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   </w:t>
            </w:r>
          </w:p>
        </w:tc>
        <w:tc>
          <w:tcPr>
            <w:tcW w:w="621" w:type="dxa"/>
            <w:tcBorders>
              <w:top w:val="nil"/>
              <w:left w:val="nil"/>
              <w:bottom w:val="single" w:sz="8" w:space="0" w:color="auto"/>
              <w:right w:val="single" w:sz="8" w:space="0" w:color="auto"/>
            </w:tcBorders>
            <w:vAlign w:val="center"/>
            <w:hideMark/>
          </w:tcPr>
          <w:p w14:paraId="6BE8BFFA"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5B19D83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2,193 </w:t>
            </w:r>
          </w:p>
        </w:tc>
        <w:tc>
          <w:tcPr>
            <w:tcW w:w="621" w:type="dxa"/>
            <w:tcBorders>
              <w:top w:val="nil"/>
              <w:left w:val="nil"/>
              <w:bottom w:val="single" w:sz="8" w:space="0" w:color="auto"/>
              <w:right w:val="single" w:sz="8" w:space="0" w:color="auto"/>
            </w:tcBorders>
            <w:vAlign w:val="center"/>
            <w:hideMark/>
          </w:tcPr>
          <w:p w14:paraId="0988ED0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64FA1C14"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6A1412BD"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1F1FD6F2"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nil"/>
              <w:left w:val="nil"/>
              <w:bottom w:val="single" w:sz="8" w:space="0" w:color="auto"/>
              <w:right w:val="single" w:sz="8" w:space="0" w:color="auto"/>
            </w:tcBorders>
            <w:vAlign w:val="center"/>
            <w:hideMark/>
          </w:tcPr>
          <w:p w14:paraId="2385C62D"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5E107208"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2,193 </w:t>
            </w:r>
          </w:p>
        </w:tc>
      </w:tr>
      <w:tr w:rsidR="00C92441" w14:paraId="1FF6425D" w14:textId="77777777" w:rsidTr="00C92441">
        <w:trPr>
          <w:trHeight w:val="279"/>
        </w:trPr>
        <w:tc>
          <w:tcPr>
            <w:tcW w:w="1716" w:type="dxa"/>
            <w:tcBorders>
              <w:top w:val="single" w:sz="8" w:space="0" w:color="auto"/>
              <w:left w:val="single" w:sz="8" w:space="0" w:color="auto"/>
              <w:bottom w:val="nil"/>
              <w:right w:val="single" w:sz="8" w:space="0" w:color="auto"/>
            </w:tcBorders>
            <w:vAlign w:val="center"/>
            <w:hideMark/>
          </w:tcPr>
          <w:p w14:paraId="11B213FA"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0" w:type="auto"/>
            <w:vMerge/>
            <w:tcBorders>
              <w:top w:val="nil"/>
              <w:left w:val="single" w:sz="8" w:space="0" w:color="auto"/>
              <w:bottom w:val="single" w:sz="8" w:space="0" w:color="000000"/>
              <w:right w:val="single" w:sz="8" w:space="0" w:color="auto"/>
            </w:tcBorders>
            <w:vAlign w:val="center"/>
            <w:hideMark/>
          </w:tcPr>
          <w:p w14:paraId="77B513FE" w14:textId="77777777" w:rsidR="00C92441" w:rsidRDefault="00C92441">
            <w:pPr>
              <w:spacing w:after="0"/>
              <w:rPr>
                <w:rFonts w:eastAsia="Times New Roman"/>
                <w:noProof/>
                <w:color w:val="000000"/>
                <w:sz w:val="18"/>
                <w:szCs w:val="18"/>
                <w:lang w:val="en-IE" w:eastAsia="en-IE"/>
              </w:rPr>
            </w:pPr>
          </w:p>
        </w:tc>
        <w:tc>
          <w:tcPr>
            <w:tcW w:w="2946" w:type="dxa"/>
            <w:tcBorders>
              <w:top w:val="single" w:sz="8" w:space="0" w:color="auto"/>
              <w:left w:val="nil"/>
              <w:bottom w:val="nil"/>
              <w:right w:val="single" w:sz="8" w:space="0" w:color="auto"/>
            </w:tcBorders>
            <w:vAlign w:val="center"/>
            <w:hideMark/>
          </w:tcPr>
          <w:p w14:paraId="78CCDD9F"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Hardware&amp;infrastructure </w:t>
            </w:r>
          </w:p>
        </w:tc>
        <w:tc>
          <w:tcPr>
            <w:tcW w:w="826" w:type="dxa"/>
            <w:tcBorders>
              <w:top w:val="single" w:sz="8" w:space="0" w:color="auto"/>
              <w:left w:val="nil"/>
              <w:bottom w:val="nil"/>
              <w:right w:val="single" w:sz="8" w:space="0" w:color="auto"/>
            </w:tcBorders>
            <w:vAlign w:val="center"/>
            <w:hideMark/>
          </w:tcPr>
          <w:p w14:paraId="665F21C2"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6A9EF933"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6FCAFEA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7,447 </w:t>
            </w:r>
          </w:p>
        </w:tc>
        <w:tc>
          <w:tcPr>
            <w:tcW w:w="621" w:type="dxa"/>
            <w:tcBorders>
              <w:top w:val="nil"/>
              <w:left w:val="nil"/>
              <w:bottom w:val="single" w:sz="8" w:space="0" w:color="auto"/>
              <w:right w:val="single" w:sz="8" w:space="0" w:color="auto"/>
            </w:tcBorders>
            <w:vAlign w:val="center"/>
            <w:hideMark/>
          </w:tcPr>
          <w:p w14:paraId="59993B4A"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66847D3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7,564 </w:t>
            </w:r>
          </w:p>
        </w:tc>
        <w:tc>
          <w:tcPr>
            <w:tcW w:w="621" w:type="dxa"/>
            <w:tcBorders>
              <w:top w:val="nil"/>
              <w:left w:val="nil"/>
              <w:bottom w:val="single" w:sz="8" w:space="0" w:color="auto"/>
              <w:right w:val="single" w:sz="8" w:space="0" w:color="auto"/>
            </w:tcBorders>
            <w:vAlign w:val="center"/>
            <w:hideMark/>
          </w:tcPr>
          <w:p w14:paraId="03C59AE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4ED5430C"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667A121A"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74155B1D"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nil"/>
              <w:left w:val="nil"/>
              <w:bottom w:val="single" w:sz="8" w:space="0" w:color="auto"/>
              <w:right w:val="single" w:sz="8" w:space="0" w:color="auto"/>
            </w:tcBorders>
            <w:vAlign w:val="center"/>
            <w:hideMark/>
          </w:tcPr>
          <w:p w14:paraId="7255686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51936E2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15,011 </w:t>
            </w:r>
          </w:p>
        </w:tc>
      </w:tr>
      <w:tr w:rsidR="00C92441" w14:paraId="7C5810F8" w14:textId="77777777" w:rsidTr="00C92441">
        <w:trPr>
          <w:trHeight w:val="279"/>
        </w:trPr>
        <w:tc>
          <w:tcPr>
            <w:tcW w:w="1716" w:type="dxa"/>
            <w:tcBorders>
              <w:top w:val="single" w:sz="8" w:space="0" w:color="auto"/>
              <w:left w:val="single" w:sz="8" w:space="0" w:color="auto"/>
              <w:bottom w:val="nil"/>
              <w:right w:val="single" w:sz="8" w:space="0" w:color="auto"/>
            </w:tcBorders>
            <w:vAlign w:val="center"/>
            <w:hideMark/>
          </w:tcPr>
          <w:p w14:paraId="455C9BFD"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0" w:type="auto"/>
            <w:vMerge/>
            <w:tcBorders>
              <w:top w:val="nil"/>
              <w:left w:val="single" w:sz="8" w:space="0" w:color="auto"/>
              <w:bottom w:val="single" w:sz="8" w:space="0" w:color="000000"/>
              <w:right w:val="single" w:sz="8" w:space="0" w:color="auto"/>
            </w:tcBorders>
            <w:vAlign w:val="center"/>
            <w:hideMark/>
          </w:tcPr>
          <w:p w14:paraId="0CD90737" w14:textId="77777777" w:rsidR="00C92441" w:rsidRDefault="00C92441">
            <w:pPr>
              <w:spacing w:after="0"/>
              <w:rPr>
                <w:rFonts w:eastAsia="Times New Roman"/>
                <w:noProof/>
                <w:color w:val="000000"/>
                <w:sz w:val="18"/>
                <w:szCs w:val="18"/>
                <w:lang w:val="en-IE" w:eastAsia="en-IE"/>
              </w:rPr>
            </w:pPr>
          </w:p>
        </w:tc>
        <w:tc>
          <w:tcPr>
            <w:tcW w:w="2946" w:type="dxa"/>
            <w:tcBorders>
              <w:top w:val="single" w:sz="8" w:space="0" w:color="auto"/>
              <w:left w:val="nil"/>
              <w:bottom w:val="nil"/>
              <w:right w:val="single" w:sz="8" w:space="0" w:color="auto"/>
            </w:tcBorders>
            <w:vAlign w:val="center"/>
            <w:hideMark/>
          </w:tcPr>
          <w:p w14:paraId="7CF67556"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vis adaptation - initial migration </w:t>
            </w:r>
          </w:p>
        </w:tc>
        <w:tc>
          <w:tcPr>
            <w:tcW w:w="826" w:type="dxa"/>
            <w:tcBorders>
              <w:top w:val="single" w:sz="8" w:space="0" w:color="auto"/>
              <w:left w:val="nil"/>
              <w:bottom w:val="nil"/>
              <w:right w:val="single" w:sz="8" w:space="0" w:color="auto"/>
            </w:tcBorders>
            <w:vAlign w:val="center"/>
            <w:hideMark/>
          </w:tcPr>
          <w:p w14:paraId="16005277"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25685A33"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2F592E7F"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0,146 </w:t>
            </w:r>
          </w:p>
        </w:tc>
        <w:tc>
          <w:tcPr>
            <w:tcW w:w="621" w:type="dxa"/>
            <w:tcBorders>
              <w:top w:val="nil"/>
              <w:left w:val="nil"/>
              <w:bottom w:val="single" w:sz="8" w:space="0" w:color="auto"/>
              <w:right w:val="single" w:sz="8" w:space="0" w:color="auto"/>
            </w:tcBorders>
            <w:vAlign w:val="center"/>
            <w:hideMark/>
          </w:tcPr>
          <w:p w14:paraId="0B597B0F"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02D2956A"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0,148 </w:t>
            </w:r>
          </w:p>
        </w:tc>
        <w:tc>
          <w:tcPr>
            <w:tcW w:w="621" w:type="dxa"/>
            <w:tcBorders>
              <w:top w:val="nil"/>
              <w:left w:val="nil"/>
              <w:bottom w:val="single" w:sz="8" w:space="0" w:color="auto"/>
              <w:right w:val="single" w:sz="8" w:space="0" w:color="auto"/>
            </w:tcBorders>
            <w:vAlign w:val="center"/>
            <w:hideMark/>
          </w:tcPr>
          <w:p w14:paraId="63BAC85D"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0FA5953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5E5A525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4A16D5DC"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nil"/>
              <w:left w:val="nil"/>
              <w:bottom w:val="single" w:sz="8" w:space="0" w:color="auto"/>
              <w:right w:val="single" w:sz="8" w:space="0" w:color="auto"/>
            </w:tcBorders>
            <w:vAlign w:val="center"/>
            <w:hideMark/>
          </w:tcPr>
          <w:p w14:paraId="69174078"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3C113CD8"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0,294 </w:t>
            </w:r>
          </w:p>
        </w:tc>
      </w:tr>
      <w:tr w:rsidR="00C92441" w14:paraId="614D4789" w14:textId="77777777" w:rsidTr="00C92441">
        <w:trPr>
          <w:trHeight w:val="279"/>
        </w:trPr>
        <w:tc>
          <w:tcPr>
            <w:tcW w:w="1716" w:type="dxa"/>
            <w:tcBorders>
              <w:top w:val="single" w:sz="8" w:space="0" w:color="auto"/>
              <w:left w:val="single" w:sz="8" w:space="0" w:color="auto"/>
              <w:bottom w:val="nil"/>
              <w:right w:val="single" w:sz="8" w:space="0" w:color="auto"/>
            </w:tcBorders>
            <w:vAlign w:val="center"/>
            <w:hideMark/>
          </w:tcPr>
          <w:p w14:paraId="598FE684"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0" w:type="auto"/>
            <w:vMerge/>
            <w:tcBorders>
              <w:top w:val="nil"/>
              <w:left w:val="single" w:sz="8" w:space="0" w:color="auto"/>
              <w:bottom w:val="single" w:sz="8" w:space="0" w:color="000000"/>
              <w:right w:val="single" w:sz="8" w:space="0" w:color="auto"/>
            </w:tcBorders>
            <w:vAlign w:val="center"/>
            <w:hideMark/>
          </w:tcPr>
          <w:p w14:paraId="008B2981" w14:textId="77777777" w:rsidR="00C92441" w:rsidRDefault="00C92441">
            <w:pPr>
              <w:spacing w:after="0"/>
              <w:rPr>
                <w:rFonts w:eastAsia="Times New Roman"/>
                <w:noProof/>
                <w:color w:val="000000"/>
                <w:sz w:val="18"/>
                <w:szCs w:val="18"/>
                <w:lang w:val="en-IE" w:eastAsia="en-IE"/>
              </w:rPr>
            </w:pPr>
          </w:p>
        </w:tc>
        <w:tc>
          <w:tcPr>
            <w:tcW w:w="2946" w:type="dxa"/>
            <w:tcBorders>
              <w:top w:val="single" w:sz="8" w:space="0" w:color="auto"/>
              <w:left w:val="nil"/>
              <w:bottom w:val="nil"/>
              <w:right w:val="single" w:sz="8" w:space="0" w:color="auto"/>
            </w:tcBorders>
            <w:vAlign w:val="center"/>
            <w:hideMark/>
          </w:tcPr>
          <w:p w14:paraId="75C3DB47"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vis adaptation - synchronisation </w:t>
            </w:r>
          </w:p>
        </w:tc>
        <w:tc>
          <w:tcPr>
            <w:tcW w:w="826" w:type="dxa"/>
            <w:tcBorders>
              <w:top w:val="single" w:sz="8" w:space="0" w:color="auto"/>
              <w:left w:val="nil"/>
              <w:bottom w:val="nil"/>
              <w:right w:val="single" w:sz="8" w:space="0" w:color="auto"/>
            </w:tcBorders>
            <w:vAlign w:val="center"/>
            <w:hideMark/>
          </w:tcPr>
          <w:p w14:paraId="75C0337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69827D25"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4E07E176"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0,130 </w:t>
            </w:r>
          </w:p>
        </w:tc>
        <w:tc>
          <w:tcPr>
            <w:tcW w:w="621" w:type="dxa"/>
            <w:tcBorders>
              <w:top w:val="nil"/>
              <w:left w:val="nil"/>
              <w:bottom w:val="single" w:sz="8" w:space="0" w:color="auto"/>
              <w:right w:val="single" w:sz="8" w:space="0" w:color="auto"/>
            </w:tcBorders>
            <w:vAlign w:val="center"/>
            <w:hideMark/>
          </w:tcPr>
          <w:p w14:paraId="1F6150B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73628F6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0,132 </w:t>
            </w:r>
          </w:p>
        </w:tc>
        <w:tc>
          <w:tcPr>
            <w:tcW w:w="621" w:type="dxa"/>
            <w:tcBorders>
              <w:top w:val="nil"/>
              <w:left w:val="nil"/>
              <w:bottom w:val="single" w:sz="8" w:space="0" w:color="auto"/>
              <w:right w:val="single" w:sz="8" w:space="0" w:color="auto"/>
            </w:tcBorders>
            <w:vAlign w:val="center"/>
            <w:hideMark/>
          </w:tcPr>
          <w:p w14:paraId="2724B6E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468A0DF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3945B5B6"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4258D4D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nil"/>
              <w:left w:val="nil"/>
              <w:bottom w:val="single" w:sz="8" w:space="0" w:color="auto"/>
              <w:right w:val="single" w:sz="8" w:space="0" w:color="auto"/>
            </w:tcBorders>
            <w:vAlign w:val="center"/>
            <w:hideMark/>
          </w:tcPr>
          <w:p w14:paraId="64E93DA0"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62EE0BF3"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0,261 </w:t>
            </w:r>
          </w:p>
        </w:tc>
      </w:tr>
      <w:tr w:rsidR="00C92441" w14:paraId="2CF546F8" w14:textId="77777777" w:rsidTr="00C92441">
        <w:trPr>
          <w:trHeight w:val="438"/>
        </w:trPr>
        <w:tc>
          <w:tcPr>
            <w:tcW w:w="1716" w:type="dxa"/>
            <w:tcBorders>
              <w:top w:val="single" w:sz="8" w:space="0" w:color="auto"/>
              <w:left w:val="single" w:sz="8" w:space="0" w:color="auto"/>
              <w:bottom w:val="nil"/>
              <w:right w:val="single" w:sz="8" w:space="0" w:color="auto"/>
            </w:tcBorders>
            <w:vAlign w:val="center"/>
            <w:hideMark/>
          </w:tcPr>
          <w:p w14:paraId="6CBE3FF0"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0" w:type="auto"/>
            <w:vMerge/>
            <w:tcBorders>
              <w:top w:val="nil"/>
              <w:left w:val="single" w:sz="8" w:space="0" w:color="auto"/>
              <w:bottom w:val="single" w:sz="8" w:space="0" w:color="000000"/>
              <w:right w:val="single" w:sz="8" w:space="0" w:color="auto"/>
            </w:tcBorders>
            <w:vAlign w:val="center"/>
            <w:hideMark/>
          </w:tcPr>
          <w:p w14:paraId="59A7CCFA" w14:textId="77777777" w:rsidR="00C92441" w:rsidRDefault="00C92441">
            <w:pPr>
              <w:spacing w:after="0"/>
              <w:rPr>
                <w:rFonts w:eastAsia="Times New Roman"/>
                <w:noProof/>
                <w:color w:val="000000"/>
                <w:sz w:val="18"/>
                <w:szCs w:val="18"/>
                <w:lang w:val="en-IE" w:eastAsia="en-IE"/>
              </w:rPr>
            </w:pPr>
          </w:p>
        </w:tc>
        <w:tc>
          <w:tcPr>
            <w:tcW w:w="2946" w:type="dxa"/>
            <w:tcBorders>
              <w:top w:val="single" w:sz="8" w:space="0" w:color="auto"/>
              <w:left w:val="nil"/>
              <w:bottom w:val="nil"/>
              <w:right w:val="single" w:sz="8" w:space="0" w:color="auto"/>
            </w:tcBorders>
            <w:vAlign w:val="center"/>
            <w:hideMark/>
          </w:tcPr>
          <w:p w14:paraId="156F7727"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vis adaptation hardware &amp; infrastructure </w:t>
            </w:r>
          </w:p>
        </w:tc>
        <w:tc>
          <w:tcPr>
            <w:tcW w:w="826" w:type="dxa"/>
            <w:tcBorders>
              <w:top w:val="single" w:sz="8" w:space="0" w:color="auto"/>
              <w:left w:val="nil"/>
              <w:bottom w:val="nil"/>
              <w:right w:val="single" w:sz="8" w:space="0" w:color="auto"/>
            </w:tcBorders>
            <w:vAlign w:val="center"/>
            <w:hideMark/>
          </w:tcPr>
          <w:p w14:paraId="703ACEF5"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1B228B43"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17453F5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1,300 </w:t>
            </w:r>
          </w:p>
        </w:tc>
        <w:tc>
          <w:tcPr>
            <w:tcW w:w="621" w:type="dxa"/>
            <w:tcBorders>
              <w:top w:val="nil"/>
              <w:left w:val="nil"/>
              <w:bottom w:val="single" w:sz="8" w:space="0" w:color="auto"/>
              <w:right w:val="single" w:sz="8" w:space="0" w:color="auto"/>
            </w:tcBorders>
            <w:vAlign w:val="center"/>
            <w:hideMark/>
          </w:tcPr>
          <w:p w14:paraId="569CAB33"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5360AA4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1,300 </w:t>
            </w:r>
          </w:p>
        </w:tc>
        <w:tc>
          <w:tcPr>
            <w:tcW w:w="621" w:type="dxa"/>
            <w:tcBorders>
              <w:top w:val="nil"/>
              <w:left w:val="nil"/>
              <w:bottom w:val="single" w:sz="8" w:space="0" w:color="auto"/>
              <w:right w:val="single" w:sz="8" w:space="0" w:color="auto"/>
            </w:tcBorders>
            <w:vAlign w:val="center"/>
            <w:hideMark/>
          </w:tcPr>
          <w:p w14:paraId="3E705A94"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774FA6DF"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45C1A150"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30564DE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nil"/>
              <w:left w:val="nil"/>
              <w:bottom w:val="single" w:sz="8" w:space="0" w:color="auto"/>
              <w:right w:val="single" w:sz="8" w:space="0" w:color="auto"/>
            </w:tcBorders>
            <w:vAlign w:val="center"/>
            <w:hideMark/>
          </w:tcPr>
          <w:p w14:paraId="79F7A0EF"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2BE5E0F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2,600 </w:t>
            </w:r>
          </w:p>
        </w:tc>
      </w:tr>
      <w:tr w:rsidR="00C92441" w14:paraId="4920E19A" w14:textId="77777777" w:rsidTr="00C92441">
        <w:trPr>
          <w:trHeight w:val="438"/>
        </w:trPr>
        <w:tc>
          <w:tcPr>
            <w:tcW w:w="1716" w:type="dxa"/>
            <w:tcBorders>
              <w:top w:val="single" w:sz="8" w:space="0" w:color="auto"/>
              <w:left w:val="single" w:sz="8" w:space="0" w:color="auto"/>
              <w:bottom w:val="nil"/>
              <w:right w:val="single" w:sz="8" w:space="0" w:color="auto"/>
            </w:tcBorders>
            <w:vAlign w:val="center"/>
            <w:hideMark/>
          </w:tcPr>
          <w:p w14:paraId="58B051A3"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0" w:type="auto"/>
            <w:vMerge/>
            <w:tcBorders>
              <w:top w:val="nil"/>
              <w:left w:val="single" w:sz="8" w:space="0" w:color="auto"/>
              <w:bottom w:val="single" w:sz="8" w:space="0" w:color="000000"/>
              <w:right w:val="single" w:sz="8" w:space="0" w:color="auto"/>
            </w:tcBorders>
            <w:vAlign w:val="center"/>
            <w:hideMark/>
          </w:tcPr>
          <w:p w14:paraId="7F38C73B" w14:textId="77777777" w:rsidR="00C92441" w:rsidRDefault="00C92441">
            <w:pPr>
              <w:spacing w:after="0"/>
              <w:rPr>
                <w:rFonts w:eastAsia="Times New Roman"/>
                <w:noProof/>
                <w:color w:val="000000"/>
                <w:sz w:val="18"/>
                <w:szCs w:val="18"/>
                <w:lang w:val="en-IE" w:eastAsia="en-IE"/>
              </w:rPr>
            </w:pPr>
          </w:p>
        </w:tc>
        <w:tc>
          <w:tcPr>
            <w:tcW w:w="2946" w:type="dxa"/>
            <w:tcBorders>
              <w:top w:val="single" w:sz="8" w:space="0" w:color="auto"/>
              <w:left w:val="nil"/>
              <w:bottom w:val="nil"/>
              <w:right w:val="single" w:sz="8" w:space="0" w:color="auto"/>
            </w:tcBorders>
            <w:vAlign w:val="center"/>
            <w:hideMark/>
          </w:tcPr>
          <w:p w14:paraId="40402DA7" w14:textId="77777777" w:rsidR="00C92441" w:rsidRDefault="00C92441">
            <w:pPr>
              <w:spacing w:after="0"/>
              <w:rPr>
                <w:rFonts w:eastAsia="Times New Roman"/>
                <w:i/>
                <w:iCs/>
                <w:noProof/>
                <w:color w:val="000000"/>
                <w:sz w:val="18"/>
                <w:szCs w:val="18"/>
                <w:lang w:eastAsia="en-IE"/>
              </w:rPr>
            </w:pPr>
            <w:r>
              <w:rPr>
                <w:rFonts w:eastAsia="Times New Roman"/>
                <w:i/>
                <w:iCs/>
                <w:noProof/>
                <w:color w:val="000000"/>
                <w:sz w:val="18"/>
                <w:szCs w:val="18"/>
                <w:lang w:eastAsia="en-IE"/>
              </w:rPr>
              <w:t xml:space="preserve"> Integration and adaptation + harware and infrastructure (Member States) </w:t>
            </w:r>
          </w:p>
        </w:tc>
        <w:tc>
          <w:tcPr>
            <w:tcW w:w="826" w:type="dxa"/>
            <w:tcBorders>
              <w:top w:val="single" w:sz="8" w:space="0" w:color="auto"/>
              <w:left w:val="nil"/>
              <w:bottom w:val="nil"/>
              <w:right w:val="single" w:sz="8" w:space="0" w:color="auto"/>
            </w:tcBorders>
            <w:vAlign w:val="center"/>
            <w:hideMark/>
          </w:tcPr>
          <w:p w14:paraId="79242606"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7AD3A385"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24352286"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33,400 </w:t>
            </w:r>
          </w:p>
        </w:tc>
        <w:tc>
          <w:tcPr>
            <w:tcW w:w="621" w:type="dxa"/>
            <w:tcBorders>
              <w:top w:val="nil"/>
              <w:left w:val="nil"/>
              <w:bottom w:val="single" w:sz="8" w:space="0" w:color="auto"/>
              <w:right w:val="single" w:sz="8" w:space="0" w:color="auto"/>
            </w:tcBorders>
            <w:vAlign w:val="center"/>
            <w:hideMark/>
          </w:tcPr>
          <w:p w14:paraId="257A363D"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5C7F878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50,100 </w:t>
            </w:r>
          </w:p>
        </w:tc>
        <w:tc>
          <w:tcPr>
            <w:tcW w:w="621" w:type="dxa"/>
            <w:tcBorders>
              <w:top w:val="nil"/>
              <w:left w:val="nil"/>
              <w:bottom w:val="single" w:sz="8" w:space="0" w:color="auto"/>
              <w:right w:val="single" w:sz="8" w:space="0" w:color="auto"/>
            </w:tcBorders>
            <w:vAlign w:val="center"/>
            <w:hideMark/>
          </w:tcPr>
          <w:p w14:paraId="237FC0F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771B1CB8"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6629C03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6AC0FF0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nil"/>
              <w:left w:val="nil"/>
              <w:bottom w:val="single" w:sz="8" w:space="0" w:color="auto"/>
              <w:right w:val="single" w:sz="8" w:space="0" w:color="auto"/>
            </w:tcBorders>
            <w:vAlign w:val="center"/>
            <w:hideMark/>
          </w:tcPr>
          <w:p w14:paraId="0904E76C"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1C2EC3F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83,500 </w:t>
            </w:r>
          </w:p>
        </w:tc>
      </w:tr>
      <w:tr w:rsidR="00C92441" w14:paraId="5791C942" w14:textId="77777777" w:rsidTr="00C92441">
        <w:trPr>
          <w:trHeight w:val="279"/>
        </w:trPr>
        <w:tc>
          <w:tcPr>
            <w:tcW w:w="1716" w:type="dxa"/>
            <w:tcBorders>
              <w:top w:val="single" w:sz="8" w:space="0" w:color="auto"/>
              <w:left w:val="single" w:sz="8" w:space="0" w:color="auto"/>
              <w:bottom w:val="nil"/>
              <w:right w:val="single" w:sz="8" w:space="0" w:color="auto"/>
            </w:tcBorders>
            <w:vAlign w:val="center"/>
            <w:hideMark/>
          </w:tcPr>
          <w:p w14:paraId="0D7BA8FD"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0" w:type="auto"/>
            <w:vMerge/>
            <w:tcBorders>
              <w:top w:val="nil"/>
              <w:left w:val="single" w:sz="8" w:space="0" w:color="auto"/>
              <w:bottom w:val="single" w:sz="8" w:space="0" w:color="000000"/>
              <w:right w:val="single" w:sz="8" w:space="0" w:color="auto"/>
            </w:tcBorders>
            <w:vAlign w:val="center"/>
            <w:hideMark/>
          </w:tcPr>
          <w:p w14:paraId="5C0EB5CB" w14:textId="77777777" w:rsidR="00C92441" w:rsidRDefault="00C92441">
            <w:pPr>
              <w:spacing w:after="0"/>
              <w:rPr>
                <w:rFonts w:eastAsia="Times New Roman"/>
                <w:noProof/>
                <w:color w:val="000000"/>
                <w:sz w:val="18"/>
                <w:szCs w:val="18"/>
                <w:lang w:val="en-IE" w:eastAsia="en-IE"/>
              </w:rPr>
            </w:pPr>
          </w:p>
        </w:tc>
        <w:tc>
          <w:tcPr>
            <w:tcW w:w="2946" w:type="dxa"/>
            <w:tcBorders>
              <w:top w:val="single" w:sz="8" w:space="0" w:color="auto"/>
              <w:left w:val="nil"/>
              <w:bottom w:val="nil"/>
              <w:right w:val="single" w:sz="8" w:space="0" w:color="auto"/>
            </w:tcBorders>
            <w:vAlign w:val="center"/>
            <w:hideMark/>
          </w:tcPr>
          <w:p w14:paraId="3B611C51" w14:textId="77777777" w:rsidR="00C92441" w:rsidRDefault="00C92441">
            <w:pPr>
              <w:spacing w:after="0"/>
              <w:rPr>
                <w:rFonts w:eastAsia="Times New Roman"/>
                <w:i/>
                <w:iCs/>
                <w:noProof/>
                <w:color w:val="000000"/>
                <w:sz w:val="18"/>
                <w:szCs w:val="18"/>
                <w:lang w:eastAsia="en-IE"/>
              </w:rPr>
            </w:pPr>
            <w:r>
              <w:rPr>
                <w:rFonts w:eastAsia="Times New Roman"/>
                <w:i/>
                <w:iCs/>
                <w:noProof/>
                <w:color w:val="000000"/>
                <w:sz w:val="18"/>
                <w:szCs w:val="18"/>
                <w:lang w:eastAsia="en-IE"/>
              </w:rPr>
              <w:t xml:space="preserve"> Trainings (Member States) </w:t>
            </w:r>
          </w:p>
        </w:tc>
        <w:tc>
          <w:tcPr>
            <w:tcW w:w="826" w:type="dxa"/>
            <w:tcBorders>
              <w:top w:val="single" w:sz="8" w:space="0" w:color="auto"/>
              <w:left w:val="nil"/>
              <w:bottom w:val="nil"/>
              <w:right w:val="single" w:sz="8" w:space="0" w:color="auto"/>
            </w:tcBorders>
            <w:vAlign w:val="center"/>
            <w:hideMark/>
          </w:tcPr>
          <w:p w14:paraId="178814AA"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5A8D6AF0"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7E4C6754"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5425022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2AD100D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0,858 </w:t>
            </w:r>
          </w:p>
        </w:tc>
        <w:tc>
          <w:tcPr>
            <w:tcW w:w="621" w:type="dxa"/>
            <w:tcBorders>
              <w:top w:val="nil"/>
              <w:left w:val="nil"/>
              <w:bottom w:val="single" w:sz="8" w:space="0" w:color="auto"/>
              <w:right w:val="single" w:sz="8" w:space="0" w:color="auto"/>
            </w:tcBorders>
            <w:vAlign w:val="center"/>
            <w:hideMark/>
          </w:tcPr>
          <w:p w14:paraId="2F19198F"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70F64F4C"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344D1A56"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0CF8154F"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nil"/>
              <w:left w:val="nil"/>
              <w:bottom w:val="single" w:sz="8" w:space="0" w:color="auto"/>
              <w:right w:val="single" w:sz="8" w:space="0" w:color="auto"/>
            </w:tcBorders>
            <w:vAlign w:val="center"/>
            <w:hideMark/>
          </w:tcPr>
          <w:p w14:paraId="245636CA"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1A80BAFA"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0,858 </w:t>
            </w:r>
          </w:p>
        </w:tc>
      </w:tr>
      <w:tr w:rsidR="00C92441" w14:paraId="7E7CCE68" w14:textId="77777777" w:rsidTr="00C92441">
        <w:trPr>
          <w:trHeight w:val="438"/>
        </w:trPr>
        <w:tc>
          <w:tcPr>
            <w:tcW w:w="1716" w:type="dxa"/>
            <w:tcBorders>
              <w:top w:val="single" w:sz="8" w:space="0" w:color="auto"/>
              <w:left w:val="single" w:sz="8" w:space="0" w:color="auto"/>
              <w:bottom w:val="nil"/>
              <w:right w:val="single" w:sz="8" w:space="0" w:color="auto"/>
            </w:tcBorders>
            <w:vAlign w:val="center"/>
            <w:hideMark/>
          </w:tcPr>
          <w:p w14:paraId="0EE2CAE9"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1146" w:type="dxa"/>
            <w:vMerge w:val="restart"/>
            <w:tcBorders>
              <w:top w:val="nil"/>
              <w:left w:val="single" w:sz="8" w:space="0" w:color="auto"/>
              <w:bottom w:val="single" w:sz="8" w:space="0" w:color="000000"/>
              <w:right w:val="single" w:sz="8" w:space="0" w:color="auto"/>
            </w:tcBorders>
            <w:vAlign w:val="center"/>
            <w:hideMark/>
          </w:tcPr>
          <w:p w14:paraId="2D8F0FA2"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Maintenance </w:t>
            </w:r>
          </w:p>
        </w:tc>
        <w:tc>
          <w:tcPr>
            <w:tcW w:w="2946" w:type="dxa"/>
            <w:tcBorders>
              <w:top w:val="single" w:sz="8" w:space="0" w:color="auto"/>
              <w:left w:val="nil"/>
              <w:bottom w:val="nil"/>
              <w:right w:val="single" w:sz="8" w:space="0" w:color="auto"/>
            </w:tcBorders>
            <w:vAlign w:val="center"/>
            <w:hideMark/>
          </w:tcPr>
          <w:p w14:paraId="64577C29"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recurring costs - digital application platform helpdesk, ad-hoc fixes,  </w:t>
            </w:r>
          </w:p>
        </w:tc>
        <w:tc>
          <w:tcPr>
            <w:tcW w:w="826" w:type="dxa"/>
            <w:tcBorders>
              <w:top w:val="single" w:sz="8" w:space="0" w:color="auto"/>
              <w:left w:val="nil"/>
              <w:bottom w:val="nil"/>
              <w:right w:val="single" w:sz="8" w:space="0" w:color="auto"/>
            </w:tcBorders>
            <w:vAlign w:val="center"/>
            <w:hideMark/>
          </w:tcPr>
          <w:p w14:paraId="0B432796"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2A524E2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328E0664"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0D97EF57"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18C59B40"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6FE19407"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3BF8D012"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7,031 </w:t>
            </w:r>
          </w:p>
        </w:tc>
        <w:tc>
          <w:tcPr>
            <w:tcW w:w="621" w:type="dxa"/>
            <w:tcBorders>
              <w:top w:val="nil"/>
              <w:left w:val="nil"/>
              <w:bottom w:val="single" w:sz="8" w:space="0" w:color="auto"/>
              <w:right w:val="single" w:sz="8" w:space="0" w:color="auto"/>
            </w:tcBorders>
            <w:vAlign w:val="center"/>
            <w:hideMark/>
          </w:tcPr>
          <w:p w14:paraId="5353225F"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375A7C9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6,992 </w:t>
            </w:r>
          </w:p>
        </w:tc>
        <w:tc>
          <w:tcPr>
            <w:tcW w:w="637" w:type="dxa"/>
            <w:tcBorders>
              <w:top w:val="nil"/>
              <w:left w:val="nil"/>
              <w:bottom w:val="single" w:sz="8" w:space="0" w:color="auto"/>
              <w:right w:val="single" w:sz="8" w:space="0" w:color="auto"/>
            </w:tcBorders>
            <w:vAlign w:val="center"/>
            <w:hideMark/>
          </w:tcPr>
          <w:p w14:paraId="2569894A"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5CC4A1B7"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14,023 </w:t>
            </w:r>
          </w:p>
        </w:tc>
      </w:tr>
      <w:tr w:rsidR="00C92441" w14:paraId="2D6218C9" w14:textId="77777777" w:rsidTr="00C92441">
        <w:trPr>
          <w:trHeight w:val="438"/>
        </w:trPr>
        <w:tc>
          <w:tcPr>
            <w:tcW w:w="1716" w:type="dxa"/>
            <w:tcBorders>
              <w:top w:val="single" w:sz="8" w:space="0" w:color="auto"/>
              <w:left w:val="single" w:sz="8" w:space="0" w:color="auto"/>
              <w:bottom w:val="nil"/>
              <w:right w:val="single" w:sz="8" w:space="0" w:color="auto"/>
            </w:tcBorders>
            <w:vAlign w:val="center"/>
            <w:hideMark/>
          </w:tcPr>
          <w:p w14:paraId="15075F53"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0" w:type="auto"/>
            <w:vMerge/>
            <w:tcBorders>
              <w:top w:val="nil"/>
              <w:left w:val="single" w:sz="8" w:space="0" w:color="auto"/>
              <w:bottom w:val="single" w:sz="8" w:space="0" w:color="000000"/>
              <w:right w:val="single" w:sz="8" w:space="0" w:color="auto"/>
            </w:tcBorders>
            <w:vAlign w:val="center"/>
            <w:hideMark/>
          </w:tcPr>
          <w:p w14:paraId="56E0AA39" w14:textId="77777777" w:rsidR="00C92441" w:rsidRDefault="00C92441">
            <w:pPr>
              <w:spacing w:after="0"/>
              <w:rPr>
                <w:rFonts w:eastAsia="Times New Roman"/>
                <w:noProof/>
                <w:color w:val="000000"/>
                <w:sz w:val="18"/>
                <w:szCs w:val="18"/>
                <w:lang w:val="en-IE" w:eastAsia="en-IE"/>
              </w:rPr>
            </w:pPr>
          </w:p>
        </w:tc>
        <w:tc>
          <w:tcPr>
            <w:tcW w:w="2946" w:type="dxa"/>
            <w:tcBorders>
              <w:top w:val="single" w:sz="8" w:space="0" w:color="auto"/>
              <w:left w:val="nil"/>
              <w:bottom w:val="nil"/>
              <w:right w:val="single" w:sz="8" w:space="0" w:color="auto"/>
            </w:tcBorders>
            <w:vAlign w:val="center"/>
            <w:hideMark/>
          </w:tcPr>
          <w:p w14:paraId="03EF39F5"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recurring costs hardware &amp; infrastructure </w:t>
            </w:r>
          </w:p>
        </w:tc>
        <w:tc>
          <w:tcPr>
            <w:tcW w:w="826" w:type="dxa"/>
            <w:tcBorders>
              <w:top w:val="single" w:sz="8" w:space="0" w:color="auto"/>
              <w:left w:val="nil"/>
              <w:bottom w:val="nil"/>
              <w:right w:val="single" w:sz="8" w:space="0" w:color="auto"/>
            </w:tcBorders>
            <w:vAlign w:val="center"/>
            <w:hideMark/>
          </w:tcPr>
          <w:p w14:paraId="0B8F190A"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0BC04E7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6B8F80D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7B4EFF90"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20AF2589"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7A3FB3BC"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78DF319F"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3,266 </w:t>
            </w:r>
          </w:p>
        </w:tc>
        <w:tc>
          <w:tcPr>
            <w:tcW w:w="621" w:type="dxa"/>
            <w:tcBorders>
              <w:top w:val="nil"/>
              <w:left w:val="nil"/>
              <w:bottom w:val="single" w:sz="8" w:space="0" w:color="auto"/>
              <w:right w:val="single" w:sz="8" w:space="0" w:color="auto"/>
            </w:tcBorders>
            <w:vAlign w:val="center"/>
            <w:hideMark/>
          </w:tcPr>
          <w:p w14:paraId="257FAA8F"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2DBEE4ED"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3,287 </w:t>
            </w:r>
          </w:p>
        </w:tc>
        <w:tc>
          <w:tcPr>
            <w:tcW w:w="637" w:type="dxa"/>
            <w:tcBorders>
              <w:top w:val="nil"/>
              <w:left w:val="nil"/>
              <w:bottom w:val="single" w:sz="8" w:space="0" w:color="auto"/>
              <w:right w:val="single" w:sz="8" w:space="0" w:color="auto"/>
            </w:tcBorders>
            <w:vAlign w:val="center"/>
            <w:hideMark/>
          </w:tcPr>
          <w:p w14:paraId="0F611BB0"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1B6FDC46"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6,553 </w:t>
            </w:r>
          </w:p>
        </w:tc>
      </w:tr>
      <w:tr w:rsidR="00C92441" w14:paraId="02082E1A" w14:textId="77777777" w:rsidTr="00C92441">
        <w:trPr>
          <w:trHeight w:val="279"/>
        </w:trPr>
        <w:tc>
          <w:tcPr>
            <w:tcW w:w="1716" w:type="dxa"/>
            <w:tcBorders>
              <w:top w:val="single" w:sz="8" w:space="0" w:color="auto"/>
              <w:left w:val="single" w:sz="8" w:space="0" w:color="auto"/>
              <w:bottom w:val="nil"/>
              <w:right w:val="single" w:sz="8" w:space="0" w:color="auto"/>
            </w:tcBorders>
            <w:vAlign w:val="center"/>
            <w:hideMark/>
          </w:tcPr>
          <w:p w14:paraId="275DA911"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w:t>
            </w:r>
          </w:p>
        </w:tc>
        <w:tc>
          <w:tcPr>
            <w:tcW w:w="0" w:type="auto"/>
            <w:vMerge/>
            <w:tcBorders>
              <w:top w:val="nil"/>
              <w:left w:val="single" w:sz="8" w:space="0" w:color="auto"/>
              <w:bottom w:val="single" w:sz="8" w:space="0" w:color="000000"/>
              <w:right w:val="single" w:sz="8" w:space="0" w:color="auto"/>
            </w:tcBorders>
            <w:vAlign w:val="center"/>
            <w:hideMark/>
          </w:tcPr>
          <w:p w14:paraId="4F2BC70B" w14:textId="77777777" w:rsidR="00C92441" w:rsidRDefault="00C92441">
            <w:pPr>
              <w:spacing w:after="0"/>
              <w:rPr>
                <w:rFonts w:eastAsia="Times New Roman"/>
                <w:noProof/>
                <w:color w:val="000000"/>
                <w:sz w:val="18"/>
                <w:szCs w:val="18"/>
                <w:lang w:val="en-IE" w:eastAsia="en-IE"/>
              </w:rPr>
            </w:pPr>
          </w:p>
        </w:tc>
        <w:tc>
          <w:tcPr>
            <w:tcW w:w="2946" w:type="dxa"/>
            <w:tcBorders>
              <w:top w:val="single" w:sz="8" w:space="0" w:color="auto"/>
              <w:left w:val="nil"/>
              <w:bottom w:val="nil"/>
              <w:right w:val="single" w:sz="8" w:space="0" w:color="auto"/>
            </w:tcBorders>
            <w:vAlign w:val="center"/>
            <w:hideMark/>
          </w:tcPr>
          <w:p w14:paraId="5D7FD0FA"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recurring costs - licenses </w:t>
            </w:r>
          </w:p>
        </w:tc>
        <w:tc>
          <w:tcPr>
            <w:tcW w:w="826" w:type="dxa"/>
            <w:tcBorders>
              <w:top w:val="single" w:sz="8" w:space="0" w:color="auto"/>
              <w:left w:val="nil"/>
              <w:bottom w:val="nil"/>
              <w:right w:val="single" w:sz="8" w:space="0" w:color="auto"/>
            </w:tcBorders>
            <w:vAlign w:val="center"/>
            <w:hideMark/>
          </w:tcPr>
          <w:p w14:paraId="0B80FAD0"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6E22B7E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44F71268"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5589FDD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29DB133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547C1797"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37A1DF10"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2,504 </w:t>
            </w:r>
          </w:p>
        </w:tc>
        <w:tc>
          <w:tcPr>
            <w:tcW w:w="621" w:type="dxa"/>
            <w:tcBorders>
              <w:top w:val="nil"/>
              <w:left w:val="nil"/>
              <w:bottom w:val="single" w:sz="8" w:space="0" w:color="auto"/>
              <w:right w:val="single" w:sz="8" w:space="0" w:color="auto"/>
            </w:tcBorders>
            <w:vAlign w:val="center"/>
            <w:hideMark/>
          </w:tcPr>
          <w:p w14:paraId="57F72F2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40D973F7"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2,520 </w:t>
            </w:r>
          </w:p>
        </w:tc>
        <w:tc>
          <w:tcPr>
            <w:tcW w:w="637" w:type="dxa"/>
            <w:tcBorders>
              <w:top w:val="nil"/>
              <w:left w:val="nil"/>
              <w:bottom w:val="single" w:sz="8" w:space="0" w:color="auto"/>
              <w:right w:val="single" w:sz="8" w:space="0" w:color="auto"/>
            </w:tcBorders>
            <w:vAlign w:val="center"/>
            <w:hideMark/>
          </w:tcPr>
          <w:p w14:paraId="7142A16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24378C25"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5,024 </w:t>
            </w:r>
          </w:p>
        </w:tc>
      </w:tr>
      <w:tr w:rsidR="00C92441" w14:paraId="553AF2F5" w14:textId="77777777" w:rsidTr="00C92441">
        <w:trPr>
          <w:trHeight w:val="438"/>
        </w:trPr>
        <w:tc>
          <w:tcPr>
            <w:tcW w:w="1716" w:type="dxa"/>
            <w:tcBorders>
              <w:top w:val="single" w:sz="8" w:space="0" w:color="auto"/>
              <w:left w:val="single" w:sz="8" w:space="0" w:color="auto"/>
              <w:bottom w:val="nil"/>
              <w:right w:val="single" w:sz="8" w:space="0" w:color="auto"/>
            </w:tcBorders>
            <w:vAlign w:val="center"/>
            <w:hideMark/>
          </w:tcPr>
          <w:p w14:paraId="0EDD59F0"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 Output </w:t>
            </w:r>
          </w:p>
        </w:tc>
        <w:tc>
          <w:tcPr>
            <w:tcW w:w="0" w:type="auto"/>
            <w:vMerge/>
            <w:tcBorders>
              <w:top w:val="nil"/>
              <w:left w:val="single" w:sz="8" w:space="0" w:color="auto"/>
              <w:bottom w:val="single" w:sz="8" w:space="0" w:color="000000"/>
              <w:right w:val="single" w:sz="8" w:space="0" w:color="auto"/>
            </w:tcBorders>
            <w:vAlign w:val="center"/>
            <w:hideMark/>
          </w:tcPr>
          <w:p w14:paraId="5CD01265" w14:textId="77777777" w:rsidR="00C92441" w:rsidRDefault="00C92441">
            <w:pPr>
              <w:spacing w:after="0"/>
              <w:rPr>
                <w:rFonts w:eastAsia="Times New Roman"/>
                <w:noProof/>
                <w:color w:val="000000"/>
                <w:sz w:val="18"/>
                <w:szCs w:val="18"/>
                <w:lang w:val="en-IE" w:eastAsia="en-IE"/>
              </w:rPr>
            </w:pPr>
          </w:p>
        </w:tc>
        <w:tc>
          <w:tcPr>
            <w:tcW w:w="2946" w:type="dxa"/>
            <w:tcBorders>
              <w:top w:val="single" w:sz="8" w:space="0" w:color="auto"/>
              <w:left w:val="nil"/>
              <w:bottom w:val="nil"/>
              <w:right w:val="single" w:sz="8" w:space="0" w:color="auto"/>
            </w:tcBorders>
            <w:vAlign w:val="center"/>
            <w:hideMark/>
          </w:tcPr>
          <w:p w14:paraId="355EA51A" w14:textId="77777777" w:rsidR="00C92441" w:rsidRDefault="00C92441">
            <w:pPr>
              <w:spacing w:after="0"/>
              <w:rPr>
                <w:rFonts w:eastAsia="Times New Roman"/>
                <w:i/>
                <w:iCs/>
                <w:noProof/>
                <w:color w:val="000000"/>
                <w:sz w:val="18"/>
                <w:szCs w:val="18"/>
                <w:lang w:eastAsia="en-IE"/>
              </w:rPr>
            </w:pPr>
            <w:r>
              <w:rPr>
                <w:rFonts w:eastAsia="Times New Roman"/>
                <w:i/>
                <w:iCs/>
                <w:noProof/>
                <w:color w:val="000000"/>
                <w:sz w:val="18"/>
                <w:szCs w:val="18"/>
                <w:lang w:eastAsia="en-IE"/>
              </w:rPr>
              <w:t xml:space="preserve"> maintenance and operation costs  (Member States) </w:t>
            </w:r>
          </w:p>
        </w:tc>
        <w:tc>
          <w:tcPr>
            <w:tcW w:w="826" w:type="dxa"/>
            <w:tcBorders>
              <w:top w:val="single" w:sz="8" w:space="0" w:color="auto"/>
              <w:left w:val="nil"/>
              <w:bottom w:val="nil"/>
              <w:right w:val="single" w:sz="8" w:space="0" w:color="auto"/>
            </w:tcBorders>
            <w:vAlign w:val="center"/>
            <w:hideMark/>
          </w:tcPr>
          <w:p w14:paraId="0AF0AC5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37" w:type="dxa"/>
            <w:tcBorders>
              <w:top w:val="single" w:sz="8" w:space="0" w:color="auto"/>
              <w:left w:val="nil"/>
              <w:bottom w:val="nil"/>
              <w:right w:val="single" w:sz="8" w:space="0" w:color="auto"/>
            </w:tcBorders>
            <w:vAlign w:val="center"/>
            <w:hideMark/>
          </w:tcPr>
          <w:p w14:paraId="4E0F590C"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single" w:sz="8" w:space="0" w:color="auto"/>
              <w:left w:val="nil"/>
              <w:bottom w:val="nil"/>
              <w:right w:val="single" w:sz="8" w:space="0" w:color="auto"/>
            </w:tcBorders>
            <w:vAlign w:val="center"/>
            <w:hideMark/>
          </w:tcPr>
          <w:p w14:paraId="3DD7EEFC"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621" w:type="dxa"/>
            <w:tcBorders>
              <w:top w:val="nil"/>
              <w:left w:val="nil"/>
              <w:bottom w:val="single" w:sz="8" w:space="0" w:color="auto"/>
              <w:right w:val="single" w:sz="8" w:space="0" w:color="auto"/>
            </w:tcBorders>
            <w:vAlign w:val="center"/>
            <w:hideMark/>
          </w:tcPr>
          <w:p w14:paraId="1FF81A48"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0C1502BE"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   </w:t>
            </w:r>
          </w:p>
        </w:tc>
        <w:tc>
          <w:tcPr>
            <w:tcW w:w="621" w:type="dxa"/>
            <w:tcBorders>
              <w:top w:val="nil"/>
              <w:left w:val="nil"/>
              <w:bottom w:val="single" w:sz="8" w:space="0" w:color="auto"/>
              <w:right w:val="single" w:sz="8" w:space="0" w:color="auto"/>
            </w:tcBorders>
            <w:vAlign w:val="center"/>
            <w:hideMark/>
          </w:tcPr>
          <w:p w14:paraId="1D16EA8C"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1330C73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14,100 </w:t>
            </w:r>
          </w:p>
        </w:tc>
        <w:tc>
          <w:tcPr>
            <w:tcW w:w="621" w:type="dxa"/>
            <w:tcBorders>
              <w:top w:val="nil"/>
              <w:left w:val="nil"/>
              <w:bottom w:val="single" w:sz="8" w:space="0" w:color="auto"/>
              <w:right w:val="single" w:sz="8" w:space="0" w:color="auto"/>
            </w:tcBorders>
            <w:vAlign w:val="center"/>
            <w:hideMark/>
          </w:tcPr>
          <w:p w14:paraId="51565D78"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794CA70C"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14,100 </w:t>
            </w:r>
          </w:p>
        </w:tc>
        <w:tc>
          <w:tcPr>
            <w:tcW w:w="637" w:type="dxa"/>
            <w:tcBorders>
              <w:top w:val="nil"/>
              <w:left w:val="nil"/>
              <w:bottom w:val="single" w:sz="8" w:space="0" w:color="auto"/>
              <w:right w:val="single" w:sz="8" w:space="0" w:color="auto"/>
            </w:tcBorders>
            <w:vAlign w:val="center"/>
            <w:hideMark/>
          </w:tcPr>
          <w:p w14:paraId="0CB16B21"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0D677688"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28,200 </w:t>
            </w:r>
          </w:p>
        </w:tc>
      </w:tr>
      <w:tr w:rsidR="00C92441" w14:paraId="093817DB" w14:textId="77777777" w:rsidTr="00C92441">
        <w:trPr>
          <w:trHeight w:val="279"/>
        </w:trPr>
        <w:tc>
          <w:tcPr>
            <w:tcW w:w="6634" w:type="dxa"/>
            <w:gridSpan w:val="4"/>
            <w:tcBorders>
              <w:top w:val="single" w:sz="8" w:space="0" w:color="auto"/>
              <w:left w:val="single" w:sz="8" w:space="0" w:color="auto"/>
              <w:bottom w:val="single" w:sz="8" w:space="0" w:color="auto"/>
              <w:right w:val="single" w:sz="8" w:space="0" w:color="000000"/>
            </w:tcBorders>
            <w:vAlign w:val="center"/>
            <w:hideMark/>
          </w:tcPr>
          <w:p w14:paraId="518779A5"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Subtotal for specific objective N°1  </w:t>
            </w:r>
          </w:p>
        </w:tc>
        <w:tc>
          <w:tcPr>
            <w:tcW w:w="637" w:type="dxa"/>
            <w:tcBorders>
              <w:top w:val="single" w:sz="8" w:space="0" w:color="auto"/>
              <w:left w:val="nil"/>
              <w:bottom w:val="single" w:sz="8" w:space="0" w:color="auto"/>
              <w:right w:val="single" w:sz="8" w:space="0" w:color="auto"/>
            </w:tcBorders>
            <w:vAlign w:val="center"/>
            <w:hideMark/>
          </w:tcPr>
          <w:p w14:paraId="55528435"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w:t>
            </w:r>
          </w:p>
        </w:tc>
        <w:tc>
          <w:tcPr>
            <w:tcW w:w="787" w:type="dxa"/>
            <w:tcBorders>
              <w:top w:val="single" w:sz="8" w:space="0" w:color="auto"/>
              <w:left w:val="nil"/>
              <w:bottom w:val="single" w:sz="8" w:space="0" w:color="auto"/>
              <w:right w:val="single" w:sz="8" w:space="0" w:color="auto"/>
            </w:tcBorders>
            <w:vAlign w:val="center"/>
            <w:hideMark/>
          </w:tcPr>
          <w:p w14:paraId="59A6DA37"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53,345 </w:t>
            </w:r>
          </w:p>
        </w:tc>
        <w:tc>
          <w:tcPr>
            <w:tcW w:w="621" w:type="dxa"/>
            <w:tcBorders>
              <w:top w:val="nil"/>
              <w:left w:val="nil"/>
              <w:bottom w:val="single" w:sz="8" w:space="0" w:color="auto"/>
              <w:right w:val="single" w:sz="8" w:space="0" w:color="auto"/>
            </w:tcBorders>
            <w:vAlign w:val="center"/>
            <w:hideMark/>
          </w:tcPr>
          <w:p w14:paraId="710E5E92"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4F4F0B23"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73,783 </w:t>
            </w:r>
          </w:p>
        </w:tc>
        <w:tc>
          <w:tcPr>
            <w:tcW w:w="621" w:type="dxa"/>
            <w:tcBorders>
              <w:top w:val="nil"/>
              <w:left w:val="nil"/>
              <w:bottom w:val="single" w:sz="8" w:space="0" w:color="auto"/>
              <w:right w:val="single" w:sz="8" w:space="0" w:color="auto"/>
            </w:tcBorders>
            <w:vAlign w:val="center"/>
            <w:hideMark/>
          </w:tcPr>
          <w:p w14:paraId="266B208C"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76CC64BC"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26,900 </w:t>
            </w:r>
          </w:p>
        </w:tc>
        <w:tc>
          <w:tcPr>
            <w:tcW w:w="621" w:type="dxa"/>
            <w:tcBorders>
              <w:top w:val="nil"/>
              <w:left w:val="nil"/>
              <w:bottom w:val="single" w:sz="8" w:space="0" w:color="auto"/>
              <w:right w:val="single" w:sz="8" w:space="0" w:color="auto"/>
            </w:tcBorders>
            <w:vAlign w:val="center"/>
            <w:hideMark/>
          </w:tcPr>
          <w:p w14:paraId="1A418440"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w:t>
            </w:r>
          </w:p>
        </w:tc>
        <w:tc>
          <w:tcPr>
            <w:tcW w:w="787" w:type="dxa"/>
            <w:tcBorders>
              <w:top w:val="nil"/>
              <w:left w:val="nil"/>
              <w:bottom w:val="single" w:sz="8" w:space="0" w:color="auto"/>
              <w:right w:val="single" w:sz="8" w:space="0" w:color="auto"/>
            </w:tcBorders>
            <w:vAlign w:val="center"/>
            <w:hideMark/>
          </w:tcPr>
          <w:p w14:paraId="5E7B39C7"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26,900 </w:t>
            </w:r>
          </w:p>
        </w:tc>
        <w:tc>
          <w:tcPr>
            <w:tcW w:w="637" w:type="dxa"/>
            <w:tcBorders>
              <w:top w:val="nil"/>
              <w:left w:val="nil"/>
              <w:bottom w:val="single" w:sz="8" w:space="0" w:color="auto"/>
              <w:right w:val="single" w:sz="8" w:space="0" w:color="auto"/>
            </w:tcBorders>
            <w:vAlign w:val="center"/>
            <w:hideMark/>
          </w:tcPr>
          <w:p w14:paraId="38647FC7"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w:t>
            </w:r>
          </w:p>
        </w:tc>
        <w:tc>
          <w:tcPr>
            <w:tcW w:w="801" w:type="dxa"/>
            <w:tcBorders>
              <w:top w:val="nil"/>
              <w:left w:val="nil"/>
              <w:bottom w:val="single" w:sz="8" w:space="0" w:color="auto"/>
              <w:right w:val="single" w:sz="8" w:space="0" w:color="auto"/>
            </w:tcBorders>
            <w:vAlign w:val="center"/>
            <w:hideMark/>
          </w:tcPr>
          <w:p w14:paraId="0286D222"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180,928 </w:t>
            </w:r>
          </w:p>
        </w:tc>
      </w:tr>
      <w:tr w:rsidR="00C92441" w14:paraId="0994765F" w14:textId="77777777" w:rsidTr="00C92441">
        <w:trPr>
          <w:trHeight w:val="279"/>
        </w:trPr>
        <w:tc>
          <w:tcPr>
            <w:tcW w:w="13720" w:type="dxa"/>
            <w:gridSpan w:val="14"/>
            <w:tcBorders>
              <w:top w:val="single" w:sz="8" w:space="0" w:color="auto"/>
              <w:left w:val="single" w:sz="8" w:space="0" w:color="auto"/>
              <w:bottom w:val="single" w:sz="8" w:space="0" w:color="auto"/>
              <w:right w:val="single" w:sz="8" w:space="0" w:color="000000"/>
            </w:tcBorders>
            <w:vAlign w:val="center"/>
            <w:hideMark/>
          </w:tcPr>
          <w:p w14:paraId="47F7D433" w14:textId="77777777" w:rsidR="00C92441" w:rsidRDefault="00C92441">
            <w:pPr>
              <w:spacing w:after="0"/>
              <w:rPr>
                <w:rFonts w:eastAsia="Times New Roman"/>
                <w:noProof/>
                <w:color w:val="000000"/>
                <w:sz w:val="18"/>
                <w:szCs w:val="18"/>
                <w:lang w:eastAsia="en-IE"/>
              </w:rPr>
            </w:pPr>
            <w:r>
              <w:rPr>
                <w:rFonts w:eastAsia="Times New Roman"/>
                <w:noProof/>
                <w:color w:val="000000"/>
                <w:sz w:val="18"/>
                <w:szCs w:val="18"/>
                <w:lang w:eastAsia="en-IE"/>
              </w:rPr>
              <w:t xml:space="preserve"> SPECIFIC OBJECTIVE NO 2: Number Digital visa issued (million) </w:t>
            </w:r>
          </w:p>
        </w:tc>
      </w:tr>
      <w:tr w:rsidR="00C92441" w14:paraId="54D75BE6" w14:textId="77777777" w:rsidTr="00C92441">
        <w:trPr>
          <w:trHeight w:val="279"/>
        </w:trPr>
        <w:tc>
          <w:tcPr>
            <w:tcW w:w="6634" w:type="dxa"/>
            <w:gridSpan w:val="4"/>
            <w:tcBorders>
              <w:top w:val="single" w:sz="8" w:space="0" w:color="auto"/>
              <w:left w:val="single" w:sz="8" w:space="0" w:color="auto"/>
              <w:bottom w:val="single" w:sz="8" w:space="0" w:color="auto"/>
              <w:right w:val="single" w:sz="8" w:space="0" w:color="000000"/>
            </w:tcBorders>
            <w:vAlign w:val="center"/>
            <w:hideMark/>
          </w:tcPr>
          <w:p w14:paraId="1F8DDA81"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Subtotal for specific objective N°2 </w:t>
            </w:r>
          </w:p>
        </w:tc>
        <w:tc>
          <w:tcPr>
            <w:tcW w:w="637" w:type="dxa"/>
            <w:tcBorders>
              <w:top w:val="nil"/>
              <w:left w:val="nil"/>
              <w:bottom w:val="single" w:sz="8" w:space="0" w:color="auto"/>
              <w:right w:val="single" w:sz="8" w:space="0" w:color="auto"/>
            </w:tcBorders>
            <w:vAlign w:val="center"/>
            <w:hideMark/>
          </w:tcPr>
          <w:p w14:paraId="20043EFD"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16,10 </w:t>
            </w:r>
          </w:p>
        </w:tc>
        <w:tc>
          <w:tcPr>
            <w:tcW w:w="787" w:type="dxa"/>
            <w:tcBorders>
              <w:top w:val="nil"/>
              <w:left w:val="nil"/>
              <w:bottom w:val="single" w:sz="8" w:space="0" w:color="auto"/>
              <w:right w:val="single" w:sz="8" w:space="0" w:color="auto"/>
            </w:tcBorders>
            <w:vAlign w:val="center"/>
            <w:hideMark/>
          </w:tcPr>
          <w:p w14:paraId="5DF12542"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   </w:t>
            </w:r>
          </w:p>
        </w:tc>
        <w:tc>
          <w:tcPr>
            <w:tcW w:w="621" w:type="dxa"/>
            <w:tcBorders>
              <w:top w:val="nil"/>
              <w:left w:val="nil"/>
              <w:bottom w:val="single" w:sz="8" w:space="0" w:color="auto"/>
              <w:right w:val="single" w:sz="8" w:space="0" w:color="auto"/>
            </w:tcBorders>
            <w:vAlign w:val="center"/>
            <w:hideMark/>
          </w:tcPr>
          <w:p w14:paraId="072F3B68"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18,10 </w:t>
            </w:r>
          </w:p>
        </w:tc>
        <w:tc>
          <w:tcPr>
            <w:tcW w:w="787" w:type="dxa"/>
            <w:tcBorders>
              <w:top w:val="nil"/>
              <w:left w:val="nil"/>
              <w:bottom w:val="single" w:sz="8" w:space="0" w:color="auto"/>
              <w:right w:val="single" w:sz="8" w:space="0" w:color="auto"/>
            </w:tcBorders>
            <w:vAlign w:val="center"/>
            <w:hideMark/>
          </w:tcPr>
          <w:p w14:paraId="3A06C3DF"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   </w:t>
            </w:r>
          </w:p>
        </w:tc>
        <w:tc>
          <w:tcPr>
            <w:tcW w:w="621" w:type="dxa"/>
            <w:tcBorders>
              <w:top w:val="nil"/>
              <w:left w:val="nil"/>
              <w:bottom w:val="single" w:sz="8" w:space="0" w:color="auto"/>
              <w:right w:val="single" w:sz="8" w:space="0" w:color="auto"/>
            </w:tcBorders>
            <w:vAlign w:val="center"/>
            <w:hideMark/>
          </w:tcPr>
          <w:p w14:paraId="3095199B"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18,10 </w:t>
            </w:r>
          </w:p>
        </w:tc>
        <w:tc>
          <w:tcPr>
            <w:tcW w:w="787" w:type="dxa"/>
            <w:tcBorders>
              <w:top w:val="nil"/>
              <w:left w:val="nil"/>
              <w:bottom w:val="single" w:sz="8" w:space="0" w:color="auto"/>
              <w:right w:val="single" w:sz="8" w:space="0" w:color="auto"/>
            </w:tcBorders>
            <w:vAlign w:val="center"/>
            <w:hideMark/>
          </w:tcPr>
          <w:p w14:paraId="63040FBF"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   </w:t>
            </w:r>
          </w:p>
        </w:tc>
        <w:tc>
          <w:tcPr>
            <w:tcW w:w="621" w:type="dxa"/>
            <w:tcBorders>
              <w:top w:val="nil"/>
              <w:left w:val="nil"/>
              <w:bottom w:val="single" w:sz="8" w:space="0" w:color="auto"/>
              <w:right w:val="single" w:sz="8" w:space="0" w:color="auto"/>
            </w:tcBorders>
            <w:vAlign w:val="center"/>
            <w:hideMark/>
          </w:tcPr>
          <w:p w14:paraId="2DDCF452"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18,10 </w:t>
            </w:r>
          </w:p>
        </w:tc>
        <w:tc>
          <w:tcPr>
            <w:tcW w:w="787" w:type="dxa"/>
            <w:tcBorders>
              <w:top w:val="nil"/>
              <w:left w:val="nil"/>
              <w:bottom w:val="single" w:sz="8" w:space="0" w:color="auto"/>
              <w:right w:val="single" w:sz="8" w:space="0" w:color="auto"/>
            </w:tcBorders>
            <w:vAlign w:val="center"/>
            <w:hideMark/>
          </w:tcPr>
          <w:p w14:paraId="1095B0C7"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   </w:t>
            </w:r>
          </w:p>
        </w:tc>
        <w:tc>
          <w:tcPr>
            <w:tcW w:w="637" w:type="dxa"/>
            <w:tcBorders>
              <w:top w:val="nil"/>
              <w:left w:val="nil"/>
              <w:bottom w:val="single" w:sz="8" w:space="0" w:color="auto"/>
              <w:right w:val="single" w:sz="8" w:space="0" w:color="auto"/>
            </w:tcBorders>
            <w:vAlign w:val="center"/>
            <w:hideMark/>
          </w:tcPr>
          <w:p w14:paraId="59AB849A"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70,40 </w:t>
            </w:r>
          </w:p>
        </w:tc>
        <w:tc>
          <w:tcPr>
            <w:tcW w:w="801" w:type="dxa"/>
            <w:tcBorders>
              <w:top w:val="nil"/>
              <w:left w:val="nil"/>
              <w:bottom w:val="single" w:sz="8" w:space="0" w:color="auto"/>
              <w:right w:val="single" w:sz="8" w:space="0" w:color="auto"/>
            </w:tcBorders>
            <w:vAlign w:val="center"/>
            <w:hideMark/>
          </w:tcPr>
          <w:p w14:paraId="240AFEA2"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   </w:t>
            </w:r>
          </w:p>
        </w:tc>
      </w:tr>
      <w:tr w:rsidR="00C92441" w14:paraId="2A401E36" w14:textId="77777777" w:rsidTr="00C92441">
        <w:trPr>
          <w:trHeight w:val="279"/>
        </w:trPr>
        <w:tc>
          <w:tcPr>
            <w:tcW w:w="6634" w:type="dxa"/>
            <w:gridSpan w:val="4"/>
            <w:tcBorders>
              <w:top w:val="single" w:sz="8" w:space="0" w:color="auto"/>
              <w:left w:val="single" w:sz="8" w:space="0" w:color="auto"/>
              <w:bottom w:val="single" w:sz="8" w:space="0" w:color="auto"/>
              <w:right w:val="single" w:sz="8" w:space="0" w:color="000000"/>
            </w:tcBorders>
            <w:vAlign w:val="center"/>
            <w:hideMark/>
          </w:tcPr>
          <w:p w14:paraId="64ED7898"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TOTAL for objectives 1 to 2 </w:t>
            </w:r>
          </w:p>
        </w:tc>
        <w:tc>
          <w:tcPr>
            <w:tcW w:w="637" w:type="dxa"/>
            <w:tcBorders>
              <w:top w:val="nil"/>
              <w:left w:val="nil"/>
              <w:bottom w:val="single" w:sz="8" w:space="0" w:color="auto"/>
              <w:right w:val="single" w:sz="8" w:space="0" w:color="auto"/>
            </w:tcBorders>
            <w:vAlign w:val="center"/>
            <w:hideMark/>
          </w:tcPr>
          <w:p w14:paraId="05384A98"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n/a </w:t>
            </w:r>
          </w:p>
        </w:tc>
        <w:tc>
          <w:tcPr>
            <w:tcW w:w="787" w:type="dxa"/>
            <w:tcBorders>
              <w:top w:val="nil"/>
              <w:left w:val="nil"/>
              <w:bottom w:val="single" w:sz="8" w:space="0" w:color="auto"/>
              <w:right w:val="single" w:sz="8" w:space="0" w:color="auto"/>
            </w:tcBorders>
            <w:vAlign w:val="center"/>
            <w:hideMark/>
          </w:tcPr>
          <w:p w14:paraId="5B9267DC"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53,345 </w:t>
            </w:r>
          </w:p>
        </w:tc>
        <w:tc>
          <w:tcPr>
            <w:tcW w:w="621" w:type="dxa"/>
            <w:tcBorders>
              <w:top w:val="nil"/>
              <w:left w:val="nil"/>
              <w:bottom w:val="single" w:sz="8" w:space="0" w:color="auto"/>
              <w:right w:val="single" w:sz="8" w:space="0" w:color="auto"/>
            </w:tcBorders>
            <w:vAlign w:val="center"/>
            <w:hideMark/>
          </w:tcPr>
          <w:p w14:paraId="1AA73712"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n/a </w:t>
            </w:r>
          </w:p>
        </w:tc>
        <w:tc>
          <w:tcPr>
            <w:tcW w:w="787" w:type="dxa"/>
            <w:tcBorders>
              <w:top w:val="nil"/>
              <w:left w:val="nil"/>
              <w:bottom w:val="single" w:sz="8" w:space="0" w:color="auto"/>
              <w:right w:val="single" w:sz="8" w:space="0" w:color="auto"/>
            </w:tcBorders>
            <w:vAlign w:val="center"/>
            <w:hideMark/>
          </w:tcPr>
          <w:p w14:paraId="1BF86058"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73,783 </w:t>
            </w:r>
          </w:p>
        </w:tc>
        <w:tc>
          <w:tcPr>
            <w:tcW w:w="621" w:type="dxa"/>
            <w:tcBorders>
              <w:top w:val="nil"/>
              <w:left w:val="nil"/>
              <w:bottom w:val="single" w:sz="8" w:space="0" w:color="auto"/>
              <w:right w:val="single" w:sz="8" w:space="0" w:color="auto"/>
            </w:tcBorders>
            <w:vAlign w:val="center"/>
            <w:hideMark/>
          </w:tcPr>
          <w:p w14:paraId="2294C94B"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n/a </w:t>
            </w:r>
          </w:p>
        </w:tc>
        <w:tc>
          <w:tcPr>
            <w:tcW w:w="787" w:type="dxa"/>
            <w:tcBorders>
              <w:top w:val="nil"/>
              <w:left w:val="nil"/>
              <w:bottom w:val="single" w:sz="8" w:space="0" w:color="auto"/>
              <w:right w:val="single" w:sz="8" w:space="0" w:color="auto"/>
            </w:tcBorders>
            <w:vAlign w:val="center"/>
            <w:hideMark/>
          </w:tcPr>
          <w:p w14:paraId="40FAF400"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26,900 </w:t>
            </w:r>
          </w:p>
        </w:tc>
        <w:tc>
          <w:tcPr>
            <w:tcW w:w="621" w:type="dxa"/>
            <w:tcBorders>
              <w:top w:val="nil"/>
              <w:left w:val="nil"/>
              <w:bottom w:val="single" w:sz="8" w:space="0" w:color="auto"/>
              <w:right w:val="single" w:sz="8" w:space="0" w:color="auto"/>
            </w:tcBorders>
            <w:vAlign w:val="center"/>
            <w:hideMark/>
          </w:tcPr>
          <w:p w14:paraId="766F6EDA"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n/a </w:t>
            </w:r>
          </w:p>
        </w:tc>
        <w:tc>
          <w:tcPr>
            <w:tcW w:w="787" w:type="dxa"/>
            <w:tcBorders>
              <w:top w:val="nil"/>
              <w:left w:val="nil"/>
              <w:bottom w:val="single" w:sz="8" w:space="0" w:color="auto"/>
              <w:right w:val="single" w:sz="8" w:space="0" w:color="auto"/>
            </w:tcBorders>
            <w:vAlign w:val="center"/>
            <w:hideMark/>
          </w:tcPr>
          <w:p w14:paraId="2BFC8CA5"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26,900 </w:t>
            </w:r>
          </w:p>
        </w:tc>
        <w:tc>
          <w:tcPr>
            <w:tcW w:w="637" w:type="dxa"/>
            <w:tcBorders>
              <w:top w:val="nil"/>
              <w:left w:val="nil"/>
              <w:bottom w:val="single" w:sz="8" w:space="0" w:color="auto"/>
              <w:right w:val="single" w:sz="8" w:space="0" w:color="auto"/>
            </w:tcBorders>
            <w:vAlign w:val="center"/>
            <w:hideMark/>
          </w:tcPr>
          <w:p w14:paraId="12AC5BB4" w14:textId="77777777" w:rsidR="00C92441" w:rsidRDefault="00C92441">
            <w:pPr>
              <w:spacing w:after="0"/>
              <w:jc w:val="center"/>
              <w:rPr>
                <w:rFonts w:eastAsia="Times New Roman"/>
                <w:noProof/>
                <w:color w:val="000000"/>
                <w:sz w:val="18"/>
                <w:szCs w:val="18"/>
                <w:lang w:eastAsia="en-IE"/>
              </w:rPr>
            </w:pPr>
            <w:r>
              <w:rPr>
                <w:rFonts w:eastAsia="Times New Roman"/>
                <w:noProof/>
                <w:color w:val="000000"/>
                <w:sz w:val="18"/>
                <w:szCs w:val="18"/>
                <w:lang w:eastAsia="en-IE"/>
              </w:rPr>
              <w:t xml:space="preserve"> n/a </w:t>
            </w:r>
          </w:p>
        </w:tc>
        <w:tc>
          <w:tcPr>
            <w:tcW w:w="801" w:type="dxa"/>
            <w:tcBorders>
              <w:top w:val="nil"/>
              <w:left w:val="nil"/>
              <w:bottom w:val="single" w:sz="8" w:space="0" w:color="auto"/>
              <w:right w:val="single" w:sz="8" w:space="0" w:color="auto"/>
            </w:tcBorders>
            <w:vAlign w:val="center"/>
            <w:hideMark/>
          </w:tcPr>
          <w:p w14:paraId="7946BFFC" w14:textId="77777777" w:rsidR="00C92441" w:rsidRDefault="00C92441">
            <w:pPr>
              <w:spacing w:after="0"/>
              <w:jc w:val="center"/>
              <w:rPr>
                <w:rFonts w:eastAsia="Times New Roman"/>
                <w:b/>
                <w:bCs/>
                <w:noProof/>
                <w:color w:val="000000"/>
                <w:sz w:val="18"/>
                <w:szCs w:val="18"/>
                <w:lang w:eastAsia="en-IE"/>
              </w:rPr>
            </w:pPr>
            <w:r>
              <w:rPr>
                <w:rFonts w:eastAsia="Times New Roman"/>
                <w:b/>
                <w:bCs/>
                <w:noProof/>
                <w:color w:val="000000"/>
                <w:sz w:val="18"/>
                <w:szCs w:val="18"/>
                <w:lang w:eastAsia="en-IE"/>
              </w:rPr>
              <w:t xml:space="preserve"> 180,928 </w:t>
            </w:r>
          </w:p>
        </w:tc>
      </w:tr>
    </w:tbl>
    <w:p w14:paraId="78D3B43D" w14:textId="77777777" w:rsidR="00E04CDE" w:rsidRDefault="00E04CDE" w:rsidP="00E04CDE">
      <w:pPr>
        <w:jc w:val="right"/>
        <w:rPr>
          <w:noProof/>
          <w:sz w:val="20"/>
        </w:rPr>
      </w:pPr>
      <w:r w:rsidRPr="006B6257">
        <w:rPr>
          <w:noProof/>
          <w:sz w:val="20"/>
        </w:rPr>
        <w:t xml:space="preserve"> </w:t>
      </w:r>
    </w:p>
    <w:p w14:paraId="6CB671F5" w14:textId="77777777" w:rsidR="00E04CDE" w:rsidRDefault="00E04CDE" w:rsidP="00E04CDE">
      <w:pPr>
        <w:jc w:val="right"/>
        <w:rPr>
          <w:noProof/>
          <w:sz w:val="20"/>
        </w:rPr>
      </w:pPr>
    </w:p>
    <w:p w14:paraId="2E3EB020" w14:textId="77777777" w:rsidR="00E04CDE" w:rsidRDefault="00E04CDE" w:rsidP="00E04CDE">
      <w:pPr>
        <w:jc w:val="right"/>
        <w:rPr>
          <w:noProof/>
          <w:sz w:val="20"/>
        </w:rPr>
      </w:pPr>
    </w:p>
    <w:p w14:paraId="35F799A9" w14:textId="77777777" w:rsidR="00E04CDE" w:rsidRDefault="00E04CDE" w:rsidP="00E04CDE">
      <w:pPr>
        <w:jc w:val="right"/>
        <w:rPr>
          <w:noProof/>
          <w:sz w:val="20"/>
        </w:rPr>
      </w:pPr>
    </w:p>
    <w:p w14:paraId="76CEC0A8" w14:textId="77777777" w:rsidR="00E04CDE" w:rsidRDefault="00E04CDE" w:rsidP="00E04CDE">
      <w:pPr>
        <w:rPr>
          <w:noProof/>
        </w:rPr>
        <w:sectPr w:rsidR="00E04CDE" w:rsidSect="00FB3ECA">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74C1EC2F" w14:textId="723D3F93" w:rsidR="00E04CDE" w:rsidRPr="00806131" w:rsidRDefault="00EF15A7" w:rsidP="00EF15A7">
      <w:pPr>
        <w:pStyle w:val="ManualHeading3"/>
        <w:rPr>
          <w:b/>
          <w:bCs/>
          <w:noProof/>
          <w:szCs w:val="24"/>
        </w:rPr>
      </w:pPr>
      <w:r w:rsidRPr="00EF15A7">
        <w:t>3.2.3.</w:t>
      </w:r>
      <w:r w:rsidRPr="00EF15A7">
        <w:tab/>
      </w:r>
      <w:r w:rsidR="00E04CDE">
        <w:rPr>
          <w:noProof/>
        </w:rPr>
        <w:t xml:space="preserve">Summary of estimated impact on administrative appropriations – </w:t>
      </w:r>
      <w:r w:rsidR="00E04CDE" w:rsidRPr="00806131">
        <w:rPr>
          <w:b/>
          <w:noProof/>
        </w:rPr>
        <w:t>DG HOME</w:t>
      </w:r>
    </w:p>
    <w:p w14:paraId="4E8EAA5B" w14:textId="77777777" w:rsidR="00E04CDE" w:rsidRDefault="00E04CDE" w:rsidP="00E04CDE">
      <w:pPr>
        <w:pStyle w:val="ListDash1"/>
        <w:rPr>
          <w:noProof/>
        </w:rPr>
      </w:pPr>
      <w:r>
        <w:rPr>
          <w:noProof/>
        </w:rPr>
        <w:sym w:font="Wingdings" w:char="F0FC"/>
      </w:r>
      <w:r>
        <w:rPr>
          <w:noProof/>
        </w:rPr>
        <w:tab/>
        <w:t xml:space="preserve">The proposal/initiative does not require the use of appropriations of an administrative nature </w:t>
      </w:r>
    </w:p>
    <w:p w14:paraId="522A3275" w14:textId="77777777" w:rsidR="00E04CDE" w:rsidRDefault="00E04CDE" w:rsidP="00E04CDE">
      <w:pPr>
        <w:pStyle w:val="ListDash1"/>
        <w:rPr>
          <w:noProof/>
        </w:rPr>
      </w:pPr>
      <w:r>
        <w:rPr>
          <w:noProof/>
        </w:rPr>
        <w:sym w:font="Wingdings" w:char="F0A8"/>
      </w:r>
      <w:r>
        <w:rPr>
          <w:noProof/>
        </w:rPr>
        <w:tab/>
        <w:t>The proposal/initiative requires the use of appropriations of an administrative nature, as explained below:</w:t>
      </w:r>
    </w:p>
    <w:p w14:paraId="37DEA4B2" w14:textId="77777777" w:rsidR="00E04CDE" w:rsidRDefault="00E04CDE" w:rsidP="00E04CDE">
      <w:pPr>
        <w:jc w:val="right"/>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E04CDE" w14:paraId="4F60613E" w14:textId="77777777" w:rsidTr="002B76DD">
        <w:trPr>
          <w:trHeight w:val="585"/>
        </w:trPr>
        <w:tc>
          <w:tcPr>
            <w:tcW w:w="1980" w:type="dxa"/>
          </w:tcPr>
          <w:p w14:paraId="7361139B" w14:textId="77777777" w:rsidR="00E04CDE" w:rsidRDefault="00E04CDE" w:rsidP="002B76DD">
            <w:pPr>
              <w:spacing w:before="60" w:after="60" w:line="200" w:lineRule="exact"/>
              <w:rPr>
                <w:noProof/>
                <w:sz w:val="16"/>
                <w:szCs w:val="16"/>
              </w:rPr>
            </w:pPr>
          </w:p>
        </w:tc>
        <w:tc>
          <w:tcPr>
            <w:tcW w:w="1080" w:type="dxa"/>
            <w:vAlign w:val="center"/>
          </w:tcPr>
          <w:p w14:paraId="6E3A246E" w14:textId="77777777" w:rsidR="00E04CDE" w:rsidRDefault="00E04CDE" w:rsidP="002B76DD">
            <w:pPr>
              <w:spacing w:before="60" w:after="60" w:line="200" w:lineRule="exact"/>
              <w:jc w:val="center"/>
              <w:rPr>
                <w:noProof/>
                <w:sz w:val="16"/>
                <w:szCs w:val="16"/>
              </w:rPr>
            </w:pPr>
            <w:r>
              <w:rPr>
                <w:noProof/>
                <w:sz w:val="16"/>
              </w:rPr>
              <w:t>Year</w:t>
            </w:r>
            <w:r>
              <w:rPr>
                <w:noProof/>
                <w:sz w:val="22"/>
              </w:rPr>
              <w:br/>
            </w:r>
            <w:r>
              <w:rPr>
                <w:b/>
                <w:noProof/>
                <w:sz w:val="16"/>
              </w:rPr>
              <w:t xml:space="preserve">N </w:t>
            </w:r>
            <w:r>
              <w:rPr>
                <w:rStyle w:val="FootnoteReference"/>
                <w:b/>
                <w:noProof/>
                <w:sz w:val="16"/>
              </w:rPr>
              <w:footnoteReference w:id="78"/>
            </w:r>
          </w:p>
        </w:tc>
        <w:tc>
          <w:tcPr>
            <w:tcW w:w="1080" w:type="dxa"/>
            <w:vAlign w:val="center"/>
          </w:tcPr>
          <w:p w14:paraId="47948B5E" w14:textId="77777777" w:rsidR="00E04CDE" w:rsidRDefault="00E04CDE" w:rsidP="002B76DD">
            <w:pPr>
              <w:spacing w:before="60" w:after="60" w:line="200" w:lineRule="exact"/>
              <w:jc w:val="center"/>
              <w:rPr>
                <w:noProof/>
                <w:sz w:val="16"/>
                <w:szCs w:val="16"/>
              </w:rPr>
            </w:pPr>
            <w:r>
              <w:rPr>
                <w:noProof/>
                <w:sz w:val="16"/>
              </w:rPr>
              <w:t>Year</w:t>
            </w:r>
            <w:r>
              <w:rPr>
                <w:noProof/>
                <w:sz w:val="22"/>
              </w:rPr>
              <w:br/>
            </w:r>
            <w:r>
              <w:rPr>
                <w:b/>
                <w:noProof/>
                <w:sz w:val="16"/>
              </w:rPr>
              <w:t>N+1</w:t>
            </w:r>
          </w:p>
        </w:tc>
        <w:tc>
          <w:tcPr>
            <w:tcW w:w="1080" w:type="dxa"/>
            <w:vAlign w:val="center"/>
          </w:tcPr>
          <w:p w14:paraId="28B37548" w14:textId="77777777" w:rsidR="00E04CDE" w:rsidRDefault="00E04CDE" w:rsidP="002B76DD">
            <w:pPr>
              <w:spacing w:before="60" w:after="60" w:line="200" w:lineRule="exact"/>
              <w:jc w:val="center"/>
              <w:rPr>
                <w:noProof/>
                <w:sz w:val="16"/>
                <w:szCs w:val="16"/>
              </w:rPr>
            </w:pPr>
            <w:r>
              <w:rPr>
                <w:noProof/>
                <w:sz w:val="16"/>
              </w:rPr>
              <w:t>Year</w:t>
            </w:r>
            <w:r>
              <w:rPr>
                <w:noProof/>
                <w:sz w:val="22"/>
              </w:rPr>
              <w:br/>
            </w:r>
            <w:r>
              <w:rPr>
                <w:b/>
                <w:noProof/>
                <w:sz w:val="16"/>
              </w:rPr>
              <w:t>N+2</w:t>
            </w:r>
          </w:p>
        </w:tc>
        <w:tc>
          <w:tcPr>
            <w:tcW w:w="1080" w:type="dxa"/>
            <w:vAlign w:val="center"/>
          </w:tcPr>
          <w:p w14:paraId="07A726B9" w14:textId="77777777" w:rsidR="00E04CDE" w:rsidRDefault="00E04CDE" w:rsidP="002B76DD">
            <w:pPr>
              <w:spacing w:before="60" w:after="60" w:line="200" w:lineRule="exact"/>
              <w:jc w:val="center"/>
              <w:rPr>
                <w:noProof/>
                <w:sz w:val="16"/>
                <w:szCs w:val="16"/>
              </w:rPr>
            </w:pPr>
            <w:r>
              <w:rPr>
                <w:noProof/>
                <w:sz w:val="16"/>
              </w:rPr>
              <w:t>Year</w:t>
            </w:r>
            <w:r>
              <w:rPr>
                <w:noProof/>
                <w:sz w:val="22"/>
              </w:rPr>
              <w:br/>
            </w:r>
            <w:r>
              <w:rPr>
                <w:b/>
                <w:noProof/>
                <w:sz w:val="16"/>
              </w:rPr>
              <w:t>N+3</w:t>
            </w:r>
          </w:p>
        </w:tc>
        <w:tc>
          <w:tcPr>
            <w:tcW w:w="3240" w:type="dxa"/>
            <w:vAlign w:val="center"/>
          </w:tcPr>
          <w:p w14:paraId="32853956" w14:textId="77777777" w:rsidR="00E04CDE" w:rsidRDefault="00E04CDE" w:rsidP="002B76DD">
            <w:pPr>
              <w:spacing w:line="200" w:lineRule="exact"/>
              <w:jc w:val="center"/>
              <w:rPr>
                <w:b/>
                <w:noProof/>
                <w:sz w:val="16"/>
                <w:szCs w:val="16"/>
              </w:rPr>
            </w:pPr>
            <w:r>
              <w:rPr>
                <w:noProof/>
                <w:sz w:val="16"/>
              </w:rPr>
              <w:t>Enter as many years as necessary to show the duration of the impact (see point 1.6)</w:t>
            </w:r>
          </w:p>
        </w:tc>
        <w:tc>
          <w:tcPr>
            <w:tcW w:w="1080" w:type="dxa"/>
            <w:vAlign w:val="center"/>
          </w:tcPr>
          <w:p w14:paraId="3BF55F93" w14:textId="77777777" w:rsidR="00E04CDE" w:rsidRDefault="00E04CDE" w:rsidP="002B76DD">
            <w:pPr>
              <w:spacing w:before="60" w:after="60" w:line="200" w:lineRule="exact"/>
              <w:jc w:val="center"/>
              <w:rPr>
                <w:b/>
                <w:noProof/>
                <w:sz w:val="16"/>
                <w:szCs w:val="16"/>
              </w:rPr>
            </w:pPr>
            <w:r>
              <w:rPr>
                <w:b/>
                <w:noProof/>
                <w:sz w:val="16"/>
              </w:rPr>
              <w:t>TOTAL</w:t>
            </w:r>
          </w:p>
        </w:tc>
      </w:tr>
    </w:tbl>
    <w:p w14:paraId="3F7F755E" w14:textId="77777777" w:rsidR="00E04CDE" w:rsidRDefault="00E04CDE" w:rsidP="00E04CDE">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E04CDE" w14:paraId="6C59BF82" w14:textId="77777777" w:rsidTr="002B76DD">
        <w:trPr>
          <w:trHeight w:val="585"/>
        </w:trPr>
        <w:tc>
          <w:tcPr>
            <w:tcW w:w="1980" w:type="dxa"/>
            <w:shd w:val="clear" w:color="auto" w:fill="CCCCCC"/>
            <w:vAlign w:val="center"/>
          </w:tcPr>
          <w:p w14:paraId="17C67BEE" w14:textId="77777777" w:rsidR="00E04CDE" w:rsidRDefault="00E04CDE" w:rsidP="002B76DD">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1080" w:type="dxa"/>
            <w:vAlign w:val="center"/>
          </w:tcPr>
          <w:p w14:paraId="348D18B4" w14:textId="77777777" w:rsidR="00E04CDE" w:rsidRDefault="00E04CDE" w:rsidP="002B76DD">
            <w:pPr>
              <w:spacing w:before="60" w:after="60" w:line="200" w:lineRule="exact"/>
              <w:jc w:val="right"/>
              <w:rPr>
                <w:noProof/>
                <w:sz w:val="16"/>
                <w:szCs w:val="16"/>
              </w:rPr>
            </w:pPr>
          </w:p>
        </w:tc>
        <w:tc>
          <w:tcPr>
            <w:tcW w:w="1080" w:type="dxa"/>
            <w:vAlign w:val="center"/>
          </w:tcPr>
          <w:p w14:paraId="23F9708F" w14:textId="77777777" w:rsidR="00E04CDE" w:rsidRDefault="00E04CDE" w:rsidP="002B76DD">
            <w:pPr>
              <w:spacing w:before="60" w:after="60" w:line="200" w:lineRule="exact"/>
              <w:jc w:val="right"/>
              <w:rPr>
                <w:noProof/>
                <w:sz w:val="16"/>
                <w:szCs w:val="16"/>
              </w:rPr>
            </w:pPr>
          </w:p>
        </w:tc>
        <w:tc>
          <w:tcPr>
            <w:tcW w:w="1080" w:type="dxa"/>
            <w:vAlign w:val="center"/>
          </w:tcPr>
          <w:p w14:paraId="335FD626" w14:textId="77777777" w:rsidR="00E04CDE" w:rsidRDefault="00E04CDE" w:rsidP="002B76DD">
            <w:pPr>
              <w:spacing w:before="60" w:after="60" w:line="200" w:lineRule="exact"/>
              <w:jc w:val="right"/>
              <w:rPr>
                <w:noProof/>
                <w:sz w:val="16"/>
                <w:szCs w:val="16"/>
              </w:rPr>
            </w:pPr>
          </w:p>
        </w:tc>
        <w:tc>
          <w:tcPr>
            <w:tcW w:w="1080" w:type="dxa"/>
            <w:vAlign w:val="center"/>
          </w:tcPr>
          <w:p w14:paraId="7EA72C1E" w14:textId="77777777" w:rsidR="00E04CDE" w:rsidRDefault="00E04CDE" w:rsidP="002B76DD">
            <w:pPr>
              <w:spacing w:before="60" w:after="60" w:line="200" w:lineRule="exact"/>
              <w:jc w:val="right"/>
              <w:rPr>
                <w:noProof/>
                <w:sz w:val="16"/>
                <w:szCs w:val="16"/>
              </w:rPr>
            </w:pPr>
          </w:p>
        </w:tc>
        <w:tc>
          <w:tcPr>
            <w:tcW w:w="1080" w:type="dxa"/>
            <w:vAlign w:val="center"/>
          </w:tcPr>
          <w:p w14:paraId="6E548391" w14:textId="77777777" w:rsidR="00E04CDE" w:rsidRDefault="00E04CDE" w:rsidP="002B76DD">
            <w:pPr>
              <w:spacing w:before="60" w:after="60" w:line="200" w:lineRule="exact"/>
              <w:jc w:val="right"/>
              <w:rPr>
                <w:noProof/>
                <w:sz w:val="16"/>
                <w:szCs w:val="16"/>
              </w:rPr>
            </w:pPr>
          </w:p>
        </w:tc>
        <w:tc>
          <w:tcPr>
            <w:tcW w:w="1080" w:type="dxa"/>
            <w:vAlign w:val="center"/>
          </w:tcPr>
          <w:p w14:paraId="3B483781" w14:textId="77777777" w:rsidR="00E04CDE" w:rsidRDefault="00E04CDE" w:rsidP="002B76DD">
            <w:pPr>
              <w:spacing w:before="60" w:after="60" w:line="200" w:lineRule="exact"/>
              <w:jc w:val="right"/>
              <w:rPr>
                <w:noProof/>
                <w:sz w:val="16"/>
                <w:szCs w:val="16"/>
              </w:rPr>
            </w:pPr>
          </w:p>
        </w:tc>
        <w:tc>
          <w:tcPr>
            <w:tcW w:w="1080" w:type="dxa"/>
            <w:vAlign w:val="center"/>
          </w:tcPr>
          <w:p w14:paraId="5C862402" w14:textId="77777777" w:rsidR="00E04CDE" w:rsidRDefault="00E04CDE" w:rsidP="002B76DD">
            <w:pPr>
              <w:spacing w:before="60" w:after="60" w:line="200" w:lineRule="exact"/>
              <w:jc w:val="right"/>
              <w:rPr>
                <w:b/>
                <w:noProof/>
                <w:sz w:val="16"/>
                <w:szCs w:val="16"/>
              </w:rPr>
            </w:pPr>
          </w:p>
        </w:tc>
        <w:tc>
          <w:tcPr>
            <w:tcW w:w="1080" w:type="dxa"/>
            <w:vAlign w:val="center"/>
          </w:tcPr>
          <w:p w14:paraId="212039E5" w14:textId="77777777" w:rsidR="00E04CDE" w:rsidRDefault="00E04CDE" w:rsidP="002B76DD">
            <w:pPr>
              <w:spacing w:before="60" w:after="60" w:line="200" w:lineRule="exact"/>
              <w:jc w:val="right"/>
              <w:rPr>
                <w:b/>
                <w:noProof/>
                <w:sz w:val="16"/>
                <w:szCs w:val="16"/>
              </w:rPr>
            </w:pPr>
          </w:p>
        </w:tc>
      </w:tr>
      <w:tr w:rsidR="00E04CDE" w14:paraId="64DAE173" w14:textId="77777777" w:rsidTr="002B76DD">
        <w:trPr>
          <w:trHeight w:val="585"/>
        </w:trPr>
        <w:tc>
          <w:tcPr>
            <w:tcW w:w="1980" w:type="dxa"/>
            <w:vAlign w:val="center"/>
          </w:tcPr>
          <w:p w14:paraId="4A14DCB5" w14:textId="77777777" w:rsidR="00E04CDE" w:rsidRDefault="00E04CDE" w:rsidP="002B76DD">
            <w:pPr>
              <w:spacing w:before="60" w:after="60" w:line="200" w:lineRule="exact"/>
              <w:ind w:left="72"/>
              <w:jc w:val="left"/>
              <w:rPr>
                <w:noProof/>
                <w:sz w:val="16"/>
                <w:szCs w:val="16"/>
              </w:rPr>
            </w:pPr>
            <w:r>
              <w:rPr>
                <w:noProof/>
                <w:sz w:val="16"/>
              </w:rPr>
              <w:t xml:space="preserve">Human resources </w:t>
            </w:r>
          </w:p>
        </w:tc>
        <w:tc>
          <w:tcPr>
            <w:tcW w:w="1080" w:type="dxa"/>
            <w:vAlign w:val="center"/>
          </w:tcPr>
          <w:p w14:paraId="1D63D69C" w14:textId="77777777" w:rsidR="00E04CDE" w:rsidRDefault="00E04CDE" w:rsidP="002B76DD">
            <w:pPr>
              <w:spacing w:before="60" w:after="60" w:line="200" w:lineRule="exact"/>
              <w:jc w:val="right"/>
              <w:rPr>
                <w:noProof/>
                <w:sz w:val="16"/>
                <w:szCs w:val="16"/>
              </w:rPr>
            </w:pPr>
          </w:p>
        </w:tc>
        <w:tc>
          <w:tcPr>
            <w:tcW w:w="1080" w:type="dxa"/>
            <w:vAlign w:val="center"/>
          </w:tcPr>
          <w:p w14:paraId="1A2CE3C2" w14:textId="77777777" w:rsidR="00E04CDE" w:rsidRDefault="00E04CDE" w:rsidP="002B76DD">
            <w:pPr>
              <w:spacing w:before="60" w:after="60" w:line="200" w:lineRule="exact"/>
              <w:jc w:val="right"/>
              <w:rPr>
                <w:noProof/>
                <w:sz w:val="16"/>
                <w:szCs w:val="16"/>
              </w:rPr>
            </w:pPr>
          </w:p>
        </w:tc>
        <w:tc>
          <w:tcPr>
            <w:tcW w:w="1080" w:type="dxa"/>
            <w:vAlign w:val="center"/>
          </w:tcPr>
          <w:p w14:paraId="472A4F16" w14:textId="77777777" w:rsidR="00E04CDE" w:rsidRDefault="00E04CDE" w:rsidP="002B76DD">
            <w:pPr>
              <w:spacing w:before="60" w:after="60" w:line="200" w:lineRule="exact"/>
              <w:jc w:val="right"/>
              <w:rPr>
                <w:noProof/>
                <w:sz w:val="16"/>
                <w:szCs w:val="16"/>
              </w:rPr>
            </w:pPr>
          </w:p>
        </w:tc>
        <w:tc>
          <w:tcPr>
            <w:tcW w:w="1080" w:type="dxa"/>
            <w:vAlign w:val="center"/>
          </w:tcPr>
          <w:p w14:paraId="3D28CF04" w14:textId="77777777" w:rsidR="00E04CDE" w:rsidRDefault="00E04CDE" w:rsidP="002B76DD">
            <w:pPr>
              <w:spacing w:before="60" w:after="60" w:line="200" w:lineRule="exact"/>
              <w:jc w:val="right"/>
              <w:rPr>
                <w:noProof/>
                <w:sz w:val="16"/>
                <w:szCs w:val="16"/>
              </w:rPr>
            </w:pPr>
          </w:p>
        </w:tc>
        <w:tc>
          <w:tcPr>
            <w:tcW w:w="1080" w:type="dxa"/>
            <w:vAlign w:val="center"/>
          </w:tcPr>
          <w:p w14:paraId="619AA5FE" w14:textId="77777777" w:rsidR="00E04CDE" w:rsidRDefault="00E04CDE" w:rsidP="002B76DD">
            <w:pPr>
              <w:spacing w:before="60" w:after="60" w:line="200" w:lineRule="exact"/>
              <w:jc w:val="right"/>
              <w:rPr>
                <w:noProof/>
                <w:sz w:val="16"/>
                <w:szCs w:val="16"/>
              </w:rPr>
            </w:pPr>
          </w:p>
        </w:tc>
        <w:tc>
          <w:tcPr>
            <w:tcW w:w="1080" w:type="dxa"/>
            <w:vAlign w:val="center"/>
          </w:tcPr>
          <w:p w14:paraId="04DEDD70" w14:textId="77777777" w:rsidR="00E04CDE" w:rsidRDefault="00E04CDE" w:rsidP="002B76DD">
            <w:pPr>
              <w:spacing w:before="60" w:after="60" w:line="200" w:lineRule="exact"/>
              <w:jc w:val="right"/>
              <w:rPr>
                <w:noProof/>
                <w:sz w:val="16"/>
                <w:szCs w:val="16"/>
              </w:rPr>
            </w:pPr>
          </w:p>
        </w:tc>
        <w:tc>
          <w:tcPr>
            <w:tcW w:w="1080" w:type="dxa"/>
            <w:vAlign w:val="center"/>
          </w:tcPr>
          <w:p w14:paraId="74E1D532" w14:textId="77777777" w:rsidR="00E04CDE" w:rsidRDefault="00E04CDE" w:rsidP="002B76DD">
            <w:pPr>
              <w:spacing w:before="60" w:after="60" w:line="200" w:lineRule="exact"/>
              <w:jc w:val="right"/>
              <w:rPr>
                <w:b/>
                <w:noProof/>
                <w:sz w:val="16"/>
                <w:szCs w:val="16"/>
              </w:rPr>
            </w:pPr>
          </w:p>
        </w:tc>
        <w:tc>
          <w:tcPr>
            <w:tcW w:w="1080" w:type="dxa"/>
            <w:vAlign w:val="center"/>
          </w:tcPr>
          <w:p w14:paraId="16BCD242" w14:textId="77777777" w:rsidR="00E04CDE" w:rsidRDefault="00E04CDE" w:rsidP="002B76DD">
            <w:pPr>
              <w:spacing w:before="60" w:after="60" w:line="200" w:lineRule="exact"/>
              <w:jc w:val="right"/>
              <w:rPr>
                <w:b/>
                <w:noProof/>
                <w:sz w:val="16"/>
                <w:szCs w:val="16"/>
              </w:rPr>
            </w:pPr>
          </w:p>
        </w:tc>
      </w:tr>
      <w:tr w:rsidR="00E04CDE" w14:paraId="474DBF5C" w14:textId="77777777" w:rsidTr="002B76DD">
        <w:trPr>
          <w:trHeight w:val="585"/>
        </w:trPr>
        <w:tc>
          <w:tcPr>
            <w:tcW w:w="1980" w:type="dxa"/>
            <w:vAlign w:val="center"/>
          </w:tcPr>
          <w:p w14:paraId="3C07F0D0" w14:textId="77777777" w:rsidR="00E04CDE" w:rsidRDefault="00E04CDE" w:rsidP="002B76DD">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14:paraId="17AE34F4" w14:textId="77777777" w:rsidR="00E04CDE" w:rsidRDefault="00E04CDE" w:rsidP="002B76DD">
            <w:pPr>
              <w:spacing w:before="60" w:after="60" w:line="200" w:lineRule="exact"/>
              <w:jc w:val="right"/>
              <w:rPr>
                <w:noProof/>
                <w:sz w:val="16"/>
                <w:szCs w:val="16"/>
              </w:rPr>
            </w:pPr>
          </w:p>
        </w:tc>
        <w:tc>
          <w:tcPr>
            <w:tcW w:w="1080" w:type="dxa"/>
            <w:vAlign w:val="center"/>
          </w:tcPr>
          <w:p w14:paraId="113242DE" w14:textId="77777777" w:rsidR="00E04CDE" w:rsidRDefault="00E04CDE" w:rsidP="002B76DD">
            <w:pPr>
              <w:spacing w:before="60" w:after="60" w:line="200" w:lineRule="exact"/>
              <w:jc w:val="right"/>
              <w:rPr>
                <w:noProof/>
                <w:sz w:val="16"/>
                <w:szCs w:val="16"/>
              </w:rPr>
            </w:pPr>
          </w:p>
        </w:tc>
        <w:tc>
          <w:tcPr>
            <w:tcW w:w="1080" w:type="dxa"/>
            <w:vAlign w:val="center"/>
          </w:tcPr>
          <w:p w14:paraId="503C0A66" w14:textId="77777777" w:rsidR="00E04CDE" w:rsidRDefault="00E04CDE" w:rsidP="002B76DD">
            <w:pPr>
              <w:spacing w:before="60" w:after="60" w:line="200" w:lineRule="exact"/>
              <w:jc w:val="right"/>
              <w:rPr>
                <w:noProof/>
                <w:sz w:val="16"/>
                <w:szCs w:val="16"/>
              </w:rPr>
            </w:pPr>
          </w:p>
        </w:tc>
        <w:tc>
          <w:tcPr>
            <w:tcW w:w="1080" w:type="dxa"/>
            <w:vAlign w:val="center"/>
          </w:tcPr>
          <w:p w14:paraId="2A67DD66" w14:textId="77777777" w:rsidR="00E04CDE" w:rsidRDefault="00E04CDE" w:rsidP="002B76DD">
            <w:pPr>
              <w:spacing w:before="60" w:after="60" w:line="200" w:lineRule="exact"/>
              <w:jc w:val="right"/>
              <w:rPr>
                <w:noProof/>
                <w:sz w:val="16"/>
                <w:szCs w:val="16"/>
              </w:rPr>
            </w:pPr>
          </w:p>
        </w:tc>
        <w:tc>
          <w:tcPr>
            <w:tcW w:w="1080" w:type="dxa"/>
            <w:vAlign w:val="center"/>
          </w:tcPr>
          <w:p w14:paraId="6DA54C92" w14:textId="77777777" w:rsidR="00E04CDE" w:rsidRDefault="00E04CDE" w:rsidP="002B76DD">
            <w:pPr>
              <w:spacing w:before="60" w:after="60" w:line="200" w:lineRule="exact"/>
              <w:jc w:val="right"/>
              <w:rPr>
                <w:noProof/>
                <w:sz w:val="16"/>
                <w:szCs w:val="16"/>
              </w:rPr>
            </w:pPr>
          </w:p>
        </w:tc>
        <w:tc>
          <w:tcPr>
            <w:tcW w:w="1080" w:type="dxa"/>
            <w:vAlign w:val="center"/>
          </w:tcPr>
          <w:p w14:paraId="797777EB" w14:textId="77777777" w:rsidR="00E04CDE" w:rsidRDefault="00E04CDE" w:rsidP="002B76DD">
            <w:pPr>
              <w:spacing w:before="60" w:after="60" w:line="200" w:lineRule="exact"/>
              <w:jc w:val="right"/>
              <w:rPr>
                <w:noProof/>
                <w:sz w:val="16"/>
                <w:szCs w:val="16"/>
              </w:rPr>
            </w:pPr>
          </w:p>
        </w:tc>
        <w:tc>
          <w:tcPr>
            <w:tcW w:w="1080" w:type="dxa"/>
            <w:vAlign w:val="center"/>
          </w:tcPr>
          <w:p w14:paraId="77406E60" w14:textId="77777777" w:rsidR="00E04CDE" w:rsidRDefault="00E04CDE" w:rsidP="002B76DD">
            <w:pPr>
              <w:spacing w:before="60" w:after="60" w:line="200" w:lineRule="exact"/>
              <w:jc w:val="right"/>
              <w:rPr>
                <w:b/>
                <w:noProof/>
                <w:sz w:val="16"/>
                <w:szCs w:val="16"/>
              </w:rPr>
            </w:pPr>
          </w:p>
        </w:tc>
        <w:tc>
          <w:tcPr>
            <w:tcW w:w="1080" w:type="dxa"/>
            <w:vAlign w:val="center"/>
          </w:tcPr>
          <w:p w14:paraId="7DD74A63" w14:textId="77777777" w:rsidR="00E04CDE" w:rsidRDefault="00E04CDE" w:rsidP="002B76DD">
            <w:pPr>
              <w:spacing w:before="60" w:after="60" w:line="200" w:lineRule="exact"/>
              <w:jc w:val="right"/>
              <w:rPr>
                <w:b/>
                <w:noProof/>
                <w:sz w:val="16"/>
                <w:szCs w:val="16"/>
              </w:rPr>
            </w:pPr>
          </w:p>
        </w:tc>
      </w:tr>
      <w:tr w:rsidR="00E04CDE" w14:paraId="4EF9D28A" w14:textId="77777777" w:rsidTr="002B76DD">
        <w:trPr>
          <w:trHeight w:val="585"/>
        </w:trPr>
        <w:tc>
          <w:tcPr>
            <w:tcW w:w="1980" w:type="dxa"/>
            <w:shd w:val="clear" w:color="auto" w:fill="CCCCCC"/>
            <w:vAlign w:val="center"/>
          </w:tcPr>
          <w:p w14:paraId="0CB30EF5" w14:textId="77777777" w:rsidR="00E04CDE" w:rsidRDefault="00E04CDE" w:rsidP="002B76DD">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080" w:type="dxa"/>
            <w:vAlign w:val="center"/>
          </w:tcPr>
          <w:p w14:paraId="4C517B02" w14:textId="77777777" w:rsidR="00E04CDE" w:rsidRDefault="00E04CDE" w:rsidP="002B76DD">
            <w:pPr>
              <w:spacing w:before="60" w:after="60" w:line="200" w:lineRule="exact"/>
              <w:jc w:val="right"/>
              <w:rPr>
                <w:noProof/>
                <w:sz w:val="16"/>
                <w:szCs w:val="16"/>
              </w:rPr>
            </w:pPr>
          </w:p>
        </w:tc>
        <w:tc>
          <w:tcPr>
            <w:tcW w:w="1080" w:type="dxa"/>
            <w:vAlign w:val="center"/>
          </w:tcPr>
          <w:p w14:paraId="6CE8E9CB" w14:textId="77777777" w:rsidR="00E04CDE" w:rsidRDefault="00E04CDE" w:rsidP="002B76DD">
            <w:pPr>
              <w:spacing w:before="60" w:after="60" w:line="200" w:lineRule="exact"/>
              <w:jc w:val="right"/>
              <w:rPr>
                <w:noProof/>
                <w:sz w:val="16"/>
                <w:szCs w:val="16"/>
              </w:rPr>
            </w:pPr>
          </w:p>
        </w:tc>
        <w:tc>
          <w:tcPr>
            <w:tcW w:w="1080" w:type="dxa"/>
            <w:vAlign w:val="center"/>
          </w:tcPr>
          <w:p w14:paraId="3E5E0A6E" w14:textId="77777777" w:rsidR="00E04CDE" w:rsidRDefault="00E04CDE" w:rsidP="002B76DD">
            <w:pPr>
              <w:spacing w:before="60" w:after="60" w:line="200" w:lineRule="exact"/>
              <w:jc w:val="right"/>
              <w:rPr>
                <w:noProof/>
                <w:sz w:val="16"/>
                <w:szCs w:val="16"/>
              </w:rPr>
            </w:pPr>
          </w:p>
        </w:tc>
        <w:tc>
          <w:tcPr>
            <w:tcW w:w="1080" w:type="dxa"/>
            <w:vAlign w:val="center"/>
          </w:tcPr>
          <w:p w14:paraId="38C2F734" w14:textId="77777777" w:rsidR="00E04CDE" w:rsidRDefault="00E04CDE" w:rsidP="002B76DD">
            <w:pPr>
              <w:spacing w:before="60" w:after="60" w:line="200" w:lineRule="exact"/>
              <w:jc w:val="right"/>
              <w:rPr>
                <w:noProof/>
                <w:sz w:val="16"/>
                <w:szCs w:val="16"/>
              </w:rPr>
            </w:pPr>
          </w:p>
        </w:tc>
        <w:tc>
          <w:tcPr>
            <w:tcW w:w="1080" w:type="dxa"/>
            <w:vAlign w:val="center"/>
          </w:tcPr>
          <w:p w14:paraId="2A92462E" w14:textId="77777777" w:rsidR="00E04CDE" w:rsidRDefault="00E04CDE" w:rsidP="002B76DD">
            <w:pPr>
              <w:spacing w:before="60" w:after="60" w:line="200" w:lineRule="exact"/>
              <w:jc w:val="right"/>
              <w:rPr>
                <w:noProof/>
                <w:sz w:val="16"/>
                <w:szCs w:val="16"/>
              </w:rPr>
            </w:pPr>
          </w:p>
        </w:tc>
        <w:tc>
          <w:tcPr>
            <w:tcW w:w="1080" w:type="dxa"/>
            <w:vAlign w:val="center"/>
          </w:tcPr>
          <w:p w14:paraId="489B26B5" w14:textId="77777777" w:rsidR="00E04CDE" w:rsidRDefault="00E04CDE" w:rsidP="002B76DD">
            <w:pPr>
              <w:spacing w:before="60" w:after="60" w:line="200" w:lineRule="exact"/>
              <w:jc w:val="right"/>
              <w:rPr>
                <w:noProof/>
                <w:sz w:val="16"/>
                <w:szCs w:val="16"/>
              </w:rPr>
            </w:pPr>
          </w:p>
        </w:tc>
        <w:tc>
          <w:tcPr>
            <w:tcW w:w="1080" w:type="dxa"/>
            <w:vAlign w:val="center"/>
          </w:tcPr>
          <w:p w14:paraId="0328B8FC" w14:textId="77777777" w:rsidR="00E04CDE" w:rsidRDefault="00E04CDE" w:rsidP="002B76DD">
            <w:pPr>
              <w:spacing w:before="60" w:after="60" w:line="200" w:lineRule="exact"/>
              <w:jc w:val="right"/>
              <w:rPr>
                <w:b/>
                <w:noProof/>
                <w:sz w:val="16"/>
                <w:szCs w:val="16"/>
              </w:rPr>
            </w:pPr>
          </w:p>
        </w:tc>
        <w:tc>
          <w:tcPr>
            <w:tcW w:w="1080" w:type="dxa"/>
            <w:vAlign w:val="center"/>
          </w:tcPr>
          <w:p w14:paraId="4C4D5D1C" w14:textId="77777777" w:rsidR="00E04CDE" w:rsidRDefault="00E04CDE" w:rsidP="002B76DD">
            <w:pPr>
              <w:spacing w:before="60" w:after="60" w:line="200" w:lineRule="exact"/>
              <w:jc w:val="right"/>
              <w:rPr>
                <w:b/>
                <w:noProof/>
                <w:sz w:val="16"/>
                <w:szCs w:val="16"/>
              </w:rPr>
            </w:pPr>
          </w:p>
        </w:tc>
      </w:tr>
    </w:tbl>
    <w:p w14:paraId="610EE108" w14:textId="77777777" w:rsidR="00E04CDE" w:rsidRDefault="00E04CDE" w:rsidP="00E04CDE">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E04CDE" w14:paraId="522E3042" w14:textId="77777777" w:rsidTr="002B76DD">
        <w:trPr>
          <w:trHeight w:val="585"/>
        </w:trPr>
        <w:tc>
          <w:tcPr>
            <w:tcW w:w="1980" w:type="dxa"/>
            <w:shd w:val="clear" w:color="auto" w:fill="CCCCCC"/>
            <w:vAlign w:val="center"/>
          </w:tcPr>
          <w:p w14:paraId="12DBD523" w14:textId="77777777" w:rsidR="00E04CDE" w:rsidRDefault="00E04CDE" w:rsidP="002B76DD">
            <w:pPr>
              <w:spacing w:before="60" w:after="60" w:line="200" w:lineRule="exact"/>
              <w:jc w:val="center"/>
              <w:rPr>
                <w:noProof/>
                <w:sz w:val="16"/>
                <w:szCs w:val="16"/>
              </w:rPr>
            </w:pPr>
            <w:r>
              <w:rPr>
                <w:b/>
                <w:noProof/>
                <w:sz w:val="16"/>
              </w:rPr>
              <w:t>Outside HEADING 7</w:t>
            </w:r>
            <w:r>
              <w:rPr>
                <w:rStyle w:val="FootnoteReference"/>
                <w:b/>
                <w:noProof/>
                <w:sz w:val="16"/>
              </w:rPr>
              <w:footnoteReference w:id="79"/>
            </w:r>
            <w:r>
              <w:rPr>
                <w:b/>
                <w:noProof/>
                <w:sz w:val="16"/>
              </w:rPr>
              <w:t xml:space="preserve"> </w:t>
            </w:r>
            <w:r>
              <w:rPr>
                <w:noProof/>
                <w:sz w:val="22"/>
              </w:rPr>
              <w:br/>
            </w:r>
            <w:r>
              <w:rPr>
                <w:b/>
                <w:noProof/>
                <w:sz w:val="16"/>
              </w:rPr>
              <w:t xml:space="preserve">of the multiannual financial framework </w:t>
            </w:r>
          </w:p>
          <w:p w14:paraId="168C6267" w14:textId="77777777" w:rsidR="00E04CDE" w:rsidRDefault="00E04CDE" w:rsidP="002B76DD">
            <w:pPr>
              <w:spacing w:before="0" w:after="0" w:line="200" w:lineRule="exact"/>
              <w:jc w:val="center"/>
              <w:rPr>
                <w:b/>
                <w:noProof/>
                <w:sz w:val="16"/>
                <w:szCs w:val="16"/>
              </w:rPr>
            </w:pPr>
          </w:p>
        </w:tc>
        <w:tc>
          <w:tcPr>
            <w:tcW w:w="1080" w:type="dxa"/>
            <w:vAlign w:val="center"/>
          </w:tcPr>
          <w:p w14:paraId="22A7D639" w14:textId="77777777" w:rsidR="00E04CDE" w:rsidRDefault="00E04CDE" w:rsidP="002B76DD">
            <w:pPr>
              <w:spacing w:before="60" w:after="60" w:line="200" w:lineRule="exact"/>
              <w:jc w:val="right"/>
              <w:rPr>
                <w:noProof/>
                <w:sz w:val="16"/>
                <w:szCs w:val="16"/>
              </w:rPr>
            </w:pPr>
          </w:p>
        </w:tc>
        <w:tc>
          <w:tcPr>
            <w:tcW w:w="1080" w:type="dxa"/>
            <w:vAlign w:val="center"/>
          </w:tcPr>
          <w:p w14:paraId="1BD20327" w14:textId="77777777" w:rsidR="00E04CDE" w:rsidRDefault="00E04CDE" w:rsidP="002B76DD">
            <w:pPr>
              <w:spacing w:before="60" w:after="60" w:line="200" w:lineRule="exact"/>
              <w:jc w:val="right"/>
              <w:rPr>
                <w:noProof/>
                <w:sz w:val="16"/>
                <w:szCs w:val="16"/>
              </w:rPr>
            </w:pPr>
          </w:p>
        </w:tc>
        <w:tc>
          <w:tcPr>
            <w:tcW w:w="1080" w:type="dxa"/>
            <w:vAlign w:val="center"/>
          </w:tcPr>
          <w:p w14:paraId="62CFBCB8" w14:textId="77777777" w:rsidR="00E04CDE" w:rsidRDefault="00E04CDE" w:rsidP="002B76DD">
            <w:pPr>
              <w:spacing w:before="60" w:after="60" w:line="200" w:lineRule="exact"/>
              <w:jc w:val="right"/>
              <w:rPr>
                <w:noProof/>
                <w:sz w:val="16"/>
                <w:szCs w:val="16"/>
              </w:rPr>
            </w:pPr>
          </w:p>
        </w:tc>
        <w:tc>
          <w:tcPr>
            <w:tcW w:w="1080" w:type="dxa"/>
            <w:vAlign w:val="center"/>
          </w:tcPr>
          <w:p w14:paraId="5687B89B" w14:textId="77777777" w:rsidR="00E04CDE" w:rsidRDefault="00E04CDE" w:rsidP="002B76DD">
            <w:pPr>
              <w:spacing w:before="60" w:after="60" w:line="200" w:lineRule="exact"/>
              <w:jc w:val="right"/>
              <w:rPr>
                <w:noProof/>
                <w:sz w:val="16"/>
                <w:szCs w:val="16"/>
              </w:rPr>
            </w:pPr>
          </w:p>
        </w:tc>
        <w:tc>
          <w:tcPr>
            <w:tcW w:w="1080" w:type="dxa"/>
            <w:vAlign w:val="center"/>
          </w:tcPr>
          <w:p w14:paraId="2FC20360" w14:textId="77777777" w:rsidR="00E04CDE" w:rsidRDefault="00E04CDE" w:rsidP="002B76DD">
            <w:pPr>
              <w:spacing w:before="60" w:after="60" w:line="200" w:lineRule="exact"/>
              <w:jc w:val="right"/>
              <w:rPr>
                <w:noProof/>
                <w:sz w:val="16"/>
                <w:szCs w:val="16"/>
              </w:rPr>
            </w:pPr>
          </w:p>
        </w:tc>
        <w:tc>
          <w:tcPr>
            <w:tcW w:w="1080" w:type="dxa"/>
            <w:vAlign w:val="center"/>
          </w:tcPr>
          <w:p w14:paraId="41085763" w14:textId="77777777" w:rsidR="00E04CDE" w:rsidRDefault="00E04CDE" w:rsidP="002B76DD">
            <w:pPr>
              <w:spacing w:before="60" w:after="60" w:line="200" w:lineRule="exact"/>
              <w:jc w:val="right"/>
              <w:rPr>
                <w:noProof/>
                <w:sz w:val="16"/>
                <w:szCs w:val="16"/>
              </w:rPr>
            </w:pPr>
          </w:p>
        </w:tc>
        <w:tc>
          <w:tcPr>
            <w:tcW w:w="1080" w:type="dxa"/>
            <w:vAlign w:val="center"/>
          </w:tcPr>
          <w:p w14:paraId="780D3ED0" w14:textId="77777777" w:rsidR="00E04CDE" w:rsidRDefault="00E04CDE" w:rsidP="002B76DD">
            <w:pPr>
              <w:spacing w:before="60" w:after="60" w:line="200" w:lineRule="exact"/>
              <w:jc w:val="right"/>
              <w:rPr>
                <w:b/>
                <w:noProof/>
                <w:sz w:val="16"/>
                <w:szCs w:val="16"/>
              </w:rPr>
            </w:pPr>
          </w:p>
        </w:tc>
        <w:tc>
          <w:tcPr>
            <w:tcW w:w="1080" w:type="dxa"/>
            <w:vAlign w:val="center"/>
          </w:tcPr>
          <w:p w14:paraId="2F2FA734" w14:textId="77777777" w:rsidR="00E04CDE" w:rsidRDefault="00E04CDE" w:rsidP="002B76DD">
            <w:pPr>
              <w:spacing w:before="60" w:after="60" w:line="200" w:lineRule="exact"/>
              <w:jc w:val="right"/>
              <w:rPr>
                <w:b/>
                <w:noProof/>
                <w:sz w:val="16"/>
                <w:szCs w:val="16"/>
              </w:rPr>
            </w:pPr>
          </w:p>
        </w:tc>
      </w:tr>
      <w:tr w:rsidR="00E04CDE" w14:paraId="3B1A78F5" w14:textId="77777777" w:rsidTr="002B76DD">
        <w:trPr>
          <w:trHeight w:val="585"/>
        </w:trPr>
        <w:tc>
          <w:tcPr>
            <w:tcW w:w="1980" w:type="dxa"/>
            <w:vAlign w:val="center"/>
          </w:tcPr>
          <w:p w14:paraId="50FE40EC" w14:textId="77777777" w:rsidR="00E04CDE" w:rsidRDefault="00E04CDE" w:rsidP="002B76DD">
            <w:pPr>
              <w:spacing w:before="60" w:after="60" w:line="200" w:lineRule="exact"/>
              <w:ind w:left="72"/>
              <w:jc w:val="left"/>
              <w:rPr>
                <w:noProof/>
                <w:sz w:val="16"/>
                <w:szCs w:val="16"/>
              </w:rPr>
            </w:pPr>
            <w:r>
              <w:rPr>
                <w:noProof/>
                <w:sz w:val="16"/>
              </w:rPr>
              <w:t xml:space="preserve">Human resources </w:t>
            </w:r>
          </w:p>
        </w:tc>
        <w:tc>
          <w:tcPr>
            <w:tcW w:w="1080" w:type="dxa"/>
            <w:vAlign w:val="center"/>
          </w:tcPr>
          <w:p w14:paraId="450D7B9F" w14:textId="77777777" w:rsidR="00E04CDE" w:rsidRDefault="00E04CDE" w:rsidP="002B76DD">
            <w:pPr>
              <w:spacing w:before="60" w:after="60" w:line="200" w:lineRule="exact"/>
              <w:jc w:val="right"/>
              <w:rPr>
                <w:noProof/>
                <w:sz w:val="16"/>
                <w:szCs w:val="16"/>
              </w:rPr>
            </w:pPr>
          </w:p>
        </w:tc>
        <w:tc>
          <w:tcPr>
            <w:tcW w:w="1080" w:type="dxa"/>
            <w:vAlign w:val="center"/>
          </w:tcPr>
          <w:p w14:paraId="314C4D18" w14:textId="77777777" w:rsidR="00E04CDE" w:rsidRDefault="00E04CDE" w:rsidP="002B76DD">
            <w:pPr>
              <w:spacing w:before="60" w:after="60" w:line="200" w:lineRule="exact"/>
              <w:jc w:val="right"/>
              <w:rPr>
                <w:noProof/>
                <w:sz w:val="16"/>
                <w:szCs w:val="16"/>
              </w:rPr>
            </w:pPr>
          </w:p>
        </w:tc>
        <w:tc>
          <w:tcPr>
            <w:tcW w:w="1080" w:type="dxa"/>
            <w:vAlign w:val="center"/>
          </w:tcPr>
          <w:p w14:paraId="57364C63" w14:textId="77777777" w:rsidR="00E04CDE" w:rsidRDefault="00E04CDE" w:rsidP="002B76DD">
            <w:pPr>
              <w:spacing w:before="60" w:after="60" w:line="200" w:lineRule="exact"/>
              <w:jc w:val="right"/>
              <w:rPr>
                <w:noProof/>
                <w:sz w:val="16"/>
                <w:szCs w:val="16"/>
              </w:rPr>
            </w:pPr>
          </w:p>
        </w:tc>
        <w:tc>
          <w:tcPr>
            <w:tcW w:w="1080" w:type="dxa"/>
            <w:vAlign w:val="center"/>
          </w:tcPr>
          <w:p w14:paraId="591D546B" w14:textId="77777777" w:rsidR="00E04CDE" w:rsidRDefault="00E04CDE" w:rsidP="002B76DD">
            <w:pPr>
              <w:spacing w:before="60" w:after="60" w:line="200" w:lineRule="exact"/>
              <w:jc w:val="right"/>
              <w:rPr>
                <w:noProof/>
                <w:sz w:val="16"/>
                <w:szCs w:val="16"/>
              </w:rPr>
            </w:pPr>
          </w:p>
        </w:tc>
        <w:tc>
          <w:tcPr>
            <w:tcW w:w="1080" w:type="dxa"/>
            <w:vAlign w:val="center"/>
          </w:tcPr>
          <w:p w14:paraId="553C80A2" w14:textId="77777777" w:rsidR="00E04CDE" w:rsidRDefault="00E04CDE" w:rsidP="002B76DD">
            <w:pPr>
              <w:spacing w:before="60" w:after="60" w:line="200" w:lineRule="exact"/>
              <w:jc w:val="right"/>
              <w:rPr>
                <w:noProof/>
                <w:sz w:val="16"/>
                <w:szCs w:val="16"/>
              </w:rPr>
            </w:pPr>
          </w:p>
        </w:tc>
        <w:tc>
          <w:tcPr>
            <w:tcW w:w="1080" w:type="dxa"/>
            <w:vAlign w:val="center"/>
          </w:tcPr>
          <w:p w14:paraId="0D1FB90C" w14:textId="77777777" w:rsidR="00E04CDE" w:rsidRDefault="00E04CDE" w:rsidP="002B76DD">
            <w:pPr>
              <w:spacing w:before="60" w:after="60" w:line="200" w:lineRule="exact"/>
              <w:jc w:val="right"/>
              <w:rPr>
                <w:noProof/>
                <w:sz w:val="16"/>
                <w:szCs w:val="16"/>
              </w:rPr>
            </w:pPr>
          </w:p>
        </w:tc>
        <w:tc>
          <w:tcPr>
            <w:tcW w:w="1080" w:type="dxa"/>
            <w:vAlign w:val="center"/>
          </w:tcPr>
          <w:p w14:paraId="150AADF2" w14:textId="77777777" w:rsidR="00E04CDE" w:rsidRDefault="00E04CDE" w:rsidP="002B76DD">
            <w:pPr>
              <w:spacing w:before="60" w:after="60" w:line="200" w:lineRule="exact"/>
              <w:jc w:val="right"/>
              <w:rPr>
                <w:b/>
                <w:noProof/>
                <w:sz w:val="16"/>
                <w:szCs w:val="16"/>
              </w:rPr>
            </w:pPr>
          </w:p>
        </w:tc>
        <w:tc>
          <w:tcPr>
            <w:tcW w:w="1080" w:type="dxa"/>
            <w:vAlign w:val="center"/>
          </w:tcPr>
          <w:p w14:paraId="55BFD350" w14:textId="77777777" w:rsidR="00E04CDE" w:rsidRDefault="00E04CDE" w:rsidP="002B76DD">
            <w:pPr>
              <w:spacing w:before="60" w:after="60" w:line="200" w:lineRule="exact"/>
              <w:jc w:val="right"/>
              <w:rPr>
                <w:b/>
                <w:noProof/>
                <w:sz w:val="16"/>
                <w:szCs w:val="16"/>
              </w:rPr>
            </w:pPr>
          </w:p>
        </w:tc>
      </w:tr>
      <w:tr w:rsidR="00E04CDE" w14:paraId="27219EA0" w14:textId="77777777" w:rsidTr="002B76DD">
        <w:trPr>
          <w:trHeight w:val="585"/>
        </w:trPr>
        <w:tc>
          <w:tcPr>
            <w:tcW w:w="1980" w:type="dxa"/>
            <w:vAlign w:val="center"/>
          </w:tcPr>
          <w:p w14:paraId="019F2121" w14:textId="77777777" w:rsidR="00E04CDE" w:rsidRDefault="00E04CDE" w:rsidP="002B76DD">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14:paraId="50C6A576" w14:textId="77777777" w:rsidR="00E04CDE" w:rsidRDefault="00E04CDE" w:rsidP="002B76DD">
            <w:pPr>
              <w:spacing w:before="60" w:after="60" w:line="200" w:lineRule="exact"/>
              <w:jc w:val="right"/>
              <w:rPr>
                <w:noProof/>
                <w:sz w:val="16"/>
                <w:szCs w:val="16"/>
              </w:rPr>
            </w:pPr>
          </w:p>
        </w:tc>
        <w:tc>
          <w:tcPr>
            <w:tcW w:w="1080" w:type="dxa"/>
            <w:vAlign w:val="center"/>
          </w:tcPr>
          <w:p w14:paraId="6FC67BBA" w14:textId="77777777" w:rsidR="00E04CDE" w:rsidRDefault="00E04CDE" w:rsidP="002B76DD">
            <w:pPr>
              <w:spacing w:before="60" w:after="60" w:line="200" w:lineRule="exact"/>
              <w:jc w:val="right"/>
              <w:rPr>
                <w:noProof/>
                <w:sz w:val="16"/>
                <w:szCs w:val="16"/>
              </w:rPr>
            </w:pPr>
          </w:p>
        </w:tc>
        <w:tc>
          <w:tcPr>
            <w:tcW w:w="1080" w:type="dxa"/>
            <w:vAlign w:val="center"/>
          </w:tcPr>
          <w:p w14:paraId="2C858E66" w14:textId="77777777" w:rsidR="00E04CDE" w:rsidRDefault="00E04CDE" w:rsidP="002B76DD">
            <w:pPr>
              <w:spacing w:before="60" w:after="60" w:line="200" w:lineRule="exact"/>
              <w:jc w:val="right"/>
              <w:rPr>
                <w:noProof/>
                <w:sz w:val="16"/>
                <w:szCs w:val="16"/>
              </w:rPr>
            </w:pPr>
          </w:p>
        </w:tc>
        <w:tc>
          <w:tcPr>
            <w:tcW w:w="1080" w:type="dxa"/>
            <w:vAlign w:val="center"/>
          </w:tcPr>
          <w:p w14:paraId="1AB4B467" w14:textId="77777777" w:rsidR="00E04CDE" w:rsidRDefault="00E04CDE" w:rsidP="002B76DD">
            <w:pPr>
              <w:spacing w:before="60" w:after="60" w:line="200" w:lineRule="exact"/>
              <w:jc w:val="right"/>
              <w:rPr>
                <w:noProof/>
                <w:sz w:val="16"/>
                <w:szCs w:val="16"/>
              </w:rPr>
            </w:pPr>
          </w:p>
        </w:tc>
        <w:tc>
          <w:tcPr>
            <w:tcW w:w="1080" w:type="dxa"/>
            <w:vAlign w:val="center"/>
          </w:tcPr>
          <w:p w14:paraId="217982A0" w14:textId="77777777" w:rsidR="00E04CDE" w:rsidRDefault="00E04CDE" w:rsidP="002B76DD">
            <w:pPr>
              <w:spacing w:before="60" w:after="60" w:line="200" w:lineRule="exact"/>
              <w:jc w:val="right"/>
              <w:rPr>
                <w:noProof/>
                <w:sz w:val="16"/>
                <w:szCs w:val="16"/>
              </w:rPr>
            </w:pPr>
          </w:p>
        </w:tc>
        <w:tc>
          <w:tcPr>
            <w:tcW w:w="1080" w:type="dxa"/>
            <w:vAlign w:val="center"/>
          </w:tcPr>
          <w:p w14:paraId="4D94F83C" w14:textId="77777777" w:rsidR="00E04CDE" w:rsidRDefault="00E04CDE" w:rsidP="002B76DD">
            <w:pPr>
              <w:spacing w:before="60" w:after="60" w:line="200" w:lineRule="exact"/>
              <w:jc w:val="right"/>
              <w:rPr>
                <w:noProof/>
                <w:sz w:val="16"/>
                <w:szCs w:val="16"/>
              </w:rPr>
            </w:pPr>
          </w:p>
        </w:tc>
        <w:tc>
          <w:tcPr>
            <w:tcW w:w="1080" w:type="dxa"/>
            <w:vAlign w:val="center"/>
          </w:tcPr>
          <w:p w14:paraId="6703F3E8" w14:textId="77777777" w:rsidR="00E04CDE" w:rsidRDefault="00E04CDE" w:rsidP="002B76DD">
            <w:pPr>
              <w:spacing w:before="60" w:after="60" w:line="200" w:lineRule="exact"/>
              <w:jc w:val="right"/>
              <w:rPr>
                <w:b/>
                <w:noProof/>
                <w:sz w:val="16"/>
                <w:szCs w:val="16"/>
              </w:rPr>
            </w:pPr>
          </w:p>
        </w:tc>
        <w:tc>
          <w:tcPr>
            <w:tcW w:w="1080" w:type="dxa"/>
            <w:vAlign w:val="center"/>
          </w:tcPr>
          <w:p w14:paraId="1DB0EA84" w14:textId="77777777" w:rsidR="00E04CDE" w:rsidRDefault="00E04CDE" w:rsidP="002B76DD">
            <w:pPr>
              <w:spacing w:before="60" w:after="60" w:line="200" w:lineRule="exact"/>
              <w:jc w:val="right"/>
              <w:rPr>
                <w:b/>
                <w:noProof/>
                <w:sz w:val="16"/>
                <w:szCs w:val="16"/>
              </w:rPr>
            </w:pPr>
          </w:p>
        </w:tc>
      </w:tr>
      <w:tr w:rsidR="00E04CDE" w14:paraId="1AEEEB41" w14:textId="77777777" w:rsidTr="002B76DD">
        <w:trPr>
          <w:trHeight w:val="585"/>
        </w:trPr>
        <w:tc>
          <w:tcPr>
            <w:tcW w:w="1980" w:type="dxa"/>
            <w:shd w:val="clear" w:color="auto" w:fill="CCCCCC"/>
            <w:vAlign w:val="center"/>
          </w:tcPr>
          <w:p w14:paraId="4FCF1D57" w14:textId="77777777" w:rsidR="00E04CDE" w:rsidRDefault="00E04CDE" w:rsidP="002B76DD">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7</w:t>
            </w:r>
            <w:r>
              <w:rPr>
                <w:noProof/>
                <w:sz w:val="22"/>
              </w:rPr>
              <w:br/>
            </w:r>
            <w:r>
              <w:rPr>
                <w:b/>
                <w:noProof/>
                <w:sz w:val="16"/>
              </w:rPr>
              <w:t xml:space="preserve">of the multiannual financial framework </w:t>
            </w:r>
          </w:p>
        </w:tc>
        <w:tc>
          <w:tcPr>
            <w:tcW w:w="1080" w:type="dxa"/>
            <w:vAlign w:val="center"/>
          </w:tcPr>
          <w:p w14:paraId="57A57BCE" w14:textId="77777777" w:rsidR="00E04CDE" w:rsidRDefault="00E04CDE" w:rsidP="002B76DD">
            <w:pPr>
              <w:spacing w:before="60" w:after="60" w:line="200" w:lineRule="exact"/>
              <w:jc w:val="right"/>
              <w:rPr>
                <w:noProof/>
                <w:sz w:val="16"/>
                <w:szCs w:val="16"/>
              </w:rPr>
            </w:pPr>
          </w:p>
        </w:tc>
        <w:tc>
          <w:tcPr>
            <w:tcW w:w="1080" w:type="dxa"/>
            <w:vAlign w:val="center"/>
          </w:tcPr>
          <w:p w14:paraId="028B6894" w14:textId="77777777" w:rsidR="00E04CDE" w:rsidRDefault="00E04CDE" w:rsidP="002B76DD">
            <w:pPr>
              <w:spacing w:before="60" w:after="60" w:line="200" w:lineRule="exact"/>
              <w:jc w:val="right"/>
              <w:rPr>
                <w:noProof/>
                <w:sz w:val="16"/>
                <w:szCs w:val="16"/>
              </w:rPr>
            </w:pPr>
          </w:p>
        </w:tc>
        <w:tc>
          <w:tcPr>
            <w:tcW w:w="1080" w:type="dxa"/>
            <w:vAlign w:val="center"/>
          </w:tcPr>
          <w:p w14:paraId="3937A7F8" w14:textId="77777777" w:rsidR="00E04CDE" w:rsidRDefault="00E04CDE" w:rsidP="002B76DD">
            <w:pPr>
              <w:spacing w:before="60" w:after="60" w:line="200" w:lineRule="exact"/>
              <w:jc w:val="right"/>
              <w:rPr>
                <w:noProof/>
                <w:sz w:val="16"/>
                <w:szCs w:val="16"/>
              </w:rPr>
            </w:pPr>
          </w:p>
        </w:tc>
        <w:tc>
          <w:tcPr>
            <w:tcW w:w="1080" w:type="dxa"/>
            <w:vAlign w:val="center"/>
          </w:tcPr>
          <w:p w14:paraId="2733A366" w14:textId="77777777" w:rsidR="00E04CDE" w:rsidRDefault="00E04CDE" w:rsidP="002B76DD">
            <w:pPr>
              <w:spacing w:before="60" w:after="60" w:line="200" w:lineRule="exact"/>
              <w:jc w:val="right"/>
              <w:rPr>
                <w:noProof/>
                <w:sz w:val="16"/>
                <w:szCs w:val="16"/>
              </w:rPr>
            </w:pPr>
          </w:p>
        </w:tc>
        <w:tc>
          <w:tcPr>
            <w:tcW w:w="1080" w:type="dxa"/>
            <w:vAlign w:val="center"/>
          </w:tcPr>
          <w:p w14:paraId="0310436B" w14:textId="77777777" w:rsidR="00E04CDE" w:rsidRDefault="00E04CDE" w:rsidP="002B76DD">
            <w:pPr>
              <w:spacing w:before="60" w:after="60" w:line="200" w:lineRule="exact"/>
              <w:jc w:val="right"/>
              <w:rPr>
                <w:noProof/>
                <w:sz w:val="16"/>
                <w:szCs w:val="16"/>
              </w:rPr>
            </w:pPr>
          </w:p>
        </w:tc>
        <w:tc>
          <w:tcPr>
            <w:tcW w:w="1080" w:type="dxa"/>
            <w:vAlign w:val="center"/>
          </w:tcPr>
          <w:p w14:paraId="21F71EAA" w14:textId="77777777" w:rsidR="00E04CDE" w:rsidRDefault="00E04CDE" w:rsidP="002B76DD">
            <w:pPr>
              <w:spacing w:before="60" w:after="60" w:line="200" w:lineRule="exact"/>
              <w:jc w:val="right"/>
              <w:rPr>
                <w:noProof/>
                <w:sz w:val="16"/>
                <w:szCs w:val="16"/>
              </w:rPr>
            </w:pPr>
          </w:p>
        </w:tc>
        <w:tc>
          <w:tcPr>
            <w:tcW w:w="1080" w:type="dxa"/>
            <w:vAlign w:val="center"/>
          </w:tcPr>
          <w:p w14:paraId="20601B7B" w14:textId="77777777" w:rsidR="00E04CDE" w:rsidRDefault="00E04CDE" w:rsidP="002B76DD">
            <w:pPr>
              <w:spacing w:before="60" w:after="60" w:line="200" w:lineRule="exact"/>
              <w:jc w:val="right"/>
              <w:rPr>
                <w:b/>
                <w:noProof/>
                <w:sz w:val="16"/>
                <w:szCs w:val="16"/>
              </w:rPr>
            </w:pPr>
          </w:p>
        </w:tc>
        <w:tc>
          <w:tcPr>
            <w:tcW w:w="1080" w:type="dxa"/>
            <w:vAlign w:val="center"/>
          </w:tcPr>
          <w:p w14:paraId="220AFF3F" w14:textId="77777777" w:rsidR="00E04CDE" w:rsidRDefault="00E04CDE" w:rsidP="002B76DD">
            <w:pPr>
              <w:spacing w:before="60" w:after="60" w:line="200" w:lineRule="exact"/>
              <w:jc w:val="right"/>
              <w:rPr>
                <w:b/>
                <w:noProof/>
                <w:sz w:val="16"/>
                <w:szCs w:val="16"/>
              </w:rPr>
            </w:pPr>
          </w:p>
        </w:tc>
      </w:tr>
    </w:tbl>
    <w:p w14:paraId="5AC3EE82" w14:textId="77777777" w:rsidR="00E04CDE" w:rsidRDefault="00E04CDE" w:rsidP="00E04CDE">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E04CDE" w14:paraId="1F9381B6" w14:textId="77777777" w:rsidTr="002B76DD">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29A1DF86" w14:textId="77777777" w:rsidR="00E04CDE" w:rsidRDefault="00E04CDE" w:rsidP="002B76DD">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4208D98B" w14:textId="77777777" w:rsidR="00E04CDE" w:rsidRDefault="00E04CDE" w:rsidP="002B76D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688E765F" w14:textId="77777777" w:rsidR="00E04CDE" w:rsidRDefault="00E04CDE" w:rsidP="002B76D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C60024A" w14:textId="77777777" w:rsidR="00E04CDE" w:rsidRDefault="00E04CDE" w:rsidP="002B76D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4A449A50" w14:textId="77777777" w:rsidR="00E04CDE" w:rsidRDefault="00E04CDE" w:rsidP="002B76D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44E0C934" w14:textId="77777777" w:rsidR="00E04CDE" w:rsidRDefault="00E04CDE" w:rsidP="002B76D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E939712" w14:textId="77777777" w:rsidR="00E04CDE" w:rsidRDefault="00E04CDE" w:rsidP="002B76D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F177CCE" w14:textId="77777777" w:rsidR="00E04CDE" w:rsidRDefault="00E04CDE" w:rsidP="002B76D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431BE0FF" w14:textId="77777777" w:rsidR="00E04CDE" w:rsidRDefault="00E04CDE" w:rsidP="002B76DD">
            <w:pPr>
              <w:spacing w:before="60" w:after="60" w:line="200" w:lineRule="exact"/>
              <w:jc w:val="right"/>
              <w:rPr>
                <w:b/>
                <w:noProof/>
                <w:sz w:val="16"/>
                <w:szCs w:val="16"/>
              </w:rPr>
            </w:pPr>
          </w:p>
        </w:tc>
      </w:tr>
    </w:tbl>
    <w:p w14:paraId="78E3EC3E" w14:textId="77777777" w:rsidR="00E04CDE" w:rsidRDefault="00E04CDE" w:rsidP="00E04CDE">
      <w:pPr>
        <w:rPr>
          <w:noProof/>
          <w:sz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5AEB1184" w14:textId="77777777" w:rsidR="00E04CDE" w:rsidRDefault="00E04CDE" w:rsidP="00E04CDE">
      <w:pPr>
        <w:rPr>
          <w:noProof/>
          <w:sz w:val="18"/>
        </w:rPr>
      </w:pPr>
    </w:p>
    <w:p w14:paraId="070BCCB3" w14:textId="77777777" w:rsidR="00E04CDE" w:rsidRDefault="00E04CDE" w:rsidP="00E04CDE">
      <w:pPr>
        <w:rPr>
          <w:noProof/>
          <w:sz w:val="18"/>
        </w:rPr>
      </w:pPr>
    </w:p>
    <w:p w14:paraId="6AB89709" w14:textId="77777777" w:rsidR="00E04CDE" w:rsidRDefault="00E04CDE" w:rsidP="00E04CDE">
      <w:pPr>
        <w:rPr>
          <w:noProof/>
          <w:sz w:val="18"/>
        </w:rPr>
      </w:pPr>
    </w:p>
    <w:p w14:paraId="46873452" w14:textId="77777777" w:rsidR="00E04CDE" w:rsidRDefault="00E04CDE" w:rsidP="00E04CDE">
      <w:pPr>
        <w:rPr>
          <w:noProof/>
          <w:sz w:val="18"/>
        </w:rPr>
      </w:pPr>
    </w:p>
    <w:p w14:paraId="4BEF17E3" w14:textId="77777777" w:rsidR="00E04CDE" w:rsidRDefault="00E04CDE" w:rsidP="00E04CDE">
      <w:pPr>
        <w:rPr>
          <w:noProof/>
          <w:sz w:val="18"/>
        </w:rPr>
      </w:pPr>
    </w:p>
    <w:p w14:paraId="2E744119" w14:textId="13EFD14D" w:rsidR="00E04CDE" w:rsidRPr="00910A6B" w:rsidRDefault="00EF15A7" w:rsidP="00EF15A7">
      <w:pPr>
        <w:pStyle w:val="ManualHeading3"/>
        <w:rPr>
          <w:bCs/>
          <w:noProof/>
          <w:szCs w:val="24"/>
        </w:rPr>
      </w:pPr>
      <w:r w:rsidRPr="00EF15A7">
        <w:t>3.2.4.</w:t>
      </w:r>
      <w:r w:rsidRPr="00EF15A7">
        <w:tab/>
      </w:r>
      <w:r w:rsidR="00E04CDE">
        <w:rPr>
          <w:noProof/>
        </w:rPr>
        <w:t xml:space="preserve">Summary of estimated impact on administrative appropriations – </w:t>
      </w:r>
      <w:r w:rsidR="00E04CDE" w:rsidRPr="00806131">
        <w:rPr>
          <w:b/>
          <w:noProof/>
        </w:rPr>
        <w:t>eu-LISA</w:t>
      </w:r>
    </w:p>
    <w:p w14:paraId="3CF2298F" w14:textId="77777777" w:rsidR="00E04CDE" w:rsidRDefault="00E04CDE" w:rsidP="00E04CDE">
      <w:pPr>
        <w:pStyle w:val="ListDash1"/>
        <w:rPr>
          <w:noProof/>
        </w:rPr>
      </w:pPr>
      <w:r>
        <w:rPr>
          <w:noProof/>
        </w:rPr>
        <w:sym w:font="Wingdings" w:char="F0A8"/>
      </w:r>
      <w:r>
        <w:rPr>
          <w:noProof/>
        </w:rPr>
        <w:tab/>
        <w:t xml:space="preserve">The proposal/initiative does not require the use of appropriations of an administrative nature </w:t>
      </w:r>
    </w:p>
    <w:p w14:paraId="313125BF" w14:textId="77777777" w:rsidR="00E04CDE" w:rsidRDefault="00E04CDE" w:rsidP="00E04CDE">
      <w:pPr>
        <w:pStyle w:val="ListDash1"/>
        <w:rPr>
          <w:noProof/>
        </w:rPr>
      </w:pPr>
      <w:r>
        <w:rPr>
          <w:noProof/>
        </w:rPr>
        <w:sym w:font="Wingdings" w:char="F0FC"/>
      </w:r>
      <w:r>
        <w:rPr>
          <w:noProof/>
        </w:rPr>
        <w:tab/>
        <w:t>The proposal/initiative requires the use of appropriations of an administrative nature, as explained below:</w:t>
      </w:r>
    </w:p>
    <w:p w14:paraId="4581DF36" w14:textId="77777777" w:rsidR="00E04CDE" w:rsidRDefault="00E04CDE" w:rsidP="00E04CDE">
      <w:pPr>
        <w:jc w:val="right"/>
        <w:rPr>
          <w:noProof/>
          <w:sz w:val="20"/>
        </w:rPr>
      </w:pPr>
      <w:r>
        <w:rPr>
          <w:noProof/>
          <w:sz w:val="20"/>
        </w:rPr>
        <w:t>EUR million (to three decimal places)</w:t>
      </w:r>
    </w:p>
    <w:tbl>
      <w:tblPr>
        <w:tblW w:w="7380" w:type="dxa"/>
        <w:tblInd w:w="3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CF1323" w14:paraId="71DFFE9D" w14:textId="77777777" w:rsidTr="00EC0933">
        <w:trPr>
          <w:trHeight w:val="585"/>
        </w:trPr>
        <w:tc>
          <w:tcPr>
            <w:tcW w:w="1980" w:type="dxa"/>
          </w:tcPr>
          <w:p w14:paraId="225CF7C1" w14:textId="77777777" w:rsidR="00CF1323" w:rsidRDefault="00CF1323" w:rsidP="002B76DD">
            <w:pPr>
              <w:spacing w:before="60" w:after="60" w:line="200" w:lineRule="exact"/>
              <w:rPr>
                <w:noProof/>
                <w:sz w:val="16"/>
                <w:szCs w:val="16"/>
              </w:rPr>
            </w:pPr>
          </w:p>
        </w:tc>
        <w:tc>
          <w:tcPr>
            <w:tcW w:w="1080" w:type="dxa"/>
            <w:vAlign w:val="center"/>
          </w:tcPr>
          <w:p w14:paraId="6399787C" w14:textId="77777777" w:rsidR="00CF1323" w:rsidRDefault="00CF1323" w:rsidP="002B76DD">
            <w:pPr>
              <w:spacing w:before="60" w:after="60" w:line="200" w:lineRule="exact"/>
              <w:jc w:val="center"/>
              <w:rPr>
                <w:noProof/>
                <w:sz w:val="16"/>
                <w:szCs w:val="16"/>
              </w:rPr>
            </w:pPr>
            <w:r>
              <w:rPr>
                <w:noProof/>
                <w:sz w:val="16"/>
              </w:rPr>
              <w:t>Year</w:t>
            </w:r>
            <w:r>
              <w:rPr>
                <w:noProof/>
                <w:sz w:val="22"/>
              </w:rPr>
              <w:br/>
            </w:r>
            <w:r>
              <w:rPr>
                <w:b/>
                <w:noProof/>
                <w:sz w:val="16"/>
              </w:rPr>
              <w:t>2024</w:t>
            </w:r>
          </w:p>
        </w:tc>
        <w:tc>
          <w:tcPr>
            <w:tcW w:w="1080" w:type="dxa"/>
            <w:vAlign w:val="center"/>
          </w:tcPr>
          <w:p w14:paraId="11B010EE" w14:textId="77777777" w:rsidR="00CF1323" w:rsidRDefault="00CF1323" w:rsidP="002B76DD">
            <w:pPr>
              <w:spacing w:before="60" w:after="60" w:line="200" w:lineRule="exact"/>
              <w:jc w:val="center"/>
              <w:rPr>
                <w:noProof/>
                <w:sz w:val="16"/>
                <w:szCs w:val="16"/>
              </w:rPr>
            </w:pPr>
            <w:r>
              <w:rPr>
                <w:noProof/>
                <w:sz w:val="16"/>
              </w:rPr>
              <w:t>Year</w:t>
            </w:r>
            <w:r>
              <w:rPr>
                <w:noProof/>
                <w:sz w:val="22"/>
              </w:rPr>
              <w:br/>
            </w:r>
            <w:r>
              <w:rPr>
                <w:b/>
                <w:noProof/>
                <w:sz w:val="16"/>
              </w:rPr>
              <w:t>2025</w:t>
            </w:r>
          </w:p>
        </w:tc>
        <w:tc>
          <w:tcPr>
            <w:tcW w:w="1080" w:type="dxa"/>
            <w:vAlign w:val="center"/>
          </w:tcPr>
          <w:p w14:paraId="2A8632CF" w14:textId="77777777" w:rsidR="00CF1323" w:rsidRDefault="00CF1323" w:rsidP="002B76DD">
            <w:pPr>
              <w:spacing w:before="60" w:after="60" w:line="200" w:lineRule="exact"/>
              <w:jc w:val="center"/>
              <w:rPr>
                <w:noProof/>
                <w:sz w:val="16"/>
                <w:szCs w:val="16"/>
              </w:rPr>
            </w:pPr>
            <w:r>
              <w:rPr>
                <w:noProof/>
                <w:sz w:val="16"/>
              </w:rPr>
              <w:t>Year</w:t>
            </w:r>
            <w:r>
              <w:rPr>
                <w:noProof/>
                <w:sz w:val="22"/>
              </w:rPr>
              <w:br/>
            </w:r>
            <w:r>
              <w:rPr>
                <w:b/>
                <w:noProof/>
                <w:sz w:val="16"/>
              </w:rPr>
              <w:t>2026</w:t>
            </w:r>
          </w:p>
        </w:tc>
        <w:tc>
          <w:tcPr>
            <w:tcW w:w="1080" w:type="dxa"/>
            <w:vAlign w:val="center"/>
          </w:tcPr>
          <w:p w14:paraId="7957F973" w14:textId="77777777" w:rsidR="00CF1323" w:rsidRDefault="00CF1323" w:rsidP="002B76DD">
            <w:pPr>
              <w:spacing w:line="200" w:lineRule="exact"/>
              <w:jc w:val="center"/>
              <w:rPr>
                <w:b/>
                <w:noProof/>
                <w:sz w:val="16"/>
                <w:szCs w:val="16"/>
              </w:rPr>
            </w:pPr>
            <w:r>
              <w:rPr>
                <w:noProof/>
                <w:sz w:val="16"/>
              </w:rPr>
              <w:t>Year</w:t>
            </w:r>
            <w:r>
              <w:rPr>
                <w:noProof/>
                <w:sz w:val="22"/>
              </w:rPr>
              <w:br/>
            </w:r>
            <w:r>
              <w:rPr>
                <w:b/>
                <w:noProof/>
                <w:sz w:val="16"/>
              </w:rPr>
              <w:t>2027</w:t>
            </w:r>
          </w:p>
        </w:tc>
        <w:tc>
          <w:tcPr>
            <w:tcW w:w="1080" w:type="dxa"/>
            <w:vAlign w:val="center"/>
          </w:tcPr>
          <w:p w14:paraId="3F09B134" w14:textId="77777777" w:rsidR="00CF1323" w:rsidRDefault="00CF1323" w:rsidP="002B76DD">
            <w:pPr>
              <w:spacing w:before="60" w:after="60" w:line="200" w:lineRule="exact"/>
              <w:jc w:val="center"/>
              <w:rPr>
                <w:b/>
                <w:noProof/>
                <w:sz w:val="16"/>
                <w:szCs w:val="16"/>
              </w:rPr>
            </w:pPr>
            <w:r>
              <w:rPr>
                <w:b/>
                <w:noProof/>
                <w:sz w:val="16"/>
              </w:rPr>
              <w:t>TOTAL</w:t>
            </w:r>
          </w:p>
        </w:tc>
      </w:tr>
    </w:tbl>
    <w:p w14:paraId="3937CE5D" w14:textId="77777777" w:rsidR="00E04CDE" w:rsidRDefault="00E04CDE" w:rsidP="00E04CDE">
      <w:pPr>
        <w:spacing w:line="200" w:lineRule="exact"/>
        <w:rPr>
          <w:noProof/>
          <w:sz w:val="16"/>
          <w:szCs w:val="16"/>
        </w:rPr>
      </w:pPr>
    </w:p>
    <w:tbl>
      <w:tblPr>
        <w:tblW w:w="7380" w:type="dxa"/>
        <w:tblInd w:w="3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CF1323" w14:paraId="036E7892" w14:textId="77777777" w:rsidTr="00EC0933">
        <w:trPr>
          <w:trHeight w:val="585"/>
        </w:trPr>
        <w:tc>
          <w:tcPr>
            <w:tcW w:w="1980" w:type="dxa"/>
            <w:shd w:val="clear" w:color="auto" w:fill="CCCCCC"/>
            <w:vAlign w:val="center"/>
          </w:tcPr>
          <w:p w14:paraId="2CF48D0B" w14:textId="77777777" w:rsidR="00CF1323" w:rsidRDefault="00CF1323" w:rsidP="002B76DD">
            <w:pPr>
              <w:spacing w:before="60" w:after="60" w:line="200" w:lineRule="exact"/>
              <w:jc w:val="center"/>
              <w:rPr>
                <w:b/>
                <w:noProof/>
                <w:sz w:val="16"/>
                <w:szCs w:val="16"/>
              </w:rPr>
            </w:pPr>
            <w:r>
              <w:rPr>
                <w:b/>
                <w:noProof/>
                <w:sz w:val="16"/>
              </w:rPr>
              <w:t>eu-LISA</w:t>
            </w:r>
          </w:p>
        </w:tc>
        <w:tc>
          <w:tcPr>
            <w:tcW w:w="1080" w:type="dxa"/>
            <w:vAlign w:val="center"/>
          </w:tcPr>
          <w:p w14:paraId="3CD3AEDF" w14:textId="77777777" w:rsidR="00CF1323" w:rsidRDefault="00CF1323" w:rsidP="002B76DD">
            <w:pPr>
              <w:spacing w:before="60" w:after="60" w:line="200" w:lineRule="exact"/>
              <w:jc w:val="right"/>
              <w:rPr>
                <w:noProof/>
                <w:sz w:val="16"/>
                <w:szCs w:val="16"/>
              </w:rPr>
            </w:pPr>
          </w:p>
        </w:tc>
        <w:tc>
          <w:tcPr>
            <w:tcW w:w="1080" w:type="dxa"/>
            <w:vAlign w:val="center"/>
          </w:tcPr>
          <w:p w14:paraId="1FE86C9E" w14:textId="77777777" w:rsidR="00CF1323" w:rsidRDefault="00CF1323" w:rsidP="002B76DD">
            <w:pPr>
              <w:spacing w:before="60" w:after="60" w:line="200" w:lineRule="exact"/>
              <w:jc w:val="right"/>
              <w:rPr>
                <w:noProof/>
                <w:sz w:val="16"/>
                <w:szCs w:val="16"/>
              </w:rPr>
            </w:pPr>
          </w:p>
        </w:tc>
        <w:tc>
          <w:tcPr>
            <w:tcW w:w="1080" w:type="dxa"/>
            <w:vAlign w:val="center"/>
          </w:tcPr>
          <w:p w14:paraId="329BA771" w14:textId="77777777" w:rsidR="00CF1323" w:rsidRDefault="00CF1323" w:rsidP="002B76DD">
            <w:pPr>
              <w:spacing w:before="60" w:after="60" w:line="200" w:lineRule="exact"/>
              <w:jc w:val="right"/>
              <w:rPr>
                <w:noProof/>
                <w:sz w:val="16"/>
                <w:szCs w:val="16"/>
              </w:rPr>
            </w:pPr>
          </w:p>
        </w:tc>
        <w:tc>
          <w:tcPr>
            <w:tcW w:w="1080" w:type="dxa"/>
            <w:vAlign w:val="center"/>
          </w:tcPr>
          <w:p w14:paraId="18735CD1" w14:textId="77777777" w:rsidR="00CF1323" w:rsidRDefault="00CF1323" w:rsidP="002B76DD">
            <w:pPr>
              <w:spacing w:before="60" w:after="60" w:line="200" w:lineRule="exact"/>
              <w:jc w:val="right"/>
              <w:rPr>
                <w:noProof/>
                <w:sz w:val="16"/>
                <w:szCs w:val="16"/>
              </w:rPr>
            </w:pPr>
          </w:p>
        </w:tc>
        <w:tc>
          <w:tcPr>
            <w:tcW w:w="1080" w:type="dxa"/>
            <w:vAlign w:val="center"/>
          </w:tcPr>
          <w:p w14:paraId="1CBC6B56" w14:textId="77777777" w:rsidR="00CF1323" w:rsidRDefault="00CF1323" w:rsidP="002B76DD">
            <w:pPr>
              <w:spacing w:before="60" w:after="60" w:line="200" w:lineRule="exact"/>
              <w:jc w:val="right"/>
              <w:rPr>
                <w:b/>
                <w:noProof/>
                <w:sz w:val="16"/>
                <w:szCs w:val="16"/>
              </w:rPr>
            </w:pPr>
          </w:p>
        </w:tc>
      </w:tr>
      <w:tr w:rsidR="00CF1323" w14:paraId="30A74894" w14:textId="77777777" w:rsidTr="00EC0933">
        <w:trPr>
          <w:trHeight w:val="585"/>
        </w:trPr>
        <w:tc>
          <w:tcPr>
            <w:tcW w:w="1980" w:type="dxa"/>
            <w:vAlign w:val="center"/>
          </w:tcPr>
          <w:p w14:paraId="4014209A" w14:textId="77777777" w:rsidR="00CF1323" w:rsidRDefault="00CF1323" w:rsidP="00CF1323">
            <w:pPr>
              <w:spacing w:before="60" w:after="60" w:line="200" w:lineRule="exact"/>
              <w:ind w:left="72"/>
              <w:jc w:val="left"/>
              <w:rPr>
                <w:noProof/>
                <w:sz w:val="16"/>
                <w:szCs w:val="16"/>
              </w:rPr>
            </w:pPr>
            <w:r>
              <w:rPr>
                <w:noProof/>
                <w:sz w:val="16"/>
              </w:rPr>
              <w:t xml:space="preserve">Human resources </w:t>
            </w:r>
          </w:p>
        </w:tc>
        <w:tc>
          <w:tcPr>
            <w:tcW w:w="1080" w:type="dxa"/>
            <w:vAlign w:val="bottom"/>
          </w:tcPr>
          <w:p w14:paraId="5F338A30" w14:textId="77777777" w:rsidR="00CF1323" w:rsidRPr="00806131" w:rsidRDefault="00CF1323" w:rsidP="00CF1323">
            <w:pPr>
              <w:spacing w:before="60" w:after="60" w:line="200" w:lineRule="exact"/>
              <w:jc w:val="right"/>
              <w:rPr>
                <w:noProof/>
                <w:sz w:val="20"/>
                <w:szCs w:val="20"/>
              </w:rPr>
            </w:pPr>
            <w:r>
              <w:rPr>
                <w:rFonts w:ascii="Calibri" w:hAnsi="Calibri" w:cs="Calibri"/>
                <w:noProof/>
                <w:color w:val="000000"/>
                <w:sz w:val="22"/>
              </w:rPr>
              <w:t xml:space="preserve">         0.520 </w:t>
            </w:r>
          </w:p>
        </w:tc>
        <w:tc>
          <w:tcPr>
            <w:tcW w:w="1080" w:type="dxa"/>
            <w:vAlign w:val="bottom"/>
          </w:tcPr>
          <w:p w14:paraId="57492FE6" w14:textId="77777777" w:rsidR="00CF1323" w:rsidRPr="00806131" w:rsidRDefault="00CF1323" w:rsidP="00CF1323">
            <w:pPr>
              <w:spacing w:before="60" w:after="60" w:line="200" w:lineRule="exact"/>
              <w:jc w:val="right"/>
              <w:rPr>
                <w:noProof/>
                <w:sz w:val="20"/>
                <w:szCs w:val="20"/>
              </w:rPr>
            </w:pPr>
            <w:r>
              <w:rPr>
                <w:rFonts w:ascii="Calibri" w:hAnsi="Calibri" w:cs="Calibri"/>
                <w:noProof/>
                <w:color w:val="000000"/>
                <w:sz w:val="22"/>
              </w:rPr>
              <w:t xml:space="preserve">         1.040 </w:t>
            </w:r>
          </w:p>
        </w:tc>
        <w:tc>
          <w:tcPr>
            <w:tcW w:w="1080" w:type="dxa"/>
            <w:vAlign w:val="bottom"/>
          </w:tcPr>
          <w:p w14:paraId="2DBF69F1" w14:textId="77777777" w:rsidR="00CF1323" w:rsidRPr="00806131" w:rsidRDefault="00CF1323" w:rsidP="00CF1323">
            <w:pPr>
              <w:spacing w:before="60" w:after="60" w:line="200" w:lineRule="exact"/>
              <w:jc w:val="right"/>
              <w:rPr>
                <w:noProof/>
                <w:sz w:val="20"/>
                <w:szCs w:val="20"/>
              </w:rPr>
            </w:pPr>
            <w:r>
              <w:rPr>
                <w:rFonts w:ascii="Calibri" w:hAnsi="Calibri" w:cs="Calibri"/>
                <w:noProof/>
                <w:color w:val="000000"/>
                <w:sz w:val="22"/>
              </w:rPr>
              <w:t xml:space="preserve">         1.040 </w:t>
            </w:r>
          </w:p>
        </w:tc>
        <w:tc>
          <w:tcPr>
            <w:tcW w:w="1080" w:type="dxa"/>
            <w:vAlign w:val="bottom"/>
          </w:tcPr>
          <w:p w14:paraId="234FFECC" w14:textId="77777777" w:rsidR="00CF1323" w:rsidRPr="00806131" w:rsidRDefault="00CF1323" w:rsidP="00CF1323">
            <w:pPr>
              <w:spacing w:before="60" w:after="60" w:line="200" w:lineRule="exact"/>
              <w:jc w:val="right"/>
              <w:rPr>
                <w:noProof/>
                <w:sz w:val="20"/>
                <w:szCs w:val="20"/>
              </w:rPr>
            </w:pPr>
            <w:r>
              <w:rPr>
                <w:rFonts w:ascii="Calibri" w:hAnsi="Calibri" w:cs="Calibri"/>
                <w:noProof/>
                <w:color w:val="000000"/>
                <w:sz w:val="22"/>
              </w:rPr>
              <w:t xml:space="preserve">             1.125 </w:t>
            </w:r>
          </w:p>
        </w:tc>
        <w:tc>
          <w:tcPr>
            <w:tcW w:w="1080" w:type="dxa"/>
            <w:vAlign w:val="bottom"/>
          </w:tcPr>
          <w:p w14:paraId="4EEE8D15" w14:textId="77777777" w:rsidR="00CF1323" w:rsidRPr="00806131" w:rsidRDefault="00CF1323" w:rsidP="00CF1323">
            <w:pPr>
              <w:spacing w:before="60" w:after="60" w:line="200" w:lineRule="exact"/>
              <w:jc w:val="right"/>
              <w:rPr>
                <w:noProof/>
                <w:sz w:val="20"/>
                <w:szCs w:val="20"/>
              </w:rPr>
            </w:pPr>
            <w:r>
              <w:rPr>
                <w:rFonts w:ascii="Calibri" w:hAnsi="Calibri" w:cs="Calibri"/>
                <w:noProof/>
                <w:color w:val="000000"/>
                <w:sz w:val="22"/>
              </w:rPr>
              <w:t xml:space="preserve">            3.725 </w:t>
            </w:r>
          </w:p>
        </w:tc>
      </w:tr>
      <w:tr w:rsidR="00CF1323" w14:paraId="703F11B7" w14:textId="77777777" w:rsidTr="00EC0933">
        <w:trPr>
          <w:trHeight w:val="585"/>
        </w:trPr>
        <w:tc>
          <w:tcPr>
            <w:tcW w:w="1980" w:type="dxa"/>
            <w:vAlign w:val="center"/>
          </w:tcPr>
          <w:p w14:paraId="1C982977" w14:textId="77777777" w:rsidR="00CF1323" w:rsidRDefault="00CF1323" w:rsidP="00CF1323">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14:paraId="147B6997" w14:textId="77777777" w:rsidR="00CF1323" w:rsidRDefault="00CF1323" w:rsidP="00CF1323">
            <w:pPr>
              <w:spacing w:before="60" w:after="60" w:line="200" w:lineRule="exact"/>
              <w:jc w:val="right"/>
              <w:rPr>
                <w:noProof/>
                <w:sz w:val="16"/>
                <w:szCs w:val="16"/>
              </w:rPr>
            </w:pPr>
          </w:p>
        </w:tc>
        <w:tc>
          <w:tcPr>
            <w:tcW w:w="1080" w:type="dxa"/>
            <w:vAlign w:val="center"/>
          </w:tcPr>
          <w:p w14:paraId="5D8E718A" w14:textId="77777777" w:rsidR="00CF1323" w:rsidRDefault="00CF1323" w:rsidP="00CF1323">
            <w:pPr>
              <w:spacing w:before="60" w:after="60" w:line="200" w:lineRule="exact"/>
              <w:jc w:val="right"/>
              <w:rPr>
                <w:noProof/>
                <w:sz w:val="16"/>
                <w:szCs w:val="16"/>
              </w:rPr>
            </w:pPr>
          </w:p>
        </w:tc>
        <w:tc>
          <w:tcPr>
            <w:tcW w:w="1080" w:type="dxa"/>
            <w:vAlign w:val="center"/>
          </w:tcPr>
          <w:p w14:paraId="3CA69100" w14:textId="77777777" w:rsidR="00CF1323" w:rsidRDefault="00CF1323" w:rsidP="00CF1323">
            <w:pPr>
              <w:spacing w:before="60" w:after="60" w:line="200" w:lineRule="exact"/>
              <w:jc w:val="right"/>
              <w:rPr>
                <w:noProof/>
                <w:sz w:val="16"/>
                <w:szCs w:val="16"/>
              </w:rPr>
            </w:pPr>
          </w:p>
        </w:tc>
        <w:tc>
          <w:tcPr>
            <w:tcW w:w="1080" w:type="dxa"/>
            <w:vAlign w:val="center"/>
          </w:tcPr>
          <w:p w14:paraId="5D158CFB" w14:textId="77777777" w:rsidR="00CF1323" w:rsidRDefault="00CF1323" w:rsidP="00CF1323">
            <w:pPr>
              <w:spacing w:before="60" w:after="60" w:line="200" w:lineRule="exact"/>
              <w:jc w:val="right"/>
              <w:rPr>
                <w:noProof/>
                <w:sz w:val="16"/>
                <w:szCs w:val="16"/>
              </w:rPr>
            </w:pPr>
          </w:p>
        </w:tc>
        <w:tc>
          <w:tcPr>
            <w:tcW w:w="1080" w:type="dxa"/>
            <w:vAlign w:val="center"/>
          </w:tcPr>
          <w:p w14:paraId="1ECE6D2D" w14:textId="77777777" w:rsidR="00CF1323" w:rsidRDefault="00CF1323" w:rsidP="00CF1323">
            <w:pPr>
              <w:spacing w:before="60" w:after="60" w:line="200" w:lineRule="exact"/>
              <w:jc w:val="right"/>
              <w:rPr>
                <w:b/>
                <w:noProof/>
                <w:sz w:val="16"/>
                <w:szCs w:val="16"/>
              </w:rPr>
            </w:pPr>
          </w:p>
        </w:tc>
      </w:tr>
      <w:tr w:rsidR="00CF1323" w14:paraId="4261D874" w14:textId="77777777" w:rsidTr="00EC0933">
        <w:trPr>
          <w:trHeight w:val="585"/>
        </w:trPr>
        <w:tc>
          <w:tcPr>
            <w:tcW w:w="1980" w:type="dxa"/>
            <w:shd w:val="clear" w:color="auto" w:fill="CCCCCC"/>
            <w:vAlign w:val="center"/>
          </w:tcPr>
          <w:p w14:paraId="3E97866D" w14:textId="77777777" w:rsidR="00CF1323" w:rsidRDefault="00CF1323" w:rsidP="00CF1323">
            <w:pPr>
              <w:spacing w:before="60" w:after="60" w:line="200" w:lineRule="exact"/>
              <w:jc w:val="center"/>
              <w:rPr>
                <w:b/>
                <w:noProof/>
                <w:sz w:val="16"/>
                <w:szCs w:val="16"/>
              </w:rPr>
            </w:pPr>
            <w:r>
              <w:rPr>
                <w:b/>
                <w:noProof/>
                <w:sz w:val="16"/>
              </w:rPr>
              <w:t xml:space="preserve">TOTAL </w:t>
            </w:r>
          </w:p>
        </w:tc>
        <w:tc>
          <w:tcPr>
            <w:tcW w:w="1080" w:type="dxa"/>
            <w:vAlign w:val="bottom"/>
          </w:tcPr>
          <w:p w14:paraId="560CE1A2" w14:textId="77777777" w:rsidR="00CF1323" w:rsidRDefault="00CF1323" w:rsidP="00CF1323">
            <w:pPr>
              <w:spacing w:before="60" w:after="60" w:line="200" w:lineRule="exact"/>
              <w:jc w:val="right"/>
              <w:rPr>
                <w:noProof/>
                <w:sz w:val="16"/>
                <w:szCs w:val="16"/>
              </w:rPr>
            </w:pPr>
            <w:r>
              <w:rPr>
                <w:rFonts w:ascii="Calibri" w:hAnsi="Calibri" w:cs="Calibri"/>
                <w:noProof/>
                <w:color w:val="000000"/>
                <w:sz w:val="22"/>
              </w:rPr>
              <w:t xml:space="preserve">         0.520 </w:t>
            </w:r>
          </w:p>
        </w:tc>
        <w:tc>
          <w:tcPr>
            <w:tcW w:w="1080" w:type="dxa"/>
            <w:vAlign w:val="bottom"/>
          </w:tcPr>
          <w:p w14:paraId="4738DC1E" w14:textId="77777777" w:rsidR="00CF1323" w:rsidRDefault="00CF1323" w:rsidP="00CF1323">
            <w:pPr>
              <w:spacing w:before="60" w:after="60" w:line="200" w:lineRule="exact"/>
              <w:jc w:val="right"/>
              <w:rPr>
                <w:noProof/>
                <w:sz w:val="16"/>
                <w:szCs w:val="16"/>
              </w:rPr>
            </w:pPr>
            <w:r>
              <w:rPr>
                <w:rFonts w:ascii="Calibri" w:hAnsi="Calibri" w:cs="Calibri"/>
                <w:noProof/>
                <w:color w:val="000000"/>
                <w:sz w:val="22"/>
              </w:rPr>
              <w:t xml:space="preserve">         1.040 </w:t>
            </w:r>
          </w:p>
        </w:tc>
        <w:tc>
          <w:tcPr>
            <w:tcW w:w="1080" w:type="dxa"/>
            <w:vAlign w:val="bottom"/>
          </w:tcPr>
          <w:p w14:paraId="6B6143B0" w14:textId="77777777" w:rsidR="00CF1323" w:rsidRDefault="00CF1323" w:rsidP="00CF1323">
            <w:pPr>
              <w:spacing w:before="60" w:after="60" w:line="200" w:lineRule="exact"/>
              <w:jc w:val="right"/>
              <w:rPr>
                <w:noProof/>
                <w:sz w:val="16"/>
                <w:szCs w:val="16"/>
              </w:rPr>
            </w:pPr>
            <w:r>
              <w:rPr>
                <w:rFonts w:ascii="Calibri" w:hAnsi="Calibri" w:cs="Calibri"/>
                <w:noProof/>
                <w:color w:val="000000"/>
                <w:sz w:val="22"/>
              </w:rPr>
              <w:t xml:space="preserve">         1.040 </w:t>
            </w:r>
          </w:p>
        </w:tc>
        <w:tc>
          <w:tcPr>
            <w:tcW w:w="1080" w:type="dxa"/>
            <w:vAlign w:val="bottom"/>
          </w:tcPr>
          <w:p w14:paraId="0D6E9A25" w14:textId="77777777" w:rsidR="00CF1323" w:rsidRDefault="00CF1323" w:rsidP="00CF1323">
            <w:pPr>
              <w:spacing w:before="60" w:after="60" w:line="200" w:lineRule="exact"/>
              <w:jc w:val="right"/>
              <w:rPr>
                <w:noProof/>
                <w:sz w:val="16"/>
                <w:szCs w:val="16"/>
              </w:rPr>
            </w:pPr>
            <w:r>
              <w:rPr>
                <w:rFonts w:ascii="Calibri" w:hAnsi="Calibri" w:cs="Calibri"/>
                <w:noProof/>
                <w:color w:val="000000"/>
                <w:sz w:val="22"/>
              </w:rPr>
              <w:t xml:space="preserve">             1.125 </w:t>
            </w:r>
          </w:p>
        </w:tc>
        <w:tc>
          <w:tcPr>
            <w:tcW w:w="1080" w:type="dxa"/>
            <w:vAlign w:val="bottom"/>
          </w:tcPr>
          <w:p w14:paraId="671C43CC" w14:textId="77777777" w:rsidR="00CF1323" w:rsidRDefault="00CF1323" w:rsidP="00CF1323">
            <w:pPr>
              <w:spacing w:before="60" w:after="60" w:line="200" w:lineRule="exact"/>
              <w:jc w:val="right"/>
              <w:rPr>
                <w:b/>
                <w:noProof/>
                <w:sz w:val="16"/>
                <w:szCs w:val="16"/>
              </w:rPr>
            </w:pPr>
            <w:r>
              <w:rPr>
                <w:rFonts w:ascii="Calibri" w:hAnsi="Calibri" w:cs="Calibri"/>
                <w:noProof/>
                <w:color w:val="000000"/>
                <w:sz w:val="22"/>
              </w:rPr>
              <w:t xml:space="preserve">            3.725 </w:t>
            </w:r>
          </w:p>
        </w:tc>
      </w:tr>
    </w:tbl>
    <w:p w14:paraId="3EB9B0D5" w14:textId="77777777" w:rsidR="00E04CDE" w:rsidRDefault="00E04CDE" w:rsidP="00E04CDE">
      <w:pPr>
        <w:rPr>
          <w:noProof/>
          <w:sz w:val="18"/>
        </w:rPr>
        <w:sectPr w:rsidR="00E04CDE" w:rsidSect="00FB3ECA">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74C1BB49" w14:textId="42BAD0FA" w:rsidR="00E04CDE" w:rsidRDefault="00EF15A7" w:rsidP="00EF15A7">
      <w:pPr>
        <w:pStyle w:val="ManualHeading4"/>
        <w:rPr>
          <w:bCs/>
          <w:noProof/>
          <w:szCs w:val="24"/>
        </w:rPr>
      </w:pPr>
      <w:r w:rsidRPr="00EF15A7">
        <w:t>3.2.4.1.</w:t>
      </w:r>
      <w:r w:rsidRPr="00EF15A7">
        <w:tab/>
      </w:r>
      <w:r w:rsidR="00E04CDE">
        <w:rPr>
          <w:noProof/>
        </w:rPr>
        <w:t xml:space="preserve">Estimated requirements of human resources – </w:t>
      </w:r>
      <w:r w:rsidR="00E04CDE" w:rsidRPr="00806131">
        <w:rPr>
          <w:b/>
          <w:noProof/>
        </w:rPr>
        <w:t>DG HOME</w:t>
      </w:r>
    </w:p>
    <w:p w14:paraId="473ACC8A" w14:textId="77777777" w:rsidR="00E04CDE" w:rsidRDefault="00E04CDE" w:rsidP="00E04CDE">
      <w:pPr>
        <w:pStyle w:val="ListDash1"/>
        <w:rPr>
          <w:noProof/>
        </w:rPr>
      </w:pPr>
      <w:r>
        <w:rPr>
          <w:noProof/>
        </w:rPr>
        <w:sym w:font="Wingdings" w:char="F0FE"/>
      </w:r>
      <w:r>
        <w:rPr>
          <w:noProof/>
        </w:rPr>
        <w:tab/>
        <w:t xml:space="preserve">The proposal/initiative does not require the use of human resources. </w:t>
      </w:r>
    </w:p>
    <w:p w14:paraId="35C5AF10" w14:textId="77777777" w:rsidR="00E04CDE" w:rsidRDefault="00E04CDE" w:rsidP="00E04CDE">
      <w:pPr>
        <w:pStyle w:val="ListDash1"/>
        <w:rPr>
          <w:noProof/>
        </w:rPr>
      </w:pPr>
      <w:r>
        <w:rPr>
          <w:noProof/>
        </w:rPr>
        <w:sym w:font="Wingdings" w:char="F0A8"/>
      </w:r>
      <w:r>
        <w:rPr>
          <w:noProof/>
        </w:rPr>
        <w:tab/>
        <w:t>The proposal/initiative requires the use of human resources, as explained below:</w:t>
      </w:r>
    </w:p>
    <w:p w14:paraId="7BD9C5FC" w14:textId="77777777" w:rsidR="00E04CDE" w:rsidRDefault="00E04CDE" w:rsidP="00E04CDE">
      <w:pPr>
        <w:spacing w:after="60"/>
        <w:jc w:val="right"/>
        <w:rPr>
          <w:i/>
          <w:noProof/>
          <w:sz w:val="20"/>
        </w:rPr>
      </w:pPr>
      <w:r>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E04CDE" w14:paraId="0EFDF061" w14:textId="77777777" w:rsidTr="002B76DD">
        <w:trPr>
          <w:gridBefore w:val="1"/>
          <w:wBefore w:w="15" w:type="dxa"/>
          <w:trHeight w:val="289"/>
          <w:jc w:val="center"/>
        </w:trPr>
        <w:tc>
          <w:tcPr>
            <w:tcW w:w="4754" w:type="dxa"/>
            <w:gridSpan w:val="2"/>
            <w:shd w:val="clear" w:color="auto" w:fill="auto"/>
          </w:tcPr>
          <w:p w14:paraId="6C8D5832" w14:textId="77777777" w:rsidR="00E04CDE" w:rsidRDefault="00E04CDE" w:rsidP="002B76DD">
            <w:pPr>
              <w:pStyle w:val="Text1"/>
              <w:spacing w:before="40" w:after="40"/>
              <w:ind w:left="0"/>
              <w:jc w:val="center"/>
              <w:rPr>
                <w:i/>
                <w:noProof/>
                <w:sz w:val="16"/>
                <w:szCs w:val="16"/>
              </w:rPr>
            </w:pPr>
          </w:p>
        </w:tc>
        <w:tc>
          <w:tcPr>
            <w:tcW w:w="731" w:type="dxa"/>
            <w:shd w:val="clear" w:color="auto" w:fill="auto"/>
            <w:vAlign w:val="center"/>
          </w:tcPr>
          <w:p w14:paraId="057D558D" w14:textId="77777777" w:rsidR="00E04CDE" w:rsidRDefault="00E04CDE" w:rsidP="002B76DD">
            <w:pPr>
              <w:spacing w:before="20" w:after="20"/>
              <w:jc w:val="center"/>
              <w:rPr>
                <w:noProof/>
                <w:sz w:val="16"/>
                <w:szCs w:val="16"/>
              </w:rPr>
            </w:pPr>
            <w:r>
              <w:rPr>
                <w:noProof/>
                <w:sz w:val="16"/>
              </w:rPr>
              <w:t>Year</w:t>
            </w:r>
            <w:r>
              <w:rPr>
                <w:noProof/>
                <w:sz w:val="22"/>
              </w:rPr>
              <w:br/>
            </w:r>
            <w:r>
              <w:rPr>
                <w:b/>
                <w:noProof/>
                <w:sz w:val="16"/>
              </w:rPr>
              <w:t>N</w:t>
            </w:r>
          </w:p>
        </w:tc>
        <w:tc>
          <w:tcPr>
            <w:tcW w:w="731" w:type="dxa"/>
            <w:shd w:val="clear" w:color="auto" w:fill="auto"/>
            <w:vAlign w:val="center"/>
          </w:tcPr>
          <w:p w14:paraId="3447BE8A" w14:textId="77777777" w:rsidR="00E04CDE" w:rsidRDefault="00E04CDE" w:rsidP="002B76DD">
            <w:pPr>
              <w:spacing w:before="20" w:after="20"/>
              <w:jc w:val="center"/>
              <w:rPr>
                <w:noProof/>
                <w:sz w:val="16"/>
                <w:szCs w:val="16"/>
              </w:rPr>
            </w:pPr>
            <w:r>
              <w:rPr>
                <w:noProof/>
                <w:sz w:val="16"/>
              </w:rPr>
              <w:t>Year</w:t>
            </w:r>
            <w:r>
              <w:rPr>
                <w:noProof/>
                <w:sz w:val="22"/>
              </w:rPr>
              <w:br/>
            </w:r>
            <w:r>
              <w:rPr>
                <w:b/>
                <w:noProof/>
                <w:sz w:val="16"/>
              </w:rPr>
              <w:t>N+1</w:t>
            </w:r>
          </w:p>
        </w:tc>
        <w:tc>
          <w:tcPr>
            <w:tcW w:w="731" w:type="dxa"/>
            <w:shd w:val="clear" w:color="auto" w:fill="auto"/>
            <w:vAlign w:val="center"/>
          </w:tcPr>
          <w:p w14:paraId="3F659670" w14:textId="77777777" w:rsidR="00E04CDE" w:rsidRDefault="00E04CDE" w:rsidP="002B76DD">
            <w:pPr>
              <w:spacing w:before="20" w:after="20"/>
              <w:jc w:val="center"/>
              <w:rPr>
                <w:noProof/>
                <w:sz w:val="16"/>
                <w:szCs w:val="16"/>
              </w:rPr>
            </w:pPr>
            <w:r>
              <w:rPr>
                <w:noProof/>
                <w:sz w:val="16"/>
                <w:szCs w:val="16"/>
              </w:rPr>
              <w:t xml:space="preserve">Year </w:t>
            </w:r>
            <w:r>
              <w:rPr>
                <w:b/>
                <w:noProof/>
                <w:sz w:val="16"/>
                <w:szCs w:val="16"/>
              </w:rPr>
              <w:t>N+2</w:t>
            </w:r>
          </w:p>
        </w:tc>
        <w:tc>
          <w:tcPr>
            <w:tcW w:w="731" w:type="dxa"/>
            <w:shd w:val="clear" w:color="auto" w:fill="auto"/>
            <w:vAlign w:val="center"/>
          </w:tcPr>
          <w:p w14:paraId="37492C84" w14:textId="77777777" w:rsidR="00E04CDE" w:rsidRDefault="00E04CDE" w:rsidP="002B76DD">
            <w:pPr>
              <w:spacing w:before="20" w:after="20"/>
              <w:jc w:val="center"/>
              <w:rPr>
                <w:noProof/>
                <w:sz w:val="16"/>
                <w:szCs w:val="16"/>
              </w:rPr>
            </w:pPr>
            <w:r>
              <w:rPr>
                <w:noProof/>
                <w:sz w:val="16"/>
                <w:szCs w:val="16"/>
              </w:rPr>
              <w:t xml:space="preserve">Year </w:t>
            </w:r>
            <w:r>
              <w:rPr>
                <w:b/>
                <w:noProof/>
                <w:sz w:val="16"/>
                <w:szCs w:val="16"/>
              </w:rPr>
              <w:t>N+3</w:t>
            </w:r>
          </w:p>
        </w:tc>
        <w:tc>
          <w:tcPr>
            <w:tcW w:w="2193" w:type="dxa"/>
            <w:gridSpan w:val="3"/>
            <w:shd w:val="clear" w:color="auto" w:fill="auto"/>
            <w:vAlign w:val="center"/>
          </w:tcPr>
          <w:p w14:paraId="0D3D9807" w14:textId="77777777" w:rsidR="00E04CDE" w:rsidRDefault="00E04CDE" w:rsidP="002B76DD">
            <w:pPr>
              <w:jc w:val="center"/>
              <w:rPr>
                <w:b/>
                <w:noProof/>
                <w:sz w:val="16"/>
                <w:szCs w:val="16"/>
              </w:rPr>
            </w:pPr>
            <w:r>
              <w:rPr>
                <w:noProof/>
                <w:sz w:val="16"/>
              </w:rPr>
              <w:t>Enter as many years as necessary to show the duration of the impact (see point 1.6)</w:t>
            </w:r>
          </w:p>
        </w:tc>
      </w:tr>
      <w:tr w:rsidR="00E04CDE" w14:paraId="5004C8F4" w14:textId="77777777" w:rsidTr="002B76DD">
        <w:trPr>
          <w:gridBefore w:val="1"/>
          <w:wBefore w:w="15" w:type="dxa"/>
          <w:trHeight w:val="289"/>
          <w:jc w:val="center"/>
        </w:trPr>
        <w:tc>
          <w:tcPr>
            <w:tcW w:w="9871" w:type="dxa"/>
            <w:gridSpan w:val="9"/>
            <w:shd w:val="clear" w:color="auto" w:fill="auto"/>
          </w:tcPr>
          <w:p w14:paraId="3EFB76AE" w14:textId="77777777" w:rsidR="00E04CDE" w:rsidRDefault="00E04CDE" w:rsidP="002B76DD">
            <w:pPr>
              <w:jc w:val="left"/>
              <w:rPr>
                <w:noProof/>
                <w:sz w:val="16"/>
                <w:szCs w:val="16"/>
              </w:rPr>
            </w:pPr>
            <w:r>
              <w:rPr>
                <w:b/>
                <w:noProof/>
                <w:sz w:val="16"/>
              </w:rPr>
              <w:sym w:font="Wingdings" w:char="F09F"/>
            </w:r>
            <w:r>
              <w:rPr>
                <w:b/>
                <w:noProof/>
                <w:sz w:val="16"/>
              </w:rPr>
              <w:t xml:space="preserve"> Establishment plan posts (officials and temporary staff)</w:t>
            </w:r>
          </w:p>
        </w:tc>
      </w:tr>
      <w:tr w:rsidR="00E04CDE" w14:paraId="1549D4B7" w14:textId="77777777" w:rsidTr="002B76DD">
        <w:trPr>
          <w:gridBefore w:val="1"/>
          <w:wBefore w:w="15" w:type="dxa"/>
          <w:trHeight w:val="289"/>
          <w:jc w:val="center"/>
        </w:trPr>
        <w:tc>
          <w:tcPr>
            <w:tcW w:w="4754" w:type="dxa"/>
            <w:gridSpan w:val="2"/>
            <w:shd w:val="clear" w:color="auto" w:fill="auto"/>
            <w:vAlign w:val="center"/>
          </w:tcPr>
          <w:p w14:paraId="629E0704" w14:textId="77777777" w:rsidR="00E04CDE" w:rsidRPr="00DB369B" w:rsidRDefault="00E04CDE" w:rsidP="002B76DD">
            <w:pPr>
              <w:pStyle w:val="Text1"/>
              <w:spacing w:beforeLines="20" w:before="48" w:afterLines="20" w:after="48"/>
              <w:ind w:left="134"/>
              <w:jc w:val="left"/>
              <w:rPr>
                <w:b/>
                <w:noProof/>
                <w:sz w:val="16"/>
                <w:szCs w:val="16"/>
              </w:rPr>
            </w:pPr>
            <w:r w:rsidRPr="00401F20">
              <w:rPr>
                <w:noProof/>
                <w:sz w:val="16"/>
              </w:rPr>
              <w:t>20 01 02 01</w:t>
            </w:r>
            <w:r w:rsidRPr="00DB369B">
              <w:rPr>
                <w:rFonts w:ascii="Arial Narrow" w:hAnsi="Arial Narrow"/>
                <w:noProof/>
                <w:color w:val="000000"/>
                <w:sz w:val="20"/>
                <w:szCs w:val="20"/>
              </w:rPr>
              <w:t xml:space="preserve"> </w:t>
            </w:r>
            <w:r w:rsidRPr="00DB369B">
              <w:rPr>
                <w:noProof/>
                <w:sz w:val="16"/>
              </w:rPr>
              <w:t>(Headquarters and Commission’s Representation Offices)</w:t>
            </w:r>
          </w:p>
        </w:tc>
        <w:tc>
          <w:tcPr>
            <w:tcW w:w="731" w:type="dxa"/>
            <w:shd w:val="clear" w:color="auto" w:fill="auto"/>
            <w:vAlign w:val="center"/>
          </w:tcPr>
          <w:p w14:paraId="637FFE24"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4045952D"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4878C0FB"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5B902AA8"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44C16831"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4AC6EEA0"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4CBD4D43" w14:textId="77777777" w:rsidR="00E04CDE" w:rsidRDefault="00E04CDE" w:rsidP="002B76DD">
            <w:pPr>
              <w:spacing w:beforeLines="20" w:before="48" w:afterLines="20" w:after="48"/>
              <w:jc w:val="center"/>
              <w:rPr>
                <w:noProof/>
                <w:sz w:val="16"/>
                <w:szCs w:val="16"/>
              </w:rPr>
            </w:pPr>
          </w:p>
        </w:tc>
      </w:tr>
      <w:tr w:rsidR="00E04CDE" w14:paraId="49391CA8" w14:textId="77777777" w:rsidTr="002B76DD">
        <w:trPr>
          <w:gridBefore w:val="1"/>
          <w:wBefore w:w="15" w:type="dxa"/>
          <w:trHeight w:val="289"/>
          <w:jc w:val="center"/>
        </w:trPr>
        <w:tc>
          <w:tcPr>
            <w:tcW w:w="4754" w:type="dxa"/>
            <w:gridSpan w:val="2"/>
            <w:shd w:val="clear" w:color="auto" w:fill="auto"/>
            <w:vAlign w:val="center"/>
          </w:tcPr>
          <w:p w14:paraId="4C722DFF" w14:textId="77777777" w:rsidR="00E04CDE" w:rsidRPr="00DB369B" w:rsidRDefault="00E04CDE" w:rsidP="002B76DD">
            <w:pPr>
              <w:pStyle w:val="Text1"/>
              <w:spacing w:beforeLines="20" w:before="48" w:afterLines="20" w:after="48"/>
              <w:ind w:left="134"/>
              <w:jc w:val="left"/>
              <w:rPr>
                <w:noProof/>
                <w:sz w:val="16"/>
              </w:rPr>
            </w:pPr>
            <w:r w:rsidRPr="00401F20">
              <w:rPr>
                <w:noProof/>
                <w:sz w:val="16"/>
              </w:rPr>
              <w:t xml:space="preserve">20 01 02 03 </w:t>
            </w:r>
            <w:r w:rsidRPr="00DB369B">
              <w:rPr>
                <w:noProof/>
                <w:sz w:val="16"/>
              </w:rPr>
              <w:t>(Delegations)</w:t>
            </w:r>
          </w:p>
        </w:tc>
        <w:tc>
          <w:tcPr>
            <w:tcW w:w="731" w:type="dxa"/>
            <w:shd w:val="clear" w:color="auto" w:fill="auto"/>
            <w:vAlign w:val="center"/>
          </w:tcPr>
          <w:p w14:paraId="535B6E58"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75A51695"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5960528E"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5F4BF850"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0081F008"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13E203A7"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60B2DF9B" w14:textId="77777777" w:rsidR="00E04CDE" w:rsidRDefault="00E04CDE" w:rsidP="002B76DD">
            <w:pPr>
              <w:spacing w:beforeLines="20" w:before="48" w:afterLines="20" w:after="48"/>
              <w:jc w:val="center"/>
              <w:rPr>
                <w:noProof/>
                <w:sz w:val="16"/>
                <w:szCs w:val="16"/>
              </w:rPr>
            </w:pPr>
          </w:p>
        </w:tc>
      </w:tr>
      <w:tr w:rsidR="00E04CDE" w14:paraId="3DA8DA13" w14:textId="77777777" w:rsidTr="002B76DD">
        <w:trPr>
          <w:gridBefore w:val="1"/>
          <w:wBefore w:w="15" w:type="dxa"/>
          <w:trHeight w:val="289"/>
          <w:jc w:val="center"/>
        </w:trPr>
        <w:tc>
          <w:tcPr>
            <w:tcW w:w="4754" w:type="dxa"/>
            <w:gridSpan w:val="2"/>
            <w:shd w:val="clear" w:color="auto" w:fill="auto"/>
            <w:vAlign w:val="center"/>
          </w:tcPr>
          <w:p w14:paraId="2F0D2503" w14:textId="77777777" w:rsidR="00E04CDE" w:rsidRPr="00DB369B" w:rsidRDefault="00E04CDE" w:rsidP="002B76DD">
            <w:pPr>
              <w:pStyle w:val="Text1"/>
              <w:spacing w:beforeLines="20" w:before="48" w:afterLines="20" w:after="48"/>
              <w:ind w:left="134"/>
              <w:jc w:val="left"/>
              <w:rPr>
                <w:noProof/>
                <w:sz w:val="16"/>
                <w:szCs w:val="16"/>
              </w:rPr>
            </w:pPr>
            <w:r w:rsidRPr="00401F20">
              <w:rPr>
                <w:noProof/>
                <w:sz w:val="16"/>
              </w:rPr>
              <w:t>01 01 01 01</w:t>
            </w:r>
            <w:r w:rsidRPr="00DB369B">
              <w:rPr>
                <w:rFonts w:ascii="Arial Narrow" w:hAnsi="Arial Narrow"/>
                <w:noProof/>
                <w:color w:val="000000"/>
                <w:sz w:val="20"/>
                <w:szCs w:val="20"/>
              </w:rPr>
              <w:t xml:space="preserve"> </w:t>
            </w:r>
            <w:r w:rsidRPr="00DB369B">
              <w:rPr>
                <w:noProof/>
                <w:sz w:val="16"/>
              </w:rPr>
              <w:t xml:space="preserve"> (Indirect research)</w:t>
            </w:r>
          </w:p>
        </w:tc>
        <w:tc>
          <w:tcPr>
            <w:tcW w:w="731" w:type="dxa"/>
            <w:shd w:val="clear" w:color="auto" w:fill="auto"/>
            <w:vAlign w:val="center"/>
          </w:tcPr>
          <w:p w14:paraId="26519E9C"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243E9B31"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10D47C72"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42B6EC7E"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7E9B77C2"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2D4E5373"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30E433ED" w14:textId="77777777" w:rsidR="00E04CDE" w:rsidRDefault="00E04CDE" w:rsidP="002B76DD">
            <w:pPr>
              <w:spacing w:beforeLines="20" w:before="48" w:afterLines="20" w:after="48"/>
              <w:jc w:val="center"/>
              <w:rPr>
                <w:noProof/>
                <w:sz w:val="16"/>
                <w:szCs w:val="16"/>
              </w:rPr>
            </w:pPr>
          </w:p>
        </w:tc>
      </w:tr>
      <w:tr w:rsidR="00E04CDE" w14:paraId="04BC0FEA" w14:textId="77777777" w:rsidTr="002B76DD">
        <w:trPr>
          <w:gridBefore w:val="1"/>
          <w:wBefore w:w="15" w:type="dxa"/>
          <w:trHeight w:val="289"/>
          <w:jc w:val="center"/>
        </w:trPr>
        <w:tc>
          <w:tcPr>
            <w:tcW w:w="4754" w:type="dxa"/>
            <w:gridSpan w:val="2"/>
            <w:shd w:val="clear" w:color="auto" w:fill="auto"/>
            <w:vAlign w:val="center"/>
          </w:tcPr>
          <w:p w14:paraId="11C2CF9D" w14:textId="77777777" w:rsidR="00E04CDE" w:rsidRDefault="00E04CDE" w:rsidP="002B76DD">
            <w:pPr>
              <w:pStyle w:val="Text1"/>
              <w:spacing w:beforeLines="20" w:before="48" w:afterLines="20" w:after="48"/>
              <w:ind w:left="134"/>
              <w:jc w:val="left"/>
              <w:rPr>
                <w:noProof/>
                <w:sz w:val="16"/>
                <w:szCs w:val="16"/>
              </w:rPr>
            </w:pPr>
            <w:r w:rsidRPr="004843C4">
              <w:rPr>
                <w:noProof/>
                <w:sz w:val="16"/>
              </w:rPr>
              <w:t xml:space="preserve"> 01 0</w:t>
            </w:r>
            <w:r w:rsidRPr="00401F20">
              <w:rPr>
                <w:noProof/>
                <w:sz w:val="16"/>
              </w:rPr>
              <w:t>1</w:t>
            </w:r>
            <w:r w:rsidRPr="004843C4">
              <w:rPr>
                <w:noProof/>
                <w:sz w:val="16"/>
              </w:rPr>
              <w:t xml:space="preserve"> 01</w:t>
            </w:r>
            <w:r w:rsidRPr="00401F20">
              <w:rPr>
                <w:noProof/>
                <w:sz w:val="16"/>
              </w:rPr>
              <w:t xml:space="preserve"> </w:t>
            </w:r>
            <w:r w:rsidRPr="004843C4">
              <w:rPr>
                <w:noProof/>
                <w:sz w:val="16"/>
              </w:rPr>
              <w:t>11 (Direct research)</w:t>
            </w:r>
          </w:p>
        </w:tc>
        <w:tc>
          <w:tcPr>
            <w:tcW w:w="731" w:type="dxa"/>
            <w:shd w:val="clear" w:color="auto" w:fill="auto"/>
            <w:vAlign w:val="center"/>
          </w:tcPr>
          <w:p w14:paraId="79A38329"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10EBC6E4"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4039CA35"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040F21A2"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5389F72D"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6EDC6372"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17DFEE0C" w14:textId="77777777" w:rsidR="00E04CDE" w:rsidRDefault="00E04CDE" w:rsidP="002B76DD">
            <w:pPr>
              <w:spacing w:beforeLines="20" w:before="48" w:afterLines="20" w:after="48"/>
              <w:jc w:val="center"/>
              <w:rPr>
                <w:noProof/>
                <w:sz w:val="16"/>
                <w:szCs w:val="16"/>
              </w:rPr>
            </w:pPr>
          </w:p>
        </w:tc>
      </w:tr>
      <w:tr w:rsidR="00E04CDE" w14:paraId="6D5863AF" w14:textId="77777777" w:rsidTr="002B76DD">
        <w:trPr>
          <w:gridBefore w:val="1"/>
          <w:wBefore w:w="15" w:type="dxa"/>
          <w:trHeight w:val="289"/>
          <w:jc w:val="center"/>
        </w:trPr>
        <w:tc>
          <w:tcPr>
            <w:tcW w:w="4754" w:type="dxa"/>
            <w:gridSpan w:val="2"/>
            <w:shd w:val="clear" w:color="auto" w:fill="auto"/>
            <w:vAlign w:val="center"/>
          </w:tcPr>
          <w:p w14:paraId="3DBB3769" w14:textId="77777777" w:rsidR="00E04CDE" w:rsidRPr="004843C4" w:rsidRDefault="00E04CDE" w:rsidP="002B76DD">
            <w:pPr>
              <w:pStyle w:val="Text1"/>
              <w:spacing w:beforeLines="20" w:before="48" w:afterLines="20" w:after="48"/>
              <w:ind w:left="134"/>
              <w:jc w:val="left"/>
              <w:rPr>
                <w:noProof/>
                <w:sz w:val="16"/>
              </w:rPr>
            </w:pPr>
            <w:r w:rsidRPr="00401F20">
              <w:rPr>
                <w:noProof/>
                <w:sz w:val="16"/>
              </w:rPr>
              <w:t>Other budget lines (specify)</w:t>
            </w:r>
          </w:p>
        </w:tc>
        <w:tc>
          <w:tcPr>
            <w:tcW w:w="731" w:type="dxa"/>
            <w:shd w:val="clear" w:color="auto" w:fill="auto"/>
            <w:vAlign w:val="center"/>
          </w:tcPr>
          <w:p w14:paraId="524981D9"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69073F57"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5615E0D1"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205EA791"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6A4F1FE5"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78877333"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7F5B51A7" w14:textId="77777777" w:rsidR="00E04CDE" w:rsidRDefault="00E04CDE" w:rsidP="002B76DD">
            <w:pPr>
              <w:spacing w:beforeLines="20" w:before="48" w:afterLines="20" w:after="48"/>
              <w:jc w:val="center"/>
              <w:rPr>
                <w:noProof/>
                <w:sz w:val="16"/>
                <w:szCs w:val="16"/>
              </w:rPr>
            </w:pPr>
          </w:p>
        </w:tc>
      </w:tr>
      <w:tr w:rsidR="00E04CDE" w14:paraId="2E2054FF" w14:textId="77777777" w:rsidTr="002B76DD">
        <w:trPr>
          <w:trHeight w:val="248"/>
          <w:jc w:val="center"/>
        </w:trPr>
        <w:tc>
          <w:tcPr>
            <w:tcW w:w="9886" w:type="dxa"/>
            <w:gridSpan w:val="10"/>
            <w:shd w:val="clear" w:color="auto" w:fill="auto"/>
            <w:vAlign w:val="center"/>
          </w:tcPr>
          <w:p w14:paraId="72F51FB1" w14:textId="77777777" w:rsidR="00E04CDE" w:rsidRDefault="00E04CDE" w:rsidP="002B76DD">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80"/>
            </w:r>
          </w:p>
          <w:p w14:paraId="40CDB187" w14:textId="77777777" w:rsidR="00E04CDE" w:rsidRDefault="00E04CDE" w:rsidP="002B76DD">
            <w:pPr>
              <w:pStyle w:val="Text1"/>
              <w:spacing w:before="0" w:after="0"/>
              <w:ind w:left="0"/>
              <w:jc w:val="left"/>
              <w:rPr>
                <w:noProof/>
                <w:sz w:val="16"/>
                <w:szCs w:val="16"/>
              </w:rPr>
            </w:pPr>
          </w:p>
        </w:tc>
      </w:tr>
      <w:tr w:rsidR="00E04CDE" w14:paraId="4694EE42" w14:textId="77777777" w:rsidTr="002B76DD">
        <w:trPr>
          <w:gridBefore w:val="1"/>
          <w:wBefore w:w="15" w:type="dxa"/>
          <w:trHeight w:val="289"/>
          <w:jc w:val="center"/>
        </w:trPr>
        <w:tc>
          <w:tcPr>
            <w:tcW w:w="4754" w:type="dxa"/>
            <w:gridSpan w:val="2"/>
            <w:shd w:val="clear" w:color="auto" w:fill="auto"/>
            <w:vAlign w:val="center"/>
          </w:tcPr>
          <w:p w14:paraId="29698305" w14:textId="77777777" w:rsidR="00E04CDE" w:rsidRPr="00DB369B" w:rsidRDefault="00E04CDE" w:rsidP="002B76DD">
            <w:pPr>
              <w:pStyle w:val="Text1"/>
              <w:spacing w:beforeLines="20" w:before="48" w:afterLines="20" w:after="48"/>
              <w:ind w:left="136"/>
              <w:jc w:val="left"/>
              <w:rPr>
                <w:b/>
                <w:noProof/>
                <w:sz w:val="16"/>
                <w:szCs w:val="16"/>
              </w:rPr>
            </w:pPr>
            <w:r w:rsidRPr="00401F20">
              <w:rPr>
                <w:noProof/>
                <w:sz w:val="16"/>
              </w:rPr>
              <w:t>20 02 01</w:t>
            </w:r>
            <w:r w:rsidRPr="00DB369B">
              <w:rPr>
                <w:rFonts w:ascii="Arial Narrow" w:hAnsi="Arial Narrow"/>
                <w:noProof/>
                <w:color w:val="000000"/>
                <w:sz w:val="20"/>
                <w:szCs w:val="20"/>
              </w:rPr>
              <w:t xml:space="preserve"> </w:t>
            </w:r>
            <w:r w:rsidRPr="00DB369B">
              <w:rPr>
                <w:noProof/>
                <w:sz w:val="16"/>
              </w:rPr>
              <w:t>(AC, END, INT from the ‘global envelope’)</w:t>
            </w:r>
          </w:p>
        </w:tc>
        <w:tc>
          <w:tcPr>
            <w:tcW w:w="731" w:type="dxa"/>
            <w:shd w:val="clear" w:color="auto" w:fill="auto"/>
            <w:vAlign w:val="center"/>
          </w:tcPr>
          <w:p w14:paraId="4FD41C20"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1747D224"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395572BD"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1E1F9753"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3CFD1CC0"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5544C42C"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4A269E55" w14:textId="77777777" w:rsidR="00E04CDE" w:rsidRDefault="00E04CDE" w:rsidP="002B76DD">
            <w:pPr>
              <w:spacing w:beforeLines="20" w:before="48" w:afterLines="20" w:after="48"/>
              <w:jc w:val="center"/>
              <w:rPr>
                <w:noProof/>
                <w:sz w:val="16"/>
                <w:szCs w:val="16"/>
              </w:rPr>
            </w:pPr>
          </w:p>
        </w:tc>
      </w:tr>
      <w:tr w:rsidR="00E04CDE" w14:paraId="701DD2C3" w14:textId="77777777" w:rsidTr="002B76DD">
        <w:trPr>
          <w:gridBefore w:val="1"/>
          <w:wBefore w:w="15" w:type="dxa"/>
          <w:trHeight w:val="289"/>
          <w:jc w:val="center"/>
        </w:trPr>
        <w:tc>
          <w:tcPr>
            <w:tcW w:w="4754" w:type="dxa"/>
            <w:gridSpan w:val="2"/>
            <w:shd w:val="clear" w:color="auto" w:fill="auto"/>
            <w:vAlign w:val="center"/>
          </w:tcPr>
          <w:p w14:paraId="5A852979" w14:textId="77777777" w:rsidR="00E04CDE" w:rsidRPr="00DB369B" w:rsidRDefault="00E04CDE" w:rsidP="002B76DD">
            <w:pPr>
              <w:pStyle w:val="Text1"/>
              <w:spacing w:beforeLines="20" w:before="48" w:afterLines="20" w:after="48"/>
              <w:ind w:left="136"/>
              <w:jc w:val="left"/>
              <w:rPr>
                <w:noProof/>
                <w:sz w:val="16"/>
              </w:rPr>
            </w:pPr>
            <w:r w:rsidRPr="00401F20">
              <w:rPr>
                <w:noProof/>
                <w:sz w:val="16"/>
              </w:rPr>
              <w:t xml:space="preserve">20 02 03 </w:t>
            </w:r>
            <w:r w:rsidRPr="00DB369B">
              <w:rPr>
                <w:noProof/>
                <w:sz w:val="16"/>
              </w:rPr>
              <w:t>(AC, AL, END, INT and JPD in the delegations)</w:t>
            </w:r>
          </w:p>
        </w:tc>
        <w:tc>
          <w:tcPr>
            <w:tcW w:w="731" w:type="dxa"/>
            <w:shd w:val="clear" w:color="auto" w:fill="auto"/>
            <w:vAlign w:val="center"/>
          </w:tcPr>
          <w:p w14:paraId="4194FC72"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0BA57410"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65624AB3"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06D89A69"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3EA85868"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5B545257" w14:textId="77777777" w:rsidR="00E04CDE" w:rsidRDefault="00E04CDE" w:rsidP="002B76DD">
            <w:pPr>
              <w:spacing w:beforeLines="20" w:before="48" w:afterLines="20" w:after="48"/>
              <w:jc w:val="center"/>
              <w:rPr>
                <w:noProof/>
                <w:sz w:val="16"/>
                <w:szCs w:val="16"/>
              </w:rPr>
            </w:pPr>
          </w:p>
        </w:tc>
        <w:tc>
          <w:tcPr>
            <w:tcW w:w="731" w:type="dxa"/>
            <w:shd w:val="clear" w:color="auto" w:fill="auto"/>
            <w:vAlign w:val="center"/>
          </w:tcPr>
          <w:p w14:paraId="4CE7B529" w14:textId="77777777" w:rsidR="00E04CDE" w:rsidRDefault="00E04CDE" w:rsidP="002B76DD">
            <w:pPr>
              <w:spacing w:beforeLines="20" w:before="48" w:afterLines="20" w:after="48"/>
              <w:jc w:val="center"/>
              <w:rPr>
                <w:noProof/>
                <w:sz w:val="16"/>
                <w:szCs w:val="16"/>
              </w:rPr>
            </w:pPr>
          </w:p>
        </w:tc>
      </w:tr>
      <w:tr w:rsidR="00E04CDE" w:rsidRPr="00401F20" w14:paraId="41EC8D2A" w14:textId="77777777" w:rsidTr="002B76DD">
        <w:trPr>
          <w:gridBefore w:val="1"/>
          <w:wBefore w:w="15" w:type="dxa"/>
          <w:trHeight w:val="289"/>
          <w:jc w:val="center"/>
        </w:trPr>
        <w:tc>
          <w:tcPr>
            <w:tcW w:w="2376" w:type="dxa"/>
            <w:vMerge w:val="restart"/>
            <w:shd w:val="clear" w:color="auto" w:fill="auto"/>
            <w:vAlign w:val="center"/>
          </w:tcPr>
          <w:p w14:paraId="432B801F" w14:textId="77777777" w:rsidR="00E04CDE" w:rsidRPr="004843C4" w:rsidRDefault="00E04CDE" w:rsidP="002B76DD">
            <w:pPr>
              <w:pStyle w:val="Text1"/>
              <w:spacing w:beforeLines="20" w:before="48" w:afterLines="20" w:after="48"/>
              <w:ind w:left="136"/>
              <w:jc w:val="left"/>
              <w:rPr>
                <w:b/>
                <w:noProof/>
                <w:sz w:val="16"/>
                <w:szCs w:val="16"/>
              </w:rPr>
            </w:pPr>
            <w:r w:rsidRPr="004843C4">
              <w:rPr>
                <w:b/>
                <w:noProof/>
                <w:sz w:val="16"/>
                <w:szCs w:val="16"/>
              </w:rPr>
              <w:t>XX</w:t>
            </w:r>
            <w:r w:rsidRPr="004843C4">
              <w:rPr>
                <w:noProof/>
                <w:sz w:val="16"/>
                <w:szCs w:val="16"/>
              </w:rPr>
              <w:t xml:space="preserve"> 01  </w:t>
            </w:r>
            <w:r w:rsidRPr="00401F20">
              <w:rPr>
                <w:noProof/>
                <w:sz w:val="16"/>
                <w:szCs w:val="16"/>
              </w:rPr>
              <w:t xml:space="preserve">xx </w:t>
            </w:r>
            <w:r w:rsidRPr="004843C4">
              <w:rPr>
                <w:b/>
                <w:noProof/>
                <w:sz w:val="16"/>
                <w:szCs w:val="16"/>
              </w:rPr>
              <w:t>yy</w:t>
            </w:r>
            <w:r w:rsidRPr="00401F20">
              <w:rPr>
                <w:b/>
                <w:noProof/>
                <w:sz w:val="16"/>
                <w:szCs w:val="16"/>
              </w:rPr>
              <w:t xml:space="preserve"> zz </w:t>
            </w:r>
            <w:r w:rsidRPr="004843C4">
              <w:rPr>
                <w:b/>
                <w:i/>
                <w:noProof/>
                <w:sz w:val="16"/>
              </w:rPr>
              <w:t xml:space="preserve"> </w:t>
            </w:r>
            <w:r w:rsidRPr="004843C4">
              <w:rPr>
                <w:rStyle w:val="FootnoteReference"/>
                <w:b/>
                <w:i/>
                <w:noProof/>
                <w:sz w:val="16"/>
              </w:rPr>
              <w:footnoteReference w:id="81"/>
            </w:r>
          </w:p>
          <w:p w14:paraId="76DEF3B5" w14:textId="77777777" w:rsidR="00E04CDE" w:rsidRPr="004843C4" w:rsidRDefault="00E04CDE" w:rsidP="002B76DD">
            <w:pPr>
              <w:pStyle w:val="Text1"/>
              <w:spacing w:beforeLines="20" w:before="48" w:afterLines="20" w:after="48"/>
              <w:ind w:left="136"/>
              <w:jc w:val="left"/>
              <w:rPr>
                <w:b/>
                <w:noProof/>
                <w:sz w:val="16"/>
                <w:szCs w:val="16"/>
              </w:rPr>
            </w:pPr>
          </w:p>
        </w:tc>
        <w:tc>
          <w:tcPr>
            <w:tcW w:w="2378" w:type="dxa"/>
            <w:shd w:val="clear" w:color="auto" w:fill="auto"/>
            <w:vAlign w:val="center"/>
          </w:tcPr>
          <w:p w14:paraId="62386DC6" w14:textId="77777777" w:rsidR="00E04CDE" w:rsidRPr="00401F20" w:rsidRDefault="00E04CDE" w:rsidP="002B76DD">
            <w:pPr>
              <w:pStyle w:val="Text1"/>
              <w:spacing w:beforeLines="20" w:before="48" w:afterLines="20" w:after="48"/>
              <w:ind w:left="136"/>
              <w:jc w:val="left"/>
              <w:rPr>
                <w:b/>
                <w:noProof/>
                <w:sz w:val="16"/>
                <w:szCs w:val="16"/>
              </w:rPr>
            </w:pPr>
            <w:r w:rsidRPr="00401F20">
              <w:rPr>
                <w:noProof/>
                <w:sz w:val="16"/>
              </w:rPr>
              <w:t>- at Headquarters</w:t>
            </w:r>
          </w:p>
          <w:p w14:paraId="29D82B0F" w14:textId="77777777" w:rsidR="00E04CDE" w:rsidRPr="00401F20" w:rsidRDefault="00E04CDE" w:rsidP="002B76DD">
            <w:pPr>
              <w:pStyle w:val="Text1"/>
              <w:spacing w:beforeLines="20" w:before="48" w:afterLines="20" w:after="48"/>
              <w:ind w:left="136"/>
              <w:jc w:val="left"/>
              <w:rPr>
                <w:b/>
                <w:noProof/>
                <w:sz w:val="16"/>
                <w:szCs w:val="16"/>
              </w:rPr>
            </w:pPr>
          </w:p>
        </w:tc>
        <w:tc>
          <w:tcPr>
            <w:tcW w:w="731" w:type="dxa"/>
            <w:shd w:val="clear" w:color="auto" w:fill="auto"/>
            <w:vAlign w:val="center"/>
          </w:tcPr>
          <w:p w14:paraId="64F8A807" w14:textId="77777777" w:rsidR="00E04CDE" w:rsidRPr="00401F20" w:rsidRDefault="00E04CDE" w:rsidP="002B76DD">
            <w:pPr>
              <w:pStyle w:val="Text1"/>
              <w:spacing w:beforeLines="20" w:before="48" w:afterLines="20" w:after="48"/>
              <w:ind w:left="0"/>
              <w:rPr>
                <w:noProof/>
                <w:sz w:val="16"/>
                <w:szCs w:val="16"/>
              </w:rPr>
            </w:pPr>
          </w:p>
        </w:tc>
        <w:tc>
          <w:tcPr>
            <w:tcW w:w="731" w:type="dxa"/>
            <w:shd w:val="clear" w:color="auto" w:fill="auto"/>
            <w:vAlign w:val="center"/>
          </w:tcPr>
          <w:p w14:paraId="3252FC9F"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34B21EB4"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3050A90C"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2171FA0B"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2C9232D1"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7FB445F4" w14:textId="77777777" w:rsidR="00E04CDE" w:rsidRPr="00401F20" w:rsidRDefault="00E04CDE" w:rsidP="002B76DD">
            <w:pPr>
              <w:spacing w:beforeLines="20" w:before="48" w:afterLines="20" w:after="48"/>
              <w:jc w:val="center"/>
              <w:rPr>
                <w:noProof/>
                <w:sz w:val="16"/>
                <w:szCs w:val="16"/>
              </w:rPr>
            </w:pPr>
          </w:p>
        </w:tc>
      </w:tr>
      <w:tr w:rsidR="00E04CDE" w:rsidRPr="00401F20" w14:paraId="6EFEB2DB" w14:textId="77777777" w:rsidTr="002B76DD">
        <w:trPr>
          <w:gridBefore w:val="1"/>
          <w:wBefore w:w="15" w:type="dxa"/>
          <w:trHeight w:val="289"/>
          <w:jc w:val="center"/>
        </w:trPr>
        <w:tc>
          <w:tcPr>
            <w:tcW w:w="2376" w:type="dxa"/>
            <w:vMerge/>
            <w:shd w:val="clear" w:color="auto" w:fill="auto"/>
            <w:vAlign w:val="center"/>
          </w:tcPr>
          <w:p w14:paraId="2AF050E9" w14:textId="77777777" w:rsidR="00E04CDE" w:rsidRPr="00401F20" w:rsidRDefault="00E04CDE" w:rsidP="002B76DD">
            <w:pPr>
              <w:pStyle w:val="Text1"/>
              <w:spacing w:beforeLines="20" w:before="48" w:afterLines="20" w:after="48"/>
              <w:ind w:left="136"/>
              <w:jc w:val="left"/>
              <w:rPr>
                <w:b/>
                <w:noProof/>
                <w:sz w:val="16"/>
                <w:szCs w:val="16"/>
              </w:rPr>
            </w:pPr>
          </w:p>
        </w:tc>
        <w:tc>
          <w:tcPr>
            <w:tcW w:w="2378" w:type="dxa"/>
            <w:shd w:val="clear" w:color="auto" w:fill="auto"/>
            <w:vAlign w:val="center"/>
          </w:tcPr>
          <w:p w14:paraId="605CCD83" w14:textId="77777777" w:rsidR="00E04CDE" w:rsidRPr="00401F20" w:rsidRDefault="00E04CDE" w:rsidP="002B76DD">
            <w:pPr>
              <w:pStyle w:val="Text1"/>
              <w:spacing w:beforeLines="20" w:before="48" w:afterLines="20" w:after="48"/>
              <w:ind w:left="136"/>
              <w:jc w:val="left"/>
              <w:rPr>
                <w:b/>
                <w:noProof/>
                <w:sz w:val="16"/>
                <w:szCs w:val="16"/>
              </w:rPr>
            </w:pPr>
            <w:r w:rsidRPr="00401F20">
              <w:rPr>
                <w:noProof/>
                <w:sz w:val="16"/>
              </w:rPr>
              <w:t xml:space="preserve">- in Delegations </w:t>
            </w:r>
          </w:p>
        </w:tc>
        <w:tc>
          <w:tcPr>
            <w:tcW w:w="731" w:type="dxa"/>
            <w:shd w:val="clear" w:color="auto" w:fill="auto"/>
            <w:vAlign w:val="center"/>
          </w:tcPr>
          <w:p w14:paraId="634516BF" w14:textId="77777777" w:rsidR="00E04CDE" w:rsidRPr="00401F20" w:rsidRDefault="00E04CDE" w:rsidP="002B76DD">
            <w:pPr>
              <w:pStyle w:val="Text1"/>
              <w:spacing w:beforeLines="20" w:before="48" w:afterLines="20" w:after="48"/>
              <w:ind w:left="0"/>
              <w:rPr>
                <w:noProof/>
                <w:sz w:val="16"/>
                <w:szCs w:val="16"/>
              </w:rPr>
            </w:pPr>
          </w:p>
        </w:tc>
        <w:tc>
          <w:tcPr>
            <w:tcW w:w="731" w:type="dxa"/>
            <w:shd w:val="clear" w:color="auto" w:fill="auto"/>
            <w:vAlign w:val="center"/>
          </w:tcPr>
          <w:p w14:paraId="6C867666"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7D791F29"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2AAD6EB1"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5A7C4D72"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6DB403C0"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2E00C7D3" w14:textId="77777777" w:rsidR="00E04CDE" w:rsidRPr="00401F20" w:rsidRDefault="00E04CDE" w:rsidP="002B76DD">
            <w:pPr>
              <w:spacing w:beforeLines="20" w:before="48" w:afterLines="20" w:after="48"/>
              <w:jc w:val="center"/>
              <w:rPr>
                <w:noProof/>
                <w:sz w:val="16"/>
                <w:szCs w:val="16"/>
              </w:rPr>
            </w:pPr>
          </w:p>
        </w:tc>
      </w:tr>
      <w:tr w:rsidR="00E04CDE" w:rsidRPr="00401F20" w14:paraId="1EE547A9" w14:textId="77777777" w:rsidTr="002B76DD">
        <w:trPr>
          <w:gridBefore w:val="1"/>
          <w:wBefore w:w="15" w:type="dxa"/>
          <w:trHeight w:val="289"/>
          <w:jc w:val="center"/>
        </w:trPr>
        <w:tc>
          <w:tcPr>
            <w:tcW w:w="4754" w:type="dxa"/>
            <w:gridSpan w:val="2"/>
            <w:shd w:val="clear" w:color="auto" w:fill="auto"/>
            <w:vAlign w:val="center"/>
          </w:tcPr>
          <w:p w14:paraId="3C206728" w14:textId="77777777" w:rsidR="00E04CDE" w:rsidRPr="004843C4" w:rsidRDefault="00E04CDE" w:rsidP="002B76DD">
            <w:pPr>
              <w:pStyle w:val="Text1"/>
              <w:spacing w:beforeLines="20" w:before="48" w:afterLines="20" w:after="48"/>
              <w:ind w:left="136"/>
              <w:jc w:val="left"/>
              <w:rPr>
                <w:noProof/>
                <w:sz w:val="16"/>
                <w:szCs w:val="16"/>
              </w:rPr>
            </w:pPr>
            <w:r w:rsidRPr="00401F20">
              <w:rPr>
                <w:noProof/>
                <w:sz w:val="16"/>
              </w:rPr>
              <w:t>01 01 01 02</w:t>
            </w:r>
            <w:r w:rsidRPr="004843C4">
              <w:rPr>
                <w:rFonts w:ascii="Arial Narrow" w:hAnsi="Arial Narrow"/>
                <w:noProof/>
                <w:color w:val="000000"/>
                <w:sz w:val="20"/>
                <w:szCs w:val="20"/>
              </w:rPr>
              <w:t xml:space="preserve"> </w:t>
            </w:r>
            <w:r w:rsidRPr="004843C4">
              <w:rPr>
                <w:noProof/>
                <w:sz w:val="16"/>
                <w:szCs w:val="16"/>
              </w:rPr>
              <w:t>(AC, END, INT - Indirect research)</w:t>
            </w:r>
          </w:p>
        </w:tc>
        <w:tc>
          <w:tcPr>
            <w:tcW w:w="731" w:type="dxa"/>
            <w:shd w:val="clear" w:color="auto" w:fill="auto"/>
            <w:vAlign w:val="center"/>
          </w:tcPr>
          <w:p w14:paraId="42223D14"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368DF00C"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7E3ED6A5"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4BBD736C"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3E01DD43"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689223D0"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4974BF8C" w14:textId="77777777" w:rsidR="00E04CDE" w:rsidRPr="00401F20" w:rsidRDefault="00E04CDE" w:rsidP="002B76DD">
            <w:pPr>
              <w:spacing w:beforeLines="20" w:before="48" w:afterLines="20" w:after="48"/>
              <w:jc w:val="center"/>
              <w:rPr>
                <w:noProof/>
                <w:sz w:val="16"/>
                <w:szCs w:val="16"/>
              </w:rPr>
            </w:pPr>
          </w:p>
        </w:tc>
      </w:tr>
      <w:tr w:rsidR="00E04CDE" w:rsidRPr="00401F20" w14:paraId="38EEF057" w14:textId="77777777" w:rsidTr="002B76DD">
        <w:trPr>
          <w:gridBefore w:val="1"/>
          <w:wBefore w:w="15" w:type="dxa"/>
          <w:trHeight w:val="289"/>
          <w:jc w:val="center"/>
        </w:trPr>
        <w:tc>
          <w:tcPr>
            <w:tcW w:w="4754" w:type="dxa"/>
            <w:gridSpan w:val="2"/>
            <w:shd w:val="clear" w:color="auto" w:fill="auto"/>
            <w:vAlign w:val="center"/>
          </w:tcPr>
          <w:p w14:paraId="5CFAE427" w14:textId="77777777" w:rsidR="00E04CDE" w:rsidRPr="00401F20" w:rsidRDefault="00E04CDE" w:rsidP="002B76DD">
            <w:pPr>
              <w:pStyle w:val="Text1"/>
              <w:spacing w:beforeLines="20" w:before="48" w:afterLines="20" w:after="48"/>
              <w:ind w:left="136"/>
              <w:jc w:val="left"/>
              <w:rPr>
                <w:noProof/>
                <w:color w:val="FF0000"/>
                <w:sz w:val="16"/>
                <w:szCs w:val="16"/>
              </w:rPr>
            </w:pPr>
            <w:r w:rsidRPr="00401F20">
              <w:rPr>
                <w:noProof/>
                <w:sz w:val="16"/>
              </w:rPr>
              <w:t xml:space="preserve"> 01 01</w:t>
            </w:r>
            <w:r w:rsidRPr="004843C4">
              <w:rPr>
                <w:noProof/>
                <w:sz w:val="16"/>
              </w:rPr>
              <w:t xml:space="preserve"> 0</w:t>
            </w:r>
            <w:r w:rsidRPr="00401F20">
              <w:rPr>
                <w:noProof/>
                <w:sz w:val="16"/>
              </w:rPr>
              <w:t xml:space="preserve">1 </w:t>
            </w:r>
            <w:r w:rsidRPr="004843C4">
              <w:rPr>
                <w:noProof/>
                <w:sz w:val="16"/>
              </w:rPr>
              <w:t>12 (AC, END, INT - Direct research)</w:t>
            </w:r>
          </w:p>
        </w:tc>
        <w:tc>
          <w:tcPr>
            <w:tcW w:w="731" w:type="dxa"/>
            <w:shd w:val="clear" w:color="auto" w:fill="auto"/>
            <w:vAlign w:val="center"/>
          </w:tcPr>
          <w:p w14:paraId="200F8A21" w14:textId="77777777" w:rsidR="00E04CDE" w:rsidRPr="004843C4" w:rsidRDefault="00E04CDE" w:rsidP="002B76DD">
            <w:pPr>
              <w:spacing w:beforeLines="20" w:before="48" w:afterLines="20" w:after="48"/>
              <w:jc w:val="center"/>
              <w:rPr>
                <w:noProof/>
                <w:sz w:val="16"/>
                <w:szCs w:val="16"/>
              </w:rPr>
            </w:pPr>
          </w:p>
        </w:tc>
        <w:tc>
          <w:tcPr>
            <w:tcW w:w="731" w:type="dxa"/>
            <w:shd w:val="clear" w:color="auto" w:fill="auto"/>
            <w:vAlign w:val="center"/>
          </w:tcPr>
          <w:p w14:paraId="0F32E54A" w14:textId="77777777" w:rsidR="00E04CDE" w:rsidRPr="004843C4" w:rsidRDefault="00E04CDE" w:rsidP="002B76DD">
            <w:pPr>
              <w:spacing w:beforeLines="20" w:before="48" w:afterLines="20" w:after="48"/>
              <w:jc w:val="center"/>
              <w:rPr>
                <w:noProof/>
                <w:sz w:val="16"/>
                <w:szCs w:val="16"/>
              </w:rPr>
            </w:pPr>
          </w:p>
        </w:tc>
        <w:tc>
          <w:tcPr>
            <w:tcW w:w="731" w:type="dxa"/>
            <w:shd w:val="clear" w:color="auto" w:fill="auto"/>
            <w:vAlign w:val="center"/>
          </w:tcPr>
          <w:p w14:paraId="2E92FE6F"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5837A4CA"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69B9C9A0"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1778DCB7"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12B806F0" w14:textId="77777777" w:rsidR="00E04CDE" w:rsidRPr="00401F20" w:rsidRDefault="00E04CDE" w:rsidP="002B76DD">
            <w:pPr>
              <w:spacing w:beforeLines="20" w:before="48" w:afterLines="20" w:after="48"/>
              <w:jc w:val="center"/>
              <w:rPr>
                <w:noProof/>
                <w:sz w:val="16"/>
                <w:szCs w:val="16"/>
              </w:rPr>
            </w:pPr>
          </w:p>
        </w:tc>
      </w:tr>
      <w:tr w:rsidR="00E04CDE" w:rsidRPr="00401F20" w14:paraId="378175FD" w14:textId="77777777" w:rsidTr="002B76DD">
        <w:trPr>
          <w:gridBefore w:val="1"/>
          <w:wBefore w:w="15" w:type="dxa"/>
          <w:trHeight w:val="289"/>
          <w:jc w:val="center"/>
        </w:trPr>
        <w:tc>
          <w:tcPr>
            <w:tcW w:w="4754" w:type="dxa"/>
            <w:gridSpan w:val="2"/>
            <w:shd w:val="clear" w:color="auto" w:fill="auto"/>
            <w:vAlign w:val="center"/>
          </w:tcPr>
          <w:p w14:paraId="41871A90" w14:textId="77777777" w:rsidR="00E04CDE" w:rsidRPr="00401F20" w:rsidRDefault="00E04CDE" w:rsidP="002B76DD">
            <w:pPr>
              <w:pStyle w:val="Text1"/>
              <w:spacing w:beforeLines="20" w:before="48" w:afterLines="20" w:after="48"/>
              <w:ind w:left="136"/>
              <w:jc w:val="left"/>
              <w:rPr>
                <w:noProof/>
                <w:sz w:val="16"/>
              </w:rPr>
            </w:pPr>
            <w:r w:rsidRPr="00401F20">
              <w:rPr>
                <w:noProof/>
                <w:sz w:val="16"/>
              </w:rPr>
              <w:t>Other budget lines (specify)</w:t>
            </w:r>
          </w:p>
        </w:tc>
        <w:tc>
          <w:tcPr>
            <w:tcW w:w="731" w:type="dxa"/>
            <w:shd w:val="clear" w:color="auto" w:fill="auto"/>
            <w:vAlign w:val="center"/>
          </w:tcPr>
          <w:p w14:paraId="7712E1CC" w14:textId="77777777" w:rsidR="00E04CDE" w:rsidRPr="004843C4" w:rsidRDefault="00E04CDE" w:rsidP="002B76DD">
            <w:pPr>
              <w:spacing w:beforeLines="20" w:before="48" w:afterLines="20" w:after="48"/>
              <w:jc w:val="center"/>
              <w:rPr>
                <w:noProof/>
                <w:sz w:val="16"/>
                <w:szCs w:val="16"/>
              </w:rPr>
            </w:pPr>
          </w:p>
        </w:tc>
        <w:tc>
          <w:tcPr>
            <w:tcW w:w="731" w:type="dxa"/>
            <w:shd w:val="clear" w:color="auto" w:fill="auto"/>
            <w:vAlign w:val="center"/>
          </w:tcPr>
          <w:p w14:paraId="2A6D46FF" w14:textId="77777777" w:rsidR="00E04CDE" w:rsidRPr="004843C4" w:rsidRDefault="00E04CDE" w:rsidP="002B76DD">
            <w:pPr>
              <w:spacing w:beforeLines="20" w:before="48" w:afterLines="20" w:after="48"/>
              <w:jc w:val="center"/>
              <w:rPr>
                <w:noProof/>
                <w:sz w:val="16"/>
                <w:szCs w:val="16"/>
              </w:rPr>
            </w:pPr>
          </w:p>
        </w:tc>
        <w:tc>
          <w:tcPr>
            <w:tcW w:w="731" w:type="dxa"/>
            <w:shd w:val="clear" w:color="auto" w:fill="auto"/>
            <w:vAlign w:val="center"/>
          </w:tcPr>
          <w:p w14:paraId="3D497017"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455DF8D3"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411F81A8"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70BDDD0D" w14:textId="77777777" w:rsidR="00E04CDE" w:rsidRPr="00401F20" w:rsidRDefault="00E04CDE" w:rsidP="002B76DD">
            <w:pPr>
              <w:spacing w:beforeLines="20" w:before="48" w:afterLines="20" w:after="48"/>
              <w:jc w:val="center"/>
              <w:rPr>
                <w:noProof/>
                <w:sz w:val="16"/>
                <w:szCs w:val="16"/>
              </w:rPr>
            </w:pPr>
          </w:p>
        </w:tc>
        <w:tc>
          <w:tcPr>
            <w:tcW w:w="731" w:type="dxa"/>
            <w:shd w:val="clear" w:color="auto" w:fill="auto"/>
            <w:vAlign w:val="center"/>
          </w:tcPr>
          <w:p w14:paraId="3ED61F74" w14:textId="77777777" w:rsidR="00E04CDE" w:rsidRPr="00401F20" w:rsidRDefault="00E04CDE" w:rsidP="002B76DD">
            <w:pPr>
              <w:spacing w:beforeLines="20" w:before="48" w:afterLines="20" w:after="48"/>
              <w:jc w:val="center"/>
              <w:rPr>
                <w:noProof/>
                <w:sz w:val="16"/>
                <w:szCs w:val="16"/>
              </w:rPr>
            </w:pPr>
          </w:p>
        </w:tc>
      </w:tr>
      <w:tr w:rsidR="00E04CDE" w:rsidRPr="00401F20" w14:paraId="3ADB5E9E" w14:textId="77777777" w:rsidTr="002B76DD">
        <w:trPr>
          <w:gridBefore w:val="1"/>
          <w:wBefore w:w="15" w:type="dxa"/>
          <w:trHeight w:val="289"/>
          <w:jc w:val="center"/>
        </w:trPr>
        <w:tc>
          <w:tcPr>
            <w:tcW w:w="4754" w:type="dxa"/>
            <w:gridSpan w:val="2"/>
            <w:tcBorders>
              <w:top w:val="double" w:sz="4" w:space="0" w:color="auto"/>
            </w:tcBorders>
            <w:shd w:val="clear" w:color="auto" w:fill="auto"/>
            <w:vAlign w:val="center"/>
          </w:tcPr>
          <w:p w14:paraId="7C98445F" w14:textId="77777777" w:rsidR="00E04CDE" w:rsidRPr="00401F20" w:rsidRDefault="00E04CDE" w:rsidP="002B76DD">
            <w:pPr>
              <w:pStyle w:val="Text1"/>
              <w:spacing w:beforeLines="20" w:before="48" w:afterLines="20" w:after="48"/>
              <w:ind w:left="136"/>
              <w:jc w:val="left"/>
              <w:rPr>
                <w:noProof/>
                <w:sz w:val="16"/>
                <w:szCs w:val="16"/>
              </w:rPr>
            </w:pPr>
            <w:r w:rsidRPr="00401F20">
              <w:rPr>
                <w:b/>
                <w:noProof/>
                <w:sz w:val="16"/>
              </w:rPr>
              <w:t>TOTAL</w:t>
            </w:r>
          </w:p>
        </w:tc>
        <w:tc>
          <w:tcPr>
            <w:tcW w:w="731" w:type="dxa"/>
            <w:tcBorders>
              <w:top w:val="double" w:sz="4" w:space="0" w:color="auto"/>
            </w:tcBorders>
            <w:shd w:val="clear" w:color="auto" w:fill="auto"/>
            <w:vAlign w:val="center"/>
          </w:tcPr>
          <w:p w14:paraId="7883EC11" w14:textId="77777777" w:rsidR="00E04CDE" w:rsidRPr="00401F20" w:rsidRDefault="00E04CDE" w:rsidP="002B76D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804363E" w14:textId="77777777" w:rsidR="00E04CDE" w:rsidRPr="00401F20" w:rsidRDefault="00E04CDE" w:rsidP="002B76D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4A1E248" w14:textId="77777777" w:rsidR="00E04CDE" w:rsidRPr="00401F20" w:rsidRDefault="00E04CDE" w:rsidP="002B76D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6172C470" w14:textId="77777777" w:rsidR="00E04CDE" w:rsidRPr="00401F20" w:rsidRDefault="00E04CDE" w:rsidP="002B76D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AE6E631" w14:textId="77777777" w:rsidR="00E04CDE" w:rsidRPr="00401F20" w:rsidRDefault="00E04CDE" w:rsidP="002B76D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7198FAF" w14:textId="77777777" w:rsidR="00E04CDE" w:rsidRPr="00401F20" w:rsidRDefault="00E04CDE" w:rsidP="002B76D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AAA1B06" w14:textId="77777777" w:rsidR="00E04CDE" w:rsidRPr="00401F20" w:rsidRDefault="00E04CDE" w:rsidP="002B76DD">
            <w:pPr>
              <w:spacing w:beforeLines="20" w:before="48" w:afterLines="20" w:after="48"/>
              <w:jc w:val="center"/>
              <w:rPr>
                <w:b/>
                <w:noProof/>
                <w:sz w:val="16"/>
                <w:szCs w:val="16"/>
              </w:rPr>
            </w:pPr>
          </w:p>
        </w:tc>
      </w:tr>
    </w:tbl>
    <w:p w14:paraId="0CC99809" w14:textId="77777777" w:rsidR="00E04CDE" w:rsidRDefault="00E04CDE" w:rsidP="00E04CDE">
      <w:pPr>
        <w:pStyle w:val="Text1"/>
        <w:spacing w:before="60" w:after="60"/>
        <w:ind w:left="851"/>
        <w:rPr>
          <w:noProof/>
          <w:sz w:val="18"/>
          <w:szCs w:val="18"/>
        </w:rPr>
      </w:pPr>
      <w:r w:rsidRPr="00401F20">
        <w:rPr>
          <w:b/>
          <w:noProof/>
          <w:sz w:val="18"/>
          <w:szCs w:val="18"/>
        </w:rPr>
        <w:t>XX</w:t>
      </w:r>
      <w:r w:rsidRPr="00401F20">
        <w:rPr>
          <w:noProof/>
          <w:sz w:val="18"/>
          <w:szCs w:val="18"/>
        </w:rPr>
        <w:t xml:space="preserve"> is the policy area or budget title concerned.</w:t>
      </w:r>
    </w:p>
    <w:p w14:paraId="2CDA536F" w14:textId="77777777" w:rsidR="00E04CDE" w:rsidRDefault="00E04CDE" w:rsidP="00E04CDE">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4EBF8BB6" w14:textId="77777777" w:rsidR="00E04CDE" w:rsidRDefault="00E04CDE" w:rsidP="00E04CDE">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04CDE" w14:paraId="02B42BF5" w14:textId="77777777" w:rsidTr="002B76DD">
        <w:tc>
          <w:tcPr>
            <w:tcW w:w="3240" w:type="dxa"/>
          </w:tcPr>
          <w:p w14:paraId="255F9C69" w14:textId="77777777" w:rsidR="00E04CDE" w:rsidRDefault="00E04CDE" w:rsidP="002B76DD">
            <w:pPr>
              <w:rPr>
                <w:noProof/>
                <w:sz w:val="20"/>
              </w:rPr>
            </w:pPr>
            <w:r>
              <w:rPr>
                <w:noProof/>
                <w:sz w:val="20"/>
              </w:rPr>
              <w:t>Officials and temporary staff</w:t>
            </w:r>
          </w:p>
        </w:tc>
        <w:tc>
          <w:tcPr>
            <w:tcW w:w="7200" w:type="dxa"/>
          </w:tcPr>
          <w:p w14:paraId="60003312" w14:textId="77777777" w:rsidR="00E04CDE" w:rsidRDefault="00E04CDE" w:rsidP="002B76DD">
            <w:pPr>
              <w:rPr>
                <w:noProof/>
                <w:sz w:val="20"/>
              </w:rPr>
            </w:pPr>
          </w:p>
        </w:tc>
      </w:tr>
      <w:tr w:rsidR="00E04CDE" w14:paraId="518F3E01" w14:textId="77777777" w:rsidTr="002B76DD">
        <w:tc>
          <w:tcPr>
            <w:tcW w:w="3240" w:type="dxa"/>
          </w:tcPr>
          <w:p w14:paraId="5507177E" w14:textId="77777777" w:rsidR="00E04CDE" w:rsidRDefault="00E04CDE" w:rsidP="002B76DD">
            <w:pPr>
              <w:spacing w:before="60" w:after="60"/>
              <w:rPr>
                <w:noProof/>
                <w:sz w:val="20"/>
              </w:rPr>
            </w:pPr>
            <w:r>
              <w:rPr>
                <w:noProof/>
                <w:sz w:val="20"/>
              </w:rPr>
              <w:t>External staff</w:t>
            </w:r>
          </w:p>
        </w:tc>
        <w:tc>
          <w:tcPr>
            <w:tcW w:w="7200" w:type="dxa"/>
          </w:tcPr>
          <w:p w14:paraId="0C1D0D2D" w14:textId="77777777" w:rsidR="00E04CDE" w:rsidRDefault="00E04CDE" w:rsidP="002B76DD">
            <w:pPr>
              <w:rPr>
                <w:noProof/>
                <w:sz w:val="20"/>
              </w:rPr>
            </w:pPr>
          </w:p>
        </w:tc>
      </w:tr>
    </w:tbl>
    <w:p w14:paraId="7F4A9137" w14:textId="77777777" w:rsidR="00E04CDE" w:rsidRDefault="00E04CDE" w:rsidP="00E04CDE">
      <w:pPr>
        <w:rPr>
          <w:noProof/>
        </w:rPr>
      </w:pPr>
    </w:p>
    <w:p w14:paraId="6AB1D78D" w14:textId="77777777" w:rsidR="00E04CDE" w:rsidRDefault="00E04CDE" w:rsidP="00E04CDE">
      <w:pPr>
        <w:rPr>
          <w:noProof/>
        </w:rPr>
      </w:pPr>
    </w:p>
    <w:p w14:paraId="43A71DB4" w14:textId="77777777" w:rsidR="00E04CDE" w:rsidRDefault="00E04CDE" w:rsidP="00E04CDE">
      <w:pPr>
        <w:rPr>
          <w:noProof/>
        </w:rPr>
      </w:pPr>
    </w:p>
    <w:p w14:paraId="7D2B684A" w14:textId="77777777" w:rsidR="00E04CDE" w:rsidRDefault="00E04CDE" w:rsidP="00E04CDE">
      <w:pPr>
        <w:rPr>
          <w:noProof/>
        </w:rPr>
      </w:pPr>
    </w:p>
    <w:p w14:paraId="054CE04A" w14:textId="77777777" w:rsidR="00E04CDE" w:rsidRDefault="00E04CDE" w:rsidP="00E04CDE">
      <w:pPr>
        <w:rPr>
          <w:noProof/>
        </w:rPr>
      </w:pPr>
    </w:p>
    <w:p w14:paraId="71451EAB" w14:textId="06DF61E2" w:rsidR="00E04CDE" w:rsidRPr="00806131" w:rsidRDefault="00EF15A7" w:rsidP="00EF15A7">
      <w:pPr>
        <w:pStyle w:val="ManualHeading4"/>
        <w:rPr>
          <w:b/>
          <w:bCs/>
          <w:noProof/>
          <w:szCs w:val="24"/>
        </w:rPr>
      </w:pPr>
      <w:r w:rsidRPr="00EF15A7">
        <w:t>3.2.4.2.</w:t>
      </w:r>
      <w:r w:rsidRPr="00EF15A7">
        <w:tab/>
      </w:r>
      <w:r w:rsidR="00E04CDE" w:rsidRPr="00991FAD">
        <w:rPr>
          <w:noProof/>
        </w:rPr>
        <w:t>Estimat</w:t>
      </w:r>
      <w:r w:rsidR="00E04CDE">
        <w:rPr>
          <w:noProof/>
        </w:rPr>
        <w:t xml:space="preserve">ed requirements of human resources – </w:t>
      </w:r>
      <w:r w:rsidR="00E04CDE" w:rsidRPr="00806131">
        <w:rPr>
          <w:b/>
          <w:noProof/>
        </w:rPr>
        <w:t>eu-LISA</w:t>
      </w:r>
    </w:p>
    <w:p w14:paraId="03B67146" w14:textId="77777777" w:rsidR="00E04CDE" w:rsidRDefault="00E04CDE" w:rsidP="00E04CDE">
      <w:pPr>
        <w:pStyle w:val="ListDash1"/>
        <w:rPr>
          <w:noProof/>
        </w:rPr>
      </w:pPr>
      <w:r>
        <w:rPr>
          <w:noProof/>
        </w:rPr>
        <w:sym w:font="Wingdings" w:char="F0A8"/>
      </w:r>
      <w:r>
        <w:rPr>
          <w:noProof/>
        </w:rPr>
        <w:tab/>
        <w:t xml:space="preserve">The proposal/initiative does not require the use of human resources. </w:t>
      </w:r>
    </w:p>
    <w:p w14:paraId="09243451" w14:textId="77777777" w:rsidR="00E04CDE" w:rsidRDefault="00E04CDE" w:rsidP="00E04CDE">
      <w:pPr>
        <w:pStyle w:val="ListDash1"/>
        <w:rPr>
          <w:noProof/>
        </w:rPr>
      </w:pPr>
      <w:r>
        <w:rPr>
          <w:noProof/>
        </w:rPr>
        <w:sym w:font="Wingdings" w:char="F0FC"/>
      </w:r>
      <w:r>
        <w:rPr>
          <w:noProof/>
        </w:rPr>
        <w:tab/>
        <w:t>The proposal/initiative requires the use of human resources, as explained below:</w:t>
      </w:r>
    </w:p>
    <w:p w14:paraId="4CF7CF82" w14:textId="77777777" w:rsidR="00E04CDE" w:rsidRDefault="00E04CDE" w:rsidP="00E04CDE">
      <w:pPr>
        <w:spacing w:after="60"/>
        <w:jc w:val="right"/>
        <w:rPr>
          <w:i/>
          <w:noProof/>
          <w:sz w:val="20"/>
        </w:rPr>
      </w:pPr>
      <w:r>
        <w:rPr>
          <w:i/>
          <w:noProof/>
          <w:sz w:val="20"/>
        </w:rPr>
        <w:t>Estimate to be expressed in full time equivalent units</w:t>
      </w:r>
    </w:p>
    <w:p w14:paraId="59E07E06" w14:textId="77777777" w:rsidR="00E04CDE" w:rsidRDefault="00E04CDE" w:rsidP="00E04CDE">
      <w:pPr>
        <w:spacing w:after="60"/>
        <w:jc w:val="right"/>
        <w:rPr>
          <w:i/>
          <w:noProof/>
          <w:sz w:val="20"/>
        </w:rPr>
      </w:pPr>
    </w:p>
    <w:tbl>
      <w:tblPr>
        <w:tblW w:w="7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5"/>
        <w:gridCol w:w="1014"/>
        <w:gridCol w:w="1015"/>
        <w:gridCol w:w="1014"/>
        <w:gridCol w:w="994"/>
        <w:gridCol w:w="994"/>
      </w:tblGrid>
      <w:tr w:rsidR="00E04CDE" w14:paraId="7AA4291B" w14:textId="77777777" w:rsidTr="002B76DD">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144F972E" w14:textId="77777777" w:rsidR="00E04CDE" w:rsidRDefault="00E04CDE" w:rsidP="002B76DD">
            <w:pPr>
              <w:jc w:val="center"/>
              <w:rPr>
                <w:b/>
                <w:noProof/>
              </w:rPr>
            </w:pPr>
            <w:r>
              <w:rPr>
                <w:b/>
                <w:noProof/>
                <w:sz w:val="22"/>
              </w:rPr>
              <w:t>eu-LISA </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C6781DF" w14:textId="77777777" w:rsidR="00E04CDE" w:rsidRDefault="00E04CDE" w:rsidP="002B76DD">
            <w:pPr>
              <w:jc w:val="center"/>
              <w:rPr>
                <w:noProof/>
              </w:rPr>
            </w:pPr>
            <w:r>
              <w:rPr>
                <w:noProof/>
                <w:sz w:val="22"/>
              </w:rPr>
              <w:t>2024</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9EE30C3" w14:textId="77777777" w:rsidR="00E04CDE" w:rsidRDefault="00E04CDE" w:rsidP="002B76DD">
            <w:pPr>
              <w:jc w:val="center"/>
              <w:rPr>
                <w:noProof/>
              </w:rPr>
            </w:pPr>
            <w:r>
              <w:rPr>
                <w:noProof/>
                <w:sz w:val="22"/>
              </w:rPr>
              <w:t>2025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1D18023" w14:textId="77777777" w:rsidR="00E04CDE" w:rsidRDefault="00E04CDE" w:rsidP="002B76DD">
            <w:pPr>
              <w:jc w:val="center"/>
              <w:rPr>
                <w:noProof/>
              </w:rPr>
            </w:pPr>
            <w:r>
              <w:rPr>
                <w:noProof/>
                <w:sz w:val="22"/>
              </w:rPr>
              <w:t>2026</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2D6347" w14:textId="77777777" w:rsidR="00E04CDE" w:rsidRDefault="00E04CDE" w:rsidP="002B76DD">
            <w:pPr>
              <w:jc w:val="center"/>
              <w:rPr>
                <w:noProof/>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31468D36" w14:textId="77777777" w:rsidR="00E04CDE" w:rsidRDefault="00E04CDE" w:rsidP="002B76DD">
            <w:pPr>
              <w:jc w:val="center"/>
              <w:rPr>
                <w:noProof/>
              </w:rPr>
            </w:pPr>
            <w:r>
              <w:rPr>
                <w:noProof/>
                <w:sz w:val="22"/>
              </w:rPr>
              <w:t>2027</w:t>
            </w:r>
          </w:p>
        </w:tc>
      </w:tr>
      <w:tr w:rsidR="00E04CDE" w14:paraId="0969D1B5" w14:textId="77777777" w:rsidTr="002B76DD">
        <w:tc>
          <w:tcPr>
            <w:tcW w:w="7376" w:type="dxa"/>
            <w:gridSpan w:val="6"/>
            <w:tcBorders>
              <w:top w:val="single" w:sz="4" w:space="0" w:color="auto"/>
              <w:left w:val="single" w:sz="4" w:space="0" w:color="auto"/>
              <w:bottom w:val="single" w:sz="4" w:space="0" w:color="auto"/>
              <w:right w:val="single" w:sz="4" w:space="0" w:color="auto"/>
            </w:tcBorders>
            <w:shd w:val="clear" w:color="auto" w:fill="auto"/>
          </w:tcPr>
          <w:p w14:paraId="06C9DE82" w14:textId="77777777" w:rsidR="00E04CDE" w:rsidRDefault="00E04CDE" w:rsidP="002B76DD">
            <w:pPr>
              <w:jc w:val="left"/>
              <w:rPr>
                <w:noProof/>
              </w:rPr>
            </w:pPr>
            <w:r>
              <w:rPr>
                <w:noProof/>
                <w:sz w:val="22"/>
              </w:rPr>
              <w:t>Establishment plan posts (officials and temporary staff)</w:t>
            </w:r>
          </w:p>
        </w:tc>
      </w:tr>
      <w:tr w:rsidR="00E04CDE" w14:paraId="2A159124" w14:textId="77777777" w:rsidTr="002B76DD">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3B9ED43C" w14:textId="77777777" w:rsidR="00E04CDE" w:rsidRDefault="00E04CDE" w:rsidP="002B76DD">
            <w:pPr>
              <w:jc w:val="center"/>
              <w:rPr>
                <w:b/>
                <w:noProof/>
              </w:rPr>
            </w:pPr>
            <w:r>
              <w:rPr>
                <w:b/>
                <w:noProof/>
              </w:rPr>
              <w:t>AD</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740E693" w14:textId="77777777" w:rsidR="00E04CDE" w:rsidRDefault="00E04CDE" w:rsidP="002B76DD">
            <w:pPr>
              <w:jc w:val="center"/>
              <w:rPr>
                <w:noProof/>
              </w:rPr>
            </w:pPr>
            <w:r>
              <w:rPr>
                <w:noProof/>
                <w:color w:val="000000"/>
                <w:sz w:val="20"/>
                <w:szCs w:val="20"/>
              </w:rPr>
              <w:t>5</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6FDA7B01" w14:textId="77777777" w:rsidR="00E04CDE" w:rsidRDefault="00E04CDE" w:rsidP="002B76DD">
            <w:pPr>
              <w:jc w:val="center"/>
              <w:rPr>
                <w:noProof/>
              </w:rPr>
            </w:pPr>
            <w:r>
              <w:rPr>
                <w:noProof/>
                <w:color w:val="000000"/>
                <w:sz w:val="20"/>
                <w:szCs w:val="20"/>
              </w:rPr>
              <w:t>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BADBAE5" w14:textId="77777777" w:rsidR="00E04CDE" w:rsidRDefault="00E04CDE" w:rsidP="002B76DD">
            <w:pPr>
              <w:jc w:val="center"/>
              <w:rPr>
                <w:noProof/>
              </w:rPr>
            </w:pPr>
            <w:r>
              <w:rPr>
                <w:noProof/>
                <w:color w:val="000000"/>
                <w:sz w:val="20"/>
                <w:szCs w:val="20"/>
              </w:rPr>
              <w:t>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2E79B76" w14:textId="77777777" w:rsidR="00E04CDE" w:rsidRDefault="00E04CDE" w:rsidP="002B76DD">
            <w:pPr>
              <w:jc w:val="center"/>
              <w:rPr>
                <w:noProof/>
              </w:rPr>
            </w:pPr>
            <w:r>
              <w:rPr>
                <w:noProof/>
                <w:color w:val="000000"/>
                <w:sz w:val="20"/>
                <w:szCs w:val="20"/>
              </w:rPr>
              <w:t>5</w:t>
            </w:r>
          </w:p>
        </w:tc>
        <w:tc>
          <w:tcPr>
            <w:tcW w:w="994" w:type="dxa"/>
            <w:tcBorders>
              <w:top w:val="single" w:sz="4" w:space="0" w:color="auto"/>
              <w:left w:val="single" w:sz="4" w:space="0" w:color="auto"/>
              <w:bottom w:val="single" w:sz="4" w:space="0" w:color="auto"/>
              <w:right w:val="single" w:sz="4" w:space="0" w:color="auto"/>
            </w:tcBorders>
            <w:vAlign w:val="center"/>
          </w:tcPr>
          <w:p w14:paraId="4A43E784" w14:textId="77777777" w:rsidR="00E04CDE" w:rsidRDefault="00E04CDE" w:rsidP="002B76DD">
            <w:pPr>
              <w:jc w:val="center"/>
              <w:rPr>
                <w:noProof/>
              </w:rPr>
            </w:pPr>
            <w:r>
              <w:rPr>
                <w:noProof/>
                <w:color w:val="000000"/>
                <w:sz w:val="20"/>
                <w:szCs w:val="20"/>
              </w:rPr>
              <w:t>5</w:t>
            </w:r>
          </w:p>
        </w:tc>
      </w:tr>
      <w:tr w:rsidR="00E04CDE" w14:paraId="481AF4EB" w14:textId="77777777" w:rsidTr="002B76DD">
        <w:tc>
          <w:tcPr>
            <w:tcW w:w="7376" w:type="dxa"/>
            <w:gridSpan w:val="6"/>
            <w:tcBorders>
              <w:top w:val="single" w:sz="4" w:space="0" w:color="auto"/>
              <w:left w:val="single" w:sz="4" w:space="0" w:color="auto"/>
              <w:bottom w:val="single" w:sz="4" w:space="0" w:color="auto"/>
              <w:right w:val="single" w:sz="4" w:space="0" w:color="auto"/>
            </w:tcBorders>
            <w:shd w:val="clear" w:color="auto" w:fill="auto"/>
          </w:tcPr>
          <w:p w14:paraId="186DD1EB" w14:textId="77777777" w:rsidR="00E04CDE" w:rsidRDefault="00E04CDE" w:rsidP="002B76DD">
            <w:pPr>
              <w:jc w:val="left"/>
              <w:rPr>
                <w:noProof/>
              </w:rPr>
            </w:pPr>
            <w:r>
              <w:rPr>
                <w:noProof/>
                <w:sz w:val="22"/>
              </w:rPr>
              <w:t>External staff </w:t>
            </w:r>
          </w:p>
        </w:tc>
      </w:tr>
      <w:tr w:rsidR="00E04CDE" w14:paraId="7E01EF5E" w14:textId="77777777" w:rsidTr="002B76DD">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4D32BF53" w14:textId="77777777" w:rsidR="00E04CDE" w:rsidRDefault="00E04CDE" w:rsidP="002B76DD">
            <w:pPr>
              <w:jc w:val="center"/>
              <w:rPr>
                <w:noProof/>
              </w:rPr>
            </w:pPr>
            <w:r>
              <w:rPr>
                <w:b/>
                <w:noProof/>
              </w:rPr>
              <w:t>CA</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EE2B8D5" w14:textId="77777777" w:rsidR="00E04CDE" w:rsidRDefault="00E04CDE" w:rsidP="002B76DD">
            <w:pPr>
              <w:jc w:val="center"/>
              <w:rPr>
                <w:noProof/>
              </w:rPr>
            </w:pPr>
            <w:r>
              <w:rPr>
                <w:noProof/>
                <w:color w:val="000000"/>
                <w:sz w:val="20"/>
                <w:szCs w:val="20"/>
              </w:rPr>
              <w:t>3</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AD98983" w14:textId="77777777" w:rsidR="00E04CDE" w:rsidRDefault="00E04CDE" w:rsidP="002B76DD">
            <w:pPr>
              <w:jc w:val="center"/>
              <w:rPr>
                <w:noProof/>
              </w:rPr>
            </w:pPr>
            <w:r>
              <w:rPr>
                <w:noProof/>
                <w:color w:val="000000"/>
                <w:sz w:val="20"/>
                <w:szCs w:val="20"/>
              </w:rPr>
              <w:t>3</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67D4108" w14:textId="77777777" w:rsidR="00E04CDE" w:rsidRDefault="00E04CDE" w:rsidP="002B76DD">
            <w:pPr>
              <w:jc w:val="center"/>
              <w:rPr>
                <w:noProof/>
              </w:rPr>
            </w:pPr>
            <w:r>
              <w:rPr>
                <w:noProof/>
                <w:color w:val="000000"/>
                <w:sz w:val="20"/>
                <w:szCs w:val="20"/>
              </w:rPr>
              <w:t>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348C99" w14:textId="77777777" w:rsidR="00E04CDE" w:rsidRDefault="00E04CDE" w:rsidP="002B76DD">
            <w:pPr>
              <w:jc w:val="center"/>
              <w:rPr>
                <w:noProof/>
              </w:rPr>
            </w:pPr>
            <w:r>
              <w:rPr>
                <w:noProof/>
                <w:color w:val="000000"/>
                <w:sz w:val="20"/>
                <w:szCs w:val="20"/>
              </w:rPr>
              <w:t>5</w:t>
            </w:r>
          </w:p>
        </w:tc>
        <w:tc>
          <w:tcPr>
            <w:tcW w:w="994" w:type="dxa"/>
            <w:tcBorders>
              <w:top w:val="single" w:sz="4" w:space="0" w:color="auto"/>
              <w:left w:val="single" w:sz="4" w:space="0" w:color="auto"/>
              <w:bottom w:val="single" w:sz="4" w:space="0" w:color="auto"/>
              <w:right w:val="single" w:sz="4" w:space="0" w:color="auto"/>
            </w:tcBorders>
            <w:vAlign w:val="center"/>
          </w:tcPr>
          <w:p w14:paraId="2102A85E" w14:textId="77777777" w:rsidR="00E04CDE" w:rsidRDefault="00E04CDE" w:rsidP="002B76DD">
            <w:pPr>
              <w:jc w:val="center"/>
              <w:rPr>
                <w:noProof/>
              </w:rPr>
            </w:pPr>
            <w:r>
              <w:rPr>
                <w:noProof/>
                <w:color w:val="000000"/>
                <w:sz w:val="20"/>
                <w:szCs w:val="20"/>
              </w:rPr>
              <w:t>5</w:t>
            </w:r>
          </w:p>
        </w:tc>
      </w:tr>
      <w:tr w:rsidR="00E04CDE" w14:paraId="5F7C2CE8" w14:textId="77777777" w:rsidTr="002B76DD">
        <w:tc>
          <w:tcPr>
            <w:tcW w:w="2345" w:type="dxa"/>
            <w:tcBorders>
              <w:top w:val="single" w:sz="4" w:space="0" w:color="auto"/>
              <w:left w:val="single" w:sz="4" w:space="0" w:color="auto"/>
              <w:right w:val="single" w:sz="4" w:space="0" w:color="auto"/>
            </w:tcBorders>
            <w:shd w:val="clear" w:color="auto" w:fill="auto"/>
            <w:vAlign w:val="center"/>
          </w:tcPr>
          <w:p w14:paraId="2B48E575" w14:textId="77777777" w:rsidR="00E04CDE" w:rsidRDefault="00E04CDE" w:rsidP="002B76DD">
            <w:pPr>
              <w:jc w:val="center"/>
              <w:rPr>
                <w:noProof/>
              </w:rPr>
            </w:pPr>
            <w:r>
              <w:rPr>
                <w:b/>
                <w:noProof/>
                <w:sz w:val="22"/>
              </w:rPr>
              <w:t>TOTAL for eu-LISA</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6977A2B" w14:textId="77777777" w:rsidR="00E04CDE" w:rsidRPr="000E09D6" w:rsidRDefault="00E04CDE" w:rsidP="002B76DD">
            <w:pPr>
              <w:jc w:val="center"/>
              <w:rPr>
                <w:b/>
                <w:bCs/>
                <w:noProof/>
              </w:rPr>
            </w:pPr>
            <w:r>
              <w:rPr>
                <w:b/>
                <w:bCs/>
                <w:noProof/>
                <w:color w:val="000000"/>
                <w:sz w:val="20"/>
                <w:szCs w:val="20"/>
              </w:rPr>
              <w:t>8</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C369419" w14:textId="77777777" w:rsidR="00E04CDE" w:rsidRPr="000E09D6" w:rsidRDefault="00E04CDE" w:rsidP="002B76DD">
            <w:pPr>
              <w:jc w:val="center"/>
              <w:rPr>
                <w:b/>
                <w:bCs/>
                <w:noProof/>
              </w:rPr>
            </w:pPr>
            <w:r w:rsidRPr="00806131">
              <w:rPr>
                <w:b/>
                <w:bCs/>
                <w:noProof/>
                <w:color w:val="000000"/>
                <w:sz w:val="20"/>
                <w:szCs w:val="20"/>
              </w:rPr>
              <w:t>8</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4DC39B4" w14:textId="77777777" w:rsidR="00E04CDE" w:rsidRPr="000E09D6" w:rsidRDefault="00E04CDE" w:rsidP="002B76DD">
            <w:pPr>
              <w:jc w:val="center"/>
              <w:rPr>
                <w:b/>
                <w:bCs/>
                <w:noProof/>
              </w:rPr>
            </w:pPr>
            <w:r w:rsidRPr="00806131">
              <w:rPr>
                <w:b/>
                <w:bCs/>
                <w:noProof/>
                <w:color w:val="000000"/>
                <w:sz w:val="20"/>
                <w:szCs w:val="20"/>
              </w:rPr>
              <w:t>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F9E9831" w14:textId="77777777" w:rsidR="00E04CDE" w:rsidRPr="000E09D6" w:rsidRDefault="00E04CDE" w:rsidP="002B76DD">
            <w:pPr>
              <w:jc w:val="center"/>
              <w:rPr>
                <w:b/>
                <w:bCs/>
                <w:noProof/>
              </w:rPr>
            </w:pPr>
            <w:r w:rsidRPr="00806131">
              <w:rPr>
                <w:b/>
                <w:bCs/>
                <w:noProof/>
                <w:color w:val="000000"/>
                <w:sz w:val="20"/>
                <w:szCs w:val="20"/>
              </w:rPr>
              <w:t>10</w:t>
            </w:r>
          </w:p>
        </w:tc>
        <w:tc>
          <w:tcPr>
            <w:tcW w:w="994" w:type="dxa"/>
            <w:tcBorders>
              <w:top w:val="single" w:sz="4" w:space="0" w:color="auto"/>
              <w:left w:val="single" w:sz="4" w:space="0" w:color="auto"/>
              <w:bottom w:val="single" w:sz="4" w:space="0" w:color="auto"/>
              <w:right w:val="single" w:sz="4" w:space="0" w:color="auto"/>
            </w:tcBorders>
            <w:vAlign w:val="center"/>
          </w:tcPr>
          <w:p w14:paraId="4241558F" w14:textId="77777777" w:rsidR="00E04CDE" w:rsidRPr="000E09D6" w:rsidRDefault="00E04CDE" w:rsidP="002B76DD">
            <w:pPr>
              <w:jc w:val="center"/>
              <w:rPr>
                <w:b/>
                <w:bCs/>
                <w:noProof/>
              </w:rPr>
            </w:pPr>
            <w:r w:rsidRPr="00806131">
              <w:rPr>
                <w:b/>
                <w:bCs/>
                <w:noProof/>
                <w:color w:val="000000"/>
                <w:sz w:val="20"/>
                <w:szCs w:val="20"/>
              </w:rPr>
              <w:t>10</w:t>
            </w:r>
          </w:p>
        </w:tc>
      </w:tr>
    </w:tbl>
    <w:p w14:paraId="39D3B7F1" w14:textId="77777777" w:rsidR="00E04CDE" w:rsidRDefault="00E04CDE" w:rsidP="00E04CDE">
      <w:pPr>
        <w:rPr>
          <w:noProof/>
          <w:sz w:val="20"/>
        </w:rPr>
      </w:pPr>
    </w:p>
    <w:p w14:paraId="0A447577" w14:textId="77777777" w:rsidR="00E04CDE" w:rsidRPr="00806131" w:rsidRDefault="00E04CDE" w:rsidP="00E04CDE">
      <w:pPr>
        <w:rPr>
          <w:noProof/>
          <w:szCs w:val="24"/>
        </w:rPr>
      </w:pPr>
      <w:r w:rsidRPr="00806131">
        <w:rPr>
          <w:noProof/>
          <w:szCs w:val="24"/>
        </w:rPr>
        <w:t>Description of tasks to be carried out:</w:t>
      </w:r>
    </w:p>
    <w:p w14:paraId="7F5B12B2" w14:textId="77777777" w:rsidR="00E04CDE" w:rsidRPr="00806131" w:rsidRDefault="00E04CDE" w:rsidP="00E04CDE">
      <w:pPr>
        <w:rPr>
          <w:noProof/>
          <w:szCs w:val="24"/>
        </w:rPr>
      </w:pPr>
      <w:r w:rsidRPr="00806131">
        <w:rPr>
          <w:noProof/>
          <w:szCs w:val="24"/>
        </w:rPr>
        <w:t>IMPLEMENTATION PHASE (2024, 2025)</w:t>
      </w:r>
    </w:p>
    <w:p w14:paraId="63E926E8" w14:textId="77777777" w:rsidR="00E04CDE" w:rsidRPr="00806131" w:rsidRDefault="00E04CDE" w:rsidP="00E04CDE">
      <w:pPr>
        <w:rPr>
          <w:noProof/>
          <w:szCs w:val="24"/>
        </w:rPr>
      </w:pPr>
      <w:r w:rsidRPr="00806131">
        <w:rPr>
          <w:noProof/>
          <w:szCs w:val="24"/>
        </w:rPr>
        <w:t xml:space="preserve">6 FTEs (4 TA, 2 CA) will be needed for elaborating on specs/requirements solicitation as well as on analysis and design tasks in cooperation with the contractors, combining expertise in IT Architecture, Testing, Security &amp; Data Protection, </w:t>
      </w:r>
    </w:p>
    <w:p w14:paraId="02867005" w14:textId="77777777" w:rsidR="00E04CDE" w:rsidRPr="00806131" w:rsidRDefault="00E04CDE" w:rsidP="00E04CDE">
      <w:pPr>
        <w:rPr>
          <w:noProof/>
          <w:szCs w:val="24"/>
        </w:rPr>
      </w:pPr>
      <w:r w:rsidRPr="00806131">
        <w:rPr>
          <w:noProof/>
          <w:szCs w:val="24"/>
        </w:rPr>
        <w:t xml:space="preserve">Project &amp; Programme Management and Business Relationship Management. While the profile of the Project Manager is succeeded by a Product Owner profile after Entering into Operations, smaller part of the allocation of PM profiles need to be maintained after entry into operations, mainly for product evolutions, adaptive maintenance projects and releases. </w:t>
      </w:r>
    </w:p>
    <w:p w14:paraId="7A842C35" w14:textId="77777777" w:rsidR="00E04CDE" w:rsidRPr="00806131" w:rsidRDefault="00E04CDE" w:rsidP="00E04CDE">
      <w:pPr>
        <w:rPr>
          <w:noProof/>
          <w:szCs w:val="24"/>
        </w:rPr>
      </w:pPr>
      <w:r w:rsidRPr="00806131">
        <w:rPr>
          <w:noProof/>
          <w:szCs w:val="24"/>
        </w:rPr>
        <w:t xml:space="preserve">2 FTEs (1 TA, 1 CA) combining different technical profiles will be needed already during the implementation phase in order to guarantee harmonization and embedding of the solution in the existing infrastructure and network architecture, components and standards. Therefore, Infrastructure, Network, Data Centre Management Services and Product/Service Management profiles have been considered. Additionally, effort for transversal services (procurement, finance &amp; HR) has to been taken into account in the estimates for the implementation phase. </w:t>
      </w:r>
    </w:p>
    <w:p w14:paraId="3BA0D688" w14:textId="77777777" w:rsidR="00E04CDE" w:rsidRPr="00806131" w:rsidRDefault="00E04CDE" w:rsidP="00E04CDE">
      <w:pPr>
        <w:rPr>
          <w:noProof/>
          <w:szCs w:val="24"/>
        </w:rPr>
      </w:pPr>
      <w:r w:rsidRPr="00806131">
        <w:rPr>
          <w:noProof/>
          <w:szCs w:val="24"/>
        </w:rPr>
        <w:t>OPERATIONS PHASE (2026, 2027)</w:t>
      </w:r>
    </w:p>
    <w:p w14:paraId="2452F1C1" w14:textId="77777777" w:rsidR="00E04CDE" w:rsidRDefault="00E04CDE" w:rsidP="00E04CDE">
      <w:pPr>
        <w:rPr>
          <w:noProof/>
          <w:sz w:val="20"/>
        </w:rPr>
      </w:pPr>
      <w:r w:rsidRPr="00806131">
        <w:rPr>
          <w:noProof/>
          <w:szCs w:val="24"/>
        </w:rPr>
        <w:t>After entering into operations, 10 FTEs (5 TA, 5 CA) are required to ensure high availability of the services provided to the Member States through robust and high-quality 24/7 operational management. To guarantee a high continuity, most technical profiles used during the implementation phase will continue working on the product. In total, operations will require resources for 1st level support and 2nd level support, Security Management, Business Continuity &amp; Data Protection, Test &amp; Transition Management, Infrastructure, Network &amp; Data Centre Management, Product/Service Owner Services as well as IT Architecture, Project Support and Business &amp; Relationship Management. The tasks to be performed are related to the management of platform, infrastructure, network, security etc. during day-to-day operations but also during the management of technical evolutions stemming from corrective and adaptive maintenance</w:t>
      </w:r>
      <w:r w:rsidRPr="003B1A7E">
        <w:rPr>
          <w:noProof/>
          <w:sz w:val="20"/>
        </w:rPr>
        <w:t>.</w:t>
      </w:r>
    </w:p>
    <w:p w14:paraId="1D11447E" w14:textId="77777777" w:rsidR="00E04CDE" w:rsidRDefault="00E04CDE" w:rsidP="00E04CDE">
      <w:pPr>
        <w:rPr>
          <w:noProof/>
        </w:rPr>
        <w:sectPr w:rsidR="00E04CDE" w:rsidSect="00FB3ECA">
          <w:pgSz w:w="11907" w:h="16840"/>
          <w:pgMar w:top="1134" w:right="1418" w:bottom="1134" w:left="1418" w:header="709" w:footer="709" w:gutter="0"/>
          <w:cols w:space="708"/>
          <w:docGrid w:linePitch="360"/>
        </w:sectPr>
      </w:pPr>
    </w:p>
    <w:p w14:paraId="3A7D6546" w14:textId="79A69642" w:rsidR="00E04CDE" w:rsidRDefault="00EF15A7" w:rsidP="00EF15A7">
      <w:pPr>
        <w:pStyle w:val="ManualHeading3"/>
        <w:rPr>
          <w:noProof/>
        </w:rPr>
      </w:pPr>
      <w:r w:rsidRPr="00EF15A7">
        <w:t>3.2.5.</w:t>
      </w:r>
      <w:r w:rsidRPr="00EF15A7">
        <w:tab/>
      </w:r>
      <w:r w:rsidR="00E04CDE">
        <w:rPr>
          <w:noProof/>
        </w:rPr>
        <w:t xml:space="preserve">Compatibility with the current multiannual financial framework </w:t>
      </w:r>
    </w:p>
    <w:p w14:paraId="77A2FD8D" w14:textId="77777777" w:rsidR="00E04CDE" w:rsidRDefault="00E04CDE" w:rsidP="00E04CDE">
      <w:pPr>
        <w:pStyle w:val="Text1"/>
        <w:rPr>
          <w:noProof/>
        </w:rPr>
      </w:pPr>
      <w:r w:rsidRPr="00386FF5">
        <w:rPr>
          <w:noProof/>
        </w:rPr>
        <w:t>The proposal/initiative</w:t>
      </w:r>
      <w:r w:rsidRPr="007974DD">
        <w:rPr>
          <w:noProof/>
        </w:rPr>
        <w:t>:</w:t>
      </w:r>
    </w:p>
    <w:p w14:paraId="42E6033B" w14:textId="77777777" w:rsidR="00E04CDE" w:rsidRPr="006F661D" w:rsidRDefault="00E04CDE" w:rsidP="00E04CDE">
      <w:pPr>
        <w:pStyle w:val="ListDash1"/>
        <w:rPr>
          <w:noProof/>
        </w:rPr>
      </w:pPr>
      <w:r w:rsidRPr="006F661D">
        <w:rPr>
          <w:noProof/>
        </w:rPr>
        <w:sym w:font="Wingdings" w:char="F0FC"/>
      </w:r>
      <w:r w:rsidRPr="006F661D">
        <w:rPr>
          <w:noProof/>
        </w:rPr>
        <w:tab/>
        <w:t>can be fully financed through redeployment within the relevant heading of the Multiannual Financial Framework (MFF).</w:t>
      </w:r>
    </w:p>
    <w:p w14:paraId="0D16D5C3" w14:textId="77777777" w:rsidR="006F661D" w:rsidRPr="006F661D" w:rsidRDefault="00E04CDE" w:rsidP="006F661D">
      <w:pPr>
        <w:pStyle w:val="Text1"/>
        <w:pBdr>
          <w:top w:val="single" w:sz="4" w:space="1" w:color="auto"/>
          <w:left w:val="single" w:sz="4" w:space="4" w:color="auto"/>
          <w:bottom w:val="single" w:sz="4" w:space="1" w:color="auto"/>
          <w:right w:val="single" w:sz="4" w:space="4" w:color="auto"/>
        </w:pBdr>
        <w:rPr>
          <w:noProof/>
          <w:sz w:val="20"/>
        </w:rPr>
      </w:pPr>
      <w:r w:rsidRPr="006F661D">
        <w:rPr>
          <w:noProof/>
          <w:sz w:val="20"/>
        </w:rPr>
        <w:t xml:space="preserve">As the appropriations required for the development of the </w:t>
      </w:r>
      <w:r w:rsidR="00FB40F6">
        <w:rPr>
          <w:noProof/>
          <w:sz w:val="20"/>
        </w:rPr>
        <w:t>EU v</w:t>
      </w:r>
      <w:r w:rsidRPr="006F661D">
        <w:rPr>
          <w:noProof/>
          <w:sz w:val="20"/>
        </w:rPr>
        <w:t xml:space="preserve">isa application platform (2024/2025) and recurring costs (as from 2026) have not been planned under the eu-LISA budget, the funding required for the development and maintenance of the EU Visa application platform </w:t>
      </w:r>
      <w:r w:rsidR="006F661D" w:rsidRPr="006F661D">
        <w:rPr>
          <w:noProof/>
          <w:sz w:val="20"/>
        </w:rPr>
        <w:t>(EUR 68.370 million under the 2021-2027 MFF) will be made available via bugdetary offsetting against BMVI (11.02.01 – 'Border Management and Visa Instrument') for the corresponding amounts:</w:t>
      </w:r>
    </w:p>
    <w:p w14:paraId="40135FD3" w14:textId="77777777" w:rsidR="00E04CDE" w:rsidRDefault="00E04CDE" w:rsidP="006F661D">
      <w:pPr>
        <w:pStyle w:val="Text1"/>
        <w:pBdr>
          <w:top w:val="single" w:sz="4" w:space="1" w:color="auto"/>
          <w:left w:val="single" w:sz="4" w:space="4" w:color="auto"/>
          <w:bottom w:val="single" w:sz="4" w:space="1" w:color="auto"/>
          <w:right w:val="single" w:sz="4" w:space="4" w:color="auto"/>
        </w:pBdr>
        <w:rPr>
          <w:noProof/>
          <w:sz w:val="20"/>
        </w:rPr>
      </w:pPr>
    </w:p>
    <w:p w14:paraId="424FEE28" w14:textId="77777777" w:rsidR="006F661D" w:rsidRPr="006F661D" w:rsidRDefault="006F661D" w:rsidP="006F661D">
      <w:pPr>
        <w:pStyle w:val="Text1"/>
        <w:pBdr>
          <w:top w:val="single" w:sz="4" w:space="1" w:color="auto"/>
          <w:left w:val="single" w:sz="4" w:space="4" w:color="auto"/>
          <w:bottom w:val="single" w:sz="4" w:space="1" w:color="auto"/>
          <w:right w:val="single" w:sz="4" w:space="4" w:color="auto"/>
        </w:pBdr>
        <w:rPr>
          <w:noProof/>
          <w:sz w:val="20"/>
        </w:rPr>
      </w:pPr>
      <w:r w:rsidRPr="007A5AFD">
        <w:rPr>
          <w:noProof/>
          <w:lang w:eastAsia="en-GB"/>
        </w:rPr>
        <w:drawing>
          <wp:inline distT="0" distB="0" distL="0" distR="0" wp14:anchorId="56E6E333" wp14:editId="72A6EFD2">
            <wp:extent cx="4800600" cy="374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0" cy="374650"/>
                    </a:xfrm>
                    <a:prstGeom prst="rect">
                      <a:avLst/>
                    </a:prstGeom>
                    <a:noFill/>
                    <a:ln>
                      <a:noFill/>
                    </a:ln>
                  </pic:spPr>
                </pic:pic>
              </a:graphicData>
            </a:graphic>
          </wp:inline>
        </w:drawing>
      </w:r>
    </w:p>
    <w:p w14:paraId="0F703978" w14:textId="77777777" w:rsidR="00E04CDE" w:rsidRPr="006F661D" w:rsidRDefault="00E04CDE" w:rsidP="00E04CDE">
      <w:pPr>
        <w:pStyle w:val="Text1"/>
        <w:pBdr>
          <w:top w:val="single" w:sz="4" w:space="1" w:color="auto"/>
          <w:left w:val="single" w:sz="4" w:space="4" w:color="auto"/>
          <w:bottom w:val="single" w:sz="4" w:space="1" w:color="auto"/>
          <w:right w:val="single" w:sz="4" w:space="4" w:color="auto"/>
        </w:pBdr>
        <w:rPr>
          <w:noProof/>
          <w:sz w:val="20"/>
        </w:rPr>
      </w:pPr>
      <w:r w:rsidRPr="006F661D">
        <w:rPr>
          <w:noProof/>
          <w:sz w:val="20"/>
        </w:rPr>
        <w:t>The development and recurring costs at national level will be financed under the programmes of the BMVI.</w:t>
      </w:r>
    </w:p>
    <w:p w14:paraId="5F596844" w14:textId="77777777" w:rsidR="00E04CDE" w:rsidRPr="006F661D" w:rsidRDefault="00E04CDE" w:rsidP="00E04CDE">
      <w:pPr>
        <w:pStyle w:val="ListDash1"/>
        <w:rPr>
          <w:noProof/>
        </w:rPr>
      </w:pPr>
      <w:r w:rsidRPr="006F661D">
        <w:rPr>
          <w:noProof/>
        </w:rPr>
        <w:sym w:font="Wingdings" w:char="F0A8"/>
      </w:r>
      <w:r w:rsidRPr="006F661D">
        <w:rPr>
          <w:noProof/>
        </w:rPr>
        <w:tab/>
        <w:t>requires use of the unallocated margin under the relevant heading of the MFF and/or use of the special instruments as defined in the MFF Regulation.</w:t>
      </w:r>
    </w:p>
    <w:p w14:paraId="0401D0F9" w14:textId="77777777" w:rsidR="00E04CDE" w:rsidRPr="006F661D" w:rsidRDefault="00E04CDE" w:rsidP="00E04CDE">
      <w:pPr>
        <w:pStyle w:val="Text1"/>
        <w:pBdr>
          <w:top w:val="single" w:sz="4" w:space="1" w:color="auto"/>
          <w:left w:val="single" w:sz="4" w:space="4" w:color="auto"/>
          <w:bottom w:val="single" w:sz="4" w:space="1" w:color="auto"/>
          <w:right w:val="single" w:sz="4" w:space="4" w:color="auto"/>
        </w:pBdr>
        <w:rPr>
          <w:noProof/>
          <w:sz w:val="20"/>
        </w:rPr>
      </w:pPr>
      <w:r w:rsidRPr="006F661D">
        <w:rPr>
          <w:noProof/>
          <w:sz w:val="20"/>
        </w:rPr>
        <w:t>Explain what is required, specifying the headings and budget lines concerned, the corresponding amounts, and the instruments proposed to be used.</w:t>
      </w:r>
    </w:p>
    <w:p w14:paraId="54BA92E2" w14:textId="77777777" w:rsidR="00E04CDE" w:rsidRPr="006F661D" w:rsidRDefault="00E04CDE" w:rsidP="00E04CDE">
      <w:pPr>
        <w:pStyle w:val="ListDash1"/>
        <w:rPr>
          <w:noProof/>
        </w:rPr>
      </w:pPr>
      <w:r w:rsidRPr="006F661D">
        <w:rPr>
          <w:noProof/>
        </w:rPr>
        <w:sym w:font="Wingdings" w:char="F0A8"/>
      </w:r>
      <w:r w:rsidRPr="006F661D">
        <w:rPr>
          <w:noProof/>
        </w:rPr>
        <w:tab/>
        <w:t>requires a revision of the MFF.</w:t>
      </w:r>
    </w:p>
    <w:p w14:paraId="14A1CB4F"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sz w:val="20"/>
        </w:rPr>
      </w:pPr>
      <w:r w:rsidRPr="006F661D">
        <w:rPr>
          <w:noProof/>
          <w:sz w:val="20"/>
        </w:rPr>
        <w:t>Explain what is required, specifying the headings and budget lines concerned and the corresponding amounts.</w:t>
      </w:r>
    </w:p>
    <w:p w14:paraId="1E015C0F" w14:textId="4BEA6161" w:rsidR="00E04CDE" w:rsidRDefault="00EF15A7" w:rsidP="00EF15A7">
      <w:pPr>
        <w:pStyle w:val="ManualHeading3"/>
        <w:rPr>
          <w:bCs/>
          <w:noProof/>
          <w:szCs w:val="24"/>
        </w:rPr>
      </w:pPr>
      <w:r w:rsidRPr="00EF15A7">
        <w:t>3.2.6.</w:t>
      </w:r>
      <w:r w:rsidRPr="00EF15A7">
        <w:tab/>
      </w:r>
      <w:r w:rsidR="00E04CDE">
        <w:rPr>
          <w:noProof/>
        </w:rPr>
        <w:t xml:space="preserve">Third-party contributions </w:t>
      </w:r>
    </w:p>
    <w:p w14:paraId="3535746E" w14:textId="77777777" w:rsidR="00E04CDE" w:rsidRPr="00386FF5" w:rsidRDefault="00E04CDE" w:rsidP="00E04CDE">
      <w:pPr>
        <w:pStyle w:val="Text1"/>
        <w:rPr>
          <w:noProof/>
        </w:rPr>
      </w:pPr>
      <w:r w:rsidRPr="007974DD">
        <w:rPr>
          <w:noProof/>
        </w:rPr>
        <w:t>The proposal/initiative:</w:t>
      </w:r>
    </w:p>
    <w:p w14:paraId="5EC076A7" w14:textId="77777777" w:rsidR="00E04CDE" w:rsidRDefault="00E04CDE" w:rsidP="00E04CDE">
      <w:pPr>
        <w:pStyle w:val="ListDash1"/>
        <w:rPr>
          <w:noProof/>
        </w:rPr>
      </w:pPr>
      <w:r>
        <w:rPr>
          <w:noProof/>
        </w:rPr>
        <w:sym w:font="Wingdings" w:char="F0A8"/>
      </w:r>
      <w:r>
        <w:rPr>
          <w:noProof/>
        </w:rPr>
        <w:tab/>
        <w:t>does not provide for co-financing by third parties</w:t>
      </w:r>
    </w:p>
    <w:p w14:paraId="1894C494" w14:textId="77777777" w:rsidR="00E04CDE" w:rsidRDefault="00E04CDE" w:rsidP="00E04CDE">
      <w:pPr>
        <w:pStyle w:val="ListDash1"/>
        <w:rPr>
          <w:noProof/>
        </w:rPr>
      </w:pPr>
      <w:r>
        <w:rPr>
          <w:noProof/>
        </w:rPr>
        <w:sym w:font="Wingdings" w:char="F0A8"/>
      </w:r>
      <w:r>
        <w:rPr>
          <w:noProof/>
        </w:rPr>
        <w:tab/>
        <w:t>provides for the co-financing by third parties estimated below:</w:t>
      </w:r>
    </w:p>
    <w:p w14:paraId="1E46286D" w14:textId="77777777" w:rsidR="00E04CDE" w:rsidRDefault="00E04CDE" w:rsidP="00E04CDE">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E04CDE" w14:paraId="5B811C88" w14:textId="77777777" w:rsidTr="002B76DD">
        <w:trPr>
          <w:cantSplit/>
        </w:trPr>
        <w:tc>
          <w:tcPr>
            <w:tcW w:w="2340" w:type="dxa"/>
          </w:tcPr>
          <w:p w14:paraId="04899C18" w14:textId="77777777" w:rsidR="00E04CDE" w:rsidRDefault="00E04CDE" w:rsidP="002B76DD">
            <w:pPr>
              <w:spacing w:before="60" w:after="60"/>
              <w:rPr>
                <w:noProof/>
                <w:sz w:val="20"/>
              </w:rPr>
            </w:pPr>
          </w:p>
        </w:tc>
        <w:tc>
          <w:tcPr>
            <w:tcW w:w="964" w:type="dxa"/>
            <w:vAlign w:val="center"/>
          </w:tcPr>
          <w:p w14:paraId="2E35E491" w14:textId="77777777" w:rsidR="00E04CDE" w:rsidRDefault="00E04CDE" w:rsidP="002B76DD">
            <w:pPr>
              <w:jc w:val="center"/>
              <w:rPr>
                <w:noProof/>
                <w:sz w:val="20"/>
              </w:rPr>
            </w:pPr>
            <w:r>
              <w:rPr>
                <w:noProof/>
                <w:sz w:val="20"/>
              </w:rPr>
              <w:t>Year</w:t>
            </w:r>
            <w:r>
              <w:rPr>
                <w:noProof/>
                <w:sz w:val="22"/>
              </w:rPr>
              <w:br/>
            </w:r>
            <w:r>
              <w:rPr>
                <w:b/>
                <w:noProof/>
                <w:sz w:val="20"/>
              </w:rPr>
              <w:t>N</w:t>
            </w:r>
            <w:r>
              <w:rPr>
                <w:rStyle w:val="FootnoteReference"/>
                <w:b/>
                <w:noProof/>
                <w:sz w:val="20"/>
              </w:rPr>
              <w:footnoteReference w:id="82"/>
            </w:r>
          </w:p>
        </w:tc>
        <w:tc>
          <w:tcPr>
            <w:tcW w:w="964" w:type="dxa"/>
            <w:vAlign w:val="center"/>
          </w:tcPr>
          <w:p w14:paraId="648E49B8" w14:textId="77777777" w:rsidR="00E04CDE" w:rsidRDefault="00E04CDE" w:rsidP="002B76DD">
            <w:pPr>
              <w:jc w:val="center"/>
              <w:rPr>
                <w:noProof/>
                <w:sz w:val="20"/>
              </w:rPr>
            </w:pPr>
            <w:r>
              <w:rPr>
                <w:noProof/>
                <w:sz w:val="20"/>
              </w:rPr>
              <w:t>Year</w:t>
            </w:r>
            <w:r>
              <w:rPr>
                <w:noProof/>
                <w:sz w:val="22"/>
              </w:rPr>
              <w:br/>
            </w:r>
            <w:r>
              <w:rPr>
                <w:b/>
                <w:noProof/>
                <w:sz w:val="20"/>
              </w:rPr>
              <w:t>N+1</w:t>
            </w:r>
          </w:p>
        </w:tc>
        <w:tc>
          <w:tcPr>
            <w:tcW w:w="964" w:type="dxa"/>
            <w:vAlign w:val="center"/>
          </w:tcPr>
          <w:p w14:paraId="41AEF6C7" w14:textId="77777777" w:rsidR="00E04CDE" w:rsidRDefault="00E04CDE" w:rsidP="002B76DD">
            <w:pPr>
              <w:jc w:val="center"/>
              <w:rPr>
                <w:noProof/>
                <w:sz w:val="20"/>
              </w:rPr>
            </w:pPr>
            <w:r>
              <w:rPr>
                <w:noProof/>
                <w:sz w:val="20"/>
              </w:rPr>
              <w:t>Year</w:t>
            </w:r>
            <w:r>
              <w:rPr>
                <w:noProof/>
                <w:sz w:val="22"/>
              </w:rPr>
              <w:br/>
            </w:r>
            <w:r>
              <w:rPr>
                <w:b/>
                <w:noProof/>
                <w:sz w:val="20"/>
              </w:rPr>
              <w:t>N+2</w:t>
            </w:r>
          </w:p>
        </w:tc>
        <w:tc>
          <w:tcPr>
            <w:tcW w:w="964" w:type="dxa"/>
            <w:vAlign w:val="center"/>
          </w:tcPr>
          <w:p w14:paraId="703E0F73" w14:textId="77777777" w:rsidR="00E04CDE" w:rsidRDefault="00E04CDE" w:rsidP="002B76DD">
            <w:pPr>
              <w:jc w:val="center"/>
              <w:rPr>
                <w:noProof/>
                <w:sz w:val="20"/>
              </w:rPr>
            </w:pPr>
            <w:r>
              <w:rPr>
                <w:noProof/>
                <w:sz w:val="20"/>
              </w:rPr>
              <w:t>Year</w:t>
            </w:r>
            <w:r>
              <w:rPr>
                <w:noProof/>
                <w:sz w:val="22"/>
              </w:rPr>
              <w:br/>
            </w:r>
            <w:r>
              <w:rPr>
                <w:b/>
                <w:noProof/>
                <w:sz w:val="20"/>
              </w:rPr>
              <w:t>N+3</w:t>
            </w:r>
          </w:p>
        </w:tc>
        <w:tc>
          <w:tcPr>
            <w:tcW w:w="2892" w:type="dxa"/>
            <w:gridSpan w:val="3"/>
            <w:vAlign w:val="center"/>
          </w:tcPr>
          <w:p w14:paraId="17E3A2D8" w14:textId="77777777" w:rsidR="00E04CDE" w:rsidRDefault="00E04CDE" w:rsidP="002B76DD">
            <w:pPr>
              <w:jc w:val="center"/>
              <w:rPr>
                <w:b/>
                <w:noProof/>
                <w:sz w:val="20"/>
              </w:rPr>
            </w:pPr>
            <w:r>
              <w:rPr>
                <w:noProof/>
                <w:sz w:val="20"/>
              </w:rPr>
              <w:t>Enter as many years as necessary to show the duration of the impact (see point 1.6)</w:t>
            </w:r>
          </w:p>
        </w:tc>
        <w:tc>
          <w:tcPr>
            <w:tcW w:w="1158" w:type="dxa"/>
            <w:vAlign w:val="center"/>
          </w:tcPr>
          <w:p w14:paraId="12EAF9E2" w14:textId="77777777" w:rsidR="00E04CDE" w:rsidRDefault="00E04CDE" w:rsidP="002B76DD">
            <w:pPr>
              <w:spacing w:before="60" w:after="60"/>
              <w:jc w:val="center"/>
              <w:rPr>
                <w:noProof/>
                <w:sz w:val="20"/>
              </w:rPr>
            </w:pPr>
            <w:r>
              <w:rPr>
                <w:noProof/>
                <w:sz w:val="20"/>
              </w:rPr>
              <w:t>Total</w:t>
            </w:r>
          </w:p>
        </w:tc>
      </w:tr>
      <w:tr w:rsidR="00E04CDE" w14:paraId="0954C7C3" w14:textId="77777777" w:rsidTr="002B76DD">
        <w:trPr>
          <w:cantSplit/>
        </w:trPr>
        <w:tc>
          <w:tcPr>
            <w:tcW w:w="2340" w:type="dxa"/>
          </w:tcPr>
          <w:p w14:paraId="0330678D" w14:textId="77777777" w:rsidR="00E04CDE" w:rsidRPr="00806131" w:rsidRDefault="00E04CDE" w:rsidP="002B76DD">
            <w:pPr>
              <w:rPr>
                <w:i/>
                <w:noProof/>
                <w:sz w:val="20"/>
              </w:rPr>
            </w:pPr>
            <w:r>
              <w:rPr>
                <w:noProof/>
                <w:sz w:val="20"/>
              </w:rPr>
              <w:t>Specify the co-financing body</w:t>
            </w:r>
            <w:r>
              <w:rPr>
                <w:i/>
                <w:noProof/>
                <w:sz w:val="20"/>
              </w:rPr>
              <w:t xml:space="preserve"> </w:t>
            </w:r>
          </w:p>
        </w:tc>
        <w:tc>
          <w:tcPr>
            <w:tcW w:w="964" w:type="dxa"/>
            <w:vAlign w:val="center"/>
          </w:tcPr>
          <w:p w14:paraId="73012D0A" w14:textId="77777777" w:rsidR="00E04CDE" w:rsidRDefault="00E04CDE" w:rsidP="002B76DD">
            <w:pPr>
              <w:spacing w:before="60" w:after="60"/>
              <w:jc w:val="center"/>
              <w:rPr>
                <w:noProof/>
                <w:sz w:val="20"/>
              </w:rPr>
            </w:pPr>
          </w:p>
        </w:tc>
        <w:tc>
          <w:tcPr>
            <w:tcW w:w="964" w:type="dxa"/>
            <w:vAlign w:val="center"/>
          </w:tcPr>
          <w:p w14:paraId="0F29C7E8" w14:textId="77777777" w:rsidR="00E04CDE" w:rsidRDefault="00E04CDE" w:rsidP="002B76DD">
            <w:pPr>
              <w:spacing w:before="60" w:after="60"/>
              <w:jc w:val="center"/>
              <w:rPr>
                <w:noProof/>
                <w:sz w:val="20"/>
              </w:rPr>
            </w:pPr>
          </w:p>
        </w:tc>
        <w:tc>
          <w:tcPr>
            <w:tcW w:w="964" w:type="dxa"/>
            <w:vAlign w:val="center"/>
          </w:tcPr>
          <w:p w14:paraId="50E6CFA5" w14:textId="77777777" w:rsidR="00E04CDE" w:rsidRDefault="00E04CDE" w:rsidP="002B76DD">
            <w:pPr>
              <w:spacing w:before="60" w:after="60"/>
              <w:jc w:val="center"/>
              <w:rPr>
                <w:noProof/>
                <w:sz w:val="20"/>
              </w:rPr>
            </w:pPr>
          </w:p>
        </w:tc>
        <w:tc>
          <w:tcPr>
            <w:tcW w:w="964" w:type="dxa"/>
            <w:vAlign w:val="center"/>
          </w:tcPr>
          <w:p w14:paraId="41B8C7E8" w14:textId="77777777" w:rsidR="00E04CDE" w:rsidRDefault="00E04CDE" w:rsidP="002B76DD">
            <w:pPr>
              <w:spacing w:before="60" w:after="60"/>
              <w:jc w:val="center"/>
              <w:rPr>
                <w:noProof/>
                <w:sz w:val="20"/>
              </w:rPr>
            </w:pPr>
          </w:p>
        </w:tc>
        <w:tc>
          <w:tcPr>
            <w:tcW w:w="964" w:type="dxa"/>
            <w:vAlign w:val="center"/>
          </w:tcPr>
          <w:p w14:paraId="68D9D663" w14:textId="77777777" w:rsidR="00E04CDE" w:rsidRDefault="00E04CDE" w:rsidP="002B76DD">
            <w:pPr>
              <w:spacing w:before="60" w:after="60"/>
              <w:jc w:val="center"/>
              <w:rPr>
                <w:noProof/>
                <w:sz w:val="20"/>
              </w:rPr>
            </w:pPr>
          </w:p>
        </w:tc>
        <w:tc>
          <w:tcPr>
            <w:tcW w:w="964" w:type="dxa"/>
            <w:vAlign w:val="center"/>
          </w:tcPr>
          <w:p w14:paraId="08027C45" w14:textId="77777777" w:rsidR="00E04CDE" w:rsidRDefault="00E04CDE" w:rsidP="002B76DD">
            <w:pPr>
              <w:spacing w:before="60" w:after="60"/>
              <w:jc w:val="center"/>
              <w:rPr>
                <w:noProof/>
                <w:sz w:val="20"/>
              </w:rPr>
            </w:pPr>
          </w:p>
        </w:tc>
        <w:tc>
          <w:tcPr>
            <w:tcW w:w="964" w:type="dxa"/>
            <w:vAlign w:val="center"/>
          </w:tcPr>
          <w:p w14:paraId="6266108C" w14:textId="77777777" w:rsidR="00E04CDE" w:rsidRDefault="00E04CDE" w:rsidP="002B76DD">
            <w:pPr>
              <w:spacing w:before="60" w:after="60"/>
              <w:jc w:val="center"/>
              <w:rPr>
                <w:noProof/>
                <w:sz w:val="20"/>
              </w:rPr>
            </w:pPr>
          </w:p>
        </w:tc>
        <w:tc>
          <w:tcPr>
            <w:tcW w:w="1158" w:type="dxa"/>
            <w:vAlign w:val="center"/>
          </w:tcPr>
          <w:p w14:paraId="0095AE85" w14:textId="77777777" w:rsidR="00E04CDE" w:rsidRDefault="00E04CDE" w:rsidP="002B76DD">
            <w:pPr>
              <w:spacing w:before="60" w:after="60"/>
              <w:jc w:val="center"/>
              <w:rPr>
                <w:noProof/>
                <w:sz w:val="20"/>
              </w:rPr>
            </w:pPr>
          </w:p>
        </w:tc>
      </w:tr>
      <w:tr w:rsidR="00E04CDE" w14:paraId="2874AF01" w14:textId="77777777" w:rsidTr="002B76DD">
        <w:trPr>
          <w:cantSplit/>
        </w:trPr>
        <w:tc>
          <w:tcPr>
            <w:tcW w:w="2340" w:type="dxa"/>
          </w:tcPr>
          <w:p w14:paraId="14803419" w14:textId="77777777" w:rsidR="00E04CDE" w:rsidRDefault="00E04CDE" w:rsidP="002B76DD">
            <w:pPr>
              <w:spacing w:before="60" w:after="60"/>
              <w:jc w:val="left"/>
              <w:rPr>
                <w:noProof/>
                <w:sz w:val="20"/>
              </w:rPr>
            </w:pPr>
            <w:r>
              <w:rPr>
                <w:noProof/>
                <w:sz w:val="20"/>
              </w:rPr>
              <w:t xml:space="preserve">TOTAL appropriations co-financed </w:t>
            </w:r>
          </w:p>
        </w:tc>
        <w:tc>
          <w:tcPr>
            <w:tcW w:w="964" w:type="dxa"/>
            <w:vAlign w:val="center"/>
          </w:tcPr>
          <w:p w14:paraId="155B612A" w14:textId="77777777" w:rsidR="00E04CDE" w:rsidRDefault="00E04CDE" w:rsidP="002B76DD">
            <w:pPr>
              <w:spacing w:before="60" w:after="60"/>
              <w:jc w:val="center"/>
              <w:rPr>
                <w:noProof/>
                <w:sz w:val="20"/>
              </w:rPr>
            </w:pPr>
          </w:p>
        </w:tc>
        <w:tc>
          <w:tcPr>
            <w:tcW w:w="964" w:type="dxa"/>
            <w:vAlign w:val="center"/>
          </w:tcPr>
          <w:p w14:paraId="6DAB3B52" w14:textId="77777777" w:rsidR="00E04CDE" w:rsidRDefault="00E04CDE" w:rsidP="002B76DD">
            <w:pPr>
              <w:spacing w:before="60" w:after="60"/>
              <w:jc w:val="center"/>
              <w:rPr>
                <w:noProof/>
                <w:sz w:val="20"/>
              </w:rPr>
            </w:pPr>
          </w:p>
        </w:tc>
        <w:tc>
          <w:tcPr>
            <w:tcW w:w="964" w:type="dxa"/>
            <w:vAlign w:val="center"/>
          </w:tcPr>
          <w:p w14:paraId="5D0F9DAE" w14:textId="77777777" w:rsidR="00E04CDE" w:rsidRDefault="00E04CDE" w:rsidP="002B76DD">
            <w:pPr>
              <w:spacing w:before="60" w:after="60"/>
              <w:jc w:val="center"/>
              <w:rPr>
                <w:noProof/>
                <w:sz w:val="20"/>
              </w:rPr>
            </w:pPr>
          </w:p>
        </w:tc>
        <w:tc>
          <w:tcPr>
            <w:tcW w:w="964" w:type="dxa"/>
            <w:vAlign w:val="center"/>
          </w:tcPr>
          <w:p w14:paraId="3B20F933" w14:textId="77777777" w:rsidR="00E04CDE" w:rsidRDefault="00E04CDE" w:rsidP="002B76DD">
            <w:pPr>
              <w:spacing w:before="60" w:after="60"/>
              <w:jc w:val="center"/>
              <w:rPr>
                <w:noProof/>
                <w:sz w:val="20"/>
              </w:rPr>
            </w:pPr>
          </w:p>
        </w:tc>
        <w:tc>
          <w:tcPr>
            <w:tcW w:w="964" w:type="dxa"/>
            <w:vAlign w:val="center"/>
          </w:tcPr>
          <w:p w14:paraId="7B04DCF6" w14:textId="77777777" w:rsidR="00E04CDE" w:rsidRDefault="00E04CDE" w:rsidP="002B76DD">
            <w:pPr>
              <w:spacing w:before="60" w:after="60"/>
              <w:jc w:val="center"/>
              <w:rPr>
                <w:noProof/>
                <w:sz w:val="20"/>
              </w:rPr>
            </w:pPr>
          </w:p>
        </w:tc>
        <w:tc>
          <w:tcPr>
            <w:tcW w:w="964" w:type="dxa"/>
            <w:vAlign w:val="center"/>
          </w:tcPr>
          <w:p w14:paraId="049DB57E" w14:textId="77777777" w:rsidR="00E04CDE" w:rsidRDefault="00E04CDE" w:rsidP="002B76DD">
            <w:pPr>
              <w:spacing w:before="60" w:after="60"/>
              <w:jc w:val="center"/>
              <w:rPr>
                <w:noProof/>
                <w:sz w:val="20"/>
              </w:rPr>
            </w:pPr>
          </w:p>
        </w:tc>
        <w:tc>
          <w:tcPr>
            <w:tcW w:w="964" w:type="dxa"/>
            <w:vAlign w:val="center"/>
          </w:tcPr>
          <w:p w14:paraId="31485A72" w14:textId="77777777" w:rsidR="00E04CDE" w:rsidRDefault="00E04CDE" w:rsidP="002B76DD">
            <w:pPr>
              <w:spacing w:before="60" w:after="60"/>
              <w:jc w:val="center"/>
              <w:rPr>
                <w:noProof/>
                <w:sz w:val="20"/>
              </w:rPr>
            </w:pPr>
          </w:p>
        </w:tc>
        <w:tc>
          <w:tcPr>
            <w:tcW w:w="1158" w:type="dxa"/>
            <w:vAlign w:val="center"/>
          </w:tcPr>
          <w:p w14:paraId="3FC29FAE" w14:textId="77777777" w:rsidR="00E04CDE" w:rsidRDefault="00E04CDE" w:rsidP="002B76DD">
            <w:pPr>
              <w:spacing w:before="60" w:after="60"/>
              <w:jc w:val="center"/>
              <w:rPr>
                <w:noProof/>
                <w:sz w:val="20"/>
              </w:rPr>
            </w:pPr>
          </w:p>
        </w:tc>
      </w:tr>
    </w:tbl>
    <w:p w14:paraId="1F6A7635" w14:textId="77777777" w:rsidR="00E04CDE" w:rsidRDefault="00E04CDE" w:rsidP="00E04CDE">
      <w:pPr>
        <w:rPr>
          <w:noProof/>
        </w:rPr>
      </w:pPr>
      <w:r>
        <w:rPr>
          <w:noProof/>
        </w:rPr>
        <w:br/>
      </w:r>
    </w:p>
    <w:p w14:paraId="5245959C" w14:textId="5AB42488" w:rsidR="00E04CDE" w:rsidRDefault="00E04CDE" w:rsidP="00EF15A7">
      <w:pPr>
        <w:pStyle w:val="ManualHeading2"/>
        <w:rPr>
          <w:bCs/>
          <w:noProof/>
          <w:szCs w:val="24"/>
        </w:rPr>
      </w:pPr>
      <w:r>
        <w:rPr>
          <w:noProof/>
        </w:rPr>
        <w:br w:type="page"/>
      </w:r>
      <w:r w:rsidR="00EF15A7" w:rsidRPr="00EF15A7">
        <w:t>3.3.</w:t>
      </w:r>
      <w:r w:rsidR="00EF15A7" w:rsidRPr="00EF15A7">
        <w:tab/>
      </w:r>
      <w:r>
        <w:rPr>
          <w:noProof/>
        </w:rPr>
        <w:t xml:space="preserve">Estimated impact on revenue </w:t>
      </w:r>
    </w:p>
    <w:p w14:paraId="52897104" w14:textId="77777777" w:rsidR="00E04CDE" w:rsidRDefault="00E04CDE" w:rsidP="00E04CDE">
      <w:pPr>
        <w:pStyle w:val="ListDash1"/>
        <w:rPr>
          <w:noProof/>
        </w:rPr>
      </w:pPr>
      <w:r>
        <w:rPr>
          <w:noProof/>
        </w:rPr>
        <w:sym w:font="Wingdings" w:char="F0A8"/>
      </w:r>
      <w:r>
        <w:rPr>
          <w:noProof/>
        </w:rPr>
        <w:tab/>
        <w:t>The proposal/initiative has no financial impact on revenue.</w:t>
      </w:r>
    </w:p>
    <w:p w14:paraId="7DC17D24" w14:textId="77777777" w:rsidR="00E04CDE" w:rsidRDefault="00E04CDE" w:rsidP="00E04CDE">
      <w:pPr>
        <w:pStyle w:val="ListDash1"/>
        <w:rPr>
          <w:noProof/>
        </w:rPr>
      </w:pPr>
      <w:r>
        <w:rPr>
          <w:noProof/>
        </w:rPr>
        <w:sym w:font="Wingdings" w:char="F0FE"/>
      </w:r>
      <w:r>
        <w:rPr>
          <w:noProof/>
        </w:rPr>
        <w:tab/>
        <w:t>The proposal/initiative has the following financial impact:</w:t>
      </w:r>
    </w:p>
    <w:p w14:paraId="02EAD45B" w14:textId="77777777" w:rsidR="00E04CDE" w:rsidRDefault="00E04CDE" w:rsidP="00E04CDE">
      <w:pPr>
        <w:pStyle w:val="ListNumberLevel3"/>
        <w:rPr>
          <w:noProof/>
        </w:rPr>
      </w:pPr>
      <w:r>
        <w:rPr>
          <w:noProof/>
        </w:rPr>
        <w:sym w:font="Wingdings" w:char="F0A8"/>
      </w:r>
      <w:r>
        <w:rPr>
          <w:noProof/>
        </w:rPr>
        <w:tab/>
        <w:t xml:space="preserve">on own resources </w:t>
      </w:r>
    </w:p>
    <w:p w14:paraId="05E1475B" w14:textId="77777777" w:rsidR="00E04CDE" w:rsidRDefault="00E04CDE" w:rsidP="00E04CDE">
      <w:pPr>
        <w:pStyle w:val="ListNumberLevel3"/>
        <w:rPr>
          <w:noProof/>
        </w:rPr>
      </w:pPr>
      <w:r>
        <w:rPr>
          <w:noProof/>
        </w:rPr>
        <w:sym w:font="Wingdings" w:char="F0FE"/>
      </w:r>
      <w:r>
        <w:rPr>
          <w:noProof/>
        </w:rPr>
        <w:tab/>
        <w:t>on other revenue</w:t>
      </w:r>
    </w:p>
    <w:p w14:paraId="2E7B2C8D" w14:textId="77777777" w:rsidR="00E04CDE" w:rsidRDefault="00E04CDE" w:rsidP="00E04CDE">
      <w:pPr>
        <w:pStyle w:val="ListNumberLevel3"/>
        <w:rPr>
          <w:noProof/>
        </w:rPr>
      </w:pPr>
      <w:r w:rsidRPr="009B753E">
        <w:rPr>
          <w:noProof/>
        </w:rPr>
        <w:t xml:space="preserve">please indicate, if the revenue is assigned to expenditure lines </w:t>
      </w:r>
      <w:r w:rsidRPr="009B753E">
        <w:rPr>
          <w:noProof/>
        </w:rPr>
        <w:sym w:font="Wingdings" w:char="F0A8"/>
      </w:r>
      <w:r>
        <w:rPr>
          <w:noProof/>
        </w:rPr>
        <w:tab/>
      </w:r>
    </w:p>
    <w:p w14:paraId="4668FA6D" w14:textId="77777777" w:rsidR="00E04CDE" w:rsidRDefault="00E04CDE" w:rsidP="00E04CDE">
      <w:pPr>
        <w:ind w:left="4320"/>
        <w:rPr>
          <w:i/>
          <w:noProof/>
          <w:sz w:val="20"/>
        </w:rPr>
      </w:pPr>
      <w:r>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E04CDE" w14:paraId="24258887" w14:textId="77777777" w:rsidTr="002B76DD">
        <w:trPr>
          <w:trHeight w:val="388"/>
        </w:trPr>
        <w:tc>
          <w:tcPr>
            <w:tcW w:w="2144" w:type="dxa"/>
            <w:vMerge w:val="restart"/>
            <w:vAlign w:val="center"/>
          </w:tcPr>
          <w:p w14:paraId="445BF0B1" w14:textId="77777777" w:rsidR="00E04CDE" w:rsidRDefault="00E04CDE" w:rsidP="002B76DD">
            <w:pPr>
              <w:spacing w:before="40" w:after="40"/>
              <w:rPr>
                <w:noProof/>
                <w:sz w:val="18"/>
              </w:rPr>
            </w:pPr>
            <w:r>
              <w:rPr>
                <w:noProof/>
                <w:sz w:val="18"/>
              </w:rPr>
              <w:t>Budget revenue line:</w:t>
            </w:r>
          </w:p>
        </w:tc>
        <w:tc>
          <w:tcPr>
            <w:tcW w:w="1325" w:type="dxa"/>
            <w:vMerge w:val="restart"/>
            <w:vAlign w:val="center"/>
          </w:tcPr>
          <w:p w14:paraId="162D843B" w14:textId="77777777" w:rsidR="00E04CDE" w:rsidRDefault="00E04CDE" w:rsidP="002B76DD">
            <w:pPr>
              <w:jc w:val="center"/>
              <w:rPr>
                <w:noProof/>
                <w:sz w:val="18"/>
              </w:rPr>
            </w:pPr>
            <w:r>
              <w:rPr>
                <w:noProof/>
                <w:sz w:val="18"/>
              </w:rPr>
              <w:t>Appropriations available for the current financial year</w:t>
            </w:r>
          </w:p>
        </w:tc>
        <w:tc>
          <w:tcPr>
            <w:tcW w:w="7151" w:type="dxa"/>
            <w:gridSpan w:val="7"/>
            <w:vAlign w:val="center"/>
          </w:tcPr>
          <w:p w14:paraId="6B367B4F" w14:textId="77777777" w:rsidR="00E04CDE" w:rsidRDefault="00E04CDE" w:rsidP="002B76DD">
            <w:pPr>
              <w:jc w:val="center"/>
              <w:rPr>
                <w:noProof/>
                <w:sz w:val="18"/>
              </w:rPr>
            </w:pPr>
            <w:r>
              <w:rPr>
                <w:noProof/>
                <w:sz w:val="18"/>
              </w:rPr>
              <w:t>Impact of the proposal/initiative</w:t>
            </w:r>
            <w:r>
              <w:rPr>
                <w:rStyle w:val="FootnoteReference"/>
                <w:noProof/>
                <w:sz w:val="18"/>
              </w:rPr>
              <w:footnoteReference w:id="83"/>
            </w:r>
          </w:p>
        </w:tc>
      </w:tr>
      <w:tr w:rsidR="00E04CDE" w14:paraId="4735FFA4" w14:textId="77777777" w:rsidTr="002B76DD">
        <w:trPr>
          <w:trHeight w:val="388"/>
        </w:trPr>
        <w:tc>
          <w:tcPr>
            <w:tcW w:w="2144" w:type="dxa"/>
            <w:vMerge/>
          </w:tcPr>
          <w:p w14:paraId="4EF35C36" w14:textId="77777777" w:rsidR="00E04CDE" w:rsidRDefault="00E04CDE" w:rsidP="002B76DD">
            <w:pPr>
              <w:spacing w:before="40" w:after="40"/>
              <w:rPr>
                <w:noProof/>
                <w:sz w:val="18"/>
              </w:rPr>
            </w:pPr>
          </w:p>
        </w:tc>
        <w:tc>
          <w:tcPr>
            <w:tcW w:w="1325" w:type="dxa"/>
            <w:vMerge/>
          </w:tcPr>
          <w:p w14:paraId="69257428" w14:textId="77777777" w:rsidR="00E04CDE" w:rsidRDefault="00E04CDE" w:rsidP="002B76DD">
            <w:pPr>
              <w:spacing w:beforeLines="40" w:before="96" w:afterLines="40" w:after="96"/>
              <w:rPr>
                <w:i/>
                <w:noProof/>
                <w:sz w:val="18"/>
              </w:rPr>
            </w:pPr>
          </w:p>
        </w:tc>
        <w:tc>
          <w:tcPr>
            <w:tcW w:w="1031" w:type="dxa"/>
            <w:vAlign w:val="center"/>
          </w:tcPr>
          <w:p w14:paraId="5CE61BFD" w14:textId="77777777" w:rsidR="00E04CDE" w:rsidRDefault="00E04CDE" w:rsidP="002B76DD">
            <w:pPr>
              <w:jc w:val="center"/>
              <w:rPr>
                <w:noProof/>
                <w:sz w:val="18"/>
              </w:rPr>
            </w:pPr>
            <w:r>
              <w:rPr>
                <w:noProof/>
                <w:sz w:val="18"/>
              </w:rPr>
              <w:t>Year</w:t>
            </w:r>
            <w:r>
              <w:rPr>
                <w:noProof/>
                <w:sz w:val="22"/>
              </w:rPr>
              <w:br/>
            </w:r>
            <w:r>
              <w:rPr>
                <w:b/>
                <w:noProof/>
                <w:sz w:val="18"/>
              </w:rPr>
              <w:t>N</w:t>
            </w:r>
          </w:p>
        </w:tc>
        <w:tc>
          <w:tcPr>
            <w:tcW w:w="900" w:type="dxa"/>
            <w:vAlign w:val="center"/>
          </w:tcPr>
          <w:p w14:paraId="02CCA39D" w14:textId="77777777" w:rsidR="00E04CDE" w:rsidRDefault="00E04CDE" w:rsidP="002B76DD">
            <w:pPr>
              <w:jc w:val="center"/>
              <w:rPr>
                <w:noProof/>
                <w:sz w:val="18"/>
              </w:rPr>
            </w:pPr>
            <w:r>
              <w:rPr>
                <w:noProof/>
                <w:sz w:val="18"/>
              </w:rPr>
              <w:t>Year</w:t>
            </w:r>
            <w:r>
              <w:rPr>
                <w:noProof/>
                <w:sz w:val="22"/>
              </w:rPr>
              <w:br/>
            </w:r>
            <w:r>
              <w:rPr>
                <w:b/>
                <w:noProof/>
                <w:sz w:val="18"/>
              </w:rPr>
              <w:t>N+1</w:t>
            </w:r>
          </w:p>
        </w:tc>
        <w:tc>
          <w:tcPr>
            <w:tcW w:w="900" w:type="dxa"/>
            <w:vAlign w:val="center"/>
          </w:tcPr>
          <w:p w14:paraId="7FAD6452" w14:textId="77777777" w:rsidR="00E04CDE" w:rsidRDefault="00E04CDE" w:rsidP="002B76DD">
            <w:pPr>
              <w:jc w:val="center"/>
              <w:rPr>
                <w:noProof/>
                <w:sz w:val="18"/>
              </w:rPr>
            </w:pPr>
            <w:r>
              <w:rPr>
                <w:noProof/>
                <w:sz w:val="18"/>
              </w:rPr>
              <w:t>Year</w:t>
            </w:r>
            <w:r>
              <w:rPr>
                <w:noProof/>
                <w:sz w:val="22"/>
              </w:rPr>
              <w:br/>
            </w:r>
            <w:r>
              <w:rPr>
                <w:b/>
                <w:noProof/>
                <w:sz w:val="18"/>
              </w:rPr>
              <w:t>N+2</w:t>
            </w:r>
          </w:p>
        </w:tc>
        <w:tc>
          <w:tcPr>
            <w:tcW w:w="1080" w:type="dxa"/>
            <w:vAlign w:val="center"/>
          </w:tcPr>
          <w:p w14:paraId="39EE9707" w14:textId="77777777" w:rsidR="00E04CDE" w:rsidRDefault="00E04CDE" w:rsidP="002B76DD">
            <w:pPr>
              <w:jc w:val="center"/>
              <w:rPr>
                <w:noProof/>
                <w:sz w:val="18"/>
              </w:rPr>
            </w:pPr>
            <w:r>
              <w:rPr>
                <w:noProof/>
                <w:sz w:val="18"/>
              </w:rPr>
              <w:t>Year</w:t>
            </w:r>
            <w:r>
              <w:rPr>
                <w:noProof/>
                <w:sz w:val="22"/>
              </w:rPr>
              <w:br/>
            </w:r>
            <w:r>
              <w:rPr>
                <w:b/>
                <w:noProof/>
                <w:sz w:val="18"/>
              </w:rPr>
              <w:t>N+3</w:t>
            </w:r>
          </w:p>
        </w:tc>
        <w:tc>
          <w:tcPr>
            <w:tcW w:w="3240" w:type="dxa"/>
            <w:gridSpan w:val="3"/>
            <w:vAlign w:val="center"/>
          </w:tcPr>
          <w:p w14:paraId="1124AE0E" w14:textId="77777777" w:rsidR="00E04CDE" w:rsidRDefault="00E04CDE" w:rsidP="002B76DD">
            <w:pPr>
              <w:jc w:val="center"/>
              <w:rPr>
                <w:b/>
                <w:noProof/>
                <w:sz w:val="18"/>
              </w:rPr>
            </w:pPr>
            <w:r>
              <w:rPr>
                <w:noProof/>
                <w:sz w:val="18"/>
              </w:rPr>
              <w:t>Enter as many years as necessary to show the duration of the impact (see point 1.6)</w:t>
            </w:r>
          </w:p>
        </w:tc>
      </w:tr>
      <w:tr w:rsidR="00E04CDE" w14:paraId="6905D294" w14:textId="77777777" w:rsidTr="002B76DD">
        <w:trPr>
          <w:trHeight w:val="388"/>
        </w:trPr>
        <w:tc>
          <w:tcPr>
            <w:tcW w:w="2144" w:type="dxa"/>
            <w:vAlign w:val="center"/>
          </w:tcPr>
          <w:p w14:paraId="7D9D0506" w14:textId="77777777" w:rsidR="00E04CDE" w:rsidRDefault="00E04CDE" w:rsidP="002B76DD">
            <w:pPr>
              <w:spacing w:before="40" w:after="40"/>
              <w:rPr>
                <w:noProof/>
                <w:sz w:val="18"/>
              </w:rPr>
            </w:pPr>
            <w:r>
              <w:rPr>
                <w:noProof/>
                <w:sz w:val="18"/>
              </w:rPr>
              <w:t>Article ………….</w:t>
            </w:r>
          </w:p>
        </w:tc>
        <w:tc>
          <w:tcPr>
            <w:tcW w:w="1325" w:type="dxa"/>
          </w:tcPr>
          <w:p w14:paraId="0BD6BE34" w14:textId="77777777" w:rsidR="00E04CDE" w:rsidRDefault="00E04CDE" w:rsidP="002B76DD">
            <w:pPr>
              <w:spacing w:beforeLines="40" w:before="96" w:afterLines="40" w:after="96"/>
              <w:jc w:val="center"/>
              <w:rPr>
                <w:i/>
                <w:noProof/>
                <w:sz w:val="18"/>
              </w:rPr>
            </w:pPr>
          </w:p>
        </w:tc>
        <w:tc>
          <w:tcPr>
            <w:tcW w:w="1031" w:type="dxa"/>
          </w:tcPr>
          <w:p w14:paraId="484B90A8" w14:textId="77777777" w:rsidR="00E04CDE" w:rsidRDefault="00E04CDE" w:rsidP="002B76DD">
            <w:pPr>
              <w:spacing w:beforeLines="40" w:before="96" w:afterLines="40" w:after="96"/>
              <w:jc w:val="center"/>
              <w:rPr>
                <w:noProof/>
                <w:sz w:val="18"/>
              </w:rPr>
            </w:pPr>
            <w:r>
              <w:rPr>
                <w:noProof/>
                <w:sz w:val="18"/>
              </w:rPr>
              <w:t>p.m.</w:t>
            </w:r>
          </w:p>
        </w:tc>
        <w:tc>
          <w:tcPr>
            <w:tcW w:w="900" w:type="dxa"/>
          </w:tcPr>
          <w:p w14:paraId="15F9469D" w14:textId="77777777" w:rsidR="00E04CDE" w:rsidRDefault="00E04CDE" w:rsidP="002B76DD">
            <w:pPr>
              <w:spacing w:beforeLines="40" w:before="96" w:afterLines="40" w:after="96"/>
              <w:jc w:val="center"/>
              <w:rPr>
                <w:noProof/>
                <w:sz w:val="18"/>
              </w:rPr>
            </w:pPr>
          </w:p>
        </w:tc>
        <w:tc>
          <w:tcPr>
            <w:tcW w:w="900" w:type="dxa"/>
          </w:tcPr>
          <w:p w14:paraId="1716B6C0" w14:textId="77777777" w:rsidR="00E04CDE" w:rsidRDefault="00E04CDE" w:rsidP="002B76DD">
            <w:pPr>
              <w:spacing w:beforeLines="40" w:before="96" w:afterLines="40" w:after="96"/>
              <w:jc w:val="center"/>
              <w:rPr>
                <w:noProof/>
                <w:sz w:val="18"/>
              </w:rPr>
            </w:pPr>
          </w:p>
        </w:tc>
        <w:tc>
          <w:tcPr>
            <w:tcW w:w="1080" w:type="dxa"/>
          </w:tcPr>
          <w:p w14:paraId="5D6DA2B0" w14:textId="77777777" w:rsidR="00E04CDE" w:rsidRDefault="00E04CDE" w:rsidP="002B76DD">
            <w:pPr>
              <w:spacing w:beforeLines="40" w:before="96" w:afterLines="40" w:after="96"/>
              <w:jc w:val="center"/>
              <w:rPr>
                <w:noProof/>
                <w:sz w:val="18"/>
              </w:rPr>
            </w:pPr>
          </w:p>
        </w:tc>
        <w:tc>
          <w:tcPr>
            <w:tcW w:w="1080" w:type="dxa"/>
          </w:tcPr>
          <w:p w14:paraId="520729F4" w14:textId="77777777" w:rsidR="00E04CDE" w:rsidRDefault="00E04CDE" w:rsidP="002B76DD">
            <w:pPr>
              <w:spacing w:beforeLines="40" w:before="96" w:afterLines="40" w:after="96"/>
              <w:jc w:val="center"/>
              <w:rPr>
                <w:noProof/>
                <w:sz w:val="18"/>
              </w:rPr>
            </w:pPr>
          </w:p>
        </w:tc>
        <w:tc>
          <w:tcPr>
            <w:tcW w:w="1080" w:type="dxa"/>
          </w:tcPr>
          <w:p w14:paraId="77E164AE" w14:textId="77777777" w:rsidR="00E04CDE" w:rsidRDefault="00E04CDE" w:rsidP="002B76DD">
            <w:pPr>
              <w:spacing w:beforeLines="40" w:before="96" w:afterLines="40" w:after="96"/>
              <w:jc w:val="center"/>
              <w:rPr>
                <w:noProof/>
                <w:sz w:val="18"/>
              </w:rPr>
            </w:pPr>
          </w:p>
        </w:tc>
        <w:tc>
          <w:tcPr>
            <w:tcW w:w="1080" w:type="dxa"/>
          </w:tcPr>
          <w:p w14:paraId="1CE06EC2" w14:textId="77777777" w:rsidR="00E04CDE" w:rsidRDefault="00E04CDE" w:rsidP="002B76DD">
            <w:pPr>
              <w:spacing w:beforeLines="40" w:before="96" w:afterLines="40" w:after="96"/>
              <w:jc w:val="center"/>
              <w:rPr>
                <w:noProof/>
                <w:sz w:val="18"/>
              </w:rPr>
            </w:pPr>
          </w:p>
        </w:tc>
      </w:tr>
    </w:tbl>
    <w:p w14:paraId="1F6C6A42" w14:textId="77777777" w:rsidR="00E04CDE" w:rsidRDefault="00E04CDE" w:rsidP="00E04CDE">
      <w:pPr>
        <w:pStyle w:val="Text1"/>
        <w:rPr>
          <w:noProof/>
          <w:sz w:val="20"/>
        </w:rPr>
      </w:pPr>
      <w:r>
        <w:rPr>
          <w:noProof/>
          <w:sz w:val="20"/>
        </w:rPr>
        <w:t>For assigned revenue, specify the budget expenditure line(s) affected.</w:t>
      </w:r>
    </w:p>
    <w:p w14:paraId="1D352E6F" w14:textId="77777777" w:rsidR="00E04CDE" w:rsidRDefault="00E04CDE" w:rsidP="00E04CDE">
      <w:pPr>
        <w:pStyle w:val="Text1"/>
        <w:pBdr>
          <w:top w:val="single" w:sz="4" w:space="1" w:color="auto"/>
          <w:left w:val="single" w:sz="4" w:space="4" w:color="auto"/>
          <w:bottom w:val="single" w:sz="4" w:space="1" w:color="auto"/>
          <w:right w:val="single" w:sz="4" w:space="4" w:color="auto"/>
        </w:pBdr>
        <w:rPr>
          <w:noProof/>
        </w:rPr>
      </w:pPr>
      <w:r>
        <w:rPr>
          <w:noProof/>
        </w:rPr>
        <w:t>11.1002 (eu-LISA), 11.0201 (BMVI)</w:t>
      </w:r>
    </w:p>
    <w:p w14:paraId="1C43249B" w14:textId="77777777" w:rsidR="00E04CDE" w:rsidRDefault="00E04CDE" w:rsidP="00E04CDE">
      <w:pPr>
        <w:pStyle w:val="Text1"/>
        <w:rPr>
          <w:noProof/>
          <w:sz w:val="20"/>
        </w:rPr>
      </w:pPr>
      <w:r>
        <w:rPr>
          <w:noProof/>
          <w:sz w:val="20"/>
        </w:rPr>
        <w:t xml:space="preserve">Other remarks (e.g. method/formula used for calculating </w:t>
      </w:r>
      <w:r w:rsidRPr="009B753E">
        <w:rPr>
          <w:noProof/>
          <w:sz w:val="20"/>
        </w:rPr>
        <w:t>the impact on revenue or any other information).</w:t>
      </w:r>
    </w:p>
    <w:p w14:paraId="56DFFE56" w14:textId="77777777" w:rsidR="00E04CDE" w:rsidRDefault="00E04CDE" w:rsidP="00E04CDE">
      <w:pPr>
        <w:pBdr>
          <w:top w:val="single" w:sz="4" w:space="1" w:color="auto"/>
          <w:left w:val="single" w:sz="4" w:space="4" w:color="auto"/>
          <w:bottom w:val="single" w:sz="4" w:space="1" w:color="auto"/>
          <w:right w:val="single" w:sz="4" w:space="4" w:color="auto"/>
        </w:pBdr>
        <w:ind w:left="850"/>
        <w:rPr>
          <w:noProof/>
        </w:rPr>
      </w:pPr>
      <w:r>
        <w:rPr>
          <w:rFonts w:eastAsia="Times New Roman"/>
          <w:noProof/>
          <w:szCs w:val="24"/>
        </w:rPr>
        <w:t xml:space="preserve">The budget shall include a contribution from countries associated with the implementation, application and development of the Schengen </w:t>
      </w:r>
      <w:r w:rsidRPr="00EC0933">
        <w:rPr>
          <w:rFonts w:eastAsia="Times New Roman"/>
          <w:i/>
          <w:noProof/>
          <w:szCs w:val="24"/>
        </w:rPr>
        <w:t>acquis</w:t>
      </w:r>
      <w:r>
        <w:rPr>
          <w:rFonts w:eastAsia="Times New Roman"/>
          <w:noProof/>
          <w:szCs w:val="24"/>
        </w:rPr>
        <w:t xml:space="preserve"> and the visa digitalisation related measures as laid down in the respective agreements in force. The estimates shall be based on calculations for revenues for the implementation of the Schengen </w:t>
      </w:r>
      <w:r w:rsidRPr="00EC0933">
        <w:rPr>
          <w:rFonts w:eastAsia="Times New Roman"/>
          <w:i/>
          <w:noProof/>
          <w:szCs w:val="24"/>
        </w:rPr>
        <w:t>acquis</w:t>
      </w:r>
      <w:r>
        <w:rPr>
          <w:rFonts w:eastAsia="Times New Roman"/>
          <w:noProof/>
          <w:szCs w:val="24"/>
        </w:rPr>
        <w:t xml:space="preserve"> from the States that currently contribute (Iceland, Norway and Switzerland) to the general budget of the European Union (consumed payments) an annual sum for the relevant financial year, calculated in accordance with its gross domestic product as a percentage of the gross domestic product of all the participating States. The calculation shall be based on figures from EUROSTAT which are subject to considerable variation depending on the economic situation of the participating States.</w:t>
      </w:r>
    </w:p>
    <w:p w14:paraId="6A2D13A3" w14:textId="77777777" w:rsidR="00E04CDE" w:rsidRPr="00E04CDE" w:rsidRDefault="00E04CDE" w:rsidP="00E04CDE">
      <w:pPr>
        <w:rPr>
          <w:noProof/>
        </w:rPr>
      </w:pPr>
    </w:p>
    <w:sectPr w:rsidR="00E04CDE" w:rsidRPr="00E04CDE" w:rsidSect="00FB3ECA">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36E6D" w14:textId="77777777" w:rsidR="00BF1B5D" w:rsidRDefault="00BF1B5D" w:rsidP="00A40E24">
      <w:pPr>
        <w:spacing w:before="0" w:after="0"/>
      </w:pPr>
      <w:r>
        <w:separator/>
      </w:r>
    </w:p>
  </w:endnote>
  <w:endnote w:type="continuationSeparator" w:id="0">
    <w:p w14:paraId="213EC4F4" w14:textId="77777777" w:rsidR="00BF1B5D" w:rsidRDefault="00BF1B5D" w:rsidP="00A40E24">
      <w:pPr>
        <w:spacing w:before="0" w:after="0"/>
      </w:pPr>
      <w:r>
        <w:continuationSeparator/>
      </w:r>
    </w:p>
  </w:endnote>
  <w:endnote w:type="continuationNotice" w:id="1">
    <w:p w14:paraId="79868302" w14:textId="77777777" w:rsidR="00BF1B5D" w:rsidRDefault="00BF1B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6A882" w14:textId="778B9119" w:rsidR="00A66C84" w:rsidRPr="00FB3ECA" w:rsidRDefault="00FB3ECA" w:rsidP="00FB3ECA">
    <w:pPr>
      <w:pStyle w:val="Footer"/>
      <w:rPr>
        <w:rFonts w:ascii="Arial" w:hAnsi="Arial" w:cs="Arial"/>
        <w:b/>
        <w:sz w:val="48"/>
      </w:rPr>
    </w:pPr>
    <w:r w:rsidRPr="00FB3ECA">
      <w:rPr>
        <w:rFonts w:ascii="Arial" w:hAnsi="Arial" w:cs="Arial"/>
        <w:b/>
        <w:sz w:val="48"/>
      </w:rPr>
      <w:t>EN</w:t>
    </w:r>
    <w:r w:rsidRPr="00FB3ECA">
      <w:rPr>
        <w:rFonts w:ascii="Arial" w:hAnsi="Arial" w:cs="Arial"/>
        <w:b/>
        <w:sz w:val="48"/>
      </w:rPr>
      <w:tab/>
    </w:r>
    <w:r w:rsidRPr="00FB3ECA">
      <w:rPr>
        <w:rFonts w:ascii="Arial" w:hAnsi="Arial" w:cs="Arial"/>
        <w:b/>
        <w:sz w:val="48"/>
      </w:rPr>
      <w:tab/>
    </w:r>
    <w:r w:rsidRPr="00FB3ECA">
      <w:tab/>
    </w:r>
    <w:r w:rsidRPr="00FB3EC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DFD60" w14:textId="4BD8A358" w:rsidR="00FB3ECA" w:rsidRPr="00FB3ECA" w:rsidRDefault="00FB3ECA" w:rsidP="00FB3ECA">
    <w:pPr>
      <w:pStyle w:val="Footer"/>
      <w:rPr>
        <w:rFonts w:ascii="Arial" w:hAnsi="Arial" w:cs="Arial"/>
        <w:b/>
        <w:sz w:val="48"/>
      </w:rPr>
    </w:pPr>
    <w:r w:rsidRPr="00FB3ECA">
      <w:rPr>
        <w:rFonts w:ascii="Arial" w:hAnsi="Arial" w:cs="Arial"/>
        <w:b/>
        <w:sz w:val="48"/>
      </w:rPr>
      <w:t>EN</w:t>
    </w:r>
    <w:r w:rsidRPr="00FB3ECA">
      <w:rPr>
        <w:rFonts w:ascii="Arial" w:hAnsi="Arial" w:cs="Arial"/>
        <w:b/>
        <w:sz w:val="48"/>
      </w:rPr>
      <w:tab/>
    </w:r>
    <w:r>
      <w:fldChar w:fldCharType="begin"/>
    </w:r>
    <w:r>
      <w:instrText xml:space="preserve"> PAGE  \* MERGEFORMAT </w:instrText>
    </w:r>
    <w:r>
      <w:fldChar w:fldCharType="separate"/>
    </w:r>
    <w:r w:rsidR="00AC7C40">
      <w:rPr>
        <w:noProof/>
      </w:rPr>
      <w:t>50</w:t>
    </w:r>
    <w:r>
      <w:fldChar w:fldCharType="end"/>
    </w:r>
    <w:r>
      <w:tab/>
    </w:r>
    <w:r w:rsidRPr="00FB3ECA">
      <w:tab/>
    </w:r>
    <w:r w:rsidRPr="00FB3EC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605F" w14:textId="77777777" w:rsidR="00FB3ECA" w:rsidRPr="00FB3ECA" w:rsidRDefault="00FB3ECA" w:rsidP="00FB3E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C99EB" w14:textId="536F39AF" w:rsidR="00FB3ECA" w:rsidRPr="00FB3ECA" w:rsidRDefault="00FB3ECA" w:rsidP="00FB3ECA">
    <w:pPr>
      <w:pStyle w:val="FooterLandscape"/>
      <w:rPr>
        <w:rFonts w:ascii="Arial" w:hAnsi="Arial" w:cs="Arial"/>
        <w:b/>
        <w:sz w:val="48"/>
      </w:rPr>
    </w:pPr>
    <w:r w:rsidRPr="00FB3ECA">
      <w:rPr>
        <w:rFonts w:ascii="Arial" w:hAnsi="Arial" w:cs="Arial"/>
        <w:b/>
        <w:sz w:val="48"/>
      </w:rPr>
      <w:t>EN</w:t>
    </w:r>
    <w:r w:rsidRPr="00FB3EC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B3ECA">
      <w:tab/>
    </w:r>
    <w:r w:rsidRPr="00FB3ECA">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D3F22" w14:textId="77777777" w:rsidR="00FB3ECA" w:rsidRPr="00FB3ECA" w:rsidRDefault="00FB3ECA" w:rsidP="00FB3ECA">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782C1" w14:textId="0FE2EC96" w:rsidR="007B6BAB" w:rsidRPr="00FB3ECA" w:rsidRDefault="00FB3ECA" w:rsidP="00FB3ECA">
    <w:pPr>
      <w:pStyle w:val="Footer"/>
      <w:rPr>
        <w:rFonts w:ascii="Arial" w:hAnsi="Arial" w:cs="Arial"/>
        <w:b/>
        <w:sz w:val="48"/>
      </w:rPr>
    </w:pPr>
    <w:r w:rsidRPr="00FB3ECA">
      <w:rPr>
        <w:rFonts w:ascii="Arial" w:hAnsi="Arial" w:cs="Arial"/>
        <w:b/>
        <w:sz w:val="48"/>
      </w:rPr>
      <w:t>EN</w:t>
    </w:r>
    <w:r w:rsidRPr="00FB3EC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B3ECA">
      <w:tab/>
    </w:r>
    <w:r w:rsidRPr="00FB3ECA">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FD18E" w14:textId="77777777" w:rsidR="00FB3ECA" w:rsidRPr="00FB3ECA" w:rsidRDefault="00FB3ECA" w:rsidP="00FB3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39767" w14:textId="77777777" w:rsidR="00BF1B5D" w:rsidRDefault="00BF1B5D" w:rsidP="00A40E24">
      <w:pPr>
        <w:spacing w:before="0" w:after="0"/>
      </w:pPr>
      <w:r>
        <w:separator/>
      </w:r>
    </w:p>
  </w:footnote>
  <w:footnote w:type="continuationSeparator" w:id="0">
    <w:p w14:paraId="722D2A2A" w14:textId="77777777" w:rsidR="00BF1B5D" w:rsidRDefault="00BF1B5D" w:rsidP="00A40E24">
      <w:pPr>
        <w:spacing w:before="0" w:after="0"/>
      </w:pPr>
      <w:r>
        <w:continuationSeparator/>
      </w:r>
    </w:p>
  </w:footnote>
  <w:footnote w:type="continuationNotice" w:id="1">
    <w:p w14:paraId="217E5C68" w14:textId="77777777" w:rsidR="00BF1B5D" w:rsidRDefault="00BF1B5D">
      <w:pPr>
        <w:spacing w:before="0" w:after="0"/>
      </w:pPr>
    </w:p>
  </w:footnote>
  <w:footnote w:id="2">
    <w:p w14:paraId="2AB9DABF" w14:textId="77777777" w:rsidR="007B6BAB" w:rsidRPr="00D3596C" w:rsidRDefault="007B6BAB" w:rsidP="00C61CEB">
      <w:pPr>
        <w:pStyle w:val="FootnoteText"/>
        <w:rPr>
          <w:lang w:val="en-IE"/>
        </w:rPr>
      </w:pPr>
      <w:r w:rsidRPr="006048C8">
        <w:rPr>
          <w:rStyle w:val="FootnoteReference"/>
        </w:rPr>
        <w:footnoteRef/>
      </w:r>
      <w:r>
        <w:tab/>
        <w:t xml:space="preserve">Regulation (EC) No 810/2009 of the European Parliament and of the Council of 13 July 2009 establishing a Community Code on Visas (Visa Code) (OJ L 243, 15.9.2009, p. 1). </w:t>
      </w:r>
    </w:p>
  </w:footnote>
  <w:footnote w:id="3">
    <w:p w14:paraId="37099BA4" w14:textId="77777777" w:rsidR="007B6BAB" w:rsidRPr="00D3596C" w:rsidRDefault="007B6BAB" w:rsidP="00C61CEB">
      <w:pPr>
        <w:pStyle w:val="FootnoteText"/>
        <w:rPr>
          <w:lang w:val="en-IE"/>
        </w:rPr>
      </w:pPr>
      <w:r w:rsidRPr="006048C8">
        <w:rPr>
          <w:rStyle w:val="FootnoteReference"/>
        </w:rPr>
        <w:footnoteRef/>
      </w:r>
      <w:r>
        <w:tab/>
        <w:t xml:space="preserve">Regulation (EC) No 767/2008 of the European Parliament and of the Council of 9 July 2008 concerning the Visa Information System (VIS) and the exchange of data between Member States on short-stay visas (OJ L 218 13.8.2008, p. 60). </w:t>
      </w:r>
    </w:p>
  </w:footnote>
  <w:footnote w:id="4">
    <w:p w14:paraId="06A4BCA5" w14:textId="77777777" w:rsidR="007B6BAB" w:rsidRPr="00D3596C" w:rsidRDefault="007B6BAB">
      <w:pPr>
        <w:pStyle w:val="FootnoteText"/>
        <w:rPr>
          <w:lang w:val="en-IE"/>
        </w:rPr>
      </w:pPr>
      <w:r w:rsidRPr="006048C8">
        <w:rPr>
          <w:rStyle w:val="FootnoteReference"/>
        </w:rPr>
        <w:footnoteRef/>
      </w:r>
      <w:r>
        <w:tab/>
      </w:r>
      <w:hyperlink r:id="rId1" w:history="1">
        <w:r w:rsidRPr="009A231F">
          <w:rPr>
            <w:rStyle w:val="Hyperlink"/>
          </w:rPr>
          <w:t>https://www.consilium.europa.eu/en/council-eu/preparatory-bodies/visa-working-party/</w:t>
        </w:r>
      </w:hyperlink>
      <w:r>
        <w:t xml:space="preserve"> </w:t>
      </w:r>
    </w:p>
  </w:footnote>
  <w:footnote w:id="5">
    <w:p w14:paraId="78E5C627" w14:textId="77777777" w:rsidR="007B6BAB" w:rsidRPr="00D3596C" w:rsidRDefault="007B6BAB">
      <w:pPr>
        <w:pStyle w:val="FootnoteText"/>
        <w:rPr>
          <w:lang w:val="en-IE"/>
        </w:rPr>
      </w:pPr>
      <w:r w:rsidRPr="006048C8">
        <w:rPr>
          <w:rStyle w:val="FootnoteReference"/>
        </w:rPr>
        <w:footnoteRef/>
      </w:r>
      <w:r>
        <w:tab/>
      </w:r>
      <w:r w:rsidRPr="00D3596C">
        <w:t>Presidency Council of the European Union, e-Visa: Improving the current visa process with online visa application, 12546/17, October 2017</w:t>
      </w:r>
      <w:r>
        <w:t xml:space="preserve"> </w:t>
      </w:r>
    </w:p>
  </w:footnote>
  <w:footnote w:id="6">
    <w:p w14:paraId="21EFB98F" w14:textId="77777777" w:rsidR="007B6BAB" w:rsidRPr="00D3596C" w:rsidRDefault="007B6BAB">
      <w:pPr>
        <w:pStyle w:val="FootnoteText"/>
        <w:rPr>
          <w:lang w:val="en-IE"/>
        </w:rPr>
      </w:pPr>
      <w:r w:rsidRPr="006048C8">
        <w:rPr>
          <w:rStyle w:val="FootnoteReference"/>
        </w:rPr>
        <w:footnoteRef/>
      </w:r>
      <w:r>
        <w:tab/>
        <w:t>Presidency Council of the European Union, e-Visa: Improving the current visa process with digital visa, 11816/17; September 2017</w:t>
      </w:r>
    </w:p>
  </w:footnote>
  <w:footnote w:id="7">
    <w:p w14:paraId="04AE724D" w14:textId="77777777" w:rsidR="007B6BAB" w:rsidRPr="00D3596C" w:rsidRDefault="007B6BAB">
      <w:pPr>
        <w:pStyle w:val="FootnoteText"/>
        <w:rPr>
          <w:lang w:val="en-IE"/>
        </w:rPr>
      </w:pPr>
      <w:r w:rsidRPr="006048C8">
        <w:rPr>
          <w:rStyle w:val="FootnoteReference"/>
        </w:rPr>
        <w:footnoteRef/>
      </w:r>
      <w:r>
        <w:tab/>
        <w:t>Regulation (EU) 2019/1155 amending Regulation (EC) No 810/2009 establishing a Community Code on Visas (Visa Code) (OJ L 188, 12.7.2019, p. 25).</w:t>
      </w:r>
    </w:p>
  </w:footnote>
  <w:footnote w:id="8">
    <w:p w14:paraId="3363B529" w14:textId="77777777" w:rsidR="007B6BAB" w:rsidRPr="00D3596C" w:rsidRDefault="007B6BAB">
      <w:pPr>
        <w:pStyle w:val="FootnoteText"/>
        <w:rPr>
          <w:lang w:val="en-IE"/>
        </w:rPr>
      </w:pPr>
      <w:r w:rsidRPr="006048C8">
        <w:rPr>
          <w:rStyle w:val="FootnoteReference"/>
        </w:rPr>
        <w:footnoteRef/>
      </w:r>
      <w:r>
        <w:tab/>
      </w:r>
      <w:r w:rsidRPr="00873D92">
        <w:t>Regulation (EU) 2021/1134 of the European Parliament and of the Council of 7 July 2021 amending Regulations (EC) No 767/2008, (EC) No 810/2009, (EU) 2016/399, (EU) 2017/2226, (EU) 2018/1240, (EU) 2018/1860, (EU) 2018/1861, (EU) 2019/817 and (EU) 2019/1896 of the European Parliament and of the Council and repealing Council Decisions 2004/512/EC and 2008/633/JHA, for the purpose of reforming the Visa Information System</w:t>
      </w:r>
      <w:r>
        <w:t xml:space="preserve"> (OJ L 248, 13.7.2021, p. 11).</w:t>
      </w:r>
    </w:p>
  </w:footnote>
  <w:footnote w:id="9">
    <w:p w14:paraId="1329C0C9" w14:textId="77777777" w:rsidR="007B6BAB" w:rsidRPr="00D3596C" w:rsidRDefault="007B6BAB">
      <w:pPr>
        <w:pStyle w:val="FootnoteText"/>
        <w:rPr>
          <w:lang w:val="en-IE"/>
        </w:rPr>
      </w:pPr>
      <w:r w:rsidRPr="006048C8">
        <w:rPr>
          <w:rStyle w:val="FootnoteReference"/>
        </w:rPr>
        <w:footnoteRef/>
      </w:r>
      <w:r>
        <w:tab/>
        <w:t>Regulation (EU) No 2017/2226 of the European Parliament and of the Council of 30 November 2017 establishing an Entry/Exit System (EES) to register entry and exit data and refusal of entry data of third country nationals crossing the external borders of the Member States and determining the conditions for access to the EES for law enforcement purposes, and amending the Convention implementing the Schengen Agreement and Regulations (EC) No 767/2008 and (EU) No 1077/2011 (OJ L 327, 9.12.2017, p. 20) (hereinafter: Entry/Exit System/EES).</w:t>
      </w:r>
    </w:p>
  </w:footnote>
  <w:footnote w:id="10">
    <w:p w14:paraId="43D59F29" w14:textId="77777777" w:rsidR="007B6BAB" w:rsidRPr="00873D92" w:rsidRDefault="007B6BAB">
      <w:pPr>
        <w:pStyle w:val="FootnoteText"/>
        <w:rPr>
          <w:lang w:val="en-IE"/>
        </w:rPr>
      </w:pPr>
      <w:r w:rsidRPr="006048C8">
        <w:rPr>
          <w:rStyle w:val="FootnoteReference"/>
        </w:rPr>
        <w:footnoteRef/>
      </w:r>
      <w:r>
        <w:tab/>
        <w:t>Regulation (EU) 2018/1240 of the European Parliament and of the Council of 12 September 2018 establishing a European Travel Information and Authorisation System (ETIAS) and amending Regulations (EU) No 1077/2011, (EU) No 515/2014, (EU) 2016/399, (EU) 2016/1624 and (EU) 2017/2226 (OJ L 236, 19.9.2018, p. 1) (hereinafter: ETIAS Regulation).</w:t>
      </w:r>
    </w:p>
  </w:footnote>
  <w:footnote w:id="11">
    <w:p w14:paraId="7547ADF3" w14:textId="77777777" w:rsidR="007B6BAB" w:rsidRPr="00873D92" w:rsidRDefault="007B6BAB" w:rsidP="00C61CEB">
      <w:pPr>
        <w:pStyle w:val="FootnoteText"/>
        <w:rPr>
          <w:lang w:val="en-IE"/>
        </w:rPr>
      </w:pPr>
      <w:r w:rsidRPr="006048C8">
        <w:rPr>
          <w:rStyle w:val="FootnoteReference"/>
        </w:rPr>
        <w:footnoteRef/>
      </w:r>
      <w:r>
        <w:tab/>
        <w:t xml:space="preserve">Communication from the Commission to the European Parliament and the Council, Adopting the common visa policy to new challenges, COM(2018) 251 final, </w:t>
      </w:r>
      <w:hyperlink r:id="rId2" w:history="1">
        <w:r w:rsidRPr="009A231F">
          <w:rPr>
            <w:rStyle w:val="Hyperlink"/>
          </w:rPr>
          <w:t>https://ec.europa.eu/home-affairs/sites/default/files/what-we-do/policies/european-agenda-migration/20180314_communication-commission-parliament-council-adapting-common-visa-policy-new-challenges_en.pdf</w:t>
        </w:r>
      </w:hyperlink>
      <w:r>
        <w:rPr>
          <w:rStyle w:val="Hyperlink"/>
        </w:rPr>
        <w:t>.</w:t>
      </w:r>
      <w:r>
        <w:t xml:space="preserve"> </w:t>
      </w:r>
    </w:p>
  </w:footnote>
  <w:footnote w:id="12">
    <w:p w14:paraId="59E93D1C" w14:textId="77777777" w:rsidR="007B6BAB" w:rsidRPr="00887B7F" w:rsidRDefault="007B6BAB">
      <w:pPr>
        <w:pStyle w:val="FootnoteText"/>
      </w:pPr>
      <w:r w:rsidRPr="006048C8">
        <w:rPr>
          <w:rStyle w:val="FootnoteReference"/>
        </w:rPr>
        <w:footnoteRef/>
      </w:r>
      <w:r>
        <w:tab/>
      </w:r>
      <w:r w:rsidRPr="00887B7F">
        <w:t>Recital 20 in Regulation (EU) 2019/1155</w:t>
      </w:r>
      <w:r>
        <w:t>.</w:t>
      </w:r>
    </w:p>
  </w:footnote>
  <w:footnote w:id="13">
    <w:p w14:paraId="63DA427F" w14:textId="77777777" w:rsidR="007B6BAB" w:rsidRDefault="007B6BAB" w:rsidP="00C61CEB">
      <w:pPr>
        <w:pStyle w:val="FootnoteText"/>
      </w:pPr>
      <w:r w:rsidRPr="000E3E0B">
        <w:rPr>
          <w:rStyle w:val="FootnoteReference"/>
        </w:rPr>
        <w:footnoteRef/>
      </w:r>
      <w:r>
        <w:tab/>
        <w:t xml:space="preserve">Communication from the Commission </w:t>
      </w:r>
      <w:r w:rsidRPr="00EC0933">
        <w:t xml:space="preserve">to the European Parliament, the Council, the European Economic and Social Committee and the Committee of the Regions </w:t>
      </w:r>
      <w:r>
        <w:t xml:space="preserve">on a New Pact on Migration and Asylum, </w:t>
      </w:r>
      <w:r w:rsidRPr="00B45A92">
        <w:t>COM(2020) 609 final</w:t>
      </w:r>
      <w:r>
        <w:t xml:space="preserve">, </w:t>
      </w:r>
      <w:hyperlink r:id="rId3" w:history="1">
        <w:r w:rsidRPr="00BD1379">
          <w:rPr>
            <w:rStyle w:val="Hyperlink"/>
          </w:rPr>
          <w:t>https://eur-lex.europa.eu/legal-content/EN/TXT/?uri=CELEX%3A52020DC0609</w:t>
        </w:r>
      </w:hyperlink>
      <w:r>
        <w:t>.</w:t>
      </w:r>
    </w:p>
  </w:footnote>
  <w:footnote w:id="14">
    <w:p w14:paraId="4735EE7C" w14:textId="77777777" w:rsidR="007B6BAB" w:rsidRPr="00E5155C" w:rsidRDefault="007B6BAB" w:rsidP="00E5155C">
      <w:pPr>
        <w:pStyle w:val="FootnoteText"/>
        <w:rPr>
          <w:lang w:val="en-IE"/>
        </w:rPr>
      </w:pPr>
      <w:r w:rsidRPr="006048C8">
        <w:rPr>
          <w:rStyle w:val="FootnoteReference"/>
        </w:rPr>
        <w:footnoteRef/>
      </w:r>
      <w:r>
        <w:tab/>
      </w:r>
      <w:r w:rsidRPr="00887B7F">
        <w:t>Annex I to Regulation (EU) 2018/1806 of the European Parliament and of the Council of 14 November 2018 listing the third countries whose nationals must be in possession of visas when crossing the external borders and those whose nationals are exempt from that requirement</w:t>
      </w:r>
      <w:r>
        <w:t xml:space="preserve"> (OJ L 303, 28.11.2018, p. 39)</w:t>
      </w:r>
      <w:r w:rsidRPr="00887B7F">
        <w:t>.</w:t>
      </w:r>
    </w:p>
  </w:footnote>
  <w:footnote w:id="15">
    <w:p w14:paraId="7B0AD78C" w14:textId="77777777" w:rsidR="007B6BAB" w:rsidRPr="00887B7F" w:rsidRDefault="007B6BAB" w:rsidP="00E5155C">
      <w:pPr>
        <w:pStyle w:val="FootnoteText"/>
        <w:rPr>
          <w:lang w:val="en-IE"/>
        </w:rPr>
      </w:pPr>
      <w:r w:rsidRPr="006048C8">
        <w:rPr>
          <w:rStyle w:val="FootnoteReference"/>
        </w:rPr>
        <w:footnoteRef/>
      </w:r>
      <w:r>
        <w:tab/>
      </w:r>
      <w:r w:rsidRPr="00887B7F">
        <w:t>Member States can agree bilaterally to be represented by another Member State in a third-county through representation agreements. This means that not all Member States have consulates in all visa-required third countries.</w:t>
      </w:r>
    </w:p>
  </w:footnote>
  <w:footnote w:id="16">
    <w:p w14:paraId="69FC0128" w14:textId="77777777" w:rsidR="007B6BAB" w:rsidRPr="00E5155C" w:rsidRDefault="007B6BAB">
      <w:pPr>
        <w:pStyle w:val="FootnoteText"/>
        <w:rPr>
          <w:lang w:val="en-IE"/>
        </w:rPr>
      </w:pPr>
      <w:r w:rsidRPr="006048C8">
        <w:rPr>
          <w:rStyle w:val="FootnoteReference"/>
        </w:rPr>
        <w:footnoteRef/>
      </w:r>
      <w:r>
        <w:tab/>
      </w:r>
      <w:r w:rsidRPr="00EC0933">
        <w:t xml:space="preserve">Study to assess the various options related to visa process digitalisation and to support the preparation of an impact assessment - Final Report available: </w:t>
      </w:r>
      <w:hyperlink r:id="rId4" w:history="1">
        <w:r w:rsidRPr="00EC0933">
          <w:rPr>
            <w:rStyle w:val="Hyperlink"/>
          </w:rPr>
          <w:t>https://ec.europa.eu/home-affairs/study-assess-various-options-related-visa-process-digitalisation-and-support-preparation-impact_en</w:t>
        </w:r>
      </w:hyperlink>
      <w:r w:rsidRPr="00731926">
        <w:rPr>
          <w:sz w:val="16"/>
          <w:szCs w:val="16"/>
        </w:rPr>
        <w:t>.</w:t>
      </w:r>
    </w:p>
  </w:footnote>
  <w:footnote w:id="17">
    <w:p w14:paraId="03C53992" w14:textId="77777777" w:rsidR="007B6BAB" w:rsidRPr="00FA2530" w:rsidRDefault="007B6BAB">
      <w:pPr>
        <w:pStyle w:val="FootnoteText"/>
        <w:rPr>
          <w:lang w:val="en-IE"/>
        </w:rPr>
      </w:pPr>
      <w:r w:rsidRPr="006048C8">
        <w:rPr>
          <w:rStyle w:val="FootnoteReference"/>
        </w:rPr>
        <w:footnoteRef/>
      </w:r>
      <w:r>
        <w:tab/>
      </w:r>
      <w:r w:rsidRPr="00887B7F">
        <w:t>Regulation (EC) No 810/2009 of the European Parliament and the Council of 13 July 2009 establishing a Community Code on Visas (Visa Code)</w:t>
      </w:r>
      <w:r>
        <w:t xml:space="preserve"> (OJ L 243, 15.9.2009, p. 1)</w:t>
      </w:r>
      <w:r w:rsidRPr="00887B7F">
        <w:t xml:space="preserve"> and Regulation (EU) 2019/1155 of the European Parliament and of the Council of 20 June 2019 amending Regulation (EC) No 810/2009 establishing a Community Code on Visas (Visa Code)</w:t>
      </w:r>
      <w:r>
        <w:t xml:space="preserve"> (OJ L 188, 12.7.2019, p. 25)</w:t>
      </w:r>
      <w:r w:rsidRPr="00887B7F">
        <w:t>.</w:t>
      </w:r>
    </w:p>
  </w:footnote>
  <w:footnote w:id="18">
    <w:p w14:paraId="403E47F1" w14:textId="77777777" w:rsidR="007B6BAB" w:rsidRPr="003E4F2E" w:rsidRDefault="007B6BAB">
      <w:pPr>
        <w:pStyle w:val="FootnoteText"/>
        <w:rPr>
          <w:lang w:val="en-IE"/>
        </w:rPr>
      </w:pPr>
      <w:r w:rsidRPr="00221A04">
        <w:rPr>
          <w:rStyle w:val="FootnoteReference"/>
        </w:rPr>
        <w:footnoteRef/>
      </w:r>
      <w:r>
        <w:tab/>
      </w:r>
      <w:r w:rsidRPr="00E44C23">
        <w:t>Regulation (EU) 2017/1370 of the European Parliament and of the Council of 4 July 2017 amending Council Regulation (EC) No 1683/95 laying down a uniform format for visas</w:t>
      </w:r>
      <w:r>
        <w:t xml:space="preserve"> (OJ L 198, 28.7.2017, p. 24).</w:t>
      </w:r>
    </w:p>
  </w:footnote>
  <w:footnote w:id="19">
    <w:p w14:paraId="305AC158" w14:textId="77777777" w:rsidR="007B6BAB" w:rsidRPr="00EC0933" w:rsidRDefault="007B6BAB">
      <w:pPr>
        <w:pStyle w:val="FootnoteText"/>
        <w:rPr>
          <w:lang w:val="en-IE"/>
        </w:rPr>
      </w:pPr>
      <w:r w:rsidRPr="000E3E0B">
        <w:rPr>
          <w:rStyle w:val="FootnoteReference"/>
        </w:rPr>
        <w:footnoteRef/>
      </w:r>
      <w:r>
        <w:tab/>
      </w:r>
      <w:r w:rsidRPr="00887B7F">
        <w:t>The susceptibility to fraud of the visa sticker is substantiated by the Commission’s Implementing Decision C(2020) 2672 of 30.4.2020 introducing a digital seal on the uniform format for visas. This implementing decision was adopted after many forgeries of the new visa sticker were discovered in Member States shortly after its introduction (December 2019).</w:t>
      </w:r>
    </w:p>
  </w:footnote>
  <w:footnote w:id="20">
    <w:p w14:paraId="24B809D0" w14:textId="77777777" w:rsidR="007B6BAB" w:rsidRPr="00AE1107" w:rsidRDefault="007B6BAB" w:rsidP="006D0B3D">
      <w:pPr>
        <w:pStyle w:val="FootnoteText"/>
        <w:rPr>
          <w:lang w:val="en-IE"/>
        </w:rPr>
      </w:pPr>
      <w:r w:rsidRPr="006048C8">
        <w:rPr>
          <w:rStyle w:val="FootnoteReference"/>
        </w:rPr>
        <w:footnoteRef/>
      </w:r>
      <w:r>
        <w:tab/>
        <w:t xml:space="preserve">For instance, a </w:t>
      </w:r>
      <w:r w:rsidRPr="00B36A5E">
        <w:t xml:space="preserve">2018 survey by the European Tourism Association estimated that the current visa process is putting off 25% of Indian travellers considering the Schengen area as a travel destination. This would therefore confirm that some visa-required travellers might be discouraged to travel to the EU because of visa requirements </w:t>
      </w:r>
      <w:r w:rsidRPr="00AC5299">
        <w:t>https://www.etoa.org/eu-schengen-visa-long-haul-markets/</w:t>
      </w:r>
    </w:p>
  </w:footnote>
  <w:footnote w:id="21">
    <w:p w14:paraId="435D36EC" w14:textId="77777777" w:rsidR="007B6BAB" w:rsidRPr="00887B7F" w:rsidRDefault="007B6BAB">
      <w:pPr>
        <w:pStyle w:val="FootnoteText"/>
        <w:rPr>
          <w:lang w:val="en-IE"/>
        </w:rPr>
      </w:pPr>
      <w:r w:rsidRPr="006048C8">
        <w:rPr>
          <w:rStyle w:val="FootnoteReference"/>
        </w:rPr>
        <w:footnoteRef/>
      </w:r>
      <w:r>
        <w:tab/>
      </w:r>
      <w:r w:rsidRPr="00887B7F">
        <w:t>The susceptibility to fraud of the visa sticker is substantiated by the Commission’s Implementing Decision C(2020) 2672 of 30.4.2020 introducing a digital seal on the uniform format for visas. This implementing decision was adopted after many forgeries of the new visa sticker were discovered in Member States shortly after its introduction (December 2019).</w:t>
      </w:r>
    </w:p>
  </w:footnote>
  <w:footnote w:id="22">
    <w:p w14:paraId="6A10C4B6" w14:textId="77777777" w:rsidR="007B6BAB" w:rsidRPr="00873D92" w:rsidRDefault="007B6BAB" w:rsidP="00A96836">
      <w:pPr>
        <w:pStyle w:val="FootnoteText"/>
        <w:rPr>
          <w:lang w:val="en-IE"/>
        </w:rPr>
      </w:pPr>
      <w:r w:rsidRPr="006048C8">
        <w:rPr>
          <w:rStyle w:val="FootnoteReference"/>
        </w:rPr>
        <w:footnoteRef/>
      </w:r>
      <w:r>
        <w:tab/>
        <w:t>Such as the Interoperability Regulation (Regulation (EU) 2019/818 of the European Parliament and of the Council of 20 May 2019 on establishing a framework for interoperability between EU information systems in the field of police and judicial cooperation, asylum and migration and amending Regulations (EU) 2018/1726, (EU) 2018/1862 and (EU) 2019/816 (OJ L 135, 22.5.2019, p. 85).</w:t>
      </w:r>
    </w:p>
  </w:footnote>
  <w:footnote w:id="23">
    <w:p w14:paraId="2057772D" w14:textId="77777777" w:rsidR="007B6BAB" w:rsidRPr="0021792B" w:rsidRDefault="007B6BAB">
      <w:pPr>
        <w:pStyle w:val="FootnoteText"/>
      </w:pPr>
      <w:r w:rsidRPr="006048C8">
        <w:rPr>
          <w:rStyle w:val="FootnoteReference"/>
        </w:rPr>
        <w:footnoteRef/>
      </w:r>
      <w:r>
        <w:tab/>
      </w:r>
      <w:r w:rsidRPr="00883C9F">
        <w:t>Regulation (EU) 2021/1134 of the European Parliament and of the Council of 7 July 2021</w:t>
      </w:r>
      <w:r>
        <w:t>. The revised VIS regulation will allow more thorough background checks on visa applicants, close security information gaps through better information exchange between Member States, broaden the Visa Information System to include long-stay visas and residence permits, and will allow combatting abduction and trafficking of children by lowering the fingerprinting age for minors. Together with the other new and upgraded information systems, the new Visa Information System should be operational and fully interoperable by the end of 2023.</w:t>
      </w:r>
    </w:p>
  </w:footnote>
  <w:footnote w:id="24">
    <w:p w14:paraId="5683B2E4" w14:textId="77777777" w:rsidR="007B6BAB" w:rsidRPr="0021792B" w:rsidRDefault="007B6BAB">
      <w:pPr>
        <w:pStyle w:val="FootnoteText"/>
      </w:pPr>
      <w:r w:rsidRPr="006048C8">
        <w:rPr>
          <w:rStyle w:val="FootnoteReference"/>
        </w:rPr>
        <w:footnoteRef/>
      </w:r>
      <w:r>
        <w:tab/>
        <w:t xml:space="preserve">ETIAS legal basis: </w:t>
      </w:r>
      <w:r w:rsidRPr="00726C0A">
        <w:t>Regulation (EU) 2018/1240 of the European Parliament and of the Council of 12 September 2018 establishing a European Travel Information and Authorisation System (ETIAS) and amending Regulations (EU) No 1077/2011, (EU) No 515/2014, (EU) 2016/399, (EU) 2016/1624 and (EU) 2017/2226</w:t>
      </w:r>
      <w:r>
        <w:t xml:space="preserve"> (OJ L 236, 19.9.2018, p. 1). </w:t>
      </w:r>
    </w:p>
  </w:footnote>
  <w:footnote w:id="25">
    <w:p w14:paraId="1572C1DA" w14:textId="77777777" w:rsidR="007B6BAB" w:rsidRPr="005155DC" w:rsidRDefault="007B6BAB">
      <w:pPr>
        <w:pStyle w:val="FootnoteText"/>
      </w:pPr>
      <w:r w:rsidRPr="006048C8">
        <w:rPr>
          <w:rStyle w:val="FootnoteReference"/>
        </w:rPr>
        <w:footnoteRef/>
      </w:r>
      <w:r>
        <w:tab/>
        <w:t>EES will be interoperable with VIS and the other EU information systems so that all information is cross-checked (e.g. the systems will provide information as to whether a visa holder has already a file in EES.</w:t>
      </w:r>
    </w:p>
  </w:footnote>
  <w:footnote w:id="26">
    <w:p w14:paraId="6E8386AF" w14:textId="77777777" w:rsidR="007B6BAB" w:rsidRPr="00346C8D" w:rsidRDefault="007B6BAB">
      <w:pPr>
        <w:pStyle w:val="FootnoteText"/>
        <w:rPr>
          <w:lang w:val="en-IE"/>
        </w:rPr>
      </w:pPr>
      <w:r w:rsidRPr="0081333F">
        <w:rPr>
          <w:rStyle w:val="FootnoteReference"/>
        </w:rPr>
        <w:footnoteRef/>
      </w:r>
      <w:r>
        <w:tab/>
      </w:r>
      <w:r w:rsidRPr="005E7074">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L 158, 30.4.2004, p. 77).</w:t>
      </w:r>
    </w:p>
  </w:footnote>
  <w:footnote w:id="27">
    <w:p w14:paraId="46D2D425" w14:textId="77777777" w:rsidR="007B6BAB" w:rsidRPr="00346C8D" w:rsidRDefault="007B6BAB">
      <w:pPr>
        <w:pStyle w:val="FootnoteText"/>
        <w:rPr>
          <w:lang w:val="en-IE"/>
        </w:rPr>
      </w:pPr>
      <w:r w:rsidRPr="0081333F">
        <w:rPr>
          <w:rStyle w:val="FootnoteReference"/>
        </w:rPr>
        <w:footnoteRef/>
      </w:r>
      <w:r>
        <w:tab/>
      </w:r>
      <w:r w:rsidRPr="005E7074">
        <w:t>Agreement on the withdrawal of the United Kingdom of Great Britain and Northern Ireland from the European Union and the European Atomic Energy Community (OJ L 29, 31.1.2020, p. 7).</w:t>
      </w:r>
    </w:p>
  </w:footnote>
  <w:footnote w:id="28">
    <w:p w14:paraId="212170ED" w14:textId="77777777" w:rsidR="007B6BAB" w:rsidRPr="00887B7F" w:rsidRDefault="007B6BAB" w:rsidP="00C56273">
      <w:pPr>
        <w:pStyle w:val="FootnoteText"/>
        <w:rPr>
          <w:lang w:val="en-IE"/>
        </w:rPr>
      </w:pPr>
      <w:r w:rsidRPr="006048C8">
        <w:rPr>
          <w:rStyle w:val="FootnoteReference"/>
        </w:rPr>
        <w:footnoteRef/>
      </w:r>
      <w:r>
        <w:tab/>
      </w:r>
      <w:r w:rsidRPr="00887B7F">
        <w:t>COM(2020) 690 final, Commission Work Programme 2021, A Union of vitality in a world of fragility, p.6</w:t>
      </w:r>
      <w:r>
        <w:t>.</w:t>
      </w:r>
      <w:r w:rsidRPr="00887B7F">
        <w:t xml:space="preserve"> </w:t>
      </w:r>
    </w:p>
  </w:footnote>
  <w:footnote w:id="29">
    <w:p w14:paraId="1AF5F3A4" w14:textId="77777777" w:rsidR="007B6BAB" w:rsidRPr="00F41153" w:rsidRDefault="007B6BAB">
      <w:pPr>
        <w:pStyle w:val="FootnoteText"/>
      </w:pPr>
      <w:r w:rsidRPr="00221A04">
        <w:rPr>
          <w:rStyle w:val="FootnoteReference"/>
        </w:rPr>
        <w:footnoteRef/>
      </w:r>
      <w:r>
        <w:tab/>
      </w:r>
      <w:r w:rsidRPr="00F41153">
        <w:t>C</w:t>
      </w:r>
      <w:r>
        <w:t>ommunication from the Commission to the European Parliament and the Council</w:t>
      </w:r>
      <w:r w:rsidRPr="00F41153">
        <w:t xml:space="preserve"> "A strategy towards a fully functioning and resilient Schengen area"</w:t>
      </w:r>
      <w:r>
        <w:t xml:space="preserve">, </w:t>
      </w:r>
      <w:r w:rsidRPr="00F41153">
        <w:t>COM(2021) 277 final</w:t>
      </w:r>
      <w:r>
        <w:t>.</w:t>
      </w:r>
    </w:p>
  </w:footnote>
  <w:footnote w:id="30">
    <w:p w14:paraId="68908F40" w14:textId="77777777" w:rsidR="007B6BAB" w:rsidRPr="00F45A5B" w:rsidRDefault="007B6BAB" w:rsidP="00C56273">
      <w:pPr>
        <w:pStyle w:val="FootnoteText"/>
        <w:rPr>
          <w:lang w:val="en-IE"/>
        </w:rPr>
      </w:pPr>
      <w:r w:rsidRPr="006048C8">
        <w:rPr>
          <w:rStyle w:val="FootnoteReference"/>
        </w:rPr>
        <w:footnoteRef/>
      </w:r>
      <w:r>
        <w:rPr>
          <w:lang w:val="en-IE"/>
        </w:rPr>
        <w:tab/>
      </w:r>
      <w:r w:rsidRPr="00F45A5B">
        <w:rPr>
          <w:lang w:val="en-IE"/>
        </w:rPr>
        <w:t xml:space="preserve">COM(2021) 118 final, Commission communication on </w:t>
      </w:r>
      <w:r>
        <w:rPr>
          <w:lang w:val="en-IE"/>
        </w:rPr>
        <w:t xml:space="preserve">the </w:t>
      </w:r>
      <w:r w:rsidRPr="00F45A5B">
        <w:rPr>
          <w:lang w:val="en-IE"/>
        </w:rPr>
        <w:t>2030 Digital Compass: the European way for the Digital Decade</w:t>
      </w:r>
      <w:r>
        <w:rPr>
          <w:rStyle w:val="Hyperlink"/>
          <w:lang w:val="en-IE"/>
        </w:rPr>
        <w:t>.</w:t>
      </w:r>
    </w:p>
  </w:footnote>
  <w:footnote w:id="31">
    <w:p w14:paraId="0CD47EB1" w14:textId="77777777" w:rsidR="007B6BAB" w:rsidRPr="00EC0933" w:rsidRDefault="007B6BAB">
      <w:pPr>
        <w:pStyle w:val="FootnoteText"/>
        <w:rPr>
          <w:lang w:val="en-IE"/>
        </w:rPr>
      </w:pPr>
      <w:r w:rsidRPr="000E3E0B">
        <w:rPr>
          <w:rStyle w:val="FootnoteReference"/>
        </w:rPr>
        <w:footnoteRef/>
      </w:r>
      <w:r>
        <w:tab/>
      </w:r>
      <w:r>
        <w:rPr>
          <w:lang w:val="en-IE"/>
        </w:rPr>
        <w:t xml:space="preserve">Namely Regulation </w:t>
      </w:r>
      <w:r w:rsidRPr="00476849">
        <w:rPr>
          <w:lang w:val="en-IE"/>
        </w:rPr>
        <w:t>(EU) 2017/2226 of the European Parliament and of t</w:t>
      </w:r>
      <w:r>
        <w:rPr>
          <w:lang w:val="en-IE"/>
        </w:rPr>
        <w:t>he Council,  Council Regulation</w:t>
      </w:r>
      <w:r w:rsidRPr="00476849">
        <w:rPr>
          <w:lang w:val="en-IE"/>
        </w:rPr>
        <w:t xml:space="preserve"> (EC) No 1683/95, Council Regulation (EC) No 333/2002, Council</w:t>
      </w:r>
      <w:r>
        <w:rPr>
          <w:lang w:val="en-IE"/>
        </w:rPr>
        <w:t xml:space="preserve"> Regulation (EC) No 693/2003, Council Regulation</w:t>
      </w:r>
      <w:r w:rsidRPr="00476849">
        <w:rPr>
          <w:lang w:val="en-IE"/>
        </w:rPr>
        <w:t xml:space="preserve"> (EC) No 694/2003, and Convention implementing the Schengen Agreement</w:t>
      </w:r>
      <w:r>
        <w:rPr>
          <w:lang w:val="en-IE"/>
        </w:rPr>
        <w:t>.</w:t>
      </w:r>
    </w:p>
  </w:footnote>
  <w:footnote w:id="32">
    <w:p w14:paraId="4F0D0A1E" w14:textId="1CE87F2E" w:rsidR="007B6BAB" w:rsidRDefault="007B6BAB">
      <w:pPr>
        <w:pStyle w:val="FootnoteText"/>
      </w:pPr>
      <w:r>
        <w:rPr>
          <w:rStyle w:val="FootnoteReference"/>
        </w:rPr>
        <w:footnoteRef/>
      </w:r>
      <w:r>
        <w:tab/>
        <w:t xml:space="preserve">With the exception of Ireland, which does not participate in the Union’s visa policy. </w:t>
      </w:r>
      <w:r w:rsidRPr="003371C3">
        <w:t>As regards Cyprus, Bulgaria, Romania and Croatia, the provisions of this Regulation constitute provisions building upon, or otherwise relating to, the Schengen acquis within, respectively, the meaning of Article 3(2) of the 2003 Act of Accession, Article 4(2) of the 2005 Act of Accession read in conjunction with Council Decision (EU) 2017/1908 and Article 4(2) of the 2011 Act of Accession.</w:t>
      </w:r>
    </w:p>
  </w:footnote>
  <w:footnote w:id="33">
    <w:p w14:paraId="4249F51E" w14:textId="77777777" w:rsidR="007B6BAB" w:rsidRPr="003E4F2E" w:rsidRDefault="007B6BAB">
      <w:pPr>
        <w:pStyle w:val="FootnoteText"/>
        <w:rPr>
          <w:lang w:val="de-DE"/>
        </w:rPr>
      </w:pPr>
      <w:r>
        <w:rPr>
          <w:rStyle w:val="FootnoteReference"/>
        </w:rPr>
        <w:footnoteRef/>
      </w:r>
      <w:r w:rsidRPr="003E4F2E">
        <w:rPr>
          <w:lang w:val="de-DE"/>
        </w:rPr>
        <w:tab/>
        <w:t>Iceland, Norway, Liechtenstein and Switzerland.</w:t>
      </w:r>
    </w:p>
  </w:footnote>
  <w:footnote w:id="34">
    <w:p w14:paraId="2A4D6008" w14:textId="77777777" w:rsidR="007B6BAB" w:rsidRPr="00EC0933" w:rsidRDefault="007B6BAB" w:rsidP="004464A4">
      <w:pPr>
        <w:pStyle w:val="FootnoteText"/>
      </w:pPr>
      <w:r w:rsidRPr="000E3E0B">
        <w:rPr>
          <w:rStyle w:val="FootnoteReference"/>
        </w:rPr>
        <w:footnoteRef/>
      </w:r>
      <w:r w:rsidRPr="00EC0933">
        <w:tab/>
      </w:r>
      <w:hyperlink r:id="rId5" w:history="1">
        <w:r w:rsidRPr="0065278B">
          <w:rPr>
            <w:rStyle w:val="Hyperlink"/>
          </w:rPr>
          <w:t>Study on the</w:t>
        </w:r>
        <w:r w:rsidRPr="00CE322B">
          <w:rPr>
            <w:rStyle w:val="Hyperlink"/>
          </w:rPr>
          <w:t xml:space="preserve"> feasibility and implications of options to digitalise visa processing, 2019</w:t>
        </w:r>
      </w:hyperlink>
      <w:r w:rsidRPr="00EC0933">
        <w:t xml:space="preserve"> </w:t>
      </w:r>
      <w:hyperlink r:id="rId6" w:history="1">
        <w:r w:rsidRPr="00775491">
          <w:rPr>
            <w:rStyle w:val="Hyperlink"/>
          </w:rPr>
          <w:t>https://op.europa.eu/en/publication-detail/-/publication/4cb4fbb8-4c82-11ea-b8b7-01aa75ed71a1/language-en</w:t>
        </w:r>
      </w:hyperlink>
      <w:r w:rsidRPr="00775491">
        <w:t xml:space="preserve"> </w:t>
      </w:r>
    </w:p>
  </w:footnote>
  <w:footnote w:id="35">
    <w:p w14:paraId="7569EE77" w14:textId="77777777" w:rsidR="007B6BAB" w:rsidRPr="008E1373" w:rsidRDefault="007B6BAB">
      <w:pPr>
        <w:pStyle w:val="FootnoteText"/>
        <w:rPr>
          <w:lang w:val="en-IE"/>
        </w:rPr>
      </w:pPr>
      <w:r w:rsidRPr="006048C8">
        <w:rPr>
          <w:rStyle w:val="FootnoteReference"/>
        </w:rPr>
        <w:footnoteRef/>
      </w:r>
      <w:r>
        <w:tab/>
      </w:r>
      <w:r w:rsidRPr="00497BCD">
        <w:rPr>
          <w:sz w:val="16"/>
          <w:szCs w:val="16"/>
        </w:rPr>
        <w:t>Study to assess the various options related to visa process digitalisation and to support the preparation of an impact assessment - Final Report</w:t>
      </w:r>
      <w:r>
        <w:rPr>
          <w:sz w:val="16"/>
          <w:szCs w:val="16"/>
        </w:rPr>
        <w:t xml:space="preserve"> available:</w:t>
      </w:r>
      <w:r w:rsidRPr="00731926">
        <w:rPr>
          <w:sz w:val="16"/>
          <w:szCs w:val="16"/>
        </w:rPr>
        <w:t xml:space="preserve"> </w:t>
      </w:r>
      <w:hyperlink r:id="rId7" w:history="1">
        <w:r w:rsidRPr="00CE10EB">
          <w:rPr>
            <w:rStyle w:val="Hyperlink"/>
            <w:sz w:val="16"/>
            <w:szCs w:val="16"/>
          </w:rPr>
          <w:t>https://ec.europa.eu/home-affairs/study-assess-various-options-related-visa-process-digitalisation-and-support-preparation-impact_en</w:t>
        </w:r>
      </w:hyperlink>
      <w:r w:rsidRPr="00731926">
        <w:rPr>
          <w:sz w:val="16"/>
          <w:szCs w:val="16"/>
        </w:rPr>
        <w:t>.</w:t>
      </w:r>
    </w:p>
  </w:footnote>
  <w:footnote w:id="36">
    <w:p w14:paraId="7BEE4A15" w14:textId="77777777" w:rsidR="007B6BAB" w:rsidRPr="003E4F2E" w:rsidRDefault="007B6BAB">
      <w:pPr>
        <w:pStyle w:val="FootnoteText"/>
        <w:rPr>
          <w:sz w:val="16"/>
          <w:szCs w:val="16"/>
        </w:rPr>
      </w:pPr>
      <w:r w:rsidRPr="00221A04">
        <w:rPr>
          <w:rStyle w:val="FootnoteReference"/>
        </w:rPr>
        <w:footnoteRef/>
      </w:r>
      <w:r>
        <w:tab/>
      </w:r>
      <w:r w:rsidRPr="003E4F2E">
        <w:rPr>
          <w:sz w:val="16"/>
          <w:szCs w:val="16"/>
        </w:rPr>
        <w:t>According to the applicable rules of the Visa Code (Regulation (EC) No 810/2009), biometric data are, in principle, to be collected every 59 months, starting from the date of the first collection; otherwise they are copied from the previous application</w:t>
      </w:r>
    </w:p>
  </w:footnote>
  <w:footnote w:id="37">
    <w:p w14:paraId="7F9CF565" w14:textId="77777777" w:rsidR="007B6BAB" w:rsidRPr="0015288C" w:rsidRDefault="007B6BAB" w:rsidP="00BE1951">
      <w:pPr>
        <w:pStyle w:val="FootnoteText"/>
        <w:rPr>
          <w:sz w:val="16"/>
          <w:szCs w:val="16"/>
        </w:rPr>
      </w:pPr>
      <w:r w:rsidRPr="001B6D7A">
        <w:rPr>
          <w:rStyle w:val="FootnoteReference"/>
        </w:rPr>
        <w:footnoteRef/>
      </w:r>
      <w:r>
        <w:rPr>
          <w:sz w:val="16"/>
          <w:szCs w:val="16"/>
        </w:rPr>
        <w:tab/>
      </w:r>
      <w:bookmarkStart w:id="1" w:name="_Hlk82772152"/>
      <w:r w:rsidRPr="00560712">
        <w:rPr>
          <w:sz w:val="16"/>
          <w:szCs w:val="16"/>
        </w:rPr>
        <w:t>Member States are obliged under the Visa Code to report to the Commission on any significant loss of blank visas stickers. (Art 37 (2)</w:t>
      </w:r>
      <w:r w:rsidRPr="0015288C">
        <w:rPr>
          <w:sz w:val="16"/>
          <w:szCs w:val="16"/>
        </w:rPr>
        <w:t>.</w:t>
      </w:r>
      <w:bookmarkEnd w:id="1"/>
    </w:p>
  </w:footnote>
  <w:footnote w:id="38">
    <w:p w14:paraId="437F27F1" w14:textId="77777777" w:rsidR="007B6BAB" w:rsidRPr="00771B2D" w:rsidRDefault="007B6BAB">
      <w:pPr>
        <w:pStyle w:val="FootnoteText"/>
        <w:rPr>
          <w:lang w:val="en-IE"/>
        </w:rPr>
      </w:pPr>
      <w:r w:rsidRPr="006048C8">
        <w:rPr>
          <w:rStyle w:val="FootnoteReference"/>
        </w:rPr>
        <w:footnoteRef/>
      </w:r>
      <w:r>
        <w:tab/>
        <w:t>This has been factored in the calculation of costs and benefits, assuming that 3% of the applications would still be made through paper applications. This would concern applicants who cannot apply online or applicants that are required to provide paper supporting documents. Given the applying through digital means will be far easier than through paper at the consulate, the percentage will be very low.</w:t>
      </w:r>
    </w:p>
  </w:footnote>
  <w:footnote w:id="39">
    <w:p w14:paraId="002C12F5" w14:textId="77777777" w:rsidR="007B6BAB" w:rsidRPr="00436582" w:rsidRDefault="007B6BAB" w:rsidP="00BE1951">
      <w:pPr>
        <w:pStyle w:val="FootnoteText"/>
        <w:rPr>
          <w:lang w:val="en-IE"/>
        </w:rPr>
      </w:pPr>
      <w:r w:rsidRPr="00221A04">
        <w:rPr>
          <w:rStyle w:val="FootnoteReference"/>
        </w:rPr>
        <w:footnoteRef/>
      </w:r>
      <w:r>
        <w:tab/>
      </w:r>
      <w:bookmarkStart w:id="3" w:name="_Hlk97045262"/>
      <w:r>
        <w:t>Directive (EU) 2016/2102 of the European Parliament and of the Council of 26 October 2016 on the accessibility of the websites and mobile applications of public sector bodies (OJ L 327, 2.12.2016, p. 1–15).</w:t>
      </w:r>
      <w:bookmarkEnd w:id="3"/>
    </w:p>
    <w:p w14:paraId="35E002A4" w14:textId="77777777" w:rsidR="007B6BAB" w:rsidRPr="003E4F2E" w:rsidRDefault="007B6BAB">
      <w:pPr>
        <w:pStyle w:val="FootnoteText"/>
        <w:rPr>
          <w:lang w:val="en-IE"/>
        </w:rPr>
      </w:pPr>
    </w:p>
  </w:footnote>
  <w:footnote w:id="40">
    <w:p w14:paraId="6DD22BE9" w14:textId="77777777" w:rsidR="007B6BAB" w:rsidRPr="00D93A4A" w:rsidRDefault="007B6BAB">
      <w:pPr>
        <w:pStyle w:val="FootnoteText"/>
      </w:pPr>
      <w:r w:rsidRPr="006048C8">
        <w:rPr>
          <w:rStyle w:val="FootnoteReference"/>
        </w:rPr>
        <w:footnoteRef/>
      </w:r>
      <w:r>
        <w:tab/>
        <w:t>A project with eu-LISA to develop and test a prototype of a future EU online visa application platform launched in September 2020 in accordance with a Service Level Agreement signed between DG HOME and eu-LISA on 27 July 2020. The project is to analyse the costs as well as technical and legal requirements of a future EU online application platform. The final report of the project to be submitted by October 2021.</w:t>
      </w:r>
    </w:p>
  </w:footnote>
  <w:footnote w:id="41">
    <w:p w14:paraId="32EB8C2C" w14:textId="77777777" w:rsidR="007B6BAB" w:rsidRPr="00D55974" w:rsidRDefault="007B6BAB">
      <w:pPr>
        <w:pStyle w:val="FootnoteText"/>
        <w:rPr>
          <w:lang w:val="en-IE"/>
        </w:rPr>
      </w:pPr>
      <w:r w:rsidRPr="006048C8">
        <w:rPr>
          <w:rStyle w:val="FootnoteReference"/>
        </w:rPr>
        <w:footnoteRef/>
      </w:r>
      <w:r>
        <w:tab/>
        <w:t>Estimated to last three years based on the 2019 digital visa feasibility study.</w:t>
      </w:r>
    </w:p>
  </w:footnote>
  <w:footnote w:id="42">
    <w:p w14:paraId="116D37A6" w14:textId="77777777" w:rsidR="007B6BAB" w:rsidRPr="00D93A4A" w:rsidRDefault="007B6BAB">
      <w:pPr>
        <w:pStyle w:val="FootnoteText"/>
        <w:rPr>
          <w:lang w:val="en-IE"/>
        </w:rPr>
      </w:pPr>
      <w:r w:rsidRPr="006048C8">
        <w:rPr>
          <w:rStyle w:val="FootnoteReference"/>
        </w:rPr>
        <w:footnoteRef/>
      </w:r>
      <w:r>
        <w:tab/>
        <w:t>Please note that this average cost deviates from the one presented in option 3. This is because the 17 Member States that were selected in policy Option 3 account only for 43% of the visa applications while accounting for roughly 75% of all Member States. This is the reason infrastructure costs cannot be scaled linearly based on the number of Member States that decide to opt in.</w:t>
      </w:r>
    </w:p>
  </w:footnote>
  <w:footnote w:id="43">
    <w:p w14:paraId="25FC8F9B" w14:textId="77777777" w:rsidR="007B6BAB" w:rsidRPr="00B341C5" w:rsidRDefault="007B6BAB">
      <w:pPr>
        <w:pStyle w:val="FootnoteText"/>
        <w:rPr>
          <w:lang w:val="en-IE"/>
        </w:rPr>
      </w:pPr>
      <w:r w:rsidRPr="006048C8">
        <w:rPr>
          <w:rStyle w:val="FootnoteReference"/>
        </w:rPr>
        <w:footnoteRef/>
      </w:r>
      <w:r>
        <w:tab/>
      </w:r>
      <w:r w:rsidRPr="00F246CE">
        <w:t>C(2020)2672</w:t>
      </w:r>
      <w:r>
        <w:t>. This Implementing Decision stipulates that all Member States shall apply the digital seal at the latest two years after the notification (i.e. 1 May 2022).</w:t>
      </w:r>
    </w:p>
  </w:footnote>
  <w:footnote w:id="44">
    <w:p w14:paraId="651DFEE7" w14:textId="77777777" w:rsidR="007B6BAB" w:rsidRPr="00211245" w:rsidRDefault="007B6BAB">
      <w:pPr>
        <w:pStyle w:val="FootnoteText"/>
        <w:rPr>
          <w:lang w:val="en-IE"/>
        </w:rPr>
      </w:pPr>
      <w:r w:rsidRPr="00BB62EC">
        <w:rPr>
          <w:rStyle w:val="FootnoteReference"/>
        </w:rPr>
        <w:footnoteRef/>
      </w:r>
      <w:r>
        <w:tab/>
      </w:r>
      <w:r w:rsidRPr="00211245">
        <w:rPr>
          <w:lang w:val="en-IE"/>
        </w:rPr>
        <w:t>Recital 20 in Regulation (EU) 2019/1155</w:t>
      </w:r>
    </w:p>
  </w:footnote>
  <w:footnote w:id="45">
    <w:p w14:paraId="4AC8DCB4" w14:textId="77777777" w:rsidR="007B6BAB" w:rsidRPr="00211245" w:rsidRDefault="007B6BAB">
      <w:pPr>
        <w:pStyle w:val="FootnoteText"/>
        <w:rPr>
          <w:lang w:val="en-IE"/>
        </w:rPr>
      </w:pPr>
      <w:r w:rsidRPr="00BB62EC">
        <w:rPr>
          <w:rStyle w:val="FootnoteReference"/>
        </w:rPr>
        <w:footnoteRef/>
      </w:r>
      <w:r>
        <w:tab/>
      </w:r>
      <w:r w:rsidRPr="00211245">
        <w:rPr>
          <w:lang w:val="en-IE"/>
        </w:rPr>
        <w:t>COM(2021) 118 final, Commission communication on the 2030 Digital Compass: the European way for the Digital Decade</w:t>
      </w:r>
    </w:p>
  </w:footnote>
  <w:footnote w:id="46">
    <w:p w14:paraId="16C7B7BD" w14:textId="77777777" w:rsidR="007B6BAB" w:rsidRPr="00D3596C" w:rsidRDefault="007B6BAB" w:rsidP="00532D88">
      <w:pPr>
        <w:pStyle w:val="FootnoteText"/>
        <w:rPr>
          <w:lang w:val="en-IE"/>
        </w:rPr>
      </w:pPr>
      <w:r w:rsidRPr="006048C8">
        <w:rPr>
          <w:rStyle w:val="FootnoteReference"/>
        </w:rPr>
        <w:footnoteRef/>
      </w:r>
      <w:r>
        <w:tab/>
        <w:t xml:space="preserve">Regulation (EC) No 810/2009 of the European Parliament and of the Council of 13 July 2009 establishing a Community Code on Visas (Visa Code) </w:t>
      </w:r>
      <w:r w:rsidRPr="00AE5C9E">
        <w:t>(OJ L 243 15.9.2009, p. 1)</w:t>
      </w:r>
      <w:r>
        <w:t>.</w:t>
      </w:r>
    </w:p>
  </w:footnote>
  <w:footnote w:id="47">
    <w:p w14:paraId="06E0990B" w14:textId="77777777" w:rsidR="007B6BAB" w:rsidRDefault="007B6BAB" w:rsidP="00532D88">
      <w:pPr>
        <w:pStyle w:val="FootnoteText"/>
      </w:pPr>
      <w:r w:rsidRPr="006048C8">
        <w:rPr>
          <w:rStyle w:val="FootnoteReference"/>
        </w:rPr>
        <w:footnoteRef/>
      </w:r>
      <w:r>
        <w:tab/>
        <w:t>Regulation (EC) No 767/2008 of the European Parliament and of the Council of 9 July 2008 concerning the Visa Information System (VIS) and the exchange of data between Member States on short-stay visas, (</w:t>
      </w:r>
      <w:r w:rsidRPr="001D4F3F">
        <w:t>OJ L 218, 13.8.2008, p. 60</w:t>
      </w:r>
      <w:r>
        <w:t>).</w:t>
      </w:r>
    </w:p>
    <w:p w14:paraId="715BE421" w14:textId="77777777" w:rsidR="007B6BAB" w:rsidRPr="00D3596C" w:rsidRDefault="007B6BAB" w:rsidP="00532D88">
      <w:pPr>
        <w:pStyle w:val="FootnoteText"/>
        <w:rPr>
          <w:lang w:val="en-IE"/>
        </w:rPr>
      </w:pPr>
    </w:p>
  </w:footnote>
  <w:footnote w:id="48">
    <w:p w14:paraId="6D4BBB79" w14:textId="77777777" w:rsidR="007B6BAB" w:rsidRPr="00EC0933" w:rsidRDefault="007B6BAB" w:rsidP="0068480E">
      <w:pPr>
        <w:pStyle w:val="FootnoteText"/>
        <w:rPr>
          <w:lang w:val="lt-LT"/>
        </w:rPr>
      </w:pPr>
      <w:r w:rsidRPr="000E3E0B">
        <w:rPr>
          <w:rStyle w:val="FootnoteReference"/>
        </w:rPr>
        <w:footnoteRef/>
      </w:r>
      <w:r>
        <w:tab/>
      </w:r>
      <w:r w:rsidRPr="005E7074">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L 158, 30.4.2004, p. 77).</w:t>
      </w:r>
    </w:p>
  </w:footnote>
  <w:footnote w:id="49">
    <w:p w14:paraId="0D6409F8" w14:textId="77777777" w:rsidR="007B6BAB" w:rsidRPr="00B368FF" w:rsidRDefault="007B6BAB" w:rsidP="001B10F0">
      <w:pPr>
        <w:pStyle w:val="FootnoteText"/>
        <w:rPr>
          <w:lang w:val="en-IE"/>
        </w:rPr>
      </w:pPr>
      <w:r w:rsidRPr="0081333F">
        <w:rPr>
          <w:rStyle w:val="FootnoteReference"/>
        </w:rPr>
        <w:footnoteRef/>
      </w:r>
      <w:r>
        <w:tab/>
      </w:r>
      <w:r w:rsidDel="00876AED">
        <w:t>Agreement on the withdrawal of the United Kingdom of Great Britain and Northern Ireland from the European Union and the European Atomic Energy Community (</w:t>
      </w:r>
      <w:r>
        <w:t>OJ L 29, 31.1.2020, p. 7</w:t>
      </w:r>
      <w:r w:rsidDel="00876AED">
        <w:t>)</w:t>
      </w:r>
      <w:r>
        <w:t>.</w:t>
      </w:r>
    </w:p>
  </w:footnote>
  <w:footnote w:id="50">
    <w:p w14:paraId="51DF300E" w14:textId="77777777" w:rsidR="007B6BAB" w:rsidRPr="00DF7025" w:rsidRDefault="007B6BAB" w:rsidP="00532D88">
      <w:pPr>
        <w:pStyle w:val="FootnoteText"/>
      </w:pPr>
      <w:r w:rsidRPr="006048C8">
        <w:rPr>
          <w:rStyle w:val="FootnoteReference"/>
        </w:rPr>
        <w:footnoteRef/>
      </w:r>
      <w:r>
        <w:tab/>
      </w:r>
      <w:r w:rsidRPr="00DF7025">
        <w:t>Regulation (EU) 2016/399 of the European Parliament and of the Council of 9 March 2016 on a Union Code on the rules governing the movement of persons across borders (Schengen Borders Code)</w:t>
      </w:r>
    </w:p>
  </w:footnote>
  <w:footnote w:id="51">
    <w:p w14:paraId="7A43756E" w14:textId="77777777" w:rsidR="007B6BAB" w:rsidRPr="00EC0933" w:rsidRDefault="007B6BAB">
      <w:pPr>
        <w:pStyle w:val="FootnoteText"/>
        <w:rPr>
          <w:lang w:val="en-IE"/>
        </w:rPr>
      </w:pPr>
      <w:r w:rsidRPr="000E3E0B">
        <w:rPr>
          <w:rStyle w:val="FootnoteReference"/>
        </w:rPr>
        <w:footnoteRef/>
      </w:r>
      <w:r>
        <w:tab/>
      </w:r>
      <w:r w:rsidRPr="00427444">
        <w:rPr>
          <w:lang w:val="en-IE"/>
        </w:rPr>
        <w:t>Council Regulation (EC) No 1683/95 of 29 May 1995 laying down a uniform format for visas (OJ L 164, 14.7.1995, p. 1)</w:t>
      </w:r>
      <w:r>
        <w:rPr>
          <w:lang w:val="en-IE"/>
        </w:rPr>
        <w:t>.</w:t>
      </w:r>
    </w:p>
  </w:footnote>
  <w:footnote w:id="52">
    <w:p w14:paraId="08FCEFD4" w14:textId="77777777" w:rsidR="007B6BAB" w:rsidRPr="00917185" w:rsidRDefault="007B6BAB">
      <w:pPr>
        <w:pStyle w:val="FootnoteText"/>
      </w:pPr>
      <w:r w:rsidRPr="000E3E0B">
        <w:rPr>
          <w:rStyle w:val="FootnoteReference"/>
        </w:rPr>
        <w:footnoteRef/>
      </w:r>
      <w:r>
        <w:tab/>
      </w:r>
      <w:r w:rsidRPr="00917185">
        <w:t>Convention implementing the Schengen Agreement of 14 June 1985 between the Governments of the States of the Benelux Economic Union, the Federal Republic of Germany and the French Republic on the gradual abolition of checks at their common borders (OJ L 239, 22.9.2000, p. 19).</w:t>
      </w:r>
    </w:p>
  </w:footnote>
  <w:footnote w:id="53">
    <w:p w14:paraId="6A895D06" w14:textId="77777777" w:rsidR="007B6BAB" w:rsidRPr="00EC0933" w:rsidRDefault="007B6BAB">
      <w:pPr>
        <w:pStyle w:val="FootnoteText"/>
        <w:rPr>
          <w:lang w:val="en-IE"/>
        </w:rPr>
      </w:pPr>
      <w:r w:rsidRPr="000E3E0B">
        <w:rPr>
          <w:rStyle w:val="FootnoteReference"/>
        </w:rPr>
        <w:footnoteRef/>
      </w:r>
      <w:r>
        <w:tab/>
      </w:r>
      <w:r w:rsidRPr="00917185">
        <w:rPr>
          <w:lang w:val="en-IE"/>
        </w:rPr>
        <w:t>Council Regulation (EC) No 333/2002 of 18 February 2002 on a uniform format for forms for affixing the visa issued by Member States to persons holding travel documents not recognised by the Member State drawing up the form (OJ L 53, 23.2.2002, p. 4).</w:t>
      </w:r>
    </w:p>
  </w:footnote>
  <w:footnote w:id="54">
    <w:p w14:paraId="32C2942F" w14:textId="77777777" w:rsidR="007B6BAB" w:rsidRPr="00800550" w:rsidRDefault="007B6BAB">
      <w:pPr>
        <w:pStyle w:val="FootnoteText"/>
      </w:pPr>
      <w:r w:rsidRPr="000E3E0B">
        <w:rPr>
          <w:rStyle w:val="FootnoteReference"/>
        </w:rPr>
        <w:footnoteRef/>
      </w:r>
      <w:r>
        <w:tab/>
      </w:r>
      <w:r w:rsidRPr="00800550">
        <w:t>Council Regulation (EC) No 693/2003 of 14 April 2003 establishing a specific Facilitated Transit Document (FTD), a Facilitated Rail Transit Document (FRTD) and amending the Common Consular Instructions and the Common Manual (OJ L 99, 17.4.2003, p. 8).</w:t>
      </w:r>
    </w:p>
  </w:footnote>
  <w:footnote w:id="55">
    <w:p w14:paraId="6DBBA337" w14:textId="77777777" w:rsidR="007B6BAB" w:rsidRPr="00EC0933" w:rsidRDefault="007B6BAB">
      <w:pPr>
        <w:pStyle w:val="FootnoteText"/>
        <w:rPr>
          <w:lang w:val="en-IE"/>
        </w:rPr>
      </w:pPr>
      <w:r w:rsidRPr="000E3E0B">
        <w:rPr>
          <w:rStyle w:val="FootnoteReference"/>
        </w:rPr>
        <w:footnoteRef/>
      </w:r>
      <w:r>
        <w:tab/>
      </w:r>
      <w:r w:rsidRPr="00800550">
        <w:rPr>
          <w:lang w:val="en-IE"/>
        </w:rPr>
        <w:t>Council Regulation (EC) No 694/2003 of 14 April 2003 on uniform formats for Facilitated Transit Documents (FTD) and Facilitated Rail Transit Documents (FRTD) provided for in Regulation (EC) No 693/2003 (OJ L 99, 17.4.2003, p. 15).</w:t>
      </w:r>
    </w:p>
  </w:footnote>
  <w:footnote w:id="56">
    <w:p w14:paraId="52717482" w14:textId="77777777" w:rsidR="007B6BAB" w:rsidRDefault="007B6BAB" w:rsidP="00AD6B91">
      <w:pPr>
        <w:pStyle w:val="FootnoteText"/>
      </w:pPr>
      <w:r>
        <w:rPr>
          <w:rStyle w:val="FootnoteReference"/>
        </w:rPr>
        <w:footnoteRef/>
      </w:r>
      <w:r>
        <w:tab/>
      </w:r>
      <w:r w:rsidRPr="000572B0">
        <w:t>OJ L 123, 12.5.2016, p. 1</w:t>
      </w:r>
      <w:r>
        <w:t>.</w:t>
      </w:r>
    </w:p>
  </w:footnote>
  <w:footnote w:id="57">
    <w:p w14:paraId="658F7F0F" w14:textId="77777777" w:rsidR="007B6BAB" w:rsidRPr="00EC0933" w:rsidRDefault="007B6BAB">
      <w:pPr>
        <w:pStyle w:val="FootnoteText"/>
        <w:rPr>
          <w:lang w:val="en-IE"/>
        </w:rPr>
      </w:pPr>
      <w:r w:rsidRPr="000E3E0B">
        <w:rPr>
          <w:rStyle w:val="FootnoteReference"/>
        </w:rPr>
        <w:footnoteRef/>
      </w:r>
      <w:r>
        <w:tab/>
      </w:r>
      <w:r w:rsidRPr="005B535C">
        <w:t>Directive (EU) 2016/2102 of the European Parliament and of the Council of 26 October 2016 on the accessibility of the websites and mobile applications of public sector bodies, (OJ L 327, 2.12.2016, p. 1–15).</w:t>
      </w:r>
    </w:p>
  </w:footnote>
  <w:footnote w:id="58">
    <w:p w14:paraId="4D0A4880" w14:textId="77777777" w:rsidR="007B6BAB" w:rsidRPr="00AE49BF" w:rsidRDefault="007B6BAB" w:rsidP="00532D88">
      <w:pPr>
        <w:pStyle w:val="FootnoteText"/>
        <w:rPr>
          <w:lang w:val="en-IE"/>
        </w:rPr>
      </w:pPr>
      <w:r w:rsidRPr="006048C8">
        <w:rPr>
          <w:rStyle w:val="FootnoteReference"/>
        </w:rPr>
        <w:footnoteRef/>
      </w:r>
      <w:r>
        <w:tab/>
        <w:t xml:space="preserve">This Regulation </w:t>
      </w:r>
      <w:r w:rsidRPr="00401BA6">
        <w:t>falls outside the scope of the measures provided for in</w:t>
      </w:r>
      <w:r>
        <w:t xml:space="preserve"> Council Decision 2002/192/EC of 28 February 2002 concerning Ireland's request to take part in some of the provisions of the Schengen acquis (OJ L 64, 7.3.2002, p. 20).</w:t>
      </w:r>
    </w:p>
  </w:footnote>
  <w:footnote w:id="59">
    <w:p w14:paraId="1E8C3F7A" w14:textId="77777777" w:rsidR="007B6BAB" w:rsidRPr="00AE49BF" w:rsidRDefault="007B6BAB" w:rsidP="00532D88">
      <w:pPr>
        <w:pStyle w:val="FootnoteText"/>
        <w:rPr>
          <w:lang w:val="en-IE"/>
        </w:rPr>
      </w:pPr>
      <w:r w:rsidRPr="006048C8">
        <w:rPr>
          <w:rStyle w:val="FootnoteReference"/>
        </w:rPr>
        <w:footnoteRef/>
      </w:r>
      <w:r>
        <w:tab/>
      </w:r>
      <w:r w:rsidRPr="00BC7A90">
        <w:t>OJ L 176, 10.7.1999, p. 36</w:t>
      </w:r>
      <w:r>
        <w:t>.</w:t>
      </w:r>
    </w:p>
  </w:footnote>
  <w:footnote w:id="60">
    <w:p w14:paraId="056BF128" w14:textId="77777777" w:rsidR="007B6BAB" w:rsidRPr="00AE49BF" w:rsidRDefault="007B6BAB" w:rsidP="00532D88">
      <w:pPr>
        <w:pStyle w:val="FootnoteText"/>
        <w:rPr>
          <w:lang w:val="en-IE"/>
        </w:rPr>
      </w:pPr>
      <w:r w:rsidRPr="006048C8">
        <w:rPr>
          <w:rStyle w:val="FootnoteReference"/>
        </w:rPr>
        <w:footnoteRef/>
      </w:r>
      <w:r>
        <w:tab/>
        <w:t>Council Decision 1999/437/EC of 17 May 1999 on certain arrangements for the application of the Agreement concluded by the Council of the European Union and the Republic of Iceland and the Kingdom of Norway concerning the association of those two States with the implementation, application and development of the Schengen acquis (OJ L 176, 10.7.1999, p. 31).</w:t>
      </w:r>
    </w:p>
  </w:footnote>
  <w:footnote w:id="61">
    <w:p w14:paraId="190F4A19" w14:textId="77777777" w:rsidR="007B6BAB" w:rsidRPr="00AE49BF" w:rsidRDefault="007B6BAB" w:rsidP="00532D88">
      <w:pPr>
        <w:pStyle w:val="FootnoteText"/>
        <w:rPr>
          <w:lang w:val="en-IE"/>
        </w:rPr>
      </w:pPr>
      <w:r w:rsidRPr="006048C8">
        <w:rPr>
          <w:rStyle w:val="FootnoteReference"/>
        </w:rPr>
        <w:footnoteRef/>
      </w:r>
      <w:r>
        <w:tab/>
        <w:t>OJ L 53, 27.2.2008, p. 52.</w:t>
      </w:r>
    </w:p>
  </w:footnote>
  <w:footnote w:id="62">
    <w:p w14:paraId="7A9A6E41" w14:textId="77777777" w:rsidR="007B6BAB" w:rsidRPr="00AE49BF" w:rsidRDefault="007B6BAB" w:rsidP="00532D88">
      <w:pPr>
        <w:pStyle w:val="FootnoteText"/>
        <w:rPr>
          <w:lang w:val="en-IE"/>
        </w:rPr>
      </w:pPr>
      <w:r w:rsidRPr="006048C8">
        <w:rPr>
          <w:rStyle w:val="FootnoteReference"/>
        </w:rPr>
        <w:footnoteRef/>
      </w:r>
      <w:r>
        <w:tab/>
        <w:t xml:space="preserve">Council Decision 2008/146/EC of 28 January 2008 on the conclusion, on behalf of the European Community, of the Agreement between the European Union, the European Community and the Swiss Confederation on the Swiss Confederation's association with the implementation, application and development of the Schengen </w:t>
      </w:r>
      <w:r w:rsidRPr="00EC0933">
        <w:rPr>
          <w:i/>
        </w:rPr>
        <w:t>acquis</w:t>
      </w:r>
      <w:r>
        <w:t xml:space="preserve"> (OJ L 53, 27.2.2008, p. 1).</w:t>
      </w:r>
    </w:p>
  </w:footnote>
  <w:footnote w:id="63">
    <w:p w14:paraId="1184B744" w14:textId="77777777" w:rsidR="007B6BAB" w:rsidRPr="00AE49BF" w:rsidRDefault="007B6BAB" w:rsidP="00532D88">
      <w:pPr>
        <w:pStyle w:val="FootnoteText"/>
        <w:rPr>
          <w:lang w:val="en-IE"/>
        </w:rPr>
      </w:pPr>
      <w:r w:rsidRPr="006048C8">
        <w:rPr>
          <w:rStyle w:val="FootnoteReference"/>
        </w:rPr>
        <w:footnoteRef/>
      </w:r>
      <w:r>
        <w:tab/>
        <w:t>OJ L 160, 18.6.2011, p. 21.</w:t>
      </w:r>
    </w:p>
  </w:footnote>
  <w:footnote w:id="64">
    <w:p w14:paraId="2B7764BA" w14:textId="77777777" w:rsidR="007B6BAB" w:rsidRPr="00AE49BF" w:rsidRDefault="007B6BAB" w:rsidP="00532D88">
      <w:pPr>
        <w:pStyle w:val="FootnoteText"/>
        <w:rPr>
          <w:lang w:val="en-IE"/>
        </w:rPr>
      </w:pPr>
      <w:r w:rsidRPr="006048C8">
        <w:rPr>
          <w:rStyle w:val="FootnoteReference"/>
        </w:rPr>
        <w:footnoteRef/>
      </w:r>
      <w:r>
        <w:tab/>
        <w:t xml:space="preserve">Council Decision 2011/350/EU of 7 March 2011 on the conclusion, on behalf of the European Union,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w:t>
      </w:r>
      <w:r w:rsidRPr="00EC0933">
        <w:rPr>
          <w:i/>
        </w:rPr>
        <w:t>acquis</w:t>
      </w:r>
      <w:r>
        <w:t>, relating to the abolition of checks at internal borders and movement of persons (OJ L 160, 18.6.2011, p. 19).</w:t>
      </w:r>
    </w:p>
  </w:footnote>
  <w:footnote w:id="65">
    <w:p w14:paraId="1E5FEFD1" w14:textId="77777777" w:rsidR="007B6BAB" w:rsidRDefault="007B6BAB" w:rsidP="00BD2B6D">
      <w:pPr>
        <w:pStyle w:val="FootnoteText"/>
      </w:pPr>
      <w:r w:rsidRPr="00C10D33">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39–98)</w:t>
      </w:r>
    </w:p>
  </w:footnote>
  <w:footnote w:id="66">
    <w:p w14:paraId="617FD9E6" w14:textId="77777777" w:rsidR="007B6BAB" w:rsidRPr="00EC0933" w:rsidRDefault="007B6BAB">
      <w:pPr>
        <w:pStyle w:val="FootnoteText"/>
        <w:rPr>
          <w:lang w:val="en-IE"/>
        </w:rPr>
      </w:pPr>
      <w:r w:rsidRPr="000E3E0B">
        <w:rPr>
          <w:rStyle w:val="FootnoteReference"/>
        </w:rPr>
        <w:footnoteRef/>
      </w:r>
      <w:r>
        <w:tab/>
      </w:r>
      <w:r w:rsidRPr="00D62E54">
        <w:rPr>
          <w:lang w:val="en-IE"/>
        </w:rPr>
        <w:t>[OJ C …].</w:t>
      </w:r>
    </w:p>
  </w:footnote>
  <w:footnote w:id="67">
    <w:p w14:paraId="00D73682" w14:textId="77777777" w:rsidR="007B6BAB" w:rsidRDefault="007B6BAB" w:rsidP="001E25B7">
      <w:pPr>
        <w:pStyle w:val="FootnoteText"/>
      </w:pPr>
      <w:r>
        <w:rPr>
          <w:rStyle w:val="FootnoteReference"/>
        </w:rPr>
        <w:footnoteRef/>
      </w:r>
      <w:r>
        <w:tab/>
        <w:t>Council Regulation (EC) No 1683/95 of 29 May 1995 laying down a uniform format for visas (OJ L 164, 14.7.1995, p. 1).</w:t>
      </w:r>
    </w:p>
  </w:footnote>
  <w:footnote w:id="68">
    <w:p w14:paraId="5B52C68F" w14:textId="77777777" w:rsidR="007B6BAB" w:rsidRDefault="007B6BAB" w:rsidP="00A917DD">
      <w:pPr>
        <w:pStyle w:val="FootnoteText"/>
      </w:pPr>
      <w:r>
        <w:rPr>
          <w:rStyle w:val="FootnoteReference"/>
        </w:rPr>
        <w:footnoteRef/>
      </w:r>
      <w:r>
        <w:tab/>
        <w:t>Council Regulation (EC) No 333/2002 of 18 February 2002 on a uniform format for forms for affixing the visa issued by Member States to persons holding travel documents not recognised by the Member State drawing up the form (OJ L 53, 23.2.2002, p. 4).</w:t>
      </w:r>
    </w:p>
  </w:footnote>
  <w:footnote w:id="69">
    <w:p w14:paraId="119831AC" w14:textId="77777777" w:rsidR="007B6BAB" w:rsidRDefault="007B6BAB" w:rsidP="00A917DD">
      <w:pPr>
        <w:pStyle w:val="FootnoteText"/>
      </w:pPr>
      <w:r w:rsidRPr="000E3E0B">
        <w:rPr>
          <w:rStyle w:val="FootnoteReference"/>
        </w:rPr>
        <w:footnoteRef/>
      </w:r>
      <w:r>
        <w:tab/>
        <w:t>Council Regulation (EC) No 694/2003 of 14 April 2003 on uniform formats for Facilitated Transit Documents (FTD) and Facilitated Rail Transit Documents (FRTD) provided for in Regulation (EC) No 693/2003 (OJ L 99, 17.4.2003, p. 15).</w:t>
      </w:r>
    </w:p>
  </w:footnote>
  <w:footnote w:id="70">
    <w:p w14:paraId="16B64AA2" w14:textId="77777777" w:rsidR="007B6BAB" w:rsidRDefault="007B6BAB">
      <w:pPr>
        <w:pStyle w:val="FootnoteText"/>
      </w:pPr>
      <w:r w:rsidRPr="000E3E0B">
        <w:rPr>
          <w:rStyle w:val="FootnoteReference"/>
        </w:rPr>
        <w:footnoteRef/>
      </w:r>
      <w:r>
        <w:tab/>
      </w:r>
      <w:r w:rsidRPr="004503DF">
        <w:t>Convention implementing the Schengen Agreement of 14 June 1985 between the Governments of the States of the Benelux Economic Union, the Federal Republic of Germany and the French Republic on the gradual abolition of checks at their common borders</w:t>
      </w:r>
      <w:r>
        <w:t xml:space="preserve"> </w:t>
      </w:r>
      <w:r>
        <w:rPr>
          <w:color w:val="444444"/>
          <w:sz w:val="19"/>
          <w:szCs w:val="19"/>
          <w:shd w:val="clear" w:color="auto" w:fill="FFFFFF"/>
        </w:rPr>
        <w:t>(</w:t>
      </w:r>
      <w:hyperlink r:id="rId8" w:history="1">
        <w:r>
          <w:rPr>
            <w:rStyle w:val="Hyperlink"/>
            <w:color w:val="3366CC"/>
            <w:sz w:val="19"/>
            <w:szCs w:val="19"/>
            <w:shd w:val="clear" w:color="auto" w:fill="FFFFFF"/>
          </w:rPr>
          <w:t>OJ L 239, 22.9.2000, p. 19</w:t>
        </w:r>
      </w:hyperlink>
      <w:r>
        <w:t>)</w:t>
      </w:r>
      <w:r>
        <w:rPr>
          <w:color w:val="444444"/>
          <w:sz w:val="19"/>
          <w:szCs w:val="19"/>
          <w:shd w:val="clear" w:color="auto" w:fill="FFFFFF"/>
        </w:rPr>
        <w:t>.</w:t>
      </w:r>
    </w:p>
  </w:footnote>
  <w:footnote w:id="71">
    <w:p w14:paraId="6A59F6B3" w14:textId="77777777" w:rsidR="007B6BAB" w:rsidRDefault="007B6BAB" w:rsidP="005614D5">
      <w:pPr>
        <w:pStyle w:val="FootnoteText"/>
      </w:pPr>
      <w:r w:rsidRPr="000E3E0B">
        <w:rPr>
          <w:rStyle w:val="FootnoteReference"/>
        </w:rPr>
        <w:footnoteRef/>
      </w:r>
      <w:r>
        <w:tab/>
        <w:t>Council Regulation (EC) No 693/2003 of 14 April 2003 establishing a specific Facilitated Transit Document (FTD), a Facilitated Rail Transit Document (FRTD) and amending the Common Consular Instructions and the Common Manual (OJ L 99, 17.4.2003, p. 8).</w:t>
      </w:r>
    </w:p>
  </w:footnote>
  <w:footnote w:id="72">
    <w:p w14:paraId="185A26AB" w14:textId="77777777" w:rsidR="007B6BAB" w:rsidRDefault="007B6BAB" w:rsidP="005614D5">
      <w:pPr>
        <w:pStyle w:val="FootnoteText"/>
      </w:pPr>
      <w:r w:rsidRPr="000E3E0B">
        <w:rPr>
          <w:rStyle w:val="FootnoteReference"/>
        </w:rPr>
        <w:footnoteRef/>
      </w:r>
      <w:r>
        <w:tab/>
        <w:t>Regulation (EU) 2017/2226 of the European Parliament and of the Council of 30 November 2017 establishing an Entry/Exit System (EES) to register entry and exit data and refusal of entry data of third-country nationals crossing the external borders of the Member States and determining the conditions for access to the EES for law enforcement purposes, and amending the Convention implementing the Schengen Agreement and Regulations (EC) No 767/2008 and (EU) No 1077/2011 (OJ L 327, 9.12.2017, p. 20).</w:t>
      </w:r>
    </w:p>
  </w:footnote>
  <w:footnote w:id="73">
    <w:p w14:paraId="558A2857" w14:textId="77777777" w:rsidR="007B6BAB" w:rsidRDefault="007B6BAB" w:rsidP="00E04CDE">
      <w:pPr>
        <w:pStyle w:val="FootnoteText"/>
        <w:rPr>
          <w:szCs w:val="24"/>
        </w:rPr>
      </w:pPr>
      <w:r>
        <w:rPr>
          <w:rStyle w:val="FootnoteReference"/>
        </w:rPr>
        <w:footnoteRef/>
      </w:r>
      <w:r>
        <w:tab/>
        <w:t>As referred to in Article 58(2)(a) or (b) of the Financial Regulation.</w:t>
      </w:r>
    </w:p>
  </w:footnote>
  <w:footnote w:id="74">
    <w:p w14:paraId="303A709E" w14:textId="77777777" w:rsidR="007B6BAB" w:rsidRDefault="007B6BAB" w:rsidP="00E04CDE">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9" w:history="1">
        <w:r w:rsidRPr="003625F3">
          <w:rPr>
            <w:rStyle w:val="Hyperlink"/>
            <w:szCs w:val="24"/>
          </w:rPr>
          <w:t>https://myintracomm.ec.europa.eu/budgweb/EN/man/budgmanag/Pages/budgmanag.aspx</w:t>
        </w:r>
      </w:hyperlink>
      <w:r>
        <w:rPr>
          <w:szCs w:val="24"/>
        </w:rPr>
        <w:t xml:space="preserve"> </w:t>
      </w:r>
    </w:p>
  </w:footnote>
  <w:footnote w:id="75">
    <w:p w14:paraId="4CFF1D29" w14:textId="77777777" w:rsidR="007B6BAB" w:rsidRDefault="007B6BAB" w:rsidP="00E04CDE">
      <w:pPr>
        <w:pStyle w:val="FootnoteText"/>
        <w:rPr>
          <w:szCs w:val="24"/>
        </w:rPr>
      </w:pPr>
      <w:r>
        <w:rPr>
          <w:rStyle w:val="FootnoteReference"/>
        </w:rPr>
        <w:footnoteRef/>
      </w:r>
      <w:r>
        <w:tab/>
        <w:t>Diff. = Differentiated appropriations / Non-diff. = Non-differentiated appropriations.</w:t>
      </w:r>
    </w:p>
  </w:footnote>
  <w:footnote w:id="76">
    <w:p w14:paraId="720E9DD6" w14:textId="77777777" w:rsidR="007B6BAB" w:rsidRDefault="007B6BAB" w:rsidP="00E04CDE">
      <w:pPr>
        <w:pStyle w:val="FootnoteText"/>
        <w:rPr>
          <w:szCs w:val="24"/>
        </w:rPr>
      </w:pPr>
      <w:r>
        <w:rPr>
          <w:rStyle w:val="FootnoteReference"/>
        </w:rPr>
        <w:footnoteRef/>
      </w:r>
      <w:r>
        <w:tab/>
        <w:t xml:space="preserve">EFTA: European Free Trade Association. </w:t>
      </w:r>
    </w:p>
  </w:footnote>
  <w:footnote w:id="77">
    <w:p w14:paraId="35CA02D2" w14:textId="77777777" w:rsidR="007B6BAB" w:rsidRDefault="007B6BAB" w:rsidP="00E04CDE">
      <w:pPr>
        <w:pStyle w:val="FootnoteText"/>
        <w:rPr>
          <w:szCs w:val="24"/>
        </w:rPr>
      </w:pPr>
      <w:r>
        <w:rPr>
          <w:rStyle w:val="FootnoteReference"/>
        </w:rPr>
        <w:footnoteRef/>
      </w:r>
      <w:r>
        <w:tab/>
        <w:t>Candidate countries and, where applicable, potential candidates from the Western Balkans.</w:t>
      </w:r>
    </w:p>
  </w:footnote>
  <w:footnote w:id="78">
    <w:p w14:paraId="21DAF14E" w14:textId="77777777" w:rsidR="007B6BAB" w:rsidRPr="008D0E8A" w:rsidRDefault="007B6BAB" w:rsidP="00E04CDE">
      <w:pPr>
        <w:pStyle w:val="FootnoteText"/>
        <w:rPr>
          <w:sz w:val="18"/>
          <w:szCs w:val="18"/>
        </w:rPr>
      </w:pPr>
      <w:r>
        <w:rPr>
          <w:rStyle w:val="FootnoteReference"/>
        </w:rPr>
        <w:footnoteRef/>
      </w:r>
      <w:r>
        <w:tab/>
      </w:r>
      <w:r w:rsidRPr="007974DD">
        <w:rPr>
          <w:sz w:val="18"/>
          <w:szCs w:val="18"/>
        </w:rPr>
        <w:t>Year N is the year in which implementation of the proposal/initiative starts. Please replace "N" by the expected first year of implementation (for instance: 2021)</w:t>
      </w:r>
      <w:r>
        <w:rPr>
          <w:sz w:val="18"/>
          <w:szCs w:val="18"/>
        </w:rPr>
        <w:t>. T</w:t>
      </w:r>
      <w:r w:rsidRPr="007974DD">
        <w:rPr>
          <w:sz w:val="18"/>
          <w:szCs w:val="18"/>
        </w:rPr>
        <w:t>he same for the following years</w:t>
      </w:r>
      <w:r>
        <w:rPr>
          <w:sz w:val="18"/>
          <w:szCs w:val="18"/>
        </w:rPr>
        <w:t>.</w:t>
      </w:r>
    </w:p>
  </w:footnote>
  <w:footnote w:id="79">
    <w:p w14:paraId="67680DF5" w14:textId="77777777" w:rsidR="007B6BAB" w:rsidRDefault="007B6BAB" w:rsidP="00E04CDE">
      <w:pPr>
        <w:pStyle w:val="FootnoteText"/>
        <w:rPr>
          <w:szCs w:val="24"/>
        </w:rPr>
      </w:pPr>
      <w:r w:rsidRPr="00CB7CD3">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80">
    <w:p w14:paraId="1DEC5AEE" w14:textId="77777777" w:rsidR="007B6BAB" w:rsidRDefault="007B6BAB" w:rsidP="00E04CDE">
      <w:pPr>
        <w:pStyle w:val="FootnoteText"/>
        <w:rPr>
          <w:szCs w:val="24"/>
        </w:rPr>
      </w:pPr>
      <w:r>
        <w:rPr>
          <w:rStyle w:val="FootnoteReference"/>
        </w:rPr>
        <w:footnoteRef/>
      </w:r>
      <w:r>
        <w:tab/>
        <w:t xml:space="preserve">AC= Contract Staff; AL = Local Staff; END= Seconded National Expert; INT = agency staff; JPD= Junior Professionals in Delegations. </w:t>
      </w:r>
    </w:p>
  </w:footnote>
  <w:footnote w:id="81">
    <w:p w14:paraId="0F6917A8" w14:textId="77777777" w:rsidR="007B6BAB" w:rsidRDefault="007B6BAB" w:rsidP="00E04CDE">
      <w:pPr>
        <w:pStyle w:val="FootnoteText"/>
        <w:rPr>
          <w:szCs w:val="24"/>
        </w:rPr>
      </w:pPr>
      <w:r>
        <w:rPr>
          <w:rStyle w:val="FootnoteReference"/>
        </w:rPr>
        <w:footnoteRef/>
      </w:r>
      <w:r>
        <w:tab/>
        <w:t>Sub-ceiling for external staff covered by operational appropriations (former ‘BA’ lines).</w:t>
      </w:r>
    </w:p>
  </w:footnote>
  <w:footnote w:id="82">
    <w:p w14:paraId="4DBD4E8A" w14:textId="77777777" w:rsidR="007B6BAB" w:rsidRDefault="007B6BAB" w:rsidP="00E04CDE">
      <w:pPr>
        <w:pStyle w:val="FootnoteText"/>
      </w:pPr>
      <w:r w:rsidRPr="00CB7CD3">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83">
    <w:p w14:paraId="727ADB0C" w14:textId="77777777" w:rsidR="007B6BAB" w:rsidRDefault="007B6BAB" w:rsidP="00E04CDE">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5E344" w14:textId="77777777" w:rsidR="00FB3ECA" w:rsidRPr="00FB3ECA" w:rsidRDefault="00FB3ECA" w:rsidP="00FB3ECA">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90663" w14:textId="77777777" w:rsidR="00FB3ECA" w:rsidRPr="00FB3ECA" w:rsidRDefault="00FB3ECA" w:rsidP="00FB3ECA">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6B262" w14:textId="77777777" w:rsidR="007B6BAB" w:rsidRPr="00BB62EC" w:rsidRDefault="007B6BAB" w:rsidP="00FB3E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EFF1" w14:textId="77777777" w:rsidR="00FB3ECA" w:rsidRPr="00FB3ECA" w:rsidRDefault="00FB3ECA" w:rsidP="00FB3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2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11"/>
  </w:num>
  <w:num w:numId="58">
    <w:abstractNumId w:val="25"/>
  </w:num>
  <w:num w:numId="59">
    <w:abstractNumId w:val="6"/>
  </w:num>
  <w:num w:numId="60">
    <w:abstractNumId w:val="12"/>
  </w:num>
  <w:num w:numId="61">
    <w:abstractNumId w:val="13"/>
  </w:num>
  <w:num w:numId="62">
    <w:abstractNumId w:val="4"/>
  </w:num>
  <w:num w:numId="63">
    <w:abstractNumId w:val="24"/>
  </w:num>
  <w:num w:numId="64">
    <w:abstractNumId w:val="3"/>
  </w:num>
  <w:num w:numId="65">
    <w:abstractNumId w:val="14"/>
  </w:num>
  <w:num w:numId="66">
    <w:abstractNumId w:val="20"/>
  </w:num>
  <w:num w:numId="67">
    <w:abstractNumId w:val="21"/>
  </w:num>
  <w:num w:numId="68">
    <w:abstractNumId w:val="5"/>
  </w:num>
  <w:num w:numId="69">
    <w:abstractNumId w:val="18"/>
  </w:num>
  <w:num w:numId="70">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de-DE" w:vendorID="64" w:dllVersion="6" w:nlCheck="1" w:checkStyle="0"/>
  <w:activeWritingStyle w:appName="MSWord" w:lang="de-DE"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4-21 17:24:05"/>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A4AABC68-1B38-42EA-AAD4-F000567E3BE3"/>
    <w:docVar w:name="LW_COVERPAGE_TYPE" w:val="1"/>
    <w:docVar w:name="LW_CROSSREFERENCE" w:val="{SEC(2022) 202 final} - {SWD(2022) 658 final} - {SWD(2022) 659 final}"/>
    <w:docVar w:name="LW_DocType" w:val="COM"/>
    <w:docVar w:name="LW_EMISSION" w:val="27.4.2022"/>
    <w:docVar w:name="LW_EMISSION_ISODATE" w:val="2022-04-27"/>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32"/>
    <w:docVar w:name="LW_REF.II.NEW.CP_YEAR" w:val="2022"/>
    <w:docVar w:name="LW_REF.INST.NEW" w:val="COM"/>
    <w:docVar w:name="LW_REF.INST.NEW_ADOPTED" w:val="final"/>
    <w:docVar w:name="LW_REF.INST.NEW_TEXT" w:val="(2022) 6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s (EC) No 767/2008, (EC) No 810/2009 and (EU) 2017/2226 of the European Parliament and of the Council, Council Regulations (EC) No 1683/95, (EC) No 333/2002, (EC) No 693/2003 and (EC) No 694/2003 and Convention implementing the Schengen Agreement, as regards the digitalisation of the visa procedure"/>
    <w:docVar w:name="LW_TYPE.DOC.CP" w:val="REGULATION OF THE EUROPEAN PARLIAMENT AND OF THE COUNCIL"/>
    <w:docVar w:name="LwApiVersions" w:val="LW4CoDe 1.23.2.0; LW 8.0, Build 20211117"/>
  </w:docVars>
  <w:rsids>
    <w:rsidRoot w:val="00A40E24"/>
    <w:rsid w:val="000004A0"/>
    <w:rsid w:val="00000E9A"/>
    <w:rsid w:val="00002CA9"/>
    <w:rsid w:val="00002CB0"/>
    <w:rsid w:val="0000364F"/>
    <w:rsid w:val="00003D2E"/>
    <w:rsid w:val="00004FD7"/>
    <w:rsid w:val="00005580"/>
    <w:rsid w:val="00005CC5"/>
    <w:rsid w:val="000060B0"/>
    <w:rsid w:val="00006D59"/>
    <w:rsid w:val="00007A73"/>
    <w:rsid w:val="000108A9"/>
    <w:rsid w:val="00010A48"/>
    <w:rsid w:val="00011C7F"/>
    <w:rsid w:val="00012221"/>
    <w:rsid w:val="000149D5"/>
    <w:rsid w:val="00014F58"/>
    <w:rsid w:val="0001524B"/>
    <w:rsid w:val="00015EEC"/>
    <w:rsid w:val="00017275"/>
    <w:rsid w:val="00017EAE"/>
    <w:rsid w:val="000208DF"/>
    <w:rsid w:val="000214BB"/>
    <w:rsid w:val="00021751"/>
    <w:rsid w:val="00022B2D"/>
    <w:rsid w:val="00022E6D"/>
    <w:rsid w:val="00025B4A"/>
    <w:rsid w:val="00027960"/>
    <w:rsid w:val="00031143"/>
    <w:rsid w:val="00031D84"/>
    <w:rsid w:val="0003327A"/>
    <w:rsid w:val="00034B5C"/>
    <w:rsid w:val="00034BB7"/>
    <w:rsid w:val="00034C3E"/>
    <w:rsid w:val="00036612"/>
    <w:rsid w:val="00037F66"/>
    <w:rsid w:val="00040A9C"/>
    <w:rsid w:val="000414A7"/>
    <w:rsid w:val="0004180C"/>
    <w:rsid w:val="00041DA3"/>
    <w:rsid w:val="000428F6"/>
    <w:rsid w:val="00042E66"/>
    <w:rsid w:val="000445AB"/>
    <w:rsid w:val="0004640E"/>
    <w:rsid w:val="000466AC"/>
    <w:rsid w:val="000467C6"/>
    <w:rsid w:val="00046DB5"/>
    <w:rsid w:val="00047655"/>
    <w:rsid w:val="000479B9"/>
    <w:rsid w:val="00050B36"/>
    <w:rsid w:val="00051410"/>
    <w:rsid w:val="000529CD"/>
    <w:rsid w:val="00053AD0"/>
    <w:rsid w:val="0005409A"/>
    <w:rsid w:val="000566F0"/>
    <w:rsid w:val="00056B67"/>
    <w:rsid w:val="000572B0"/>
    <w:rsid w:val="00057DA8"/>
    <w:rsid w:val="00060250"/>
    <w:rsid w:val="00062A0F"/>
    <w:rsid w:val="00063F38"/>
    <w:rsid w:val="00065B46"/>
    <w:rsid w:val="00065F60"/>
    <w:rsid w:val="00066129"/>
    <w:rsid w:val="00070D1D"/>
    <w:rsid w:val="00070FEF"/>
    <w:rsid w:val="000713D0"/>
    <w:rsid w:val="00071880"/>
    <w:rsid w:val="00071F1F"/>
    <w:rsid w:val="00073261"/>
    <w:rsid w:val="00074669"/>
    <w:rsid w:val="00074944"/>
    <w:rsid w:val="000751C6"/>
    <w:rsid w:val="00075A42"/>
    <w:rsid w:val="000767CF"/>
    <w:rsid w:val="00076944"/>
    <w:rsid w:val="000811CF"/>
    <w:rsid w:val="00081441"/>
    <w:rsid w:val="00083A51"/>
    <w:rsid w:val="00084342"/>
    <w:rsid w:val="00084F8E"/>
    <w:rsid w:val="00085215"/>
    <w:rsid w:val="0008524E"/>
    <w:rsid w:val="000855F1"/>
    <w:rsid w:val="000859AD"/>
    <w:rsid w:val="00085F8B"/>
    <w:rsid w:val="00086B7F"/>
    <w:rsid w:val="00086EB0"/>
    <w:rsid w:val="00087BC3"/>
    <w:rsid w:val="00087E19"/>
    <w:rsid w:val="000902B3"/>
    <w:rsid w:val="0009086F"/>
    <w:rsid w:val="00090C53"/>
    <w:rsid w:val="00090EF5"/>
    <w:rsid w:val="000911A5"/>
    <w:rsid w:val="00091981"/>
    <w:rsid w:val="00091FDB"/>
    <w:rsid w:val="000948FB"/>
    <w:rsid w:val="0009595D"/>
    <w:rsid w:val="00096163"/>
    <w:rsid w:val="00096AE6"/>
    <w:rsid w:val="000974C5"/>
    <w:rsid w:val="000A01CD"/>
    <w:rsid w:val="000A22BB"/>
    <w:rsid w:val="000A35C7"/>
    <w:rsid w:val="000A555A"/>
    <w:rsid w:val="000A5B42"/>
    <w:rsid w:val="000A7517"/>
    <w:rsid w:val="000B1360"/>
    <w:rsid w:val="000B1790"/>
    <w:rsid w:val="000B1EEB"/>
    <w:rsid w:val="000B2C27"/>
    <w:rsid w:val="000B3C38"/>
    <w:rsid w:val="000B43EA"/>
    <w:rsid w:val="000B7189"/>
    <w:rsid w:val="000B7CE9"/>
    <w:rsid w:val="000C0129"/>
    <w:rsid w:val="000C0345"/>
    <w:rsid w:val="000C1854"/>
    <w:rsid w:val="000C1E0B"/>
    <w:rsid w:val="000C32FD"/>
    <w:rsid w:val="000C5D1D"/>
    <w:rsid w:val="000C7260"/>
    <w:rsid w:val="000D3EE7"/>
    <w:rsid w:val="000D3F46"/>
    <w:rsid w:val="000D4208"/>
    <w:rsid w:val="000D5983"/>
    <w:rsid w:val="000D61E3"/>
    <w:rsid w:val="000D7162"/>
    <w:rsid w:val="000E198E"/>
    <w:rsid w:val="000E334C"/>
    <w:rsid w:val="000E3DAE"/>
    <w:rsid w:val="000E3E0B"/>
    <w:rsid w:val="000E4290"/>
    <w:rsid w:val="000E466E"/>
    <w:rsid w:val="000E4E4D"/>
    <w:rsid w:val="000E522F"/>
    <w:rsid w:val="000E6333"/>
    <w:rsid w:val="000E6341"/>
    <w:rsid w:val="000E6720"/>
    <w:rsid w:val="000E7CD0"/>
    <w:rsid w:val="000E7D4F"/>
    <w:rsid w:val="000E7DED"/>
    <w:rsid w:val="000F06EF"/>
    <w:rsid w:val="000F0F49"/>
    <w:rsid w:val="000F13C5"/>
    <w:rsid w:val="000F38FF"/>
    <w:rsid w:val="000F4C1A"/>
    <w:rsid w:val="000F4E94"/>
    <w:rsid w:val="000F5E9B"/>
    <w:rsid w:val="000F64EC"/>
    <w:rsid w:val="000F789F"/>
    <w:rsid w:val="00101253"/>
    <w:rsid w:val="001013CE"/>
    <w:rsid w:val="001016A9"/>
    <w:rsid w:val="0010340E"/>
    <w:rsid w:val="00103B40"/>
    <w:rsid w:val="0010520D"/>
    <w:rsid w:val="00105B57"/>
    <w:rsid w:val="00105C98"/>
    <w:rsid w:val="00105E1B"/>
    <w:rsid w:val="00107077"/>
    <w:rsid w:val="0010778A"/>
    <w:rsid w:val="00107CBF"/>
    <w:rsid w:val="0011093D"/>
    <w:rsid w:val="00110FDE"/>
    <w:rsid w:val="001118CF"/>
    <w:rsid w:val="00114B0C"/>
    <w:rsid w:val="001153E7"/>
    <w:rsid w:val="00116E00"/>
    <w:rsid w:val="00117F1C"/>
    <w:rsid w:val="001205FB"/>
    <w:rsid w:val="00122FA6"/>
    <w:rsid w:val="00123069"/>
    <w:rsid w:val="001231CC"/>
    <w:rsid w:val="00123B7C"/>
    <w:rsid w:val="0012400B"/>
    <w:rsid w:val="0012542E"/>
    <w:rsid w:val="001256F1"/>
    <w:rsid w:val="00126247"/>
    <w:rsid w:val="0013099D"/>
    <w:rsid w:val="001333CC"/>
    <w:rsid w:val="00133562"/>
    <w:rsid w:val="001335BA"/>
    <w:rsid w:val="001339DA"/>
    <w:rsid w:val="00133B22"/>
    <w:rsid w:val="00133E0D"/>
    <w:rsid w:val="001353FF"/>
    <w:rsid w:val="00136534"/>
    <w:rsid w:val="001368CD"/>
    <w:rsid w:val="00136E66"/>
    <w:rsid w:val="0013729C"/>
    <w:rsid w:val="00137DDE"/>
    <w:rsid w:val="00141516"/>
    <w:rsid w:val="001418CA"/>
    <w:rsid w:val="00142049"/>
    <w:rsid w:val="0014215D"/>
    <w:rsid w:val="0014476F"/>
    <w:rsid w:val="00145C06"/>
    <w:rsid w:val="001504B3"/>
    <w:rsid w:val="001508A7"/>
    <w:rsid w:val="00150A60"/>
    <w:rsid w:val="00150D05"/>
    <w:rsid w:val="001515FB"/>
    <w:rsid w:val="00151675"/>
    <w:rsid w:val="00152FA3"/>
    <w:rsid w:val="001559FF"/>
    <w:rsid w:val="00156A7C"/>
    <w:rsid w:val="00157400"/>
    <w:rsid w:val="00157542"/>
    <w:rsid w:val="00162043"/>
    <w:rsid w:val="00162282"/>
    <w:rsid w:val="001637F0"/>
    <w:rsid w:val="001651A0"/>
    <w:rsid w:val="00167A64"/>
    <w:rsid w:val="00171F2F"/>
    <w:rsid w:val="00172F53"/>
    <w:rsid w:val="00173081"/>
    <w:rsid w:val="00174B75"/>
    <w:rsid w:val="0017565D"/>
    <w:rsid w:val="001758EC"/>
    <w:rsid w:val="00176D91"/>
    <w:rsid w:val="00177311"/>
    <w:rsid w:val="00177527"/>
    <w:rsid w:val="00177DF4"/>
    <w:rsid w:val="0018012A"/>
    <w:rsid w:val="00180133"/>
    <w:rsid w:val="00180E01"/>
    <w:rsid w:val="00181D2C"/>
    <w:rsid w:val="0018212B"/>
    <w:rsid w:val="001826DB"/>
    <w:rsid w:val="00183913"/>
    <w:rsid w:val="00183A12"/>
    <w:rsid w:val="00183E49"/>
    <w:rsid w:val="00185D79"/>
    <w:rsid w:val="00186081"/>
    <w:rsid w:val="0018613C"/>
    <w:rsid w:val="0018639B"/>
    <w:rsid w:val="00186424"/>
    <w:rsid w:val="00186EEC"/>
    <w:rsid w:val="00186FAC"/>
    <w:rsid w:val="0018733A"/>
    <w:rsid w:val="001878E5"/>
    <w:rsid w:val="00192240"/>
    <w:rsid w:val="001926F3"/>
    <w:rsid w:val="00192978"/>
    <w:rsid w:val="00192F23"/>
    <w:rsid w:val="001934D7"/>
    <w:rsid w:val="00193672"/>
    <w:rsid w:val="0019620E"/>
    <w:rsid w:val="00197285"/>
    <w:rsid w:val="001A05AC"/>
    <w:rsid w:val="001A0E87"/>
    <w:rsid w:val="001A1556"/>
    <w:rsid w:val="001A19DF"/>
    <w:rsid w:val="001A1F42"/>
    <w:rsid w:val="001A34AA"/>
    <w:rsid w:val="001A3B8E"/>
    <w:rsid w:val="001A3CB5"/>
    <w:rsid w:val="001A4591"/>
    <w:rsid w:val="001A5119"/>
    <w:rsid w:val="001A614B"/>
    <w:rsid w:val="001A6168"/>
    <w:rsid w:val="001A73BD"/>
    <w:rsid w:val="001A7B0E"/>
    <w:rsid w:val="001A7F12"/>
    <w:rsid w:val="001B0785"/>
    <w:rsid w:val="001B10F0"/>
    <w:rsid w:val="001B1C6C"/>
    <w:rsid w:val="001B2FD5"/>
    <w:rsid w:val="001B307B"/>
    <w:rsid w:val="001B4F4F"/>
    <w:rsid w:val="001B50A1"/>
    <w:rsid w:val="001B544B"/>
    <w:rsid w:val="001B573F"/>
    <w:rsid w:val="001B6D7A"/>
    <w:rsid w:val="001C20A4"/>
    <w:rsid w:val="001C2816"/>
    <w:rsid w:val="001C30EB"/>
    <w:rsid w:val="001C3EA9"/>
    <w:rsid w:val="001C4258"/>
    <w:rsid w:val="001C4A97"/>
    <w:rsid w:val="001C4CA3"/>
    <w:rsid w:val="001C65AC"/>
    <w:rsid w:val="001C7807"/>
    <w:rsid w:val="001C7B81"/>
    <w:rsid w:val="001D0519"/>
    <w:rsid w:val="001D0628"/>
    <w:rsid w:val="001D0956"/>
    <w:rsid w:val="001D17B4"/>
    <w:rsid w:val="001D3927"/>
    <w:rsid w:val="001D62F6"/>
    <w:rsid w:val="001D7DBF"/>
    <w:rsid w:val="001D7FCE"/>
    <w:rsid w:val="001E1184"/>
    <w:rsid w:val="001E1F36"/>
    <w:rsid w:val="001E25B7"/>
    <w:rsid w:val="001E2777"/>
    <w:rsid w:val="001E2E75"/>
    <w:rsid w:val="001E2ECC"/>
    <w:rsid w:val="001E3A42"/>
    <w:rsid w:val="001E4B81"/>
    <w:rsid w:val="001E4C36"/>
    <w:rsid w:val="001E62E8"/>
    <w:rsid w:val="001E6A93"/>
    <w:rsid w:val="001E6B8A"/>
    <w:rsid w:val="001E786C"/>
    <w:rsid w:val="001F00E4"/>
    <w:rsid w:val="001F2079"/>
    <w:rsid w:val="001F221B"/>
    <w:rsid w:val="001F449E"/>
    <w:rsid w:val="001F464C"/>
    <w:rsid w:val="001F6953"/>
    <w:rsid w:val="00200097"/>
    <w:rsid w:val="002002EA"/>
    <w:rsid w:val="0020181D"/>
    <w:rsid w:val="002028A3"/>
    <w:rsid w:val="00203006"/>
    <w:rsid w:val="00204A8B"/>
    <w:rsid w:val="002058D1"/>
    <w:rsid w:val="00207218"/>
    <w:rsid w:val="00210EBE"/>
    <w:rsid w:val="00211245"/>
    <w:rsid w:val="00211872"/>
    <w:rsid w:val="00212109"/>
    <w:rsid w:val="002126B4"/>
    <w:rsid w:val="00212896"/>
    <w:rsid w:val="00213A71"/>
    <w:rsid w:val="00213E6E"/>
    <w:rsid w:val="00214091"/>
    <w:rsid w:val="00214219"/>
    <w:rsid w:val="002142D7"/>
    <w:rsid w:val="0021444E"/>
    <w:rsid w:val="0021792B"/>
    <w:rsid w:val="00217B8C"/>
    <w:rsid w:val="0022007B"/>
    <w:rsid w:val="00220872"/>
    <w:rsid w:val="00221A04"/>
    <w:rsid w:val="002221F5"/>
    <w:rsid w:val="0022226B"/>
    <w:rsid w:val="0022227E"/>
    <w:rsid w:val="002223CA"/>
    <w:rsid w:val="00224542"/>
    <w:rsid w:val="00224952"/>
    <w:rsid w:val="00224A04"/>
    <w:rsid w:val="002255CA"/>
    <w:rsid w:val="002266FE"/>
    <w:rsid w:val="00226A7E"/>
    <w:rsid w:val="00227646"/>
    <w:rsid w:val="002316EC"/>
    <w:rsid w:val="00231CF6"/>
    <w:rsid w:val="0023273B"/>
    <w:rsid w:val="00232E05"/>
    <w:rsid w:val="00232E98"/>
    <w:rsid w:val="002335DF"/>
    <w:rsid w:val="00233B5A"/>
    <w:rsid w:val="00233D9B"/>
    <w:rsid w:val="00234447"/>
    <w:rsid w:val="002347F5"/>
    <w:rsid w:val="0023491C"/>
    <w:rsid w:val="002351EB"/>
    <w:rsid w:val="00235F78"/>
    <w:rsid w:val="00236014"/>
    <w:rsid w:val="00236CA5"/>
    <w:rsid w:val="00237252"/>
    <w:rsid w:val="00241443"/>
    <w:rsid w:val="002437A8"/>
    <w:rsid w:val="002459ED"/>
    <w:rsid w:val="00245B9D"/>
    <w:rsid w:val="00245F9F"/>
    <w:rsid w:val="00246858"/>
    <w:rsid w:val="00247083"/>
    <w:rsid w:val="002470B4"/>
    <w:rsid w:val="00247279"/>
    <w:rsid w:val="00247490"/>
    <w:rsid w:val="00247494"/>
    <w:rsid w:val="0025033B"/>
    <w:rsid w:val="002511B9"/>
    <w:rsid w:val="002518AA"/>
    <w:rsid w:val="00251D2F"/>
    <w:rsid w:val="00252177"/>
    <w:rsid w:val="00252F1A"/>
    <w:rsid w:val="0025312F"/>
    <w:rsid w:val="00254EAC"/>
    <w:rsid w:val="00255013"/>
    <w:rsid w:val="00256035"/>
    <w:rsid w:val="00256057"/>
    <w:rsid w:val="002565E4"/>
    <w:rsid w:val="002578B8"/>
    <w:rsid w:val="00257C60"/>
    <w:rsid w:val="002607C3"/>
    <w:rsid w:val="0026087F"/>
    <w:rsid w:val="002619A2"/>
    <w:rsid w:val="002619DE"/>
    <w:rsid w:val="002623EF"/>
    <w:rsid w:val="00262BED"/>
    <w:rsid w:val="00263060"/>
    <w:rsid w:val="002633FD"/>
    <w:rsid w:val="00264056"/>
    <w:rsid w:val="00267552"/>
    <w:rsid w:val="00267C96"/>
    <w:rsid w:val="00270BD6"/>
    <w:rsid w:val="0027108E"/>
    <w:rsid w:val="0027166F"/>
    <w:rsid w:val="00274158"/>
    <w:rsid w:val="0027451F"/>
    <w:rsid w:val="002747DF"/>
    <w:rsid w:val="0027505A"/>
    <w:rsid w:val="00275326"/>
    <w:rsid w:val="00276372"/>
    <w:rsid w:val="00276C8C"/>
    <w:rsid w:val="00280F44"/>
    <w:rsid w:val="00280F70"/>
    <w:rsid w:val="00281915"/>
    <w:rsid w:val="00283D42"/>
    <w:rsid w:val="00283F1A"/>
    <w:rsid w:val="00284894"/>
    <w:rsid w:val="00285AA7"/>
    <w:rsid w:val="00285BDC"/>
    <w:rsid w:val="0028610C"/>
    <w:rsid w:val="00286C49"/>
    <w:rsid w:val="00290232"/>
    <w:rsid w:val="00290470"/>
    <w:rsid w:val="00290ABF"/>
    <w:rsid w:val="00291E4E"/>
    <w:rsid w:val="00292799"/>
    <w:rsid w:val="00293202"/>
    <w:rsid w:val="0029348B"/>
    <w:rsid w:val="0029453C"/>
    <w:rsid w:val="002961CC"/>
    <w:rsid w:val="0029675A"/>
    <w:rsid w:val="00296E3A"/>
    <w:rsid w:val="0029745F"/>
    <w:rsid w:val="00297921"/>
    <w:rsid w:val="00297D6D"/>
    <w:rsid w:val="002A1CCC"/>
    <w:rsid w:val="002A1DA6"/>
    <w:rsid w:val="002A4C0D"/>
    <w:rsid w:val="002A4CBB"/>
    <w:rsid w:val="002A574B"/>
    <w:rsid w:val="002A5853"/>
    <w:rsid w:val="002A6C63"/>
    <w:rsid w:val="002B0223"/>
    <w:rsid w:val="002B0652"/>
    <w:rsid w:val="002B145F"/>
    <w:rsid w:val="002B2EAB"/>
    <w:rsid w:val="002B488E"/>
    <w:rsid w:val="002B53BA"/>
    <w:rsid w:val="002B5888"/>
    <w:rsid w:val="002B6132"/>
    <w:rsid w:val="002B6942"/>
    <w:rsid w:val="002B76DD"/>
    <w:rsid w:val="002C08CC"/>
    <w:rsid w:val="002C0AC6"/>
    <w:rsid w:val="002C0ADA"/>
    <w:rsid w:val="002C1C09"/>
    <w:rsid w:val="002C4047"/>
    <w:rsid w:val="002C4B44"/>
    <w:rsid w:val="002C561D"/>
    <w:rsid w:val="002C5C7B"/>
    <w:rsid w:val="002C6F64"/>
    <w:rsid w:val="002C77D4"/>
    <w:rsid w:val="002D1386"/>
    <w:rsid w:val="002D1882"/>
    <w:rsid w:val="002D1A16"/>
    <w:rsid w:val="002D1E2B"/>
    <w:rsid w:val="002D2187"/>
    <w:rsid w:val="002D2607"/>
    <w:rsid w:val="002D27A3"/>
    <w:rsid w:val="002D47F6"/>
    <w:rsid w:val="002D7CEC"/>
    <w:rsid w:val="002E0F43"/>
    <w:rsid w:val="002E1CB5"/>
    <w:rsid w:val="002E26B1"/>
    <w:rsid w:val="002E337F"/>
    <w:rsid w:val="002E37BF"/>
    <w:rsid w:val="002E3986"/>
    <w:rsid w:val="002E47D9"/>
    <w:rsid w:val="002E47DC"/>
    <w:rsid w:val="002E5202"/>
    <w:rsid w:val="002E5B3D"/>
    <w:rsid w:val="002E7273"/>
    <w:rsid w:val="002E74CC"/>
    <w:rsid w:val="002E76C2"/>
    <w:rsid w:val="002E7FB8"/>
    <w:rsid w:val="002F0516"/>
    <w:rsid w:val="002F0567"/>
    <w:rsid w:val="002F06F5"/>
    <w:rsid w:val="002F0825"/>
    <w:rsid w:val="002F0EAA"/>
    <w:rsid w:val="002F2B5D"/>
    <w:rsid w:val="002F4325"/>
    <w:rsid w:val="002F4A09"/>
    <w:rsid w:val="002F526C"/>
    <w:rsid w:val="002F5315"/>
    <w:rsid w:val="002F69C2"/>
    <w:rsid w:val="002F6AA5"/>
    <w:rsid w:val="002F7170"/>
    <w:rsid w:val="002F7622"/>
    <w:rsid w:val="00301802"/>
    <w:rsid w:val="003018BD"/>
    <w:rsid w:val="0030225D"/>
    <w:rsid w:val="00303626"/>
    <w:rsid w:val="00303AC6"/>
    <w:rsid w:val="00305E79"/>
    <w:rsid w:val="00306FB7"/>
    <w:rsid w:val="00307891"/>
    <w:rsid w:val="00307FF7"/>
    <w:rsid w:val="0031000B"/>
    <w:rsid w:val="00310DCC"/>
    <w:rsid w:val="00311300"/>
    <w:rsid w:val="0031263B"/>
    <w:rsid w:val="0031502C"/>
    <w:rsid w:val="0031511D"/>
    <w:rsid w:val="00315C0D"/>
    <w:rsid w:val="00315F2A"/>
    <w:rsid w:val="0031627E"/>
    <w:rsid w:val="0031658A"/>
    <w:rsid w:val="00316672"/>
    <w:rsid w:val="0031702C"/>
    <w:rsid w:val="0031762B"/>
    <w:rsid w:val="003202F3"/>
    <w:rsid w:val="00320DDC"/>
    <w:rsid w:val="00321E63"/>
    <w:rsid w:val="003224C0"/>
    <w:rsid w:val="00322B51"/>
    <w:rsid w:val="00322CC6"/>
    <w:rsid w:val="003232DB"/>
    <w:rsid w:val="0032395E"/>
    <w:rsid w:val="003261A4"/>
    <w:rsid w:val="0032751B"/>
    <w:rsid w:val="00327D46"/>
    <w:rsid w:val="0033008D"/>
    <w:rsid w:val="003307B7"/>
    <w:rsid w:val="00330893"/>
    <w:rsid w:val="00331728"/>
    <w:rsid w:val="0033278A"/>
    <w:rsid w:val="003336F2"/>
    <w:rsid w:val="00333EB1"/>
    <w:rsid w:val="0033443F"/>
    <w:rsid w:val="003348DD"/>
    <w:rsid w:val="00334BAB"/>
    <w:rsid w:val="00335CC1"/>
    <w:rsid w:val="00336A55"/>
    <w:rsid w:val="003371C3"/>
    <w:rsid w:val="0034123F"/>
    <w:rsid w:val="003415CF"/>
    <w:rsid w:val="00341A62"/>
    <w:rsid w:val="0034274B"/>
    <w:rsid w:val="00342F22"/>
    <w:rsid w:val="00343F3E"/>
    <w:rsid w:val="00344E7A"/>
    <w:rsid w:val="003451AC"/>
    <w:rsid w:val="00345D49"/>
    <w:rsid w:val="00346372"/>
    <w:rsid w:val="00346C8D"/>
    <w:rsid w:val="00347714"/>
    <w:rsid w:val="003503E5"/>
    <w:rsid w:val="00350E85"/>
    <w:rsid w:val="003511F6"/>
    <w:rsid w:val="00351E49"/>
    <w:rsid w:val="00351ED6"/>
    <w:rsid w:val="0035383A"/>
    <w:rsid w:val="003539E0"/>
    <w:rsid w:val="0035442D"/>
    <w:rsid w:val="003547E1"/>
    <w:rsid w:val="00355545"/>
    <w:rsid w:val="003556CB"/>
    <w:rsid w:val="0035637A"/>
    <w:rsid w:val="00357126"/>
    <w:rsid w:val="00357743"/>
    <w:rsid w:val="00357A3A"/>
    <w:rsid w:val="003602A8"/>
    <w:rsid w:val="003603A0"/>
    <w:rsid w:val="003606D2"/>
    <w:rsid w:val="0036116B"/>
    <w:rsid w:val="003637E7"/>
    <w:rsid w:val="003646B6"/>
    <w:rsid w:val="00365B8A"/>
    <w:rsid w:val="00365F47"/>
    <w:rsid w:val="003660EA"/>
    <w:rsid w:val="003664C3"/>
    <w:rsid w:val="00366C85"/>
    <w:rsid w:val="00372283"/>
    <w:rsid w:val="00372524"/>
    <w:rsid w:val="00373300"/>
    <w:rsid w:val="00375A67"/>
    <w:rsid w:val="00376E16"/>
    <w:rsid w:val="00376E1D"/>
    <w:rsid w:val="00377669"/>
    <w:rsid w:val="003777A5"/>
    <w:rsid w:val="00377C7B"/>
    <w:rsid w:val="00377F3E"/>
    <w:rsid w:val="0038308B"/>
    <w:rsid w:val="0038319F"/>
    <w:rsid w:val="00383C10"/>
    <w:rsid w:val="00383E9C"/>
    <w:rsid w:val="0038510E"/>
    <w:rsid w:val="00385819"/>
    <w:rsid w:val="0038660C"/>
    <w:rsid w:val="00386EC8"/>
    <w:rsid w:val="0038783F"/>
    <w:rsid w:val="00391BB5"/>
    <w:rsid w:val="0039552A"/>
    <w:rsid w:val="00395728"/>
    <w:rsid w:val="00395D02"/>
    <w:rsid w:val="003969F6"/>
    <w:rsid w:val="003A0F0A"/>
    <w:rsid w:val="003A12AC"/>
    <w:rsid w:val="003A15D8"/>
    <w:rsid w:val="003A16F1"/>
    <w:rsid w:val="003A212F"/>
    <w:rsid w:val="003A21FC"/>
    <w:rsid w:val="003A27C0"/>
    <w:rsid w:val="003A31F4"/>
    <w:rsid w:val="003A554E"/>
    <w:rsid w:val="003A5B04"/>
    <w:rsid w:val="003A5F0B"/>
    <w:rsid w:val="003A6C4D"/>
    <w:rsid w:val="003B0E7C"/>
    <w:rsid w:val="003B1091"/>
    <w:rsid w:val="003B134D"/>
    <w:rsid w:val="003B19BF"/>
    <w:rsid w:val="003B1D4B"/>
    <w:rsid w:val="003B3944"/>
    <w:rsid w:val="003B45F0"/>
    <w:rsid w:val="003B4DC0"/>
    <w:rsid w:val="003B676C"/>
    <w:rsid w:val="003B710E"/>
    <w:rsid w:val="003C1D8F"/>
    <w:rsid w:val="003C20AD"/>
    <w:rsid w:val="003C2BE5"/>
    <w:rsid w:val="003C30A6"/>
    <w:rsid w:val="003C3A52"/>
    <w:rsid w:val="003C55D6"/>
    <w:rsid w:val="003C592F"/>
    <w:rsid w:val="003C5A3A"/>
    <w:rsid w:val="003C6A81"/>
    <w:rsid w:val="003C75F8"/>
    <w:rsid w:val="003D0A62"/>
    <w:rsid w:val="003D17FE"/>
    <w:rsid w:val="003D2D0D"/>
    <w:rsid w:val="003D31B2"/>
    <w:rsid w:val="003D3560"/>
    <w:rsid w:val="003D4218"/>
    <w:rsid w:val="003D4A82"/>
    <w:rsid w:val="003D626C"/>
    <w:rsid w:val="003D6647"/>
    <w:rsid w:val="003D69B8"/>
    <w:rsid w:val="003D72FB"/>
    <w:rsid w:val="003D7500"/>
    <w:rsid w:val="003E0A15"/>
    <w:rsid w:val="003E17C1"/>
    <w:rsid w:val="003E29B3"/>
    <w:rsid w:val="003E2FEC"/>
    <w:rsid w:val="003E367D"/>
    <w:rsid w:val="003E40A7"/>
    <w:rsid w:val="003E414D"/>
    <w:rsid w:val="003E4876"/>
    <w:rsid w:val="003E4A14"/>
    <w:rsid w:val="003E4F2E"/>
    <w:rsid w:val="003E62D9"/>
    <w:rsid w:val="003E7680"/>
    <w:rsid w:val="003E7B77"/>
    <w:rsid w:val="003F00F3"/>
    <w:rsid w:val="003F065F"/>
    <w:rsid w:val="003F0B52"/>
    <w:rsid w:val="003F10B9"/>
    <w:rsid w:val="003F20D6"/>
    <w:rsid w:val="003F2323"/>
    <w:rsid w:val="003F3BA9"/>
    <w:rsid w:val="003F3E13"/>
    <w:rsid w:val="003F4313"/>
    <w:rsid w:val="003F464F"/>
    <w:rsid w:val="003F673E"/>
    <w:rsid w:val="003F6DC7"/>
    <w:rsid w:val="003F7E37"/>
    <w:rsid w:val="00401BA6"/>
    <w:rsid w:val="00401C9B"/>
    <w:rsid w:val="00401F7F"/>
    <w:rsid w:val="0040239E"/>
    <w:rsid w:val="0040268B"/>
    <w:rsid w:val="0040348A"/>
    <w:rsid w:val="00403556"/>
    <w:rsid w:val="004039C9"/>
    <w:rsid w:val="00403F7F"/>
    <w:rsid w:val="00405B5D"/>
    <w:rsid w:val="00405B7A"/>
    <w:rsid w:val="0040689D"/>
    <w:rsid w:val="0040745B"/>
    <w:rsid w:val="00407468"/>
    <w:rsid w:val="00410A11"/>
    <w:rsid w:val="004112BF"/>
    <w:rsid w:val="004113C3"/>
    <w:rsid w:val="00411E86"/>
    <w:rsid w:val="004128A0"/>
    <w:rsid w:val="00412A77"/>
    <w:rsid w:val="00414440"/>
    <w:rsid w:val="0041622E"/>
    <w:rsid w:val="00416E47"/>
    <w:rsid w:val="004170EB"/>
    <w:rsid w:val="004173CD"/>
    <w:rsid w:val="0041752B"/>
    <w:rsid w:val="004206CD"/>
    <w:rsid w:val="00420D28"/>
    <w:rsid w:val="00420E74"/>
    <w:rsid w:val="004232E1"/>
    <w:rsid w:val="00423B72"/>
    <w:rsid w:val="0042480D"/>
    <w:rsid w:val="0042572B"/>
    <w:rsid w:val="004258D1"/>
    <w:rsid w:val="00425D78"/>
    <w:rsid w:val="00425FFF"/>
    <w:rsid w:val="00427333"/>
    <w:rsid w:val="00427444"/>
    <w:rsid w:val="00433F1F"/>
    <w:rsid w:val="00435402"/>
    <w:rsid w:val="00436169"/>
    <w:rsid w:val="00436403"/>
    <w:rsid w:val="00437CE4"/>
    <w:rsid w:val="004412A9"/>
    <w:rsid w:val="00442CC1"/>
    <w:rsid w:val="0044341A"/>
    <w:rsid w:val="00443845"/>
    <w:rsid w:val="0044405B"/>
    <w:rsid w:val="004457EF"/>
    <w:rsid w:val="004464A4"/>
    <w:rsid w:val="00447F5F"/>
    <w:rsid w:val="004503DF"/>
    <w:rsid w:val="00450C44"/>
    <w:rsid w:val="00451387"/>
    <w:rsid w:val="004529A5"/>
    <w:rsid w:val="00452A96"/>
    <w:rsid w:val="0045338D"/>
    <w:rsid w:val="00453576"/>
    <w:rsid w:val="00455080"/>
    <w:rsid w:val="004552BE"/>
    <w:rsid w:val="00455641"/>
    <w:rsid w:val="004561DD"/>
    <w:rsid w:val="00460754"/>
    <w:rsid w:val="00461411"/>
    <w:rsid w:val="004620F5"/>
    <w:rsid w:val="0046272C"/>
    <w:rsid w:val="004629BD"/>
    <w:rsid w:val="00463A39"/>
    <w:rsid w:val="00466376"/>
    <w:rsid w:val="00467491"/>
    <w:rsid w:val="00470FBD"/>
    <w:rsid w:val="0047151F"/>
    <w:rsid w:val="0047315E"/>
    <w:rsid w:val="004756BE"/>
    <w:rsid w:val="004766CC"/>
    <w:rsid w:val="00476849"/>
    <w:rsid w:val="00480180"/>
    <w:rsid w:val="004801B8"/>
    <w:rsid w:val="0048073B"/>
    <w:rsid w:val="00481026"/>
    <w:rsid w:val="004810E3"/>
    <w:rsid w:val="004814CF"/>
    <w:rsid w:val="00481640"/>
    <w:rsid w:val="00481EEC"/>
    <w:rsid w:val="0048258A"/>
    <w:rsid w:val="0048350B"/>
    <w:rsid w:val="004845B4"/>
    <w:rsid w:val="00484C77"/>
    <w:rsid w:val="004851B2"/>
    <w:rsid w:val="00485222"/>
    <w:rsid w:val="00485587"/>
    <w:rsid w:val="0048606B"/>
    <w:rsid w:val="00486248"/>
    <w:rsid w:val="0049028A"/>
    <w:rsid w:val="00490724"/>
    <w:rsid w:val="0049136A"/>
    <w:rsid w:val="00492895"/>
    <w:rsid w:val="00492E5E"/>
    <w:rsid w:val="00493F0C"/>
    <w:rsid w:val="00494535"/>
    <w:rsid w:val="00494823"/>
    <w:rsid w:val="00494BD7"/>
    <w:rsid w:val="00495EF5"/>
    <w:rsid w:val="004964B8"/>
    <w:rsid w:val="00497546"/>
    <w:rsid w:val="004A00CA"/>
    <w:rsid w:val="004A06B2"/>
    <w:rsid w:val="004A18DA"/>
    <w:rsid w:val="004A1954"/>
    <w:rsid w:val="004A27CF"/>
    <w:rsid w:val="004A2C07"/>
    <w:rsid w:val="004A3169"/>
    <w:rsid w:val="004A4B26"/>
    <w:rsid w:val="004A4EB6"/>
    <w:rsid w:val="004A5AC4"/>
    <w:rsid w:val="004A6E62"/>
    <w:rsid w:val="004B195B"/>
    <w:rsid w:val="004B1CB1"/>
    <w:rsid w:val="004B2B3D"/>
    <w:rsid w:val="004B2C4F"/>
    <w:rsid w:val="004B34E6"/>
    <w:rsid w:val="004B39B3"/>
    <w:rsid w:val="004B3F2C"/>
    <w:rsid w:val="004B446D"/>
    <w:rsid w:val="004B6083"/>
    <w:rsid w:val="004B674E"/>
    <w:rsid w:val="004B6ACA"/>
    <w:rsid w:val="004C0560"/>
    <w:rsid w:val="004C0CC2"/>
    <w:rsid w:val="004C1F7A"/>
    <w:rsid w:val="004C27CF"/>
    <w:rsid w:val="004C3CA9"/>
    <w:rsid w:val="004C3D34"/>
    <w:rsid w:val="004C4A11"/>
    <w:rsid w:val="004C54EF"/>
    <w:rsid w:val="004C6337"/>
    <w:rsid w:val="004D0827"/>
    <w:rsid w:val="004D1BEA"/>
    <w:rsid w:val="004D2FA4"/>
    <w:rsid w:val="004D32A2"/>
    <w:rsid w:val="004D3321"/>
    <w:rsid w:val="004D6A10"/>
    <w:rsid w:val="004E0417"/>
    <w:rsid w:val="004E089F"/>
    <w:rsid w:val="004E13BC"/>
    <w:rsid w:val="004E1527"/>
    <w:rsid w:val="004E236E"/>
    <w:rsid w:val="004E2EE9"/>
    <w:rsid w:val="004E3420"/>
    <w:rsid w:val="004E3EA9"/>
    <w:rsid w:val="004E3FCA"/>
    <w:rsid w:val="004E4F13"/>
    <w:rsid w:val="004E5145"/>
    <w:rsid w:val="004E57D9"/>
    <w:rsid w:val="004E60B6"/>
    <w:rsid w:val="004E6A80"/>
    <w:rsid w:val="004E6CB5"/>
    <w:rsid w:val="004E74D2"/>
    <w:rsid w:val="004E79A5"/>
    <w:rsid w:val="004F0CF9"/>
    <w:rsid w:val="004F0F50"/>
    <w:rsid w:val="004F27BA"/>
    <w:rsid w:val="004F3421"/>
    <w:rsid w:val="004F36D3"/>
    <w:rsid w:val="004F3E72"/>
    <w:rsid w:val="004F43EF"/>
    <w:rsid w:val="004F4B85"/>
    <w:rsid w:val="004F5BA4"/>
    <w:rsid w:val="004F66ED"/>
    <w:rsid w:val="004F68B7"/>
    <w:rsid w:val="004F72BE"/>
    <w:rsid w:val="005008D3"/>
    <w:rsid w:val="0050223B"/>
    <w:rsid w:val="00502572"/>
    <w:rsid w:val="0050291A"/>
    <w:rsid w:val="00503370"/>
    <w:rsid w:val="00503C3D"/>
    <w:rsid w:val="005068C7"/>
    <w:rsid w:val="005106C4"/>
    <w:rsid w:val="00511A1D"/>
    <w:rsid w:val="0051227A"/>
    <w:rsid w:val="005123AF"/>
    <w:rsid w:val="005123C1"/>
    <w:rsid w:val="00512B4F"/>
    <w:rsid w:val="00513820"/>
    <w:rsid w:val="00513CAD"/>
    <w:rsid w:val="00513E6D"/>
    <w:rsid w:val="005142E5"/>
    <w:rsid w:val="005155DC"/>
    <w:rsid w:val="00515F7F"/>
    <w:rsid w:val="00516700"/>
    <w:rsid w:val="00517D4A"/>
    <w:rsid w:val="00520570"/>
    <w:rsid w:val="00520D16"/>
    <w:rsid w:val="00520E21"/>
    <w:rsid w:val="00522295"/>
    <w:rsid w:val="00522518"/>
    <w:rsid w:val="005229E7"/>
    <w:rsid w:val="00522FB2"/>
    <w:rsid w:val="00524738"/>
    <w:rsid w:val="00524B3C"/>
    <w:rsid w:val="00525177"/>
    <w:rsid w:val="00525897"/>
    <w:rsid w:val="00525A7D"/>
    <w:rsid w:val="0052712E"/>
    <w:rsid w:val="0053135D"/>
    <w:rsid w:val="005318F5"/>
    <w:rsid w:val="00532249"/>
    <w:rsid w:val="0053277D"/>
    <w:rsid w:val="00532D88"/>
    <w:rsid w:val="00532F52"/>
    <w:rsid w:val="005342AA"/>
    <w:rsid w:val="00534892"/>
    <w:rsid w:val="0053538C"/>
    <w:rsid w:val="00535DB9"/>
    <w:rsid w:val="00536DFD"/>
    <w:rsid w:val="00537718"/>
    <w:rsid w:val="00537979"/>
    <w:rsid w:val="00537C4D"/>
    <w:rsid w:val="005412FE"/>
    <w:rsid w:val="00541454"/>
    <w:rsid w:val="00541B4E"/>
    <w:rsid w:val="00541DA3"/>
    <w:rsid w:val="00542248"/>
    <w:rsid w:val="00545AD1"/>
    <w:rsid w:val="00545BF8"/>
    <w:rsid w:val="00545E0F"/>
    <w:rsid w:val="00546913"/>
    <w:rsid w:val="005475C2"/>
    <w:rsid w:val="00547F4D"/>
    <w:rsid w:val="00550654"/>
    <w:rsid w:val="00551BF9"/>
    <w:rsid w:val="00553139"/>
    <w:rsid w:val="00553613"/>
    <w:rsid w:val="00554A71"/>
    <w:rsid w:val="00554DF2"/>
    <w:rsid w:val="0055556B"/>
    <w:rsid w:val="00556474"/>
    <w:rsid w:val="005573BD"/>
    <w:rsid w:val="00557644"/>
    <w:rsid w:val="00557941"/>
    <w:rsid w:val="005579A3"/>
    <w:rsid w:val="00557EDF"/>
    <w:rsid w:val="00560286"/>
    <w:rsid w:val="00560B89"/>
    <w:rsid w:val="005612C7"/>
    <w:rsid w:val="005614D5"/>
    <w:rsid w:val="00561780"/>
    <w:rsid w:val="0056267F"/>
    <w:rsid w:val="00562D41"/>
    <w:rsid w:val="00563D5B"/>
    <w:rsid w:val="005644DA"/>
    <w:rsid w:val="005648E3"/>
    <w:rsid w:val="00565DC9"/>
    <w:rsid w:val="005675A8"/>
    <w:rsid w:val="0056762B"/>
    <w:rsid w:val="005676E5"/>
    <w:rsid w:val="00572556"/>
    <w:rsid w:val="005725DE"/>
    <w:rsid w:val="005726A9"/>
    <w:rsid w:val="00572C14"/>
    <w:rsid w:val="00573020"/>
    <w:rsid w:val="005733E5"/>
    <w:rsid w:val="005741D3"/>
    <w:rsid w:val="0057441E"/>
    <w:rsid w:val="00577091"/>
    <w:rsid w:val="005778F8"/>
    <w:rsid w:val="00577ECB"/>
    <w:rsid w:val="0058013A"/>
    <w:rsid w:val="005832C5"/>
    <w:rsid w:val="005834E1"/>
    <w:rsid w:val="00583D89"/>
    <w:rsid w:val="005843E2"/>
    <w:rsid w:val="005849DC"/>
    <w:rsid w:val="00585724"/>
    <w:rsid w:val="00585F4E"/>
    <w:rsid w:val="005863CE"/>
    <w:rsid w:val="00587CAF"/>
    <w:rsid w:val="00587CD4"/>
    <w:rsid w:val="00587D4B"/>
    <w:rsid w:val="00590308"/>
    <w:rsid w:val="0059145D"/>
    <w:rsid w:val="0059395C"/>
    <w:rsid w:val="005943ED"/>
    <w:rsid w:val="00594680"/>
    <w:rsid w:val="005951E2"/>
    <w:rsid w:val="00596548"/>
    <w:rsid w:val="0059655D"/>
    <w:rsid w:val="005A0878"/>
    <w:rsid w:val="005A252A"/>
    <w:rsid w:val="005A33F9"/>
    <w:rsid w:val="005A371B"/>
    <w:rsid w:val="005A4A14"/>
    <w:rsid w:val="005A575B"/>
    <w:rsid w:val="005A62F8"/>
    <w:rsid w:val="005A69FD"/>
    <w:rsid w:val="005B0709"/>
    <w:rsid w:val="005B246F"/>
    <w:rsid w:val="005B2725"/>
    <w:rsid w:val="005B3AAD"/>
    <w:rsid w:val="005B3C43"/>
    <w:rsid w:val="005B49C5"/>
    <w:rsid w:val="005B535C"/>
    <w:rsid w:val="005B5F9E"/>
    <w:rsid w:val="005B60A4"/>
    <w:rsid w:val="005B7094"/>
    <w:rsid w:val="005B724D"/>
    <w:rsid w:val="005B729F"/>
    <w:rsid w:val="005B797A"/>
    <w:rsid w:val="005C0B8B"/>
    <w:rsid w:val="005C0F02"/>
    <w:rsid w:val="005C1141"/>
    <w:rsid w:val="005C2D37"/>
    <w:rsid w:val="005C64AA"/>
    <w:rsid w:val="005C747E"/>
    <w:rsid w:val="005D0FDF"/>
    <w:rsid w:val="005D13C0"/>
    <w:rsid w:val="005D1BBF"/>
    <w:rsid w:val="005D28EB"/>
    <w:rsid w:val="005D3111"/>
    <w:rsid w:val="005D31DF"/>
    <w:rsid w:val="005D6A52"/>
    <w:rsid w:val="005D6C17"/>
    <w:rsid w:val="005E1678"/>
    <w:rsid w:val="005E22F8"/>
    <w:rsid w:val="005E3AC6"/>
    <w:rsid w:val="005E3AFD"/>
    <w:rsid w:val="005E3C2F"/>
    <w:rsid w:val="005E5912"/>
    <w:rsid w:val="005E7074"/>
    <w:rsid w:val="005E77C4"/>
    <w:rsid w:val="005F0206"/>
    <w:rsid w:val="005F3DBA"/>
    <w:rsid w:val="005F3FB5"/>
    <w:rsid w:val="005F4D11"/>
    <w:rsid w:val="005F5FD2"/>
    <w:rsid w:val="005F6289"/>
    <w:rsid w:val="005F6A12"/>
    <w:rsid w:val="005F6D78"/>
    <w:rsid w:val="005F6EDE"/>
    <w:rsid w:val="005F71C7"/>
    <w:rsid w:val="005F7370"/>
    <w:rsid w:val="00601431"/>
    <w:rsid w:val="006017FD"/>
    <w:rsid w:val="00601A22"/>
    <w:rsid w:val="00602887"/>
    <w:rsid w:val="00602B2B"/>
    <w:rsid w:val="00602BD4"/>
    <w:rsid w:val="00602F73"/>
    <w:rsid w:val="00603C16"/>
    <w:rsid w:val="006048C8"/>
    <w:rsid w:val="00604C3D"/>
    <w:rsid w:val="0060550F"/>
    <w:rsid w:val="006058B4"/>
    <w:rsid w:val="00606E55"/>
    <w:rsid w:val="006101AF"/>
    <w:rsid w:val="00610777"/>
    <w:rsid w:val="00610B32"/>
    <w:rsid w:val="00613529"/>
    <w:rsid w:val="00613646"/>
    <w:rsid w:val="00613690"/>
    <w:rsid w:val="00614BD7"/>
    <w:rsid w:val="0062038A"/>
    <w:rsid w:val="006205F6"/>
    <w:rsid w:val="00621786"/>
    <w:rsid w:val="00621EDA"/>
    <w:rsid w:val="0062202A"/>
    <w:rsid w:val="00622A7D"/>
    <w:rsid w:val="00623778"/>
    <w:rsid w:val="00624030"/>
    <w:rsid w:val="00624382"/>
    <w:rsid w:val="00625235"/>
    <w:rsid w:val="006269B6"/>
    <w:rsid w:val="0062799D"/>
    <w:rsid w:val="006305AC"/>
    <w:rsid w:val="0063198E"/>
    <w:rsid w:val="00631B3E"/>
    <w:rsid w:val="00631BC9"/>
    <w:rsid w:val="006320B8"/>
    <w:rsid w:val="006322D6"/>
    <w:rsid w:val="00632611"/>
    <w:rsid w:val="00632812"/>
    <w:rsid w:val="00633225"/>
    <w:rsid w:val="00633804"/>
    <w:rsid w:val="006347EA"/>
    <w:rsid w:val="0063496F"/>
    <w:rsid w:val="00635376"/>
    <w:rsid w:val="00635B36"/>
    <w:rsid w:val="00635BA9"/>
    <w:rsid w:val="006368C6"/>
    <w:rsid w:val="00636CC5"/>
    <w:rsid w:val="00637AA2"/>
    <w:rsid w:val="00637D1E"/>
    <w:rsid w:val="00637DBF"/>
    <w:rsid w:val="00637F38"/>
    <w:rsid w:val="00640B26"/>
    <w:rsid w:val="00640C74"/>
    <w:rsid w:val="00641B1F"/>
    <w:rsid w:val="00641ECA"/>
    <w:rsid w:val="00643DC5"/>
    <w:rsid w:val="0064428F"/>
    <w:rsid w:val="00644EDD"/>
    <w:rsid w:val="00645021"/>
    <w:rsid w:val="0064599B"/>
    <w:rsid w:val="0064658B"/>
    <w:rsid w:val="00646B44"/>
    <w:rsid w:val="00646BA9"/>
    <w:rsid w:val="00646C4F"/>
    <w:rsid w:val="00647D5B"/>
    <w:rsid w:val="0065098E"/>
    <w:rsid w:val="00650D40"/>
    <w:rsid w:val="00651473"/>
    <w:rsid w:val="00651A55"/>
    <w:rsid w:val="0065278B"/>
    <w:rsid w:val="00652A2C"/>
    <w:rsid w:val="00653174"/>
    <w:rsid w:val="006533CB"/>
    <w:rsid w:val="006536C0"/>
    <w:rsid w:val="006537C7"/>
    <w:rsid w:val="006548DB"/>
    <w:rsid w:val="00656B31"/>
    <w:rsid w:val="0065732E"/>
    <w:rsid w:val="0065733F"/>
    <w:rsid w:val="00657B04"/>
    <w:rsid w:val="00661B3C"/>
    <w:rsid w:val="0066298D"/>
    <w:rsid w:val="00662D7E"/>
    <w:rsid w:val="00662F0E"/>
    <w:rsid w:val="006632B1"/>
    <w:rsid w:val="006648DB"/>
    <w:rsid w:val="0066549E"/>
    <w:rsid w:val="0066564D"/>
    <w:rsid w:val="0066651E"/>
    <w:rsid w:val="00667D49"/>
    <w:rsid w:val="00670005"/>
    <w:rsid w:val="00670182"/>
    <w:rsid w:val="006708C4"/>
    <w:rsid w:val="00671E32"/>
    <w:rsid w:val="00672A66"/>
    <w:rsid w:val="00673BBA"/>
    <w:rsid w:val="00674C92"/>
    <w:rsid w:val="0067550D"/>
    <w:rsid w:val="00677070"/>
    <w:rsid w:val="00681793"/>
    <w:rsid w:val="006822D7"/>
    <w:rsid w:val="00683246"/>
    <w:rsid w:val="00683443"/>
    <w:rsid w:val="006837BC"/>
    <w:rsid w:val="00683CAC"/>
    <w:rsid w:val="006841A7"/>
    <w:rsid w:val="006842EC"/>
    <w:rsid w:val="0068480E"/>
    <w:rsid w:val="0068567E"/>
    <w:rsid w:val="006856A3"/>
    <w:rsid w:val="00685A5C"/>
    <w:rsid w:val="00685FC6"/>
    <w:rsid w:val="006861BD"/>
    <w:rsid w:val="00686A70"/>
    <w:rsid w:val="00690187"/>
    <w:rsid w:val="0069033A"/>
    <w:rsid w:val="00690E52"/>
    <w:rsid w:val="00690FEB"/>
    <w:rsid w:val="00691EEE"/>
    <w:rsid w:val="006922DD"/>
    <w:rsid w:val="0069240B"/>
    <w:rsid w:val="0069258E"/>
    <w:rsid w:val="00693AF8"/>
    <w:rsid w:val="006940D4"/>
    <w:rsid w:val="00695935"/>
    <w:rsid w:val="006959DD"/>
    <w:rsid w:val="00696CB7"/>
    <w:rsid w:val="006A08E0"/>
    <w:rsid w:val="006A0F27"/>
    <w:rsid w:val="006A3142"/>
    <w:rsid w:val="006A3825"/>
    <w:rsid w:val="006A3E5A"/>
    <w:rsid w:val="006A48A8"/>
    <w:rsid w:val="006A48B3"/>
    <w:rsid w:val="006A6415"/>
    <w:rsid w:val="006A6ADF"/>
    <w:rsid w:val="006A79EA"/>
    <w:rsid w:val="006B068B"/>
    <w:rsid w:val="006B0D98"/>
    <w:rsid w:val="006B2079"/>
    <w:rsid w:val="006B2B29"/>
    <w:rsid w:val="006B2F22"/>
    <w:rsid w:val="006B32E8"/>
    <w:rsid w:val="006B3E04"/>
    <w:rsid w:val="006B3FB5"/>
    <w:rsid w:val="006B4891"/>
    <w:rsid w:val="006B4DD8"/>
    <w:rsid w:val="006B551A"/>
    <w:rsid w:val="006B5F3D"/>
    <w:rsid w:val="006B6F04"/>
    <w:rsid w:val="006B7026"/>
    <w:rsid w:val="006B79B0"/>
    <w:rsid w:val="006C08F9"/>
    <w:rsid w:val="006C1200"/>
    <w:rsid w:val="006C1E9D"/>
    <w:rsid w:val="006C423B"/>
    <w:rsid w:val="006C42ED"/>
    <w:rsid w:val="006C4C42"/>
    <w:rsid w:val="006C4D22"/>
    <w:rsid w:val="006C60CF"/>
    <w:rsid w:val="006C75B0"/>
    <w:rsid w:val="006D0B3D"/>
    <w:rsid w:val="006D0F1D"/>
    <w:rsid w:val="006D162A"/>
    <w:rsid w:val="006D1A21"/>
    <w:rsid w:val="006D1D28"/>
    <w:rsid w:val="006D2DFD"/>
    <w:rsid w:val="006D305A"/>
    <w:rsid w:val="006D4393"/>
    <w:rsid w:val="006D5309"/>
    <w:rsid w:val="006D675B"/>
    <w:rsid w:val="006D7E32"/>
    <w:rsid w:val="006E29D7"/>
    <w:rsid w:val="006E39BB"/>
    <w:rsid w:val="006E3D9C"/>
    <w:rsid w:val="006E52CA"/>
    <w:rsid w:val="006E5759"/>
    <w:rsid w:val="006E5761"/>
    <w:rsid w:val="006E5ACD"/>
    <w:rsid w:val="006E75D6"/>
    <w:rsid w:val="006E7EB5"/>
    <w:rsid w:val="006F0035"/>
    <w:rsid w:val="006F07EE"/>
    <w:rsid w:val="006F1E78"/>
    <w:rsid w:val="006F503E"/>
    <w:rsid w:val="006F5C1D"/>
    <w:rsid w:val="006F5E15"/>
    <w:rsid w:val="006F661D"/>
    <w:rsid w:val="0070128F"/>
    <w:rsid w:val="00701494"/>
    <w:rsid w:val="00702F7B"/>
    <w:rsid w:val="007035DB"/>
    <w:rsid w:val="007035FC"/>
    <w:rsid w:val="0070488F"/>
    <w:rsid w:val="00704D02"/>
    <w:rsid w:val="0070503B"/>
    <w:rsid w:val="00705346"/>
    <w:rsid w:val="00705DF9"/>
    <w:rsid w:val="007101F4"/>
    <w:rsid w:val="00710486"/>
    <w:rsid w:val="00711B63"/>
    <w:rsid w:val="007121D5"/>
    <w:rsid w:val="007122A9"/>
    <w:rsid w:val="007131BC"/>
    <w:rsid w:val="00713781"/>
    <w:rsid w:val="00713AD3"/>
    <w:rsid w:val="00714F1E"/>
    <w:rsid w:val="00714F2E"/>
    <w:rsid w:val="007151FA"/>
    <w:rsid w:val="00716535"/>
    <w:rsid w:val="0071681B"/>
    <w:rsid w:val="00717D31"/>
    <w:rsid w:val="00717DEB"/>
    <w:rsid w:val="00720E25"/>
    <w:rsid w:val="0072109C"/>
    <w:rsid w:val="007219C5"/>
    <w:rsid w:val="007225EE"/>
    <w:rsid w:val="00722A4C"/>
    <w:rsid w:val="007240BD"/>
    <w:rsid w:val="007248CD"/>
    <w:rsid w:val="00726C0A"/>
    <w:rsid w:val="007274ED"/>
    <w:rsid w:val="00727B05"/>
    <w:rsid w:val="007300AD"/>
    <w:rsid w:val="00730B23"/>
    <w:rsid w:val="00731367"/>
    <w:rsid w:val="0073277E"/>
    <w:rsid w:val="00733927"/>
    <w:rsid w:val="007359C2"/>
    <w:rsid w:val="00735FBB"/>
    <w:rsid w:val="007367E0"/>
    <w:rsid w:val="00737902"/>
    <w:rsid w:val="0073799D"/>
    <w:rsid w:val="007423AE"/>
    <w:rsid w:val="007424AD"/>
    <w:rsid w:val="00742A1F"/>
    <w:rsid w:val="00742FD7"/>
    <w:rsid w:val="007441ED"/>
    <w:rsid w:val="0074556F"/>
    <w:rsid w:val="00745BEB"/>
    <w:rsid w:val="00746E59"/>
    <w:rsid w:val="00747B83"/>
    <w:rsid w:val="00747C95"/>
    <w:rsid w:val="00747DA1"/>
    <w:rsid w:val="007510EE"/>
    <w:rsid w:val="00751B0E"/>
    <w:rsid w:val="007522EF"/>
    <w:rsid w:val="00752B38"/>
    <w:rsid w:val="00753ADD"/>
    <w:rsid w:val="00754029"/>
    <w:rsid w:val="0075417D"/>
    <w:rsid w:val="00754F2A"/>
    <w:rsid w:val="0075520F"/>
    <w:rsid w:val="00755257"/>
    <w:rsid w:val="00755F9F"/>
    <w:rsid w:val="007563AF"/>
    <w:rsid w:val="00757564"/>
    <w:rsid w:val="00757E26"/>
    <w:rsid w:val="007600A4"/>
    <w:rsid w:val="00761992"/>
    <w:rsid w:val="00761AD8"/>
    <w:rsid w:val="00762F48"/>
    <w:rsid w:val="00763C04"/>
    <w:rsid w:val="007641DA"/>
    <w:rsid w:val="0076516E"/>
    <w:rsid w:val="0076536A"/>
    <w:rsid w:val="00765BE9"/>
    <w:rsid w:val="00765C15"/>
    <w:rsid w:val="00766D1B"/>
    <w:rsid w:val="00771B2D"/>
    <w:rsid w:val="00771DF2"/>
    <w:rsid w:val="00772B4A"/>
    <w:rsid w:val="00773781"/>
    <w:rsid w:val="0077503B"/>
    <w:rsid w:val="007756CA"/>
    <w:rsid w:val="00776810"/>
    <w:rsid w:val="00776A7F"/>
    <w:rsid w:val="00776AF6"/>
    <w:rsid w:val="00776C05"/>
    <w:rsid w:val="00780CD4"/>
    <w:rsid w:val="007818C1"/>
    <w:rsid w:val="00781BC4"/>
    <w:rsid w:val="00782074"/>
    <w:rsid w:val="007851C0"/>
    <w:rsid w:val="00785430"/>
    <w:rsid w:val="00786067"/>
    <w:rsid w:val="0078693D"/>
    <w:rsid w:val="007920E5"/>
    <w:rsid w:val="00792135"/>
    <w:rsid w:val="00793649"/>
    <w:rsid w:val="00793E58"/>
    <w:rsid w:val="007945B7"/>
    <w:rsid w:val="007948B6"/>
    <w:rsid w:val="00796D24"/>
    <w:rsid w:val="007976E7"/>
    <w:rsid w:val="007A063F"/>
    <w:rsid w:val="007A0669"/>
    <w:rsid w:val="007A1ABA"/>
    <w:rsid w:val="007A2BA7"/>
    <w:rsid w:val="007A2BF1"/>
    <w:rsid w:val="007A4AAA"/>
    <w:rsid w:val="007A7B12"/>
    <w:rsid w:val="007A7EF0"/>
    <w:rsid w:val="007B110A"/>
    <w:rsid w:val="007B13E0"/>
    <w:rsid w:val="007B1CE8"/>
    <w:rsid w:val="007B22F8"/>
    <w:rsid w:val="007B2876"/>
    <w:rsid w:val="007B31C1"/>
    <w:rsid w:val="007B3679"/>
    <w:rsid w:val="007B42C3"/>
    <w:rsid w:val="007B4DDF"/>
    <w:rsid w:val="007B4F37"/>
    <w:rsid w:val="007B57BB"/>
    <w:rsid w:val="007B591E"/>
    <w:rsid w:val="007B691A"/>
    <w:rsid w:val="007B6BAB"/>
    <w:rsid w:val="007B70FF"/>
    <w:rsid w:val="007C06F6"/>
    <w:rsid w:val="007C1D70"/>
    <w:rsid w:val="007C27F4"/>
    <w:rsid w:val="007C2B7C"/>
    <w:rsid w:val="007C42D3"/>
    <w:rsid w:val="007C6111"/>
    <w:rsid w:val="007C6F50"/>
    <w:rsid w:val="007C7471"/>
    <w:rsid w:val="007C755A"/>
    <w:rsid w:val="007D1944"/>
    <w:rsid w:val="007D2414"/>
    <w:rsid w:val="007D3393"/>
    <w:rsid w:val="007D3792"/>
    <w:rsid w:val="007D6028"/>
    <w:rsid w:val="007E0030"/>
    <w:rsid w:val="007E03A7"/>
    <w:rsid w:val="007E0D8B"/>
    <w:rsid w:val="007E1911"/>
    <w:rsid w:val="007E2631"/>
    <w:rsid w:val="007E2B40"/>
    <w:rsid w:val="007E3EE1"/>
    <w:rsid w:val="007E4294"/>
    <w:rsid w:val="007E43A8"/>
    <w:rsid w:val="007E6762"/>
    <w:rsid w:val="007E6AE4"/>
    <w:rsid w:val="007E6B69"/>
    <w:rsid w:val="007E6BEF"/>
    <w:rsid w:val="007F0960"/>
    <w:rsid w:val="007F0BDF"/>
    <w:rsid w:val="007F0E90"/>
    <w:rsid w:val="007F29CC"/>
    <w:rsid w:val="007F2E04"/>
    <w:rsid w:val="007F2FF5"/>
    <w:rsid w:val="007F4669"/>
    <w:rsid w:val="007F472F"/>
    <w:rsid w:val="007F4F76"/>
    <w:rsid w:val="007F618B"/>
    <w:rsid w:val="00800550"/>
    <w:rsid w:val="00800772"/>
    <w:rsid w:val="00800DF0"/>
    <w:rsid w:val="00802981"/>
    <w:rsid w:val="00803053"/>
    <w:rsid w:val="00804BAB"/>
    <w:rsid w:val="00805852"/>
    <w:rsid w:val="00806766"/>
    <w:rsid w:val="00806BC1"/>
    <w:rsid w:val="008075CF"/>
    <w:rsid w:val="00810863"/>
    <w:rsid w:val="008124EC"/>
    <w:rsid w:val="00812BBD"/>
    <w:rsid w:val="0081333F"/>
    <w:rsid w:val="0081374D"/>
    <w:rsid w:val="00814927"/>
    <w:rsid w:val="00814FAB"/>
    <w:rsid w:val="008156BB"/>
    <w:rsid w:val="00815D81"/>
    <w:rsid w:val="0081699E"/>
    <w:rsid w:val="0081713B"/>
    <w:rsid w:val="008206BC"/>
    <w:rsid w:val="00820D78"/>
    <w:rsid w:val="008217AB"/>
    <w:rsid w:val="00821844"/>
    <w:rsid w:val="00821852"/>
    <w:rsid w:val="008220E2"/>
    <w:rsid w:val="0082221A"/>
    <w:rsid w:val="00822416"/>
    <w:rsid w:val="00822517"/>
    <w:rsid w:val="00823776"/>
    <w:rsid w:val="00823787"/>
    <w:rsid w:val="0082386D"/>
    <w:rsid w:val="00825A4C"/>
    <w:rsid w:val="00825ACA"/>
    <w:rsid w:val="00826570"/>
    <w:rsid w:val="00826D7B"/>
    <w:rsid w:val="00827AC5"/>
    <w:rsid w:val="0083129A"/>
    <w:rsid w:val="008314F3"/>
    <w:rsid w:val="00831668"/>
    <w:rsid w:val="00832AF3"/>
    <w:rsid w:val="00832E2F"/>
    <w:rsid w:val="0083392A"/>
    <w:rsid w:val="008341EA"/>
    <w:rsid w:val="00835008"/>
    <w:rsid w:val="00836103"/>
    <w:rsid w:val="008367A7"/>
    <w:rsid w:val="00836A27"/>
    <w:rsid w:val="00836E5E"/>
    <w:rsid w:val="00837A14"/>
    <w:rsid w:val="00841D34"/>
    <w:rsid w:val="008425BB"/>
    <w:rsid w:val="00843E92"/>
    <w:rsid w:val="008451E3"/>
    <w:rsid w:val="00845F80"/>
    <w:rsid w:val="008467AA"/>
    <w:rsid w:val="0085083D"/>
    <w:rsid w:val="00850D09"/>
    <w:rsid w:val="00851943"/>
    <w:rsid w:val="00851BA0"/>
    <w:rsid w:val="008526B6"/>
    <w:rsid w:val="00852942"/>
    <w:rsid w:val="008531EB"/>
    <w:rsid w:val="00853DAD"/>
    <w:rsid w:val="008544C5"/>
    <w:rsid w:val="008546AD"/>
    <w:rsid w:val="00854E20"/>
    <w:rsid w:val="008559FE"/>
    <w:rsid w:val="00856441"/>
    <w:rsid w:val="00856BB9"/>
    <w:rsid w:val="00856EE4"/>
    <w:rsid w:val="00857B4C"/>
    <w:rsid w:val="00861591"/>
    <w:rsid w:val="0086184C"/>
    <w:rsid w:val="00861C47"/>
    <w:rsid w:val="00863595"/>
    <w:rsid w:val="00865B44"/>
    <w:rsid w:val="0086705C"/>
    <w:rsid w:val="008703D6"/>
    <w:rsid w:val="0087075E"/>
    <w:rsid w:val="00871418"/>
    <w:rsid w:val="00872127"/>
    <w:rsid w:val="00872384"/>
    <w:rsid w:val="00873D92"/>
    <w:rsid w:val="00873E51"/>
    <w:rsid w:val="00876AED"/>
    <w:rsid w:val="00877903"/>
    <w:rsid w:val="008805D4"/>
    <w:rsid w:val="00880F05"/>
    <w:rsid w:val="00881A11"/>
    <w:rsid w:val="00882144"/>
    <w:rsid w:val="00882463"/>
    <w:rsid w:val="0088289C"/>
    <w:rsid w:val="008829B8"/>
    <w:rsid w:val="00882F3E"/>
    <w:rsid w:val="00883339"/>
    <w:rsid w:val="00883AAF"/>
    <w:rsid w:val="00883C9F"/>
    <w:rsid w:val="0088433C"/>
    <w:rsid w:val="0088467D"/>
    <w:rsid w:val="0088642E"/>
    <w:rsid w:val="0088677B"/>
    <w:rsid w:val="008869D2"/>
    <w:rsid w:val="00887B7F"/>
    <w:rsid w:val="00890438"/>
    <w:rsid w:val="0089131B"/>
    <w:rsid w:val="00891AA0"/>
    <w:rsid w:val="00892754"/>
    <w:rsid w:val="00892F88"/>
    <w:rsid w:val="00893176"/>
    <w:rsid w:val="008939C6"/>
    <w:rsid w:val="008944E9"/>
    <w:rsid w:val="00894FF3"/>
    <w:rsid w:val="008966D5"/>
    <w:rsid w:val="00896EE3"/>
    <w:rsid w:val="008A0749"/>
    <w:rsid w:val="008A0CB8"/>
    <w:rsid w:val="008A193D"/>
    <w:rsid w:val="008A21A6"/>
    <w:rsid w:val="008A4714"/>
    <w:rsid w:val="008A54B2"/>
    <w:rsid w:val="008A5788"/>
    <w:rsid w:val="008A58EB"/>
    <w:rsid w:val="008A7D54"/>
    <w:rsid w:val="008B0121"/>
    <w:rsid w:val="008B1BA3"/>
    <w:rsid w:val="008B1E61"/>
    <w:rsid w:val="008B23A9"/>
    <w:rsid w:val="008B2A44"/>
    <w:rsid w:val="008B4A73"/>
    <w:rsid w:val="008B4B5A"/>
    <w:rsid w:val="008B6135"/>
    <w:rsid w:val="008B7178"/>
    <w:rsid w:val="008C0C1B"/>
    <w:rsid w:val="008C3E84"/>
    <w:rsid w:val="008C4E1F"/>
    <w:rsid w:val="008C513B"/>
    <w:rsid w:val="008C700C"/>
    <w:rsid w:val="008D0A52"/>
    <w:rsid w:val="008D0DD3"/>
    <w:rsid w:val="008D1A30"/>
    <w:rsid w:val="008D1C95"/>
    <w:rsid w:val="008D1D34"/>
    <w:rsid w:val="008D3E24"/>
    <w:rsid w:val="008D4A71"/>
    <w:rsid w:val="008D5F0B"/>
    <w:rsid w:val="008D641D"/>
    <w:rsid w:val="008D68A0"/>
    <w:rsid w:val="008E0658"/>
    <w:rsid w:val="008E1373"/>
    <w:rsid w:val="008E1D8A"/>
    <w:rsid w:val="008E1F15"/>
    <w:rsid w:val="008E296D"/>
    <w:rsid w:val="008E4DB8"/>
    <w:rsid w:val="008E661E"/>
    <w:rsid w:val="008E72CE"/>
    <w:rsid w:val="008F0895"/>
    <w:rsid w:val="008F0936"/>
    <w:rsid w:val="008F23EC"/>
    <w:rsid w:val="008F2879"/>
    <w:rsid w:val="008F2C9F"/>
    <w:rsid w:val="008F45EF"/>
    <w:rsid w:val="008F4739"/>
    <w:rsid w:val="008F5904"/>
    <w:rsid w:val="008F5EA7"/>
    <w:rsid w:val="008F613A"/>
    <w:rsid w:val="008F68DB"/>
    <w:rsid w:val="008F6CDF"/>
    <w:rsid w:val="0090123F"/>
    <w:rsid w:val="00904BD9"/>
    <w:rsid w:val="00906197"/>
    <w:rsid w:val="0090741B"/>
    <w:rsid w:val="00907D69"/>
    <w:rsid w:val="00907D78"/>
    <w:rsid w:val="00910EB3"/>
    <w:rsid w:val="00911225"/>
    <w:rsid w:val="00911F67"/>
    <w:rsid w:val="0091294F"/>
    <w:rsid w:val="0091296A"/>
    <w:rsid w:val="00912B24"/>
    <w:rsid w:val="0091392E"/>
    <w:rsid w:val="009169B4"/>
    <w:rsid w:val="00917185"/>
    <w:rsid w:val="009175D1"/>
    <w:rsid w:val="00917950"/>
    <w:rsid w:val="009232DE"/>
    <w:rsid w:val="0092346E"/>
    <w:rsid w:val="009236BF"/>
    <w:rsid w:val="009236C5"/>
    <w:rsid w:val="009239D5"/>
    <w:rsid w:val="00923A38"/>
    <w:rsid w:val="009249C9"/>
    <w:rsid w:val="00926535"/>
    <w:rsid w:val="009305C5"/>
    <w:rsid w:val="00930722"/>
    <w:rsid w:val="009328B5"/>
    <w:rsid w:val="00933DF5"/>
    <w:rsid w:val="00934184"/>
    <w:rsid w:val="00934671"/>
    <w:rsid w:val="0093580C"/>
    <w:rsid w:val="00935F12"/>
    <w:rsid w:val="00936200"/>
    <w:rsid w:val="00937057"/>
    <w:rsid w:val="009401D3"/>
    <w:rsid w:val="009406A1"/>
    <w:rsid w:val="009410F7"/>
    <w:rsid w:val="009413E5"/>
    <w:rsid w:val="0094145D"/>
    <w:rsid w:val="00941DFA"/>
    <w:rsid w:val="00942819"/>
    <w:rsid w:val="00943942"/>
    <w:rsid w:val="00943EBE"/>
    <w:rsid w:val="00944C4D"/>
    <w:rsid w:val="00944EF1"/>
    <w:rsid w:val="0094513B"/>
    <w:rsid w:val="00946708"/>
    <w:rsid w:val="00947FBA"/>
    <w:rsid w:val="00950022"/>
    <w:rsid w:val="00952395"/>
    <w:rsid w:val="00953C7C"/>
    <w:rsid w:val="00954F9B"/>
    <w:rsid w:val="00955C35"/>
    <w:rsid w:val="00956C92"/>
    <w:rsid w:val="00957F49"/>
    <w:rsid w:val="00960BDE"/>
    <w:rsid w:val="00960EEF"/>
    <w:rsid w:val="00962AEC"/>
    <w:rsid w:val="009636BA"/>
    <w:rsid w:val="00965C7D"/>
    <w:rsid w:val="0096638F"/>
    <w:rsid w:val="0096671D"/>
    <w:rsid w:val="00967504"/>
    <w:rsid w:val="00967803"/>
    <w:rsid w:val="00967B17"/>
    <w:rsid w:val="00972D42"/>
    <w:rsid w:val="0097310F"/>
    <w:rsid w:val="009732EB"/>
    <w:rsid w:val="0097416F"/>
    <w:rsid w:val="009751A1"/>
    <w:rsid w:val="0097562B"/>
    <w:rsid w:val="009759A7"/>
    <w:rsid w:val="00975A2D"/>
    <w:rsid w:val="0097652B"/>
    <w:rsid w:val="00976E7C"/>
    <w:rsid w:val="009776B8"/>
    <w:rsid w:val="009807D8"/>
    <w:rsid w:val="00981809"/>
    <w:rsid w:val="00981928"/>
    <w:rsid w:val="00981E1F"/>
    <w:rsid w:val="00982227"/>
    <w:rsid w:val="00982705"/>
    <w:rsid w:val="00983DA1"/>
    <w:rsid w:val="009853FD"/>
    <w:rsid w:val="00986B33"/>
    <w:rsid w:val="00986B8A"/>
    <w:rsid w:val="00987139"/>
    <w:rsid w:val="00987569"/>
    <w:rsid w:val="00987A53"/>
    <w:rsid w:val="00987AD5"/>
    <w:rsid w:val="00987B93"/>
    <w:rsid w:val="00990165"/>
    <w:rsid w:val="00990297"/>
    <w:rsid w:val="0099036A"/>
    <w:rsid w:val="00991479"/>
    <w:rsid w:val="00991D13"/>
    <w:rsid w:val="00992291"/>
    <w:rsid w:val="009938C3"/>
    <w:rsid w:val="00993B91"/>
    <w:rsid w:val="0099496A"/>
    <w:rsid w:val="00995C88"/>
    <w:rsid w:val="009960B6"/>
    <w:rsid w:val="0099665C"/>
    <w:rsid w:val="00997486"/>
    <w:rsid w:val="009A0219"/>
    <w:rsid w:val="009A033C"/>
    <w:rsid w:val="009A04EB"/>
    <w:rsid w:val="009A1295"/>
    <w:rsid w:val="009A13DC"/>
    <w:rsid w:val="009A1751"/>
    <w:rsid w:val="009A19BB"/>
    <w:rsid w:val="009A1D4C"/>
    <w:rsid w:val="009A281E"/>
    <w:rsid w:val="009A528E"/>
    <w:rsid w:val="009A53F3"/>
    <w:rsid w:val="009A76D0"/>
    <w:rsid w:val="009B1042"/>
    <w:rsid w:val="009B359D"/>
    <w:rsid w:val="009B363A"/>
    <w:rsid w:val="009B39DB"/>
    <w:rsid w:val="009B55FE"/>
    <w:rsid w:val="009B654F"/>
    <w:rsid w:val="009B6667"/>
    <w:rsid w:val="009B7138"/>
    <w:rsid w:val="009B725D"/>
    <w:rsid w:val="009B74EF"/>
    <w:rsid w:val="009B79BF"/>
    <w:rsid w:val="009B7A08"/>
    <w:rsid w:val="009C021A"/>
    <w:rsid w:val="009C0306"/>
    <w:rsid w:val="009C0F5E"/>
    <w:rsid w:val="009C3889"/>
    <w:rsid w:val="009C7B77"/>
    <w:rsid w:val="009C7F1C"/>
    <w:rsid w:val="009D16E5"/>
    <w:rsid w:val="009D1A39"/>
    <w:rsid w:val="009D38FF"/>
    <w:rsid w:val="009D3BB8"/>
    <w:rsid w:val="009D4A94"/>
    <w:rsid w:val="009D53AC"/>
    <w:rsid w:val="009D5471"/>
    <w:rsid w:val="009D637B"/>
    <w:rsid w:val="009D6DDE"/>
    <w:rsid w:val="009D70C6"/>
    <w:rsid w:val="009D7B49"/>
    <w:rsid w:val="009D7B53"/>
    <w:rsid w:val="009E07C5"/>
    <w:rsid w:val="009E1184"/>
    <w:rsid w:val="009E33B9"/>
    <w:rsid w:val="009E35A5"/>
    <w:rsid w:val="009E3655"/>
    <w:rsid w:val="009E5CB4"/>
    <w:rsid w:val="009E6D11"/>
    <w:rsid w:val="009E7F0D"/>
    <w:rsid w:val="009F0E19"/>
    <w:rsid w:val="009F25C5"/>
    <w:rsid w:val="009F526F"/>
    <w:rsid w:val="009F662A"/>
    <w:rsid w:val="009F70DD"/>
    <w:rsid w:val="00A0070C"/>
    <w:rsid w:val="00A02842"/>
    <w:rsid w:val="00A03E2A"/>
    <w:rsid w:val="00A04D9E"/>
    <w:rsid w:val="00A0762A"/>
    <w:rsid w:val="00A12C8A"/>
    <w:rsid w:val="00A13163"/>
    <w:rsid w:val="00A13CEE"/>
    <w:rsid w:val="00A13EE5"/>
    <w:rsid w:val="00A140FD"/>
    <w:rsid w:val="00A1431C"/>
    <w:rsid w:val="00A14EC9"/>
    <w:rsid w:val="00A16549"/>
    <w:rsid w:val="00A1699A"/>
    <w:rsid w:val="00A175F7"/>
    <w:rsid w:val="00A22977"/>
    <w:rsid w:val="00A232AB"/>
    <w:rsid w:val="00A243F3"/>
    <w:rsid w:val="00A244D3"/>
    <w:rsid w:val="00A25A9D"/>
    <w:rsid w:val="00A30C44"/>
    <w:rsid w:val="00A317E1"/>
    <w:rsid w:val="00A32866"/>
    <w:rsid w:val="00A32B09"/>
    <w:rsid w:val="00A33552"/>
    <w:rsid w:val="00A35035"/>
    <w:rsid w:val="00A35689"/>
    <w:rsid w:val="00A35C37"/>
    <w:rsid w:val="00A40930"/>
    <w:rsid w:val="00A40E24"/>
    <w:rsid w:val="00A40E64"/>
    <w:rsid w:val="00A410FC"/>
    <w:rsid w:val="00A41169"/>
    <w:rsid w:val="00A414F6"/>
    <w:rsid w:val="00A42228"/>
    <w:rsid w:val="00A42C9F"/>
    <w:rsid w:val="00A4467F"/>
    <w:rsid w:val="00A44D57"/>
    <w:rsid w:val="00A45647"/>
    <w:rsid w:val="00A45D02"/>
    <w:rsid w:val="00A4730F"/>
    <w:rsid w:val="00A502AD"/>
    <w:rsid w:val="00A510E4"/>
    <w:rsid w:val="00A51102"/>
    <w:rsid w:val="00A519B4"/>
    <w:rsid w:val="00A51CE5"/>
    <w:rsid w:val="00A51EAF"/>
    <w:rsid w:val="00A51ECD"/>
    <w:rsid w:val="00A53833"/>
    <w:rsid w:val="00A54D10"/>
    <w:rsid w:val="00A5500B"/>
    <w:rsid w:val="00A55599"/>
    <w:rsid w:val="00A5575F"/>
    <w:rsid w:val="00A560FD"/>
    <w:rsid w:val="00A57499"/>
    <w:rsid w:val="00A603E0"/>
    <w:rsid w:val="00A62318"/>
    <w:rsid w:val="00A62ECE"/>
    <w:rsid w:val="00A63963"/>
    <w:rsid w:val="00A65D3C"/>
    <w:rsid w:val="00A6658E"/>
    <w:rsid w:val="00A66C57"/>
    <w:rsid w:val="00A66C84"/>
    <w:rsid w:val="00A70E8A"/>
    <w:rsid w:val="00A70F57"/>
    <w:rsid w:val="00A71C09"/>
    <w:rsid w:val="00A72304"/>
    <w:rsid w:val="00A72729"/>
    <w:rsid w:val="00A729D9"/>
    <w:rsid w:val="00A72EFE"/>
    <w:rsid w:val="00A742BC"/>
    <w:rsid w:val="00A7793C"/>
    <w:rsid w:val="00A80058"/>
    <w:rsid w:val="00A8070E"/>
    <w:rsid w:val="00A83B2A"/>
    <w:rsid w:val="00A8453E"/>
    <w:rsid w:val="00A84633"/>
    <w:rsid w:val="00A869D9"/>
    <w:rsid w:val="00A908E0"/>
    <w:rsid w:val="00A90FA9"/>
    <w:rsid w:val="00A917DD"/>
    <w:rsid w:val="00A91EDE"/>
    <w:rsid w:val="00A927E7"/>
    <w:rsid w:val="00A937C3"/>
    <w:rsid w:val="00A9394B"/>
    <w:rsid w:val="00A9513E"/>
    <w:rsid w:val="00A96836"/>
    <w:rsid w:val="00A96F6E"/>
    <w:rsid w:val="00A97E03"/>
    <w:rsid w:val="00AA0737"/>
    <w:rsid w:val="00AA08E6"/>
    <w:rsid w:val="00AA17FD"/>
    <w:rsid w:val="00AA18E4"/>
    <w:rsid w:val="00AA263C"/>
    <w:rsid w:val="00AA3097"/>
    <w:rsid w:val="00AA33FA"/>
    <w:rsid w:val="00AA4187"/>
    <w:rsid w:val="00AA4818"/>
    <w:rsid w:val="00AA5ED6"/>
    <w:rsid w:val="00AA73DD"/>
    <w:rsid w:val="00AB1402"/>
    <w:rsid w:val="00AB1918"/>
    <w:rsid w:val="00AB43B2"/>
    <w:rsid w:val="00AB47C2"/>
    <w:rsid w:val="00AB4A98"/>
    <w:rsid w:val="00AB59A6"/>
    <w:rsid w:val="00AB62DC"/>
    <w:rsid w:val="00AB647E"/>
    <w:rsid w:val="00AB71BD"/>
    <w:rsid w:val="00AB73DF"/>
    <w:rsid w:val="00AB7A54"/>
    <w:rsid w:val="00AC00FB"/>
    <w:rsid w:val="00AC0C53"/>
    <w:rsid w:val="00AC163F"/>
    <w:rsid w:val="00AC1A08"/>
    <w:rsid w:val="00AC2BA4"/>
    <w:rsid w:val="00AC2BFB"/>
    <w:rsid w:val="00AC61DB"/>
    <w:rsid w:val="00AC7400"/>
    <w:rsid w:val="00AC7C40"/>
    <w:rsid w:val="00AD0427"/>
    <w:rsid w:val="00AD07C7"/>
    <w:rsid w:val="00AD11A9"/>
    <w:rsid w:val="00AD1C01"/>
    <w:rsid w:val="00AD1EB4"/>
    <w:rsid w:val="00AD245B"/>
    <w:rsid w:val="00AD30F0"/>
    <w:rsid w:val="00AD3125"/>
    <w:rsid w:val="00AD3AF4"/>
    <w:rsid w:val="00AD3E72"/>
    <w:rsid w:val="00AD4378"/>
    <w:rsid w:val="00AD6AAC"/>
    <w:rsid w:val="00AD6B91"/>
    <w:rsid w:val="00AD7261"/>
    <w:rsid w:val="00AD7A79"/>
    <w:rsid w:val="00AD7F19"/>
    <w:rsid w:val="00AE006C"/>
    <w:rsid w:val="00AE05E9"/>
    <w:rsid w:val="00AE0C60"/>
    <w:rsid w:val="00AE1107"/>
    <w:rsid w:val="00AE153E"/>
    <w:rsid w:val="00AE2B74"/>
    <w:rsid w:val="00AE2BAC"/>
    <w:rsid w:val="00AE4D4C"/>
    <w:rsid w:val="00AE531E"/>
    <w:rsid w:val="00AE5524"/>
    <w:rsid w:val="00AE5C9E"/>
    <w:rsid w:val="00AE6039"/>
    <w:rsid w:val="00AE7596"/>
    <w:rsid w:val="00AF1612"/>
    <w:rsid w:val="00AF1D1A"/>
    <w:rsid w:val="00AF5177"/>
    <w:rsid w:val="00AF5701"/>
    <w:rsid w:val="00AF6241"/>
    <w:rsid w:val="00AF7839"/>
    <w:rsid w:val="00B01448"/>
    <w:rsid w:val="00B01713"/>
    <w:rsid w:val="00B02275"/>
    <w:rsid w:val="00B02C2E"/>
    <w:rsid w:val="00B02FE1"/>
    <w:rsid w:val="00B02FED"/>
    <w:rsid w:val="00B03301"/>
    <w:rsid w:val="00B03657"/>
    <w:rsid w:val="00B03704"/>
    <w:rsid w:val="00B03834"/>
    <w:rsid w:val="00B03972"/>
    <w:rsid w:val="00B03A4D"/>
    <w:rsid w:val="00B04A13"/>
    <w:rsid w:val="00B04EF3"/>
    <w:rsid w:val="00B06DF9"/>
    <w:rsid w:val="00B10146"/>
    <w:rsid w:val="00B10705"/>
    <w:rsid w:val="00B10EC7"/>
    <w:rsid w:val="00B10F7F"/>
    <w:rsid w:val="00B113BE"/>
    <w:rsid w:val="00B1250C"/>
    <w:rsid w:val="00B14123"/>
    <w:rsid w:val="00B14CB8"/>
    <w:rsid w:val="00B14CF3"/>
    <w:rsid w:val="00B14D20"/>
    <w:rsid w:val="00B154D7"/>
    <w:rsid w:val="00B15FE9"/>
    <w:rsid w:val="00B1669B"/>
    <w:rsid w:val="00B16A62"/>
    <w:rsid w:val="00B16C16"/>
    <w:rsid w:val="00B1746B"/>
    <w:rsid w:val="00B17728"/>
    <w:rsid w:val="00B17B7B"/>
    <w:rsid w:val="00B17D66"/>
    <w:rsid w:val="00B17D8B"/>
    <w:rsid w:val="00B20AF5"/>
    <w:rsid w:val="00B20B87"/>
    <w:rsid w:val="00B213CD"/>
    <w:rsid w:val="00B2148F"/>
    <w:rsid w:val="00B24005"/>
    <w:rsid w:val="00B24188"/>
    <w:rsid w:val="00B25F6F"/>
    <w:rsid w:val="00B2622E"/>
    <w:rsid w:val="00B3049B"/>
    <w:rsid w:val="00B312F7"/>
    <w:rsid w:val="00B33A10"/>
    <w:rsid w:val="00B341C5"/>
    <w:rsid w:val="00B343D0"/>
    <w:rsid w:val="00B35C37"/>
    <w:rsid w:val="00B36546"/>
    <w:rsid w:val="00B36953"/>
    <w:rsid w:val="00B372C5"/>
    <w:rsid w:val="00B40E33"/>
    <w:rsid w:val="00B40E57"/>
    <w:rsid w:val="00B410BA"/>
    <w:rsid w:val="00B41394"/>
    <w:rsid w:val="00B43921"/>
    <w:rsid w:val="00B45A92"/>
    <w:rsid w:val="00B45C89"/>
    <w:rsid w:val="00B45ECF"/>
    <w:rsid w:val="00B45EDE"/>
    <w:rsid w:val="00B50E2B"/>
    <w:rsid w:val="00B512D4"/>
    <w:rsid w:val="00B51ADC"/>
    <w:rsid w:val="00B52AD6"/>
    <w:rsid w:val="00B52B52"/>
    <w:rsid w:val="00B52DDC"/>
    <w:rsid w:val="00B53400"/>
    <w:rsid w:val="00B535EE"/>
    <w:rsid w:val="00B53E71"/>
    <w:rsid w:val="00B54C0A"/>
    <w:rsid w:val="00B54DE9"/>
    <w:rsid w:val="00B55FEF"/>
    <w:rsid w:val="00B56CFA"/>
    <w:rsid w:val="00B57D0D"/>
    <w:rsid w:val="00B6002C"/>
    <w:rsid w:val="00B60C46"/>
    <w:rsid w:val="00B60F1C"/>
    <w:rsid w:val="00B6271C"/>
    <w:rsid w:val="00B628BB"/>
    <w:rsid w:val="00B62ACB"/>
    <w:rsid w:val="00B632CA"/>
    <w:rsid w:val="00B637C6"/>
    <w:rsid w:val="00B64457"/>
    <w:rsid w:val="00B64B01"/>
    <w:rsid w:val="00B64E46"/>
    <w:rsid w:val="00B6537B"/>
    <w:rsid w:val="00B67A75"/>
    <w:rsid w:val="00B67D83"/>
    <w:rsid w:val="00B71F7F"/>
    <w:rsid w:val="00B73693"/>
    <w:rsid w:val="00B73EDB"/>
    <w:rsid w:val="00B75490"/>
    <w:rsid w:val="00B759BC"/>
    <w:rsid w:val="00B76E1F"/>
    <w:rsid w:val="00B77332"/>
    <w:rsid w:val="00B825DE"/>
    <w:rsid w:val="00B84A3B"/>
    <w:rsid w:val="00B8735B"/>
    <w:rsid w:val="00B93427"/>
    <w:rsid w:val="00B943D0"/>
    <w:rsid w:val="00B94F0F"/>
    <w:rsid w:val="00B96F0A"/>
    <w:rsid w:val="00B9738A"/>
    <w:rsid w:val="00B97601"/>
    <w:rsid w:val="00BA013B"/>
    <w:rsid w:val="00BA0DB2"/>
    <w:rsid w:val="00BA1187"/>
    <w:rsid w:val="00BA13BE"/>
    <w:rsid w:val="00BA152A"/>
    <w:rsid w:val="00BA1A16"/>
    <w:rsid w:val="00BA3006"/>
    <w:rsid w:val="00BA490A"/>
    <w:rsid w:val="00BA511E"/>
    <w:rsid w:val="00BA5304"/>
    <w:rsid w:val="00BA5600"/>
    <w:rsid w:val="00BA576C"/>
    <w:rsid w:val="00BA5C0D"/>
    <w:rsid w:val="00BA5E47"/>
    <w:rsid w:val="00BA6F26"/>
    <w:rsid w:val="00BA7202"/>
    <w:rsid w:val="00BA7C77"/>
    <w:rsid w:val="00BA7C89"/>
    <w:rsid w:val="00BB0156"/>
    <w:rsid w:val="00BB0D8D"/>
    <w:rsid w:val="00BB0DA2"/>
    <w:rsid w:val="00BB0F4C"/>
    <w:rsid w:val="00BB1829"/>
    <w:rsid w:val="00BB1B36"/>
    <w:rsid w:val="00BB2070"/>
    <w:rsid w:val="00BB5776"/>
    <w:rsid w:val="00BB5EB0"/>
    <w:rsid w:val="00BB62EC"/>
    <w:rsid w:val="00BB6A7E"/>
    <w:rsid w:val="00BB6B6D"/>
    <w:rsid w:val="00BB74AB"/>
    <w:rsid w:val="00BB7D77"/>
    <w:rsid w:val="00BB7F32"/>
    <w:rsid w:val="00BC0662"/>
    <w:rsid w:val="00BC17D7"/>
    <w:rsid w:val="00BC2019"/>
    <w:rsid w:val="00BC20D0"/>
    <w:rsid w:val="00BC2224"/>
    <w:rsid w:val="00BC4319"/>
    <w:rsid w:val="00BC52FF"/>
    <w:rsid w:val="00BC542F"/>
    <w:rsid w:val="00BC7A90"/>
    <w:rsid w:val="00BD0024"/>
    <w:rsid w:val="00BD004E"/>
    <w:rsid w:val="00BD04F2"/>
    <w:rsid w:val="00BD0536"/>
    <w:rsid w:val="00BD0E74"/>
    <w:rsid w:val="00BD2A14"/>
    <w:rsid w:val="00BD2B6D"/>
    <w:rsid w:val="00BD2E55"/>
    <w:rsid w:val="00BD386F"/>
    <w:rsid w:val="00BD4E9D"/>
    <w:rsid w:val="00BD5595"/>
    <w:rsid w:val="00BD7628"/>
    <w:rsid w:val="00BE0F19"/>
    <w:rsid w:val="00BE139A"/>
    <w:rsid w:val="00BE1653"/>
    <w:rsid w:val="00BE1951"/>
    <w:rsid w:val="00BE232E"/>
    <w:rsid w:val="00BE246D"/>
    <w:rsid w:val="00BE260E"/>
    <w:rsid w:val="00BE2C5C"/>
    <w:rsid w:val="00BE50BB"/>
    <w:rsid w:val="00BE541D"/>
    <w:rsid w:val="00BE56F6"/>
    <w:rsid w:val="00BE5BFD"/>
    <w:rsid w:val="00BE7EAE"/>
    <w:rsid w:val="00BF0E49"/>
    <w:rsid w:val="00BF17AA"/>
    <w:rsid w:val="00BF1B5D"/>
    <w:rsid w:val="00BF1F6C"/>
    <w:rsid w:val="00BF2A01"/>
    <w:rsid w:val="00BF3167"/>
    <w:rsid w:val="00BF340B"/>
    <w:rsid w:val="00BF42C9"/>
    <w:rsid w:val="00BF57B3"/>
    <w:rsid w:val="00BF681B"/>
    <w:rsid w:val="00BF6FB0"/>
    <w:rsid w:val="00C00D55"/>
    <w:rsid w:val="00C00F83"/>
    <w:rsid w:val="00C011E9"/>
    <w:rsid w:val="00C01777"/>
    <w:rsid w:val="00C017E9"/>
    <w:rsid w:val="00C02C75"/>
    <w:rsid w:val="00C02CF4"/>
    <w:rsid w:val="00C03EF8"/>
    <w:rsid w:val="00C03F1E"/>
    <w:rsid w:val="00C054D4"/>
    <w:rsid w:val="00C056AF"/>
    <w:rsid w:val="00C05984"/>
    <w:rsid w:val="00C065C4"/>
    <w:rsid w:val="00C06B36"/>
    <w:rsid w:val="00C111B2"/>
    <w:rsid w:val="00C1148F"/>
    <w:rsid w:val="00C120D8"/>
    <w:rsid w:val="00C136B9"/>
    <w:rsid w:val="00C14DD8"/>
    <w:rsid w:val="00C15922"/>
    <w:rsid w:val="00C16799"/>
    <w:rsid w:val="00C16927"/>
    <w:rsid w:val="00C17906"/>
    <w:rsid w:val="00C21F3C"/>
    <w:rsid w:val="00C23452"/>
    <w:rsid w:val="00C24556"/>
    <w:rsid w:val="00C25716"/>
    <w:rsid w:val="00C2781D"/>
    <w:rsid w:val="00C27F34"/>
    <w:rsid w:val="00C313EF"/>
    <w:rsid w:val="00C3218B"/>
    <w:rsid w:val="00C32880"/>
    <w:rsid w:val="00C3343B"/>
    <w:rsid w:val="00C33740"/>
    <w:rsid w:val="00C34AF6"/>
    <w:rsid w:val="00C401E4"/>
    <w:rsid w:val="00C417F1"/>
    <w:rsid w:val="00C423E6"/>
    <w:rsid w:val="00C440EB"/>
    <w:rsid w:val="00C44D8B"/>
    <w:rsid w:val="00C4682C"/>
    <w:rsid w:val="00C479F1"/>
    <w:rsid w:val="00C50BB7"/>
    <w:rsid w:val="00C50F02"/>
    <w:rsid w:val="00C510BE"/>
    <w:rsid w:val="00C523A2"/>
    <w:rsid w:val="00C524C2"/>
    <w:rsid w:val="00C52772"/>
    <w:rsid w:val="00C53014"/>
    <w:rsid w:val="00C5309A"/>
    <w:rsid w:val="00C5325E"/>
    <w:rsid w:val="00C53942"/>
    <w:rsid w:val="00C539DA"/>
    <w:rsid w:val="00C552B3"/>
    <w:rsid w:val="00C55895"/>
    <w:rsid w:val="00C5615D"/>
    <w:rsid w:val="00C56273"/>
    <w:rsid w:val="00C61CEB"/>
    <w:rsid w:val="00C61D4D"/>
    <w:rsid w:val="00C633AE"/>
    <w:rsid w:val="00C648AA"/>
    <w:rsid w:val="00C65AFE"/>
    <w:rsid w:val="00C663BE"/>
    <w:rsid w:val="00C66F61"/>
    <w:rsid w:val="00C677D1"/>
    <w:rsid w:val="00C70203"/>
    <w:rsid w:val="00C70556"/>
    <w:rsid w:val="00C705ED"/>
    <w:rsid w:val="00C71019"/>
    <w:rsid w:val="00C7145D"/>
    <w:rsid w:val="00C71510"/>
    <w:rsid w:val="00C71913"/>
    <w:rsid w:val="00C730E6"/>
    <w:rsid w:val="00C74625"/>
    <w:rsid w:val="00C7476C"/>
    <w:rsid w:val="00C7518E"/>
    <w:rsid w:val="00C75945"/>
    <w:rsid w:val="00C77895"/>
    <w:rsid w:val="00C82391"/>
    <w:rsid w:val="00C826E9"/>
    <w:rsid w:val="00C82800"/>
    <w:rsid w:val="00C8372C"/>
    <w:rsid w:val="00C841E2"/>
    <w:rsid w:val="00C84359"/>
    <w:rsid w:val="00C844A8"/>
    <w:rsid w:val="00C85D1D"/>
    <w:rsid w:val="00C86053"/>
    <w:rsid w:val="00C86F39"/>
    <w:rsid w:val="00C873CB"/>
    <w:rsid w:val="00C87416"/>
    <w:rsid w:val="00C90887"/>
    <w:rsid w:val="00C92441"/>
    <w:rsid w:val="00C92845"/>
    <w:rsid w:val="00C92BA8"/>
    <w:rsid w:val="00C933F0"/>
    <w:rsid w:val="00C9562C"/>
    <w:rsid w:val="00C96065"/>
    <w:rsid w:val="00C9610E"/>
    <w:rsid w:val="00C970FF"/>
    <w:rsid w:val="00C979D1"/>
    <w:rsid w:val="00CA31BD"/>
    <w:rsid w:val="00CA3789"/>
    <w:rsid w:val="00CA3981"/>
    <w:rsid w:val="00CA3E8E"/>
    <w:rsid w:val="00CA4F08"/>
    <w:rsid w:val="00CA5F31"/>
    <w:rsid w:val="00CA617D"/>
    <w:rsid w:val="00CA6A5C"/>
    <w:rsid w:val="00CB034C"/>
    <w:rsid w:val="00CB0827"/>
    <w:rsid w:val="00CB1AA9"/>
    <w:rsid w:val="00CB1F03"/>
    <w:rsid w:val="00CB25FA"/>
    <w:rsid w:val="00CB2BD6"/>
    <w:rsid w:val="00CB3898"/>
    <w:rsid w:val="00CB3D17"/>
    <w:rsid w:val="00CB4D84"/>
    <w:rsid w:val="00CB5177"/>
    <w:rsid w:val="00CB526C"/>
    <w:rsid w:val="00CB5457"/>
    <w:rsid w:val="00CB59A8"/>
    <w:rsid w:val="00CB59AE"/>
    <w:rsid w:val="00CB5CD4"/>
    <w:rsid w:val="00CB64AA"/>
    <w:rsid w:val="00CC0EA5"/>
    <w:rsid w:val="00CC214F"/>
    <w:rsid w:val="00CC3B2C"/>
    <w:rsid w:val="00CC46E8"/>
    <w:rsid w:val="00CC4F4C"/>
    <w:rsid w:val="00CC5270"/>
    <w:rsid w:val="00CC5887"/>
    <w:rsid w:val="00CC6F3B"/>
    <w:rsid w:val="00CC72FF"/>
    <w:rsid w:val="00CC7916"/>
    <w:rsid w:val="00CC7F01"/>
    <w:rsid w:val="00CD34D1"/>
    <w:rsid w:val="00CD490B"/>
    <w:rsid w:val="00CD570C"/>
    <w:rsid w:val="00CD57C4"/>
    <w:rsid w:val="00CD7353"/>
    <w:rsid w:val="00CD7BEC"/>
    <w:rsid w:val="00CD7CDB"/>
    <w:rsid w:val="00CE15E5"/>
    <w:rsid w:val="00CE18BB"/>
    <w:rsid w:val="00CE2D2B"/>
    <w:rsid w:val="00CE2F3D"/>
    <w:rsid w:val="00CE311F"/>
    <w:rsid w:val="00CE322B"/>
    <w:rsid w:val="00CE3523"/>
    <w:rsid w:val="00CE3B16"/>
    <w:rsid w:val="00CE47F5"/>
    <w:rsid w:val="00CE4DBF"/>
    <w:rsid w:val="00CE5C7C"/>
    <w:rsid w:val="00CE70A9"/>
    <w:rsid w:val="00CF00BD"/>
    <w:rsid w:val="00CF04A9"/>
    <w:rsid w:val="00CF0A05"/>
    <w:rsid w:val="00CF1323"/>
    <w:rsid w:val="00CF1C4F"/>
    <w:rsid w:val="00CF30AF"/>
    <w:rsid w:val="00CF40A6"/>
    <w:rsid w:val="00CF4D57"/>
    <w:rsid w:val="00CF5762"/>
    <w:rsid w:val="00CF5F89"/>
    <w:rsid w:val="00CF5FCE"/>
    <w:rsid w:val="00CF621C"/>
    <w:rsid w:val="00CF6B79"/>
    <w:rsid w:val="00D007C2"/>
    <w:rsid w:val="00D02348"/>
    <w:rsid w:val="00D024AE"/>
    <w:rsid w:val="00D02777"/>
    <w:rsid w:val="00D02CEE"/>
    <w:rsid w:val="00D02FFA"/>
    <w:rsid w:val="00D0333F"/>
    <w:rsid w:val="00D03786"/>
    <w:rsid w:val="00D042ED"/>
    <w:rsid w:val="00D05299"/>
    <w:rsid w:val="00D06B70"/>
    <w:rsid w:val="00D07CD8"/>
    <w:rsid w:val="00D07DB2"/>
    <w:rsid w:val="00D117FA"/>
    <w:rsid w:val="00D121EF"/>
    <w:rsid w:val="00D122D9"/>
    <w:rsid w:val="00D13DC0"/>
    <w:rsid w:val="00D140AA"/>
    <w:rsid w:val="00D149D1"/>
    <w:rsid w:val="00D14EB2"/>
    <w:rsid w:val="00D151A4"/>
    <w:rsid w:val="00D158C2"/>
    <w:rsid w:val="00D16568"/>
    <w:rsid w:val="00D16D08"/>
    <w:rsid w:val="00D17010"/>
    <w:rsid w:val="00D17829"/>
    <w:rsid w:val="00D2027E"/>
    <w:rsid w:val="00D21690"/>
    <w:rsid w:val="00D22D18"/>
    <w:rsid w:val="00D23730"/>
    <w:rsid w:val="00D23B00"/>
    <w:rsid w:val="00D2457B"/>
    <w:rsid w:val="00D25B0D"/>
    <w:rsid w:val="00D304CD"/>
    <w:rsid w:val="00D31082"/>
    <w:rsid w:val="00D31A5C"/>
    <w:rsid w:val="00D32F59"/>
    <w:rsid w:val="00D33357"/>
    <w:rsid w:val="00D33CCB"/>
    <w:rsid w:val="00D3449A"/>
    <w:rsid w:val="00D3596C"/>
    <w:rsid w:val="00D36F18"/>
    <w:rsid w:val="00D3763D"/>
    <w:rsid w:val="00D40316"/>
    <w:rsid w:val="00D42172"/>
    <w:rsid w:val="00D42D56"/>
    <w:rsid w:val="00D42EF8"/>
    <w:rsid w:val="00D4549A"/>
    <w:rsid w:val="00D456DF"/>
    <w:rsid w:val="00D45C02"/>
    <w:rsid w:val="00D46636"/>
    <w:rsid w:val="00D471B5"/>
    <w:rsid w:val="00D505F1"/>
    <w:rsid w:val="00D50DD8"/>
    <w:rsid w:val="00D528E7"/>
    <w:rsid w:val="00D528FC"/>
    <w:rsid w:val="00D534AB"/>
    <w:rsid w:val="00D5374B"/>
    <w:rsid w:val="00D53A43"/>
    <w:rsid w:val="00D53B3C"/>
    <w:rsid w:val="00D55533"/>
    <w:rsid w:val="00D55974"/>
    <w:rsid w:val="00D60067"/>
    <w:rsid w:val="00D60C1D"/>
    <w:rsid w:val="00D61078"/>
    <w:rsid w:val="00D62E54"/>
    <w:rsid w:val="00D62F04"/>
    <w:rsid w:val="00D63A05"/>
    <w:rsid w:val="00D63D53"/>
    <w:rsid w:val="00D63E75"/>
    <w:rsid w:val="00D643D1"/>
    <w:rsid w:val="00D6554B"/>
    <w:rsid w:val="00D67A32"/>
    <w:rsid w:val="00D7170D"/>
    <w:rsid w:val="00D72D4A"/>
    <w:rsid w:val="00D74AE3"/>
    <w:rsid w:val="00D751CA"/>
    <w:rsid w:val="00D75FB4"/>
    <w:rsid w:val="00D77DD0"/>
    <w:rsid w:val="00D81547"/>
    <w:rsid w:val="00D82141"/>
    <w:rsid w:val="00D84986"/>
    <w:rsid w:val="00D84EFF"/>
    <w:rsid w:val="00D8564E"/>
    <w:rsid w:val="00D87492"/>
    <w:rsid w:val="00D87C28"/>
    <w:rsid w:val="00D87CA8"/>
    <w:rsid w:val="00D915A0"/>
    <w:rsid w:val="00D9194C"/>
    <w:rsid w:val="00D920C2"/>
    <w:rsid w:val="00D92492"/>
    <w:rsid w:val="00D926E8"/>
    <w:rsid w:val="00D92FAA"/>
    <w:rsid w:val="00D93283"/>
    <w:rsid w:val="00D932AA"/>
    <w:rsid w:val="00D93891"/>
    <w:rsid w:val="00D93A4A"/>
    <w:rsid w:val="00D950D9"/>
    <w:rsid w:val="00D96831"/>
    <w:rsid w:val="00D97B5D"/>
    <w:rsid w:val="00DA01A4"/>
    <w:rsid w:val="00DA01C7"/>
    <w:rsid w:val="00DA0653"/>
    <w:rsid w:val="00DA0FA4"/>
    <w:rsid w:val="00DA13C6"/>
    <w:rsid w:val="00DA2C36"/>
    <w:rsid w:val="00DA3449"/>
    <w:rsid w:val="00DA3AEE"/>
    <w:rsid w:val="00DA482D"/>
    <w:rsid w:val="00DA4B34"/>
    <w:rsid w:val="00DA503F"/>
    <w:rsid w:val="00DA596D"/>
    <w:rsid w:val="00DA61B9"/>
    <w:rsid w:val="00DA6A27"/>
    <w:rsid w:val="00DA6C79"/>
    <w:rsid w:val="00DA6DC8"/>
    <w:rsid w:val="00DB0BF4"/>
    <w:rsid w:val="00DB1409"/>
    <w:rsid w:val="00DB155E"/>
    <w:rsid w:val="00DB285C"/>
    <w:rsid w:val="00DB290D"/>
    <w:rsid w:val="00DB5085"/>
    <w:rsid w:val="00DB5A61"/>
    <w:rsid w:val="00DB5A97"/>
    <w:rsid w:val="00DB5AC8"/>
    <w:rsid w:val="00DB6290"/>
    <w:rsid w:val="00DB6740"/>
    <w:rsid w:val="00DB751C"/>
    <w:rsid w:val="00DC05B3"/>
    <w:rsid w:val="00DC0CDD"/>
    <w:rsid w:val="00DC1573"/>
    <w:rsid w:val="00DC1A2B"/>
    <w:rsid w:val="00DC1B78"/>
    <w:rsid w:val="00DC2406"/>
    <w:rsid w:val="00DC4921"/>
    <w:rsid w:val="00DC5F29"/>
    <w:rsid w:val="00DC6C4B"/>
    <w:rsid w:val="00DC764F"/>
    <w:rsid w:val="00DC7E92"/>
    <w:rsid w:val="00DD022D"/>
    <w:rsid w:val="00DD0414"/>
    <w:rsid w:val="00DD4077"/>
    <w:rsid w:val="00DD4783"/>
    <w:rsid w:val="00DD4880"/>
    <w:rsid w:val="00DD5543"/>
    <w:rsid w:val="00DD6F51"/>
    <w:rsid w:val="00DE12AD"/>
    <w:rsid w:val="00DE1398"/>
    <w:rsid w:val="00DE2201"/>
    <w:rsid w:val="00DE276F"/>
    <w:rsid w:val="00DE2CDA"/>
    <w:rsid w:val="00DE37FF"/>
    <w:rsid w:val="00DE3C5C"/>
    <w:rsid w:val="00DE3D78"/>
    <w:rsid w:val="00DE47E7"/>
    <w:rsid w:val="00DE4E39"/>
    <w:rsid w:val="00DE4F05"/>
    <w:rsid w:val="00DE6B83"/>
    <w:rsid w:val="00DF0B25"/>
    <w:rsid w:val="00DF1BE2"/>
    <w:rsid w:val="00DF289E"/>
    <w:rsid w:val="00DF2DFD"/>
    <w:rsid w:val="00DF462D"/>
    <w:rsid w:val="00DF490F"/>
    <w:rsid w:val="00DF61A3"/>
    <w:rsid w:val="00DF7025"/>
    <w:rsid w:val="00E00D05"/>
    <w:rsid w:val="00E00FC1"/>
    <w:rsid w:val="00E01BE1"/>
    <w:rsid w:val="00E02116"/>
    <w:rsid w:val="00E03251"/>
    <w:rsid w:val="00E03D06"/>
    <w:rsid w:val="00E04304"/>
    <w:rsid w:val="00E04A35"/>
    <w:rsid w:val="00E04CDE"/>
    <w:rsid w:val="00E04FDA"/>
    <w:rsid w:val="00E051FF"/>
    <w:rsid w:val="00E057B0"/>
    <w:rsid w:val="00E05A9D"/>
    <w:rsid w:val="00E05CA2"/>
    <w:rsid w:val="00E10203"/>
    <w:rsid w:val="00E10B61"/>
    <w:rsid w:val="00E115B8"/>
    <w:rsid w:val="00E12B7D"/>
    <w:rsid w:val="00E12FF5"/>
    <w:rsid w:val="00E1375E"/>
    <w:rsid w:val="00E13980"/>
    <w:rsid w:val="00E15C8C"/>
    <w:rsid w:val="00E161D1"/>
    <w:rsid w:val="00E16A03"/>
    <w:rsid w:val="00E17757"/>
    <w:rsid w:val="00E1783B"/>
    <w:rsid w:val="00E17BC2"/>
    <w:rsid w:val="00E17FA2"/>
    <w:rsid w:val="00E20614"/>
    <w:rsid w:val="00E20DFE"/>
    <w:rsid w:val="00E20F7E"/>
    <w:rsid w:val="00E213CE"/>
    <w:rsid w:val="00E218A1"/>
    <w:rsid w:val="00E2212C"/>
    <w:rsid w:val="00E226E7"/>
    <w:rsid w:val="00E22CC7"/>
    <w:rsid w:val="00E23C21"/>
    <w:rsid w:val="00E246DC"/>
    <w:rsid w:val="00E251E6"/>
    <w:rsid w:val="00E2530C"/>
    <w:rsid w:val="00E2553D"/>
    <w:rsid w:val="00E25A29"/>
    <w:rsid w:val="00E26F45"/>
    <w:rsid w:val="00E27F6C"/>
    <w:rsid w:val="00E30FA2"/>
    <w:rsid w:val="00E313FC"/>
    <w:rsid w:val="00E35D9B"/>
    <w:rsid w:val="00E36580"/>
    <w:rsid w:val="00E368F5"/>
    <w:rsid w:val="00E406B5"/>
    <w:rsid w:val="00E407AA"/>
    <w:rsid w:val="00E40A5D"/>
    <w:rsid w:val="00E40EDA"/>
    <w:rsid w:val="00E42712"/>
    <w:rsid w:val="00E44C23"/>
    <w:rsid w:val="00E456C5"/>
    <w:rsid w:val="00E45B18"/>
    <w:rsid w:val="00E46092"/>
    <w:rsid w:val="00E461E6"/>
    <w:rsid w:val="00E47AF1"/>
    <w:rsid w:val="00E5028C"/>
    <w:rsid w:val="00E5155C"/>
    <w:rsid w:val="00E517FD"/>
    <w:rsid w:val="00E528DD"/>
    <w:rsid w:val="00E52BDD"/>
    <w:rsid w:val="00E53A05"/>
    <w:rsid w:val="00E54732"/>
    <w:rsid w:val="00E54B71"/>
    <w:rsid w:val="00E558C5"/>
    <w:rsid w:val="00E55BFC"/>
    <w:rsid w:val="00E574EC"/>
    <w:rsid w:val="00E60C06"/>
    <w:rsid w:val="00E65E16"/>
    <w:rsid w:val="00E700DD"/>
    <w:rsid w:val="00E702F9"/>
    <w:rsid w:val="00E70578"/>
    <w:rsid w:val="00E70A36"/>
    <w:rsid w:val="00E7329D"/>
    <w:rsid w:val="00E739E4"/>
    <w:rsid w:val="00E75474"/>
    <w:rsid w:val="00E75C42"/>
    <w:rsid w:val="00E76E96"/>
    <w:rsid w:val="00E76F38"/>
    <w:rsid w:val="00E8069D"/>
    <w:rsid w:val="00E828EE"/>
    <w:rsid w:val="00E83D56"/>
    <w:rsid w:val="00E84425"/>
    <w:rsid w:val="00E8528A"/>
    <w:rsid w:val="00E85FAF"/>
    <w:rsid w:val="00E869C9"/>
    <w:rsid w:val="00E86CF5"/>
    <w:rsid w:val="00E86FD2"/>
    <w:rsid w:val="00E8766E"/>
    <w:rsid w:val="00E8795C"/>
    <w:rsid w:val="00E907B3"/>
    <w:rsid w:val="00E9168E"/>
    <w:rsid w:val="00E94A91"/>
    <w:rsid w:val="00E95912"/>
    <w:rsid w:val="00E95A4E"/>
    <w:rsid w:val="00E96A0B"/>
    <w:rsid w:val="00EA14F1"/>
    <w:rsid w:val="00EA2FCA"/>
    <w:rsid w:val="00EA3829"/>
    <w:rsid w:val="00EA450D"/>
    <w:rsid w:val="00EA4AE3"/>
    <w:rsid w:val="00EA7208"/>
    <w:rsid w:val="00EB0227"/>
    <w:rsid w:val="00EB1665"/>
    <w:rsid w:val="00EB266B"/>
    <w:rsid w:val="00EB2DA9"/>
    <w:rsid w:val="00EB326E"/>
    <w:rsid w:val="00EB4187"/>
    <w:rsid w:val="00EB494B"/>
    <w:rsid w:val="00EB5137"/>
    <w:rsid w:val="00EC00E1"/>
    <w:rsid w:val="00EC08CD"/>
    <w:rsid w:val="00EC0933"/>
    <w:rsid w:val="00EC14E3"/>
    <w:rsid w:val="00EC2375"/>
    <w:rsid w:val="00EC2BE6"/>
    <w:rsid w:val="00EC2FAD"/>
    <w:rsid w:val="00EC33AF"/>
    <w:rsid w:val="00EC5B78"/>
    <w:rsid w:val="00EC6898"/>
    <w:rsid w:val="00EC69D5"/>
    <w:rsid w:val="00EC7DF0"/>
    <w:rsid w:val="00ED0A85"/>
    <w:rsid w:val="00ED1092"/>
    <w:rsid w:val="00ED287D"/>
    <w:rsid w:val="00ED3267"/>
    <w:rsid w:val="00ED3CA1"/>
    <w:rsid w:val="00ED43E1"/>
    <w:rsid w:val="00ED623B"/>
    <w:rsid w:val="00ED649A"/>
    <w:rsid w:val="00ED6964"/>
    <w:rsid w:val="00ED7C2C"/>
    <w:rsid w:val="00EE09B5"/>
    <w:rsid w:val="00EE125B"/>
    <w:rsid w:val="00EE164C"/>
    <w:rsid w:val="00EE1FD8"/>
    <w:rsid w:val="00EE2DA9"/>
    <w:rsid w:val="00EE2FC4"/>
    <w:rsid w:val="00EE312A"/>
    <w:rsid w:val="00EE340D"/>
    <w:rsid w:val="00EE3738"/>
    <w:rsid w:val="00EE4347"/>
    <w:rsid w:val="00EE438A"/>
    <w:rsid w:val="00EE4F83"/>
    <w:rsid w:val="00EE639C"/>
    <w:rsid w:val="00EE6848"/>
    <w:rsid w:val="00EE7FC6"/>
    <w:rsid w:val="00EF03BF"/>
    <w:rsid w:val="00EF0D7F"/>
    <w:rsid w:val="00EF122F"/>
    <w:rsid w:val="00EF1592"/>
    <w:rsid w:val="00EF15A7"/>
    <w:rsid w:val="00EF15CF"/>
    <w:rsid w:val="00EF1D98"/>
    <w:rsid w:val="00EF2720"/>
    <w:rsid w:val="00EF2E26"/>
    <w:rsid w:val="00EF317B"/>
    <w:rsid w:val="00EF3370"/>
    <w:rsid w:val="00EF3469"/>
    <w:rsid w:val="00EF3A8D"/>
    <w:rsid w:val="00EF3CD4"/>
    <w:rsid w:val="00EF4B34"/>
    <w:rsid w:val="00EF4D80"/>
    <w:rsid w:val="00EF6CE9"/>
    <w:rsid w:val="00F0072E"/>
    <w:rsid w:val="00F00BC7"/>
    <w:rsid w:val="00F01BE6"/>
    <w:rsid w:val="00F0239B"/>
    <w:rsid w:val="00F024C6"/>
    <w:rsid w:val="00F0502C"/>
    <w:rsid w:val="00F0516E"/>
    <w:rsid w:val="00F05C5C"/>
    <w:rsid w:val="00F06834"/>
    <w:rsid w:val="00F06894"/>
    <w:rsid w:val="00F06E52"/>
    <w:rsid w:val="00F10BEB"/>
    <w:rsid w:val="00F11C99"/>
    <w:rsid w:val="00F11D99"/>
    <w:rsid w:val="00F11E8B"/>
    <w:rsid w:val="00F124C9"/>
    <w:rsid w:val="00F13C9D"/>
    <w:rsid w:val="00F1507D"/>
    <w:rsid w:val="00F16637"/>
    <w:rsid w:val="00F17AB1"/>
    <w:rsid w:val="00F20062"/>
    <w:rsid w:val="00F2084A"/>
    <w:rsid w:val="00F228C8"/>
    <w:rsid w:val="00F23560"/>
    <w:rsid w:val="00F24508"/>
    <w:rsid w:val="00F246CE"/>
    <w:rsid w:val="00F24B43"/>
    <w:rsid w:val="00F26553"/>
    <w:rsid w:val="00F26875"/>
    <w:rsid w:val="00F2726E"/>
    <w:rsid w:val="00F27920"/>
    <w:rsid w:val="00F30D6A"/>
    <w:rsid w:val="00F31E7F"/>
    <w:rsid w:val="00F3241D"/>
    <w:rsid w:val="00F34863"/>
    <w:rsid w:val="00F34DDD"/>
    <w:rsid w:val="00F34EAB"/>
    <w:rsid w:val="00F35212"/>
    <w:rsid w:val="00F35404"/>
    <w:rsid w:val="00F37A2F"/>
    <w:rsid w:val="00F40573"/>
    <w:rsid w:val="00F40776"/>
    <w:rsid w:val="00F410D5"/>
    <w:rsid w:val="00F41153"/>
    <w:rsid w:val="00F41574"/>
    <w:rsid w:val="00F440EE"/>
    <w:rsid w:val="00F44474"/>
    <w:rsid w:val="00F4474C"/>
    <w:rsid w:val="00F45A5B"/>
    <w:rsid w:val="00F46A64"/>
    <w:rsid w:val="00F472F3"/>
    <w:rsid w:val="00F479BB"/>
    <w:rsid w:val="00F503E2"/>
    <w:rsid w:val="00F50811"/>
    <w:rsid w:val="00F519ED"/>
    <w:rsid w:val="00F53E65"/>
    <w:rsid w:val="00F540F5"/>
    <w:rsid w:val="00F546DA"/>
    <w:rsid w:val="00F557C7"/>
    <w:rsid w:val="00F573E6"/>
    <w:rsid w:val="00F57B74"/>
    <w:rsid w:val="00F60C58"/>
    <w:rsid w:val="00F60DC1"/>
    <w:rsid w:val="00F610DB"/>
    <w:rsid w:val="00F6136E"/>
    <w:rsid w:val="00F62405"/>
    <w:rsid w:val="00F62942"/>
    <w:rsid w:val="00F63923"/>
    <w:rsid w:val="00F650C4"/>
    <w:rsid w:val="00F65F1A"/>
    <w:rsid w:val="00F66071"/>
    <w:rsid w:val="00F66F26"/>
    <w:rsid w:val="00F67C07"/>
    <w:rsid w:val="00F701F6"/>
    <w:rsid w:val="00F7049C"/>
    <w:rsid w:val="00F705DE"/>
    <w:rsid w:val="00F71897"/>
    <w:rsid w:val="00F71DB3"/>
    <w:rsid w:val="00F72D4A"/>
    <w:rsid w:val="00F73B38"/>
    <w:rsid w:val="00F742BD"/>
    <w:rsid w:val="00F742CF"/>
    <w:rsid w:val="00F74928"/>
    <w:rsid w:val="00F752C8"/>
    <w:rsid w:val="00F75DA6"/>
    <w:rsid w:val="00F768F9"/>
    <w:rsid w:val="00F76C77"/>
    <w:rsid w:val="00F76CD8"/>
    <w:rsid w:val="00F80E7D"/>
    <w:rsid w:val="00F83BFE"/>
    <w:rsid w:val="00F83C58"/>
    <w:rsid w:val="00F83E38"/>
    <w:rsid w:val="00F83E5F"/>
    <w:rsid w:val="00F8474E"/>
    <w:rsid w:val="00F85B32"/>
    <w:rsid w:val="00F87F33"/>
    <w:rsid w:val="00F901C1"/>
    <w:rsid w:val="00F91041"/>
    <w:rsid w:val="00F91E74"/>
    <w:rsid w:val="00F93285"/>
    <w:rsid w:val="00F933AE"/>
    <w:rsid w:val="00F93498"/>
    <w:rsid w:val="00F9395D"/>
    <w:rsid w:val="00F94FAB"/>
    <w:rsid w:val="00F96040"/>
    <w:rsid w:val="00F97C1C"/>
    <w:rsid w:val="00FA0169"/>
    <w:rsid w:val="00FA119E"/>
    <w:rsid w:val="00FA1640"/>
    <w:rsid w:val="00FA2502"/>
    <w:rsid w:val="00FA2530"/>
    <w:rsid w:val="00FA2E35"/>
    <w:rsid w:val="00FA5589"/>
    <w:rsid w:val="00FA5DD4"/>
    <w:rsid w:val="00FA5F6B"/>
    <w:rsid w:val="00FA6B18"/>
    <w:rsid w:val="00FA74D5"/>
    <w:rsid w:val="00FA7EE3"/>
    <w:rsid w:val="00FB139C"/>
    <w:rsid w:val="00FB1CD1"/>
    <w:rsid w:val="00FB3ECA"/>
    <w:rsid w:val="00FB40F6"/>
    <w:rsid w:val="00FB4DC5"/>
    <w:rsid w:val="00FB4FA1"/>
    <w:rsid w:val="00FB52B2"/>
    <w:rsid w:val="00FB5F14"/>
    <w:rsid w:val="00FB5FB2"/>
    <w:rsid w:val="00FB6FCA"/>
    <w:rsid w:val="00FC136B"/>
    <w:rsid w:val="00FC15FA"/>
    <w:rsid w:val="00FC1ED2"/>
    <w:rsid w:val="00FC233C"/>
    <w:rsid w:val="00FC27A6"/>
    <w:rsid w:val="00FC2BB6"/>
    <w:rsid w:val="00FC2F5E"/>
    <w:rsid w:val="00FC6A97"/>
    <w:rsid w:val="00FC742F"/>
    <w:rsid w:val="00FD2543"/>
    <w:rsid w:val="00FD2586"/>
    <w:rsid w:val="00FD295E"/>
    <w:rsid w:val="00FD2C7A"/>
    <w:rsid w:val="00FD3BE5"/>
    <w:rsid w:val="00FD479D"/>
    <w:rsid w:val="00FD4A00"/>
    <w:rsid w:val="00FD7408"/>
    <w:rsid w:val="00FE0CAC"/>
    <w:rsid w:val="00FE1A60"/>
    <w:rsid w:val="00FE1C1F"/>
    <w:rsid w:val="00FE20A0"/>
    <w:rsid w:val="00FE2D64"/>
    <w:rsid w:val="00FE37A7"/>
    <w:rsid w:val="00FE3BC0"/>
    <w:rsid w:val="00FE3F86"/>
    <w:rsid w:val="00FE47C6"/>
    <w:rsid w:val="00FE4F06"/>
    <w:rsid w:val="00FE6B76"/>
    <w:rsid w:val="00FE7213"/>
    <w:rsid w:val="00FE77A3"/>
    <w:rsid w:val="00FF06A7"/>
    <w:rsid w:val="00FF0C61"/>
    <w:rsid w:val="00FF0E21"/>
    <w:rsid w:val="00FF0FD2"/>
    <w:rsid w:val="00FF17C1"/>
    <w:rsid w:val="00FF34AE"/>
    <w:rsid w:val="00FF3E52"/>
    <w:rsid w:val="00FF4A12"/>
    <w:rsid w:val="00FF55BD"/>
    <w:rsid w:val="00FF57C0"/>
    <w:rsid w:val="00FF5A2B"/>
    <w:rsid w:val="00FF5AE8"/>
    <w:rsid w:val="028A771E"/>
    <w:rsid w:val="047852FB"/>
    <w:rsid w:val="05665472"/>
    <w:rsid w:val="062AC998"/>
    <w:rsid w:val="07F92424"/>
    <w:rsid w:val="09570DA5"/>
    <w:rsid w:val="0C50E34B"/>
    <w:rsid w:val="0D9DD6F9"/>
    <w:rsid w:val="1F9E6C70"/>
    <w:rsid w:val="23483474"/>
    <w:rsid w:val="28A19FFC"/>
    <w:rsid w:val="2A65F083"/>
    <w:rsid w:val="2BDA7A46"/>
    <w:rsid w:val="2BEC75D5"/>
    <w:rsid w:val="31CEFD57"/>
    <w:rsid w:val="38255C7D"/>
    <w:rsid w:val="3DEDDE2B"/>
    <w:rsid w:val="42448C28"/>
    <w:rsid w:val="5D70C223"/>
    <w:rsid w:val="66D96913"/>
    <w:rsid w:val="76557672"/>
    <w:rsid w:val="76A87874"/>
    <w:rsid w:val="7AAE8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A4AE6E"/>
  <w15:docId w15:val="{CCDDE4F7-3F9B-40F5-BBD6-D21BB3B9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6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6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63"/>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6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63"/>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63"/>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6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A40E24"/>
    <w:pPr>
      <w:numPr>
        <w:numId w:val="2"/>
      </w:numPr>
    </w:pPr>
    <w:rPr>
      <w:rFonts w:eastAsia="Times New Roman"/>
      <w:lang w:eastAsia="de-DE"/>
    </w:rPr>
  </w:style>
  <w:style w:type="paragraph" w:styleId="ListNumber">
    <w:name w:val="List Number"/>
    <w:basedOn w:val="Normal"/>
    <w:rsid w:val="00A40E24"/>
    <w:pPr>
      <w:numPr>
        <w:numId w:val="6"/>
      </w:numPr>
    </w:pPr>
    <w:rPr>
      <w:rFonts w:eastAsia="Times New Roman"/>
      <w:lang w:eastAsia="de-DE"/>
    </w:rPr>
  </w:style>
  <w:style w:type="paragraph" w:customStyle="1" w:styleId="ListBullet1">
    <w:name w:val="List Bullet 1"/>
    <w:basedOn w:val="Normal"/>
    <w:rsid w:val="00A40E24"/>
    <w:pPr>
      <w:numPr>
        <w:numId w:val="1"/>
      </w:numPr>
    </w:pPr>
    <w:rPr>
      <w:rFonts w:eastAsia="Times New Roman"/>
      <w:lang w:eastAsia="de-DE"/>
    </w:rPr>
  </w:style>
  <w:style w:type="paragraph" w:customStyle="1" w:styleId="ListDash">
    <w:name w:val="List Dash"/>
    <w:basedOn w:val="Normal"/>
    <w:rsid w:val="00A40E24"/>
    <w:pPr>
      <w:numPr>
        <w:numId w:val="3"/>
      </w:numPr>
    </w:pPr>
    <w:rPr>
      <w:rFonts w:eastAsia="Times New Roman"/>
      <w:lang w:eastAsia="de-DE"/>
    </w:rPr>
  </w:style>
  <w:style w:type="paragraph" w:customStyle="1" w:styleId="ListDash1">
    <w:name w:val="List Dash 1"/>
    <w:basedOn w:val="Normal"/>
    <w:rsid w:val="00A40E24"/>
    <w:pPr>
      <w:numPr>
        <w:numId w:val="4"/>
      </w:numPr>
    </w:pPr>
    <w:rPr>
      <w:rFonts w:eastAsia="Times New Roman"/>
      <w:lang w:eastAsia="de-DE"/>
    </w:rPr>
  </w:style>
  <w:style w:type="paragraph" w:customStyle="1" w:styleId="ListDash2">
    <w:name w:val="List Dash 2"/>
    <w:basedOn w:val="Normal"/>
    <w:rsid w:val="00A40E24"/>
    <w:pPr>
      <w:numPr>
        <w:numId w:val="5"/>
      </w:numPr>
    </w:pPr>
    <w:rPr>
      <w:rFonts w:eastAsia="Times New Roman"/>
      <w:lang w:eastAsia="de-DE"/>
    </w:rPr>
  </w:style>
  <w:style w:type="paragraph" w:customStyle="1" w:styleId="ListNumberLevel2">
    <w:name w:val="List Number (Level 2)"/>
    <w:basedOn w:val="Normal"/>
    <w:rsid w:val="00A40E24"/>
    <w:pPr>
      <w:numPr>
        <w:ilvl w:val="1"/>
        <w:numId w:val="6"/>
      </w:numPr>
    </w:pPr>
    <w:rPr>
      <w:rFonts w:eastAsia="Times New Roman"/>
      <w:lang w:eastAsia="de-DE"/>
    </w:rPr>
  </w:style>
  <w:style w:type="paragraph" w:customStyle="1" w:styleId="ListNumberLevel3">
    <w:name w:val="List Number (Level 3)"/>
    <w:basedOn w:val="Normal"/>
    <w:rsid w:val="00A40E24"/>
    <w:pPr>
      <w:numPr>
        <w:ilvl w:val="2"/>
        <w:numId w:val="6"/>
      </w:numPr>
    </w:pPr>
    <w:rPr>
      <w:rFonts w:eastAsia="Times New Roman"/>
      <w:lang w:eastAsia="de-DE"/>
    </w:rPr>
  </w:style>
  <w:style w:type="paragraph" w:customStyle="1" w:styleId="ListNumberLevel4">
    <w:name w:val="List Number (Level 4)"/>
    <w:basedOn w:val="Normal"/>
    <w:rsid w:val="00A40E24"/>
    <w:pPr>
      <w:numPr>
        <w:ilvl w:val="3"/>
        <w:numId w:val="6"/>
      </w:numPr>
    </w:pPr>
    <w:rPr>
      <w:rFonts w:eastAsia="Times New Roman"/>
      <w:lang w:eastAsia="de-DE"/>
    </w:rPr>
  </w:style>
  <w:style w:type="table" w:styleId="TableGrid">
    <w:name w:val="Table Grid"/>
    <w:basedOn w:val="TableNormal"/>
    <w:rsid w:val="00A40E24"/>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40E24"/>
    <w:rPr>
      <w:color w:val="0000FF"/>
      <w:u w:val="single"/>
    </w:rPr>
  </w:style>
  <w:style w:type="paragraph" w:styleId="ListBullet">
    <w:name w:val="List Bullet"/>
    <w:basedOn w:val="Normal"/>
    <w:rsid w:val="00A40E24"/>
    <w:pPr>
      <w:numPr>
        <w:numId w:val="7"/>
      </w:numPr>
    </w:pPr>
    <w:rPr>
      <w:rFonts w:eastAsia="Times New Roman"/>
      <w:lang w:val="fr-FR" w:eastAsia="en-GB"/>
    </w:rPr>
  </w:style>
  <w:style w:type="paragraph" w:styleId="ListBullet2">
    <w:name w:val="List Bullet 2"/>
    <w:basedOn w:val="Normal"/>
    <w:rsid w:val="00A40E24"/>
    <w:pPr>
      <w:numPr>
        <w:numId w:val="8"/>
      </w:numPr>
    </w:pPr>
    <w:rPr>
      <w:rFonts w:eastAsia="Times New Roman"/>
      <w:lang w:val="fr-FR" w:eastAsia="en-GB"/>
    </w:rPr>
  </w:style>
  <w:style w:type="paragraph" w:styleId="ListBullet3">
    <w:name w:val="List Bullet 3"/>
    <w:basedOn w:val="Normal"/>
    <w:rsid w:val="00A40E24"/>
    <w:pPr>
      <w:numPr>
        <w:numId w:val="9"/>
      </w:numPr>
    </w:pPr>
    <w:rPr>
      <w:rFonts w:eastAsia="Times New Roman"/>
      <w:lang w:val="fr-FR" w:eastAsia="en-GB"/>
    </w:rPr>
  </w:style>
  <w:style w:type="paragraph" w:styleId="ListNumber2">
    <w:name w:val="List Number 2"/>
    <w:basedOn w:val="Normal"/>
    <w:rsid w:val="00A40E24"/>
    <w:pPr>
      <w:numPr>
        <w:numId w:val="13"/>
      </w:numPr>
    </w:pPr>
    <w:rPr>
      <w:rFonts w:eastAsia="Times New Roman"/>
      <w:lang w:val="fr-FR" w:eastAsia="en-GB"/>
    </w:rPr>
  </w:style>
  <w:style w:type="paragraph" w:styleId="ListNumber3">
    <w:name w:val="List Number 3"/>
    <w:basedOn w:val="Normal"/>
    <w:rsid w:val="00A40E24"/>
    <w:pPr>
      <w:numPr>
        <w:numId w:val="14"/>
      </w:numPr>
    </w:pPr>
    <w:rPr>
      <w:rFonts w:eastAsia="Times New Roman"/>
      <w:lang w:val="fr-FR" w:eastAsia="en-GB"/>
    </w:rPr>
  </w:style>
  <w:style w:type="paragraph" w:styleId="ListNumber4">
    <w:name w:val="List Number 4"/>
    <w:basedOn w:val="Normal"/>
    <w:rsid w:val="00A40E24"/>
    <w:pPr>
      <w:numPr>
        <w:numId w:val="15"/>
      </w:numPr>
    </w:pPr>
    <w:rPr>
      <w:rFonts w:eastAsia="Times New Roman"/>
      <w:lang w:val="fr-FR" w:eastAsia="en-GB"/>
    </w:rPr>
  </w:style>
  <w:style w:type="paragraph" w:customStyle="1" w:styleId="ListDash3">
    <w:name w:val="List Dash 3"/>
    <w:basedOn w:val="Normal"/>
    <w:rsid w:val="00A40E24"/>
    <w:pPr>
      <w:numPr>
        <w:numId w:val="10"/>
      </w:numPr>
    </w:pPr>
    <w:rPr>
      <w:rFonts w:eastAsia="Times New Roman"/>
      <w:lang w:val="fr-FR" w:eastAsia="en-GB"/>
    </w:rPr>
  </w:style>
  <w:style w:type="paragraph" w:customStyle="1" w:styleId="ListDash4">
    <w:name w:val="List Dash 4"/>
    <w:basedOn w:val="Normal"/>
    <w:rsid w:val="00A40E24"/>
    <w:pPr>
      <w:numPr>
        <w:numId w:val="11"/>
      </w:numPr>
    </w:pPr>
    <w:rPr>
      <w:rFonts w:eastAsia="Times New Roman"/>
      <w:lang w:val="fr-FR" w:eastAsia="en-GB"/>
    </w:rPr>
  </w:style>
  <w:style w:type="paragraph" w:customStyle="1" w:styleId="ListNumber1">
    <w:name w:val="List Number 1"/>
    <w:basedOn w:val="Text1"/>
    <w:rsid w:val="00A40E24"/>
    <w:pPr>
      <w:numPr>
        <w:numId w:val="12"/>
      </w:numPr>
    </w:pPr>
    <w:rPr>
      <w:rFonts w:eastAsia="Times New Roman"/>
      <w:lang w:val="fr-FR" w:eastAsia="en-GB"/>
    </w:rPr>
  </w:style>
  <w:style w:type="paragraph" w:customStyle="1" w:styleId="ListNumber1Level2">
    <w:name w:val="List Number 1 (Level 2)"/>
    <w:basedOn w:val="Text1"/>
    <w:rsid w:val="00A40E24"/>
    <w:pPr>
      <w:numPr>
        <w:ilvl w:val="1"/>
        <w:numId w:val="12"/>
      </w:numPr>
    </w:pPr>
    <w:rPr>
      <w:rFonts w:eastAsia="Times New Roman"/>
      <w:lang w:val="fr-FR" w:eastAsia="en-GB"/>
    </w:rPr>
  </w:style>
  <w:style w:type="paragraph" w:customStyle="1" w:styleId="ListNumber2Level2">
    <w:name w:val="List Number 2 (Level 2)"/>
    <w:basedOn w:val="Text2"/>
    <w:rsid w:val="00A40E24"/>
    <w:pPr>
      <w:numPr>
        <w:ilvl w:val="1"/>
        <w:numId w:val="13"/>
      </w:numPr>
    </w:pPr>
    <w:rPr>
      <w:rFonts w:eastAsia="Times New Roman"/>
      <w:lang w:val="fr-FR" w:eastAsia="en-GB"/>
    </w:rPr>
  </w:style>
  <w:style w:type="paragraph" w:customStyle="1" w:styleId="ListNumber3Level2">
    <w:name w:val="List Number 3 (Level 2)"/>
    <w:basedOn w:val="Text3"/>
    <w:rsid w:val="00A40E24"/>
    <w:pPr>
      <w:numPr>
        <w:ilvl w:val="1"/>
        <w:numId w:val="14"/>
      </w:numPr>
    </w:pPr>
    <w:rPr>
      <w:rFonts w:eastAsia="Times New Roman"/>
      <w:lang w:val="fr-FR" w:eastAsia="en-GB"/>
    </w:rPr>
  </w:style>
  <w:style w:type="paragraph" w:customStyle="1" w:styleId="ListNumber4Level2">
    <w:name w:val="List Number 4 (Level 2)"/>
    <w:basedOn w:val="Text4"/>
    <w:rsid w:val="00A40E24"/>
    <w:pPr>
      <w:numPr>
        <w:ilvl w:val="1"/>
        <w:numId w:val="15"/>
      </w:numPr>
    </w:pPr>
    <w:rPr>
      <w:rFonts w:eastAsia="Times New Roman"/>
      <w:lang w:val="fr-FR" w:eastAsia="en-GB"/>
    </w:rPr>
  </w:style>
  <w:style w:type="paragraph" w:customStyle="1" w:styleId="ListNumber1Level3">
    <w:name w:val="List Number 1 (Level 3)"/>
    <w:basedOn w:val="Text1"/>
    <w:rsid w:val="00A40E24"/>
    <w:pPr>
      <w:numPr>
        <w:ilvl w:val="2"/>
        <w:numId w:val="12"/>
      </w:numPr>
    </w:pPr>
    <w:rPr>
      <w:rFonts w:eastAsia="Times New Roman"/>
      <w:lang w:val="fr-FR" w:eastAsia="en-GB"/>
    </w:rPr>
  </w:style>
  <w:style w:type="paragraph" w:customStyle="1" w:styleId="ListNumber2Level3">
    <w:name w:val="List Number 2 (Level 3)"/>
    <w:basedOn w:val="Text2"/>
    <w:rsid w:val="00A40E24"/>
    <w:pPr>
      <w:numPr>
        <w:ilvl w:val="2"/>
        <w:numId w:val="13"/>
      </w:numPr>
    </w:pPr>
    <w:rPr>
      <w:rFonts w:eastAsia="Times New Roman"/>
      <w:lang w:val="fr-FR" w:eastAsia="en-GB"/>
    </w:rPr>
  </w:style>
  <w:style w:type="paragraph" w:customStyle="1" w:styleId="ListNumber3Level3">
    <w:name w:val="List Number 3 (Level 3)"/>
    <w:basedOn w:val="Text3"/>
    <w:rsid w:val="00A40E24"/>
    <w:pPr>
      <w:numPr>
        <w:ilvl w:val="2"/>
        <w:numId w:val="14"/>
      </w:numPr>
    </w:pPr>
    <w:rPr>
      <w:rFonts w:eastAsia="Times New Roman"/>
      <w:lang w:val="fr-FR" w:eastAsia="en-GB"/>
    </w:rPr>
  </w:style>
  <w:style w:type="paragraph" w:customStyle="1" w:styleId="ListNumber4Level3">
    <w:name w:val="List Number 4 (Level 3)"/>
    <w:basedOn w:val="Text4"/>
    <w:rsid w:val="00A40E24"/>
    <w:pPr>
      <w:numPr>
        <w:ilvl w:val="2"/>
        <w:numId w:val="15"/>
      </w:numPr>
    </w:pPr>
    <w:rPr>
      <w:rFonts w:eastAsia="Times New Roman"/>
      <w:lang w:val="fr-FR" w:eastAsia="en-GB"/>
    </w:rPr>
  </w:style>
  <w:style w:type="paragraph" w:customStyle="1" w:styleId="ListNumber1Level4">
    <w:name w:val="List Number 1 (Level 4)"/>
    <w:basedOn w:val="Text1"/>
    <w:rsid w:val="00A40E24"/>
    <w:pPr>
      <w:numPr>
        <w:ilvl w:val="3"/>
        <w:numId w:val="12"/>
      </w:numPr>
    </w:pPr>
    <w:rPr>
      <w:rFonts w:eastAsia="Times New Roman"/>
      <w:lang w:val="fr-FR" w:eastAsia="en-GB"/>
    </w:rPr>
  </w:style>
  <w:style w:type="paragraph" w:customStyle="1" w:styleId="ListNumber2Level4">
    <w:name w:val="List Number 2 (Level 4)"/>
    <w:basedOn w:val="Text2"/>
    <w:rsid w:val="00A40E24"/>
    <w:pPr>
      <w:numPr>
        <w:ilvl w:val="3"/>
        <w:numId w:val="13"/>
      </w:numPr>
    </w:pPr>
    <w:rPr>
      <w:rFonts w:eastAsia="Times New Roman"/>
      <w:lang w:val="fr-FR" w:eastAsia="en-GB"/>
    </w:rPr>
  </w:style>
  <w:style w:type="paragraph" w:customStyle="1" w:styleId="ListNumber3Level4">
    <w:name w:val="List Number 3 (Level 4)"/>
    <w:basedOn w:val="Text3"/>
    <w:rsid w:val="00A40E24"/>
    <w:pPr>
      <w:numPr>
        <w:ilvl w:val="3"/>
        <w:numId w:val="14"/>
      </w:numPr>
    </w:pPr>
    <w:rPr>
      <w:rFonts w:eastAsia="Times New Roman"/>
      <w:lang w:val="fr-FR" w:eastAsia="en-GB"/>
    </w:rPr>
  </w:style>
  <w:style w:type="paragraph" w:customStyle="1" w:styleId="ListNumber4Level4">
    <w:name w:val="List Number 4 (Level 4)"/>
    <w:basedOn w:val="Text4"/>
    <w:rsid w:val="00A40E24"/>
    <w:pPr>
      <w:numPr>
        <w:ilvl w:val="3"/>
        <w:numId w:val="15"/>
      </w:numPr>
    </w:pPr>
    <w:rPr>
      <w:rFonts w:eastAsia="Times New Roman"/>
      <w:lang w:val="fr-FR" w:eastAsia="en-GB"/>
    </w:rPr>
  </w:style>
  <w:style w:type="paragraph" w:customStyle="1" w:styleId="Annexetitreacte">
    <w:name w:val="Annexe titre (acte)"/>
    <w:basedOn w:val="Normal"/>
    <w:next w:val="Normal"/>
    <w:rsid w:val="00A40E24"/>
    <w:pPr>
      <w:jc w:val="center"/>
    </w:pPr>
    <w:rPr>
      <w:rFonts w:eastAsia="Times New Roman"/>
      <w:b/>
      <w:u w:val="single"/>
      <w:lang w:val="fr-FR" w:eastAsia="en-GB"/>
    </w:rPr>
  </w:style>
  <w:style w:type="paragraph" w:customStyle="1" w:styleId="Annexetitreexposglobal">
    <w:name w:val="Annexe titre (exposé global)"/>
    <w:basedOn w:val="Normal"/>
    <w:next w:val="Normal"/>
    <w:rsid w:val="00A40E24"/>
    <w:pPr>
      <w:jc w:val="center"/>
    </w:pPr>
    <w:rPr>
      <w:rFonts w:eastAsia="Times New Roman"/>
      <w:b/>
      <w:u w:val="single"/>
      <w:lang w:val="fr-FR" w:eastAsia="en-GB"/>
    </w:rPr>
  </w:style>
  <w:style w:type="paragraph" w:customStyle="1" w:styleId="Annexetitrefichefinacte">
    <w:name w:val="Annexe titre (fiche fin. acte)"/>
    <w:basedOn w:val="Normal"/>
    <w:next w:val="Normal"/>
    <w:rsid w:val="00A40E24"/>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A40E24"/>
    <w:pPr>
      <w:jc w:val="center"/>
    </w:pPr>
    <w:rPr>
      <w:rFonts w:eastAsia="Times New Roman"/>
      <w:b/>
      <w:u w:val="single"/>
      <w:lang w:val="fr-FR" w:eastAsia="en-GB"/>
    </w:rPr>
  </w:style>
  <w:style w:type="paragraph" w:customStyle="1" w:styleId="Annexetitreglobale">
    <w:name w:val="Annexe titre (globale)"/>
    <w:basedOn w:val="Normal"/>
    <w:next w:val="Normal"/>
    <w:rsid w:val="00A40E24"/>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A40E24"/>
    <w:pPr>
      <w:jc w:val="center"/>
    </w:pPr>
    <w:rPr>
      <w:rFonts w:eastAsia="Times New Roman"/>
      <w:b/>
      <w:u w:val="single"/>
      <w:lang w:val="fr-FR" w:eastAsia="en-GB"/>
    </w:rPr>
  </w:style>
  <w:style w:type="paragraph" w:customStyle="1" w:styleId="Langueoriginale">
    <w:name w:val="Langue originale"/>
    <w:basedOn w:val="Normal"/>
    <w:rsid w:val="00A40E24"/>
    <w:pPr>
      <w:spacing w:before="360"/>
      <w:jc w:val="center"/>
    </w:pPr>
    <w:rPr>
      <w:rFonts w:eastAsia="Times New Roman"/>
      <w:caps/>
      <w:lang w:val="fr-FR" w:eastAsia="en-GB"/>
    </w:rPr>
  </w:style>
  <w:style w:type="paragraph" w:customStyle="1" w:styleId="Phrasefinale">
    <w:name w:val="Phrase finale"/>
    <w:basedOn w:val="Normal"/>
    <w:next w:val="Normal"/>
    <w:rsid w:val="00A40E24"/>
    <w:pPr>
      <w:spacing w:before="360" w:after="0"/>
      <w:jc w:val="center"/>
    </w:pPr>
    <w:rPr>
      <w:rFonts w:eastAsia="Times New Roman"/>
      <w:lang w:val="fr-FR" w:eastAsia="en-GB"/>
    </w:rPr>
  </w:style>
  <w:style w:type="paragraph" w:customStyle="1" w:styleId="Prliminairetitre">
    <w:name w:val="Préliminaire titre"/>
    <w:basedOn w:val="Normal"/>
    <w:next w:val="Normal"/>
    <w:rsid w:val="00A40E24"/>
    <w:pPr>
      <w:spacing w:before="360" w:after="360"/>
      <w:jc w:val="center"/>
    </w:pPr>
    <w:rPr>
      <w:rFonts w:eastAsia="Times New Roman"/>
      <w:b/>
      <w:lang w:val="fr-FR" w:eastAsia="en-GB"/>
    </w:rPr>
  </w:style>
  <w:style w:type="paragraph" w:customStyle="1" w:styleId="Prliminairetype">
    <w:name w:val="Préliminaire type"/>
    <w:basedOn w:val="Normal"/>
    <w:next w:val="Normal"/>
    <w:rsid w:val="00A40E24"/>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A40E24"/>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A40E24"/>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A40E24"/>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A40E24"/>
    <w:pPr>
      <w:spacing w:before="0" w:after="0"/>
      <w:jc w:val="center"/>
    </w:pPr>
    <w:rPr>
      <w:rFonts w:eastAsia="Times New Roman"/>
      <w:b/>
      <w:lang w:val="fr-FR" w:eastAsia="en-GB"/>
    </w:rPr>
  </w:style>
  <w:style w:type="paragraph" w:customStyle="1" w:styleId="Statutprliminaire">
    <w:name w:val="Statut (préliminaire)"/>
    <w:basedOn w:val="Normal"/>
    <w:next w:val="Normal"/>
    <w:rsid w:val="00A40E24"/>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A40E24"/>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A40E24"/>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A40E24"/>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A40E24"/>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A40E24"/>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A40E24"/>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A40E24"/>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A40E24"/>
    <w:pPr>
      <w:jc w:val="center"/>
    </w:pPr>
    <w:rPr>
      <w:rFonts w:eastAsia="Times New Roman"/>
      <w:b/>
      <w:u w:val="single"/>
      <w:lang w:val="fr-FR" w:eastAsia="en-GB"/>
    </w:rPr>
  </w:style>
  <w:style w:type="character" w:styleId="CommentReference">
    <w:name w:val="annotation reference"/>
    <w:rsid w:val="00A40E24"/>
    <w:rPr>
      <w:rFonts w:cs="Times New Roman"/>
      <w:sz w:val="16"/>
      <w:szCs w:val="16"/>
    </w:rPr>
  </w:style>
  <w:style w:type="paragraph" w:styleId="CommentText">
    <w:name w:val="annotation text"/>
    <w:basedOn w:val="Normal"/>
    <w:link w:val="CommentTextChar"/>
    <w:rsid w:val="00A40E24"/>
    <w:rPr>
      <w:rFonts w:eastAsia="Times New Roman"/>
      <w:sz w:val="20"/>
      <w:szCs w:val="20"/>
      <w:lang w:val="fr-FR" w:eastAsia="en-GB"/>
    </w:rPr>
  </w:style>
  <w:style w:type="character" w:customStyle="1" w:styleId="CommentTextChar">
    <w:name w:val="Comment Text Char"/>
    <w:basedOn w:val="DefaultParagraphFont"/>
    <w:link w:val="CommentText"/>
    <w:rsid w:val="00A40E24"/>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A40E24"/>
    <w:rPr>
      <w:b/>
      <w:bCs/>
    </w:rPr>
  </w:style>
  <w:style w:type="character" w:customStyle="1" w:styleId="CommentSubjectChar">
    <w:name w:val="Comment Subject Char"/>
    <w:basedOn w:val="CommentTextChar"/>
    <w:link w:val="CommentSubject"/>
    <w:rsid w:val="00A40E24"/>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A40E24"/>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A40E24"/>
    <w:rPr>
      <w:rFonts w:ascii="Tahoma" w:eastAsia="Times New Roman" w:hAnsi="Tahoma" w:cs="Tahoma"/>
      <w:sz w:val="16"/>
      <w:szCs w:val="16"/>
      <w:lang w:val="fr-FR" w:eastAsia="en-GB"/>
    </w:rPr>
  </w:style>
  <w:style w:type="paragraph" w:styleId="Caption">
    <w:name w:val="caption"/>
    <w:basedOn w:val="Normal"/>
    <w:next w:val="Normal"/>
    <w:qFormat/>
    <w:rsid w:val="00A40E24"/>
    <w:rPr>
      <w:rFonts w:eastAsia="Times New Roman"/>
      <w:b/>
      <w:bCs/>
      <w:sz w:val="20"/>
      <w:szCs w:val="20"/>
      <w:lang w:val="fr-FR" w:eastAsia="en-GB"/>
    </w:rPr>
  </w:style>
  <w:style w:type="paragraph" w:styleId="TableofFigures">
    <w:name w:val="table of figures"/>
    <w:basedOn w:val="Normal"/>
    <w:next w:val="Normal"/>
    <w:rsid w:val="00A40E24"/>
    <w:rPr>
      <w:rFonts w:eastAsia="Times New Roman"/>
      <w:lang w:val="fr-FR" w:eastAsia="en-GB"/>
    </w:rPr>
  </w:style>
  <w:style w:type="character" w:styleId="PageNumber">
    <w:name w:val="page number"/>
    <w:rsid w:val="00A40E24"/>
  </w:style>
  <w:style w:type="character" w:customStyle="1" w:styleId="tw4winMark">
    <w:name w:val="tw4winMark"/>
    <w:rsid w:val="00A40E24"/>
    <w:rPr>
      <w:vanish/>
      <w:color w:val="800080"/>
      <w:vertAlign w:val="subscript"/>
    </w:rPr>
  </w:style>
  <w:style w:type="character" w:styleId="FollowedHyperlink">
    <w:name w:val="FollowedHyperlink"/>
    <w:rsid w:val="00A40E24"/>
    <w:rPr>
      <w:color w:val="800080"/>
      <w:u w:val="single"/>
    </w:rPr>
  </w:style>
  <w:style w:type="paragraph" w:customStyle="1" w:styleId="Sous-titreobjet">
    <w:name w:val="Sous-titre objet"/>
    <w:basedOn w:val="Normal"/>
    <w:rsid w:val="00A40E24"/>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40E24"/>
  </w:style>
  <w:style w:type="paragraph" w:styleId="Revision">
    <w:name w:val="Revision"/>
    <w:hidden/>
    <w:uiPriority w:val="99"/>
    <w:semiHidden/>
    <w:rsid w:val="00A40E24"/>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A40E24"/>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40E24"/>
    <w:rPr>
      <w:rFonts w:ascii="Times New Roman" w:hAnsi="Times New Roman" w:cs="Times New Roman"/>
      <w:b/>
      <w:sz w:val="28"/>
      <w:lang w:val="en-GB"/>
    </w:rPr>
  </w:style>
  <w:style w:type="character" w:customStyle="1" w:styleId="FooterCoverPageChar">
    <w:name w:val="Footer Cover Page Char"/>
    <w:link w:val="FooterCoverPage"/>
    <w:rsid w:val="00A40E24"/>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A40E24"/>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40E24"/>
    <w:rPr>
      <w:rFonts w:ascii="Times New Roman" w:eastAsia="Calibri" w:hAnsi="Times New Roman" w:cs="Times New Roman"/>
      <w:sz w:val="24"/>
      <w:lang w:val="en-GB" w:eastAsia="en-GB"/>
    </w:rPr>
  </w:style>
  <w:style w:type="paragraph" w:styleId="ListParagraph">
    <w:name w:val="List Paragraph"/>
    <w:basedOn w:val="Normal"/>
    <w:uiPriority w:val="34"/>
    <w:qFormat/>
    <w:rsid w:val="00BA7C89"/>
    <w:pPr>
      <w:ind w:left="720"/>
      <w:contextualSpacing/>
    </w:pPr>
  </w:style>
  <w:style w:type="paragraph" w:customStyle="1" w:styleId="NumPar10">
    <w:name w:val="NumPar1"/>
    <w:basedOn w:val="Normal"/>
    <w:rsid w:val="008A0749"/>
    <w:rPr>
      <w:lang w:val="fr-BE"/>
    </w:rPr>
  </w:style>
  <w:style w:type="paragraph" w:customStyle="1" w:styleId="Text10">
    <w:name w:val="Text1"/>
    <w:basedOn w:val="Point2number"/>
    <w:rsid w:val="00105C98"/>
    <w:pPr>
      <w:tabs>
        <w:tab w:val="clear" w:pos="1984"/>
      </w:tabs>
      <w:ind w:firstLine="0"/>
    </w:pPr>
  </w:style>
  <w:style w:type="paragraph" w:styleId="NormalWeb">
    <w:name w:val="Normal (Web)"/>
    <w:basedOn w:val="Normal"/>
    <w:uiPriority w:val="99"/>
    <w:semiHidden/>
    <w:unhideWhenUsed/>
    <w:rsid w:val="00066129"/>
    <w:pPr>
      <w:spacing w:before="100" w:beforeAutospacing="1" w:after="100" w:afterAutospacing="1"/>
      <w:jc w:val="left"/>
    </w:pPr>
    <w:rPr>
      <w:rFonts w:eastAsia="Times New Roman"/>
      <w:szCs w:val="24"/>
      <w:lang w:eastAsia="en-GB"/>
    </w:rPr>
  </w:style>
  <w:style w:type="character" w:styleId="Strong">
    <w:name w:val="Strong"/>
    <w:basedOn w:val="DefaultParagraphFont"/>
    <w:uiPriority w:val="22"/>
    <w:qFormat/>
    <w:rsid w:val="001F221B"/>
    <w:rPr>
      <w:b/>
      <w:bCs/>
    </w:rPr>
  </w:style>
  <w:style w:type="character" w:customStyle="1" w:styleId="no-parag">
    <w:name w:val="no-parag"/>
    <w:basedOn w:val="DefaultParagraphFont"/>
    <w:rsid w:val="00EF3370"/>
  </w:style>
  <w:style w:type="paragraph" w:customStyle="1" w:styleId="Text0">
    <w:name w:val="Text 0"/>
    <w:basedOn w:val="Text1"/>
    <w:rsid w:val="00FE1C1F"/>
    <w:pPr>
      <w:ind w:left="0"/>
    </w:pPr>
  </w:style>
  <w:style w:type="character" w:customStyle="1" w:styleId="italic">
    <w:name w:val="italic"/>
    <w:basedOn w:val="DefaultParagraphFont"/>
    <w:rsid w:val="004E5145"/>
  </w:style>
  <w:style w:type="character" w:customStyle="1" w:styleId="oj-italic">
    <w:name w:val="oj-italic"/>
    <w:basedOn w:val="DefaultParagraphFont"/>
    <w:rsid w:val="003348DD"/>
  </w:style>
  <w:style w:type="paragraph" w:customStyle="1" w:styleId="Default">
    <w:name w:val="Default"/>
    <w:rsid w:val="00CA4F08"/>
    <w:pPr>
      <w:autoSpaceDE w:val="0"/>
      <w:autoSpaceDN w:val="0"/>
      <w:adjustRightInd w:val="0"/>
      <w:spacing w:after="0" w:line="240" w:lineRule="auto"/>
    </w:pPr>
    <w:rPr>
      <w:rFonts w:ascii="Times New Roman" w:hAnsi="Times New Roman" w:cs="Times New Roman"/>
      <w:color w:val="000000"/>
      <w:sz w:val="24"/>
      <w:szCs w:val="24"/>
      <w:lang w:val="en-IE"/>
    </w:rPr>
  </w:style>
  <w:style w:type="paragraph" w:customStyle="1" w:styleId="CM1">
    <w:name w:val="CM1"/>
    <w:basedOn w:val="Default"/>
    <w:next w:val="Default"/>
    <w:uiPriority w:val="99"/>
    <w:rsid w:val="00A35689"/>
    <w:rPr>
      <w:color w:val="auto"/>
      <w:lang w:val="en-GB"/>
    </w:rPr>
  </w:style>
  <w:style w:type="paragraph" w:customStyle="1" w:styleId="CM3">
    <w:name w:val="CM3"/>
    <w:basedOn w:val="Default"/>
    <w:next w:val="Default"/>
    <w:uiPriority w:val="99"/>
    <w:rsid w:val="00A35689"/>
    <w:rPr>
      <w:color w:val="auto"/>
      <w:lang w:val="en-GB"/>
    </w:rPr>
  </w:style>
  <w:style w:type="paragraph" w:customStyle="1" w:styleId="norm">
    <w:name w:val="norm"/>
    <w:basedOn w:val="Normal"/>
    <w:rsid w:val="00890438"/>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sid w:val="00385819"/>
    <w:rPr>
      <w:i/>
      <w:iCs/>
    </w:rPr>
  </w:style>
  <w:style w:type="paragraph" w:styleId="EndnoteText">
    <w:name w:val="endnote text"/>
    <w:basedOn w:val="Normal"/>
    <w:link w:val="EndnoteTextChar"/>
    <w:uiPriority w:val="99"/>
    <w:semiHidden/>
    <w:unhideWhenUsed/>
    <w:rsid w:val="005B535C"/>
    <w:pPr>
      <w:spacing w:before="0" w:after="0"/>
    </w:pPr>
    <w:rPr>
      <w:sz w:val="20"/>
      <w:szCs w:val="20"/>
    </w:rPr>
  </w:style>
  <w:style w:type="character" w:customStyle="1" w:styleId="EndnoteTextChar">
    <w:name w:val="Endnote Text Char"/>
    <w:basedOn w:val="DefaultParagraphFont"/>
    <w:link w:val="EndnoteText"/>
    <w:uiPriority w:val="99"/>
    <w:semiHidden/>
    <w:rsid w:val="005B535C"/>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5B535C"/>
    <w:rPr>
      <w:vertAlign w:val="superscript"/>
    </w:rPr>
  </w:style>
  <w:style w:type="paragraph" w:customStyle="1" w:styleId="ti-art">
    <w:name w:val="ti-art"/>
    <w:basedOn w:val="Normal"/>
    <w:rsid w:val="001C7B81"/>
    <w:pPr>
      <w:spacing w:before="100" w:beforeAutospacing="1" w:after="100" w:afterAutospacing="1"/>
      <w:jc w:val="left"/>
    </w:pPr>
    <w:rPr>
      <w:rFonts w:eastAsia="Times New Roman"/>
      <w:szCs w:val="24"/>
      <w:lang w:eastAsia="en-GB"/>
    </w:rPr>
  </w:style>
  <w:style w:type="paragraph" w:customStyle="1" w:styleId="Normal1">
    <w:name w:val="Normal1"/>
    <w:basedOn w:val="Normal"/>
    <w:rsid w:val="001C7B81"/>
    <w:pPr>
      <w:spacing w:before="100" w:beforeAutospacing="1" w:after="100" w:afterAutospacing="1"/>
      <w:jc w:val="left"/>
    </w:pPr>
    <w:rPr>
      <w:rFonts w:eastAsia="Times New Roman"/>
      <w:szCs w:val="24"/>
      <w:lang w:eastAsia="en-GB"/>
    </w:rPr>
  </w:style>
  <w:style w:type="paragraph" w:customStyle="1" w:styleId="Text01">
    <w:name w:val="Text 01"/>
    <w:basedOn w:val="NumPar1"/>
    <w:rsid w:val="00FA5DD4"/>
    <w:pPr>
      <w:numPr>
        <w:numId w:val="0"/>
      </w:numPr>
      <w:ind w:left="850"/>
    </w:pPr>
  </w:style>
  <w:style w:type="paragraph" w:customStyle="1" w:styleId="Numpar11">
    <w:name w:val="Num par 1"/>
    <w:basedOn w:val="Text1"/>
    <w:rsid w:val="00587CD4"/>
    <w:pPr>
      <w:ind w:left="0"/>
    </w:pPr>
    <w:rPr>
      <w:color w:val="444444"/>
      <w:szCs w:val="24"/>
      <w:shd w:val="clear" w:color="auto" w:fill="FFFFFF"/>
    </w:rPr>
  </w:style>
  <w:style w:type="paragraph" w:styleId="Header">
    <w:name w:val="header"/>
    <w:basedOn w:val="Normal"/>
    <w:link w:val="HeaderChar"/>
    <w:uiPriority w:val="99"/>
    <w:unhideWhenUsed/>
    <w:rsid w:val="00FB3ECA"/>
    <w:pPr>
      <w:tabs>
        <w:tab w:val="center" w:pos="4535"/>
        <w:tab w:val="right" w:pos="9071"/>
      </w:tabs>
      <w:spacing w:before="0"/>
    </w:pPr>
  </w:style>
  <w:style w:type="character" w:customStyle="1" w:styleId="HeaderChar">
    <w:name w:val="Header Char"/>
    <w:basedOn w:val="DefaultParagraphFont"/>
    <w:link w:val="Header"/>
    <w:uiPriority w:val="99"/>
    <w:rsid w:val="00FB3ECA"/>
    <w:rPr>
      <w:rFonts w:ascii="Times New Roman" w:hAnsi="Times New Roman" w:cs="Times New Roman"/>
      <w:sz w:val="24"/>
      <w:lang w:val="en-GB"/>
    </w:rPr>
  </w:style>
  <w:style w:type="paragraph" w:styleId="Footer">
    <w:name w:val="footer"/>
    <w:basedOn w:val="Normal"/>
    <w:link w:val="FooterChar"/>
    <w:uiPriority w:val="99"/>
    <w:unhideWhenUsed/>
    <w:rsid w:val="00FB3EC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B3ECA"/>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FB3ECA"/>
    <w:pPr>
      <w:tabs>
        <w:tab w:val="center" w:pos="7285"/>
        <w:tab w:val="right" w:pos="14003"/>
      </w:tabs>
      <w:spacing w:before="0"/>
    </w:pPr>
  </w:style>
  <w:style w:type="paragraph" w:customStyle="1" w:styleId="FooterLandscape">
    <w:name w:val="FooterLandscape"/>
    <w:basedOn w:val="Normal"/>
    <w:rsid w:val="00FB3EC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FB3EC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B3ECA"/>
    <w:pPr>
      <w:spacing w:before="0"/>
      <w:jc w:val="right"/>
    </w:pPr>
    <w:rPr>
      <w:sz w:val="28"/>
    </w:rPr>
  </w:style>
  <w:style w:type="paragraph" w:customStyle="1" w:styleId="FooterSensitivity">
    <w:name w:val="Footer Sensitivity"/>
    <w:basedOn w:val="Normal"/>
    <w:rsid w:val="00FB3EC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56"/>
      </w:numPr>
    </w:pPr>
  </w:style>
  <w:style w:type="paragraph" w:customStyle="1" w:styleId="Tiret1">
    <w:name w:val="Tiret 1"/>
    <w:basedOn w:val="Point1"/>
    <w:rsid w:val="00517205"/>
    <w:pPr>
      <w:numPr>
        <w:numId w:val="57"/>
      </w:numPr>
    </w:pPr>
  </w:style>
  <w:style w:type="paragraph" w:customStyle="1" w:styleId="Tiret2">
    <w:name w:val="Tiret 2"/>
    <w:basedOn w:val="Point2"/>
    <w:rsid w:val="00517205"/>
    <w:pPr>
      <w:numPr>
        <w:numId w:val="58"/>
      </w:numPr>
    </w:pPr>
  </w:style>
  <w:style w:type="paragraph" w:customStyle="1" w:styleId="Tiret3">
    <w:name w:val="Tiret 3"/>
    <w:basedOn w:val="Point3"/>
    <w:rsid w:val="00517205"/>
    <w:pPr>
      <w:numPr>
        <w:numId w:val="59"/>
      </w:numPr>
    </w:pPr>
  </w:style>
  <w:style w:type="paragraph" w:customStyle="1" w:styleId="Tiret4">
    <w:name w:val="Tiret 4"/>
    <w:basedOn w:val="Point4"/>
    <w:rsid w:val="00517205"/>
    <w:pPr>
      <w:numPr>
        <w:numId w:val="60"/>
      </w:numPr>
    </w:pPr>
  </w:style>
  <w:style w:type="paragraph" w:customStyle="1" w:styleId="Tiret5">
    <w:name w:val="Tiret 5"/>
    <w:basedOn w:val="Point5"/>
    <w:rsid w:val="00517205"/>
    <w:pPr>
      <w:numPr>
        <w:numId w:val="61"/>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62"/>
      </w:numPr>
    </w:pPr>
  </w:style>
  <w:style w:type="paragraph" w:customStyle="1" w:styleId="NumPar2">
    <w:name w:val="NumPar 2"/>
    <w:basedOn w:val="Normal"/>
    <w:next w:val="Text1"/>
    <w:rsid w:val="00517205"/>
    <w:pPr>
      <w:numPr>
        <w:ilvl w:val="1"/>
        <w:numId w:val="62"/>
      </w:numPr>
    </w:pPr>
  </w:style>
  <w:style w:type="paragraph" w:customStyle="1" w:styleId="NumPar3">
    <w:name w:val="NumPar 3"/>
    <w:basedOn w:val="Normal"/>
    <w:next w:val="Text1"/>
    <w:rsid w:val="00517205"/>
    <w:pPr>
      <w:numPr>
        <w:ilvl w:val="2"/>
        <w:numId w:val="62"/>
      </w:numPr>
    </w:pPr>
  </w:style>
  <w:style w:type="paragraph" w:customStyle="1" w:styleId="NumPar4">
    <w:name w:val="NumPar 4"/>
    <w:basedOn w:val="Normal"/>
    <w:next w:val="Text1"/>
    <w:rsid w:val="00517205"/>
    <w:pPr>
      <w:numPr>
        <w:ilvl w:val="3"/>
        <w:numId w:val="62"/>
      </w:numPr>
    </w:pPr>
  </w:style>
  <w:style w:type="paragraph" w:customStyle="1" w:styleId="NumPar5">
    <w:name w:val="NumPar 5"/>
    <w:basedOn w:val="Normal"/>
    <w:next w:val="Text2"/>
    <w:rsid w:val="00517205"/>
    <w:pPr>
      <w:numPr>
        <w:ilvl w:val="4"/>
        <w:numId w:val="62"/>
      </w:numPr>
    </w:pPr>
  </w:style>
  <w:style w:type="paragraph" w:customStyle="1" w:styleId="NumPar6">
    <w:name w:val="NumPar 6"/>
    <w:basedOn w:val="Normal"/>
    <w:next w:val="Text2"/>
    <w:rsid w:val="00517205"/>
    <w:pPr>
      <w:numPr>
        <w:ilvl w:val="5"/>
        <w:numId w:val="62"/>
      </w:numPr>
    </w:pPr>
  </w:style>
  <w:style w:type="paragraph" w:customStyle="1" w:styleId="NumPar7">
    <w:name w:val="NumPar 7"/>
    <w:basedOn w:val="Normal"/>
    <w:next w:val="Text2"/>
    <w:rsid w:val="00517205"/>
    <w:pPr>
      <w:numPr>
        <w:ilvl w:val="6"/>
        <w:numId w:val="62"/>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0974C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64"/>
      </w:numPr>
    </w:pPr>
  </w:style>
  <w:style w:type="paragraph" w:customStyle="1" w:styleId="Point1number">
    <w:name w:val="Point 1 (number)"/>
    <w:basedOn w:val="Normal"/>
    <w:rsid w:val="00517205"/>
    <w:pPr>
      <w:numPr>
        <w:ilvl w:val="2"/>
        <w:numId w:val="64"/>
      </w:numPr>
    </w:pPr>
  </w:style>
  <w:style w:type="paragraph" w:customStyle="1" w:styleId="Point2number">
    <w:name w:val="Point 2 (number)"/>
    <w:basedOn w:val="Normal"/>
    <w:rsid w:val="00517205"/>
    <w:pPr>
      <w:numPr>
        <w:ilvl w:val="4"/>
        <w:numId w:val="64"/>
      </w:numPr>
    </w:pPr>
  </w:style>
  <w:style w:type="paragraph" w:customStyle="1" w:styleId="Point3number">
    <w:name w:val="Point 3 (number)"/>
    <w:basedOn w:val="Normal"/>
    <w:rsid w:val="00517205"/>
    <w:pPr>
      <w:numPr>
        <w:ilvl w:val="6"/>
        <w:numId w:val="64"/>
      </w:numPr>
    </w:pPr>
  </w:style>
  <w:style w:type="paragraph" w:customStyle="1" w:styleId="Point0letter">
    <w:name w:val="Point 0 (letter)"/>
    <w:basedOn w:val="Normal"/>
    <w:rsid w:val="00517205"/>
    <w:pPr>
      <w:numPr>
        <w:ilvl w:val="1"/>
        <w:numId w:val="64"/>
      </w:numPr>
    </w:pPr>
  </w:style>
  <w:style w:type="paragraph" w:customStyle="1" w:styleId="Point1letter">
    <w:name w:val="Point 1 (letter)"/>
    <w:basedOn w:val="Normal"/>
    <w:rsid w:val="00517205"/>
    <w:pPr>
      <w:numPr>
        <w:ilvl w:val="3"/>
        <w:numId w:val="64"/>
      </w:numPr>
    </w:pPr>
  </w:style>
  <w:style w:type="paragraph" w:customStyle="1" w:styleId="Point2letter">
    <w:name w:val="Point 2 (letter)"/>
    <w:basedOn w:val="Normal"/>
    <w:rsid w:val="00517205"/>
    <w:pPr>
      <w:numPr>
        <w:ilvl w:val="5"/>
        <w:numId w:val="64"/>
      </w:numPr>
    </w:pPr>
  </w:style>
  <w:style w:type="paragraph" w:customStyle="1" w:styleId="Point3letter">
    <w:name w:val="Point 3 (letter)"/>
    <w:basedOn w:val="Normal"/>
    <w:rsid w:val="00517205"/>
    <w:pPr>
      <w:numPr>
        <w:ilvl w:val="7"/>
        <w:numId w:val="64"/>
      </w:numPr>
    </w:pPr>
  </w:style>
  <w:style w:type="paragraph" w:customStyle="1" w:styleId="Point4letter">
    <w:name w:val="Point 4 (letter)"/>
    <w:basedOn w:val="Normal"/>
    <w:rsid w:val="00517205"/>
    <w:pPr>
      <w:numPr>
        <w:ilvl w:val="8"/>
        <w:numId w:val="64"/>
      </w:numPr>
    </w:pPr>
  </w:style>
  <w:style w:type="paragraph" w:customStyle="1" w:styleId="Bullet0">
    <w:name w:val="Bullet 0"/>
    <w:basedOn w:val="Normal"/>
    <w:rsid w:val="00517205"/>
    <w:pPr>
      <w:numPr>
        <w:numId w:val="65"/>
      </w:numPr>
    </w:pPr>
  </w:style>
  <w:style w:type="paragraph" w:customStyle="1" w:styleId="Bullet1">
    <w:name w:val="Bullet 1"/>
    <w:basedOn w:val="Normal"/>
    <w:rsid w:val="00517205"/>
    <w:pPr>
      <w:numPr>
        <w:numId w:val="66"/>
      </w:numPr>
    </w:pPr>
  </w:style>
  <w:style w:type="paragraph" w:customStyle="1" w:styleId="Bullet2">
    <w:name w:val="Bullet 2"/>
    <w:basedOn w:val="Normal"/>
    <w:rsid w:val="00517205"/>
    <w:pPr>
      <w:numPr>
        <w:numId w:val="67"/>
      </w:numPr>
    </w:pPr>
  </w:style>
  <w:style w:type="paragraph" w:customStyle="1" w:styleId="Bullet3">
    <w:name w:val="Bullet 3"/>
    <w:basedOn w:val="Normal"/>
    <w:rsid w:val="00517205"/>
    <w:pPr>
      <w:numPr>
        <w:numId w:val="68"/>
      </w:numPr>
    </w:pPr>
  </w:style>
  <w:style w:type="paragraph" w:customStyle="1" w:styleId="Bullet4">
    <w:name w:val="Bullet 4"/>
    <w:basedOn w:val="Normal"/>
    <w:rsid w:val="00517205"/>
    <w:pPr>
      <w:numPr>
        <w:numId w:val="69"/>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70"/>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4702">
      <w:bodyDiv w:val="1"/>
      <w:marLeft w:val="0"/>
      <w:marRight w:val="0"/>
      <w:marTop w:val="0"/>
      <w:marBottom w:val="0"/>
      <w:divBdr>
        <w:top w:val="none" w:sz="0" w:space="0" w:color="auto"/>
        <w:left w:val="none" w:sz="0" w:space="0" w:color="auto"/>
        <w:bottom w:val="none" w:sz="0" w:space="0" w:color="auto"/>
        <w:right w:val="none" w:sz="0" w:space="0" w:color="auto"/>
      </w:divBdr>
      <w:divsChild>
        <w:div w:id="465589949">
          <w:marLeft w:val="0"/>
          <w:marRight w:val="0"/>
          <w:marTop w:val="0"/>
          <w:marBottom w:val="0"/>
          <w:divBdr>
            <w:top w:val="none" w:sz="0" w:space="0" w:color="auto"/>
            <w:left w:val="none" w:sz="0" w:space="0" w:color="auto"/>
            <w:bottom w:val="none" w:sz="0" w:space="0" w:color="auto"/>
            <w:right w:val="none" w:sz="0" w:space="0" w:color="auto"/>
          </w:divBdr>
        </w:div>
        <w:div w:id="603995390">
          <w:marLeft w:val="0"/>
          <w:marRight w:val="0"/>
          <w:marTop w:val="0"/>
          <w:marBottom w:val="0"/>
          <w:divBdr>
            <w:top w:val="none" w:sz="0" w:space="0" w:color="auto"/>
            <w:left w:val="none" w:sz="0" w:space="0" w:color="auto"/>
            <w:bottom w:val="none" w:sz="0" w:space="0" w:color="auto"/>
            <w:right w:val="none" w:sz="0" w:space="0" w:color="auto"/>
          </w:divBdr>
        </w:div>
        <w:div w:id="1865093911">
          <w:marLeft w:val="0"/>
          <w:marRight w:val="0"/>
          <w:marTop w:val="0"/>
          <w:marBottom w:val="0"/>
          <w:divBdr>
            <w:top w:val="none" w:sz="0" w:space="0" w:color="auto"/>
            <w:left w:val="none" w:sz="0" w:space="0" w:color="auto"/>
            <w:bottom w:val="none" w:sz="0" w:space="0" w:color="auto"/>
            <w:right w:val="none" w:sz="0" w:space="0" w:color="auto"/>
          </w:divBdr>
        </w:div>
      </w:divsChild>
    </w:div>
    <w:div w:id="133450379">
      <w:bodyDiv w:val="1"/>
      <w:marLeft w:val="0"/>
      <w:marRight w:val="0"/>
      <w:marTop w:val="0"/>
      <w:marBottom w:val="0"/>
      <w:divBdr>
        <w:top w:val="none" w:sz="0" w:space="0" w:color="auto"/>
        <w:left w:val="none" w:sz="0" w:space="0" w:color="auto"/>
        <w:bottom w:val="none" w:sz="0" w:space="0" w:color="auto"/>
        <w:right w:val="none" w:sz="0" w:space="0" w:color="auto"/>
      </w:divBdr>
    </w:div>
    <w:div w:id="181556589">
      <w:bodyDiv w:val="1"/>
      <w:marLeft w:val="0"/>
      <w:marRight w:val="0"/>
      <w:marTop w:val="0"/>
      <w:marBottom w:val="0"/>
      <w:divBdr>
        <w:top w:val="none" w:sz="0" w:space="0" w:color="auto"/>
        <w:left w:val="none" w:sz="0" w:space="0" w:color="auto"/>
        <w:bottom w:val="none" w:sz="0" w:space="0" w:color="auto"/>
        <w:right w:val="none" w:sz="0" w:space="0" w:color="auto"/>
      </w:divBdr>
    </w:div>
    <w:div w:id="187958107">
      <w:bodyDiv w:val="1"/>
      <w:marLeft w:val="0"/>
      <w:marRight w:val="0"/>
      <w:marTop w:val="0"/>
      <w:marBottom w:val="0"/>
      <w:divBdr>
        <w:top w:val="none" w:sz="0" w:space="0" w:color="auto"/>
        <w:left w:val="none" w:sz="0" w:space="0" w:color="auto"/>
        <w:bottom w:val="none" w:sz="0" w:space="0" w:color="auto"/>
        <w:right w:val="none" w:sz="0" w:space="0" w:color="auto"/>
      </w:divBdr>
      <w:divsChild>
        <w:div w:id="156578543">
          <w:marLeft w:val="0"/>
          <w:marRight w:val="0"/>
          <w:marTop w:val="120"/>
          <w:marBottom w:val="0"/>
          <w:divBdr>
            <w:top w:val="none" w:sz="0" w:space="0" w:color="auto"/>
            <w:left w:val="none" w:sz="0" w:space="0" w:color="auto"/>
            <w:bottom w:val="none" w:sz="0" w:space="0" w:color="auto"/>
            <w:right w:val="none" w:sz="0" w:space="0" w:color="auto"/>
          </w:divBdr>
        </w:div>
        <w:div w:id="262226235">
          <w:marLeft w:val="0"/>
          <w:marRight w:val="0"/>
          <w:marTop w:val="0"/>
          <w:marBottom w:val="0"/>
          <w:divBdr>
            <w:top w:val="none" w:sz="0" w:space="0" w:color="auto"/>
            <w:left w:val="none" w:sz="0" w:space="0" w:color="auto"/>
            <w:bottom w:val="none" w:sz="0" w:space="0" w:color="auto"/>
            <w:right w:val="none" w:sz="0" w:space="0" w:color="auto"/>
          </w:divBdr>
        </w:div>
      </w:divsChild>
    </w:div>
    <w:div w:id="258758118">
      <w:bodyDiv w:val="1"/>
      <w:marLeft w:val="0"/>
      <w:marRight w:val="0"/>
      <w:marTop w:val="0"/>
      <w:marBottom w:val="0"/>
      <w:divBdr>
        <w:top w:val="none" w:sz="0" w:space="0" w:color="auto"/>
        <w:left w:val="none" w:sz="0" w:space="0" w:color="auto"/>
        <w:bottom w:val="none" w:sz="0" w:space="0" w:color="auto"/>
        <w:right w:val="none" w:sz="0" w:space="0" w:color="auto"/>
      </w:divBdr>
    </w:div>
    <w:div w:id="393621740">
      <w:bodyDiv w:val="1"/>
      <w:marLeft w:val="0"/>
      <w:marRight w:val="0"/>
      <w:marTop w:val="0"/>
      <w:marBottom w:val="0"/>
      <w:divBdr>
        <w:top w:val="none" w:sz="0" w:space="0" w:color="auto"/>
        <w:left w:val="none" w:sz="0" w:space="0" w:color="auto"/>
        <w:bottom w:val="none" w:sz="0" w:space="0" w:color="auto"/>
        <w:right w:val="none" w:sz="0" w:space="0" w:color="auto"/>
      </w:divBdr>
    </w:div>
    <w:div w:id="400368097">
      <w:bodyDiv w:val="1"/>
      <w:marLeft w:val="0"/>
      <w:marRight w:val="0"/>
      <w:marTop w:val="0"/>
      <w:marBottom w:val="0"/>
      <w:divBdr>
        <w:top w:val="none" w:sz="0" w:space="0" w:color="auto"/>
        <w:left w:val="none" w:sz="0" w:space="0" w:color="auto"/>
        <w:bottom w:val="none" w:sz="0" w:space="0" w:color="auto"/>
        <w:right w:val="none" w:sz="0" w:space="0" w:color="auto"/>
      </w:divBdr>
    </w:div>
    <w:div w:id="476337553">
      <w:bodyDiv w:val="1"/>
      <w:marLeft w:val="0"/>
      <w:marRight w:val="0"/>
      <w:marTop w:val="0"/>
      <w:marBottom w:val="0"/>
      <w:divBdr>
        <w:top w:val="none" w:sz="0" w:space="0" w:color="auto"/>
        <w:left w:val="none" w:sz="0" w:space="0" w:color="auto"/>
        <w:bottom w:val="none" w:sz="0" w:space="0" w:color="auto"/>
        <w:right w:val="none" w:sz="0" w:space="0" w:color="auto"/>
      </w:divBdr>
    </w:div>
    <w:div w:id="540480347">
      <w:bodyDiv w:val="1"/>
      <w:marLeft w:val="0"/>
      <w:marRight w:val="0"/>
      <w:marTop w:val="0"/>
      <w:marBottom w:val="0"/>
      <w:divBdr>
        <w:top w:val="none" w:sz="0" w:space="0" w:color="auto"/>
        <w:left w:val="none" w:sz="0" w:space="0" w:color="auto"/>
        <w:bottom w:val="none" w:sz="0" w:space="0" w:color="auto"/>
        <w:right w:val="none" w:sz="0" w:space="0" w:color="auto"/>
      </w:divBdr>
    </w:div>
    <w:div w:id="569920703">
      <w:bodyDiv w:val="1"/>
      <w:marLeft w:val="0"/>
      <w:marRight w:val="0"/>
      <w:marTop w:val="0"/>
      <w:marBottom w:val="0"/>
      <w:divBdr>
        <w:top w:val="none" w:sz="0" w:space="0" w:color="auto"/>
        <w:left w:val="none" w:sz="0" w:space="0" w:color="auto"/>
        <w:bottom w:val="none" w:sz="0" w:space="0" w:color="auto"/>
        <w:right w:val="none" w:sz="0" w:space="0" w:color="auto"/>
      </w:divBdr>
    </w:div>
    <w:div w:id="624386175">
      <w:bodyDiv w:val="1"/>
      <w:marLeft w:val="0"/>
      <w:marRight w:val="0"/>
      <w:marTop w:val="0"/>
      <w:marBottom w:val="0"/>
      <w:divBdr>
        <w:top w:val="none" w:sz="0" w:space="0" w:color="auto"/>
        <w:left w:val="none" w:sz="0" w:space="0" w:color="auto"/>
        <w:bottom w:val="none" w:sz="0" w:space="0" w:color="auto"/>
        <w:right w:val="none" w:sz="0" w:space="0" w:color="auto"/>
      </w:divBdr>
    </w:div>
    <w:div w:id="649334578">
      <w:bodyDiv w:val="1"/>
      <w:marLeft w:val="0"/>
      <w:marRight w:val="0"/>
      <w:marTop w:val="0"/>
      <w:marBottom w:val="0"/>
      <w:divBdr>
        <w:top w:val="none" w:sz="0" w:space="0" w:color="auto"/>
        <w:left w:val="none" w:sz="0" w:space="0" w:color="auto"/>
        <w:bottom w:val="none" w:sz="0" w:space="0" w:color="auto"/>
        <w:right w:val="none" w:sz="0" w:space="0" w:color="auto"/>
      </w:divBdr>
    </w:div>
    <w:div w:id="669333774">
      <w:bodyDiv w:val="1"/>
      <w:marLeft w:val="0"/>
      <w:marRight w:val="0"/>
      <w:marTop w:val="0"/>
      <w:marBottom w:val="0"/>
      <w:divBdr>
        <w:top w:val="none" w:sz="0" w:space="0" w:color="auto"/>
        <w:left w:val="none" w:sz="0" w:space="0" w:color="auto"/>
        <w:bottom w:val="none" w:sz="0" w:space="0" w:color="auto"/>
        <w:right w:val="none" w:sz="0" w:space="0" w:color="auto"/>
      </w:divBdr>
    </w:div>
    <w:div w:id="711468253">
      <w:bodyDiv w:val="1"/>
      <w:marLeft w:val="0"/>
      <w:marRight w:val="0"/>
      <w:marTop w:val="0"/>
      <w:marBottom w:val="0"/>
      <w:divBdr>
        <w:top w:val="none" w:sz="0" w:space="0" w:color="auto"/>
        <w:left w:val="none" w:sz="0" w:space="0" w:color="auto"/>
        <w:bottom w:val="none" w:sz="0" w:space="0" w:color="auto"/>
        <w:right w:val="none" w:sz="0" w:space="0" w:color="auto"/>
      </w:divBdr>
    </w:div>
    <w:div w:id="826435204">
      <w:bodyDiv w:val="1"/>
      <w:marLeft w:val="0"/>
      <w:marRight w:val="0"/>
      <w:marTop w:val="0"/>
      <w:marBottom w:val="0"/>
      <w:divBdr>
        <w:top w:val="none" w:sz="0" w:space="0" w:color="auto"/>
        <w:left w:val="none" w:sz="0" w:space="0" w:color="auto"/>
        <w:bottom w:val="none" w:sz="0" w:space="0" w:color="auto"/>
        <w:right w:val="none" w:sz="0" w:space="0" w:color="auto"/>
      </w:divBdr>
    </w:div>
    <w:div w:id="837621841">
      <w:bodyDiv w:val="1"/>
      <w:marLeft w:val="0"/>
      <w:marRight w:val="0"/>
      <w:marTop w:val="0"/>
      <w:marBottom w:val="0"/>
      <w:divBdr>
        <w:top w:val="none" w:sz="0" w:space="0" w:color="auto"/>
        <w:left w:val="none" w:sz="0" w:space="0" w:color="auto"/>
        <w:bottom w:val="none" w:sz="0" w:space="0" w:color="auto"/>
        <w:right w:val="none" w:sz="0" w:space="0" w:color="auto"/>
      </w:divBdr>
    </w:div>
    <w:div w:id="869881223">
      <w:bodyDiv w:val="1"/>
      <w:marLeft w:val="0"/>
      <w:marRight w:val="0"/>
      <w:marTop w:val="0"/>
      <w:marBottom w:val="0"/>
      <w:divBdr>
        <w:top w:val="none" w:sz="0" w:space="0" w:color="auto"/>
        <w:left w:val="none" w:sz="0" w:space="0" w:color="auto"/>
        <w:bottom w:val="none" w:sz="0" w:space="0" w:color="auto"/>
        <w:right w:val="none" w:sz="0" w:space="0" w:color="auto"/>
      </w:divBdr>
    </w:div>
    <w:div w:id="903370228">
      <w:bodyDiv w:val="1"/>
      <w:marLeft w:val="0"/>
      <w:marRight w:val="0"/>
      <w:marTop w:val="0"/>
      <w:marBottom w:val="0"/>
      <w:divBdr>
        <w:top w:val="none" w:sz="0" w:space="0" w:color="auto"/>
        <w:left w:val="none" w:sz="0" w:space="0" w:color="auto"/>
        <w:bottom w:val="none" w:sz="0" w:space="0" w:color="auto"/>
        <w:right w:val="none" w:sz="0" w:space="0" w:color="auto"/>
      </w:divBdr>
      <w:divsChild>
        <w:div w:id="90712090">
          <w:marLeft w:val="0"/>
          <w:marRight w:val="0"/>
          <w:marTop w:val="0"/>
          <w:marBottom w:val="0"/>
          <w:divBdr>
            <w:top w:val="none" w:sz="0" w:space="0" w:color="auto"/>
            <w:left w:val="none" w:sz="0" w:space="0" w:color="auto"/>
            <w:bottom w:val="none" w:sz="0" w:space="0" w:color="auto"/>
            <w:right w:val="none" w:sz="0" w:space="0" w:color="auto"/>
          </w:divBdr>
        </w:div>
        <w:div w:id="1856529023">
          <w:marLeft w:val="0"/>
          <w:marRight w:val="0"/>
          <w:marTop w:val="0"/>
          <w:marBottom w:val="0"/>
          <w:divBdr>
            <w:top w:val="none" w:sz="0" w:space="0" w:color="auto"/>
            <w:left w:val="none" w:sz="0" w:space="0" w:color="auto"/>
            <w:bottom w:val="none" w:sz="0" w:space="0" w:color="auto"/>
            <w:right w:val="none" w:sz="0" w:space="0" w:color="auto"/>
          </w:divBdr>
        </w:div>
        <w:div w:id="1978877984">
          <w:marLeft w:val="0"/>
          <w:marRight w:val="0"/>
          <w:marTop w:val="0"/>
          <w:marBottom w:val="0"/>
          <w:divBdr>
            <w:top w:val="none" w:sz="0" w:space="0" w:color="auto"/>
            <w:left w:val="none" w:sz="0" w:space="0" w:color="auto"/>
            <w:bottom w:val="none" w:sz="0" w:space="0" w:color="auto"/>
            <w:right w:val="none" w:sz="0" w:space="0" w:color="auto"/>
          </w:divBdr>
        </w:div>
      </w:divsChild>
    </w:div>
    <w:div w:id="910581568">
      <w:bodyDiv w:val="1"/>
      <w:marLeft w:val="0"/>
      <w:marRight w:val="0"/>
      <w:marTop w:val="0"/>
      <w:marBottom w:val="0"/>
      <w:divBdr>
        <w:top w:val="none" w:sz="0" w:space="0" w:color="auto"/>
        <w:left w:val="none" w:sz="0" w:space="0" w:color="auto"/>
        <w:bottom w:val="none" w:sz="0" w:space="0" w:color="auto"/>
        <w:right w:val="none" w:sz="0" w:space="0" w:color="auto"/>
      </w:divBdr>
    </w:div>
    <w:div w:id="913661320">
      <w:bodyDiv w:val="1"/>
      <w:marLeft w:val="0"/>
      <w:marRight w:val="0"/>
      <w:marTop w:val="0"/>
      <w:marBottom w:val="0"/>
      <w:divBdr>
        <w:top w:val="none" w:sz="0" w:space="0" w:color="auto"/>
        <w:left w:val="none" w:sz="0" w:space="0" w:color="auto"/>
        <w:bottom w:val="none" w:sz="0" w:space="0" w:color="auto"/>
        <w:right w:val="none" w:sz="0" w:space="0" w:color="auto"/>
      </w:divBdr>
    </w:div>
    <w:div w:id="1082609086">
      <w:bodyDiv w:val="1"/>
      <w:marLeft w:val="0"/>
      <w:marRight w:val="0"/>
      <w:marTop w:val="0"/>
      <w:marBottom w:val="0"/>
      <w:divBdr>
        <w:top w:val="none" w:sz="0" w:space="0" w:color="auto"/>
        <w:left w:val="none" w:sz="0" w:space="0" w:color="auto"/>
        <w:bottom w:val="none" w:sz="0" w:space="0" w:color="auto"/>
        <w:right w:val="none" w:sz="0" w:space="0" w:color="auto"/>
      </w:divBdr>
    </w:div>
    <w:div w:id="1102410266">
      <w:bodyDiv w:val="1"/>
      <w:marLeft w:val="0"/>
      <w:marRight w:val="0"/>
      <w:marTop w:val="0"/>
      <w:marBottom w:val="0"/>
      <w:divBdr>
        <w:top w:val="none" w:sz="0" w:space="0" w:color="auto"/>
        <w:left w:val="none" w:sz="0" w:space="0" w:color="auto"/>
        <w:bottom w:val="none" w:sz="0" w:space="0" w:color="auto"/>
        <w:right w:val="none" w:sz="0" w:space="0" w:color="auto"/>
      </w:divBdr>
      <w:divsChild>
        <w:div w:id="1998222016">
          <w:marLeft w:val="0"/>
          <w:marRight w:val="0"/>
          <w:marTop w:val="0"/>
          <w:marBottom w:val="0"/>
          <w:divBdr>
            <w:top w:val="none" w:sz="0" w:space="0" w:color="auto"/>
            <w:left w:val="none" w:sz="0" w:space="0" w:color="auto"/>
            <w:bottom w:val="none" w:sz="0" w:space="0" w:color="auto"/>
            <w:right w:val="none" w:sz="0" w:space="0" w:color="auto"/>
          </w:divBdr>
          <w:divsChild>
            <w:div w:id="1634601872">
              <w:marLeft w:val="0"/>
              <w:marRight w:val="0"/>
              <w:marTop w:val="120"/>
              <w:marBottom w:val="0"/>
              <w:divBdr>
                <w:top w:val="none" w:sz="0" w:space="0" w:color="auto"/>
                <w:left w:val="none" w:sz="0" w:space="0" w:color="auto"/>
                <w:bottom w:val="none" w:sz="0" w:space="0" w:color="auto"/>
                <w:right w:val="none" w:sz="0" w:space="0" w:color="auto"/>
              </w:divBdr>
            </w:div>
            <w:div w:id="302738663">
              <w:marLeft w:val="0"/>
              <w:marRight w:val="0"/>
              <w:marTop w:val="0"/>
              <w:marBottom w:val="0"/>
              <w:divBdr>
                <w:top w:val="none" w:sz="0" w:space="0" w:color="auto"/>
                <w:left w:val="none" w:sz="0" w:space="0" w:color="auto"/>
                <w:bottom w:val="none" w:sz="0" w:space="0" w:color="auto"/>
                <w:right w:val="none" w:sz="0" w:space="0" w:color="auto"/>
              </w:divBdr>
            </w:div>
          </w:divsChild>
        </w:div>
        <w:div w:id="1194265686">
          <w:marLeft w:val="0"/>
          <w:marRight w:val="0"/>
          <w:marTop w:val="0"/>
          <w:marBottom w:val="0"/>
          <w:divBdr>
            <w:top w:val="none" w:sz="0" w:space="0" w:color="auto"/>
            <w:left w:val="none" w:sz="0" w:space="0" w:color="auto"/>
            <w:bottom w:val="none" w:sz="0" w:space="0" w:color="auto"/>
            <w:right w:val="none" w:sz="0" w:space="0" w:color="auto"/>
          </w:divBdr>
          <w:divsChild>
            <w:div w:id="1244489971">
              <w:marLeft w:val="0"/>
              <w:marRight w:val="0"/>
              <w:marTop w:val="120"/>
              <w:marBottom w:val="0"/>
              <w:divBdr>
                <w:top w:val="none" w:sz="0" w:space="0" w:color="auto"/>
                <w:left w:val="none" w:sz="0" w:space="0" w:color="auto"/>
                <w:bottom w:val="none" w:sz="0" w:space="0" w:color="auto"/>
                <w:right w:val="none" w:sz="0" w:space="0" w:color="auto"/>
              </w:divBdr>
            </w:div>
            <w:div w:id="12799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1731">
      <w:bodyDiv w:val="1"/>
      <w:marLeft w:val="0"/>
      <w:marRight w:val="0"/>
      <w:marTop w:val="0"/>
      <w:marBottom w:val="0"/>
      <w:divBdr>
        <w:top w:val="none" w:sz="0" w:space="0" w:color="auto"/>
        <w:left w:val="none" w:sz="0" w:space="0" w:color="auto"/>
        <w:bottom w:val="none" w:sz="0" w:space="0" w:color="auto"/>
        <w:right w:val="none" w:sz="0" w:space="0" w:color="auto"/>
      </w:divBdr>
    </w:div>
    <w:div w:id="1185439646">
      <w:bodyDiv w:val="1"/>
      <w:marLeft w:val="0"/>
      <w:marRight w:val="0"/>
      <w:marTop w:val="0"/>
      <w:marBottom w:val="0"/>
      <w:divBdr>
        <w:top w:val="none" w:sz="0" w:space="0" w:color="auto"/>
        <w:left w:val="none" w:sz="0" w:space="0" w:color="auto"/>
        <w:bottom w:val="none" w:sz="0" w:space="0" w:color="auto"/>
        <w:right w:val="none" w:sz="0" w:space="0" w:color="auto"/>
      </w:divBdr>
    </w:div>
    <w:div w:id="1219126361">
      <w:bodyDiv w:val="1"/>
      <w:marLeft w:val="0"/>
      <w:marRight w:val="0"/>
      <w:marTop w:val="0"/>
      <w:marBottom w:val="0"/>
      <w:divBdr>
        <w:top w:val="none" w:sz="0" w:space="0" w:color="auto"/>
        <w:left w:val="none" w:sz="0" w:space="0" w:color="auto"/>
        <w:bottom w:val="none" w:sz="0" w:space="0" w:color="auto"/>
        <w:right w:val="none" w:sz="0" w:space="0" w:color="auto"/>
      </w:divBdr>
      <w:divsChild>
        <w:div w:id="1517184137">
          <w:marLeft w:val="0"/>
          <w:marRight w:val="0"/>
          <w:marTop w:val="0"/>
          <w:marBottom w:val="0"/>
          <w:divBdr>
            <w:top w:val="none" w:sz="0" w:space="0" w:color="auto"/>
            <w:left w:val="none" w:sz="0" w:space="0" w:color="auto"/>
            <w:bottom w:val="none" w:sz="0" w:space="0" w:color="auto"/>
            <w:right w:val="none" w:sz="0" w:space="0" w:color="auto"/>
          </w:divBdr>
          <w:divsChild>
            <w:div w:id="1842547119">
              <w:marLeft w:val="0"/>
              <w:marRight w:val="0"/>
              <w:marTop w:val="120"/>
              <w:marBottom w:val="0"/>
              <w:divBdr>
                <w:top w:val="none" w:sz="0" w:space="0" w:color="auto"/>
                <w:left w:val="none" w:sz="0" w:space="0" w:color="auto"/>
                <w:bottom w:val="none" w:sz="0" w:space="0" w:color="auto"/>
                <w:right w:val="none" w:sz="0" w:space="0" w:color="auto"/>
              </w:divBdr>
            </w:div>
            <w:div w:id="43647369">
              <w:marLeft w:val="0"/>
              <w:marRight w:val="0"/>
              <w:marTop w:val="0"/>
              <w:marBottom w:val="0"/>
              <w:divBdr>
                <w:top w:val="none" w:sz="0" w:space="0" w:color="auto"/>
                <w:left w:val="none" w:sz="0" w:space="0" w:color="auto"/>
                <w:bottom w:val="none" w:sz="0" w:space="0" w:color="auto"/>
                <w:right w:val="none" w:sz="0" w:space="0" w:color="auto"/>
              </w:divBdr>
            </w:div>
          </w:divsChild>
        </w:div>
        <w:div w:id="1159736328">
          <w:marLeft w:val="0"/>
          <w:marRight w:val="0"/>
          <w:marTop w:val="0"/>
          <w:marBottom w:val="0"/>
          <w:divBdr>
            <w:top w:val="none" w:sz="0" w:space="0" w:color="auto"/>
            <w:left w:val="none" w:sz="0" w:space="0" w:color="auto"/>
            <w:bottom w:val="none" w:sz="0" w:space="0" w:color="auto"/>
            <w:right w:val="none" w:sz="0" w:space="0" w:color="auto"/>
          </w:divBdr>
          <w:divsChild>
            <w:div w:id="1955792087">
              <w:marLeft w:val="0"/>
              <w:marRight w:val="0"/>
              <w:marTop w:val="120"/>
              <w:marBottom w:val="0"/>
              <w:divBdr>
                <w:top w:val="none" w:sz="0" w:space="0" w:color="auto"/>
                <w:left w:val="none" w:sz="0" w:space="0" w:color="auto"/>
                <w:bottom w:val="none" w:sz="0" w:space="0" w:color="auto"/>
                <w:right w:val="none" w:sz="0" w:space="0" w:color="auto"/>
              </w:divBdr>
            </w:div>
            <w:div w:id="7133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3354">
      <w:bodyDiv w:val="1"/>
      <w:marLeft w:val="0"/>
      <w:marRight w:val="0"/>
      <w:marTop w:val="0"/>
      <w:marBottom w:val="0"/>
      <w:divBdr>
        <w:top w:val="none" w:sz="0" w:space="0" w:color="auto"/>
        <w:left w:val="none" w:sz="0" w:space="0" w:color="auto"/>
        <w:bottom w:val="none" w:sz="0" w:space="0" w:color="auto"/>
        <w:right w:val="none" w:sz="0" w:space="0" w:color="auto"/>
      </w:divBdr>
      <w:divsChild>
        <w:div w:id="1251817907">
          <w:marLeft w:val="0"/>
          <w:marRight w:val="0"/>
          <w:marTop w:val="0"/>
          <w:marBottom w:val="0"/>
          <w:divBdr>
            <w:top w:val="none" w:sz="0" w:space="0" w:color="auto"/>
            <w:left w:val="none" w:sz="0" w:space="0" w:color="auto"/>
            <w:bottom w:val="none" w:sz="0" w:space="0" w:color="auto"/>
            <w:right w:val="none" w:sz="0" w:space="0" w:color="auto"/>
          </w:divBdr>
          <w:divsChild>
            <w:div w:id="739060673">
              <w:marLeft w:val="0"/>
              <w:marRight w:val="0"/>
              <w:marTop w:val="120"/>
              <w:marBottom w:val="0"/>
              <w:divBdr>
                <w:top w:val="none" w:sz="0" w:space="0" w:color="auto"/>
                <w:left w:val="none" w:sz="0" w:space="0" w:color="auto"/>
                <w:bottom w:val="none" w:sz="0" w:space="0" w:color="auto"/>
                <w:right w:val="none" w:sz="0" w:space="0" w:color="auto"/>
              </w:divBdr>
            </w:div>
            <w:div w:id="777414301">
              <w:marLeft w:val="0"/>
              <w:marRight w:val="0"/>
              <w:marTop w:val="0"/>
              <w:marBottom w:val="0"/>
              <w:divBdr>
                <w:top w:val="none" w:sz="0" w:space="0" w:color="auto"/>
                <w:left w:val="none" w:sz="0" w:space="0" w:color="auto"/>
                <w:bottom w:val="none" w:sz="0" w:space="0" w:color="auto"/>
                <w:right w:val="none" w:sz="0" w:space="0" w:color="auto"/>
              </w:divBdr>
            </w:div>
          </w:divsChild>
        </w:div>
        <w:div w:id="1732725780">
          <w:marLeft w:val="0"/>
          <w:marRight w:val="0"/>
          <w:marTop w:val="0"/>
          <w:marBottom w:val="0"/>
          <w:divBdr>
            <w:top w:val="none" w:sz="0" w:space="0" w:color="auto"/>
            <w:left w:val="none" w:sz="0" w:space="0" w:color="auto"/>
            <w:bottom w:val="none" w:sz="0" w:space="0" w:color="auto"/>
            <w:right w:val="none" w:sz="0" w:space="0" w:color="auto"/>
          </w:divBdr>
          <w:divsChild>
            <w:div w:id="486554391">
              <w:marLeft w:val="0"/>
              <w:marRight w:val="0"/>
              <w:marTop w:val="120"/>
              <w:marBottom w:val="0"/>
              <w:divBdr>
                <w:top w:val="none" w:sz="0" w:space="0" w:color="auto"/>
                <w:left w:val="none" w:sz="0" w:space="0" w:color="auto"/>
                <w:bottom w:val="none" w:sz="0" w:space="0" w:color="auto"/>
                <w:right w:val="none" w:sz="0" w:space="0" w:color="auto"/>
              </w:divBdr>
            </w:div>
            <w:div w:id="19905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4218">
      <w:bodyDiv w:val="1"/>
      <w:marLeft w:val="0"/>
      <w:marRight w:val="0"/>
      <w:marTop w:val="0"/>
      <w:marBottom w:val="0"/>
      <w:divBdr>
        <w:top w:val="none" w:sz="0" w:space="0" w:color="auto"/>
        <w:left w:val="none" w:sz="0" w:space="0" w:color="auto"/>
        <w:bottom w:val="none" w:sz="0" w:space="0" w:color="auto"/>
        <w:right w:val="none" w:sz="0" w:space="0" w:color="auto"/>
      </w:divBdr>
    </w:div>
    <w:div w:id="1345594804">
      <w:bodyDiv w:val="1"/>
      <w:marLeft w:val="0"/>
      <w:marRight w:val="0"/>
      <w:marTop w:val="0"/>
      <w:marBottom w:val="0"/>
      <w:divBdr>
        <w:top w:val="none" w:sz="0" w:space="0" w:color="auto"/>
        <w:left w:val="none" w:sz="0" w:space="0" w:color="auto"/>
        <w:bottom w:val="none" w:sz="0" w:space="0" w:color="auto"/>
        <w:right w:val="none" w:sz="0" w:space="0" w:color="auto"/>
      </w:divBdr>
    </w:div>
    <w:div w:id="1348021122">
      <w:bodyDiv w:val="1"/>
      <w:marLeft w:val="0"/>
      <w:marRight w:val="0"/>
      <w:marTop w:val="0"/>
      <w:marBottom w:val="0"/>
      <w:divBdr>
        <w:top w:val="none" w:sz="0" w:space="0" w:color="auto"/>
        <w:left w:val="none" w:sz="0" w:space="0" w:color="auto"/>
        <w:bottom w:val="none" w:sz="0" w:space="0" w:color="auto"/>
        <w:right w:val="none" w:sz="0" w:space="0" w:color="auto"/>
      </w:divBdr>
      <w:divsChild>
        <w:div w:id="208568201">
          <w:marLeft w:val="0"/>
          <w:marRight w:val="0"/>
          <w:marTop w:val="0"/>
          <w:marBottom w:val="0"/>
          <w:divBdr>
            <w:top w:val="none" w:sz="0" w:space="0" w:color="auto"/>
            <w:left w:val="none" w:sz="0" w:space="0" w:color="auto"/>
            <w:bottom w:val="none" w:sz="0" w:space="0" w:color="auto"/>
            <w:right w:val="none" w:sz="0" w:space="0" w:color="auto"/>
          </w:divBdr>
          <w:divsChild>
            <w:div w:id="866526151">
              <w:marLeft w:val="0"/>
              <w:marRight w:val="0"/>
              <w:marTop w:val="120"/>
              <w:marBottom w:val="0"/>
              <w:divBdr>
                <w:top w:val="none" w:sz="0" w:space="0" w:color="auto"/>
                <w:left w:val="none" w:sz="0" w:space="0" w:color="auto"/>
                <w:bottom w:val="none" w:sz="0" w:space="0" w:color="auto"/>
                <w:right w:val="none" w:sz="0" w:space="0" w:color="auto"/>
              </w:divBdr>
            </w:div>
            <w:div w:id="189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71279">
      <w:bodyDiv w:val="1"/>
      <w:marLeft w:val="0"/>
      <w:marRight w:val="0"/>
      <w:marTop w:val="0"/>
      <w:marBottom w:val="0"/>
      <w:divBdr>
        <w:top w:val="none" w:sz="0" w:space="0" w:color="auto"/>
        <w:left w:val="none" w:sz="0" w:space="0" w:color="auto"/>
        <w:bottom w:val="none" w:sz="0" w:space="0" w:color="auto"/>
        <w:right w:val="none" w:sz="0" w:space="0" w:color="auto"/>
      </w:divBdr>
    </w:div>
    <w:div w:id="1379205601">
      <w:bodyDiv w:val="1"/>
      <w:marLeft w:val="0"/>
      <w:marRight w:val="0"/>
      <w:marTop w:val="0"/>
      <w:marBottom w:val="0"/>
      <w:divBdr>
        <w:top w:val="none" w:sz="0" w:space="0" w:color="auto"/>
        <w:left w:val="none" w:sz="0" w:space="0" w:color="auto"/>
        <w:bottom w:val="none" w:sz="0" w:space="0" w:color="auto"/>
        <w:right w:val="none" w:sz="0" w:space="0" w:color="auto"/>
      </w:divBdr>
    </w:div>
    <w:div w:id="1413359569">
      <w:bodyDiv w:val="1"/>
      <w:marLeft w:val="0"/>
      <w:marRight w:val="0"/>
      <w:marTop w:val="0"/>
      <w:marBottom w:val="0"/>
      <w:divBdr>
        <w:top w:val="none" w:sz="0" w:space="0" w:color="auto"/>
        <w:left w:val="none" w:sz="0" w:space="0" w:color="auto"/>
        <w:bottom w:val="none" w:sz="0" w:space="0" w:color="auto"/>
        <w:right w:val="none" w:sz="0" w:space="0" w:color="auto"/>
      </w:divBdr>
      <w:divsChild>
        <w:div w:id="1336609797">
          <w:marLeft w:val="0"/>
          <w:marRight w:val="0"/>
          <w:marTop w:val="0"/>
          <w:marBottom w:val="0"/>
          <w:divBdr>
            <w:top w:val="none" w:sz="0" w:space="0" w:color="auto"/>
            <w:left w:val="none" w:sz="0" w:space="0" w:color="auto"/>
            <w:bottom w:val="none" w:sz="0" w:space="0" w:color="auto"/>
            <w:right w:val="none" w:sz="0" w:space="0" w:color="auto"/>
          </w:divBdr>
          <w:divsChild>
            <w:div w:id="398334750">
              <w:marLeft w:val="0"/>
              <w:marRight w:val="0"/>
              <w:marTop w:val="0"/>
              <w:marBottom w:val="0"/>
              <w:divBdr>
                <w:top w:val="none" w:sz="0" w:space="0" w:color="auto"/>
                <w:left w:val="none" w:sz="0" w:space="0" w:color="auto"/>
                <w:bottom w:val="none" w:sz="0" w:space="0" w:color="auto"/>
                <w:right w:val="none" w:sz="0" w:space="0" w:color="auto"/>
              </w:divBdr>
            </w:div>
          </w:divsChild>
        </w:div>
        <w:div w:id="1971089233">
          <w:marLeft w:val="0"/>
          <w:marRight w:val="0"/>
          <w:marTop w:val="0"/>
          <w:marBottom w:val="0"/>
          <w:divBdr>
            <w:top w:val="none" w:sz="0" w:space="0" w:color="auto"/>
            <w:left w:val="none" w:sz="0" w:space="0" w:color="auto"/>
            <w:bottom w:val="none" w:sz="0" w:space="0" w:color="auto"/>
            <w:right w:val="none" w:sz="0" w:space="0" w:color="auto"/>
          </w:divBdr>
          <w:divsChild>
            <w:div w:id="702755877">
              <w:marLeft w:val="0"/>
              <w:marRight w:val="0"/>
              <w:marTop w:val="0"/>
              <w:marBottom w:val="0"/>
              <w:divBdr>
                <w:top w:val="none" w:sz="0" w:space="0" w:color="auto"/>
                <w:left w:val="none" w:sz="0" w:space="0" w:color="auto"/>
                <w:bottom w:val="none" w:sz="0" w:space="0" w:color="auto"/>
                <w:right w:val="none" w:sz="0" w:space="0" w:color="auto"/>
              </w:divBdr>
            </w:div>
          </w:divsChild>
        </w:div>
        <w:div w:id="272594684">
          <w:marLeft w:val="0"/>
          <w:marRight w:val="0"/>
          <w:marTop w:val="0"/>
          <w:marBottom w:val="0"/>
          <w:divBdr>
            <w:top w:val="none" w:sz="0" w:space="0" w:color="auto"/>
            <w:left w:val="none" w:sz="0" w:space="0" w:color="auto"/>
            <w:bottom w:val="none" w:sz="0" w:space="0" w:color="auto"/>
            <w:right w:val="none" w:sz="0" w:space="0" w:color="auto"/>
          </w:divBdr>
          <w:divsChild>
            <w:div w:id="593324373">
              <w:marLeft w:val="0"/>
              <w:marRight w:val="0"/>
              <w:marTop w:val="0"/>
              <w:marBottom w:val="0"/>
              <w:divBdr>
                <w:top w:val="none" w:sz="0" w:space="0" w:color="auto"/>
                <w:left w:val="none" w:sz="0" w:space="0" w:color="auto"/>
                <w:bottom w:val="none" w:sz="0" w:space="0" w:color="auto"/>
                <w:right w:val="none" w:sz="0" w:space="0" w:color="auto"/>
              </w:divBdr>
            </w:div>
          </w:divsChild>
        </w:div>
        <w:div w:id="2068919218">
          <w:marLeft w:val="0"/>
          <w:marRight w:val="0"/>
          <w:marTop w:val="0"/>
          <w:marBottom w:val="0"/>
          <w:divBdr>
            <w:top w:val="none" w:sz="0" w:space="0" w:color="auto"/>
            <w:left w:val="none" w:sz="0" w:space="0" w:color="auto"/>
            <w:bottom w:val="none" w:sz="0" w:space="0" w:color="auto"/>
            <w:right w:val="none" w:sz="0" w:space="0" w:color="auto"/>
          </w:divBdr>
          <w:divsChild>
            <w:div w:id="13217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103">
      <w:bodyDiv w:val="1"/>
      <w:marLeft w:val="0"/>
      <w:marRight w:val="0"/>
      <w:marTop w:val="0"/>
      <w:marBottom w:val="0"/>
      <w:divBdr>
        <w:top w:val="none" w:sz="0" w:space="0" w:color="auto"/>
        <w:left w:val="none" w:sz="0" w:space="0" w:color="auto"/>
        <w:bottom w:val="none" w:sz="0" w:space="0" w:color="auto"/>
        <w:right w:val="none" w:sz="0" w:space="0" w:color="auto"/>
      </w:divBdr>
    </w:div>
    <w:div w:id="1737514319">
      <w:bodyDiv w:val="1"/>
      <w:marLeft w:val="0"/>
      <w:marRight w:val="0"/>
      <w:marTop w:val="0"/>
      <w:marBottom w:val="0"/>
      <w:divBdr>
        <w:top w:val="none" w:sz="0" w:space="0" w:color="auto"/>
        <w:left w:val="none" w:sz="0" w:space="0" w:color="auto"/>
        <w:bottom w:val="none" w:sz="0" w:space="0" w:color="auto"/>
        <w:right w:val="none" w:sz="0" w:space="0" w:color="auto"/>
      </w:divBdr>
    </w:div>
    <w:div w:id="1776292951">
      <w:bodyDiv w:val="1"/>
      <w:marLeft w:val="0"/>
      <w:marRight w:val="0"/>
      <w:marTop w:val="0"/>
      <w:marBottom w:val="0"/>
      <w:divBdr>
        <w:top w:val="none" w:sz="0" w:space="0" w:color="auto"/>
        <w:left w:val="none" w:sz="0" w:space="0" w:color="auto"/>
        <w:bottom w:val="none" w:sz="0" w:space="0" w:color="auto"/>
        <w:right w:val="none" w:sz="0" w:space="0" w:color="auto"/>
      </w:divBdr>
    </w:div>
    <w:div w:id="1863283205">
      <w:bodyDiv w:val="1"/>
      <w:marLeft w:val="0"/>
      <w:marRight w:val="0"/>
      <w:marTop w:val="0"/>
      <w:marBottom w:val="0"/>
      <w:divBdr>
        <w:top w:val="none" w:sz="0" w:space="0" w:color="auto"/>
        <w:left w:val="none" w:sz="0" w:space="0" w:color="auto"/>
        <w:bottom w:val="none" w:sz="0" w:space="0" w:color="auto"/>
        <w:right w:val="none" w:sz="0" w:space="0" w:color="auto"/>
      </w:divBdr>
    </w:div>
    <w:div w:id="1882861585">
      <w:bodyDiv w:val="1"/>
      <w:marLeft w:val="0"/>
      <w:marRight w:val="0"/>
      <w:marTop w:val="0"/>
      <w:marBottom w:val="0"/>
      <w:divBdr>
        <w:top w:val="none" w:sz="0" w:space="0" w:color="auto"/>
        <w:left w:val="none" w:sz="0" w:space="0" w:color="auto"/>
        <w:bottom w:val="none" w:sz="0" w:space="0" w:color="auto"/>
        <w:right w:val="none" w:sz="0" w:space="0" w:color="auto"/>
      </w:divBdr>
    </w:div>
    <w:div w:id="2114548779">
      <w:bodyDiv w:val="1"/>
      <w:marLeft w:val="0"/>
      <w:marRight w:val="0"/>
      <w:marTop w:val="0"/>
      <w:marBottom w:val="0"/>
      <w:divBdr>
        <w:top w:val="none" w:sz="0" w:space="0" w:color="auto"/>
        <w:left w:val="none" w:sz="0" w:space="0" w:color="auto"/>
        <w:bottom w:val="none" w:sz="0" w:space="0" w:color="auto"/>
        <w:right w:val="none" w:sz="0" w:space="0" w:color="auto"/>
      </w:divBdr>
    </w:div>
    <w:div w:id="2127233869">
      <w:bodyDiv w:val="1"/>
      <w:marLeft w:val="0"/>
      <w:marRight w:val="0"/>
      <w:marTop w:val="0"/>
      <w:marBottom w:val="0"/>
      <w:divBdr>
        <w:top w:val="none" w:sz="0" w:space="0" w:color="auto"/>
        <w:left w:val="none" w:sz="0" w:space="0" w:color="auto"/>
        <w:bottom w:val="none" w:sz="0" w:space="0" w:color="auto"/>
        <w:right w:val="none" w:sz="0" w:space="0" w:color="auto"/>
      </w:divBdr>
    </w:div>
    <w:div w:id="21362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AUTO/?uri=OJ:L:2000:239:TOC" TargetMode="External"/><Relationship Id="rId3" Type="http://schemas.openxmlformats.org/officeDocument/2006/relationships/hyperlink" Target="https://eur-lex.europa.eu/legal-content/EN/TXT/?uri=CELEX%3A52020DC0609" TargetMode="External"/><Relationship Id="rId7" Type="http://schemas.openxmlformats.org/officeDocument/2006/relationships/hyperlink" Target="https://ec.europa.eu/home-affairs/study-assess-various-options-related-visa-process-digitalisation-and-support-preparation-impact_en" TargetMode="External"/><Relationship Id="rId2" Type="http://schemas.openxmlformats.org/officeDocument/2006/relationships/hyperlink" Target="https://ec.europa.eu/home-affairs/sites/default/files/what-we-do/policies/european-agenda-migration/20180314_communication-commission-parliament-council-adapting-common-visa-policy-new-challenges_en.pdf" TargetMode="External"/><Relationship Id="rId1" Type="http://schemas.openxmlformats.org/officeDocument/2006/relationships/hyperlink" Target="https://www.consilium.europa.eu/en/council-eu/preparatory-bodies/visa-working-party/" TargetMode="External"/><Relationship Id="rId6" Type="http://schemas.openxmlformats.org/officeDocument/2006/relationships/hyperlink" Target="https://op.europa.eu/en/publication-detail/-/publication/4cb4fbb8-4c82-11ea-b8b7-01aa75ed71a1/language-en" TargetMode="External"/><Relationship Id="rId5" Type="http://schemas.openxmlformats.org/officeDocument/2006/relationships/hyperlink" Target="file:///\\net1.cec.eu.int\HOME\C\5\08-DIGITALISATION\01.%20Draft%20Proposal\post-ISC\versions%20post%20ISC\Study%20on%20the%20feasibility%20and%20implications%20of%20options%20to%20digitalise%20visa%20processing,%202019" TargetMode="External"/><Relationship Id="rId4" Type="http://schemas.openxmlformats.org/officeDocument/2006/relationships/hyperlink" Target="https://ec.europa.eu/home-affairs/study-assess-various-options-related-visa-process-digitalisation-and-support-preparation-impact_en" TargetMode="External"/><Relationship Id="rId9"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3fa8c522-d8a7-421a-bb52-699b4fb528e6">EN</EC_Collab_DocumentLanguage>
    <EC_Collab_Status xmlns="3fa8c522-d8a7-421a-bb52-699b4fb528e6">Not Started</EC_Collab_Status>
    <EC_Collab_Reference xmlns="3fa8c522-d8a7-421a-bb52-699b4fb528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E1BAA93592C65242BDB76EA5337AF418" ma:contentTypeVersion="0" ma:contentTypeDescription="Create a new document in this library." ma:contentTypeScope="" ma:versionID="0e5fecb537c2b0431c3a03ab5a5b6941">
  <xsd:schema xmlns:xsd="http://www.w3.org/2001/XMLSchema" xmlns:xs="http://www.w3.org/2001/XMLSchema" xmlns:p="http://schemas.microsoft.com/office/2006/metadata/properties" xmlns:ns2="http://schemas.microsoft.com/sharepoint/v3/fields" xmlns:ns3="3fa8c522-d8a7-421a-bb52-699b4fb528e6" targetNamespace="http://schemas.microsoft.com/office/2006/metadata/properties" ma:root="true" ma:fieldsID="d57e6dbee1cae056a7fbbcb2ce814161" ns2:_="" ns3:_="">
    <xsd:import namespace="http://schemas.microsoft.com/sharepoint/v3/fields"/>
    <xsd:import namespace="3fa8c522-d8a7-421a-bb52-699b4fb528e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fa8c522-d8a7-421a-bb52-699b4fb528e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D434-FAB2-4BFB-AD01-3C6FE05C3AB1}">
  <ds:schemaRefs>
    <ds:schemaRef ds:uri="http://schemas.microsoft.com/sharepoint/v3/contenttype/forms"/>
  </ds:schemaRefs>
</ds:datastoreItem>
</file>

<file path=customXml/itemProps2.xml><?xml version="1.0" encoding="utf-8"?>
<ds:datastoreItem xmlns:ds="http://schemas.openxmlformats.org/officeDocument/2006/customXml" ds:itemID="{D07F5A21-1F3D-4C72-B785-7CC67DA385E8}">
  <ds:schemaRefs>
    <ds:schemaRef ds:uri="http://schemas.microsoft.com/office/2006/documentManagement/types"/>
    <ds:schemaRef ds:uri="http://purl.org/dc/elements/1.1/"/>
    <ds:schemaRef ds:uri="http://schemas.microsoft.com/sharepoint/v3/fields"/>
    <ds:schemaRef ds:uri="http://schemas.openxmlformats.org/package/2006/metadata/core-properties"/>
    <ds:schemaRef ds:uri="http://www.w3.org/XML/1998/namespace"/>
    <ds:schemaRef ds:uri="http://schemas.microsoft.com/office/infopath/2007/PartnerControls"/>
    <ds:schemaRef ds:uri="http://purl.org/dc/terms/"/>
    <ds:schemaRef ds:uri="3fa8c522-d8a7-421a-bb52-699b4fb528e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0295E0C-2256-48D5-84DE-A07EE610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fa8c522-d8a7-421a-bb52-699b4fb52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53A15-1860-4941-8654-99BB54D4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TotalTime>
  <Pages>74</Pages>
  <Words>27399</Words>
  <Characters>147681</Characters>
  <Application>Microsoft Office Word</Application>
  <DocSecurity>0</DocSecurity>
  <Lines>3786</Lines>
  <Paragraphs>1621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36</cp:revision>
  <cp:lastPrinted>2021-12-21T18:36:00Z</cp:lastPrinted>
  <dcterms:created xsi:type="dcterms:W3CDTF">2022-04-25T16:21:00Z</dcterms:created>
  <dcterms:modified xsi:type="dcterms:W3CDTF">2022-04-26T16:19:00Z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0x010100258AA79CEB83498886A3A0868112325000E1BAA93592C65242BDB76EA5337AF418</vt:lpwstr>
  </property>
  <property fmtid="{D5CDD505-2E9C-101B-9397-08002B2CF9AE}" pid="11" name="MSIP_Label_6bd9ddd1-4d20-43f6-abfa-fc3c07406f94_Enabled">
    <vt:lpwstr>true</vt:lpwstr>
  </property>
  <property fmtid="{D5CDD505-2E9C-101B-9397-08002B2CF9AE}" pid="12" name="MSIP_Label_6bd9ddd1-4d20-43f6-abfa-fc3c07406f94_SetDate">
    <vt:lpwstr>2021-09-22T12:43:47Z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49af9b30-23c1-4662-a80a-ba768ae82849</vt:lpwstr>
  </property>
  <property fmtid="{D5CDD505-2E9C-101B-9397-08002B2CF9AE}" pid="17" name="MSIP_Label_6bd9ddd1-4d20-43f6-abfa-fc3c07406f94_ContentBits">
    <vt:lpwstr>0</vt:lpwstr>
  </property>
  <property fmtid="{D5CDD505-2E9C-101B-9397-08002B2CF9AE}" pid="18" name="DQCStatus">
    <vt:lpwstr>Yellow (DQC version 03)</vt:lpwstr>
  </property>
</Properties>
</file>