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3E75" w14:textId="5A338961" w:rsidR="00D07F31" w:rsidRPr="004C704C" w:rsidRDefault="00B561D0" w:rsidP="00B561D0">
      <w:pPr>
        <w:pStyle w:val="Pagedecouverture"/>
        <w:rPr>
          <w:noProof/>
        </w:rPr>
      </w:pPr>
      <w:r>
        <w:rPr>
          <w:noProof/>
        </w:rPr>
        <w:pict w14:anchorId="3D63A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527A53B-8F28-4F06-A7BF-D4192587D7C7" style="width:455.25pt;height:441pt">
            <v:imagedata r:id="rId11" o:title=""/>
          </v:shape>
        </w:pict>
      </w:r>
    </w:p>
    <w:p w14:paraId="25C1C235" w14:textId="77777777" w:rsidR="00D07F31" w:rsidRPr="004C704C" w:rsidRDefault="00D07F31" w:rsidP="00D07F31">
      <w:pPr>
        <w:rPr>
          <w:noProof/>
        </w:rPr>
        <w:sectPr w:rsidR="00D07F31" w:rsidRPr="004C704C" w:rsidSect="00B561D0">
          <w:footerReference w:type="default" r:id="rId12"/>
          <w:pgSz w:w="11907" w:h="16839"/>
          <w:pgMar w:top="1134" w:right="1417" w:bottom="1134" w:left="1417" w:header="709" w:footer="709" w:gutter="0"/>
          <w:pgNumType w:start="0"/>
          <w:cols w:space="720"/>
          <w:docGrid w:linePitch="360"/>
        </w:sectPr>
      </w:pPr>
    </w:p>
    <w:p w14:paraId="15442B78" w14:textId="77777777" w:rsidR="00F4529A" w:rsidRPr="004C704C" w:rsidRDefault="00F4529A" w:rsidP="00DC4F5B">
      <w:pPr>
        <w:pStyle w:val="Exposdesmotifstitre"/>
        <w:rPr>
          <w:noProof/>
        </w:rPr>
      </w:pPr>
      <w:bookmarkStart w:id="0" w:name="_GoBack"/>
      <w:bookmarkEnd w:id="0"/>
      <w:r w:rsidRPr="004C704C">
        <w:rPr>
          <w:noProof/>
        </w:rPr>
        <w:lastRenderedPageBreak/>
        <w:t>EXPUNERE DE MOTIVE</w:t>
      </w:r>
    </w:p>
    <w:p w14:paraId="7344679E" w14:textId="77777777" w:rsidR="00F4529A" w:rsidRPr="004C704C" w:rsidRDefault="00F4529A" w:rsidP="00F4529A">
      <w:pPr>
        <w:spacing w:before="0" w:after="0"/>
        <w:rPr>
          <w:noProof/>
        </w:rPr>
      </w:pPr>
    </w:p>
    <w:p w14:paraId="22480E1D" w14:textId="77777777" w:rsidR="00F4529A" w:rsidRPr="004C704C" w:rsidRDefault="00F4529A" w:rsidP="00F4529A">
      <w:pPr>
        <w:keepNext/>
        <w:tabs>
          <w:tab w:val="left" w:pos="850"/>
        </w:tabs>
        <w:spacing w:before="0" w:after="0"/>
        <w:ind w:left="851" w:hanging="851"/>
        <w:outlineLvl w:val="0"/>
        <w:rPr>
          <w:b/>
          <w:smallCaps/>
          <w:noProof/>
        </w:rPr>
      </w:pPr>
      <w:r w:rsidRPr="004C704C">
        <w:rPr>
          <w:b/>
          <w:smallCaps/>
          <w:noProof/>
        </w:rPr>
        <w:t>1.</w:t>
      </w:r>
      <w:r w:rsidRPr="004C704C">
        <w:rPr>
          <w:noProof/>
        </w:rPr>
        <w:tab/>
      </w:r>
      <w:r w:rsidRPr="004C704C">
        <w:rPr>
          <w:b/>
          <w:smallCaps/>
          <w:noProof/>
        </w:rPr>
        <w:t>CONTEXTUL PROPUNERII</w:t>
      </w:r>
    </w:p>
    <w:p w14:paraId="41522FCC" w14:textId="77777777" w:rsidR="00F4529A" w:rsidRPr="004C704C" w:rsidRDefault="00F4529A" w:rsidP="00F4529A">
      <w:pPr>
        <w:keepNext/>
        <w:tabs>
          <w:tab w:val="left" w:pos="850"/>
        </w:tabs>
        <w:spacing w:before="0" w:after="0"/>
        <w:ind w:left="851" w:hanging="851"/>
        <w:outlineLvl w:val="1"/>
        <w:rPr>
          <w:rFonts w:eastAsia="Arial Unicode MS"/>
          <w:b/>
          <w:noProof/>
          <w:color w:val="000000"/>
          <w:u w:color="000000"/>
          <w:bdr w:val="nil"/>
          <w:lang w:eastAsia="en-GB"/>
        </w:rPr>
      </w:pPr>
    </w:p>
    <w:p w14:paraId="090086F8" w14:textId="77777777" w:rsidR="00F4529A" w:rsidRPr="004C704C" w:rsidRDefault="00F4529A" w:rsidP="00F4529A">
      <w:pPr>
        <w:keepNext/>
        <w:tabs>
          <w:tab w:val="left" w:pos="850"/>
        </w:tabs>
        <w:spacing w:before="0" w:after="0"/>
        <w:ind w:left="851" w:hanging="851"/>
        <w:outlineLvl w:val="1"/>
        <w:rPr>
          <w:rFonts w:eastAsia="Arial Unicode MS"/>
          <w:b/>
          <w:noProof/>
        </w:rPr>
      </w:pPr>
      <w:r w:rsidRPr="004C704C">
        <w:rPr>
          <w:b/>
          <w:noProof/>
          <w:color w:val="000000"/>
          <w:bdr w:val="nil"/>
        </w:rPr>
        <w:t>•</w:t>
      </w:r>
      <w:r w:rsidRPr="004C704C">
        <w:rPr>
          <w:noProof/>
        </w:rPr>
        <w:tab/>
      </w:r>
      <w:r w:rsidRPr="004C704C">
        <w:rPr>
          <w:b/>
          <w:noProof/>
        </w:rPr>
        <w:t>Motivele și obiectivele propunerii</w:t>
      </w:r>
    </w:p>
    <w:p w14:paraId="7446941C" w14:textId="77777777" w:rsidR="00F4529A" w:rsidRPr="004C704C" w:rsidRDefault="00F4529A" w:rsidP="009A4807">
      <w:pPr>
        <w:autoSpaceDE w:val="0"/>
        <w:autoSpaceDN w:val="0"/>
        <w:adjustRightInd w:val="0"/>
        <w:spacing w:before="0" w:after="0"/>
        <w:rPr>
          <w:noProof/>
          <w:color w:val="000000"/>
          <w:szCs w:val="24"/>
        </w:rPr>
      </w:pPr>
    </w:p>
    <w:p w14:paraId="52ACE2F8" w14:textId="77777777" w:rsidR="00F864E4" w:rsidRPr="004C704C" w:rsidRDefault="00F864E4" w:rsidP="00F864E4">
      <w:pPr>
        <w:shd w:val="clear" w:color="auto" w:fill="FFFFFF" w:themeFill="background1"/>
        <w:spacing w:before="0" w:after="0"/>
        <w:rPr>
          <w:rFonts w:ascii="Helvetica" w:hAnsi="Helvetica"/>
          <w:noProof/>
          <w:color w:val="4C4845"/>
          <w:shd w:val="clear" w:color="auto" w:fill="FFFFFF"/>
        </w:rPr>
      </w:pPr>
      <w:r w:rsidRPr="004C704C">
        <w:rPr>
          <w:noProof/>
        </w:rPr>
        <w:t>Regulamentul (CE) nr. 166/2006</w:t>
      </w:r>
      <w:r w:rsidRPr="004C704C">
        <w:rPr>
          <w:rStyle w:val="FootnoteReference"/>
          <w:noProof/>
        </w:rPr>
        <w:footnoteReference w:id="2"/>
      </w:r>
      <w:r w:rsidRPr="004C704C">
        <w:rPr>
          <w:noProof/>
        </w:rPr>
        <w:t xml:space="preserve"> („regulamentul”) a instituit registrul European al emisiilor și transferului de poluanți (</w:t>
      </w:r>
      <w:r w:rsidRPr="004C704C">
        <w:rPr>
          <w:i/>
          <w:noProof/>
        </w:rPr>
        <w:t>European Pollutant Release and Transfer Register</w:t>
      </w:r>
      <w:r w:rsidRPr="004C704C">
        <w:rPr>
          <w:noProof/>
        </w:rPr>
        <w:t xml:space="preserve"> - EPRTR) - registrul european care oferă acces public la date despre mediu esențiale provenite de la instalații industriale situate în UE, Islanda, Liechtenstein și Norvegia. EPRTR conține date raportate anual de aproximativ 30 000 de instalații industriale care acoperă 65 de activități economice în întreaga UE. </w:t>
      </w:r>
      <w:r w:rsidRPr="004C704C">
        <w:rPr>
          <w:noProof/>
          <w:color w:val="000000"/>
        </w:rPr>
        <w:t>Regulamentul pune în aplicare Protocolul</w:t>
      </w:r>
      <w:r w:rsidRPr="004C704C">
        <w:rPr>
          <w:noProof/>
        </w:rPr>
        <w:t xml:space="preserve"> </w:t>
      </w:r>
      <w:r w:rsidRPr="004C704C">
        <w:rPr>
          <w:noProof/>
          <w:color w:val="000000"/>
        </w:rPr>
        <w:t>privind Registrul poluanților emiși și transferați</w:t>
      </w:r>
      <w:r w:rsidRPr="004C704C">
        <w:rPr>
          <w:rStyle w:val="FootnoteReference"/>
          <w:noProof/>
        </w:rPr>
        <w:footnoteReference w:id="3"/>
      </w:r>
      <w:r w:rsidRPr="004C704C">
        <w:rPr>
          <w:noProof/>
          <w:color w:val="000000"/>
        </w:rPr>
        <w:t xml:space="preserve"> (denumit în continuare „protocolul”), care a fost adoptat la Kiev în 2006 și care a intrat în vigoare în 2009. Protocolul este</w:t>
      </w:r>
      <w:r w:rsidRPr="004C704C">
        <w:rPr>
          <w:rFonts w:ascii="Helvetica" w:hAnsi="Helvetica"/>
          <w:noProof/>
          <w:color w:val="4C4845"/>
          <w:shd w:val="clear" w:color="auto" w:fill="FFFFFF"/>
        </w:rPr>
        <w:t xml:space="preserve"> </w:t>
      </w:r>
      <w:r w:rsidRPr="004C704C">
        <w:rPr>
          <w:noProof/>
          <w:color w:val="000000"/>
        </w:rPr>
        <w:t>singurul instrument internațional obligatoriu din punct de vedere juridic privind registrul poluanților emiși și transferați.</w:t>
      </w:r>
      <w:r w:rsidRPr="004C704C">
        <w:rPr>
          <w:rFonts w:ascii="Helvetica" w:hAnsi="Helvetica"/>
          <w:noProof/>
          <w:color w:val="4C4845"/>
          <w:shd w:val="clear" w:color="auto" w:fill="FFFFFF"/>
        </w:rPr>
        <w:t xml:space="preserve"> </w:t>
      </w:r>
    </w:p>
    <w:p w14:paraId="4D8C140B" w14:textId="77777777" w:rsidR="00F864E4" w:rsidRPr="004C704C" w:rsidRDefault="00F864E4" w:rsidP="00F864E4">
      <w:pPr>
        <w:shd w:val="clear" w:color="auto" w:fill="FFFFFF" w:themeFill="background1"/>
        <w:spacing w:before="0" w:after="0"/>
        <w:rPr>
          <w:rFonts w:ascii="Helvetica" w:hAnsi="Helvetica"/>
          <w:noProof/>
          <w:color w:val="4C4845"/>
          <w:shd w:val="clear" w:color="auto" w:fill="FFFFFF"/>
        </w:rPr>
      </w:pPr>
    </w:p>
    <w:p w14:paraId="11E9BC92" w14:textId="77777777" w:rsidR="00F864E4" w:rsidRPr="004C704C" w:rsidRDefault="00F864E4" w:rsidP="00F864E4">
      <w:pPr>
        <w:shd w:val="clear" w:color="auto" w:fill="FFFFFF" w:themeFill="background1"/>
        <w:spacing w:before="0" w:after="0"/>
        <w:rPr>
          <w:rFonts w:ascii="Helvetica" w:hAnsi="Helvetica"/>
          <w:noProof/>
          <w:color w:val="4C4845"/>
        </w:rPr>
      </w:pPr>
      <w:r w:rsidRPr="004C704C">
        <w:rPr>
          <w:noProof/>
        </w:rPr>
        <w:t xml:space="preserve">În fiecare an, statele membre trimit Comisiei un raport care conține date transmise de operatorii instalațiilor industriale cu privire la emisiile și transferurile fiecărei instalații. Datele sunt apoi publicate de Comisie pe un site public, cu sprijinul Agenției Europene de Mediu. </w:t>
      </w:r>
    </w:p>
    <w:p w14:paraId="4EF3E6F5" w14:textId="77777777" w:rsidR="00F864E4" w:rsidRPr="004C704C" w:rsidRDefault="00F864E4" w:rsidP="00F864E4">
      <w:pPr>
        <w:autoSpaceDE w:val="0"/>
        <w:autoSpaceDN w:val="0"/>
        <w:adjustRightInd w:val="0"/>
        <w:spacing w:before="0" w:after="0"/>
        <w:rPr>
          <w:noProof/>
          <w:color w:val="000000"/>
          <w:szCs w:val="24"/>
        </w:rPr>
      </w:pPr>
    </w:p>
    <w:p w14:paraId="7DF02E80" w14:textId="3CC7A21C" w:rsidR="00F864E4" w:rsidRPr="004C704C" w:rsidRDefault="00F864E4" w:rsidP="00F864E4">
      <w:pPr>
        <w:autoSpaceDE w:val="0"/>
        <w:autoSpaceDN w:val="0"/>
        <w:adjustRightInd w:val="0"/>
        <w:spacing w:before="0" w:after="0"/>
        <w:rPr>
          <w:noProof/>
          <w:color w:val="000000"/>
          <w:szCs w:val="24"/>
        </w:rPr>
      </w:pPr>
      <w:r w:rsidRPr="004C704C">
        <w:rPr>
          <w:noProof/>
          <w:color w:val="000000"/>
          <w:szCs w:val="24"/>
        </w:rPr>
        <w:t>Eficacitatea, eficiența, relevanța, coerența și valoarea adăugată europeană a regulamentului au fost evaluate în cadrul Programului Comisiei privind o reglementare adecvată și funcțională (REFIT)</w:t>
      </w:r>
      <w:r w:rsidRPr="004C704C">
        <w:rPr>
          <w:rStyle w:val="FootnoteReference"/>
          <w:noProof/>
        </w:rPr>
        <w:footnoteReference w:id="4"/>
      </w:r>
      <w:r w:rsidRPr="004C704C">
        <w:rPr>
          <w:noProof/>
          <w:color w:val="000000"/>
          <w:szCs w:val="24"/>
        </w:rPr>
        <w:t>. Au fost analizate beneficiile pe care le prezintă EPRTR, precum și posibilitatea de simplificare a acestui registru și de reducere a costurilor și sarcinilor de reglementare. Pe baza acestei evaluări, Comisia, în al doilea său raport privind punerea în aplicare a regulamentului</w:t>
      </w:r>
      <w:r w:rsidRPr="004C704C">
        <w:rPr>
          <w:rStyle w:val="FootnoteReference"/>
          <w:noProof/>
        </w:rPr>
        <w:footnoteReference w:id="5"/>
      </w:r>
      <w:r w:rsidRPr="004C704C">
        <w:rPr>
          <w:noProof/>
          <w:color w:val="000000"/>
          <w:szCs w:val="24"/>
        </w:rPr>
        <w:t>,</w:t>
      </w:r>
      <w:r w:rsidR="003D1459">
        <w:rPr>
          <w:noProof/>
          <w:color w:val="000000"/>
          <w:szCs w:val="24"/>
        </w:rPr>
        <w:t xml:space="preserve"> </w:t>
      </w:r>
      <w:r w:rsidRPr="004C704C">
        <w:rPr>
          <w:noProof/>
          <w:color w:val="000000"/>
          <w:szCs w:val="24"/>
        </w:rPr>
        <w:t>a concluzionat următoarele.</w:t>
      </w:r>
      <w:r w:rsidR="003D1459">
        <w:rPr>
          <w:noProof/>
          <w:color w:val="000000"/>
          <w:szCs w:val="24"/>
        </w:rPr>
        <w:t xml:space="preserve"> </w:t>
      </w:r>
    </w:p>
    <w:p w14:paraId="0234DB1E" w14:textId="77777777" w:rsidR="00F864E4" w:rsidRPr="004C704C" w:rsidRDefault="00F864E4" w:rsidP="00F864E4">
      <w:pPr>
        <w:autoSpaceDE w:val="0"/>
        <w:autoSpaceDN w:val="0"/>
        <w:adjustRightInd w:val="0"/>
        <w:spacing w:before="0" w:after="0"/>
        <w:rPr>
          <w:noProof/>
          <w:color w:val="000000"/>
          <w:szCs w:val="24"/>
        </w:rPr>
      </w:pPr>
    </w:p>
    <w:p w14:paraId="40C6AFB1" w14:textId="77777777" w:rsidR="00F864E4" w:rsidRPr="004C704C" w:rsidRDefault="00F864E4" w:rsidP="00080EAD">
      <w:pPr>
        <w:pStyle w:val="Bullet0"/>
        <w:numPr>
          <w:ilvl w:val="0"/>
          <w:numId w:val="17"/>
        </w:numPr>
        <w:tabs>
          <w:tab w:val="clear" w:pos="850"/>
          <w:tab w:val="num" w:pos="3730"/>
        </w:tabs>
        <w:rPr>
          <w:noProof/>
        </w:rPr>
      </w:pPr>
      <w:r w:rsidRPr="004C704C">
        <w:rPr>
          <w:noProof/>
        </w:rPr>
        <w:t xml:space="preserve">EPRTR s-a dovedit a fi o bază de cunoștințe esențială privind emisiile generate de activitățile industriale ale UE. Registrul oferă date ușor accesibile și de înaltă calitate. El oferă publicului acces la aceste informații valoroase, sprijinind astfel luarea deciziilor în materie de mediu. </w:t>
      </w:r>
    </w:p>
    <w:p w14:paraId="214EF013" w14:textId="77777777" w:rsidR="00F864E4" w:rsidRPr="004C704C" w:rsidRDefault="00F864E4" w:rsidP="00080EAD">
      <w:pPr>
        <w:pStyle w:val="Bullet0"/>
        <w:tabs>
          <w:tab w:val="clear" w:pos="850"/>
          <w:tab w:val="num" w:pos="3010"/>
        </w:tabs>
        <w:rPr>
          <w:noProof/>
        </w:rPr>
      </w:pPr>
      <w:r w:rsidRPr="004C704C">
        <w:rPr>
          <w:noProof/>
        </w:rPr>
        <w:t xml:space="preserve">Cu toate acestea, EPRTR poate fi îmbunătățit și eficientizat în continuare, prin alinierea sa la obligațiile de raportare prevăzute în alte acte legislative de mediu, precum și prin includerea sarcinii de raportare a unor informații contextuale suplimentare. </w:t>
      </w:r>
    </w:p>
    <w:p w14:paraId="6C5CBA0E" w14:textId="77777777" w:rsidR="00F864E4" w:rsidRPr="004C704C" w:rsidRDefault="00F864E4" w:rsidP="00F864E4">
      <w:pPr>
        <w:autoSpaceDE w:val="0"/>
        <w:autoSpaceDN w:val="0"/>
        <w:adjustRightInd w:val="0"/>
        <w:spacing w:before="0" w:after="0"/>
        <w:rPr>
          <w:noProof/>
          <w:color w:val="000000"/>
          <w:szCs w:val="24"/>
        </w:rPr>
      </w:pPr>
    </w:p>
    <w:p w14:paraId="3C5A8AEB" w14:textId="77777777" w:rsidR="00F864E4" w:rsidRPr="004C704C" w:rsidRDefault="00F864E4" w:rsidP="00F864E4">
      <w:pPr>
        <w:autoSpaceDE w:val="0"/>
        <w:autoSpaceDN w:val="0"/>
        <w:adjustRightInd w:val="0"/>
        <w:spacing w:before="0" w:after="0"/>
        <w:rPr>
          <w:noProof/>
          <w:color w:val="000000"/>
          <w:szCs w:val="24"/>
        </w:rPr>
      </w:pPr>
      <w:r w:rsidRPr="004C704C">
        <w:rPr>
          <w:noProof/>
          <w:color w:val="000000"/>
          <w:szCs w:val="24"/>
        </w:rPr>
        <w:t>Ca urmare a acestui raport de punere în aplicare, au fost întreprinse mai multe inițiative.</w:t>
      </w:r>
    </w:p>
    <w:p w14:paraId="78903F7F" w14:textId="77777777" w:rsidR="00F864E4" w:rsidRPr="004C704C" w:rsidRDefault="00F864E4" w:rsidP="00F864E4">
      <w:pPr>
        <w:autoSpaceDE w:val="0"/>
        <w:autoSpaceDN w:val="0"/>
        <w:adjustRightInd w:val="0"/>
        <w:spacing w:before="0" w:after="0"/>
        <w:rPr>
          <w:noProof/>
          <w:color w:val="000000"/>
          <w:szCs w:val="24"/>
        </w:rPr>
      </w:pPr>
    </w:p>
    <w:p w14:paraId="50E0DB14" w14:textId="77777777" w:rsidR="00F864E4" w:rsidRPr="004C704C" w:rsidRDefault="00F864E4" w:rsidP="00080EAD">
      <w:pPr>
        <w:pStyle w:val="Bullet0"/>
        <w:tabs>
          <w:tab w:val="clear" w:pos="850"/>
          <w:tab w:val="num" w:pos="3010"/>
        </w:tabs>
        <w:spacing w:before="0" w:after="0"/>
        <w:rPr>
          <w:noProof/>
        </w:rPr>
      </w:pPr>
      <w:r w:rsidRPr="004C704C">
        <w:rPr>
          <w:noProof/>
        </w:rPr>
        <w:t>A fost creat Portalul emisiilor industriale</w:t>
      </w:r>
      <w:r w:rsidRPr="004C704C">
        <w:rPr>
          <w:rStyle w:val="FootnoteReference"/>
          <w:noProof/>
        </w:rPr>
        <w:footnoteReference w:id="6"/>
      </w:r>
      <w:r w:rsidRPr="004C704C">
        <w:rPr>
          <w:noProof/>
        </w:rPr>
        <w:t xml:space="preserve"> („portalul”). Portalul conține datele raportate anual în temeiul Regulamentului EPRTR, alături de datele raportate în concordanță cu Directiva 2010/75/UE privind emisiile industriale</w:t>
      </w:r>
      <w:r w:rsidRPr="004C704C">
        <w:rPr>
          <w:rStyle w:val="FootnoteReference"/>
          <w:noProof/>
        </w:rPr>
        <w:footnoteReference w:id="7"/>
      </w:r>
      <w:r w:rsidRPr="004C704C">
        <w:rPr>
          <w:noProof/>
        </w:rPr>
        <w:t xml:space="preserve"> (Directiva privind emisiile industriale – DEI). Acest portal, care a înlocuit site-ul web al EPRTR, reunește date privind activitățile industriale, raportate în temeiul celor două acte legislative de mediu ale UE.</w:t>
      </w:r>
    </w:p>
    <w:p w14:paraId="5D41767D" w14:textId="77777777" w:rsidR="00F864E4" w:rsidRPr="004C704C" w:rsidRDefault="00F864E4" w:rsidP="00F864E4">
      <w:pPr>
        <w:autoSpaceDE w:val="0"/>
        <w:autoSpaceDN w:val="0"/>
        <w:adjustRightInd w:val="0"/>
        <w:spacing w:before="0" w:after="0"/>
        <w:ind w:left="284"/>
        <w:rPr>
          <w:noProof/>
          <w:color w:val="000000"/>
          <w:szCs w:val="24"/>
        </w:rPr>
      </w:pPr>
      <w:r w:rsidRPr="004C704C">
        <w:rPr>
          <w:noProof/>
          <w:color w:val="000000"/>
          <w:szCs w:val="24"/>
        </w:rPr>
        <w:t xml:space="preserve"> </w:t>
      </w:r>
    </w:p>
    <w:p w14:paraId="336B8CA7" w14:textId="40B3B9ED" w:rsidR="00F864E4" w:rsidRPr="004C704C" w:rsidRDefault="00F864E4" w:rsidP="00080EAD">
      <w:pPr>
        <w:pStyle w:val="Bullet0"/>
        <w:tabs>
          <w:tab w:val="clear" w:pos="850"/>
          <w:tab w:val="num" w:pos="3010"/>
        </w:tabs>
        <w:spacing w:before="0" w:after="0"/>
        <w:rPr>
          <w:noProof/>
        </w:rPr>
      </w:pPr>
      <w:r w:rsidRPr="004C704C">
        <w:rPr>
          <w:noProof/>
        </w:rPr>
        <w:t>În ceea ce privește informațiile contextuale suplimentare, în Decizia de punere în aplicare 2022/142 a Comisiei</w:t>
      </w:r>
      <w:r w:rsidRPr="004C704C">
        <w:rPr>
          <w:rStyle w:val="FootnoteReference"/>
          <w:noProof/>
        </w:rPr>
        <w:footnoteReference w:id="8"/>
      </w:r>
      <w:r w:rsidRPr="004C704C">
        <w:rPr>
          <w:noProof/>
          <w:sz w:val="20"/>
          <w:szCs w:val="20"/>
        </w:rPr>
        <w:t xml:space="preserve"> </w:t>
      </w:r>
      <w:r w:rsidRPr="004C704C">
        <w:rPr>
          <w:noProof/>
        </w:rPr>
        <w:t>au fost stabilite unități și indicatori care permit operatorilor să raporteze în fiecare an date referitoare la volumul de producție al fiecărei unități EPRTR. Obligația de raportare a volumului producției se aplică prima dată pentru anul de referință 2023.</w:t>
      </w:r>
      <w:r w:rsidR="003D1459">
        <w:rPr>
          <w:noProof/>
        </w:rPr>
        <w:t xml:space="preserve"> </w:t>
      </w:r>
    </w:p>
    <w:p w14:paraId="3FFFA415" w14:textId="77777777" w:rsidR="00F864E4" w:rsidRPr="004C704C" w:rsidRDefault="00F864E4" w:rsidP="00F864E4">
      <w:pPr>
        <w:autoSpaceDE w:val="0"/>
        <w:autoSpaceDN w:val="0"/>
        <w:adjustRightInd w:val="0"/>
        <w:spacing w:before="0" w:after="0"/>
        <w:rPr>
          <w:noProof/>
          <w:color w:val="000000"/>
          <w:szCs w:val="24"/>
        </w:rPr>
      </w:pPr>
    </w:p>
    <w:p w14:paraId="4D46830F" w14:textId="77777777" w:rsidR="00F864E4" w:rsidRPr="004C704C" w:rsidRDefault="00F864E4" w:rsidP="00F864E4">
      <w:pPr>
        <w:pBdr>
          <w:top w:val="nil"/>
          <w:left w:val="nil"/>
          <w:bottom w:val="nil"/>
          <w:right w:val="nil"/>
          <w:between w:val="nil"/>
          <w:bar w:val="nil"/>
        </w:pBdr>
        <w:spacing w:before="0" w:after="0"/>
        <w:rPr>
          <w:rFonts w:eastAsia="Arial Unicode MS"/>
          <w:noProof/>
        </w:rPr>
      </w:pPr>
      <w:r w:rsidRPr="004C704C">
        <w:rPr>
          <w:noProof/>
        </w:rPr>
        <w:t>Pactul verde european</w:t>
      </w:r>
      <w:r w:rsidRPr="004C704C">
        <w:rPr>
          <w:rStyle w:val="FootnoteReference"/>
          <w:noProof/>
        </w:rPr>
        <w:footnoteReference w:id="9"/>
      </w:r>
      <w:r w:rsidRPr="004C704C">
        <w:rPr>
          <w:noProof/>
        </w:rPr>
        <w:t xml:space="preserve"> reprezintă strategia de creștere a Europei, care vizează realizarea, până în 2050, a unei economii neutre din punct de vedere climatic, curate și circulare. În pact se recunoaște necesitatea unor politici profund transformatoare, pentru optimizarea gestionării resurselor și reducerea la minimum a poluării. Comisia s-a angajat să revizuiască normele UE în vederea reducerii poluării cauzate de instalațiile industriale mari. Comisia va revizui legislația și va analiza în ce mod să asigure coerența deplină a acesteia cu obiectivele de poluare zero din Pactul verde și cu politicile sale în materie de climă, energie și economie circulară, având în vedere beneficiile acestui demers atât pentru sănătatea publică, cât și pentru biodiversitate. </w:t>
      </w:r>
    </w:p>
    <w:p w14:paraId="251EB097" w14:textId="77777777" w:rsidR="00F864E4" w:rsidRPr="004C704C" w:rsidRDefault="00F864E4" w:rsidP="00F864E4">
      <w:pPr>
        <w:pBdr>
          <w:top w:val="nil"/>
          <w:left w:val="nil"/>
          <w:bottom w:val="nil"/>
          <w:right w:val="nil"/>
          <w:between w:val="nil"/>
          <w:bar w:val="nil"/>
        </w:pBdr>
        <w:spacing w:before="0" w:after="0"/>
        <w:rPr>
          <w:rFonts w:eastAsia="Arial Unicode MS"/>
          <w:noProof/>
        </w:rPr>
      </w:pPr>
    </w:p>
    <w:p w14:paraId="2569580A" w14:textId="77777777" w:rsidR="00F864E4" w:rsidRPr="004C704C" w:rsidRDefault="00F864E4" w:rsidP="00F864E4">
      <w:pPr>
        <w:pBdr>
          <w:top w:val="nil"/>
          <w:left w:val="nil"/>
          <w:bottom w:val="nil"/>
          <w:right w:val="nil"/>
          <w:between w:val="nil"/>
          <w:bar w:val="nil"/>
        </w:pBdr>
        <w:spacing w:before="0" w:after="0"/>
        <w:rPr>
          <w:rFonts w:eastAsia="Arial Unicode MS"/>
          <w:noProof/>
        </w:rPr>
      </w:pPr>
      <w:r w:rsidRPr="004C704C">
        <w:rPr>
          <w:noProof/>
        </w:rPr>
        <w:t>DEI și regulamentul sunt acte legislative complementare care vizează monitorizarea impactului industriei asupra mediului:</w:t>
      </w:r>
    </w:p>
    <w:p w14:paraId="55634089" w14:textId="77777777" w:rsidR="00F864E4" w:rsidRPr="004C704C" w:rsidRDefault="00F864E4" w:rsidP="00080EAD">
      <w:pPr>
        <w:pStyle w:val="Bullet0"/>
        <w:tabs>
          <w:tab w:val="clear" w:pos="850"/>
          <w:tab w:val="num" w:pos="3010"/>
        </w:tabs>
        <w:rPr>
          <w:rFonts w:asciiTheme="minorHAnsi" w:hAnsiTheme="minorHAnsi" w:cstheme="minorBidi"/>
          <w:noProof/>
          <w:sz w:val="22"/>
        </w:rPr>
      </w:pPr>
      <w:r w:rsidRPr="004C704C">
        <w:rPr>
          <w:noProof/>
        </w:rPr>
        <w:t xml:space="preserve">în DEI sunt stabilite norme de comandă și control pentru reducerea treptată a poluării generate de cele mai mari instalații industriale și instalații de creștere a animalelor din UE, fiind menținute în același timp condiții de concurență echitabile; </w:t>
      </w:r>
    </w:p>
    <w:p w14:paraId="5BAFBDDB" w14:textId="77777777" w:rsidR="00F864E4" w:rsidRPr="004C704C" w:rsidRDefault="00F864E4" w:rsidP="00080EAD">
      <w:pPr>
        <w:pStyle w:val="Bullet0"/>
        <w:tabs>
          <w:tab w:val="clear" w:pos="850"/>
          <w:tab w:val="num" w:pos="3010"/>
        </w:tabs>
        <w:rPr>
          <w:rFonts w:asciiTheme="minorHAnsi" w:hAnsiTheme="minorHAnsi" w:cstheme="minorBidi"/>
          <w:noProof/>
          <w:sz w:val="22"/>
        </w:rPr>
      </w:pPr>
      <w:r w:rsidRPr="004C704C">
        <w:rPr>
          <w:noProof/>
        </w:rPr>
        <w:t xml:space="preserve">regulamentul contribuie la monitorizarea eforturilor de reducere a poluării prin îmbunătățirea informării publicului cu privire la performanța instalațiilor. </w:t>
      </w:r>
    </w:p>
    <w:p w14:paraId="00135E98" w14:textId="77777777" w:rsidR="00F864E4" w:rsidRPr="004C704C" w:rsidRDefault="00F864E4" w:rsidP="00F864E4">
      <w:pPr>
        <w:pBdr>
          <w:top w:val="nil"/>
          <w:left w:val="nil"/>
          <w:bottom w:val="nil"/>
          <w:right w:val="nil"/>
          <w:between w:val="nil"/>
          <w:bar w:val="nil"/>
        </w:pBdr>
        <w:spacing w:before="0" w:after="0"/>
        <w:rPr>
          <w:rFonts w:eastAsia="Arial Unicode MS"/>
          <w:noProof/>
        </w:rPr>
      </w:pPr>
    </w:p>
    <w:p w14:paraId="02208D24" w14:textId="77777777" w:rsidR="00F864E4" w:rsidRPr="004C704C" w:rsidRDefault="00F864E4" w:rsidP="00F864E4">
      <w:pPr>
        <w:pBdr>
          <w:top w:val="nil"/>
          <w:left w:val="nil"/>
          <w:bottom w:val="nil"/>
          <w:right w:val="nil"/>
          <w:between w:val="nil"/>
          <w:bar w:val="nil"/>
        </w:pBdr>
        <w:spacing w:before="0" w:after="0"/>
        <w:rPr>
          <w:rFonts w:eastAsia="Arial Unicode MS"/>
          <w:noProof/>
        </w:rPr>
      </w:pPr>
      <w:r w:rsidRPr="004C704C">
        <w:rPr>
          <w:noProof/>
        </w:rPr>
        <w:t xml:space="preserve">Pentru identificarea unor posibile îmbunătățiri ale regulamentului au fost efectuate analize suplimentare, inclusiv o evaluare a impactului. În cele ce urmează sunt prezentate principalele concluzii din evaluarea impactului. </w:t>
      </w:r>
    </w:p>
    <w:p w14:paraId="35D36018" w14:textId="77777777" w:rsidR="00F864E4" w:rsidRPr="004C704C" w:rsidRDefault="00F864E4" w:rsidP="00F864E4">
      <w:pPr>
        <w:autoSpaceDE w:val="0"/>
        <w:autoSpaceDN w:val="0"/>
        <w:adjustRightInd w:val="0"/>
        <w:spacing w:before="0" w:after="0"/>
        <w:rPr>
          <w:noProof/>
          <w:color w:val="000000"/>
          <w:szCs w:val="24"/>
        </w:rPr>
      </w:pPr>
    </w:p>
    <w:p w14:paraId="091A3AD4" w14:textId="77777777" w:rsidR="00F864E4" w:rsidRPr="004C704C" w:rsidRDefault="00F864E4" w:rsidP="00080EAD">
      <w:pPr>
        <w:pStyle w:val="Bullet0"/>
        <w:tabs>
          <w:tab w:val="clear" w:pos="850"/>
          <w:tab w:val="num" w:pos="3010"/>
        </w:tabs>
        <w:spacing w:before="0" w:after="0"/>
        <w:rPr>
          <w:noProof/>
        </w:rPr>
      </w:pPr>
      <w:r w:rsidRPr="004C704C">
        <w:rPr>
          <w:noProof/>
        </w:rPr>
        <w:t>Domeniul de aplicare sectorial al regulamentului</w:t>
      </w:r>
      <w:r w:rsidRPr="004C704C">
        <w:rPr>
          <w:b/>
          <w:bCs/>
          <w:noProof/>
        </w:rPr>
        <w:t xml:space="preserve"> </w:t>
      </w:r>
      <w:r w:rsidRPr="004C704C">
        <w:rPr>
          <w:noProof/>
        </w:rPr>
        <w:t>ar trebui revizuit pentru a fi mai coerent cu activitățile reglementate de actele legislative de mediu conexe. Printre acestea se numără în special DEI, dar și Directiva (UE) 2015/2193 privind instalațiile medii de ardere</w:t>
      </w:r>
      <w:r w:rsidRPr="004C704C">
        <w:rPr>
          <w:rStyle w:val="FootnoteReference"/>
          <w:noProof/>
        </w:rPr>
        <w:footnoteReference w:id="10"/>
      </w:r>
      <w:r w:rsidRPr="004C704C">
        <w:rPr>
          <w:noProof/>
          <w:sz w:val="20"/>
          <w:szCs w:val="20"/>
        </w:rPr>
        <w:t xml:space="preserve"> </w:t>
      </w:r>
      <w:r w:rsidRPr="004C704C">
        <w:rPr>
          <w:noProof/>
        </w:rPr>
        <w:t>și Directiva 91/271/CEE a Consiliului privind tratarea apelor urbane reziduale</w:t>
      </w:r>
      <w:r w:rsidRPr="004C704C">
        <w:rPr>
          <w:rStyle w:val="FootnoteReference"/>
          <w:noProof/>
        </w:rPr>
        <w:footnoteReference w:id="11"/>
      </w:r>
      <w:r w:rsidRPr="004C704C">
        <w:rPr>
          <w:noProof/>
          <w:sz w:val="20"/>
          <w:szCs w:val="20"/>
        </w:rPr>
        <w:t xml:space="preserve">. </w:t>
      </w:r>
      <w:r w:rsidRPr="004C704C">
        <w:rPr>
          <w:noProof/>
        </w:rPr>
        <w:t>În vederea unei mai mari alinieri, activitățile ar trebui raportate la nivel de instalație – la fel ca în cazul actelor legislative menționate –, nu la nivel de unitate.</w:t>
      </w:r>
    </w:p>
    <w:p w14:paraId="4E4F8A91" w14:textId="77777777" w:rsidR="00F864E4" w:rsidRPr="004C704C" w:rsidRDefault="00F864E4" w:rsidP="00F864E4">
      <w:pPr>
        <w:spacing w:before="0" w:after="0"/>
        <w:ind w:left="284"/>
        <w:rPr>
          <w:noProof/>
          <w:szCs w:val="20"/>
        </w:rPr>
      </w:pPr>
    </w:p>
    <w:p w14:paraId="5C83B551" w14:textId="77777777" w:rsidR="00F864E4" w:rsidRPr="004C704C" w:rsidRDefault="00F864E4" w:rsidP="00080EAD">
      <w:pPr>
        <w:pStyle w:val="Bullet0"/>
        <w:tabs>
          <w:tab w:val="clear" w:pos="850"/>
          <w:tab w:val="num" w:pos="3010"/>
        </w:tabs>
        <w:spacing w:before="0" w:after="0"/>
        <w:rPr>
          <w:noProof/>
        </w:rPr>
      </w:pPr>
      <w:r w:rsidRPr="004C704C">
        <w:rPr>
          <w:noProof/>
        </w:rPr>
        <w:t>În domeniul de aplicare al Regulamentului EPRTR ar trebui să intre toți poluanții relevanți. În anexa II la regulament ar trebui adăugați, așadar, anumiți poluanți, inclusiv:</w:t>
      </w:r>
    </w:p>
    <w:p w14:paraId="43CFB9B2" w14:textId="77777777" w:rsidR="00F864E4" w:rsidRPr="004C704C" w:rsidRDefault="00F864E4" w:rsidP="00530802">
      <w:pPr>
        <w:pStyle w:val="Bullet0"/>
        <w:tabs>
          <w:tab w:val="clear" w:pos="850"/>
          <w:tab w:val="num" w:pos="3730"/>
        </w:tabs>
        <w:ind w:left="1570"/>
        <w:rPr>
          <w:noProof/>
        </w:rPr>
      </w:pPr>
      <w:r w:rsidRPr="004C704C">
        <w:rPr>
          <w:noProof/>
        </w:rPr>
        <w:t>substanțele prioritare prevăzute în Directiva 2000/60/CE</w:t>
      </w:r>
      <w:r w:rsidRPr="004C704C">
        <w:rPr>
          <w:rStyle w:val="FootnoteReference"/>
          <w:noProof/>
        </w:rPr>
        <w:footnoteReference w:id="12"/>
      </w:r>
      <w:r w:rsidRPr="004C704C">
        <w:rPr>
          <w:noProof/>
        </w:rPr>
        <w:t xml:space="preserve"> (Directiva-cadru privind apa) și în Directiva 2008/105/UE</w:t>
      </w:r>
      <w:r w:rsidRPr="004C704C">
        <w:rPr>
          <w:rStyle w:val="FootnoteReference"/>
          <w:noProof/>
        </w:rPr>
        <w:footnoteReference w:id="13"/>
      </w:r>
      <w:r w:rsidRPr="004C704C">
        <w:rPr>
          <w:noProof/>
        </w:rPr>
        <w:t xml:space="preserve"> (Directiva privind apele de suprafață);</w:t>
      </w:r>
      <w:r w:rsidRPr="004C704C">
        <w:rPr>
          <w:noProof/>
          <w:sz w:val="20"/>
          <w:szCs w:val="20"/>
          <w:vertAlign w:val="superscript"/>
        </w:rPr>
        <w:t xml:space="preserve"> </w:t>
      </w:r>
    </w:p>
    <w:p w14:paraId="1313B044" w14:textId="77777777" w:rsidR="00F864E4" w:rsidRPr="004C704C" w:rsidRDefault="00F864E4" w:rsidP="00530802">
      <w:pPr>
        <w:pStyle w:val="Bullet0"/>
        <w:tabs>
          <w:tab w:val="clear" w:pos="850"/>
          <w:tab w:val="num" w:pos="3010"/>
        </w:tabs>
        <w:ind w:left="1570"/>
        <w:rPr>
          <w:noProof/>
        </w:rPr>
      </w:pPr>
      <w:r w:rsidRPr="004C704C">
        <w:rPr>
          <w:noProof/>
        </w:rPr>
        <w:t>substanțele care prezintă motive de îngrijorare deosebită, identificate în Regulamentul (CE) nr. 1907/2006</w:t>
      </w:r>
      <w:r w:rsidRPr="004C704C">
        <w:rPr>
          <w:rStyle w:val="FootnoteReference"/>
          <w:noProof/>
        </w:rPr>
        <w:footnoteReference w:id="14"/>
      </w:r>
      <w:r w:rsidRPr="004C704C">
        <w:rPr>
          <w:noProof/>
        </w:rPr>
        <w:t xml:space="preserve"> (Regulamentul REACH); </w:t>
      </w:r>
    </w:p>
    <w:p w14:paraId="755DE8EE" w14:textId="10D3CE07" w:rsidR="00F864E4" w:rsidRPr="004C704C" w:rsidRDefault="00F864E4" w:rsidP="00080EAD">
      <w:pPr>
        <w:pStyle w:val="Bullet0"/>
        <w:tabs>
          <w:tab w:val="clear" w:pos="850"/>
          <w:tab w:val="num" w:pos="2290"/>
        </w:tabs>
        <w:spacing w:before="0" w:after="0"/>
        <w:ind w:left="1570"/>
        <w:rPr>
          <w:noProof/>
        </w:rPr>
      </w:pPr>
      <w:r w:rsidRPr="004C704C">
        <w:rPr>
          <w:noProof/>
        </w:rPr>
        <w:t>substanțele care intră în domeniul de aplicare al actelor legislative ale UE privind apele subterane și calitatea aerului, cum ar fi Directiva privind apele subterane</w:t>
      </w:r>
      <w:r w:rsidRPr="004C704C">
        <w:rPr>
          <w:rStyle w:val="FootnoteReference"/>
          <w:noProof/>
        </w:rPr>
        <w:footnoteReference w:id="15"/>
      </w:r>
      <w:r w:rsidRPr="004C704C">
        <w:rPr>
          <w:noProof/>
        </w:rPr>
        <w:t>, Directiva privind calitatea aerului înconjurător</w:t>
      </w:r>
      <w:r w:rsidRPr="004C704C">
        <w:rPr>
          <w:rStyle w:val="FootnoteReference"/>
          <w:noProof/>
        </w:rPr>
        <w:footnoteReference w:id="16"/>
      </w:r>
      <w:r w:rsidRPr="004C704C">
        <w:rPr>
          <w:noProof/>
        </w:rPr>
        <w:t xml:space="preserve"> și Directiva</w:t>
      </w:r>
      <w:r w:rsidR="003D1459">
        <w:rPr>
          <w:noProof/>
        </w:rPr>
        <w:t> </w:t>
      </w:r>
      <w:r w:rsidRPr="004C704C">
        <w:rPr>
          <w:noProof/>
        </w:rPr>
        <w:t>2004/107/CE referitoare la concentrațiile anumitor poluanți în aerul înconjurător</w:t>
      </w:r>
      <w:r w:rsidRPr="004C704C">
        <w:rPr>
          <w:rStyle w:val="FootnoteReference"/>
          <w:noProof/>
        </w:rPr>
        <w:footnoteReference w:id="17"/>
      </w:r>
      <w:r w:rsidRPr="004C704C">
        <w:rPr>
          <w:noProof/>
        </w:rPr>
        <w:t>.</w:t>
      </w:r>
      <w:r w:rsidRPr="004C704C">
        <w:rPr>
          <w:noProof/>
          <w:sz w:val="20"/>
          <w:szCs w:val="20"/>
        </w:rPr>
        <w:t xml:space="preserve"> </w:t>
      </w:r>
    </w:p>
    <w:p w14:paraId="2EBDF690" w14:textId="77777777" w:rsidR="00F864E4" w:rsidRPr="004C704C" w:rsidRDefault="00F864E4" w:rsidP="00F864E4">
      <w:pPr>
        <w:spacing w:before="0" w:after="0"/>
        <w:ind w:left="284"/>
        <w:rPr>
          <w:noProof/>
          <w:szCs w:val="24"/>
        </w:rPr>
      </w:pPr>
    </w:p>
    <w:p w14:paraId="48A8AEC8" w14:textId="77777777" w:rsidR="00F864E4" w:rsidRPr="004C704C" w:rsidRDefault="00F864E4" w:rsidP="00080EAD">
      <w:pPr>
        <w:pStyle w:val="Bullet0"/>
        <w:spacing w:before="0" w:after="0"/>
        <w:rPr>
          <w:noProof/>
        </w:rPr>
      </w:pPr>
      <w:r w:rsidRPr="004C704C">
        <w:rPr>
          <w:noProof/>
        </w:rPr>
        <w:t>Pentru a fi în concordanță cu politicile UE privind economia circulară și decarbonizarea și pentru a permite o mai bună evaluare comparativă de mediu a datelor din EPRTR, operatorii ar trebui să raporteze cu privire la volumul producției și să transmită date complementare, în special cu privire la utilizarea de resurse (energie, apă și materii prime).</w:t>
      </w:r>
    </w:p>
    <w:p w14:paraId="0A45F88A" w14:textId="77777777" w:rsidR="00F864E4" w:rsidRPr="004C704C" w:rsidRDefault="00F864E4" w:rsidP="0088168D">
      <w:pPr>
        <w:pStyle w:val="Bullet0"/>
        <w:rPr>
          <w:noProof/>
        </w:rPr>
      </w:pPr>
      <w:r w:rsidRPr="004C704C">
        <w:rPr>
          <w:noProof/>
        </w:rPr>
        <w:t>Pentru abordarea deficiențelor actuale care afectează punerea în aplicare a regulamentului ar trebui de asemenea:</w:t>
      </w:r>
    </w:p>
    <w:p w14:paraId="395C7D5B" w14:textId="77777777" w:rsidR="00F864E4" w:rsidRPr="004C704C" w:rsidRDefault="00F864E4" w:rsidP="0088168D">
      <w:pPr>
        <w:pStyle w:val="Bullet0"/>
        <w:rPr>
          <w:noProof/>
        </w:rPr>
      </w:pPr>
      <w:r w:rsidRPr="004C704C">
        <w:rPr>
          <w:noProof/>
        </w:rPr>
        <w:t>să se actualizeze metodele analitice pe care le utilizează operatorii pentru a-și determina emisiile și transferurile în afara amplasamentului;</w:t>
      </w:r>
    </w:p>
    <w:p w14:paraId="2C41E0E1" w14:textId="77777777" w:rsidR="00F864E4" w:rsidRPr="004C704C" w:rsidRDefault="00F864E4" w:rsidP="0088168D">
      <w:pPr>
        <w:pStyle w:val="Bullet0"/>
        <w:rPr>
          <w:noProof/>
        </w:rPr>
      </w:pPr>
      <w:r w:rsidRPr="004C704C">
        <w:rPr>
          <w:noProof/>
        </w:rPr>
        <w:t>să li se ceară operatorilor să confirme explicit în raportul pe care îl transmit autorităților competente că emisiile de un anumit poluant sau un anumit transfer de deșeuri sau de ape uzate în afara amplasamentului se situează sub pragurile de raportare aplicabile;</w:t>
      </w:r>
    </w:p>
    <w:p w14:paraId="765CE2E3" w14:textId="1D97CD2E" w:rsidR="00F864E4" w:rsidRPr="004C704C" w:rsidRDefault="00F864E4" w:rsidP="0088168D">
      <w:pPr>
        <w:pStyle w:val="Bullet0"/>
        <w:rPr>
          <w:noProof/>
        </w:rPr>
      </w:pPr>
      <w:r w:rsidRPr="004C704C">
        <w:rPr>
          <w:noProof/>
        </w:rPr>
        <w:t>se li se permită statelor membre să raporteze anumite date în numele crescătorilor de animale, în cazul în care operatorii respectivi nu dispun de resursele necesare pentru a raporta date exacte.</w:t>
      </w:r>
      <w:r w:rsidR="003D1459">
        <w:rPr>
          <w:noProof/>
        </w:rPr>
        <w:t xml:space="preserve"> </w:t>
      </w:r>
    </w:p>
    <w:p w14:paraId="647925C9" w14:textId="77777777" w:rsidR="00F864E4" w:rsidRPr="004C704C" w:rsidRDefault="00F864E4" w:rsidP="00F864E4">
      <w:pPr>
        <w:autoSpaceDE w:val="0"/>
        <w:autoSpaceDN w:val="0"/>
        <w:adjustRightInd w:val="0"/>
        <w:spacing w:before="0" w:after="0"/>
        <w:rPr>
          <w:rFonts w:ascii="Tahoma" w:hAnsi="Tahoma" w:cs="Tahoma"/>
          <w:noProof/>
          <w:color w:val="000000"/>
          <w:sz w:val="20"/>
          <w:szCs w:val="20"/>
        </w:rPr>
      </w:pPr>
    </w:p>
    <w:p w14:paraId="16AB6BA9" w14:textId="77777777" w:rsidR="00F864E4" w:rsidRPr="004C704C" w:rsidRDefault="00F864E4" w:rsidP="00F864E4">
      <w:pPr>
        <w:autoSpaceDE w:val="0"/>
        <w:autoSpaceDN w:val="0"/>
        <w:adjustRightInd w:val="0"/>
        <w:spacing w:before="0" w:after="0"/>
        <w:rPr>
          <w:noProof/>
          <w:color w:val="000000"/>
          <w:szCs w:val="24"/>
        </w:rPr>
      </w:pPr>
      <w:r w:rsidRPr="004C704C">
        <w:rPr>
          <w:noProof/>
          <w:color w:val="000000"/>
          <w:szCs w:val="24"/>
        </w:rPr>
        <w:t xml:space="preserve">Necesitatea de revizuire a regulamentului a fost confirmată în Pactul verde european, regulamentul fiind în curs de revizuire în același timp cu DEI. Se va asigura astfel un nivel general de coerență și eficiență a acestor două acte legislative. </w:t>
      </w:r>
    </w:p>
    <w:p w14:paraId="494DEB7D" w14:textId="77777777" w:rsidR="000970B7" w:rsidRPr="004C704C" w:rsidRDefault="000970B7" w:rsidP="00F864E4">
      <w:pPr>
        <w:autoSpaceDE w:val="0"/>
        <w:autoSpaceDN w:val="0"/>
        <w:adjustRightInd w:val="0"/>
        <w:spacing w:before="0" w:after="0"/>
        <w:rPr>
          <w:noProof/>
          <w:color w:val="000000"/>
          <w:szCs w:val="24"/>
        </w:rPr>
      </w:pPr>
    </w:p>
    <w:p w14:paraId="4D5003FC" w14:textId="77777777" w:rsidR="000970B7" w:rsidRPr="004C704C" w:rsidRDefault="000970B7" w:rsidP="00F864E4">
      <w:pPr>
        <w:autoSpaceDE w:val="0"/>
        <w:autoSpaceDN w:val="0"/>
        <w:adjustRightInd w:val="0"/>
        <w:spacing w:before="0" w:after="0"/>
        <w:rPr>
          <w:noProof/>
          <w:color w:val="000000"/>
          <w:szCs w:val="24"/>
        </w:rPr>
      </w:pPr>
      <w:r w:rsidRPr="004C704C">
        <w:rPr>
          <w:noProof/>
          <w:color w:val="000000"/>
          <w:szCs w:val="24"/>
        </w:rPr>
        <w:t>În acest context, date fiind natura și amploarea modificărilor care trebuie aduse regulamentului și necesitatea de a se spori coerența și claritatea juridică, prezenta propunere ar trebui să abroge și să înlocuiască regulamentul și, în același timp, să preia din acesta obligațiile de fond, ori de câte ori acestea continuă să fie necesare.</w:t>
      </w:r>
    </w:p>
    <w:p w14:paraId="11B5B1C4" w14:textId="77777777" w:rsidR="00F4529A" w:rsidRPr="004C704C" w:rsidRDefault="00F4529A" w:rsidP="009A4807">
      <w:pPr>
        <w:keepNext/>
        <w:tabs>
          <w:tab w:val="left" w:pos="850"/>
        </w:tabs>
        <w:spacing w:before="0" w:after="0"/>
        <w:ind w:left="850" w:hanging="850"/>
        <w:outlineLvl w:val="1"/>
        <w:rPr>
          <w:rFonts w:eastAsia="Arial Unicode MS"/>
          <w:b/>
          <w:noProof/>
          <w:color w:val="000000"/>
          <w:u w:color="000000"/>
          <w:bdr w:val="nil"/>
          <w:lang w:eastAsia="en-GB"/>
        </w:rPr>
      </w:pPr>
    </w:p>
    <w:p w14:paraId="0271702B" w14:textId="77777777" w:rsidR="00F4529A" w:rsidRPr="004C704C" w:rsidRDefault="00F4529A" w:rsidP="009A4807">
      <w:pPr>
        <w:keepNext/>
        <w:tabs>
          <w:tab w:val="left" w:pos="850"/>
        </w:tabs>
        <w:spacing w:before="0" w:after="0"/>
        <w:ind w:left="850" w:hanging="850"/>
        <w:outlineLvl w:val="1"/>
        <w:rPr>
          <w:b/>
          <w:noProof/>
          <w:color w:val="000000" w:themeColor="text1"/>
        </w:rPr>
      </w:pPr>
      <w:r w:rsidRPr="004C704C">
        <w:rPr>
          <w:b/>
          <w:noProof/>
          <w:color w:val="000000"/>
          <w:bdr w:val="nil"/>
        </w:rPr>
        <w:t>•</w:t>
      </w:r>
      <w:r w:rsidRPr="004C704C">
        <w:rPr>
          <w:noProof/>
        </w:rPr>
        <w:tab/>
      </w:r>
      <w:r w:rsidRPr="004C704C">
        <w:rPr>
          <w:b/>
          <w:noProof/>
        </w:rPr>
        <w:t>Coerența cu dispozițiile existente în domeniul de politică vizat</w:t>
      </w:r>
    </w:p>
    <w:p w14:paraId="54E8CB6E" w14:textId="77777777" w:rsidR="000970B7" w:rsidRPr="004C704C" w:rsidRDefault="000970B7" w:rsidP="000970B7">
      <w:pPr>
        <w:pBdr>
          <w:top w:val="nil"/>
          <w:left w:val="nil"/>
          <w:bottom w:val="nil"/>
          <w:right w:val="nil"/>
          <w:between w:val="nil"/>
          <w:bar w:val="nil"/>
        </w:pBdr>
        <w:spacing w:before="0" w:after="0"/>
        <w:rPr>
          <w:noProof/>
          <w:szCs w:val="24"/>
        </w:rPr>
      </w:pPr>
    </w:p>
    <w:p w14:paraId="01D12272" w14:textId="77777777" w:rsidR="00080EAD" w:rsidRPr="004C704C" w:rsidRDefault="000970B7" w:rsidP="000970B7">
      <w:pPr>
        <w:pBdr>
          <w:top w:val="nil"/>
          <w:left w:val="nil"/>
          <w:bottom w:val="nil"/>
          <w:right w:val="nil"/>
          <w:between w:val="nil"/>
          <w:bar w:val="nil"/>
        </w:pBdr>
        <w:spacing w:before="0" w:after="0"/>
        <w:rPr>
          <w:noProof/>
          <w:szCs w:val="24"/>
        </w:rPr>
      </w:pPr>
      <w:r w:rsidRPr="004C704C">
        <w:rPr>
          <w:noProof/>
        </w:rPr>
        <w:t>Regulamentul este legat de numeroase alte acte legislative de mediu ale UE, deoarece în domeniul său de aplicare intră o gamă largă de instalații agroindustriale și de substanțe relevante, inclusiv gazele cu efect de seră. Printre actele legislative de care este legat se numără cele din domeniul poluării, cum ar fi DEI, Directiva privind instalațiile medii de ardere, Directiva privind tratarea apelor urbane reziduale și Directiva 1999/31/CE a Consiliului privind depozitele de deșeuri (Directiva privind depozitele de deșeuri)</w:t>
      </w:r>
      <w:r w:rsidRPr="004C704C">
        <w:rPr>
          <w:rStyle w:val="FootnoteReference"/>
          <w:noProof/>
        </w:rPr>
        <w:footnoteReference w:id="18"/>
      </w:r>
      <w:r w:rsidRPr="004C704C">
        <w:rPr>
          <w:noProof/>
        </w:rPr>
        <w:t>. Regulamentul este legat, de asemenea, de acte legislative ale UE privind protecția diferitelor componente ale mediului (inclusiv a apelor de suprafață, a apelor subterane și a aerului înconjurător) împotriva emisiilor de poluanți, deoarece emisiile de poluanți pot afecta starea respectivelor componente.</w:t>
      </w:r>
    </w:p>
    <w:p w14:paraId="4F230D9C" w14:textId="77777777" w:rsidR="00080EAD" w:rsidRPr="004C704C" w:rsidRDefault="00080EAD" w:rsidP="000970B7">
      <w:pPr>
        <w:pBdr>
          <w:top w:val="nil"/>
          <w:left w:val="nil"/>
          <w:bottom w:val="nil"/>
          <w:right w:val="nil"/>
          <w:between w:val="nil"/>
          <w:bar w:val="nil"/>
        </w:pBdr>
        <w:spacing w:before="0" w:after="0"/>
        <w:rPr>
          <w:noProof/>
          <w:szCs w:val="24"/>
        </w:rPr>
      </w:pPr>
    </w:p>
    <w:p w14:paraId="0ECDFB3C" w14:textId="77777777" w:rsidR="000970B7" w:rsidRPr="004C704C" w:rsidRDefault="000970B7" w:rsidP="000970B7">
      <w:pPr>
        <w:pBdr>
          <w:top w:val="nil"/>
          <w:left w:val="nil"/>
          <w:bottom w:val="nil"/>
          <w:right w:val="nil"/>
          <w:between w:val="nil"/>
          <w:bar w:val="nil"/>
        </w:pBdr>
        <w:spacing w:before="0" w:after="0"/>
        <w:rPr>
          <w:noProof/>
          <w:szCs w:val="24"/>
        </w:rPr>
      </w:pPr>
      <w:r w:rsidRPr="004C704C">
        <w:rPr>
          <w:noProof/>
        </w:rPr>
        <w:t>În fine, regulamentul este legat de acte legislative referitoare la climă, cum ar fi sistemul UE de comercializare a certificatelor de emisii</w:t>
      </w:r>
      <w:r w:rsidRPr="004C704C">
        <w:rPr>
          <w:rStyle w:val="FootnoteReference"/>
          <w:noProof/>
        </w:rPr>
        <w:footnoteReference w:id="19"/>
      </w:r>
      <w:r w:rsidRPr="004C704C">
        <w:rPr>
          <w:noProof/>
        </w:rPr>
        <w:t xml:space="preserve"> și Regulamentul privind partajarea eforturilor</w:t>
      </w:r>
      <w:r w:rsidRPr="004C704C">
        <w:rPr>
          <w:rStyle w:val="FootnoteReference"/>
          <w:noProof/>
        </w:rPr>
        <w:footnoteReference w:id="20"/>
      </w:r>
      <w:r w:rsidRPr="004C704C">
        <w:rPr>
          <w:noProof/>
        </w:rPr>
        <w:t xml:space="preserve">. </w:t>
      </w:r>
    </w:p>
    <w:p w14:paraId="0F2BE3F3" w14:textId="77777777" w:rsidR="00F4529A" w:rsidRPr="004C704C" w:rsidRDefault="00F4529A" w:rsidP="009A4807">
      <w:pPr>
        <w:pBdr>
          <w:top w:val="nil"/>
          <w:left w:val="nil"/>
          <w:bottom w:val="nil"/>
          <w:right w:val="nil"/>
          <w:between w:val="nil"/>
          <w:bar w:val="nil"/>
        </w:pBdr>
        <w:spacing w:before="0" w:after="0"/>
        <w:rPr>
          <w:noProof/>
          <w:szCs w:val="24"/>
        </w:rPr>
      </w:pPr>
    </w:p>
    <w:p w14:paraId="21D488C4"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Primul registru al poluanților din Europa, Registrul european al poluanților emiși (</w:t>
      </w:r>
      <w:r w:rsidRPr="004C704C">
        <w:rPr>
          <w:i/>
          <w:noProof/>
        </w:rPr>
        <w:t>European Pollutant Emissions Register</w:t>
      </w:r>
      <w:r w:rsidRPr="004C704C">
        <w:rPr>
          <w:noProof/>
        </w:rPr>
        <w:t xml:space="preserve"> - EPER)</w:t>
      </w:r>
      <w:r w:rsidRPr="004C704C">
        <w:rPr>
          <w:rStyle w:val="FootnoteReference"/>
          <w:noProof/>
        </w:rPr>
        <w:footnoteReference w:id="21"/>
      </w:r>
      <w:r w:rsidRPr="004C704C">
        <w:rPr>
          <w:noProof/>
        </w:rPr>
        <w:t>, a fost instituit în temeiul primului act legislativ al UE referitor la controlul poluării industriale – Directiva privind prevenirea și controlul integrat al poluării</w:t>
      </w:r>
      <w:r w:rsidRPr="004C704C">
        <w:rPr>
          <w:rStyle w:val="FootnoteReference"/>
          <w:noProof/>
        </w:rPr>
        <w:footnoteReference w:id="22"/>
      </w:r>
      <w:r w:rsidRPr="004C704C">
        <w:rPr>
          <w:noProof/>
        </w:rPr>
        <w:t xml:space="preserve"> [Directiva IPPC(</w:t>
      </w:r>
      <w:r w:rsidRPr="004C704C">
        <w:rPr>
          <w:i/>
          <w:noProof/>
        </w:rPr>
        <w:t>Integrated Pollution Prevention and Control</w:t>
      </w:r>
      <w:r w:rsidRPr="004C704C">
        <w:rPr>
          <w:noProof/>
        </w:rPr>
        <w:t xml:space="preserve">)]. Scopul EPER era să furnizeze informații cu privire la principalele emisii generate de activitățile reglementate de Directiva IPPC. </w:t>
      </w:r>
    </w:p>
    <w:p w14:paraId="718F9679" w14:textId="77777777" w:rsidR="000970B7" w:rsidRPr="004C704C" w:rsidRDefault="000970B7" w:rsidP="000970B7">
      <w:pPr>
        <w:pBdr>
          <w:top w:val="nil"/>
          <w:left w:val="nil"/>
          <w:bottom w:val="nil"/>
          <w:right w:val="nil"/>
          <w:between w:val="nil"/>
          <w:bar w:val="nil"/>
        </w:pBdr>
        <w:spacing w:before="0" w:after="0"/>
        <w:rPr>
          <w:noProof/>
        </w:rPr>
      </w:pPr>
    </w:p>
    <w:p w14:paraId="2C8CA6E8"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 xml:space="preserve">În prezent există însă diferențe între sistemul de reglementare din DEI și inventarul de emisii aferent, ca urmare a modificărilor aduse ambelor acte legislative. În 2006, EPER a devenit Registrul European al Poluanților Emiși și Transferați (EPRTR), în contextul îndeplinirii de către UE a obligațiilor care îi revin în temeiul </w:t>
      </w:r>
      <w:r w:rsidRPr="004C704C">
        <w:rPr>
          <w:noProof/>
          <w:color w:val="000000"/>
        </w:rPr>
        <w:t>protocolului</w:t>
      </w:r>
      <w:r w:rsidRPr="004C704C">
        <w:rPr>
          <w:noProof/>
        </w:rPr>
        <w:t xml:space="preserve">. În 2010, domeniul de aplicare al DEI a fost extins, cuprinzând mai multe activități decât Directiva IPPC. Drept urmare, există mai puțină coerență între sistemul de reglementare a activităților agroindustriale care intră în domeniul de aplicare al DEI și regulament, principalul său instrument de monitorizare. În 2015, în Directiva privind instalațiile medii de ardere au fost introduse controale de reglementare privind instalațiile de ardere mai mici, dar nu și obligativitatea unui inventar al emisiilor. </w:t>
      </w:r>
    </w:p>
    <w:p w14:paraId="2AEBCB01" w14:textId="77777777" w:rsidR="000970B7" w:rsidRPr="004C704C" w:rsidRDefault="000970B7" w:rsidP="000970B7">
      <w:pPr>
        <w:pBdr>
          <w:top w:val="nil"/>
          <w:left w:val="nil"/>
          <w:bottom w:val="nil"/>
          <w:right w:val="nil"/>
          <w:between w:val="nil"/>
          <w:bar w:val="nil"/>
        </w:pBdr>
        <w:spacing w:before="0" w:after="0"/>
        <w:rPr>
          <w:noProof/>
          <w:szCs w:val="24"/>
        </w:rPr>
      </w:pPr>
    </w:p>
    <w:p w14:paraId="32D7AC19" w14:textId="77777777" w:rsidR="000970B7" w:rsidRPr="004C704C" w:rsidRDefault="000970B7" w:rsidP="000970B7">
      <w:pPr>
        <w:pBdr>
          <w:top w:val="nil"/>
          <w:left w:val="nil"/>
          <w:bottom w:val="nil"/>
          <w:right w:val="nil"/>
          <w:between w:val="nil"/>
          <w:bar w:val="nil"/>
        </w:pBdr>
        <w:spacing w:before="0" w:after="0"/>
        <w:rPr>
          <w:rFonts w:eastAsia="Arial Unicode MS"/>
          <w:noProof/>
        </w:rPr>
      </w:pPr>
      <w:r w:rsidRPr="004C704C">
        <w:rPr>
          <w:noProof/>
        </w:rPr>
        <w:t>Din acest motiv, pentru ca regulamentul să sprijine punerea în aplicare a DEI, se propune modificarea anexei I la regulament, prin extinderea domeniului său de aplicare în vederea includerii tuturor activitățile prevăzute în DEI și a unor instalații mai mici de ardere. Prin crearea unui inventar al emisiilor, EPRTR sprijină, de asemenea, punerea în aplicare a Directivei privind tratarea apelor urbane reziduale și a Directivei privind depozitele de deșeuri.</w:t>
      </w:r>
    </w:p>
    <w:p w14:paraId="16F2008B" w14:textId="77777777" w:rsidR="00F4529A" w:rsidRPr="004C704C" w:rsidRDefault="00F4529A" w:rsidP="009A4807">
      <w:pPr>
        <w:pBdr>
          <w:top w:val="nil"/>
          <w:left w:val="nil"/>
          <w:bottom w:val="nil"/>
          <w:right w:val="nil"/>
          <w:between w:val="nil"/>
          <w:bar w:val="nil"/>
        </w:pBdr>
        <w:spacing w:before="0" w:after="0"/>
        <w:rPr>
          <w:rFonts w:eastAsia="Arial Unicode MS"/>
          <w:noProof/>
        </w:rPr>
      </w:pPr>
    </w:p>
    <w:p w14:paraId="5D0B9695"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color w:val="000000"/>
          <w:bdr w:val="nil"/>
        </w:rPr>
        <w:t>•</w:t>
      </w:r>
      <w:r w:rsidRPr="004C704C">
        <w:rPr>
          <w:noProof/>
        </w:rPr>
        <w:tab/>
      </w:r>
      <w:r w:rsidRPr="004C704C">
        <w:rPr>
          <w:b/>
          <w:noProof/>
        </w:rPr>
        <w:t>Coerența cu alte politici ale Uniunii</w:t>
      </w:r>
    </w:p>
    <w:p w14:paraId="209CB3EA" w14:textId="77777777" w:rsidR="00F4529A" w:rsidRPr="004C704C" w:rsidRDefault="00F4529A" w:rsidP="009A4807">
      <w:pPr>
        <w:pBdr>
          <w:top w:val="nil"/>
          <w:left w:val="nil"/>
          <w:bottom w:val="nil"/>
          <w:right w:val="nil"/>
          <w:between w:val="nil"/>
          <w:bar w:val="nil"/>
        </w:pBdr>
        <w:spacing w:before="0" w:after="0"/>
        <w:rPr>
          <w:noProof/>
        </w:rPr>
      </w:pPr>
    </w:p>
    <w:p w14:paraId="36AECD0F"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În Pactul verde european se specifică în mod clar revizuirea regulamentului. Revizuirea contribuie și la realizarea viziunii UE de reducere la zero a poluării până în 2050</w:t>
      </w:r>
      <w:r w:rsidRPr="004C704C">
        <w:rPr>
          <w:rStyle w:val="FootnoteReference"/>
          <w:noProof/>
        </w:rPr>
        <w:footnoteReference w:id="23"/>
      </w:r>
      <w:r w:rsidRPr="004C704C">
        <w:rPr>
          <w:noProof/>
        </w:rPr>
        <w:t>,</w:t>
      </w:r>
      <w:r w:rsidRPr="004C704C">
        <w:rPr>
          <w:noProof/>
          <w:sz w:val="20"/>
          <w:szCs w:val="20"/>
          <w:vertAlign w:val="superscript"/>
        </w:rPr>
        <w:t xml:space="preserve"> </w:t>
      </w:r>
      <w:r w:rsidRPr="004C704C">
        <w:rPr>
          <w:noProof/>
        </w:rPr>
        <w:t>prin furnizarea de date privind emisiile agroindustriale în aer, apă și sol. Împreună cu alte acte legislative de mediu conexe ale UE, revizuirea regulamentului va contribui la reducerea poluării la niveluri care nu sunt considerate dăunătoare sănătății sau ecosistemelor naturale. Se vor respecta, de asemenea, limitele pe care le poate suporta planeta, eliminându-se astfel toxicitatea din mediu.</w:t>
      </w:r>
    </w:p>
    <w:p w14:paraId="6AFD8300" w14:textId="77777777" w:rsidR="00F4529A" w:rsidRPr="004C704C" w:rsidRDefault="00F4529A" w:rsidP="009A4807">
      <w:pPr>
        <w:keepNext/>
        <w:tabs>
          <w:tab w:val="left" w:pos="850"/>
        </w:tabs>
        <w:spacing w:before="0" w:after="0"/>
        <w:ind w:left="850" w:hanging="850"/>
        <w:outlineLvl w:val="0"/>
        <w:rPr>
          <w:b/>
          <w:smallCaps/>
          <w:noProof/>
        </w:rPr>
      </w:pPr>
    </w:p>
    <w:p w14:paraId="1A978CF1" w14:textId="77777777" w:rsidR="00080EAD" w:rsidRPr="004C704C" w:rsidRDefault="00080EAD" w:rsidP="009A4807">
      <w:pPr>
        <w:keepNext/>
        <w:tabs>
          <w:tab w:val="left" w:pos="850"/>
        </w:tabs>
        <w:spacing w:before="0" w:after="0"/>
        <w:ind w:left="850" w:hanging="850"/>
        <w:outlineLvl w:val="0"/>
        <w:rPr>
          <w:b/>
          <w:smallCaps/>
          <w:noProof/>
        </w:rPr>
      </w:pPr>
    </w:p>
    <w:p w14:paraId="4306A96E" w14:textId="77777777" w:rsidR="00F4529A" w:rsidRPr="004C704C" w:rsidRDefault="00F4529A" w:rsidP="009A4807">
      <w:pPr>
        <w:keepNext/>
        <w:tabs>
          <w:tab w:val="left" w:pos="850"/>
        </w:tabs>
        <w:spacing w:before="0" w:after="0"/>
        <w:ind w:left="850" w:hanging="850"/>
        <w:outlineLvl w:val="0"/>
        <w:rPr>
          <w:b/>
          <w:smallCaps/>
          <w:noProof/>
        </w:rPr>
      </w:pPr>
      <w:r w:rsidRPr="004C704C">
        <w:rPr>
          <w:b/>
          <w:smallCaps/>
          <w:noProof/>
        </w:rPr>
        <w:t>2.</w:t>
      </w:r>
      <w:r w:rsidRPr="004C704C">
        <w:rPr>
          <w:noProof/>
        </w:rPr>
        <w:tab/>
      </w:r>
      <w:r w:rsidRPr="004C704C">
        <w:rPr>
          <w:b/>
          <w:smallCaps/>
          <w:noProof/>
        </w:rPr>
        <w:t>TEMEI JURIDIC, SUBSIDIARITATE ȘI PROPORȚIONALITATE</w:t>
      </w:r>
    </w:p>
    <w:p w14:paraId="719EBD6B" w14:textId="77777777" w:rsidR="00F4529A" w:rsidRPr="004C704C" w:rsidRDefault="00F4529A" w:rsidP="009A4807">
      <w:pPr>
        <w:keepNext/>
        <w:tabs>
          <w:tab w:val="left" w:pos="850"/>
        </w:tabs>
        <w:spacing w:before="0" w:after="0"/>
        <w:ind w:left="850" w:hanging="850"/>
        <w:outlineLvl w:val="1"/>
        <w:rPr>
          <w:rFonts w:eastAsia="Arial Unicode MS"/>
          <w:b/>
          <w:noProof/>
          <w:u w:color="000000"/>
          <w:bdr w:val="nil"/>
          <w:lang w:eastAsia="en-GB"/>
        </w:rPr>
      </w:pPr>
    </w:p>
    <w:p w14:paraId="71D5B79E"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Temeiul juridic</w:t>
      </w:r>
    </w:p>
    <w:p w14:paraId="2EF20B15" w14:textId="77777777" w:rsidR="00F4529A" w:rsidRPr="004C704C" w:rsidRDefault="00F4529A" w:rsidP="009A4807">
      <w:pPr>
        <w:spacing w:before="0" w:after="0"/>
        <w:rPr>
          <w:noProof/>
        </w:rPr>
      </w:pPr>
    </w:p>
    <w:p w14:paraId="169FE0A6" w14:textId="77777777" w:rsidR="000970B7" w:rsidRPr="004C704C" w:rsidRDefault="000970B7" w:rsidP="000970B7">
      <w:pPr>
        <w:spacing w:before="0" w:after="0"/>
        <w:rPr>
          <w:noProof/>
        </w:rPr>
      </w:pPr>
      <w:r w:rsidRPr="004C704C">
        <w:rPr>
          <w:noProof/>
        </w:rPr>
        <w:t>Principalul obiectiv al actului propus se referă la protecția mediului și a sănătății umane. Prin urmare, temeiul juridic material al regulamentului propus este articolul 192 alineatul (1) din Tratatul privind funcționarea Uniunii Europene.</w:t>
      </w:r>
    </w:p>
    <w:p w14:paraId="0E7A06BE" w14:textId="77777777" w:rsidR="000970B7" w:rsidRPr="004C704C" w:rsidRDefault="000970B7" w:rsidP="000970B7">
      <w:pPr>
        <w:pStyle w:val="ManualHeading2"/>
        <w:spacing w:before="0" w:after="0"/>
        <w:rPr>
          <w:rFonts w:eastAsia="Arial Unicode MS"/>
          <w:noProof/>
          <w:bdr w:val="nil"/>
          <w:lang w:eastAsia="en-GB"/>
        </w:rPr>
      </w:pPr>
    </w:p>
    <w:p w14:paraId="7A61509B"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 xml:space="preserve">Subsidiaritatea (în cazul competențelor neexclusive) </w:t>
      </w:r>
    </w:p>
    <w:p w14:paraId="025E433F" w14:textId="77777777" w:rsidR="000970B7" w:rsidRPr="004C704C" w:rsidRDefault="000970B7" w:rsidP="000970B7">
      <w:pPr>
        <w:pBdr>
          <w:top w:val="nil"/>
          <w:left w:val="nil"/>
          <w:bottom w:val="nil"/>
          <w:right w:val="nil"/>
          <w:between w:val="nil"/>
          <w:bar w:val="nil"/>
        </w:pBdr>
        <w:spacing w:before="0" w:after="0"/>
        <w:rPr>
          <w:noProof/>
        </w:rPr>
      </w:pPr>
    </w:p>
    <w:p w14:paraId="754681F4"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 xml:space="preserve">Protocolul a fost semnat atât de UE, cât și de fiecare stat membru în parte. Întrucât protocolul include opțiuni pentru punerea în aplicare a anumitor norme (de exemplu, activitățile pot fi definite fie pe baza pragului de capacitate, fie pe baza prajului de angajați), regulamentul adoptă o abordare comună și asigură aplicarea consecventă a acesteia în întreaga UE. </w:t>
      </w:r>
    </w:p>
    <w:p w14:paraId="2CF46515" w14:textId="77777777" w:rsidR="000970B7" w:rsidRPr="004C704C" w:rsidRDefault="000970B7" w:rsidP="000970B7">
      <w:pPr>
        <w:pBdr>
          <w:top w:val="nil"/>
          <w:left w:val="nil"/>
          <w:bottom w:val="nil"/>
          <w:right w:val="nil"/>
          <w:between w:val="nil"/>
          <w:bar w:val="nil"/>
        </w:pBdr>
        <w:spacing w:before="0" w:after="0"/>
        <w:rPr>
          <w:noProof/>
        </w:rPr>
      </w:pPr>
    </w:p>
    <w:p w14:paraId="36D68F5A"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Regulamentul adaugă valoare și prin faptul că a condus la elaborarea unui document ghid al UE</w:t>
      </w:r>
      <w:r w:rsidRPr="004C704C">
        <w:rPr>
          <w:rStyle w:val="FootnoteReference"/>
          <w:noProof/>
        </w:rPr>
        <w:footnoteReference w:id="24"/>
      </w:r>
      <w:r w:rsidRPr="004C704C">
        <w:rPr>
          <w:noProof/>
        </w:rPr>
        <w:t xml:space="preserve"> care conține norme și recomandări în materie de colectare, asigurare a calității și prezentare a datelor. Datorită ghidului respectiv, datele transmise de diferitele state membre devin mai coerente și mai ușor de comparat. </w:t>
      </w:r>
    </w:p>
    <w:p w14:paraId="6046366D" w14:textId="77777777" w:rsidR="000970B7" w:rsidRPr="004C704C" w:rsidRDefault="000970B7" w:rsidP="000970B7">
      <w:pPr>
        <w:pBdr>
          <w:top w:val="nil"/>
          <w:left w:val="nil"/>
          <w:bottom w:val="nil"/>
          <w:right w:val="nil"/>
          <w:between w:val="nil"/>
          <w:bar w:val="nil"/>
        </w:pBdr>
        <w:spacing w:before="0" w:after="0"/>
        <w:rPr>
          <w:noProof/>
        </w:rPr>
      </w:pPr>
    </w:p>
    <w:p w14:paraId="00A2DF6C"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Agenția Europeană de Mediu efectuează verificări suplimentare de asigurare a calității. Acestea contribuie la o mai mare exhaustivitate și exactitate a datelor. În cadrul acestor verificări efectuate la nivelul UE se identifică aspecte care sunt apoi corectate la nivel național, ceea ce nu s-ar întâmpla fără un registru european.</w:t>
      </w:r>
    </w:p>
    <w:p w14:paraId="0361F453" w14:textId="77777777" w:rsidR="000970B7" w:rsidRPr="004C704C" w:rsidRDefault="000970B7" w:rsidP="000970B7">
      <w:pPr>
        <w:pBdr>
          <w:top w:val="nil"/>
          <w:left w:val="nil"/>
          <w:bottom w:val="nil"/>
          <w:right w:val="nil"/>
          <w:between w:val="nil"/>
          <w:bar w:val="nil"/>
        </w:pBdr>
        <w:spacing w:before="0" w:after="0"/>
        <w:rPr>
          <w:noProof/>
        </w:rPr>
      </w:pPr>
    </w:p>
    <w:p w14:paraId="5FE6CF92"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Grupurile de experți, atelierele și rapoartele analitice ale UE sunt utile și statelor membre, ajutându-le să își mențină registrele naționale.</w:t>
      </w:r>
    </w:p>
    <w:p w14:paraId="34B5FAF3" w14:textId="77777777" w:rsidR="000970B7" w:rsidRPr="004C704C" w:rsidRDefault="000970B7" w:rsidP="000970B7">
      <w:pPr>
        <w:pBdr>
          <w:top w:val="nil"/>
          <w:left w:val="nil"/>
          <w:bottom w:val="nil"/>
          <w:right w:val="nil"/>
          <w:between w:val="nil"/>
          <w:bar w:val="nil"/>
        </w:pBdr>
        <w:spacing w:before="0" w:after="0"/>
        <w:rPr>
          <w:noProof/>
        </w:rPr>
      </w:pPr>
    </w:p>
    <w:p w14:paraId="44690DE0"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În ceea ce privește publicul, regulamentul reprezintă o valoare adăugată semnificativă a UE, făcând posibilă compararea cu ușurință a datelor referitoare la emisiile generate de diferite industrii ale UE și furnizând date cumulate referitoare la emisiile UE. Ar fi mult mai greu de colectat și de combinat astfel de date din 27 de registre naționale separate.</w:t>
      </w:r>
    </w:p>
    <w:p w14:paraId="0D461CCD" w14:textId="77777777" w:rsidR="000970B7" w:rsidRPr="004C704C" w:rsidRDefault="000970B7" w:rsidP="000970B7">
      <w:pPr>
        <w:pBdr>
          <w:top w:val="nil"/>
          <w:left w:val="nil"/>
          <w:bottom w:val="nil"/>
          <w:right w:val="nil"/>
          <w:between w:val="nil"/>
          <w:bar w:val="nil"/>
        </w:pBdr>
        <w:spacing w:before="0" w:after="0"/>
        <w:rPr>
          <w:noProof/>
        </w:rPr>
      </w:pPr>
    </w:p>
    <w:p w14:paraId="55CB9074"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Prin urmare, regulamentul reprezintă o valoare adăugată semnificativă, în comparație cu ceea ce s-ar putea realiza prin acțiunea individuală a 27 de țări, iar obiectul regulamentului continuă să justifice acțiunea UE.</w:t>
      </w:r>
    </w:p>
    <w:p w14:paraId="7D71A3E1" w14:textId="77777777" w:rsidR="00F4529A" w:rsidRPr="004C704C" w:rsidRDefault="00F4529A" w:rsidP="009A4807">
      <w:pPr>
        <w:pBdr>
          <w:top w:val="nil"/>
          <w:left w:val="nil"/>
          <w:bottom w:val="nil"/>
          <w:right w:val="nil"/>
          <w:between w:val="nil"/>
          <w:bar w:val="nil"/>
        </w:pBdr>
        <w:spacing w:before="0" w:after="0"/>
        <w:rPr>
          <w:rFonts w:eastAsia="Arial Unicode MS"/>
          <w:noProof/>
        </w:rPr>
      </w:pPr>
    </w:p>
    <w:p w14:paraId="0BA8E49B"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Proporționalitatea</w:t>
      </w:r>
    </w:p>
    <w:p w14:paraId="6956B724" w14:textId="77777777" w:rsidR="00F4529A" w:rsidRPr="004C704C" w:rsidRDefault="00F4529A" w:rsidP="009A4807">
      <w:pPr>
        <w:pBdr>
          <w:top w:val="nil"/>
          <w:left w:val="nil"/>
          <w:bottom w:val="nil"/>
          <w:right w:val="nil"/>
          <w:between w:val="nil"/>
          <w:bar w:val="nil"/>
        </w:pBdr>
        <w:spacing w:before="0" w:after="0"/>
        <w:rPr>
          <w:noProof/>
        </w:rPr>
      </w:pPr>
    </w:p>
    <w:p w14:paraId="3EBCE00E" w14:textId="77777777" w:rsidR="000970B7" w:rsidRPr="004C704C" w:rsidRDefault="000970B7" w:rsidP="000970B7">
      <w:pPr>
        <w:pBdr>
          <w:top w:val="nil"/>
          <w:left w:val="nil"/>
          <w:bottom w:val="nil"/>
          <w:right w:val="nil"/>
          <w:between w:val="nil"/>
          <w:bar w:val="nil"/>
        </w:pBdr>
        <w:spacing w:before="0" w:after="0"/>
        <w:rPr>
          <w:noProof/>
        </w:rPr>
      </w:pPr>
      <w:r w:rsidRPr="004C704C">
        <w:rPr>
          <w:noProof/>
        </w:rPr>
        <w:t>Costurile și beneficiile EPRTR sunt dificil de măsurat. Cu toate acestea, costurile estimate ale EPRTR sunt, în opinia părților interesate, relativ scăzute în comparație cu semnificativa contribuție a registrului la transparența datelor și la participarea publicului.</w:t>
      </w:r>
    </w:p>
    <w:p w14:paraId="6EEC5C37" w14:textId="77777777" w:rsidR="000970B7" w:rsidRPr="004C704C" w:rsidRDefault="000970B7" w:rsidP="000970B7">
      <w:pPr>
        <w:pBdr>
          <w:top w:val="nil"/>
          <w:left w:val="nil"/>
          <w:bottom w:val="nil"/>
          <w:right w:val="nil"/>
          <w:between w:val="nil"/>
          <w:bar w:val="nil"/>
        </w:pBdr>
        <w:spacing w:before="0" w:after="0"/>
        <w:rPr>
          <w:noProof/>
        </w:rPr>
      </w:pPr>
    </w:p>
    <w:p w14:paraId="7C9A8FBB" w14:textId="77777777" w:rsidR="000970B7" w:rsidRPr="004C704C" w:rsidRDefault="000970B7" w:rsidP="000970B7">
      <w:pPr>
        <w:pBdr>
          <w:top w:val="nil"/>
          <w:left w:val="nil"/>
          <w:bottom w:val="nil"/>
          <w:right w:val="nil"/>
          <w:between w:val="nil"/>
          <w:bar w:val="nil"/>
        </w:pBdr>
        <w:spacing w:before="0" w:after="0"/>
        <w:rPr>
          <w:rFonts w:eastAsia="Arial Unicode MS"/>
          <w:noProof/>
        </w:rPr>
      </w:pPr>
      <w:r w:rsidRPr="004C704C">
        <w:rPr>
          <w:noProof/>
        </w:rPr>
        <w:t xml:space="preserve">Articolul 16, o dispoziție ineficientă a Regulamentului EPRTR, a fost deja eliminat – în temeiul său, statele membre trebuiau să raporteze o dată la 3 ani cu privire la punerea în aplicare generală a EPRTR. </w:t>
      </w:r>
    </w:p>
    <w:p w14:paraId="5088EC8C" w14:textId="77777777" w:rsidR="00F4529A" w:rsidRPr="004C704C" w:rsidRDefault="00F4529A" w:rsidP="009A4807">
      <w:pPr>
        <w:keepNext/>
        <w:tabs>
          <w:tab w:val="left" w:pos="850"/>
        </w:tabs>
        <w:spacing w:before="0" w:after="0"/>
        <w:ind w:left="850" w:hanging="850"/>
        <w:outlineLvl w:val="1"/>
        <w:rPr>
          <w:rFonts w:eastAsia="Arial Unicode MS"/>
          <w:b/>
          <w:noProof/>
          <w:u w:color="000000"/>
          <w:bdr w:val="nil"/>
          <w:lang w:eastAsia="en-GB"/>
        </w:rPr>
      </w:pPr>
    </w:p>
    <w:p w14:paraId="2FE79B31"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Alegerea instrumentului</w:t>
      </w:r>
    </w:p>
    <w:p w14:paraId="63396297" w14:textId="77777777" w:rsidR="00F4529A" w:rsidRPr="004C704C" w:rsidRDefault="00F4529A" w:rsidP="009A4807">
      <w:pPr>
        <w:pBdr>
          <w:top w:val="nil"/>
          <w:left w:val="nil"/>
          <w:bottom w:val="nil"/>
          <w:right w:val="nil"/>
          <w:between w:val="nil"/>
          <w:bar w:val="nil"/>
        </w:pBdr>
        <w:spacing w:before="0" w:after="0"/>
        <w:rPr>
          <w:noProof/>
        </w:rPr>
      </w:pPr>
    </w:p>
    <w:p w14:paraId="2B88391C" w14:textId="77777777" w:rsidR="00F4529A" w:rsidRPr="004C704C" w:rsidRDefault="00F4529A" w:rsidP="009A4807">
      <w:pPr>
        <w:pBdr>
          <w:top w:val="nil"/>
          <w:left w:val="nil"/>
          <w:bottom w:val="nil"/>
          <w:right w:val="nil"/>
          <w:between w:val="nil"/>
          <w:bar w:val="nil"/>
        </w:pBdr>
        <w:spacing w:before="0" w:after="0"/>
        <w:rPr>
          <w:noProof/>
        </w:rPr>
      </w:pPr>
      <w:r w:rsidRPr="004C704C">
        <w:rPr>
          <w:noProof/>
        </w:rPr>
        <w:t xml:space="preserve">Întrucât Regulamentul (CE) nr. 166/2006 constituie punctul de plecare al prezentei propuneri, este oportun ca acesta să fie abrogat și înlocuit, din motive de claritate juridică. Tabelul de corespondență figurează în anexa III. Întrucât vizează abrogarea și înlocuirea unui regulament al UE, propunerea ia forma unui regulament. </w:t>
      </w:r>
    </w:p>
    <w:p w14:paraId="2403C37C" w14:textId="77777777" w:rsidR="00F4529A" w:rsidRPr="004C704C" w:rsidRDefault="00F4529A" w:rsidP="009A4807">
      <w:pPr>
        <w:keepNext/>
        <w:tabs>
          <w:tab w:val="left" w:pos="850"/>
        </w:tabs>
        <w:spacing w:before="0" w:after="0"/>
        <w:ind w:left="850" w:hanging="850"/>
        <w:outlineLvl w:val="0"/>
        <w:rPr>
          <w:b/>
          <w:smallCaps/>
          <w:noProof/>
        </w:rPr>
      </w:pPr>
      <w:r w:rsidRPr="004C704C">
        <w:rPr>
          <w:b/>
          <w:smallCaps/>
          <w:noProof/>
        </w:rPr>
        <w:t>3.</w:t>
      </w:r>
      <w:r w:rsidRPr="004C704C">
        <w:rPr>
          <w:noProof/>
        </w:rPr>
        <w:tab/>
      </w:r>
      <w:r w:rsidRPr="004C704C">
        <w:rPr>
          <w:b/>
          <w:smallCaps/>
          <w:noProof/>
        </w:rPr>
        <w:t xml:space="preserve">REZULTATELE EVALUĂRILOR </w:t>
      </w:r>
      <w:r w:rsidRPr="004C704C">
        <w:rPr>
          <w:b/>
          <w:i/>
          <w:smallCaps/>
          <w:noProof/>
        </w:rPr>
        <w:t>EX POST</w:t>
      </w:r>
      <w:r w:rsidRPr="004C704C">
        <w:rPr>
          <w:b/>
          <w:smallCaps/>
          <w:noProof/>
        </w:rPr>
        <w:t>, ALE CONSULTĂRILOR CU PĂRȚILE INTERESATE ȘI ALE EVALUĂRILOR IMPACTULUI</w:t>
      </w:r>
    </w:p>
    <w:p w14:paraId="3F6F3D7F" w14:textId="77777777" w:rsidR="00F4529A" w:rsidRPr="004C704C" w:rsidRDefault="00F4529A" w:rsidP="009A4807">
      <w:pPr>
        <w:keepNext/>
        <w:tabs>
          <w:tab w:val="left" w:pos="850"/>
        </w:tabs>
        <w:spacing w:before="0" w:after="0"/>
        <w:ind w:left="850" w:hanging="850"/>
        <w:outlineLvl w:val="1"/>
        <w:rPr>
          <w:rFonts w:eastAsia="Arial Unicode MS"/>
          <w:b/>
          <w:noProof/>
          <w:u w:color="000000"/>
          <w:bdr w:val="nil"/>
          <w:lang w:eastAsia="en-GB"/>
        </w:rPr>
      </w:pPr>
    </w:p>
    <w:p w14:paraId="2996F59F"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 xml:space="preserve">Evaluările </w:t>
      </w:r>
      <w:r w:rsidRPr="004C704C">
        <w:rPr>
          <w:b/>
          <w:i/>
          <w:noProof/>
          <w:bdr w:val="nil"/>
        </w:rPr>
        <w:t>ex post</w:t>
      </w:r>
      <w:r w:rsidRPr="004C704C">
        <w:rPr>
          <w:b/>
          <w:noProof/>
          <w:bdr w:val="nil"/>
        </w:rPr>
        <w:t>/verificarea adecvării legislației existente</w:t>
      </w:r>
    </w:p>
    <w:p w14:paraId="1F59AF5A" w14:textId="77777777" w:rsidR="00F4529A" w:rsidRPr="004C704C" w:rsidRDefault="00F4529A" w:rsidP="009A4807">
      <w:pPr>
        <w:pBdr>
          <w:top w:val="nil"/>
          <w:left w:val="nil"/>
          <w:bottom w:val="nil"/>
          <w:right w:val="nil"/>
          <w:between w:val="nil"/>
          <w:bar w:val="nil"/>
        </w:pBdr>
        <w:spacing w:before="0" w:after="0"/>
        <w:rPr>
          <w:noProof/>
        </w:rPr>
      </w:pPr>
    </w:p>
    <w:p w14:paraId="4EA8DA53"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Concluzia evaluării REFIT din 2017 a fost că regulamentul este adecvat scopului și că reprezintă un act legislativ de mediu important al UE, date fiind informațiile privind performanța de mediu a marilor industrii, care sunt puse, în temeiul său, la dispoziția publicului.</w:t>
      </w:r>
    </w:p>
    <w:p w14:paraId="3ECC78B2" w14:textId="77777777" w:rsidR="00137990" w:rsidRPr="004C704C" w:rsidRDefault="00137990" w:rsidP="00137990">
      <w:pPr>
        <w:pBdr>
          <w:top w:val="nil"/>
          <w:left w:val="nil"/>
          <w:bottom w:val="nil"/>
          <w:right w:val="nil"/>
          <w:between w:val="nil"/>
          <w:bar w:val="nil"/>
        </w:pBdr>
        <w:spacing w:before="0" w:after="0"/>
        <w:rPr>
          <w:noProof/>
        </w:rPr>
      </w:pPr>
    </w:p>
    <w:p w14:paraId="453F16A3"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EPRTR este apreciat de părțile interesate. Acestea recunosc că registrul este ușor de accesat și că dispune de un set de date valoros și coerent, neexistând o alternativă comparabilă pentru datele referitoare la emisiile industriale ale UE.</w:t>
      </w:r>
    </w:p>
    <w:p w14:paraId="20543A1E" w14:textId="77777777" w:rsidR="00137990" w:rsidRPr="004C704C" w:rsidRDefault="00137990" w:rsidP="00137990">
      <w:pPr>
        <w:pBdr>
          <w:top w:val="nil"/>
          <w:left w:val="nil"/>
          <w:bottom w:val="nil"/>
          <w:right w:val="nil"/>
          <w:between w:val="nil"/>
          <w:bar w:val="nil"/>
        </w:pBdr>
        <w:spacing w:before="0" w:after="0"/>
        <w:rPr>
          <w:noProof/>
        </w:rPr>
      </w:pPr>
    </w:p>
    <w:p w14:paraId="5A464EA3"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Cu ocazia evaluării nu s-a identificat vreun mod de îmbunătățire sau de simplificare semnificativă a regulamentului existent. S-au identificat însă aspecte care ar putea fi îmbunătățite în următoarele domenii:</w:t>
      </w:r>
    </w:p>
    <w:p w14:paraId="5643B6D4" w14:textId="77777777" w:rsidR="00137990" w:rsidRPr="004C704C" w:rsidRDefault="00137990" w:rsidP="00137990">
      <w:pPr>
        <w:pStyle w:val="ListParagraph"/>
        <w:pBdr>
          <w:top w:val="nil"/>
          <w:left w:val="nil"/>
          <w:bottom w:val="nil"/>
          <w:right w:val="nil"/>
          <w:between w:val="nil"/>
          <w:bar w:val="nil"/>
        </w:pBdr>
        <w:spacing w:after="0" w:line="240" w:lineRule="auto"/>
        <w:jc w:val="both"/>
        <w:rPr>
          <w:rFonts w:ascii="Times New Roman" w:hAnsi="Times New Roman" w:cs="Times New Roman"/>
          <w:i/>
          <w:noProof/>
          <w:sz w:val="24"/>
          <w:szCs w:val="24"/>
        </w:rPr>
      </w:pPr>
    </w:p>
    <w:p w14:paraId="7EC9C744" w14:textId="77777777" w:rsidR="00137990" w:rsidRPr="004C704C" w:rsidRDefault="00137990" w:rsidP="007B2D5E">
      <w:pPr>
        <w:pStyle w:val="Tiret0"/>
        <w:numPr>
          <w:ilvl w:val="0"/>
          <w:numId w:val="20"/>
        </w:numPr>
        <w:rPr>
          <w:noProof/>
        </w:rPr>
      </w:pPr>
      <w:r w:rsidRPr="004C704C">
        <w:rPr>
          <w:noProof/>
        </w:rPr>
        <w:t>deși a rezultat că statele membre se îndreaptă spre aceleași bune practici, actualizarea ghidurilor existente ale UE ar putea contribui la o interpretare mai coerentă a datelor;</w:t>
      </w:r>
    </w:p>
    <w:p w14:paraId="1DEE7D42" w14:textId="77777777" w:rsidR="00137990" w:rsidRPr="004C704C" w:rsidRDefault="00137990" w:rsidP="00FF603A">
      <w:pPr>
        <w:pStyle w:val="Tiret0"/>
        <w:rPr>
          <w:noProof/>
        </w:rPr>
      </w:pPr>
      <w:r w:rsidRPr="004C704C">
        <w:rPr>
          <w:noProof/>
        </w:rPr>
        <w:t>EPRTR ar putea fi mai eficient și mai coerent dacă ar fi aliniat mai mult la alte obligații strâns legate de raportare în materie de mediu;</w:t>
      </w:r>
    </w:p>
    <w:p w14:paraId="614802B3" w14:textId="77777777" w:rsidR="00137990" w:rsidRPr="004C704C" w:rsidRDefault="00137990" w:rsidP="00FF603A">
      <w:pPr>
        <w:pStyle w:val="Tiret0"/>
        <w:rPr>
          <w:noProof/>
        </w:rPr>
      </w:pPr>
      <w:r w:rsidRPr="004C704C">
        <w:rPr>
          <w:noProof/>
        </w:rPr>
        <w:t>obligația statelor membre de a raporta cu privire la punerea în aplicare a Regulamentului EPRTR o dată la 3 ani nu a fost considerată foarte utilă, ceea ce sugerează că există posibilități de simplificare;</w:t>
      </w:r>
    </w:p>
    <w:p w14:paraId="229C6FEF" w14:textId="77777777" w:rsidR="00137990" w:rsidRPr="004C704C" w:rsidRDefault="00137990" w:rsidP="00FF603A">
      <w:pPr>
        <w:pStyle w:val="Tiret0"/>
        <w:rPr>
          <w:noProof/>
        </w:rPr>
      </w:pPr>
      <w:r w:rsidRPr="004C704C">
        <w:rPr>
          <w:noProof/>
        </w:rPr>
        <w:t>prin adăugarea mai multor date contextuale în EPRTR existent, acesta ar putea deveni mai util, reprezentând o sursă cuprinzătoare de informații despre mediu.</w:t>
      </w:r>
    </w:p>
    <w:p w14:paraId="667EF4AB" w14:textId="77777777" w:rsidR="00137990" w:rsidRPr="004C704C" w:rsidRDefault="00137990" w:rsidP="00137990">
      <w:pPr>
        <w:pBdr>
          <w:top w:val="nil"/>
          <w:left w:val="nil"/>
          <w:bottom w:val="nil"/>
          <w:right w:val="nil"/>
          <w:between w:val="nil"/>
          <w:bar w:val="nil"/>
        </w:pBdr>
        <w:spacing w:before="0" w:after="0"/>
        <w:rPr>
          <w:noProof/>
        </w:rPr>
      </w:pPr>
    </w:p>
    <w:p w14:paraId="2F7D43F3"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În 2021 a fost finalizată o evaluare a impactului regulamentului, evaluare în care au fost analizate mai amănunțit următoarele aspecte.</w:t>
      </w:r>
    </w:p>
    <w:p w14:paraId="73A49678" w14:textId="77777777" w:rsidR="00137990" w:rsidRPr="004C704C" w:rsidRDefault="00137990" w:rsidP="00137990">
      <w:pPr>
        <w:pBdr>
          <w:top w:val="nil"/>
          <w:left w:val="nil"/>
          <w:bottom w:val="nil"/>
          <w:right w:val="nil"/>
          <w:between w:val="nil"/>
          <w:bar w:val="nil"/>
        </w:pBdr>
        <w:spacing w:before="0" w:after="0"/>
        <w:rPr>
          <w:noProof/>
        </w:rPr>
      </w:pPr>
    </w:p>
    <w:p w14:paraId="0C2D6798" w14:textId="77777777" w:rsidR="00137990" w:rsidRPr="004C704C" w:rsidRDefault="00137990" w:rsidP="00FF603A">
      <w:pPr>
        <w:pStyle w:val="Tiret0"/>
        <w:rPr>
          <w:noProof/>
        </w:rPr>
      </w:pPr>
      <w:r w:rsidRPr="004C704C">
        <w:rPr>
          <w:b/>
          <w:i/>
          <w:noProof/>
        </w:rPr>
        <w:t>Aspecte ineficace ale legislației</w:t>
      </w:r>
      <w:r w:rsidRPr="004C704C">
        <w:rPr>
          <w:noProof/>
        </w:rPr>
        <w:t xml:space="preserve"> – în ce mod ar trebui abordate domeniile în care normele actuale ar putea fi mai eficace și mai eficiente. </w:t>
      </w:r>
    </w:p>
    <w:p w14:paraId="44EBD835" w14:textId="77777777" w:rsidR="00137990" w:rsidRPr="004C704C" w:rsidRDefault="00137990" w:rsidP="00FF603A">
      <w:pPr>
        <w:pStyle w:val="Tiret0"/>
        <w:rPr>
          <w:noProof/>
        </w:rPr>
      </w:pPr>
      <w:r w:rsidRPr="004C704C">
        <w:rPr>
          <w:b/>
          <w:i/>
          <w:noProof/>
        </w:rPr>
        <w:t>Contribuția la utilizarea eficientă a resurselor și la scăderea toxicității producției</w:t>
      </w:r>
      <w:r w:rsidRPr="004C704C">
        <w:rPr>
          <w:noProof/>
        </w:rPr>
        <w:t xml:space="preserve"> – determinarea unor posibili noi poluanți de adăugat în regulament, în special pentru o mai bună aliniere a acestuia la standardele de calitate a mediului (pentru aer și apă) și la Regulamentul REACH; analizarea modului în care regulamentul ar putea contribui la dezvoltarea și menținerea economiei circulare, de exemplu prin raportarea cu privire la utilizarea de energie, de apă și de materii prime. </w:t>
      </w:r>
    </w:p>
    <w:p w14:paraId="26D2469E" w14:textId="77777777" w:rsidR="00137990" w:rsidRPr="004C704C" w:rsidRDefault="00137990" w:rsidP="00FF603A">
      <w:pPr>
        <w:pStyle w:val="Tiret0"/>
        <w:rPr>
          <w:noProof/>
        </w:rPr>
      </w:pPr>
      <w:r w:rsidRPr="004C704C">
        <w:rPr>
          <w:b/>
          <w:i/>
          <w:noProof/>
        </w:rPr>
        <w:t>Contribuția la decarbonizare</w:t>
      </w:r>
      <w:r w:rsidRPr="004C704C">
        <w:rPr>
          <w:noProof/>
        </w:rPr>
        <w:t xml:space="preserve"> – în ce mod ar putea contribui regulamentul la eficientizarea diferitelor activități industriale în ceea ce privește emisiile de dioxid de carbon. </w:t>
      </w:r>
    </w:p>
    <w:p w14:paraId="6BEBDB4F" w14:textId="77777777" w:rsidR="00137990" w:rsidRPr="004C704C" w:rsidRDefault="00137990" w:rsidP="00FF603A">
      <w:pPr>
        <w:pStyle w:val="Tiret0"/>
        <w:rPr>
          <w:noProof/>
        </w:rPr>
      </w:pPr>
      <w:r w:rsidRPr="004C704C">
        <w:rPr>
          <w:b/>
          <w:i/>
          <w:noProof/>
        </w:rPr>
        <w:t>Domeniul de aplicare sectorial</w:t>
      </w:r>
      <w:r w:rsidRPr="004C704C">
        <w:rPr>
          <w:noProof/>
        </w:rPr>
        <w:t xml:space="preserve"> – eventualitatea ca regulamentul să omită activități de mediu importante și în ce mod este acesta aliniat la acte legislative conexe și sprijină astfel de acte (în special DEI, Directiva privind instalațiile medii de ardere și Directiva privind tratarea apelor urbane reziduale). </w:t>
      </w:r>
    </w:p>
    <w:p w14:paraId="52496394" w14:textId="77777777" w:rsidR="00137990" w:rsidRPr="004C704C" w:rsidRDefault="00137990" w:rsidP="00137990">
      <w:pPr>
        <w:pStyle w:val="ManualHeading2"/>
        <w:spacing w:before="0" w:after="0"/>
        <w:rPr>
          <w:rFonts w:eastAsia="Arial Unicode MS"/>
          <w:noProof/>
          <w:u w:color="000000"/>
          <w:bdr w:val="nil"/>
          <w:lang w:eastAsia="en-GB"/>
        </w:rPr>
      </w:pPr>
    </w:p>
    <w:p w14:paraId="647E0499"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Consultările cu părțile interesate</w:t>
      </w:r>
    </w:p>
    <w:p w14:paraId="518347A2" w14:textId="77777777" w:rsidR="00F4529A" w:rsidRPr="004C704C" w:rsidRDefault="00F4529A" w:rsidP="009A4807">
      <w:pPr>
        <w:pBdr>
          <w:top w:val="nil"/>
          <w:left w:val="nil"/>
          <w:bottom w:val="nil"/>
          <w:right w:val="nil"/>
          <w:between w:val="nil"/>
          <w:bar w:val="nil"/>
        </w:pBdr>
        <w:spacing w:before="0" w:after="0"/>
        <w:rPr>
          <w:noProof/>
        </w:rPr>
      </w:pPr>
    </w:p>
    <w:p w14:paraId="345FFAD4"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Primele observații transmise erau legate de evaluarea inițială a impactului, publicată pe site-ul web „Exprimați-vă părerea” al Comisiei. Consultarea s-a desfășurat în perioada 28 septembrie 2020-26 octombrie 2020 și în cadrul său au fost primite 37 de răspunsuri.</w:t>
      </w:r>
    </w:p>
    <w:p w14:paraId="61265CD9" w14:textId="77777777" w:rsidR="00137990" w:rsidRPr="004C704C" w:rsidRDefault="00137990" w:rsidP="00137990">
      <w:pPr>
        <w:pBdr>
          <w:top w:val="nil"/>
          <w:left w:val="nil"/>
          <w:bottom w:val="nil"/>
          <w:right w:val="nil"/>
          <w:between w:val="nil"/>
          <w:bar w:val="nil"/>
        </w:pBdr>
        <w:spacing w:before="0" w:after="0"/>
        <w:rPr>
          <w:noProof/>
        </w:rPr>
      </w:pPr>
    </w:p>
    <w:p w14:paraId="17C4D5C3"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În cadrul evaluării impactului a fost organizată o consultare publică deschisă privind revizuirea DEI și a regulamentului, care a durat 13 săptămâni, între 22 decembrie 2020 și 23 martie 2021. Au existat 24 de întrebări, dintre care 4 au vizat în mod direct regulamentul. Publicul și organizațiile au fost încurajate să completeze un chestionar online pe platforma EUSurvey. Consultarea a fost anunțată pe site-ul web „Exprimați-vă părerea”, iar lansarea sa a fost adusă la cunoștința părților interesate și prin e-mail. Respondenții la consultare au avut și posibilitatea de a trimite documente de poziție.</w:t>
      </w:r>
    </w:p>
    <w:p w14:paraId="75496703"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1C01E1BE"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 xml:space="preserve">Consultarea a fost urmată de un chestionar specific adresat părților interesate. Perioada de completare a chestionarului a fost de 8 săptămâni (de la 8 martie la 30 aprilie 2021) și prelungită apoi cu 2 săptămâni (până la 14 mai 2021), astfel încât au putut fi transmise mai multe răspunsuri. Peste 800 de părți interesate din domeniul DEI și al EPRTR au primit prin e-mail invitații de completare a chestionarului. </w:t>
      </w:r>
    </w:p>
    <w:p w14:paraId="0F3DEF0C"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56085B9A"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În cadrul chestionarului, părților interesate li s-a cerut să identifice și să evalueze diferite opțiuni. Chestionarul a cuprins 61 de întrebări, grupate în șase problematici identificate (a se vedea mai jos). Unele întrebări au fost formulate special pentru anumite părți interesate: autorități ale statelor membre (la orice nivel al administrației), industrie (întreprinderi separate sau organisme profesionale) sau alte grupuri (ONG-uri de mediu, experți tehnici, cadre universitare și cercetători). Pentru a se facilita colectarea de informații și pentru a se asigura o transparență deplină, chestionarul a fost transmis prin e-mail în versiune Word și în versiune PDF. Trei asociații industriale și un ONG au transmis materiale însoțitoare, cum ar fi documente de poziție, observații explicative și rezumate ale mesajelor-cheie.</w:t>
      </w:r>
    </w:p>
    <w:p w14:paraId="19AEFE49"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695DFA1A"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 xml:space="preserve">În plus, au avut loc 30 de interviuri cu reprezentanți ai organismelor internaționale, ai instituțiilor UE, ai autorităților naționale, ai asociațiilor industriale sau ai organismelor profesionale, ai organizațiilor neguvernamentale și ai altor organizații. </w:t>
      </w:r>
    </w:p>
    <w:p w14:paraId="5550B181"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13B67796"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Principalele contribuții primite cu privire la cele șase probleme identificate sunt prezentate mai jos.</w:t>
      </w:r>
    </w:p>
    <w:p w14:paraId="5A16612D"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279AD138" w14:textId="6E6FE264"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1.</w:t>
      </w:r>
      <w:r w:rsidRPr="004C704C">
        <w:rPr>
          <w:noProof/>
        </w:rPr>
        <w:tab/>
      </w:r>
      <w:r w:rsidRPr="004C704C">
        <w:rPr>
          <w:b/>
          <w:i/>
          <w:noProof/>
        </w:rPr>
        <w:t>Activități și praguri de activitate</w:t>
      </w:r>
      <w:r w:rsidRPr="004C704C">
        <w:rPr>
          <w:i/>
          <w:noProof/>
        </w:rPr>
        <w:t>:</w:t>
      </w:r>
      <w:r w:rsidRPr="004C704C">
        <w:rPr>
          <w:noProof/>
        </w:rPr>
        <w:t xml:space="preserve"> majoritatea respondenților, din toate grupurile de părți interesate, au considerat că este important să se alinieze categoriile de activități din regulament și din DEI. Majoritatea cercetătorilor, a ONG-urilor și a autorităților publice au considerat că o astfel de aliniere le-ar fi utilă în activitate, în vreme ce majoritatea respondenților din industrie au considerat că ea nu ar schimba nimic în sarcinile lor actuale legate de EPRTR. Această aliniere a fost considerată o ocazie pentru a facilita colectarea și raportarea datelor și de a spori coerența activității de control de mediu și a calității datelor.</w:t>
      </w:r>
      <w:r w:rsidR="003D1459">
        <w:rPr>
          <w:noProof/>
        </w:rPr>
        <w:t xml:space="preserve"> </w:t>
      </w:r>
    </w:p>
    <w:p w14:paraId="79590AF6"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6806735B"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2.</w:t>
      </w:r>
      <w:r w:rsidRPr="004C704C">
        <w:rPr>
          <w:noProof/>
        </w:rPr>
        <w:tab/>
      </w:r>
      <w:r w:rsidRPr="004C704C">
        <w:rPr>
          <w:b/>
          <w:i/>
          <w:noProof/>
        </w:rPr>
        <w:t>Poluanți și praguri pentru raportarea emisiilor</w:t>
      </w:r>
      <w:r w:rsidRPr="004C704C">
        <w:rPr>
          <w:noProof/>
        </w:rPr>
        <w:t>: respondenții au fost întrebați dacă cred că este important să se adauge în anexa II la regulament 52 de poluanți identificați. A existat o susținere generală pentru această propunere, dar rezultatele reflectă cunoștințele de specialitate ale respondenților și importanța acestor poluanți în sectoarele industriale respective. Participanții la chestionar au sugerat, de asemenea, o serie de alți poluanți care ar trebui incluși.</w:t>
      </w:r>
    </w:p>
    <w:p w14:paraId="5A844ACA"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20361455"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3.</w:t>
      </w:r>
      <w:r w:rsidRPr="004C704C">
        <w:rPr>
          <w:noProof/>
        </w:rPr>
        <w:tab/>
      </w:r>
      <w:r w:rsidRPr="004C704C">
        <w:rPr>
          <w:b/>
          <w:i/>
          <w:noProof/>
        </w:rPr>
        <w:t>Informații pentru urmărirea progreselor înregistrate în ceea ce privește dezvoltarea economiei circulare și decarbonizarea industriei</w:t>
      </w:r>
      <w:r w:rsidRPr="004C704C">
        <w:rPr>
          <w:noProof/>
        </w:rPr>
        <w:t>: un număr mare de cercetători, ONG-uri și autorități publice au considerat că este foarte important sau destul de important să se raporteze informații contextuale suplimentare privind consumul de energie și valorificarea/reutilizarea energiei. Cu toate acestea, doar un mic procent din părțile interesate din industrie au considerat că acest lucru este important, menționând deseori sarcina administrativă suplimentară ca motiv de preocupare.</w:t>
      </w:r>
    </w:p>
    <w:p w14:paraId="55B6B866"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5DCD11BF"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4.</w:t>
      </w:r>
      <w:r w:rsidRPr="004C704C">
        <w:rPr>
          <w:noProof/>
        </w:rPr>
        <w:tab/>
      </w:r>
      <w:r w:rsidRPr="004C704C">
        <w:rPr>
          <w:b/>
          <w:i/>
          <w:noProof/>
        </w:rPr>
        <w:t>Metodele de raportare și fluxul de date</w:t>
      </w:r>
      <w:r w:rsidRPr="004C704C">
        <w:rPr>
          <w:i/>
          <w:noProof/>
        </w:rPr>
        <w:t>:</w:t>
      </w:r>
      <w:r w:rsidRPr="004C704C">
        <w:rPr>
          <w:noProof/>
        </w:rPr>
        <w:t xml:space="preserve"> majoritatea respondenților, din toate grupurile de părți interesate, au considerat că este important sau măcar puțin important să se permită flexibilitatea raportării descendente (de către statele membre) în anumite sectoare industriale. Referitor la scurtarea termenelor de raportare, multe părți interesate din industrie au indicat că este mai importantă calitatea datelor decât viteza de raportare a datelor.</w:t>
      </w:r>
    </w:p>
    <w:p w14:paraId="1F2EAD6C"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5CBFC453"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5.</w:t>
      </w:r>
      <w:r w:rsidRPr="004C704C">
        <w:rPr>
          <w:noProof/>
        </w:rPr>
        <w:tab/>
      </w:r>
      <w:r w:rsidRPr="004C704C">
        <w:rPr>
          <w:b/>
          <w:i/>
          <w:noProof/>
        </w:rPr>
        <w:t>Accesul la informații din EPRTR</w:t>
      </w:r>
      <w:r w:rsidRPr="004C704C">
        <w:rPr>
          <w:noProof/>
        </w:rPr>
        <w:t>: cercetătorii, ONG-urile, autoritățile publice și publicul au sprijinit cerința de raportare a emisiilor la „nivel de subunitate”. Reprezentanții industriei au manifestat mai puțin sprijin, considerând că o astfel de raportare ar avea un efect semnificativ asupra volumului lor de muncă.</w:t>
      </w:r>
    </w:p>
    <w:p w14:paraId="43DB97EB" w14:textId="77777777" w:rsidR="00137990" w:rsidRPr="004C704C" w:rsidRDefault="00137990" w:rsidP="00137990">
      <w:pPr>
        <w:pBdr>
          <w:top w:val="nil"/>
          <w:left w:val="nil"/>
          <w:bottom w:val="nil"/>
          <w:right w:val="nil"/>
          <w:between w:val="nil"/>
          <w:bar w:val="nil"/>
        </w:pBdr>
        <w:spacing w:before="0" w:after="0"/>
        <w:rPr>
          <w:rFonts w:eastAsia="Arial Unicode MS"/>
          <w:noProof/>
        </w:rPr>
      </w:pPr>
    </w:p>
    <w:p w14:paraId="5A5FDE32" w14:textId="0D254F61"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6.</w:t>
      </w:r>
      <w:r w:rsidRPr="004C704C">
        <w:rPr>
          <w:noProof/>
        </w:rPr>
        <w:tab/>
      </w:r>
      <w:r w:rsidRPr="004C704C">
        <w:rPr>
          <w:b/>
          <w:i/>
          <w:noProof/>
        </w:rPr>
        <w:t>Emisiile din surse difuze și din produse</w:t>
      </w:r>
      <w:r w:rsidRPr="004C704C">
        <w:rPr>
          <w:i/>
          <w:noProof/>
        </w:rPr>
        <w:t>:</w:t>
      </w:r>
      <w:r w:rsidRPr="004C704C">
        <w:rPr>
          <w:noProof/>
        </w:rPr>
        <w:t xml:space="preserve"> toți respondenții au considerat că opțiunile propuse ar contribui la îmbunătățirea informațiilor actuale din EPRTR privind emisiile din surse difuze, susținând în special ideea unor modele standardizate și factori de emisie. Emisiile din produse au fost considerate neimportante de către majoritatea părților interesate din industrie, dar destul de importante sau foarte importante de către cercetători, ONG-uri și autorități.</w:t>
      </w:r>
      <w:r w:rsidR="003D1459">
        <w:rPr>
          <w:noProof/>
        </w:rPr>
        <w:t xml:space="preserve"> </w:t>
      </w:r>
    </w:p>
    <w:p w14:paraId="2ADC1D79" w14:textId="77777777" w:rsidR="00F4529A" w:rsidRPr="004C704C" w:rsidRDefault="00F4529A" w:rsidP="009A4807">
      <w:pPr>
        <w:keepNext/>
        <w:tabs>
          <w:tab w:val="left" w:pos="850"/>
        </w:tabs>
        <w:spacing w:before="0" w:after="0"/>
        <w:outlineLvl w:val="1"/>
        <w:rPr>
          <w:b/>
          <w:noProof/>
          <w:lang w:eastAsia="en-GB"/>
        </w:rPr>
      </w:pPr>
    </w:p>
    <w:p w14:paraId="596387B8"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 xml:space="preserve">Evaluarea impactului </w:t>
      </w:r>
    </w:p>
    <w:p w14:paraId="5A5A72BC" w14:textId="77777777" w:rsidR="00F4529A" w:rsidRPr="004C704C" w:rsidRDefault="00F4529A" w:rsidP="009A4807">
      <w:pPr>
        <w:pBdr>
          <w:top w:val="nil"/>
          <w:left w:val="nil"/>
          <w:bottom w:val="nil"/>
          <w:right w:val="nil"/>
          <w:between w:val="nil"/>
          <w:bar w:val="nil"/>
        </w:pBdr>
        <w:spacing w:before="0" w:after="0"/>
        <w:rPr>
          <w:rFonts w:eastAsia="Arial Unicode MS"/>
          <w:noProof/>
        </w:rPr>
      </w:pPr>
    </w:p>
    <w:p w14:paraId="5AF08EC8" w14:textId="30DFC37E" w:rsidR="00137990" w:rsidRPr="004C704C" w:rsidRDefault="00137990" w:rsidP="00137990">
      <w:pPr>
        <w:pBdr>
          <w:top w:val="nil"/>
          <w:left w:val="nil"/>
          <w:bottom w:val="nil"/>
          <w:right w:val="nil"/>
          <w:between w:val="nil"/>
          <w:bar w:val="nil"/>
        </w:pBdr>
        <w:spacing w:before="0" w:after="0"/>
        <w:rPr>
          <w:noProof/>
        </w:rPr>
      </w:pPr>
      <w:r w:rsidRPr="004C704C">
        <w:rPr>
          <w:noProof/>
        </w:rPr>
        <w:t>La 20 decembrie 2021, Comitetul de control normativ a emis un „aviz pozitiv cu rezerve”. Acesta va fi publicat după adoptarea prezentei propuneri de către Comisie</w:t>
      </w:r>
      <w:r w:rsidRPr="004C704C">
        <w:rPr>
          <w:rStyle w:val="FootnoteReference"/>
          <w:noProof/>
        </w:rPr>
        <w:footnoteReference w:id="25"/>
      </w:r>
      <w:r w:rsidRPr="004C704C">
        <w:rPr>
          <w:noProof/>
        </w:rPr>
        <w:t>. Între timp, documentul de lucru al serviciilor Comisiei a fost modificat pentru a se ține seama de constatările comitetului.</w:t>
      </w:r>
      <w:r w:rsidR="003D1459">
        <w:rPr>
          <w:noProof/>
        </w:rPr>
        <w:t xml:space="preserve"> </w:t>
      </w:r>
    </w:p>
    <w:p w14:paraId="59A26B7E" w14:textId="77777777" w:rsidR="00F4529A" w:rsidRPr="004C704C" w:rsidRDefault="00F4529A" w:rsidP="009A4807">
      <w:pPr>
        <w:keepNext/>
        <w:tabs>
          <w:tab w:val="left" w:pos="850"/>
        </w:tabs>
        <w:spacing w:before="0" w:after="0"/>
        <w:outlineLvl w:val="1"/>
        <w:rPr>
          <w:rFonts w:eastAsia="Arial Unicode MS"/>
          <w:b/>
          <w:noProof/>
          <w:u w:color="000000"/>
          <w:bdr w:val="nil"/>
          <w:lang w:eastAsia="en-GB"/>
        </w:rPr>
      </w:pPr>
    </w:p>
    <w:p w14:paraId="47029CA3"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Adecvarea reglementărilor și simplificarea</w:t>
      </w:r>
    </w:p>
    <w:p w14:paraId="4A3FE737" w14:textId="77777777" w:rsidR="00F4529A" w:rsidRPr="004C704C" w:rsidRDefault="00F4529A" w:rsidP="009A4807">
      <w:pPr>
        <w:autoSpaceDE w:val="0"/>
        <w:autoSpaceDN w:val="0"/>
        <w:spacing w:before="0" w:after="0"/>
        <w:rPr>
          <w:rFonts w:eastAsia="Times New Roman"/>
          <w:noProof/>
          <w:szCs w:val="24"/>
          <w:lang w:eastAsia="en-GB"/>
        </w:rPr>
      </w:pPr>
    </w:p>
    <w:p w14:paraId="10960632" w14:textId="77777777" w:rsidR="00424B5E" w:rsidRPr="004C704C" w:rsidRDefault="00137990" w:rsidP="00137990">
      <w:pPr>
        <w:autoSpaceDE w:val="0"/>
        <w:autoSpaceDN w:val="0"/>
        <w:spacing w:before="0" w:after="0"/>
        <w:rPr>
          <w:rFonts w:eastAsia="Times New Roman"/>
          <w:noProof/>
        </w:rPr>
      </w:pPr>
      <w:r w:rsidRPr="004C704C">
        <w:rPr>
          <w:noProof/>
        </w:rPr>
        <w:t>În concordanță cu angajamentul Comisiei pentru o mai bună legiferare, prezenta propunere a fost elaborată într-un mod incluziv, în condiții de transparență completă și cu implicarea permanentă a părților interesate, luându-se în considerare atât feedbackul extern, cât și controlul extern pentru a se asigura un echilibru potrivit în cadrul propunerii.</w:t>
      </w:r>
    </w:p>
    <w:p w14:paraId="66785E24" w14:textId="77777777" w:rsidR="00424B5E" w:rsidRPr="004C704C" w:rsidRDefault="00424B5E" w:rsidP="00424B5E">
      <w:pPr>
        <w:pBdr>
          <w:top w:val="nil"/>
          <w:left w:val="nil"/>
          <w:bottom w:val="nil"/>
          <w:right w:val="nil"/>
          <w:between w:val="nil"/>
          <w:bar w:val="nil"/>
        </w:pBdr>
        <w:spacing w:after="240"/>
        <w:rPr>
          <w:rFonts w:eastAsia="Calibri"/>
          <w:noProof/>
          <w:szCs w:val="24"/>
        </w:rPr>
      </w:pPr>
      <w:r w:rsidRPr="004C704C">
        <w:rPr>
          <w:noProof/>
        </w:rPr>
        <w:t>EPRTR este recunoscut ca fiind o bună practică în ceea ce privește raportarea raționalizată și coerentă</w:t>
      </w:r>
      <w:r w:rsidRPr="004C704C">
        <w:rPr>
          <w:rStyle w:val="FootnoteReference"/>
          <w:noProof/>
        </w:rPr>
        <w:footnoteReference w:id="26"/>
      </w:r>
      <w:r w:rsidRPr="004C704C">
        <w:rPr>
          <w:noProof/>
        </w:rPr>
        <w:t>. Deși acest lucru limitează potențialul de raționalizare suplimentară, propunerile au fost concepute astfel încât să reducă la minimum sarcina suplimentară.</w:t>
      </w:r>
    </w:p>
    <w:p w14:paraId="32C06AD6" w14:textId="77777777" w:rsidR="00424B5E" w:rsidRPr="004C704C" w:rsidRDefault="00424B5E" w:rsidP="00424B5E">
      <w:pPr>
        <w:pBdr>
          <w:top w:val="nil"/>
          <w:left w:val="nil"/>
          <w:bottom w:val="nil"/>
          <w:right w:val="nil"/>
          <w:between w:val="nil"/>
          <w:bar w:val="nil"/>
        </w:pBdr>
        <w:spacing w:after="240"/>
        <w:rPr>
          <w:noProof/>
          <w:szCs w:val="24"/>
        </w:rPr>
      </w:pPr>
      <w:r w:rsidRPr="004C704C">
        <w:rPr>
          <w:noProof/>
        </w:rPr>
        <w:t>Raportarea la nivel de instalație și nu la nivel de unitate va asigura coerența deplină cu raportarea efectuată în temeiul Directivei 2010/75, reducând astfel orice sarcină administrativă legată de raportarea la diferite niveluri tehnice în amplasamentele industriale.</w:t>
      </w:r>
    </w:p>
    <w:p w14:paraId="1ACF72D4" w14:textId="77777777" w:rsidR="00424B5E" w:rsidRPr="004C704C" w:rsidRDefault="00424B5E" w:rsidP="00424B5E">
      <w:pPr>
        <w:pBdr>
          <w:top w:val="nil"/>
          <w:left w:val="nil"/>
          <w:bottom w:val="nil"/>
          <w:right w:val="nil"/>
          <w:between w:val="nil"/>
          <w:bar w:val="nil"/>
        </w:pBdr>
        <w:spacing w:after="240"/>
        <w:rPr>
          <w:rFonts w:eastAsia="Calibri"/>
          <w:noProof/>
          <w:szCs w:val="24"/>
        </w:rPr>
      </w:pPr>
      <w:r w:rsidRPr="004C704C">
        <w:rPr>
          <w:noProof/>
        </w:rPr>
        <w:t>Raportarea simplificată de sus în jos pentru creșterea animalelor și acvacultură va reduce sarcina administrativă a fermelor de creștere a animalelor și a întreprinderilor de acvacultură cu 11,8 milioane EUR/an iar pentru administrația publică cu 0,670 milioane EUR.</w:t>
      </w:r>
    </w:p>
    <w:p w14:paraId="2374F5C0" w14:textId="77777777" w:rsidR="00F4529A" w:rsidRPr="004C704C" w:rsidRDefault="00504F84" w:rsidP="00504F84">
      <w:pPr>
        <w:pBdr>
          <w:top w:val="nil"/>
          <w:left w:val="nil"/>
          <w:bottom w:val="nil"/>
          <w:right w:val="nil"/>
          <w:between w:val="nil"/>
          <w:bar w:val="nil"/>
        </w:pBdr>
        <w:spacing w:after="240"/>
        <w:rPr>
          <w:rFonts w:eastAsia="Calibri"/>
          <w:noProof/>
          <w:szCs w:val="24"/>
        </w:rPr>
      </w:pPr>
      <w:r w:rsidRPr="004C704C">
        <w:rPr>
          <w:noProof/>
        </w:rPr>
        <w:t>Deoarece este necesar ca actualul regulament privind EPRTR, Regulamentul(CE) nr. 166/2006, să fie modificat substanțial, acesta ar trebui abrogat și înlocuit cu prezentul regulament din motive de securitate juridică, de claritate și de transparență.</w:t>
      </w:r>
    </w:p>
    <w:p w14:paraId="59048C35"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Drepturile fundamentale</w:t>
      </w:r>
    </w:p>
    <w:p w14:paraId="1E83B5B5" w14:textId="77777777" w:rsidR="00F4529A" w:rsidRPr="004C704C" w:rsidRDefault="00F4529A" w:rsidP="009A4807">
      <w:pPr>
        <w:pBdr>
          <w:top w:val="nil"/>
          <w:left w:val="nil"/>
          <w:bottom w:val="nil"/>
          <w:right w:val="nil"/>
          <w:between w:val="nil"/>
          <w:bar w:val="nil"/>
        </w:pBdr>
        <w:spacing w:before="0" w:after="0"/>
        <w:rPr>
          <w:rFonts w:eastAsia="Arial Unicode MS"/>
          <w:noProof/>
        </w:rPr>
      </w:pPr>
    </w:p>
    <w:p w14:paraId="3DDE9C2C" w14:textId="77777777" w:rsidR="00137990" w:rsidRPr="004C704C" w:rsidRDefault="00137990" w:rsidP="00137990">
      <w:pPr>
        <w:pBdr>
          <w:top w:val="nil"/>
          <w:left w:val="nil"/>
          <w:bottom w:val="nil"/>
          <w:right w:val="nil"/>
          <w:between w:val="nil"/>
          <w:bar w:val="nil"/>
        </w:pBdr>
        <w:spacing w:before="0" w:after="0"/>
        <w:rPr>
          <w:rFonts w:eastAsia="Arial Unicode MS"/>
          <w:noProof/>
        </w:rPr>
      </w:pPr>
      <w:r w:rsidRPr="004C704C">
        <w:rPr>
          <w:noProof/>
        </w:rPr>
        <w:t>Propunerea respectă drepturile fundamentale, în special pe cele prevăzute în Carta drepturilor fundamentale a Uniunii Europene. Propunerea contribuie, de asemenea, la dreptul la un nivel ridicat de protecție a mediului în concordanță cu principiul dezvoltării durabile, astfel cum se prevede la articolul 37 din cartă</w:t>
      </w:r>
      <w:r w:rsidRPr="004C704C">
        <w:rPr>
          <w:rStyle w:val="FootnoteReference"/>
          <w:noProof/>
        </w:rPr>
        <w:footnoteReference w:id="27"/>
      </w:r>
      <w:r w:rsidRPr="004C704C">
        <w:rPr>
          <w:noProof/>
        </w:rPr>
        <w:t>.</w:t>
      </w:r>
    </w:p>
    <w:p w14:paraId="201A1F66" w14:textId="77777777" w:rsidR="00F4529A" w:rsidRPr="004C704C" w:rsidRDefault="00F4529A" w:rsidP="009A4807">
      <w:pPr>
        <w:keepNext/>
        <w:tabs>
          <w:tab w:val="left" w:pos="850"/>
        </w:tabs>
        <w:spacing w:before="0" w:after="0"/>
        <w:ind w:left="850" w:hanging="850"/>
        <w:outlineLvl w:val="0"/>
        <w:rPr>
          <w:b/>
          <w:smallCaps/>
          <w:noProof/>
        </w:rPr>
      </w:pPr>
    </w:p>
    <w:p w14:paraId="2533569C" w14:textId="77777777" w:rsidR="00080EAD" w:rsidRPr="004C704C" w:rsidRDefault="00080EAD" w:rsidP="009A4807">
      <w:pPr>
        <w:keepNext/>
        <w:tabs>
          <w:tab w:val="left" w:pos="850"/>
        </w:tabs>
        <w:spacing w:before="0" w:after="0"/>
        <w:ind w:left="850" w:hanging="850"/>
        <w:outlineLvl w:val="0"/>
        <w:rPr>
          <w:b/>
          <w:smallCaps/>
          <w:noProof/>
        </w:rPr>
      </w:pPr>
    </w:p>
    <w:p w14:paraId="3D8E6E3F" w14:textId="77777777" w:rsidR="00F4529A" w:rsidRPr="004C704C" w:rsidRDefault="00F4529A" w:rsidP="009A4807">
      <w:pPr>
        <w:keepNext/>
        <w:tabs>
          <w:tab w:val="left" w:pos="850"/>
        </w:tabs>
        <w:spacing w:before="0" w:after="0"/>
        <w:ind w:left="851" w:hanging="851"/>
        <w:outlineLvl w:val="0"/>
        <w:rPr>
          <w:b/>
          <w:smallCaps/>
          <w:noProof/>
        </w:rPr>
      </w:pPr>
      <w:r w:rsidRPr="004C704C">
        <w:rPr>
          <w:b/>
          <w:smallCaps/>
          <w:noProof/>
        </w:rPr>
        <w:t>4.</w:t>
      </w:r>
      <w:r w:rsidRPr="004C704C">
        <w:rPr>
          <w:noProof/>
        </w:rPr>
        <w:tab/>
      </w:r>
      <w:r w:rsidRPr="004C704C">
        <w:rPr>
          <w:b/>
          <w:smallCaps/>
          <w:noProof/>
        </w:rPr>
        <w:t>IMPLICAȚII BUGETARE</w:t>
      </w:r>
    </w:p>
    <w:p w14:paraId="1C283CFB" w14:textId="77777777" w:rsidR="00674F93" w:rsidRPr="004C704C" w:rsidRDefault="00674F93" w:rsidP="009A4807">
      <w:pPr>
        <w:keepNext/>
        <w:tabs>
          <w:tab w:val="left" w:pos="850"/>
        </w:tabs>
        <w:spacing w:before="0" w:after="0"/>
        <w:ind w:left="851" w:hanging="851"/>
        <w:outlineLvl w:val="0"/>
        <w:rPr>
          <w:b/>
          <w:smallCaps/>
          <w:noProof/>
        </w:rPr>
      </w:pPr>
    </w:p>
    <w:p w14:paraId="4EB837B5"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Propunerea va avea implicații bugetare pentru resursele umane și administrative din cadrul Comisiei și al Agenției Europene de Mediu. Aceste detalii sunt prezentate în fișa financiară din anexă.</w:t>
      </w:r>
    </w:p>
    <w:p w14:paraId="0C3E0262" w14:textId="77777777" w:rsidR="00137990" w:rsidRPr="004C704C" w:rsidRDefault="00137990" w:rsidP="00137990">
      <w:pPr>
        <w:pBdr>
          <w:top w:val="nil"/>
          <w:left w:val="nil"/>
          <w:bottom w:val="nil"/>
          <w:right w:val="nil"/>
          <w:between w:val="nil"/>
          <w:bar w:val="nil"/>
        </w:pBdr>
        <w:spacing w:before="0" w:after="0"/>
        <w:rPr>
          <w:noProof/>
        </w:rPr>
      </w:pPr>
    </w:p>
    <w:p w14:paraId="41EE2518"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 xml:space="preserve">Comisia va desfășura o activitate suplimentară pentru a pune în aplicare domeniul de aplicare mai larg al regulamentului (și anume, acoperirea sectorială mai largă) și modul mai intens de acțiune al acestuia (de exemplu, prin introducerea unor factori suplimentari, cum ar fi utilizarea resurselor și raportarea la nivel de instalație). Comisia va derula această activitate în concordanță cu alocarea existentă a resurselor. </w:t>
      </w:r>
    </w:p>
    <w:p w14:paraId="6811EC19" w14:textId="77777777" w:rsidR="00137990" w:rsidRPr="004C704C" w:rsidRDefault="00137990" w:rsidP="00137990">
      <w:pPr>
        <w:pBdr>
          <w:top w:val="nil"/>
          <w:left w:val="nil"/>
          <w:bottom w:val="nil"/>
          <w:right w:val="nil"/>
          <w:between w:val="nil"/>
          <w:bar w:val="nil"/>
        </w:pBdr>
        <w:spacing w:before="0" w:after="0"/>
        <w:rPr>
          <w:noProof/>
        </w:rPr>
      </w:pPr>
    </w:p>
    <w:p w14:paraId="129B67E2" w14:textId="77777777" w:rsidR="00137990" w:rsidRPr="004C704C" w:rsidRDefault="00137990" w:rsidP="00137990">
      <w:pPr>
        <w:pBdr>
          <w:top w:val="nil"/>
          <w:left w:val="nil"/>
          <w:bottom w:val="nil"/>
          <w:right w:val="nil"/>
          <w:between w:val="nil"/>
          <w:bar w:val="nil"/>
        </w:pBdr>
        <w:spacing w:before="0" w:after="0"/>
        <w:rPr>
          <w:noProof/>
        </w:rPr>
      </w:pPr>
      <w:r w:rsidRPr="004C704C">
        <w:rPr>
          <w:noProof/>
        </w:rPr>
        <w:t>Agenția Europeană de Mediu va sprijini Comisia gestionând Portalul emisiilor industriale („portalul”) și punând în aplicare măsurile practice necesare pentru a ține seama de domeniul de aplicare mai larg și de modul mai intens de acțiune. Sunt necesare în total încă două echivalente normă întreagă.</w:t>
      </w:r>
    </w:p>
    <w:p w14:paraId="6EECF2AF" w14:textId="77777777" w:rsidR="00F4529A" w:rsidRPr="004C704C" w:rsidRDefault="00F4529A" w:rsidP="009A4807">
      <w:pPr>
        <w:keepNext/>
        <w:tabs>
          <w:tab w:val="left" w:pos="850"/>
        </w:tabs>
        <w:spacing w:before="0" w:after="0"/>
        <w:ind w:left="850" w:hanging="850"/>
        <w:outlineLvl w:val="0"/>
        <w:rPr>
          <w:b/>
          <w:smallCaps/>
          <w:noProof/>
        </w:rPr>
      </w:pPr>
    </w:p>
    <w:p w14:paraId="13271C83" w14:textId="77777777" w:rsidR="00080EAD" w:rsidRPr="004C704C" w:rsidRDefault="00080EAD" w:rsidP="009A4807">
      <w:pPr>
        <w:keepNext/>
        <w:tabs>
          <w:tab w:val="left" w:pos="850"/>
        </w:tabs>
        <w:spacing w:before="0" w:after="0"/>
        <w:ind w:left="850" w:hanging="850"/>
        <w:outlineLvl w:val="0"/>
        <w:rPr>
          <w:b/>
          <w:smallCaps/>
          <w:noProof/>
        </w:rPr>
      </w:pPr>
    </w:p>
    <w:p w14:paraId="5E7D87A8" w14:textId="77777777" w:rsidR="00F4529A" w:rsidRPr="004C704C" w:rsidRDefault="00F4529A" w:rsidP="009A4807">
      <w:pPr>
        <w:keepNext/>
        <w:tabs>
          <w:tab w:val="left" w:pos="850"/>
        </w:tabs>
        <w:spacing w:before="0" w:after="0"/>
        <w:ind w:left="850" w:hanging="850"/>
        <w:outlineLvl w:val="0"/>
        <w:rPr>
          <w:b/>
          <w:smallCaps/>
          <w:noProof/>
        </w:rPr>
      </w:pPr>
      <w:r w:rsidRPr="004C704C">
        <w:rPr>
          <w:b/>
          <w:smallCaps/>
          <w:noProof/>
        </w:rPr>
        <w:t>5.</w:t>
      </w:r>
      <w:r w:rsidRPr="004C704C">
        <w:rPr>
          <w:noProof/>
        </w:rPr>
        <w:tab/>
      </w:r>
      <w:r w:rsidRPr="004C704C">
        <w:rPr>
          <w:b/>
          <w:smallCaps/>
          <w:noProof/>
        </w:rPr>
        <w:t>ALTE ELEMENTE</w:t>
      </w:r>
    </w:p>
    <w:p w14:paraId="10CA2F78" w14:textId="77777777" w:rsidR="00F4529A" w:rsidRPr="004C704C" w:rsidRDefault="00F4529A" w:rsidP="009A4807">
      <w:pPr>
        <w:keepNext/>
        <w:tabs>
          <w:tab w:val="left" w:pos="850"/>
        </w:tabs>
        <w:spacing w:before="0" w:after="0"/>
        <w:ind w:left="850" w:hanging="850"/>
        <w:outlineLvl w:val="1"/>
        <w:rPr>
          <w:rFonts w:eastAsia="Arial Unicode MS"/>
          <w:b/>
          <w:noProof/>
          <w:u w:color="000000"/>
          <w:bdr w:val="nil"/>
          <w:lang w:eastAsia="en-GB"/>
        </w:rPr>
      </w:pPr>
    </w:p>
    <w:p w14:paraId="378BD69A"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Planurile de punere în aplicare și măsurile de monitorizare, evaluare și raportare</w:t>
      </w:r>
    </w:p>
    <w:p w14:paraId="0AB49AC7" w14:textId="77777777" w:rsidR="00F4529A" w:rsidRPr="004C704C" w:rsidRDefault="00F4529A" w:rsidP="009A4807">
      <w:pPr>
        <w:pBdr>
          <w:top w:val="nil"/>
          <w:left w:val="nil"/>
          <w:bottom w:val="nil"/>
          <w:right w:val="nil"/>
          <w:between w:val="nil"/>
          <w:bar w:val="nil"/>
        </w:pBdr>
        <w:spacing w:before="0" w:after="0"/>
        <w:rPr>
          <w:rFonts w:eastAsia="Arial Unicode MS"/>
          <w:noProof/>
          <w:color w:val="0000FF"/>
        </w:rPr>
      </w:pPr>
    </w:p>
    <w:p w14:paraId="4DA28D0C" w14:textId="77777777" w:rsidR="00137990" w:rsidRPr="004C704C" w:rsidRDefault="00137990" w:rsidP="00137990">
      <w:pPr>
        <w:autoSpaceDE w:val="0"/>
        <w:autoSpaceDN w:val="0"/>
        <w:spacing w:before="0" w:after="0"/>
        <w:rPr>
          <w:rFonts w:eastAsia="Times New Roman"/>
          <w:noProof/>
        </w:rPr>
      </w:pPr>
      <w:r w:rsidRPr="004C704C">
        <w:rPr>
          <w:noProof/>
        </w:rPr>
        <w:t>Emisiile totale de poluanți din fiecare sector, pe baza datelor raportate de operatori în EPRTR, vor rămâne indicatori-cheie pentru urmărirea progreselor înregistrate în raport cu obiectivele prezentei inițiative. Îmbunătățirea EPRTR va însemna și îmbunătățirea monitorizării performanței de mediu a diferitelor sectoare industriale.</w:t>
      </w:r>
    </w:p>
    <w:p w14:paraId="7009ED82" w14:textId="77777777" w:rsidR="00137990" w:rsidRPr="004C704C" w:rsidRDefault="00137990" w:rsidP="00137990">
      <w:pPr>
        <w:autoSpaceDE w:val="0"/>
        <w:autoSpaceDN w:val="0"/>
        <w:spacing w:before="0" w:after="0"/>
        <w:rPr>
          <w:rFonts w:eastAsia="Times New Roman"/>
          <w:noProof/>
          <w:sz w:val="22"/>
          <w:lang w:eastAsia="en-GB"/>
        </w:rPr>
      </w:pPr>
    </w:p>
    <w:p w14:paraId="47E9807F" w14:textId="77777777" w:rsidR="00137990" w:rsidRPr="004C704C" w:rsidRDefault="00137990" w:rsidP="0088168D">
      <w:pPr>
        <w:pStyle w:val="Bullet0"/>
        <w:rPr>
          <w:noProof/>
        </w:rPr>
      </w:pPr>
      <w:r w:rsidRPr="004C704C">
        <w:rPr>
          <w:noProof/>
        </w:rPr>
        <w:t>O raportare mai detaliată a poluanților la nivel de instalație va permite analiza principalelor procese din sectoarele în care performanța de mediu se îmbunătățește sau rămâne în urmă.</w:t>
      </w:r>
    </w:p>
    <w:p w14:paraId="63F3741B" w14:textId="77777777" w:rsidR="00137990" w:rsidRPr="004C704C" w:rsidRDefault="00137990" w:rsidP="0088168D">
      <w:pPr>
        <w:pStyle w:val="Bullet0"/>
        <w:rPr>
          <w:noProof/>
        </w:rPr>
      </w:pPr>
      <w:r w:rsidRPr="004C704C">
        <w:rPr>
          <w:noProof/>
        </w:rPr>
        <w:t>Includerea raportării resurselor utilizate va permite definirea de noi indicatori privind utilizarea de materii, apă și energie. Se vor putea urmări astfel îmbunătățirile realizate în ceea ce privește utilizarea eficientă a resurselor.</w:t>
      </w:r>
    </w:p>
    <w:p w14:paraId="0DBA2633" w14:textId="77777777" w:rsidR="00137990" w:rsidRPr="004C704C" w:rsidRDefault="00137990" w:rsidP="0088168D">
      <w:pPr>
        <w:pStyle w:val="Bullet0"/>
        <w:rPr>
          <w:noProof/>
        </w:rPr>
      </w:pPr>
      <w:r w:rsidRPr="004C704C">
        <w:rPr>
          <w:noProof/>
        </w:rPr>
        <w:t>Prin actualizările periodice ale substanțelor care intră în domeniul de aplicare al EPRTR va fi posibil să se definească indicatori de emisie pentru substanțele care încep să prezinte sau prezintă deja motive de îngrijorare. În acest mod, se vor putea urmări îmbunătățirile în ceea ce privește modurile în care aceste substanțe sunt utilizate și gestionate. </w:t>
      </w:r>
    </w:p>
    <w:p w14:paraId="395825B4" w14:textId="77777777" w:rsidR="00137990" w:rsidRPr="004C704C" w:rsidRDefault="00137990" w:rsidP="00137990">
      <w:pPr>
        <w:autoSpaceDE w:val="0"/>
        <w:autoSpaceDN w:val="0"/>
        <w:spacing w:before="0" w:after="0"/>
        <w:rPr>
          <w:rFonts w:eastAsia="Times New Roman"/>
          <w:noProof/>
          <w:szCs w:val="24"/>
          <w:lang w:eastAsia="en-GB"/>
        </w:rPr>
      </w:pPr>
    </w:p>
    <w:p w14:paraId="05AB468E" w14:textId="77777777" w:rsidR="00137990" w:rsidRPr="004C704C" w:rsidRDefault="00137990" w:rsidP="00137990">
      <w:pPr>
        <w:autoSpaceDE w:val="0"/>
        <w:autoSpaceDN w:val="0"/>
        <w:spacing w:before="0" w:after="0"/>
        <w:rPr>
          <w:rFonts w:eastAsia="Times New Roman"/>
          <w:noProof/>
        </w:rPr>
      </w:pPr>
      <w:r w:rsidRPr="004C704C">
        <w:rPr>
          <w:noProof/>
        </w:rPr>
        <w:t>Aceste îmbunătățiri vor contribui, de asemenea, la asigurarea faptului că această monitorizare poate fi utilizată în mod eficace în cadrul mai larg de monitorizare și de perspectivă privind reducerea la zero a poluării, care urmează să fie publicat o dată la doi ani începând cu 2022. Datele referitoare la poluarea aerului, a apei și a solului, disponibile conform cadrului de monitorizare privind reducerea la zero a poluării, vor fi utile pentru evaluarea impactului cantităților mai mici de poluanți generate de instalațiile care intră sub incidența DEI și a regulamentului. </w:t>
      </w:r>
    </w:p>
    <w:p w14:paraId="16BE7919" w14:textId="77777777" w:rsidR="00137990" w:rsidRPr="004C704C" w:rsidRDefault="00137990" w:rsidP="00137990">
      <w:pPr>
        <w:autoSpaceDE w:val="0"/>
        <w:autoSpaceDN w:val="0"/>
        <w:spacing w:before="0" w:after="0"/>
        <w:rPr>
          <w:rFonts w:eastAsia="Times New Roman"/>
          <w:noProof/>
          <w:sz w:val="22"/>
          <w:lang w:eastAsia="en-GB"/>
        </w:rPr>
      </w:pPr>
    </w:p>
    <w:p w14:paraId="243880D0" w14:textId="77777777" w:rsidR="00137990" w:rsidRPr="004C704C" w:rsidRDefault="00137990" w:rsidP="00137990">
      <w:pPr>
        <w:autoSpaceDE w:val="0"/>
        <w:autoSpaceDN w:val="0"/>
        <w:spacing w:before="0" w:after="0"/>
        <w:rPr>
          <w:rFonts w:eastAsia="Times New Roman"/>
          <w:noProof/>
          <w:sz w:val="22"/>
        </w:rPr>
      </w:pPr>
      <w:r w:rsidRPr="004C704C">
        <w:rPr>
          <w:noProof/>
        </w:rPr>
        <w:t>În ceea ce privește măsurătorile din cadrul EPRTR, printre indicatorii-cheie se vor număra realizarea la timp a raportării și exhaustivitatea acesteia – pe state membre, sectoare și componente ale mediului. În statisticile de pe portalul web se va măsura accesul publicului la informațiile combinate DEI/EPRTR.</w:t>
      </w:r>
    </w:p>
    <w:p w14:paraId="26B25F0A" w14:textId="77777777" w:rsidR="00137990" w:rsidRPr="004C704C" w:rsidRDefault="00137990" w:rsidP="00137990">
      <w:pPr>
        <w:autoSpaceDE w:val="0"/>
        <w:autoSpaceDN w:val="0"/>
        <w:spacing w:before="0" w:after="0"/>
        <w:rPr>
          <w:rFonts w:eastAsia="Times New Roman"/>
          <w:noProof/>
          <w:szCs w:val="24"/>
          <w:lang w:eastAsia="en-GB"/>
        </w:rPr>
      </w:pPr>
    </w:p>
    <w:p w14:paraId="23F4D44F" w14:textId="77777777" w:rsidR="00137990" w:rsidRPr="004C704C" w:rsidRDefault="00137990" w:rsidP="00137990">
      <w:pPr>
        <w:autoSpaceDE w:val="0"/>
        <w:autoSpaceDN w:val="0"/>
        <w:spacing w:before="0" w:after="0"/>
        <w:rPr>
          <w:rFonts w:eastAsia="Times New Roman"/>
          <w:noProof/>
        </w:rPr>
      </w:pPr>
      <w:r w:rsidRPr="004C704C">
        <w:rPr>
          <w:noProof/>
        </w:rPr>
        <w:t>Reacția la îmbunătățirile legislative va fi monitorizată cu ajutorul chestionarelor adresate părților interesate din domeniul DEI și al EPRTR.</w:t>
      </w:r>
    </w:p>
    <w:p w14:paraId="02818DBB" w14:textId="77777777" w:rsidR="00F4529A" w:rsidRPr="004C704C" w:rsidRDefault="00F4529A" w:rsidP="009A4807">
      <w:pPr>
        <w:autoSpaceDE w:val="0"/>
        <w:autoSpaceDN w:val="0"/>
        <w:spacing w:before="0" w:after="0"/>
        <w:rPr>
          <w:rFonts w:eastAsia="Times New Roman"/>
          <w:noProof/>
          <w:sz w:val="22"/>
          <w:lang w:eastAsia="en-GB"/>
        </w:rPr>
      </w:pPr>
    </w:p>
    <w:p w14:paraId="3F26E6CC" w14:textId="77777777" w:rsidR="00F4529A" w:rsidRPr="004C704C" w:rsidRDefault="00F4529A" w:rsidP="009A4807">
      <w:pPr>
        <w:keepNext/>
        <w:tabs>
          <w:tab w:val="left" w:pos="850"/>
        </w:tabs>
        <w:spacing w:before="0" w:after="0"/>
        <w:ind w:left="850" w:hanging="850"/>
        <w:outlineLvl w:val="1"/>
        <w:rPr>
          <w:rFonts w:eastAsia="Arial Unicode MS"/>
          <w:b/>
          <w:noProof/>
        </w:rPr>
      </w:pPr>
      <w:r w:rsidRPr="004C704C">
        <w:rPr>
          <w:b/>
          <w:noProof/>
          <w:bdr w:val="nil"/>
        </w:rPr>
        <w:t>•</w:t>
      </w:r>
      <w:r w:rsidRPr="004C704C">
        <w:rPr>
          <w:noProof/>
        </w:rPr>
        <w:tab/>
      </w:r>
      <w:r w:rsidRPr="004C704C">
        <w:rPr>
          <w:b/>
          <w:noProof/>
          <w:bdr w:val="nil"/>
        </w:rPr>
        <w:t>Explicarea detaliată a dispozițiilor specifice ale propunerii</w:t>
      </w:r>
    </w:p>
    <w:p w14:paraId="5270EBDD" w14:textId="77777777" w:rsidR="00F4529A" w:rsidRPr="004C704C" w:rsidRDefault="00F4529A" w:rsidP="009A4807">
      <w:pPr>
        <w:autoSpaceDE w:val="0"/>
        <w:autoSpaceDN w:val="0"/>
        <w:adjustRightInd w:val="0"/>
        <w:spacing w:before="0" w:after="0"/>
        <w:rPr>
          <w:noProof/>
          <w:color w:val="000000"/>
          <w:szCs w:val="24"/>
        </w:rPr>
      </w:pPr>
    </w:p>
    <w:p w14:paraId="51156044" w14:textId="77777777" w:rsidR="00F4529A" w:rsidRPr="004C704C" w:rsidRDefault="00F4529A" w:rsidP="009A4807">
      <w:pPr>
        <w:autoSpaceDE w:val="0"/>
        <w:autoSpaceDN w:val="0"/>
        <w:adjustRightInd w:val="0"/>
        <w:spacing w:before="0" w:after="0"/>
        <w:rPr>
          <w:noProof/>
          <w:color w:val="1F497D" w:themeColor="text2"/>
          <w:szCs w:val="24"/>
        </w:rPr>
      </w:pPr>
      <w:r w:rsidRPr="004C704C">
        <w:rPr>
          <w:noProof/>
        </w:rPr>
        <w:t xml:space="preserve">La </w:t>
      </w:r>
      <w:r w:rsidRPr="004C704C">
        <w:rPr>
          <w:b/>
          <w:i/>
          <w:noProof/>
          <w:color w:val="000000"/>
          <w:szCs w:val="24"/>
        </w:rPr>
        <w:t>articolul 1</w:t>
      </w:r>
      <w:r w:rsidRPr="004C704C">
        <w:rPr>
          <w:noProof/>
        </w:rPr>
        <w:t xml:space="preserve"> este precizat obiectul, și anume instituirea Portalului emisiilor industriale („portalul”), noua bază de date electronică online care înlocuiește EPRTR și care conține toate datele raportate în temeiul regulamentului, punerea în aplicare a Protocolului CEE-ONU privind Registrul poluanților emiși și transferați, facilitarea accesului publicului la informații despre mediu și a participării publicului la luarea deciziilor în domeniul mediului și capacitatea de a se evalua și a se analiza mai bine impactul produs asupra mediului de legislația privind emisiile industriale. </w:t>
      </w:r>
    </w:p>
    <w:p w14:paraId="3C1AE885" w14:textId="77777777" w:rsidR="00F4529A" w:rsidRPr="004C704C" w:rsidRDefault="00F4529A" w:rsidP="009A4807">
      <w:pPr>
        <w:autoSpaceDE w:val="0"/>
        <w:autoSpaceDN w:val="0"/>
        <w:adjustRightInd w:val="0"/>
        <w:spacing w:before="0" w:after="0"/>
        <w:rPr>
          <w:noProof/>
          <w:color w:val="000000"/>
          <w:szCs w:val="24"/>
        </w:rPr>
      </w:pPr>
    </w:p>
    <w:p w14:paraId="6F570BA8" w14:textId="629EADA8" w:rsidR="00F4529A" w:rsidRPr="004C704C" w:rsidRDefault="00F4529A" w:rsidP="009A4807">
      <w:pPr>
        <w:autoSpaceDE w:val="0"/>
        <w:autoSpaceDN w:val="0"/>
        <w:adjustRightInd w:val="0"/>
        <w:spacing w:before="0" w:after="0"/>
        <w:rPr>
          <w:rFonts w:eastAsia="Times New Roman"/>
          <w:noProof/>
          <w:color w:val="000000"/>
          <w:szCs w:val="24"/>
        </w:rPr>
      </w:pPr>
      <w:r w:rsidRPr="004C704C">
        <w:rPr>
          <w:noProof/>
          <w:color w:val="000000"/>
          <w:szCs w:val="24"/>
        </w:rPr>
        <w:t xml:space="preserve">La </w:t>
      </w:r>
      <w:r w:rsidRPr="004C704C">
        <w:rPr>
          <w:b/>
          <w:i/>
          <w:noProof/>
          <w:color w:val="000000"/>
          <w:szCs w:val="24"/>
        </w:rPr>
        <w:t>articolul 2</w:t>
      </w:r>
      <w:r w:rsidRPr="004C704C">
        <w:rPr>
          <w:noProof/>
          <w:color w:val="000000"/>
          <w:szCs w:val="24"/>
        </w:rPr>
        <w:t xml:space="preserve"> sunt definiți termeni-cheie, pentru asigurarea securității și clarității juridice și a punerii în aplicare corecte și complete. Aceste definiții se referă, printre altele, la termenii „instalație”, „emisie”, „transfer în afara amplasamentului”, „surse difuze”, „operator”. În vederea asigurării coerenței cu alte acte legislative conexe ale UE, unele definiții conțin trimiteri la definițiile prevăzute în DEI și în Directiva 2008/98/UE (Directiva-cadru privind deșeurile).</w:t>
      </w:r>
      <w:r w:rsidR="003D1459">
        <w:rPr>
          <w:noProof/>
          <w:color w:val="000000"/>
          <w:szCs w:val="24"/>
        </w:rPr>
        <w:t xml:space="preserve"> </w:t>
      </w:r>
    </w:p>
    <w:p w14:paraId="796727F6" w14:textId="77777777" w:rsidR="00F4529A" w:rsidRPr="004C704C" w:rsidRDefault="00F4529A" w:rsidP="009A4807">
      <w:pPr>
        <w:autoSpaceDE w:val="0"/>
        <w:autoSpaceDN w:val="0"/>
        <w:adjustRightInd w:val="0"/>
        <w:spacing w:before="0" w:after="0"/>
        <w:rPr>
          <w:noProof/>
          <w:color w:val="000000"/>
          <w:szCs w:val="24"/>
        </w:rPr>
      </w:pPr>
    </w:p>
    <w:p w14:paraId="0574F2FE" w14:textId="77777777" w:rsidR="00F4529A" w:rsidRPr="004C704C" w:rsidRDefault="00F4529A" w:rsidP="009A4807">
      <w:pPr>
        <w:autoSpaceDE w:val="0"/>
        <w:autoSpaceDN w:val="0"/>
        <w:adjustRightInd w:val="0"/>
        <w:spacing w:before="0" w:after="0"/>
        <w:rPr>
          <w:noProof/>
          <w:color w:val="000000"/>
          <w:szCs w:val="24"/>
        </w:rPr>
      </w:pPr>
      <w:r w:rsidRPr="004C704C">
        <w:rPr>
          <w:noProof/>
          <w:color w:val="000000"/>
          <w:szCs w:val="24"/>
        </w:rPr>
        <w:t xml:space="preserve">La </w:t>
      </w:r>
      <w:r w:rsidRPr="004C704C">
        <w:rPr>
          <w:b/>
          <w:i/>
          <w:noProof/>
          <w:color w:val="000000"/>
          <w:szCs w:val="24"/>
        </w:rPr>
        <w:t>articolul 3</w:t>
      </w:r>
      <w:r w:rsidRPr="004C704C">
        <w:rPr>
          <w:noProof/>
          <w:color w:val="000000"/>
          <w:szCs w:val="24"/>
        </w:rPr>
        <w:t xml:space="preserve"> se specifică ce date va conține portalul, și anume datele raportate de operatori și de statele membre în conformitate cu articolul 5 și informațiile suplimentare relevante de mediu raportate în temeiul altor acte legislative conexe ale UE.</w:t>
      </w:r>
    </w:p>
    <w:p w14:paraId="729AC007" w14:textId="77777777" w:rsidR="00F4529A" w:rsidRPr="004C704C" w:rsidRDefault="00F4529A" w:rsidP="009A4807">
      <w:pPr>
        <w:autoSpaceDE w:val="0"/>
        <w:autoSpaceDN w:val="0"/>
        <w:adjustRightInd w:val="0"/>
        <w:spacing w:before="0" w:after="0"/>
        <w:rPr>
          <w:noProof/>
          <w:color w:val="000000"/>
          <w:szCs w:val="24"/>
        </w:rPr>
      </w:pPr>
    </w:p>
    <w:p w14:paraId="35C5D0DE" w14:textId="77777777" w:rsidR="00F4529A" w:rsidRPr="004C704C" w:rsidRDefault="00F4529A" w:rsidP="009A4807">
      <w:pPr>
        <w:autoSpaceDE w:val="0"/>
        <w:autoSpaceDN w:val="0"/>
        <w:adjustRightInd w:val="0"/>
        <w:spacing w:before="0" w:after="0"/>
        <w:rPr>
          <w:rFonts w:eastAsia="Times New Roman"/>
          <w:noProof/>
          <w:color w:val="000000"/>
          <w:szCs w:val="24"/>
        </w:rPr>
      </w:pPr>
      <w:r w:rsidRPr="004C704C">
        <w:rPr>
          <w:noProof/>
          <w:color w:val="000000"/>
          <w:szCs w:val="24"/>
        </w:rPr>
        <w:t xml:space="preserve">La </w:t>
      </w:r>
      <w:r w:rsidRPr="004C704C">
        <w:rPr>
          <w:b/>
          <w:i/>
          <w:noProof/>
          <w:color w:val="000000"/>
          <w:szCs w:val="24"/>
        </w:rPr>
        <w:t>articolul 4</w:t>
      </w:r>
      <w:r w:rsidRPr="004C704C">
        <w:rPr>
          <w:noProof/>
          <w:color w:val="000000"/>
          <w:szCs w:val="24"/>
        </w:rPr>
        <w:t xml:space="preserve"> sunt abordate modul de proiectare și structura portalului și se specifică faptul că datele sunt prezentate atât sub formă agregată, cât și sub formă neagregată, pentru ca utilizatorii portalului să poată efectua căutări specifice, printre altele după instalație sau activitate. Obiectivul este să se asigure un grad maxim de ușurință și utilitate pentru utilizatorii portalului în ceea ce privește accesul la datele raportate relevante. </w:t>
      </w:r>
    </w:p>
    <w:p w14:paraId="00EAA61A" w14:textId="77777777" w:rsidR="00F4529A" w:rsidRPr="004C704C" w:rsidRDefault="00F4529A" w:rsidP="009A4807">
      <w:pPr>
        <w:shd w:val="clear" w:color="auto" w:fill="FFFFFF"/>
        <w:tabs>
          <w:tab w:val="left" w:pos="426"/>
        </w:tabs>
        <w:spacing w:before="0" w:after="0"/>
        <w:ind w:left="1134" w:hanging="567"/>
        <w:contextualSpacing/>
        <w:rPr>
          <w:rFonts w:eastAsia="Times New Roman"/>
          <w:noProof/>
          <w:color w:val="000000"/>
          <w:szCs w:val="24"/>
          <w:lang w:eastAsia="en-GB"/>
        </w:rPr>
      </w:pPr>
    </w:p>
    <w:p w14:paraId="44F2D191" w14:textId="77777777" w:rsidR="00614845" w:rsidRPr="004C704C" w:rsidRDefault="00F4529A" w:rsidP="009A4807">
      <w:pPr>
        <w:autoSpaceDE w:val="0"/>
        <w:autoSpaceDN w:val="0"/>
        <w:adjustRightInd w:val="0"/>
        <w:spacing w:before="0" w:after="0"/>
        <w:rPr>
          <w:noProof/>
          <w:color w:val="000000"/>
          <w:szCs w:val="24"/>
        </w:rPr>
      </w:pPr>
      <w:r w:rsidRPr="004C704C">
        <w:rPr>
          <w:noProof/>
          <w:color w:val="000000"/>
          <w:szCs w:val="24"/>
        </w:rPr>
        <w:t xml:space="preserve">La </w:t>
      </w:r>
      <w:r w:rsidRPr="004C704C">
        <w:rPr>
          <w:b/>
          <w:i/>
          <w:noProof/>
          <w:color w:val="000000"/>
          <w:szCs w:val="24"/>
        </w:rPr>
        <w:t>articolul 5</w:t>
      </w:r>
      <w:r w:rsidRPr="004C704C">
        <w:rPr>
          <w:noProof/>
          <w:color w:val="000000"/>
          <w:szCs w:val="24"/>
        </w:rPr>
        <w:t xml:space="preserve"> sunt prezentate datele pe care operatorii instalațiilor industriale în cauză, astfel cum sunt enumerate în anexa I, trebuie să le raporteze anual statelor lor membre. Printre aceste date se numără emisiile în mediu de poluanți enumerați în anexa II, transferurile de deșeuri și de ape uzate în afara amplasamentului, utilizarea resurselor (de exemplu, a apei, a materiilor prime), informațiile de punere în context a respectivelor date (de exemplu, volumul producției anuale) și precizarea eventualelor alte acte legislative conexe ale UE, cum ar fi DEI, sub incidența cărora intră instalația.</w:t>
      </w:r>
    </w:p>
    <w:p w14:paraId="325E8244" w14:textId="77777777" w:rsidR="00B3456B" w:rsidRPr="004C704C" w:rsidRDefault="00B3456B" w:rsidP="009A4807">
      <w:pPr>
        <w:autoSpaceDE w:val="0"/>
        <w:autoSpaceDN w:val="0"/>
        <w:adjustRightInd w:val="0"/>
        <w:spacing w:before="0" w:after="0"/>
        <w:rPr>
          <w:noProof/>
          <w:color w:val="000000"/>
          <w:szCs w:val="24"/>
        </w:rPr>
      </w:pPr>
    </w:p>
    <w:p w14:paraId="6EB840CB" w14:textId="77777777" w:rsidR="00B3456B" w:rsidRPr="004C704C" w:rsidRDefault="00B3456B" w:rsidP="009A4807">
      <w:pPr>
        <w:autoSpaceDE w:val="0"/>
        <w:autoSpaceDN w:val="0"/>
        <w:adjustRightInd w:val="0"/>
        <w:spacing w:before="0" w:after="0"/>
        <w:rPr>
          <w:noProof/>
          <w:color w:val="000000"/>
          <w:szCs w:val="24"/>
        </w:rPr>
      </w:pPr>
      <w:r w:rsidRPr="004C704C">
        <w:rPr>
          <w:noProof/>
          <w:color w:val="000000"/>
          <w:szCs w:val="24"/>
        </w:rPr>
        <w:t>Pentru a se evita dubla raportare, la articolul 5 alineatul (1) litera (b) se clarifică faptul că transferurile în afara amplasamentului ale deșeurilor supuse eliminării prin „tratare în sol” sau „injectare în adâncime” ar trebui raportate numai ca emisii în sol de către operatorul instalației din care provin deșeurile.</w:t>
      </w:r>
    </w:p>
    <w:p w14:paraId="2D9AA0A3" w14:textId="77777777" w:rsidR="00614845" w:rsidRPr="004C704C" w:rsidRDefault="00614845" w:rsidP="009A4807">
      <w:pPr>
        <w:autoSpaceDE w:val="0"/>
        <w:autoSpaceDN w:val="0"/>
        <w:adjustRightInd w:val="0"/>
        <w:spacing w:before="0" w:after="0"/>
        <w:rPr>
          <w:noProof/>
          <w:color w:val="000000"/>
          <w:szCs w:val="24"/>
        </w:rPr>
      </w:pPr>
    </w:p>
    <w:p w14:paraId="20114E7B" w14:textId="77777777" w:rsidR="00966FB4" w:rsidRPr="004C704C" w:rsidRDefault="00BE384F" w:rsidP="009A4807">
      <w:pPr>
        <w:autoSpaceDE w:val="0"/>
        <w:autoSpaceDN w:val="0"/>
        <w:adjustRightInd w:val="0"/>
        <w:spacing w:before="0" w:after="0"/>
        <w:rPr>
          <w:rFonts w:eastAsia="Times New Roman"/>
          <w:noProof/>
          <w:color w:val="000000"/>
          <w:szCs w:val="24"/>
        </w:rPr>
      </w:pPr>
      <w:r w:rsidRPr="004C704C">
        <w:rPr>
          <w:noProof/>
          <w:color w:val="000000"/>
          <w:szCs w:val="24"/>
        </w:rPr>
        <w:t xml:space="preserve">Datele referitoare la emisii și transferuri trebuie raportate ca totaluri anuale ale tuturor activităților deliberate, accidentale, periodice sau neperiodice. La articolul 5 alineatul (1) și în anexa II sunt prevăzute valori-prag a căror depășire declanșează obligația de raportare. În cazul în care respectivele valori-prag nu sunt depășite, operatorii ar trebui să declare în mod expres că emisiile lor anuale și/sau transferurile lor anuale în afara amplasamentului s-au situat sub respectivele valori-prag. Se urmărește astfel abordarea unei deficiențe la nivel de punere în aplicare, și anume a ambiguității declarațiilor zero introduse de operator, care ar putea denota o raportare defectuoasă sau faptul că emisiile și transferurile s-au situat sub pragurile de raportare aplicabile. La articolul 5 alineatul (3) este abordată o altă deficiență la nivel de punere în aplicare, în ceea ce privește metodele utilizate de operatori pentru cuantificarea propriilor emisii și transferuri în afara amplasamentului, prin stabilirea ierarhiei de cuantificare 1. măsurare, 2. calcul și 3. estimare. Pentru ca rapoartele operatorilor să poată fi auditate, operatorii ar trebui să țină o evidență a datelor din care au fost derivate informațiile raportate și să păstreze respectiva evidență timp de cinci ani. </w:t>
      </w:r>
    </w:p>
    <w:p w14:paraId="52FC802D" w14:textId="77777777" w:rsidR="00966FB4" w:rsidRPr="004C704C" w:rsidRDefault="00966FB4" w:rsidP="009A4807">
      <w:pPr>
        <w:autoSpaceDE w:val="0"/>
        <w:autoSpaceDN w:val="0"/>
        <w:adjustRightInd w:val="0"/>
        <w:spacing w:before="0" w:after="0"/>
        <w:rPr>
          <w:rFonts w:eastAsia="Times New Roman"/>
          <w:noProof/>
          <w:color w:val="000000"/>
          <w:szCs w:val="24"/>
          <w:lang w:eastAsia="en-GB"/>
        </w:rPr>
      </w:pPr>
    </w:p>
    <w:p w14:paraId="3BCE20BB" w14:textId="4091187D" w:rsidR="00966FB4" w:rsidRPr="004C704C" w:rsidRDefault="00966FB4" w:rsidP="009A4807">
      <w:pPr>
        <w:autoSpaceDE w:val="0"/>
        <w:autoSpaceDN w:val="0"/>
        <w:adjustRightInd w:val="0"/>
        <w:spacing w:before="0" w:after="0"/>
        <w:rPr>
          <w:noProof/>
          <w:color w:val="000000"/>
          <w:szCs w:val="24"/>
        </w:rPr>
      </w:pPr>
      <w:r w:rsidRPr="004C704C">
        <w:rPr>
          <w:noProof/>
          <w:color w:val="000000"/>
          <w:szCs w:val="24"/>
        </w:rPr>
        <w:t>Este posibil ca operatorii anumitor instalații să nu dispună de resursele necesare pentru a-și cuantifica emisiile anuale deliberate de poluanți enumerați în anexa II.</w:t>
      </w:r>
      <w:r w:rsidRPr="004C704C">
        <w:rPr>
          <w:noProof/>
        </w:rPr>
        <w:t xml:space="preserve"> Prin urmare, ca </w:t>
      </w:r>
      <w:r w:rsidRPr="004C704C">
        <w:rPr>
          <w:noProof/>
          <w:color w:val="000000"/>
          <w:szCs w:val="24"/>
        </w:rPr>
        <w:t>simplificare administrativă, astfel de emisii pot să fie cuantificate de statele membre în numele operatorilor de instalații în cazul activității de creștere a păsărilor de curte, a porcinelor și a bovinelor (activitatea 2 din anexa I) și al activității de acvacultură (activitatea 7 din anexa I)</w:t>
      </w:r>
      <w:r w:rsidRPr="004C704C">
        <w:rPr>
          <w:noProof/>
        </w:rPr>
        <w:t>.</w:t>
      </w:r>
      <w:r w:rsidR="003D1459">
        <w:rPr>
          <w:noProof/>
          <w:color w:val="000000"/>
          <w:szCs w:val="24"/>
        </w:rPr>
        <w:t xml:space="preserve"> </w:t>
      </w:r>
    </w:p>
    <w:p w14:paraId="6DCA6C5D" w14:textId="77777777" w:rsidR="00D85FA1" w:rsidRPr="004C704C" w:rsidRDefault="00D85FA1" w:rsidP="009A4807">
      <w:pPr>
        <w:autoSpaceDE w:val="0"/>
        <w:autoSpaceDN w:val="0"/>
        <w:adjustRightInd w:val="0"/>
        <w:spacing w:before="0" w:after="0"/>
        <w:rPr>
          <w:noProof/>
          <w:color w:val="000000"/>
          <w:szCs w:val="24"/>
        </w:rPr>
      </w:pPr>
    </w:p>
    <w:p w14:paraId="09AC221A" w14:textId="77777777" w:rsidR="00D85FA1" w:rsidRPr="004C704C" w:rsidRDefault="00D85FA1" w:rsidP="009A4807">
      <w:pPr>
        <w:autoSpaceDE w:val="0"/>
        <w:autoSpaceDN w:val="0"/>
        <w:adjustRightInd w:val="0"/>
        <w:spacing w:before="0" w:after="0"/>
        <w:rPr>
          <w:noProof/>
          <w:color w:val="000000"/>
          <w:szCs w:val="24"/>
        </w:rPr>
      </w:pPr>
      <w:r w:rsidRPr="004C704C">
        <w:rPr>
          <w:noProof/>
          <w:color w:val="000000"/>
          <w:szCs w:val="24"/>
        </w:rPr>
        <w:t>De asemenea, statele membre trebuie să stabilească un termen în care operatorii să furnizeze datele autorităților lor competente.</w:t>
      </w:r>
    </w:p>
    <w:p w14:paraId="2BA4EBBB" w14:textId="77777777" w:rsidR="00F4529A" w:rsidRPr="004C704C" w:rsidRDefault="00F4529A" w:rsidP="009A4807">
      <w:pPr>
        <w:autoSpaceDE w:val="0"/>
        <w:autoSpaceDN w:val="0"/>
        <w:adjustRightInd w:val="0"/>
        <w:spacing w:before="0" w:after="0"/>
        <w:rPr>
          <w:noProof/>
          <w:color w:val="000000"/>
          <w:szCs w:val="24"/>
        </w:rPr>
      </w:pPr>
    </w:p>
    <w:p w14:paraId="70F425D2" w14:textId="77777777" w:rsidR="00F4529A" w:rsidRPr="004C704C" w:rsidRDefault="00F4529A" w:rsidP="009A4807">
      <w:pPr>
        <w:shd w:val="clear" w:color="auto" w:fill="FFFFFF"/>
        <w:spacing w:before="0" w:after="0"/>
        <w:rPr>
          <w:rFonts w:eastAsia="Times New Roman"/>
          <w:noProof/>
          <w:color w:val="000000"/>
          <w:szCs w:val="24"/>
        </w:rPr>
      </w:pPr>
      <w:r w:rsidRPr="004C704C">
        <w:rPr>
          <w:noProof/>
        </w:rPr>
        <w:t xml:space="preserve">La </w:t>
      </w:r>
      <w:r w:rsidRPr="004C704C">
        <w:rPr>
          <w:b/>
          <w:i/>
          <w:noProof/>
        </w:rPr>
        <w:t>articolul 6</w:t>
      </w:r>
      <w:r w:rsidRPr="004C704C">
        <w:rPr>
          <w:noProof/>
        </w:rPr>
        <w:t xml:space="preserve"> este abordată raportarea anuală ulterioară a datelor către Comisie de către statele membre. </w:t>
      </w:r>
      <w:r w:rsidRPr="004C704C">
        <w:rPr>
          <w:noProof/>
          <w:color w:val="000000"/>
          <w:szCs w:val="24"/>
        </w:rPr>
        <w:t>Formatul și data până la care statele membre trebuie să raporteze datele urmează să fie stabilite prin intermediul unor acte de punere în aplicare. În această privință rămâne aplicabilă Decizia de punere în aplicare (UE) 2019/1741 a Comisiei</w:t>
      </w:r>
      <w:r w:rsidRPr="004C704C">
        <w:rPr>
          <w:rStyle w:val="FootnoteReference"/>
          <w:noProof/>
        </w:rPr>
        <w:footnoteReference w:id="28"/>
      </w:r>
      <w:r w:rsidRPr="004C704C">
        <w:rPr>
          <w:noProof/>
          <w:color w:val="000000"/>
          <w:szCs w:val="24"/>
        </w:rPr>
        <w:t>, în care sunt stabilite formatul datelor și termenul de raportare. Comisia, asistată de Agenția Europeană de Mediu, ar trebui să încorporeze în portal datele transmise de statele membre în termen de o lună de la primirea lor de la statele membre.</w:t>
      </w:r>
    </w:p>
    <w:p w14:paraId="615BCEAA" w14:textId="77777777" w:rsidR="00F4529A" w:rsidRPr="004C704C" w:rsidRDefault="00F4529A" w:rsidP="009A4807">
      <w:pPr>
        <w:shd w:val="clear" w:color="auto" w:fill="FFFFFF"/>
        <w:spacing w:before="0" w:after="0"/>
        <w:rPr>
          <w:b/>
          <w:i/>
          <w:noProof/>
        </w:rPr>
      </w:pPr>
    </w:p>
    <w:p w14:paraId="1A1446D2" w14:textId="77777777" w:rsidR="00F4529A" w:rsidRPr="004C704C" w:rsidRDefault="00F4529A" w:rsidP="009A4807">
      <w:pPr>
        <w:shd w:val="clear" w:color="auto" w:fill="FFFFFF"/>
        <w:spacing w:before="0" w:after="0"/>
        <w:rPr>
          <w:rFonts w:eastAsia="Times New Roman"/>
          <w:noProof/>
          <w:color w:val="000000"/>
          <w:szCs w:val="24"/>
        </w:rPr>
      </w:pPr>
      <w:r w:rsidRPr="004C704C">
        <w:rPr>
          <w:noProof/>
        </w:rPr>
        <w:t xml:space="preserve">La </w:t>
      </w:r>
      <w:r w:rsidRPr="004C704C">
        <w:rPr>
          <w:b/>
          <w:i/>
          <w:noProof/>
        </w:rPr>
        <w:t>articolul 7</w:t>
      </w:r>
      <w:r w:rsidRPr="004C704C">
        <w:rPr>
          <w:noProof/>
        </w:rPr>
        <w:t xml:space="preserve"> este abordată raportarea emisiilor de poluanți din surse difuze. În cazul în care nu se raportează astfel de date, Comisia este împuternicită să adopte acte delegate pentru a </w:t>
      </w:r>
      <w:r w:rsidRPr="004C704C">
        <w:rPr>
          <w:noProof/>
          <w:color w:val="000000"/>
          <w:szCs w:val="24"/>
        </w:rPr>
        <w:t>iniția o astfel de raportare</w:t>
      </w:r>
      <w:r w:rsidRPr="004C704C">
        <w:rPr>
          <w:noProof/>
        </w:rPr>
        <w:t>.</w:t>
      </w:r>
    </w:p>
    <w:p w14:paraId="16EDB1D2" w14:textId="77777777" w:rsidR="00F4529A" w:rsidRPr="004C704C" w:rsidRDefault="00F4529A" w:rsidP="009A4807">
      <w:pPr>
        <w:shd w:val="clear" w:color="auto" w:fill="FFFFFF"/>
        <w:spacing w:before="0" w:after="0"/>
        <w:rPr>
          <w:rFonts w:eastAsia="Times New Roman"/>
          <w:noProof/>
          <w:color w:val="000000"/>
          <w:szCs w:val="24"/>
          <w:lang w:eastAsia="en-GB"/>
        </w:rPr>
      </w:pPr>
    </w:p>
    <w:p w14:paraId="37CB7C5D" w14:textId="55E5CD66" w:rsidR="00F4529A" w:rsidRPr="004C704C" w:rsidRDefault="00F4529A" w:rsidP="009A4807">
      <w:pPr>
        <w:shd w:val="clear" w:color="auto" w:fill="FFFFFF"/>
        <w:spacing w:before="0" w:after="0"/>
        <w:rPr>
          <w:noProof/>
        </w:rPr>
      </w:pPr>
      <w:r w:rsidRPr="004C704C">
        <w:rPr>
          <w:b/>
          <w:i/>
          <w:noProof/>
        </w:rPr>
        <w:t>Articolul 8</w:t>
      </w:r>
      <w:r w:rsidRPr="004C704C">
        <w:rPr>
          <w:noProof/>
        </w:rPr>
        <w:t xml:space="preserve"> se referă la calitatea datelor raportate. Operatorii au obligația de a asigura calitatea datelor, iar autoritățile competente trebuie să evalueze exactitatea, </w:t>
      </w:r>
      <w:r w:rsidRPr="004C704C">
        <w:rPr>
          <w:noProof/>
          <w:color w:val="000000"/>
          <w:szCs w:val="24"/>
        </w:rPr>
        <w:t>exhaustivitatea, coerența și credibilitatea respectivelor date. Comisia poate adopta orientări relevante prin intermediul unor acte de punere în aplicare.</w:t>
      </w:r>
      <w:r w:rsidR="003D1459">
        <w:rPr>
          <w:noProof/>
          <w:color w:val="000000"/>
          <w:szCs w:val="24"/>
        </w:rPr>
        <w:t xml:space="preserve"> </w:t>
      </w:r>
    </w:p>
    <w:p w14:paraId="146EC2AC" w14:textId="77777777" w:rsidR="00F4529A" w:rsidRPr="004C704C" w:rsidRDefault="00F4529A" w:rsidP="009A4807">
      <w:pPr>
        <w:shd w:val="clear" w:color="auto" w:fill="FFFFFF"/>
        <w:spacing w:before="0" w:after="0"/>
        <w:rPr>
          <w:noProof/>
        </w:rPr>
      </w:pPr>
    </w:p>
    <w:p w14:paraId="782EED83" w14:textId="77777777" w:rsidR="00E6252E" w:rsidRPr="004C704C" w:rsidRDefault="00F4529A" w:rsidP="009A4807">
      <w:pPr>
        <w:shd w:val="clear" w:color="auto" w:fill="FFFFFF"/>
        <w:spacing w:before="0" w:after="0"/>
        <w:rPr>
          <w:noProof/>
        </w:rPr>
      </w:pPr>
      <w:r w:rsidRPr="004C704C">
        <w:rPr>
          <w:b/>
          <w:i/>
          <w:noProof/>
        </w:rPr>
        <w:t>Articolele 9, 10 și 11:</w:t>
      </w:r>
      <w:r w:rsidRPr="004C704C">
        <w:rPr>
          <w:noProof/>
        </w:rPr>
        <w:t xml:space="preserve"> conform Convenției CEE-ONU privind accesul la informație, participarea publicului la luarea deciziei și accesul la justiție în probleme de mediu, </w:t>
      </w:r>
      <w:r w:rsidRPr="004C704C">
        <w:rPr>
          <w:noProof/>
          <w:color w:val="000000"/>
        </w:rPr>
        <w:t>protocolului</w:t>
      </w:r>
      <w:r w:rsidRPr="004C704C">
        <w:rPr>
          <w:noProof/>
        </w:rPr>
        <w:t xml:space="preserve"> și actelor legislative relevante ale UE, inclusiv conform Directivei 2003/4/CE a Parlamentului European și a Consiliului</w:t>
      </w:r>
      <w:r w:rsidRPr="004C704C">
        <w:rPr>
          <w:rStyle w:val="FootnoteReference"/>
          <w:noProof/>
        </w:rPr>
        <w:footnoteReference w:id="29"/>
      </w:r>
      <w:r w:rsidRPr="004C704C">
        <w:rPr>
          <w:noProof/>
          <w:color w:val="000000"/>
          <w:szCs w:val="24"/>
        </w:rPr>
        <w:t xml:space="preserve">, prin aceste dispoziții </w:t>
      </w:r>
      <w:r w:rsidRPr="004C704C">
        <w:rPr>
          <w:noProof/>
        </w:rPr>
        <w:t xml:space="preserve">se urmărește să se asigure: </w:t>
      </w:r>
    </w:p>
    <w:p w14:paraId="3B5AC129" w14:textId="77777777" w:rsidR="00B141A7" w:rsidRPr="004C704C" w:rsidRDefault="00B141A7" w:rsidP="009A4807">
      <w:pPr>
        <w:shd w:val="clear" w:color="auto" w:fill="FFFFFF"/>
        <w:spacing w:before="0" w:after="0"/>
        <w:rPr>
          <w:noProof/>
        </w:rPr>
      </w:pPr>
    </w:p>
    <w:p w14:paraId="23B1246D" w14:textId="77777777" w:rsidR="00E6252E" w:rsidRPr="004C704C" w:rsidRDefault="00F4529A" w:rsidP="00F22021">
      <w:pPr>
        <w:shd w:val="clear" w:color="auto" w:fill="FFFFFF"/>
        <w:spacing w:before="0" w:after="0"/>
        <w:ind w:left="720"/>
        <w:rPr>
          <w:noProof/>
        </w:rPr>
      </w:pPr>
      <w:r w:rsidRPr="004C704C">
        <w:rPr>
          <w:noProof/>
        </w:rPr>
        <w:t>(i) accesul gratuit și online al publicului la datele disponibile pe portal, precizându-se în același timp că acest acces nu aduce atingere restricțiilor prevăzute în legislația UE privind accesul la informațiile despre mediu, cum ar fi protecția intereselor comerciale ale operatorilor și informațiile confidențiale;</w:t>
      </w:r>
    </w:p>
    <w:p w14:paraId="5DCF3DF7" w14:textId="77777777" w:rsidR="00E6252E" w:rsidRPr="004C704C" w:rsidRDefault="00F4529A" w:rsidP="00F22021">
      <w:pPr>
        <w:shd w:val="clear" w:color="auto" w:fill="FFFFFF"/>
        <w:spacing w:before="0" w:after="0"/>
        <w:ind w:left="720"/>
        <w:rPr>
          <w:rFonts w:eastAsia="Times New Roman"/>
          <w:noProof/>
          <w:color w:val="000000"/>
          <w:szCs w:val="24"/>
        </w:rPr>
      </w:pPr>
      <w:r w:rsidRPr="004C704C">
        <w:rPr>
          <w:noProof/>
        </w:rPr>
        <w:t>(ii) </w:t>
      </w:r>
      <w:r w:rsidRPr="004C704C">
        <w:rPr>
          <w:noProof/>
          <w:color w:val="000000"/>
          <w:szCs w:val="24"/>
        </w:rPr>
        <w:t xml:space="preserve">participarea publicului la dezvoltarea ulterioară a portalului și </w:t>
      </w:r>
    </w:p>
    <w:p w14:paraId="72891ACC" w14:textId="77777777" w:rsidR="00F4529A" w:rsidRPr="004C704C" w:rsidRDefault="00F4529A" w:rsidP="00F22021">
      <w:pPr>
        <w:shd w:val="clear" w:color="auto" w:fill="FFFFFF"/>
        <w:spacing w:before="0" w:after="0"/>
        <w:ind w:left="720"/>
        <w:rPr>
          <w:noProof/>
        </w:rPr>
      </w:pPr>
      <w:r w:rsidRPr="004C704C">
        <w:rPr>
          <w:noProof/>
          <w:color w:val="000000"/>
          <w:szCs w:val="24"/>
        </w:rPr>
        <w:t>(iii) dreptul publicului de a avea acces la justiție în ceea ce privește accesul la informațiile despre mediu.</w:t>
      </w:r>
    </w:p>
    <w:p w14:paraId="10D5FDCC" w14:textId="77777777" w:rsidR="00F4529A" w:rsidRPr="004C704C" w:rsidRDefault="00F4529A" w:rsidP="009A4807">
      <w:pPr>
        <w:shd w:val="clear" w:color="auto" w:fill="FFFFFF"/>
        <w:spacing w:before="0" w:after="0"/>
        <w:rPr>
          <w:noProof/>
        </w:rPr>
      </w:pPr>
    </w:p>
    <w:p w14:paraId="7C762DFB" w14:textId="77777777" w:rsidR="00F4529A" w:rsidRPr="004C704C" w:rsidRDefault="00F4529A" w:rsidP="009A4807">
      <w:pPr>
        <w:shd w:val="clear" w:color="auto" w:fill="FFFFFF"/>
        <w:spacing w:before="0" w:after="0"/>
        <w:rPr>
          <w:noProof/>
        </w:rPr>
      </w:pPr>
      <w:r w:rsidRPr="004C704C">
        <w:rPr>
          <w:b/>
          <w:i/>
          <w:noProof/>
        </w:rPr>
        <w:t>Articolul 12</w:t>
      </w:r>
      <w:r w:rsidRPr="004C704C">
        <w:rPr>
          <w:noProof/>
        </w:rPr>
        <w:t xml:space="preserve"> se referă la elaborarea de ghiduri în sprijinul punerii în aplicare a prezentului regulament și la actualizarea periodică a respectivelor ghiduri. Ghidurile trebuie să se refere, printre altele, la procedurile de raportare și la asigurarea calității datelor raportate. </w:t>
      </w:r>
    </w:p>
    <w:p w14:paraId="5CCF0332" w14:textId="77777777" w:rsidR="00F4529A" w:rsidRPr="004C704C" w:rsidRDefault="00F4529A" w:rsidP="009A4807">
      <w:pPr>
        <w:autoSpaceDE w:val="0"/>
        <w:autoSpaceDN w:val="0"/>
        <w:adjustRightInd w:val="0"/>
        <w:spacing w:before="0" w:after="0"/>
        <w:rPr>
          <w:b/>
          <w:i/>
          <w:noProof/>
          <w:color w:val="000000"/>
          <w:szCs w:val="24"/>
        </w:rPr>
      </w:pPr>
    </w:p>
    <w:p w14:paraId="0CBA8FAD" w14:textId="77777777" w:rsidR="00F4529A" w:rsidRPr="004C704C" w:rsidRDefault="00F4529A" w:rsidP="009A4807">
      <w:pPr>
        <w:shd w:val="clear" w:color="auto" w:fill="FFFFFF"/>
        <w:spacing w:before="0" w:after="0"/>
        <w:rPr>
          <w:noProof/>
        </w:rPr>
      </w:pPr>
      <w:r w:rsidRPr="004C704C">
        <w:rPr>
          <w:noProof/>
        </w:rPr>
        <w:t xml:space="preserve">La </w:t>
      </w:r>
      <w:r w:rsidRPr="004C704C">
        <w:rPr>
          <w:b/>
          <w:i/>
          <w:noProof/>
        </w:rPr>
        <w:t>articolul 13</w:t>
      </w:r>
      <w:r w:rsidRPr="004C704C">
        <w:rPr>
          <w:noProof/>
        </w:rPr>
        <w:t xml:space="preserve"> este prevăzută obligația Comisiei și a statelor membre de </w:t>
      </w:r>
      <w:r w:rsidRPr="004C704C">
        <w:rPr>
          <w:noProof/>
          <w:color w:val="000000"/>
          <w:szCs w:val="24"/>
        </w:rPr>
        <w:t>a promova sensibilizarea publicului cu privire la portal</w:t>
      </w:r>
      <w:r w:rsidRPr="004C704C">
        <w:rPr>
          <w:noProof/>
        </w:rPr>
        <w:t>.</w:t>
      </w:r>
      <w:r w:rsidRPr="004C704C">
        <w:rPr>
          <w:noProof/>
          <w:color w:val="000000"/>
          <w:szCs w:val="24"/>
        </w:rPr>
        <w:t xml:space="preserve"> </w:t>
      </w:r>
    </w:p>
    <w:p w14:paraId="6C2692A6" w14:textId="77777777" w:rsidR="00F4529A" w:rsidRPr="004C704C" w:rsidRDefault="00F4529A" w:rsidP="009A4807">
      <w:pPr>
        <w:autoSpaceDE w:val="0"/>
        <w:autoSpaceDN w:val="0"/>
        <w:adjustRightInd w:val="0"/>
        <w:spacing w:before="0" w:after="0"/>
        <w:rPr>
          <w:b/>
          <w:i/>
          <w:noProof/>
          <w:color w:val="000000"/>
          <w:szCs w:val="24"/>
        </w:rPr>
      </w:pPr>
    </w:p>
    <w:p w14:paraId="1ED4C9FE" w14:textId="77777777" w:rsidR="00AC428B" w:rsidRPr="004C704C" w:rsidRDefault="00F4529A" w:rsidP="009A4807">
      <w:pPr>
        <w:shd w:val="clear" w:color="auto" w:fill="FFFFFF"/>
        <w:spacing w:before="0" w:after="0"/>
        <w:rPr>
          <w:noProof/>
        </w:rPr>
      </w:pPr>
      <w:r w:rsidRPr="004C704C">
        <w:rPr>
          <w:b/>
          <w:i/>
          <w:noProof/>
        </w:rPr>
        <w:t>Articolele 14 și 15:</w:t>
      </w:r>
      <w:r w:rsidRPr="004C704C">
        <w:rPr>
          <w:noProof/>
        </w:rPr>
        <w:t xml:space="preserve"> prin articolul 14, Comisia este împuternicită să adopte acte delegate de modificare a anexelor I și II pentru a se asigura că regulamentul rămâne de actualitate. </w:t>
      </w:r>
    </w:p>
    <w:p w14:paraId="6455C719" w14:textId="77777777" w:rsidR="00AC428B" w:rsidRPr="004C704C" w:rsidRDefault="00AC428B" w:rsidP="009A4807">
      <w:pPr>
        <w:shd w:val="clear" w:color="auto" w:fill="FFFFFF"/>
        <w:spacing w:before="0" w:after="0"/>
        <w:rPr>
          <w:noProof/>
        </w:rPr>
      </w:pPr>
    </w:p>
    <w:p w14:paraId="49C40244" w14:textId="77777777" w:rsidR="00AC428B" w:rsidRPr="004C704C" w:rsidRDefault="00F4529A" w:rsidP="009A4807">
      <w:pPr>
        <w:shd w:val="clear" w:color="auto" w:fill="FFFFFF"/>
        <w:spacing w:before="0" w:after="0"/>
        <w:rPr>
          <w:noProof/>
        </w:rPr>
      </w:pPr>
      <w:r w:rsidRPr="004C704C">
        <w:rPr>
          <w:noProof/>
        </w:rPr>
        <w:t>În ceea ce privește anexa I, acesta prevede posibilitatea de a se adăuga noi activități industriale sau agricole care au sau pot avea efecte dăunătoare asupra mediului sau a sănătății umane ca urmare a unor emisii semnificative de poluanți sau a unei utilizări semnificative de resurse. Ar putea fi necesar să se adauge activități și pentru luarea în considerare a modificărilor aduse Protocolului privind PRTR.</w:t>
      </w:r>
    </w:p>
    <w:p w14:paraId="7F97D207" w14:textId="77777777" w:rsidR="00AC428B" w:rsidRPr="004C704C" w:rsidRDefault="00AC428B" w:rsidP="009A4807">
      <w:pPr>
        <w:shd w:val="clear" w:color="auto" w:fill="FFFFFF"/>
        <w:spacing w:before="0" w:after="0"/>
        <w:rPr>
          <w:noProof/>
        </w:rPr>
      </w:pPr>
    </w:p>
    <w:p w14:paraId="7E6142E3" w14:textId="77777777" w:rsidR="0024008E" w:rsidRPr="004C704C" w:rsidRDefault="00AC428B" w:rsidP="009A4807">
      <w:pPr>
        <w:shd w:val="clear" w:color="auto" w:fill="FFFFFF"/>
        <w:spacing w:before="0" w:after="0"/>
        <w:rPr>
          <w:noProof/>
        </w:rPr>
      </w:pPr>
      <w:r w:rsidRPr="004C704C">
        <w:rPr>
          <w:noProof/>
        </w:rPr>
        <w:t xml:space="preserve">De asemenea, există o dispoziție de actualizare a anexei II prin adăugarea de poluanți care sunt supuși unor controale de reglementare specifice în temeiul actelor legislative ale UE privind substanțele chimice, apa și calitatea aerului, precum și din cauza potențialelor pericole pe care poluanții respectivi le reprezintă pentru mediu sau sănătatea umană. Ar putea fi necesar să se adauge poluanți și pentru luarea în considerare a modificărilor aduse Protocolului privind PRTR. În plus, această dispoziție permite stabilirea unor praguri de raportare prin care să se asigure că se raportează cel puțin 90 % din emisiile de poluanți generate de activități din anexa I. </w:t>
      </w:r>
    </w:p>
    <w:p w14:paraId="744FF17A" w14:textId="77777777" w:rsidR="0024008E" w:rsidRPr="004C704C" w:rsidRDefault="0024008E" w:rsidP="009A4807">
      <w:pPr>
        <w:shd w:val="clear" w:color="auto" w:fill="FFFFFF"/>
        <w:spacing w:before="0" w:after="0"/>
        <w:rPr>
          <w:noProof/>
        </w:rPr>
      </w:pPr>
    </w:p>
    <w:p w14:paraId="39EFCEA1" w14:textId="77777777" w:rsidR="00F4529A" w:rsidRPr="004C704C" w:rsidRDefault="00F4529A" w:rsidP="009A4807">
      <w:pPr>
        <w:shd w:val="clear" w:color="auto" w:fill="FFFFFF"/>
        <w:spacing w:before="0" w:after="0"/>
        <w:rPr>
          <w:noProof/>
        </w:rPr>
      </w:pPr>
      <w:r w:rsidRPr="004C704C">
        <w:rPr>
          <w:noProof/>
        </w:rPr>
        <w:t>La articolul 15 sunt stabilite condițiile de exercitare a acestor delegări.</w:t>
      </w:r>
    </w:p>
    <w:p w14:paraId="3FD6D353" w14:textId="77777777" w:rsidR="00F4529A" w:rsidRPr="004C704C" w:rsidRDefault="00F4529A" w:rsidP="009A4807">
      <w:pPr>
        <w:shd w:val="clear" w:color="auto" w:fill="FFFFFF"/>
        <w:spacing w:before="0" w:after="0"/>
        <w:rPr>
          <w:noProof/>
        </w:rPr>
      </w:pPr>
    </w:p>
    <w:p w14:paraId="2F75F304" w14:textId="77777777" w:rsidR="00F4529A" w:rsidRPr="004C704C" w:rsidRDefault="00F4529A" w:rsidP="009A4807">
      <w:pPr>
        <w:shd w:val="clear" w:color="auto" w:fill="FFFFFF"/>
        <w:spacing w:before="0" w:after="0"/>
        <w:rPr>
          <w:rFonts w:eastAsia="Times New Roman"/>
          <w:noProof/>
          <w:color w:val="000000"/>
          <w:szCs w:val="24"/>
        </w:rPr>
      </w:pPr>
      <w:r w:rsidRPr="004C704C">
        <w:rPr>
          <w:b/>
          <w:i/>
          <w:noProof/>
        </w:rPr>
        <w:t>Articolul 16</w:t>
      </w:r>
      <w:r w:rsidRPr="004C704C">
        <w:rPr>
          <w:noProof/>
        </w:rPr>
        <w:t xml:space="preserve"> se referă la procedura comitetului și prevede că </w:t>
      </w:r>
      <w:r w:rsidRPr="004C704C">
        <w:rPr>
          <w:noProof/>
          <w:color w:val="000000"/>
          <w:szCs w:val="24"/>
        </w:rPr>
        <w:t xml:space="preserve">Comisia va fi asistată de un comitet și că se aplică procedura de examinare stabilită în Regulamentul (UE) nr. 182/2011 privind procedura comitetului. Acesta prevede posibilitatea de adoptare, de către Comisie, a unor acte de punere în aplicare pentru stabilirea sau actualizarea datei și a formatului raportării efectuate în temeiul articolului 6 alineatul (1). </w:t>
      </w:r>
    </w:p>
    <w:p w14:paraId="5AF8AE74" w14:textId="77777777" w:rsidR="00F4529A" w:rsidRPr="004C704C" w:rsidRDefault="00F4529A" w:rsidP="009A4807">
      <w:pPr>
        <w:shd w:val="clear" w:color="auto" w:fill="FFFFFF"/>
        <w:spacing w:before="0" w:after="0"/>
        <w:rPr>
          <w:rFonts w:eastAsia="Times New Roman"/>
          <w:noProof/>
          <w:color w:val="000000"/>
          <w:szCs w:val="24"/>
          <w:lang w:eastAsia="en-GB"/>
        </w:rPr>
      </w:pPr>
    </w:p>
    <w:p w14:paraId="1149755B" w14:textId="77777777" w:rsidR="00F4529A" w:rsidRPr="004C704C" w:rsidRDefault="00F4529A" w:rsidP="009A4807">
      <w:pPr>
        <w:shd w:val="clear" w:color="auto" w:fill="FFFFFF"/>
        <w:spacing w:before="0" w:after="0"/>
        <w:contextualSpacing/>
        <w:rPr>
          <w:rFonts w:eastAsia="Calibri"/>
          <w:noProof/>
          <w:szCs w:val="24"/>
        </w:rPr>
      </w:pPr>
      <w:r w:rsidRPr="004C704C">
        <w:rPr>
          <w:noProof/>
        </w:rPr>
        <w:t xml:space="preserve">La </w:t>
      </w:r>
      <w:r w:rsidRPr="004C704C">
        <w:rPr>
          <w:b/>
          <w:i/>
          <w:noProof/>
        </w:rPr>
        <w:t>articolul 17</w:t>
      </w:r>
      <w:r w:rsidRPr="004C704C">
        <w:rPr>
          <w:noProof/>
        </w:rPr>
        <w:t xml:space="preserve"> sunt precizate criteriile de care statele membre trebuie să țină seama când stabilesc sancțiuni pentru nerespectarea dispozițiilor regulamentului și este stabilită obligația statelor membre de a adopta măsuri de asigurare a conformității pentru a preveni și a detecta cazurile de încălcare. </w:t>
      </w:r>
    </w:p>
    <w:p w14:paraId="4A27D609" w14:textId="77777777" w:rsidR="00F4529A" w:rsidRPr="004C704C" w:rsidRDefault="00F4529A" w:rsidP="009A4807">
      <w:pPr>
        <w:shd w:val="clear" w:color="auto" w:fill="FFFFFF"/>
        <w:spacing w:before="0" w:after="0"/>
        <w:contextualSpacing/>
        <w:rPr>
          <w:b/>
          <w:i/>
          <w:noProof/>
        </w:rPr>
      </w:pPr>
    </w:p>
    <w:p w14:paraId="754AF706" w14:textId="77777777" w:rsidR="00F4529A" w:rsidRPr="004C704C" w:rsidRDefault="00F4529A" w:rsidP="009A4807">
      <w:pPr>
        <w:shd w:val="clear" w:color="auto" w:fill="FFFFFF"/>
        <w:spacing w:before="0" w:after="0"/>
        <w:contextualSpacing/>
        <w:rPr>
          <w:noProof/>
        </w:rPr>
      </w:pPr>
      <w:r w:rsidRPr="004C704C">
        <w:rPr>
          <w:b/>
          <w:i/>
          <w:noProof/>
        </w:rPr>
        <w:t>Articolele 18, 19 și 20:</w:t>
      </w:r>
      <w:r w:rsidRPr="004C704C">
        <w:rPr>
          <w:noProof/>
        </w:rPr>
        <w:t xml:space="preserve"> articolul 18 se referă la abrogarea și înlocuirea Regulamentului (CE) nr. 166/2006. Articolul 20 se referă la data intrării în vigoare, în timp ce articolul 19 se referă la dispozițiile tranzitorii până la data respectivă.</w:t>
      </w:r>
    </w:p>
    <w:p w14:paraId="57F3A6A0" w14:textId="77777777" w:rsidR="00F4529A" w:rsidRPr="004C704C" w:rsidRDefault="00F4529A" w:rsidP="009A4807">
      <w:pPr>
        <w:shd w:val="clear" w:color="auto" w:fill="FFFFFF"/>
        <w:spacing w:before="0" w:after="0"/>
        <w:contextualSpacing/>
        <w:rPr>
          <w:noProof/>
        </w:rPr>
      </w:pPr>
    </w:p>
    <w:p w14:paraId="394C354C" w14:textId="77777777" w:rsidR="00ED14CB" w:rsidRPr="004C704C" w:rsidRDefault="00F4529A" w:rsidP="009A4807">
      <w:pPr>
        <w:shd w:val="clear" w:color="auto" w:fill="FFFFFF"/>
        <w:spacing w:before="0" w:after="0"/>
        <w:contextualSpacing/>
        <w:rPr>
          <w:noProof/>
        </w:rPr>
      </w:pPr>
      <w:r w:rsidRPr="004C704C">
        <w:rPr>
          <w:noProof/>
        </w:rPr>
        <w:t xml:space="preserve">În </w:t>
      </w:r>
      <w:r w:rsidRPr="004C704C">
        <w:rPr>
          <w:b/>
          <w:i/>
          <w:noProof/>
        </w:rPr>
        <w:t>anexa I</w:t>
      </w:r>
      <w:r w:rsidRPr="004C704C">
        <w:rPr>
          <w:noProof/>
        </w:rPr>
        <w:t xml:space="preserve"> sunt precizate activitățile care intră în domeniul de aplicare al regulamentului, și anume:</w:t>
      </w:r>
    </w:p>
    <w:p w14:paraId="3BA57109" w14:textId="77777777" w:rsidR="00742E36" w:rsidRPr="004C704C" w:rsidRDefault="00742E36" w:rsidP="009A4807">
      <w:pPr>
        <w:shd w:val="clear" w:color="auto" w:fill="FFFFFF"/>
        <w:spacing w:before="0" w:after="0"/>
        <w:contextualSpacing/>
        <w:rPr>
          <w:noProof/>
        </w:rPr>
      </w:pPr>
    </w:p>
    <w:p w14:paraId="54EE4A99" w14:textId="77777777" w:rsidR="00ED14CB" w:rsidRPr="004C704C" w:rsidRDefault="00F4529A" w:rsidP="0088168D">
      <w:pPr>
        <w:pStyle w:val="Bullet0"/>
        <w:rPr>
          <w:noProof/>
        </w:rPr>
      </w:pPr>
      <w:r w:rsidRPr="004C704C">
        <w:rPr>
          <w:noProof/>
        </w:rPr>
        <w:t>instalațiile care desfășoară una sau mai multe dintre activitățile specificate în anexa I sau Ia la Directiva 2010/75/UE și care depășesc pragurile aplicabile specificate în aceasta;</w:t>
      </w:r>
    </w:p>
    <w:p w14:paraId="54B0B1BD" w14:textId="77777777" w:rsidR="00ED14CB" w:rsidRPr="004C704C" w:rsidRDefault="00F63328" w:rsidP="0088168D">
      <w:pPr>
        <w:pStyle w:val="Bullet0"/>
        <w:rPr>
          <w:noProof/>
        </w:rPr>
      </w:pPr>
      <w:r w:rsidRPr="004C704C">
        <w:rPr>
          <w:noProof/>
        </w:rPr>
        <w:t>instalațiile medii de ardere cu o capacitate de peste 20 MW (megawați);</w:t>
      </w:r>
    </w:p>
    <w:p w14:paraId="199F778E" w14:textId="77777777" w:rsidR="00F63328" w:rsidRPr="004C704C" w:rsidRDefault="00F63328" w:rsidP="0088168D">
      <w:pPr>
        <w:pStyle w:val="Bullet0"/>
        <w:rPr>
          <w:noProof/>
        </w:rPr>
      </w:pPr>
      <w:r w:rsidRPr="004C704C">
        <w:rPr>
          <w:noProof/>
        </w:rPr>
        <w:t>activități suplimentare care sunt specificate în protocol, dar care nu sunt reglementate de actul legislativ menționat mai sus, și anume: mineritul subteran (inclusiv extracția țițeiului sau a gazelor naturale), exploatările miniere la zi și de carieră, stațiile mai mari de epurare a apelor urbane uzate, acvacultura și construcția/dezmembrarea sau vopsirea/decaparea navelor.</w:t>
      </w:r>
    </w:p>
    <w:p w14:paraId="15BA388A" w14:textId="77777777" w:rsidR="00F63328" w:rsidRPr="004C704C" w:rsidRDefault="00F63328" w:rsidP="009A4807">
      <w:pPr>
        <w:shd w:val="clear" w:color="auto" w:fill="FFFFFF"/>
        <w:spacing w:before="0" w:after="0"/>
        <w:contextualSpacing/>
        <w:rPr>
          <w:noProof/>
        </w:rPr>
      </w:pPr>
    </w:p>
    <w:p w14:paraId="2417B138" w14:textId="77777777" w:rsidR="00F4529A" w:rsidRPr="004C704C" w:rsidRDefault="002C5AF2" w:rsidP="009A4807">
      <w:pPr>
        <w:shd w:val="clear" w:color="auto" w:fill="FFFFFF"/>
        <w:spacing w:before="0" w:after="0"/>
        <w:contextualSpacing/>
        <w:rPr>
          <w:b/>
          <w:noProof/>
        </w:rPr>
      </w:pPr>
      <w:r w:rsidRPr="004C704C">
        <w:rPr>
          <w:noProof/>
        </w:rPr>
        <w:t>Prin acest domeniu de aplicare se vizează asigurarea coerenței cu alte acte legislative conexe de mediu ale UE, inclusiv cu Directiva 2010/75/UE și cu Directiva (UE) 2015/2193.</w:t>
      </w:r>
      <w:r w:rsidRPr="004C704C">
        <w:rPr>
          <w:b/>
          <w:noProof/>
        </w:rPr>
        <w:t xml:space="preserve"> </w:t>
      </w:r>
    </w:p>
    <w:p w14:paraId="3BF675D4" w14:textId="77777777" w:rsidR="00F4529A" w:rsidRPr="004C704C" w:rsidRDefault="00F4529A" w:rsidP="009A4807">
      <w:pPr>
        <w:shd w:val="clear" w:color="auto" w:fill="FFFFFF"/>
        <w:spacing w:before="0" w:after="0"/>
        <w:contextualSpacing/>
        <w:rPr>
          <w:noProof/>
        </w:rPr>
      </w:pPr>
      <w:r w:rsidRPr="004C704C">
        <w:rPr>
          <w:noProof/>
        </w:rPr>
        <w:t xml:space="preserve"> </w:t>
      </w:r>
    </w:p>
    <w:p w14:paraId="7913209A" w14:textId="77777777" w:rsidR="00F4529A" w:rsidRPr="004C704C" w:rsidRDefault="00F4529A" w:rsidP="009A4807">
      <w:pPr>
        <w:spacing w:before="0" w:after="0"/>
        <w:rPr>
          <w:noProof/>
        </w:rPr>
      </w:pPr>
      <w:r w:rsidRPr="004C704C">
        <w:rPr>
          <w:noProof/>
        </w:rPr>
        <w:t xml:space="preserve">În </w:t>
      </w:r>
      <w:r w:rsidRPr="004C704C">
        <w:rPr>
          <w:b/>
          <w:i/>
          <w:noProof/>
        </w:rPr>
        <w:t>anexa II</w:t>
      </w:r>
      <w:r w:rsidRPr="004C704C">
        <w:rPr>
          <w:noProof/>
        </w:rPr>
        <w:t xml:space="preserve"> este stabilită lista poluanților care trebuie raportați și pragurile aferente a căror depășire declanșează obligația de raportare a emisiilor. </w:t>
      </w:r>
    </w:p>
    <w:p w14:paraId="6DD6A4EF" w14:textId="77777777" w:rsidR="00F4529A" w:rsidRPr="004C704C" w:rsidRDefault="00F4529A" w:rsidP="009A4807">
      <w:pPr>
        <w:spacing w:before="0" w:after="0"/>
        <w:rPr>
          <w:noProof/>
        </w:rPr>
      </w:pPr>
    </w:p>
    <w:p w14:paraId="5E8261BA" w14:textId="77777777" w:rsidR="00F4529A" w:rsidRPr="004C704C" w:rsidRDefault="00F4529A" w:rsidP="009A4807">
      <w:pPr>
        <w:spacing w:before="0" w:after="0"/>
        <w:rPr>
          <w:noProof/>
        </w:rPr>
      </w:pPr>
      <w:r w:rsidRPr="004C704C">
        <w:rPr>
          <w:b/>
          <w:i/>
          <w:noProof/>
        </w:rPr>
        <w:t>Anexa III</w:t>
      </w:r>
      <w:r w:rsidRPr="004C704C">
        <w:rPr>
          <w:noProof/>
        </w:rPr>
        <w:t xml:space="preserve"> conține un tabel de corespondență în care sunt enumerate dispozițiile din Regulamentul (CE) nr. 166/2006 și dispozițiile corespunzătoare din prezenta propunere. </w:t>
      </w:r>
    </w:p>
    <w:p w14:paraId="4AEC14FB" w14:textId="77777777" w:rsidR="00D07F31" w:rsidRPr="004C704C" w:rsidRDefault="00D07F31" w:rsidP="005E5770">
      <w:pPr>
        <w:rPr>
          <w:noProof/>
        </w:rPr>
        <w:sectPr w:rsidR="00D07F31" w:rsidRPr="004C704C" w:rsidSect="00B561D0">
          <w:footerReference w:type="default" r:id="rId13"/>
          <w:footerReference w:type="first" r:id="rId14"/>
          <w:pgSz w:w="11907" w:h="16839"/>
          <w:pgMar w:top="1134" w:right="1417" w:bottom="1134" w:left="1417" w:header="709" w:footer="709" w:gutter="0"/>
          <w:cols w:space="708"/>
          <w:docGrid w:linePitch="360"/>
        </w:sectPr>
      </w:pPr>
    </w:p>
    <w:p w14:paraId="2E224D01" w14:textId="68D6FB0A" w:rsidR="00C53CB5" w:rsidRDefault="00C53CB5" w:rsidP="00C53CB5">
      <w:pPr>
        <w:pStyle w:val="Rfrenceinterinstitutionnelle"/>
        <w:rPr>
          <w:noProof/>
        </w:rPr>
      </w:pPr>
      <w:r w:rsidRPr="00C53CB5">
        <w:t>2022/0105 (COD)</w:t>
      </w:r>
    </w:p>
    <w:p w14:paraId="5DEDB70D" w14:textId="57B74D6E" w:rsidR="00D07F31" w:rsidRPr="004C704C" w:rsidRDefault="004C704C" w:rsidP="004C704C">
      <w:pPr>
        <w:pStyle w:val="Statut"/>
        <w:rPr>
          <w:noProof/>
        </w:rPr>
      </w:pPr>
      <w:r w:rsidRPr="004C704C">
        <w:rPr>
          <w:noProof/>
        </w:rPr>
        <w:t>Propunere de</w:t>
      </w:r>
    </w:p>
    <w:p w14:paraId="03944DB6" w14:textId="4526109C" w:rsidR="00D07F31" w:rsidRPr="004C704C" w:rsidRDefault="004C704C" w:rsidP="004C704C">
      <w:pPr>
        <w:pStyle w:val="Typedudocument"/>
        <w:rPr>
          <w:noProof/>
        </w:rPr>
      </w:pPr>
      <w:r w:rsidRPr="004C704C">
        <w:rPr>
          <w:noProof/>
        </w:rPr>
        <w:t>REGULAMENT AL PARLAMENTULUI EUROPEAN ȘI AL CONSILIULUI</w:t>
      </w:r>
    </w:p>
    <w:p w14:paraId="6B75E661" w14:textId="18B89DD2" w:rsidR="00D07F31" w:rsidRPr="004C704C" w:rsidRDefault="004C704C" w:rsidP="004C704C">
      <w:pPr>
        <w:pStyle w:val="Titreobjet"/>
        <w:rPr>
          <w:noProof/>
        </w:rPr>
      </w:pPr>
      <w:r w:rsidRPr="004C704C">
        <w:rPr>
          <w:noProof/>
        </w:rPr>
        <w:t xml:space="preserve">privind raportarea datelor despre mediu provenite de la instalații industriale și înființarea Portalului emisiilor industriale </w:t>
      </w:r>
      <w:r w:rsidRPr="004C704C">
        <w:rPr>
          <w:noProof/>
        </w:rPr>
        <w:br/>
      </w:r>
    </w:p>
    <w:p w14:paraId="2513F7F9" w14:textId="3C3C3ABF" w:rsidR="00D07F31" w:rsidRPr="004C704C" w:rsidRDefault="004C704C" w:rsidP="004C704C">
      <w:pPr>
        <w:pStyle w:val="IntrtEEE"/>
        <w:rPr>
          <w:noProof/>
        </w:rPr>
      </w:pPr>
      <w:r w:rsidRPr="004C704C">
        <w:rPr>
          <w:noProof/>
        </w:rPr>
        <w:t>(Text cu relevanță pentru SEE)</w:t>
      </w:r>
    </w:p>
    <w:p w14:paraId="0A1CD21E" w14:textId="77777777" w:rsidR="005E5770" w:rsidRPr="004C704C" w:rsidRDefault="005E5770" w:rsidP="002463DB">
      <w:pPr>
        <w:pStyle w:val="Institutionquiagit"/>
        <w:rPr>
          <w:noProof/>
        </w:rPr>
      </w:pPr>
      <w:r w:rsidRPr="004C704C">
        <w:rPr>
          <w:noProof/>
        </w:rPr>
        <w:t>PARLAMENTUL EUROPEAN ȘI CONSILIUL UNIUNII EUROPENE,</w:t>
      </w:r>
    </w:p>
    <w:p w14:paraId="0EB58764" w14:textId="77777777" w:rsidR="005E5770" w:rsidRPr="004C704C" w:rsidRDefault="005E5770" w:rsidP="005E5770">
      <w:pPr>
        <w:rPr>
          <w:noProof/>
        </w:rPr>
      </w:pPr>
      <w:r w:rsidRPr="004C704C">
        <w:rPr>
          <w:noProof/>
        </w:rPr>
        <w:t>având în vedere Tratatul privind funcționarea Uniunii Europene, în special articolul 192 alineatul (1),</w:t>
      </w:r>
    </w:p>
    <w:p w14:paraId="6517CD89" w14:textId="77777777" w:rsidR="005E5770" w:rsidRPr="004C704C" w:rsidRDefault="005E5770" w:rsidP="005E5770">
      <w:pPr>
        <w:rPr>
          <w:noProof/>
        </w:rPr>
      </w:pPr>
      <w:r w:rsidRPr="004C704C">
        <w:rPr>
          <w:noProof/>
        </w:rPr>
        <w:t>având în vedere propunerea Comisiei Europene,</w:t>
      </w:r>
    </w:p>
    <w:p w14:paraId="5D34E22D" w14:textId="77777777" w:rsidR="005E5770" w:rsidRPr="004C704C" w:rsidRDefault="005E5770" w:rsidP="005E5770">
      <w:pPr>
        <w:rPr>
          <w:noProof/>
        </w:rPr>
      </w:pPr>
      <w:r w:rsidRPr="004C704C">
        <w:rPr>
          <w:noProof/>
        </w:rPr>
        <w:t>după transmiterea proiectului de act legislativ către parlamentele naționale,</w:t>
      </w:r>
    </w:p>
    <w:p w14:paraId="50D5B748" w14:textId="77777777" w:rsidR="005E5770" w:rsidRPr="004C704C" w:rsidRDefault="005E5770" w:rsidP="005E5770">
      <w:pPr>
        <w:rPr>
          <w:noProof/>
        </w:rPr>
      </w:pPr>
      <w:r w:rsidRPr="004C704C">
        <w:rPr>
          <w:noProof/>
        </w:rPr>
        <w:t>Având în vedere avizul Comitetului Economic și Social European</w:t>
      </w:r>
      <w:r w:rsidRPr="004C704C">
        <w:rPr>
          <w:rStyle w:val="FootnoteReference"/>
          <w:noProof/>
        </w:rPr>
        <w:footnoteReference w:id="30"/>
      </w:r>
      <w:r w:rsidRPr="004C704C">
        <w:rPr>
          <w:noProof/>
        </w:rPr>
        <w:t xml:space="preserve">, </w:t>
      </w:r>
    </w:p>
    <w:p w14:paraId="31E52451" w14:textId="77777777" w:rsidR="005E5770" w:rsidRPr="004C704C" w:rsidRDefault="005E5770" w:rsidP="005E5770">
      <w:pPr>
        <w:rPr>
          <w:noProof/>
        </w:rPr>
      </w:pPr>
      <w:r w:rsidRPr="004C704C">
        <w:rPr>
          <w:noProof/>
        </w:rPr>
        <w:t>având în vedere avizul Comitetului Regiunilor</w:t>
      </w:r>
      <w:r w:rsidRPr="004C704C">
        <w:rPr>
          <w:rStyle w:val="FootnoteReference"/>
          <w:noProof/>
        </w:rPr>
        <w:footnoteReference w:id="31"/>
      </w:r>
      <w:r w:rsidRPr="004C704C">
        <w:rPr>
          <w:noProof/>
        </w:rPr>
        <w:t xml:space="preserve">, </w:t>
      </w:r>
    </w:p>
    <w:p w14:paraId="3EAF0520" w14:textId="77777777" w:rsidR="005E5770" w:rsidRPr="004C704C" w:rsidRDefault="005E5770" w:rsidP="005E5770">
      <w:pPr>
        <w:rPr>
          <w:noProof/>
        </w:rPr>
      </w:pPr>
      <w:r w:rsidRPr="004C704C">
        <w:rPr>
          <w:noProof/>
        </w:rPr>
        <w:t>hotărând în conformitate cu procedura legislativă ordinară,</w:t>
      </w:r>
    </w:p>
    <w:p w14:paraId="5B648453" w14:textId="77777777" w:rsidR="005E5770" w:rsidRPr="004C704C" w:rsidRDefault="005E5770" w:rsidP="0009301D">
      <w:pPr>
        <w:spacing w:before="0" w:after="0"/>
        <w:rPr>
          <w:noProof/>
        </w:rPr>
      </w:pPr>
      <w:r w:rsidRPr="004C704C">
        <w:rPr>
          <w:noProof/>
        </w:rPr>
        <w:t>întrucât:</w:t>
      </w:r>
    </w:p>
    <w:p w14:paraId="3A354CFA" w14:textId="77777777" w:rsidR="00C82040" w:rsidRPr="004C704C" w:rsidRDefault="00C82040" w:rsidP="0009301D">
      <w:pPr>
        <w:spacing w:before="0" w:after="0"/>
        <w:rPr>
          <w:noProof/>
        </w:rPr>
      </w:pPr>
    </w:p>
    <w:p w14:paraId="29D6F115" w14:textId="77777777" w:rsidR="0009301D" w:rsidRPr="004C704C" w:rsidRDefault="0009301D" w:rsidP="0009301D">
      <w:pPr>
        <w:spacing w:before="0" w:after="0"/>
        <w:rPr>
          <w:noProof/>
        </w:rPr>
      </w:pPr>
    </w:p>
    <w:p w14:paraId="35EB7970" w14:textId="2240B861" w:rsidR="0009301D" w:rsidRPr="004C704C" w:rsidRDefault="00537200" w:rsidP="00537200">
      <w:pPr>
        <w:pStyle w:val="ManualConsidrant"/>
        <w:rPr>
          <w:noProof/>
          <w:szCs w:val="24"/>
        </w:rPr>
      </w:pPr>
      <w:r w:rsidRPr="00537200">
        <w:t>(1)</w:t>
      </w:r>
      <w:r w:rsidRPr="00537200">
        <w:tab/>
      </w:r>
      <w:r w:rsidR="005E5770" w:rsidRPr="004C704C">
        <w:rPr>
          <w:noProof/>
        </w:rPr>
        <w:t>Al optulea program de acțiune pentru mediu al Uniunii Europene, adoptat prin Decizia nr. XXX/202X/UE a Parlamentului European și a Consiliului</w:t>
      </w:r>
      <w:r w:rsidR="005E5770" w:rsidRPr="004C704C">
        <w:rPr>
          <w:rStyle w:val="FootnoteReference"/>
          <w:noProof/>
        </w:rPr>
        <w:footnoteReference w:id="32"/>
      </w:r>
      <w:r w:rsidR="005E5770" w:rsidRPr="004C704C">
        <w:rPr>
          <w:noProof/>
          <w:sz w:val="20"/>
          <w:szCs w:val="20"/>
          <w:vertAlign w:val="superscript"/>
        </w:rPr>
        <w:t xml:space="preserve">, </w:t>
      </w:r>
      <w:r w:rsidR="005E5770" w:rsidRPr="004C704C">
        <w:rPr>
          <w:noProof/>
        </w:rPr>
        <w:t>conține obligația Comisiei, a statelor membre, a autorităților regionale și locale și a părților interesate de a aplica efectiv standarde ridicate în materie de transparență, de participare a publicului și de acces la justiție, în conformitate cu Convenția CEE-ONU privind accesul la informație, participarea publicului la luarea deciziei și accesul la justiție în probleme de mediu</w:t>
      </w:r>
      <w:r w:rsidR="005E5770" w:rsidRPr="004C704C">
        <w:rPr>
          <w:rStyle w:val="FootnoteReference"/>
          <w:noProof/>
        </w:rPr>
        <w:footnoteReference w:id="33"/>
      </w:r>
      <w:r w:rsidR="005E5770" w:rsidRPr="004C704C">
        <w:rPr>
          <w:noProof/>
          <w:sz w:val="20"/>
          <w:szCs w:val="20"/>
        </w:rPr>
        <w:t xml:space="preserve"> </w:t>
      </w:r>
      <w:r w:rsidR="005E5770" w:rsidRPr="004C704C">
        <w:rPr>
          <w:noProof/>
        </w:rPr>
        <w:t>(„Convenția de la Aarhus”), atât la nivelul Uniunii, cât și la nivelul statelor membre.</w:t>
      </w:r>
    </w:p>
    <w:p w14:paraId="259E8A1E" w14:textId="11DB39AF" w:rsidR="008106C4" w:rsidRPr="004C704C" w:rsidRDefault="00537200" w:rsidP="00537200">
      <w:pPr>
        <w:pStyle w:val="ManualConsidrant"/>
        <w:rPr>
          <w:noProof/>
          <w:szCs w:val="24"/>
        </w:rPr>
      </w:pPr>
      <w:r w:rsidRPr="00537200">
        <w:t>(2)</w:t>
      </w:r>
      <w:r w:rsidRPr="00537200">
        <w:tab/>
      </w:r>
      <w:r w:rsidR="008106C4" w:rsidRPr="004C704C">
        <w:rPr>
          <w:noProof/>
        </w:rPr>
        <w:t>În Convenția de la Aarhus, ratificată de Comunitatea Europeană la 17 februarie 2005 prin Decizia 2005/370/CE a Consiliului, se recunoaște că accesul sporit al publicului la informațiile despre mediu și diseminarea acestor informații contribuie la o mai bună conștientizare a problemelor de mediu, la schimbul liber de opinii, la o participare mai eficientă a publicului la luarea deciziilor despre mediu și, în cele din urmă, la îmbunătățirea mediului.</w:t>
      </w:r>
    </w:p>
    <w:p w14:paraId="4E255EDD" w14:textId="34E35FB4" w:rsidR="008106C4" w:rsidRPr="004C704C" w:rsidRDefault="00537200" w:rsidP="00537200">
      <w:pPr>
        <w:pStyle w:val="ManualConsidrant"/>
        <w:rPr>
          <w:noProof/>
          <w:szCs w:val="24"/>
        </w:rPr>
      </w:pPr>
      <w:r w:rsidRPr="00537200">
        <w:t>(3)</w:t>
      </w:r>
      <w:r w:rsidRPr="00537200">
        <w:tab/>
      </w:r>
      <w:r w:rsidR="008106C4" w:rsidRPr="004C704C">
        <w:rPr>
          <w:noProof/>
        </w:rPr>
        <w:t>La 2 decembrie 2005, Comunitatea Europeană a ratificat Protocolul CEE-ONU privind Registrul poluanților emiși și transferați („protocolul”) prin Decizia</w:t>
      </w:r>
      <w:r w:rsidR="007C274E">
        <w:rPr>
          <w:noProof/>
        </w:rPr>
        <w:t> </w:t>
      </w:r>
      <w:r w:rsidR="008106C4" w:rsidRPr="004C704C">
        <w:rPr>
          <w:noProof/>
        </w:rPr>
        <w:t xml:space="preserve">2006/61/CE a Consiliului. </w:t>
      </w:r>
    </w:p>
    <w:p w14:paraId="0AB52672" w14:textId="5D8AE796" w:rsidR="008106C4" w:rsidRPr="004C704C" w:rsidRDefault="00537200" w:rsidP="00537200">
      <w:pPr>
        <w:pStyle w:val="ManualConsidrant"/>
        <w:rPr>
          <w:noProof/>
        </w:rPr>
      </w:pPr>
      <w:r w:rsidRPr="00537200">
        <w:t>(4)</w:t>
      </w:r>
      <w:r w:rsidRPr="00537200">
        <w:tab/>
      </w:r>
      <w:r w:rsidR="008106C4" w:rsidRPr="004C704C">
        <w:rPr>
          <w:noProof/>
        </w:rPr>
        <w:t>Prin Regulamentul (CE) nr. 166/2006 al Parlamentului European și al Consiliului</w:t>
      </w:r>
      <w:r w:rsidR="008106C4" w:rsidRPr="004C704C">
        <w:rPr>
          <w:rStyle w:val="FootnoteReference"/>
          <w:noProof/>
        </w:rPr>
        <w:footnoteReference w:id="34"/>
      </w:r>
      <w:r w:rsidR="008106C4" w:rsidRPr="004C704C">
        <w:rPr>
          <w:noProof/>
        </w:rPr>
        <w:t xml:space="preserve"> a fost instituit un registru european al emisiilor și transferului de poluanți, în vederea punerii în aplicare a protocolului. </w:t>
      </w:r>
    </w:p>
    <w:p w14:paraId="629094F1" w14:textId="460233D2" w:rsidR="008106C4" w:rsidRPr="004C704C" w:rsidRDefault="00537200" w:rsidP="00537200">
      <w:pPr>
        <w:pStyle w:val="ManualConsidrant"/>
        <w:rPr>
          <w:noProof/>
        </w:rPr>
      </w:pPr>
      <w:r w:rsidRPr="00537200">
        <w:t>(5)</w:t>
      </w:r>
      <w:r w:rsidRPr="00537200">
        <w:tab/>
      </w:r>
      <w:r w:rsidR="008106C4" w:rsidRPr="004C704C">
        <w:rPr>
          <w:noProof/>
        </w:rPr>
        <w:t>Concluzia celui de al doilea raport al Comisiei</w:t>
      </w:r>
      <w:r w:rsidR="008106C4" w:rsidRPr="004C704C">
        <w:rPr>
          <w:rStyle w:val="FootnoteReference"/>
          <w:noProof/>
        </w:rPr>
        <w:footnoteReference w:id="35"/>
      </w:r>
      <w:r w:rsidR="008106C4" w:rsidRPr="004C704C">
        <w:rPr>
          <w:noProof/>
        </w:rPr>
        <w:t xml:space="preserve"> referitor la punerea în aplicare a Regulamentului (CE) nr. 166/2006 a fost că obligațiile de raportare ar trebui raționalizate prin explorarea în mai mare măsură a sinergiilor cu alte acte legislative de mediu conexe ale Uniunii privind poluarea generată de instalațiile industriale, în special cu Directiva 2010/75/UE a Parlamentului European și a Consiliului</w:t>
      </w:r>
      <w:r w:rsidR="008106C4" w:rsidRPr="004C704C">
        <w:rPr>
          <w:rStyle w:val="FootnoteReference"/>
          <w:noProof/>
        </w:rPr>
        <w:footnoteReference w:id="36"/>
      </w:r>
      <w:r w:rsidR="008106C4" w:rsidRPr="004C704C">
        <w:rPr>
          <w:noProof/>
        </w:rPr>
        <w:t xml:space="preserve"> și cu Directiva 91/271/CEE a Consiliului</w:t>
      </w:r>
      <w:r w:rsidR="008106C4" w:rsidRPr="004C704C">
        <w:rPr>
          <w:rStyle w:val="FootnoteReference"/>
          <w:noProof/>
        </w:rPr>
        <w:footnoteReference w:id="37"/>
      </w:r>
      <w:r w:rsidR="008106C4" w:rsidRPr="004C704C">
        <w:rPr>
          <w:noProof/>
        </w:rPr>
        <w:t>. În raport s-a subliniat, de asemenea, necesitatea de analizare a unor opțiuni de informații contextuale suplimentare, în vederea sporirii eficacității datelor raportate.</w:t>
      </w:r>
    </w:p>
    <w:p w14:paraId="5FAEBDDC" w14:textId="5D920622" w:rsidR="008106C4" w:rsidRPr="004C704C" w:rsidRDefault="00537200" w:rsidP="00537200">
      <w:pPr>
        <w:pStyle w:val="ManualConsidrant"/>
        <w:rPr>
          <w:noProof/>
        </w:rPr>
      </w:pPr>
      <w:r w:rsidRPr="00537200">
        <w:t>(6)</w:t>
      </w:r>
      <w:r w:rsidRPr="00537200">
        <w:tab/>
      </w:r>
      <w:r w:rsidR="008106C4" w:rsidRPr="004C704C">
        <w:rPr>
          <w:noProof/>
        </w:rPr>
        <w:t>În Comunicarea „Către reducerea la zero a poluării aerului, apei și solului”</w:t>
      </w:r>
      <w:r w:rsidR="008106C4" w:rsidRPr="004C704C">
        <w:rPr>
          <w:rStyle w:val="FootnoteReference"/>
          <w:noProof/>
        </w:rPr>
        <w:footnoteReference w:id="38"/>
      </w:r>
      <w:r w:rsidR="008106C4" w:rsidRPr="004C704C">
        <w:rPr>
          <w:noProof/>
        </w:rPr>
        <w:t>, Comisia a stabilit un plan de acțiune al Uniunii privind reducerea la zero a poluării, energia, decarbonizarea și economia circulară și a promovat utilizarea eficace a informațiilor raportate în cadrul mai larg de monitorizare și de perspectivă privind reducerea la zero a poluării și în cadrul de monitorizare prevăzut în Al optulea program de acțiune pentru mediu.</w:t>
      </w:r>
    </w:p>
    <w:p w14:paraId="4DB698BB" w14:textId="55634D1C" w:rsidR="008106C4" w:rsidRPr="004C704C" w:rsidRDefault="00537200" w:rsidP="00537200">
      <w:pPr>
        <w:pStyle w:val="ManualConsidrant"/>
        <w:rPr>
          <w:noProof/>
        </w:rPr>
      </w:pPr>
      <w:r w:rsidRPr="00537200">
        <w:t>(7)</w:t>
      </w:r>
      <w:r w:rsidRPr="00537200">
        <w:tab/>
      </w:r>
      <w:r w:rsidR="008106C4" w:rsidRPr="004C704C">
        <w:rPr>
          <w:noProof/>
        </w:rPr>
        <w:t>În concordanță cu concluziile din al doilea raport al Comisiei privind punerea în aplicare a Regulamentului (CE) nr. 166/2006, Comisia, sprijinită de Agenția Europeană de Mediu („agenția”), a dezvoltat în iunie 2021 un portal al emisiilor industriale („portalul”)</w:t>
      </w:r>
      <w:r w:rsidR="008106C4" w:rsidRPr="004C704C">
        <w:rPr>
          <w:rStyle w:val="FootnoteReference"/>
          <w:noProof/>
        </w:rPr>
        <w:footnoteReference w:id="39"/>
      </w:r>
      <w:r w:rsidR="008106C4" w:rsidRPr="004C704C">
        <w:rPr>
          <w:noProof/>
        </w:rPr>
        <w:t>,</w:t>
      </w:r>
      <w:r w:rsidR="008106C4" w:rsidRPr="004C704C">
        <w:rPr>
          <w:noProof/>
          <w:sz w:val="20"/>
          <w:szCs w:val="20"/>
        </w:rPr>
        <w:t xml:space="preserve"> </w:t>
      </w:r>
      <w:r w:rsidR="008106C4" w:rsidRPr="004C704C">
        <w:rPr>
          <w:noProof/>
        </w:rPr>
        <w:t xml:space="preserve">pentru a înlocui Registrul European al Poluanților Emiși și Transferați și, prin urmare, pentru a îmbunătăți sinergiile cu raportarea efectuată în temeiul Directivei 2010/75/UE. </w:t>
      </w:r>
    </w:p>
    <w:p w14:paraId="710E28C7" w14:textId="2D3495CB" w:rsidR="008106C4" w:rsidRPr="004C704C" w:rsidRDefault="00537200" w:rsidP="00537200">
      <w:pPr>
        <w:pStyle w:val="ManualConsidrant"/>
        <w:rPr>
          <w:noProof/>
        </w:rPr>
      </w:pPr>
      <w:r w:rsidRPr="00537200">
        <w:t>(8)</w:t>
      </w:r>
      <w:r w:rsidRPr="00537200">
        <w:tab/>
      </w:r>
      <w:r w:rsidR="008106C4" w:rsidRPr="004C704C">
        <w:rPr>
          <w:noProof/>
        </w:rPr>
        <w:t>Portalul ar trebui să ofere publicului acces online gratuit la un set de date cu un grad mai ridicat de integrare și coerență cu privire la principalele presiuni exercitate asupra mediului de instalațiile industriale, deoarece astfel de date constituie un instrument eficient din punctul de vedere al costurilor pentru efectuarea de comparații și luarea de decizii în chestiuni de mediu, încurajând o mai bună performanță de mediu, urmărirea tendințelor, demonstrarea înregistrării de progrese în direcția reducerii poluării, evaluarea comparativă a instalațiilor, monitorizarea respectării acordurilor internaționale relevante, stabilirea de priorități și evaluarea progreselor realizate prin intermediul politicilor și programelor de mediu stabilite la nivelul Uniunii și la nivel național.</w:t>
      </w:r>
    </w:p>
    <w:p w14:paraId="473F5B3F" w14:textId="3FE41CE0" w:rsidR="008106C4" w:rsidRPr="004C704C" w:rsidRDefault="00537200" w:rsidP="00537200">
      <w:pPr>
        <w:pStyle w:val="ManualConsidrant"/>
        <w:rPr>
          <w:noProof/>
        </w:rPr>
      </w:pPr>
      <w:r w:rsidRPr="00537200">
        <w:t>(9)</w:t>
      </w:r>
      <w:r w:rsidRPr="00537200">
        <w:tab/>
      </w:r>
      <w:r w:rsidR="008106C4" w:rsidRPr="004C704C">
        <w:rPr>
          <w:noProof/>
        </w:rPr>
        <w:t>Portalul ar trebui să prezinte datele pe care le conține sub formă agregată și neagregată pentru a le permite utilizatorilor să efectueze căutări specifice.</w:t>
      </w:r>
    </w:p>
    <w:p w14:paraId="649C4A97" w14:textId="4989A0A1" w:rsidR="008106C4" w:rsidRPr="004C704C" w:rsidRDefault="00537200" w:rsidP="00537200">
      <w:pPr>
        <w:pStyle w:val="ManualConsidrant"/>
        <w:rPr>
          <w:noProof/>
        </w:rPr>
      </w:pPr>
      <w:r w:rsidRPr="00537200">
        <w:t>(10)</w:t>
      </w:r>
      <w:r w:rsidRPr="00537200">
        <w:tab/>
      </w:r>
      <w:r w:rsidR="008106C4" w:rsidRPr="004C704C">
        <w:rPr>
          <w:noProof/>
        </w:rPr>
        <w:t xml:space="preserve">Cerințele de raportare ar trebui să se aplice la „nivel de instalație”, astfel încât să se realizeze sinergii între portal și bazele de date referitoare la presiunile exercitate asupra mediului de instalațiile industriale, inclusiv de instalațiile care intră sub incidența Directivei 2010/75/UE, și să se asigure coerența cu punerea în aplicare a directivei menționate și sprijinul pentru punerea în aplicare a acesteia. </w:t>
      </w:r>
    </w:p>
    <w:p w14:paraId="5AE6605D" w14:textId="6BD445E0" w:rsidR="008106C4" w:rsidRPr="004C704C" w:rsidRDefault="00537200" w:rsidP="00537200">
      <w:pPr>
        <w:pStyle w:val="ManualConsidrant"/>
        <w:rPr>
          <w:iCs/>
          <w:noProof/>
          <w:color w:val="000000" w:themeColor="text1"/>
        </w:rPr>
      </w:pPr>
      <w:r w:rsidRPr="00537200">
        <w:t>(11)</w:t>
      </w:r>
      <w:r w:rsidRPr="00537200">
        <w:tab/>
      </w:r>
      <w:r w:rsidR="008106C4" w:rsidRPr="004C704C">
        <w:rPr>
          <w:noProof/>
        </w:rPr>
        <w:t xml:space="preserve">Pentru respectarea cerințelor protocolului, cerințele de raportare ar trebui să se aplice tuturor activităților enumerate în anexa I. În plus, în vederea realizării de sinergii cu acte legislative de mediu conexe ale Uniunii care vizează instalațiile industriale, domeniul de aplicare al prezentului regulament ar trebui să fie aliniat de asemenea la activitățile industriale prevăzute în anexele I și Ia la </w:t>
      </w:r>
      <w:r w:rsidR="008106C4" w:rsidRPr="004C704C">
        <w:rPr>
          <w:noProof/>
          <w:color w:val="000000"/>
          <w:szCs w:val="24"/>
        </w:rPr>
        <w:t>Directiva 2010/75/UE</w:t>
      </w:r>
      <w:r w:rsidR="008106C4" w:rsidRPr="004C704C">
        <w:rPr>
          <w:noProof/>
        </w:rPr>
        <w:t xml:space="preserve"> și la anumite activități reglementate de Directiva (UE) 2015/2193 a Parlamentului</w:t>
      </w:r>
      <w:r w:rsidR="007C274E">
        <w:rPr>
          <w:noProof/>
        </w:rPr>
        <w:t> </w:t>
      </w:r>
      <w:r w:rsidR="008106C4" w:rsidRPr="004C704C">
        <w:rPr>
          <w:noProof/>
        </w:rPr>
        <w:t>European și a Consiliului</w:t>
      </w:r>
      <w:r w:rsidR="008106C4" w:rsidRPr="004C704C">
        <w:rPr>
          <w:rStyle w:val="FootnoteReference"/>
          <w:noProof/>
        </w:rPr>
        <w:footnoteReference w:id="40"/>
      </w:r>
      <w:r w:rsidR="008106C4" w:rsidRPr="004C704C">
        <w:rPr>
          <w:noProof/>
        </w:rPr>
        <w:t>.</w:t>
      </w:r>
    </w:p>
    <w:p w14:paraId="530BC400" w14:textId="6D58341E" w:rsidR="008106C4" w:rsidRPr="004C704C" w:rsidRDefault="00537200" w:rsidP="00537200">
      <w:pPr>
        <w:pStyle w:val="ManualConsidrant"/>
        <w:rPr>
          <w:rFonts w:eastAsia="Times New Roman"/>
          <w:noProof/>
          <w:color w:val="000000"/>
        </w:rPr>
      </w:pPr>
      <w:r w:rsidRPr="00537200">
        <w:t>(12)</w:t>
      </w:r>
      <w:r w:rsidRPr="00537200">
        <w:tab/>
      </w:r>
      <w:r w:rsidR="008106C4" w:rsidRPr="004C704C">
        <w:rPr>
          <w:noProof/>
        </w:rPr>
        <w:t xml:space="preserve">În vederea monitorizării performanței de mediu a instalațiilor industriale, datele care urmează să fie incluse în portal ar trebui să acopere, în cazul depășirii unor praguri cantitative, emisiile în mediu de anumiți poluanți, transferurile în afara amplasamentului de ape uzate care conțin respectivii poluanți și transferurile de deșeuri în afara amplasamentului. </w:t>
      </w:r>
    </w:p>
    <w:p w14:paraId="056B0347" w14:textId="674C1897" w:rsidR="00A60EDF" w:rsidRPr="004C704C" w:rsidRDefault="00537200" w:rsidP="00537200">
      <w:pPr>
        <w:pStyle w:val="ManualConsidrant"/>
        <w:rPr>
          <w:noProof/>
          <w:szCs w:val="24"/>
        </w:rPr>
      </w:pPr>
      <w:r w:rsidRPr="00537200">
        <w:t>(13)</w:t>
      </w:r>
      <w:r w:rsidRPr="00537200">
        <w:tab/>
      </w:r>
      <w:r w:rsidR="008106C4" w:rsidRPr="004C704C">
        <w:rPr>
          <w:noProof/>
        </w:rPr>
        <w:t>Portalul ar trebui să includă, de asemenea, date privind utilizarea apei, a energiei și a materiilor prime de către instalațiile în cauză, pentru a se putea monitoriza progresele înregistrate în direcția unei economii circulare, foarte eficiente din punctul de vedere al utilizării resurselor.</w:t>
      </w:r>
    </w:p>
    <w:p w14:paraId="75697502" w14:textId="0D6B453E" w:rsidR="005E5770" w:rsidRPr="004C704C" w:rsidRDefault="00537200" w:rsidP="00537200">
      <w:pPr>
        <w:pStyle w:val="ManualConsidrant"/>
        <w:rPr>
          <w:noProof/>
        </w:rPr>
      </w:pPr>
      <w:r w:rsidRPr="00537200">
        <w:t>(14)</w:t>
      </w:r>
      <w:r w:rsidRPr="00537200">
        <w:tab/>
      </w:r>
      <w:r w:rsidR="005E5770" w:rsidRPr="004C704C">
        <w:rPr>
          <w:noProof/>
        </w:rPr>
        <w:t>În Convenția de la Aarhus, ratificată de Comunitatea Europeană la 17 februarie 2005, prin Decizia 2005/370/CE a Consiliului</w:t>
      </w:r>
      <w:r w:rsidR="005E5770" w:rsidRPr="004C704C">
        <w:rPr>
          <w:rStyle w:val="FootnoteReference"/>
          <w:noProof/>
        </w:rPr>
        <w:footnoteReference w:id="41"/>
      </w:r>
      <w:r w:rsidR="005E5770" w:rsidRPr="004C704C">
        <w:rPr>
          <w:noProof/>
        </w:rPr>
        <w:t>,</w:t>
      </w:r>
      <w:r w:rsidR="005E5770" w:rsidRPr="004C704C">
        <w:rPr>
          <w:noProof/>
          <w:vertAlign w:val="superscript"/>
        </w:rPr>
        <w:t xml:space="preserve"> </w:t>
      </w:r>
      <w:r w:rsidR="005E5770" w:rsidRPr="004C704C">
        <w:rPr>
          <w:noProof/>
        </w:rPr>
        <w:t>se recunoaște că accesul sporit al publicului la informațiile despre mediu și diseminarea acestor informații contribuie la o mai bună conștientizare a problemelor de mediu, la schimbul liber de opinii, la o participare mai eficientă a publicului la luarea deciziilor despre mediu și, în cele din urmă, la îmbunătățirea mediului.</w:t>
      </w:r>
    </w:p>
    <w:p w14:paraId="69BAD319" w14:textId="7B8DE3DB" w:rsidR="008106C4" w:rsidRPr="004C704C" w:rsidRDefault="00537200" w:rsidP="00537200">
      <w:pPr>
        <w:pStyle w:val="ManualConsidrant"/>
        <w:rPr>
          <w:rFonts w:eastAsia="Times New Roman"/>
          <w:noProof/>
          <w:color w:val="000000"/>
          <w:szCs w:val="24"/>
        </w:rPr>
      </w:pPr>
      <w:r w:rsidRPr="00537200">
        <w:t>(15)</w:t>
      </w:r>
      <w:r w:rsidRPr="00537200">
        <w:tab/>
      </w:r>
      <w:r w:rsidR="008106C4" w:rsidRPr="004C704C">
        <w:rPr>
          <w:noProof/>
        </w:rPr>
        <w:t xml:space="preserve">Operatorii instalațiilor ar trebui să raporteze, de asemenea, informații referitoare la volumul de producție, numărul de angajați și orele de funcționare ale instalației în cauză, precum și informații referitoare la accidentele care au condus la emisii, pentru a permite punerea în context a datelor raportate cu privire la emisiile de poluanți și la transferurile de deșeuri și de ape uzate în afara amplasamentului. </w:t>
      </w:r>
    </w:p>
    <w:p w14:paraId="3F414C36" w14:textId="32B241AA" w:rsidR="008106C4" w:rsidRPr="004C704C" w:rsidRDefault="00537200" w:rsidP="00537200">
      <w:pPr>
        <w:pStyle w:val="ManualConsidrant"/>
        <w:rPr>
          <w:noProof/>
        </w:rPr>
      </w:pPr>
      <w:r w:rsidRPr="00537200">
        <w:t>(16)</w:t>
      </w:r>
      <w:r w:rsidRPr="00537200">
        <w:tab/>
      </w:r>
      <w:r w:rsidR="008106C4" w:rsidRPr="004C704C">
        <w:rPr>
          <w:noProof/>
        </w:rPr>
        <w:t>Beneficiile generale ale portalului pentru accesul la informații de mediu referitoare la instalațiile industriale ar trebui maximizate prin includerea de linkuri către alte fluxuri de informații care decurg din actele legislative de mediu ale Uniunii referitoare la schimbările climatice, protecția aerului, a apei și a solului și gestionarea deșeurilor, inclusiv la date raportate în temeiul Directivei 2012/18/UE a Parlamentului European și a Consiliului</w:t>
      </w:r>
      <w:r w:rsidR="008106C4" w:rsidRPr="004C704C">
        <w:rPr>
          <w:rStyle w:val="FootnoteReference"/>
          <w:noProof/>
        </w:rPr>
        <w:footnoteReference w:id="42"/>
      </w:r>
      <w:r w:rsidR="008106C4" w:rsidRPr="004C704C">
        <w:rPr>
          <w:noProof/>
        </w:rPr>
        <w:t>, al Directivei 2008/98/CE a Parlamentului European și a Consiliului</w:t>
      </w:r>
      <w:r w:rsidR="008106C4" w:rsidRPr="004C704C">
        <w:rPr>
          <w:rStyle w:val="FootnoteReference"/>
          <w:noProof/>
        </w:rPr>
        <w:footnoteReference w:id="43"/>
      </w:r>
      <w:r w:rsidR="008106C4" w:rsidRPr="004C704C">
        <w:rPr>
          <w:noProof/>
        </w:rPr>
        <w:t xml:space="preserve"> și al Directivei 2010/75/UE. În plus, pentru a se maximiza valoarea pentru utilizatori a portalului, acesta ar trebui proiectat astfel încât să faciliteze combinarea viitoare cu alte fluxuri relevante de date despre mediu. </w:t>
      </w:r>
    </w:p>
    <w:p w14:paraId="47157D32" w14:textId="34621AFE" w:rsidR="008106C4" w:rsidRPr="004C704C" w:rsidRDefault="00537200" w:rsidP="00537200">
      <w:pPr>
        <w:pStyle w:val="ManualConsidrant"/>
        <w:rPr>
          <w:noProof/>
        </w:rPr>
      </w:pPr>
      <w:r w:rsidRPr="00537200">
        <w:t>(17)</w:t>
      </w:r>
      <w:r w:rsidRPr="00537200">
        <w:tab/>
      </w:r>
      <w:r w:rsidR="008106C4" w:rsidRPr="004C704C">
        <w:rPr>
          <w:noProof/>
        </w:rPr>
        <w:t xml:space="preserve">În scopul securității juridice, operatorii de instalații ar trebui să aibă obligația de a </w:t>
      </w:r>
      <w:r w:rsidR="008106C4" w:rsidRPr="004C704C">
        <w:rPr>
          <w:noProof/>
          <w:color w:val="000000"/>
          <w:szCs w:val="24"/>
        </w:rPr>
        <w:t>introduce o declarație zero</w:t>
      </w:r>
      <w:r w:rsidR="008106C4" w:rsidRPr="004C704C">
        <w:rPr>
          <w:noProof/>
        </w:rPr>
        <w:t xml:space="preserve"> când emisiile și transferurile în afara amplasamentului de deșeuri și ape uzate provenite de la instalațiile lor se situează sub pragurile de raportare. </w:t>
      </w:r>
    </w:p>
    <w:p w14:paraId="1E70CF3E" w14:textId="3C23618C" w:rsidR="008106C4" w:rsidRPr="004C704C" w:rsidRDefault="00537200" w:rsidP="00537200">
      <w:pPr>
        <w:pStyle w:val="ManualConsidrant"/>
        <w:rPr>
          <w:noProof/>
        </w:rPr>
      </w:pPr>
      <w:r w:rsidRPr="00537200">
        <w:t>(18)</w:t>
      </w:r>
      <w:r w:rsidRPr="00537200">
        <w:tab/>
      </w:r>
      <w:r w:rsidR="008106C4" w:rsidRPr="004C704C">
        <w:rPr>
          <w:noProof/>
        </w:rPr>
        <w:t>Pentru îmbunătățirea calității datelor raportate și pentru asigurarea comparabilității acestora, este indicat să se armonizeze metodele de cuantificare care trebuie utilizate de operatori la raportarea emisiilor, a transferurilor de deșeuri în afara amplasamentului, a transferurilor de ape uzate în afara amplasamentului și a utilizării resurselor. Prin urmare, operatorii ar trebui să aibă obligația de a folosi, cu prioritate, metoda măsurării, drept cea mai exactă metodă de cuantificare, și, dacă aceasta nu este posibilă, metoda calculării, în timp ce metoda estimării ar trebui folosită numai în ultimă instanță.</w:t>
      </w:r>
    </w:p>
    <w:p w14:paraId="68CB3C76" w14:textId="13F86ABC" w:rsidR="008106C4" w:rsidRPr="004C704C" w:rsidRDefault="00537200" w:rsidP="00537200">
      <w:pPr>
        <w:pStyle w:val="ManualConsidrant"/>
        <w:rPr>
          <w:noProof/>
        </w:rPr>
      </w:pPr>
      <w:r w:rsidRPr="00537200">
        <w:t>(19)</w:t>
      </w:r>
      <w:r w:rsidRPr="00537200">
        <w:tab/>
      </w:r>
      <w:r w:rsidR="008106C4" w:rsidRPr="004C704C">
        <w:rPr>
          <w:noProof/>
        </w:rPr>
        <w:t xml:space="preserve">Întrucât este posibil ca operatorii instalațiilor de producție animalieră și de acvacultură să nu dispună de resursele necesare pentru cuantificarea exactă a emisiile lor deliberate de poluanți, statele membre ar trebui să aibă dreptul de a cuantifica emisiile în cauză în numele respectivilor operatori. </w:t>
      </w:r>
    </w:p>
    <w:p w14:paraId="57DB6AE2" w14:textId="69484127" w:rsidR="008106C4" w:rsidRPr="004C704C" w:rsidRDefault="00537200" w:rsidP="00537200">
      <w:pPr>
        <w:pStyle w:val="ManualConsidrant"/>
        <w:rPr>
          <w:noProof/>
        </w:rPr>
      </w:pPr>
      <w:r w:rsidRPr="00537200">
        <w:t>(20)</w:t>
      </w:r>
      <w:r w:rsidRPr="00537200">
        <w:tab/>
      </w:r>
      <w:r w:rsidR="008106C4" w:rsidRPr="004C704C">
        <w:rPr>
          <w:noProof/>
        </w:rPr>
        <w:t>În vederea asigurării unor condiții uniforme pentru punerea în aplicare a dispozițiilor prezentului regulament referitoare la raportarea de către statele membre, Comisiei ar trebui să i se confere competențe de executare pentru ca aceasta să stabilească tipul și formatul informațiilor care trebuie furnizate, precum și termenele de raportare. Respectivele competențe ar trebui exercitate în conformitate cu Regulamentul (UE) nr. 182/2011 al Parlamentului European și al Consiliului</w:t>
      </w:r>
      <w:r w:rsidR="008106C4" w:rsidRPr="004C704C">
        <w:rPr>
          <w:rStyle w:val="FootnoteReference"/>
          <w:noProof/>
        </w:rPr>
        <w:footnoteReference w:id="44"/>
      </w:r>
      <w:r w:rsidR="008106C4" w:rsidRPr="004C704C">
        <w:rPr>
          <w:noProof/>
        </w:rPr>
        <w:t xml:space="preserve">. </w:t>
      </w:r>
    </w:p>
    <w:p w14:paraId="17A04F26" w14:textId="2FD3BEB7" w:rsidR="008106C4" w:rsidRPr="004C704C" w:rsidRDefault="00537200" w:rsidP="00537200">
      <w:pPr>
        <w:pStyle w:val="ManualConsidrant"/>
        <w:rPr>
          <w:noProof/>
        </w:rPr>
      </w:pPr>
      <w:r w:rsidRPr="00537200">
        <w:t>(21)</w:t>
      </w:r>
      <w:r w:rsidRPr="00537200">
        <w:tab/>
      </w:r>
      <w:r w:rsidR="008106C4" w:rsidRPr="004C704C">
        <w:rPr>
          <w:noProof/>
        </w:rPr>
        <w:t>Dată fiind importanța unui acces rapid al cetățenilor Uniunii la informații despre mediu, este esențial ca statele membre și Comisia să publice datele cât de rapid este posibil din punct de vedere tehnic. În acest scop, deși termenul precis de raportare urmează să fie stabilit într-un act de punere în aplicare, termenul respectiv nu ar trebui să depășească 11 luni de la sfârșitul anului de referință.</w:t>
      </w:r>
    </w:p>
    <w:p w14:paraId="7C091F9F" w14:textId="6040C508" w:rsidR="008106C4" w:rsidRPr="004C704C" w:rsidRDefault="00537200" w:rsidP="00537200">
      <w:pPr>
        <w:pStyle w:val="ManualConsidrant"/>
        <w:rPr>
          <w:noProof/>
        </w:rPr>
      </w:pPr>
      <w:r w:rsidRPr="00537200">
        <w:t>(22)</w:t>
      </w:r>
      <w:r w:rsidRPr="00537200">
        <w:tab/>
      </w:r>
      <w:r w:rsidR="008106C4" w:rsidRPr="004C704C">
        <w:rPr>
          <w:noProof/>
        </w:rPr>
        <w:t>Când este cazul, portalul ar trebui să faciliteze și accesul la informații despre emisiile din surse difuze, astfel încât factorii de decizie să poată pune mai bine în context respectivele emisii și să aleagă cea mai eficace soluție de reducere a poluării.</w:t>
      </w:r>
    </w:p>
    <w:p w14:paraId="050F0728" w14:textId="6B922275" w:rsidR="008106C4" w:rsidRPr="004C704C" w:rsidRDefault="00537200" w:rsidP="00537200">
      <w:pPr>
        <w:pStyle w:val="ManualConsidrant"/>
        <w:rPr>
          <w:noProof/>
        </w:rPr>
      </w:pPr>
      <w:r w:rsidRPr="00537200">
        <w:t>(23)</w:t>
      </w:r>
      <w:r w:rsidRPr="00537200">
        <w:tab/>
      </w:r>
      <w:r w:rsidR="008106C4" w:rsidRPr="004C704C">
        <w:rPr>
          <w:noProof/>
        </w:rPr>
        <w:t>Datele raportate de statele membre ar trebui să fie de înaltă calitate, în special în ceea ce privește exactitatea, exhaustivitatea, coerența și credibilitatea lor. P</w:t>
      </w:r>
      <w:r w:rsidR="008106C4" w:rsidRPr="004C704C">
        <w:rPr>
          <w:noProof/>
          <w:color w:val="000000" w:themeColor="text1"/>
          <w:szCs w:val="24"/>
        </w:rPr>
        <w:t xml:space="preserve">rin urmare, autoritățile competente ar trebui să evalueze calitatea datelor furnizate de operatori. </w:t>
      </w:r>
    </w:p>
    <w:p w14:paraId="2C924EB1" w14:textId="70CFB651" w:rsidR="008106C4" w:rsidRPr="004C704C" w:rsidRDefault="00537200" w:rsidP="00537200">
      <w:pPr>
        <w:pStyle w:val="ManualConsidrant"/>
        <w:rPr>
          <w:noProof/>
        </w:rPr>
      </w:pPr>
      <w:r w:rsidRPr="00537200">
        <w:t>(24)</w:t>
      </w:r>
      <w:r w:rsidRPr="00537200">
        <w:tab/>
      </w:r>
      <w:r w:rsidR="008106C4" w:rsidRPr="004C704C">
        <w:rPr>
          <w:noProof/>
        </w:rPr>
        <w:t>Accesul publicului la informațiile despre mediu raportate de statele membre ar trebui să fie nerestricționat, iar excepțiile de la această regulă ar trebui să fie posibile numai în conformitate cu Directiva 2003/4/CE a Parlamentului European și a Consiliului</w:t>
      </w:r>
      <w:r w:rsidR="008106C4" w:rsidRPr="004C704C">
        <w:rPr>
          <w:rStyle w:val="FootnoteReference"/>
          <w:noProof/>
        </w:rPr>
        <w:footnoteReference w:id="45"/>
      </w:r>
      <w:r w:rsidR="008106C4" w:rsidRPr="004C704C">
        <w:rPr>
          <w:noProof/>
        </w:rPr>
        <w:t xml:space="preserve"> sau cu Regulamentul (CE) nr. 1049/2001 al Parlamentului European și al Consiliului</w:t>
      </w:r>
      <w:r w:rsidR="008106C4" w:rsidRPr="004C704C">
        <w:rPr>
          <w:rStyle w:val="FootnoteReference"/>
          <w:noProof/>
        </w:rPr>
        <w:footnoteReference w:id="46"/>
      </w:r>
      <w:r w:rsidR="008106C4" w:rsidRPr="004C704C">
        <w:rPr>
          <w:noProof/>
        </w:rPr>
        <w:t>, după caz.</w:t>
      </w:r>
    </w:p>
    <w:p w14:paraId="03E1A8E2" w14:textId="49A24221" w:rsidR="008106C4" w:rsidRPr="004C704C" w:rsidRDefault="00537200" w:rsidP="00537200">
      <w:pPr>
        <w:pStyle w:val="ManualConsidrant"/>
        <w:rPr>
          <w:noProof/>
          <w:color w:val="000000" w:themeColor="text1"/>
        </w:rPr>
      </w:pPr>
      <w:r w:rsidRPr="00537200">
        <w:t>(25)</w:t>
      </w:r>
      <w:r w:rsidRPr="00537200">
        <w:tab/>
      </w:r>
      <w:r w:rsidR="008106C4" w:rsidRPr="004C704C">
        <w:rPr>
          <w:noProof/>
        </w:rPr>
        <w:t xml:space="preserve">Ar trebui garantată participarea publicului la dezvoltarea ulterioară a portalului prin asigurarea din timp a unor posibilități efective de prezentare de observații, informații, analize și opinii pentru procesul de luare a deciziilor. </w:t>
      </w:r>
    </w:p>
    <w:p w14:paraId="03188BA5" w14:textId="52956DCD" w:rsidR="008106C4" w:rsidRPr="004C704C" w:rsidRDefault="00537200" w:rsidP="00537200">
      <w:pPr>
        <w:pStyle w:val="ManualConsidrant"/>
        <w:rPr>
          <w:noProof/>
        </w:rPr>
      </w:pPr>
      <w:r w:rsidRPr="00537200">
        <w:t>(26)</w:t>
      </w:r>
      <w:r w:rsidRPr="00537200">
        <w:tab/>
      </w:r>
      <w:r w:rsidR="008106C4" w:rsidRPr="004C704C">
        <w:rPr>
          <w:noProof/>
        </w:rPr>
        <w:t>În vederea măririi gradului de utilitate și a impactului portalului, Comisia, sprijinită de agenție, ar trebui să elaboreze ghiduri în sprijinul punerii în aplicare a prezentului regulament.</w:t>
      </w:r>
    </w:p>
    <w:p w14:paraId="5FB1EC7E" w14:textId="113FAB25" w:rsidR="008106C4" w:rsidRPr="004C704C" w:rsidRDefault="00537200" w:rsidP="00537200">
      <w:pPr>
        <w:pStyle w:val="ManualConsidrant"/>
        <w:rPr>
          <w:noProof/>
          <w:color w:val="000000" w:themeColor="text1"/>
        </w:rPr>
      </w:pPr>
      <w:r w:rsidRPr="00537200">
        <w:t>(27)</w:t>
      </w:r>
      <w:r w:rsidRPr="00537200">
        <w:tab/>
      </w:r>
      <w:r w:rsidR="008106C4" w:rsidRPr="004C704C">
        <w:rPr>
          <w:noProof/>
        </w:rPr>
        <w:t xml:space="preserve">Comisia </w:t>
      </w:r>
      <w:r w:rsidR="008106C4" w:rsidRPr="004C704C">
        <w:rPr>
          <w:noProof/>
          <w:color w:val="000000"/>
          <w:szCs w:val="24"/>
        </w:rPr>
        <w:t>ar trebui</w:t>
      </w:r>
      <w:r w:rsidR="008106C4" w:rsidRPr="004C704C">
        <w:rPr>
          <w:noProof/>
        </w:rPr>
        <w:t xml:space="preserve"> să aibă posibilitatea de a actualiza lista activităților industriale sau agricole în privința cărora se aplică cerințe de raportare. </w:t>
      </w:r>
      <w:r w:rsidR="008106C4" w:rsidRPr="004C704C">
        <w:rPr>
          <w:noProof/>
          <w:color w:val="000000" w:themeColor="text1"/>
        </w:rPr>
        <w:t>Prin urmare, Comisia ar trebui să fie împuternicită să adopte, în conformitate cu articolul 290 din tratat, acte delegate</w:t>
      </w:r>
      <w:r w:rsidR="008106C4" w:rsidRPr="004C704C">
        <w:rPr>
          <w:noProof/>
        </w:rPr>
        <w:t xml:space="preserve"> de modificare a anexei I la prezentul regulament pentru adăugarea de activități care au sau se preconizează că vor avea impact asupra sănătății sau a mediului și pentru </w:t>
      </w:r>
      <w:r w:rsidR="008106C4" w:rsidRPr="004C704C">
        <w:rPr>
          <w:noProof/>
          <w:color w:val="000000" w:themeColor="text1"/>
        </w:rPr>
        <w:t xml:space="preserve">alinierea anexei la modificările aduse protocolului. </w:t>
      </w:r>
    </w:p>
    <w:p w14:paraId="47CA766A" w14:textId="0095E35A" w:rsidR="008106C4" w:rsidRPr="004C704C" w:rsidRDefault="00537200" w:rsidP="00537200">
      <w:pPr>
        <w:pStyle w:val="ManualConsidrant"/>
        <w:rPr>
          <w:noProof/>
          <w:color w:val="000000" w:themeColor="text1"/>
        </w:rPr>
      </w:pPr>
      <w:r w:rsidRPr="00537200">
        <w:t>(28)</w:t>
      </w:r>
      <w:r w:rsidRPr="00537200">
        <w:tab/>
      </w:r>
      <w:r w:rsidR="008106C4" w:rsidRPr="004C704C">
        <w:rPr>
          <w:noProof/>
        </w:rPr>
        <w:t>Comisia ar trebui să fie împuternicită, de asemenea, să adopte, în conformitate cu articolul 290 din tratat, acte delegate de modificare a anexei II la prezentul regulament pentru stabilirea pragurilor de raportare, pentru adăugarea de poluanți care fac obiectul unor măsuri de reglementare specifice prevăzute în acte legislative ale Uniunii privind calitatea apei și a aerului și privind substanțele chimice, printre care Regulamentul (CE) nr. 1907/2006 al Parlamentului European și al Consiliului</w:t>
      </w:r>
      <w:r w:rsidR="008106C4" w:rsidRPr="004C704C">
        <w:rPr>
          <w:rStyle w:val="FootnoteReference"/>
          <w:noProof/>
        </w:rPr>
        <w:footnoteReference w:id="47"/>
      </w:r>
      <w:r w:rsidR="008106C4" w:rsidRPr="004C704C">
        <w:rPr>
          <w:noProof/>
        </w:rPr>
        <w:t xml:space="preserve"> și Directivele 2000/60/CE</w:t>
      </w:r>
      <w:r w:rsidR="008106C4" w:rsidRPr="004C704C">
        <w:rPr>
          <w:rStyle w:val="FootnoteReference"/>
          <w:noProof/>
        </w:rPr>
        <w:footnoteReference w:id="48"/>
      </w:r>
      <w:r w:rsidR="008106C4" w:rsidRPr="004C704C">
        <w:rPr>
          <w:noProof/>
        </w:rPr>
        <w:t>, 2004/107/CE</w:t>
      </w:r>
      <w:r w:rsidR="008106C4" w:rsidRPr="004C704C">
        <w:rPr>
          <w:rStyle w:val="FootnoteReference"/>
          <w:noProof/>
        </w:rPr>
        <w:footnoteReference w:id="49"/>
      </w:r>
      <w:r w:rsidR="008106C4" w:rsidRPr="004C704C">
        <w:rPr>
          <w:noProof/>
        </w:rPr>
        <w:t>,</w:t>
      </w:r>
      <w:r w:rsidR="008106C4" w:rsidRPr="004C704C">
        <w:rPr>
          <w:noProof/>
          <w:color w:val="444444"/>
          <w:shd w:val="clear" w:color="auto" w:fill="FFFFFF"/>
        </w:rPr>
        <w:t xml:space="preserve"> </w:t>
      </w:r>
      <w:r w:rsidR="008106C4" w:rsidRPr="004C704C">
        <w:rPr>
          <w:noProof/>
        </w:rPr>
        <w:t>2006/118/CE</w:t>
      </w:r>
      <w:r w:rsidR="008106C4" w:rsidRPr="004C704C">
        <w:rPr>
          <w:rStyle w:val="FootnoteReference"/>
          <w:noProof/>
        </w:rPr>
        <w:footnoteReference w:id="50"/>
      </w:r>
      <w:r w:rsidR="008106C4" w:rsidRPr="004C704C">
        <w:rPr>
          <w:noProof/>
        </w:rPr>
        <w:t>, 2008/50/CE</w:t>
      </w:r>
      <w:r w:rsidR="008106C4" w:rsidRPr="004C704C">
        <w:rPr>
          <w:rStyle w:val="FootnoteReference"/>
          <w:noProof/>
        </w:rPr>
        <w:footnoteReference w:id="51"/>
      </w:r>
      <w:r w:rsidR="008106C4" w:rsidRPr="004C704C">
        <w:rPr>
          <w:noProof/>
        </w:rPr>
        <w:t xml:space="preserve"> și 2008/105/UE</w:t>
      </w:r>
      <w:r w:rsidR="008106C4" w:rsidRPr="004C704C">
        <w:rPr>
          <w:rStyle w:val="FootnoteReference"/>
          <w:noProof/>
        </w:rPr>
        <w:footnoteReference w:id="52"/>
      </w:r>
      <w:r w:rsidR="008106C4" w:rsidRPr="004C704C">
        <w:rPr>
          <w:noProof/>
        </w:rPr>
        <w:t xml:space="preserve"> ale Parlamentului European și ale Consiliului, pentru luarea în considerare a modificărilor aduse protocolului în ceea ce privește poluanții care trebuie raportați sau pragurile de raportare ale acestora și pentru adaptarea anexei respective la progresele științifice sau tehnice. </w:t>
      </w:r>
    </w:p>
    <w:p w14:paraId="3D2DACC8" w14:textId="3B27CAA5" w:rsidR="008106C4" w:rsidRPr="004C704C" w:rsidRDefault="00537200" w:rsidP="00537200">
      <w:pPr>
        <w:pStyle w:val="ManualConsidrant"/>
        <w:rPr>
          <w:noProof/>
          <w:color w:val="000000" w:themeColor="text1"/>
        </w:rPr>
      </w:pPr>
      <w:r w:rsidRPr="00537200">
        <w:t>(29)</w:t>
      </w:r>
      <w:r w:rsidRPr="00537200">
        <w:tab/>
      </w:r>
      <w:r w:rsidR="008106C4" w:rsidRPr="004C704C">
        <w:rPr>
          <w:noProof/>
        </w:rPr>
        <w:t>Comisia ar trebui să fie împuternicită, de asemenea, să adopte, în conformitate cu articolul 290 din tratat, acte delegate de modificare a anexei II la prezentul regulament pentru stabilirea pragurilor de raportare, pentru adăugarea de poluanți care fac obiectul unor măsuri de reglementare specifice prevăzute în acte legislative ale Uniunii privind calitatea apei și a aerului și privind substanțele chimice, printre care Regulamentul</w:t>
      </w:r>
      <w:r w:rsidR="007C274E">
        <w:rPr>
          <w:noProof/>
        </w:rPr>
        <w:t> </w:t>
      </w:r>
      <w:r w:rsidR="008106C4" w:rsidRPr="004C704C">
        <w:rPr>
          <w:noProof/>
        </w:rPr>
        <w:t>(CE) nr. 1907/2006 al Parlamentului European și al Consiliului</w:t>
      </w:r>
      <w:r w:rsidR="008106C4" w:rsidRPr="004C704C">
        <w:rPr>
          <w:rStyle w:val="FootnoteReference"/>
          <w:noProof/>
        </w:rPr>
        <w:footnoteReference w:id="53"/>
      </w:r>
      <w:r w:rsidR="008106C4" w:rsidRPr="004C704C">
        <w:rPr>
          <w:noProof/>
        </w:rPr>
        <w:t xml:space="preserve"> și Directivele 2000/60/CE</w:t>
      </w:r>
      <w:r w:rsidR="008106C4" w:rsidRPr="004C704C">
        <w:rPr>
          <w:rStyle w:val="FootnoteReference"/>
          <w:noProof/>
        </w:rPr>
        <w:footnoteReference w:id="54"/>
      </w:r>
      <w:r w:rsidR="008106C4" w:rsidRPr="004C704C">
        <w:rPr>
          <w:noProof/>
        </w:rPr>
        <w:t>, 2004/107/CE</w:t>
      </w:r>
      <w:r w:rsidR="008106C4" w:rsidRPr="004C704C">
        <w:rPr>
          <w:rStyle w:val="FootnoteReference"/>
          <w:noProof/>
        </w:rPr>
        <w:footnoteReference w:id="55"/>
      </w:r>
      <w:r w:rsidR="008106C4" w:rsidRPr="004C704C">
        <w:rPr>
          <w:noProof/>
        </w:rPr>
        <w:t>,</w:t>
      </w:r>
      <w:r w:rsidR="008106C4" w:rsidRPr="004C704C">
        <w:rPr>
          <w:noProof/>
          <w:color w:val="444444"/>
          <w:shd w:val="clear" w:color="auto" w:fill="FFFFFF"/>
        </w:rPr>
        <w:t xml:space="preserve"> </w:t>
      </w:r>
      <w:r w:rsidR="008106C4" w:rsidRPr="004C704C">
        <w:rPr>
          <w:noProof/>
        </w:rPr>
        <w:t>2006/118/CE</w:t>
      </w:r>
      <w:r w:rsidR="008106C4" w:rsidRPr="004C704C">
        <w:rPr>
          <w:rStyle w:val="FootnoteReference"/>
          <w:noProof/>
        </w:rPr>
        <w:footnoteReference w:id="56"/>
      </w:r>
      <w:r w:rsidR="008106C4" w:rsidRPr="004C704C">
        <w:rPr>
          <w:noProof/>
        </w:rPr>
        <w:t>, 2008/50/CE</w:t>
      </w:r>
      <w:r w:rsidR="008106C4" w:rsidRPr="004C704C">
        <w:rPr>
          <w:rStyle w:val="FootnoteReference"/>
          <w:noProof/>
        </w:rPr>
        <w:footnoteReference w:id="57"/>
      </w:r>
      <w:r w:rsidR="008106C4" w:rsidRPr="004C704C">
        <w:rPr>
          <w:noProof/>
        </w:rPr>
        <w:t xml:space="preserve"> și 2008/105/UE</w:t>
      </w:r>
      <w:r w:rsidR="008106C4" w:rsidRPr="004C704C">
        <w:rPr>
          <w:rStyle w:val="FootnoteReference"/>
          <w:noProof/>
        </w:rPr>
        <w:footnoteReference w:id="58"/>
      </w:r>
      <w:r w:rsidR="008106C4" w:rsidRPr="004C704C">
        <w:rPr>
          <w:noProof/>
        </w:rPr>
        <w:t xml:space="preserve"> ale Parlamentului European și ale Consiliului, pentru luarea în considerare a modificărilor aduse protocolului în ceea ce privește poluanții care trebuie raportați sau pragurile de raportare ale acestora și pentru adaptarea anexei respective la progresele științifice sau tehnice. </w:t>
      </w:r>
    </w:p>
    <w:p w14:paraId="1C4A3A31" w14:textId="19465B43" w:rsidR="008106C4" w:rsidRPr="004C704C" w:rsidRDefault="00537200" w:rsidP="00537200">
      <w:pPr>
        <w:pStyle w:val="ManualConsidrant"/>
        <w:rPr>
          <w:noProof/>
        </w:rPr>
      </w:pPr>
      <w:r w:rsidRPr="00537200">
        <w:t>(30)</w:t>
      </w:r>
      <w:r w:rsidRPr="00537200">
        <w:tab/>
      </w:r>
      <w:r w:rsidR="008106C4" w:rsidRPr="004C704C">
        <w:rPr>
          <w:noProof/>
        </w:rPr>
        <w:t>La adoptarea de acte delegate,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sidR="008106C4" w:rsidRPr="004C704C">
        <w:rPr>
          <w:rStyle w:val="FootnoteReference"/>
          <w:noProof/>
        </w:rPr>
        <w:footnoteReference w:id="59"/>
      </w:r>
      <w:r w:rsidR="008106C4" w:rsidRPr="004C704C">
        <w:rPr>
          <w:noProof/>
        </w:rPr>
        <w:t>. În special, pentru a se asigura participarea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w:t>
      </w:r>
    </w:p>
    <w:p w14:paraId="66A732DB" w14:textId="5EE88515" w:rsidR="008106C4" w:rsidRPr="004C704C" w:rsidRDefault="00537200" w:rsidP="00537200">
      <w:pPr>
        <w:pStyle w:val="ManualConsidrant"/>
        <w:rPr>
          <w:noProof/>
        </w:rPr>
      </w:pPr>
      <w:r w:rsidRPr="00537200">
        <w:t>(31)</w:t>
      </w:r>
      <w:r w:rsidRPr="00537200">
        <w:tab/>
      </w:r>
      <w:r w:rsidR="008106C4" w:rsidRPr="004C704C">
        <w:rPr>
          <w:noProof/>
        </w:rPr>
        <w:t xml:space="preserve">Pentru a asigura punerea în aplicare cu eficacitate a prezentului regulament, statele membre ar trebui să adopte regimul sancțiunilor care se aplică în cazul nerespectării dispozițiilor acestuia și ar trebui să asigure aplicarea respectivului regim. </w:t>
      </w:r>
    </w:p>
    <w:p w14:paraId="3756D938" w14:textId="70008483" w:rsidR="008106C4" w:rsidRPr="004C704C" w:rsidRDefault="00537200" w:rsidP="00537200">
      <w:pPr>
        <w:pStyle w:val="ManualConsidrant"/>
        <w:rPr>
          <w:noProof/>
        </w:rPr>
      </w:pPr>
      <w:r w:rsidRPr="00537200">
        <w:t>(32)</w:t>
      </w:r>
      <w:r w:rsidRPr="00537200">
        <w:tab/>
      </w:r>
      <w:r w:rsidR="008106C4" w:rsidRPr="004C704C">
        <w:rPr>
          <w:noProof/>
        </w:rPr>
        <w:t>Deoarece necesită modificări substanțiale, Regulamentul (CE) nr. 166/2006 ar trebui abrogat și înlocuit cu prezentul regulament din motive de securitate juridică, de claritate și de transparență.</w:t>
      </w:r>
    </w:p>
    <w:p w14:paraId="19D81522" w14:textId="17E96626" w:rsidR="008106C4" w:rsidRPr="004C704C" w:rsidRDefault="00537200" w:rsidP="00537200">
      <w:pPr>
        <w:pStyle w:val="ManualConsidrant"/>
        <w:rPr>
          <w:noProof/>
        </w:rPr>
      </w:pPr>
      <w:r w:rsidRPr="00537200">
        <w:t>(33)</w:t>
      </w:r>
      <w:r w:rsidRPr="00537200">
        <w:tab/>
      </w:r>
      <w:r w:rsidR="008106C4" w:rsidRPr="004C704C">
        <w:rPr>
          <w:noProof/>
        </w:rPr>
        <w:t>Întrucât obiectivul prezentului regulament, și anume sporirea accesului publicului la informațiile despre mediu prin instituirea unei baze de date electronice integrate și coerente la nivelul întregii Uniuni, nu poate fi realizat satisfăcător de către statele membre, deoarece nevoia de comparabilitate a datelor în statele membre presupune un înalt nivel de armonizare, putând fi realizat mai bine la nivelul Uniunii, Uniunea poate să adopte măsuri în conformitate cu principiul subsidiarității, astfel cum este prevăzut la articolul 5 din Tratatul privind Uniunea Europeană. În conformitate cu principiul proporționalității, astfel cum este prevăzut la respectivul articol, prezentul regulament nu depășește ceea ce este necesar pentru atingerea respectivului obiectiv.</w:t>
      </w:r>
    </w:p>
    <w:p w14:paraId="11AF8063" w14:textId="0F49A91D" w:rsidR="008106C4" w:rsidRPr="004C704C" w:rsidRDefault="00537200" w:rsidP="00537200">
      <w:pPr>
        <w:pStyle w:val="ManualConsidrant"/>
        <w:rPr>
          <w:noProof/>
        </w:rPr>
      </w:pPr>
      <w:r w:rsidRPr="00537200">
        <w:t>(34)</w:t>
      </w:r>
      <w:r w:rsidRPr="00537200">
        <w:tab/>
      </w:r>
      <w:r w:rsidR="008106C4" w:rsidRPr="004C704C">
        <w:rPr>
          <w:noProof/>
        </w:rPr>
        <w:t>Cerințele de raportare stabilite prin prezentul regulament ar trebui să se aplice începând cu anul de referință 2025, pentru ca statele membre și operatorii în cauză să aibă suficient timp pentru a lua măsurile necesare.</w:t>
      </w:r>
      <w:r w:rsidR="003D1459">
        <w:rPr>
          <w:noProof/>
        </w:rPr>
        <w:t xml:space="preserve"> </w:t>
      </w:r>
    </w:p>
    <w:p w14:paraId="14DD10F0" w14:textId="55E00C6E" w:rsidR="008106C4" w:rsidRPr="004C704C" w:rsidRDefault="00537200" w:rsidP="00537200">
      <w:pPr>
        <w:pStyle w:val="ManualConsidrant"/>
        <w:rPr>
          <w:noProof/>
        </w:rPr>
      </w:pPr>
      <w:r w:rsidRPr="00537200">
        <w:t>(35)</w:t>
      </w:r>
      <w:r w:rsidRPr="00537200">
        <w:tab/>
      </w:r>
      <w:r w:rsidR="008106C4" w:rsidRPr="004C704C">
        <w:rPr>
          <w:noProof/>
        </w:rPr>
        <w:t>Pentru a se asigura continuitatea datelor și securitatea juridică, Regulamentul (CE) nr. 166/2006 ar trebui să continue să se aplice pentru anul de referință 2024,</w:t>
      </w:r>
    </w:p>
    <w:p w14:paraId="7FDF78C9" w14:textId="77777777" w:rsidR="00080EAD" w:rsidRPr="004C704C" w:rsidRDefault="00080EAD" w:rsidP="00E663B7">
      <w:pPr>
        <w:rPr>
          <w:noProof/>
        </w:rPr>
      </w:pPr>
    </w:p>
    <w:p w14:paraId="3B29C0AA" w14:textId="77777777" w:rsidR="005E5770" w:rsidRPr="004C704C" w:rsidRDefault="005E5770" w:rsidP="0009301D">
      <w:pPr>
        <w:pStyle w:val="Formuledadoption"/>
        <w:spacing w:before="0" w:after="0"/>
        <w:rPr>
          <w:noProof/>
        </w:rPr>
      </w:pPr>
      <w:r w:rsidRPr="004C704C">
        <w:rPr>
          <w:noProof/>
        </w:rPr>
        <w:t>ADOPTĂ PREZENTUL REGULAMENT:</w:t>
      </w:r>
    </w:p>
    <w:p w14:paraId="4BD10729" w14:textId="77777777" w:rsidR="00080EAD" w:rsidRPr="004C704C" w:rsidRDefault="00080EAD" w:rsidP="00080EAD">
      <w:pPr>
        <w:pStyle w:val="Titrearticle"/>
        <w:rPr>
          <w:noProof/>
        </w:rPr>
      </w:pPr>
    </w:p>
    <w:p w14:paraId="2D0C7BB9" w14:textId="77777777" w:rsidR="00080EAD" w:rsidRPr="004C704C" w:rsidRDefault="00080EAD" w:rsidP="00080EAD">
      <w:pPr>
        <w:rPr>
          <w:noProof/>
        </w:rPr>
      </w:pPr>
    </w:p>
    <w:p w14:paraId="52F33B27" w14:textId="77777777" w:rsidR="00080EAD" w:rsidRPr="004C704C" w:rsidRDefault="00080EAD" w:rsidP="00080EAD">
      <w:pPr>
        <w:rPr>
          <w:noProof/>
        </w:rPr>
      </w:pPr>
    </w:p>
    <w:p w14:paraId="583123EE"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703C365A"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1</w:t>
      </w:r>
    </w:p>
    <w:p w14:paraId="50FE132E"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Obiect</w:t>
      </w:r>
    </w:p>
    <w:p w14:paraId="3E32A88C"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3878DEB9" w14:textId="77777777" w:rsidR="005E5770" w:rsidRPr="004C704C" w:rsidRDefault="005E5770" w:rsidP="005E5770">
      <w:pPr>
        <w:spacing w:before="0" w:after="0"/>
        <w:rPr>
          <w:noProof/>
        </w:rPr>
      </w:pPr>
      <w:r w:rsidRPr="004C704C">
        <w:rPr>
          <w:noProof/>
        </w:rPr>
        <w:t xml:space="preserve">Prezentul regulament pune în aplicare Protocolul CEE-ONU privind Registrul poluanților emiși și transferați („protocolul”) prin stabilirea de norme cu privire la colectarea și raportarea datelor despre mediu referitoare la instalațiile industriale și se înființează Portalul emisiilor industriale („portalul”) la nivelul Uniunii, sub forma unei baze de date online care oferă acces la astfel de date. </w:t>
      </w:r>
    </w:p>
    <w:p w14:paraId="10052D36" w14:textId="77777777" w:rsidR="009C5534" w:rsidRPr="004C704C" w:rsidRDefault="009C5534" w:rsidP="005E5770">
      <w:pPr>
        <w:shd w:val="clear" w:color="auto" w:fill="FFFFFF"/>
        <w:spacing w:before="0" w:after="0"/>
        <w:jc w:val="center"/>
        <w:rPr>
          <w:rFonts w:eastAsia="Times New Roman"/>
          <w:i/>
          <w:iCs/>
          <w:noProof/>
          <w:color w:val="000000"/>
          <w:szCs w:val="24"/>
          <w:lang w:eastAsia="en-GB"/>
        </w:rPr>
      </w:pPr>
    </w:p>
    <w:p w14:paraId="31A42777" w14:textId="77777777" w:rsidR="001B58DB" w:rsidRPr="004C704C" w:rsidRDefault="001B58DB" w:rsidP="005E5770">
      <w:pPr>
        <w:shd w:val="clear" w:color="auto" w:fill="FFFFFF"/>
        <w:spacing w:before="0" w:after="0"/>
        <w:jc w:val="center"/>
        <w:rPr>
          <w:rFonts w:eastAsia="Times New Roman"/>
          <w:i/>
          <w:iCs/>
          <w:noProof/>
          <w:color w:val="000000"/>
          <w:szCs w:val="24"/>
          <w:lang w:eastAsia="en-GB"/>
        </w:rPr>
      </w:pPr>
    </w:p>
    <w:p w14:paraId="018AD893"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2</w:t>
      </w:r>
    </w:p>
    <w:p w14:paraId="46A338CC"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Definiții</w:t>
      </w:r>
    </w:p>
    <w:p w14:paraId="7EC6C931" w14:textId="77777777" w:rsidR="005E5770" w:rsidRPr="004C704C" w:rsidRDefault="005E5770" w:rsidP="005E5770">
      <w:pPr>
        <w:shd w:val="clear" w:color="auto" w:fill="FFFFFF"/>
        <w:spacing w:before="0" w:after="0"/>
        <w:rPr>
          <w:rFonts w:eastAsia="Times New Roman"/>
          <w:noProof/>
          <w:color w:val="000000"/>
          <w:szCs w:val="24"/>
          <w:lang w:eastAsia="en-GB"/>
        </w:rPr>
      </w:pPr>
    </w:p>
    <w:p w14:paraId="2B21555D" w14:textId="77777777" w:rsidR="005E5770" w:rsidRPr="004C704C" w:rsidRDefault="005E5770" w:rsidP="00C40A4C">
      <w:pPr>
        <w:shd w:val="clear" w:color="auto" w:fill="FFFFFF"/>
        <w:spacing w:before="0" w:after="0"/>
        <w:rPr>
          <w:rFonts w:eastAsia="Times New Roman"/>
          <w:noProof/>
          <w:color w:val="000000"/>
          <w:szCs w:val="24"/>
        </w:rPr>
      </w:pPr>
      <w:r w:rsidRPr="004C704C">
        <w:rPr>
          <w:noProof/>
          <w:color w:val="000000"/>
          <w:szCs w:val="24"/>
        </w:rPr>
        <w:t>În sensul prezentului regulament, se aplică următoarele definiții:</w:t>
      </w:r>
    </w:p>
    <w:p w14:paraId="38D48E4D" w14:textId="77777777" w:rsidR="005E5770" w:rsidRPr="004C704C" w:rsidRDefault="005E5770" w:rsidP="00C40A4C">
      <w:pPr>
        <w:shd w:val="clear" w:color="auto" w:fill="FFFFFF"/>
        <w:spacing w:before="0" w:after="0"/>
        <w:rPr>
          <w:rFonts w:eastAsia="Times New Roman"/>
          <w:noProof/>
          <w:color w:val="000000"/>
          <w:szCs w:val="24"/>
          <w:lang w:eastAsia="en-GB"/>
        </w:rPr>
      </w:pPr>
    </w:p>
    <w:p w14:paraId="4D63FEAE" w14:textId="77777777" w:rsidR="005E5770" w:rsidRPr="004C704C" w:rsidRDefault="005E5770" w:rsidP="00291670">
      <w:pPr>
        <w:pStyle w:val="ListNumber1"/>
        <w:rPr>
          <w:noProof/>
        </w:rPr>
      </w:pPr>
      <w:r w:rsidRPr="004C704C">
        <w:rPr>
          <w:noProof/>
        </w:rPr>
        <w:t>„instalație” înseamnă o unitate tehnică fixă în care se efectuează una sau mai multe activități enumerate în lista din anexa I, precum și orice altă activitate direct asociată care are o legătură tehnică cu activitățile efectuate pe respectivul amplasament și care ar putea avea un efect asupra emisiilor și poluării;</w:t>
      </w:r>
    </w:p>
    <w:p w14:paraId="102E49D5" w14:textId="77777777" w:rsidR="005E5770" w:rsidRPr="004C704C" w:rsidRDefault="00291670" w:rsidP="00291670">
      <w:pPr>
        <w:pStyle w:val="ListNumber1"/>
        <w:rPr>
          <w:noProof/>
        </w:rPr>
      </w:pPr>
      <w:r w:rsidRPr="004C704C">
        <w:rPr>
          <w:noProof/>
        </w:rPr>
        <w:t xml:space="preserve"> „amplasament” înseamnă localizarea geografică a instalației;</w:t>
      </w:r>
    </w:p>
    <w:p w14:paraId="5AD32414" w14:textId="77777777" w:rsidR="005E5770" w:rsidRPr="004C704C" w:rsidRDefault="005E5770" w:rsidP="00291670">
      <w:pPr>
        <w:pStyle w:val="ListNumber1"/>
        <w:rPr>
          <w:noProof/>
        </w:rPr>
      </w:pPr>
      <w:r w:rsidRPr="004C704C">
        <w:rPr>
          <w:noProof/>
        </w:rPr>
        <w:t xml:space="preserve">„public” înseamnă publicul astfel cum este definit la articolul 3 punctul 16 din Directiva 2010/75/UE; </w:t>
      </w:r>
    </w:p>
    <w:p w14:paraId="711BF9D7" w14:textId="77777777" w:rsidR="005E5770" w:rsidRPr="004C704C" w:rsidRDefault="005E5770" w:rsidP="00291670">
      <w:pPr>
        <w:pStyle w:val="ListNumber1"/>
        <w:rPr>
          <w:noProof/>
        </w:rPr>
      </w:pPr>
      <w:r w:rsidRPr="004C704C">
        <w:rPr>
          <w:noProof/>
        </w:rPr>
        <w:t>„emisie” înseamnă orice introducere de poluanți în mediu ca rezultat al activității umane, fie deliberată, fie accidentală, periodică sau nu, inclusiv împrăștiere, emisie, descărcare, injectare, evacuare sau deversare, ori prin sistemele de canalizare fără epurare finală a apelor uzate;</w:t>
      </w:r>
    </w:p>
    <w:p w14:paraId="594CA07E" w14:textId="77777777" w:rsidR="005E5770" w:rsidRPr="004C704C" w:rsidRDefault="005E5770" w:rsidP="00291670">
      <w:pPr>
        <w:pStyle w:val="ListNumber1"/>
        <w:rPr>
          <w:noProof/>
        </w:rPr>
      </w:pPr>
      <w:r w:rsidRPr="004C704C">
        <w:rPr>
          <w:noProof/>
        </w:rPr>
        <w:t>„poluant” înseamnă o substanță sau un grup de substanțe care pot fi dăunătoare pentru mediu sau sănătatea umană din cauza proprietăților lor și a introducerii lor în mediu;</w:t>
      </w:r>
    </w:p>
    <w:p w14:paraId="6BB5F77C" w14:textId="77777777" w:rsidR="005E5770" w:rsidRPr="004C704C" w:rsidRDefault="005E5770" w:rsidP="00291670">
      <w:pPr>
        <w:pStyle w:val="ListNumber1"/>
        <w:rPr>
          <w:noProof/>
        </w:rPr>
      </w:pPr>
      <w:r w:rsidRPr="004C704C">
        <w:rPr>
          <w:noProof/>
        </w:rPr>
        <w:t>„substanță” înseamnă o substanță astfel cum este definită la articolul 3 punctul 1 din Directiva 2010/75/UE;</w:t>
      </w:r>
    </w:p>
    <w:p w14:paraId="3EE43799" w14:textId="77777777" w:rsidR="005E5770" w:rsidRPr="004C704C" w:rsidRDefault="005E5770" w:rsidP="00291670">
      <w:pPr>
        <w:pStyle w:val="ListNumber1"/>
        <w:rPr>
          <w:noProof/>
        </w:rPr>
      </w:pPr>
      <w:r w:rsidRPr="004C704C">
        <w:rPr>
          <w:noProof/>
        </w:rPr>
        <w:t>„operator” înseamnă un operator astfel cum este definit la articolul 3 punctul 15 din Directiva 2010/75/UE;</w:t>
      </w:r>
    </w:p>
    <w:p w14:paraId="5435C39E" w14:textId="77777777" w:rsidR="005E5770" w:rsidRPr="004C704C" w:rsidRDefault="005E5770" w:rsidP="00291670">
      <w:pPr>
        <w:pStyle w:val="ListNumber1"/>
        <w:rPr>
          <w:noProof/>
        </w:rPr>
      </w:pPr>
      <w:r w:rsidRPr="004C704C">
        <w:rPr>
          <w:noProof/>
        </w:rPr>
        <w:t>„transfer în afara amplasamentului” înseamnă deplasarea dincolo de limitele unei instalații a deșeurilor destinate valorificării sau eliminării și a poluanților din apele uzate destinate epurării;</w:t>
      </w:r>
    </w:p>
    <w:p w14:paraId="2D9E78D7" w14:textId="4DA047A0" w:rsidR="005E5770" w:rsidRPr="004C704C" w:rsidRDefault="005E5770" w:rsidP="00291670">
      <w:pPr>
        <w:pStyle w:val="ListNumber1"/>
        <w:rPr>
          <w:noProof/>
        </w:rPr>
      </w:pPr>
      <w:r w:rsidRPr="004C704C">
        <w:rPr>
          <w:noProof/>
        </w:rPr>
        <w:t>„deșeuri” înseamnă deșeuri astfel cum sunt definite</w:t>
      </w:r>
      <w:r w:rsidR="003D1459">
        <w:rPr>
          <w:noProof/>
        </w:rPr>
        <w:t xml:space="preserve"> </w:t>
      </w:r>
      <w:r w:rsidRPr="004C704C">
        <w:rPr>
          <w:noProof/>
        </w:rPr>
        <w:t>la articolul 3 punctul 1 din Directiva 2008/98/CE a Parlamentului European și a Consiliului</w:t>
      </w:r>
      <w:r w:rsidRPr="004C704C">
        <w:rPr>
          <w:rStyle w:val="FootnoteReference"/>
          <w:noProof/>
          <w:szCs w:val="24"/>
        </w:rPr>
        <w:footnoteReference w:id="60"/>
      </w:r>
      <w:r w:rsidRPr="004C704C">
        <w:rPr>
          <w:noProof/>
        </w:rPr>
        <w:t>;</w:t>
      </w:r>
    </w:p>
    <w:p w14:paraId="338E8DEC" w14:textId="77777777" w:rsidR="005E5770" w:rsidRPr="004C704C" w:rsidRDefault="005E5770" w:rsidP="00291670">
      <w:pPr>
        <w:pStyle w:val="ListNumber1"/>
        <w:rPr>
          <w:noProof/>
        </w:rPr>
      </w:pPr>
      <w:r w:rsidRPr="004C704C">
        <w:rPr>
          <w:noProof/>
        </w:rPr>
        <w:t>„ape uzate” înseamnă apele uzate urbane, menajere sau industriale astfel cum sunt definite la articolul 2 punctele 1, 2 și 3 din Directiva 91/271/CEE și orice alt fel de ape uzate care, pe baza substanțelor sau a obiectelor conținute, sunt reglementate de dreptul Uniunii;</w:t>
      </w:r>
    </w:p>
    <w:p w14:paraId="7EE76AF3" w14:textId="77777777" w:rsidR="005E5770" w:rsidRPr="004C704C" w:rsidRDefault="005E5770" w:rsidP="00291670">
      <w:pPr>
        <w:pStyle w:val="ListNumber1"/>
        <w:rPr>
          <w:noProof/>
        </w:rPr>
      </w:pPr>
      <w:r w:rsidRPr="004C704C">
        <w:rPr>
          <w:noProof/>
        </w:rPr>
        <w:t>„surse difuze” înseamnă multiplele surse de dimensiuni reduse sau diseminate din care poluanții pot fi evacuați în sol, aer sau apă, al căror impact combinat asupra respectivelor componente ale mediului poate fi semnificativ și pentru care este dificilă colectarea de raportări de la fiecare sursă în parte;</w:t>
      </w:r>
    </w:p>
    <w:p w14:paraId="0EFEF2C7" w14:textId="77777777" w:rsidR="005E5770" w:rsidRPr="004C704C" w:rsidRDefault="005E5770" w:rsidP="00291670">
      <w:pPr>
        <w:pStyle w:val="ListNumber1"/>
        <w:rPr>
          <w:noProof/>
        </w:rPr>
      </w:pPr>
      <w:r w:rsidRPr="004C704C">
        <w:rPr>
          <w:noProof/>
        </w:rPr>
        <w:t>„autoritate competentă” înseamnă autoritatea sau autoritățile naționale ori alt organism sau alte organisme competente, desemnate de statele membre;</w:t>
      </w:r>
    </w:p>
    <w:p w14:paraId="65B47191" w14:textId="77777777" w:rsidR="005E5770" w:rsidRPr="004C704C" w:rsidRDefault="005E5770" w:rsidP="00291670">
      <w:pPr>
        <w:pStyle w:val="ListNumber1"/>
        <w:rPr>
          <w:noProof/>
        </w:rPr>
      </w:pPr>
      <w:r w:rsidRPr="004C704C">
        <w:rPr>
          <w:noProof/>
        </w:rPr>
        <w:t>„deșeuri periculoase” înseamnă deșeuri periculoase astfel cum sunt definite la articolul 2 punctul 3 din Directiva 2008/98/CE;</w:t>
      </w:r>
    </w:p>
    <w:p w14:paraId="5675A722" w14:textId="77777777" w:rsidR="005E5770" w:rsidRPr="004C704C" w:rsidRDefault="005E5770" w:rsidP="00291670">
      <w:pPr>
        <w:pStyle w:val="ListNumber1"/>
        <w:rPr>
          <w:noProof/>
        </w:rPr>
      </w:pPr>
      <w:r w:rsidRPr="004C704C">
        <w:rPr>
          <w:noProof/>
        </w:rPr>
        <w:t>„valorificare” înseamnă oricare dintre operațiunile menționate în anexa II la Directiva 2008/98/CE.</w:t>
      </w:r>
    </w:p>
    <w:p w14:paraId="7A99ACEC" w14:textId="77777777" w:rsidR="005E5770" w:rsidRPr="004C704C" w:rsidRDefault="005E5770" w:rsidP="00291670">
      <w:pPr>
        <w:pStyle w:val="ListNumber1"/>
        <w:rPr>
          <w:noProof/>
        </w:rPr>
      </w:pPr>
      <w:r w:rsidRPr="004C704C">
        <w:rPr>
          <w:noProof/>
        </w:rPr>
        <w:t>„eliminare” înseamnă oricare dintre operațiunile menționate în anexa I la Directiva 2008/98/CE;</w:t>
      </w:r>
    </w:p>
    <w:p w14:paraId="748BD750" w14:textId="77777777" w:rsidR="005E5770" w:rsidRPr="004C704C" w:rsidRDefault="005E5770" w:rsidP="00291670">
      <w:pPr>
        <w:pStyle w:val="ListNumber1"/>
        <w:rPr>
          <w:noProof/>
        </w:rPr>
      </w:pPr>
      <w:r w:rsidRPr="004C704C">
        <w:rPr>
          <w:noProof/>
        </w:rPr>
        <w:t>„an de referință” înseamnă anul calendaristic pentru care trebuie adunate date.</w:t>
      </w:r>
    </w:p>
    <w:p w14:paraId="33D00263" w14:textId="77777777" w:rsidR="005E5770" w:rsidRPr="004C704C" w:rsidRDefault="005E5770" w:rsidP="005E5770">
      <w:pPr>
        <w:spacing w:before="0" w:after="0"/>
        <w:ind w:left="720"/>
        <w:contextualSpacing/>
        <w:jc w:val="left"/>
        <w:rPr>
          <w:rFonts w:eastAsia="Times New Roman"/>
          <w:noProof/>
          <w:color w:val="000000"/>
          <w:szCs w:val="24"/>
          <w:lang w:eastAsia="en-GB"/>
        </w:rPr>
      </w:pPr>
    </w:p>
    <w:p w14:paraId="4DF86036"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4C8FE610" w14:textId="77777777" w:rsidR="005E5770" w:rsidRPr="004C704C" w:rsidRDefault="005E5770" w:rsidP="007C274E">
      <w:pPr>
        <w:keepNext/>
        <w:shd w:val="clear" w:color="auto" w:fill="FFFFFF"/>
        <w:spacing w:before="0" w:after="0"/>
        <w:jc w:val="center"/>
        <w:rPr>
          <w:rFonts w:eastAsia="Times New Roman"/>
          <w:i/>
          <w:iCs/>
          <w:noProof/>
          <w:color w:val="000000"/>
          <w:szCs w:val="24"/>
        </w:rPr>
      </w:pPr>
      <w:r w:rsidRPr="004C704C">
        <w:rPr>
          <w:i/>
          <w:iCs/>
          <w:noProof/>
          <w:color w:val="000000"/>
          <w:szCs w:val="24"/>
        </w:rPr>
        <w:t>Articolul 3</w:t>
      </w:r>
    </w:p>
    <w:p w14:paraId="4779C39C" w14:textId="77777777" w:rsidR="005E5770" w:rsidRPr="004C704C" w:rsidRDefault="005E5770" w:rsidP="007C274E">
      <w:pPr>
        <w:keepNext/>
        <w:shd w:val="clear" w:color="auto" w:fill="FFFFFF"/>
        <w:spacing w:before="0" w:after="0"/>
        <w:jc w:val="center"/>
        <w:rPr>
          <w:rFonts w:eastAsia="Times New Roman"/>
          <w:b/>
          <w:bCs/>
          <w:noProof/>
          <w:color w:val="000000"/>
          <w:szCs w:val="24"/>
        </w:rPr>
      </w:pPr>
      <w:r w:rsidRPr="004C704C">
        <w:rPr>
          <w:b/>
          <w:bCs/>
          <w:noProof/>
          <w:color w:val="000000"/>
          <w:szCs w:val="24"/>
        </w:rPr>
        <w:t>Conținutul portalului</w:t>
      </w:r>
    </w:p>
    <w:p w14:paraId="255222AC" w14:textId="77777777" w:rsidR="0054307A" w:rsidRPr="004C704C" w:rsidRDefault="0054307A" w:rsidP="007C274E">
      <w:pPr>
        <w:keepNext/>
        <w:shd w:val="clear" w:color="auto" w:fill="FFFFFF"/>
        <w:spacing w:before="0" w:after="0" w:line="276" w:lineRule="auto"/>
        <w:contextualSpacing/>
        <w:rPr>
          <w:rFonts w:eastAsia="Times New Roman"/>
          <w:noProof/>
          <w:color w:val="000000"/>
          <w:szCs w:val="24"/>
          <w:lang w:eastAsia="en-GB"/>
        </w:rPr>
      </w:pPr>
    </w:p>
    <w:p w14:paraId="5B08E2A5" w14:textId="145D2EFB" w:rsidR="00B3735C" w:rsidRPr="004C704C" w:rsidRDefault="00537200" w:rsidP="00537200">
      <w:pPr>
        <w:pStyle w:val="ManualNumPar1"/>
        <w:rPr>
          <w:noProof/>
        </w:rPr>
      </w:pPr>
      <w:r w:rsidRPr="00537200">
        <w:t>1.</w:t>
      </w:r>
      <w:r w:rsidRPr="00537200">
        <w:tab/>
      </w:r>
      <w:r w:rsidR="005E5770" w:rsidRPr="004C704C">
        <w:rPr>
          <w:noProof/>
        </w:rPr>
        <w:t>Portalul cuprinde date referitoare la:</w:t>
      </w:r>
    </w:p>
    <w:p w14:paraId="7EEBBCB0" w14:textId="77777777" w:rsidR="00B3735C" w:rsidRPr="004C704C" w:rsidRDefault="00B3735C" w:rsidP="00C40A4C">
      <w:pPr>
        <w:shd w:val="clear" w:color="auto" w:fill="FFFFFF"/>
        <w:spacing w:before="0" w:after="0" w:line="276" w:lineRule="auto"/>
        <w:contextualSpacing/>
        <w:rPr>
          <w:rFonts w:eastAsia="Times New Roman"/>
          <w:noProof/>
          <w:color w:val="000000"/>
          <w:szCs w:val="24"/>
          <w:lang w:eastAsia="en-GB"/>
        </w:rPr>
      </w:pPr>
    </w:p>
    <w:p w14:paraId="34B2A998" w14:textId="77777777" w:rsidR="00B3735C" w:rsidRPr="004C704C" w:rsidRDefault="00CB53A6" w:rsidP="00291670">
      <w:pPr>
        <w:pStyle w:val="ListNumberLevel2"/>
        <w:rPr>
          <w:noProof/>
        </w:rPr>
      </w:pPr>
      <w:r w:rsidRPr="004C704C">
        <w:rPr>
          <w:noProof/>
        </w:rPr>
        <w:t xml:space="preserve">emisiile de poluanți, astfel cum sunt menționate la articolul 5 alineatul (1) litera (a); </w:t>
      </w:r>
    </w:p>
    <w:p w14:paraId="4520F739" w14:textId="77777777" w:rsidR="001A3146" w:rsidRPr="004C704C" w:rsidRDefault="001A3146" w:rsidP="00291670">
      <w:pPr>
        <w:pStyle w:val="ListNumberLevel2"/>
        <w:rPr>
          <w:noProof/>
        </w:rPr>
      </w:pPr>
      <w:r w:rsidRPr="004C704C">
        <w:rPr>
          <w:noProof/>
        </w:rPr>
        <w:t xml:space="preserve">transferurile de deșeuri în afara amplasamentului, astfel cum sunt menționate la articolul 5 alineatul (1) litera (b) și transferurile de poluanți din apele uzate în afara amplasamentului, astfel cum sunt menționate la articolul 5 alineatul (1) litera (c); </w:t>
      </w:r>
    </w:p>
    <w:p w14:paraId="1CB918BB" w14:textId="77777777" w:rsidR="001A3146" w:rsidRPr="004C704C" w:rsidRDefault="007C26C2" w:rsidP="00291670">
      <w:pPr>
        <w:pStyle w:val="ListNumberLevel2"/>
        <w:rPr>
          <w:noProof/>
        </w:rPr>
      </w:pPr>
      <w:r w:rsidRPr="004C704C">
        <w:rPr>
          <w:noProof/>
        </w:rPr>
        <w:t>utilizarea de resurse de apă, de energie și de materii prime, astfel cum este menționată la articolul 5 alineatul (1) litera (d);</w:t>
      </w:r>
    </w:p>
    <w:p w14:paraId="03F67B4E" w14:textId="77777777" w:rsidR="0054307A" w:rsidRPr="004C704C" w:rsidRDefault="0054307A" w:rsidP="00291670">
      <w:pPr>
        <w:pStyle w:val="ListNumberLevel2"/>
        <w:rPr>
          <w:noProof/>
        </w:rPr>
      </w:pPr>
      <w:r w:rsidRPr="004C704C">
        <w:rPr>
          <w:noProof/>
        </w:rPr>
        <w:t>informații contextuale, astfel cum sunt menționate la articolul 5 alineatul (1) litera (e);</w:t>
      </w:r>
    </w:p>
    <w:p w14:paraId="21E509BF" w14:textId="77777777" w:rsidR="005E5770" w:rsidRPr="004C704C" w:rsidRDefault="005E5770" w:rsidP="00291670">
      <w:pPr>
        <w:pStyle w:val="ListNumberLevel2"/>
        <w:rPr>
          <w:noProof/>
        </w:rPr>
      </w:pPr>
      <w:r w:rsidRPr="004C704C">
        <w:rPr>
          <w:noProof/>
        </w:rPr>
        <w:t>când sunt disponibile, date privind emisiile de poluanți din surse difuze, astfel cum sunt menționate la articolul 7 alineatul (1).</w:t>
      </w:r>
    </w:p>
    <w:p w14:paraId="6AB3B6E1" w14:textId="77777777" w:rsidR="005E5770" w:rsidRPr="004C704C" w:rsidRDefault="005E5770" w:rsidP="00C40A4C">
      <w:pPr>
        <w:shd w:val="clear" w:color="auto" w:fill="FFFFFF"/>
        <w:spacing w:before="0" w:after="0"/>
        <w:rPr>
          <w:rFonts w:eastAsia="Times New Roman"/>
          <w:i/>
          <w:iCs/>
          <w:noProof/>
          <w:color w:val="000000"/>
          <w:szCs w:val="24"/>
          <w:lang w:eastAsia="en-GB"/>
        </w:rPr>
      </w:pPr>
    </w:p>
    <w:p w14:paraId="0B7BD56B" w14:textId="2C9CBF21" w:rsidR="001A3146" w:rsidRPr="004C704C" w:rsidRDefault="00537200" w:rsidP="00537200">
      <w:pPr>
        <w:pStyle w:val="ManualNumPar1"/>
        <w:rPr>
          <w:noProof/>
        </w:rPr>
      </w:pPr>
      <w:r w:rsidRPr="00537200">
        <w:t>2.</w:t>
      </w:r>
      <w:r w:rsidRPr="00537200">
        <w:tab/>
      </w:r>
      <w:r w:rsidR="001A3146" w:rsidRPr="004C704C">
        <w:rPr>
          <w:noProof/>
        </w:rPr>
        <w:t>Portalul cuprinde linkuri către:</w:t>
      </w:r>
    </w:p>
    <w:p w14:paraId="28B73121" w14:textId="77777777" w:rsidR="001A3146" w:rsidRPr="004C704C" w:rsidRDefault="001A3146" w:rsidP="001A3146">
      <w:pPr>
        <w:shd w:val="clear" w:color="auto" w:fill="FFFFFF"/>
        <w:tabs>
          <w:tab w:val="left" w:pos="426"/>
        </w:tabs>
        <w:spacing w:before="0" w:after="0"/>
        <w:ind w:left="284" w:hanging="284"/>
        <w:rPr>
          <w:rFonts w:eastAsia="Times New Roman"/>
          <w:noProof/>
          <w:color w:val="000000"/>
          <w:szCs w:val="24"/>
          <w:lang w:eastAsia="en-GB"/>
        </w:rPr>
      </w:pPr>
    </w:p>
    <w:p w14:paraId="16E48EDD" w14:textId="4AE0C971" w:rsidR="00752F90" w:rsidRPr="004C704C" w:rsidRDefault="00537200" w:rsidP="00537200">
      <w:pPr>
        <w:pStyle w:val="Point1"/>
        <w:rPr>
          <w:noProof/>
        </w:rPr>
      </w:pPr>
      <w:r w:rsidRPr="00537200">
        <w:t>(a)</w:t>
      </w:r>
      <w:r w:rsidRPr="00537200">
        <w:tab/>
      </w:r>
      <w:r w:rsidR="00632285" w:rsidRPr="004C704C">
        <w:rPr>
          <w:noProof/>
        </w:rPr>
        <w:t>registrele naționale ale poluanților emiși și transferați, instituite de statele membre în conformitate cu protocolul;</w:t>
      </w:r>
    </w:p>
    <w:p w14:paraId="59497FE3" w14:textId="299B6E3C" w:rsidR="001A3146" w:rsidRPr="004C704C" w:rsidRDefault="00537200" w:rsidP="00537200">
      <w:pPr>
        <w:pStyle w:val="Point1"/>
        <w:rPr>
          <w:noProof/>
        </w:rPr>
      </w:pPr>
      <w:r w:rsidRPr="00537200">
        <w:t>(b)</w:t>
      </w:r>
      <w:r w:rsidRPr="00537200">
        <w:tab/>
      </w:r>
      <w:r w:rsidR="001A3146" w:rsidRPr="004C704C">
        <w:rPr>
          <w:noProof/>
        </w:rPr>
        <w:t>alte registre, baze de date sau site-uri web existente cu acces public, instituite la nivelul statelor membre sau la nivelul Uniunii, care oferă acces la cerințele de raportare prevăzute în actele legislative ale Uniunii referitoare la schimbările climatice, la protecția aerului, a apei și a terenurilor și la gestionarea deșeurilor.</w:t>
      </w:r>
    </w:p>
    <w:p w14:paraId="73BC0BDE" w14:textId="77777777" w:rsidR="001A3146" w:rsidRPr="004C704C" w:rsidRDefault="001A3146" w:rsidP="00823171">
      <w:pPr>
        <w:rPr>
          <w:noProof/>
          <w:szCs w:val="24"/>
        </w:rPr>
      </w:pPr>
    </w:p>
    <w:p w14:paraId="10202CC7" w14:textId="77777777" w:rsidR="00B3735C" w:rsidRPr="004C704C" w:rsidRDefault="00B3735C" w:rsidP="005E5770">
      <w:pPr>
        <w:shd w:val="clear" w:color="auto" w:fill="FFFFFF"/>
        <w:spacing w:before="0" w:after="0"/>
        <w:jc w:val="center"/>
        <w:rPr>
          <w:rFonts w:eastAsia="Times New Roman"/>
          <w:i/>
          <w:iCs/>
          <w:noProof/>
          <w:color w:val="000000"/>
          <w:szCs w:val="24"/>
          <w:lang w:eastAsia="en-GB"/>
        </w:rPr>
      </w:pPr>
    </w:p>
    <w:p w14:paraId="3D627BC6"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4</w:t>
      </w:r>
    </w:p>
    <w:p w14:paraId="06333E97" w14:textId="77777777" w:rsidR="00632285" w:rsidRPr="004C704C" w:rsidRDefault="005E5770" w:rsidP="00632285">
      <w:pPr>
        <w:shd w:val="clear" w:color="auto" w:fill="FFFFFF"/>
        <w:spacing w:before="0" w:after="0"/>
        <w:jc w:val="center"/>
        <w:rPr>
          <w:rFonts w:eastAsia="Times New Roman"/>
          <w:b/>
          <w:bCs/>
          <w:noProof/>
          <w:color w:val="000000"/>
          <w:szCs w:val="24"/>
        </w:rPr>
      </w:pPr>
      <w:r w:rsidRPr="004C704C">
        <w:rPr>
          <w:b/>
          <w:bCs/>
          <w:noProof/>
          <w:color w:val="000000"/>
          <w:szCs w:val="24"/>
        </w:rPr>
        <w:t>Proiectarea și structura portalului</w:t>
      </w:r>
    </w:p>
    <w:p w14:paraId="76F4CA4B"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28019C3A" w14:textId="78031722" w:rsidR="005E5770" w:rsidRPr="004C704C" w:rsidRDefault="00537200" w:rsidP="00537200">
      <w:pPr>
        <w:pStyle w:val="ManualNumPar1"/>
        <w:rPr>
          <w:noProof/>
        </w:rPr>
      </w:pPr>
      <w:r w:rsidRPr="00537200">
        <w:t>1.</w:t>
      </w:r>
      <w:r w:rsidRPr="00537200">
        <w:tab/>
      </w:r>
      <w:r w:rsidR="005E5770" w:rsidRPr="004C704C">
        <w:rPr>
          <w:noProof/>
        </w:rPr>
        <w:t>Comisia pune portalul la dispoziția publicului, prezentând datele atât în formă agregată, cât și în formă neagregată, pentru a permite efectuarea de căutări după:</w:t>
      </w:r>
    </w:p>
    <w:p w14:paraId="60D33602" w14:textId="77777777" w:rsidR="005E5770" w:rsidRPr="004C704C" w:rsidRDefault="005E5770" w:rsidP="00C40A4C">
      <w:pPr>
        <w:shd w:val="clear" w:color="auto" w:fill="FFFFFF"/>
        <w:spacing w:before="0" w:after="0"/>
        <w:ind w:left="284" w:hanging="284"/>
        <w:rPr>
          <w:rFonts w:ascii="inherit" w:eastAsia="Times New Roman" w:hAnsi="inherit"/>
          <w:noProof/>
          <w:color w:val="000000"/>
          <w:szCs w:val="24"/>
          <w:lang w:eastAsia="en-GB"/>
        </w:rPr>
      </w:pPr>
    </w:p>
    <w:p w14:paraId="21CBDBDF" w14:textId="46990935" w:rsidR="005E5770" w:rsidRPr="004C704C" w:rsidRDefault="00537200" w:rsidP="00537200">
      <w:pPr>
        <w:pStyle w:val="Point2"/>
        <w:rPr>
          <w:noProof/>
        </w:rPr>
      </w:pPr>
      <w:r w:rsidRPr="00537200">
        <w:t>(a)</w:t>
      </w:r>
      <w:r w:rsidRPr="00537200">
        <w:tab/>
      </w:r>
      <w:r w:rsidR="005E5770" w:rsidRPr="004C704C">
        <w:rPr>
          <w:noProof/>
        </w:rPr>
        <w:t>instalație, inclusiv societatea-mamă a instalației, când este cazul, și localizarea sa geografică, inclusiv bazinul hidrografic;</w:t>
      </w:r>
    </w:p>
    <w:p w14:paraId="24BEB821" w14:textId="2FED8877" w:rsidR="005E5770" w:rsidRPr="004C704C" w:rsidRDefault="00537200" w:rsidP="00537200">
      <w:pPr>
        <w:pStyle w:val="Point2"/>
        <w:rPr>
          <w:noProof/>
        </w:rPr>
      </w:pPr>
      <w:r w:rsidRPr="00537200">
        <w:t>(b)</w:t>
      </w:r>
      <w:r w:rsidRPr="00537200">
        <w:tab/>
      </w:r>
      <w:r w:rsidR="005E5770" w:rsidRPr="004C704C">
        <w:rPr>
          <w:noProof/>
        </w:rPr>
        <w:t>activitate;</w:t>
      </w:r>
    </w:p>
    <w:p w14:paraId="43AA93B8" w14:textId="5BF3B82D" w:rsidR="005E5770" w:rsidRPr="004C704C" w:rsidRDefault="00537200" w:rsidP="00537200">
      <w:pPr>
        <w:pStyle w:val="Point2"/>
        <w:rPr>
          <w:noProof/>
        </w:rPr>
      </w:pPr>
      <w:r w:rsidRPr="00537200">
        <w:t>(c)</w:t>
      </w:r>
      <w:r w:rsidRPr="00537200">
        <w:tab/>
      </w:r>
      <w:r w:rsidR="005E5770" w:rsidRPr="004C704C">
        <w:rPr>
          <w:noProof/>
        </w:rPr>
        <w:t>apariție, și anume la nivelul unui stat membru sau la nivelul Uniunii;</w:t>
      </w:r>
    </w:p>
    <w:p w14:paraId="01F1C97F" w14:textId="30698A84" w:rsidR="005E5770" w:rsidRPr="004C704C" w:rsidRDefault="00537200" w:rsidP="00537200">
      <w:pPr>
        <w:pStyle w:val="Point2"/>
        <w:rPr>
          <w:noProof/>
        </w:rPr>
      </w:pPr>
      <w:r w:rsidRPr="00537200">
        <w:t>(d)</w:t>
      </w:r>
      <w:r w:rsidRPr="00537200">
        <w:tab/>
      </w:r>
      <w:r w:rsidR="005E5770" w:rsidRPr="004C704C">
        <w:rPr>
          <w:noProof/>
        </w:rPr>
        <w:t>poluant, deșeuri sau resurse, după caz;</w:t>
      </w:r>
    </w:p>
    <w:p w14:paraId="33CBC3D6" w14:textId="03BE23A1" w:rsidR="005E5770" w:rsidRPr="004C704C" w:rsidRDefault="00537200" w:rsidP="00537200">
      <w:pPr>
        <w:pStyle w:val="Point2"/>
        <w:rPr>
          <w:noProof/>
        </w:rPr>
      </w:pPr>
      <w:r w:rsidRPr="00537200">
        <w:t>(e)</w:t>
      </w:r>
      <w:r w:rsidRPr="00537200">
        <w:tab/>
      </w:r>
      <w:r w:rsidR="007C26C2" w:rsidRPr="004C704C">
        <w:rPr>
          <w:noProof/>
        </w:rPr>
        <w:t>fiecare componentă a mediului (aer, apă, sol) în care este evacuat poluantul;</w:t>
      </w:r>
    </w:p>
    <w:p w14:paraId="2B24B326" w14:textId="68E71283" w:rsidR="005E5770" w:rsidRPr="004C704C" w:rsidRDefault="00537200" w:rsidP="00537200">
      <w:pPr>
        <w:pStyle w:val="Point2"/>
        <w:rPr>
          <w:noProof/>
        </w:rPr>
      </w:pPr>
      <w:r w:rsidRPr="00537200">
        <w:t>(f)</w:t>
      </w:r>
      <w:r w:rsidRPr="00537200">
        <w:tab/>
      </w:r>
      <w:r w:rsidR="005E5770" w:rsidRPr="004C704C">
        <w:rPr>
          <w:noProof/>
        </w:rPr>
        <w:t>transferuri de deșeuri în afara amplasamentului și, după caz, destinația lor;</w:t>
      </w:r>
    </w:p>
    <w:p w14:paraId="39F99172" w14:textId="4BD29691" w:rsidR="005E5770" w:rsidRPr="004C704C" w:rsidRDefault="00537200" w:rsidP="00537200">
      <w:pPr>
        <w:pStyle w:val="Point2"/>
        <w:rPr>
          <w:noProof/>
        </w:rPr>
      </w:pPr>
      <w:r w:rsidRPr="00537200">
        <w:t>(g)</w:t>
      </w:r>
      <w:r w:rsidRPr="00537200">
        <w:tab/>
      </w:r>
      <w:r w:rsidR="005E5770" w:rsidRPr="004C704C">
        <w:rPr>
          <w:noProof/>
        </w:rPr>
        <w:t>transferuri de poluanți din ape uzate în afara amplasamentului;</w:t>
      </w:r>
    </w:p>
    <w:p w14:paraId="364D97AF" w14:textId="077FC5C4" w:rsidR="009B684A" w:rsidRPr="004C704C" w:rsidRDefault="00537200" w:rsidP="00537200">
      <w:pPr>
        <w:pStyle w:val="Point2"/>
        <w:rPr>
          <w:noProof/>
        </w:rPr>
      </w:pPr>
      <w:r w:rsidRPr="00537200">
        <w:t>(h)</w:t>
      </w:r>
      <w:r w:rsidRPr="00537200">
        <w:tab/>
      </w:r>
      <w:r w:rsidR="005E5770" w:rsidRPr="004C704C">
        <w:rPr>
          <w:noProof/>
        </w:rPr>
        <w:t>surse difuze;</w:t>
      </w:r>
    </w:p>
    <w:p w14:paraId="59C0E32C" w14:textId="4D42673F" w:rsidR="005E5770" w:rsidRPr="004C704C" w:rsidRDefault="00537200" w:rsidP="00537200">
      <w:pPr>
        <w:pStyle w:val="Point2"/>
        <w:rPr>
          <w:noProof/>
        </w:rPr>
      </w:pPr>
      <w:r w:rsidRPr="00537200">
        <w:t>(i)</w:t>
      </w:r>
      <w:r w:rsidRPr="00537200">
        <w:tab/>
      </w:r>
      <w:r w:rsidR="005E5770" w:rsidRPr="004C704C">
        <w:rPr>
          <w:noProof/>
        </w:rPr>
        <w:t>proprietarul sau operatorul instalației.</w:t>
      </w:r>
    </w:p>
    <w:p w14:paraId="57D7FD94" w14:textId="77777777" w:rsidR="005E5770" w:rsidRPr="004C704C" w:rsidRDefault="005E5770" w:rsidP="005E5770">
      <w:pPr>
        <w:shd w:val="clear" w:color="auto" w:fill="FFFFFF"/>
        <w:spacing w:before="0" w:after="0"/>
        <w:rPr>
          <w:rFonts w:eastAsia="Times New Roman"/>
          <w:noProof/>
          <w:color w:val="000000"/>
          <w:szCs w:val="24"/>
          <w:lang w:eastAsia="en-GB"/>
        </w:rPr>
      </w:pPr>
    </w:p>
    <w:p w14:paraId="1427F481" w14:textId="26A61A0F" w:rsidR="005E5770" w:rsidRPr="004C704C" w:rsidRDefault="00537200" w:rsidP="00537200">
      <w:pPr>
        <w:pStyle w:val="ManualNumPar1"/>
        <w:rPr>
          <w:noProof/>
        </w:rPr>
      </w:pPr>
      <w:r w:rsidRPr="00537200">
        <w:t>2.</w:t>
      </w:r>
      <w:r w:rsidRPr="00537200">
        <w:tab/>
      </w:r>
      <w:r w:rsidR="005E5770" w:rsidRPr="004C704C">
        <w:rPr>
          <w:noProof/>
        </w:rPr>
        <w:t>Portalul se proiectează astfel încât să poată fi accesat cât mai ușor posibil de public și astfel încât datele, în condiții de funcționare normale, să poată fi accesate continuu și imediat pe internet. La proiectarea portalului se ia în considerare posibilitatea extinderii ulterioare a acestuia și se includ toate datele raportate pentru anii de raportare anteriori, până la cel puțin ultimii zece ani anteriori de raportare.</w:t>
      </w:r>
    </w:p>
    <w:p w14:paraId="5BDBB541" w14:textId="77777777" w:rsidR="005E5770" w:rsidRPr="004C704C" w:rsidRDefault="005E5770" w:rsidP="001A3146">
      <w:pPr>
        <w:shd w:val="clear" w:color="auto" w:fill="FFFFFF"/>
        <w:spacing w:before="0" w:after="0"/>
        <w:rPr>
          <w:rFonts w:eastAsia="Times New Roman"/>
          <w:noProof/>
          <w:color w:val="000000"/>
          <w:szCs w:val="24"/>
          <w:lang w:eastAsia="en-GB"/>
        </w:rPr>
      </w:pPr>
    </w:p>
    <w:p w14:paraId="16C567E4"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2E2F512C"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5</w:t>
      </w:r>
    </w:p>
    <w:p w14:paraId="6849D96D" w14:textId="4D1B2F9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Raportarea de către operatori către autoritățile competente</w:t>
      </w:r>
      <w:r w:rsidR="003D1459">
        <w:rPr>
          <w:b/>
          <w:bCs/>
          <w:noProof/>
          <w:color w:val="000000"/>
          <w:szCs w:val="24"/>
        </w:rPr>
        <w:t xml:space="preserve"> </w:t>
      </w:r>
    </w:p>
    <w:p w14:paraId="74271FA2"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1BF57F6B" w14:textId="6660B253" w:rsidR="005E5770" w:rsidRPr="004C704C" w:rsidRDefault="00537200" w:rsidP="00537200">
      <w:pPr>
        <w:pStyle w:val="ManualNumPar1"/>
        <w:rPr>
          <w:noProof/>
        </w:rPr>
      </w:pPr>
      <w:r w:rsidRPr="00537200">
        <w:t>1.</w:t>
      </w:r>
      <w:r w:rsidRPr="00537200">
        <w:tab/>
      </w:r>
      <w:r w:rsidR="005E5770" w:rsidRPr="004C704C">
        <w:rPr>
          <w:noProof/>
        </w:rPr>
        <w:t>Operatorul fiecărei instalații care întreprinde una sau mai multe dintre activitățile specificate în anexa I raportează anual autorității sale competente, în cazul în care activitatea sau activitățile respective îndeplinesc pragurile aplicabile specificate în anexa menționată, următoarele date, dacă autoritatea competentă nu dispune deja de ele:</w:t>
      </w:r>
    </w:p>
    <w:p w14:paraId="3425DF33" w14:textId="77777777" w:rsidR="005E5770" w:rsidRPr="004C704C" w:rsidRDefault="005E5770" w:rsidP="00C40A4C">
      <w:pPr>
        <w:shd w:val="clear" w:color="auto" w:fill="FFFFFF"/>
        <w:spacing w:before="0" w:after="0"/>
        <w:ind w:left="360"/>
        <w:rPr>
          <w:rFonts w:eastAsia="Times New Roman"/>
          <w:noProof/>
          <w:color w:val="000000"/>
          <w:szCs w:val="24"/>
          <w:lang w:eastAsia="en-GB"/>
        </w:rPr>
      </w:pPr>
    </w:p>
    <w:p w14:paraId="2BF06B44" w14:textId="77777777" w:rsidR="005E5770" w:rsidRPr="004C704C" w:rsidRDefault="005E5770" w:rsidP="00A54A31">
      <w:pPr>
        <w:pStyle w:val="ListNumberLevel2"/>
        <w:numPr>
          <w:ilvl w:val="1"/>
          <w:numId w:val="21"/>
        </w:numPr>
        <w:rPr>
          <w:noProof/>
        </w:rPr>
      </w:pPr>
      <w:r w:rsidRPr="004C704C">
        <w:rPr>
          <w:noProof/>
        </w:rPr>
        <w:t>emisiile în aer, apă și sol de orice poluant specificat în anexa II în cazul cărora se depășește valoarea-prag aplicabilă specificată în anexa II;</w:t>
      </w:r>
    </w:p>
    <w:p w14:paraId="414FCAF9" w14:textId="1F585693" w:rsidR="005E5770" w:rsidRPr="004C704C" w:rsidRDefault="005E5770" w:rsidP="00E2330F">
      <w:pPr>
        <w:pStyle w:val="ListNumberLevel2"/>
        <w:rPr>
          <w:noProof/>
        </w:rPr>
      </w:pPr>
      <w:r w:rsidRPr="004C704C">
        <w:rPr>
          <w:noProof/>
        </w:rPr>
        <w:t>transferurile în afara amplasamentului de deșeuri periculoase în cantități mai mari de 2 tone pe an sau de deșeuri nepericuloase în cantități mai mari de 2 000</w:t>
      </w:r>
      <w:r w:rsidR="007C274E">
        <w:rPr>
          <w:noProof/>
        </w:rPr>
        <w:t> </w:t>
      </w:r>
      <w:r w:rsidRPr="004C704C">
        <w:rPr>
          <w:noProof/>
        </w:rPr>
        <w:t>de tone pe an, pentru orice operațiune de valorificare sau eliminare, cu excepția operațiunilor de eliminare prin tratare în sol și injectare în adâncime, astfel cum sunt specificate în anexa I la Directiva 2008/98/CE, indicând prin „R” (</w:t>
      </w:r>
      <w:r w:rsidRPr="004C704C">
        <w:rPr>
          <w:i/>
          <w:iCs/>
          <w:noProof/>
        </w:rPr>
        <w:t>recovery</w:t>
      </w:r>
      <w:r w:rsidRPr="004C704C">
        <w:rPr>
          <w:noProof/>
        </w:rPr>
        <w:t>) sau, respectiv, „D” (</w:t>
      </w:r>
      <w:r w:rsidRPr="004C704C">
        <w:rPr>
          <w:i/>
          <w:iCs/>
          <w:noProof/>
        </w:rPr>
        <w:t>disposal</w:t>
      </w:r>
      <w:r w:rsidRPr="004C704C">
        <w:rPr>
          <w:noProof/>
        </w:rPr>
        <w:t>) dacă deșeurile sunt destinate valorificării sau, respectiv, eliminării și, în cazul deplasărilor transfrontaliere de deșeuri periculoase, numele și adresa instalației de valorificare sau eliminare a deșeurilor și amplasamentul efectiv de valorificare sau de eliminare. Deșeurile supuse operațiunilor de eliminare prin tratare în sol sau injectare în adâncime se raportează ca emisii în sol numai de către operatorul instalației din care provin;</w:t>
      </w:r>
    </w:p>
    <w:p w14:paraId="2D2A7FEF" w14:textId="77777777" w:rsidR="005E5770" w:rsidRPr="004C704C" w:rsidRDefault="008E7912" w:rsidP="00E2330F">
      <w:pPr>
        <w:pStyle w:val="ListNumberLevel2"/>
        <w:rPr>
          <w:noProof/>
        </w:rPr>
      </w:pPr>
      <w:r w:rsidRPr="004C704C">
        <w:rPr>
          <w:noProof/>
        </w:rPr>
        <w:t>transferurile în afara amplasamentului de orice poluant specificat în anexa II din apele uzate destinate epurării în cazul cărora se depășește valoarea-prag specificată în anexa II coloana 1b;</w:t>
      </w:r>
    </w:p>
    <w:p w14:paraId="527AC69F" w14:textId="77777777" w:rsidR="005E5770" w:rsidRPr="004C704C" w:rsidRDefault="00203FFF" w:rsidP="00E2330F">
      <w:pPr>
        <w:pStyle w:val="ListNumberLevel2"/>
        <w:rPr>
          <w:noProof/>
        </w:rPr>
      </w:pPr>
      <w:r w:rsidRPr="004C704C">
        <w:rPr>
          <w:noProof/>
        </w:rPr>
        <w:t>utilizarea de apă, energie și materii prime;</w:t>
      </w:r>
    </w:p>
    <w:p w14:paraId="4B229096" w14:textId="77777777" w:rsidR="00414AD3" w:rsidRPr="004C704C" w:rsidRDefault="005E5770" w:rsidP="00E2330F">
      <w:pPr>
        <w:pStyle w:val="ListNumberLevel2"/>
        <w:rPr>
          <w:noProof/>
        </w:rPr>
      </w:pPr>
      <w:r w:rsidRPr="004C704C">
        <w:rPr>
          <w:noProof/>
        </w:rPr>
        <w:t>informații care permit punerea în context a datelor raportate în temeiul literelor (a)-(d), inclusiv volumul producției, numărul de angajați, numărul de ore de funcționare și informații referitoare la accidentele care au condus la emisii;</w:t>
      </w:r>
    </w:p>
    <w:p w14:paraId="0811A7A2" w14:textId="18479A3D" w:rsidR="00414AD3" w:rsidRPr="004C704C" w:rsidRDefault="001C6227" w:rsidP="00E2330F">
      <w:pPr>
        <w:pStyle w:val="ListNumberLevel2"/>
        <w:rPr>
          <w:noProof/>
        </w:rPr>
      </w:pPr>
      <w:r w:rsidRPr="004C704C">
        <w:rPr>
          <w:noProof/>
        </w:rPr>
        <w:t>informații din care să reiasă dacă instalația intră și sub incidența Directivei</w:t>
      </w:r>
      <w:r w:rsidR="007C274E">
        <w:rPr>
          <w:noProof/>
        </w:rPr>
        <w:t> </w:t>
      </w:r>
      <w:r w:rsidRPr="004C704C">
        <w:rPr>
          <w:noProof/>
        </w:rPr>
        <w:t>2003/87/CE a Parlamentului European și a Consiliului</w:t>
      </w:r>
      <w:r w:rsidRPr="004C704C">
        <w:rPr>
          <w:rStyle w:val="FootnoteReference"/>
          <w:noProof/>
        </w:rPr>
        <w:footnoteReference w:id="61"/>
      </w:r>
      <w:r w:rsidRPr="004C704C">
        <w:rPr>
          <w:noProof/>
        </w:rPr>
        <w:t>, a Directivei</w:t>
      </w:r>
      <w:r w:rsidR="007C274E">
        <w:rPr>
          <w:noProof/>
        </w:rPr>
        <w:t> </w:t>
      </w:r>
      <w:r w:rsidRPr="004C704C">
        <w:rPr>
          <w:noProof/>
        </w:rPr>
        <w:t>91/271/CEE, a Directivei 2010/75/UE, a Directivei 2012/18/UE, a Directivei (UE) 2015/2193 sau a oricărui alt act legislativ de mediu al Uniunii, identificat în formatul de raportare menționat la articolul 6.</w:t>
      </w:r>
    </w:p>
    <w:p w14:paraId="28589CDD" w14:textId="77777777" w:rsidR="005E5770" w:rsidRPr="004C704C" w:rsidRDefault="005E5770" w:rsidP="00C40A4C">
      <w:pPr>
        <w:spacing w:before="0" w:after="0"/>
        <w:rPr>
          <w:i/>
          <w:iCs/>
          <w:noProof/>
          <w:sz w:val="22"/>
          <w:highlight w:val="yellow"/>
        </w:rPr>
      </w:pPr>
    </w:p>
    <w:p w14:paraId="6A8687CD" w14:textId="3232EAA6" w:rsidR="005E5770" w:rsidRPr="004C704C" w:rsidRDefault="00537200" w:rsidP="00537200">
      <w:pPr>
        <w:pStyle w:val="ManualNumPar1"/>
        <w:rPr>
          <w:noProof/>
        </w:rPr>
      </w:pPr>
      <w:r w:rsidRPr="00537200">
        <w:t>2.</w:t>
      </w:r>
      <w:r w:rsidRPr="00537200">
        <w:tab/>
      </w:r>
      <w:r w:rsidR="005E5770" w:rsidRPr="004C704C">
        <w:rPr>
          <w:noProof/>
        </w:rPr>
        <w:t>În cazul în care emisiile menționate la alineatul (1) litera (a) sau transferurile de poluanți în afara amplasamentului menționate la alineatul (1) litera (c) nu depășesc valorile-prag aplicabile specificate în anexa II sau în cazul în care transferurile de deșeuri în afara amplasamentului nu depășesc pragurile prevăzute la alineatul (1) litera (b), operatorul instalației în cauză declară, în raportul său, că emisiile sau transferurile în afara amplasamentului se situează sub respectivele valori sau praguri.</w:t>
      </w:r>
    </w:p>
    <w:p w14:paraId="4614A22F" w14:textId="77777777" w:rsidR="005E5770" w:rsidRPr="004C704C" w:rsidRDefault="005E5770" w:rsidP="00C720D5">
      <w:pPr>
        <w:rPr>
          <w:noProof/>
          <w:lang w:eastAsia="en-GB"/>
        </w:rPr>
      </w:pPr>
    </w:p>
    <w:p w14:paraId="209EAF55" w14:textId="61451491" w:rsidR="00493278" w:rsidRPr="004C704C" w:rsidRDefault="00537200" w:rsidP="00537200">
      <w:pPr>
        <w:pStyle w:val="ManualNumPar1"/>
        <w:rPr>
          <w:noProof/>
        </w:rPr>
      </w:pPr>
      <w:r w:rsidRPr="00537200">
        <w:t>3.</w:t>
      </w:r>
      <w:r w:rsidRPr="00537200">
        <w:tab/>
      </w:r>
      <w:r w:rsidR="004F27FE" w:rsidRPr="004C704C">
        <w:rPr>
          <w:noProof/>
        </w:rPr>
        <w:t xml:space="preserve">Pentru obținerea datelor menționate la alineatul (1), operatorii recurg la măsurare. În cazul în care măsurarea nu este posibilă, operatorii recurg la calculare. În cazul în care nici măsurarea, nici calcularea nu sunt posibile, operatorii pot să obțină datele prin estimare. </w:t>
      </w:r>
    </w:p>
    <w:p w14:paraId="02B90395" w14:textId="77777777" w:rsidR="00493278" w:rsidRPr="004C704C" w:rsidRDefault="00493278" w:rsidP="00C720D5">
      <w:pPr>
        <w:rPr>
          <w:noProof/>
        </w:rPr>
      </w:pPr>
    </w:p>
    <w:p w14:paraId="0ECB2B59" w14:textId="607E1DAB" w:rsidR="005E5770" w:rsidRPr="004C704C" w:rsidRDefault="00537200" w:rsidP="00537200">
      <w:pPr>
        <w:pStyle w:val="ManualNumPar1"/>
        <w:rPr>
          <w:noProof/>
        </w:rPr>
      </w:pPr>
      <w:r w:rsidRPr="00537200">
        <w:t>4.</w:t>
      </w:r>
      <w:r w:rsidRPr="00537200">
        <w:tab/>
      </w:r>
      <w:r w:rsidR="005A2E0C" w:rsidRPr="004C704C">
        <w:rPr>
          <w:noProof/>
        </w:rPr>
        <w:t>Operatorii precizează în raport metodele utilizate pentru obținerea datelor. În cazul în care datele au fost obținute prin măsurare, se indică metoda analitică. În cazul în care datele au fost obținute prin calculare, se indică metoda de calcul.</w:t>
      </w:r>
    </w:p>
    <w:p w14:paraId="234A9C00" w14:textId="77777777" w:rsidR="005E5770" w:rsidRPr="004C704C" w:rsidRDefault="00C720D5" w:rsidP="00C720D5">
      <w:pPr>
        <w:rPr>
          <w:noProof/>
        </w:rPr>
      </w:pPr>
      <w:r w:rsidRPr="004C704C">
        <w:rPr>
          <w:noProof/>
        </w:rPr>
        <w:tab/>
      </w:r>
    </w:p>
    <w:p w14:paraId="004F6BFE" w14:textId="56A3AF04" w:rsidR="005E5770" w:rsidRPr="004C704C" w:rsidRDefault="00537200" w:rsidP="00537200">
      <w:pPr>
        <w:pStyle w:val="ManualNumPar1"/>
        <w:rPr>
          <w:noProof/>
        </w:rPr>
      </w:pPr>
      <w:r w:rsidRPr="00537200">
        <w:t>5.</w:t>
      </w:r>
      <w:r w:rsidRPr="00537200">
        <w:tab/>
      </w:r>
      <w:r w:rsidR="006110F7" w:rsidRPr="004C704C">
        <w:rPr>
          <w:noProof/>
        </w:rPr>
        <w:t>La pregătirea raportului menționat la alineatul (1), operatorii folosesc cele mai bune informații disponibile, care pot cuprinde date de monitorizare, factori de emisie, ecuații de bilanț masic, monitorizare indirectă sau alte calcule, evaluări tehnice și alte metode în concordanță cu articolul 8 alineatul (1) și în conformitate cu metodologiile aprobate la nivel internațional, când există astfel de metodologii.</w:t>
      </w:r>
    </w:p>
    <w:p w14:paraId="01EEA766" w14:textId="77777777" w:rsidR="005E5770" w:rsidRPr="004C704C" w:rsidRDefault="005E5770" w:rsidP="00C720D5">
      <w:pPr>
        <w:rPr>
          <w:noProof/>
          <w:lang w:eastAsia="en-GB"/>
        </w:rPr>
      </w:pPr>
    </w:p>
    <w:p w14:paraId="3B98A968" w14:textId="04E81614" w:rsidR="005E5770" w:rsidRPr="004C704C" w:rsidRDefault="00537200" w:rsidP="00537200">
      <w:pPr>
        <w:pStyle w:val="ManualNumPar1"/>
        <w:rPr>
          <w:noProof/>
        </w:rPr>
      </w:pPr>
      <w:r w:rsidRPr="00537200">
        <w:t>6.</w:t>
      </w:r>
      <w:r w:rsidRPr="00537200">
        <w:tab/>
      </w:r>
      <w:r w:rsidR="005E5770" w:rsidRPr="004C704C">
        <w:rPr>
          <w:noProof/>
        </w:rPr>
        <w:t>Emisiile menționate în anexa II care sunt raportate în temeiul alineatului (1) litera (a) includ toate emisiile din toate sursele incluse în anexa I care sunt prezente pe amplasamentul instalației.</w:t>
      </w:r>
    </w:p>
    <w:p w14:paraId="6AA7C938" w14:textId="77777777" w:rsidR="005E5770" w:rsidRPr="004C704C" w:rsidRDefault="005E5770" w:rsidP="00C720D5">
      <w:pPr>
        <w:rPr>
          <w:noProof/>
          <w:lang w:eastAsia="en-GB"/>
        </w:rPr>
      </w:pPr>
    </w:p>
    <w:p w14:paraId="41DF4A14" w14:textId="46A361B4" w:rsidR="005E5770" w:rsidRPr="004C704C" w:rsidRDefault="00537200" w:rsidP="00537200">
      <w:pPr>
        <w:pStyle w:val="ManualNumPar1"/>
        <w:rPr>
          <w:noProof/>
        </w:rPr>
      </w:pPr>
      <w:r w:rsidRPr="00537200">
        <w:t>7.</w:t>
      </w:r>
      <w:r w:rsidRPr="00537200">
        <w:tab/>
      </w:r>
      <w:r w:rsidR="005E5770" w:rsidRPr="004C704C">
        <w:rPr>
          <w:noProof/>
        </w:rPr>
        <w:t>Datele menționate la alineatul (1) includ emisiile și transferurile raportate ca totaluri ale tuturor activităților deliberate, accidentale, periodice sau neperiodice. Când furnizează aceste informații, operatorii specifică, când este cazul, toate datele care au legătură cu emisiile accidentale.</w:t>
      </w:r>
    </w:p>
    <w:p w14:paraId="2E29A7D9" w14:textId="77777777" w:rsidR="005E5770" w:rsidRPr="004C704C" w:rsidRDefault="005E5770" w:rsidP="00C720D5">
      <w:pPr>
        <w:rPr>
          <w:noProof/>
          <w:lang w:eastAsia="en-GB"/>
        </w:rPr>
      </w:pPr>
    </w:p>
    <w:p w14:paraId="0F190DB8" w14:textId="6A39CE11" w:rsidR="005E5770" w:rsidRPr="004C704C" w:rsidRDefault="00537200" w:rsidP="00537200">
      <w:pPr>
        <w:pStyle w:val="ManualNumPar1"/>
        <w:rPr>
          <w:noProof/>
        </w:rPr>
      </w:pPr>
      <w:r w:rsidRPr="00537200">
        <w:t>8.</w:t>
      </w:r>
      <w:r w:rsidRPr="00537200">
        <w:tab/>
      </w:r>
      <w:r w:rsidR="005E5770" w:rsidRPr="004C704C">
        <w:rPr>
          <w:noProof/>
        </w:rPr>
        <w:t>Operatorul fiecărei instalații colectează cu periodicitatea corespunzătoare datele necesare pentru a determina care dintre emisiile și transferurile în afara amplasamentului ale instalației fac obiectul cerințelor de raportare prevăzute la alineatul (1).</w:t>
      </w:r>
    </w:p>
    <w:p w14:paraId="4F30162C" w14:textId="77777777" w:rsidR="005E5770" w:rsidRPr="004C704C" w:rsidRDefault="005E5770" w:rsidP="00C720D5">
      <w:pPr>
        <w:rPr>
          <w:noProof/>
          <w:lang w:eastAsia="en-GB"/>
        </w:rPr>
      </w:pPr>
    </w:p>
    <w:p w14:paraId="02CF7705" w14:textId="1A19C8D2" w:rsidR="005E5770" w:rsidRPr="004C704C" w:rsidRDefault="00537200" w:rsidP="00537200">
      <w:pPr>
        <w:pStyle w:val="ManualNumPar1"/>
        <w:rPr>
          <w:noProof/>
        </w:rPr>
      </w:pPr>
      <w:r w:rsidRPr="00537200">
        <w:t>9.</w:t>
      </w:r>
      <w:r w:rsidRPr="00537200">
        <w:tab/>
      </w:r>
      <w:r w:rsidR="005E5770" w:rsidRPr="004C704C">
        <w:rPr>
          <w:noProof/>
        </w:rPr>
        <w:t>Operatorul fiecărei instalații în cauză ține înregistrările din care au fost derivate datele raportate la dispoziția autorității sale competente timp de cinci ani de la sfârșitul anului de referință în cauză. Aceste înregistrări trebuie să conțină, de asemenea, o descriere a metodologiei folosite pentru adunarea datelor.</w:t>
      </w:r>
    </w:p>
    <w:p w14:paraId="6C15B6E8" w14:textId="77777777" w:rsidR="00870313" w:rsidRPr="004C704C" w:rsidRDefault="00870313" w:rsidP="00C720D5">
      <w:pPr>
        <w:rPr>
          <w:noProof/>
          <w:lang w:eastAsia="en-GB"/>
        </w:rPr>
      </w:pPr>
    </w:p>
    <w:p w14:paraId="1816D60D" w14:textId="61D09610" w:rsidR="005E5770" w:rsidRPr="004C704C" w:rsidRDefault="00537200" w:rsidP="00537200">
      <w:pPr>
        <w:pStyle w:val="ManualNumPar1"/>
        <w:rPr>
          <w:noProof/>
        </w:rPr>
      </w:pPr>
      <w:r w:rsidRPr="00537200">
        <w:t>10.</w:t>
      </w:r>
      <w:r w:rsidRPr="00537200">
        <w:tab/>
      </w:r>
      <w:r w:rsidR="005E5770" w:rsidRPr="004C704C">
        <w:rPr>
          <w:noProof/>
        </w:rPr>
        <w:t>Statele membre pot decide să cuantifice ele însele emisiile deliberate menționate la alineatul (1) litera (a), în numele operatorilor instalațiilor care intră în domeniul de aplicare al activității 2 din anexa I și al activității 7 din anexa I. În aceste cazuri, operatorilor respectivi nu li se aplică alineatele (1)-(9) în privința unor astfel de emisii.</w:t>
      </w:r>
    </w:p>
    <w:p w14:paraId="3F1E6D31" w14:textId="77777777" w:rsidR="00EC7B41" w:rsidRPr="004C704C" w:rsidRDefault="00EC7B41" w:rsidP="00C720D5">
      <w:pPr>
        <w:rPr>
          <w:noProof/>
          <w:lang w:eastAsia="en-GB"/>
        </w:rPr>
      </w:pPr>
    </w:p>
    <w:p w14:paraId="0D4FBAAF" w14:textId="0C2E2866" w:rsidR="00D32448" w:rsidRPr="004C704C" w:rsidRDefault="00537200" w:rsidP="00537200">
      <w:pPr>
        <w:pStyle w:val="ManualNumPar1"/>
        <w:rPr>
          <w:noProof/>
        </w:rPr>
      </w:pPr>
      <w:r w:rsidRPr="00537200">
        <w:t>11.</w:t>
      </w:r>
      <w:r w:rsidRPr="00537200">
        <w:tab/>
      </w:r>
      <w:r w:rsidR="00B22F95" w:rsidRPr="004C704C">
        <w:rPr>
          <w:noProof/>
        </w:rPr>
        <w:t>Având în vedere cerințele prevăzute la articolul 6, statele membre stabilesc o dată până la care operatorii trebuie să transmită autorităților lor competente datele menționate la prezentul articol.</w:t>
      </w:r>
    </w:p>
    <w:p w14:paraId="46B982CC"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55DBA0ED" w14:textId="77777777" w:rsidR="00AF41E0" w:rsidRPr="004C704C" w:rsidRDefault="00AF41E0" w:rsidP="005E5770">
      <w:pPr>
        <w:shd w:val="clear" w:color="auto" w:fill="FFFFFF"/>
        <w:spacing w:before="0" w:after="0"/>
        <w:jc w:val="center"/>
        <w:rPr>
          <w:rFonts w:eastAsia="Times New Roman"/>
          <w:i/>
          <w:iCs/>
          <w:noProof/>
          <w:color w:val="000000"/>
          <w:szCs w:val="24"/>
          <w:lang w:eastAsia="en-GB"/>
        </w:rPr>
      </w:pPr>
    </w:p>
    <w:p w14:paraId="65B9959D"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6</w:t>
      </w:r>
    </w:p>
    <w:p w14:paraId="1BAD88FF"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Raportarea de către statele membre către Comisie</w:t>
      </w:r>
    </w:p>
    <w:p w14:paraId="6B6D53C2" w14:textId="77777777" w:rsidR="005E5770" w:rsidRPr="004C704C" w:rsidRDefault="005E5770" w:rsidP="005E5770">
      <w:pPr>
        <w:shd w:val="clear" w:color="auto" w:fill="FFFFFF"/>
        <w:spacing w:before="0" w:after="0"/>
        <w:ind w:left="567" w:hanging="567"/>
        <w:contextualSpacing/>
        <w:rPr>
          <w:rFonts w:eastAsia="Times New Roman"/>
          <w:noProof/>
          <w:color w:val="000000"/>
          <w:szCs w:val="24"/>
          <w:lang w:eastAsia="en-GB"/>
        </w:rPr>
      </w:pPr>
    </w:p>
    <w:p w14:paraId="5C33315C" w14:textId="37B09418" w:rsidR="005E5770" w:rsidRPr="004C704C" w:rsidRDefault="00537200" w:rsidP="00537200">
      <w:pPr>
        <w:pStyle w:val="ManualNumPar1"/>
        <w:rPr>
          <w:noProof/>
        </w:rPr>
      </w:pPr>
      <w:r w:rsidRPr="00537200">
        <w:t>1.</w:t>
      </w:r>
      <w:r w:rsidRPr="00537200">
        <w:tab/>
      </w:r>
      <w:r w:rsidR="005E5770" w:rsidRPr="004C704C">
        <w:rPr>
          <w:noProof/>
        </w:rPr>
        <w:t>Statele membre furnizează în fiecare an Comisiei, prin mijloace electronice, un raport care conține toate datele menționate la articolul 5, într-un format și până la o dată care urmează să fie stabilite de Comisie prin acte de punere în aplicare. Respectivele acte de punere în aplicare se adoptă în conformitate cu procedura de examinare menționată la articolul 17 alineatul (2). Data de raportare nu poate, în niciun caz, să survină mai târziu de 11 luni de la sfârșitul anului de referință.</w:t>
      </w:r>
    </w:p>
    <w:p w14:paraId="32F9883D" w14:textId="77777777" w:rsidR="005E5770" w:rsidRPr="004C704C" w:rsidRDefault="005E5770" w:rsidP="00C720D5">
      <w:pPr>
        <w:rPr>
          <w:noProof/>
          <w:lang w:eastAsia="en-GB"/>
        </w:rPr>
      </w:pPr>
    </w:p>
    <w:p w14:paraId="29EC62A1" w14:textId="09811288" w:rsidR="005E5770" w:rsidRPr="004C704C" w:rsidRDefault="00537200" w:rsidP="00537200">
      <w:pPr>
        <w:pStyle w:val="ManualNumPar1"/>
        <w:rPr>
          <w:noProof/>
        </w:rPr>
      </w:pPr>
      <w:r w:rsidRPr="00537200">
        <w:t>2.</w:t>
      </w:r>
      <w:r w:rsidRPr="00537200">
        <w:tab/>
      </w:r>
      <w:r w:rsidR="005E5770" w:rsidRPr="004C704C">
        <w:rPr>
          <w:noProof/>
        </w:rPr>
        <w:t>Serviciile Comisiei, asistate de Agenția Europeană de Mediu („agenția”), încorporează datele raportate de statele membre în portal în termen de o lună de la finalizarea raportării de către statele membre în conformitate cu alineatul (1).</w:t>
      </w:r>
    </w:p>
    <w:p w14:paraId="6C90857D"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7F5E05CA" w14:textId="77777777" w:rsidR="00AF41E0" w:rsidRPr="004C704C" w:rsidRDefault="00AF41E0" w:rsidP="005E5770">
      <w:pPr>
        <w:shd w:val="clear" w:color="auto" w:fill="FFFFFF"/>
        <w:spacing w:before="0" w:after="0"/>
        <w:jc w:val="center"/>
        <w:rPr>
          <w:rFonts w:eastAsia="Times New Roman"/>
          <w:i/>
          <w:iCs/>
          <w:noProof/>
          <w:color w:val="000000"/>
          <w:szCs w:val="24"/>
          <w:lang w:eastAsia="en-GB"/>
        </w:rPr>
      </w:pPr>
    </w:p>
    <w:p w14:paraId="5511207A"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7</w:t>
      </w:r>
    </w:p>
    <w:p w14:paraId="0D17B92C" w14:textId="77777777" w:rsidR="005E5770" w:rsidRPr="004C704C" w:rsidRDefault="000D1F54" w:rsidP="005E5770">
      <w:pPr>
        <w:shd w:val="clear" w:color="auto" w:fill="FFFFFF"/>
        <w:spacing w:before="0" w:after="0"/>
        <w:jc w:val="center"/>
        <w:rPr>
          <w:rFonts w:eastAsia="Times New Roman"/>
          <w:b/>
          <w:bCs/>
          <w:noProof/>
          <w:color w:val="000000"/>
          <w:szCs w:val="24"/>
        </w:rPr>
      </w:pPr>
      <w:r w:rsidRPr="004C704C">
        <w:rPr>
          <w:b/>
          <w:bCs/>
          <w:noProof/>
          <w:color w:val="000000"/>
          <w:szCs w:val="24"/>
        </w:rPr>
        <w:t>Date despre emisiile de poluanți din surse difuze</w:t>
      </w:r>
    </w:p>
    <w:p w14:paraId="62278015"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2069A130" w14:textId="1E1E3FC4" w:rsidR="005E5770" w:rsidRPr="004C704C" w:rsidRDefault="00537200" w:rsidP="00537200">
      <w:pPr>
        <w:pStyle w:val="ManualNumPar1"/>
        <w:rPr>
          <w:noProof/>
        </w:rPr>
      </w:pPr>
      <w:r w:rsidRPr="00537200">
        <w:t>1.</w:t>
      </w:r>
      <w:r w:rsidRPr="00537200">
        <w:tab/>
      </w:r>
      <w:r w:rsidR="005E5770" w:rsidRPr="004C704C">
        <w:rPr>
          <w:noProof/>
        </w:rPr>
        <w:t>Comisia, asistată de agenție, include în portal date despre emisiile de poluanți din surse difuze, în cazul în care astfel de date există și au fost deja raportate de statele membre.</w:t>
      </w:r>
    </w:p>
    <w:p w14:paraId="0F597612" w14:textId="77777777" w:rsidR="005E5770" w:rsidRPr="004C704C" w:rsidRDefault="005E5770" w:rsidP="00C720D5">
      <w:pPr>
        <w:rPr>
          <w:noProof/>
          <w:lang w:eastAsia="en-GB"/>
        </w:rPr>
      </w:pPr>
    </w:p>
    <w:p w14:paraId="76135CE3" w14:textId="67FE3403" w:rsidR="005E5770" w:rsidRPr="004C704C" w:rsidRDefault="00537200" w:rsidP="00537200">
      <w:pPr>
        <w:pStyle w:val="ManualNumPar1"/>
        <w:rPr>
          <w:noProof/>
        </w:rPr>
      </w:pPr>
      <w:r w:rsidRPr="00537200">
        <w:t>2.</w:t>
      </w:r>
      <w:r w:rsidRPr="00537200">
        <w:tab/>
      </w:r>
      <w:r w:rsidR="005E5770" w:rsidRPr="004C704C">
        <w:rPr>
          <w:noProof/>
        </w:rPr>
        <w:t>Datele disponibile pe portal permit utilizatorilor să caute și să identifice emisiile de poluanți din surse difuze conform unei metode adecvate de repartizare geografică și cuprind informații privind tipul de metodologie folosit pentru derivarea datelor.</w:t>
      </w:r>
    </w:p>
    <w:p w14:paraId="5FDF7430" w14:textId="77777777" w:rsidR="005E5770" w:rsidRPr="004C704C" w:rsidRDefault="005E5770" w:rsidP="00C720D5">
      <w:pPr>
        <w:rPr>
          <w:noProof/>
          <w:lang w:eastAsia="en-GB"/>
        </w:rPr>
      </w:pPr>
    </w:p>
    <w:p w14:paraId="1A793BDE" w14:textId="2DCB36B3" w:rsidR="005E5770" w:rsidRPr="004C704C" w:rsidRDefault="00537200" w:rsidP="00537200">
      <w:pPr>
        <w:pStyle w:val="ManualNumPar1"/>
        <w:rPr>
          <w:noProof/>
        </w:rPr>
      </w:pPr>
      <w:r w:rsidRPr="00537200">
        <w:t>3.</w:t>
      </w:r>
      <w:r w:rsidRPr="00537200">
        <w:tab/>
      </w:r>
      <w:r w:rsidR="005E5770" w:rsidRPr="004C704C">
        <w:rPr>
          <w:noProof/>
        </w:rPr>
        <w:t>În cazul în care stabilește că nu există date privind emisiile din surse difuze, Comisia este împuternicită să adopte acte delegate în conformitate cu articolul 15 pentru a completa prezentul regulament prin inițierea de raportări privind emisiile de poluanți relevanți provenite din una sau mai multe surse difuze, cu ajutorul, când este cazul, unor metodologii aprobate la nivel internațional.</w:t>
      </w:r>
    </w:p>
    <w:p w14:paraId="37FA72BD" w14:textId="77777777" w:rsidR="0053184D" w:rsidRPr="004C704C" w:rsidRDefault="0053184D" w:rsidP="005E5770">
      <w:pPr>
        <w:shd w:val="clear" w:color="auto" w:fill="FFFFFF"/>
        <w:spacing w:before="0" w:after="0"/>
        <w:jc w:val="center"/>
        <w:rPr>
          <w:rFonts w:eastAsia="Times New Roman"/>
          <w:i/>
          <w:iCs/>
          <w:noProof/>
          <w:color w:val="000000"/>
          <w:szCs w:val="24"/>
          <w:lang w:eastAsia="en-GB"/>
        </w:rPr>
      </w:pPr>
    </w:p>
    <w:p w14:paraId="1E109441" w14:textId="77777777" w:rsidR="00742E36" w:rsidRPr="004C704C" w:rsidRDefault="00742E36" w:rsidP="005E5770">
      <w:pPr>
        <w:shd w:val="clear" w:color="auto" w:fill="FFFFFF"/>
        <w:spacing w:before="0" w:after="0"/>
        <w:jc w:val="center"/>
        <w:rPr>
          <w:rFonts w:eastAsia="Times New Roman"/>
          <w:i/>
          <w:iCs/>
          <w:noProof/>
          <w:color w:val="000000"/>
          <w:szCs w:val="24"/>
          <w:lang w:eastAsia="en-GB"/>
        </w:rPr>
      </w:pPr>
    </w:p>
    <w:p w14:paraId="7D14420C"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8</w:t>
      </w:r>
    </w:p>
    <w:p w14:paraId="0D36CEA8"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Asigurarea și evaluarea calității</w:t>
      </w:r>
    </w:p>
    <w:p w14:paraId="0AA2C618" w14:textId="77777777" w:rsidR="005E5770" w:rsidRPr="004C704C" w:rsidRDefault="005E5770" w:rsidP="00422D16">
      <w:pPr>
        <w:shd w:val="clear" w:color="auto" w:fill="FFFFFF"/>
        <w:spacing w:before="0" w:after="0"/>
        <w:jc w:val="center"/>
        <w:rPr>
          <w:rFonts w:eastAsia="Times New Roman"/>
          <w:b/>
          <w:bCs/>
          <w:noProof/>
          <w:color w:val="000000"/>
          <w:szCs w:val="24"/>
          <w:lang w:eastAsia="en-GB"/>
        </w:rPr>
      </w:pPr>
    </w:p>
    <w:p w14:paraId="21965000" w14:textId="4B985394" w:rsidR="00EA2326" w:rsidRPr="004C704C" w:rsidRDefault="00537200" w:rsidP="00537200">
      <w:pPr>
        <w:pStyle w:val="ManualNumPar1"/>
        <w:rPr>
          <w:noProof/>
        </w:rPr>
      </w:pPr>
      <w:r w:rsidRPr="00537200">
        <w:t>1.</w:t>
      </w:r>
      <w:r w:rsidRPr="00537200">
        <w:tab/>
      </w:r>
      <w:r w:rsidR="005E5770" w:rsidRPr="004C704C">
        <w:rPr>
          <w:noProof/>
        </w:rPr>
        <w:t>Operatorii instalației supuse cerințelor de raportare prevăzute la articolul 5 asigură calitatea datelor pe care le raportează.</w:t>
      </w:r>
    </w:p>
    <w:p w14:paraId="1E87DC34" w14:textId="77777777" w:rsidR="00EA2326" w:rsidRPr="004C704C" w:rsidRDefault="00EA2326" w:rsidP="00C720D5">
      <w:pPr>
        <w:rPr>
          <w:noProof/>
          <w:lang w:eastAsia="en-GB"/>
        </w:rPr>
      </w:pPr>
    </w:p>
    <w:p w14:paraId="5D178650" w14:textId="723DE573" w:rsidR="005E5770" w:rsidRPr="004C704C" w:rsidRDefault="00537200" w:rsidP="00537200">
      <w:pPr>
        <w:pStyle w:val="ManualNumPar1"/>
        <w:rPr>
          <w:noProof/>
        </w:rPr>
      </w:pPr>
      <w:r w:rsidRPr="00537200">
        <w:t>2.</w:t>
      </w:r>
      <w:r w:rsidRPr="00537200">
        <w:tab/>
      </w:r>
      <w:r w:rsidR="005E5770" w:rsidRPr="004C704C">
        <w:rPr>
          <w:noProof/>
        </w:rPr>
        <w:t>Autoritățile competente evaluează calitatea datelor furnizate de operatorii instalațiilor menționate la alineatul (1), în special în ceea ce privește exactitatea, exhaustivitatea, coerența și credibilitatea acestora.</w:t>
      </w:r>
    </w:p>
    <w:p w14:paraId="6A889994" w14:textId="77777777" w:rsidR="005E5770" w:rsidRPr="004C704C" w:rsidRDefault="005E5770" w:rsidP="00422D16">
      <w:pPr>
        <w:spacing w:before="0" w:after="0"/>
        <w:ind w:left="720"/>
        <w:contextualSpacing/>
        <w:jc w:val="left"/>
        <w:rPr>
          <w:rFonts w:eastAsia="Times New Roman"/>
          <w:noProof/>
          <w:color w:val="000000"/>
          <w:szCs w:val="24"/>
          <w:lang w:eastAsia="en-GB"/>
        </w:rPr>
      </w:pPr>
    </w:p>
    <w:p w14:paraId="1578BFE6" w14:textId="77777777" w:rsidR="00265C71" w:rsidRPr="004C704C" w:rsidRDefault="00265C71" w:rsidP="00422D16">
      <w:pPr>
        <w:spacing w:before="0" w:after="0"/>
        <w:ind w:left="720"/>
        <w:contextualSpacing/>
        <w:jc w:val="left"/>
        <w:rPr>
          <w:rFonts w:eastAsia="Times New Roman"/>
          <w:noProof/>
          <w:color w:val="000000"/>
          <w:szCs w:val="24"/>
          <w:lang w:eastAsia="en-GB"/>
        </w:rPr>
      </w:pPr>
    </w:p>
    <w:p w14:paraId="54669B11" w14:textId="77777777" w:rsidR="005E5770" w:rsidRPr="004C704C" w:rsidRDefault="005E5770" w:rsidP="00422D16">
      <w:pPr>
        <w:shd w:val="clear" w:color="auto" w:fill="FFFFFF"/>
        <w:spacing w:before="0" w:after="0"/>
        <w:jc w:val="center"/>
        <w:rPr>
          <w:rFonts w:eastAsia="Times New Roman"/>
          <w:i/>
          <w:iCs/>
          <w:noProof/>
          <w:color w:val="000000"/>
          <w:szCs w:val="24"/>
        </w:rPr>
      </w:pPr>
      <w:r w:rsidRPr="004C704C">
        <w:rPr>
          <w:i/>
          <w:iCs/>
          <w:noProof/>
          <w:color w:val="000000"/>
          <w:szCs w:val="24"/>
        </w:rPr>
        <w:t>Articolul 9</w:t>
      </w:r>
    </w:p>
    <w:p w14:paraId="7F57C412"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Accesul la informații</w:t>
      </w:r>
    </w:p>
    <w:p w14:paraId="6509F221" w14:textId="77777777" w:rsidR="005E5770" w:rsidRPr="004C704C" w:rsidRDefault="005E5770" w:rsidP="00422D16">
      <w:pPr>
        <w:shd w:val="clear" w:color="auto" w:fill="FFFFFF"/>
        <w:spacing w:before="0" w:after="0"/>
        <w:jc w:val="center"/>
        <w:rPr>
          <w:rFonts w:eastAsia="Times New Roman"/>
          <w:b/>
          <w:bCs/>
          <w:noProof/>
          <w:color w:val="000000"/>
          <w:szCs w:val="24"/>
          <w:lang w:eastAsia="en-GB"/>
        </w:rPr>
      </w:pPr>
    </w:p>
    <w:p w14:paraId="499AC51D" w14:textId="4D452F8C" w:rsidR="005E5770" w:rsidRPr="004C704C" w:rsidRDefault="00537200" w:rsidP="00537200">
      <w:pPr>
        <w:pStyle w:val="ManualNumPar1"/>
        <w:rPr>
          <w:noProof/>
        </w:rPr>
      </w:pPr>
      <w:r w:rsidRPr="00537200">
        <w:t>1.</w:t>
      </w:r>
      <w:r w:rsidRPr="00537200">
        <w:tab/>
      </w:r>
      <w:r w:rsidR="005E5770" w:rsidRPr="004C704C">
        <w:rPr>
          <w:noProof/>
        </w:rPr>
        <w:t>Comisia, asistată de agenție, asigură accesul public și gratuit pe internet la datele de pe portal în termen de o lună de la finalizarea raportării de către statele membre în conformitate cu articolul 6 alineatul (1).</w:t>
      </w:r>
    </w:p>
    <w:p w14:paraId="5188BD4E" w14:textId="77777777" w:rsidR="005E5770" w:rsidRPr="004C704C" w:rsidRDefault="005E5770" w:rsidP="00C720D5">
      <w:pPr>
        <w:rPr>
          <w:noProof/>
          <w:lang w:eastAsia="en-GB"/>
        </w:rPr>
      </w:pPr>
    </w:p>
    <w:p w14:paraId="05D33607" w14:textId="6BC3B009" w:rsidR="005E5770" w:rsidRPr="004C704C" w:rsidRDefault="00537200" w:rsidP="00537200">
      <w:pPr>
        <w:pStyle w:val="ManualNumPar1"/>
        <w:rPr>
          <w:noProof/>
        </w:rPr>
      </w:pPr>
      <w:r w:rsidRPr="00537200">
        <w:t>2.</w:t>
      </w:r>
      <w:r w:rsidRPr="00537200">
        <w:tab/>
      </w:r>
      <w:r w:rsidR="005E5770" w:rsidRPr="004C704C">
        <w:rPr>
          <w:noProof/>
        </w:rPr>
        <w:t>În cazul în care datele de pe portal nu pot fi accesate ușor de public pe internet, statul membru în cauză și Comisia facilitează accesul electronic la portal în locuri publice.</w:t>
      </w:r>
    </w:p>
    <w:p w14:paraId="12CC521C" w14:textId="77777777" w:rsidR="005E5770" w:rsidRPr="004C704C" w:rsidRDefault="005E5770" w:rsidP="00C720D5">
      <w:pPr>
        <w:rPr>
          <w:noProof/>
          <w:lang w:eastAsia="en-GB"/>
        </w:rPr>
      </w:pPr>
    </w:p>
    <w:p w14:paraId="4376AC0D" w14:textId="53E3F891" w:rsidR="00ED6B63" w:rsidRPr="004C704C" w:rsidRDefault="00537200" w:rsidP="00537200">
      <w:pPr>
        <w:pStyle w:val="ManualNumPar1"/>
        <w:rPr>
          <w:noProof/>
        </w:rPr>
      </w:pPr>
      <w:r w:rsidRPr="00537200">
        <w:t>3.</w:t>
      </w:r>
      <w:r w:rsidRPr="00537200">
        <w:tab/>
      </w:r>
      <w:r w:rsidR="00B97488" w:rsidRPr="004C704C">
        <w:rPr>
          <w:noProof/>
        </w:rPr>
        <w:t xml:space="preserve">Fiecare stat membru pune la dispoziția publicului datele pe care le-a raportat în conformitate cu articolul 5 și, când există, datele pe care le-a raportat în conformitate cu articolul 7 alineatul (1), în mod continuu și gratuit și fără a acorda acces doar utilizatorilor înregistrați. </w:t>
      </w:r>
    </w:p>
    <w:p w14:paraId="3AB34B2F" w14:textId="77777777" w:rsidR="00742E36" w:rsidRPr="004C704C" w:rsidRDefault="00742E36" w:rsidP="00422D16">
      <w:pPr>
        <w:shd w:val="clear" w:color="auto" w:fill="FFFFFF"/>
        <w:spacing w:before="0" w:after="0"/>
        <w:jc w:val="center"/>
        <w:rPr>
          <w:rFonts w:eastAsia="Times New Roman"/>
          <w:i/>
          <w:iCs/>
          <w:noProof/>
          <w:color w:val="000000"/>
          <w:szCs w:val="24"/>
          <w:lang w:eastAsia="en-GB"/>
        </w:rPr>
      </w:pPr>
    </w:p>
    <w:p w14:paraId="0B582976" w14:textId="77777777" w:rsidR="00265C71" w:rsidRPr="004C704C" w:rsidRDefault="00265C71" w:rsidP="00422D16">
      <w:pPr>
        <w:shd w:val="clear" w:color="auto" w:fill="FFFFFF"/>
        <w:spacing w:before="0" w:after="0"/>
        <w:jc w:val="center"/>
        <w:rPr>
          <w:rFonts w:eastAsia="Times New Roman"/>
          <w:i/>
          <w:iCs/>
          <w:noProof/>
          <w:color w:val="000000"/>
          <w:szCs w:val="24"/>
          <w:lang w:eastAsia="en-GB"/>
        </w:rPr>
      </w:pPr>
    </w:p>
    <w:p w14:paraId="503B501C" w14:textId="77777777" w:rsidR="005E5770" w:rsidRPr="004C704C" w:rsidRDefault="005E5770" w:rsidP="00422D16">
      <w:pPr>
        <w:shd w:val="clear" w:color="auto" w:fill="FFFFFF"/>
        <w:spacing w:before="0" w:after="0"/>
        <w:jc w:val="center"/>
        <w:rPr>
          <w:rFonts w:eastAsia="Times New Roman"/>
          <w:i/>
          <w:iCs/>
          <w:noProof/>
          <w:color w:val="000000"/>
          <w:szCs w:val="24"/>
        </w:rPr>
      </w:pPr>
      <w:r w:rsidRPr="004C704C">
        <w:rPr>
          <w:i/>
          <w:iCs/>
          <w:noProof/>
          <w:color w:val="000000"/>
          <w:szCs w:val="24"/>
        </w:rPr>
        <w:t>Articolul 10</w:t>
      </w:r>
    </w:p>
    <w:p w14:paraId="0E7D1D83"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Confidențialitate</w:t>
      </w:r>
    </w:p>
    <w:p w14:paraId="70E1EE2C" w14:textId="77777777" w:rsidR="005E5770" w:rsidRPr="004C704C" w:rsidRDefault="005E5770" w:rsidP="00422D16">
      <w:pPr>
        <w:shd w:val="clear" w:color="auto" w:fill="FFFFFF"/>
        <w:spacing w:before="0" w:after="0"/>
        <w:rPr>
          <w:rFonts w:eastAsia="Times New Roman"/>
          <w:noProof/>
          <w:color w:val="000000"/>
          <w:szCs w:val="24"/>
          <w:lang w:eastAsia="en-GB"/>
        </w:rPr>
      </w:pPr>
    </w:p>
    <w:p w14:paraId="267B080B" w14:textId="77777777" w:rsidR="005E5770" w:rsidRPr="004C704C" w:rsidRDefault="005E5770" w:rsidP="00422D16">
      <w:pPr>
        <w:shd w:val="clear" w:color="auto" w:fill="FFFFFF"/>
        <w:spacing w:before="0" w:after="0"/>
        <w:rPr>
          <w:rFonts w:eastAsia="Times New Roman"/>
          <w:noProof/>
          <w:color w:val="000000"/>
          <w:szCs w:val="24"/>
        </w:rPr>
      </w:pPr>
      <w:r w:rsidRPr="004C704C">
        <w:rPr>
          <w:noProof/>
          <w:color w:val="000000"/>
          <w:szCs w:val="24"/>
        </w:rPr>
        <w:t>Când datele sunt considerate confidențiale de către un stat membru în conformitate cu articolul 4 alineatul (2) din Directiva 2003/4/CE, în raportul menționat la articolul 6 alineatul (2) din prezentul regulament pentru anul de referință în cauză se indică separat, pentru fiecare instalație, ce date nu pot fi făcute publice și se prezintă motivele pentru aceasta.</w:t>
      </w:r>
    </w:p>
    <w:p w14:paraId="58F063CA" w14:textId="77777777" w:rsidR="00742E36" w:rsidRPr="004C704C" w:rsidRDefault="00742E36" w:rsidP="00422D16">
      <w:pPr>
        <w:shd w:val="clear" w:color="auto" w:fill="FFFFFF"/>
        <w:spacing w:before="0" w:after="0"/>
        <w:jc w:val="center"/>
        <w:rPr>
          <w:rFonts w:eastAsia="Times New Roman"/>
          <w:i/>
          <w:iCs/>
          <w:noProof/>
          <w:color w:val="000000"/>
          <w:szCs w:val="24"/>
          <w:lang w:eastAsia="en-GB"/>
        </w:rPr>
      </w:pPr>
    </w:p>
    <w:p w14:paraId="19311566" w14:textId="77777777" w:rsidR="00265C71" w:rsidRPr="004C704C" w:rsidRDefault="00265C71" w:rsidP="00422D16">
      <w:pPr>
        <w:shd w:val="clear" w:color="auto" w:fill="FFFFFF"/>
        <w:spacing w:before="0" w:after="0"/>
        <w:jc w:val="center"/>
        <w:rPr>
          <w:rFonts w:eastAsia="Times New Roman"/>
          <w:i/>
          <w:iCs/>
          <w:noProof/>
          <w:color w:val="000000"/>
          <w:szCs w:val="24"/>
          <w:lang w:eastAsia="en-GB"/>
        </w:rPr>
      </w:pPr>
    </w:p>
    <w:p w14:paraId="0B0EBBCE" w14:textId="77777777" w:rsidR="005E5770" w:rsidRPr="004C704C" w:rsidRDefault="005E5770" w:rsidP="007C274E">
      <w:pPr>
        <w:keepNext/>
        <w:shd w:val="clear" w:color="auto" w:fill="FFFFFF"/>
        <w:spacing w:before="0" w:after="0"/>
        <w:jc w:val="center"/>
        <w:rPr>
          <w:rFonts w:eastAsia="Times New Roman"/>
          <w:i/>
          <w:iCs/>
          <w:noProof/>
          <w:color w:val="000000"/>
          <w:szCs w:val="24"/>
        </w:rPr>
      </w:pPr>
      <w:r w:rsidRPr="004C704C">
        <w:rPr>
          <w:i/>
          <w:iCs/>
          <w:noProof/>
          <w:color w:val="000000"/>
          <w:szCs w:val="24"/>
        </w:rPr>
        <w:t>Articolul 11</w:t>
      </w:r>
    </w:p>
    <w:p w14:paraId="4F4787D4"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Participarea publicului</w:t>
      </w:r>
    </w:p>
    <w:p w14:paraId="0632C07D" w14:textId="77777777" w:rsidR="005E5770" w:rsidRPr="004C704C" w:rsidRDefault="005E5770" w:rsidP="00422D16">
      <w:pPr>
        <w:shd w:val="clear" w:color="auto" w:fill="FFFFFF"/>
        <w:spacing w:before="0" w:after="0"/>
        <w:jc w:val="center"/>
        <w:rPr>
          <w:rFonts w:eastAsia="Times New Roman"/>
          <w:b/>
          <w:bCs/>
          <w:noProof/>
          <w:color w:val="000000"/>
          <w:szCs w:val="24"/>
          <w:lang w:eastAsia="en-GB"/>
        </w:rPr>
      </w:pPr>
    </w:p>
    <w:p w14:paraId="640F212C" w14:textId="586FCBA2" w:rsidR="005E5770" w:rsidRPr="004C704C" w:rsidRDefault="00537200" w:rsidP="00537200">
      <w:pPr>
        <w:pStyle w:val="ManualNumPar1"/>
        <w:rPr>
          <w:noProof/>
        </w:rPr>
      </w:pPr>
      <w:r w:rsidRPr="00537200">
        <w:t>1.</w:t>
      </w:r>
      <w:r w:rsidRPr="00537200">
        <w:tab/>
      </w:r>
      <w:r w:rsidR="005E5770" w:rsidRPr="004C704C">
        <w:rPr>
          <w:noProof/>
        </w:rPr>
        <w:t>Comisia asigură din timp publicului posibilități efective de participare la dezvoltarea ulterioară a portalului, inclusiv la consolidarea capacităților și la elaborarea de modificări la prezentul regulament.</w:t>
      </w:r>
    </w:p>
    <w:p w14:paraId="337883CE" w14:textId="77777777" w:rsidR="005E5770" w:rsidRPr="004C704C" w:rsidRDefault="005E5770" w:rsidP="00C720D5">
      <w:pPr>
        <w:rPr>
          <w:noProof/>
          <w:lang w:eastAsia="en-GB"/>
        </w:rPr>
      </w:pPr>
    </w:p>
    <w:p w14:paraId="3165421D" w14:textId="6EEEC105" w:rsidR="005E5770" w:rsidRPr="004C704C" w:rsidRDefault="00537200" w:rsidP="00537200">
      <w:pPr>
        <w:pStyle w:val="ManualNumPar1"/>
        <w:rPr>
          <w:noProof/>
        </w:rPr>
      </w:pPr>
      <w:r w:rsidRPr="00537200">
        <w:t>2.</w:t>
      </w:r>
      <w:r w:rsidRPr="00537200">
        <w:tab/>
      </w:r>
      <w:r w:rsidR="005E5770" w:rsidRPr="004C704C">
        <w:rPr>
          <w:noProof/>
        </w:rPr>
        <w:t>Publicul are posibilitatea de a prezenta observații, informații, analize și opinii într-un termen rezonabil.</w:t>
      </w:r>
    </w:p>
    <w:p w14:paraId="14A628EE" w14:textId="77777777" w:rsidR="005E5770" w:rsidRPr="004C704C" w:rsidRDefault="005E5770" w:rsidP="00C720D5">
      <w:pPr>
        <w:rPr>
          <w:noProof/>
          <w:lang w:eastAsia="en-GB"/>
        </w:rPr>
      </w:pPr>
    </w:p>
    <w:p w14:paraId="457CF67F" w14:textId="53EE1028" w:rsidR="005E5770" w:rsidRPr="004C704C" w:rsidRDefault="00537200" w:rsidP="00537200">
      <w:pPr>
        <w:pStyle w:val="ManualNumPar1"/>
        <w:rPr>
          <w:noProof/>
        </w:rPr>
      </w:pPr>
      <w:r w:rsidRPr="00537200">
        <w:t>3.</w:t>
      </w:r>
      <w:r w:rsidRPr="00537200">
        <w:tab/>
      </w:r>
      <w:r w:rsidR="005E5770" w:rsidRPr="004C704C">
        <w:rPr>
          <w:noProof/>
        </w:rPr>
        <w:t>Comisia ține seama de aceste contribuții și informează publicul despre rezultatul participării sale.</w:t>
      </w:r>
    </w:p>
    <w:p w14:paraId="66093D47" w14:textId="77777777" w:rsidR="009B684A" w:rsidRPr="004C704C" w:rsidRDefault="009B684A" w:rsidP="005E5770">
      <w:pPr>
        <w:shd w:val="clear" w:color="auto" w:fill="FFFFFF"/>
        <w:spacing w:before="0" w:after="0"/>
        <w:jc w:val="center"/>
        <w:rPr>
          <w:rFonts w:eastAsia="Times New Roman"/>
          <w:i/>
          <w:iCs/>
          <w:noProof/>
          <w:color w:val="000000"/>
          <w:szCs w:val="24"/>
          <w:lang w:eastAsia="en-GB"/>
        </w:rPr>
      </w:pPr>
    </w:p>
    <w:p w14:paraId="0B80B027" w14:textId="77777777" w:rsidR="00625B6A" w:rsidRPr="004C704C" w:rsidRDefault="00625B6A" w:rsidP="005E5770">
      <w:pPr>
        <w:shd w:val="clear" w:color="auto" w:fill="FFFFFF"/>
        <w:spacing w:before="0" w:after="0"/>
        <w:jc w:val="center"/>
        <w:rPr>
          <w:rFonts w:eastAsia="Times New Roman"/>
          <w:i/>
          <w:iCs/>
          <w:noProof/>
          <w:color w:val="000000"/>
          <w:szCs w:val="24"/>
          <w:lang w:eastAsia="en-GB"/>
        </w:rPr>
      </w:pPr>
    </w:p>
    <w:p w14:paraId="62F27619"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12</w:t>
      </w:r>
    </w:p>
    <w:p w14:paraId="0AA98430"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Ghiduri</w:t>
      </w:r>
    </w:p>
    <w:p w14:paraId="2440D684"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66725ED1" w14:textId="77777777" w:rsidR="005E5770" w:rsidRPr="004C704C" w:rsidRDefault="005E5770" w:rsidP="00C40A4C">
      <w:pPr>
        <w:shd w:val="clear" w:color="auto" w:fill="FFFFFF"/>
        <w:spacing w:before="0" w:after="0" w:line="276" w:lineRule="auto"/>
        <w:contextualSpacing/>
        <w:rPr>
          <w:rFonts w:eastAsia="Times New Roman"/>
          <w:noProof/>
          <w:color w:val="000000"/>
          <w:szCs w:val="24"/>
        </w:rPr>
      </w:pPr>
      <w:r w:rsidRPr="004C704C">
        <w:rPr>
          <w:noProof/>
          <w:color w:val="000000"/>
          <w:szCs w:val="24"/>
        </w:rPr>
        <w:t>Comisia, asistată de agenție, elaborează ghiduri în sprijinul punerii în aplicare a prezentului regulament, pe care le actualizează periodic și în care abordează</w:t>
      </w:r>
      <w:r w:rsidRPr="004C704C">
        <w:rPr>
          <w:noProof/>
        </w:rPr>
        <w:t xml:space="preserve"> cel puțin următoarele aspecte: </w:t>
      </w:r>
    </w:p>
    <w:p w14:paraId="4CAC6219" w14:textId="77777777" w:rsidR="005E5770" w:rsidRPr="004C704C" w:rsidRDefault="005E5770" w:rsidP="00C40A4C">
      <w:pPr>
        <w:spacing w:before="0" w:after="0" w:line="276" w:lineRule="auto"/>
        <w:ind w:left="720"/>
        <w:contextualSpacing/>
        <w:rPr>
          <w:noProof/>
          <w:szCs w:val="24"/>
        </w:rPr>
      </w:pPr>
    </w:p>
    <w:p w14:paraId="0C3C41AF" w14:textId="77777777" w:rsidR="005E5770" w:rsidRPr="004C704C" w:rsidRDefault="005E5770" w:rsidP="00A54A31">
      <w:pPr>
        <w:pStyle w:val="ListNumberLevel2"/>
        <w:numPr>
          <w:ilvl w:val="1"/>
          <w:numId w:val="22"/>
        </w:numPr>
        <w:rPr>
          <w:noProof/>
        </w:rPr>
      </w:pPr>
      <w:r w:rsidRPr="004C704C">
        <w:rPr>
          <w:noProof/>
        </w:rPr>
        <w:t>procedurile de raportare;</w:t>
      </w:r>
    </w:p>
    <w:p w14:paraId="7EB09FED" w14:textId="77777777" w:rsidR="005E5770" w:rsidRPr="004C704C" w:rsidRDefault="005E5770" w:rsidP="00E663B7">
      <w:pPr>
        <w:pStyle w:val="ListNumberLevel2"/>
        <w:rPr>
          <w:noProof/>
        </w:rPr>
      </w:pPr>
      <w:r w:rsidRPr="004C704C">
        <w:rPr>
          <w:noProof/>
        </w:rPr>
        <w:t xml:space="preserve">datele care trebuie raportate; </w:t>
      </w:r>
    </w:p>
    <w:p w14:paraId="58F440A1" w14:textId="77777777" w:rsidR="005E5770" w:rsidRPr="004C704C" w:rsidRDefault="005E5770" w:rsidP="00E663B7">
      <w:pPr>
        <w:pStyle w:val="ListNumberLevel2"/>
        <w:rPr>
          <w:noProof/>
        </w:rPr>
      </w:pPr>
      <w:r w:rsidRPr="004C704C">
        <w:rPr>
          <w:noProof/>
        </w:rPr>
        <w:t xml:space="preserve">asigurarea și evaluarea calității; </w:t>
      </w:r>
    </w:p>
    <w:p w14:paraId="2D60524E" w14:textId="77777777" w:rsidR="005E5770" w:rsidRPr="004C704C" w:rsidRDefault="005E5770" w:rsidP="00E663B7">
      <w:pPr>
        <w:pStyle w:val="ListNumberLevel2"/>
        <w:rPr>
          <w:noProof/>
        </w:rPr>
      </w:pPr>
      <w:r w:rsidRPr="004C704C">
        <w:rPr>
          <w:noProof/>
        </w:rPr>
        <w:t xml:space="preserve">precizarea tipului de date nedivulgate și motivele nedivulgării în cazul datelor confidențiale; </w:t>
      </w:r>
    </w:p>
    <w:p w14:paraId="634250CD" w14:textId="77777777" w:rsidR="005E5770" w:rsidRPr="004C704C" w:rsidRDefault="005E5770" w:rsidP="00E663B7">
      <w:pPr>
        <w:pStyle w:val="ListNumberLevel2"/>
        <w:rPr>
          <w:noProof/>
        </w:rPr>
      </w:pPr>
      <w:r w:rsidRPr="004C704C">
        <w:rPr>
          <w:noProof/>
        </w:rPr>
        <w:t xml:space="preserve">trimiterea la metode aprobate la nivel internațional pentru determinarea, analizarea și eșantionarea emisiilor; </w:t>
      </w:r>
    </w:p>
    <w:p w14:paraId="0222B9D8" w14:textId="77777777" w:rsidR="005E5770" w:rsidRPr="004C704C" w:rsidRDefault="005E5770" w:rsidP="00E663B7">
      <w:pPr>
        <w:pStyle w:val="ListNumberLevel2"/>
        <w:rPr>
          <w:noProof/>
        </w:rPr>
      </w:pPr>
      <w:r w:rsidRPr="004C704C">
        <w:rPr>
          <w:noProof/>
        </w:rPr>
        <w:t xml:space="preserve">indicarea societăților-mamă. </w:t>
      </w:r>
    </w:p>
    <w:p w14:paraId="09404021" w14:textId="77777777" w:rsidR="00265C71" w:rsidRPr="004C704C" w:rsidRDefault="00265C71" w:rsidP="005E5770">
      <w:pPr>
        <w:spacing w:before="0" w:after="200" w:line="276" w:lineRule="auto"/>
        <w:ind w:left="720"/>
        <w:contextualSpacing/>
        <w:jc w:val="left"/>
        <w:rPr>
          <w:noProof/>
          <w:szCs w:val="24"/>
        </w:rPr>
      </w:pPr>
    </w:p>
    <w:p w14:paraId="00E8EF5C"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13</w:t>
      </w:r>
    </w:p>
    <w:p w14:paraId="03335DD4"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Sensibilizare</w:t>
      </w:r>
    </w:p>
    <w:p w14:paraId="64A34830" w14:textId="77777777" w:rsidR="005E5770" w:rsidRPr="004C704C" w:rsidRDefault="005E5770" w:rsidP="005E5770">
      <w:pPr>
        <w:shd w:val="clear" w:color="auto" w:fill="FFFFFF"/>
        <w:spacing w:before="0" w:after="0"/>
        <w:rPr>
          <w:rFonts w:eastAsia="Times New Roman"/>
          <w:noProof/>
          <w:color w:val="000000"/>
          <w:szCs w:val="24"/>
          <w:lang w:eastAsia="en-GB"/>
        </w:rPr>
      </w:pPr>
    </w:p>
    <w:p w14:paraId="67154462" w14:textId="77777777" w:rsidR="005E5770" w:rsidRPr="004C704C" w:rsidRDefault="00AC00B6" w:rsidP="005E5770">
      <w:pPr>
        <w:shd w:val="clear" w:color="auto" w:fill="FFFFFF"/>
        <w:spacing w:before="0" w:after="0"/>
        <w:rPr>
          <w:rFonts w:eastAsia="Times New Roman"/>
          <w:noProof/>
          <w:color w:val="000000"/>
          <w:szCs w:val="24"/>
        </w:rPr>
      </w:pPr>
      <w:r w:rsidRPr="004C704C">
        <w:rPr>
          <w:noProof/>
          <w:color w:val="000000"/>
          <w:szCs w:val="24"/>
        </w:rPr>
        <w:t>Statele membre și Comisia promovează sensibilizarea publicului cu privire la portal, precum și înțelegerea și utilizarea datelor pe care le conține acesta.</w:t>
      </w:r>
    </w:p>
    <w:p w14:paraId="35ED5BF0" w14:textId="77777777" w:rsidR="005E5770" w:rsidRPr="004C704C" w:rsidRDefault="005E5770" w:rsidP="005E5770">
      <w:pPr>
        <w:shd w:val="clear" w:color="auto" w:fill="FFFFFF"/>
        <w:spacing w:before="0" w:after="0"/>
        <w:jc w:val="center"/>
        <w:rPr>
          <w:rFonts w:eastAsia="Times New Roman"/>
          <w:i/>
          <w:iCs/>
          <w:noProof/>
          <w:color w:val="000000"/>
          <w:szCs w:val="24"/>
          <w:lang w:eastAsia="en-GB"/>
        </w:rPr>
      </w:pPr>
    </w:p>
    <w:p w14:paraId="6DECD516" w14:textId="77777777" w:rsidR="00265C71" w:rsidRPr="004C704C" w:rsidRDefault="00265C71" w:rsidP="005E5770">
      <w:pPr>
        <w:shd w:val="clear" w:color="auto" w:fill="FFFFFF"/>
        <w:spacing w:before="0" w:after="0"/>
        <w:jc w:val="center"/>
        <w:rPr>
          <w:rFonts w:eastAsia="Times New Roman"/>
          <w:i/>
          <w:iCs/>
          <w:noProof/>
          <w:color w:val="000000"/>
          <w:szCs w:val="24"/>
          <w:lang w:eastAsia="en-GB"/>
        </w:rPr>
      </w:pPr>
    </w:p>
    <w:p w14:paraId="31B79119" w14:textId="77777777" w:rsidR="005E5770" w:rsidRPr="004C704C" w:rsidRDefault="005E5770" w:rsidP="005E5770">
      <w:pPr>
        <w:shd w:val="clear" w:color="auto" w:fill="FFFFFF"/>
        <w:spacing w:before="0" w:after="0"/>
        <w:jc w:val="center"/>
        <w:rPr>
          <w:rFonts w:eastAsia="Times New Roman"/>
          <w:i/>
          <w:iCs/>
          <w:noProof/>
          <w:color w:val="000000"/>
          <w:szCs w:val="24"/>
        </w:rPr>
      </w:pPr>
      <w:r w:rsidRPr="004C704C">
        <w:rPr>
          <w:i/>
          <w:iCs/>
          <w:noProof/>
          <w:color w:val="000000"/>
          <w:szCs w:val="24"/>
        </w:rPr>
        <w:t>Articolul 14</w:t>
      </w:r>
    </w:p>
    <w:p w14:paraId="6A463955"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Modificări ale anexelor</w:t>
      </w:r>
    </w:p>
    <w:p w14:paraId="23125623" w14:textId="77777777" w:rsidR="005E5770" w:rsidRPr="004C704C" w:rsidRDefault="005E5770" w:rsidP="005E5770">
      <w:pPr>
        <w:shd w:val="clear" w:color="auto" w:fill="FFFFFF"/>
        <w:spacing w:before="0" w:after="0"/>
        <w:jc w:val="center"/>
        <w:rPr>
          <w:rFonts w:eastAsia="Times New Roman"/>
          <w:b/>
          <w:bCs/>
          <w:noProof/>
          <w:color w:val="000000"/>
          <w:szCs w:val="24"/>
          <w:lang w:eastAsia="en-GB"/>
        </w:rPr>
      </w:pPr>
    </w:p>
    <w:p w14:paraId="117F318B" w14:textId="05602167" w:rsidR="002528D9" w:rsidRPr="004C704C" w:rsidRDefault="00537200" w:rsidP="00537200">
      <w:pPr>
        <w:pStyle w:val="ManualNumPar1"/>
        <w:rPr>
          <w:noProof/>
        </w:rPr>
      </w:pPr>
      <w:r w:rsidRPr="00537200">
        <w:t>1.</w:t>
      </w:r>
      <w:r w:rsidRPr="00537200">
        <w:tab/>
      </w:r>
      <w:r w:rsidR="002528D9" w:rsidRPr="004C704C">
        <w:rPr>
          <w:noProof/>
        </w:rPr>
        <w:t>Comisia este împuternicită să adopte acte delegate în conformitate cu articolul 15 pentru a modifica anexa I în unul sau mai multe dintre următoarele scopuri:</w:t>
      </w:r>
    </w:p>
    <w:p w14:paraId="579C5725" w14:textId="77777777" w:rsidR="002528D9" w:rsidRPr="004C704C" w:rsidRDefault="002528D9" w:rsidP="00C40A4C">
      <w:pPr>
        <w:spacing w:before="0" w:after="0" w:line="276" w:lineRule="auto"/>
        <w:ind w:left="567"/>
        <w:contextualSpacing/>
        <w:rPr>
          <w:noProof/>
          <w:szCs w:val="24"/>
        </w:rPr>
      </w:pPr>
    </w:p>
    <w:p w14:paraId="23C80261" w14:textId="77777777" w:rsidR="002528D9" w:rsidRPr="004C704C" w:rsidRDefault="002528D9" w:rsidP="00A54A31">
      <w:pPr>
        <w:pStyle w:val="ListNumberLevel2"/>
        <w:numPr>
          <w:ilvl w:val="1"/>
          <w:numId w:val="23"/>
        </w:numPr>
        <w:rPr>
          <w:noProof/>
        </w:rPr>
      </w:pPr>
      <w:r w:rsidRPr="004C704C">
        <w:rPr>
          <w:noProof/>
        </w:rPr>
        <w:t>pentru adăugarea unei activități industriale sau agricole care are sau se preconizează că va avea impact asupra sănătății sau a mediului ca urmare a emisiilor sale de poluanți, a transferurilor sale de deșeuri sau de ape uzate sau a utilizării de resurse; emisiile sau transferurile peste pragurile de raportare respective, astfel cum sunt prevăzute la articolul 5 alineatul (1) litera (b) și în anexa II, vor fi un factor principal în determinarea impactului asupra sănătății sau a mediului;</w:t>
      </w:r>
    </w:p>
    <w:p w14:paraId="4B101835" w14:textId="32421E73" w:rsidR="002528D9" w:rsidRPr="004C704C" w:rsidRDefault="002528D9" w:rsidP="00E663B7">
      <w:pPr>
        <w:pStyle w:val="ListNumberLevel2"/>
        <w:rPr>
          <w:noProof/>
        </w:rPr>
      </w:pPr>
      <w:r w:rsidRPr="004C704C">
        <w:rPr>
          <w:noProof/>
        </w:rPr>
        <w:t>pentru alinierea acesteia la protocol în urma adoptării de modificări ale anexelor la acesta.</w:t>
      </w:r>
      <w:r w:rsidR="003D1459">
        <w:rPr>
          <w:noProof/>
        </w:rPr>
        <w:t xml:space="preserve"> </w:t>
      </w:r>
    </w:p>
    <w:p w14:paraId="437D8258" w14:textId="77777777" w:rsidR="00E663B7" w:rsidRPr="004C704C" w:rsidRDefault="00E663B7" w:rsidP="00C720D5">
      <w:pPr>
        <w:rPr>
          <w:noProof/>
        </w:rPr>
      </w:pPr>
    </w:p>
    <w:p w14:paraId="40FE42AF" w14:textId="089CE093" w:rsidR="005E5770" w:rsidRPr="004C704C" w:rsidRDefault="00537200" w:rsidP="00537200">
      <w:pPr>
        <w:pStyle w:val="ManualNumPar1"/>
        <w:rPr>
          <w:noProof/>
        </w:rPr>
      </w:pPr>
      <w:r w:rsidRPr="00537200">
        <w:t>2.</w:t>
      </w:r>
      <w:r w:rsidRPr="00537200">
        <w:tab/>
      </w:r>
      <w:r w:rsidR="005E5770" w:rsidRPr="004C704C">
        <w:rPr>
          <w:noProof/>
        </w:rPr>
        <w:t>Comisia este împuternicită să adopte acte delegate în conformitate cu articolul 15 pentru a modifica anexa II în unul sau mai multe dintre următoarele scopuri:</w:t>
      </w:r>
    </w:p>
    <w:p w14:paraId="75510FCF" w14:textId="77777777" w:rsidR="005E5770" w:rsidRPr="004C704C" w:rsidRDefault="005E5770" w:rsidP="00C40A4C">
      <w:pPr>
        <w:spacing w:before="0" w:after="0"/>
        <w:ind w:left="1146"/>
        <w:contextualSpacing/>
        <w:rPr>
          <w:noProof/>
          <w:szCs w:val="24"/>
        </w:rPr>
      </w:pPr>
    </w:p>
    <w:p w14:paraId="41D8690B" w14:textId="77777777" w:rsidR="005E5770" w:rsidRPr="004C704C" w:rsidRDefault="005E5770" w:rsidP="00A54A31">
      <w:pPr>
        <w:pStyle w:val="ListNumberLevel2"/>
        <w:numPr>
          <w:ilvl w:val="1"/>
          <w:numId w:val="24"/>
        </w:numPr>
        <w:rPr>
          <w:noProof/>
        </w:rPr>
      </w:pPr>
      <w:r w:rsidRPr="004C704C">
        <w:rPr>
          <w:noProof/>
        </w:rPr>
        <w:t xml:space="preserve">pentru adaptarea acesteia la progresele științifice sau tehnice; </w:t>
      </w:r>
    </w:p>
    <w:p w14:paraId="264293C1" w14:textId="77777777" w:rsidR="005D18CE" w:rsidRPr="004C704C" w:rsidRDefault="005E5770" w:rsidP="00A54A31">
      <w:pPr>
        <w:pStyle w:val="ListNumberLevel2"/>
        <w:numPr>
          <w:ilvl w:val="1"/>
          <w:numId w:val="24"/>
        </w:numPr>
        <w:rPr>
          <w:noProof/>
        </w:rPr>
      </w:pPr>
      <w:r w:rsidRPr="004C704C">
        <w:rPr>
          <w:noProof/>
        </w:rPr>
        <w:t>pentru adăugarea de poluanți ale căror emisii în aer, apă și sol au sau ar putea avea un efect dăunător asupra mediului sau a sănătății umane, inclusiv de poluanți care sunt emiși în urma activităților menționate în anexa I la prezentul regulament și care îndeplinesc una dintre următoarele condiții:</w:t>
      </w:r>
    </w:p>
    <w:p w14:paraId="632B14E6" w14:textId="77777777" w:rsidR="00FB5661" w:rsidRPr="004C704C" w:rsidRDefault="00FB5661" w:rsidP="00C40A4C">
      <w:pPr>
        <w:pStyle w:val="Text1"/>
        <w:ind w:left="1440"/>
        <w:rPr>
          <w:noProof/>
        </w:rPr>
      </w:pPr>
      <w:r w:rsidRPr="004C704C">
        <w:rPr>
          <w:noProof/>
        </w:rPr>
        <w:t>(i)</w:t>
      </w:r>
      <w:r w:rsidRPr="004C704C">
        <w:rPr>
          <w:noProof/>
        </w:rPr>
        <w:tab/>
        <w:t>sunt desemnați drept substanțe care prezintă motive de îngrijorare deosebită în anexa XIV la Regulamentul (CE) nr. 1907/2006;</w:t>
      </w:r>
    </w:p>
    <w:p w14:paraId="06CDA7D4" w14:textId="2B1DB77A" w:rsidR="00FB5661" w:rsidRPr="004C704C" w:rsidRDefault="00FB5661" w:rsidP="00C40A4C">
      <w:pPr>
        <w:pStyle w:val="Text1"/>
        <w:ind w:left="1440"/>
        <w:rPr>
          <w:noProof/>
        </w:rPr>
      </w:pPr>
      <w:r w:rsidRPr="004C704C">
        <w:rPr>
          <w:noProof/>
        </w:rPr>
        <w:t>(ii) sunt desemnați drept substanțe prioritare în Directiva 2000/60/CE sau</w:t>
      </w:r>
      <w:r w:rsidR="003D1459">
        <w:rPr>
          <w:noProof/>
        </w:rPr>
        <w:t xml:space="preserve"> </w:t>
      </w:r>
      <w:r w:rsidRPr="004C704C">
        <w:rPr>
          <w:noProof/>
        </w:rPr>
        <w:t>Directiva 2008/105/CE;</w:t>
      </w:r>
    </w:p>
    <w:p w14:paraId="1AAC358D" w14:textId="181086B8" w:rsidR="00FB5661" w:rsidRPr="004C704C" w:rsidRDefault="004572BD" w:rsidP="00C40A4C">
      <w:pPr>
        <w:pStyle w:val="Text1"/>
        <w:ind w:left="1440"/>
        <w:rPr>
          <w:noProof/>
        </w:rPr>
      </w:pPr>
      <w:r w:rsidRPr="004C704C">
        <w:rPr>
          <w:noProof/>
        </w:rPr>
        <w:t>(iii) sunt incluși în listele de supraveghere stabilite în cadrul Directivei</w:t>
      </w:r>
      <w:r w:rsidR="007C274E">
        <w:rPr>
          <w:noProof/>
        </w:rPr>
        <w:t> </w:t>
      </w:r>
      <w:r w:rsidRPr="004C704C">
        <w:rPr>
          <w:noProof/>
        </w:rPr>
        <w:t>2006/118/CE sau al Directivei 2008/105/CE;</w:t>
      </w:r>
    </w:p>
    <w:p w14:paraId="5B8F2B47" w14:textId="557B4175" w:rsidR="005E5770" w:rsidRPr="004C704C" w:rsidRDefault="004572BD" w:rsidP="00C40A4C">
      <w:pPr>
        <w:pStyle w:val="Text1"/>
        <w:ind w:left="1440"/>
        <w:rPr>
          <w:rFonts w:cstheme="minorBidi"/>
          <w:noProof/>
        </w:rPr>
      </w:pPr>
      <w:r w:rsidRPr="004C704C">
        <w:rPr>
          <w:noProof/>
        </w:rPr>
        <w:t>(iv) fac obiectul unor valori-limită sau al altor restricții în temeiul Directivei</w:t>
      </w:r>
      <w:r w:rsidR="007C274E">
        <w:rPr>
          <w:noProof/>
        </w:rPr>
        <w:t> </w:t>
      </w:r>
      <w:r w:rsidRPr="004C704C">
        <w:rPr>
          <w:noProof/>
        </w:rPr>
        <w:t>2008/50/CE, al Directivei 2004/107/CE sau al Directivei</w:t>
      </w:r>
      <w:r w:rsidR="007C274E">
        <w:rPr>
          <w:noProof/>
        </w:rPr>
        <w:t> </w:t>
      </w:r>
      <w:r w:rsidRPr="004C704C">
        <w:rPr>
          <w:noProof/>
        </w:rPr>
        <w:t xml:space="preserve">2006/118/CE; </w:t>
      </w:r>
    </w:p>
    <w:p w14:paraId="1E7C2075" w14:textId="77777777" w:rsidR="005E5770" w:rsidRPr="004C704C" w:rsidRDefault="005E5770" w:rsidP="00E663B7">
      <w:pPr>
        <w:pStyle w:val="ListNumberLevel2"/>
        <w:rPr>
          <w:noProof/>
        </w:rPr>
      </w:pPr>
      <w:r w:rsidRPr="004C704C">
        <w:rPr>
          <w:noProof/>
        </w:rPr>
        <w:t>pentru stabilirea și actualizarea pragurilor de emisii, astfel încât să se atingă obiectivul de raportare a cel puțin 90 % din emisiile fiecărui poluant în aer, apă și sol care sunt generate de activitățile menționate în anexa I; pentru includerea de praguri cu valoarea zero pentru substanțele care prezintă un pericol deosebit de ridicat pentru mediu sau sănătatea umană;</w:t>
      </w:r>
    </w:p>
    <w:p w14:paraId="1AF5DDEE" w14:textId="77777777" w:rsidR="005E5770" w:rsidRPr="004C704C" w:rsidRDefault="005E5770" w:rsidP="00E663B7">
      <w:pPr>
        <w:pStyle w:val="ListNumberLevel2"/>
        <w:rPr>
          <w:noProof/>
        </w:rPr>
      </w:pPr>
      <w:r w:rsidRPr="004C704C">
        <w:rPr>
          <w:noProof/>
        </w:rPr>
        <w:t xml:space="preserve">pentru alinierea acesteia la protocol în urma adoptării de modificări ale anexelor la acesta. </w:t>
      </w:r>
    </w:p>
    <w:p w14:paraId="654FBA7E" w14:textId="77777777" w:rsidR="005E5770" w:rsidRPr="004C704C" w:rsidRDefault="005E5770" w:rsidP="003515A5">
      <w:pPr>
        <w:shd w:val="clear" w:color="auto" w:fill="FFFFFF"/>
        <w:tabs>
          <w:tab w:val="left" w:pos="3683"/>
        </w:tabs>
        <w:spacing w:before="0" w:after="0"/>
        <w:rPr>
          <w:rFonts w:eastAsia="Times New Roman"/>
          <w:i/>
          <w:iCs/>
          <w:noProof/>
          <w:color w:val="000000"/>
          <w:szCs w:val="24"/>
          <w:lang w:eastAsia="en-GB"/>
        </w:rPr>
      </w:pPr>
    </w:p>
    <w:p w14:paraId="3EB2551B" w14:textId="77777777" w:rsidR="00C42BA0" w:rsidRPr="004C704C" w:rsidRDefault="00C42BA0" w:rsidP="003515A5">
      <w:pPr>
        <w:shd w:val="clear" w:color="auto" w:fill="FFFFFF"/>
        <w:tabs>
          <w:tab w:val="left" w:pos="3683"/>
        </w:tabs>
        <w:spacing w:before="0" w:after="0"/>
        <w:rPr>
          <w:rFonts w:eastAsia="Times New Roman"/>
          <w:i/>
          <w:iCs/>
          <w:noProof/>
          <w:color w:val="000000"/>
          <w:szCs w:val="24"/>
          <w:lang w:eastAsia="en-GB"/>
        </w:rPr>
      </w:pPr>
    </w:p>
    <w:p w14:paraId="5A77C4C6" w14:textId="77777777" w:rsidR="005E5770" w:rsidRPr="004C704C" w:rsidRDefault="005E5770" w:rsidP="005E5770">
      <w:pPr>
        <w:shd w:val="clear" w:color="auto" w:fill="FFFFFF"/>
        <w:tabs>
          <w:tab w:val="left" w:pos="3683"/>
        </w:tabs>
        <w:spacing w:before="0" w:after="0"/>
        <w:jc w:val="center"/>
        <w:rPr>
          <w:rFonts w:eastAsia="Times New Roman"/>
          <w:i/>
          <w:iCs/>
          <w:noProof/>
          <w:color w:val="000000"/>
          <w:szCs w:val="24"/>
        </w:rPr>
      </w:pPr>
      <w:r w:rsidRPr="004C704C">
        <w:rPr>
          <w:i/>
          <w:iCs/>
          <w:noProof/>
          <w:color w:val="000000"/>
          <w:szCs w:val="24"/>
        </w:rPr>
        <w:t>Articolul 15</w:t>
      </w:r>
    </w:p>
    <w:p w14:paraId="3FC4C336" w14:textId="77777777" w:rsidR="005E5770" w:rsidRPr="004C704C" w:rsidRDefault="005E5770" w:rsidP="005E5770">
      <w:pPr>
        <w:shd w:val="clear" w:color="auto" w:fill="FFFFFF"/>
        <w:spacing w:before="0" w:after="0"/>
        <w:jc w:val="center"/>
        <w:rPr>
          <w:rFonts w:eastAsia="Times New Roman"/>
          <w:b/>
          <w:bCs/>
          <w:noProof/>
          <w:color w:val="000000"/>
          <w:szCs w:val="24"/>
        </w:rPr>
      </w:pPr>
      <w:r w:rsidRPr="004C704C">
        <w:rPr>
          <w:b/>
          <w:bCs/>
          <w:noProof/>
          <w:color w:val="000000"/>
          <w:szCs w:val="24"/>
        </w:rPr>
        <w:t>Exercitarea delegării</w:t>
      </w:r>
    </w:p>
    <w:p w14:paraId="7A81BBF1" w14:textId="77777777" w:rsidR="005E5770" w:rsidRPr="004C704C" w:rsidRDefault="005E5770" w:rsidP="0041027F">
      <w:pPr>
        <w:shd w:val="clear" w:color="auto" w:fill="FFFFFF"/>
        <w:spacing w:before="0" w:after="0"/>
        <w:rPr>
          <w:rFonts w:eastAsia="Times New Roman"/>
          <w:noProof/>
          <w:color w:val="000000"/>
          <w:szCs w:val="24"/>
          <w:lang w:eastAsia="en-GB"/>
        </w:rPr>
      </w:pPr>
    </w:p>
    <w:p w14:paraId="5E13F7C6" w14:textId="281D56EF" w:rsidR="0041027F" w:rsidRPr="004C704C" w:rsidRDefault="00537200" w:rsidP="00537200">
      <w:pPr>
        <w:pStyle w:val="ManualNumPar1"/>
        <w:rPr>
          <w:noProof/>
        </w:rPr>
      </w:pPr>
      <w:r w:rsidRPr="00537200">
        <w:t>1.</w:t>
      </w:r>
      <w:r w:rsidRPr="00537200">
        <w:tab/>
      </w:r>
      <w:r w:rsidR="005E5770" w:rsidRPr="004C704C">
        <w:rPr>
          <w:noProof/>
        </w:rPr>
        <w:t>Competența de a adopta acte delegate se conferă Comisiei în condițiile prevăzute la prezentul articol.</w:t>
      </w:r>
    </w:p>
    <w:p w14:paraId="3F153E12" w14:textId="77777777" w:rsidR="0041027F" w:rsidRPr="004C704C" w:rsidRDefault="0041027F" w:rsidP="00C720D5">
      <w:pPr>
        <w:rPr>
          <w:noProof/>
          <w:lang w:eastAsia="en-GB"/>
        </w:rPr>
      </w:pPr>
    </w:p>
    <w:p w14:paraId="2CFB1BE5" w14:textId="76DD6FF7" w:rsidR="0041027F" w:rsidRPr="004C704C" w:rsidRDefault="00537200" w:rsidP="00537200">
      <w:pPr>
        <w:pStyle w:val="ManualNumPar1"/>
        <w:rPr>
          <w:noProof/>
        </w:rPr>
      </w:pPr>
      <w:r w:rsidRPr="00537200">
        <w:t>2.</w:t>
      </w:r>
      <w:r w:rsidRPr="00537200">
        <w:tab/>
      </w:r>
      <w:r w:rsidR="005E5770" w:rsidRPr="004C704C">
        <w:rPr>
          <w:noProof/>
        </w:rPr>
        <w:t>Competența de a adopta acte delegate menționată la articolul 7 alineatul (3) și la articolul 14 se conferă Comisiei pentru o perioadă de cinci ani de la … [Oficiul pentru Publicații: de introdus data = data intrării în vigoare a prezentului regulament]. Comisia 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w:t>
      </w:r>
      <w:r w:rsidR="007C274E">
        <w:rPr>
          <w:noProof/>
        </w:rPr>
        <w:t> </w:t>
      </w:r>
      <w:r w:rsidR="005E5770" w:rsidRPr="004C704C">
        <w:rPr>
          <w:noProof/>
        </w:rPr>
        <w:t>luni înainte de încheierea fiecărei perioade.</w:t>
      </w:r>
    </w:p>
    <w:p w14:paraId="3869F47D" w14:textId="77777777" w:rsidR="0041027F" w:rsidRPr="004C704C" w:rsidRDefault="0041027F" w:rsidP="00C720D5">
      <w:pPr>
        <w:rPr>
          <w:noProof/>
          <w:lang w:eastAsia="en-GB"/>
        </w:rPr>
      </w:pPr>
    </w:p>
    <w:p w14:paraId="53D52026" w14:textId="6BECCF66" w:rsidR="0041027F" w:rsidRPr="004C704C" w:rsidRDefault="00537200" w:rsidP="00537200">
      <w:pPr>
        <w:pStyle w:val="ManualNumPar1"/>
        <w:rPr>
          <w:noProof/>
        </w:rPr>
      </w:pPr>
      <w:r w:rsidRPr="00537200">
        <w:t>3.</w:t>
      </w:r>
      <w:r w:rsidRPr="00537200">
        <w:tab/>
      </w:r>
      <w:r w:rsidR="005E5770" w:rsidRPr="004C704C">
        <w:rPr>
          <w:noProof/>
        </w:rPr>
        <w:t xml:space="preserve">Delegarea de competențe menționată la articolul 7 alineatul (3) și la articolul 14 poate fi revocată oricând de Parlamentul European sau de Consiliu. O decizie de revocare pune capăt delegării competențelor specificate în decizia respectivă. Decizia produce efecte din ziua care urmează datei publicării acesteia în </w:t>
      </w:r>
      <w:r w:rsidR="005E5770" w:rsidRPr="004C704C">
        <w:rPr>
          <w:i/>
          <w:iCs/>
          <w:noProof/>
        </w:rPr>
        <w:t>Jurnalul Oficial al Uniunii Europene</w:t>
      </w:r>
      <w:r w:rsidR="005E5770" w:rsidRPr="004C704C">
        <w:rPr>
          <w:noProof/>
        </w:rPr>
        <w:t xml:space="preserve"> sau de la o dată ulterioară menționată în decizie. Decizia nu aduce atingere actelor delegate care sunt deja în vigoare.</w:t>
      </w:r>
    </w:p>
    <w:p w14:paraId="323F293F" w14:textId="77777777" w:rsidR="0041027F" w:rsidRPr="004C704C" w:rsidRDefault="0041027F" w:rsidP="00C720D5">
      <w:pPr>
        <w:rPr>
          <w:noProof/>
          <w:lang w:eastAsia="en-GB"/>
        </w:rPr>
      </w:pPr>
    </w:p>
    <w:p w14:paraId="3C1E2EC1" w14:textId="32E08F78" w:rsidR="0041027F" w:rsidRPr="004C704C" w:rsidRDefault="00537200" w:rsidP="00537200">
      <w:pPr>
        <w:pStyle w:val="ManualNumPar1"/>
        <w:rPr>
          <w:noProof/>
        </w:rPr>
      </w:pPr>
      <w:r w:rsidRPr="00537200">
        <w:t>4.</w:t>
      </w:r>
      <w:r w:rsidRPr="00537200">
        <w:tab/>
      </w:r>
      <w:r w:rsidR="005E5770" w:rsidRPr="004C704C">
        <w:rPr>
          <w:noProof/>
        </w:rPr>
        <w:t>Înainte de adoptarea unui act delegat, Comisia consultă experții desemnați de fiecare stat membru în conformitate cu principiile prevăzute în Acordul interinstituțional din 13 aprilie 2016 privind o mai bună legiferare.</w:t>
      </w:r>
    </w:p>
    <w:p w14:paraId="6CF465EC" w14:textId="77777777" w:rsidR="0041027F" w:rsidRPr="004C704C" w:rsidRDefault="0041027F" w:rsidP="00C720D5">
      <w:pPr>
        <w:rPr>
          <w:noProof/>
          <w:lang w:eastAsia="en-GB"/>
        </w:rPr>
      </w:pPr>
    </w:p>
    <w:p w14:paraId="76F6F755" w14:textId="2601ECA7" w:rsidR="0041027F" w:rsidRPr="004C704C" w:rsidRDefault="00537200" w:rsidP="00537200">
      <w:pPr>
        <w:pStyle w:val="ManualNumPar1"/>
        <w:rPr>
          <w:noProof/>
        </w:rPr>
      </w:pPr>
      <w:r w:rsidRPr="00537200">
        <w:t>5.</w:t>
      </w:r>
      <w:r w:rsidRPr="00537200">
        <w:tab/>
      </w:r>
      <w:r w:rsidR="005E5770" w:rsidRPr="004C704C">
        <w:rPr>
          <w:noProof/>
        </w:rPr>
        <w:t>De îndată ce adoptă un act delegat, Comisia îl notifică simultan Parlamentului</w:t>
      </w:r>
      <w:r w:rsidR="007C274E">
        <w:rPr>
          <w:noProof/>
        </w:rPr>
        <w:t> </w:t>
      </w:r>
      <w:r w:rsidR="005E5770" w:rsidRPr="004C704C">
        <w:rPr>
          <w:noProof/>
        </w:rPr>
        <w:t>European și Consiliului.</w:t>
      </w:r>
    </w:p>
    <w:p w14:paraId="7B7B6798" w14:textId="77777777" w:rsidR="0041027F" w:rsidRPr="004C704C" w:rsidRDefault="0041027F" w:rsidP="00C720D5">
      <w:pPr>
        <w:rPr>
          <w:noProof/>
          <w:lang w:eastAsia="en-GB"/>
        </w:rPr>
      </w:pPr>
    </w:p>
    <w:p w14:paraId="48422BD4" w14:textId="75C87373" w:rsidR="005E5770" w:rsidRPr="004C704C" w:rsidRDefault="00537200" w:rsidP="00537200">
      <w:pPr>
        <w:pStyle w:val="ManualNumPar1"/>
        <w:rPr>
          <w:noProof/>
        </w:rPr>
      </w:pPr>
      <w:r w:rsidRPr="00537200">
        <w:t>6.</w:t>
      </w:r>
      <w:r w:rsidRPr="00537200">
        <w:tab/>
      </w:r>
      <w:r w:rsidR="005E5770" w:rsidRPr="004C704C">
        <w:rPr>
          <w:noProof/>
        </w:rPr>
        <w:t>Un act delegat adoptat în temeiul articolului 7 alineatul (3) și al articolului 14 intră în vigoare numai în cazul în care nici Parlamentul European și nici Consiliul nu au formulat obiecții în termen de două luni de la notificarea acestuia către Parlamentul</w:t>
      </w:r>
      <w:r w:rsidR="007C274E">
        <w:rPr>
          <w:noProof/>
        </w:rPr>
        <w:t> </w:t>
      </w:r>
      <w:r w:rsidR="005E5770" w:rsidRPr="004C704C">
        <w:rPr>
          <w:noProof/>
        </w:rPr>
        <w:t>European și Consiliu sau în cazul în care, înaintea expirării termenului respectiv, Parlamentul European și Consiliul au informat Comisia că nu vor formula obiecții. Perioada respectivă se prelungește cu două luni la inițiativa Parlamentului</w:t>
      </w:r>
      <w:r w:rsidR="007C274E">
        <w:rPr>
          <w:noProof/>
        </w:rPr>
        <w:t> </w:t>
      </w:r>
      <w:r w:rsidR="005E5770" w:rsidRPr="004C704C">
        <w:rPr>
          <w:noProof/>
        </w:rPr>
        <w:t>European sau a Consiliului.</w:t>
      </w:r>
    </w:p>
    <w:p w14:paraId="2D98365D" w14:textId="77777777" w:rsidR="005E5770" w:rsidRPr="004C704C" w:rsidRDefault="005E5770" w:rsidP="00422D16">
      <w:pPr>
        <w:shd w:val="clear" w:color="auto" w:fill="FFFFFF"/>
        <w:spacing w:before="0" w:after="0"/>
        <w:jc w:val="center"/>
        <w:rPr>
          <w:rFonts w:eastAsia="Times New Roman"/>
          <w:i/>
          <w:iCs/>
          <w:noProof/>
          <w:color w:val="000000"/>
          <w:szCs w:val="24"/>
          <w:lang w:eastAsia="en-GB"/>
        </w:rPr>
      </w:pPr>
    </w:p>
    <w:p w14:paraId="436A592A" w14:textId="77777777" w:rsidR="00C42BA0" w:rsidRPr="004C704C" w:rsidRDefault="00C42BA0" w:rsidP="00422D16">
      <w:pPr>
        <w:shd w:val="clear" w:color="auto" w:fill="FFFFFF"/>
        <w:spacing w:before="0" w:after="0"/>
        <w:jc w:val="center"/>
        <w:rPr>
          <w:rFonts w:eastAsia="Times New Roman"/>
          <w:i/>
          <w:iCs/>
          <w:noProof/>
          <w:color w:val="000000"/>
          <w:szCs w:val="24"/>
          <w:lang w:eastAsia="en-GB"/>
        </w:rPr>
      </w:pPr>
    </w:p>
    <w:p w14:paraId="61EB6FC1" w14:textId="77777777" w:rsidR="005E5770" w:rsidRPr="004C704C" w:rsidRDefault="005E5770" w:rsidP="00422D16">
      <w:pPr>
        <w:shd w:val="clear" w:color="auto" w:fill="FFFFFF"/>
        <w:spacing w:before="0" w:after="0"/>
        <w:jc w:val="center"/>
        <w:rPr>
          <w:rFonts w:eastAsia="Times New Roman"/>
          <w:i/>
          <w:iCs/>
          <w:noProof/>
          <w:color w:val="000000"/>
          <w:szCs w:val="24"/>
        </w:rPr>
      </w:pPr>
      <w:r w:rsidRPr="004C704C">
        <w:rPr>
          <w:i/>
          <w:iCs/>
          <w:noProof/>
          <w:color w:val="000000"/>
          <w:szCs w:val="24"/>
        </w:rPr>
        <w:t>Articolul 16</w:t>
      </w:r>
    </w:p>
    <w:p w14:paraId="202B349A"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Procedura comitetului</w:t>
      </w:r>
    </w:p>
    <w:p w14:paraId="348DCA98" w14:textId="77777777" w:rsidR="005E5770" w:rsidRPr="004C704C" w:rsidRDefault="005E5770" w:rsidP="00C720D5">
      <w:pPr>
        <w:rPr>
          <w:noProof/>
          <w:lang w:eastAsia="en-GB"/>
        </w:rPr>
      </w:pPr>
    </w:p>
    <w:p w14:paraId="3EA1EA1B" w14:textId="3D2CABD2" w:rsidR="002F1F6E" w:rsidRPr="004C704C" w:rsidRDefault="00537200" w:rsidP="00537200">
      <w:pPr>
        <w:pStyle w:val="ManualNumPar1"/>
        <w:rPr>
          <w:noProof/>
        </w:rPr>
      </w:pPr>
      <w:r w:rsidRPr="00537200">
        <w:t>1.</w:t>
      </w:r>
      <w:r w:rsidRPr="00537200">
        <w:tab/>
      </w:r>
      <w:r w:rsidR="005E5770" w:rsidRPr="004C704C">
        <w:rPr>
          <w:noProof/>
        </w:rPr>
        <w:t>Comisia este asistată de un comitet.</w:t>
      </w:r>
    </w:p>
    <w:p w14:paraId="649EF32F" w14:textId="77777777" w:rsidR="00E663B7" w:rsidRPr="004C704C" w:rsidRDefault="00E663B7" w:rsidP="00E663B7">
      <w:pPr>
        <w:pStyle w:val="Text1"/>
        <w:rPr>
          <w:noProof/>
          <w:lang w:eastAsia="en-GB"/>
        </w:rPr>
      </w:pPr>
    </w:p>
    <w:p w14:paraId="40E44910" w14:textId="4A4466E8" w:rsidR="005E5770" w:rsidRPr="004C704C" w:rsidRDefault="00537200" w:rsidP="00537200">
      <w:pPr>
        <w:pStyle w:val="ManualNumPar1"/>
        <w:rPr>
          <w:noProof/>
        </w:rPr>
      </w:pPr>
      <w:r w:rsidRPr="00537200">
        <w:t>2.</w:t>
      </w:r>
      <w:r w:rsidRPr="00537200">
        <w:tab/>
      </w:r>
      <w:r w:rsidR="005E5770" w:rsidRPr="004C704C">
        <w:rPr>
          <w:noProof/>
        </w:rPr>
        <w:t>În cazul în care se face trimitere la prezentul alineat, se aplică articolul 5 din Regulamentul (UE) nr. 182/2011</w:t>
      </w:r>
    </w:p>
    <w:p w14:paraId="10D3AF60" w14:textId="77777777" w:rsidR="005E5770" w:rsidRPr="004C704C" w:rsidRDefault="005E5770" w:rsidP="00422D16">
      <w:pPr>
        <w:shd w:val="clear" w:color="auto" w:fill="FFFFFF"/>
        <w:spacing w:before="0" w:after="0"/>
        <w:jc w:val="center"/>
        <w:rPr>
          <w:rFonts w:eastAsia="Times New Roman"/>
          <w:i/>
          <w:iCs/>
          <w:noProof/>
          <w:color w:val="000000"/>
          <w:szCs w:val="24"/>
          <w:lang w:eastAsia="en-GB"/>
        </w:rPr>
      </w:pPr>
    </w:p>
    <w:p w14:paraId="23FBB112" w14:textId="77777777" w:rsidR="00C42BA0" w:rsidRPr="004C704C" w:rsidRDefault="00C42BA0" w:rsidP="00422D16">
      <w:pPr>
        <w:shd w:val="clear" w:color="auto" w:fill="FFFFFF"/>
        <w:spacing w:before="0" w:after="0"/>
        <w:jc w:val="center"/>
        <w:rPr>
          <w:rFonts w:eastAsia="Times New Roman"/>
          <w:i/>
          <w:iCs/>
          <w:noProof/>
          <w:color w:val="000000"/>
          <w:szCs w:val="24"/>
          <w:lang w:eastAsia="en-GB"/>
        </w:rPr>
      </w:pPr>
    </w:p>
    <w:p w14:paraId="09C4C60D" w14:textId="77777777" w:rsidR="005E5770" w:rsidRPr="004C704C" w:rsidRDefault="005E5770" w:rsidP="00422D16">
      <w:pPr>
        <w:shd w:val="clear" w:color="auto" w:fill="FFFFFF"/>
        <w:spacing w:before="0" w:after="0"/>
        <w:jc w:val="center"/>
        <w:rPr>
          <w:rFonts w:eastAsia="Times New Roman"/>
          <w:i/>
          <w:iCs/>
          <w:noProof/>
          <w:color w:val="000000"/>
          <w:szCs w:val="24"/>
        </w:rPr>
      </w:pPr>
      <w:r w:rsidRPr="004C704C">
        <w:rPr>
          <w:i/>
          <w:iCs/>
          <w:noProof/>
          <w:color w:val="000000"/>
          <w:szCs w:val="24"/>
        </w:rPr>
        <w:t>Articolul 17</w:t>
      </w:r>
    </w:p>
    <w:p w14:paraId="5CEE9146"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Sancțiuni și măsuri de asigurare a conformității</w:t>
      </w:r>
    </w:p>
    <w:p w14:paraId="47481F3E" w14:textId="77777777" w:rsidR="005E5770" w:rsidRPr="004C704C" w:rsidRDefault="005E5770" w:rsidP="00422D16">
      <w:pPr>
        <w:shd w:val="clear" w:color="auto" w:fill="FFFFFF"/>
        <w:spacing w:before="0" w:after="0"/>
        <w:rPr>
          <w:rFonts w:eastAsia="Times New Roman"/>
          <w:b/>
          <w:bCs/>
          <w:noProof/>
          <w:color w:val="000000"/>
          <w:szCs w:val="24"/>
          <w:lang w:eastAsia="en-GB"/>
        </w:rPr>
      </w:pPr>
    </w:p>
    <w:p w14:paraId="34E36E2F" w14:textId="1016804B" w:rsidR="009B684A" w:rsidRPr="004C704C" w:rsidRDefault="00537200" w:rsidP="00537200">
      <w:pPr>
        <w:pStyle w:val="ManualNumPar1"/>
        <w:rPr>
          <w:noProof/>
        </w:rPr>
      </w:pPr>
      <w:r w:rsidRPr="00537200">
        <w:t>1.</w:t>
      </w:r>
      <w:r w:rsidRPr="00537200">
        <w:tab/>
      </w:r>
      <w:r w:rsidR="00355683" w:rsidRPr="004C704C">
        <w:rPr>
          <w:noProof/>
        </w:rPr>
        <w:t xml:space="preserve">Statele membre adoptă regimul sancțiunilor care se aplică în cazul încălcării măsurilor naționale adoptate în temeiul prezentului regulament și iau toate măsurile necesare pentru a asigura aplicarea acestora. Sancțiunile sunt eficace, proporționale și cu efect de descurajare. Statele membre notifică fără întârziere regimul respectiv Comisiei și îi comunică acesteia, fără întârziere, orice modificare ulterioară privind acest regim. </w:t>
      </w:r>
    </w:p>
    <w:p w14:paraId="1406C0B1" w14:textId="77777777" w:rsidR="009B684A" w:rsidRPr="004C704C" w:rsidRDefault="009B684A" w:rsidP="00C720D5">
      <w:pPr>
        <w:rPr>
          <w:noProof/>
          <w:lang w:eastAsia="en-GB"/>
        </w:rPr>
      </w:pPr>
    </w:p>
    <w:p w14:paraId="621B01F1" w14:textId="6565DE85" w:rsidR="009B684A" w:rsidRPr="004C704C" w:rsidRDefault="00537200" w:rsidP="00537200">
      <w:pPr>
        <w:pStyle w:val="ManualNumPar1"/>
        <w:rPr>
          <w:noProof/>
        </w:rPr>
      </w:pPr>
      <w:r w:rsidRPr="00537200">
        <w:t>2.</w:t>
      </w:r>
      <w:r w:rsidRPr="00537200">
        <w:tab/>
      </w:r>
      <w:r w:rsidR="00355683" w:rsidRPr="004C704C">
        <w:rPr>
          <w:noProof/>
        </w:rPr>
        <w:t>Sancțiunile menționate la alineatul (1) includ amenzi proporționale cu cifra de afaceri a persoanei juridice sau cu veniturile persoanei fizice care a comis încălcarea. Nivelul amenzilor se calculează astfel încât să se asigure că acestea privează efectiv persoana responsabilă de încălcare de beneficiile economice obținute în urma încălcării respective. Nivelul amenzilor se majorează treptat în cazul încălcărilor repetate.</w:t>
      </w:r>
      <w:r w:rsidR="003D1459">
        <w:rPr>
          <w:noProof/>
        </w:rPr>
        <w:t xml:space="preserve"> </w:t>
      </w:r>
    </w:p>
    <w:p w14:paraId="41266ADE" w14:textId="77777777" w:rsidR="009B684A" w:rsidRPr="004C704C" w:rsidRDefault="009B684A" w:rsidP="00C720D5">
      <w:pPr>
        <w:rPr>
          <w:noProof/>
          <w:lang w:eastAsia="en-GB"/>
        </w:rPr>
      </w:pPr>
    </w:p>
    <w:p w14:paraId="79DEAB33" w14:textId="3DAB0830" w:rsidR="005F4F75" w:rsidRPr="004C704C" w:rsidRDefault="00537200" w:rsidP="00537200">
      <w:pPr>
        <w:pStyle w:val="ManualNumPar1"/>
        <w:rPr>
          <w:noProof/>
        </w:rPr>
      </w:pPr>
      <w:r w:rsidRPr="00537200">
        <w:t>3.</w:t>
      </w:r>
      <w:r w:rsidRPr="00537200">
        <w:tab/>
      </w:r>
      <w:r w:rsidR="00355683" w:rsidRPr="004C704C">
        <w:rPr>
          <w:noProof/>
        </w:rPr>
        <w:t>Statele membre se asigură că în sancțiunile menționate la alineatul (1) se ține seama în mod corespunzător de următoarele aspecte, după caz:</w:t>
      </w:r>
    </w:p>
    <w:p w14:paraId="6E5ABA96" w14:textId="77777777" w:rsidR="002C54BF" w:rsidRPr="004C704C" w:rsidRDefault="002C54BF" w:rsidP="002C54BF">
      <w:pPr>
        <w:pStyle w:val="Text1"/>
        <w:rPr>
          <w:noProof/>
          <w:lang w:eastAsia="en-GB"/>
        </w:rPr>
      </w:pPr>
    </w:p>
    <w:p w14:paraId="29B4FE76" w14:textId="33181359" w:rsidR="00355683" w:rsidRPr="004C704C" w:rsidRDefault="00537200" w:rsidP="00537200">
      <w:pPr>
        <w:pStyle w:val="Point0"/>
        <w:rPr>
          <w:noProof/>
        </w:rPr>
      </w:pPr>
      <w:r w:rsidRPr="00537200">
        <w:t>(a)</w:t>
      </w:r>
      <w:r w:rsidRPr="00537200">
        <w:tab/>
      </w:r>
      <w:r w:rsidR="00355683" w:rsidRPr="004C704C">
        <w:rPr>
          <w:noProof/>
        </w:rPr>
        <w:t>natura, gravitatea și amploarea încălcării;</w:t>
      </w:r>
    </w:p>
    <w:p w14:paraId="1F92B2FC" w14:textId="64BC9E76" w:rsidR="00355683" w:rsidRPr="004C704C" w:rsidRDefault="00537200" w:rsidP="00537200">
      <w:pPr>
        <w:pStyle w:val="Point0"/>
        <w:rPr>
          <w:noProof/>
        </w:rPr>
      </w:pPr>
      <w:r w:rsidRPr="00537200">
        <w:t>(b)</w:t>
      </w:r>
      <w:r w:rsidRPr="00537200">
        <w:tab/>
      </w:r>
      <w:r w:rsidR="00355683" w:rsidRPr="004C704C">
        <w:rPr>
          <w:noProof/>
        </w:rPr>
        <w:t>dacă nerespectarea a fost comisă intenționat sau din neglijență;</w:t>
      </w:r>
    </w:p>
    <w:p w14:paraId="59E93746" w14:textId="42AC3D68" w:rsidR="00422D16" w:rsidRPr="004C704C" w:rsidRDefault="00537200" w:rsidP="00537200">
      <w:pPr>
        <w:pStyle w:val="Point0"/>
        <w:rPr>
          <w:noProof/>
        </w:rPr>
      </w:pPr>
      <w:r w:rsidRPr="00537200">
        <w:t>(c)</w:t>
      </w:r>
      <w:r w:rsidRPr="00537200">
        <w:tab/>
      </w:r>
      <w:r w:rsidR="00355683" w:rsidRPr="004C704C">
        <w:rPr>
          <w:noProof/>
        </w:rPr>
        <w:t>populația sau mediul afectat de încălcare, avându-se în vedere impactul asupra obiectivului de atingere a unui nivel ridicat de protecție a sănătății umane și a mediului.</w:t>
      </w:r>
    </w:p>
    <w:p w14:paraId="62FA6E71" w14:textId="77777777" w:rsidR="00E663B7" w:rsidRPr="004C704C" w:rsidRDefault="00E663B7" w:rsidP="00C720D5">
      <w:pPr>
        <w:rPr>
          <w:noProof/>
        </w:rPr>
      </w:pPr>
    </w:p>
    <w:p w14:paraId="3C6BC21D" w14:textId="39927556" w:rsidR="00355683" w:rsidRPr="004C704C" w:rsidRDefault="00537200" w:rsidP="00537200">
      <w:pPr>
        <w:pStyle w:val="ManualNumPar1"/>
        <w:rPr>
          <w:noProof/>
        </w:rPr>
      </w:pPr>
      <w:r w:rsidRPr="00537200">
        <w:t>4.</w:t>
      </w:r>
      <w:r w:rsidRPr="00537200">
        <w:tab/>
      </w:r>
      <w:r w:rsidR="00355683" w:rsidRPr="004C704C">
        <w:rPr>
          <w:noProof/>
        </w:rPr>
        <w:t xml:space="preserve">Statele membre adoptă măsuri de asigurare a conformității pentru a preveni și a detecta încălcările menționate la alineatul (1). </w:t>
      </w:r>
    </w:p>
    <w:p w14:paraId="0D029CF1" w14:textId="77777777" w:rsidR="005E5770" w:rsidRPr="004C704C" w:rsidRDefault="005E5770" w:rsidP="00422D16">
      <w:pPr>
        <w:spacing w:before="0" w:after="0"/>
        <w:ind w:left="567" w:hanging="567"/>
        <w:contextualSpacing/>
        <w:rPr>
          <w:iCs/>
          <w:noProof/>
        </w:rPr>
      </w:pPr>
    </w:p>
    <w:p w14:paraId="384B8B30" w14:textId="77777777" w:rsidR="00F22021" w:rsidRPr="004C704C" w:rsidRDefault="00F22021" w:rsidP="00422D16">
      <w:pPr>
        <w:shd w:val="clear" w:color="auto" w:fill="FFFFFF"/>
        <w:spacing w:before="0" w:after="0"/>
        <w:jc w:val="center"/>
        <w:rPr>
          <w:rFonts w:eastAsia="Times New Roman"/>
          <w:i/>
          <w:noProof/>
          <w:color w:val="000000"/>
          <w:szCs w:val="24"/>
          <w:lang w:eastAsia="en-GB"/>
        </w:rPr>
      </w:pPr>
    </w:p>
    <w:p w14:paraId="45278EC6" w14:textId="77777777" w:rsidR="005E5770" w:rsidRPr="004C704C" w:rsidRDefault="005E5770" w:rsidP="00422D16">
      <w:pPr>
        <w:shd w:val="clear" w:color="auto" w:fill="FFFFFF"/>
        <w:spacing w:before="0" w:after="0"/>
        <w:jc w:val="center"/>
        <w:rPr>
          <w:rFonts w:eastAsia="Times New Roman"/>
          <w:i/>
          <w:noProof/>
          <w:color w:val="000000"/>
          <w:szCs w:val="24"/>
        </w:rPr>
      </w:pPr>
      <w:r w:rsidRPr="004C704C">
        <w:rPr>
          <w:i/>
          <w:noProof/>
          <w:color w:val="000000"/>
          <w:szCs w:val="24"/>
        </w:rPr>
        <w:t>Articolul 18</w:t>
      </w:r>
    </w:p>
    <w:p w14:paraId="199D0FB5"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noProof/>
          <w:color w:val="000000"/>
          <w:szCs w:val="24"/>
        </w:rPr>
        <w:t>Abrogare</w:t>
      </w:r>
    </w:p>
    <w:p w14:paraId="39705B0F"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 xml:space="preserve"> </w:t>
      </w:r>
    </w:p>
    <w:p w14:paraId="26623328" w14:textId="77777777" w:rsidR="005E5770" w:rsidRPr="004C704C" w:rsidRDefault="005E5770" w:rsidP="00422D16">
      <w:pPr>
        <w:shd w:val="clear" w:color="auto" w:fill="FFFFFF"/>
        <w:spacing w:before="0" w:after="0"/>
        <w:rPr>
          <w:rFonts w:eastAsia="Times New Roman"/>
          <w:noProof/>
          <w:color w:val="000000"/>
          <w:szCs w:val="24"/>
        </w:rPr>
      </w:pPr>
      <w:r w:rsidRPr="004C704C">
        <w:rPr>
          <w:noProof/>
          <w:color w:val="000000"/>
          <w:szCs w:val="24"/>
        </w:rPr>
        <w:t xml:space="preserve">Regulamentul (CE) nr. 166/2006 se abrogă cu efect de la 1 ianuarie 2026. </w:t>
      </w:r>
    </w:p>
    <w:p w14:paraId="20513DCE" w14:textId="77777777" w:rsidR="001021F1" w:rsidRPr="004C704C" w:rsidRDefault="001021F1" w:rsidP="00422D16">
      <w:pPr>
        <w:shd w:val="clear" w:color="auto" w:fill="FFFFFF"/>
        <w:spacing w:before="0" w:after="0"/>
        <w:jc w:val="left"/>
        <w:rPr>
          <w:rFonts w:eastAsia="Times New Roman"/>
          <w:noProof/>
          <w:color w:val="000000"/>
          <w:szCs w:val="24"/>
          <w:lang w:eastAsia="en-GB"/>
        </w:rPr>
      </w:pPr>
    </w:p>
    <w:p w14:paraId="67BCCB1F" w14:textId="77777777" w:rsidR="001021F1" w:rsidRPr="004C704C" w:rsidRDefault="001021F1" w:rsidP="00422D16">
      <w:pPr>
        <w:shd w:val="clear" w:color="auto" w:fill="FFFFFF"/>
        <w:spacing w:before="0" w:after="0"/>
        <w:jc w:val="left"/>
        <w:rPr>
          <w:noProof/>
        </w:rPr>
      </w:pPr>
      <w:r w:rsidRPr="004C704C">
        <w:rPr>
          <w:noProof/>
        </w:rPr>
        <w:t>Trimiterile la Regulamentul (CE) nr. 166/2006 abrogat se interpretează ca trimiteri la prezentul regulament și se citesc în conformitate cu tabelul de corespondență din anexa III.</w:t>
      </w:r>
    </w:p>
    <w:p w14:paraId="50C94272" w14:textId="77777777" w:rsidR="00F15162" w:rsidRPr="004C704C" w:rsidRDefault="00F15162" w:rsidP="00422D16">
      <w:pPr>
        <w:shd w:val="clear" w:color="auto" w:fill="FFFFFF"/>
        <w:spacing w:before="0" w:after="0"/>
        <w:rPr>
          <w:rFonts w:eastAsia="Times New Roman"/>
          <w:noProof/>
          <w:color w:val="000000"/>
          <w:szCs w:val="24"/>
          <w:lang w:eastAsia="en-GB"/>
        </w:rPr>
      </w:pPr>
    </w:p>
    <w:p w14:paraId="5406F59E" w14:textId="77777777" w:rsidR="00DA5F71" w:rsidRPr="004C704C" w:rsidRDefault="00DA5F71" w:rsidP="00422D16">
      <w:pPr>
        <w:shd w:val="clear" w:color="auto" w:fill="FFFFFF"/>
        <w:spacing w:before="0" w:after="0"/>
        <w:rPr>
          <w:rFonts w:eastAsia="Times New Roman"/>
          <w:noProof/>
          <w:color w:val="000000"/>
          <w:szCs w:val="24"/>
          <w:lang w:eastAsia="en-GB"/>
        </w:rPr>
      </w:pPr>
    </w:p>
    <w:p w14:paraId="2A097EF3" w14:textId="77777777" w:rsidR="00F15162" w:rsidRPr="004C704C" w:rsidRDefault="00ED6B63" w:rsidP="00422D16">
      <w:pPr>
        <w:shd w:val="clear" w:color="auto" w:fill="FFFFFF"/>
        <w:spacing w:before="0" w:after="0"/>
        <w:jc w:val="center"/>
        <w:rPr>
          <w:rFonts w:eastAsia="Times New Roman"/>
          <w:i/>
          <w:iCs/>
          <w:noProof/>
          <w:color w:val="000000"/>
          <w:szCs w:val="24"/>
        </w:rPr>
      </w:pPr>
      <w:r w:rsidRPr="004C704C">
        <w:rPr>
          <w:i/>
          <w:iCs/>
          <w:noProof/>
          <w:color w:val="000000"/>
          <w:szCs w:val="24"/>
        </w:rPr>
        <w:t xml:space="preserve">Articolul 19 </w:t>
      </w:r>
    </w:p>
    <w:p w14:paraId="4957EDDE" w14:textId="77777777" w:rsidR="00F15162" w:rsidRPr="004C704C" w:rsidRDefault="00F15162" w:rsidP="00422D16">
      <w:pPr>
        <w:shd w:val="clear" w:color="auto" w:fill="FFFFFF"/>
        <w:spacing w:before="0" w:after="0"/>
        <w:jc w:val="center"/>
        <w:rPr>
          <w:rFonts w:eastAsia="Times New Roman"/>
          <w:b/>
          <w:bCs/>
          <w:noProof/>
          <w:color w:val="000000"/>
          <w:szCs w:val="24"/>
        </w:rPr>
      </w:pPr>
      <w:r w:rsidRPr="004C704C">
        <w:rPr>
          <w:b/>
          <w:bCs/>
          <w:noProof/>
          <w:color w:val="000000"/>
          <w:szCs w:val="24"/>
        </w:rPr>
        <w:t xml:space="preserve">Dispoziții tranzitorii </w:t>
      </w:r>
    </w:p>
    <w:p w14:paraId="4D4D4353" w14:textId="77777777" w:rsidR="00F15162" w:rsidRPr="004C704C" w:rsidRDefault="00F15162" w:rsidP="00422D16">
      <w:pPr>
        <w:shd w:val="clear" w:color="auto" w:fill="FFFFFF"/>
        <w:spacing w:before="0" w:after="0"/>
        <w:rPr>
          <w:rFonts w:eastAsia="Times New Roman"/>
          <w:noProof/>
          <w:color w:val="000000"/>
          <w:szCs w:val="24"/>
          <w:lang w:eastAsia="en-GB"/>
        </w:rPr>
      </w:pPr>
    </w:p>
    <w:p w14:paraId="281CB3A6" w14:textId="77777777" w:rsidR="00F15162" w:rsidRPr="004C704C" w:rsidRDefault="00736E32" w:rsidP="00422D16">
      <w:pPr>
        <w:shd w:val="clear" w:color="auto" w:fill="FFFFFF"/>
        <w:spacing w:before="0" w:after="0"/>
        <w:rPr>
          <w:rFonts w:eastAsia="Times New Roman"/>
          <w:noProof/>
          <w:color w:val="000000"/>
          <w:szCs w:val="24"/>
        </w:rPr>
      </w:pPr>
      <w:r w:rsidRPr="004C704C">
        <w:rPr>
          <w:noProof/>
          <w:color w:val="000000"/>
          <w:szCs w:val="24"/>
        </w:rPr>
        <w:t>Fără a aduce atingere articolului 18 primul paragraf, Regulamentul (CE) nr. 166/2006 continuă să se aplice în ceea ce privește raportarea pentru anul 2024.</w:t>
      </w:r>
    </w:p>
    <w:p w14:paraId="7024C1BE" w14:textId="77777777" w:rsidR="000F596D" w:rsidRPr="004C704C" w:rsidRDefault="000F596D" w:rsidP="00422D16">
      <w:pPr>
        <w:shd w:val="clear" w:color="auto" w:fill="FFFFFF"/>
        <w:spacing w:before="0" w:after="0"/>
        <w:rPr>
          <w:rFonts w:eastAsia="Times New Roman"/>
          <w:noProof/>
          <w:color w:val="000000"/>
          <w:szCs w:val="24"/>
          <w:lang w:eastAsia="en-GB"/>
        </w:rPr>
      </w:pPr>
    </w:p>
    <w:p w14:paraId="4D297914" w14:textId="77777777" w:rsidR="000122B5" w:rsidRPr="004C704C" w:rsidRDefault="000122B5" w:rsidP="00422D16">
      <w:pPr>
        <w:shd w:val="clear" w:color="auto" w:fill="FFFFFF"/>
        <w:spacing w:before="0" w:after="0"/>
        <w:jc w:val="center"/>
        <w:rPr>
          <w:rFonts w:eastAsia="Times New Roman"/>
          <w:i/>
          <w:iCs/>
          <w:noProof/>
          <w:color w:val="000000"/>
          <w:szCs w:val="24"/>
          <w:lang w:eastAsia="en-GB"/>
        </w:rPr>
      </w:pPr>
    </w:p>
    <w:p w14:paraId="4B16D333" w14:textId="77777777" w:rsidR="005E5770" w:rsidRPr="004C704C" w:rsidRDefault="005E5770" w:rsidP="00422D16">
      <w:pPr>
        <w:shd w:val="clear" w:color="auto" w:fill="FFFFFF"/>
        <w:spacing w:before="0" w:after="0"/>
        <w:jc w:val="center"/>
        <w:rPr>
          <w:rFonts w:eastAsia="Times New Roman"/>
          <w:i/>
          <w:iCs/>
          <w:noProof/>
          <w:color w:val="000000"/>
          <w:szCs w:val="24"/>
        </w:rPr>
      </w:pPr>
      <w:r w:rsidRPr="004C704C">
        <w:rPr>
          <w:i/>
          <w:iCs/>
          <w:noProof/>
          <w:color w:val="000000"/>
          <w:szCs w:val="24"/>
        </w:rPr>
        <w:t>Articolul </w:t>
      </w:r>
      <w:r w:rsidRPr="004C704C">
        <w:rPr>
          <w:i/>
          <w:noProof/>
          <w:color w:val="000000"/>
          <w:szCs w:val="24"/>
        </w:rPr>
        <w:t>20</w:t>
      </w:r>
    </w:p>
    <w:p w14:paraId="45B12AB0" w14:textId="77777777" w:rsidR="005E5770" w:rsidRPr="004C704C" w:rsidRDefault="005E5770" w:rsidP="00422D16">
      <w:pPr>
        <w:shd w:val="clear" w:color="auto" w:fill="FFFFFF"/>
        <w:spacing w:before="0" w:after="0"/>
        <w:jc w:val="center"/>
        <w:rPr>
          <w:rFonts w:eastAsia="Times New Roman"/>
          <w:b/>
          <w:bCs/>
          <w:noProof/>
          <w:color w:val="000000"/>
          <w:szCs w:val="24"/>
        </w:rPr>
      </w:pPr>
      <w:r w:rsidRPr="004C704C">
        <w:rPr>
          <w:b/>
          <w:bCs/>
          <w:noProof/>
          <w:color w:val="000000"/>
          <w:szCs w:val="24"/>
        </w:rPr>
        <w:t>Intrarea în vigoare</w:t>
      </w:r>
    </w:p>
    <w:p w14:paraId="38BF6FA4" w14:textId="77777777" w:rsidR="005E5770" w:rsidRPr="004C704C" w:rsidRDefault="005E5770" w:rsidP="00422D16">
      <w:pPr>
        <w:shd w:val="clear" w:color="auto" w:fill="FFFFFF"/>
        <w:spacing w:before="0" w:after="0"/>
        <w:jc w:val="center"/>
        <w:rPr>
          <w:rFonts w:eastAsia="Times New Roman"/>
          <w:b/>
          <w:bCs/>
          <w:noProof/>
          <w:color w:val="000000"/>
          <w:szCs w:val="24"/>
          <w:lang w:eastAsia="en-GB"/>
        </w:rPr>
      </w:pPr>
    </w:p>
    <w:p w14:paraId="232AA7EB" w14:textId="0F4B57C2" w:rsidR="00422D16" w:rsidRPr="004C704C" w:rsidRDefault="005E5770" w:rsidP="00422D16">
      <w:pPr>
        <w:shd w:val="clear" w:color="auto" w:fill="FFFFFF"/>
        <w:spacing w:before="0" w:after="0"/>
        <w:rPr>
          <w:rFonts w:eastAsia="Times New Roman"/>
          <w:noProof/>
          <w:color w:val="000000"/>
          <w:szCs w:val="24"/>
        </w:rPr>
      </w:pPr>
      <w:r w:rsidRPr="004C704C">
        <w:rPr>
          <w:noProof/>
          <w:color w:val="000000"/>
          <w:szCs w:val="24"/>
        </w:rPr>
        <w:t xml:space="preserve">Prezentul regulament intră în vigoare în a </w:t>
      </w:r>
      <w:r w:rsidRPr="004C704C">
        <w:rPr>
          <w:noProof/>
        </w:rPr>
        <w:t>douăzecea</w:t>
      </w:r>
      <w:r w:rsidRPr="004C704C">
        <w:rPr>
          <w:noProof/>
          <w:color w:val="000000"/>
          <w:szCs w:val="24"/>
        </w:rPr>
        <w:t xml:space="preserve"> zi de la data publicării în </w:t>
      </w:r>
      <w:r w:rsidRPr="004C704C">
        <w:rPr>
          <w:i/>
          <w:noProof/>
          <w:color w:val="000000"/>
          <w:szCs w:val="24"/>
        </w:rPr>
        <w:t>Jurnalul</w:t>
      </w:r>
      <w:r w:rsidR="007C274E">
        <w:rPr>
          <w:i/>
          <w:noProof/>
          <w:color w:val="000000"/>
          <w:szCs w:val="24"/>
        </w:rPr>
        <w:t> </w:t>
      </w:r>
      <w:r w:rsidRPr="004C704C">
        <w:rPr>
          <w:i/>
          <w:noProof/>
          <w:color w:val="000000"/>
          <w:szCs w:val="24"/>
        </w:rPr>
        <w:t>Oficial al Uniunii Europene</w:t>
      </w:r>
      <w:r w:rsidRPr="004C704C">
        <w:rPr>
          <w:noProof/>
          <w:color w:val="000000"/>
          <w:szCs w:val="24"/>
        </w:rPr>
        <w:t>.</w:t>
      </w:r>
    </w:p>
    <w:p w14:paraId="3678A4D5" w14:textId="77777777" w:rsidR="00422D16" w:rsidRPr="004C704C" w:rsidRDefault="00422D16" w:rsidP="00422D16">
      <w:pPr>
        <w:shd w:val="clear" w:color="auto" w:fill="FFFFFF"/>
        <w:spacing w:before="0" w:after="0"/>
        <w:rPr>
          <w:rFonts w:eastAsia="Times New Roman"/>
          <w:noProof/>
          <w:color w:val="000000"/>
          <w:szCs w:val="24"/>
          <w:lang w:eastAsia="en-GB"/>
        </w:rPr>
      </w:pPr>
    </w:p>
    <w:p w14:paraId="4D585DA3" w14:textId="77777777" w:rsidR="00422D16" w:rsidRPr="004C704C" w:rsidRDefault="00422D16" w:rsidP="00422D16">
      <w:pPr>
        <w:shd w:val="clear" w:color="auto" w:fill="FFFFFF"/>
        <w:spacing w:before="0" w:after="0"/>
        <w:rPr>
          <w:rFonts w:eastAsia="Times New Roman"/>
          <w:noProof/>
          <w:color w:val="000000"/>
          <w:szCs w:val="24"/>
        </w:rPr>
      </w:pPr>
      <w:r w:rsidRPr="004C704C">
        <w:rPr>
          <w:noProof/>
          <w:color w:val="000000"/>
          <w:szCs w:val="24"/>
        </w:rPr>
        <w:t>Prezentul regulament se aplică de la 1 ianuarie 2026.</w:t>
      </w:r>
    </w:p>
    <w:p w14:paraId="520D2362" w14:textId="77777777" w:rsidR="005E5770" w:rsidRPr="004C704C" w:rsidRDefault="005E5770" w:rsidP="005E5770">
      <w:pPr>
        <w:shd w:val="clear" w:color="auto" w:fill="FFFFFF"/>
        <w:spacing w:before="0" w:after="0"/>
        <w:rPr>
          <w:rFonts w:eastAsia="Times New Roman"/>
          <w:noProof/>
          <w:color w:val="000000"/>
          <w:szCs w:val="24"/>
          <w:lang w:eastAsia="en-GB"/>
        </w:rPr>
      </w:pPr>
    </w:p>
    <w:p w14:paraId="5D135964" w14:textId="77777777" w:rsidR="00F15162" w:rsidRPr="004C704C" w:rsidRDefault="00F15162" w:rsidP="005E5770">
      <w:pPr>
        <w:shd w:val="clear" w:color="auto" w:fill="FFFFFF"/>
        <w:spacing w:before="0" w:after="0"/>
        <w:rPr>
          <w:rFonts w:eastAsia="Times New Roman"/>
          <w:noProof/>
          <w:color w:val="000000"/>
          <w:szCs w:val="24"/>
          <w:lang w:eastAsia="en-GB"/>
        </w:rPr>
      </w:pPr>
    </w:p>
    <w:p w14:paraId="4A5935A8" w14:textId="77777777" w:rsidR="00F15162" w:rsidRPr="004C704C" w:rsidRDefault="00F15162" w:rsidP="005E5770">
      <w:pPr>
        <w:shd w:val="clear" w:color="auto" w:fill="FFFFFF"/>
        <w:spacing w:before="0" w:after="0"/>
        <w:rPr>
          <w:rFonts w:eastAsia="Times New Roman"/>
          <w:noProof/>
          <w:color w:val="000000"/>
          <w:szCs w:val="24"/>
          <w:lang w:eastAsia="en-GB"/>
        </w:rPr>
      </w:pPr>
    </w:p>
    <w:p w14:paraId="5B6C5030" w14:textId="67F7FF00" w:rsidR="005E5770" w:rsidRPr="004C704C" w:rsidRDefault="005E5770" w:rsidP="005E5770">
      <w:pPr>
        <w:shd w:val="clear" w:color="auto" w:fill="FFFFFF"/>
        <w:spacing w:before="0" w:after="0"/>
        <w:rPr>
          <w:rFonts w:eastAsia="Times New Roman"/>
          <w:noProof/>
          <w:color w:val="000000"/>
          <w:szCs w:val="24"/>
        </w:rPr>
      </w:pPr>
      <w:r w:rsidRPr="004C704C">
        <w:rPr>
          <w:noProof/>
          <w:color w:val="000000"/>
          <w:szCs w:val="24"/>
        </w:rPr>
        <w:t>Prezentul regulament este obligatoriu în toate elementele sale și se aplică direct în toate statele</w:t>
      </w:r>
      <w:r w:rsidR="007C274E">
        <w:rPr>
          <w:noProof/>
          <w:color w:val="000000"/>
          <w:szCs w:val="24"/>
        </w:rPr>
        <w:t> </w:t>
      </w:r>
      <w:r w:rsidRPr="004C704C">
        <w:rPr>
          <w:noProof/>
          <w:color w:val="000000"/>
          <w:szCs w:val="24"/>
        </w:rPr>
        <w:t>membre.</w:t>
      </w:r>
    </w:p>
    <w:p w14:paraId="654D1954" w14:textId="77777777" w:rsidR="005E5770" w:rsidRPr="004C704C" w:rsidRDefault="005E5770" w:rsidP="005E5770">
      <w:pPr>
        <w:shd w:val="clear" w:color="auto" w:fill="FFFFFF"/>
        <w:spacing w:before="0" w:after="150"/>
        <w:jc w:val="left"/>
        <w:rPr>
          <w:rFonts w:eastAsia="Times New Roman"/>
          <w:noProof/>
          <w:color w:val="000000"/>
          <w:szCs w:val="24"/>
          <w:lang w:eastAsia="en-GB"/>
        </w:rPr>
      </w:pPr>
    </w:p>
    <w:p w14:paraId="59D187D3" w14:textId="54A0BD98" w:rsidR="00D07F31" w:rsidRPr="004C704C" w:rsidRDefault="005459C6" w:rsidP="00232B8A">
      <w:pPr>
        <w:pStyle w:val="Fait"/>
        <w:rPr>
          <w:noProof/>
        </w:rPr>
      </w:pPr>
      <w:r w:rsidRPr="005459C6">
        <w:t>Adoptat la Strasbourg,</w:t>
      </w:r>
    </w:p>
    <w:p w14:paraId="5654A176" w14:textId="77777777" w:rsidR="000D1406" w:rsidRPr="004C704C" w:rsidRDefault="000D1406" w:rsidP="00232B8A">
      <w:pPr>
        <w:pStyle w:val="Institutionquisigne"/>
        <w:rPr>
          <w:noProof/>
        </w:rPr>
      </w:pPr>
      <w:r w:rsidRPr="004C704C">
        <w:rPr>
          <w:noProof/>
        </w:rPr>
        <w:t>Pentru Parlamentul European,</w:t>
      </w:r>
      <w:r w:rsidRPr="004C704C">
        <w:rPr>
          <w:noProof/>
        </w:rPr>
        <w:tab/>
        <w:t>Pentru Consiliu,</w:t>
      </w:r>
    </w:p>
    <w:p w14:paraId="07C316B8" w14:textId="77777777" w:rsidR="000D1406" w:rsidRPr="004C704C" w:rsidRDefault="000D1406" w:rsidP="000D1406">
      <w:pPr>
        <w:pStyle w:val="Personnequisigne"/>
        <w:rPr>
          <w:noProof/>
        </w:rPr>
      </w:pPr>
      <w:r w:rsidRPr="004C704C">
        <w:rPr>
          <w:noProof/>
        </w:rPr>
        <w:t>Președinta</w:t>
      </w:r>
      <w:r w:rsidRPr="004C704C">
        <w:rPr>
          <w:noProof/>
        </w:rPr>
        <w:tab/>
        <w:t>Președintele</w:t>
      </w:r>
    </w:p>
    <w:p w14:paraId="624B4511" w14:textId="77777777" w:rsidR="000D1406" w:rsidRPr="004C704C" w:rsidRDefault="000D1406">
      <w:pPr>
        <w:spacing w:before="0" w:after="200" w:line="276" w:lineRule="auto"/>
        <w:jc w:val="left"/>
        <w:rPr>
          <w:noProof/>
        </w:rPr>
      </w:pPr>
      <w:r w:rsidRPr="004C704C">
        <w:rPr>
          <w:noProof/>
        </w:rPr>
        <w:br w:type="page"/>
      </w:r>
    </w:p>
    <w:p w14:paraId="7CA58E2A" w14:textId="77777777" w:rsidR="00C4299F" w:rsidRPr="004C704C" w:rsidRDefault="00C4299F" w:rsidP="009F426A">
      <w:pPr>
        <w:pStyle w:val="Fichefinanciretitre"/>
        <w:spacing w:after="240"/>
        <w:rPr>
          <w:noProof/>
        </w:rPr>
      </w:pPr>
      <w:r w:rsidRPr="004C704C">
        <w:rPr>
          <w:noProof/>
        </w:rPr>
        <w:t>FIȘĂ FINANCIARĂ LEGISLATIVĂ</w:t>
      </w:r>
    </w:p>
    <w:p w14:paraId="764BDE29" w14:textId="77777777" w:rsidR="00C4299F" w:rsidRPr="004C704C" w:rsidRDefault="009F426A" w:rsidP="00C4299F">
      <w:pPr>
        <w:rPr>
          <w:b/>
          <w:noProof/>
        </w:rPr>
      </w:pPr>
      <w:r w:rsidRPr="004C704C">
        <w:rPr>
          <w:b/>
          <w:noProof/>
        </w:rPr>
        <w:t>CADRUL PROPUNERII/INIȚIATIVEI</w:t>
      </w:r>
    </w:p>
    <w:p w14:paraId="5796C34E" w14:textId="77777777" w:rsidR="009F426A" w:rsidRPr="004C704C" w:rsidRDefault="009F426A" w:rsidP="009F426A">
      <w:pPr>
        <w:keepNext/>
        <w:outlineLvl w:val="1"/>
        <w:rPr>
          <w:rFonts w:eastAsiaTheme="majorEastAsia"/>
          <w:b/>
          <w:noProof/>
          <w:szCs w:val="24"/>
        </w:rPr>
      </w:pPr>
      <w:bookmarkStart w:id="1" w:name="_Toc514938660"/>
      <w:bookmarkStart w:id="2" w:name="_Toc88478659"/>
      <w:r w:rsidRPr="004C704C">
        <w:rPr>
          <w:b/>
          <w:bCs/>
          <w:noProof/>
          <w:szCs w:val="26"/>
        </w:rPr>
        <w:t>Titlul propunerii/inițiativei</w:t>
      </w:r>
      <w:bookmarkEnd w:id="1"/>
      <w:bookmarkEnd w:id="2"/>
    </w:p>
    <w:p w14:paraId="4DCF5D47" w14:textId="77777777" w:rsidR="009F426A" w:rsidRPr="004C704C" w:rsidRDefault="009F426A" w:rsidP="009F426A">
      <w:pPr>
        <w:pBdr>
          <w:top w:val="single" w:sz="4" w:space="1" w:color="auto"/>
          <w:left w:val="single" w:sz="4" w:space="4" w:color="auto"/>
          <w:bottom w:val="single" w:sz="4" w:space="1" w:color="auto"/>
          <w:right w:val="single" w:sz="4" w:space="4" w:color="auto"/>
        </w:pBdr>
        <w:tabs>
          <w:tab w:val="num" w:pos="850"/>
        </w:tabs>
        <w:ind w:left="850"/>
        <w:rPr>
          <w:noProof/>
          <w:color w:val="0000FF"/>
        </w:rPr>
      </w:pPr>
      <w:r w:rsidRPr="004C704C">
        <w:rPr>
          <w:noProof/>
          <w:color w:val="0000FF"/>
        </w:rPr>
        <w:t xml:space="preserve">Propunere de regulament al Parlamentului European și al Consiliului privind raportarea datelor despre mediu provenite de la instalații industriale și înființarea Portalului emisiilor industriale </w:t>
      </w:r>
      <w:bookmarkStart w:id="3" w:name="_Toc514938661"/>
      <w:bookmarkStart w:id="4" w:name="_Toc88478660"/>
    </w:p>
    <w:p w14:paraId="273A53BF" w14:textId="77777777" w:rsidR="009F426A" w:rsidRPr="004C704C" w:rsidRDefault="009F426A" w:rsidP="009F426A">
      <w:pPr>
        <w:pBdr>
          <w:top w:val="single" w:sz="4" w:space="1" w:color="auto"/>
          <w:left w:val="single" w:sz="4" w:space="4" w:color="auto"/>
          <w:bottom w:val="single" w:sz="4" w:space="1" w:color="auto"/>
          <w:right w:val="single" w:sz="4" w:space="4" w:color="auto"/>
        </w:pBdr>
        <w:tabs>
          <w:tab w:val="num" w:pos="850"/>
        </w:tabs>
        <w:ind w:left="850"/>
        <w:rPr>
          <w:rFonts w:eastAsiaTheme="majorEastAsia"/>
          <w:b/>
          <w:noProof/>
          <w:szCs w:val="24"/>
        </w:rPr>
      </w:pPr>
      <w:r w:rsidRPr="004C704C">
        <w:rPr>
          <w:b/>
          <w:bCs/>
          <w:noProof/>
          <w:szCs w:val="26"/>
        </w:rPr>
        <w:t>Domeniul (domeniile) de politică vizat(e)</w:t>
      </w:r>
      <w:bookmarkEnd w:id="3"/>
      <w:bookmarkEnd w:id="4"/>
    </w:p>
    <w:p w14:paraId="03AB8FE5"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Domeniul de politică: 09 Mediu și schimbări climatice</w:t>
      </w:r>
    </w:p>
    <w:p w14:paraId="67BBFEEF" w14:textId="77777777" w:rsidR="009F426A" w:rsidRPr="004C704C" w:rsidRDefault="009F426A" w:rsidP="009F426A">
      <w:pPr>
        <w:keepNext/>
        <w:outlineLvl w:val="1"/>
        <w:rPr>
          <w:rFonts w:eastAsiaTheme="majorEastAsia"/>
          <w:b/>
          <w:noProof/>
          <w:szCs w:val="24"/>
        </w:rPr>
      </w:pPr>
      <w:bookmarkStart w:id="5" w:name="_Toc514938662"/>
      <w:bookmarkStart w:id="6" w:name="_Toc88478661"/>
      <w:r w:rsidRPr="004C704C">
        <w:rPr>
          <w:b/>
          <w:bCs/>
          <w:noProof/>
          <w:szCs w:val="26"/>
        </w:rPr>
        <w:t>Propunerea/inițiativa se referă la</w:t>
      </w:r>
      <w:bookmarkEnd w:id="5"/>
      <w:bookmarkEnd w:id="6"/>
      <w:r w:rsidRPr="004C704C">
        <w:rPr>
          <w:b/>
          <w:bCs/>
          <w:noProof/>
          <w:szCs w:val="26"/>
        </w:rPr>
        <w:t xml:space="preserve"> </w:t>
      </w:r>
    </w:p>
    <w:p w14:paraId="32300040" w14:textId="77777777" w:rsidR="009F426A" w:rsidRPr="004C704C" w:rsidRDefault="009F426A" w:rsidP="009F426A">
      <w:pPr>
        <w:spacing w:before="0" w:after="0"/>
        <w:ind w:left="851"/>
        <w:rPr>
          <w:b/>
          <w:noProof/>
        </w:rPr>
      </w:pPr>
      <w:r w:rsidRPr="004C704C">
        <w:rPr>
          <w:noProof/>
        </w:rPr>
        <w:sym w:font="Wingdings" w:char="F0A8"/>
      </w:r>
      <w:r w:rsidRPr="004C704C">
        <w:rPr>
          <w:b/>
          <w:i/>
          <w:noProof/>
        </w:rPr>
        <w:t xml:space="preserve"> </w:t>
      </w:r>
      <w:r w:rsidRPr="004C704C">
        <w:rPr>
          <w:b/>
          <w:noProof/>
        </w:rPr>
        <w:t xml:space="preserve">o acțiune nouă </w:t>
      </w:r>
    </w:p>
    <w:p w14:paraId="76866087" w14:textId="77777777" w:rsidR="009F426A" w:rsidRPr="004C704C" w:rsidRDefault="009F426A" w:rsidP="009F426A">
      <w:pPr>
        <w:spacing w:before="0" w:after="0"/>
        <w:ind w:left="851"/>
        <w:rPr>
          <w:noProof/>
          <w:sz w:val="22"/>
        </w:rPr>
      </w:pPr>
      <w:r w:rsidRPr="004C704C">
        <w:rPr>
          <w:noProof/>
        </w:rPr>
        <w:sym w:font="Wingdings" w:char="F0A8"/>
      </w:r>
      <w:r w:rsidRPr="004C704C">
        <w:rPr>
          <w:i/>
          <w:noProof/>
        </w:rPr>
        <w:t xml:space="preserve"> </w:t>
      </w:r>
      <w:r w:rsidRPr="004C704C">
        <w:rPr>
          <w:b/>
          <w:noProof/>
        </w:rPr>
        <w:t>o acțiune nouă întreprinsă ca urmare a unui proiect-pilot/a unei acțiuni pregătitoare</w:t>
      </w:r>
      <w:r w:rsidRPr="004C704C">
        <w:rPr>
          <w:rStyle w:val="FootnoteReference"/>
          <w:noProof/>
        </w:rPr>
        <w:footnoteReference w:id="62"/>
      </w:r>
      <w:r w:rsidRPr="004C704C">
        <w:rPr>
          <w:noProof/>
          <w:sz w:val="22"/>
        </w:rPr>
        <w:t xml:space="preserve"> </w:t>
      </w:r>
    </w:p>
    <w:p w14:paraId="1C320D9C" w14:textId="77777777" w:rsidR="009F426A" w:rsidRPr="004C704C" w:rsidRDefault="009F426A" w:rsidP="009F426A">
      <w:pPr>
        <w:spacing w:before="0" w:after="0"/>
        <w:ind w:left="851"/>
        <w:rPr>
          <w:noProof/>
        </w:rPr>
      </w:pPr>
      <w:r w:rsidRPr="004C704C">
        <w:rPr>
          <w:noProof/>
        </w:rPr>
        <w:sym w:font="Wingdings" w:char="F078"/>
      </w:r>
      <w:r w:rsidRPr="004C704C">
        <w:rPr>
          <w:i/>
          <w:noProof/>
        </w:rPr>
        <w:t xml:space="preserve"> </w:t>
      </w:r>
      <w:r w:rsidRPr="004C704C">
        <w:rPr>
          <w:b/>
          <w:noProof/>
        </w:rPr>
        <w:t>prelungirea unei acțiuni existente</w:t>
      </w:r>
      <w:r w:rsidRPr="004C704C">
        <w:rPr>
          <w:noProof/>
        </w:rPr>
        <w:t xml:space="preserve"> </w:t>
      </w:r>
    </w:p>
    <w:p w14:paraId="4740E92C" w14:textId="77777777" w:rsidR="009F426A" w:rsidRPr="004C704C" w:rsidRDefault="009F426A" w:rsidP="009F426A">
      <w:pPr>
        <w:spacing w:before="0" w:after="0"/>
        <w:ind w:left="851"/>
        <w:rPr>
          <w:noProof/>
        </w:rPr>
      </w:pPr>
      <w:r w:rsidRPr="004C704C">
        <w:rPr>
          <w:noProof/>
        </w:rPr>
        <w:sym w:font="Wingdings" w:char="F0A8"/>
      </w:r>
      <w:r w:rsidRPr="004C704C">
        <w:rPr>
          <w:i/>
          <w:noProof/>
        </w:rPr>
        <w:t xml:space="preserve"> </w:t>
      </w:r>
      <w:r w:rsidRPr="004C704C">
        <w:rPr>
          <w:b/>
          <w:noProof/>
        </w:rPr>
        <w:t>o fuziune a uneia sau mai multor</w:t>
      </w:r>
      <w:r w:rsidRPr="004C704C">
        <w:rPr>
          <w:noProof/>
        </w:rPr>
        <w:t xml:space="preserve"> </w:t>
      </w:r>
      <w:r w:rsidRPr="004C704C">
        <w:rPr>
          <w:b/>
          <w:noProof/>
        </w:rPr>
        <w:t>acțiuni către o altă/o nouă acțiune</w:t>
      </w:r>
      <w:r w:rsidRPr="004C704C">
        <w:rPr>
          <w:noProof/>
        </w:rPr>
        <w:t xml:space="preserve"> </w:t>
      </w:r>
    </w:p>
    <w:p w14:paraId="203E0C1C" w14:textId="77777777" w:rsidR="009F426A" w:rsidRPr="004C704C" w:rsidRDefault="009F426A" w:rsidP="009F426A">
      <w:pPr>
        <w:keepNext/>
        <w:outlineLvl w:val="1"/>
        <w:rPr>
          <w:rFonts w:eastAsiaTheme="majorEastAsia"/>
          <w:b/>
          <w:noProof/>
          <w:szCs w:val="24"/>
        </w:rPr>
      </w:pPr>
      <w:bookmarkStart w:id="7" w:name="_Toc514938663"/>
      <w:bookmarkStart w:id="8" w:name="_Toc88478662"/>
      <w:r w:rsidRPr="004C704C">
        <w:rPr>
          <w:b/>
          <w:bCs/>
          <w:noProof/>
          <w:szCs w:val="26"/>
        </w:rPr>
        <w:t>Obiectiv(e)</w:t>
      </w:r>
      <w:bookmarkEnd w:id="7"/>
      <w:bookmarkEnd w:id="8"/>
    </w:p>
    <w:p w14:paraId="076360D2" w14:textId="77777777" w:rsidR="009F426A" w:rsidRPr="004C704C" w:rsidRDefault="009F426A" w:rsidP="009F426A">
      <w:pPr>
        <w:keepNext/>
        <w:outlineLvl w:val="2"/>
        <w:rPr>
          <w:rFonts w:eastAsiaTheme="majorEastAsia"/>
          <w:i/>
          <w:noProof/>
          <w:szCs w:val="24"/>
        </w:rPr>
      </w:pPr>
      <w:bookmarkStart w:id="9" w:name="_Toc514938664"/>
      <w:bookmarkStart w:id="10" w:name="_Toc88478663"/>
      <w:r w:rsidRPr="004C704C">
        <w:rPr>
          <w:bCs/>
          <w:i/>
          <w:noProof/>
        </w:rPr>
        <w:t>Obiectiv(e) general(e)</w:t>
      </w:r>
      <w:bookmarkEnd w:id="9"/>
      <w:bookmarkEnd w:id="10"/>
      <w:r w:rsidRPr="004C704C">
        <w:rPr>
          <w:bCs/>
          <w:i/>
          <w:noProof/>
        </w:rPr>
        <w:t xml:space="preserve"> </w:t>
      </w:r>
    </w:p>
    <w:p w14:paraId="0A86192E"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Obiectivele prezentei propuneri sunt:</w:t>
      </w:r>
    </w:p>
    <w:p w14:paraId="5580B8BA" w14:textId="211B90E5" w:rsidR="009F426A" w:rsidRPr="004C704C" w:rsidRDefault="00537200" w:rsidP="00537200">
      <w:pPr>
        <w:pStyle w:val="Point0"/>
        <w:rPr>
          <w:noProof/>
        </w:rPr>
      </w:pPr>
      <w:r w:rsidRPr="00537200">
        <w:t>(1)</w:t>
      </w:r>
      <w:r w:rsidRPr="00537200">
        <w:tab/>
      </w:r>
      <w:r w:rsidR="009F426A" w:rsidRPr="004C704C">
        <w:rPr>
          <w:noProof/>
        </w:rPr>
        <w:t>actualizarea Registrului European al Poluanților Emiși și Transferați (EPRTR) pentru a se ține seama de constatările evaluării impactului, care a fost finalizată recent, prin crearea unui portal al emisiilor industriale („portalul”);</w:t>
      </w:r>
    </w:p>
    <w:p w14:paraId="463B8831" w14:textId="75D25534" w:rsidR="009F426A" w:rsidRPr="004C704C" w:rsidRDefault="00537200" w:rsidP="00537200">
      <w:pPr>
        <w:pStyle w:val="Point0"/>
        <w:rPr>
          <w:noProof/>
        </w:rPr>
      </w:pPr>
      <w:r w:rsidRPr="00537200">
        <w:t>(2)</w:t>
      </w:r>
      <w:r w:rsidRPr="00537200">
        <w:tab/>
      </w:r>
      <w:r w:rsidR="009F426A" w:rsidRPr="004C704C">
        <w:rPr>
          <w:noProof/>
        </w:rPr>
        <w:t>îmbunătățirea accesului UE la informațiile despre mediu în ceea ce privește instalațiile industriale;</w:t>
      </w:r>
    </w:p>
    <w:p w14:paraId="74E4AAB8" w14:textId="5E8029D9" w:rsidR="009F426A" w:rsidRPr="004C704C" w:rsidRDefault="00537200" w:rsidP="00537200">
      <w:pPr>
        <w:pStyle w:val="Point0"/>
        <w:rPr>
          <w:noProof/>
        </w:rPr>
      </w:pPr>
      <w:r w:rsidRPr="00537200">
        <w:t>(3)</w:t>
      </w:r>
      <w:r w:rsidRPr="00537200">
        <w:tab/>
      </w:r>
      <w:r w:rsidR="009F426A" w:rsidRPr="004C704C">
        <w:rPr>
          <w:noProof/>
        </w:rPr>
        <w:t>reconfigurarea portalului ca instrument de sprijin pentru Directiva privind emisiile industriale (DEI) și pentru actele legislative de mediu conexe ale UE.</w:t>
      </w:r>
    </w:p>
    <w:p w14:paraId="03765CC5"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Prezenta propunere va contribui, în special, la realizarea obiectivelor stabilite în:</w:t>
      </w:r>
    </w:p>
    <w:p w14:paraId="6ED191DC" w14:textId="77777777" w:rsidR="009F426A" w:rsidRPr="004C704C" w:rsidRDefault="009F426A" w:rsidP="009F426A">
      <w:pPr>
        <w:pStyle w:val="Bullet0"/>
        <w:rPr>
          <w:noProof/>
        </w:rPr>
      </w:pPr>
      <w:r w:rsidRPr="004C704C">
        <w:rPr>
          <w:noProof/>
        </w:rPr>
        <w:t>Pactul verde european: „Comisia va reexamina măsurile adoptate de UE în vederea combaterii poluării provenite de la instalațiile industriale de mari dimensiuni.”;</w:t>
      </w:r>
    </w:p>
    <w:p w14:paraId="78D589C6" w14:textId="77777777" w:rsidR="009F426A" w:rsidRPr="004C704C" w:rsidRDefault="009F426A" w:rsidP="009F426A">
      <w:pPr>
        <w:pStyle w:val="Bullet0"/>
        <w:rPr>
          <w:noProof/>
        </w:rPr>
      </w:pPr>
      <w:r w:rsidRPr="004C704C">
        <w:rPr>
          <w:noProof/>
        </w:rPr>
        <w:t>Planul de acțiune privind reducerea la zero a poluării: „[Revizuirea DEI și a Regulamentului EPRTR] va viza […] îmbunătățirea accesului publicului la informații […] și va facilita compararea performanțelor statelor membre în ceea ce privește combaterea emisiilor industriale.”</w:t>
      </w:r>
    </w:p>
    <w:p w14:paraId="33135DA7"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Propunerile concordă pe deplin și cu Agenda 2030, în special în ceea ce privește următoarele obiective de dezvoltare durabilă:</w:t>
      </w:r>
    </w:p>
    <w:p w14:paraId="08FC98BA" w14:textId="77777777" w:rsidR="009F426A" w:rsidRPr="004C704C" w:rsidRDefault="009F426A" w:rsidP="009F426A">
      <w:pPr>
        <w:pStyle w:val="Bullet0"/>
        <w:rPr>
          <w:noProof/>
        </w:rPr>
      </w:pPr>
      <w:r w:rsidRPr="004C704C">
        <w:rPr>
          <w:noProof/>
        </w:rPr>
        <w:t>„3.9: reducerea substanțială a numărului de decese și de boli cauzate de substanțele chimice periculoase și de poluarea și contaminarea aerului, a apei și a solului;</w:t>
      </w:r>
    </w:p>
    <w:p w14:paraId="5D7BCEDE" w14:textId="77777777" w:rsidR="009F426A" w:rsidRPr="004C704C" w:rsidRDefault="009F426A" w:rsidP="009F426A">
      <w:pPr>
        <w:pStyle w:val="Bullet0"/>
        <w:rPr>
          <w:noProof/>
        </w:rPr>
      </w:pPr>
      <w:r w:rsidRPr="004C704C">
        <w:rPr>
          <w:noProof/>
        </w:rPr>
        <w:t>9.4: modernizarea infrastructurilor și a industriilor pentru ca acestea să devină durabile și mai eficiente din punctul de vedere al utilizării resurselor și adoptarea pe scară mai largă a tehnologiilor și proceselor industriale curate și ecologice, toate țările luând măsuri pe baza capacităților lor respective;</w:t>
      </w:r>
    </w:p>
    <w:p w14:paraId="71BBF66F" w14:textId="77777777" w:rsidR="009F426A" w:rsidRPr="004C704C" w:rsidRDefault="009F426A" w:rsidP="009F426A">
      <w:pPr>
        <w:pStyle w:val="Bullet0"/>
        <w:rPr>
          <w:noProof/>
        </w:rPr>
      </w:pPr>
      <w:r w:rsidRPr="004C704C">
        <w:rPr>
          <w:noProof/>
        </w:rPr>
        <w:t>12.4: realizarea gestionării raționale din punct de vedere ecologic a substanțelor chimice și a tuturor deșeurilor pe durata întregului lor ciclu de viață, în conformitate cu cadrele internaționale convenite și reducerea semnificativă a eliberării acestora în aer, apă și sol pentru a minimiza efectele lor negative asupra sănătății umane și asupra mediului;</w:t>
      </w:r>
    </w:p>
    <w:p w14:paraId="52E9EDB8" w14:textId="77777777" w:rsidR="009F426A" w:rsidRPr="004C704C" w:rsidRDefault="009F426A" w:rsidP="009F426A">
      <w:pPr>
        <w:pStyle w:val="Bullet0"/>
        <w:rPr>
          <w:noProof/>
        </w:rPr>
      </w:pPr>
      <w:r w:rsidRPr="004C704C">
        <w:rPr>
          <w:noProof/>
        </w:rPr>
        <w:t>12.5: reducerea substanțială a producției de deșeuri prin prevenire, reducere, reciclare și reutilizare;</w:t>
      </w:r>
    </w:p>
    <w:p w14:paraId="73518D2C" w14:textId="77777777" w:rsidR="009F426A" w:rsidRPr="004C704C" w:rsidRDefault="009F426A" w:rsidP="009F426A">
      <w:pPr>
        <w:pStyle w:val="Bullet0"/>
        <w:rPr>
          <w:noProof/>
        </w:rPr>
      </w:pPr>
      <w:r w:rsidRPr="004C704C">
        <w:rPr>
          <w:noProof/>
        </w:rPr>
        <w:t>12.6: încurajarea întreprinderilor, în special a întreprinderilor mari și a multinaționalelor, să adopte practici durabile și să includă în ciclul lor de raportare informații privind durabilitatea;</w:t>
      </w:r>
    </w:p>
    <w:p w14:paraId="1AA1CF51" w14:textId="77777777" w:rsidR="009F426A" w:rsidRPr="004C704C" w:rsidRDefault="009F426A" w:rsidP="009F426A">
      <w:pPr>
        <w:pStyle w:val="Bullet0"/>
        <w:rPr>
          <w:noProof/>
        </w:rPr>
      </w:pPr>
      <w:r w:rsidRPr="004C704C">
        <w:rPr>
          <w:noProof/>
        </w:rPr>
        <w:t>12.8: luarea măsurilor necesare pentru ca oamenii de pretutindeni să dispună de informațiile relevante și să fie sensibilizați cu privire la dezvoltarea durabilă și la stilurile de viață în armonie cu natura.”</w:t>
      </w:r>
    </w:p>
    <w:p w14:paraId="4C9B137E" w14:textId="2E611C1C" w:rsidR="009F426A" w:rsidRPr="004C704C" w:rsidRDefault="00537200" w:rsidP="00537200">
      <w:pPr>
        <w:pStyle w:val="Point0"/>
        <w:rPr>
          <w:noProof/>
          <w:szCs w:val="24"/>
        </w:rPr>
      </w:pPr>
      <w:bookmarkStart w:id="11" w:name="_Toc514938665"/>
      <w:bookmarkStart w:id="12" w:name="_Toc88478664"/>
      <w:r w:rsidRPr="00537200">
        <w:t>(4)</w:t>
      </w:r>
      <w:r w:rsidRPr="00537200">
        <w:tab/>
      </w:r>
      <w:r w:rsidR="009F426A" w:rsidRPr="004C704C">
        <w:rPr>
          <w:noProof/>
        </w:rPr>
        <w:t>Obiectiv(e) specific(e)</w:t>
      </w:r>
      <w:bookmarkEnd w:id="11"/>
      <w:bookmarkEnd w:id="12"/>
      <w:r w:rsidR="009F426A" w:rsidRPr="004C704C">
        <w:rPr>
          <w:noProof/>
        </w:rPr>
        <w:t xml:space="preserve"> </w:t>
      </w:r>
    </w:p>
    <w:p w14:paraId="7447A409" w14:textId="77777777" w:rsidR="009F426A" w:rsidRPr="004C704C" w:rsidRDefault="009F426A" w:rsidP="009F426A">
      <w:pPr>
        <w:pBdr>
          <w:top w:val="single" w:sz="4" w:space="1" w:color="auto"/>
          <w:left w:val="single" w:sz="4" w:space="4" w:color="auto"/>
          <w:bottom w:val="single" w:sz="4" w:space="0" w:color="auto"/>
          <w:right w:val="single" w:sz="4" w:space="4" w:color="auto"/>
        </w:pBdr>
        <w:ind w:left="850"/>
        <w:rPr>
          <w:noProof/>
          <w:color w:val="0000FF"/>
        </w:rPr>
      </w:pPr>
      <w:r w:rsidRPr="004C704C">
        <w:rPr>
          <w:noProof/>
          <w:color w:val="0000FF"/>
        </w:rPr>
        <w:t>1. Sporirea eficacității portalului prin abordarea deficiențelor identificate în feedbackul privind punerea în aplicare, de exemplu actualizarea listei de poluanți raportați, raportarea la nivel de instalație, nu la nivel de unitate</w:t>
      </w:r>
    </w:p>
    <w:p w14:paraId="7B6CD03F" w14:textId="77777777" w:rsidR="009F426A" w:rsidRPr="004C704C" w:rsidRDefault="009F426A" w:rsidP="009F426A">
      <w:pPr>
        <w:pBdr>
          <w:top w:val="single" w:sz="4" w:space="1" w:color="auto"/>
          <w:left w:val="single" w:sz="4" w:space="4" w:color="auto"/>
          <w:bottom w:val="single" w:sz="4" w:space="0" w:color="auto"/>
          <w:right w:val="single" w:sz="4" w:space="4" w:color="auto"/>
        </w:pBdr>
        <w:ind w:left="850"/>
        <w:rPr>
          <w:noProof/>
          <w:color w:val="0000FF"/>
        </w:rPr>
      </w:pPr>
      <w:r w:rsidRPr="004C704C">
        <w:rPr>
          <w:noProof/>
          <w:color w:val="0000FF"/>
        </w:rPr>
        <w:t>2. Aducerea unei contribuții la obiectivele economiei circulare și la producția netoxică prin introducerea obligației de raportare a unor date suplimentare referitoare la consumul de resurse, de exemplu la utilizarea energiei, a apei și a materiilor prime, și prin dinamizarea listei de substanțe raportate, în vederea includerii în aceasta a substanțelor care încep să prezinte motive îngrijorare</w:t>
      </w:r>
    </w:p>
    <w:p w14:paraId="187DFF25" w14:textId="77777777" w:rsidR="009F426A" w:rsidRPr="004C704C" w:rsidRDefault="009F426A" w:rsidP="009F426A">
      <w:pPr>
        <w:pBdr>
          <w:top w:val="single" w:sz="4" w:space="1" w:color="auto"/>
          <w:left w:val="single" w:sz="4" w:space="4" w:color="auto"/>
          <w:bottom w:val="single" w:sz="4" w:space="0" w:color="auto"/>
          <w:right w:val="single" w:sz="4" w:space="4" w:color="auto"/>
        </w:pBdr>
        <w:ind w:left="850"/>
        <w:rPr>
          <w:noProof/>
          <w:color w:val="0000FF"/>
        </w:rPr>
      </w:pPr>
      <w:r w:rsidRPr="004C704C">
        <w:rPr>
          <w:noProof/>
          <w:color w:val="0000FF"/>
        </w:rPr>
        <w:t>3. Aducerea unei contribuții la decarbonizarea industriei prin adunarea de date mai exacte cu privire la emisiile de gaze cu efect de seră generate de activitățile industriale</w:t>
      </w:r>
    </w:p>
    <w:p w14:paraId="34B1E477" w14:textId="77777777" w:rsidR="009F426A" w:rsidRPr="004C704C" w:rsidRDefault="009F426A" w:rsidP="009F426A">
      <w:pPr>
        <w:pBdr>
          <w:top w:val="single" w:sz="4" w:space="1" w:color="auto"/>
          <w:left w:val="single" w:sz="4" w:space="4" w:color="auto"/>
          <w:bottom w:val="single" w:sz="4" w:space="0" w:color="auto"/>
          <w:right w:val="single" w:sz="4" w:space="4" w:color="auto"/>
        </w:pBdr>
        <w:ind w:left="850"/>
        <w:rPr>
          <w:noProof/>
          <w:color w:val="0000FF"/>
        </w:rPr>
      </w:pPr>
      <w:r w:rsidRPr="004C704C">
        <w:rPr>
          <w:noProof/>
          <w:color w:val="0000FF"/>
        </w:rPr>
        <w:t>4. Extinderea domeniului de aplicare sectorial al portalului în vederea îmbunătățirii cunoștințelor cu privire la alte emisii/transferuri industriale semnificative și a coerenței cu acte legislative conexe, în special cu DEI și cu Directiva privind instalațiile medii de ardere</w:t>
      </w:r>
    </w:p>
    <w:p w14:paraId="279681A6" w14:textId="5D62B25A" w:rsidR="009F426A" w:rsidRPr="004C704C" w:rsidRDefault="00537200" w:rsidP="00537200">
      <w:pPr>
        <w:pStyle w:val="Point0"/>
        <w:rPr>
          <w:noProof/>
          <w:szCs w:val="24"/>
        </w:rPr>
      </w:pPr>
      <w:bookmarkStart w:id="13" w:name="_Toc514938666"/>
      <w:bookmarkStart w:id="14" w:name="_Toc88478665"/>
      <w:r w:rsidRPr="00537200">
        <w:t>(5)</w:t>
      </w:r>
      <w:r w:rsidRPr="00537200">
        <w:tab/>
      </w:r>
      <w:r w:rsidR="009F426A" w:rsidRPr="004C704C">
        <w:rPr>
          <w:noProof/>
        </w:rPr>
        <w:t>Rezultatul (rezultatele) și impactul preconizate</w:t>
      </w:r>
      <w:bookmarkEnd w:id="13"/>
      <w:bookmarkEnd w:id="14"/>
    </w:p>
    <w:p w14:paraId="53F87DAB" w14:textId="77777777" w:rsidR="009F426A" w:rsidRPr="004C704C" w:rsidRDefault="009F426A" w:rsidP="009F426A">
      <w:pPr>
        <w:ind w:left="850"/>
        <w:rPr>
          <w:i/>
          <w:noProof/>
          <w:sz w:val="20"/>
        </w:rPr>
      </w:pPr>
      <w:r w:rsidRPr="004C704C">
        <w:rPr>
          <w:i/>
          <w:noProof/>
          <w:sz w:val="20"/>
        </w:rPr>
        <w:t>A se preciza efectele pe care ar trebui să le aibă propunerea/inițiativa asupra beneficiarilor vizați/grupurilor vizate.</w:t>
      </w:r>
    </w:p>
    <w:p w14:paraId="7EF9E415"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Prin propunerea de modificare a regulamentului se vor aborda deficiențele în materie de punere în aplicare identificate în evaluările EPRTR/DEI și se va contribui la realizarea obiectivelor de politică mai ample ale Pactului verde european.</w:t>
      </w:r>
    </w:p>
    <w:p w14:paraId="53AFE719"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Odată cu trecerea la o raportare la nivel de instalație (nu la nivel de unitate) se va reface legătura cu DEI, asigurându-se astfel un indicator mai fiabil al performanței de mediu a instalațiilor industriale.</w:t>
      </w:r>
    </w:p>
    <w:p w14:paraId="1E419276"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Prin furnizarea de date suplimentare cu privire la consumul de resurse și la emisiile de gaze cu efect de seră se va contribui la promovarea unor metode de producție eficiente din punctul de vedere al utilizării resurselor, circulare și fără emisii de dioxid de carbon, identificându-se instalațiile cu rezultate bune și cele cu rezultate slabe. </w:t>
      </w:r>
    </w:p>
    <w:p w14:paraId="549C6D51"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Prin extinderea domeniului de aplicare sectorial se va asigura că portalul oferă o imagine mai exactă a principalelor emisii/transferuri provenite din activitățile industriale ale UE.</w:t>
      </w:r>
    </w:p>
    <w:p w14:paraId="101A9BF6"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Prin actualizarea listei de poluanți din anexa II se va asigura satisfacerea mai precisă a nevoilor actuale și viitoare de informare. </w:t>
      </w:r>
    </w:p>
    <w:p w14:paraId="67DDF68B"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În general, cu ajutorul propunerilor se va asigura că portalul continuă să fie o bază cuprinzătoare și ușor de utilizat de date referitoare la amplasarea și performanța instalațiilor industriale din UE.</w:t>
      </w:r>
    </w:p>
    <w:p w14:paraId="49482BF4" w14:textId="5D493AD4" w:rsidR="009F426A" w:rsidRPr="004C704C" w:rsidRDefault="00537200" w:rsidP="00537200">
      <w:pPr>
        <w:pStyle w:val="Point0"/>
        <w:rPr>
          <w:noProof/>
          <w:szCs w:val="24"/>
        </w:rPr>
      </w:pPr>
      <w:bookmarkStart w:id="15" w:name="_Toc514938667"/>
      <w:bookmarkStart w:id="16" w:name="_Toc88478666"/>
      <w:r w:rsidRPr="00537200">
        <w:t>(6)</w:t>
      </w:r>
      <w:r w:rsidRPr="00537200">
        <w:tab/>
      </w:r>
      <w:r w:rsidR="009F426A" w:rsidRPr="004C704C">
        <w:rPr>
          <w:noProof/>
        </w:rPr>
        <w:t>Indicatori de performanță</w:t>
      </w:r>
      <w:bookmarkEnd w:id="15"/>
      <w:bookmarkEnd w:id="16"/>
      <w:r w:rsidR="009F426A" w:rsidRPr="004C704C">
        <w:rPr>
          <w:noProof/>
        </w:rPr>
        <w:t xml:space="preserve"> </w:t>
      </w:r>
    </w:p>
    <w:p w14:paraId="70CB1A56" w14:textId="77777777" w:rsidR="009F426A" w:rsidRPr="004C704C" w:rsidRDefault="009F426A" w:rsidP="009F426A">
      <w:pPr>
        <w:ind w:left="850"/>
        <w:rPr>
          <w:i/>
          <w:noProof/>
          <w:sz w:val="20"/>
        </w:rPr>
      </w:pPr>
      <w:r w:rsidRPr="004C704C">
        <w:rPr>
          <w:i/>
          <w:noProof/>
          <w:sz w:val="20"/>
        </w:rPr>
        <w:t>A se preciza indicatorii care permit monitorizarea progreselor și a realizărilor obținute.</w:t>
      </w:r>
    </w:p>
    <w:p w14:paraId="3ABE4842" w14:textId="77777777" w:rsidR="009F426A" w:rsidRPr="004C704C" w:rsidRDefault="009F426A" w:rsidP="009F426A">
      <w:pPr>
        <w:pBdr>
          <w:top w:val="single" w:sz="4" w:space="1" w:color="auto"/>
          <w:left w:val="single" w:sz="4" w:space="1" w:color="auto"/>
          <w:bottom w:val="single" w:sz="4" w:space="1" w:color="auto"/>
          <w:right w:val="single" w:sz="4" w:space="1" w:color="auto"/>
        </w:pBdr>
        <w:ind w:left="850"/>
        <w:rPr>
          <w:noProof/>
          <w:color w:val="0000FF"/>
        </w:rPr>
      </w:pPr>
      <w:r w:rsidRPr="004C704C">
        <w:rPr>
          <w:noProof/>
          <w:color w:val="0000FF"/>
        </w:rPr>
        <w:t>Portalul va conține informații, inclusiv despre emisiile totale de poluanți pe instalație, ceea ce va constitui un indicator-cheie pentru urmărirea progreselor înregistrate de DEI revizuită în ceea ce privește reducerea impactului asupra mediului. Acești indicatori vor continua să fie produși anual, într-un mod comparabil și ușor de accesat prin intermediul portalului, gestionat de Agenția Europeană de Mediu (AEM).</w:t>
      </w:r>
    </w:p>
    <w:p w14:paraId="30E6DEEC" w14:textId="77777777" w:rsidR="009F426A" w:rsidRPr="004C704C" w:rsidRDefault="009F426A" w:rsidP="009F426A">
      <w:pPr>
        <w:pBdr>
          <w:top w:val="single" w:sz="4" w:space="1" w:color="auto"/>
          <w:left w:val="single" w:sz="4" w:space="1" w:color="auto"/>
          <w:bottom w:val="single" w:sz="4" w:space="1" w:color="auto"/>
          <w:right w:val="single" w:sz="4" w:space="1" w:color="auto"/>
        </w:pBdr>
        <w:ind w:left="850"/>
        <w:rPr>
          <w:noProof/>
          <w:color w:val="0000FF"/>
        </w:rPr>
      </w:pPr>
      <w:r w:rsidRPr="004C704C">
        <w:rPr>
          <w:noProof/>
          <w:color w:val="0000FF"/>
        </w:rPr>
        <w:t>Granularitatea sporită a raportării emisiilor poluante la nivel de instalație va permite monitorizarea principalelor activități, și anume a activităților a căror performanță de mediu se îmbunătățește sau rămâne în urmă.</w:t>
      </w:r>
    </w:p>
    <w:p w14:paraId="2402E07F" w14:textId="77777777" w:rsidR="009F426A" w:rsidRPr="004C704C" w:rsidRDefault="009F426A" w:rsidP="009F426A">
      <w:pPr>
        <w:pBdr>
          <w:top w:val="single" w:sz="4" w:space="1" w:color="auto"/>
          <w:left w:val="single" w:sz="4" w:space="1" w:color="auto"/>
          <w:bottom w:val="single" w:sz="4" w:space="1" w:color="auto"/>
          <w:right w:val="single" w:sz="4" w:space="1" w:color="auto"/>
        </w:pBdr>
        <w:ind w:left="850"/>
        <w:rPr>
          <w:b/>
          <w:noProof/>
          <w:color w:val="0000FF"/>
          <w:u w:val="single"/>
        </w:rPr>
      </w:pPr>
      <w:r w:rsidRPr="004C704C">
        <w:rPr>
          <w:noProof/>
          <w:color w:val="0000FF"/>
        </w:rPr>
        <w:t>Includerea raportării privind utilizarea de resurse va permite definirea de noi indicatori privind utilizarea materiilor, a apei și a energiei, cu ajutorul cărora se vor putea urmări îmbunătățirile în materie de utilizare eficientă a resurselor.</w:t>
      </w:r>
    </w:p>
    <w:p w14:paraId="1D6B3D08" w14:textId="77777777" w:rsidR="009F426A" w:rsidRPr="004C704C" w:rsidRDefault="009F426A" w:rsidP="009F426A">
      <w:pPr>
        <w:pBdr>
          <w:top w:val="single" w:sz="4" w:space="1" w:color="auto"/>
          <w:left w:val="single" w:sz="4" w:space="1" w:color="auto"/>
          <w:bottom w:val="single" w:sz="4" w:space="1" w:color="auto"/>
          <w:right w:val="single" w:sz="4" w:space="1" w:color="auto"/>
        </w:pBdr>
        <w:ind w:left="850"/>
        <w:rPr>
          <w:noProof/>
          <w:color w:val="0000FF"/>
          <w:sz w:val="2"/>
          <w:lang w:eastAsia="en-GB"/>
        </w:rPr>
      </w:pPr>
    </w:p>
    <w:p w14:paraId="36112E07" w14:textId="0102A38E" w:rsidR="009F426A" w:rsidRPr="004C704C" w:rsidRDefault="00537200" w:rsidP="00537200">
      <w:pPr>
        <w:pStyle w:val="Point0"/>
        <w:rPr>
          <w:noProof/>
          <w:szCs w:val="24"/>
        </w:rPr>
      </w:pPr>
      <w:bookmarkStart w:id="17" w:name="_Toc514938668"/>
      <w:bookmarkStart w:id="18" w:name="_Toc88478667"/>
      <w:r w:rsidRPr="00537200">
        <w:t>(7)</w:t>
      </w:r>
      <w:r w:rsidRPr="00537200">
        <w:tab/>
      </w:r>
      <w:r w:rsidR="009F426A" w:rsidRPr="004C704C">
        <w:rPr>
          <w:noProof/>
        </w:rPr>
        <w:t>Motivele propunerii/inițiativei</w:t>
      </w:r>
      <w:bookmarkEnd w:id="17"/>
      <w:bookmarkEnd w:id="18"/>
      <w:r w:rsidR="009F426A" w:rsidRPr="004C704C">
        <w:rPr>
          <w:noProof/>
        </w:rPr>
        <w:t xml:space="preserve"> </w:t>
      </w:r>
    </w:p>
    <w:p w14:paraId="4C1F9F61" w14:textId="1958DC28" w:rsidR="009F426A" w:rsidRPr="004C704C" w:rsidRDefault="00537200" w:rsidP="00537200">
      <w:pPr>
        <w:pStyle w:val="Point0"/>
        <w:rPr>
          <w:noProof/>
        </w:rPr>
      </w:pPr>
      <w:bookmarkStart w:id="19" w:name="_Toc514938669"/>
      <w:bookmarkStart w:id="20" w:name="_Toc88478668"/>
      <w:r w:rsidRPr="00537200">
        <w:t>(8)</w:t>
      </w:r>
      <w:r w:rsidRPr="00537200">
        <w:tab/>
      </w:r>
      <w:r w:rsidR="009F426A" w:rsidRPr="004C704C">
        <w:rPr>
          <w:noProof/>
        </w:rPr>
        <w:t>Cerința (cerințele) care trebuie îndeplinită (îndeplinite) pe termen scurt sau lung, inclusiv un calendar detaliat pentru punerea în aplicare a inițiativei</w:t>
      </w:r>
      <w:bookmarkEnd w:id="19"/>
      <w:bookmarkEnd w:id="20"/>
    </w:p>
    <w:p w14:paraId="74322819" w14:textId="77777777" w:rsidR="009F426A" w:rsidRPr="004C704C" w:rsidRDefault="009F426A" w:rsidP="009F426A">
      <w:pPr>
        <w:pBdr>
          <w:top w:val="single" w:sz="4" w:space="1" w:color="auto"/>
          <w:left w:val="single" w:sz="4" w:space="0" w:color="auto"/>
          <w:bottom w:val="single" w:sz="4" w:space="1" w:color="auto"/>
          <w:right w:val="single" w:sz="4" w:space="1" w:color="auto"/>
        </w:pBdr>
        <w:ind w:left="850"/>
        <w:rPr>
          <w:noProof/>
          <w:color w:val="0000FF"/>
        </w:rPr>
      </w:pPr>
      <w:r w:rsidRPr="004C704C">
        <w:rPr>
          <w:noProof/>
          <w:color w:val="0000FF"/>
        </w:rPr>
        <w:t xml:space="preserve">Conform prezentei fișe financiare, AEM va primi finanțarea necesară pentru a crea un portal îmbunătățit, extins, ușor de utilizat și pe deplin operațional al emisiilor industriale. Portalul înlocuiește EPRTR (Registrul European al Poluanților Emiși și Transferați). </w:t>
      </w:r>
    </w:p>
    <w:p w14:paraId="43393B72" w14:textId="77777777" w:rsidR="009F426A" w:rsidRPr="004C704C" w:rsidRDefault="009F426A" w:rsidP="009F426A">
      <w:pPr>
        <w:pBdr>
          <w:top w:val="single" w:sz="4" w:space="1" w:color="auto"/>
          <w:left w:val="single" w:sz="4" w:space="0" w:color="auto"/>
          <w:bottom w:val="single" w:sz="4" w:space="1" w:color="auto"/>
          <w:right w:val="single" w:sz="4" w:space="1" w:color="auto"/>
        </w:pBdr>
        <w:ind w:left="850"/>
        <w:rPr>
          <w:b/>
          <w:noProof/>
          <w:color w:val="0000FF"/>
        </w:rPr>
      </w:pPr>
      <w:r w:rsidRPr="004C704C">
        <w:rPr>
          <w:b/>
          <w:noProof/>
          <w:color w:val="0000FF"/>
        </w:rPr>
        <w:t>Calendar:</w:t>
      </w:r>
    </w:p>
    <w:p w14:paraId="05AA61B4" w14:textId="77777777" w:rsidR="009F426A" w:rsidRPr="004C704C" w:rsidRDefault="009F426A" w:rsidP="009F426A">
      <w:pPr>
        <w:pBdr>
          <w:top w:val="single" w:sz="4" w:space="1" w:color="auto"/>
          <w:left w:val="single" w:sz="4" w:space="0" w:color="auto"/>
          <w:bottom w:val="single" w:sz="4" w:space="1" w:color="auto"/>
          <w:right w:val="single" w:sz="4" w:space="1" w:color="auto"/>
        </w:pBdr>
        <w:ind w:left="850"/>
        <w:rPr>
          <w:b/>
          <w:noProof/>
          <w:color w:val="0000FF"/>
        </w:rPr>
      </w:pPr>
      <w:r w:rsidRPr="004C704C">
        <w:rPr>
          <w:noProof/>
          <w:color w:val="0000FF"/>
        </w:rPr>
        <w:t xml:space="preserve">- </w:t>
      </w:r>
      <w:r w:rsidRPr="004C704C">
        <w:rPr>
          <w:b/>
          <w:noProof/>
          <w:color w:val="0000FF"/>
        </w:rPr>
        <w:t xml:space="preserve">T1-T2 2024 – </w:t>
      </w:r>
      <w:r w:rsidRPr="004C704C">
        <w:rPr>
          <w:noProof/>
          <w:color w:val="0000FF"/>
        </w:rPr>
        <w:t>lucrări pregătitoare: activități de analiză pentru proiectarea unor module suplimentare necesare pentru alinierea portalului la domeniul de aplicare extins al DEI și pentru asigurarea raportării de date cu privire la utilizarea de resurse (materii, apă, energie), nu doar de date referitoare la emisiile de poluanți</w:t>
      </w:r>
    </w:p>
    <w:p w14:paraId="7472EF55" w14:textId="77777777" w:rsidR="009F426A" w:rsidRPr="004C704C" w:rsidRDefault="009F426A" w:rsidP="009F426A">
      <w:pPr>
        <w:pBdr>
          <w:top w:val="single" w:sz="4" w:space="1" w:color="auto"/>
          <w:left w:val="single" w:sz="4" w:space="0" w:color="auto"/>
          <w:bottom w:val="single" w:sz="4" w:space="1" w:color="auto"/>
          <w:right w:val="single" w:sz="4" w:space="1" w:color="auto"/>
        </w:pBdr>
        <w:ind w:left="850"/>
        <w:rPr>
          <w:noProof/>
          <w:color w:val="0000FF"/>
        </w:rPr>
      </w:pPr>
      <w:r w:rsidRPr="004C704C">
        <w:rPr>
          <w:b/>
          <w:noProof/>
          <w:color w:val="0000FF"/>
        </w:rPr>
        <w:t xml:space="preserve">- T3 2024 – </w:t>
      </w:r>
      <w:r w:rsidRPr="004C704C">
        <w:rPr>
          <w:noProof/>
          <w:color w:val="0000FF"/>
        </w:rPr>
        <w:t>faza de testare a noului portal</w:t>
      </w:r>
    </w:p>
    <w:p w14:paraId="785491E0" w14:textId="77777777" w:rsidR="009F426A" w:rsidRPr="004C704C" w:rsidRDefault="009F426A" w:rsidP="009F426A">
      <w:pPr>
        <w:pBdr>
          <w:top w:val="single" w:sz="4" w:space="1" w:color="auto"/>
          <w:left w:val="single" w:sz="4" w:space="0" w:color="auto"/>
          <w:bottom w:val="single" w:sz="4" w:space="1" w:color="auto"/>
          <w:right w:val="single" w:sz="4" w:space="1" w:color="auto"/>
        </w:pBdr>
        <w:ind w:left="850"/>
        <w:rPr>
          <w:noProof/>
          <w:color w:val="0000FF"/>
          <w:highlight w:val="yellow"/>
        </w:rPr>
      </w:pPr>
      <w:r w:rsidRPr="004C704C">
        <w:rPr>
          <w:b/>
          <w:noProof/>
          <w:color w:val="0000FF"/>
        </w:rPr>
        <w:t xml:space="preserve">- T1 2025 – </w:t>
      </w:r>
      <w:r w:rsidRPr="004C704C">
        <w:rPr>
          <w:noProof/>
          <w:color w:val="0000FF"/>
        </w:rPr>
        <w:t xml:space="preserve">lansarea portalului actualizat: colectarea, asigurarea calității și publicarea datelor </w:t>
      </w:r>
    </w:p>
    <w:p w14:paraId="5F6D4445" w14:textId="74DE9075" w:rsidR="009F426A" w:rsidRPr="004C704C" w:rsidRDefault="00537200" w:rsidP="00537200">
      <w:pPr>
        <w:pStyle w:val="Point0"/>
        <w:rPr>
          <w:noProof/>
          <w:szCs w:val="24"/>
        </w:rPr>
      </w:pPr>
      <w:bookmarkStart w:id="21" w:name="_Toc514938670"/>
      <w:bookmarkStart w:id="22" w:name="_Toc88478669"/>
      <w:r w:rsidRPr="00537200">
        <w:t>(9)</w:t>
      </w:r>
      <w:r w:rsidRPr="00537200">
        <w:tab/>
      </w:r>
      <w:r w:rsidR="009F426A" w:rsidRPr="004C704C">
        <w:rPr>
          <w:noProof/>
        </w:rPr>
        <w:t>Valoarea adăugată a intervenției Uniunii (aceasta poate rezulta din diferiți factori, de exemplu mai buna coordonare, securitatea juridică, o mai mare eficacitate sau complementarități). În sensul prezentului punct, „valoarea adăugată a intervenției Uniunii” este valoarea ce rezultă din intervenția Uniunii care depășește valoarea ce ar fi fost obținută dacă ar fi acționat doar statele membre.</w:t>
      </w:r>
      <w:bookmarkEnd w:id="21"/>
      <w:bookmarkEnd w:id="22"/>
    </w:p>
    <w:p w14:paraId="7DE0FBAE"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b/>
          <w:noProof/>
          <w:color w:val="0000FF"/>
        </w:rPr>
      </w:pPr>
      <w:r w:rsidRPr="004C704C">
        <w:rPr>
          <w:b/>
          <w:noProof/>
          <w:color w:val="0000FF"/>
        </w:rPr>
        <w:t>Motivele acțiunii la nivel european (</w:t>
      </w:r>
      <w:r w:rsidRPr="004C704C">
        <w:rPr>
          <w:b/>
          <w:i/>
          <w:noProof/>
          <w:color w:val="0000FF"/>
        </w:rPr>
        <w:t>ex ante</w:t>
      </w:r>
      <w:r w:rsidRPr="004C704C">
        <w:rPr>
          <w:b/>
          <w:noProof/>
          <w:color w:val="0000FF"/>
        </w:rPr>
        <w:t>)</w:t>
      </w:r>
    </w:p>
    <w:p w14:paraId="3B2442A3"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În absența unei abordări comune la nivelul UE pentru stabilirea cerințelor de raportare, ar fi extrem de dificil să se compare performanța de mediu a instalațiilor din diferite state membre. În plus, standardele de raportare ale UE sunt adoptate dincolo de cadrul UE-27, ceea ce înseamnă că sunt disponibile date comparabile despre mediul și pentru instalațiile din țările AELS și din țările în curs de aderare la UE.</w:t>
      </w:r>
    </w:p>
    <w:p w14:paraId="791D4DF0" w14:textId="7FB49CC5" w:rsidR="009F426A" w:rsidRPr="004C704C" w:rsidRDefault="009F426A" w:rsidP="009F426A">
      <w:pPr>
        <w:pBdr>
          <w:top w:val="single" w:sz="4" w:space="1" w:color="auto"/>
          <w:left w:val="single" w:sz="4" w:space="4" w:color="auto"/>
          <w:bottom w:val="single" w:sz="4" w:space="1" w:color="auto"/>
          <w:right w:val="single" w:sz="4" w:space="4" w:color="auto"/>
        </w:pBdr>
        <w:ind w:left="850"/>
        <w:rPr>
          <w:b/>
          <w:noProof/>
          <w:color w:val="0000FF"/>
        </w:rPr>
      </w:pPr>
      <w:r w:rsidRPr="004C704C">
        <w:rPr>
          <w:b/>
          <w:noProof/>
          <w:color w:val="0000FF"/>
        </w:rPr>
        <w:t>Valoarea adăugată pe care se preconizează că o va avea intervenția Uniunii (</w:t>
      </w:r>
      <w:r w:rsidRPr="004C704C">
        <w:rPr>
          <w:b/>
          <w:i/>
          <w:noProof/>
          <w:color w:val="0000FF"/>
        </w:rPr>
        <w:t>ex</w:t>
      </w:r>
      <w:r w:rsidR="00CD4EBD">
        <w:rPr>
          <w:b/>
          <w:i/>
          <w:noProof/>
          <w:color w:val="0000FF"/>
        </w:rPr>
        <w:t> </w:t>
      </w:r>
      <w:r w:rsidRPr="004C704C">
        <w:rPr>
          <w:b/>
          <w:i/>
          <w:noProof/>
          <w:color w:val="0000FF"/>
        </w:rPr>
        <w:t>post</w:t>
      </w:r>
      <w:r w:rsidRPr="004C704C">
        <w:rPr>
          <w:b/>
          <w:noProof/>
          <w:color w:val="0000FF"/>
        </w:rPr>
        <w:t xml:space="preserve">) </w:t>
      </w:r>
    </w:p>
    <w:p w14:paraId="7443F183"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highlight w:val="yellow"/>
        </w:rPr>
      </w:pPr>
      <w:r w:rsidRPr="004C704C">
        <w:rPr>
          <w:noProof/>
          <w:color w:val="0000FF"/>
        </w:rPr>
        <w:t xml:space="preserve">Portalul oferă informații utilizate de toate statele membre, reducând la minimum necesitatea ca fiecare stat membru să își stabilească propriile procese naționale. Se facilitează astfel comparabilitatea datelor. </w:t>
      </w:r>
    </w:p>
    <w:p w14:paraId="6D951C35"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În plus, instalațiile industriale care intră sub incidența regulamentului, al DEI și al Directivei Seveso III sunt adesea monitorizate de diferite autorități competente din statele membre. Portalul va integra însă aceste informații într-un singur „ghișeu unic” centralizat. Portalul va asigura legături actualizate cu baze de date și surse de informații separate care oferă informații contextuale, cum ar fi despre calitatea aerului și a apei în vecinătatea instalațiilor. Se asigură astfel informații abundente cu privire la diverse aspecte care au legătură cu aceste instalații industriale; informații valoroase pentru autoritățile competente, industrii, ONG-uri, public și Comisie (în scopul elaborării de politici și al îmbunătățirii punerii în aplicare). </w:t>
      </w:r>
    </w:p>
    <w:p w14:paraId="0C681392" w14:textId="597EE9DC" w:rsidR="009F426A" w:rsidRPr="004C704C" w:rsidRDefault="00537200" w:rsidP="00537200">
      <w:pPr>
        <w:pStyle w:val="Point0"/>
        <w:rPr>
          <w:noProof/>
        </w:rPr>
      </w:pPr>
      <w:bookmarkStart w:id="23" w:name="_Toc514938671"/>
      <w:bookmarkStart w:id="24" w:name="_Toc88478670"/>
      <w:r w:rsidRPr="00537200">
        <w:t>(10)</w:t>
      </w:r>
      <w:r w:rsidRPr="00537200">
        <w:tab/>
      </w:r>
      <w:r w:rsidR="009F426A" w:rsidRPr="004C704C">
        <w:rPr>
          <w:noProof/>
        </w:rPr>
        <w:t>Învățăminte desprinse din experiențele anterioare similare</w:t>
      </w:r>
      <w:bookmarkEnd w:id="23"/>
      <w:bookmarkEnd w:id="24"/>
    </w:p>
    <w:p w14:paraId="0FC37453"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Prin prezenta propunere va fi a doua oară când inventarul european al emisiilor industriale este modificat. </w:t>
      </w:r>
    </w:p>
    <w:p w14:paraId="5852550A"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În 2000 a fost creat primul inventar al emisiilor din Europa (Registrul European al Poluanților Emiși; EPER), o consecință directă a articolului 15 alineatul (3) din Directiva IPPC din 1996 (predecesoarea DEI). La articolul 15 alineatul (3) se prevedea:</w:t>
      </w:r>
    </w:p>
    <w:p w14:paraId="69954602"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i/>
          <w:noProof/>
          <w:color w:val="0000FF"/>
        </w:rPr>
      </w:pPr>
      <w:r w:rsidRPr="004C704C">
        <w:rPr>
          <w:i/>
          <w:noProof/>
          <w:color w:val="0000FF"/>
        </w:rPr>
        <w:t>„La interval de trei ani, Comisia publică un inventar al principalelor emisii și al surselor acestora, pe baza datelor furnizate de către statele membre. Comisia stabilește formatul și detaliile necesare pentru transmiterea informațiilor în conformitate cu procedura prevăzută la articolul 19.</w:t>
      </w:r>
    </w:p>
    <w:p w14:paraId="1EABB1B7"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i/>
          <w:noProof/>
          <w:color w:val="0000FF"/>
        </w:rPr>
      </w:pPr>
      <w:r w:rsidRPr="004C704C">
        <w:rPr>
          <w:i/>
          <w:noProof/>
          <w:color w:val="0000FF"/>
        </w:rPr>
        <w:t>În conformitate cu aceeași procedură, Comisia poate propune măsuri pentru a asigura intercompatibilitatea și complementaritatea dintre datele privind inventarul emisiilor la care se face referire în primul paragraf și datele din alte înregistrări și surse de date privind emisiile.”</w:t>
      </w:r>
    </w:p>
    <w:p w14:paraId="3BCD7E0A"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În 2006, EPER a fost înlocuit de EPRTR (Registrul European al Poluanților Emiși și Transferați) pentru ca UE să își îndeplinească obligațiile internaționale care îi revin în temeiul Protocolului de la Kiev al CEE-ONU la Convenția de la Aarhus privind accesul la informațiile despre mediu. </w:t>
      </w:r>
    </w:p>
    <w:p w14:paraId="55692730" w14:textId="04700BBC" w:rsidR="009F426A" w:rsidRPr="004C704C" w:rsidRDefault="00537200" w:rsidP="00537200">
      <w:pPr>
        <w:pStyle w:val="Point0"/>
        <w:rPr>
          <w:noProof/>
        </w:rPr>
      </w:pPr>
      <w:bookmarkStart w:id="25" w:name="_Toc514938672"/>
      <w:bookmarkStart w:id="26" w:name="_Toc88478671"/>
      <w:r w:rsidRPr="00537200">
        <w:t>(11)</w:t>
      </w:r>
      <w:r w:rsidRPr="00537200">
        <w:tab/>
      </w:r>
      <w:r w:rsidR="009F426A" w:rsidRPr="004C704C">
        <w:rPr>
          <w:noProof/>
        </w:rPr>
        <w:t>Compatibilitatea cu cadrul financiar multianual și posibilele sinergii cu alte instrumente corespunzătoare</w:t>
      </w:r>
      <w:bookmarkEnd w:id="25"/>
      <w:bookmarkEnd w:id="26"/>
    </w:p>
    <w:p w14:paraId="3E11494F" w14:textId="4014BDFD"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Prezenta acțiune concordă cu alte politici și inițiative în curs ale UE care decurg din Pactul verde european.</w:t>
      </w:r>
      <w:r w:rsidR="003D1459">
        <w:rPr>
          <w:noProof/>
          <w:color w:val="0000FF"/>
        </w:rPr>
        <w:t xml:space="preserve"> </w:t>
      </w:r>
    </w:p>
    <w:p w14:paraId="3836329E" w14:textId="6D55822E" w:rsidR="009F426A" w:rsidRPr="004C704C" w:rsidRDefault="00537200" w:rsidP="00537200">
      <w:pPr>
        <w:pStyle w:val="Point0"/>
        <w:rPr>
          <w:noProof/>
        </w:rPr>
      </w:pPr>
      <w:bookmarkStart w:id="27" w:name="_Toc514938673"/>
      <w:bookmarkStart w:id="28" w:name="_Toc88478672"/>
      <w:r w:rsidRPr="00537200">
        <w:t>(12)</w:t>
      </w:r>
      <w:r w:rsidRPr="00537200">
        <w:tab/>
      </w:r>
      <w:r w:rsidR="009F426A" w:rsidRPr="004C704C">
        <w:rPr>
          <w:noProof/>
        </w:rPr>
        <w:t>Evaluarea diferitelor opțiuni de finanțare disponibile, inclusiv a posibilităților de realocare a creditelor</w:t>
      </w:r>
      <w:bookmarkEnd w:id="27"/>
      <w:bookmarkEnd w:id="28"/>
    </w:p>
    <w:p w14:paraId="1240A5DA"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Opțiunea reținută este ca AEM să continue să gestioneze portalul și să introducă toate modificările suplimentare sub supravegherea DG ENV. Avantajele acestei opțiuni sunt:</w:t>
      </w:r>
    </w:p>
    <w:p w14:paraId="5527567D"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(1) o valoare adăugată evidentă în asigurarea unei abordări coerente în întreaga UE, care va fi exportată în protocol, care este, de asemenea, criteriul de referință mondial utilizat de alte continente (de exemplu, America de Sud, Japonia și OCDE în general); </w:t>
      </w:r>
    </w:p>
    <w:p w14:paraId="612DDF63"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(2) sinergii evidente cu rolul AEM în gestionarea informațiilor de mediu legate de calitatea aerului, calitatea apei etc.</w:t>
      </w:r>
    </w:p>
    <w:p w14:paraId="37DFBAF9"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b/>
          <w:noProof/>
          <w:color w:val="0000FF"/>
          <w:u w:val="single"/>
        </w:rPr>
      </w:pPr>
      <w:r w:rsidRPr="004C704C">
        <w:rPr>
          <w:b/>
          <w:noProof/>
          <w:color w:val="0000FF"/>
          <w:u w:val="single"/>
        </w:rPr>
        <w:t>Alte opțiuni examinate:</w:t>
      </w:r>
    </w:p>
    <w:p w14:paraId="1D14AC6A"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 xml:space="preserve">Utilizarea exclusivă a PRTR-urilor dezvoltate de </w:t>
      </w:r>
      <w:r w:rsidRPr="004C704C">
        <w:rPr>
          <w:i/>
          <w:noProof/>
          <w:color w:val="0000FF"/>
        </w:rPr>
        <w:t>statele membre</w:t>
      </w:r>
      <w:r w:rsidRPr="004C704C">
        <w:rPr>
          <w:noProof/>
          <w:color w:val="0000FF"/>
        </w:rPr>
        <w:t>.</w:t>
      </w:r>
      <w:r w:rsidRPr="004C704C">
        <w:rPr>
          <w:i/>
          <w:noProof/>
          <w:color w:val="0000FF"/>
        </w:rPr>
        <w:t xml:space="preserve"> </w:t>
      </w:r>
      <w:r w:rsidRPr="004C704C">
        <w:rPr>
          <w:noProof/>
          <w:color w:val="0000FF"/>
        </w:rPr>
        <w:t>În calitate de parte la Convenția de la Aarhus și la protocolul la aceasta, UE are obligația de a-și respecta angajamentele. Întrucât și statele membre sunt părți la protocol, toate obligațiile prevăzute în acesta ar fi putut teoretic să fie stabilite în legislația națională a statelor membre. În acest caz nu ar fi existat însă nicio garanție a unei aplicări coerente în întreaga UE, deoarece protocolul conține opțiuni pentru punerea în aplicare a anumitor dispoziții. De exemplu, activitățile care intră în domeniul său de aplicare pot fi definite fie pe baza pragurilor de capacitate, fie pe baza pragurilor de angajați. Prin crearea portalului se reduce la minimum necesitatea ca fiecare stat membru să își stabilească propriile procese naționale și se facilitează comparabilitatea datelor.</w:t>
      </w:r>
    </w:p>
    <w:p w14:paraId="3D271CB3" w14:textId="451FBAFE" w:rsidR="009F426A" w:rsidRPr="004C704C" w:rsidRDefault="00537200" w:rsidP="00537200">
      <w:pPr>
        <w:pStyle w:val="Point0"/>
        <w:rPr>
          <w:noProof/>
        </w:rPr>
      </w:pPr>
      <w:bookmarkStart w:id="29" w:name="_Toc514938674"/>
      <w:r w:rsidRPr="00537200">
        <w:t>(13)</w:t>
      </w:r>
      <w:r w:rsidRPr="00537200">
        <w:tab/>
      </w:r>
      <w:r w:rsidR="009F426A" w:rsidRPr="004C704C">
        <w:rPr>
          <w:noProof/>
        </w:rPr>
        <w:t>Durata și impactul financiar ale propunerii/inițiativei</w:t>
      </w:r>
      <w:bookmarkEnd w:id="29"/>
    </w:p>
    <w:p w14:paraId="2084CFBA" w14:textId="77777777" w:rsidR="009F426A" w:rsidRPr="004C704C" w:rsidRDefault="009F426A" w:rsidP="009F426A">
      <w:pPr>
        <w:ind w:left="850"/>
        <w:rPr>
          <w:noProof/>
        </w:rPr>
      </w:pPr>
      <w:r w:rsidRPr="004C704C">
        <w:rPr>
          <w:noProof/>
        </w:rPr>
        <w:sym w:font="Wingdings" w:char="F0A8"/>
      </w:r>
      <w:r w:rsidRPr="004C704C">
        <w:rPr>
          <w:b/>
          <w:i/>
          <w:noProof/>
        </w:rPr>
        <w:t xml:space="preserve"> </w:t>
      </w:r>
      <w:r w:rsidRPr="004C704C">
        <w:rPr>
          <w:b/>
          <w:noProof/>
        </w:rPr>
        <w:t xml:space="preserve">Durată limitată </w:t>
      </w:r>
    </w:p>
    <w:p w14:paraId="2221DE1A"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 xml:space="preserve">Propunere/inițiativă în vigoare de la [ZZ/LL]AAAA până la [ZZ/LL]AAAA </w:t>
      </w:r>
    </w:p>
    <w:p w14:paraId="08524285"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Impact financiar din AAAA până în AAAA</w:t>
      </w:r>
    </w:p>
    <w:p w14:paraId="56CEAF33" w14:textId="77777777" w:rsidR="009F426A" w:rsidRPr="004C704C" w:rsidRDefault="009F426A" w:rsidP="009F426A">
      <w:pPr>
        <w:ind w:left="850"/>
        <w:rPr>
          <w:noProof/>
        </w:rPr>
      </w:pPr>
      <w:r w:rsidRPr="004C704C">
        <w:rPr>
          <w:noProof/>
        </w:rPr>
        <w:sym w:font="Wingdings" w:char="F078"/>
      </w:r>
      <w:r w:rsidRPr="004C704C">
        <w:rPr>
          <w:b/>
          <w:i/>
          <w:noProof/>
        </w:rPr>
        <w:t xml:space="preserve"> </w:t>
      </w:r>
      <w:r w:rsidRPr="004C704C">
        <w:rPr>
          <w:b/>
          <w:noProof/>
        </w:rPr>
        <w:t>Durată nelimitată</w:t>
      </w:r>
    </w:p>
    <w:p w14:paraId="52240AEC" w14:textId="77777777" w:rsidR="009F426A" w:rsidRPr="004C704C" w:rsidRDefault="009F426A" w:rsidP="009F426A">
      <w:pPr>
        <w:tabs>
          <w:tab w:val="num" w:pos="1134"/>
        </w:tabs>
        <w:ind w:left="851"/>
        <w:rPr>
          <w:noProof/>
        </w:rPr>
      </w:pPr>
      <w:r w:rsidRPr="004C704C">
        <w:rPr>
          <w:noProof/>
        </w:rPr>
        <w:t>Punere în aplicare cu o perioadă de creștere în intensitate din 2022 până în 2025, urmată de o perioadă de funcționare la capacitate maximă.</w:t>
      </w:r>
    </w:p>
    <w:p w14:paraId="4BC3DFF1" w14:textId="31D7F6B1" w:rsidR="009F426A" w:rsidRPr="004C704C" w:rsidRDefault="00537200" w:rsidP="00537200">
      <w:pPr>
        <w:pStyle w:val="Point0"/>
        <w:rPr>
          <w:noProof/>
          <w:szCs w:val="24"/>
        </w:rPr>
      </w:pPr>
      <w:bookmarkStart w:id="30" w:name="_Toc514938675"/>
      <w:bookmarkStart w:id="31" w:name="_Toc88478673"/>
      <w:r w:rsidRPr="00537200">
        <w:t>(14)</w:t>
      </w:r>
      <w:r w:rsidRPr="00537200">
        <w:tab/>
      </w:r>
      <w:r w:rsidR="009F426A" w:rsidRPr="004C704C">
        <w:rPr>
          <w:noProof/>
        </w:rPr>
        <w:t>Modul (modurile) de gestiune preconizat(e)</w:t>
      </w:r>
      <w:r w:rsidR="009F426A" w:rsidRPr="004C704C">
        <w:rPr>
          <w:rStyle w:val="FootnoteReference"/>
          <w:noProof/>
        </w:rPr>
        <w:footnoteReference w:id="63"/>
      </w:r>
      <w:bookmarkEnd w:id="30"/>
      <w:bookmarkEnd w:id="31"/>
      <w:r w:rsidR="009F426A" w:rsidRPr="004C704C">
        <w:rPr>
          <w:noProof/>
          <w:vertAlign w:val="superscript"/>
        </w:rPr>
        <w:t xml:space="preserve"> </w:t>
      </w:r>
    </w:p>
    <w:p w14:paraId="34730315" w14:textId="77777777" w:rsidR="009F426A" w:rsidRPr="004C704C" w:rsidRDefault="009F426A" w:rsidP="009F426A">
      <w:pPr>
        <w:ind w:left="850"/>
        <w:rPr>
          <w:noProof/>
        </w:rPr>
      </w:pPr>
      <w:r w:rsidRPr="004C704C">
        <w:rPr>
          <w:noProof/>
        </w:rPr>
        <w:sym w:font="Wingdings" w:char="F0A8"/>
      </w:r>
      <w:r w:rsidRPr="004C704C">
        <w:rPr>
          <w:i/>
          <w:noProof/>
        </w:rPr>
        <w:t xml:space="preserve"> </w:t>
      </w:r>
      <w:r w:rsidRPr="004C704C">
        <w:rPr>
          <w:b/>
          <w:noProof/>
        </w:rPr>
        <w:t>Gestiune directă</w:t>
      </w:r>
      <w:r w:rsidRPr="004C704C">
        <w:rPr>
          <w:noProof/>
        </w:rPr>
        <w:t xml:space="preserve"> asigurată de Comisie prin</w:t>
      </w:r>
    </w:p>
    <w:p w14:paraId="3B4A1100"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 xml:space="preserve">agenții executive </w:t>
      </w:r>
    </w:p>
    <w:p w14:paraId="237AF4B5" w14:textId="77777777" w:rsidR="009F426A" w:rsidRPr="004C704C" w:rsidRDefault="009F426A" w:rsidP="009F426A">
      <w:pPr>
        <w:ind w:left="850"/>
        <w:rPr>
          <w:noProof/>
        </w:rPr>
      </w:pPr>
      <w:r w:rsidRPr="004C704C">
        <w:rPr>
          <w:noProof/>
        </w:rPr>
        <w:sym w:font="Wingdings" w:char="F0A8"/>
      </w:r>
      <w:r w:rsidRPr="004C704C">
        <w:rPr>
          <w:b/>
          <w:i/>
          <w:noProof/>
        </w:rPr>
        <w:t xml:space="preserve"> </w:t>
      </w:r>
      <w:r w:rsidRPr="004C704C">
        <w:rPr>
          <w:b/>
          <w:noProof/>
        </w:rPr>
        <w:t>Gestiune partajată</w:t>
      </w:r>
      <w:r w:rsidRPr="004C704C">
        <w:rPr>
          <w:noProof/>
        </w:rPr>
        <w:t xml:space="preserve"> cu statele membre </w:t>
      </w:r>
    </w:p>
    <w:p w14:paraId="3F0A9713" w14:textId="77777777" w:rsidR="009F426A" w:rsidRPr="004C704C" w:rsidRDefault="009F426A" w:rsidP="009F426A">
      <w:pPr>
        <w:ind w:left="850"/>
        <w:rPr>
          <w:noProof/>
        </w:rPr>
      </w:pPr>
      <w:r w:rsidRPr="004C704C">
        <w:rPr>
          <w:noProof/>
        </w:rPr>
        <w:sym w:font="Wingdings" w:char="F0FD"/>
      </w:r>
      <w:r w:rsidRPr="004C704C">
        <w:rPr>
          <w:i/>
          <w:noProof/>
        </w:rPr>
        <w:t xml:space="preserve"> </w:t>
      </w:r>
      <w:r w:rsidRPr="004C704C">
        <w:rPr>
          <w:b/>
          <w:noProof/>
        </w:rPr>
        <w:t>Gestiune indirectă</w:t>
      </w:r>
      <w:r w:rsidRPr="004C704C">
        <w:rPr>
          <w:noProof/>
        </w:rPr>
        <w:t>, cu delegarea sarcinilor de execuție bugetară către:</w:t>
      </w:r>
    </w:p>
    <w:p w14:paraId="14528D25" w14:textId="77777777" w:rsidR="009F426A" w:rsidRPr="004C704C" w:rsidRDefault="009F426A" w:rsidP="009F426A">
      <w:pPr>
        <w:ind w:left="850"/>
        <w:rPr>
          <w:noProof/>
        </w:rPr>
      </w:pPr>
      <w:r w:rsidRPr="004C704C">
        <w:rPr>
          <w:noProof/>
        </w:rPr>
        <w:sym w:font="Wingdings" w:char="F0A8"/>
      </w:r>
      <w:r w:rsidRPr="004C704C">
        <w:rPr>
          <w:noProof/>
        </w:rPr>
        <w:t xml:space="preserve"> organizații internaționale și agențiile acestora (a se preciza);</w:t>
      </w:r>
    </w:p>
    <w:p w14:paraId="3DFD84BB" w14:textId="77777777" w:rsidR="009F426A" w:rsidRPr="004C704C" w:rsidRDefault="009F426A" w:rsidP="009F426A">
      <w:pPr>
        <w:ind w:left="850"/>
        <w:rPr>
          <w:noProof/>
        </w:rPr>
      </w:pPr>
      <w:r w:rsidRPr="004C704C">
        <w:rPr>
          <w:noProof/>
        </w:rPr>
        <w:sym w:font="Wingdings" w:char="F0A8"/>
      </w:r>
      <w:r w:rsidRPr="004C704C">
        <w:rPr>
          <w:noProof/>
        </w:rPr>
        <w:t>BEI și Fondul european de investiții;</w:t>
      </w:r>
    </w:p>
    <w:p w14:paraId="41D9CDEE" w14:textId="77777777" w:rsidR="009F426A" w:rsidRPr="004C704C" w:rsidRDefault="009F426A" w:rsidP="009F426A">
      <w:pPr>
        <w:ind w:left="850"/>
        <w:rPr>
          <w:noProof/>
        </w:rPr>
      </w:pPr>
      <w:r w:rsidRPr="004C704C">
        <w:rPr>
          <w:noProof/>
        </w:rPr>
        <w:sym w:font="Wingdings" w:char="F0FD"/>
      </w:r>
      <w:r w:rsidRPr="004C704C">
        <w:rPr>
          <w:noProof/>
        </w:rPr>
        <w:t xml:space="preserve"> organismele menționate la articolele 70 și 71;</w:t>
      </w:r>
    </w:p>
    <w:p w14:paraId="5BBDEEB0" w14:textId="77777777" w:rsidR="009F426A" w:rsidRPr="004C704C" w:rsidRDefault="009F426A" w:rsidP="009F426A">
      <w:pPr>
        <w:ind w:left="850"/>
        <w:rPr>
          <w:noProof/>
        </w:rPr>
      </w:pPr>
      <w:r w:rsidRPr="004C704C">
        <w:rPr>
          <w:noProof/>
        </w:rPr>
        <w:sym w:font="Wingdings" w:char="F0A8"/>
      </w:r>
      <w:r w:rsidRPr="004C704C">
        <w:rPr>
          <w:noProof/>
        </w:rPr>
        <w:t xml:space="preserve"> organisme de drept public;</w:t>
      </w:r>
    </w:p>
    <w:p w14:paraId="207ABDDE" w14:textId="77777777" w:rsidR="009F426A" w:rsidRPr="004C704C" w:rsidRDefault="009F426A" w:rsidP="009F426A">
      <w:pPr>
        <w:ind w:left="850"/>
        <w:rPr>
          <w:noProof/>
        </w:rPr>
      </w:pPr>
      <w:r w:rsidRPr="004C704C">
        <w:rPr>
          <w:noProof/>
        </w:rPr>
        <w:sym w:font="Wingdings" w:char="F0A8"/>
      </w:r>
      <w:r w:rsidRPr="004C704C">
        <w:rPr>
          <w:noProof/>
        </w:rPr>
        <w:t xml:space="preserve"> organisme de drept privat cu misiune de serviciu public, cu condiția să prezinte garanții financiare adecvate;</w:t>
      </w:r>
    </w:p>
    <w:p w14:paraId="1FD29EA7" w14:textId="77777777" w:rsidR="009F426A" w:rsidRPr="004C704C" w:rsidRDefault="009F426A" w:rsidP="009F426A">
      <w:pPr>
        <w:ind w:left="850"/>
        <w:rPr>
          <w:noProof/>
        </w:rPr>
      </w:pPr>
      <w:r w:rsidRPr="004C704C">
        <w:rPr>
          <w:noProof/>
        </w:rPr>
        <w:sym w:font="Wingdings" w:char="F0A8"/>
      </w:r>
      <w:r w:rsidRPr="004C704C">
        <w:rPr>
          <w:noProof/>
        </w:rPr>
        <w:t xml:space="preserve"> organismele de drept privat dintr-un stat membru care sunt responsabile cu punerea în aplicare a unui parteneriat public-privat și care prezintă garanții financiare adecvate;</w:t>
      </w:r>
    </w:p>
    <w:p w14:paraId="6E1D3E90" w14:textId="77777777" w:rsidR="009F426A" w:rsidRPr="004C704C" w:rsidRDefault="009F426A" w:rsidP="009F426A">
      <w:pPr>
        <w:ind w:left="850"/>
        <w:rPr>
          <w:noProof/>
        </w:rPr>
      </w:pPr>
      <w:r w:rsidRPr="004C704C">
        <w:rPr>
          <w:noProof/>
        </w:rPr>
        <w:sym w:font="Wingdings" w:char="F0A8"/>
      </w:r>
      <w:r w:rsidRPr="004C704C">
        <w:rPr>
          <w:noProof/>
        </w:rPr>
        <w:t xml:space="preserve"> persoanele cărora li se încredințează executarea unor acțiuni specifice în cadrul PESC, în temeiul titlului V din TUE, și care sunt identificate în actul de bază relevant.</w:t>
      </w:r>
    </w:p>
    <w:p w14:paraId="72F6089B" w14:textId="65DEDD2D" w:rsidR="009F426A" w:rsidRPr="004C704C" w:rsidRDefault="00537200" w:rsidP="00537200">
      <w:pPr>
        <w:pStyle w:val="Point0"/>
        <w:rPr>
          <w:noProof/>
          <w:szCs w:val="24"/>
        </w:rPr>
      </w:pPr>
      <w:bookmarkStart w:id="32" w:name="_Toc514938676"/>
      <w:bookmarkStart w:id="33" w:name="_Toc88478674"/>
      <w:r w:rsidRPr="00537200">
        <w:t>(15)</w:t>
      </w:r>
      <w:r w:rsidRPr="00537200">
        <w:tab/>
      </w:r>
      <w:r w:rsidR="009F426A" w:rsidRPr="004C704C">
        <w:rPr>
          <w:noProof/>
        </w:rPr>
        <w:t>MĂSURI DE GESTIUNE</w:t>
      </w:r>
      <w:bookmarkEnd w:id="32"/>
      <w:bookmarkEnd w:id="33"/>
      <w:r w:rsidR="009F426A" w:rsidRPr="004C704C">
        <w:rPr>
          <w:noProof/>
        </w:rPr>
        <w:t xml:space="preserve"> </w:t>
      </w:r>
    </w:p>
    <w:p w14:paraId="63B50A88" w14:textId="1D5520FA" w:rsidR="009F426A" w:rsidRPr="004C704C" w:rsidRDefault="00537200" w:rsidP="00537200">
      <w:pPr>
        <w:pStyle w:val="Point0"/>
        <w:rPr>
          <w:noProof/>
          <w:szCs w:val="24"/>
        </w:rPr>
      </w:pPr>
      <w:bookmarkStart w:id="34" w:name="_Toc514938677"/>
      <w:bookmarkStart w:id="35" w:name="_Toc88478675"/>
      <w:r w:rsidRPr="00537200">
        <w:t>(16)</w:t>
      </w:r>
      <w:r w:rsidRPr="00537200">
        <w:tab/>
      </w:r>
      <w:r w:rsidR="009F426A" w:rsidRPr="004C704C">
        <w:rPr>
          <w:noProof/>
        </w:rPr>
        <w:t>Dispoziții în materie de monitorizare și de raportare</w:t>
      </w:r>
      <w:bookmarkEnd w:id="34"/>
      <w:bookmarkEnd w:id="35"/>
      <w:r w:rsidR="009F426A" w:rsidRPr="004C704C">
        <w:rPr>
          <w:noProof/>
        </w:rPr>
        <w:t xml:space="preserve"> </w:t>
      </w:r>
    </w:p>
    <w:p w14:paraId="3361F6B9" w14:textId="77777777" w:rsidR="009F426A" w:rsidRPr="004C704C" w:rsidRDefault="009F426A" w:rsidP="009F426A">
      <w:pPr>
        <w:ind w:left="850"/>
        <w:rPr>
          <w:i/>
          <w:noProof/>
          <w:sz w:val="20"/>
        </w:rPr>
      </w:pPr>
      <w:r w:rsidRPr="004C704C">
        <w:rPr>
          <w:i/>
          <w:noProof/>
          <w:sz w:val="20"/>
        </w:rPr>
        <w:t>A se preciza frecvența și condițiile aferente monitorizării și raportării.</w:t>
      </w:r>
    </w:p>
    <w:p w14:paraId="5042DF96"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1"/>
        <w:rPr>
          <w:noProof/>
          <w:color w:val="0000FF"/>
        </w:rPr>
      </w:pPr>
      <w:bookmarkStart w:id="36" w:name="_Toc514938678"/>
      <w:r w:rsidRPr="004C704C">
        <w:rPr>
          <w:noProof/>
          <w:color w:val="0000FF"/>
        </w:rPr>
        <w:t>Se vor aplica normele standard de monitorizare și de raportare privind subvențiile UE acordate agențiilor descentralizate.</w:t>
      </w:r>
    </w:p>
    <w:p w14:paraId="3088692A" w14:textId="359B2E89" w:rsidR="009F426A" w:rsidRPr="004C704C" w:rsidRDefault="00537200" w:rsidP="00537200">
      <w:pPr>
        <w:pStyle w:val="Point0"/>
        <w:rPr>
          <w:noProof/>
          <w:szCs w:val="24"/>
        </w:rPr>
      </w:pPr>
      <w:bookmarkStart w:id="37" w:name="_Toc88478676"/>
      <w:r w:rsidRPr="00537200">
        <w:t>(17)</w:t>
      </w:r>
      <w:r w:rsidRPr="00537200">
        <w:tab/>
      </w:r>
      <w:r w:rsidR="009F426A" w:rsidRPr="004C704C">
        <w:rPr>
          <w:noProof/>
        </w:rPr>
        <w:t>Sistemul (sistemele) de gestiune și de control</w:t>
      </w:r>
      <w:bookmarkEnd w:id="36"/>
      <w:bookmarkEnd w:id="37"/>
      <w:r w:rsidR="009F426A" w:rsidRPr="004C704C">
        <w:rPr>
          <w:noProof/>
        </w:rPr>
        <w:t xml:space="preserve"> </w:t>
      </w:r>
    </w:p>
    <w:p w14:paraId="7C374AC5" w14:textId="141CF2CC" w:rsidR="009F426A" w:rsidRPr="004C704C" w:rsidRDefault="00537200" w:rsidP="00537200">
      <w:pPr>
        <w:pStyle w:val="Point0"/>
        <w:rPr>
          <w:noProof/>
        </w:rPr>
      </w:pPr>
      <w:bookmarkStart w:id="38" w:name="_Toc514938679"/>
      <w:bookmarkStart w:id="39" w:name="_Toc88478677"/>
      <w:r w:rsidRPr="00537200">
        <w:t>(18)</w:t>
      </w:r>
      <w:r w:rsidRPr="00537200">
        <w:tab/>
      </w:r>
      <w:r w:rsidR="009F426A" w:rsidRPr="004C704C">
        <w:rPr>
          <w:noProof/>
        </w:rPr>
        <w:t>Justificarea modului (modurilor) de gestiune, a mecanismului (mecanismelor) de punere în aplicare a finanțării, a modalităților de plată și a strategiei de control propuse</w:t>
      </w:r>
      <w:bookmarkEnd w:id="38"/>
      <w:bookmarkEnd w:id="39"/>
    </w:p>
    <w:p w14:paraId="703C5196"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1"/>
        <w:rPr>
          <w:noProof/>
          <w:color w:val="0000FF"/>
        </w:rPr>
      </w:pPr>
      <w:bookmarkStart w:id="40" w:name="_Toc514938680"/>
      <w:r w:rsidRPr="004C704C">
        <w:rPr>
          <w:noProof/>
          <w:color w:val="0000FF"/>
        </w:rPr>
        <w:t>Se vor aplica normele standard de monitorizare și de raportare privind subvențiile UE acordate agențiilor descentralizate.</w:t>
      </w:r>
    </w:p>
    <w:p w14:paraId="5512E898" w14:textId="58F6EE33" w:rsidR="009F426A" w:rsidRPr="004C704C" w:rsidRDefault="00537200" w:rsidP="00537200">
      <w:pPr>
        <w:pStyle w:val="Point0"/>
        <w:rPr>
          <w:noProof/>
        </w:rPr>
      </w:pPr>
      <w:bookmarkStart w:id="41" w:name="_Toc88478678"/>
      <w:r w:rsidRPr="00537200">
        <w:t>(19)</w:t>
      </w:r>
      <w:r w:rsidRPr="00537200">
        <w:tab/>
      </w:r>
      <w:r w:rsidR="009F426A" w:rsidRPr="004C704C">
        <w:rPr>
          <w:noProof/>
        </w:rPr>
        <w:t>Informații privind riscurile identificate și sistemul (sistemele) de control intern instituit(e) pentru atenuarea lor</w:t>
      </w:r>
      <w:bookmarkEnd w:id="40"/>
      <w:bookmarkEnd w:id="41"/>
    </w:p>
    <w:p w14:paraId="5171E7DC"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r w:rsidRPr="004C704C">
        <w:rPr>
          <w:noProof/>
          <w:color w:val="0000FF"/>
        </w:rPr>
        <w:t>N/A</w:t>
      </w:r>
    </w:p>
    <w:p w14:paraId="19D8B831" w14:textId="23DFBA33" w:rsidR="009F426A" w:rsidRPr="004C704C" w:rsidRDefault="00537200" w:rsidP="00537200">
      <w:pPr>
        <w:pStyle w:val="Point0"/>
        <w:rPr>
          <w:noProof/>
        </w:rPr>
      </w:pPr>
      <w:bookmarkStart w:id="42" w:name="_Toc514938681"/>
      <w:bookmarkStart w:id="43" w:name="_Toc88478679"/>
      <w:r w:rsidRPr="00537200">
        <w:t>(20)</w:t>
      </w:r>
      <w:r w:rsidRPr="00537200">
        <w:tab/>
      </w:r>
      <w:r w:rsidR="009F426A" w:rsidRPr="004C704C">
        <w:rPr>
          <w:noProof/>
        </w:rPr>
        <w:t>Estimarea și justificarea raportului cost-eficacitate al controalelor (raportul dintre costurile controalelor și valoarea fondurilor aferente gestionate) și evaluarea nivelurilor preconizate ale riscurilor de eroare (la plată și la închidere)</w:t>
      </w:r>
      <w:bookmarkEnd w:id="42"/>
      <w:bookmarkEnd w:id="43"/>
      <w:r w:rsidR="009F426A" w:rsidRPr="004C704C">
        <w:rPr>
          <w:noProof/>
        </w:rPr>
        <w:t xml:space="preserve"> </w:t>
      </w:r>
    </w:p>
    <w:p w14:paraId="2A1EFE67"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1"/>
        <w:rPr>
          <w:noProof/>
        </w:rPr>
      </w:pPr>
      <w:r w:rsidRPr="004C704C">
        <w:rPr>
          <w:noProof/>
          <w:color w:val="0000FF"/>
        </w:rPr>
        <w:t>N/A</w:t>
      </w:r>
    </w:p>
    <w:p w14:paraId="02127DA7" w14:textId="5882901E" w:rsidR="009F426A" w:rsidRPr="004C704C" w:rsidRDefault="00537200" w:rsidP="00537200">
      <w:pPr>
        <w:pStyle w:val="Point0"/>
        <w:rPr>
          <w:noProof/>
          <w:szCs w:val="24"/>
        </w:rPr>
      </w:pPr>
      <w:bookmarkStart w:id="44" w:name="_Toc514938682"/>
      <w:bookmarkStart w:id="45" w:name="_Toc88478680"/>
      <w:r w:rsidRPr="00537200">
        <w:t>(21)</w:t>
      </w:r>
      <w:r w:rsidRPr="00537200">
        <w:tab/>
      </w:r>
      <w:r w:rsidR="009F426A" w:rsidRPr="004C704C">
        <w:rPr>
          <w:noProof/>
        </w:rPr>
        <w:t>Măsuri de prevenire a fraudelor și a neregulilor</w:t>
      </w:r>
      <w:bookmarkEnd w:id="44"/>
      <w:bookmarkEnd w:id="45"/>
      <w:r w:rsidR="009F426A" w:rsidRPr="004C704C">
        <w:rPr>
          <w:noProof/>
        </w:rPr>
        <w:t xml:space="preserve"> </w:t>
      </w:r>
    </w:p>
    <w:p w14:paraId="1A6B270B" w14:textId="77777777" w:rsidR="009F426A" w:rsidRPr="004C704C" w:rsidRDefault="009F426A" w:rsidP="009F426A">
      <w:pPr>
        <w:ind w:left="850"/>
        <w:rPr>
          <w:i/>
          <w:noProof/>
          <w:sz w:val="20"/>
        </w:rPr>
      </w:pPr>
      <w:r w:rsidRPr="004C704C">
        <w:rPr>
          <w:i/>
          <w:noProof/>
          <w:sz w:val="20"/>
        </w:rPr>
        <w:t>A se preciza măsurile de prevenire și de protecție existente sau preconizate, de exemplu din strategia antifraudă.</w:t>
      </w:r>
    </w:p>
    <w:p w14:paraId="1BC58D65" w14:textId="77777777" w:rsidR="009F426A" w:rsidRPr="004C704C" w:rsidRDefault="009F426A" w:rsidP="009F426A">
      <w:pPr>
        <w:pBdr>
          <w:top w:val="single" w:sz="4" w:space="1" w:color="auto"/>
          <w:left w:val="single" w:sz="4" w:space="4" w:color="auto"/>
          <w:bottom w:val="single" w:sz="4" w:space="1" w:color="auto"/>
          <w:right w:val="single" w:sz="4" w:space="4" w:color="auto"/>
        </w:pBdr>
        <w:ind w:left="850"/>
        <w:rPr>
          <w:noProof/>
          <w:color w:val="0000FF"/>
        </w:rPr>
      </w:pPr>
      <w:bookmarkStart w:id="46" w:name="_Toc514938683"/>
      <w:r w:rsidRPr="004C704C">
        <w:rPr>
          <w:noProof/>
          <w:color w:val="0000FF"/>
        </w:rPr>
        <w:t>Se vor aplica modalitățile standard pentru subvențiile UE acordate agențiilor descentralizate.</w:t>
      </w:r>
    </w:p>
    <w:bookmarkEnd w:id="46"/>
    <w:p w14:paraId="04CE0F3F" w14:textId="23719C36" w:rsidR="009F426A" w:rsidRPr="004C704C" w:rsidRDefault="00537200" w:rsidP="00537200">
      <w:pPr>
        <w:pStyle w:val="Point0"/>
        <w:rPr>
          <w:noProof/>
          <w:szCs w:val="24"/>
        </w:rPr>
      </w:pPr>
      <w:r w:rsidRPr="00537200">
        <w:t>(22)</w:t>
      </w:r>
      <w:r w:rsidRPr="00537200">
        <w:tab/>
      </w:r>
      <w:r w:rsidR="009F426A" w:rsidRPr="004C704C">
        <w:rPr>
          <w:noProof/>
        </w:rPr>
        <w:t xml:space="preserve"> </w:t>
      </w:r>
      <w:bookmarkStart w:id="47" w:name="_Toc514938050"/>
      <w:bookmarkStart w:id="48" w:name="_Toc520485049"/>
      <w:r w:rsidR="009F426A" w:rsidRPr="004C704C">
        <w:rPr>
          <w:noProof/>
        </w:rPr>
        <w:t>IMPACTUL FINANCIAR ESTIMAT AL PROPUNERII</w:t>
      </w:r>
      <w:bookmarkEnd w:id="47"/>
      <w:bookmarkEnd w:id="48"/>
      <w:r w:rsidR="009F426A" w:rsidRPr="004C704C">
        <w:rPr>
          <w:noProof/>
        </w:rPr>
        <w:t xml:space="preserve"> </w:t>
      </w:r>
    </w:p>
    <w:p w14:paraId="702B9629" w14:textId="2C6B1782" w:rsidR="009F426A" w:rsidRPr="004C704C" w:rsidRDefault="00537200" w:rsidP="00537200">
      <w:pPr>
        <w:pStyle w:val="Point0"/>
        <w:rPr>
          <w:noProof/>
        </w:rPr>
      </w:pPr>
      <w:bookmarkStart w:id="49" w:name="_Toc514938051"/>
      <w:bookmarkStart w:id="50" w:name="_Toc520485050"/>
      <w:r w:rsidRPr="00537200">
        <w:t>(23)</w:t>
      </w:r>
      <w:r w:rsidRPr="00537200">
        <w:tab/>
      </w:r>
      <w:r w:rsidR="009F426A" w:rsidRPr="004C704C">
        <w:rPr>
          <w:noProof/>
        </w:rPr>
        <w:t>Rubrica din cadrul financiar multianual și linia bugetară de cheltuieli afectată</w:t>
      </w:r>
      <w:bookmarkEnd w:id="49"/>
      <w:bookmarkEnd w:id="50"/>
    </w:p>
    <w:tbl>
      <w:tblPr>
        <w:tblW w:w="10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3705"/>
        <w:gridCol w:w="1174"/>
        <w:gridCol w:w="730"/>
        <w:gridCol w:w="1010"/>
        <w:gridCol w:w="894"/>
        <w:gridCol w:w="1892"/>
      </w:tblGrid>
      <w:tr w:rsidR="009F426A" w:rsidRPr="004C704C" w14:paraId="374F93D2" w14:textId="77777777" w:rsidTr="00B003F0">
        <w:trPr>
          <w:trHeight w:val="494"/>
        </w:trPr>
        <w:tc>
          <w:tcPr>
            <w:tcW w:w="1010" w:type="dxa"/>
            <w:vMerge w:val="restart"/>
            <w:vAlign w:val="center"/>
          </w:tcPr>
          <w:p w14:paraId="532C9E86" w14:textId="77777777" w:rsidR="009F426A" w:rsidRPr="004C704C" w:rsidRDefault="009F426A" w:rsidP="00CD4EBD">
            <w:pPr>
              <w:keepNext/>
              <w:spacing w:before="60" w:after="60"/>
              <w:jc w:val="center"/>
              <w:rPr>
                <w:noProof/>
                <w:sz w:val="18"/>
              </w:rPr>
            </w:pPr>
            <w:r w:rsidRPr="004C704C">
              <w:rPr>
                <w:noProof/>
                <w:sz w:val="18"/>
              </w:rPr>
              <w:t>Rubrica din cadrul financiar multianual</w:t>
            </w:r>
          </w:p>
        </w:tc>
        <w:tc>
          <w:tcPr>
            <w:tcW w:w="3705" w:type="dxa"/>
            <w:vAlign w:val="center"/>
          </w:tcPr>
          <w:p w14:paraId="71CA6FCA" w14:textId="77777777" w:rsidR="009F426A" w:rsidRPr="004C704C" w:rsidRDefault="009F426A" w:rsidP="00CD4EBD">
            <w:pPr>
              <w:keepNext/>
              <w:spacing w:before="60" w:after="60"/>
              <w:jc w:val="center"/>
              <w:rPr>
                <w:noProof/>
              </w:rPr>
            </w:pPr>
            <w:r w:rsidRPr="004C704C">
              <w:rPr>
                <w:noProof/>
                <w:sz w:val="20"/>
              </w:rPr>
              <w:t>Linia bugetară</w:t>
            </w:r>
          </w:p>
        </w:tc>
        <w:tc>
          <w:tcPr>
            <w:tcW w:w="1174" w:type="dxa"/>
            <w:vAlign w:val="center"/>
          </w:tcPr>
          <w:p w14:paraId="7E2F94E9" w14:textId="77777777" w:rsidR="009F426A" w:rsidRPr="004C704C" w:rsidRDefault="009F426A" w:rsidP="00CD4EBD">
            <w:pPr>
              <w:keepNext/>
              <w:spacing w:before="60" w:after="60"/>
              <w:jc w:val="center"/>
              <w:rPr>
                <w:noProof/>
              </w:rPr>
            </w:pPr>
            <w:r w:rsidRPr="004C704C">
              <w:rPr>
                <w:noProof/>
              </w:rPr>
              <w:t>Tipul de cheltuieli</w:t>
            </w:r>
          </w:p>
        </w:tc>
        <w:tc>
          <w:tcPr>
            <w:tcW w:w="4526" w:type="dxa"/>
            <w:gridSpan w:val="4"/>
            <w:vAlign w:val="center"/>
          </w:tcPr>
          <w:p w14:paraId="0270AAA8" w14:textId="77777777" w:rsidR="009F426A" w:rsidRPr="004C704C" w:rsidRDefault="009F426A" w:rsidP="00CD4EBD">
            <w:pPr>
              <w:keepNext/>
              <w:spacing w:before="60" w:after="60"/>
              <w:jc w:val="center"/>
              <w:rPr>
                <w:noProof/>
              </w:rPr>
            </w:pPr>
            <w:r w:rsidRPr="004C704C">
              <w:rPr>
                <w:noProof/>
                <w:sz w:val="20"/>
              </w:rPr>
              <w:t xml:space="preserve">Contribuție </w:t>
            </w:r>
          </w:p>
        </w:tc>
      </w:tr>
      <w:tr w:rsidR="009F426A" w:rsidRPr="004C704C" w14:paraId="0B146D83" w14:textId="77777777" w:rsidTr="00B003F0">
        <w:trPr>
          <w:trHeight w:val="810"/>
        </w:trPr>
        <w:tc>
          <w:tcPr>
            <w:tcW w:w="1010" w:type="dxa"/>
            <w:vMerge/>
            <w:vAlign w:val="center"/>
          </w:tcPr>
          <w:p w14:paraId="02E6C041" w14:textId="77777777" w:rsidR="009F426A" w:rsidRPr="004C704C" w:rsidRDefault="009F426A" w:rsidP="00B003F0">
            <w:pPr>
              <w:rPr>
                <w:noProof/>
                <w:sz w:val="18"/>
                <w:lang w:eastAsia="en-GB"/>
              </w:rPr>
            </w:pPr>
          </w:p>
        </w:tc>
        <w:tc>
          <w:tcPr>
            <w:tcW w:w="3705" w:type="dxa"/>
            <w:vAlign w:val="center"/>
          </w:tcPr>
          <w:p w14:paraId="696A2360" w14:textId="1BA3ADBB" w:rsidR="009F426A" w:rsidRPr="004C704C" w:rsidRDefault="009F426A" w:rsidP="00B003F0">
            <w:pPr>
              <w:rPr>
                <w:noProof/>
              </w:rPr>
            </w:pPr>
            <w:r w:rsidRPr="004C704C">
              <w:rPr>
                <w:noProof/>
                <w:sz w:val="20"/>
              </w:rPr>
              <w:t>Numărul</w:t>
            </w:r>
            <w:r w:rsidR="003D1459">
              <w:rPr>
                <w:noProof/>
                <w:sz w:val="20"/>
              </w:rPr>
              <w:t xml:space="preserve"> </w:t>
            </w:r>
            <w:r w:rsidRPr="004C704C">
              <w:rPr>
                <w:noProof/>
              </w:rPr>
              <w:br/>
            </w:r>
          </w:p>
        </w:tc>
        <w:tc>
          <w:tcPr>
            <w:tcW w:w="1174" w:type="dxa"/>
            <w:vAlign w:val="center"/>
          </w:tcPr>
          <w:p w14:paraId="27DC08B3" w14:textId="77777777" w:rsidR="009F426A" w:rsidRPr="004C704C" w:rsidRDefault="009F426A" w:rsidP="00B003F0">
            <w:pPr>
              <w:jc w:val="center"/>
              <w:rPr>
                <w:noProof/>
              </w:rPr>
            </w:pPr>
            <w:r w:rsidRPr="004C704C">
              <w:rPr>
                <w:noProof/>
                <w:sz w:val="18"/>
              </w:rPr>
              <w:t>Dif./Nedif.</w:t>
            </w:r>
            <w:r w:rsidRPr="004C704C">
              <w:rPr>
                <w:rStyle w:val="FootnoteReference"/>
                <w:noProof/>
              </w:rPr>
              <w:footnoteReference w:id="64"/>
            </w:r>
            <w:r w:rsidRPr="004C704C">
              <w:rPr>
                <w:noProof/>
              </w:rPr>
              <w:t>.</w:t>
            </w:r>
          </w:p>
        </w:tc>
        <w:tc>
          <w:tcPr>
            <w:tcW w:w="730" w:type="dxa"/>
            <w:vAlign w:val="center"/>
          </w:tcPr>
          <w:p w14:paraId="3F4677F2" w14:textId="77777777" w:rsidR="009F426A" w:rsidRPr="004C704C" w:rsidRDefault="009F426A" w:rsidP="00B003F0">
            <w:pPr>
              <w:jc w:val="center"/>
              <w:rPr>
                <w:noProof/>
              </w:rPr>
            </w:pPr>
            <w:r w:rsidRPr="004C704C">
              <w:rPr>
                <w:noProof/>
                <w:sz w:val="18"/>
              </w:rPr>
              <w:t>din partea țărilor AELS</w:t>
            </w:r>
            <w:r w:rsidRPr="004C704C">
              <w:rPr>
                <w:rStyle w:val="FootnoteReference"/>
                <w:noProof/>
              </w:rPr>
              <w:footnoteReference w:id="65"/>
            </w:r>
          </w:p>
        </w:tc>
        <w:tc>
          <w:tcPr>
            <w:tcW w:w="1010" w:type="dxa"/>
            <w:vAlign w:val="center"/>
          </w:tcPr>
          <w:p w14:paraId="0D744C3E" w14:textId="77777777" w:rsidR="009F426A" w:rsidRPr="004C704C" w:rsidRDefault="009F426A" w:rsidP="00B003F0">
            <w:pPr>
              <w:jc w:val="center"/>
              <w:rPr>
                <w:noProof/>
                <w:sz w:val="18"/>
              </w:rPr>
            </w:pPr>
            <w:r w:rsidRPr="004C704C">
              <w:rPr>
                <w:noProof/>
                <w:sz w:val="18"/>
              </w:rPr>
              <w:t>din partea țărilor candidate</w:t>
            </w:r>
            <w:r w:rsidRPr="004C704C">
              <w:rPr>
                <w:rStyle w:val="FootnoteReference"/>
                <w:noProof/>
              </w:rPr>
              <w:footnoteReference w:id="66"/>
            </w:r>
          </w:p>
        </w:tc>
        <w:tc>
          <w:tcPr>
            <w:tcW w:w="894" w:type="dxa"/>
            <w:vAlign w:val="center"/>
          </w:tcPr>
          <w:p w14:paraId="419DAB62" w14:textId="77777777" w:rsidR="009F426A" w:rsidRPr="004C704C" w:rsidRDefault="009F426A" w:rsidP="00B003F0">
            <w:pPr>
              <w:jc w:val="center"/>
              <w:rPr>
                <w:noProof/>
                <w:sz w:val="18"/>
              </w:rPr>
            </w:pPr>
            <w:r w:rsidRPr="004C704C">
              <w:rPr>
                <w:noProof/>
                <w:sz w:val="18"/>
              </w:rPr>
              <w:t>din partea țărilor terțe</w:t>
            </w:r>
          </w:p>
        </w:tc>
        <w:tc>
          <w:tcPr>
            <w:tcW w:w="1892" w:type="dxa"/>
            <w:vAlign w:val="center"/>
          </w:tcPr>
          <w:p w14:paraId="58C4A5AB" w14:textId="77777777" w:rsidR="009F426A" w:rsidRPr="004C704C" w:rsidRDefault="009F426A" w:rsidP="00B003F0">
            <w:pPr>
              <w:jc w:val="center"/>
              <w:rPr>
                <w:noProof/>
                <w:sz w:val="16"/>
                <w:szCs w:val="16"/>
              </w:rPr>
            </w:pPr>
            <w:r w:rsidRPr="004C704C">
              <w:rPr>
                <w:noProof/>
                <w:sz w:val="16"/>
                <w:szCs w:val="16"/>
              </w:rPr>
              <w:t xml:space="preserve">în sensul articolului 21 alineatul (2) litera (b) din Regulamentul financiar </w:t>
            </w:r>
          </w:p>
        </w:tc>
      </w:tr>
      <w:tr w:rsidR="009F426A" w:rsidRPr="004C704C" w14:paraId="55FE1E43" w14:textId="77777777" w:rsidTr="00B003F0">
        <w:trPr>
          <w:trHeight w:val="347"/>
        </w:trPr>
        <w:tc>
          <w:tcPr>
            <w:tcW w:w="1010" w:type="dxa"/>
            <w:shd w:val="clear" w:color="auto" w:fill="auto"/>
            <w:vAlign w:val="center"/>
          </w:tcPr>
          <w:p w14:paraId="29B9ECA5" w14:textId="77777777" w:rsidR="009F426A" w:rsidRPr="004C704C" w:rsidRDefault="009F426A" w:rsidP="00B003F0">
            <w:pPr>
              <w:spacing w:after="0"/>
              <w:jc w:val="center"/>
              <w:rPr>
                <w:noProof/>
                <w:color w:val="0000FF"/>
                <w:sz w:val="22"/>
              </w:rPr>
            </w:pPr>
            <w:r w:rsidRPr="004C704C">
              <w:rPr>
                <w:noProof/>
                <w:color w:val="0000FF"/>
                <w:sz w:val="22"/>
              </w:rPr>
              <w:t>3</w:t>
            </w:r>
          </w:p>
        </w:tc>
        <w:tc>
          <w:tcPr>
            <w:tcW w:w="3705" w:type="dxa"/>
            <w:shd w:val="clear" w:color="auto" w:fill="auto"/>
            <w:vAlign w:val="center"/>
          </w:tcPr>
          <w:p w14:paraId="5CB8364E" w14:textId="77777777" w:rsidR="009F426A" w:rsidRPr="004C704C" w:rsidRDefault="009F426A" w:rsidP="00B003F0">
            <w:pPr>
              <w:spacing w:after="0"/>
              <w:jc w:val="left"/>
              <w:rPr>
                <w:noProof/>
                <w:color w:val="0000FF"/>
                <w:sz w:val="22"/>
              </w:rPr>
            </w:pPr>
            <w:r w:rsidRPr="004C704C">
              <w:rPr>
                <w:noProof/>
                <w:color w:val="0000FF"/>
                <w:sz w:val="22"/>
              </w:rPr>
              <w:t>09.10.02 – Agenția Europeană de Mediu (AEM)</w:t>
            </w:r>
          </w:p>
        </w:tc>
        <w:tc>
          <w:tcPr>
            <w:tcW w:w="1174" w:type="dxa"/>
            <w:shd w:val="clear" w:color="auto" w:fill="auto"/>
            <w:vAlign w:val="center"/>
          </w:tcPr>
          <w:p w14:paraId="2208294D" w14:textId="77777777" w:rsidR="009F426A" w:rsidRPr="004C704C" w:rsidRDefault="009F426A" w:rsidP="00B003F0">
            <w:pPr>
              <w:spacing w:after="0"/>
              <w:jc w:val="left"/>
              <w:rPr>
                <w:noProof/>
                <w:color w:val="0000FF"/>
                <w:sz w:val="22"/>
              </w:rPr>
            </w:pPr>
            <w:r w:rsidRPr="004C704C">
              <w:rPr>
                <w:noProof/>
                <w:color w:val="0000FF"/>
                <w:sz w:val="22"/>
              </w:rPr>
              <w:t>Dif.</w:t>
            </w:r>
          </w:p>
        </w:tc>
        <w:tc>
          <w:tcPr>
            <w:tcW w:w="730" w:type="dxa"/>
            <w:shd w:val="clear" w:color="auto" w:fill="auto"/>
            <w:vAlign w:val="center"/>
          </w:tcPr>
          <w:p w14:paraId="2E253615" w14:textId="77777777" w:rsidR="009F426A" w:rsidRPr="004C704C" w:rsidRDefault="009F426A" w:rsidP="00B003F0">
            <w:pPr>
              <w:spacing w:after="0"/>
              <w:jc w:val="center"/>
              <w:rPr>
                <w:noProof/>
                <w:sz w:val="20"/>
              </w:rPr>
            </w:pPr>
            <w:r w:rsidRPr="004C704C">
              <w:rPr>
                <w:noProof/>
                <w:color w:val="0000FF"/>
                <w:sz w:val="22"/>
              </w:rPr>
              <w:t>DA</w:t>
            </w:r>
          </w:p>
        </w:tc>
        <w:tc>
          <w:tcPr>
            <w:tcW w:w="1010" w:type="dxa"/>
            <w:shd w:val="clear" w:color="auto" w:fill="auto"/>
            <w:vAlign w:val="center"/>
          </w:tcPr>
          <w:p w14:paraId="64988590" w14:textId="77777777" w:rsidR="009F426A" w:rsidRPr="004C704C" w:rsidRDefault="009F426A" w:rsidP="00B003F0">
            <w:pPr>
              <w:spacing w:after="0"/>
              <w:jc w:val="center"/>
              <w:rPr>
                <w:noProof/>
                <w:sz w:val="20"/>
              </w:rPr>
            </w:pPr>
            <w:r w:rsidRPr="004C704C">
              <w:rPr>
                <w:noProof/>
                <w:color w:val="0000FF"/>
                <w:sz w:val="22"/>
              </w:rPr>
              <w:t>DA</w:t>
            </w:r>
          </w:p>
        </w:tc>
        <w:tc>
          <w:tcPr>
            <w:tcW w:w="894" w:type="dxa"/>
            <w:shd w:val="clear" w:color="auto" w:fill="auto"/>
            <w:vAlign w:val="center"/>
          </w:tcPr>
          <w:p w14:paraId="4A48DF85" w14:textId="77777777" w:rsidR="009F426A" w:rsidRPr="004C704C" w:rsidRDefault="009F426A" w:rsidP="00B003F0">
            <w:pPr>
              <w:spacing w:after="0"/>
              <w:jc w:val="center"/>
              <w:rPr>
                <w:noProof/>
                <w:color w:val="0000FF"/>
                <w:sz w:val="22"/>
              </w:rPr>
            </w:pPr>
            <w:r w:rsidRPr="004C704C">
              <w:rPr>
                <w:noProof/>
                <w:color w:val="0000FF"/>
                <w:sz w:val="22"/>
              </w:rPr>
              <w:t>NU</w:t>
            </w:r>
          </w:p>
        </w:tc>
        <w:tc>
          <w:tcPr>
            <w:tcW w:w="1892" w:type="dxa"/>
            <w:shd w:val="clear" w:color="auto" w:fill="auto"/>
            <w:vAlign w:val="center"/>
          </w:tcPr>
          <w:p w14:paraId="68B3D4F8" w14:textId="77777777" w:rsidR="009F426A" w:rsidRPr="004C704C" w:rsidRDefault="009F426A" w:rsidP="00B003F0">
            <w:pPr>
              <w:spacing w:after="0"/>
              <w:jc w:val="center"/>
              <w:rPr>
                <w:noProof/>
                <w:color w:val="0000FF"/>
                <w:sz w:val="22"/>
              </w:rPr>
            </w:pPr>
            <w:r w:rsidRPr="004C704C">
              <w:rPr>
                <w:noProof/>
                <w:color w:val="0000FF"/>
                <w:sz w:val="22"/>
              </w:rPr>
              <w:t>NU</w:t>
            </w:r>
          </w:p>
        </w:tc>
      </w:tr>
    </w:tbl>
    <w:p w14:paraId="10DBC6F6" w14:textId="77777777" w:rsidR="009F426A" w:rsidRPr="004C704C" w:rsidRDefault="009F426A" w:rsidP="009F426A">
      <w:pPr>
        <w:rPr>
          <w:noProof/>
          <w:lang w:eastAsia="en-GB"/>
        </w:rPr>
        <w:sectPr w:rsidR="009F426A" w:rsidRPr="004C704C" w:rsidSect="00B561D0">
          <w:pgSz w:w="11907" w:h="16840" w:code="1"/>
          <w:pgMar w:top="1134" w:right="1418" w:bottom="1134" w:left="1418" w:header="709" w:footer="709" w:gutter="0"/>
          <w:cols w:space="708"/>
          <w:docGrid w:linePitch="360"/>
        </w:sectPr>
      </w:pPr>
    </w:p>
    <w:p w14:paraId="5A6C7DF1" w14:textId="3129D207" w:rsidR="009F426A" w:rsidRPr="004C704C" w:rsidRDefault="00537200" w:rsidP="00537200">
      <w:pPr>
        <w:pStyle w:val="Point0"/>
        <w:rPr>
          <w:noProof/>
          <w:szCs w:val="24"/>
        </w:rPr>
      </w:pPr>
      <w:bookmarkStart w:id="51" w:name="_Toc514938052"/>
      <w:bookmarkStart w:id="52" w:name="_Toc520485051"/>
      <w:r w:rsidRPr="00537200">
        <w:t>(24)</w:t>
      </w:r>
      <w:r w:rsidRPr="00537200">
        <w:tab/>
      </w:r>
      <w:r w:rsidR="009F426A" w:rsidRPr="004C704C">
        <w:rPr>
          <w:noProof/>
        </w:rPr>
        <w:t>Impactul financiar estimat al propunerii asupra creditelor</w:t>
      </w:r>
      <w:bookmarkEnd w:id="51"/>
      <w:bookmarkEnd w:id="52"/>
      <w:r w:rsidR="009F426A" w:rsidRPr="004C704C">
        <w:rPr>
          <w:noProof/>
        </w:rPr>
        <w:t xml:space="preserve"> </w:t>
      </w:r>
    </w:p>
    <w:p w14:paraId="0F2877B2" w14:textId="1156272E" w:rsidR="009F426A" w:rsidRPr="004C704C" w:rsidRDefault="00537200" w:rsidP="00537200">
      <w:pPr>
        <w:pStyle w:val="Point0"/>
        <w:rPr>
          <w:noProof/>
        </w:rPr>
      </w:pPr>
      <w:bookmarkStart w:id="53" w:name="_Toc514938053"/>
      <w:bookmarkStart w:id="54" w:name="_Toc520485052"/>
      <w:r w:rsidRPr="00537200">
        <w:t>(25)</w:t>
      </w:r>
      <w:r w:rsidRPr="00537200">
        <w:tab/>
      </w:r>
      <w:r w:rsidR="009F426A" w:rsidRPr="004C704C">
        <w:rPr>
          <w:noProof/>
        </w:rPr>
        <w:t>Sinteza impactului estimat asupra creditelor operaționale</w:t>
      </w:r>
      <w:bookmarkEnd w:id="53"/>
      <w:bookmarkEnd w:id="54"/>
      <w:r w:rsidR="009F426A" w:rsidRPr="004C704C">
        <w:rPr>
          <w:noProof/>
        </w:rPr>
        <w:t xml:space="preserve"> </w:t>
      </w:r>
    </w:p>
    <w:p w14:paraId="1E84A5C8"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 xml:space="preserve">Propunerea/inițiativa nu implică utilizarea de credite operaționale </w:t>
      </w:r>
    </w:p>
    <w:p w14:paraId="61D8B362" w14:textId="77777777" w:rsidR="009F426A" w:rsidRPr="004C704C" w:rsidRDefault="009F426A" w:rsidP="009F426A">
      <w:pPr>
        <w:tabs>
          <w:tab w:val="num" w:pos="1134"/>
        </w:tabs>
        <w:ind w:left="1134" w:hanging="283"/>
        <w:rPr>
          <w:noProof/>
        </w:rPr>
      </w:pPr>
      <w:r w:rsidRPr="004C704C">
        <w:rPr>
          <w:noProof/>
        </w:rPr>
        <w:sym w:font="Wingdings" w:char="F078"/>
      </w:r>
      <w:r w:rsidRPr="004C704C">
        <w:rPr>
          <w:noProof/>
        </w:rPr>
        <w:tab/>
        <w:t>Propunerea/inițiativa implică utilizarea de credite operaționale, conform explicațiilor de mai jos:</w:t>
      </w:r>
    </w:p>
    <w:p w14:paraId="5166AC9D" w14:textId="77777777" w:rsidR="009F426A" w:rsidRPr="004C704C" w:rsidRDefault="009F426A" w:rsidP="009F426A">
      <w:pPr>
        <w:ind w:left="1134" w:hanging="283"/>
        <w:rPr>
          <w:noProof/>
          <w:lang w:eastAsia="en-GB"/>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1022"/>
        <w:gridCol w:w="5935"/>
      </w:tblGrid>
      <w:tr w:rsidR="009F426A" w:rsidRPr="004C704C" w14:paraId="740CE490" w14:textId="77777777" w:rsidTr="00CD4EBD">
        <w:trPr>
          <w:trHeight w:val="532"/>
          <w:jc w:val="center"/>
        </w:trPr>
        <w:tc>
          <w:tcPr>
            <w:tcW w:w="3781" w:type="dxa"/>
            <w:shd w:val="thinDiagStripe" w:color="C0C0C0" w:fill="auto"/>
            <w:vAlign w:val="center"/>
          </w:tcPr>
          <w:p w14:paraId="6AF8E018" w14:textId="77777777" w:rsidR="009F426A" w:rsidRPr="004C704C" w:rsidRDefault="009F426A" w:rsidP="00B003F0">
            <w:pPr>
              <w:spacing w:before="60" w:after="60"/>
              <w:jc w:val="center"/>
              <w:rPr>
                <w:b/>
                <w:noProof/>
              </w:rPr>
            </w:pPr>
            <w:r w:rsidRPr="004C704C">
              <w:rPr>
                <w:b/>
                <w:bCs/>
                <w:noProof/>
              </w:rPr>
              <w:t>Rubrica din cadrul financiar multianual</w:t>
            </w:r>
            <w:r w:rsidRPr="004C704C">
              <w:rPr>
                <w:b/>
                <w:noProof/>
                <w:sz w:val="22"/>
              </w:rPr>
              <w:t xml:space="preserve"> </w:t>
            </w:r>
          </w:p>
        </w:tc>
        <w:tc>
          <w:tcPr>
            <w:tcW w:w="1022" w:type="dxa"/>
            <w:vAlign w:val="center"/>
          </w:tcPr>
          <w:p w14:paraId="68B9E97C" w14:textId="77777777" w:rsidR="009F426A" w:rsidRPr="004C704C" w:rsidRDefault="009F426A" w:rsidP="00B003F0">
            <w:pPr>
              <w:spacing w:before="60" w:after="60"/>
              <w:jc w:val="center"/>
              <w:rPr>
                <w:noProof/>
              </w:rPr>
            </w:pPr>
            <w:r w:rsidRPr="004C704C">
              <w:rPr>
                <w:noProof/>
                <w:sz w:val="22"/>
              </w:rPr>
              <w:t>Numărul</w:t>
            </w:r>
          </w:p>
        </w:tc>
        <w:tc>
          <w:tcPr>
            <w:tcW w:w="5935" w:type="dxa"/>
            <w:vAlign w:val="center"/>
          </w:tcPr>
          <w:p w14:paraId="3F3F221F" w14:textId="77777777" w:rsidR="009F426A" w:rsidRPr="004C704C" w:rsidRDefault="009F426A" w:rsidP="00B003F0">
            <w:pPr>
              <w:spacing w:before="60" w:after="60"/>
              <w:rPr>
                <w:noProof/>
              </w:rPr>
            </w:pPr>
            <w:r w:rsidRPr="004C704C">
              <w:rPr>
                <w:noProof/>
              </w:rPr>
              <w:t>Rubrica 3 – Resurse naturale și mediu</w:t>
            </w:r>
          </w:p>
        </w:tc>
      </w:tr>
    </w:tbl>
    <w:p w14:paraId="2DA95855" w14:textId="77777777" w:rsidR="009F426A" w:rsidRPr="004C704C" w:rsidRDefault="009F426A" w:rsidP="009F426A">
      <w:pPr>
        <w:jc w:val="right"/>
        <w:rPr>
          <w:noProof/>
          <w:sz w:val="18"/>
          <w:szCs w:val="18"/>
        </w:rPr>
      </w:pPr>
      <w:r w:rsidRPr="004C704C">
        <w:rPr>
          <w:noProof/>
        </w:rPr>
        <w:tab/>
      </w:r>
      <w:r w:rsidRPr="004C704C">
        <w:rPr>
          <w:noProof/>
        </w:rPr>
        <w:tab/>
      </w:r>
      <w:r w:rsidRPr="004C704C">
        <w:rPr>
          <w:noProof/>
          <w:sz w:val="18"/>
          <w:szCs w:val="18"/>
        </w:rPr>
        <w:t>milioane EUR (cu trei zecimale)</w:t>
      </w:r>
    </w:p>
    <w:p w14:paraId="54AE7DA2" w14:textId="77777777" w:rsidR="009F426A" w:rsidRPr="004C704C" w:rsidRDefault="009F426A" w:rsidP="009F426A">
      <w:pPr>
        <w:rPr>
          <w:noProof/>
          <w:sz w:val="18"/>
          <w:szCs w:val="18"/>
          <w:lang w:eastAsia="en-GB"/>
        </w:rPr>
      </w:pPr>
    </w:p>
    <w:tbl>
      <w:tblPr>
        <w:tblW w:w="10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1560"/>
        <w:gridCol w:w="737"/>
        <w:gridCol w:w="714"/>
        <w:gridCol w:w="827"/>
        <w:gridCol w:w="827"/>
        <w:gridCol w:w="827"/>
        <w:gridCol w:w="1694"/>
      </w:tblGrid>
      <w:tr w:rsidR="009F426A" w:rsidRPr="004C704C" w14:paraId="603D2820" w14:textId="77777777" w:rsidTr="00B003F0">
        <w:trPr>
          <w:trHeight w:val="680"/>
        </w:trPr>
        <w:tc>
          <w:tcPr>
            <w:tcW w:w="3582" w:type="dxa"/>
            <w:vAlign w:val="center"/>
          </w:tcPr>
          <w:p w14:paraId="45169800" w14:textId="77777777" w:rsidR="009F426A" w:rsidRPr="004C704C" w:rsidRDefault="009F426A" w:rsidP="00B003F0">
            <w:pPr>
              <w:jc w:val="center"/>
              <w:rPr>
                <w:rFonts w:eastAsia="Calibri"/>
                <w:b/>
                <w:noProof/>
              </w:rPr>
            </w:pPr>
            <w:r w:rsidRPr="004C704C">
              <w:rPr>
                <w:b/>
                <w:noProof/>
                <w:sz w:val="22"/>
              </w:rPr>
              <w:t>Agenția: AEM</w:t>
            </w:r>
          </w:p>
        </w:tc>
        <w:tc>
          <w:tcPr>
            <w:tcW w:w="1560" w:type="dxa"/>
          </w:tcPr>
          <w:p w14:paraId="0ED22446" w14:textId="77777777" w:rsidR="009F426A" w:rsidRPr="004C704C" w:rsidRDefault="009F426A" w:rsidP="00B003F0">
            <w:pPr>
              <w:rPr>
                <w:rFonts w:eastAsia="Calibri"/>
                <w:noProof/>
                <w:sz w:val="20"/>
                <w:lang w:eastAsia="en-GB"/>
              </w:rPr>
            </w:pPr>
          </w:p>
        </w:tc>
        <w:tc>
          <w:tcPr>
            <w:tcW w:w="737" w:type="dxa"/>
          </w:tcPr>
          <w:p w14:paraId="2EC656F7" w14:textId="77777777" w:rsidR="009F426A" w:rsidRPr="004C704C" w:rsidRDefault="009F426A" w:rsidP="00B003F0">
            <w:pPr>
              <w:jc w:val="center"/>
              <w:rPr>
                <w:rFonts w:eastAsia="Calibri"/>
                <w:noProof/>
                <w:sz w:val="20"/>
                <w:lang w:eastAsia="en-GB"/>
              </w:rPr>
            </w:pPr>
          </w:p>
        </w:tc>
        <w:tc>
          <w:tcPr>
            <w:tcW w:w="714" w:type="dxa"/>
            <w:vAlign w:val="center"/>
          </w:tcPr>
          <w:p w14:paraId="0A030ACA" w14:textId="77777777" w:rsidR="009F426A" w:rsidRPr="004C704C" w:rsidRDefault="009F426A" w:rsidP="00B003F0">
            <w:pPr>
              <w:jc w:val="center"/>
              <w:rPr>
                <w:rFonts w:eastAsia="Calibri"/>
                <w:noProof/>
                <w:sz w:val="20"/>
              </w:rPr>
            </w:pPr>
            <w:r w:rsidRPr="004C704C">
              <w:rPr>
                <w:noProof/>
                <w:sz w:val="20"/>
              </w:rPr>
              <w:t>Anul</w:t>
            </w:r>
            <w:r w:rsidRPr="004C704C">
              <w:rPr>
                <w:noProof/>
              </w:rPr>
              <w:t xml:space="preserve"> </w:t>
            </w:r>
            <w:r w:rsidRPr="004C704C">
              <w:rPr>
                <w:noProof/>
              </w:rPr>
              <w:br/>
            </w:r>
            <w:r w:rsidRPr="004C704C">
              <w:rPr>
                <w:b/>
                <w:noProof/>
                <w:sz w:val="20"/>
              </w:rPr>
              <w:t>2024</w:t>
            </w:r>
          </w:p>
        </w:tc>
        <w:tc>
          <w:tcPr>
            <w:tcW w:w="827" w:type="dxa"/>
            <w:vAlign w:val="center"/>
          </w:tcPr>
          <w:p w14:paraId="31C19EAE" w14:textId="77777777" w:rsidR="009F426A" w:rsidRPr="004C704C" w:rsidRDefault="009F426A" w:rsidP="00B003F0">
            <w:pPr>
              <w:jc w:val="center"/>
              <w:rPr>
                <w:rFonts w:eastAsia="Calibri"/>
                <w:noProof/>
                <w:sz w:val="20"/>
              </w:rPr>
            </w:pPr>
            <w:r w:rsidRPr="004C704C">
              <w:rPr>
                <w:noProof/>
                <w:sz w:val="20"/>
              </w:rPr>
              <w:t>Anul</w:t>
            </w:r>
            <w:r w:rsidRPr="004C704C">
              <w:rPr>
                <w:noProof/>
              </w:rPr>
              <w:t xml:space="preserve"> </w:t>
            </w:r>
            <w:r w:rsidRPr="004C704C">
              <w:rPr>
                <w:noProof/>
              </w:rPr>
              <w:br/>
            </w:r>
            <w:r w:rsidRPr="004C704C">
              <w:rPr>
                <w:b/>
                <w:noProof/>
                <w:sz w:val="20"/>
              </w:rPr>
              <w:t>2025</w:t>
            </w:r>
          </w:p>
        </w:tc>
        <w:tc>
          <w:tcPr>
            <w:tcW w:w="827" w:type="dxa"/>
            <w:vAlign w:val="center"/>
          </w:tcPr>
          <w:p w14:paraId="6BF154FF" w14:textId="77777777" w:rsidR="009F426A" w:rsidRPr="004C704C" w:rsidRDefault="009F426A" w:rsidP="00B003F0">
            <w:pPr>
              <w:jc w:val="center"/>
              <w:rPr>
                <w:rFonts w:eastAsia="Calibri"/>
                <w:noProof/>
                <w:sz w:val="20"/>
              </w:rPr>
            </w:pPr>
            <w:r w:rsidRPr="004C704C">
              <w:rPr>
                <w:noProof/>
                <w:sz w:val="20"/>
              </w:rPr>
              <w:t>Anul</w:t>
            </w:r>
            <w:r w:rsidRPr="004C704C">
              <w:rPr>
                <w:noProof/>
              </w:rPr>
              <w:t xml:space="preserve"> </w:t>
            </w:r>
            <w:r w:rsidRPr="004C704C">
              <w:rPr>
                <w:noProof/>
              </w:rPr>
              <w:br/>
            </w:r>
            <w:r w:rsidRPr="004C704C">
              <w:rPr>
                <w:b/>
                <w:noProof/>
                <w:sz w:val="20"/>
              </w:rPr>
              <w:t>2026</w:t>
            </w:r>
          </w:p>
        </w:tc>
        <w:tc>
          <w:tcPr>
            <w:tcW w:w="827" w:type="dxa"/>
            <w:vAlign w:val="center"/>
          </w:tcPr>
          <w:p w14:paraId="2456A809" w14:textId="77777777" w:rsidR="009F426A" w:rsidRPr="004C704C" w:rsidRDefault="009F426A" w:rsidP="00B003F0">
            <w:pPr>
              <w:jc w:val="center"/>
              <w:rPr>
                <w:rFonts w:eastAsia="Calibri"/>
                <w:noProof/>
                <w:sz w:val="20"/>
              </w:rPr>
            </w:pPr>
            <w:r w:rsidRPr="004C704C">
              <w:rPr>
                <w:noProof/>
                <w:sz w:val="20"/>
              </w:rPr>
              <w:t>Anul</w:t>
            </w:r>
            <w:r w:rsidRPr="004C704C">
              <w:rPr>
                <w:noProof/>
              </w:rPr>
              <w:t xml:space="preserve"> </w:t>
            </w:r>
            <w:r w:rsidRPr="004C704C">
              <w:rPr>
                <w:noProof/>
              </w:rPr>
              <w:br/>
            </w:r>
            <w:r w:rsidRPr="004C704C">
              <w:rPr>
                <w:b/>
                <w:noProof/>
                <w:sz w:val="20"/>
              </w:rPr>
              <w:t>2027</w:t>
            </w:r>
          </w:p>
        </w:tc>
        <w:tc>
          <w:tcPr>
            <w:tcW w:w="1694" w:type="dxa"/>
            <w:vAlign w:val="center"/>
          </w:tcPr>
          <w:p w14:paraId="2B791C3D" w14:textId="77777777" w:rsidR="009F426A" w:rsidRPr="004C704C" w:rsidRDefault="009F426A" w:rsidP="00B003F0">
            <w:pPr>
              <w:jc w:val="center"/>
              <w:rPr>
                <w:rFonts w:eastAsia="Calibri"/>
                <w:b/>
                <w:noProof/>
                <w:sz w:val="20"/>
              </w:rPr>
            </w:pPr>
            <w:r w:rsidRPr="004C704C">
              <w:rPr>
                <w:b/>
                <w:noProof/>
                <w:sz w:val="20"/>
              </w:rPr>
              <w:t>TOTAL</w:t>
            </w:r>
          </w:p>
        </w:tc>
      </w:tr>
      <w:tr w:rsidR="009F426A" w:rsidRPr="004C704C" w14:paraId="4A74DECA" w14:textId="77777777" w:rsidTr="00B003F0">
        <w:trPr>
          <w:trHeight w:val="272"/>
        </w:trPr>
        <w:tc>
          <w:tcPr>
            <w:tcW w:w="3582" w:type="dxa"/>
            <w:vMerge w:val="restart"/>
            <w:vAlign w:val="center"/>
          </w:tcPr>
          <w:p w14:paraId="253936E8" w14:textId="77777777" w:rsidR="009F426A" w:rsidRPr="004C704C" w:rsidRDefault="009F426A" w:rsidP="00B003F0">
            <w:pPr>
              <w:rPr>
                <w:rFonts w:eastAsia="Calibri"/>
                <w:noProof/>
              </w:rPr>
            </w:pPr>
            <w:r w:rsidRPr="004C704C">
              <w:rPr>
                <w:noProof/>
                <w:sz w:val="20"/>
              </w:rPr>
              <w:t>Titlul 1: Cheltuieli cu personalul</w:t>
            </w:r>
          </w:p>
        </w:tc>
        <w:tc>
          <w:tcPr>
            <w:tcW w:w="1560" w:type="dxa"/>
            <w:vAlign w:val="center"/>
          </w:tcPr>
          <w:p w14:paraId="1EFC2F9C" w14:textId="77777777" w:rsidR="009F426A" w:rsidRPr="004C704C" w:rsidRDefault="009F426A" w:rsidP="00B003F0">
            <w:pPr>
              <w:spacing w:before="20" w:after="20"/>
              <w:rPr>
                <w:rFonts w:eastAsia="Calibri"/>
                <w:noProof/>
                <w:sz w:val="18"/>
              </w:rPr>
            </w:pPr>
            <w:r w:rsidRPr="004C704C">
              <w:rPr>
                <w:noProof/>
                <w:sz w:val="18"/>
              </w:rPr>
              <w:t>Angajamente</w:t>
            </w:r>
          </w:p>
        </w:tc>
        <w:tc>
          <w:tcPr>
            <w:tcW w:w="737" w:type="dxa"/>
            <w:vAlign w:val="center"/>
          </w:tcPr>
          <w:p w14:paraId="4BBB3888" w14:textId="77777777" w:rsidR="009F426A" w:rsidRPr="004C704C" w:rsidRDefault="009F426A" w:rsidP="00B003F0">
            <w:pPr>
              <w:spacing w:before="20" w:after="20"/>
              <w:jc w:val="center"/>
              <w:rPr>
                <w:rFonts w:eastAsia="Calibri"/>
                <w:noProof/>
                <w:sz w:val="14"/>
              </w:rPr>
            </w:pPr>
            <w:r w:rsidRPr="004C704C">
              <w:rPr>
                <w:noProof/>
                <w:sz w:val="14"/>
              </w:rPr>
              <w:t>(1a)</w:t>
            </w:r>
          </w:p>
        </w:tc>
        <w:tc>
          <w:tcPr>
            <w:tcW w:w="714" w:type="dxa"/>
            <w:shd w:val="clear" w:color="auto" w:fill="auto"/>
            <w:vAlign w:val="center"/>
          </w:tcPr>
          <w:p w14:paraId="68749079" w14:textId="77777777" w:rsidR="009F426A" w:rsidRPr="004C704C" w:rsidRDefault="009F426A" w:rsidP="00B003F0">
            <w:pPr>
              <w:spacing w:before="20" w:after="20"/>
              <w:jc w:val="right"/>
              <w:rPr>
                <w:rFonts w:eastAsia="Calibri"/>
                <w:noProof/>
                <w:sz w:val="20"/>
              </w:rPr>
            </w:pPr>
            <w:r w:rsidRPr="004C704C">
              <w:rPr>
                <w:noProof/>
                <w:sz w:val="20"/>
              </w:rPr>
              <w:t>0,430</w:t>
            </w:r>
          </w:p>
        </w:tc>
        <w:tc>
          <w:tcPr>
            <w:tcW w:w="827" w:type="dxa"/>
            <w:shd w:val="clear" w:color="auto" w:fill="auto"/>
            <w:vAlign w:val="center"/>
          </w:tcPr>
          <w:p w14:paraId="5AD74E58" w14:textId="77777777" w:rsidR="009F426A" w:rsidRPr="004C704C" w:rsidRDefault="009F426A" w:rsidP="00B003F0">
            <w:pPr>
              <w:spacing w:before="20" w:after="20"/>
              <w:jc w:val="right"/>
              <w:rPr>
                <w:rFonts w:eastAsia="Calibri"/>
                <w:noProof/>
                <w:sz w:val="20"/>
              </w:rPr>
            </w:pPr>
            <w:r w:rsidRPr="004C704C">
              <w:rPr>
                <w:noProof/>
                <w:sz w:val="20"/>
              </w:rPr>
              <w:t>0,438</w:t>
            </w:r>
          </w:p>
        </w:tc>
        <w:tc>
          <w:tcPr>
            <w:tcW w:w="827" w:type="dxa"/>
            <w:shd w:val="clear" w:color="auto" w:fill="auto"/>
            <w:vAlign w:val="center"/>
          </w:tcPr>
          <w:p w14:paraId="10E55E63" w14:textId="77777777" w:rsidR="009F426A" w:rsidRPr="004C704C" w:rsidRDefault="009F426A" w:rsidP="00B003F0">
            <w:pPr>
              <w:spacing w:before="20" w:after="20"/>
              <w:jc w:val="right"/>
              <w:rPr>
                <w:rFonts w:eastAsia="Calibri"/>
                <w:noProof/>
                <w:sz w:val="20"/>
              </w:rPr>
            </w:pPr>
            <w:r w:rsidRPr="004C704C">
              <w:rPr>
                <w:noProof/>
                <w:sz w:val="20"/>
              </w:rPr>
              <w:t>0,447</w:t>
            </w:r>
          </w:p>
        </w:tc>
        <w:tc>
          <w:tcPr>
            <w:tcW w:w="827" w:type="dxa"/>
            <w:shd w:val="clear" w:color="auto" w:fill="auto"/>
            <w:vAlign w:val="center"/>
          </w:tcPr>
          <w:p w14:paraId="4A62BC54" w14:textId="77777777" w:rsidR="009F426A" w:rsidRPr="004C704C" w:rsidRDefault="009F426A" w:rsidP="00B003F0">
            <w:pPr>
              <w:spacing w:before="20" w:after="20"/>
              <w:jc w:val="right"/>
              <w:rPr>
                <w:rFonts w:eastAsia="Calibri"/>
                <w:noProof/>
                <w:sz w:val="20"/>
              </w:rPr>
            </w:pPr>
            <w:r w:rsidRPr="004C704C">
              <w:rPr>
                <w:noProof/>
                <w:sz w:val="20"/>
              </w:rPr>
              <w:t>0,456</w:t>
            </w:r>
          </w:p>
        </w:tc>
        <w:tc>
          <w:tcPr>
            <w:tcW w:w="1694" w:type="dxa"/>
            <w:vAlign w:val="center"/>
          </w:tcPr>
          <w:p w14:paraId="48DFBD7A" w14:textId="77777777" w:rsidR="009F426A" w:rsidRPr="004C704C" w:rsidRDefault="009F426A" w:rsidP="00B003F0">
            <w:pPr>
              <w:spacing w:before="20" w:after="20"/>
              <w:jc w:val="right"/>
              <w:rPr>
                <w:rFonts w:eastAsia="Calibri"/>
                <w:b/>
                <w:bCs/>
                <w:noProof/>
                <w:sz w:val="20"/>
              </w:rPr>
            </w:pPr>
            <w:r w:rsidRPr="004C704C">
              <w:rPr>
                <w:b/>
                <w:bCs/>
                <w:noProof/>
                <w:sz w:val="20"/>
              </w:rPr>
              <w:t>1,772</w:t>
            </w:r>
          </w:p>
        </w:tc>
      </w:tr>
      <w:tr w:rsidR="009F426A" w:rsidRPr="004C704C" w14:paraId="3396EF0A" w14:textId="77777777" w:rsidTr="00B003F0">
        <w:trPr>
          <w:trHeight w:val="274"/>
        </w:trPr>
        <w:tc>
          <w:tcPr>
            <w:tcW w:w="3582" w:type="dxa"/>
            <w:vMerge/>
          </w:tcPr>
          <w:p w14:paraId="0093D3B0" w14:textId="77777777" w:rsidR="009F426A" w:rsidRPr="004C704C" w:rsidRDefault="009F426A" w:rsidP="00B003F0">
            <w:pPr>
              <w:jc w:val="center"/>
              <w:rPr>
                <w:rFonts w:eastAsia="Calibri"/>
                <w:noProof/>
                <w:sz w:val="20"/>
                <w:lang w:eastAsia="en-GB"/>
              </w:rPr>
            </w:pPr>
          </w:p>
        </w:tc>
        <w:tc>
          <w:tcPr>
            <w:tcW w:w="1560" w:type="dxa"/>
            <w:vAlign w:val="center"/>
          </w:tcPr>
          <w:p w14:paraId="422CB46B" w14:textId="77777777" w:rsidR="009F426A" w:rsidRPr="004C704C" w:rsidRDefault="009F426A" w:rsidP="00B003F0">
            <w:pPr>
              <w:spacing w:before="20" w:after="20"/>
              <w:rPr>
                <w:rFonts w:eastAsia="Calibri"/>
                <w:noProof/>
                <w:sz w:val="18"/>
              </w:rPr>
            </w:pPr>
            <w:r w:rsidRPr="004C704C">
              <w:rPr>
                <w:noProof/>
                <w:sz w:val="18"/>
              </w:rPr>
              <w:t>Plăți</w:t>
            </w:r>
          </w:p>
        </w:tc>
        <w:tc>
          <w:tcPr>
            <w:tcW w:w="737" w:type="dxa"/>
            <w:vAlign w:val="center"/>
          </w:tcPr>
          <w:p w14:paraId="48125087" w14:textId="77777777" w:rsidR="009F426A" w:rsidRPr="004C704C" w:rsidRDefault="009F426A" w:rsidP="00B003F0">
            <w:pPr>
              <w:spacing w:before="20" w:after="20"/>
              <w:jc w:val="center"/>
              <w:rPr>
                <w:rFonts w:eastAsia="Calibri"/>
                <w:noProof/>
                <w:sz w:val="14"/>
              </w:rPr>
            </w:pPr>
            <w:r w:rsidRPr="004C704C">
              <w:rPr>
                <w:noProof/>
                <w:sz w:val="14"/>
              </w:rPr>
              <w:t>(2a)</w:t>
            </w:r>
          </w:p>
        </w:tc>
        <w:tc>
          <w:tcPr>
            <w:tcW w:w="714" w:type="dxa"/>
            <w:shd w:val="clear" w:color="auto" w:fill="auto"/>
            <w:vAlign w:val="center"/>
          </w:tcPr>
          <w:p w14:paraId="01A82051" w14:textId="77777777" w:rsidR="009F426A" w:rsidRPr="004C704C" w:rsidRDefault="009F426A" w:rsidP="00B003F0">
            <w:pPr>
              <w:spacing w:before="20" w:after="20"/>
              <w:jc w:val="right"/>
              <w:rPr>
                <w:rFonts w:eastAsia="Calibri"/>
                <w:noProof/>
                <w:sz w:val="20"/>
              </w:rPr>
            </w:pPr>
            <w:r w:rsidRPr="004C704C">
              <w:rPr>
                <w:noProof/>
                <w:sz w:val="20"/>
              </w:rPr>
              <w:t>0,430</w:t>
            </w:r>
          </w:p>
        </w:tc>
        <w:tc>
          <w:tcPr>
            <w:tcW w:w="827" w:type="dxa"/>
            <w:shd w:val="clear" w:color="auto" w:fill="auto"/>
            <w:vAlign w:val="center"/>
          </w:tcPr>
          <w:p w14:paraId="29EC6BAA" w14:textId="77777777" w:rsidR="009F426A" w:rsidRPr="004C704C" w:rsidRDefault="009F426A" w:rsidP="00B003F0">
            <w:pPr>
              <w:spacing w:before="20" w:after="20"/>
              <w:jc w:val="right"/>
              <w:rPr>
                <w:rFonts w:eastAsia="Calibri"/>
                <w:noProof/>
                <w:sz w:val="20"/>
              </w:rPr>
            </w:pPr>
            <w:r w:rsidRPr="004C704C">
              <w:rPr>
                <w:noProof/>
                <w:sz w:val="20"/>
              </w:rPr>
              <w:t>0,438</w:t>
            </w:r>
          </w:p>
        </w:tc>
        <w:tc>
          <w:tcPr>
            <w:tcW w:w="827" w:type="dxa"/>
            <w:shd w:val="clear" w:color="auto" w:fill="auto"/>
            <w:vAlign w:val="center"/>
          </w:tcPr>
          <w:p w14:paraId="6DEB20FD" w14:textId="77777777" w:rsidR="009F426A" w:rsidRPr="004C704C" w:rsidRDefault="009F426A" w:rsidP="00B003F0">
            <w:pPr>
              <w:spacing w:before="20" w:after="20"/>
              <w:jc w:val="right"/>
              <w:rPr>
                <w:rFonts w:eastAsia="Calibri"/>
                <w:noProof/>
                <w:sz w:val="20"/>
              </w:rPr>
            </w:pPr>
            <w:r w:rsidRPr="004C704C">
              <w:rPr>
                <w:noProof/>
                <w:sz w:val="20"/>
              </w:rPr>
              <w:t>0,447</w:t>
            </w:r>
          </w:p>
        </w:tc>
        <w:tc>
          <w:tcPr>
            <w:tcW w:w="827" w:type="dxa"/>
            <w:shd w:val="clear" w:color="auto" w:fill="auto"/>
            <w:vAlign w:val="center"/>
          </w:tcPr>
          <w:p w14:paraId="705D7325" w14:textId="77777777" w:rsidR="009F426A" w:rsidRPr="004C704C" w:rsidRDefault="009F426A" w:rsidP="00B003F0">
            <w:pPr>
              <w:spacing w:before="20" w:after="20"/>
              <w:jc w:val="right"/>
              <w:rPr>
                <w:rFonts w:eastAsia="Calibri"/>
                <w:noProof/>
                <w:sz w:val="20"/>
              </w:rPr>
            </w:pPr>
            <w:r w:rsidRPr="004C704C">
              <w:rPr>
                <w:noProof/>
                <w:sz w:val="20"/>
              </w:rPr>
              <w:t>0,456</w:t>
            </w:r>
          </w:p>
        </w:tc>
        <w:tc>
          <w:tcPr>
            <w:tcW w:w="1694" w:type="dxa"/>
            <w:vAlign w:val="center"/>
          </w:tcPr>
          <w:p w14:paraId="4C1743F5" w14:textId="77777777" w:rsidR="009F426A" w:rsidRPr="004C704C" w:rsidRDefault="009F426A" w:rsidP="00B003F0">
            <w:pPr>
              <w:spacing w:before="20" w:after="20"/>
              <w:jc w:val="right"/>
              <w:rPr>
                <w:rFonts w:eastAsia="Calibri"/>
                <w:b/>
                <w:bCs/>
                <w:noProof/>
                <w:sz w:val="20"/>
              </w:rPr>
            </w:pPr>
            <w:r w:rsidRPr="004C704C">
              <w:rPr>
                <w:b/>
                <w:bCs/>
                <w:noProof/>
                <w:sz w:val="20"/>
              </w:rPr>
              <w:t>1,772</w:t>
            </w:r>
          </w:p>
        </w:tc>
      </w:tr>
      <w:tr w:rsidR="009F426A" w:rsidRPr="004C704C" w14:paraId="5B2A76C8" w14:textId="77777777" w:rsidTr="00B003F0">
        <w:trPr>
          <w:trHeight w:val="272"/>
        </w:trPr>
        <w:tc>
          <w:tcPr>
            <w:tcW w:w="3582" w:type="dxa"/>
            <w:vMerge w:val="restart"/>
            <w:vAlign w:val="center"/>
          </w:tcPr>
          <w:p w14:paraId="405D0EBA" w14:textId="77777777" w:rsidR="009F426A" w:rsidRPr="004C704C" w:rsidRDefault="009F426A" w:rsidP="00B003F0">
            <w:pPr>
              <w:rPr>
                <w:rFonts w:eastAsia="Calibri"/>
                <w:noProof/>
              </w:rPr>
            </w:pPr>
            <w:r w:rsidRPr="004C704C">
              <w:rPr>
                <w:noProof/>
                <w:sz w:val="20"/>
              </w:rPr>
              <w:t>Titlul 2: Cheltuieli administrative</w:t>
            </w:r>
          </w:p>
        </w:tc>
        <w:tc>
          <w:tcPr>
            <w:tcW w:w="1560" w:type="dxa"/>
            <w:vAlign w:val="center"/>
          </w:tcPr>
          <w:p w14:paraId="4D0AC2F9" w14:textId="77777777" w:rsidR="009F426A" w:rsidRPr="004C704C" w:rsidRDefault="009F426A" w:rsidP="00B003F0">
            <w:pPr>
              <w:spacing w:before="20" w:after="20"/>
              <w:rPr>
                <w:rFonts w:eastAsia="Calibri"/>
                <w:noProof/>
                <w:sz w:val="18"/>
              </w:rPr>
            </w:pPr>
            <w:r w:rsidRPr="004C704C">
              <w:rPr>
                <w:noProof/>
                <w:sz w:val="18"/>
              </w:rPr>
              <w:t>Angajamente</w:t>
            </w:r>
          </w:p>
        </w:tc>
        <w:tc>
          <w:tcPr>
            <w:tcW w:w="737" w:type="dxa"/>
            <w:vAlign w:val="center"/>
          </w:tcPr>
          <w:p w14:paraId="30E69649" w14:textId="77777777" w:rsidR="009F426A" w:rsidRPr="004C704C" w:rsidRDefault="009F426A" w:rsidP="00B003F0">
            <w:pPr>
              <w:spacing w:before="20" w:after="20"/>
              <w:jc w:val="center"/>
              <w:rPr>
                <w:rFonts w:eastAsia="Calibri"/>
                <w:noProof/>
                <w:sz w:val="14"/>
              </w:rPr>
            </w:pPr>
            <w:r w:rsidRPr="004C704C">
              <w:rPr>
                <w:noProof/>
                <w:sz w:val="14"/>
              </w:rPr>
              <w:t>(1a)</w:t>
            </w:r>
          </w:p>
        </w:tc>
        <w:tc>
          <w:tcPr>
            <w:tcW w:w="714" w:type="dxa"/>
            <w:shd w:val="clear" w:color="auto" w:fill="auto"/>
            <w:vAlign w:val="center"/>
          </w:tcPr>
          <w:p w14:paraId="19204178" w14:textId="77777777" w:rsidR="009F426A" w:rsidRPr="004C704C" w:rsidRDefault="009F426A" w:rsidP="00B003F0">
            <w:pPr>
              <w:spacing w:before="20" w:after="20"/>
              <w:jc w:val="right"/>
              <w:rPr>
                <w:rFonts w:eastAsia="Calibri"/>
                <w:noProof/>
                <w:sz w:val="20"/>
              </w:rPr>
            </w:pPr>
            <w:r w:rsidRPr="004C704C">
              <w:rPr>
                <w:noProof/>
                <w:sz w:val="20"/>
              </w:rPr>
              <w:t>0,050</w:t>
            </w:r>
          </w:p>
        </w:tc>
        <w:tc>
          <w:tcPr>
            <w:tcW w:w="827" w:type="dxa"/>
            <w:shd w:val="clear" w:color="auto" w:fill="auto"/>
          </w:tcPr>
          <w:p w14:paraId="057C4EFF" w14:textId="77777777" w:rsidR="009F426A" w:rsidRPr="004C704C" w:rsidRDefault="009F426A" w:rsidP="00B003F0">
            <w:pPr>
              <w:spacing w:before="20" w:after="20"/>
              <w:jc w:val="right"/>
              <w:rPr>
                <w:rFonts w:eastAsia="Calibri"/>
                <w:noProof/>
                <w:sz w:val="20"/>
              </w:rPr>
            </w:pPr>
            <w:r w:rsidRPr="004C704C">
              <w:rPr>
                <w:noProof/>
                <w:sz w:val="20"/>
              </w:rPr>
              <w:t>0,050</w:t>
            </w:r>
          </w:p>
        </w:tc>
        <w:tc>
          <w:tcPr>
            <w:tcW w:w="827" w:type="dxa"/>
            <w:shd w:val="clear" w:color="auto" w:fill="auto"/>
          </w:tcPr>
          <w:p w14:paraId="0CEF3B2C" w14:textId="77777777" w:rsidR="009F426A" w:rsidRPr="004C704C" w:rsidRDefault="009F426A" w:rsidP="00B003F0">
            <w:pPr>
              <w:spacing w:before="20" w:after="20"/>
              <w:jc w:val="right"/>
              <w:rPr>
                <w:rFonts w:eastAsia="Calibri"/>
                <w:noProof/>
                <w:sz w:val="20"/>
              </w:rPr>
            </w:pPr>
            <w:r w:rsidRPr="004C704C">
              <w:rPr>
                <w:noProof/>
                <w:sz w:val="20"/>
              </w:rPr>
              <w:t>0,020</w:t>
            </w:r>
          </w:p>
        </w:tc>
        <w:tc>
          <w:tcPr>
            <w:tcW w:w="827" w:type="dxa"/>
            <w:shd w:val="clear" w:color="auto" w:fill="auto"/>
          </w:tcPr>
          <w:p w14:paraId="50BDB2BE" w14:textId="77777777" w:rsidR="009F426A" w:rsidRPr="004C704C" w:rsidRDefault="009F426A" w:rsidP="00B003F0">
            <w:pPr>
              <w:spacing w:before="20" w:after="20"/>
              <w:jc w:val="right"/>
              <w:rPr>
                <w:rFonts w:eastAsia="Calibri"/>
                <w:noProof/>
                <w:sz w:val="20"/>
              </w:rPr>
            </w:pPr>
            <w:r w:rsidRPr="004C704C">
              <w:rPr>
                <w:noProof/>
                <w:sz w:val="20"/>
              </w:rPr>
              <w:t>0,020</w:t>
            </w:r>
          </w:p>
        </w:tc>
        <w:tc>
          <w:tcPr>
            <w:tcW w:w="1694" w:type="dxa"/>
            <w:vAlign w:val="center"/>
          </w:tcPr>
          <w:p w14:paraId="187EFFDD" w14:textId="77777777" w:rsidR="009F426A" w:rsidRPr="004C704C" w:rsidRDefault="009F426A" w:rsidP="00B003F0">
            <w:pPr>
              <w:spacing w:before="20" w:after="20"/>
              <w:jc w:val="right"/>
              <w:rPr>
                <w:rFonts w:eastAsia="Calibri"/>
                <w:b/>
                <w:bCs/>
                <w:noProof/>
                <w:sz w:val="20"/>
              </w:rPr>
            </w:pPr>
            <w:r w:rsidRPr="004C704C">
              <w:rPr>
                <w:b/>
                <w:bCs/>
                <w:noProof/>
                <w:sz w:val="20"/>
              </w:rPr>
              <w:t>0,140</w:t>
            </w:r>
          </w:p>
        </w:tc>
      </w:tr>
      <w:tr w:rsidR="009F426A" w:rsidRPr="004C704C" w14:paraId="13C74905" w14:textId="77777777" w:rsidTr="00B003F0">
        <w:trPr>
          <w:trHeight w:val="274"/>
        </w:trPr>
        <w:tc>
          <w:tcPr>
            <w:tcW w:w="3582" w:type="dxa"/>
            <w:vMerge/>
          </w:tcPr>
          <w:p w14:paraId="071BCB06" w14:textId="77777777" w:rsidR="009F426A" w:rsidRPr="004C704C" w:rsidRDefault="009F426A" w:rsidP="00B003F0">
            <w:pPr>
              <w:jc w:val="center"/>
              <w:rPr>
                <w:rFonts w:eastAsia="Calibri"/>
                <w:noProof/>
                <w:sz w:val="20"/>
                <w:lang w:eastAsia="en-GB"/>
              </w:rPr>
            </w:pPr>
          </w:p>
        </w:tc>
        <w:tc>
          <w:tcPr>
            <w:tcW w:w="1560" w:type="dxa"/>
            <w:vAlign w:val="center"/>
          </w:tcPr>
          <w:p w14:paraId="50485C07" w14:textId="77777777" w:rsidR="009F426A" w:rsidRPr="004C704C" w:rsidRDefault="009F426A" w:rsidP="00B003F0">
            <w:pPr>
              <w:spacing w:before="20" w:after="20"/>
              <w:rPr>
                <w:rFonts w:eastAsia="Calibri"/>
                <w:noProof/>
                <w:sz w:val="18"/>
              </w:rPr>
            </w:pPr>
            <w:r w:rsidRPr="004C704C">
              <w:rPr>
                <w:noProof/>
                <w:sz w:val="18"/>
              </w:rPr>
              <w:t>Plăți</w:t>
            </w:r>
          </w:p>
        </w:tc>
        <w:tc>
          <w:tcPr>
            <w:tcW w:w="737" w:type="dxa"/>
            <w:vAlign w:val="center"/>
          </w:tcPr>
          <w:p w14:paraId="02FF50E3" w14:textId="77777777" w:rsidR="009F426A" w:rsidRPr="004C704C" w:rsidRDefault="009F426A" w:rsidP="00B003F0">
            <w:pPr>
              <w:spacing w:before="20" w:after="20"/>
              <w:jc w:val="center"/>
              <w:rPr>
                <w:rFonts w:eastAsia="Calibri"/>
                <w:noProof/>
                <w:sz w:val="14"/>
              </w:rPr>
            </w:pPr>
            <w:r w:rsidRPr="004C704C">
              <w:rPr>
                <w:noProof/>
                <w:sz w:val="14"/>
              </w:rPr>
              <w:t>(2a)</w:t>
            </w:r>
          </w:p>
        </w:tc>
        <w:tc>
          <w:tcPr>
            <w:tcW w:w="714" w:type="dxa"/>
            <w:shd w:val="clear" w:color="auto" w:fill="auto"/>
            <w:vAlign w:val="center"/>
          </w:tcPr>
          <w:p w14:paraId="17CECDDD" w14:textId="77777777" w:rsidR="009F426A" w:rsidRPr="004C704C" w:rsidRDefault="009F426A" w:rsidP="00B003F0">
            <w:pPr>
              <w:spacing w:before="20" w:after="20"/>
              <w:jc w:val="right"/>
              <w:rPr>
                <w:rFonts w:eastAsia="Calibri"/>
                <w:noProof/>
                <w:sz w:val="20"/>
              </w:rPr>
            </w:pPr>
            <w:r w:rsidRPr="004C704C">
              <w:rPr>
                <w:noProof/>
                <w:sz w:val="20"/>
              </w:rPr>
              <w:t>0,050</w:t>
            </w:r>
          </w:p>
        </w:tc>
        <w:tc>
          <w:tcPr>
            <w:tcW w:w="827" w:type="dxa"/>
            <w:shd w:val="clear" w:color="auto" w:fill="auto"/>
          </w:tcPr>
          <w:p w14:paraId="73BC5001" w14:textId="77777777" w:rsidR="009F426A" w:rsidRPr="004C704C" w:rsidRDefault="009F426A" w:rsidP="00B003F0">
            <w:pPr>
              <w:spacing w:before="20" w:after="20"/>
              <w:jc w:val="right"/>
              <w:rPr>
                <w:rFonts w:eastAsia="Calibri"/>
                <w:noProof/>
                <w:sz w:val="20"/>
              </w:rPr>
            </w:pPr>
            <w:r w:rsidRPr="004C704C">
              <w:rPr>
                <w:noProof/>
                <w:sz w:val="20"/>
              </w:rPr>
              <w:t>0,050</w:t>
            </w:r>
          </w:p>
        </w:tc>
        <w:tc>
          <w:tcPr>
            <w:tcW w:w="827" w:type="dxa"/>
            <w:shd w:val="clear" w:color="auto" w:fill="auto"/>
          </w:tcPr>
          <w:p w14:paraId="1A563A77" w14:textId="77777777" w:rsidR="009F426A" w:rsidRPr="004C704C" w:rsidRDefault="009F426A" w:rsidP="00B003F0">
            <w:pPr>
              <w:spacing w:before="20" w:after="20"/>
              <w:jc w:val="right"/>
              <w:rPr>
                <w:rFonts w:eastAsia="Calibri"/>
                <w:noProof/>
                <w:sz w:val="20"/>
              </w:rPr>
            </w:pPr>
            <w:r w:rsidRPr="004C704C">
              <w:rPr>
                <w:noProof/>
                <w:sz w:val="20"/>
              </w:rPr>
              <w:t>0,020</w:t>
            </w:r>
          </w:p>
        </w:tc>
        <w:tc>
          <w:tcPr>
            <w:tcW w:w="827" w:type="dxa"/>
            <w:shd w:val="clear" w:color="auto" w:fill="auto"/>
          </w:tcPr>
          <w:p w14:paraId="790DA3B2" w14:textId="77777777" w:rsidR="009F426A" w:rsidRPr="004C704C" w:rsidRDefault="009F426A" w:rsidP="00B003F0">
            <w:pPr>
              <w:spacing w:before="20" w:after="20"/>
              <w:jc w:val="right"/>
              <w:rPr>
                <w:rFonts w:eastAsia="Calibri"/>
                <w:noProof/>
                <w:sz w:val="20"/>
              </w:rPr>
            </w:pPr>
            <w:r w:rsidRPr="004C704C">
              <w:rPr>
                <w:noProof/>
                <w:sz w:val="20"/>
              </w:rPr>
              <w:t>0,020</w:t>
            </w:r>
          </w:p>
        </w:tc>
        <w:tc>
          <w:tcPr>
            <w:tcW w:w="1694" w:type="dxa"/>
            <w:vAlign w:val="center"/>
          </w:tcPr>
          <w:p w14:paraId="1B4DD3E9" w14:textId="77777777" w:rsidR="009F426A" w:rsidRPr="004C704C" w:rsidRDefault="009F426A" w:rsidP="00B003F0">
            <w:pPr>
              <w:spacing w:before="20" w:after="20"/>
              <w:jc w:val="right"/>
              <w:rPr>
                <w:rFonts w:eastAsia="Calibri"/>
                <w:b/>
                <w:bCs/>
                <w:noProof/>
                <w:sz w:val="20"/>
              </w:rPr>
            </w:pPr>
            <w:r w:rsidRPr="004C704C">
              <w:rPr>
                <w:b/>
                <w:bCs/>
                <w:noProof/>
                <w:sz w:val="20"/>
              </w:rPr>
              <w:t>0,140</w:t>
            </w:r>
          </w:p>
        </w:tc>
      </w:tr>
      <w:tr w:rsidR="009F426A" w:rsidRPr="004C704C" w14:paraId="2D50DCE8" w14:textId="77777777" w:rsidTr="00B003F0">
        <w:trPr>
          <w:trHeight w:val="262"/>
        </w:trPr>
        <w:tc>
          <w:tcPr>
            <w:tcW w:w="3582" w:type="dxa"/>
            <w:vMerge w:val="restart"/>
            <w:vAlign w:val="center"/>
          </w:tcPr>
          <w:p w14:paraId="5F490135" w14:textId="77777777" w:rsidR="009F426A" w:rsidRPr="004C704C" w:rsidRDefault="009F426A" w:rsidP="00B003F0">
            <w:pPr>
              <w:rPr>
                <w:rFonts w:eastAsia="Calibri"/>
                <w:noProof/>
              </w:rPr>
            </w:pPr>
            <w:r w:rsidRPr="004C704C">
              <w:rPr>
                <w:noProof/>
                <w:sz w:val="20"/>
              </w:rPr>
              <w:t>Titlul 3: Cheltuieli operaționale</w:t>
            </w:r>
          </w:p>
        </w:tc>
        <w:tc>
          <w:tcPr>
            <w:tcW w:w="1560" w:type="dxa"/>
            <w:vAlign w:val="center"/>
          </w:tcPr>
          <w:p w14:paraId="0EC03788" w14:textId="77777777" w:rsidR="009F426A" w:rsidRPr="004C704C" w:rsidRDefault="009F426A" w:rsidP="00B003F0">
            <w:pPr>
              <w:spacing w:before="20" w:after="20"/>
              <w:rPr>
                <w:rFonts w:eastAsia="Calibri"/>
                <w:noProof/>
                <w:sz w:val="18"/>
              </w:rPr>
            </w:pPr>
            <w:r w:rsidRPr="004C704C">
              <w:rPr>
                <w:noProof/>
                <w:sz w:val="18"/>
              </w:rPr>
              <w:t>Angajamente</w:t>
            </w:r>
          </w:p>
        </w:tc>
        <w:tc>
          <w:tcPr>
            <w:tcW w:w="737" w:type="dxa"/>
            <w:vAlign w:val="center"/>
          </w:tcPr>
          <w:p w14:paraId="7F1F17BF" w14:textId="77777777" w:rsidR="009F426A" w:rsidRPr="004C704C" w:rsidRDefault="009F426A" w:rsidP="00B003F0">
            <w:pPr>
              <w:spacing w:before="20" w:after="20"/>
              <w:jc w:val="center"/>
              <w:rPr>
                <w:rFonts w:eastAsia="Calibri"/>
                <w:noProof/>
                <w:sz w:val="14"/>
              </w:rPr>
            </w:pPr>
            <w:r w:rsidRPr="004C704C">
              <w:rPr>
                <w:noProof/>
                <w:sz w:val="14"/>
              </w:rPr>
              <w:t>(1b)</w:t>
            </w:r>
          </w:p>
        </w:tc>
        <w:tc>
          <w:tcPr>
            <w:tcW w:w="714" w:type="dxa"/>
            <w:vAlign w:val="center"/>
          </w:tcPr>
          <w:p w14:paraId="66DEF531" w14:textId="77777777" w:rsidR="009F426A" w:rsidRPr="004C704C" w:rsidRDefault="009F426A" w:rsidP="00B003F0">
            <w:pPr>
              <w:spacing w:before="20" w:after="20"/>
              <w:jc w:val="right"/>
              <w:rPr>
                <w:rFonts w:eastAsia="Calibri"/>
                <w:noProof/>
                <w:sz w:val="20"/>
              </w:rPr>
            </w:pPr>
            <w:r w:rsidRPr="004C704C">
              <w:rPr>
                <w:noProof/>
                <w:sz w:val="20"/>
              </w:rPr>
              <w:t>0,170</w:t>
            </w:r>
          </w:p>
        </w:tc>
        <w:tc>
          <w:tcPr>
            <w:tcW w:w="827" w:type="dxa"/>
            <w:vAlign w:val="center"/>
          </w:tcPr>
          <w:p w14:paraId="12714DEB" w14:textId="77777777" w:rsidR="009F426A" w:rsidRPr="004C704C" w:rsidRDefault="009F426A" w:rsidP="00B003F0">
            <w:pPr>
              <w:spacing w:before="20" w:after="20"/>
              <w:jc w:val="right"/>
              <w:rPr>
                <w:rFonts w:eastAsia="Calibri"/>
                <w:noProof/>
                <w:sz w:val="20"/>
              </w:rPr>
            </w:pPr>
            <w:r w:rsidRPr="004C704C">
              <w:rPr>
                <w:noProof/>
                <w:sz w:val="20"/>
              </w:rPr>
              <w:t>0,070</w:t>
            </w:r>
          </w:p>
        </w:tc>
        <w:tc>
          <w:tcPr>
            <w:tcW w:w="827" w:type="dxa"/>
            <w:vAlign w:val="center"/>
          </w:tcPr>
          <w:p w14:paraId="1FC6E02D" w14:textId="77777777" w:rsidR="009F426A" w:rsidRPr="004C704C" w:rsidRDefault="009F426A" w:rsidP="00B003F0">
            <w:pPr>
              <w:spacing w:before="20" w:after="20"/>
              <w:jc w:val="right"/>
              <w:rPr>
                <w:rFonts w:eastAsia="Calibri"/>
                <w:noProof/>
                <w:sz w:val="20"/>
              </w:rPr>
            </w:pPr>
            <w:r w:rsidRPr="004C704C">
              <w:rPr>
                <w:noProof/>
                <w:sz w:val="20"/>
              </w:rPr>
              <w:t>0,030</w:t>
            </w:r>
          </w:p>
        </w:tc>
        <w:tc>
          <w:tcPr>
            <w:tcW w:w="827" w:type="dxa"/>
            <w:vAlign w:val="center"/>
          </w:tcPr>
          <w:p w14:paraId="2B92F3D8" w14:textId="77777777" w:rsidR="009F426A" w:rsidRPr="004C704C" w:rsidRDefault="009F426A" w:rsidP="00B003F0">
            <w:pPr>
              <w:spacing w:before="20" w:after="20"/>
              <w:jc w:val="right"/>
              <w:rPr>
                <w:rFonts w:eastAsia="Calibri"/>
                <w:noProof/>
                <w:sz w:val="20"/>
              </w:rPr>
            </w:pPr>
            <w:r w:rsidRPr="004C704C">
              <w:rPr>
                <w:noProof/>
                <w:sz w:val="20"/>
              </w:rPr>
              <w:t>0,030</w:t>
            </w:r>
          </w:p>
        </w:tc>
        <w:tc>
          <w:tcPr>
            <w:tcW w:w="1694" w:type="dxa"/>
            <w:vAlign w:val="center"/>
          </w:tcPr>
          <w:p w14:paraId="3FA1629C" w14:textId="77777777" w:rsidR="009F426A" w:rsidRPr="004C704C" w:rsidRDefault="009F426A" w:rsidP="00B003F0">
            <w:pPr>
              <w:spacing w:before="20" w:after="20"/>
              <w:jc w:val="right"/>
              <w:rPr>
                <w:rFonts w:eastAsia="Calibri"/>
                <w:b/>
                <w:bCs/>
                <w:noProof/>
                <w:sz w:val="20"/>
              </w:rPr>
            </w:pPr>
            <w:r w:rsidRPr="004C704C">
              <w:rPr>
                <w:b/>
                <w:bCs/>
                <w:noProof/>
                <w:sz w:val="20"/>
              </w:rPr>
              <w:t>0,300</w:t>
            </w:r>
          </w:p>
        </w:tc>
      </w:tr>
      <w:tr w:rsidR="009F426A" w:rsidRPr="004C704C" w14:paraId="2BCE55E3" w14:textId="77777777" w:rsidTr="00B003F0">
        <w:trPr>
          <w:trHeight w:val="274"/>
        </w:trPr>
        <w:tc>
          <w:tcPr>
            <w:tcW w:w="3582" w:type="dxa"/>
            <w:vMerge/>
          </w:tcPr>
          <w:p w14:paraId="123768C8" w14:textId="77777777" w:rsidR="009F426A" w:rsidRPr="004C704C" w:rsidRDefault="009F426A" w:rsidP="00B003F0">
            <w:pPr>
              <w:jc w:val="center"/>
              <w:rPr>
                <w:rFonts w:eastAsia="Calibri"/>
                <w:noProof/>
                <w:sz w:val="20"/>
                <w:lang w:eastAsia="en-GB"/>
              </w:rPr>
            </w:pPr>
          </w:p>
        </w:tc>
        <w:tc>
          <w:tcPr>
            <w:tcW w:w="1560" w:type="dxa"/>
            <w:vAlign w:val="center"/>
          </w:tcPr>
          <w:p w14:paraId="72BB727B" w14:textId="77777777" w:rsidR="009F426A" w:rsidRPr="004C704C" w:rsidRDefault="009F426A" w:rsidP="00B003F0">
            <w:pPr>
              <w:spacing w:before="20" w:after="20"/>
              <w:rPr>
                <w:rFonts w:eastAsia="Calibri"/>
                <w:noProof/>
                <w:sz w:val="18"/>
              </w:rPr>
            </w:pPr>
            <w:r w:rsidRPr="004C704C">
              <w:rPr>
                <w:noProof/>
                <w:sz w:val="18"/>
              </w:rPr>
              <w:t>Plăți</w:t>
            </w:r>
          </w:p>
        </w:tc>
        <w:tc>
          <w:tcPr>
            <w:tcW w:w="737" w:type="dxa"/>
            <w:vAlign w:val="center"/>
          </w:tcPr>
          <w:p w14:paraId="1C23D0DF" w14:textId="77777777" w:rsidR="009F426A" w:rsidRPr="004C704C" w:rsidRDefault="009F426A" w:rsidP="00B003F0">
            <w:pPr>
              <w:spacing w:before="20" w:after="20"/>
              <w:jc w:val="center"/>
              <w:rPr>
                <w:rFonts w:eastAsia="Calibri"/>
                <w:noProof/>
                <w:sz w:val="14"/>
              </w:rPr>
            </w:pPr>
            <w:r w:rsidRPr="004C704C">
              <w:rPr>
                <w:noProof/>
                <w:sz w:val="14"/>
              </w:rPr>
              <w:t>(2b)</w:t>
            </w:r>
          </w:p>
        </w:tc>
        <w:tc>
          <w:tcPr>
            <w:tcW w:w="714" w:type="dxa"/>
            <w:vAlign w:val="center"/>
          </w:tcPr>
          <w:p w14:paraId="2510BBFA" w14:textId="77777777" w:rsidR="009F426A" w:rsidRPr="004C704C" w:rsidRDefault="009F426A" w:rsidP="00B003F0">
            <w:pPr>
              <w:spacing w:before="20" w:after="20"/>
              <w:jc w:val="right"/>
              <w:rPr>
                <w:rFonts w:eastAsia="Calibri"/>
                <w:noProof/>
                <w:sz w:val="20"/>
              </w:rPr>
            </w:pPr>
            <w:r w:rsidRPr="004C704C">
              <w:rPr>
                <w:noProof/>
                <w:sz w:val="20"/>
              </w:rPr>
              <w:t>0,170</w:t>
            </w:r>
          </w:p>
        </w:tc>
        <w:tc>
          <w:tcPr>
            <w:tcW w:w="827" w:type="dxa"/>
            <w:vAlign w:val="center"/>
          </w:tcPr>
          <w:p w14:paraId="0E082BCF" w14:textId="77777777" w:rsidR="009F426A" w:rsidRPr="004C704C" w:rsidRDefault="009F426A" w:rsidP="00B003F0">
            <w:pPr>
              <w:spacing w:before="20" w:after="20"/>
              <w:jc w:val="right"/>
              <w:rPr>
                <w:rFonts w:eastAsia="Calibri"/>
                <w:noProof/>
                <w:sz w:val="20"/>
              </w:rPr>
            </w:pPr>
            <w:r w:rsidRPr="004C704C">
              <w:rPr>
                <w:noProof/>
                <w:sz w:val="20"/>
              </w:rPr>
              <w:t>0,070</w:t>
            </w:r>
          </w:p>
        </w:tc>
        <w:tc>
          <w:tcPr>
            <w:tcW w:w="827" w:type="dxa"/>
            <w:vAlign w:val="center"/>
          </w:tcPr>
          <w:p w14:paraId="6A854A56" w14:textId="77777777" w:rsidR="009F426A" w:rsidRPr="004C704C" w:rsidRDefault="009F426A" w:rsidP="00B003F0">
            <w:pPr>
              <w:spacing w:before="20" w:after="20"/>
              <w:jc w:val="right"/>
              <w:rPr>
                <w:rFonts w:eastAsia="Calibri"/>
                <w:noProof/>
                <w:sz w:val="20"/>
              </w:rPr>
            </w:pPr>
            <w:r w:rsidRPr="004C704C">
              <w:rPr>
                <w:noProof/>
                <w:sz w:val="20"/>
              </w:rPr>
              <w:t>0,030</w:t>
            </w:r>
          </w:p>
        </w:tc>
        <w:tc>
          <w:tcPr>
            <w:tcW w:w="827" w:type="dxa"/>
            <w:vAlign w:val="center"/>
          </w:tcPr>
          <w:p w14:paraId="1681B08B" w14:textId="77777777" w:rsidR="009F426A" w:rsidRPr="004C704C" w:rsidRDefault="009F426A" w:rsidP="00B003F0">
            <w:pPr>
              <w:spacing w:before="20" w:after="20"/>
              <w:jc w:val="right"/>
              <w:rPr>
                <w:rFonts w:eastAsia="Calibri"/>
                <w:noProof/>
                <w:sz w:val="20"/>
              </w:rPr>
            </w:pPr>
            <w:r w:rsidRPr="004C704C">
              <w:rPr>
                <w:noProof/>
                <w:sz w:val="20"/>
              </w:rPr>
              <w:t>0,030</w:t>
            </w:r>
          </w:p>
        </w:tc>
        <w:tc>
          <w:tcPr>
            <w:tcW w:w="1694" w:type="dxa"/>
            <w:vAlign w:val="center"/>
          </w:tcPr>
          <w:p w14:paraId="085E7C2C" w14:textId="77777777" w:rsidR="009F426A" w:rsidRPr="004C704C" w:rsidRDefault="009F426A" w:rsidP="00B003F0">
            <w:pPr>
              <w:spacing w:before="20" w:after="20"/>
              <w:jc w:val="right"/>
              <w:rPr>
                <w:rFonts w:eastAsia="Calibri"/>
                <w:b/>
                <w:bCs/>
                <w:noProof/>
                <w:sz w:val="20"/>
              </w:rPr>
            </w:pPr>
            <w:r w:rsidRPr="004C704C">
              <w:rPr>
                <w:b/>
                <w:bCs/>
                <w:noProof/>
                <w:sz w:val="20"/>
              </w:rPr>
              <w:t>0,300</w:t>
            </w:r>
          </w:p>
        </w:tc>
      </w:tr>
      <w:tr w:rsidR="009F426A" w:rsidRPr="004C704C" w14:paraId="455A332E" w14:textId="77777777" w:rsidTr="00B003F0">
        <w:trPr>
          <w:trHeight w:val="549"/>
        </w:trPr>
        <w:tc>
          <w:tcPr>
            <w:tcW w:w="3582" w:type="dxa"/>
            <w:vMerge w:val="restart"/>
            <w:vAlign w:val="center"/>
          </w:tcPr>
          <w:p w14:paraId="25C1BE42" w14:textId="77777777" w:rsidR="009F426A" w:rsidRPr="004C704C" w:rsidRDefault="009F426A" w:rsidP="00B003F0">
            <w:pPr>
              <w:jc w:val="center"/>
              <w:rPr>
                <w:rFonts w:eastAsia="Calibri"/>
                <w:b/>
                <w:noProof/>
              </w:rPr>
            </w:pPr>
            <w:r w:rsidRPr="004C704C">
              <w:rPr>
                <w:b/>
                <w:noProof/>
                <w:sz w:val="22"/>
              </w:rPr>
              <w:t>TOTAL credite</w:t>
            </w:r>
            <w:r w:rsidRPr="004C704C">
              <w:rPr>
                <w:noProof/>
              </w:rPr>
              <w:t xml:space="preserve"> </w:t>
            </w:r>
            <w:r w:rsidRPr="004C704C">
              <w:rPr>
                <w:noProof/>
              </w:rPr>
              <w:br/>
            </w:r>
            <w:r w:rsidRPr="004C704C">
              <w:rPr>
                <w:b/>
                <w:noProof/>
                <w:sz w:val="22"/>
              </w:rPr>
              <w:t>pentru AEM</w:t>
            </w:r>
          </w:p>
        </w:tc>
        <w:tc>
          <w:tcPr>
            <w:tcW w:w="1560" w:type="dxa"/>
            <w:vAlign w:val="center"/>
          </w:tcPr>
          <w:p w14:paraId="14ACA6D2" w14:textId="77777777" w:rsidR="009F426A" w:rsidRPr="004C704C" w:rsidRDefault="009F426A" w:rsidP="00B003F0">
            <w:pPr>
              <w:rPr>
                <w:rFonts w:eastAsia="Calibri"/>
                <w:noProof/>
                <w:sz w:val="18"/>
              </w:rPr>
            </w:pPr>
            <w:r w:rsidRPr="004C704C">
              <w:rPr>
                <w:noProof/>
                <w:sz w:val="18"/>
              </w:rPr>
              <w:t>Angajamente</w:t>
            </w:r>
          </w:p>
        </w:tc>
        <w:tc>
          <w:tcPr>
            <w:tcW w:w="737" w:type="dxa"/>
            <w:vAlign w:val="center"/>
          </w:tcPr>
          <w:p w14:paraId="3E888CA6" w14:textId="77777777" w:rsidR="009F426A" w:rsidRPr="004C704C" w:rsidRDefault="009F426A" w:rsidP="00B003F0">
            <w:pPr>
              <w:jc w:val="center"/>
              <w:rPr>
                <w:rFonts w:eastAsia="Calibri"/>
                <w:noProof/>
                <w:sz w:val="14"/>
              </w:rPr>
            </w:pPr>
            <w:r w:rsidRPr="004C704C">
              <w:rPr>
                <w:noProof/>
                <w:sz w:val="14"/>
              </w:rPr>
              <w:t>=1a+1b+3</w:t>
            </w:r>
          </w:p>
        </w:tc>
        <w:tc>
          <w:tcPr>
            <w:tcW w:w="714" w:type="dxa"/>
            <w:vAlign w:val="center"/>
          </w:tcPr>
          <w:p w14:paraId="1788854A" w14:textId="77777777" w:rsidR="009F426A" w:rsidRPr="004C704C" w:rsidRDefault="009F426A" w:rsidP="00B003F0">
            <w:pPr>
              <w:spacing w:before="20" w:after="20"/>
              <w:jc w:val="right"/>
              <w:rPr>
                <w:rFonts w:eastAsia="Calibri"/>
                <w:b/>
                <w:bCs/>
                <w:noProof/>
                <w:sz w:val="20"/>
              </w:rPr>
            </w:pPr>
            <w:r w:rsidRPr="004C704C">
              <w:rPr>
                <w:b/>
                <w:bCs/>
                <w:noProof/>
                <w:sz w:val="20"/>
              </w:rPr>
              <w:t>0,650</w:t>
            </w:r>
          </w:p>
        </w:tc>
        <w:tc>
          <w:tcPr>
            <w:tcW w:w="827" w:type="dxa"/>
            <w:vAlign w:val="center"/>
          </w:tcPr>
          <w:p w14:paraId="6B6E1836" w14:textId="77777777" w:rsidR="009F426A" w:rsidRPr="004C704C" w:rsidRDefault="009F426A" w:rsidP="00B003F0">
            <w:pPr>
              <w:spacing w:before="20" w:after="20"/>
              <w:jc w:val="right"/>
              <w:rPr>
                <w:rFonts w:eastAsia="Calibri"/>
                <w:b/>
                <w:bCs/>
                <w:noProof/>
                <w:sz w:val="20"/>
              </w:rPr>
            </w:pPr>
            <w:r w:rsidRPr="004C704C">
              <w:rPr>
                <w:b/>
                <w:bCs/>
                <w:noProof/>
                <w:sz w:val="20"/>
              </w:rPr>
              <w:t>0,558</w:t>
            </w:r>
          </w:p>
        </w:tc>
        <w:tc>
          <w:tcPr>
            <w:tcW w:w="827" w:type="dxa"/>
            <w:vAlign w:val="center"/>
          </w:tcPr>
          <w:p w14:paraId="79A3AF86" w14:textId="77777777" w:rsidR="009F426A" w:rsidRPr="004C704C" w:rsidRDefault="009F426A" w:rsidP="00B003F0">
            <w:pPr>
              <w:spacing w:before="20" w:after="20"/>
              <w:jc w:val="right"/>
              <w:rPr>
                <w:rFonts w:eastAsia="Calibri"/>
                <w:b/>
                <w:bCs/>
                <w:noProof/>
                <w:sz w:val="20"/>
              </w:rPr>
            </w:pPr>
            <w:r w:rsidRPr="004C704C">
              <w:rPr>
                <w:b/>
                <w:bCs/>
                <w:noProof/>
                <w:sz w:val="20"/>
              </w:rPr>
              <w:t>0,497</w:t>
            </w:r>
          </w:p>
        </w:tc>
        <w:tc>
          <w:tcPr>
            <w:tcW w:w="827" w:type="dxa"/>
            <w:vAlign w:val="center"/>
          </w:tcPr>
          <w:p w14:paraId="179194B4" w14:textId="77777777" w:rsidR="009F426A" w:rsidRPr="004C704C" w:rsidRDefault="009F426A" w:rsidP="00B003F0">
            <w:pPr>
              <w:spacing w:before="20" w:after="20"/>
              <w:jc w:val="right"/>
              <w:rPr>
                <w:rFonts w:eastAsia="Calibri"/>
                <w:b/>
                <w:bCs/>
                <w:noProof/>
                <w:sz w:val="20"/>
              </w:rPr>
            </w:pPr>
            <w:r w:rsidRPr="004C704C">
              <w:rPr>
                <w:b/>
                <w:bCs/>
                <w:noProof/>
                <w:sz w:val="20"/>
              </w:rPr>
              <w:t>0,506</w:t>
            </w:r>
          </w:p>
        </w:tc>
        <w:tc>
          <w:tcPr>
            <w:tcW w:w="1694" w:type="dxa"/>
            <w:vAlign w:val="center"/>
          </w:tcPr>
          <w:p w14:paraId="47027BF5" w14:textId="77777777" w:rsidR="009F426A" w:rsidRPr="004C704C" w:rsidRDefault="009F426A" w:rsidP="00B003F0">
            <w:pPr>
              <w:spacing w:before="20" w:after="20"/>
              <w:jc w:val="right"/>
              <w:rPr>
                <w:rFonts w:eastAsia="Calibri"/>
                <w:b/>
                <w:bCs/>
                <w:noProof/>
                <w:sz w:val="20"/>
              </w:rPr>
            </w:pPr>
            <w:r w:rsidRPr="004C704C">
              <w:rPr>
                <w:b/>
                <w:bCs/>
                <w:noProof/>
                <w:sz w:val="20"/>
              </w:rPr>
              <w:t>2,212</w:t>
            </w:r>
          </w:p>
        </w:tc>
      </w:tr>
      <w:tr w:rsidR="009F426A" w:rsidRPr="004C704C" w14:paraId="63B080B2" w14:textId="77777777" w:rsidTr="00B003F0">
        <w:trPr>
          <w:trHeight w:val="667"/>
        </w:trPr>
        <w:tc>
          <w:tcPr>
            <w:tcW w:w="3582" w:type="dxa"/>
            <w:vMerge/>
          </w:tcPr>
          <w:p w14:paraId="306A48FF" w14:textId="77777777" w:rsidR="009F426A" w:rsidRPr="004C704C" w:rsidRDefault="009F426A" w:rsidP="00B003F0">
            <w:pPr>
              <w:rPr>
                <w:rFonts w:eastAsia="Calibri"/>
                <w:noProof/>
                <w:sz w:val="20"/>
                <w:lang w:eastAsia="en-GB"/>
              </w:rPr>
            </w:pPr>
          </w:p>
        </w:tc>
        <w:tc>
          <w:tcPr>
            <w:tcW w:w="1560" w:type="dxa"/>
            <w:vAlign w:val="center"/>
          </w:tcPr>
          <w:p w14:paraId="787F3DF1" w14:textId="77777777" w:rsidR="009F426A" w:rsidRPr="004C704C" w:rsidRDefault="009F426A" w:rsidP="00B003F0">
            <w:pPr>
              <w:rPr>
                <w:rFonts w:eastAsia="Calibri"/>
                <w:noProof/>
                <w:sz w:val="18"/>
              </w:rPr>
            </w:pPr>
            <w:r w:rsidRPr="004C704C">
              <w:rPr>
                <w:noProof/>
                <w:sz w:val="18"/>
              </w:rPr>
              <w:t>Plăți</w:t>
            </w:r>
          </w:p>
        </w:tc>
        <w:tc>
          <w:tcPr>
            <w:tcW w:w="737" w:type="dxa"/>
            <w:vAlign w:val="center"/>
          </w:tcPr>
          <w:p w14:paraId="4478488D" w14:textId="77777777" w:rsidR="009F426A" w:rsidRPr="004C704C" w:rsidRDefault="009F426A" w:rsidP="00B003F0">
            <w:pPr>
              <w:jc w:val="center"/>
              <w:rPr>
                <w:rFonts w:eastAsia="Calibri"/>
                <w:noProof/>
                <w:sz w:val="14"/>
              </w:rPr>
            </w:pPr>
            <w:r w:rsidRPr="004C704C">
              <w:rPr>
                <w:noProof/>
                <w:sz w:val="14"/>
              </w:rPr>
              <w:t>=2a+2b</w:t>
            </w:r>
          </w:p>
          <w:p w14:paraId="558428C1" w14:textId="77777777" w:rsidR="009F426A" w:rsidRPr="004C704C" w:rsidRDefault="009F426A" w:rsidP="00B003F0">
            <w:pPr>
              <w:jc w:val="center"/>
              <w:rPr>
                <w:rFonts w:eastAsia="Calibri"/>
                <w:noProof/>
                <w:sz w:val="14"/>
              </w:rPr>
            </w:pPr>
            <w:r w:rsidRPr="004C704C">
              <w:rPr>
                <w:noProof/>
                <w:sz w:val="14"/>
              </w:rPr>
              <w:t>+3</w:t>
            </w:r>
          </w:p>
        </w:tc>
        <w:tc>
          <w:tcPr>
            <w:tcW w:w="714" w:type="dxa"/>
            <w:vAlign w:val="center"/>
          </w:tcPr>
          <w:p w14:paraId="4A1C64A8" w14:textId="77777777" w:rsidR="009F426A" w:rsidRPr="004C704C" w:rsidRDefault="009F426A" w:rsidP="00B003F0">
            <w:pPr>
              <w:spacing w:before="20" w:after="20"/>
              <w:jc w:val="right"/>
              <w:rPr>
                <w:rFonts w:eastAsia="Calibri"/>
                <w:b/>
                <w:bCs/>
                <w:noProof/>
                <w:sz w:val="20"/>
              </w:rPr>
            </w:pPr>
            <w:r w:rsidRPr="004C704C">
              <w:rPr>
                <w:b/>
                <w:bCs/>
                <w:noProof/>
                <w:sz w:val="20"/>
              </w:rPr>
              <w:t>0,650</w:t>
            </w:r>
          </w:p>
        </w:tc>
        <w:tc>
          <w:tcPr>
            <w:tcW w:w="827" w:type="dxa"/>
            <w:vAlign w:val="center"/>
          </w:tcPr>
          <w:p w14:paraId="3E4E5421" w14:textId="77777777" w:rsidR="009F426A" w:rsidRPr="004C704C" w:rsidRDefault="009F426A" w:rsidP="00B003F0">
            <w:pPr>
              <w:spacing w:before="20" w:after="20"/>
              <w:jc w:val="right"/>
              <w:rPr>
                <w:rFonts w:eastAsia="Calibri"/>
                <w:b/>
                <w:bCs/>
                <w:noProof/>
                <w:sz w:val="20"/>
              </w:rPr>
            </w:pPr>
            <w:r w:rsidRPr="004C704C">
              <w:rPr>
                <w:b/>
                <w:bCs/>
                <w:noProof/>
                <w:sz w:val="20"/>
              </w:rPr>
              <w:t>0,558</w:t>
            </w:r>
          </w:p>
        </w:tc>
        <w:tc>
          <w:tcPr>
            <w:tcW w:w="827" w:type="dxa"/>
            <w:vAlign w:val="center"/>
          </w:tcPr>
          <w:p w14:paraId="5DFE3A52" w14:textId="77777777" w:rsidR="009F426A" w:rsidRPr="004C704C" w:rsidRDefault="009F426A" w:rsidP="00B003F0">
            <w:pPr>
              <w:spacing w:before="20" w:after="20"/>
              <w:jc w:val="right"/>
              <w:rPr>
                <w:rFonts w:eastAsia="Calibri"/>
                <w:b/>
                <w:bCs/>
                <w:noProof/>
                <w:sz w:val="20"/>
              </w:rPr>
            </w:pPr>
            <w:r w:rsidRPr="004C704C">
              <w:rPr>
                <w:b/>
                <w:bCs/>
                <w:noProof/>
                <w:sz w:val="20"/>
              </w:rPr>
              <w:t>0,497</w:t>
            </w:r>
          </w:p>
        </w:tc>
        <w:tc>
          <w:tcPr>
            <w:tcW w:w="827" w:type="dxa"/>
            <w:vAlign w:val="center"/>
          </w:tcPr>
          <w:p w14:paraId="7D104ECD" w14:textId="77777777" w:rsidR="009F426A" w:rsidRPr="004C704C" w:rsidRDefault="009F426A" w:rsidP="00B003F0">
            <w:pPr>
              <w:spacing w:before="20" w:after="20"/>
              <w:jc w:val="right"/>
              <w:rPr>
                <w:rFonts w:eastAsia="Calibri"/>
                <w:b/>
                <w:bCs/>
                <w:noProof/>
                <w:sz w:val="20"/>
              </w:rPr>
            </w:pPr>
            <w:r w:rsidRPr="004C704C">
              <w:rPr>
                <w:b/>
                <w:bCs/>
                <w:noProof/>
                <w:sz w:val="20"/>
              </w:rPr>
              <w:t>0,506</w:t>
            </w:r>
          </w:p>
        </w:tc>
        <w:tc>
          <w:tcPr>
            <w:tcW w:w="1694" w:type="dxa"/>
            <w:vAlign w:val="center"/>
          </w:tcPr>
          <w:p w14:paraId="75AC07B4" w14:textId="77777777" w:rsidR="009F426A" w:rsidRPr="004C704C" w:rsidRDefault="009F426A" w:rsidP="00B003F0">
            <w:pPr>
              <w:spacing w:before="20" w:after="20"/>
              <w:jc w:val="right"/>
              <w:rPr>
                <w:rFonts w:eastAsia="Calibri"/>
                <w:b/>
                <w:bCs/>
                <w:noProof/>
                <w:sz w:val="20"/>
              </w:rPr>
            </w:pPr>
            <w:r w:rsidRPr="004C704C">
              <w:rPr>
                <w:b/>
                <w:bCs/>
                <w:noProof/>
                <w:sz w:val="20"/>
              </w:rPr>
              <w:t>2,212</w:t>
            </w:r>
          </w:p>
        </w:tc>
      </w:tr>
    </w:tbl>
    <w:p w14:paraId="054613B2" w14:textId="77777777" w:rsidR="009F426A" w:rsidRPr="004C704C" w:rsidRDefault="009F426A" w:rsidP="009F426A">
      <w:pPr>
        <w:ind w:left="-426"/>
        <w:rPr>
          <w:noProof/>
          <w:sz w:val="18"/>
          <w:szCs w:val="18"/>
          <w:lang w:eastAsia="en-GB"/>
        </w:rPr>
      </w:pPr>
    </w:p>
    <w:p w14:paraId="6C6E3DC5" w14:textId="77777777" w:rsidR="009F426A" w:rsidRPr="004C704C" w:rsidRDefault="009F426A" w:rsidP="009F426A">
      <w:pPr>
        <w:rPr>
          <w:noProof/>
          <w:sz w:val="18"/>
          <w:szCs w:val="18"/>
          <w:lang w:eastAsia="en-GB"/>
        </w:rPr>
      </w:pPr>
    </w:p>
    <w:tbl>
      <w:tblPr>
        <w:tblW w:w="10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562"/>
        <w:gridCol w:w="623"/>
        <w:gridCol w:w="828"/>
        <w:gridCol w:w="828"/>
        <w:gridCol w:w="828"/>
        <w:gridCol w:w="828"/>
        <w:gridCol w:w="1695"/>
      </w:tblGrid>
      <w:tr w:rsidR="009F426A" w:rsidRPr="004C704C" w14:paraId="507D46C0" w14:textId="77777777" w:rsidTr="00B003F0">
        <w:trPr>
          <w:trHeight w:val="260"/>
        </w:trPr>
        <w:tc>
          <w:tcPr>
            <w:tcW w:w="3589" w:type="dxa"/>
            <w:vAlign w:val="center"/>
          </w:tcPr>
          <w:p w14:paraId="5C44B1EA" w14:textId="77777777" w:rsidR="009F426A" w:rsidRPr="004C704C" w:rsidRDefault="009F426A" w:rsidP="00B003F0">
            <w:pPr>
              <w:spacing w:before="20" w:after="20"/>
              <w:ind w:left="135"/>
              <w:rPr>
                <w:rFonts w:eastAsia="Calibri"/>
                <w:noProof/>
                <w:sz w:val="22"/>
                <w:lang w:eastAsia="en-GB"/>
              </w:rPr>
            </w:pPr>
          </w:p>
        </w:tc>
        <w:tc>
          <w:tcPr>
            <w:tcW w:w="1562" w:type="dxa"/>
            <w:vAlign w:val="center"/>
          </w:tcPr>
          <w:p w14:paraId="526A47E1" w14:textId="77777777" w:rsidR="009F426A" w:rsidRPr="004C704C" w:rsidRDefault="009F426A" w:rsidP="00B003F0">
            <w:pPr>
              <w:spacing w:beforeLines="20" w:before="48" w:afterLines="20" w:after="48"/>
              <w:rPr>
                <w:rFonts w:eastAsia="Calibri"/>
                <w:noProof/>
                <w:sz w:val="18"/>
                <w:lang w:eastAsia="en-GB"/>
              </w:rPr>
            </w:pPr>
          </w:p>
        </w:tc>
        <w:tc>
          <w:tcPr>
            <w:tcW w:w="623" w:type="dxa"/>
            <w:vAlign w:val="center"/>
          </w:tcPr>
          <w:p w14:paraId="525475D4" w14:textId="77777777" w:rsidR="009F426A" w:rsidRPr="004C704C" w:rsidRDefault="009F426A" w:rsidP="00B003F0">
            <w:pPr>
              <w:spacing w:beforeLines="20" w:before="48" w:afterLines="20" w:after="48"/>
              <w:jc w:val="center"/>
              <w:rPr>
                <w:rFonts w:eastAsia="Calibri"/>
                <w:noProof/>
                <w:sz w:val="14"/>
                <w:lang w:eastAsia="en-GB"/>
              </w:rPr>
            </w:pPr>
          </w:p>
        </w:tc>
        <w:tc>
          <w:tcPr>
            <w:tcW w:w="828" w:type="dxa"/>
            <w:vAlign w:val="center"/>
          </w:tcPr>
          <w:p w14:paraId="0D391FDC" w14:textId="77777777" w:rsidR="009F426A" w:rsidRPr="004C704C" w:rsidRDefault="009F426A" w:rsidP="00B003F0">
            <w:pPr>
              <w:spacing w:before="20" w:after="20"/>
              <w:jc w:val="right"/>
              <w:rPr>
                <w:rFonts w:eastAsia="Calibri"/>
                <w:b/>
                <w:bCs/>
                <w:noProof/>
                <w:sz w:val="20"/>
              </w:rPr>
            </w:pPr>
            <w:r w:rsidRPr="004C704C">
              <w:rPr>
                <w:b/>
                <w:bCs/>
                <w:noProof/>
                <w:sz w:val="20"/>
              </w:rPr>
              <w:t>2024</w:t>
            </w:r>
          </w:p>
        </w:tc>
        <w:tc>
          <w:tcPr>
            <w:tcW w:w="828" w:type="dxa"/>
            <w:vAlign w:val="center"/>
          </w:tcPr>
          <w:p w14:paraId="6387E63B" w14:textId="77777777" w:rsidR="009F426A" w:rsidRPr="004C704C" w:rsidRDefault="009F426A" w:rsidP="00B003F0">
            <w:pPr>
              <w:spacing w:before="20" w:after="20"/>
              <w:jc w:val="right"/>
              <w:rPr>
                <w:rFonts w:eastAsia="Calibri"/>
                <w:b/>
                <w:bCs/>
                <w:noProof/>
                <w:sz w:val="20"/>
              </w:rPr>
            </w:pPr>
            <w:r w:rsidRPr="004C704C">
              <w:rPr>
                <w:b/>
                <w:bCs/>
                <w:noProof/>
                <w:sz w:val="20"/>
              </w:rPr>
              <w:t>2025</w:t>
            </w:r>
          </w:p>
        </w:tc>
        <w:tc>
          <w:tcPr>
            <w:tcW w:w="828" w:type="dxa"/>
            <w:vAlign w:val="center"/>
          </w:tcPr>
          <w:p w14:paraId="6F983ED2" w14:textId="77777777" w:rsidR="009F426A" w:rsidRPr="004C704C" w:rsidRDefault="009F426A" w:rsidP="00B003F0">
            <w:pPr>
              <w:spacing w:before="20" w:after="20"/>
              <w:jc w:val="right"/>
              <w:rPr>
                <w:rFonts w:eastAsia="Calibri"/>
                <w:b/>
                <w:bCs/>
                <w:noProof/>
                <w:sz w:val="20"/>
              </w:rPr>
            </w:pPr>
            <w:r w:rsidRPr="004C704C">
              <w:rPr>
                <w:b/>
                <w:bCs/>
                <w:noProof/>
                <w:sz w:val="20"/>
              </w:rPr>
              <w:t>2026</w:t>
            </w:r>
          </w:p>
        </w:tc>
        <w:tc>
          <w:tcPr>
            <w:tcW w:w="828" w:type="dxa"/>
            <w:vAlign w:val="center"/>
          </w:tcPr>
          <w:p w14:paraId="3EAEF2E1" w14:textId="77777777" w:rsidR="009F426A" w:rsidRPr="004C704C" w:rsidRDefault="009F426A" w:rsidP="00B003F0">
            <w:pPr>
              <w:spacing w:before="20" w:after="20"/>
              <w:jc w:val="right"/>
              <w:rPr>
                <w:rFonts w:eastAsia="Calibri"/>
                <w:b/>
                <w:bCs/>
                <w:noProof/>
                <w:sz w:val="20"/>
              </w:rPr>
            </w:pPr>
            <w:r w:rsidRPr="004C704C">
              <w:rPr>
                <w:b/>
                <w:bCs/>
                <w:noProof/>
                <w:sz w:val="20"/>
              </w:rPr>
              <w:t>2027</w:t>
            </w:r>
          </w:p>
        </w:tc>
        <w:tc>
          <w:tcPr>
            <w:tcW w:w="1695" w:type="dxa"/>
            <w:vAlign w:val="center"/>
          </w:tcPr>
          <w:p w14:paraId="58A86D7D" w14:textId="77777777" w:rsidR="009F426A" w:rsidRPr="004C704C" w:rsidRDefault="009F426A" w:rsidP="00B003F0">
            <w:pPr>
              <w:spacing w:before="20" w:after="20"/>
              <w:jc w:val="right"/>
              <w:rPr>
                <w:rFonts w:eastAsia="Calibri"/>
                <w:b/>
                <w:noProof/>
                <w:sz w:val="20"/>
              </w:rPr>
            </w:pPr>
            <w:r w:rsidRPr="004C704C">
              <w:rPr>
                <w:b/>
                <w:noProof/>
                <w:sz w:val="20"/>
              </w:rPr>
              <w:t>Total</w:t>
            </w:r>
          </w:p>
        </w:tc>
      </w:tr>
      <w:tr w:rsidR="009F426A" w:rsidRPr="004C704C" w14:paraId="0938F942" w14:textId="77777777" w:rsidTr="00B003F0">
        <w:trPr>
          <w:trHeight w:val="425"/>
        </w:trPr>
        <w:tc>
          <w:tcPr>
            <w:tcW w:w="3589" w:type="dxa"/>
            <w:vMerge w:val="restart"/>
            <w:shd w:val="thinDiagStripe" w:color="C0C0C0" w:fill="auto"/>
            <w:vAlign w:val="center"/>
          </w:tcPr>
          <w:p w14:paraId="711014A1" w14:textId="11EE32F4" w:rsidR="009F426A" w:rsidRPr="004C704C" w:rsidRDefault="009F426A" w:rsidP="00B003F0">
            <w:pPr>
              <w:jc w:val="center"/>
              <w:rPr>
                <w:rFonts w:eastAsia="Calibri"/>
                <w:b/>
                <w:noProof/>
              </w:rPr>
            </w:pPr>
            <w:r w:rsidRPr="004C704C">
              <w:rPr>
                <w:b/>
                <w:noProof/>
                <w:sz w:val="22"/>
              </w:rPr>
              <w:t>TOTAL credite</w:t>
            </w:r>
            <w:r w:rsidR="003D1459">
              <w:rPr>
                <w:b/>
                <w:noProof/>
                <w:sz w:val="22"/>
              </w:rPr>
              <w:t xml:space="preserve"> </w:t>
            </w:r>
            <w:r w:rsidRPr="004C704C">
              <w:rPr>
                <w:noProof/>
              </w:rPr>
              <w:br/>
            </w:r>
            <w:r w:rsidRPr="004C704C">
              <w:rPr>
                <w:b/>
                <w:noProof/>
                <w:sz w:val="22"/>
              </w:rPr>
              <w:t>în cadrul RUBRICII 3</w:t>
            </w:r>
            <w:r w:rsidRPr="004C704C">
              <w:rPr>
                <w:noProof/>
              </w:rPr>
              <w:t xml:space="preserve"> </w:t>
            </w:r>
            <w:r w:rsidRPr="004C704C">
              <w:rPr>
                <w:noProof/>
              </w:rPr>
              <w:br/>
            </w:r>
            <w:r w:rsidRPr="004C704C">
              <w:rPr>
                <w:noProof/>
                <w:sz w:val="22"/>
              </w:rPr>
              <w:t>din cadrul financiar multianual</w:t>
            </w:r>
          </w:p>
        </w:tc>
        <w:tc>
          <w:tcPr>
            <w:tcW w:w="1562" w:type="dxa"/>
            <w:vAlign w:val="center"/>
          </w:tcPr>
          <w:p w14:paraId="10F45F60" w14:textId="77777777" w:rsidR="009F426A" w:rsidRPr="004C704C" w:rsidRDefault="009F426A" w:rsidP="00B003F0">
            <w:pPr>
              <w:rPr>
                <w:rFonts w:eastAsia="Calibri"/>
                <w:noProof/>
                <w:sz w:val="18"/>
              </w:rPr>
            </w:pPr>
            <w:r w:rsidRPr="004C704C">
              <w:rPr>
                <w:noProof/>
                <w:sz w:val="18"/>
              </w:rPr>
              <w:t>Angajamente</w:t>
            </w:r>
          </w:p>
        </w:tc>
        <w:tc>
          <w:tcPr>
            <w:tcW w:w="623" w:type="dxa"/>
            <w:vAlign w:val="center"/>
          </w:tcPr>
          <w:p w14:paraId="09FB9529" w14:textId="77777777" w:rsidR="009F426A" w:rsidRPr="004C704C" w:rsidRDefault="009F426A" w:rsidP="00B003F0">
            <w:pPr>
              <w:jc w:val="center"/>
              <w:rPr>
                <w:rFonts w:eastAsia="Calibri"/>
                <w:noProof/>
                <w:sz w:val="14"/>
              </w:rPr>
            </w:pPr>
            <w:r w:rsidRPr="004C704C">
              <w:rPr>
                <w:noProof/>
                <w:sz w:val="14"/>
              </w:rPr>
              <w:t>=4+6</w:t>
            </w:r>
          </w:p>
        </w:tc>
        <w:tc>
          <w:tcPr>
            <w:tcW w:w="828" w:type="dxa"/>
            <w:vAlign w:val="center"/>
          </w:tcPr>
          <w:p w14:paraId="1395EA9D" w14:textId="77777777" w:rsidR="009F426A" w:rsidRPr="004C704C" w:rsidRDefault="009F426A" w:rsidP="00B003F0">
            <w:pPr>
              <w:spacing w:before="20" w:after="20"/>
              <w:jc w:val="right"/>
              <w:rPr>
                <w:rFonts w:eastAsia="Calibri"/>
                <w:noProof/>
                <w:sz w:val="20"/>
              </w:rPr>
            </w:pPr>
            <w:r w:rsidRPr="004C704C">
              <w:rPr>
                <w:b/>
                <w:bCs/>
                <w:noProof/>
                <w:sz w:val="20"/>
              </w:rPr>
              <w:t>0,650</w:t>
            </w:r>
          </w:p>
        </w:tc>
        <w:tc>
          <w:tcPr>
            <w:tcW w:w="828" w:type="dxa"/>
            <w:vAlign w:val="center"/>
          </w:tcPr>
          <w:p w14:paraId="79563CA8" w14:textId="77777777" w:rsidR="009F426A" w:rsidRPr="004C704C" w:rsidRDefault="009F426A" w:rsidP="00B003F0">
            <w:pPr>
              <w:spacing w:before="20" w:after="20"/>
              <w:jc w:val="right"/>
              <w:rPr>
                <w:rFonts w:eastAsia="Calibri"/>
                <w:noProof/>
                <w:sz w:val="20"/>
              </w:rPr>
            </w:pPr>
            <w:r w:rsidRPr="004C704C">
              <w:rPr>
                <w:b/>
                <w:bCs/>
                <w:noProof/>
                <w:sz w:val="20"/>
              </w:rPr>
              <w:t>0,558</w:t>
            </w:r>
          </w:p>
        </w:tc>
        <w:tc>
          <w:tcPr>
            <w:tcW w:w="828" w:type="dxa"/>
            <w:vAlign w:val="center"/>
          </w:tcPr>
          <w:p w14:paraId="7C61FF00" w14:textId="77777777" w:rsidR="009F426A" w:rsidRPr="004C704C" w:rsidRDefault="009F426A" w:rsidP="00B003F0">
            <w:pPr>
              <w:spacing w:before="20" w:after="20"/>
              <w:jc w:val="right"/>
              <w:rPr>
                <w:rFonts w:eastAsia="Calibri"/>
                <w:noProof/>
                <w:sz w:val="20"/>
              </w:rPr>
            </w:pPr>
            <w:r w:rsidRPr="004C704C">
              <w:rPr>
                <w:b/>
                <w:bCs/>
                <w:noProof/>
                <w:sz w:val="20"/>
              </w:rPr>
              <w:t>0,497</w:t>
            </w:r>
          </w:p>
        </w:tc>
        <w:tc>
          <w:tcPr>
            <w:tcW w:w="828" w:type="dxa"/>
            <w:vAlign w:val="center"/>
          </w:tcPr>
          <w:p w14:paraId="56809A82" w14:textId="77777777" w:rsidR="009F426A" w:rsidRPr="004C704C" w:rsidRDefault="009F426A" w:rsidP="00B003F0">
            <w:pPr>
              <w:spacing w:before="20" w:after="20"/>
              <w:jc w:val="right"/>
              <w:rPr>
                <w:rFonts w:eastAsia="Calibri"/>
                <w:noProof/>
                <w:sz w:val="20"/>
              </w:rPr>
            </w:pPr>
            <w:r w:rsidRPr="004C704C">
              <w:rPr>
                <w:b/>
                <w:bCs/>
                <w:noProof/>
                <w:sz w:val="20"/>
              </w:rPr>
              <w:t>0,506</w:t>
            </w:r>
          </w:p>
        </w:tc>
        <w:tc>
          <w:tcPr>
            <w:tcW w:w="1695" w:type="dxa"/>
            <w:vAlign w:val="center"/>
          </w:tcPr>
          <w:p w14:paraId="1EB462A4" w14:textId="77777777" w:rsidR="009F426A" w:rsidRPr="004C704C" w:rsidRDefault="009F426A" w:rsidP="00B003F0">
            <w:pPr>
              <w:spacing w:before="20" w:after="20"/>
              <w:jc w:val="right"/>
              <w:rPr>
                <w:rFonts w:eastAsia="Calibri"/>
                <w:b/>
                <w:bCs/>
                <w:noProof/>
                <w:sz w:val="20"/>
              </w:rPr>
            </w:pPr>
            <w:r w:rsidRPr="004C704C">
              <w:rPr>
                <w:b/>
                <w:bCs/>
                <w:noProof/>
                <w:sz w:val="20"/>
              </w:rPr>
              <w:t>2,212</w:t>
            </w:r>
          </w:p>
        </w:tc>
      </w:tr>
      <w:tr w:rsidR="009F426A" w:rsidRPr="004C704C" w14:paraId="46F18612" w14:textId="77777777" w:rsidTr="00B003F0">
        <w:trPr>
          <w:trHeight w:val="513"/>
        </w:trPr>
        <w:tc>
          <w:tcPr>
            <w:tcW w:w="3589" w:type="dxa"/>
            <w:vMerge/>
            <w:shd w:val="thinDiagStripe" w:color="C0C0C0" w:fill="auto"/>
          </w:tcPr>
          <w:p w14:paraId="69BF1DFC" w14:textId="77777777" w:rsidR="009F426A" w:rsidRPr="004C704C" w:rsidRDefault="009F426A" w:rsidP="00B003F0">
            <w:pPr>
              <w:rPr>
                <w:rFonts w:eastAsia="Calibri"/>
                <w:noProof/>
                <w:sz w:val="20"/>
                <w:lang w:eastAsia="en-GB"/>
              </w:rPr>
            </w:pPr>
          </w:p>
        </w:tc>
        <w:tc>
          <w:tcPr>
            <w:tcW w:w="1562" w:type="dxa"/>
            <w:vAlign w:val="center"/>
          </w:tcPr>
          <w:p w14:paraId="63EE318C" w14:textId="77777777" w:rsidR="009F426A" w:rsidRPr="004C704C" w:rsidRDefault="009F426A" w:rsidP="00B003F0">
            <w:pPr>
              <w:rPr>
                <w:rFonts w:eastAsia="Calibri"/>
                <w:noProof/>
                <w:sz w:val="18"/>
              </w:rPr>
            </w:pPr>
            <w:r w:rsidRPr="004C704C">
              <w:rPr>
                <w:noProof/>
                <w:sz w:val="18"/>
              </w:rPr>
              <w:t>Plăți</w:t>
            </w:r>
          </w:p>
        </w:tc>
        <w:tc>
          <w:tcPr>
            <w:tcW w:w="623" w:type="dxa"/>
            <w:vAlign w:val="center"/>
          </w:tcPr>
          <w:p w14:paraId="43EFC25E" w14:textId="77777777" w:rsidR="009F426A" w:rsidRPr="004C704C" w:rsidRDefault="009F426A" w:rsidP="00B003F0">
            <w:pPr>
              <w:jc w:val="center"/>
              <w:rPr>
                <w:rFonts w:eastAsia="Calibri"/>
                <w:noProof/>
                <w:sz w:val="14"/>
              </w:rPr>
            </w:pPr>
            <w:r w:rsidRPr="004C704C">
              <w:rPr>
                <w:noProof/>
                <w:sz w:val="14"/>
              </w:rPr>
              <w:t>=5+6</w:t>
            </w:r>
          </w:p>
        </w:tc>
        <w:tc>
          <w:tcPr>
            <w:tcW w:w="828" w:type="dxa"/>
            <w:vAlign w:val="center"/>
          </w:tcPr>
          <w:p w14:paraId="60006950" w14:textId="77777777" w:rsidR="009F426A" w:rsidRPr="004C704C" w:rsidRDefault="009F426A" w:rsidP="00B003F0">
            <w:pPr>
              <w:spacing w:before="20" w:after="20"/>
              <w:jc w:val="right"/>
              <w:rPr>
                <w:rFonts w:eastAsia="Calibri"/>
                <w:noProof/>
                <w:sz w:val="20"/>
              </w:rPr>
            </w:pPr>
            <w:r w:rsidRPr="004C704C">
              <w:rPr>
                <w:b/>
                <w:bCs/>
                <w:noProof/>
                <w:sz w:val="20"/>
              </w:rPr>
              <w:t>0,650</w:t>
            </w:r>
          </w:p>
        </w:tc>
        <w:tc>
          <w:tcPr>
            <w:tcW w:w="828" w:type="dxa"/>
            <w:vAlign w:val="center"/>
          </w:tcPr>
          <w:p w14:paraId="0AD501C0" w14:textId="77777777" w:rsidR="009F426A" w:rsidRPr="004C704C" w:rsidRDefault="009F426A" w:rsidP="00B003F0">
            <w:pPr>
              <w:spacing w:before="20" w:after="20"/>
              <w:jc w:val="right"/>
              <w:rPr>
                <w:rFonts w:eastAsia="Calibri"/>
                <w:noProof/>
                <w:sz w:val="20"/>
              </w:rPr>
            </w:pPr>
            <w:r w:rsidRPr="004C704C">
              <w:rPr>
                <w:b/>
                <w:bCs/>
                <w:noProof/>
                <w:sz w:val="20"/>
              </w:rPr>
              <w:t>0,558</w:t>
            </w:r>
          </w:p>
        </w:tc>
        <w:tc>
          <w:tcPr>
            <w:tcW w:w="828" w:type="dxa"/>
            <w:vAlign w:val="center"/>
          </w:tcPr>
          <w:p w14:paraId="28B0D481" w14:textId="77777777" w:rsidR="009F426A" w:rsidRPr="004C704C" w:rsidRDefault="009F426A" w:rsidP="00B003F0">
            <w:pPr>
              <w:spacing w:before="20" w:after="20"/>
              <w:jc w:val="right"/>
              <w:rPr>
                <w:rFonts w:eastAsia="Calibri"/>
                <w:noProof/>
                <w:sz w:val="20"/>
              </w:rPr>
            </w:pPr>
            <w:r w:rsidRPr="004C704C">
              <w:rPr>
                <w:b/>
                <w:bCs/>
                <w:noProof/>
                <w:sz w:val="20"/>
              </w:rPr>
              <w:t>0,497</w:t>
            </w:r>
          </w:p>
        </w:tc>
        <w:tc>
          <w:tcPr>
            <w:tcW w:w="828" w:type="dxa"/>
            <w:vAlign w:val="center"/>
          </w:tcPr>
          <w:p w14:paraId="22D523B8" w14:textId="77777777" w:rsidR="009F426A" w:rsidRPr="004C704C" w:rsidRDefault="009F426A" w:rsidP="00B003F0">
            <w:pPr>
              <w:spacing w:before="20" w:after="20"/>
              <w:jc w:val="right"/>
              <w:rPr>
                <w:rFonts w:eastAsia="Calibri"/>
                <w:noProof/>
                <w:sz w:val="20"/>
              </w:rPr>
            </w:pPr>
            <w:r w:rsidRPr="004C704C">
              <w:rPr>
                <w:b/>
                <w:bCs/>
                <w:noProof/>
                <w:sz w:val="20"/>
              </w:rPr>
              <w:t>0,506</w:t>
            </w:r>
          </w:p>
        </w:tc>
        <w:tc>
          <w:tcPr>
            <w:tcW w:w="1695" w:type="dxa"/>
            <w:vAlign w:val="center"/>
          </w:tcPr>
          <w:p w14:paraId="65C80EED" w14:textId="77777777" w:rsidR="009F426A" w:rsidRPr="004C704C" w:rsidRDefault="009F426A" w:rsidP="00B003F0">
            <w:pPr>
              <w:spacing w:before="20" w:after="20"/>
              <w:jc w:val="right"/>
              <w:rPr>
                <w:rFonts w:eastAsia="Calibri"/>
                <w:b/>
                <w:bCs/>
                <w:noProof/>
                <w:sz w:val="20"/>
              </w:rPr>
            </w:pPr>
            <w:r w:rsidRPr="004C704C">
              <w:rPr>
                <w:b/>
                <w:bCs/>
                <w:noProof/>
                <w:sz w:val="20"/>
              </w:rPr>
              <w:t>2,212</w:t>
            </w:r>
          </w:p>
        </w:tc>
      </w:tr>
    </w:tbl>
    <w:p w14:paraId="3AB13090" w14:textId="77777777" w:rsidR="009F426A" w:rsidRPr="004C704C" w:rsidRDefault="009F426A" w:rsidP="009F426A">
      <w:pPr>
        <w:rPr>
          <w:noProof/>
          <w:lang w:eastAsia="en-GB"/>
        </w:rPr>
      </w:pPr>
    </w:p>
    <w:p w14:paraId="3AA0DDDA" w14:textId="77777777" w:rsidR="009F426A" w:rsidRPr="004C704C" w:rsidRDefault="009F426A" w:rsidP="009F426A">
      <w:pPr>
        <w:rPr>
          <w:noProof/>
        </w:rPr>
      </w:pPr>
      <w:r w:rsidRPr="004C704C">
        <w:rPr>
          <w:noProof/>
        </w:rPr>
        <w:t>Justificarea costurilor de mai sus:</w:t>
      </w:r>
    </w:p>
    <w:p w14:paraId="486BD05B" w14:textId="77777777" w:rsidR="009F426A" w:rsidRPr="004C704C" w:rsidRDefault="009F426A" w:rsidP="009F426A">
      <w:pPr>
        <w:rPr>
          <w:noProof/>
        </w:rPr>
      </w:pPr>
      <w:r w:rsidRPr="004C704C">
        <w:rPr>
          <w:noProof/>
        </w:rPr>
        <w:t>Costurile AEM includ costurile pentru 2 ENI suplimentare care vor institui infrastructura informatică pentru colectarea de noi câmpuri de date (referitoare la utilizarea resurselor și la poluanții suplimentari), vor modifica și extinde schema XML pentru a permite raportarea la nivel de instalație și pentru activitățile agroindustriale nou introduse, vor actualiza manualul pentru raportori pentru a asigura declarații coerente din partea operatorilor/statelor membre, vor organiza sesiuni de formare pentru raportorii din statele membre pentru a introduce aceste noi cerințe și, ulterior, vor gestiona raportarea și fluxul de date aferent.</w:t>
      </w:r>
    </w:p>
    <w:p w14:paraId="6B251CEE" w14:textId="77777777" w:rsidR="009F426A" w:rsidRPr="004C704C" w:rsidRDefault="009F426A" w:rsidP="009F426A">
      <w:pPr>
        <w:rPr>
          <w:noProof/>
        </w:rPr>
      </w:pPr>
      <w:r w:rsidRPr="004C704C">
        <w:rPr>
          <w:noProof/>
        </w:rPr>
        <w:t>Costurile de dezvoltare a infrastructurii informatice vor scădea în al 3-lea an, când vor rămâne doar costurile de întreținere a infrastructurii informatice. Se presupune că, în primii doi ani, AEM va avea nevoie de mai multe resurse financiare pentru modernizarea instrumentelor existente ca urmare a propunerii legislative.</w:t>
      </w:r>
    </w:p>
    <w:p w14:paraId="09D3C98E" w14:textId="77777777" w:rsidR="009F426A" w:rsidRPr="004C704C" w:rsidRDefault="009F426A" w:rsidP="009F426A">
      <w:pPr>
        <w:rPr>
          <w:noProof/>
        </w:rPr>
      </w:pPr>
      <w:r w:rsidRPr="004C704C">
        <w:rPr>
          <w:noProof/>
        </w:rPr>
        <w:t>La calcularea costurilor AEM s-a presupus o creștere de 2 % a inflației și un coeficient corector de 1,342 al remunerației în Danemarca începând cu 1 iulie 2021. S-a folosit ipoteza că acești factori vor rămâne neschimbați în anii următori.</w:t>
      </w:r>
    </w:p>
    <w:p w14:paraId="1CE80010" w14:textId="77777777" w:rsidR="009F426A" w:rsidRPr="004C704C" w:rsidRDefault="00FC14BB" w:rsidP="009F426A">
      <w:pPr>
        <w:rPr>
          <w:noProof/>
        </w:rPr>
      </w:pPr>
      <w:r w:rsidRPr="004C704C">
        <w:rPr>
          <w:noProof/>
        </w:rPr>
        <w:t xml:space="preserve">Majorarea necesară a contribuției UE la AEM va fi compensată printr-o reducere corespunzătoare a pachetului financiar al programului LIFE (linia bugetară 09.0202 – </w:t>
      </w:r>
      <w:r w:rsidRPr="004C704C">
        <w:rPr>
          <w:i/>
          <w:noProof/>
        </w:rPr>
        <w:t>Economia circulară și calitatea vieții</w:t>
      </w:r>
      <w:r w:rsidRPr="004C704C">
        <w:rPr>
          <w:noProof/>
        </w:rPr>
        <w:t>).</w:t>
      </w:r>
    </w:p>
    <w:p w14:paraId="0B57377D" w14:textId="01CC2FE5" w:rsidR="009F426A" w:rsidRPr="004C704C" w:rsidRDefault="00537200" w:rsidP="00537200">
      <w:pPr>
        <w:pStyle w:val="Point0"/>
        <w:rPr>
          <w:noProof/>
          <w:szCs w:val="24"/>
        </w:rPr>
      </w:pPr>
      <w:bookmarkStart w:id="55" w:name="_Toc514938054"/>
      <w:bookmarkStart w:id="56" w:name="_Toc520485053"/>
      <w:r w:rsidRPr="00537200">
        <w:t>(26)</w:t>
      </w:r>
      <w:r w:rsidRPr="00537200">
        <w:tab/>
      </w:r>
      <w:r w:rsidR="009F426A" w:rsidRPr="004C704C">
        <w:rPr>
          <w:noProof/>
        </w:rPr>
        <w:t>Realizările preconizate finanțate din credite operaționale</w:t>
      </w:r>
      <w:bookmarkEnd w:id="55"/>
      <w:bookmarkEnd w:id="56"/>
    </w:p>
    <w:p w14:paraId="2BF86970" w14:textId="77777777" w:rsidR="009F426A" w:rsidRPr="004C704C" w:rsidRDefault="009F426A" w:rsidP="009F426A">
      <w:pPr>
        <w:rPr>
          <w:noProof/>
        </w:rPr>
      </w:pPr>
      <w:r w:rsidRPr="004C704C">
        <w:rPr>
          <w:noProof/>
        </w:rPr>
        <w:t>N/A</w:t>
      </w:r>
      <w:bookmarkStart w:id="57" w:name="_Toc514938055"/>
      <w:bookmarkStart w:id="58" w:name="_Toc520485054"/>
    </w:p>
    <w:p w14:paraId="73F1BBE9" w14:textId="77777777" w:rsidR="009F426A" w:rsidRPr="004C704C" w:rsidRDefault="009F426A" w:rsidP="009F426A">
      <w:pPr>
        <w:rPr>
          <w:noProof/>
          <w:lang w:eastAsia="en-GB"/>
        </w:rPr>
      </w:pPr>
    </w:p>
    <w:p w14:paraId="1BC2CBC3" w14:textId="4298FA6E" w:rsidR="009F426A" w:rsidRPr="004C704C" w:rsidRDefault="00537200" w:rsidP="00537200">
      <w:pPr>
        <w:pStyle w:val="Point0"/>
        <w:rPr>
          <w:noProof/>
        </w:rPr>
      </w:pPr>
      <w:r w:rsidRPr="00537200">
        <w:t>(27)</w:t>
      </w:r>
      <w:r w:rsidRPr="00537200">
        <w:tab/>
      </w:r>
      <w:r w:rsidR="009F426A" w:rsidRPr="004C704C">
        <w:rPr>
          <w:noProof/>
        </w:rPr>
        <w:t>Impactul estimat asupra resurselor AEM</w:t>
      </w:r>
      <w:bookmarkEnd w:id="57"/>
      <w:bookmarkEnd w:id="58"/>
    </w:p>
    <w:p w14:paraId="1B0FC3E5"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 xml:space="preserve">Propunerea/inițiativa nu implică utilizarea de credite cu caracter administrativ </w:t>
      </w:r>
    </w:p>
    <w:p w14:paraId="46DAE9AE" w14:textId="77777777" w:rsidR="009F426A" w:rsidRPr="004C704C" w:rsidRDefault="009F426A" w:rsidP="009F426A">
      <w:pPr>
        <w:tabs>
          <w:tab w:val="num" w:pos="1134"/>
        </w:tabs>
        <w:ind w:left="1134" w:hanging="283"/>
        <w:rPr>
          <w:noProof/>
        </w:rPr>
      </w:pPr>
      <w:r w:rsidRPr="004C704C">
        <w:rPr>
          <w:noProof/>
        </w:rPr>
        <w:sym w:font="Wingdings" w:char="F078"/>
      </w:r>
      <w:r w:rsidRPr="004C704C">
        <w:rPr>
          <w:noProof/>
        </w:rPr>
        <w:tab/>
        <w:t>Propunerea/inițiativa implică utilizarea de credite cu caracter administrativ, conform explicațiilor de mai jos:</w:t>
      </w:r>
    </w:p>
    <w:p w14:paraId="5743889C" w14:textId="77777777" w:rsidR="009F426A" w:rsidRPr="004C704C" w:rsidRDefault="009F426A" w:rsidP="009F426A">
      <w:pPr>
        <w:rPr>
          <w:noProof/>
          <w:sz w:val="20"/>
        </w:rPr>
      </w:pPr>
      <w:r w:rsidRPr="004C704C">
        <w:rPr>
          <w:noProof/>
          <w:sz w:val="20"/>
        </w:rPr>
        <w:t>milioane EUR (cu trei zecimale)</w:t>
      </w:r>
    </w:p>
    <w:tbl>
      <w:tblPr>
        <w:tblW w:w="7524" w:type="dxa"/>
        <w:tblInd w:w="-61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24"/>
      </w:tblGrid>
      <w:tr w:rsidR="009F426A" w:rsidRPr="004C704C" w14:paraId="06560F2A" w14:textId="77777777" w:rsidTr="00B003F0">
        <w:trPr>
          <w:trHeight w:val="585"/>
        </w:trPr>
        <w:tc>
          <w:tcPr>
            <w:tcW w:w="1980" w:type="dxa"/>
          </w:tcPr>
          <w:p w14:paraId="54DC9EB0" w14:textId="77777777" w:rsidR="009F426A" w:rsidRPr="004C704C" w:rsidRDefault="009F426A" w:rsidP="00B003F0">
            <w:pPr>
              <w:spacing w:before="60" w:after="60"/>
              <w:rPr>
                <w:noProof/>
                <w:sz w:val="20"/>
                <w:lang w:eastAsia="en-GB"/>
              </w:rPr>
            </w:pPr>
          </w:p>
        </w:tc>
        <w:tc>
          <w:tcPr>
            <w:tcW w:w="1080" w:type="dxa"/>
            <w:vAlign w:val="center"/>
          </w:tcPr>
          <w:p w14:paraId="2EC0B3DC" w14:textId="77777777" w:rsidR="009F426A" w:rsidRPr="004C704C" w:rsidRDefault="009F426A" w:rsidP="00B003F0">
            <w:pPr>
              <w:spacing w:before="60" w:after="60"/>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2024</w:t>
            </w:r>
          </w:p>
        </w:tc>
        <w:tc>
          <w:tcPr>
            <w:tcW w:w="1080" w:type="dxa"/>
            <w:vAlign w:val="center"/>
          </w:tcPr>
          <w:p w14:paraId="31C0C44F" w14:textId="77777777" w:rsidR="009F426A" w:rsidRPr="004C704C" w:rsidRDefault="009F426A" w:rsidP="00B003F0">
            <w:pPr>
              <w:spacing w:before="60" w:after="60"/>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2025</w:t>
            </w:r>
          </w:p>
        </w:tc>
        <w:tc>
          <w:tcPr>
            <w:tcW w:w="1080" w:type="dxa"/>
            <w:vAlign w:val="center"/>
          </w:tcPr>
          <w:p w14:paraId="4B37C5D1" w14:textId="77777777" w:rsidR="009F426A" w:rsidRPr="004C704C" w:rsidRDefault="009F426A" w:rsidP="00B003F0">
            <w:pPr>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2026</w:t>
            </w:r>
          </w:p>
        </w:tc>
        <w:tc>
          <w:tcPr>
            <w:tcW w:w="1080" w:type="dxa"/>
            <w:vAlign w:val="center"/>
          </w:tcPr>
          <w:p w14:paraId="35ACC8D4" w14:textId="77777777" w:rsidR="009F426A" w:rsidRPr="004C704C" w:rsidRDefault="009F426A" w:rsidP="00B003F0">
            <w:pPr>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2027</w:t>
            </w:r>
          </w:p>
        </w:tc>
        <w:tc>
          <w:tcPr>
            <w:tcW w:w="1224" w:type="dxa"/>
            <w:vAlign w:val="center"/>
          </w:tcPr>
          <w:p w14:paraId="40A1480E" w14:textId="77777777" w:rsidR="009F426A" w:rsidRPr="004C704C" w:rsidRDefault="009F426A" w:rsidP="00B003F0">
            <w:pPr>
              <w:spacing w:before="60" w:after="60"/>
              <w:jc w:val="center"/>
              <w:rPr>
                <w:b/>
                <w:noProof/>
                <w:sz w:val="20"/>
              </w:rPr>
            </w:pPr>
            <w:r w:rsidRPr="004C704C">
              <w:rPr>
                <w:b/>
                <w:noProof/>
                <w:sz w:val="20"/>
              </w:rPr>
              <w:t>TOTAL</w:t>
            </w:r>
          </w:p>
        </w:tc>
      </w:tr>
      <w:tr w:rsidR="009F426A" w:rsidRPr="004C704C" w14:paraId="5AF4214A" w14:textId="77777777" w:rsidTr="00B003F0">
        <w:tblPrEx>
          <w:tblBorders>
            <w:bottom w:val="single" w:sz="2" w:space="0" w:color="auto"/>
          </w:tblBorders>
        </w:tblPrEx>
        <w:trPr>
          <w:trHeight w:val="585"/>
        </w:trPr>
        <w:tc>
          <w:tcPr>
            <w:tcW w:w="1980" w:type="dxa"/>
            <w:shd w:val="clear" w:color="auto" w:fill="D9D9D9" w:themeFill="background1" w:themeFillShade="D9"/>
            <w:vAlign w:val="center"/>
          </w:tcPr>
          <w:p w14:paraId="2E907C13" w14:textId="77777777" w:rsidR="009F426A" w:rsidRPr="004C704C" w:rsidRDefault="009F426A" w:rsidP="00B003F0">
            <w:pPr>
              <w:spacing w:before="60" w:after="60"/>
              <w:jc w:val="center"/>
              <w:rPr>
                <w:noProof/>
              </w:rPr>
            </w:pPr>
            <w:r w:rsidRPr="004C704C">
              <w:rPr>
                <w:noProof/>
                <w:sz w:val="18"/>
              </w:rPr>
              <w:t>Agenți temporari (grade AD)</w:t>
            </w:r>
          </w:p>
        </w:tc>
        <w:tc>
          <w:tcPr>
            <w:tcW w:w="1080" w:type="dxa"/>
            <w:vAlign w:val="center"/>
          </w:tcPr>
          <w:p w14:paraId="77F4B91E" w14:textId="77777777" w:rsidR="009F426A" w:rsidRPr="004C704C" w:rsidRDefault="009F426A" w:rsidP="00B003F0">
            <w:pPr>
              <w:spacing w:before="60" w:after="60"/>
              <w:jc w:val="right"/>
              <w:rPr>
                <w:noProof/>
                <w:sz w:val="20"/>
                <w:highlight w:val="red"/>
              </w:rPr>
            </w:pPr>
            <w:r w:rsidRPr="004C704C">
              <w:rPr>
                <w:noProof/>
                <w:sz w:val="20"/>
              </w:rPr>
              <w:t>0,430</w:t>
            </w:r>
          </w:p>
        </w:tc>
        <w:tc>
          <w:tcPr>
            <w:tcW w:w="1080" w:type="dxa"/>
            <w:vAlign w:val="center"/>
          </w:tcPr>
          <w:p w14:paraId="026EBA66" w14:textId="77777777" w:rsidR="009F426A" w:rsidRPr="004C704C" w:rsidRDefault="009F426A" w:rsidP="00B003F0">
            <w:pPr>
              <w:spacing w:before="60" w:after="60"/>
              <w:jc w:val="right"/>
              <w:rPr>
                <w:noProof/>
                <w:sz w:val="20"/>
              </w:rPr>
            </w:pPr>
            <w:r w:rsidRPr="004C704C">
              <w:rPr>
                <w:noProof/>
                <w:sz w:val="20"/>
              </w:rPr>
              <w:t>0,438</w:t>
            </w:r>
          </w:p>
        </w:tc>
        <w:tc>
          <w:tcPr>
            <w:tcW w:w="1080" w:type="dxa"/>
            <w:vAlign w:val="center"/>
          </w:tcPr>
          <w:p w14:paraId="6CF19054" w14:textId="77777777" w:rsidR="009F426A" w:rsidRPr="004C704C" w:rsidRDefault="009F426A" w:rsidP="00B003F0">
            <w:pPr>
              <w:spacing w:before="60" w:after="60"/>
              <w:jc w:val="right"/>
              <w:rPr>
                <w:noProof/>
                <w:sz w:val="20"/>
              </w:rPr>
            </w:pPr>
            <w:r w:rsidRPr="004C704C">
              <w:rPr>
                <w:noProof/>
                <w:sz w:val="20"/>
              </w:rPr>
              <w:t>0,447</w:t>
            </w:r>
          </w:p>
        </w:tc>
        <w:tc>
          <w:tcPr>
            <w:tcW w:w="1080" w:type="dxa"/>
            <w:vAlign w:val="center"/>
          </w:tcPr>
          <w:p w14:paraId="0A3AC5FB" w14:textId="77777777" w:rsidR="009F426A" w:rsidRPr="004C704C" w:rsidRDefault="009F426A" w:rsidP="00B003F0">
            <w:pPr>
              <w:spacing w:before="60" w:after="60"/>
              <w:jc w:val="right"/>
              <w:rPr>
                <w:noProof/>
                <w:sz w:val="20"/>
              </w:rPr>
            </w:pPr>
            <w:r w:rsidRPr="004C704C">
              <w:rPr>
                <w:noProof/>
                <w:sz w:val="20"/>
              </w:rPr>
              <w:t>0,456</w:t>
            </w:r>
          </w:p>
        </w:tc>
        <w:tc>
          <w:tcPr>
            <w:tcW w:w="1224" w:type="dxa"/>
            <w:vAlign w:val="center"/>
          </w:tcPr>
          <w:p w14:paraId="0BC9E21D" w14:textId="77777777" w:rsidR="009F426A" w:rsidRPr="004C704C" w:rsidRDefault="009F426A" w:rsidP="00B003F0">
            <w:pPr>
              <w:spacing w:before="60" w:after="60"/>
              <w:jc w:val="right"/>
              <w:rPr>
                <w:b/>
                <w:noProof/>
                <w:sz w:val="20"/>
              </w:rPr>
            </w:pPr>
            <w:r w:rsidRPr="004C704C">
              <w:rPr>
                <w:b/>
                <w:bCs/>
                <w:noProof/>
                <w:sz w:val="20"/>
              </w:rPr>
              <w:t>1,772</w:t>
            </w:r>
          </w:p>
        </w:tc>
      </w:tr>
      <w:tr w:rsidR="009F426A" w:rsidRPr="004C704C" w:rsidDel="005C56D3" w14:paraId="2B56AA7F" w14:textId="77777777" w:rsidTr="00B00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62ADFAE8" w14:textId="77777777" w:rsidR="009F426A" w:rsidRPr="004C704C" w:rsidDel="005C56D3" w:rsidRDefault="009F426A" w:rsidP="00B003F0">
            <w:pPr>
              <w:spacing w:before="60" w:after="60"/>
              <w:jc w:val="center"/>
              <w:rPr>
                <w:b/>
                <w:noProof/>
                <w:sz w:val="20"/>
              </w:rPr>
            </w:pPr>
            <w:r w:rsidRPr="004C704C">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477F8D1E" w14:textId="77777777" w:rsidR="009F426A" w:rsidRPr="004C704C" w:rsidDel="005C56D3" w:rsidRDefault="009F426A" w:rsidP="00B003F0">
            <w:pPr>
              <w:spacing w:before="60" w:after="60"/>
              <w:jc w:val="right"/>
              <w:rPr>
                <w:b/>
                <w:noProof/>
                <w:sz w:val="20"/>
              </w:rPr>
            </w:pPr>
            <w:r w:rsidRPr="004C704C">
              <w:rPr>
                <w:b/>
                <w:noProof/>
                <w:sz w:val="20"/>
              </w:rPr>
              <w:t>0,430</w:t>
            </w:r>
          </w:p>
        </w:tc>
        <w:tc>
          <w:tcPr>
            <w:tcW w:w="1080" w:type="dxa"/>
            <w:tcBorders>
              <w:top w:val="single" w:sz="12" w:space="0" w:color="auto"/>
              <w:left w:val="single" w:sz="2" w:space="0" w:color="auto"/>
              <w:bottom w:val="single" w:sz="12" w:space="0" w:color="auto"/>
              <w:right w:val="single" w:sz="2" w:space="0" w:color="auto"/>
            </w:tcBorders>
            <w:vAlign w:val="center"/>
          </w:tcPr>
          <w:p w14:paraId="035594E3" w14:textId="77777777" w:rsidR="009F426A" w:rsidRPr="004C704C" w:rsidDel="005C56D3" w:rsidRDefault="009F426A" w:rsidP="00B003F0">
            <w:pPr>
              <w:spacing w:before="60" w:after="60"/>
              <w:jc w:val="right"/>
              <w:rPr>
                <w:b/>
                <w:noProof/>
                <w:sz w:val="20"/>
              </w:rPr>
            </w:pPr>
            <w:r w:rsidRPr="004C704C">
              <w:rPr>
                <w:b/>
                <w:noProof/>
                <w:sz w:val="20"/>
              </w:rPr>
              <w:t>0,438</w:t>
            </w:r>
          </w:p>
        </w:tc>
        <w:tc>
          <w:tcPr>
            <w:tcW w:w="1080" w:type="dxa"/>
            <w:tcBorders>
              <w:top w:val="single" w:sz="12" w:space="0" w:color="auto"/>
              <w:left w:val="single" w:sz="2" w:space="0" w:color="auto"/>
              <w:bottom w:val="single" w:sz="12" w:space="0" w:color="auto"/>
              <w:right w:val="single" w:sz="2" w:space="0" w:color="auto"/>
            </w:tcBorders>
            <w:vAlign w:val="center"/>
          </w:tcPr>
          <w:p w14:paraId="053D8BE7" w14:textId="77777777" w:rsidR="009F426A" w:rsidRPr="004C704C" w:rsidDel="005C56D3" w:rsidRDefault="009F426A" w:rsidP="00B003F0">
            <w:pPr>
              <w:spacing w:before="60" w:after="60"/>
              <w:jc w:val="right"/>
              <w:rPr>
                <w:b/>
                <w:noProof/>
                <w:sz w:val="20"/>
              </w:rPr>
            </w:pPr>
            <w:r w:rsidRPr="004C704C">
              <w:rPr>
                <w:b/>
                <w:noProof/>
                <w:sz w:val="20"/>
              </w:rPr>
              <w:t>0,447</w:t>
            </w:r>
          </w:p>
        </w:tc>
        <w:tc>
          <w:tcPr>
            <w:tcW w:w="1080" w:type="dxa"/>
            <w:tcBorders>
              <w:top w:val="single" w:sz="12" w:space="0" w:color="auto"/>
              <w:left w:val="single" w:sz="2" w:space="0" w:color="auto"/>
              <w:bottom w:val="single" w:sz="12" w:space="0" w:color="auto"/>
              <w:right w:val="single" w:sz="2" w:space="0" w:color="auto"/>
            </w:tcBorders>
            <w:vAlign w:val="center"/>
          </w:tcPr>
          <w:p w14:paraId="252CE2AE" w14:textId="77777777" w:rsidR="009F426A" w:rsidRPr="004C704C" w:rsidDel="005C56D3" w:rsidRDefault="009F426A" w:rsidP="00B003F0">
            <w:pPr>
              <w:spacing w:before="60" w:after="60"/>
              <w:jc w:val="right"/>
              <w:rPr>
                <w:b/>
                <w:noProof/>
                <w:sz w:val="20"/>
              </w:rPr>
            </w:pPr>
            <w:r w:rsidRPr="004C704C">
              <w:rPr>
                <w:b/>
                <w:noProof/>
                <w:sz w:val="20"/>
              </w:rPr>
              <w:t>0,456</w:t>
            </w:r>
          </w:p>
        </w:tc>
        <w:tc>
          <w:tcPr>
            <w:tcW w:w="1224" w:type="dxa"/>
            <w:tcBorders>
              <w:top w:val="single" w:sz="12" w:space="0" w:color="auto"/>
              <w:left w:val="single" w:sz="2" w:space="0" w:color="auto"/>
              <w:bottom w:val="single" w:sz="12" w:space="0" w:color="auto"/>
              <w:right w:val="single" w:sz="12" w:space="0" w:color="auto"/>
            </w:tcBorders>
            <w:vAlign w:val="center"/>
          </w:tcPr>
          <w:p w14:paraId="4600E4CF" w14:textId="77777777" w:rsidR="009F426A" w:rsidRPr="004C704C" w:rsidDel="005C56D3" w:rsidRDefault="009F426A" w:rsidP="00B003F0">
            <w:pPr>
              <w:spacing w:before="60" w:after="60"/>
              <w:jc w:val="right"/>
              <w:rPr>
                <w:b/>
                <w:noProof/>
                <w:sz w:val="20"/>
              </w:rPr>
            </w:pPr>
            <w:r w:rsidRPr="004C704C">
              <w:rPr>
                <w:b/>
                <w:bCs/>
                <w:noProof/>
                <w:sz w:val="20"/>
              </w:rPr>
              <w:t>1,772</w:t>
            </w:r>
          </w:p>
        </w:tc>
      </w:tr>
    </w:tbl>
    <w:p w14:paraId="36D7A70C" w14:textId="77777777" w:rsidR="009F426A" w:rsidRPr="004C704C" w:rsidRDefault="009F426A" w:rsidP="009F426A">
      <w:pPr>
        <w:rPr>
          <w:noProof/>
          <w:u w:val="single"/>
          <w:lang w:eastAsia="en-GB"/>
        </w:rPr>
      </w:pPr>
    </w:p>
    <w:p w14:paraId="0A305A32" w14:textId="77777777" w:rsidR="009F426A" w:rsidRPr="004C704C" w:rsidRDefault="009F426A" w:rsidP="009F426A">
      <w:pPr>
        <w:rPr>
          <w:noProof/>
          <w:sz w:val="20"/>
        </w:rPr>
      </w:pPr>
      <w:r w:rsidRPr="004C704C">
        <w:rPr>
          <w:noProof/>
          <w:sz w:val="20"/>
        </w:rPr>
        <w:t>Cerințe privind personalul (ENI):</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9F426A" w:rsidRPr="004C704C" w14:paraId="136F79BC" w14:textId="77777777" w:rsidTr="00B003F0">
        <w:trPr>
          <w:trHeight w:val="585"/>
        </w:trPr>
        <w:tc>
          <w:tcPr>
            <w:tcW w:w="1980" w:type="dxa"/>
          </w:tcPr>
          <w:p w14:paraId="7C00D3AD" w14:textId="77777777" w:rsidR="009F426A" w:rsidRPr="004C704C" w:rsidRDefault="009F426A" w:rsidP="00B003F0">
            <w:pPr>
              <w:spacing w:before="60" w:after="60"/>
              <w:rPr>
                <w:noProof/>
                <w:sz w:val="20"/>
                <w:lang w:eastAsia="en-GB"/>
              </w:rPr>
            </w:pPr>
          </w:p>
        </w:tc>
        <w:tc>
          <w:tcPr>
            <w:tcW w:w="1080" w:type="dxa"/>
            <w:vAlign w:val="center"/>
          </w:tcPr>
          <w:p w14:paraId="46C597CC" w14:textId="77777777" w:rsidR="009F426A" w:rsidRPr="004C704C" w:rsidRDefault="009F426A" w:rsidP="00B003F0">
            <w:pPr>
              <w:spacing w:before="60" w:after="60"/>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2024</w:t>
            </w:r>
          </w:p>
        </w:tc>
        <w:tc>
          <w:tcPr>
            <w:tcW w:w="1080" w:type="dxa"/>
            <w:vAlign w:val="center"/>
          </w:tcPr>
          <w:p w14:paraId="255D4201" w14:textId="77777777" w:rsidR="009F426A" w:rsidRPr="004C704C" w:rsidRDefault="009F426A" w:rsidP="00B003F0">
            <w:pPr>
              <w:spacing w:before="60" w:after="60"/>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2025</w:t>
            </w:r>
          </w:p>
        </w:tc>
        <w:tc>
          <w:tcPr>
            <w:tcW w:w="1080" w:type="dxa"/>
            <w:vAlign w:val="center"/>
          </w:tcPr>
          <w:p w14:paraId="05B9F27D" w14:textId="77777777" w:rsidR="009F426A" w:rsidRPr="004C704C" w:rsidRDefault="009F426A" w:rsidP="00B003F0">
            <w:pPr>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2026</w:t>
            </w:r>
          </w:p>
        </w:tc>
        <w:tc>
          <w:tcPr>
            <w:tcW w:w="1080" w:type="dxa"/>
            <w:vAlign w:val="center"/>
          </w:tcPr>
          <w:p w14:paraId="49985BE2" w14:textId="77777777" w:rsidR="009F426A" w:rsidRPr="004C704C" w:rsidRDefault="009F426A" w:rsidP="00B003F0">
            <w:pPr>
              <w:jc w:val="center"/>
              <w:rPr>
                <w:b/>
                <w:noProof/>
                <w:sz w:val="20"/>
              </w:rPr>
            </w:pPr>
            <w:r w:rsidRPr="004C704C">
              <w:rPr>
                <w:b/>
                <w:noProof/>
                <w:sz w:val="20"/>
              </w:rPr>
              <w:t>Anul</w:t>
            </w:r>
            <w:r w:rsidRPr="004C704C">
              <w:rPr>
                <w:noProof/>
              </w:rPr>
              <w:t xml:space="preserve"> </w:t>
            </w:r>
            <w:r w:rsidRPr="004C704C">
              <w:rPr>
                <w:noProof/>
              </w:rPr>
              <w:br/>
            </w:r>
            <w:r w:rsidRPr="004C704C">
              <w:rPr>
                <w:b/>
                <w:noProof/>
                <w:sz w:val="20"/>
              </w:rPr>
              <w:t>2027</w:t>
            </w:r>
          </w:p>
        </w:tc>
        <w:tc>
          <w:tcPr>
            <w:tcW w:w="1080" w:type="dxa"/>
            <w:vAlign w:val="center"/>
          </w:tcPr>
          <w:p w14:paraId="7509C8F6" w14:textId="77777777" w:rsidR="009F426A" w:rsidRPr="004C704C" w:rsidRDefault="009F426A" w:rsidP="00B003F0">
            <w:pPr>
              <w:spacing w:before="60" w:after="60"/>
              <w:jc w:val="center"/>
              <w:rPr>
                <w:b/>
                <w:noProof/>
                <w:sz w:val="20"/>
              </w:rPr>
            </w:pPr>
            <w:r w:rsidRPr="004C704C">
              <w:rPr>
                <w:b/>
                <w:noProof/>
                <w:sz w:val="20"/>
              </w:rPr>
              <w:t>TOTAL</w:t>
            </w:r>
          </w:p>
        </w:tc>
      </w:tr>
      <w:tr w:rsidR="009F426A" w:rsidRPr="004C704C" w14:paraId="2EB916A2" w14:textId="77777777" w:rsidTr="00B003F0">
        <w:trPr>
          <w:trHeight w:val="585"/>
        </w:trPr>
        <w:tc>
          <w:tcPr>
            <w:tcW w:w="1980" w:type="dxa"/>
            <w:shd w:val="clear" w:color="auto" w:fill="D9D9D9" w:themeFill="background1" w:themeFillShade="D9"/>
            <w:vAlign w:val="center"/>
          </w:tcPr>
          <w:p w14:paraId="369DD838" w14:textId="77777777" w:rsidR="009F426A" w:rsidRPr="004C704C" w:rsidRDefault="009F426A" w:rsidP="00B003F0">
            <w:pPr>
              <w:spacing w:before="60" w:after="60"/>
              <w:jc w:val="center"/>
              <w:rPr>
                <w:noProof/>
              </w:rPr>
            </w:pPr>
            <w:r w:rsidRPr="004C704C">
              <w:rPr>
                <w:noProof/>
                <w:sz w:val="18"/>
              </w:rPr>
              <w:t>Agenți temporari (grade AD)</w:t>
            </w:r>
          </w:p>
        </w:tc>
        <w:tc>
          <w:tcPr>
            <w:tcW w:w="1080" w:type="dxa"/>
            <w:vAlign w:val="center"/>
          </w:tcPr>
          <w:p w14:paraId="607CBBA7" w14:textId="77777777" w:rsidR="009F426A" w:rsidRPr="004C704C" w:rsidRDefault="009F426A" w:rsidP="00B003F0">
            <w:pPr>
              <w:spacing w:before="60" w:after="60"/>
              <w:jc w:val="right"/>
              <w:rPr>
                <w:noProof/>
                <w:sz w:val="20"/>
              </w:rPr>
            </w:pPr>
            <w:r w:rsidRPr="004C704C">
              <w:rPr>
                <w:noProof/>
                <w:sz w:val="20"/>
              </w:rPr>
              <w:t>2</w:t>
            </w:r>
          </w:p>
        </w:tc>
        <w:tc>
          <w:tcPr>
            <w:tcW w:w="1080" w:type="dxa"/>
            <w:vAlign w:val="center"/>
          </w:tcPr>
          <w:p w14:paraId="2C37D14F" w14:textId="77777777" w:rsidR="009F426A" w:rsidRPr="004C704C" w:rsidRDefault="009F426A" w:rsidP="00B003F0">
            <w:pPr>
              <w:spacing w:before="60" w:after="60"/>
              <w:jc w:val="right"/>
              <w:rPr>
                <w:noProof/>
                <w:sz w:val="20"/>
              </w:rPr>
            </w:pPr>
            <w:r w:rsidRPr="004C704C">
              <w:rPr>
                <w:noProof/>
                <w:sz w:val="20"/>
              </w:rPr>
              <w:t>2</w:t>
            </w:r>
          </w:p>
        </w:tc>
        <w:tc>
          <w:tcPr>
            <w:tcW w:w="1080" w:type="dxa"/>
            <w:vAlign w:val="center"/>
          </w:tcPr>
          <w:p w14:paraId="74657CCB" w14:textId="77777777" w:rsidR="009F426A" w:rsidRPr="004C704C" w:rsidRDefault="009F426A" w:rsidP="00B003F0">
            <w:pPr>
              <w:spacing w:before="60" w:after="60"/>
              <w:jc w:val="right"/>
              <w:rPr>
                <w:noProof/>
                <w:sz w:val="20"/>
              </w:rPr>
            </w:pPr>
            <w:r w:rsidRPr="004C704C">
              <w:rPr>
                <w:noProof/>
                <w:sz w:val="20"/>
              </w:rPr>
              <w:t>2</w:t>
            </w:r>
          </w:p>
        </w:tc>
        <w:tc>
          <w:tcPr>
            <w:tcW w:w="1080" w:type="dxa"/>
            <w:vAlign w:val="center"/>
          </w:tcPr>
          <w:p w14:paraId="74716151" w14:textId="77777777" w:rsidR="009F426A" w:rsidRPr="004C704C" w:rsidRDefault="009F426A" w:rsidP="00B003F0">
            <w:pPr>
              <w:spacing w:before="60" w:after="60"/>
              <w:jc w:val="right"/>
              <w:rPr>
                <w:noProof/>
                <w:sz w:val="20"/>
              </w:rPr>
            </w:pPr>
            <w:r w:rsidRPr="004C704C">
              <w:rPr>
                <w:noProof/>
                <w:sz w:val="20"/>
              </w:rPr>
              <w:t>2</w:t>
            </w:r>
          </w:p>
        </w:tc>
        <w:tc>
          <w:tcPr>
            <w:tcW w:w="1080" w:type="dxa"/>
            <w:vAlign w:val="center"/>
          </w:tcPr>
          <w:p w14:paraId="3CAF5E15" w14:textId="77777777" w:rsidR="009F426A" w:rsidRPr="004C704C" w:rsidRDefault="009F426A" w:rsidP="00B003F0">
            <w:pPr>
              <w:spacing w:before="60" w:after="60"/>
              <w:jc w:val="right"/>
              <w:rPr>
                <w:b/>
                <w:noProof/>
                <w:sz w:val="20"/>
              </w:rPr>
            </w:pPr>
            <w:r w:rsidRPr="004C704C">
              <w:rPr>
                <w:b/>
                <w:noProof/>
                <w:sz w:val="20"/>
              </w:rPr>
              <w:t>2/an</w:t>
            </w:r>
          </w:p>
        </w:tc>
      </w:tr>
      <w:tr w:rsidR="009F426A" w:rsidRPr="004C704C" w14:paraId="3790897A" w14:textId="77777777" w:rsidTr="00B00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DA617E0" w14:textId="77777777" w:rsidR="009F426A" w:rsidRPr="004C704C" w:rsidRDefault="009F426A" w:rsidP="00B003F0">
            <w:pPr>
              <w:spacing w:before="60" w:after="60"/>
              <w:jc w:val="center"/>
              <w:rPr>
                <w:noProof/>
                <w:sz w:val="20"/>
                <w:highlight w:val="yellow"/>
              </w:rPr>
            </w:pPr>
            <w:r w:rsidRPr="004C704C">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37EEA9BE" w14:textId="77777777" w:rsidR="009F426A" w:rsidRPr="004C704C" w:rsidRDefault="009F426A" w:rsidP="00B003F0">
            <w:pPr>
              <w:spacing w:before="60" w:after="60"/>
              <w:jc w:val="right"/>
              <w:rPr>
                <w:b/>
                <w:noProof/>
                <w:sz w:val="20"/>
              </w:rPr>
            </w:pPr>
            <w:r w:rsidRPr="004C704C">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59F2AECB" w14:textId="77777777" w:rsidR="009F426A" w:rsidRPr="004C704C" w:rsidRDefault="009F426A" w:rsidP="00B003F0">
            <w:pPr>
              <w:spacing w:before="60" w:after="60"/>
              <w:jc w:val="right"/>
              <w:rPr>
                <w:b/>
                <w:noProof/>
                <w:sz w:val="20"/>
              </w:rPr>
            </w:pPr>
            <w:r w:rsidRPr="004C704C">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4E289A9B" w14:textId="77777777" w:rsidR="009F426A" w:rsidRPr="004C704C" w:rsidRDefault="009F426A" w:rsidP="00B003F0">
            <w:pPr>
              <w:spacing w:before="60" w:after="60"/>
              <w:jc w:val="right"/>
              <w:rPr>
                <w:b/>
                <w:noProof/>
                <w:sz w:val="20"/>
              </w:rPr>
            </w:pPr>
            <w:r w:rsidRPr="004C704C">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06C005A0" w14:textId="77777777" w:rsidR="009F426A" w:rsidRPr="004C704C" w:rsidRDefault="009F426A" w:rsidP="00B003F0">
            <w:pPr>
              <w:spacing w:before="60" w:after="60"/>
              <w:jc w:val="right"/>
              <w:rPr>
                <w:b/>
                <w:noProof/>
                <w:sz w:val="20"/>
              </w:rPr>
            </w:pPr>
            <w:r w:rsidRPr="004C704C">
              <w:rPr>
                <w:b/>
                <w:noProof/>
                <w:sz w:val="20"/>
              </w:rPr>
              <w:t>2</w:t>
            </w:r>
          </w:p>
        </w:tc>
        <w:tc>
          <w:tcPr>
            <w:tcW w:w="1080" w:type="dxa"/>
            <w:tcBorders>
              <w:top w:val="single" w:sz="12" w:space="0" w:color="auto"/>
              <w:left w:val="single" w:sz="2" w:space="0" w:color="auto"/>
              <w:bottom w:val="single" w:sz="12" w:space="0" w:color="auto"/>
              <w:right w:val="single" w:sz="12" w:space="0" w:color="auto"/>
            </w:tcBorders>
            <w:vAlign w:val="center"/>
          </w:tcPr>
          <w:p w14:paraId="0FA49263" w14:textId="77777777" w:rsidR="009F426A" w:rsidRPr="004C704C" w:rsidRDefault="009F426A" w:rsidP="00B003F0">
            <w:pPr>
              <w:spacing w:before="60" w:after="60"/>
              <w:jc w:val="right"/>
              <w:rPr>
                <w:b/>
                <w:noProof/>
                <w:sz w:val="20"/>
              </w:rPr>
            </w:pPr>
            <w:r w:rsidRPr="004C704C">
              <w:rPr>
                <w:b/>
                <w:noProof/>
                <w:sz w:val="20"/>
              </w:rPr>
              <w:t>2/an</w:t>
            </w:r>
          </w:p>
        </w:tc>
      </w:tr>
    </w:tbl>
    <w:p w14:paraId="3EF6D8EC" w14:textId="77777777" w:rsidR="009F426A" w:rsidRPr="004C704C" w:rsidRDefault="009F426A" w:rsidP="009F426A">
      <w:pPr>
        <w:rPr>
          <w:noProof/>
          <w:szCs w:val="24"/>
          <w:highlight w:val="yellow"/>
          <w:lang w:eastAsia="en-GB"/>
        </w:rPr>
      </w:pPr>
    </w:p>
    <w:p w14:paraId="1EECBA24" w14:textId="77777777" w:rsidR="009F426A" w:rsidRPr="004C704C" w:rsidRDefault="009F426A" w:rsidP="009F426A">
      <w:pPr>
        <w:rPr>
          <w:noProof/>
          <w:szCs w:val="24"/>
        </w:rPr>
      </w:pPr>
      <w:r w:rsidRPr="004C704C">
        <w:rPr>
          <w:noProof/>
        </w:rPr>
        <w:t xml:space="preserve">Personalul AEM va institui infrastructura informatică necesară pentru punerea în aplicare a revizuirilor propuse și pentru gestionarea ulterioară a raportării și a fluxurilor de date aferente. Aceste îmbunătățiri informatice se referă la capacitatea fizică a fluxului de raportare (și anume, numărul și natura rapoartelor) și la sistemele de sprijin (ghiduri, formare etc.) pentru asigurarea aplicării consecvente a acestora de către operatorii industriali și statele membre. </w:t>
      </w:r>
    </w:p>
    <w:p w14:paraId="7AADB9D6" w14:textId="77777777" w:rsidR="009F426A" w:rsidRPr="004C704C" w:rsidRDefault="009F426A" w:rsidP="009F426A">
      <w:pPr>
        <w:rPr>
          <w:noProof/>
          <w:szCs w:val="24"/>
          <w:lang w:eastAsia="en-GB"/>
        </w:rPr>
      </w:pPr>
    </w:p>
    <w:p w14:paraId="75BF40DF" w14:textId="3981C616" w:rsidR="009F426A" w:rsidRPr="004C704C" w:rsidRDefault="00537200" w:rsidP="00537200">
      <w:pPr>
        <w:pStyle w:val="Point0"/>
        <w:rPr>
          <w:noProof/>
          <w:szCs w:val="24"/>
        </w:rPr>
      </w:pPr>
      <w:r w:rsidRPr="00537200">
        <w:t>(28)</w:t>
      </w:r>
      <w:r w:rsidRPr="00537200">
        <w:tab/>
      </w:r>
      <w:r w:rsidR="009F426A" w:rsidRPr="004C704C">
        <w:rPr>
          <w:noProof/>
        </w:rPr>
        <w:t>Necesarul estimat de resurse umane în Comisie</w:t>
      </w:r>
    </w:p>
    <w:p w14:paraId="4528AE36" w14:textId="77777777" w:rsidR="009F426A" w:rsidRPr="004C704C" w:rsidRDefault="009F426A" w:rsidP="009F426A">
      <w:pPr>
        <w:rPr>
          <w:noProof/>
          <w:szCs w:val="24"/>
        </w:rPr>
      </w:pPr>
      <w:bookmarkStart w:id="59" w:name="_Toc514938056"/>
      <w:bookmarkStart w:id="60" w:name="_Toc520485055"/>
      <w:r w:rsidRPr="004C704C">
        <w:rPr>
          <w:noProof/>
        </w:rPr>
        <w:t>N/A</w:t>
      </w:r>
    </w:p>
    <w:p w14:paraId="44B0298E" w14:textId="77777777" w:rsidR="009F426A" w:rsidRPr="004C704C" w:rsidRDefault="009F426A" w:rsidP="009F426A">
      <w:pPr>
        <w:rPr>
          <w:noProof/>
          <w:szCs w:val="24"/>
          <w:lang w:eastAsia="en-GB"/>
        </w:rPr>
      </w:pPr>
    </w:p>
    <w:bookmarkEnd w:id="59"/>
    <w:bookmarkEnd w:id="60"/>
    <w:p w14:paraId="3537018E" w14:textId="0E890497" w:rsidR="009F426A" w:rsidRPr="004C704C" w:rsidRDefault="00537200" w:rsidP="00537200">
      <w:pPr>
        <w:pStyle w:val="Point0"/>
        <w:rPr>
          <w:noProof/>
        </w:rPr>
      </w:pPr>
      <w:r w:rsidRPr="00537200">
        <w:t>(29)</w:t>
      </w:r>
      <w:r w:rsidRPr="00537200">
        <w:tab/>
      </w:r>
      <w:r w:rsidR="009F426A" w:rsidRPr="004C704C">
        <w:rPr>
          <w:noProof/>
        </w:rPr>
        <w:t xml:space="preserve">Compatibilitatea cu cadrul financiar multianual actual </w:t>
      </w:r>
    </w:p>
    <w:p w14:paraId="1A437DAE" w14:textId="77777777" w:rsidR="009F426A" w:rsidRPr="004C704C" w:rsidRDefault="009F426A" w:rsidP="009F426A">
      <w:pPr>
        <w:pStyle w:val="Bullet0"/>
        <w:rPr>
          <w:noProof/>
        </w:rPr>
      </w:pPr>
      <w:r w:rsidRPr="004C704C">
        <w:rPr>
          <w:noProof/>
        </w:rPr>
        <w:t>Propunerea/inițiativa:</w:t>
      </w:r>
    </w:p>
    <w:p w14:paraId="2A392E90" w14:textId="77777777" w:rsidR="009F426A" w:rsidRPr="004C704C" w:rsidRDefault="009F426A" w:rsidP="009F426A">
      <w:pPr>
        <w:tabs>
          <w:tab w:val="num" w:pos="1134"/>
        </w:tabs>
        <w:ind w:left="1134" w:hanging="283"/>
        <w:rPr>
          <w:noProof/>
        </w:rPr>
      </w:pPr>
      <w:r w:rsidRPr="004C704C">
        <w:rPr>
          <w:noProof/>
        </w:rPr>
        <w:sym w:font="Wingdings" w:char="F078"/>
      </w:r>
      <w:r w:rsidRPr="004C704C">
        <w:rPr>
          <w:noProof/>
        </w:rPr>
        <w:tab/>
        <w:t>poate fi finanțată integral prin realocarea creditelor în cadrul rubricii relevante din cadrul financiar multianual (CFM).</w:t>
      </w:r>
    </w:p>
    <w:p w14:paraId="6EBC268C"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necesită utilizarea marjei nealocate din cadrul rubricii corespunzătoare din CFM și/sau utilizarea instrumentelor speciale, astfel cum sunt definite în Regulamentul privind CFM.</w:t>
      </w:r>
    </w:p>
    <w:p w14:paraId="431FB9B4" w14:textId="77777777" w:rsidR="009F426A" w:rsidRPr="004C704C" w:rsidRDefault="009F426A" w:rsidP="009F426A">
      <w:pPr>
        <w:tabs>
          <w:tab w:val="num" w:pos="1134"/>
        </w:tabs>
        <w:ind w:left="1134" w:hanging="283"/>
        <w:rPr>
          <w:noProof/>
        </w:rPr>
      </w:pPr>
      <w:r w:rsidRPr="004C704C">
        <w:rPr>
          <w:noProof/>
        </w:rPr>
        <w:sym w:font="Wingdings" w:char="F0A8"/>
      </w:r>
      <w:r w:rsidRPr="004C704C">
        <w:rPr>
          <w:noProof/>
        </w:rPr>
        <w:tab/>
        <w:t>necesită revizuirea CFM.</w:t>
      </w:r>
    </w:p>
    <w:p w14:paraId="3323F726" w14:textId="77777777" w:rsidR="009F426A" w:rsidRPr="004C704C" w:rsidRDefault="009F426A" w:rsidP="009F426A">
      <w:pPr>
        <w:tabs>
          <w:tab w:val="num" w:pos="1134"/>
        </w:tabs>
        <w:ind w:left="1134" w:hanging="283"/>
        <w:rPr>
          <w:noProof/>
          <w:lang w:eastAsia="en-GB"/>
        </w:rPr>
      </w:pPr>
    </w:p>
    <w:p w14:paraId="05CD2E98" w14:textId="0F8C258B" w:rsidR="009F426A" w:rsidRPr="004C704C" w:rsidRDefault="00537200" w:rsidP="00537200">
      <w:pPr>
        <w:pStyle w:val="Point0"/>
        <w:rPr>
          <w:noProof/>
          <w:szCs w:val="24"/>
        </w:rPr>
      </w:pPr>
      <w:bookmarkStart w:id="61" w:name="_Toc514938058"/>
      <w:bookmarkStart w:id="62" w:name="_Toc520485056"/>
      <w:r w:rsidRPr="00537200">
        <w:t>(30)</w:t>
      </w:r>
      <w:r w:rsidRPr="00537200">
        <w:tab/>
      </w:r>
      <w:r w:rsidR="009F426A" w:rsidRPr="004C704C">
        <w:rPr>
          <w:noProof/>
        </w:rPr>
        <w:t>Contribuțiile terților</w:t>
      </w:r>
      <w:bookmarkEnd w:id="61"/>
      <w:bookmarkEnd w:id="62"/>
      <w:r w:rsidR="009F426A" w:rsidRPr="004C704C">
        <w:rPr>
          <w:noProof/>
        </w:rPr>
        <w:t xml:space="preserve"> </w:t>
      </w:r>
    </w:p>
    <w:p w14:paraId="2B814321" w14:textId="77777777" w:rsidR="009F426A" w:rsidRPr="004C704C" w:rsidRDefault="009F426A" w:rsidP="009F426A">
      <w:pPr>
        <w:pStyle w:val="Bullet0"/>
        <w:rPr>
          <w:noProof/>
        </w:rPr>
      </w:pPr>
      <w:r w:rsidRPr="004C704C">
        <w:rPr>
          <w:noProof/>
        </w:rPr>
        <w:t>Propunerea/inițiativa nu prevede cofinanțare din partea terților</w:t>
      </w:r>
    </w:p>
    <w:p w14:paraId="18F90E86" w14:textId="77777777" w:rsidR="009F426A" w:rsidRPr="004C704C" w:rsidRDefault="009F426A" w:rsidP="009F426A">
      <w:pPr>
        <w:ind w:left="360"/>
        <w:rPr>
          <w:noProof/>
          <w:lang w:eastAsia="en-GB"/>
        </w:rPr>
      </w:pPr>
    </w:p>
    <w:p w14:paraId="25AEF3BD" w14:textId="36C06FC2" w:rsidR="009F426A" w:rsidRPr="004C704C" w:rsidRDefault="00537200" w:rsidP="00537200">
      <w:pPr>
        <w:pStyle w:val="Point0"/>
        <w:rPr>
          <w:noProof/>
          <w:szCs w:val="24"/>
        </w:rPr>
      </w:pPr>
      <w:bookmarkStart w:id="63" w:name="_Toc514938059"/>
      <w:bookmarkStart w:id="64" w:name="_Toc520485057"/>
      <w:r w:rsidRPr="00537200">
        <w:t>(31)</w:t>
      </w:r>
      <w:r w:rsidRPr="00537200">
        <w:tab/>
      </w:r>
      <w:r w:rsidR="009F426A" w:rsidRPr="004C704C">
        <w:rPr>
          <w:noProof/>
        </w:rPr>
        <w:t>Impactul estimat asupra veniturilor</w:t>
      </w:r>
      <w:bookmarkEnd w:id="63"/>
      <w:bookmarkEnd w:id="64"/>
      <w:r w:rsidR="009F426A" w:rsidRPr="004C704C">
        <w:rPr>
          <w:noProof/>
        </w:rPr>
        <w:t xml:space="preserve"> </w:t>
      </w:r>
    </w:p>
    <w:p w14:paraId="43C950F5" w14:textId="77777777" w:rsidR="009F426A" w:rsidRPr="004C704C" w:rsidRDefault="009F426A" w:rsidP="009F426A">
      <w:pPr>
        <w:ind w:left="1134" w:hanging="283"/>
        <w:rPr>
          <w:noProof/>
        </w:rPr>
      </w:pPr>
      <w:r w:rsidRPr="004C704C">
        <w:rPr>
          <w:noProof/>
        </w:rPr>
        <w:t>Propunerea/inițiativa nu are impact financiar asupra veniturilor.</w:t>
      </w:r>
    </w:p>
    <w:p w14:paraId="1D33A2CB" w14:textId="77777777" w:rsidR="009F426A" w:rsidRPr="004C704C" w:rsidRDefault="009F426A" w:rsidP="00C4299F">
      <w:pPr>
        <w:rPr>
          <w:b/>
          <w:noProof/>
        </w:rPr>
      </w:pPr>
    </w:p>
    <w:p w14:paraId="60F90CC7" w14:textId="77777777" w:rsidR="009F426A" w:rsidRPr="004C704C" w:rsidRDefault="009F426A" w:rsidP="00C4299F">
      <w:pPr>
        <w:rPr>
          <w:b/>
          <w:noProof/>
        </w:rPr>
      </w:pPr>
    </w:p>
    <w:p w14:paraId="4D6C0FA0" w14:textId="77777777" w:rsidR="009F426A" w:rsidRPr="004C704C" w:rsidRDefault="009F426A" w:rsidP="00C4299F">
      <w:pPr>
        <w:rPr>
          <w:b/>
          <w:noProof/>
        </w:rPr>
      </w:pPr>
    </w:p>
    <w:sectPr w:rsidR="009F426A" w:rsidRPr="004C704C" w:rsidSect="00B561D0">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E95F9" w14:textId="77777777" w:rsidR="003D1459" w:rsidRDefault="003D1459" w:rsidP="00D07F31">
      <w:pPr>
        <w:spacing w:before="0" w:after="0"/>
      </w:pPr>
      <w:r>
        <w:separator/>
      </w:r>
    </w:p>
  </w:endnote>
  <w:endnote w:type="continuationSeparator" w:id="0">
    <w:p w14:paraId="46E69CB0" w14:textId="77777777" w:rsidR="003D1459" w:rsidRDefault="003D1459" w:rsidP="00D07F31">
      <w:pPr>
        <w:spacing w:before="0" w:after="0"/>
      </w:pPr>
      <w:r>
        <w:continuationSeparator/>
      </w:r>
    </w:p>
  </w:endnote>
  <w:endnote w:type="continuationNotice" w:id="1">
    <w:p w14:paraId="1AF496C7" w14:textId="77777777" w:rsidR="003D1459" w:rsidRDefault="003D14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29C0" w14:textId="1B51C2C2" w:rsidR="003D1459" w:rsidRPr="00B561D0" w:rsidRDefault="00B561D0" w:rsidP="00B561D0">
    <w:pPr>
      <w:pStyle w:val="Footer"/>
      <w:rPr>
        <w:rFonts w:ascii="Arial" w:hAnsi="Arial" w:cs="Arial"/>
        <w:b/>
        <w:sz w:val="48"/>
      </w:rPr>
    </w:pPr>
    <w:r w:rsidRPr="00B561D0">
      <w:rPr>
        <w:rFonts w:ascii="Arial" w:hAnsi="Arial" w:cs="Arial"/>
        <w:b/>
        <w:sz w:val="48"/>
      </w:rPr>
      <w:t>RO</w:t>
    </w:r>
    <w:r w:rsidRPr="00B561D0">
      <w:rPr>
        <w:rFonts w:ascii="Arial" w:hAnsi="Arial" w:cs="Arial"/>
        <w:b/>
        <w:sz w:val="48"/>
      </w:rPr>
      <w:tab/>
    </w:r>
    <w:r w:rsidRPr="00B561D0">
      <w:rPr>
        <w:rFonts w:ascii="Arial" w:hAnsi="Arial" w:cs="Arial"/>
        <w:b/>
        <w:sz w:val="48"/>
      </w:rPr>
      <w:tab/>
    </w:r>
    <w:r w:rsidRPr="00B561D0">
      <w:tab/>
    </w:r>
    <w:r w:rsidRPr="00B561D0">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7CC5" w14:textId="70B0EFC7" w:rsidR="00B561D0" w:rsidRPr="00B561D0" w:rsidRDefault="00B561D0" w:rsidP="00B561D0">
    <w:pPr>
      <w:pStyle w:val="Footer"/>
      <w:rPr>
        <w:rFonts w:ascii="Arial" w:hAnsi="Arial" w:cs="Arial"/>
        <w:b/>
        <w:sz w:val="48"/>
      </w:rPr>
    </w:pPr>
    <w:r w:rsidRPr="00B561D0">
      <w:rPr>
        <w:rFonts w:ascii="Arial" w:hAnsi="Arial" w:cs="Arial"/>
        <w:b/>
        <w:sz w:val="48"/>
      </w:rPr>
      <w:t>RO</w:t>
    </w:r>
    <w:r w:rsidRPr="00B561D0">
      <w:rPr>
        <w:rFonts w:ascii="Arial" w:hAnsi="Arial" w:cs="Arial"/>
        <w:b/>
        <w:sz w:val="48"/>
      </w:rPr>
      <w:tab/>
    </w:r>
    <w:r>
      <w:fldChar w:fldCharType="begin"/>
    </w:r>
    <w:r>
      <w:instrText xml:space="preserve"> PAGE  \* MERGEFORMAT </w:instrText>
    </w:r>
    <w:r>
      <w:fldChar w:fldCharType="separate"/>
    </w:r>
    <w:r w:rsidR="00232B8A">
      <w:rPr>
        <w:noProof/>
      </w:rPr>
      <w:t>32</w:t>
    </w:r>
    <w:r>
      <w:fldChar w:fldCharType="end"/>
    </w:r>
    <w:r>
      <w:tab/>
    </w:r>
    <w:r w:rsidRPr="00B561D0">
      <w:tab/>
    </w:r>
    <w:r w:rsidRPr="00B561D0">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DE23" w14:textId="77777777" w:rsidR="00B561D0" w:rsidRPr="00B561D0" w:rsidRDefault="00B561D0" w:rsidP="00B5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A77F" w14:textId="77777777" w:rsidR="003D1459" w:rsidRDefault="003D1459" w:rsidP="00D07F31">
      <w:pPr>
        <w:spacing w:before="0" w:after="0"/>
      </w:pPr>
      <w:r>
        <w:separator/>
      </w:r>
    </w:p>
  </w:footnote>
  <w:footnote w:type="continuationSeparator" w:id="0">
    <w:p w14:paraId="62E3916D" w14:textId="77777777" w:rsidR="003D1459" w:rsidRDefault="003D1459" w:rsidP="00D07F31">
      <w:pPr>
        <w:spacing w:before="0" w:after="0"/>
      </w:pPr>
      <w:r>
        <w:continuationSeparator/>
      </w:r>
    </w:p>
  </w:footnote>
  <w:footnote w:type="continuationNotice" w:id="1">
    <w:p w14:paraId="20FB1463" w14:textId="77777777" w:rsidR="003D1459" w:rsidRDefault="003D1459">
      <w:pPr>
        <w:spacing w:before="0" w:after="0"/>
      </w:pPr>
    </w:p>
  </w:footnote>
  <w:footnote w:id="2">
    <w:p w14:paraId="55621281" w14:textId="77777777" w:rsidR="003D1459" w:rsidRPr="003D1459" w:rsidRDefault="003D1459" w:rsidP="00F864E4">
      <w:pPr>
        <w:pStyle w:val="FootnoteText"/>
        <w:ind w:left="567" w:hanging="567"/>
      </w:pPr>
      <w:r w:rsidRPr="003D1459">
        <w:rPr>
          <w:rStyle w:val="FootnoteReference"/>
        </w:rPr>
        <w:footnoteRef/>
      </w:r>
      <w:r w:rsidRPr="003D1459">
        <w:tab/>
        <w:t xml:space="preserve">Regulamentul (CE) nr. 166/2006 al Parlamentului European și al Consiliului din 18 ianuarie 2006 de instituire a unui registru european al emisiilor și transferului de poluanți și de modificare a Directivelor 91/689/CEE și 96/61/CE ale Consiliului (JO L 33, 4.2.2006, p. 1). </w:t>
      </w:r>
    </w:p>
  </w:footnote>
  <w:footnote w:id="3">
    <w:p w14:paraId="2E6CBAA7" w14:textId="77777777" w:rsidR="003D1459" w:rsidRPr="003D1459" w:rsidRDefault="003D1459" w:rsidP="00F864E4">
      <w:pPr>
        <w:pStyle w:val="FootnoteText"/>
        <w:ind w:left="567" w:hanging="567"/>
      </w:pPr>
      <w:r w:rsidRPr="003D1459">
        <w:rPr>
          <w:rStyle w:val="FootnoteReference"/>
        </w:rPr>
        <w:footnoteRef/>
      </w:r>
      <w:r w:rsidRPr="003D1459">
        <w:tab/>
      </w:r>
      <w:r w:rsidRPr="003D1459">
        <w:rPr>
          <w:color w:val="000000"/>
        </w:rPr>
        <w:t xml:space="preserve">Protocolul de la Kiev privind Registrul poluanților emiși și transferați la Convenția CEE-ONU privind accesul la informație, participarea publicului la luarea deciziei și accesul la justiție în probleme de mediu: </w:t>
      </w:r>
      <w:hyperlink r:id="rId1" w:history="1">
        <w:r w:rsidRPr="003D1459">
          <w:rPr>
            <w:rStyle w:val="Hyperlink"/>
          </w:rPr>
          <w:t>https://unece.org/environment-policy/public-participation/prtrs-protocol-text</w:t>
        </w:r>
      </w:hyperlink>
      <w:r w:rsidRPr="003D1459">
        <w:rPr>
          <w:rStyle w:val="Hyperlink"/>
        </w:rPr>
        <w:t>.</w:t>
      </w:r>
    </w:p>
  </w:footnote>
  <w:footnote w:id="4">
    <w:p w14:paraId="1C415FB4" w14:textId="77777777" w:rsidR="003D1459" w:rsidRPr="003D1459" w:rsidRDefault="003D1459" w:rsidP="00F864E4">
      <w:pPr>
        <w:pStyle w:val="FootnoteText"/>
        <w:ind w:left="567" w:hanging="567"/>
      </w:pPr>
      <w:r w:rsidRPr="003D1459">
        <w:rPr>
          <w:rStyle w:val="FootnoteReference"/>
        </w:rPr>
        <w:footnoteRef/>
      </w:r>
      <w:r w:rsidRPr="003D1459">
        <w:tab/>
        <w:t>COM(2012) 746 final.</w:t>
      </w:r>
    </w:p>
  </w:footnote>
  <w:footnote w:id="5">
    <w:p w14:paraId="1301375D" w14:textId="77777777" w:rsidR="003D1459" w:rsidRPr="003D1459" w:rsidRDefault="003D1459" w:rsidP="00F864E4">
      <w:pPr>
        <w:pStyle w:val="FootnoteText"/>
        <w:ind w:left="567" w:hanging="567"/>
      </w:pPr>
      <w:r w:rsidRPr="003D1459">
        <w:rPr>
          <w:rStyle w:val="FootnoteReference"/>
        </w:rPr>
        <w:footnoteRef/>
      </w:r>
      <w:r w:rsidRPr="003D1459">
        <w:tab/>
        <w:t xml:space="preserve">COM(2017) 810 final. </w:t>
      </w:r>
    </w:p>
  </w:footnote>
  <w:footnote w:id="6">
    <w:p w14:paraId="30B59C64" w14:textId="77777777" w:rsidR="003D1459" w:rsidRPr="003D1459" w:rsidRDefault="003D1459" w:rsidP="00F864E4">
      <w:pPr>
        <w:pStyle w:val="FootnoteText"/>
        <w:ind w:left="567" w:hanging="567"/>
      </w:pPr>
      <w:r w:rsidRPr="003D1459">
        <w:rPr>
          <w:rStyle w:val="FootnoteReference"/>
        </w:rPr>
        <w:footnoteRef/>
      </w:r>
      <w:r w:rsidRPr="003D1459">
        <w:tab/>
      </w:r>
      <w:hyperlink r:id="rId2" w:history="1">
        <w:r w:rsidRPr="003D1459">
          <w:rPr>
            <w:rStyle w:val="Hyperlink"/>
          </w:rPr>
          <w:t>https://industry.eea.europa.eu/</w:t>
        </w:r>
      </w:hyperlink>
      <w:r w:rsidRPr="003D1459">
        <w:t>.</w:t>
      </w:r>
    </w:p>
  </w:footnote>
  <w:footnote w:id="7">
    <w:p w14:paraId="423D653F" w14:textId="77777777" w:rsidR="003D1459" w:rsidRPr="003D1459" w:rsidRDefault="003D1459" w:rsidP="00F864E4">
      <w:pPr>
        <w:pStyle w:val="FootnoteText"/>
        <w:ind w:left="567" w:hanging="567"/>
      </w:pPr>
      <w:r w:rsidRPr="003D1459">
        <w:rPr>
          <w:rStyle w:val="FootnoteReference"/>
        </w:rPr>
        <w:footnoteRef/>
      </w:r>
      <w:r w:rsidRPr="003D1459">
        <w:tab/>
        <w:t>JO L 334, 17.12.2010, p. 17.</w:t>
      </w:r>
    </w:p>
  </w:footnote>
  <w:footnote w:id="8">
    <w:p w14:paraId="4861EF36" w14:textId="77777777" w:rsidR="003D1459" w:rsidRPr="003D1459" w:rsidRDefault="003D1459" w:rsidP="00F864E4">
      <w:pPr>
        <w:pStyle w:val="Typedudocument"/>
        <w:spacing w:before="0"/>
        <w:ind w:left="567" w:hanging="567"/>
        <w:jc w:val="both"/>
        <w:rPr>
          <w:sz w:val="20"/>
          <w:szCs w:val="20"/>
        </w:rPr>
      </w:pPr>
      <w:r w:rsidRPr="003D1459">
        <w:rPr>
          <w:rStyle w:val="FootnoteReference"/>
        </w:rPr>
        <w:footnoteRef/>
      </w:r>
      <w:r w:rsidRPr="003D1459">
        <w:tab/>
      </w:r>
      <w:r w:rsidRPr="003D1459">
        <w:rPr>
          <w:b w:val="0"/>
          <w:sz w:val="20"/>
          <w:szCs w:val="20"/>
        </w:rPr>
        <w:t>Decizia de punere în aplicare (UE) 2022/142</w:t>
      </w:r>
      <w:r w:rsidRPr="003D1459">
        <w:rPr>
          <w:rStyle w:val="Marker2"/>
          <w:b w:val="0"/>
          <w:sz w:val="20"/>
          <w:szCs w:val="20"/>
        </w:rPr>
        <w:t xml:space="preserve"> </w:t>
      </w:r>
      <w:r w:rsidRPr="003D1459">
        <w:rPr>
          <w:b w:val="0"/>
          <w:sz w:val="20"/>
          <w:szCs w:val="20"/>
        </w:rPr>
        <w:t xml:space="preserve">de modificare a Deciziei de punere în aplicare (UE) 2019/1741 în ceea ce privește raportarea privind volumul producției și de rectificare a deciziei de punere în aplicare respective (JO </w:t>
      </w:r>
      <w:r w:rsidRPr="003D1459">
        <w:rPr>
          <w:b w:val="0"/>
          <w:sz w:val="20"/>
          <w:szCs w:val="20"/>
          <w:highlight w:val="yellow"/>
        </w:rPr>
        <w:t>L XXX, XX.XX.XXXX, p. XX</w:t>
      </w:r>
      <w:r w:rsidRPr="003D1459">
        <w:rPr>
          <w:b w:val="0"/>
          <w:sz w:val="20"/>
          <w:szCs w:val="20"/>
        </w:rPr>
        <w:t>).</w:t>
      </w:r>
    </w:p>
  </w:footnote>
  <w:footnote w:id="9">
    <w:p w14:paraId="7022D5D6" w14:textId="77777777" w:rsidR="003D1459" w:rsidRPr="003D1459" w:rsidRDefault="003D1459" w:rsidP="00F864E4">
      <w:pPr>
        <w:pStyle w:val="FootnoteText"/>
        <w:ind w:left="567" w:hanging="567"/>
      </w:pPr>
      <w:r w:rsidRPr="003D1459">
        <w:rPr>
          <w:rStyle w:val="FootnoteReference"/>
        </w:rPr>
        <w:footnoteRef/>
      </w:r>
      <w:r w:rsidRPr="003D1459">
        <w:tab/>
        <w:t xml:space="preserve">COM(2019) 640 final. </w:t>
      </w:r>
    </w:p>
  </w:footnote>
  <w:footnote w:id="10">
    <w:p w14:paraId="0372702D" w14:textId="77777777" w:rsidR="003D1459" w:rsidRPr="003D1459" w:rsidRDefault="003D1459" w:rsidP="00F864E4">
      <w:pPr>
        <w:pStyle w:val="FootnoteText"/>
        <w:ind w:left="567" w:hanging="567"/>
        <w:rPr>
          <w:i/>
        </w:rPr>
      </w:pPr>
      <w:r w:rsidRPr="003D1459">
        <w:rPr>
          <w:rStyle w:val="FootnoteReference"/>
        </w:rPr>
        <w:footnoteRef/>
      </w:r>
      <w:r w:rsidRPr="003D1459">
        <w:tab/>
        <w:t>JO L</w:t>
      </w:r>
      <w:r w:rsidRPr="003D1459">
        <w:rPr>
          <w:color w:val="444444"/>
          <w:shd w:val="clear" w:color="auto" w:fill="FFFFFF"/>
        </w:rPr>
        <w:t xml:space="preserve"> </w:t>
      </w:r>
      <w:r w:rsidRPr="003D1459">
        <w:rPr>
          <w:rStyle w:val="Emphasis"/>
          <w:i w:val="0"/>
          <w:color w:val="444444"/>
          <w:shd w:val="clear" w:color="auto" w:fill="FFFFFF"/>
        </w:rPr>
        <w:t>313, 28.11.2015, p. 1.</w:t>
      </w:r>
    </w:p>
  </w:footnote>
  <w:footnote w:id="11">
    <w:p w14:paraId="58462485" w14:textId="77777777" w:rsidR="003D1459" w:rsidRPr="003D1459" w:rsidRDefault="003D1459" w:rsidP="00F864E4">
      <w:pPr>
        <w:shd w:val="clear" w:color="auto" w:fill="FFFFFF" w:themeFill="background1"/>
        <w:spacing w:before="0" w:after="0"/>
        <w:ind w:left="567" w:hanging="567"/>
        <w:rPr>
          <w:sz w:val="20"/>
          <w:szCs w:val="20"/>
        </w:rPr>
      </w:pPr>
      <w:r w:rsidRPr="003D1459">
        <w:rPr>
          <w:rStyle w:val="FootnoteReference"/>
        </w:rPr>
        <w:footnoteRef/>
      </w:r>
      <w:r w:rsidRPr="003D1459">
        <w:tab/>
      </w:r>
      <w:r w:rsidRPr="003D1459">
        <w:rPr>
          <w:color w:val="000000"/>
          <w:sz w:val="20"/>
          <w:szCs w:val="20"/>
        </w:rPr>
        <w:t>JO L 135, 30.5.1991, p. 40.</w:t>
      </w:r>
    </w:p>
  </w:footnote>
  <w:footnote w:id="12">
    <w:p w14:paraId="15F3E8AC" w14:textId="77777777" w:rsidR="003D1459" w:rsidRPr="003D1459" w:rsidRDefault="003D1459" w:rsidP="00F864E4">
      <w:pPr>
        <w:pStyle w:val="FootnoteText"/>
        <w:ind w:left="567" w:hanging="567"/>
      </w:pPr>
      <w:r w:rsidRPr="003D1459">
        <w:rPr>
          <w:rStyle w:val="FootnoteReference"/>
        </w:rPr>
        <w:footnoteRef/>
      </w:r>
      <w:r w:rsidRPr="003D1459">
        <w:tab/>
        <w:t>JO L 327, 22.12.2000, p. 1.</w:t>
      </w:r>
    </w:p>
  </w:footnote>
  <w:footnote w:id="13">
    <w:p w14:paraId="4931C69B" w14:textId="77777777" w:rsidR="003D1459" w:rsidRPr="003D1459" w:rsidRDefault="003D1459" w:rsidP="00F864E4">
      <w:pPr>
        <w:pStyle w:val="NormalWeb"/>
        <w:shd w:val="clear" w:color="auto" w:fill="FFFFFF" w:themeFill="background1"/>
        <w:spacing w:before="0" w:after="0"/>
        <w:ind w:left="567" w:hanging="567"/>
        <w:rPr>
          <w:sz w:val="20"/>
          <w:szCs w:val="20"/>
        </w:rPr>
      </w:pPr>
      <w:r w:rsidRPr="003D1459">
        <w:rPr>
          <w:rStyle w:val="FootnoteReference"/>
        </w:rPr>
        <w:footnoteRef/>
      </w:r>
      <w:r w:rsidRPr="003D1459">
        <w:rPr>
          <w:sz w:val="20"/>
          <w:szCs w:val="20"/>
        </w:rPr>
        <w:tab/>
        <w:t>JO L 348, 24.12.2008, p.</w:t>
      </w:r>
      <w:r w:rsidRPr="003D1459">
        <w:rPr>
          <w:rStyle w:val="Emphasis"/>
          <w:color w:val="444444"/>
          <w:sz w:val="20"/>
          <w:szCs w:val="20"/>
        </w:rPr>
        <w:t> </w:t>
      </w:r>
      <w:r w:rsidRPr="003D1459">
        <w:rPr>
          <w:rStyle w:val="Emphasis"/>
          <w:i w:val="0"/>
          <w:color w:val="444444"/>
          <w:sz w:val="20"/>
          <w:szCs w:val="20"/>
        </w:rPr>
        <w:t>8</w:t>
      </w:r>
      <w:r w:rsidRPr="003D1459">
        <w:rPr>
          <w:sz w:val="20"/>
          <w:szCs w:val="20"/>
        </w:rPr>
        <w:t>.</w:t>
      </w:r>
    </w:p>
  </w:footnote>
  <w:footnote w:id="14">
    <w:p w14:paraId="159D0406" w14:textId="77777777" w:rsidR="003D1459" w:rsidRPr="003D1459" w:rsidRDefault="003D1459" w:rsidP="00F864E4">
      <w:pPr>
        <w:pStyle w:val="FootnoteText"/>
        <w:ind w:left="567" w:hanging="567"/>
      </w:pPr>
      <w:r w:rsidRPr="003D1459">
        <w:rPr>
          <w:rStyle w:val="FootnoteReference"/>
        </w:rPr>
        <w:footnoteRef/>
      </w:r>
      <w:r w:rsidRPr="003D1459">
        <w:tab/>
        <w:t>JO L 396, 30.12.2006, p.</w:t>
      </w:r>
      <w:r w:rsidRPr="003D1459">
        <w:rPr>
          <w:rStyle w:val="Emphasis"/>
          <w:color w:val="444444"/>
          <w:shd w:val="clear" w:color="auto" w:fill="FFFFFF"/>
        </w:rPr>
        <w:t> </w:t>
      </w:r>
      <w:r w:rsidRPr="003D1459">
        <w:rPr>
          <w:rStyle w:val="Emphasis"/>
          <w:i w:val="0"/>
          <w:iCs w:val="0"/>
          <w:color w:val="444444"/>
          <w:shd w:val="clear" w:color="auto" w:fill="FFFFFF"/>
        </w:rPr>
        <w:t>1.</w:t>
      </w:r>
    </w:p>
  </w:footnote>
  <w:footnote w:id="15">
    <w:p w14:paraId="43B01A3E" w14:textId="77777777" w:rsidR="003D1459" w:rsidRPr="003D1459" w:rsidRDefault="003D1459" w:rsidP="00F864E4">
      <w:pPr>
        <w:pStyle w:val="NormalWeb"/>
        <w:shd w:val="clear" w:color="auto" w:fill="FFFFFF" w:themeFill="background1"/>
        <w:spacing w:before="0" w:after="0"/>
        <w:ind w:left="567" w:hanging="567"/>
        <w:rPr>
          <w:sz w:val="20"/>
          <w:szCs w:val="20"/>
        </w:rPr>
      </w:pPr>
      <w:r w:rsidRPr="003D1459">
        <w:rPr>
          <w:rStyle w:val="FootnoteReference"/>
        </w:rPr>
        <w:footnoteRef/>
      </w:r>
      <w:r w:rsidRPr="003D1459">
        <w:rPr>
          <w:sz w:val="20"/>
          <w:szCs w:val="20"/>
        </w:rPr>
        <w:tab/>
        <w:t>JO L 372, 27.12.2006, p. 19.</w:t>
      </w:r>
    </w:p>
  </w:footnote>
  <w:footnote w:id="16">
    <w:p w14:paraId="55EBA1FA" w14:textId="77777777" w:rsidR="003D1459" w:rsidRPr="003D1459" w:rsidRDefault="003D1459" w:rsidP="00F864E4">
      <w:pPr>
        <w:pStyle w:val="NormalWeb"/>
        <w:shd w:val="clear" w:color="auto" w:fill="FFFFFF" w:themeFill="background1"/>
        <w:spacing w:before="0" w:after="0"/>
        <w:ind w:left="567" w:hanging="567"/>
        <w:rPr>
          <w:sz w:val="20"/>
          <w:szCs w:val="20"/>
        </w:rPr>
      </w:pPr>
      <w:r w:rsidRPr="003D1459">
        <w:rPr>
          <w:rStyle w:val="FootnoteReference"/>
        </w:rPr>
        <w:footnoteRef/>
      </w:r>
      <w:r w:rsidRPr="003D1459">
        <w:rPr>
          <w:sz w:val="20"/>
          <w:szCs w:val="20"/>
        </w:rPr>
        <w:tab/>
        <w:t>JO L 152, 11.6.2008, p. 1.</w:t>
      </w:r>
    </w:p>
  </w:footnote>
  <w:footnote w:id="17">
    <w:p w14:paraId="4BB1CB69" w14:textId="77777777" w:rsidR="003D1459" w:rsidRPr="003D1459" w:rsidRDefault="003D1459" w:rsidP="00F864E4">
      <w:pPr>
        <w:pBdr>
          <w:top w:val="nil"/>
          <w:left w:val="nil"/>
          <w:bottom w:val="nil"/>
          <w:right w:val="nil"/>
          <w:between w:val="nil"/>
          <w:bar w:val="nil"/>
        </w:pBdr>
        <w:spacing w:before="0" w:after="0"/>
        <w:ind w:left="567" w:hanging="567"/>
      </w:pPr>
      <w:r w:rsidRPr="003D1459">
        <w:rPr>
          <w:rStyle w:val="FootnoteReference"/>
        </w:rPr>
        <w:footnoteRef/>
      </w:r>
      <w:r w:rsidRPr="003D1459">
        <w:rPr>
          <w:sz w:val="20"/>
          <w:szCs w:val="20"/>
        </w:rPr>
        <w:tab/>
        <w:t>JO L 23, 26.1.2005, p. 3.</w:t>
      </w:r>
    </w:p>
  </w:footnote>
  <w:footnote w:id="18">
    <w:p w14:paraId="7ED561F1" w14:textId="77777777" w:rsidR="003D1459" w:rsidRPr="003D1459" w:rsidRDefault="003D1459" w:rsidP="000970B7">
      <w:pPr>
        <w:shd w:val="clear" w:color="auto" w:fill="FFFFFF" w:themeFill="background1"/>
        <w:spacing w:before="0" w:after="0"/>
        <w:ind w:left="567" w:hanging="567"/>
        <w:rPr>
          <w:sz w:val="20"/>
          <w:szCs w:val="20"/>
        </w:rPr>
      </w:pPr>
      <w:r w:rsidRPr="003D1459">
        <w:rPr>
          <w:rStyle w:val="FootnoteReference"/>
        </w:rPr>
        <w:footnoteRef/>
      </w:r>
      <w:r w:rsidRPr="003D1459">
        <w:tab/>
      </w:r>
      <w:r w:rsidRPr="003D1459">
        <w:rPr>
          <w:color w:val="000000"/>
          <w:sz w:val="20"/>
          <w:szCs w:val="20"/>
        </w:rPr>
        <w:t>JO L 182, 16.7.1999, p. 1.</w:t>
      </w:r>
    </w:p>
  </w:footnote>
  <w:footnote w:id="19">
    <w:p w14:paraId="5B1B62D8" w14:textId="77777777" w:rsidR="003D1459" w:rsidRPr="003D1459" w:rsidRDefault="003D1459" w:rsidP="000970B7">
      <w:pPr>
        <w:pStyle w:val="FootnoteText"/>
        <w:ind w:left="567" w:hanging="567"/>
      </w:pPr>
      <w:r w:rsidRPr="003D1459">
        <w:rPr>
          <w:rStyle w:val="FootnoteReference"/>
        </w:rPr>
        <w:footnoteRef/>
      </w:r>
      <w:r w:rsidRPr="003D1459">
        <w:tab/>
        <w:t xml:space="preserve">Directiva 2003/87/CE a Parlamentului European și a Consiliului din 13 octombrie 2003 de stabilire a unui sistem de comercializare a cotelor de emisie de gaze cu efect de seră în cadrul Uniunii și de modificare a Directivei 96/61/CE a Consiliului (JO L 275, 25.10.2003, p. 32). </w:t>
      </w:r>
    </w:p>
  </w:footnote>
  <w:footnote w:id="20">
    <w:p w14:paraId="44ABE1E5" w14:textId="5E794E13" w:rsidR="003D1459" w:rsidRPr="003D1459" w:rsidRDefault="003D1459" w:rsidP="000970B7">
      <w:pPr>
        <w:pStyle w:val="FootnoteText"/>
        <w:ind w:left="567" w:hanging="567"/>
        <w:rPr>
          <w:rFonts w:cstheme="minorBidi"/>
        </w:rPr>
      </w:pPr>
      <w:r w:rsidRPr="003D1459">
        <w:rPr>
          <w:rStyle w:val="FootnoteReference"/>
        </w:rPr>
        <w:footnoteRef/>
      </w:r>
      <w:r w:rsidRPr="003D1459">
        <w:tab/>
        <w:t>Regulamentul (UE) 2018/842 al Parlamentului European și al Consiliului din 30 mai 2018 privind reducerea anuală obligatorie a emisiilor de gaze cu efect de seră de către statele membre în perioada</w:t>
      </w:r>
      <w:r>
        <w:t> </w:t>
      </w:r>
      <w:r w:rsidRPr="003D1459">
        <w:t>2021-2030 în vederea unei contribuții la acțiunile climatice de respectare a angajamentelor asumate în temeiul Acordului de la Paris și de modificare a Regulamentului (UE) nr. 525/2013 (JO L 156, 19.6.2018, p. 26).</w:t>
      </w:r>
      <w:r w:rsidRPr="003D1459">
        <w:rPr>
          <w:rStyle w:val="Emphasis"/>
          <w:color w:val="444444"/>
          <w:shd w:val="clear" w:color="auto" w:fill="FFFFFF"/>
        </w:rPr>
        <w:t xml:space="preserve"> </w:t>
      </w:r>
    </w:p>
  </w:footnote>
  <w:footnote w:id="21">
    <w:p w14:paraId="1105D779" w14:textId="77777777" w:rsidR="003D1459" w:rsidRPr="003D1459" w:rsidRDefault="003D1459" w:rsidP="000970B7">
      <w:pPr>
        <w:pStyle w:val="FootnoteText"/>
        <w:ind w:left="567" w:hanging="567"/>
      </w:pPr>
      <w:r w:rsidRPr="003D1459">
        <w:rPr>
          <w:rStyle w:val="FootnoteReference"/>
        </w:rPr>
        <w:footnoteRef/>
      </w:r>
      <w:r w:rsidRPr="003D1459">
        <w:tab/>
        <w:t>Decizia 2000/479/CE a Comisiei din 17 iulie 2000 privind crearea unui registru european al emisiilor de poluanți (EPER) în conformitate cu articolul 15 din Directiva 96/61/CE a Consiliului privind prevenirea și controlul integrat al poluării (IPPC)</w:t>
      </w:r>
      <w:r w:rsidRPr="003D1459">
        <w:rPr>
          <w:rFonts w:ascii="Segoe UI" w:hAnsi="Segoe UI"/>
          <w:color w:val="444444"/>
          <w:shd w:val="clear" w:color="auto" w:fill="FFFFFF"/>
        </w:rPr>
        <w:t xml:space="preserve"> </w:t>
      </w:r>
      <w:r w:rsidRPr="003D1459">
        <w:t>(JO L 192, 28.7.2000, p. 36).</w:t>
      </w:r>
    </w:p>
  </w:footnote>
  <w:footnote w:id="22">
    <w:p w14:paraId="28280929" w14:textId="77777777" w:rsidR="003D1459" w:rsidRPr="003D1459" w:rsidRDefault="003D1459" w:rsidP="000970B7">
      <w:pPr>
        <w:pStyle w:val="NormalWeb"/>
        <w:shd w:val="clear" w:color="auto" w:fill="FFFFFF" w:themeFill="background1"/>
        <w:spacing w:before="0" w:after="0"/>
        <w:ind w:left="567" w:hanging="567"/>
      </w:pPr>
      <w:r w:rsidRPr="003D1459">
        <w:rPr>
          <w:rStyle w:val="FootnoteReference"/>
        </w:rPr>
        <w:footnoteRef/>
      </w:r>
      <w:r w:rsidRPr="003D1459">
        <w:tab/>
      </w:r>
      <w:r w:rsidRPr="003D1459">
        <w:rPr>
          <w:sz w:val="20"/>
          <w:szCs w:val="20"/>
        </w:rPr>
        <w:t>Directiva 96/61/CE a Consiliului din 24 septembrie 1996 privind prevenirea și controlul integrat al poluării (JO L 257, 10.10.1996, p. 26).</w:t>
      </w:r>
    </w:p>
  </w:footnote>
  <w:footnote w:id="23">
    <w:p w14:paraId="22F43952" w14:textId="77777777" w:rsidR="003D1459" w:rsidRPr="003D1459" w:rsidRDefault="003D1459" w:rsidP="000970B7">
      <w:pPr>
        <w:pStyle w:val="FootnoteText"/>
        <w:ind w:left="567" w:hanging="567"/>
      </w:pPr>
      <w:r w:rsidRPr="003D1459">
        <w:rPr>
          <w:rStyle w:val="FootnoteReference"/>
        </w:rPr>
        <w:footnoteRef/>
      </w:r>
      <w:r w:rsidRPr="003D1459">
        <w:tab/>
        <w:t>COM(2021) 400 final.</w:t>
      </w:r>
    </w:p>
  </w:footnote>
  <w:footnote w:id="24">
    <w:p w14:paraId="0E47C6F3" w14:textId="77777777" w:rsidR="003D1459" w:rsidRPr="003D1459" w:rsidRDefault="003D1459" w:rsidP="000970B7">
      <w:pPr>
        <w:pStyle w:val="FootnoteText"/>
        <w:ind w:left="567" w:hanging="567"/>
      </w:pPr>
      <w:r w:rsidRPr="003D1459">
        <w:rPr>
          <w:rStyle w:val="FootnoteReference"/>
        </w:rPr>
        <w:footnoteRef/>
      </w:r>
      <w:r w:rsidRPr="003D1459">
        <w:tab/>
        <w:t xml:space="preserve">Document ghid pentru implementarea PRTR european (2006): </w:t>
      </w:r>
      <w:hyperlink r:id="rId3" w:history="1">
        <w:r w:rsidRPr="003D1459">
          <w:rPr>
            <w:rStyle w:val="Hyperlink"/>
          </w:rPr>
          <w:t>https://ec.europa.eu/environment/industry/stationary/e-prtr/pdf/ro_prtr.pdf</w:t>
        </w:r>
      </w:hyperlink>
      <w:r w:rsidRPr="003D1459">
        <w:t>.</w:t>
      </w:r>
    </w:p>
    <w:p w14:paraId="72A808AE" w14:textId="77777777" w:rsidR="003D1459" w:rsidRPr="003D1459" w:rsidRDefault="003D1459" w:rsidP="000970B7">
      <w:pPr>
        <w:pStyle w:val="FootnoteText"/>
        <w:ind w:left="567" w:hanging="567"/>
      </w:pPr>
    </w:p>
  </w:footnote>
  <w:footnote w:id="25">
    <w:p w14:paraId="3361E217" w14:textId="77777777" w:rsidR="003D1459" w:rsidRPr="003D1459" w:rsidRDefault="003D1459" w:rsidP="00137990">
      <w:pPr>
        <w:pStyle w:val="FootnoteText"/>
        <w:ind w:left="567" w:hanging="567"/>
      </w:pPr>
      <w:r w:rsidRPr="003D1459">
        <w:rPr>
          <w:rStyle w:val="FootnoteReference"/>
        </w:rPr>
        <w:footnoteRef/>
      </w:r>
      <w:r w:rsidRPr="003D1459">
        <w:tab/>
      </w:r>
      <w:hyperlink r:id="rId4" w:history="1">
        <w:r w:rsidRPr="003D1459">
          <w:rPr>
            <w:rStyle w:val="Hyperlink"/>
          </w:rPr>
          <w:t>https://ec.europa.eu/transparency/documents-register/</w:t>
        </w:r>
      </w:hyperlink>
      <w:r w:rsidRPr="003D1459">
        <w:t xml:space="preserve">. </w:t>
      </w:r>
    </w:p>
  </w:footnote>
  <w:footnote w:id="26">
    <w:p w14:paraId="4D2B4EF7" w14:textId="0039B617" w:rsidR="003D1459" w:rsidRPr="003D1459" w:rsidRDefault="003D1459" w:rsidP="00424B5E">
      <w:pPr>
        <w:pStyle w:val="FootnoteText"/>
        <w:ind w:left="567" w:hanging="567"/>
      </w:pPr>
      <w:r w:rsidRPr="00745418">
        <w:rPr>
          <w:rStyle w:val="FootnoteReference"/>
        </w:rPr>
        <w:footnoteRef/>
      </w:r>
      <w:r w:rsidR="00745418">
        <w:tab/>
      </w:r>
      <w:r w:rsidRPr="003D1459">
        <w:t>Verificarea adecvării raportării și monitorizării politicii de mediu a UE, SWD (2017) 230 final.</w:t>
      </w:r>
    </w:p>
  </w:footnote>
  <w:footnote w:id="27">
    <w:p w14:paraId="118145EE" w14:textId="77777777" w:rsidR="003D1459" w:rsidRPr="003D1459" w:rsidRDefault="003D1459" w:rsidP="00137990">
      <w:pPr>
        <w:pStyle w:val="FootnoteText"/>
        <w:ind w:left="567" w:hanging="567"/>
      </w:pPr>
      <w:r w:rsidRPr="003D1459">
        <w:rPr>
          <w:rStyle w:val="FootnoteReference"/>
        </w:rPr>
        <w:footnoteRef/>
      </w:r>
      <w:r w:rsidRPr="003D1459">
        <w:tab/>
        <w:t>JO C 326, 26.10.2012, p. 391.</w:t>
      </w:r>
    </w:p>
  </w:footnote>
  <w:footnote w:id="28">
    <w:p w14:paraId="27647A07" w14:textId="5B6A0200" w:rsidR="003D1459" w:rsidRPr="003D1459" w:rsidRDefault="003D1459" w:rsidP="00F4529A">
      <w:pPr>
        <w:pStyle w:val="FootnoteText"/>
      </w:pPr>
      <w:r w:rsidRPr="003D1459">
        <w:rPr>
          <w:rStyle w:val="FootnoteReference"/>
        </w:rPr>
        <w:footnoteRef/>
      </w:r>
      <w:r w:rsidRPr="003D1459">
        <w:tab/>
        <w:t>Decizia de punere în aplicare (UE) 2019/1741 a Comisiei din 23 septembrie 2019 de stabilire a formatului și a periodicității datelor care trebuie furnizate de către statele membre în scopul raportării în temeiul Regulamentului (CE) nr. 166/2006 al Parlamentului European și al Consiliului de instituire a unui registru european al emisiilor și transferului de poluanți și de modificare a Directivelor</w:t>
      </w:r>
      <w:r>
        <w:t> </w:t>
      </w:r>
      <w:r w:rsidRPr="003D1459">
        <w:t xml:space="preserve">91/689/CEE și 96/61/CE ale Consiliului (JO L 267, 21.10.2019, p. 3). </w:t>
      </w:r>
    </w:p>
  </w:footnote>
  <w:footnote w:id="29">
    <w:p w14:paraId="54AA2BB8" w14:textId="77777777" w:rsidR="003D1459" w:rsidRPr="003D1459" w:rsidRDefault="003D1459" w:rsidP="00F4529A">
      <w:pPr>
        <w:pStyle w:val="FootnoteText"/>
      </w:pPr>
      <w:r w:rsidRPr="003D1459">
        <w:rPr>
          <w:rStyle w:val="FootnoteReference"/>
        </w:rPr>
        <w:footnoteRef/>
      </w:r>
      <w:r w:rsidRPr="003D1459">
        <w:tab/>
      </w:r>
      <w:r w:rsidRPr="003D1459">
        <w:rPr>
          <w:color w:val="000000"/>
        </w:rPr>
        <w:t>Directiva 2003/4/CE a Parlamentului European și a Consiliului din 28 ianuarie 2003 privind accesul publicului la informațiile despre mediu și de abrogare a Directivei 90/313/CEE a Consiliului (JO L 41, 14.2.2003, p.</w:t>
      </w:r>
      <w:r w:rsidRPr="003D1459">
        <w:rPr>
          <w:iCs/>
          <w:color w:val="000000"/>
        </w:rPr>
        <w:t> 26).</w:t>
      </w:r>
    </w:p>
  </w:footnote>
  <w:footnote w:id="30">
    <w:p w14:paraId="1F5C0F22" w14:textId="39DD2725" w:rsidR="003D1459" w:rsidRPr="003D1459" w:rsidRDefault="003D1459" w:rsidP="00272F11">
      <w:pPr>
        <w:pStyle w:val="FootnoteText"/>
      </w:pPr>
      <w:r w:rsidRPr="003D1459">
        <w:rPr>
          <w:rStyle w:val="FootnoteReference"/>
        </w:rPr>
        <w:footnoteRef/>
      </w:r>
      <w:r w:rsidRPr="003D1459">
        <w:tab/>
        <w:t>JO C , , p. .</w:t>
      </w:r>
    </w:p>
  </w:footnote>
  <w:footnote w:id="31">
    <w:p w14:paraId="29BD444C" w14:textId="1DCE6621" w:rsidR="003D1459" w:rsidRPr="003D1459" w:rsidRDefault="003D1459" w:rsidP="00272F11">
      <w:pPr>
        <w:pStyle w:val="FootnoteText"/>
      </w:pPr>
      <w:r w:rsidRPr="003D1459">
        <w:rPr>
          <w:rStyle w:val="FootnoteReference"/>
        </w:rPr>
        <w:footnoteRef/>
      </w:r>
      <w:r w:rsidRPr="003D1459">
        <w:tab/>
        <w:t>JO C , , p. .</w:t>
      </w:r>
    </w:p>
  </w:footnote>
  <w:footnote w:id="32">
    <w:p w14:paraId="5CF1F33F" w14:textId="77777777" w:rsidR="003D1459" w:rsidRPr="003D1459" w:rsidRDefault="003D1459" w:rsidP="00272F11">
      <w:pPr>
        <w:shd w:val="clear" w:color="auto" w:fill="FFFFFF" w:themeFill="background1"/>
        <w:spacing w:before="0" w:after="0"/>
        <w:ind w:left="709" w:hanging="709"/>
        <w:contextualSpacing/>
        <w:rPr>
          <w:sz w:val="20"/>
          <w:szCs w:val="20"/>
        </w:rPr>
      </w:pPr>
      <w:r w:rsidRPr="003D1459">
        <w:rPr>
          <w:rStyle w:val="FootnoteReference"/>
        </w:rPr>
        <w:footnoteRef/>
      </w:r>
      <w:r w:rsidRPr="003D1459">
        <w:tab/>
      </w:r>
      <w:r w:rsidRPr="003D1459">
        <w:rPr>
          <w:sz w:val="20"/>
          <w:szCs w:val="20"/>
        </w:rPr>
        <w:t>Decizia XXX/XXX/XX a Parlamentului European și a Consiliului privind Programul general al Uniunii de acțiune pentru mediu până în 2030 (JO L XXX, XX.XX.XX, p. XX).</w:t>
      </w:r>
    </w:p>
  </w:footnote>
  <w:footnote w:id="33">
    <w:p w14:paraId="490D9758" w14:textId="77777777" w:rsidR="003D1459" w:rsidRPr="003D1459" w:rsidRDefault="003D1459" w:rsidP="00272F11">
      <w:pPr>
        <w:pStyle w:val="FootnoteText"/>
      </w:pPr>
      <w:r w:rsidRPr="003D1459">
        <w:rPr>
          <w:rStyle w:val="FootnoteReference"/>
        </w:rPr>
        <w:footnoteRef/>
      </w:r>
      <w:r w:rsidRPr="003D1459">
        <w:tab/>
        <w:t>JO L 124, 17.5.2005, p. 4.</w:t>
      </w:r>
    </w:p>
  </w:footnote>
  <w:footnote w:id="34">
    <w:p w14:paraId="2973F48B" w14:textId="20236F61" w:rsidR="003D1459" w:rsidRPr="003D1459" w:rsidRDefault="003D1459" w:rsidP="008106C4">
      <w:pPr>
        <w:pStyle w:val="FootnoteText"/>
        <w:ind w:left="709" w:hanging="709"/>
      </w:pPr>
      <w:r w:rsidRPr="003D1459">
        <w:rPr>
          <w:rStyle w:val="FootnoteReference"/>
        </w:rPr>
        <w:footnoteRef/>
      </w:r>
      <w:r w:rsidRPr="003D1459">
        <w:tab/>
        <w:t>Regulamentul (CE) nr. 166/2006 al Parlamentului European și al Consiliului din 18 ianuarie 2006 de instituire a unui registru european al emisiilor și transferului de poluanți și de modificare a Directivelor</w:t>
      </w:r>
      <w:r w:rsidR="007C274E">
        <w:t> </w:t>
      </w:r>
      <w:r w:rsidRPr="003D1459">
        <w:t>91/689/CEE și 96/61/CE ale Consiliului (JO L 33, 4.2.2006, p. 1).</w:t>
      </w:r>
    </w:p>
  </w:footnote>
  <w:footnote w:id="35">
    <w:p w14:paraId="60794FB6" w14:textId="77777777" w:rsidR="003D1459" w:rsidRPr="003D1459" w:rsidRDefault="003D1459" w:rsidP="008106C4">
      <w:pPr>
        <w:pStyle w:val="FootnoteText"/>
      </w:pPr>
      <w:r w:rsidRPr="003D1459">
        <w:rPr>
          <w:rStyle w:val="FootnoteReference"/>
        </w:rPr>
        <w:footnoteRef/>
      </w:r>
      <w:r w:rsidRPr="003D1459">
        <w:tab/>
        <w:t>COM(2017) 810 final.</w:t>
      </w:r>
    </w:p>
  </w:footnote>
  <w:footnote w:id="36">
    <w:p w14:paraId="28F3E371" w14:textId="77777777" w:rsidR="003D1459" w:rsidRPr="003D1459" w:rsidRDefault="003D1459" w:rsidP="008106C4">
      <w:pPr>
        <w:pStyle w:val="FootnoteText"/>
        <w:ind w:left="709" w:hanging="709"/>
      </w:pPr>
      <w:r w:rsidRPr="003D1459">
        <w:rPr>
          <w:rStyle w:val="FootnoteReference"/>
        </w:rPr>
        <w:footnoteRef/>
      </w:r>
      <w:r w:rsidRPr="003D1459">
        <w:tab/>
        <w:t>Directiva 2010/75/UE a Parlamentului European și a Consiliului din 24 noiembrie 2010 privind emisiile industriale (prevenirea și controlul integrat al poluării) (JO L 334, 17.12.2010, p. 17).</w:t>
      </w:r>
    </w:p>
  </w:footnote>
  <w:footnote w:id="37">
    <w:p w14:paraId="2F69363A" w14:textId="77777777" w:rsidR="003D1459" w:rsidRPr="003D1459" w:rsidRDefault="003D1459" w:rsidP="008106C4">
      <w:pPr>
        <w:pStyle w:val="NormalWeb"/>
        <w:shd w:val="clear" w:color="auto" w:fill="FFFFFF"/>
        <w:spacing w:before="0" w:after="0"/>
        <w:ind w:left="709" w:hanging="709"/>
        <w:rPr>
          <w:sz w:val="20"/>
          <w:szCs w:val="20"/>
        </w:rPr>
      </w:pPr>
      <w:r w:rsidRPr="003D1459">
        <w:rPr>
          <w:rStyle w:val="FootnoteReference"/>
        </w:rPr>
        <w:footnoteRef/>
      </w:r>
      <w:r w:rsidRPr="003D1459">
        <w:rPr>
          <w:sz w:val="20"/>
          <w:szCs w:val="20"/>
        </w:rPr>
        <w:tab/>
        <w:t xml:space="preserve">Directiva 91/271/CEE a Consiliului din 21 mai 1991 privind tratarea apelor urbane reziduale </w:t>
      </w:r>
      <w:r w:rsidRPr="003D1459">
        <w:t>(</w:t>
      </w:r>
      <w:r w:rsidRPr="003D1459">
        <w:rPr>
          <w:sz w:val="20"/>
          <w:szCs w:val="20"/>
        </w:rPr>
        <w:t>JO L 135, 30.5.1991, p. 40).</w:t>
      </w:r>
    </w:p>
  </w:footnote>
  <w:footnote w:id="38">
    <w:p w14:paraId="7252102E" w14:textId="77777777" w:rsidR="003D1459" w:rsidRPr="003D1459" w:rsidRDefault="003D1459" w:rsidP="008106C4">
      <w:pPr>
        <w:pStyle w:val="FootnoteText"/>
        <w:ind w:left="709" w:hanging="709"/>
      </w:pPr>
      <w:r w:rsidRPr="003D1459">
        <w:rPr>
          <w:rStyle w:val="FootnoteReference"/>
        </w:rPr>
        <w:footnoteRef/>
      </w:r>
      <w:r w:rsidRPr="003D1459">
        <w:tab/>
        <w:t xml:space="preserve">Comunicarea Comisiei către Parlamentul European, Consiliu, Comitetul Economic și Social European și Comitetul Regiunilor intitulată „Calea către o planetă sănătoasă pentru toți – Plan de acțiune al UE: «Către reducerea la zero a poluării aerului, apei și solului»” din 12 mai 2021 [COM(2021) 400 final]. </w:t>
      </w:r>
    </w:p>
  </w:footnote>
  <w:footnote w:id="39">
    <w:p w14:paraId="5143AEFE" w14:textId="77777777" w:rsidR="003D1459" w:rsidRPr="003D1459" w:rsidRDefault="003D1459" w:rsidP="008106C4">
      <w:pPr>
        <w:pStyle w:val="FootnoteText"/>
      </w:pPr>
      <w:r w:rsidRPr="003D1459">
        <w:rPr>
          <w:rStyle w:val="FootnoteReference"/>
        </w:rPr>
        <w:footnoteRef/>
      </w:r>
      <w:r w:rsidRPr="003D1459">
        <w:tab/>
        <w:t>https://industry.eea.europa.eu/.</w:t>
      </w:r>
    </w:p>
  </w:footnote>
  <w:footnote w:id="40">
    <w:p w14:paraId="2C9D30E6" w14:textId="77777777" w:rsidR="003D1459" w:rsidRPr="003D1459" w:rsidRDefault="003D1459" w:rsidP="008106C4">
      <w:pPr>
        <w:pStyle w:val="FootnoteText"/>
        <w:ind w:left="567" w:hanging="567"/>
      </w:pPr>
      <w:r w:rsidRPr="003D1459">
        <w:rPr>
          <w:rStyle w:val="FootnoteReference"/>
        </w:rPr>
        <w:footnoteRef/>
      </w:r>
      <w:r w:rsidRPr="003D1459">
        <w:tab/>
        <w:t>Directiva (UE) 2015/2193 a Parlamentului European și a Consiliului din 25 noiembrie 2015 privind limitarea emisiilor în atmosferă a anumitor poluanți provenind de la instalații medii de ardere (JO L 313, 28.11.2015, p. 1).</w:t>
      </w:r>
    </w:p>
  </w:footnote>
  <w:footnote w:id="41">
    <w:p w14:paraId="2569AD3D" w14:textId="4EA8B23C" w:rsidR="003D1459" w:rsidRPr="003D1459" w:rsidRDefault="003D1459" w:rsidP="00272F11">
      <w:pPr>
        <w:pStyle w:val="FootnoteText"/>
        <w:ind w:left="709" w:hanging="709"/>
      </w:pPr>
      <w:r w:rsidRPr="003D1459">
        <w:rPr>
          <w:rStyle w:val="FootnoteReference"/>
        </w:rPr>
        <w:footnoteRef/>
      </w:r>
      <w:r w:rsidRPr="003D1459">
        <w:tab/>
        <w:t>Decizia 2005/370/CE a Consiliului din 17 februarie 2005 privind încheierea, în numele Comunității</w:t>
      </w:r>
      <w:r w:rsidR="007C274E">
        <w:t> </w:t>
      </w:r>
      <w:r w:rsidRPr="003D1459">
        <w:t>Europene, a Convenției privind accesul la informație, participarea publicului la luarea deciziei și accesul la justiție în probleme de mediu (JO L 124, 17.5.2005, p. 1).</w:t>
      </w:r>
    </w:p>
  </w:footnote>
  <w:footnote w:id="42">
    <w:p w14:paraId="6227D426" w14:textId="77777777" w:rsidR="003D1459" w:rsidRPr="003D1459" w:rsidRDefault="003D1459" w:rsidP="008106C4">
      <w:pPr>
        <w:pStyle w:val="FootnoteText"/>
        <w:ind w:left="567" w:hanging="567"/>
      </w:pPr>
      <w:r w:rsidRPr="003D1459">
        <w:rPr>
          <w:rStyle w:val="FootnoteReference"/>
        </w:rPr>
        <w:footnoteRef/>
      </w:r>
      <w:r w:rsidRPr="003D1459">
        <w:tab/>
        <w:t>Directiva 2012/18/UE a Parlamentului European și a Consiliului din 4 iulie 2012 privind controlul pericolelor de accidente majore care implică substanțe periculoase, de modificare și ulterior de abrogare a Directivei 96/82/CE a Consiliului (JO L 197, 24.7.2012, p. 1).</w:t>
      </w:r>
    </w:p>
  </w:footnote>
  <w:footnote w:id="43">
    <w:p w14:paraId="2D02B196" w14:textId="77777777" w:rsidR="003D1459" w:rsidRPr="003D1459" w:rsidRDefault="003D1459" w:rsidP="008106C4">
      <w:pPr>
        <w:pStyle w:val="NormalWeb"/>
        <w:shd w:val="clear" w:color="auto" w:fill="FFFFFF"/>
        <w:spacing w:before="0" w:after="0"/>
        <w:ind w:left="567" w:hanging="567"/>
      </w:pPr>
      <w:r w:rsidRPr="003D1459">
        <w:rPr>
          <w:rStyle w:val="FootnoteReference"/>
        </w:rPr>
        <w:footnoteRef/>
      </w:r>
      <w:r w:rsidRPr="003D1459">
        <w:tab/>
      </w:r>
      <w:r w:rsidRPr="003D1459">
        <w:rPr>
          <w:sz w:val="20"/>
          <w:szCs w:val="20"/>
        </w:rPr>
        <w:t xml:space="preserve">Directiva 2008/98/CE a Parlamentului European și a Consiliului din 19 noiembrie 2008 privind deșeurile și de abrogare a anumitor directive (JO L 312, 22.11.2008, p. 3). </w:t>
      </w:r>
    </w:p>
  </w:footnote>
  <w:footnote w:id="44">
    <w:p w14:paraId="5B63A407" w14:textId="77777777" w:rsidR="003D1459" w:rsidRPr="003D1459" w:rsidRDefault="003D1459" w:rsidP="008106C4">
      <w:pPr>
        <w:pStyle w:val="FootnoteText"/>
        <w:ind w:left="567" w:hanging="567"/>
      </w:pPr>
      <w:r w:rsidRPr="003D1459">
        <w:rPr>
          <w:rStyle w:val="FootnoteReference"/>
        </w:rPr>
        <w:footnoteRef/>
      </w:r>
      <w:r w:rsidRPr="003D1459">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45">
    <w:p w14:paraId="189886E6" w14:textId="77777777" w:rsidR="003D1459" w:rsidRPr="003D1459" w:rsidRDefault="003D1459" w:rsidP="008106C4">
      <w:pPr>
        <w:pStyle w:val="FootnoteText"/>
        <w:ind w:left="567" w:hanging="567"/>
      </w:pPr>
      <w:r w:rsidRPr="003D1459">
        <w:rPr>
          <w:rStyle w:val="FootnoteReference"/>
        </w:rPr>
        <w:footnoteRef/>
      </w:r>
      <w:r w:rsidRPr="003D1459">
        <w:tab/>
      </w:r>
      <w:r w:rsidRPr="003D1459">
        <w:rPr>
          <w:color w:val="000000" w:themeColor="text1"/>
          <w:szCs w:val="24"/>
        </w:rPr>
        <w:t>Directiva 2003/4/CE a Parlamentului European și a Consiliului privind accesul publicului la informațiile despre mediu și de abrogare a Directivei 90/313/CEE a Consiliului</w:t>
      </w:r>
      <w:r w:rsidRPr="003D1459">
        <w:t xml:space="preserve"> (JO L 41, 14.2.2003, p. 26).</w:t>
      </w:r>
    </w:p>
  </w:footnote>
  <w:footnote w:id="46">
    <w:p w14:paraId="2E7BDDAD" w14:textId="77777777" w:rsidR="003D1459" w:rsidRPr="003D1459" w:rsidRDefault="003D1459" w:rsidP="008106C4">
      <w:pPr>
        <w:pStyle w:val="NormalWeb"/>
        <w:shd w:val="clear" w:color="auto" w:fill="FFFFFF"/>
        <w:spacing w:before="0" w:after="75"/>
        <w:ind w:left="567" w:hanging="567"/>
      </w:pPr>
      <w:r w:rsidRPr="003D1459">
        <w:rPr>
          <w:rStyle w:val="FootnoteReference"/>
        </w:rPr>
        <w:footnoteRef/>
      </w:r>
      <w:r w:rsidRPr="003D1459">
        <w:tab/>
      </w:r>
      <w:r w:rsidRPr="003D1459">
        <w:rPr>
          <w:color w:val="000000" w:themeColor="text1"/>
          <w:sz w:val="20"/>
        </w:rPr>
        <w:t>Regulamentul (CE) nr. 1049/2001 al Parlamentului European și al Consiliului din 30 mai 2001 privind accesul public la documentele Parlamentului European, ale Consiliului și ale Comisiei (JO L 145, 31.5.2001, p. 43).</w:t>
      </w:r>
    </w:p>
  </w:footnote>
  <w:footnote w:id="47">
    <w:p w14:paraId="60F4118F"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(JO L 396, 30.12.2006, p.</w:t>
      </w:r>
      <w:r w:rsidRPr="003D1459">
        <w:rPr>
          <w:iCs/>
          <w:color w:val="000000" w:themeColor="text1"/>
          <w:sz w:val="20"/>
          <w:szCs w:val="20"/>
        </w:rPr>
        <w:t> 1).</w:t>
      </w:r>
    </w:p>
  </w:footnote>
  <w:footnote w:id="48">
    <w:p w14:paraId="0E528161"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2000/60/CE a Parlamentului European și a Consiliului din 23 octombrie 2000 de stabilire a unui cadru de politică comunitară în domeniul apei (JO L 327, 22.12.2000, p. 1).</w:t>
      </w:r>
    </w:p>
  </w:footnote>
  <w:footnote w:id="49">
    <w:p w14:paraId="0E3A2555" w14:textId="1AD9811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2004/107/CE a Parlamentului European și a Consiliului din 15 decembrie 2004 privind arsenicul, cadmiul, mercurul, nichelul și hidrocarburile aromatice policiclice în aerul înconjurător (JO</w:t>
      </w:r>
      <w:r w:rsidR="007C274E">
        <w:rPr>
          <w:color w:val="000000" w:themeColor="text1"/>
          <w:sz w:val="20"/>
          <w:szCs w:val="20"/>
        </w:rPr>
        <w:t> </w:t>
      </w:r>
      <w:r w:rsidRPr="003D1459">
        <w:rPr>
          <w:color w:val="000000" w:themeColor="text1"/>
          <w:sz w:val="20"/>
          <w:szCs w:val="20"/>
        </w:rPr>
        <w:t>L 23, 26.1.2005, p. 3).</w:t>
      </w:r>
    </w:p>
  </w:footnote>
  <w:footnote w:id="50">
    <w:p w14:paraId="67B6DF1B"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2006/118/CE a Parlamentului European și a Consiliului din 12 decembrie 2006 privind protecția apelor subterane împotriva poluării și a deteriorării (JO L 372, 27.12.2006, p. 19).</w:t>
      </w:r>
    </w:p>
  </w:footnote>
  <w:footnote w:id="51">
    <w:p w14:paraId="6D99F59C"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2008/50/CE a Parlamentului European și a Consiliului din 21 mai 2008 privind calitatea aerului înconjurător și un aer mai curat pentru Europa (JO L 152, 11.6.2008, p. 1).</w:t>
      </w:r>
    </w:p>
  </w:footnote>
  <w:footnote w:id="52">
    <w:p w14:paraId="4670439A" w14:textId="596D82EA"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2008/105/CE a Parlamentului European și a Consiliului din 16 decembrie 2008 privind standardele de calitate a mediului în domeniul apei, de modificare și de abrogare a Directivelor</w:t>
      </w:r>
      <w:r w:rsidR="007C274E">
        <w:rPr>
          <w:color w:val="000000" w:themeColor="text1"/>
          <w:sz w:val="20"/>
          <w:szCs w:val="20"/>
        </w:rPr>
        <w:t> </w:t>
      </w:r>
      <w:r w:rsidRPr="003D1459">
        <w:rPr>
          <w:color w:val="000000" w:themeColor="text1"/>
          <w:sz w:val="20"/>
          <w:szCs w:val="20"/>
        </w:rPr>
        <w:t>82/176/CEE, 83/513/CEE, 84/156/CEE, 84/491/CEE, 86/280/CEE ale Consiliului și de modificare a Directivei 2000/60/CE a Parlamentului European și a Consiliului (JO L 348, 24.12.2008, p. 84).</w:t>
      </w:r>
    </w:p>
  </w:footnote>
  <w:footnote w:id="53">
    <w:p w14:paraId="5BDE545E"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(JO L 396, 30.12.2006, p.</w:t>
      </w:r>
      <w:r w:rsidRPr="003D1459">
        <w:rPr>
          <w:iCs/>
          <w:color w:val="000000" w:themeColor="text1"/>
          <w:sz w:val="20"/>
          <w:szCs w:val="20"/>
        </w:rPr>
        <w:t> 1).</w:t>
      </w:r>
    </w:p>
  </w:footnote>
  <w:footnote w:id="54">
    <w:p w14:paraId="7B5789CA"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2000/60/CE a Parlamentului European și a Consiliului din 23 octombrie 2000 de stabilire a unui cadru de politică comunitară în domeniul apei (JO L 327, 22.12.2000, p. 1).</w:t>
      </w:r>
    </w:p>
  </w:footnote>
  <w:footnote w:id="55">
    <w:p w14:paraId="684DFCF2" w14:textId="33BF5459"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2004/107/CE a Parlamentului European și a Consiliului din 15 decembrie 2004 privind arsenicul, cadmiul, mercurul, nichelul și hidrocarburile aromatice policiclice în aerul înconjurător (JO</w:t>
      </w:r>
      <w:r w:rsidR="007C274E">
        <w:rPr>
          <w:color w:val="000000" w:themeColor="text1"/>
          <w:sz w:val="20"/>
          <w:szCs w:val="20"/>
        </w:rPr>
        <w:t> </w:t>
      </w:r>
      <w:r w:rsidRPr="003D1459">
        <w:rPr>
          <w:color w:val="000000" w:themeColor="text1"/>
          <w:sz w:val="20"/>
          <w:szCs w:val="20"/>
        </w:rPr>
        <w:t>L 23, 26.1.2005, p. 3).</w:t>
      </w:r>
    </w:p>
  </w:footnote>
  <w:footnote w:id="56">
    <w:p w14:paraId="12EDC5C8"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2006/118/CE a Parlamentului European și a Consiliului din 12 decembrie 2006 privind protecția apelor subterane împotriva poluării și a deteriorării (JO L 372, 27.12.2006, p. 19).</w:t>
      </w:r>
    </w:p>
  </w:footnote>
  <w:footnote w:id="57">
    <w:p w14:paraId="46C9326B" w14:textId="77777777"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2008/50/CE a Parlamentului European și a Consiliului din 21 mai 2008 privind calitatea aerului înconjurător și un aer mai curat pentru Europa (JO L 152, 11.6.2008, p. 1).</w:t>
      </w:r>
    </w:p>
  </w:footnote>
  <w:footnote w:id="58">
    <w:p w14:paraId="2FA00585" w14:textId="408FE620" w:rsidR="003D1459" w:rsidRPr="003D1459" w:rsidRDefault="003D1459" w:rsidP="008106C4">
      <w:pPr>
        <w:pStyle w:val="NormalWeb"/>
        <w:shd w:val="clear" w:color="auto" w:fill="FFFFFF"/>
        <w:spacing w:before="0" w:after="0"/>
        <w:ind w:left="567" w:hanging="567"/>
        <w:rPr>
          <w:color w:val="000000" w:themeColor="text1"/>
          <w:sz w:val="20"/>
          <w:szCs w:val="20"/>
        </w:rPr>
      </w:pPr>
      <w:r w:rsidRPr="003D1459">
        <w:rPr>
          <w:rStyle w:val="FootnoteReference"/>
        </w:rPr>
        <w:footnoteRef/>
      </w:r>
      <w:r w:rsidRPr="003D1459">
        <w:tab/>
      </w:r>
      <w:r w:rsidRPr="003D1459">
        <w:rPr>
          <w:color w:val="000000" w:themeColor="text1"/>
          <w:sz w:val="20"/>
          <w:szCs w:val="20"/>
        </w:rPr>
        <w:t>Directiva 2008/105/CE a Parlamentului European și a Consiliului din 16 decembrie 2008 privind standardele de calitate a mediului în domeniul apei, de modificare și de abrogare a Directivelor</w:t>
      </w:r>
      <w:r w:rsidR="007C274E">
        <w:rPr>
          <w:color w:val="000000" w:themeColor="text1"/>
          <w:sz w:val="20"/>
          <w:szCs w:val="20"/>
        </w:rPr>
        <w:t> </w:t>
      </w:r>
      <w:r w:rsidRPr="003D1459">
        <w:rPr>
          <w:color w:val="000000" w:themeColor="text1"/>
          <w:sz w:val="20"/>
          <w:szCs w:val="20"/>
        </w:rPr>
        <w:t>82/176/CEE, 83/513/CEE, 84/156/CEE, 84/491/CEE, 86/280/CEE ale Consiliului și de modificare a Directivei 2000/60/CE a Parlamentului European și a Consiliului (JO L 348, 24.12.2008, p. 84).</w:t>
      </w:r>
    </w:p>
  </w:footnote>
  <w:footnote w:id="59">
    <w:p w14:paraId="29008035" w14:textId="77777777" w:rsidR="003D1459" w:rsidRPr="003D1459" w:rsidRDefault="003D1459" w:rsidP="008106C4">
      <w:pPr>
        <w:pStyle w:val="FootnoteText"/>
        <w:ind w:left="567" w:hanging="567"/>
      </w:pPr>
      <w:r w:rsidRPr="003D1459">
        <w:rPr>
          <w:rStyle w:val="FootnoteReference"/>
        </w:rPr>
        <w:footnoteRef/>
      </w:r>
      <w:r w:rsidRPr="003D1459">
        <w:tab/>
      </w:r>
      <w:r w:rsidRPr="003D1459">
        <w:rPr>
          <w:color w:val="000000" w:themeColor="text1"/>
        </w:rPr>
        <w:t>JO L 123, 12.5.2016, p. 1.</w:t>
      </w:r>
    </w:p>
  </w:footnote>
  <w:footnote w:id="60">
    <w:p w14:paraId="13433046" w14:textId="77777777" w:rsidR="003D1459" w:rsidRPr="003D1459" w:rsidRDefault="003D1459" w:rsidP="005E5770">
      <w:pPr>
        <w:pStyle w:val="FootnoteText"/>
        <w:ind w:left="426" w:hanging="426"/>
      </w:pPr>
      <w:r w:rsidRPr="003D1459">
        <w:rPr>
          <w:rStyle w:val="FootnoteReference"/>
        </w:rPr>
        <w:footnoteRef/>
      </w:r>
      <w:r w:rsidRPr="003D1459">
        <w:tab/>
        <w:t>Directiva 2008/98/CE a Parlamentului European și a Consiliului din 19 noiembrie 2008 privind deșeurile și de abrogare a anumitor directive (JO L 312, 22.11.2008, p. 3).</w:t>
      </w:r>
    </w:p>
  </w:footnote>
  <w:footnote w:id="61">
    <w:p w14:paraId="139F97B1" w14:textId="77777777" w:rsidR="003D1459" w:rsidRPr="003D1459" w:rsidRDefault="003D1459" w:rsidP="006E5795">
      <w:pPr>
        <w:pStyle w:val="FootnoteText"/>
        <w:ind w:left="567" w:hanging="567"/>
      </w:pPr>
      <w:r w:rsidRPr="003D1459">
        <w:rPr>
          <w:rStyle w:val="FootnoteReference"/>
        </w:rPr>
        <w:footnoteRef/>
      </w:r>
      <w:r w:rsidRPr="003D1459">
        <w:tab/>
        <w:t>Directiva 2003/87/CE a Parlamentului European și a Consiliului din 13 octombrie 2003 de stabilire a unui sistem de comercializare a cotelor de emisie de gaze cu efect de seră în cadrul Comunității și de modificare a Directivei 96/61/CE a Consiliului (JO L 275, 25.10.2003, p. 32).</w:t>
      </w:r>
    </w:p>
  </w:footnote>
  <w:footnote w:id="62">
    <w:p w14:paraId="6C8B25DC" w14:textId="77777777" w:rsidR="003D1459" w:rsidRPr="003D1459" w:rsidRDefault="003D1459" w:rsidP="009F426A">
      <w:pPr>
        <w:pStyle w:val="FootnoteText"/>
        <w:rPr>
          <w:szCs w:val="24"/>
        </w:rPr>
      </w:pPr>
      <w:r w:rsidRPr="003D1459">
        <w:rPr>
          <w:rStyle w:val="FootnoteReference"/>
        </w:rPr>
        <w:footnoteRef/>
      </w:r>
      <w:r w:rsidRPr="003D1459">
        <w:tab/>
        <w:t>Astfel cum se menționează la articolul 58 alineatul (2) litera (a) sau (b) din Regulamentul financiar.</w:t>
      </w:r>
    </w:p>
  </w:footnote>
  <w:footnote w:id="63">
    <w:p w14:paraId="31384A7B" w14:textId="77777777" w:rsidR="003D1459" w:rsidRPr="003D1459" w:rsidRDefault="003D1459" w:rsidP="009F426A">
      <w:pPr>
        <w:pStyle w:val="FootnoteText"/>
        <w:rPr>
          <w:szCs w:val="24"/>
        </w:rPr>
      </w:pPr>
      <w:r w:rsidRPr="003D1459">
        <w:rPr>
          <w:rStyle w:val="FootnoteReference"/>
        </w:rPr>
        <w:footnoteRef/>
      </w:r>
      <w:r w:rsidRPr="003D1459">
        <w:tab/>
        <w:t xml:space="preserve">Explicațiile privind modurile de gestiune, precum și trimiterile la Regulamentul financiar sunt disponibile pe site-ul BUDG: </w:t>
      </w:r>
      <w:hyperlink r:id="rId5" w:history="1">
        <w:r w:rsidRPr="003D1459">
          <w:rPr>
            <w:rStyle w:val="Hyperlink"/>
          </w:rPr>
          <w:t>https://myintracomm.ec.europa.eu/budgweb/EN/man/budgmanag/Pages/budgmanag.aspx</w:t>
        </w:r>
      </w:hyperlink>
      <w:r w:rsidRPr="003D1459">
        <w:t>.</w:t>
      </w:r>
    </w:p>
  </w:footnote>
  <w:footnote w:id="64">
    <w:p w14:paraId="578E1757" w14:textId="77777777" w:rsidR="003D1459" w:rsidRPr="003D1459" w:rsidRDefault="003D1459" w:rsidP="009F426A">
      <w:pPr>
        <w:pStyle w:val="FootnoteText"/>
      </w:pPr>
      <w:r w:rsidRPr="003D1459">
        <w:rPr>
          <w:rStyle w:val="FootnoteReference"/>
        </w:rPr>
        <w:footnoteRef/>
      </w:r>
      <w:r w:rsidRPr="003D1459">
        <w:tab/>
        <w:t>Dif. = credite diferențiate / Nedif. = credite nediferențiate.</w:t>
      </w:r>
    </w:p>
  </w:footnote>
  <w:footnote w:id="65">
    <w:p w14:paraId="01224977" w14:textId="77777777" w:rsidR="003D1459" w:rsidRPr="003D1459" w:rsidRDefault="003D1459" w:rsidP="009F426A">
      <w:pPr>
        <w:pStyle w:val="FootnoteText"/>
        <w:rPr>
          <w:szCs w:val="24"/>
        </w:rPr>
      </w:pPr>
      <w:r w:rsidRPr="003D1459">
        <w:rPr>
          <w:rStyle w:val="FootnoteReference"/>
        </w:rPr>
        <w:footnoteRef/>
      </w:r>
      <w:r w:rsidRPr="003D1459">
        <w:tab/>
        <w:t xml:space="preserve">AELS: Asociația Europeană a Liberului Schimb. </w:t>
      </w:r>
    </w:p>
  </w:footnote>
  <w:footnote w:id="66">
    <w:p w14:paraId="1B68FA14" w14:textId="77777777" w:rsidR="003D1459" w:rsidRPr="003D1459" w:rsidRDefault="003D1459" w:rsidP="009F426A">
      <w:pPr>
        <w:pStyle w:val="FootnoteText"/>
        <w:rPr>
          <w:szCs w:val="24"/>
        </w:rPr>
      </w:pPr>
      <w:r w:rsidRPr="003D1459">
        <w:rPr>
          <w:rStyle w:val="FootnoteReference"/>
        </w:rPr>
        <w:footnoteRef/>
      </w:r>
      <w:r w:rsidRPr="003D1459">
        <w:tab/>
        <w:t>Țările candidate și, după caz, candidații potențiali din Balcanii de Vest.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6"/>
        </w:tabs>
        <w:ind w:left="1416"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14"/>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1"/>
  </w:num>
  <w:num w:numId="40">
    <w:abstractNumId w:val="25"/>
  </w:num>
  <w:num w:numId="41">
    <w:abstractNumId w:val="6"/>
  </w:num>
  <w:num w:numId="42">
    <w:abstractNumId w:val="12"/>
  </w:num>
  <w:num w:numId="43">
    <w:abstractNumId w:val="13"/>
  </w:num>
  <w:num w:numId="44">
    <w:abstractNumId w:val="4"/>
  </w:num>
  <w:num w:numId="45">
    <w:abstractNumId w:val="24"/>
  </w:num>
  <w:num w:numId="46">
    <w:abstractNumId w:val="3"/>
  </w:num>
  <w:num w:numId="47">
    <w:abstractNumId w:val="14"/>
  </w:num>
  <w:num w:numId="48">
    <w:abstractNumId w:val="20"/>
  </w:num>
  <w:num w:numId="49">
    <w:abstractNumId w:val="21"/>
  </w:num>
  <w:num w:numId="50">
    <w:abstractNumId w:val="5"/>
  </w:num>
  <w:num w:numId="51">
    <w:abstractNumId w:val="1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da-DK" w:vendorID="64" w:dllVersion="131078" w:nlCheck="1" w:checkStyle="0"/>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283"/>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02 10:22:49"/>
    <w:docVar w:name="DQCNUMB_1" w:val="559"/>
    <w:docVar w:name="DQCNUMB_2" w:val="561"/>
    <w:docVar w:name="DQCNUMB_3" w:val="563"/>
    <w:docVar w:name="DQCNUMB_4" w:val="569"/>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D527A53B-8F28-4F06-A7BF-D4192587D7C7"/>
    <w:docVar w:name="LW_COVERPAGE_TYPE" w:val="1"/>
    <w:docVar w:name="LW_CROSSREFERENCE" w:val="{SEC(2022) 169 final} - {SWD(2022) 111 final} - {SWD(2022) 112 final} - {SWD(2022) 113 final}"/>
    <w:docVar w:name="LW_DocType" w:val="COM"/>
    <w:docVar w:name="LW_EMISSION" w:val="5.4.2022"/>
    <w:docVar w:name="LW_EMISSION_ISODATE" w:val="2022-04-05"/>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05"/>
    <w:docVar w:name="LW_REF.II.NEW.CP_YEAR" w:val="2022"/>
    <w:docVar w:name="LW_REF.INST.NEW" w:val="COM"/>
    <w:docVar w:name="LW_REF.INST.NEW_ADOPTED" w:val="final"/>
    <w:docVar w:name="LW_REF.INST.NEW_TEXT" w:val="(2022)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raportarea datelor despre mediu provenite de la instalații industriale și înființarea Portalului emisiilor industriale _x000b_"/>
    <w:docVar w:name="LW_TYPE.DOC.CP" w:val="REGULAMENT AL PARLAMENTULUI EUROPEAN ȘI AL CONSILIULUI"/>
    <w:docVar w:name="LwApiVersions" w:val="LW4CoDe 1.23.2.0; LW 8.0, Build 20211117"/>
  </w:docVars>
  <w:rsids>
    <w:rsidRoot w:val="00D07F31"/>
    <w:rsid w:val="000047F4"/>
    <w:rsid w:val="000122B5"/>
    <w:rsid w:val="00014AD9"/>
    <w:rsid w:val="00023228"/>
    <w:rsid w:val="000254CC"/>
    <w:rsid w:val="00025CEB"/>
    <w:rsid w:val="00026918"/>
    <w:rsid w:val="00032598"/>
    <w:rsid w:val="000407C1"/>
    <w:rsid w:val="00043206"/>
    <w:rsid w:val="00043823"/>
    <w:rsid w:val="000444CA"/>
    <w:rsid w:val="00044820"/>
    <w:rsid w:val="00050EE6"/>
    <w:rsid w:val="00053A48"/>
    <w:rsid w:val="00054D2F"/>
    <w:rsid w:val="00055182"/>
    <w:rsid w:val="000639FF"/>
    <w:rsid w:val="00064EC6"/>
    <w:rsid w:val="000660ED"/>
    <w:rsid w:val="000666EB"/>
    <w:rsid w:val="00070A1B"/>
    <w:rsid w:val="000716BF"/>
    <w:rsid w:val="00072242"/>
    <w:rsid w:val="0007325B"/>
    <w:rsid w:val="00080EAD"/>
    <w:rsid w:val="000816CF"/>
    <w:rsid w:val="00081C87"/>
    <w:rsid w:val="00082D0D"/>
    <w:rsid w:val="00085EB0"/>
    <w:rsid w:val="000905CE"/>
    <w:rsid w:val="0009103A"/>
    <w:rsid w:val="000918A9"/>
    <w:rsid w:val="00092863"/>
    <w:rsid w:val="0009301D"/>
    <w:rsid w:val="0009563E"/>
    <w:rsid w:val="000970B7"/>
    <w:rsid w:val="000A0CA8"/>
    <w:rsid w:val="000A2578"/>
    <w:rsid w:val="000A434B"/>
    <w:rsid w:val="000A4890"/>
    <w:rsid w:val="000A7517"/>
    <w:rsid w:val="000B141F"/>
    <w:rsid w:val="000B35FD"/>
    <w:rsid w:val="000B3D78"/>
    <w:rsid w:val="000B46D9"/>
    <w:rsid w:val="000B7218"/>
    <w:rsid w:val="000B7ED5"/>
    <w:rsid w:val="000C1681"/>
    <w:rsid w:val="000C2B90"/>
    <w:rsid w:val="000C59A7"/>
    <w:rsid w:val="000D093F"/>
    <w:rsid w:val="000D1406"/>
    <w:rsid w:val="000D1F54"/>
    <w:rsid w:val="000D5DAC"/>
    <w:rsid w:val="000E1503"/>
    <w:rsid w:val="000E198E"/>
    <w:rsid w:val="000E1DF6"/>
    <w:rsid w:val="000E2C8F"/>
    <w:rsid w:val="000E74BB"/>
    <w:rsid w:val="000E7791"/>
    <w:rsid w:val="000F267D"/>
    <w:rsid w:val="000F2CEB"/>
    <w:rsid w:val="000F596D"/>
    <w:rsid w:val="000F6A1A"/>
    <w:rsid w:val="001009D0"/>
    <w:rsid w:val="001021F1"/>
    <w:rsid w:val="0010566C"/>
    <w:rsid w:val="00107FD9"/>
    <w:rsid w:val="001103BC"/>
    <w:rsid w:val="00110BA1"/>
    <w:rsid w:val="00111EF5"/>
    <w:rsid w:val="00112A2D"/>
    <w:rsid w:val="00112D2A"/>
    <w:rsid w:val="00113770"/>
    <w:rsid w:val="00122386"/>
    <w:rsid w:val="00123AC1"/>
    <w:rsid w:val="001244D7"/>
    <w:rsid w:val="00124982"/>
    <w:rsid w:val="001258FC"/>
    <w:rsid w:val="00126376"/>
    <w:rsid w:val="00127B22"/>
    <w:rsid w:val="0013266B"/>
    <w:rsid w:val="00134546"/>
    <w:rsid w:val="0013480F"/>
    <w:rsid w:val="00136866"/>
    <w:rsid w:val="00137990"/>
    <w:rsid w:val="00141BD7"/>
    <w:rsid w:val="0015280B"/>
    <w:rsid w:val="00166FC5"/>
    <w:rsid w:val="00180A52"/>
    <w:rsid w:val="00181F17"/>
    <w:rsid w:val="00182CA4"/>
    <w:rsid w:val="00183742"/>
    <w:rsid w:val="001870C7"/>
    <w:rsid w:val="00187B1E"/>
    <w:rsid w:val="00193B13"/>
    <w:rsid w:val="00196AB6"/>
    <w:rsid w:val="00196D35"/>
    <w:rsid w:val="001A0959"/>
    <w:rsid w:val="001A3146"/>
    <w:rsid w:val="001A5A39"/>
    <w:rsid w:val="001A5C88"/>
    <w:rsid w:val="001A5CB4"/>
    <w:rsid w:val="001A7E74"/>
    <w:rsid w:val="001B42DE"/>
    <w:rsid w:val="001B58DB"/>
    <w:rsid w:val="001C2816"/>
    <w:rsid w:val="001C6227"/>
    <w:rsid w:val="001D55EC"/>
    <w:rsid w:val="001D7C11"/>
    <w:rsid w:val="001E1317"/>
    <w:rsid w:val="001F3346"/>
    <w:rsid w:val="001F5956"/>
    <w:rsid w:val="00201D4B"/>
    <w:rsid w:val="00203FFF"/>
    <w:rsid w:val="00204831"/>
    <w:rsid w:val="0020540D"/>
    <w:rsid w:val="00205C0D"/>
    <w:rsid w:val="00205DA1"/>
    <w:rsid w:val="0021087E"/>
    <w:rsid w:val="00210FCE"/>
    <w:rsid w:val="00211433"/>
    <w:rsid w:val="00214AE7"/>
    <w:rsid w:val="00214DD8"/>
    <w:rsid w:val="0021642B"/>
    <w:rsid w:val="0022145F"/>
    <w:rsid w:val="00221D13"/>
    <w:rsid w:val="00223E0D"/>
    <w:rsid w:val="00224686"/>
    <w:rsid w:val="00232B8A"/>
    <w:rsid w:val="00232E98"/>
    <w:rsid w:val="0023709E"/>
    <w:rsid w:val="0024008E"/>
    <w:rsid w:val="00244B3A"/>
    <w:rsid w:val="002463DB"/>
    <w:rsid w:val="002465D4"/>
    <w:rsid w:val="002466C9"/>
    <w:rsid w:val="00246B62"/>
    <w:rsid w:val="002473A0"/>
    <w:rsid w:val="002528D9"/>
    <w:rsid w:val="0025568A"/>
    <w:rsid w:val="00255F42"/>
    <w:rsid w:val="0026165F"/>
    <w:rsid w:val="00261EC2"/>
    <w:rsid w:val="00263560"/>
    <w:rsid w:val="002638F7"/>
    <w:rsid w:val="002657DE"/>
    <w:rsid w:val="00265B92"/>
    <w:rsid w:val="00265C71"/>
    <w:rsid w:val="00266DA8"/>
    <w:rsid w:val="00272F11"/>
    <w:rsid w:val="00274601"/>
    <w:rsid w:val="00277CC4"/>
    <w:rsid w:val="00286031"/>
    <w:rsid w:val="00291670"/>
    <w:rsid w:val="00291E77"/>
    <w:rsid w:val="0029259F"/>
    <w:rsid w:val="002962E8"/>
    <w:rsid w:val="002A0DE2"/>
    <w:rsid w:val="002A13D8"/>
    <w:rsid w:val="002A5157"/>
    <w:rsid w:val="002A5C26"/>
    <w:rsid w:val="002A601B"/>
    <w:rsid w:val="002A76CB"/>
    <w:rsid w:val="002B2278"/>
    <w:rsid w:val="002B3F66"/>
    <w:rsid w:val="002C0D80"/>
    <w:rsid w:val="002C1F39"/>
    <w:rsid w:val="002C3EB7"/>
    <w:rsid w:val="002C54BF"/>
    <w:rsid w:val="002C5AF2"/>
    <w:rsid w:val="002C5F4F"/>
    <w:rsid w:val="002C77B3"/>
    <w:rsid w:val="002D59CB"/>
    <w:rsid w:val="002D7B1C"/>
    <w:rsid w:val="002D7FE3"/>
    <w:rsid w:val="002E09F5"/>
    <w:rsid w:val="002E5ED4"/>
    <w:rsid w:val="002E6399"/>
    <w:rsid w:val="002F1F6E"/>
    <w:rsid w:val="00300FBB"/>
    <w:rsid w:val="00301FBE"/>
    <w:rsid w:val="00303079"/>
    <w:rsid w:val="00305893"/>
    <w:rsid w:val="003067C7"/>
    <w:rsid w:val="00310432"/>
    <w:rsid w:val="0031206B"/>
    <w:rsid w:val="00312EAB"/>
    <w:rsid w:val="0031492E"/>
    <w:rsid w:val="003328FC"/>
    <w:rsid w:val="00332B52"/>
    <w:rsid w:val="00335002"/>
    <w:rsid w:val="00343A69"/>
    <w:rsid w:val="003459D1"/>
    <w:rsid w:val="003515A5"/>
    <w:rsid w:val="00351FEF"/>
    <w:rsid w:val="0035212F"/>
    <w:rsid w:val="00355683"/>
    <w:rsid w:val="003578DF"/>
    <w:rsid w:val="00361151"/>
    <w:rsid w:val="00370BBF"/>
    <w:rsid w:val="00371A0F"/>
    <w:rsid w:val="00372D1B"/>
    <w:rsid w:val="0037518D"/>
    <w:rsid w:val="00382443"/>
    <w:rsid w:val="00385883"/>
    <w:rsid w:val="00385FBA"/>
    <w:rsid w:val="003900E6"/>
    <w:rsid w:val="003915ED"/>
    <w:rsid w:val="00395B31"/>
    <w:rsid w:val="003A03B2"/>
    <w:rsid w:val="003A0F8B"/>
    <w:rsid w:val="003A3667"/>
    <w:rsid w:val="003A4D2E"/>
    <w:rsid w:val="003A5BAD"/>
    <w:rsid w:val="003A7144"/>
    <w:rsid w:val="003B0B66"/>
    <w:rsid w:val="003B0F73"/>
    <w:rsid w:val="003B440F"/>
    <w:rsid w:val="003B460D"/>
    <w:rsid w:val="003C470F"/>
    <w:rsid w:val="003C6A69"/>
    <w:rsid w:val="003D0FBF"/>
    <w:rsid w:val="003D1037"/>
    <w:rsid w:val="003D1459"/>
    <w:rsid w:val="003D22A4"/>
    <w:rsid w:val="003D3EC0"/>
    <w:rsid w:val="003D4FC4"/>
    <w:rsid w:val="003D55B7"/>
    <w:rsid w:val="003D7963"/>
    <w:rsid w:val="003D7BEE"/>
    <w:rsid w:val="003E3D3C"/>
    <w:rsid w:val="003F0B28"/>
    <w:rsid w:val="003F18B8"/>
    <w:rsid w:val="003F608C"/>
    <w:rsid w:val="003F7915"/>
    <w:rsid w:val="004011EB"/>
    <w:rsid w:val="004013CF"/>
    <w:rsid w:val="004020E5"/>
    <w:rsid w:val="00403031"/>
    <w:rsid w:val="0040330D"/>
    <w:rsid w:val="004045BC"/>
    <w:rsid w:val="00404686"/>
    <w:rsid w:val="00404889"/>
    <w:rsid w:val="0041027F"/>
    <w:rsid w:val="00414653"/>
    <w:rsid w:val="00414AD3"/>
    <w:rsid w:val="00416FDF"/>
    <w:rsid w:val="00421CD3"/>
    <w:rsid w:val="00422D16"/>
    <w:rsid w:val="00423767"/>
    <w:rsid w:val="00423EAF"/>
    <w:rsid w:val="00424B5E"/>
    <w:rsid w:val="00425335"/>
    <w:rsid w:val="004268C8"/>
    <w:rsid w:val="0042758B"/>
    <w:rsid w:val="00430894"/>
    <w:rsid w:val="00432B80"/>
    <w:rsid w:val="00436830"/>
    <w:rsid w:val="00441973"/>
    <w:rsid w:val="00444A24"/>
    <w:rsid w:val="00444E97"/>
    <w:rsid w:val="004451E1"/>
    <w:rsid w:val="004467EC"/>
    <w:rsid w:val="00447A5E"/>
    <w:rsid w:val="0045483C"/>
    <w:rsid w:val="0045558F"/>
    <w:rsid w:val="004572BD"/>
    <w:rsid w:val="004609CC"/>
    <w:rsid w:val="004623D4"/>
    <w:rsid w:val="0046707C"/>
    <w:rsid w:val="004703F3"/>
    <w:rsid w:val="00470918"/>
    <w:rsid w:val="00470A37"/>
    <w:rsid w:val="00472BB2"/>
    <w:rsid w:val="00472CD1"/>
    <w:rsid w:val="00475AEE"/>
    <w:rsid w:val="00487A29"/>
    <w:rsid w:val="00493278"/>
    <w:rsid w:val="00495142"/>
    <w:rsid w:val="00496B80"/>
    <w:rsid w:val="004976FD"/>
    <w:rsid w:val="004A4708"/>
    <w:rsid w:val="004A6221"/>
    <w:rsid w:val="004A71FD"/>
    <w:rsid w:val="004B0408"/>
    <w:rsid w:val="004B4551"/>
    <w:rsid w:val="004B466C"/>
    <w:rsid w:val="004B54EA"/>
    <w:rsid w:val="004B57A7"/>
    <w:rsid w:val="004C32C6"/>
    <w:rsid w:val="004C704C"/>
    <w:rsid w:val="004D03B6"/>
    <w:rsid w:val="004D197B"/>
    <w:rsid w:val="004D2797"/>
    <w:rsid w:val="004D650A"/>
    <w:rsid w:val="004E072E"/>
    <w:rsid w:val="004F27FE"/>
    <w:rsid w:val="004F58F0"/>
    <w:rsid w:val="00502F53"/>
    <w:rsid w:val="00503F80"/>
    <w:rsid w:val="00504F84"/>
    <w:rsid w:val="00506DA2"/>
    <w:rsid w:val="005137A0"/>
    <w:rsid w:val="00513861"/>
    <w:rsid w:val="00514CB3"/>
    <w:rsid w:val="00515295"/>
    <w:rsid w:val="00520115"/>
    <w:rsid w:val="005244E8"/>
    <w:rsid w:val="005251DB"/>
    <w:rsid w:val="00525D8D"/>
    <w:rsid w:val="00530802"/>
    <w:rsid w:val="0053184D"/>
    <w:rsid w:val="005351F9"/>
    <w:rsid w:val="00537200"/>
    <w:rsid w:val="005404DF"/>
    <w:rsid w:val="0054051F"/>
    <w:rsid w:val="00540E1F"/>
    <w:rsid w:val="005428A4"/>
    <w:rsid w:val="00542926"/>
    <w:rsid w:val="0054307A"/>
    <w:rsid w:val="00543931"/>
    <w:rsid w:val="005459C6"/>
    <w:rsid w:val="00554499"/>
    <w:rsid w:val="005576FC"/>
    <w:rsid w:val="00567A2E"/>
    <w:rsid w:val="00570B20"/>
    <w:rsid w:val="005744FB"/>
    <w:rsid w:val="00582381"/>
    <w:rsid w:val="0059382A"/>
    <w:rsid w:val="00593DDC"/>
    <w:rsid w:val="00594D5D"/>
    <w:rsid w:val="00596B83"/>
    <w:rsid w:val="00597631"/>
    <w:rsid w:val="005A0C34"/>
    <w:rsid w:val="005A2E0C"/>
    <w:rsid w:val="005A3973"/>
    <w:rsid w:val="005A418E"/>
    <w:rsid w:val="005B014B"/>
    <w:rsid w:val="005B6060"/>
    <w:rsid w:val="005C006F"/>
    <w:rsid w:val="005C0E12"/>
    <w:rsid w:val="005C304A"/>
    <w:rsid w:val="005C4DD2"/>
    <w:rsid w:val="005C6B60"/>
    <w:rsid w:val="005C7EFB"/>
    <w:rsid w:val="005D18CE"/>
    <w:rsid w:val="005D2ADD"/>
    <w:rsid w:val="005D5DE9"/>
    <w:rsid w:val="005D5F6C"/>
    <w:rsid w:val="005E0529"/>
    <w:rsid w:val="005E132D"/>
    <w:rsid w:val="005E23D9"/>
    <w:rsid w:val="005E33A2"/>
    <w:rsid w:val="005E379E"/>
    <w:rsid w:val="005E5770"/>
    <w:rsid w:val="005F2621"/>
    <w:rsid w:val="005F272A"/>
    <w:rsid w:val="005F466C"/>
    <w:rsid w:val="005F4C23"/>
    <w:rsid w:val="005F4F75"/>
    <w:rsid w:val="005F6AAD"/>
    <w:rsid w:val="006012C9"/>
    <w:rsid w:val="00601A70"/>
    <w:rsid w:val="00607080"/>
    <w:rsid w:val="00607AD2"/>
    <w:rsid w:val="006110F7"/>
    <w:rsid w:val="00612428"/>
    <w:rsid w:val="006129D1"/>
    <w:rsid w:val="00613CEB"/>
    <w:rsid w:val="00614845"/>
    <w:rsid w:val="0061499F"/>
    <w:rsid w:val="00614B33"/>
    <w:rsid w:val="00625B6A"/>
    <w:rsid w:val="0063117B"/>
    <w:rsid w:val="00632285"/>
    <w:rsid w:val="00635357"/>
    <w:rsid w:val="00636004"/>
    <w:rsid w:val="00643802"/>
    <w:rsid w:val="00656221"/>
    <w:rsid w:val="006579C9"/>
    <w:rsid w:val="00660466"/>
    <w:rsid w:val="006610F8"/>
    <w:rsid w:val="00662CB5"/>
    <w:rsid w:val="0067140C"/>
    <w:rsid w:val="006714CA"/>
    <w:rsid w:val="006721C7"/>
    <w:rsid w:val="00674F93"/>
    <w:rsid w:val="00675DE9"/>
    <w:rsid w:val="00677EF1"/>
    <w:rsid w:val="00686419"/>
    <w:rsid w:val="00696186"/>
    <w:rsid w:val="00696C65"/>
    <w:rsid w:val="006A6968"/>
    <w:rsid w:val="006B1347"/>
    <w:rsid w:val="006B1F53"/>
    <w:rsid w:val="006B4397"/>
    <w:rsid w:val="006B4B74"/>
    <w:rsid w:val="006B5DA7"/>
    <w:rsid w:val="006C17C7"/>
    <w:rsid w:val="006C1A00"/>
    <w:rsid w:val="006C2435"/>
    <w:rsid w:val="006C2EBC"/>
    <w:rsid w:val="006C4610"/>
    <w:rsid w:val="006C46D1"/>
    <w:rsid w:val="006C7316"/>
    <w:rsid w:val="006D0512"/>
    <w:rsid w:val="006D2D6D"/>
    <w:rsid w:val="006D4064"/>
    <w:rsid w:val="006D475E"/>
    <w:rsid w:val="006D5D09"/>
    <w:rsid w:val="006D71F1"/>
    <w:rsid w:val="006D78BE"/>
    <w:rsid w:val="006E0012"/>
    <w:rsid w:val="006E22FF"/>
    <w:rsid w:val="006E411C"/>
    <w:rsid w:val="006E5795"/>
    <w:rsid w:val="006E6FDC"/>
    <w:rsid w:val="006F1105"/>
    <w:rsid w:val="006F4C4D"/>
    <w:rsid w:val="006F5005"/>
    <w:rsid w:val="0070128F"/>
    <w:rsid w:val="00706B12"/>
    <w:rsid w:val="00710C6E"/>
    <w:rsid w:val="007132F1"/>
    <w:rsid w:val="00714E86"/>
    <w:rsid w:val="0071543C"/>
    <w:rsid w:val="00715F06"/>
    <w:rsid w:val="00721F08"/>
    <w:rsid w:val="007238FC"/>
    <w:rsid w:val="00723C6A"/>
    <w:rsid w:val="00724D6D"/>
    <w:rsid w:val="00727408"/>
    <w:rsid w:val="00727EE2"/>
    <w:rsid w:val="00736E32"/>
    <w:rsid w:val="00742E36"/>
    <w:rsid w:val="00744C3E"/>
    <w:rsid w:val="00745418"/>
    <w:rsid w:val="00752F90"/>
    <w:rsid w:val="0075676B"/>
    <w:rsid w:val="00757802"/>
    <w:rsid w:val="0077123C"/>
    <w:rsid w:val="00771E95"/>
    <w:rsid w:val="00772D2A"/>
    <w:rsid w:val="00776C4D"/>
    <w:rsid w:val="00782C40"/>
    <w:rsid w:val="0078796F"/>
    <w:rsid w:val="00794EF3"/>
    <w:rsid w:val="00795A13"/>
    <w:rsid w:val="007A15DD"/>
    <w:rsid w:val="007A4197"/>
    <w:rsid w:val="007A4436"/>
    <w:rsid w:val="007B1BA0"/>
    <w:rsid w:val="007B2B57"/>
    <w:rsid w:val="007B2D5E"/>
    <w:rsid w:val="007B73C2"/>
    <w:rsid w:val="007C06F6"/>
    <w:rsid w:val="007C2374"/>
    <w:rsid w:val="007C26C2"/>
    <w:rsid w:val="007C274E"/>
    <w:rsid w:val="007D62FC"/>
    <w:rsid w:val="007E1186"/>
    <w:rsid w:val="007E379D"/>
    <w:rsid w:val="007E5071"/>
    <w:rsid w:val="007E5707"/>
    <w:rsid w:val="007E7204"/>
    <w:rsid w:val="007F1B0D"/>
    <w:rsid w:val="007F3257"/>
    <w:rsid w:val="007F397D"/>
    <w:rsid w:val="007F5541"/>
    <w:rsid w:val="00801F75"/>
    <w:rsid w:val="008020F3"/>
    <w:rsid w:val="00806382"/>
    <w:rsid w:val="00807F61"/>
    <w:rsid w:val="008106C4"/>
    <w:rsid w:val="008125E8"/>
    <w:rsid w:val="00823171"/>
    <w:rsid w:val="00824E09"/>
    <w:rsid w:val="008272FB"/>
    <w:rsid w:val="00833A3F"/>
    <w:rsid w:val="00834076"/>
    <w:rsid w:val="00835554"/>
    <w:rsid w:val="008365D8"/>
    <w:rsid w:val="00836EFE"/>
    <w:rsid w:val="00837C49"/>
    <w:rsid w:val="00841C19"/>
    <w:rsid w:val="00841E67"/>
    <w:rsid w:val="00844645"/>
    <w:rsid w:val="00850A27"/>
    <w:rsid w:val="0086044A"/>
    <w:rsid w:val="00870313"/>
    <w:rsid w:val="00870960"/>
    <w:rsid w:val="00870A43"/>
    <w:rsid w:val="0087432B"/>
    <w:rsid w:val="0088168D"/>
    <w:rsid w:val="00887B82"/>
    <w:rsid w:val="00887C17"/>
    <w:rsid w:val="00893EDF"/>
    <w:rsid w:val="00896E07"/>
    <w:rsid w:val="008A1451"/>
    <w:rsid w:val="008A147C"/>
    <w:rsid w:val="008A17A5"/>
    <w:rsid w:val="008A487A"/>
    <w:rsid w:val="008A6CAF"/>
    <w:rsid w:val="008B2373"/>
    <w:rsid w:val="008B4C03"/>
    <w:rsid w:val="008B7106"/>
    <w:rsid w:val="008C1F38"/>
    <w:rsid w:val="008C2062"/>
    <w:rsid w:val="008C2788"/>
    <w:rsid w:val="008C27AC"/>
    <w:rsid w:val="008C6541"/>
    <w:rsid w:val="008C6677"/>
    <w:rsid w:val="008D34BF"/>
    <w:rsid w:val="008D58F3"/>
    <w:rsid w:val="008D769B"/>
    <w:rsid w:val="008E3914"/>
    <w:rsid w:val="008E5287"/>
    <w:rsid w:val="008E5365"/>
    <w:rsid w:val="008E7912"/>
    <w:rsid w:val="008E79A6"/>
    <w:rsid w:val="008F1B5B"/>
    <w:rsid w:val="008F4948"/>
    <w:rsid w:val="008F4DE9"/>
    <w:rsid w:val="008F58F0"/>
    <w:rsid w:val="009035B2"/>
    <w:rsid w:val="00905571"/>
    <w:rsid w:val="00911726"/>
    <w:rsid w:val="00913972"/>
    <w:rsid w:val="00914D16"/>
    <w:rsid w:val="009164A6"/>
    <w:rsid w:val="00917D09"/>
    <w:rsid w:val="00923E9A"/>
    <w:rsid w:val="00926883"/>
    <w:rsid w:val="00930D65"/>
    <w:rsid w:val="009325DF"/>
    <w:rsid w:val="00933531"/>
    <w:rsid w:val="0093532E"/>
    <w:rsid w:val="009353B4"/>
    <w:rsid w:val="00937D8D"/>
    <w:rsid w:val="009456BF"/>
    <w:rsid w:val="0094695A"/>
    <w:rsid w:val="009520F4"/>
    <w:rsid w:val="00954F61"/>
    <w:rsid w:val="00955FDC"/>
    <w:rsid w:val="00961F3F"/>
    <w:rsid w:val="00966FB4"/>
    <w:rsid w:val="00972C0E"/>
    <w:rsid w:val="0097447B"/>
    <w:rsid w:val="00974D95"/>
    <w:rsid w:val="00975F83"/>
    <w:rsid w:val="00976F6E"/>
    <w:rsid w:val="00977515"/>
    <w:rsid w:val="0098008C"/>
    <w:rsid w:val="009822D3"/>
    <w:rsid w:val="00982873"/>
    <w:rsid w:val="00986722"/>
    <w:rsid w:val="00986B33"/>
    <w:rsid w:val="00987AD5"/>
    <w:rsid w:val="009910F2"/>
    <w:rsid w:val="00992951"/>
    <w:rsid w:val="0099551A"/>
    <w:rsid w:val="009A4302"/>
    <w:rsid w:val="009A4807"/>
    <w:rsid w:val="009A5F39"/>
    <w:rsid w:val="009A629E"/>
    <w:rsid w:val="009A6D27"/>
    <w:rsid w:val="009B0942"/>
    <w:rsid w:val="009B3E82"/>
    <w:rsid w:val="009B457B"/>
    <w:rsid w:val="009B684A"/>
    <w:rsid w:val="009B7138"/>
    <w:rsid w:val="009C0919"/>
    <w:rsid w:val="009C17DC"/>
    <w:rsid w:val="009C4A98"/>
    <w:rsid w:val="009C5534"/>
    <w:rsid w:val="009C5C6A"/>
    <w:rsid w:val="009C6359"/>
    <w:rsid w:val="009E0075"/>
    <w:rsid w:val="009E3D07"/>
    <w:rsid w:val="009F0313"/>
    <w:rsid w:val="009F226D"/>
    <w:rsid w:val="009F426A"/>
    <w:rsid w:val="009F588E"/>
    <w:rsid w:val="009F6D27"/>
    <w:rsid w:val="009F730D"/>
    <w:rsid w:val="00A031DC"/>
    <w:rsid w:val="00A0559E"/>
    <w:rsid w:val="00A05F51"/>
    <w:rsid w:val="00A11F8F"/>
    <w:rsid w:val="00A1207F"/>
    <w:rsid w:val="00A17882"/>
    <w:rsid w:val="00A300AA"/>
    <w:rsid w:val="00A31271"/>
    <w:rsid w:val="00A31B5B"/>
    <w:rsid w:val="00A3440B"/>
    <w:rsid w:val="00A34829"/>
    <w:rsid w:val="00A354EE"/>
    <w:rsid w:val="00A36C82"/>
    <w:rsid w:val="00A37249"/>
    <w:rsid w:val="00A41A68"/>
    <w:rsid w:val="00A42044"/>
    <w:rsid w:val="00A436AC"/>
    <w:rsid w:val="00A46D31"/>
    <w:rsid w:val="00A46D55"/>
    <w:rsid w:val="00A5163C"/>
    <w:rsid w:val="00A54A31"/>
    <w:rsid w:val="00A56CBC"/>
    <w:rsid w:val="00A60C96"/>
    <w:rsid w:val="00A60CA4"/>
    <w:rsid w:val="00A60EDF"/>
    <w:rsid w:val="00A6316E"/>
    <w:rsid w:val="00A635D2"/>
    <w:rsid w:val="00A6407A"/>
    <w:rsid w:val="00A64DDF"/>
    <w:rsid w:val="00A818E3"/>
    <w:rsid w:val="00A8762C"/>
    <w:rsid w:val="00A92A79"/>
    <w:rsid w:val="00A95479"/>
    <w:rsid w:val="00A97D8D"/>
    <w:rsid w:val="00AA25A2"/>
    <w:rsid w:val="00AA2BD7"/>
    <w:rsid w:val="00AA42CF"/>
    <w:rsid w:val="00AA5584"/>
    <w:rsid w:val="00AA6B6F"/>
    <w:rsid w:val="00AA7563"/>
    <w:rsid w:val="00AB3DBF"/>
    <w:rsid w:val="00AB4664"/>
    <w:rsid w:val="00AB4FAF"/>
    <w:rsid w:val="00AB6444"/>
    <w:rsid w:val="00AB7BDF"/>
    <w:rsid w:val="00AC00B6"/>
    <w:rsid w:val="00AC138A"/>
    <w:rsid w:val="00AC260F"/>
    <w:rsid w:val="00AC428B"/>
    <w:rsid w:val="00AC6158"/>
    <w:rsid w:val="00AD0AA5"/>
    <w:rsid w:val="00AD23A4"/>
    <w:rsid w:val="00AD57ED"/>
    <w:rsid w:val="00AD6662"/>
    <w:rsid w:val="00AD6778"/>
    <w:rsid w:val="00AE0B17"/>
    <w:rsid w:val="00AE42CA"/>
    <w:rsid w:val="00AE5734"/>
    <w:rsid w:val="00AE6A3B"/>
    <w:rsid w:val="00AE71A0"/>
    <w:rsid w:val="00AF2BCE"/>
    <w:rsid w:val="00AF3492"/>
    <w:rsid w:val="00AF383A"/>
    <w:rsid w:val="00AF41E0"/>
    <w:rsid w:val="00AF4F93"/>
    <w:rsid w:val="00B003F0"/>
    <w:rsid w:val="00B007DC"/>
    <w:rsid w:val="00B020B5"/>
    <w:rsid w:val="00B07810"/>
    <w:rsid w:val="00B10A39"/>
    <w:rsid w:val="00B114D6"/>
    <w:rsid w:val="00B12B3F"/>
    <w:rsid w:val="00B12C9A"/>
    <w:rsid w:val="00B141A7"/>
    <w:rsid w:val="00B14E44"/>
    <w:rsid w:val="00B22F95"/>
    <w:rsid w:val="00B24370"/>
    <w:rsid w:val="00B3456B"/>
    <w:rsid w:val="00B362E2"/>
    <w:rsid w:val="00B3735C"/>
    <w:rsid w:val="00B46EBD"/>
    <w:rsid w:val="00B52C94"/>
    <w:rsid w:val="00B54450"/>
    <w:rsid w:val="00B561D0"/>
    <w:rsid w:val="00B70FF9"/>
    <w:rsid w:val="00B71B59"/>
    <w:rsid w:val="00B74F75"/>
    <w:rsid w:val="00B823B5"/>
    <w:rsid w:val="00B83152"/>
    <w:rsid w:val="00B83223"/>
    <w:rsid w:val="00B86563"/>
    <w:rsid w:val="00B8676A"/>
    <w:rsid w:val="00B921E0"/>
    <w:rsid w:val="00B9232B"/>
    <w:rsid w:val="00B93B1C"/>
    <w:rsid w:val="00B95346"/>
    <w:rsid w:val="00B97488"/>
    <w:rsid w:val="00BA5556"/>
    <w:rsid w:val="00BA5EE3"/>
    <w:rsid w:val="00BB0B89"/>
    <w:rsid w:val="00BB3AEB"/>
    <w:rsid w:val="00BB5346"/>
    <w:rsid w:val="00BC508E"/>
    <w:rsid w:val="00BD2B74"/>
    <w:rsid w:val="00BD3C20"/>
    <w:rsid w:val="00BE246D"/>
    <w:rsid w:val="00BE2B0C"/>
    <w:rsid w:val="00BE384F"/>
    <w:rsid w:val="00BE3C55"/>
    <w:rsid w:val="00BE5E37"/>
    <w:rsid w:val="00BE64BD"/>
    <w:rsid w:val="00BE6B53"/>
    <w:rsid w:val="00BE7759"/>
    <w:rsid w:val="00BF17AA"/>
    <w:rsid w:val="00BF5A54"/>
    <w:rsid w:val="00BF7C77"/>
    <w:rsid w:val="00C017E8"/>
    <w:rsid w:val="00C01E0C"/>
    <w:rsid w:val="00C02695"/>
    <w:rsid w:val="00C02784"/>
    <w:rsid w:val="00C04BAD"/>
    <w:rsid w:val="00C04FE4"/>
    <w:rsid w:val="00C05E0E"/>
    <w:rsid w:val="00C10B59"/>
    <w:rsid w:val="00C119F6"/>
    <w:rsid w:val="00C15B23"/>
    <w:rsid w:val="00C17680"/>
    <w:rsid w:val="00C238B5"/>
    <w:rsid w:val="00C24556"/>
    <w:rsid w:val="00C24557"/>
    <w:rsid w:val="00C25000"/>
    <w:rsid w:val="00C30BCD"/>
    <w:rsid w:val="00C345BD"/>
    <w:rsid w:val="00C401B2"/>
    <w:rsid w:val="00C40A4C"/>
    <w:rsid w:val="00C413E2"/>
    <w:rsid w:val="00C42418"/>
    <w:rsid w:val="00C4299F"/>
    <w:rsid w:val="00C42BA0"/>
    <w:rsid w:val="00C47B0B"/>
    <w:rsid w:val="00C53CB5"/>
    <w:rsid w:val="00C53FA4"/>
    <w:rsid w:val="00C56EC3"/>
    <w:rsid w:val="00C63576"/>
    <w:rsid w:val="00C702F7"/>
    <w:rsid w:val="00C713B0"/>
    <w:rsid w:val="00C720D5"/>
    <w:rsid w:val="00C727C9"/>
    <w:rsid w:val="00C72C28"/>
    <w:rsid w:val="00C74E82"/>
    <w:rsid w:val="00C76177"/>
    <w:rsid w:val="00C82040"/>
    <w:rsid w:val="00C87691"/>
    <w:rsid w:val="00C87C86"/>
    <w:rsid w:val="00C90337"/>
    <w:rsid w:val="00C92C22"/>
    <w:rsid w:val="00C93D5B"/>
    <w:rsid w:val="00C96744"/>
    <w:rsid w:val="00CB0874"/>
    <w:rsid w:val="00CB23BF"/>
    <w:rsid w:val="00CB3F97"/>
    <w:rsid w:val="00CB4867"/>
    <w:rsid w:val="00CB4C2B"/>
    <w:rsid w:val="00CB53A6"/>
    <w:rsid w:val="00CB6F36"/>
    <w:rsid w:val="00CC16AB"/>
    <w:rsid w:val="00CC250F"/>
    <w:rsid w:val="00CC2CEE"/>
    <w:rsid w:val="00CD0704"/>
    <w:rsid w:val="00CD0A1C"/>
    <w:rsid w:val="00CD0C78"/>
    <w:rsid w:val="00CD1B6D"/>
    <w:rsid w:val="00CD4EBD"/>
    <w:rsid w:val="00CE20A7"/>
    <w:rsid w:val="00CE451B"/>
    <w:rsid w:val="00CE5B47"/>
    <w:rsid w:val="00CF1776"/>
    <w:rsid w:val="00CF1FE7"/>
    <w:rsid w:val="00CF5295"/>
    <w:rsid w:val="00CF7CBC"/>
    <w:rsid w:val="00D01EB5"/>
    <w:rsid w:val="00D0469A"/>
    <w:rsid w:val="00D056AF"/>
    <w:rsid w:val="00D0766F"/>
    <w:rsid w:val="00D07F31"/>
    <w:rsid w:val="00D12B3D"/>
    <w:rsid w:val="00D1745A"/>
    <w:rsid w:val="00D17740"/>
    <w:rsid w:val="00D20A15"/>
    <w:rsid w:val="00D2252A"/>
    <w:rsid w:val="00D32448"/>
    <w:rsid w:val="00D34B6B"/>
    <w:rsid w:val="00D3520F"/>
    <w:rsid w:val="00D413A4"/>
    <w:rsid w:val="00D42287"/>
    <w:rsid w:val="00D52D18"/>
    <w:rsid w:val="00D61CEE"/>
    <w:rsid w:val="00D65FDB"/>
    <w:rsid w:val="00D6611A"/>
    <w:rsid w:val="00D734C7"/>
    <w:rsid w:val="00D73C6C"/>
    <w:rsid w:val="00D73CFA"/>
    <w:rsid w:val="00D74C14"/>
    <w:rsid w:val="00D74C3F"/>
    <w:rsid w:val="00D751A4"/>
    <w:rsid w:val="00D75857"/>
    <w:rsid w:val="00D80C37"/>
    <w:rsid w:val="00D81540"/>
    <w:rsid w:val="00D835E5"/>
    <w:rsid w:val="00D85F75"/>
    <w:rsid w:val="00D85FA1"/>
    <w:rsid w:val="00D90AC3"/>
    <w:rsid w:val="00D90C44"/>
    <w:rsid w:val="00D9255B"/>
    <w:rsid w:val="00DA1525"/>
    <w:rsid w:val="00DA3C0E"/>
    <w:rsid w:val="00DA5A36"/>
    <w:rsid w:val="00DA5F71"/>
    <w:rsid w:val="00DA615D"/>
    <w:rsid w:val="00DA74DF"/>
    <w:rsid w:val="00DB067F"/>
    <w:rsid w:val="00DB5B86"/>
    <w:rsid w:val="00DB5D9E"/>
    <w:rsid w:val="00DB7716"/>
    <w:rsid w:val="00DC4F45"/>
    <w:rsid w:val="00DC4F5B"/>
    <w:rsid w:val="00DC5CB4"/>
    <w:rsid w:val="00DD6877"/>
    <w:rsid w:val="00DD6B0D"/>
    <w:rsid w:val="00DD72F1"/>
    <w:rsid w:val="00DE04F9"/>
    <w:rsid w:val="00DE2C7B"/>
    <w:rsid w:val="00DE76A1"/>
    <w:rsid w:val="00DF1F0E"/>
    <w:rsid w:val="00DF434D"/>
    <w:rsid w:val="00DF6D9E"/>
    <w:rsid w:val="00E03F32"/>
    <w:rsid w:val="00E0473D"/>
    <w:rsid w:val="00E05D29"/>
    <w:rsid w:val="00E12EBA"/>
    <w:rsid w:val="00E13FEE"/>
    <w:rsid w:val="00E15041"/>
    <w:rsid w:val="00E15725"/>
    <w:rsid w:val="00E161BE"/>
    <w:rsid w:val="00E2330F"/>
    <w:rsid w:val="00E26365"/>
    <w:rsid w:val="00E27A97"/>
    <w:rsid w:val="00E36CCA"/>
    <w:rsid w:val="00E37299"/>
    <w:rsid w:val="00E37CD0"/>
    <w:rsid w:val="00E37DB4"/>
    <w:rsid w:val="00E417A5"/>
    <w:rsid w:val="00E44B35"/>
    <w:rsid w:val="00E521C4"/>
    <w:rsid w:val="00E56E11"/>
    <w:rsid w:val="00E60081"/>
    <w:rsid w:val="00E6179C"/>
    <w:rsid w:val="00E6252E"/>
    <w:rsid w:val="00E644A2"/>
    <w:rsid w:val="00E663B7"/>
    <w:rsid w:val="00E73372"/>
    <w:rsid w:val="00E7686A"/>
    <w:rsid w:val="00E804EE"/>
    <w:rsid w:val="00E84D43"/>
    <w:rsid w:val="00E90B21"/>
    <w:rsid w:val="00E92899"/>
    <w:rsid w:val="00E939BA"/>
    <w:rsid w:val="00E94AE6"/>
    <w:rsid w:val="00E970A5"/>
    <w:rsid w:val="00EA1F54"/>
    <w:rsid w:val="00EA2326"/>
    <w:rsid w:val="00EA30EB"/>
    <w:rsid w:val="00EA4FD0"/>
    <w:rsid w:val="00EA5912"/>
    <w:rsid w:val="00EB29B8"/>
    <w:rsid w:val="00EB3AC7"/>
    <w:rsid w:val="00EB4FA9"/>
    <w:rsid w:val="00EB5DB2"/>
    <w:rsid w:val="00EB68DB"/>
    <w:rsid w:val="00EC5903"/>
    <w:rsid w:val="00EC67D4"/>
    <w:rsid w:val="00EC727A"/>
    <w:rsid w:val="00EC7B41"/>
    <w:rsid w:val="00ED14CB"/>
    <w:rsid w:val="00ED397A"/>
    <w:rsid w:val="00ED5D70"/>
    <w:rsid w:val="00ED6B63"/>
    <w:rsid w:val="00ED7FD2"/>
    <w:rsid w:val="00EE4F74"/>
    <w:rsid w:val="00EE60CC"/>
    <w:rsid w:val="00EF0995"/>
    <w:rsid w:val="00EF37A1"/>
    <w:rsid w:val="00F14B2B"/>
    <w:rsid w:val="00F14DAF"/>
    <w:rsid w:val="00F15162"/>
    <w:rsid w:val="00F164CF"/>
    <w:rsid w:val="00F20062"/>
    <w:rsid w:val="00F210BC"/>
    <w:rsid w:val="00F22021"/>
    <w:rsid w:val="00F22A5B"/>
    <w:rsid w:val="00F23042"/>
    <w:rsid w:val="00F24110"/>
    <w:rsid w:val="00F2575F"/>
    <w:rsid w:val="00F30931"/>
    <w:rsid w:val="00F31F82"/>
    <w:rsid w:val="00F33195"/>
    <w:rsid w:val="00F367CE"/>
    <w:rsid w:val="00F37450"/>
    <w:rsid w:val="00F401A2"/>
    <w:rsid w:val="00F40324"/>
    <w:rsid w:val="00F42003"/>
    <w:rsid w:val="00F42F71"/>
    <w:rsid w:val="00F443C8"/>
    <w:rsid w:val="00F445C7"/>
    <w:rsid w:val="00F4529A"/>
    <w:rsid w:val="00F46FB9"/>
    <w:rsid w:val="00F53013"/>
    <w:rsid w:val="00F54113"/>
    <w:rsid w:val="00F55E6E"/>
    <w:rsid w:val="00F63328"/>
    <w:rsid w:val="00F6458B"/>
    <w:rsid w:val="00F648F0"/>
    <w:rsid w:val="00F64F62"/>
    <w:rsid w:val="00F661AC"/>
    <w:rsid w:val="00F73C58"/>
    <w:rsid w:val="00F74788"/>
    <w:rsid w:val="00F74B4E"/>
    <w:rsid w:val="00F76430"/>
    <w:rsid w:val="00F81439"/>
    <w:rsid w:val="00F84BED"/>
    <w:rsid w:val="00F864E4"/>
    <w:rsid w:val="00F91CCA"/>
    <w:rsid w:val="00F92930"/>
    <w:rsid w:val="00F93E8F"/>
    <w:rsid w:val="00F93F3C"/>
    <w:rsid w:val="00F9648B"/>
    <w:rsid w:val="00FA065E"/>
    <w:rsid w:val="00FA31A6"/>
    <w:rsid w:val="00FA78B6"/>
    <w:rsid w:val="00FB3B35"/>
    <w:rsid w:val="00FB49D1"/>
    <w:rsid w:val="00FB5661"/>
    <w:rsid w:val="00FB6C4C"/>
    <w:rsid w:val="00FB7779"/>
    <w:rsid w:val="00FC14BB"/>
    <w:rsid w:val="00FC2DF0"/>
    <w:rsid w:val="00FC3255"/>
    <w:rsid w:val="00FC488E"/>
    <w:rsid w:val="00FC79D6"/>
    <w:rsid w:val="00FD5712"/>
    <w:rsid w:val="00FD7869"/>
    <w:rsid w:val="00FE3F79"/>
    <w:rsid w:val="00FF1076"/>
    <w:rsid w:val="00FF29CA"/>
    <w:rsid w:val="00FF4F43"/>
    <w:rsid w:val="00FF603A"/>
    <w:rsid w:val="00FF6720"/>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F0901C"/>
  <w15:docId w15:val="{D0901820-EB91-4619-B634-5D09A467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rsid w:val="00517205"/>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D07F31"/>
    <w:pPr>
      <w:numPr>
        <w:numId w:val="2"/>
      </w:numPr>
    </w:pPr>
    <w:rPr>
      <w:rFonts w:eastAsia="Times New Roman"/>
      <w:lang w:eastAsia="de-DE"/>
    </w:rPr>
  </w:style>
  <w:style w:type="paragraph" w:styleId="ListNumber">
    <w:name w:val="List Number"/>
    <w:basedOn w:val="Normal"/>
    <w:rsid w:val="00D07F31"/>
    <w:pPr>
      <w:numPr>
        <w:numId w:val="6"/>
      </w:numPr>
    </w:pPr>
    <w:rPr>
      <w:rFonts w:eastAsia="Times New Roman"/>
      <w:lang w:eastAsia="de-DE"/>
    </w:rPr>
  </w:style>
  <w:style w:type="paragraph" w:customStyle="1" w:styleId="ListBullet1">
    <w:name w:val="List Bullet 1"/>
    <w:basedOn w:val="Normal"/>
    <w:rsid w:val="00D07F31"/>
    <w:pPr>
      <w:numPr>
        <w:numId w:val="1"/>
      </w:numPr>
    </w:pPr>
    <w:rPr>
      <w:rFonts w:eastAsia="Times New Roman"/>
      <w:lang w:eastAsia="de-DE"/>
    </w:rPr>
  </w:style>
  <w:style w:type="paragraph" w:customStyle="1" w:styleId="ListDash">
    <w:name w:val="List Dash"/>
    <w:basedOn w:val="Normal"/>
    <w:rsid w:val="00D07F31"/>
    <w:pPr>
      <w:numPr>
        <w:numId w:val="3"/>
      </w:numPr>
    </w:pPr>
    <w:rPr>
      <w:rFonts w:eastAsia="Times New Roman"/>
      <w:lang w:eastAsia="de-DE"/>
    </w:rPr>
  </w:style>
  <w:style w:type="paragraph" w:customStyle="1" w:styleId="ListDash1">
    <w:name w:val="List Dash 1"/>
    <w:basedOn w:val="Normal"/>
    <w:rsid w:val="00D07F31"/>
    <w:pPr>
      <w:numPr>
        <w:numId w:val="4"/>
      </w:numPr>
    </w:pPr>
    <w:rPr>
      <w:rFonts w:eastAsia="Times New Roman"/>
      <w:lang w:eastAsia="de-DE"/>
    </w:rPr>
  </w:style>
  <w:style w:type="paragraph" w:customStyle="1" w:styleId="ListDash2">
    <w:name w:val="List Dash 2"/>
    <w:basedOn w:val="Normal"/>
    <w:rsid w:val="00D07F31"/>
    <w:pPr>
      <w:numPr>
        <w:numId w:val="5"/>
      </w:numPr>
    </w:pPr>
    <w:rPr>
      <w:rFonts w:eastAsia="Times New Roman"/>
      <w:lang w:eastAsia="de-DE"/>
    </w:rPr>
  </w:style>
  <w:style w:type="paragraph" w:customStyle="1" w:styleId="ListNumberLevel2">
    <w:name w:val="List Number (Level 2)"/>
    <w:basedOn w:val="Normal"/>
    <w:rsid w:val="00D07F31"/>
    <w:pPr>
      <w:numPr>
        <w:ilvl w:val="1"/>
        <w:numId w:val="6"/>
      </w:numPr>
    </w:pPr>
    <w:rPr>
      <w:rFonts w:eastAsia="Times New Roman"/>
      <w:lang w:eastAsia="de-DE"/>
    </w:rPr>
  </w:style>
  <w:style w:type="paragraph" w:customStyle="1" w:styleId="ListNumberLevel3">
    <w:name w:val="List Number (Level 3)"/>
    <w:basedOn w:val="Normal"/>
    <w:rsid w:val="00D07F31"/>
    <w:pPr>
      <w:numPr>
        <w:ilvl w:val="2"/>
        <w:numId w:val="6"/>
      </w:numPr>
    </w:pPr>
    <w:rPr>
      <w:rFonts w:eastAsia="Times New Roman"/>
      <w:lang w:eastAsia="de-DE"/>
    </w:rPr>
  </w:style>
  <w:style w:type="paragraph" w:customStyle="1" w:styleId="ListNumberLevel4">
    <w:name w:val="List Number (Level 4)"/>
    <w:basedOn w:val="Normal"/>
    <w:rsid w:val="00D07F31"/>
    <w:pPr>
      <w:numPr>
        <w:ilvl w:val="3"/>
        <w:numId w:val="6"/>
      </w:numPr>
    </w:pPr>
    <w:rPr>
      <w:rFonts w:eastAsia="Times New Roman"/>
      <w:lang w:eastAsia="de-DE"/>
    </w:rPr>
  </w:style>
  <w:style w:type="table" w:styleId="TableGrid">
    <w:name w:val="Table Grid"/>
    <w:basedOn w:val="TableNormal"/>
    <w:rsid w:val="00D07F3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7F31"/>
    <w:rPr>
      <w:color w:val="0000FF"/>
      <w:u w:val="single"/>
    </w:rPr>
  </w:style>
  <w:style w:type="paragraph" w:styleId="ListBullet">
    <w:name w:val="List Bullet"/>
    <w:basedOn w:val="Normal"/>
    <w:rsid w:val="00D07F31"/>
    <w:pPr>
      <w:numPr>
        <w:numId w:val="7"/>
      </w:numPr>
    </w:pPr>
    <w:rPr>
      <w:rFonts w:eastAsia="Times New Roman"/>
      <w:lang w:eastAsia="en-GB"/>
    </w:rPr>
  </w:style>
  <w:style w:type="paragraph" w:styleId="ListBullet2">
    <w:name w:val="List Bullet 2"/>
    <w:basedOn w:val="Normal"/>
    <w:rsid w:val="00D07F31"/>
    <w:pPr>
      <w:numPr>
        <w:numId w:val="8"/>
      </w:numPr>
    </w:pPr>
    <w:rPr>
      <w:rFonts w:eastAsia="Times New Roman"/>
      <w:lang w:eastAsia="en-GB"/>
    </w:rPr>
  </w:style>
  <w:style w:type="paragraph" w:styleId="ListBullet3">
    <w:name w:val="List Bullet 3"/>
    <w:basedOn w:val="Normal"/>
    <w:rsid w:val="00D07F31"/>
    <w:pPr>
      <w:numPr>
        <w:numId w:val="9"/>
      </w:numPr>
    </w:pPr>
    <w:rPr>
      <w:rFonts w:eastAsia="Times New Roman"/>
      <w:lang w:eastAsia="en-GB"/>
    </w:rPr>
  </w:style>
  <w:style w:type="paragraph" w:styleId="ListNumber2">
    <w:name w:val="List Number 2"/>
    <w:basedOn w:val="Normal"/>
    <w:rsid w:val="00D07F31"/>
    <w:pPr>
      <w:numPr>
        <w:numId w:val="13"/>
      </w:numPr>
    </w:pPr>
    <w:rPr>
      <w:rFonts w:eastAsia="Times New Roman"/>
      <w:lang w:eastAsia="en-GB"/>
    </w:rPr>
  </w:style>
  <w:style w:type="paragraph" w:styleId="ListNumber3">
    <w:name w:val="List Number 3"/>
    <w:basedOn w:val="Normal"/>
    <w:rsid w:val="00D07F31"/>
    <w:pPr>
      <w:numPr>
        <w:numId w:val="14"/>
      </w:numPr>
    </w:pPr>
    <w:rPr>
      <w:rFonts w:eastAsia="Times New Roman"/>
      <w:lang w:eastAsia="en-GB"/>
    </w:rPr>
  </w:style>
  <w:style w:type="paragraph" w:styleId="ListNumber4">
    <w:name w:val="List Number 4"/>
    <w:basedOn w:val="Normal"/>
    <w:rsid w:val="00D07F31"/>
    <w:pPr>
      <w:numPr>
        <w:numId w:val="15"/>
      </w:numPr>
    </w:pPr>
    <w:rPr>
      <w:rFonts w:eastAsia="Times New Roman"/>
      <w:lang w:eastAsia="en-GB"/>
    </w:rPr>
  </w:style>
  <w:style w:type="paragraph" w:customStyle="1" w:styleId="ListDash3">
    <w:name w:val="List Dash 3"/>
    <w:basedOn w:val="Normal"/>
    <w:rsid w:val="00D07F31"/>
    <w:pPr>
      <w:numPr>
        <w:numId w:val="10"/>
      </w:numPr>
    </w:pPr>
    <w:rPr>
      <w:rFonts w:eastAsia="Times New Roman"/>
      <w:lang w:eastAsia="en-GB"/>
    </w:rPr>
  </w:style>
  <w:style w:type="paragraph" w:customStyle="1" w:styleId="ListDash4">
    <w:name w:val="List Dash 4"/>
    <w:basedOn w:val="Normal"/>
    <w:rsid w:val="00D07F31"/>
    <w:pPr>
      <w:numPr>
        <w:numId w:val="11"/>
      </w:numPr>
    </w:pPr>
    <w:rPr>
      <w:rFonts w:eastAsia="Times New Roman"/>
      <w:lang w:eastAsia="en-GB"/>
    </w:rPr>
  </w:style>
  <w:style w:type="paragraph" w:customStyle="1" w:styleId="ListNumber1">
    <w:name w:val="List Number 1"/>
    <w:basedOn w:val="Text1"/>
    <w:rsid w:val="00D07F31"/>
    <w:pPr>
      <w:numPr>
        <w:numId w:val="12"/>
      </w:numPr>
    </w:pPr>
    <w:rPr>
      <w:rFonts w:eastAsia="Times New Roman"/>
      <w:lang w:eastAsia="en-GB"/>
    </w:rPr>
  </w:style>
  <w:style w:type="paragraph" w:customStyle="1" w:styleId="ListNumber1Level2">
    <w:name w:val="List Number 1 (Level 2)"/>
    <w:basedOn w:val="Text1"/>
    <w:rsid w:val="00D07F31"/>
    <w:pPr>
      <w:numPr>
        <w:ilvl w:val="1"/>
        <w:numId w:val="12"/>
      </w:numPr>
    </w:pPr>
    <w:rPr>
      <w:rFonts w:eastAsia="Times New Roman"/>
      <w:lang w:eastAsia="en-GB"/>
    </w:rPr>
  </w:style>
  <w:style w:type="paragraph" w:customStyle="1" w:styleId="ListNumber2Level2">
    <w:name w:val="List Number 2 (Level 2)"/>
    <w:basedOn w:val="Text2"/>
    <w:rsid w:val="00D07F31"/>
    <w:pPr>
      <w:numPr>
        <w:ilvl w:val="1"/>
        <w:numId w:val="13"/>
      </w:numPr>
    </w:pPr>
    <w:rPr>
      <w:rFonts w:eastAsia="Times New Roman"/>
      <w:lang w:eastAsia="en-GB"/>
    </w:rPr>
  </w:style>
  <w:style w:type="paragraph" w:customStyle="1" w:styleId="ListNumber3Level2">
    <w:name w:val="List Number 3 (Level 2)"/>
    <w:basedOn w:val="Text3"/>
    <w:rsid w:val="00D07F31"/>
    <w:pPr>
      <w:numPr>
        <w:ilvl w:val="1"/>
        <w:numId w:val="14"/>
      </w:numPr>
    </w:pPr>
    <w:rPr>
      <w:rFonts w:eastAsia="Times New Roman"/>
      <w:lang w:eastAsia="en-GB"/>
    </w:rPr>
  </w:style>
  <w:style w:type="paragraph" w:customStyle="1" w:styleId="ListNumber4Level2">
    <w:name w:val="List Number 4 (Level 2)"/>
    <w:basedOn w:val="Text4"/>
    <w:rsid w:val="00D07F31"/>
    <w:pPr>
      <w:numPr>
        <w:ilvl w:val="1"/>
        <w:numId w:val="15"/>
      </w:numPr>
    </w:pPr>
    <w:rPr>
      <w:rFonts w:eastAsia="Times New Roman"/>
      <w:lang w:eastAsia="en-GB"/>
    </w:rPr>
  </w:style>
  <w:style w:type="paragraph" w:customStyle="1" w:styleId="ListNumber1Level3">
    <w:name w:val="List Number 1 (Level 3)"/>
    <w:basedOn w:val="Text1"/>
    <w:rsid w:val="00D07F31"/>
    <w:pPr>
      <w:numPr>
        <w:ilvl w:val="2"/>
        <w:numId w:val="12"/>
      </w:numPr>
    </w:pPr>
    <w:rPr>
      <w:rFonts w:eastAsia="Times New Roman"/>
      <w:lang w:eastAsia="en-GB"/>
    </w:rPr>
  </w:style>
  <w:style w:type="paragraph" w:customStyle="1" w:styleId="ListNumber2Level3">
    <w:name w:val="List Number 2 (Level 3)"/>
    <w:basedOn w:val="Text2"/>
    <w:rsid w:val="00D07F31"/>
    <w:pPr>
      <w:numPr>
        <w:ilvl w:val="2"/>
        <w:numId w:val="13"/>
      </w:numPr>
    </w:pPr>
    <w:rPr>
      <w:rFonts w:eastAsia="Times New Roman"/>
      <w:lang w:eastAsia="en-GB"/>
    </w:rPr>
  </w:style>
  <w:style w:type="paragraph" w:customStyle="1" w:styleId="ListNumber3Level3">
    <w:name w:val="List Number 3 (Level 3)"/>
    <w:basedOn w:val="Text3"/>
    <w:rsid w:val="00D07F31"/>
    <w:pPr>
      <w:numPr>
        <w:ilvl w:val="2"/>
        <w:numId w:val="14"/>
      </w:numPr>
    </w:pPr>
    <w:rPr>
      <w:rFonts w:eastAsia="Times New Roman"/>
      <w:lang w:eastAsia="en-GB"/>
    </w:rPr>
  </w:style>
  <w:style w:type="paragraph" w:customStyle="1" w:styleId="ListNumber4Level3">
    <w:name w:val="List Number 4 (Level 3)"/>
    <w:basedOn w:val="Text4"/>
    <w:rsid w:val="00D07F31"/>
    <w:pPr>
      <w:numPr>
        <w:ilvl w:val="2"/>
        <w:numId w:val="15"/>
      </w:numPr>
    </w:pPr>
    <w:rPr>
      <w:rFonts w:eastAsia="Times New Roman"/>
      <w:lang w:eastAsia="en-GB"/>
    </w:rPr>
  </w:style>
  <w:style w:type="paragraph" w:customStyle="1" w:styleId="ListNumber1Level4">
    <w:name w:val="List Number 1 (Level 4)"/>
    <w:basedOn w:val="Text1"/>
    <w:rsid w:val="00D07F31"/>
    <w:pPr>
      <w:numPr>
        <w:ilvl w:val="3"/>
        <w:numId w:val="12"/>
      </w:numPr>
    </w:pPr>
    <w:rPr>
      <w:rFonts w:eastAsia="Times New Roman"/>
      <w:lang w:eastAsia="en-GB"/>
    </w:rPr>
  </w:style>
  <w:style w:type="paragraph" w:customStyle="1" w:styleId="ListNumber2Level4">
    <w:name w:val="List Number 2 (Level 4)"/>
    <w:basedOn w:val="Text2"/>
    <w:rsid w:val="00D07F31"/>
    <w:pPr>
      <w:numPr>
        <w:ilvl w:val="3"/>
        <w:numId w:val="13"/>
      </w:numPr>
    </w:pPr>
    <w:rPr>
      <w:rFonts w:eastAsia="Times New Roman"/>
      <w:lang w:eastAsia="en-GB"/>
    </w:rPr>
  </w:style>
  <w:style w:type="paragraph" w:customStyle="1" w:styleId="ListNumber3Level4">
    <w:name w:val="List Number 3 (Level 4)"/>
    <w:basedOn w:val="Text3"/>
    <w:rsid w:val="00D07F31"/>
    <w:pPr>
      <w:numPr>
        <w:ilvl w:val="3"/>
        <w:numId w:val="14"/>
      </w:numPr>
    </w:pPr>
    <w:rPr>
      <w:rFonts w:eastAsia="Times New Roman"/>
      <w:lang w:eastAsia="en-GB"/>
    </w:rPr>
  </w:style>
  <w:style w:type="paragraph" w:customStyle="1" w:styleId="ListNumber4Level4">
    <w:name w:val="List Number 4 (Level 4)"/>
    <w:basedOn w:val="Text4"/>
    <w:rsid w:val="00D07F31"/>
    <w:pPr>
      <w:numPr>
        <w:ilvl w:val="3"/>
        <w:numId w:val="15"/>
      </w:numPr>
    </w:pPr>
    <w:rPr>
      <w:rFonts w:eastAsia="Times New Roman"/>
      <w:lang w:eastAsia="en-GB"/>
    </w:rPr>
  </w:style>
  <w:style w:type="paragraph" w:customStyle="1" w:styleId="Annexetitreacte">
    <w:name w:val="Annexe titre (acte)"/>
    <w:basedOn w:val="Normal"/>
    <w:next w:val="Normal"/>
    <w:rsid w:val="00D07F31"/>
    <w:pPr>
      <w:jc w:val="center"/>
    </w:pPr>
    <w:rPr>
      <w:rFonts w:eastAsia="Times New Roman"/>
      <w:b/>
      <w:u w:val="single"/>
      <w:lang w:eastAsia="en-GB"/>
    </w:rPr>
  </w:style>
  <w:style w:type="paragraph" w:customStyle="1" w:styleId="Annexetitreexposglobal">
    <w:name w:val="Annexe titre (exposé global)"/>
    <w:basedOn w:val="Normal"/>
    <w:next w:val="Normal"/>
    <w:rsid w:val="00D07F31"/>
    <w:pPr>
      <w:jc w:val="center"/>
    </w:pPr>
    <w:rPr>
      <w:rFonts w:eastAsia="Times New Roman"/>
      <w:b/>
      <w:u w:val="single"/>
      <w:lang w:eastAsia="en-GB"/>
    </w:rPr>
  </w:style>
  <w:style w:type="paragraph" w:customStyle="1" w:styleId="Annexetitrefichefinacte">
    <w:name w:val="Annexe titre (fiche fin. acte)"/>
    <w:basedOn w:val="Normal"/>
    <w:next w:val="Normal"/>
    <w:rsid w:val="00D07F31"/>
    <w:pPr>
      <w:jc w:val="center"/>
    </w:pPr>
    <w:rPr>
      <w:rFonts w:eastAsia="Times New Roman"/>
      <w:b/>
      <w:u w:val="single"/>
      <w:lang w:eastAsia="en-GB"/>
    </w:rPr>
  </w:style>
  <w:style w:type="paragraph" w:customStyle="1" w:styleId="Annexetitrefichefinglobale">
    <w:name w:val="Annexe titre (fiche fin. globale)"/>
    <w:basedOn w:val="Normal"/>
    <w:next w:val="Normal"/>
    <w:rsid w:val="00D07F31"/>
    <w:pPr>
      <w:jc w:val="center"/>
    </w:pPr>
    <w:rPr>
      <w:rFonts w:eastAsia="Times New Roman"/>
      <w:b/>
      <w:u w:val="single"/>
      <w:lang w:eastAsia="en-GB"/>
    </w:rPr>
  </w:style>
  <w:style w:type="paragraph" w:customStyle="1" w:styleId="Annexetitreglobale">
    <w:name w:val="Annexe titre (globale)"/>
    <w:basedOn w:val="Normal"/>
    <w:next w:val="Normal"/>
    <w:rsid w:val="00D07F31"/>
    <w:pPr>
      <w:jc w:val="center"/>
    </w:pPr>
    <w:rPr>
      <w:rFonts w:eastAsia="Times New Roman"/>
      <w:b/>
      <w:u w:val="single"/>
      <w:lang w:eastAsia="en-GB"/>
    </w:rPr>
  </w:style>
  <w:style w:type="paragraph" w:customStyle="1" w:styleId="Exposdesmotifstitreglobal">
    <w:name w:val="Exposé des motifs titre (global)"/>
    <w:basedOn w:val="Normal"/>
    <w:next w:val="Normal"/>
    <w:rsid w:val="00D07F31"/>
    <w:pPr>
      <w:jc w:val="center"/>
    </w:pPr>
    <w:rPr>
      <w:rFonts w:eastAsia="Times New Roman"/>
      <w:b/>
      <w:u w:val="single"/>
      <w:lang w:eastAsia="en-GB"/>
    </w:rPr>
  </w:style>
  <w:style w:type="paragraph" w:customStyle="1" w:styleId="Langueoriginale">
    <w:name w:val="Langue originale"/>
    <w:basedOn w:val="Normal"/>
    <w:rsid w:val="00D07F31"/>
    <w:pPr>
      <w:spacing w:before="360"/>
      <w:jc w:val="center"/>
    </w:pPr>
    <w:rPr>
      <w:rFonts w:eastAsia="Times New Roman"/>
      <w:caps/>
      <w:lang w:eastAsia="en-GB"/>
    </w:rPr>
  </w:style>
  <w:style w:type="paragraph" w:customStyle="1" w:styleId="Phrasefinale">
    <w:name w:val="Phrase finale"/>
    <w:basedOn w:val="Normal"/>
    <w:next w:val="Normal"/>
    <w:rsid w:val="00D07F31"/>
    <w:pPr>
      <w:spacing w:before="360" w:after="0"/>
      <w:jc w:val="center"/>
    </w:pPr>
    <w:rPr>
      <w:rFonts w:eastAsia="Times New Roman"/>
      <w:lang w:eastAsia="en-GB"/>
    </w:rPr>
  </w:style>
  <w:style w:type="paragraph" w:customStyle="1" w:styleId="Prliminairetitre">
    <w:name w:val="Préliminaire titre"/>
    <w:basedOn w:val="Normal"/>
    <w:next w:val="Normal"/>
    <w:rsid w:val="00D07F31"/>
    <w:pPr>
      <w:spacing w:before="360" w:after="360"/>
      <w:jc w:val="center"/>
    </w:pPr>
    <w:rPr>
      <w:rFonts w:eastAsia="Times New Roman"/>
      <w:b/>
      <w:lang w:eastAsia="en-GB"/>
    </w:rPr>
  </w:style>
  <w:style w:type="paragraph" w:customStyle="1" w:styleId="Prliminairetype">
    <w:name w:val="Préliminaire type"/>
    <w:basedOn w:val="Normal"/>
    <w:next w:val="Normal"/>
    <w:rsid w:val="00D07F31"/>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07F3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07F3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07F31"/>
    <w:pPr>
      <w:spacing w:before="0" w:after="0"/>
      <w:ind w:left="5103"/>
      <w:jc w:val="left"/>
    </w:pPr>
    <w:rPr>
      <w:rFonts w:eastAsia="Times New Roman"/>
      <w:lang w:eastAsia="en-GB"/>
    </w:rPr>
  </w:style>
  <w:style w:type="paragraph" w:customStyle="1" w:styleId="Sous-titreobjetprliminaire">
    <w:name w:val="Sous-titre objet (préliminaire)"/>
    <w:basedOn w:val="Normal"/>
    <w:rsid w:val="00D07F31"/>
    <w:pPr>
      <w:spacing w:before="0" w:after="0"/>
      <w:jc w:val="center"/>
    </w:pPr>
    <w:rPr>
      <w:rFonts w:eastAsia="Times New Roman"/>
      <w:b/>
      <w:lang w:eastAsia="en-GB"/>
    </w:rPr>
  </w:style>
  <w:style w:type="paragraph" w:customStyle="1" w:styleId="Statutprliminaire">
    <w:name w:val="Statut (préliminaire)"/>
    <w:basedOn w:val="Normal"/>
    <w:next w:val="Normal"/>
    <w:rsid w:val="00D07F31"/>
    <w:pPr>
      <w:spacing w:before="360" w:after="0"/>
      <w:jc w:val="center"/>
    </w:pPr>
    <w:rPr>
      <w:rFonts w:eastAsia="Times New Roman"/>
      <w:lang w:eastAsia="en-GB"/>
    </w:rPr>
  </w:style>
  <w:style w:type="paragraph" w:customStyle="1" w:styleId="Titreobjetprliminaire">
    <w:name w:val="Titre objet (préliminaire)"/>
    <w:basedOn w:val="Normal"/>
    <w:next w:val="Normal"/>
    <w:rsid w:val="00D07F3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07F3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07F3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07F31"/>
    <w:pPr>
      <w:jc w:val="center"/>
    </w:pPr>
    <w:rPr>
      <w:rFonts w:eastAsia="Times New Roman"/>
      <w:b/>
      <w:u w:val="single"/>
      <w:lang w:eastAsia="en-GB"/>
    </w:rPr>
  </w:style>
  <w:style w:type="paragraph" w:customStyle="1" w:styleId="Fichefinanciretravailtitre">
    <w:name w:val="Fiche financière (travail) titre"/>
    <w:basedOn w:val="Normal"/>
    <w:next w:val="Normal"/>
    <w:rsid w:val="00D07F3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07F3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07F3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07F31"/>
    <w:pPr>
      <w:jc w:val="center"/>
    </w:pPr>
    <w:rPr>
      <w:rFonts w:eastAsia="Times New Roman"/>
      <w:b/>
      <w:u w:val="single"/>
      <w:lang w:eastAsia="en-GB"/>
    </w:rPr>
  </w:style>
  <w:style w:type="character" w:styleId="CommentReference">
    <w:name w:val="annotation reference"/>
    <w:rsid w:val="00D07F31"/>
    <w:rPr>
      <w:rFonts w:cs="Times New Roman"/>
      <w:sz w:val="16"/>
      <w:szCs w:val="16"/>
    </w:rPr>
  </w:style>
  <w:style w:type="paragraph" w:styleId="CommentText">
    <w:name w:val="annotation text"/>
    <w:basedOn w:val="Normal"/>
    <w:link w:val="CommentTextChar"/>
    <w:uiPriority w:val="99"/>
    <w:qFormat/>
    <w:rsid w:val="00D07F31"/>
    <w:rPr>
      <w:rFonts w:eastAsia="Times New Roman"/>
      <w:sz w:val="20"/>
      <w:szCs w:val="20"/>
      <w:lang w:eastAsia="en-GB"/>
    </w:rPr>
  </w:style>
  <w:style w:type="character" w:customStyle="1" w:styleId="CommentTextChar">
    <w:name w:val="Comment Text Char"/>
    <w:basedOn w:val="DefaultParagraphFont"/>
    <w:link w:val="CommentText"/>
    <w:uiPriority w:val="99"/>
    <w:rsid w:val="00D07F31"/>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D07F31"/>
    <w:rPr>
      <w:b/>
      <w:bCs/>
    </w:rPr>
  </w:style>
  <w:style w:type="character" w:customStyle="1" w:styleId="CommentSubjectChar">
    <w:name w:val="Comment Subject Char"/>
    <w:basedOn w:val="CommentTextChar"/>
    <w:link w:val="CommentSubject"/>
    <w:rsid w:val="00D07F31"/>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224686"/>
    <w:rPr>
      <w:rFonts w:ascii="Tahoma" w:eastAsia="Times New Roman" w:hAnsi="Tahoma" w:cs="Tahoma"/>
      <w:sz w:val="20"/>
      <w:szCs w:val="16"/>
      <w:lang w:eastAsia="en-GB"/>
    </w:rPr>
  </w:style>
  <w:style w:type="character" w:customStyle="1" w:styleId="BalloonTextChar">
    <w:name w:val="Balloon Text Char"/>
    <w:basedOn w:val="DefaultParagraphFont"/>
    <w:link w:val="BalloonText"/>
    <w:rsid w:val="00224686"/>
    <w:rPr>
      <w:rFonts w:ascii="Tahoma" w:eastAsia="Times New Roman" w:hAnsi="Tahoma" w:cs="Tahoma"/>
      <w:sz w:val="20"/>
      <w:szCs w:val="16"/>
      <w:lang w:val="ro-RO" w:eastAsia="en-GB"/>
    </w:rPr>
  </w:style>
  <w:style w:type="paragraph" w:styleId="Caption">
    <w:name w:val="caption"/>
    <w:basedOn w:val="Normal"/>
    <w:next w:val="Normal"/>
    <w:qFormat/>
    <w:rsid w:val="00D07F31"/>
    <w:rPr>
      <w:rFonts w:eastAsia="Times New Roman"/>
      <w:b/>
      <w:bCs/>
      <w:sz w:val="20"/>
      <w:szCs w:val="20"/>
      <w:lang w:eastAsia="en-GB"/>
    </w:rPr>
  </w:style>
  <w:style w:type="paragraph" w:styleId="TableofFigures">
    <w:name w:val="table of figures"/>
    <w:basedOn w:val="Normal"/>
    <w:next w:val="Normal"/>
    <w:rsid w:val="00D07F31"/>
    <w:rPr>
      <w:rFonts w:eastAsia="Times New Roman"/>
      <w:lang w:eastAsia="en-GB"/>
    </w:rPr>
  </w:style>
  <w:style w:type="character" w:styleId="PageNumber">
    <w:name w:val="page number"/>
    <w:rsid w:val="00D07F31"/>
  </w:style>
  <w:style w:type="character" w:customStyle="1" w:styleId="tw4winMark">
    <w:name w:val="tw4winMark"/>
    <w:rsid w:val="00D07F31"/>
    <w:rPr>
      <w:vanish/>
      <w:color w:val="800080"/>
      <w:vertAlign w:val="subscript"/>
    </w:rPr>
  </w:style>
  <w:style w:type="character" w:styleId="FollowedHyperlink">
    <w:name w:val="FollowedHyperlink"/>
    <w:rsid w:val="00D07F31"/>
    <w:rPr>
      <w:color w:val="800080"/>
      <w:u w:val="single"/>
    </w:rPr>
  </w:style>
  <w:style w:type="paragraph" w:customStyle="1" w:styleId="Sous-titreobjet">
    <w:name w:val="Sous-titre objet"/>
    <w:basedOn w:val="Normal"/>
    <w:rsid w:val="00D07F3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07F31"/>
  </w:style>
  <w:style w:type="paragraph" w:styleId="Revision">
    <w:name w:val="Revision"/>
    <w:hidden/>
    <w:uiPriority w:val="99"/>
    <w:semiHidden/>
    <w:rsid w:val="00D07F31"/>
    <w:rPr>
      <w:rFonts w:ascii="Calibri" w:eastAsia="Calibri" w:hAnsi="Calibri" w:cs="Times New Roman"/>
      <w:sz w:val="24"/>
      <w:lang w:eastAsia="en-GB"/>
    </w:rPr>
  </w:style>
  <w:style w:type="paragraph" w:customStyle="1" w:styleId="FooterCoverPage">
    <w:name w:val="Footer Cover Page"/>
    <w:basedOn w:val="Normal"/>
    <w:link w:val="FooterCoverPageChar"/>
    <w:rsid w:val="00D07F3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07F31"/>
    <w:rPr>
      <w:rFonts w:ascii="Times New Roman" w:hAnsi="Times New Roman" w:cs="Times New Roman"/>
      <w:b/>
      <w:sz w:val="28"/>
      <w:lang w:val="ro-RO"/>
    </w:rPr>
  </w:style>
  <w:style w:type="character" w:customStyle="1" w:styleId="FooterCoverPageChar">
    <w:name w:val="Footer Cover Page Char"/>
    <w:link w:val="FooterCoverPage"/>
    <w:rsid w:val="00D07F31"/>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D07F3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07F31"/>
    <w:rPr>
      <w:rFonts w:ascii="Times New Roman" w:eastAsia="Calibri" w:hAnsi="Times New Roman" w:cs="Times New Roman"/>
      <w:sz w:val="24"/>
      <w:lang w:val="ro-RO" w:eastAsia="en-GB"/>
    </w:rPr>
  </w:style>
  <w:style w:type="paragraph" w:styleId="NormalWeb">
    <w:name w:val="Normal (Web)"/>
    <w:basedOn w:val="Normal"/>
    <w:uiPriority w:val="99"/>
    <w:unhideWhenUsed/>
    <w:rsid w:val="00F4529A"/>
    <w:rPr>
      <w:szCs w:val="24"/>
    </w:rPr>
  </w:style>
  <w:style w:type="character" w:styleId="Emphasis">
    <w:name w:val="Emphasis"/>
    <w:basedOn w:val="DefaultParagraphFont"/>
    <w:uiPriority w:val="20"/>
    <w:qFormat/>
    <w:rsid w:val="00F4529A"/>
    <w:rPr>
      <w:i/>
      <w:iCs/>
    </w:rPr>
  </w:style>
  <w:style w:type="paragraph" w:styleId="ListParagraph">
    <w:name w:val="List Paragraph"/>
    <w:aliases w:val="List Paragraph1,Numbered Para 1,Dot pt,No Spacing1,Indicator Text,Bullet Points,MAIN CONTENT,List Paragraph12,F5 List Paragraph,Heading 2_sj,1st level - Bullet List Paragraph,Lettre d'introduction,Ha"/>
    <w:basedOn w:val="Normal"/>
    <w:uiPriority w:val="34"/>
    <w:qFormat/>
    <w:rsid w:val="005E5770"/>
    <w:pPr>
      <w:spacing w:before="0" w:after="200" w:line="276" w:lineRule="auto"/>
      <w:ind w:left="720"/>
      <w:contextualSpacing/>
      <w:jc w:val="left"/>
    </w:pPr>
    <w:rPr>
      <w:rFonts w:asciiTheme="minorHAnsi" w:hAnsiTheme="minorHAnsi" w:cstheme="minorBidi"/>
      <w:sz w:val="22"/>
    </w:rPr>
  </w:style>
  <w:style w:type="paragraph" w:customStyle="1" w:styleId="title-doc-first">
    <w:name w:val="title-doc-first"/>
    <w:basedOn w:val="Normal"/>
    <w:rsid w:val="005E5770"/>
    <w:pPr>
      <w:spacing w:before="100" w:beforeAutospacing="1" w:after="100" w:afterAutospacing="1"/>
      <w:jc w:val="left"/>
    </w:pPr>
    <w:rPr>
      <w:rFonts w:eastAsia="Times New Roman"/>
      <w:szCs w:val="24"/>
      <w:lang w:eastAsia="en-GB"/>
    </w:rPr>
  </w:style>
  <w:style w:type="paragraph" w:customStyle="1" w:styleId="Default">
    <w:name w:val="Default"/>
    <w:rsid w:val="00137990"/>
    <w:pPr>
      <w:autoSpaceDE w:val="0"/>
      <w:autoSpaceDN w:val="0"/>
      <w:adjustRightInd w:val="0"/>
      <w:spacing w:after="0" w:line="240" w:lineRule="auto"/>
    </w:pPr>
    <w:rPr>
      <w:rFonts w:ascii="Tahoma" w:hAnsi="Tahoma" w:cs="Tahoma"/>
      <w:color w:val="000000"/>
      <w:sz w:val="24"/>
      <w:szCs w:val="24"/>
    </w:rPr>
  </w:style>
  <w:style w:type="table" w:customStyle="1" w:styleId="TableGrid1">
    <w:name w:val="Table Grid1"/>
    <w:basedOn w:val="TableNormal"/>
    <w:next w:val="TableGrid"/>
    <w:rsid w:val="006E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1D0"/>
    <w:pPr>
      <w:tabs>
        <w:tab w:val="center" w:pos="4535"/>
        <w:tab w:val="right" w:pos="9071"/>
      </w:tabs>
      <w:spacing w:before="0"/>
    </w:pPr>
  </w:style>
  <w:style w:type="character" w:customStyle="1" w:styleId="HeaderChar">
    <w:name w:val="Header Char"/>
    <w:basedOn w:val="DefaultParagraphFont"/>
    <w:link w:val="Header"/>
    <w:uiPriority w:val="99"/>
    <w:rsid w:val="00B561D0"/>
    <w:rPr>
      <w:rFonts w:ascii="Times New Roman" w:hAnsi="Times New Roman" w:cs="Times New Roman"/>
      <w:sz w:val="24"/>
      <w:lang w:val="ro-RO"/>
    </w:rPr>
  </w:style>
  <w:style w:type="paragraph" w:styleId="Footer">
    <w:name w:val="footer"/>
    <w:basedOn w:val="Normal"/>
    <w:link w:val="FooterChar"/>
    <w:uiPriority w:val="99"/>
    <w:unhideWhenUsed/>
    <w:rsid w:val="00B561D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561D0"/>
    <w:rPr>
      <w:rFonts w:ascii="Times New Roman" w:hAnsi="Times New Roman" w:cs="Times New Roman"/>
      <w:sz w:val="24"/>
      <w:lang w:val="ro-RO"/>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B561D0"/>
    <w:pPr>
      <w:tabs>
        <w:tab w:val="center" w:pos="7285"/>
        <w:tab w:val="right" w:pos="14003"/>
      </w:tabs>
      <w:spacing w:before="0"/>
    </w:pPr>
  </w:style>
  <w:style w:type="paragraph" w:customStyle="1" w:styleId="FooterLandscape">
    <w:name w:val="FooterLandscape"/>
    <w:basedOn w:val="Normal"/>
    <w:rsid w:val="00B561D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B561D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561D0"/>
    <w:pPr>
      <w:spacing w:before="0"/>
      <w:jc w:val="right"/>
    </w:pPr>
    <w:rPr>
      <w:sz w:val="28"/>
    </w:rPr>
  </w:style>
  <w:style w:type="paragraph" w:customStyle="1" w:styleId="FooterSensitivity">
    <w:name w:val="Footer Sensitivity"/>
    <w:basedOn w:val="Normal"/>
    <w:rsid w:val="00B561D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8"/>
      </w:numPr>
    </w:pPr>
  </w:style>
  <w:style w:type="paragraph" w:customStyle="1" w:styleId="Tiret1">
    <w:name w:val="Tiret 1"/>
    <w:basedOn w:val="Point1"/>
    <w:rsid w:val="00517205"/>
    <w:pPr>
      <w:numPr>
        <w:numId w:val="39"/>
      </w:numPr>
    </w:pPr>
  </w:style>
  <w:style w:type="paragraph" w:customStyle="1" w:styleId="Tiret2">
    <w:name w:val="Tiret 2"/>
    <w:basedOn w:val="Point2"/>
    <w:rsid w:val="00517205"/>
    <w:pPr>
      <w:numPr>
        <w:numId w:val="40"/>
      </w:numPr>
    </w:pPr>
  </w:style>
  <w:style w:type="paragraph" w:customStyle="1" w:styleId="Tiret3">
    <w:name w:val="Tiret 3"/>
    <w:basedOn w:val="Point3"/>
    <w:rsid w:val="00517205"/>
    <w:pPr>
      <w:numPr>
        <w:numId w:val="41"/>
      </w:numPr>
    </w:pPr>
  </w:style>
  <w:style w:type="paragraph" w:customStyle="1" w:styleId="Tiret4">
    <w:name w:val="Tiret 4"/>
    <w:basedOn w:val="Point4"/>
    <w:rsid w:val="00517205"/>
    <w:pPr>
      <w:numPr>
        <w:numId w:val="42"/>
      </w:numPr>
    </w:pPr>
  </w:style>
  <w:style w:type="paragraph" w:customStyle="1" w:styleId="Tiret5">
    <w:name w:val="Tiret 5"/>
    <w:basedOn w:val="Point5"/>
    <w:rsid w:val="00517205"/>
    <w:pPr>
      <w:numPr>
        <w:numId w:val="43"/>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4"/>
      </w:numPr>
    </w:pPr>
  </w:style>
  <w:style w:type="paragraph" w:customStyle="1" w:styleId="NumPar2">
    <w:name w:val="NumPar 2"/>
    <w:basedOn w:val="Normal"/>
    <w:next w:val="Text1"/>
    <w:rsid w:val="00517205"/>
    <w:pPr>
      <w:numPr>
        <w:ilvl w:val="1"/>
        <w:numId w:val="44"/>
      </w:numPr>
    </w:pPr>
  </w:style>
  <w:style w:type="paragraph" w:customStyle="1" w:styleId="NumPar3">
    <w:name w:val="NumPar 3"/>
    <w:basedOn w:val="Normal"/>
    <w:next w:val="Text1"/>
    <w:rsid w:val="00517205"/>
    <w:pPr>
      <w:numPr>
        <w:ilvl w:val="2"/>
        <w:numId w:val="44"/>
      </w:numPr>
    </w:pPr>
  </w:style>
  <w:style w:type="paragraph" w:customStyle="1" w:styleId="NumPar4">
    <w:name w:val="NumPar 4"/>
    <w:basedOn w:val="Normal"/>
    <w:next w:val="Text1"/>
    <w:rsid w:val="00517205"/>
    <w:pPr>
      <w:numPr>
        <w:ilvl w:val="3"/>
        <w:numId w:val="44"/>
      </w:numPr>
    </w:pPr>
  </w:style>
  <w:style w:type="paragraph" w:customStyle="1" w:styleId="NumPar5">
    <w:name w:val="NumPar 5"/>
    <w:basedOn w:val="Normal"/>
    <w:next w:val="Text2"/>
    <w:rsid w:val="00517205"/>
    <w:pPr>
      <w:numPr>
        <w:ilvl w:val="4"/>
        <w:numId w:val="44"/>
      </w:numPr>
    </w:pPr>
  </w:style>
  <w:style w:type="paragraph" w:customStyle="1" w:styleId="NumPar6">
    <w:name w:val="NumPar 6"/>
    <w:basedOn w:val="Normal"/>
    <w:next w:val="Text2"/>
    <w:rsid w:val="00517205"/>
    <w:pPr>
      <w:numPr>
        <w:ilvl w:val="5"/>
        <w:numId w:val="44"/>
      </w:numPr>
    </w:pPr>
  </w:style>
  <w:style w:type="paragraph" w:customStyle="1" w:styleId="NumPar7">
    <w:name w:val="NumPar 7"/>
    <w:basedOn w:val="Normal"/>
    <w:next w:val="Text2"/>
    <w:rsid w:val="00517205"/>
    <w:pPr>
      <w:numPr>
        <w:ilvl w:val="6"/>
        <w:numId w:val="44"/>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4623D4"/>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6"/>
      </w:numPr>
    </w:pPr>
  </w:style>
  <w:style w:type="paragraph" w:customStyle="1" w:styleId="Point1number">
    <w:name w:val="Point 1 (number)"/>
    <w:basedOn w:val="Normal"/>
    <w:rsid w:val="00517205"/>
    <w:pPr>
      <w:numPr>
        <w:ilvl w:val="2"/>
        <w:numId w:val="46"/>
      </w:numPr>
    </w:pPr>
  </w:style>
  <w:style w:type="paragraph" w:customStyle="1" w:styleId="Point2number">
    <w:name w:val="Point 2 (number)"/>
    <w:basedOn w:val="Normal"/>
    <w:rsid w:val="00517205"/>
    <w:pPr>
      <w:numPr>
        <w:ilvl w:val="4"/>
        <w:numId w:val="46"/>
      </w:numPr>
    </w:pPr>
  </w:style>
  <w:style w:type="paragraph" w:customStyle="1" w:styleId="Point3number">
    <w:name w:val="Point 3 (number)"/>
    <w:basedOn w:val="Normal"/>
    <w:rsid w:val="00517205"/>
    <w:pPr>
      <w:numPr>
        <w:ilvl w:val="6"/>
        <w:numId w:val="46"/>
      </w:numPr>
    </w:pPr>
  </w:style>
  <w:style w:type="paragraph" w:customStyle="1" w:styleId="Point0letter">
    <w:name w:val="Point 0 (letter)"/>
    <w:basedOn w:val="Normal"/>
    <w:rsid w:val="00517205"/>
    <w:pPr>
      <w:numPr>
        <w:ilvl w:val="1"/>
        <w:numId w:val="46"/>
      </w:numPr>
    </w:pPr>
  </w:style>
  <w:style w:type="paragraph" w:customStyle="1" w:styleId="Point1letter">
    <w:name w:val="Point 1 (letter)"/>
    <w:basedOn w:val="Normal"/>
    <w:rsid w:val="00517205"/>
    <w:pPr>
      <w:numPr>
        <w:ilvl w:val="3"/>
        <w:numId w:val="46"/>
      </w:numPr>
    </w:pPr>
  </w:style>
  <w:style w:type="paragraph" w:customStyle="1" w:styleId="Point2letter">
    <w:name w:val="Point 2 (letter)"/>
    <w:basedOn w:val="Normal"/>
    <w:rsid w:val="00517205"/>
    <w:pPr>
      <w:numPr>
        <w:ilvl w:val="5"/>
        <w:numId w:val="46"/>
      </w:numPr>
    </w:pPr>
  </w:style>
  <w:style w:type="paragraph" w:customStyle="1" w:styleId="Point3letter">
    <w:name w:val="Point 3 (letter)"/>
    <w:basedOn w:val="Normal"/>
    <w:rsid w:val="00517205"/>
    <w:pPr>
      <w:numPr>
        <w:ilvl w:val="7"/>
        <w:numId w:val="46"/>
      </w:numPr>
    </w:pPr>
  </w:style>
  <w:style w:type="paragraph" w:customStyle="1" w:styleId="Point4letter">
    <w:name w:val="Point 4 (letter)"/>
    <w:basedOn w:val="Normal"/>
    <w:rsid w:val="00517205"/>
    <w:pPr>
      <w:numPr>
        <w:ilvl w:val="8"/>
        <w:numId w:val="46"/>
      </w:numPr>
    </w:pPr>
  </w:style>
  <w:style w:type="paragraph" w:customStyle="1" w:styleId="Bullet0">
    <w:name w:val="Bullet 0"/>
    <w:basedOn w:val="Normal"/>
    <w:rsid w:val="00517205"/>
    <w:pPr>
      <w:numPr>
        <w:numId w:val="47"/>
      </w:numPr>
    </w:pPr>
  </w:style>
  <w:style w:type="paragraph" w:customStyle="1" w:styleId="Bullet1">
    <w:name w:val="Bullet 1"/>
    <w:basedOn w:val="Normal"/>
    <w:rsid w:val="00517205"/>
    <w:pPr>
      <w:numPr>
        <w:numId w:val="48"/>
      </w:numPr>
    </w:pPr>
  </w:style>
  <w:style w:type="paragraph" w:customStyle="1" w:styleId="Bullet2">
    <w:name w:val="Bullet 2"/>
    <w:basedOn w:val="Normal"/>
    <w:rsid w:val="00517205"/>
    <w:pPr>
      <w:numPr>
        <w:numId w:val="49"/>
      </w:numPr>
    </w:pPr>
  </w:style>
  <w:style w:type="paragraph" w:customStyle="1" w:styleId="Bullet3">
    <w:name w:val="Bullet 3"/>
    <w:basedOn w:val="Normal"/>
    <w:rsid w:val="00517205"/>
    <w:pPr>
      <w:numPr>
        <w:numId w:val="50"/>
      </w:numPr>
    </w:pPr>
  </w:style>
  <w:style w:type="paragraph" w:customStyle="1" w:styleId="Bullet4">
    <w:name w:val="Bullet 4"/>
    <w:basedOn w:val="Normal"/>
    <w:rsid w:val="00517205"/>
    <w:pPr>
      <w:numPr>
        <w:numId w:val="51"/>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2"/>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6379">
      <w:bodyDiv w:val="1"/>
      <w:marLeft w:val="0"/>
      <w:marRight w:val="0"/>
      <w:marTop w:val="0"/>
      <w:marBottom w:val="0"/>
      <w:divBdr>
        <w:top w:val="none" w:sz="0" w:space="0" w:color="auto"/>
        <w:left w:val="none" w:sz="0" w:space="0" w:color="auto"/>
        <w:bottom w:val="none" w:sz="0" w:space="0" w:color="auto"/>
        <w:right w:val="none" w:sz="0" w:space="0" w:color="auto"/>
      </w:divBdr>
    </w:div>
    <w:div w:id="142090108">
      <w:bodyDiv w:val="1"/>
      <w:marLeft w:val="0"/>
      <w:marRight w:val="0"/>
      <w:marTop w:val="0"/>
      <w:marBottom w:val="0"/>
      <w:divBdr>
        <w:top w:val="none" w:sz="0" w:space="0" w:color="auto"/>
        <w:left w:val="none" w:sz="0" w:space="0" w:color="auto"/>
        <w:bottom w:val="none" w:sz="0" w:space="0" w:color="auto"/>
        <w:right w:val="none" w:sz="0" w:space="0" w:color="auto"/>
      </w:divBdr>
    </w:div>
    <w:div w:id="223613564">
      <w:bodyDiv w:val="1"/>
      <w:marLeft w:val="0"/>
      <w:marRight w:val="0"/>
      <w:marTop w:val="0"/>
      <w:marBottom w:val="0"/>
      <w:divBdr>
        <w:top w:val="none" w:sz="0" w:space="0" w:color="auto"/>
        <w:left w:val="none" w:sz="0" w:space="0" w:color="auto"/>
        <w:bottom w:val="none" w:sz="0" w:space="0" w:color="auto"/>
        <w:right w:val="none" w:sz="0" w:space="0" w:color="auto"/>
      </w:divBdr>
    </w:div>
    <w:div w:id="455758296">
      <w:bodyDiv w:val="1"/>
      <w:marLeft w:val="0"/>
      <w:marRight w:val="0"/>
      <w:marTop w:val="0"/>
      <w:marBottom w:val="0"/>
      <w:divBdr>
        <w:top w:val="none" w:sz="0" w:space="0" w:color="auto"/>
        <w:left w:val="none" w:sz="0" w:space="0" w:color="auto"/>
        <w:bottom w:val="none" w:sz="0" w:space="0" w:color="auto"/>
        <w:right w:val="none" w:sz="0" w:space="0" w:color="auto"/>
      </w:divBdr>
    </w:div>
    <w:div w:id="474755972">
      <w:bodyDiv w:val="1"/>
      <w:marLeft w:val="0"/>
      <w:marRight w:val="0"/>
      <w:marTop w:val="0"/>
      <w:marBottom w:val="0"/>
      <w:divBdr>
        <w:top w:val="none" w:sz="0" w:space="0" w:color="auto"/>
        <w:left w:val="none" w:sz="0" w:space="0" w:color="auto"/>
        <w:bottom w:val="none" w:sz="0" w:space="0" w:color="auto"/>
        <w:right w:val="none" w:sz="0" w:space="0" w:color="auto"/>
      </w:divBdr>
    </w:div>
    <w:div w:id="782383784">
      <w:bodyDiv w:val="1"/>
      <w:marLeft w:val="0"/>
      <w:marRight w:val="0"/>
      <w:marTop w:val="0"/>
      <w:marBottom w:val="0"/>
      <w:divBdr>
        <w:top w:val="none" w:sz="0" w:space="0" w:color="auto"/>
        <w:left w:val="none" w:sz="0" w:space="0" w:color="auto"/>
        <w:bottom w:val="none" w:sz="0" w:space="0" w:color="auto"/>
        <w:right w:val="none" w:sz="0" w:space="0" w:color="auto"/>
      </w:divBdr>
    </w:div>
    <w:div w:id="813135166">
      <w:bodyDiv w:val="1"/>
      <w:marLeft w:val="0"/>
      <w:marRight w:val="0"/>
      <w:marTop w:val="0"/>
      <w:marBottom w:val="0"/>
      <w:divBdr>
        <w:top w:val="none" w:sz="0" w:space="0" w:color="auto"/>
        <w:left w:val="none" w:sz="0" w:space="0" w:color="auto"/>
        <w:bottom w:val="none" w:sz="0" w:space="0" w:color="auto"/>
        <w:right w:val="none" w:sz="0" w:space="0" w:color="auto"/>
      </w:divBdr>
    </w:div>
    <w:div w:id="1057702214">
      <w:bodyDiv w:val="1"/>
      <w:marLeft w:val="0"/>
      <w:marRight w:val="0"/>
      <w:marTop w:val="0"/>
      <w:marBottom w:val="0"/>
      <w:divBdr>
        <w:top w:val="none" w:sz="0" w:space="0" w:color="auto"/>
        <w:left w:val="none" w:sz="0" w:space="0" w:color="auto"/>
        <w:bottom w:val="none" w:sz="0" w:space="0" w:color="auto"/>
        <w:right w:val="none" w:sz="0" w:space="0" w:color="auto"/>
      </w:divBdr>
    </w:div>
    <w:div w:id="1249924054">
      <w:bodyDiv w:val="1"/>
      <w:marLeft w:val="0"/>
      <w:marRight w:val="0"/>
      <w:marTop w:val="0"/>
      <w:marBottom w:val="0"/>
      <w:divBdr>
        <w:top w:val="none" w:sz="0" w:space="0" w:color="auto"/>
        <w:left w:val="none" w:sz="0" w:space="0" w:color="auto"/>
        <w:bottom w:val="none" w:sz="0" w:space="0" w:color="auto"/>
        <w:right w:val="none" w:sz="0" w:space="0" w:color="auto"/>
      </w:divBdr>
    </w:div>
    <w:div w:id="1346054040">
      <w:bodyDiv w:val="1"/>
      <w:marLeft w:val="0"/>
      <w:marRight w:val="0"/>
      <w:marTop w:val="0"/>
      <w:marBottom w:val="0"/>
      <w:divBdr>
        <w:top w:val="none" w:sz="0" w:space="0" w:color="auto"/>
        <w:left w:val="none" w:sz="0" w:space="0" w:color="auto"/>
        <w:bottom w:val="none" w:sz="0" w:space="0" w:color="auto"/>
        <w:right w:val="none" w:sz="0" w:space="0" w:color="auto"/>
      </w:divBdr>
    </w:div>
    <w:div w:id="1372923885">
      <w:bodyDiv w:val="1"/>
      <w:marLeft w:val="0"/>
      <w:marRight w:val="0"/>
      <w:marTop w:val="0"/>
      <w:marBottom w:val="0"/>
      <w:divBdr>
        <w:top w:val="none" w:sz="0" w:space="0" w:color="auto"/>
        <w:left w:val="none" w:sz="0" w:space="0" w:color="auto"/>
        <w:bottom w:val="none" w:sz="0" w:space="0" w:color="auto"/>
        <w:right w:val="none" w:sz="0" w:space="0" w:color="auto"/>
      </w:divBdr>
    </w:div>
    <w:div w:id="1384788002">
      <w:bodyDiv w:val="1"/>
      <w:marLeft w:val="0"/>
      <w:marRight w:val="0"/>
      <w:marTop w:val="0"/>
      <w:marBottom w:val="0"/>
      <w:divBdr>
        <w:top w:val="none" w:sz="0" w:space="0" w:color="auto"/>
        <w:left w:val="none" w:sz="0" w:space="0" w:color="auto"/>
        <w:bottom w:val="none" w:sz="0" w:space="0" w:color="auto"/>
        <w:right w:val="none" w:sz="0" w:space="0" w:color="auto"/>
      </w:divBdr>
    </w:div>
    <w:div w:id="19198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industry/stationary/e-prtr/pdf/ro_prtr.pdf" TargetMode="External"/><Relationship Id="rId2" Type="http://schemas.openxmlformats.org/officeDocument/2006/relationships/hyperlink" Target="https://industry.eea.europa.eu/" TargetMode="External"/><Relationship Id="rId1" Type="http://schemas.openxmlformats.org/officeDocument/2006/relationships/hyperlink" Target="https://unece.org/environment-policy/public-participation/prtrs-protocol-text"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c.europa.eu/transparency/documents-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2BA2F5CD984374B8C4BF70C159F6D4D" ma:contentTypeVersion="0" ma:contentTypeDescription="Create a new document in this library." ma:contentTypeScope="" ma:versionID="568e868a35a5a13c9ac6b3df90ee3d6e">
  <xsd:schema xmlns:xsd="http://www.w3.org/2001/XMLSchema" xmlns:xs="http://www.w3.org/2001/XMLSchema" xmlns:p="http://schemas.microsoft.com/office/2006/metadata/properties" xmlns:ns2="http://schemas.microsoft.com/sharepoint/v3/fields" xmlns:ns3="be81d22a-7dcb-499c-846b-bd4165893e59" targetNamespace="http://schemas.microsoft.com/office/2006/metadata/properties" ma:root="true" ma:fieldsID="486e7155da89ffabb9a2adf5e0442650" ns2:_="" ns3:_="">
    <xsd:import namespace="http://schemas.microsoft.com/sharepoint/v3/fields"/>
    <xsd:import namespace="be81d22a-7dcb-499c-846b-bd4165893e5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e81d22a-7dcb-499c-846b-bd4165893e5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be81d22a-7dcb-499c-846b-bd4165893e59">Not Started</EC_Collab_Status>
    <EC_Collab_Reference xmlns="be81d22a-7dcb-499c-846b-bd4165893e59" xsi:nil="true"/>
    <_Status xmlns="http://schemas.microsoft.com/sharepoint/v3/fields">Not Started</_Status>
    <EC_Collab_DocumentLanguage xmlns="be81d22a-7dcb-499c-846b-bd4165893e59">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A495-705B-414D-BA31-82F058FD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e81d22a-7dcb-499c-846b-bd4165893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8ED88-7128-4BC3-A1A1-5A3FF12753C1}">
  <ds:schemaRefs>
    <ds:schemaRef ds:uri="http://purl.org/dc/dcmitype/"/>
    <ds:schemaRef ds:uri="be81d22a-7dcb-499c-846b-bd4165893e5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4DE313E9-92F7-4F43-B0BA-CC919516427E}">
  <ds:schemaRefs>
    <ds:schemaRef ds:uri="http://schemas.microsoft.com/sharepoint/v3/contenttype/forms"/>
  </ds:schemaRefs>
</ds:datastoreItem>
</file>

<file path=customXml/itemProps4.xml><?xml version="1.0" encoding="utf-8"?>
<ds:datastoreItem xmlns:ds="http://schemas.openxmlformats.org/officeDocument/2006/customXml" ds:itemID="{E9C007DB-B510-4E36-8FE9-F24F2DBF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61</TotalTime>
  <Pages>43</Pages>
  <Words>14079</Words>
  <Characters>83207</Characters>
  <Application>Microsoft Office Word</Application>
  <DocSecurity>0</DocSecurity>
  <Lines>1808</Lines>
  <Paragraphs>715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cp:lastPrinted>2022-03-17T10:45:00Z</cp:lastPrinted>
  <dcterms:created xsi:type="dcterms:W3CDTF">2022-03-29T14:55:00Z</dcterms:created>
  <dcterms:modified xsi:type="dcterms:W3CDTF">2022-05-02T08:22:00Z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0x010100258AA79CEB83498886A3A0868112325000A2BA2F5CD984374B8C4BF70C159F6D4D</vt:lpwstr>
  </property>
  <property fmtid="{D5CDD505-2E9C-101B-9397-08002B2CF9AE}" pid="11" name="DQCStatus">
    <vt:lpwstr>Green (DQC version 03)</vt:lpwstr>
  </property>
</Properties>
</file>