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517A6" w14:textId="3F46BBF5" w:rsidR="00E4163B" w:rsidRPr="00F41B43" w:rsidRDefault="0050787A" w:rsidP="0050787A">
      <w:pPr>
        <w:pStyle w:val="Pagedecouverture"/>
        <w:rPr>
          <w:noProof/>
          <w:lang w:val="en-GB"/>
        </w:rPr>
      </w:pPr>
      <w:bookmarkStart w:id="0" w:name="LW_BM_COVERPAGE"/>
      <w:r>
        <w:rPr>
          <w:noProof/>
          <w:lang w:val="en-GB"/>
        </w:rPr>
        <w:pict w14:anchorId="3B708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4CC9017-707C-4665-9F27-C8E5CA77C804" style="width:455.25pt;height:324pt">
            <v:imagedata r:id="rId8" o:title=""/>
          </v:shape>
        </w:pict>
      </w:r>
    </w:p>
    <w:bookmarkEnd w:id="0"/>
    <w:p w14:paraId="4F192687" w14:textId="77777777" w:rsidR="00760492" w:rsidRDefault="00760492" w:rsidP="00760492">
      <w:pPr>
        <w:rPr>
          <w:noProof/>
          <w:lang w:val="en-GB"/>
        </w:rPr>
        <w:sectPr w:rsidR="00760492" w:rsidSect="0050787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2E7E01D" w14:textId="77777777" w:rsidR="00FB14B5" w:rsidRPr="00F41B43" w:rsidRDefault="009B59B9" w:rsidP="003A7818">
      <w:pPr>
        <w:pStyle w:val="Heading1"/>
        <w:rPr>
          <w:noProof/>
          <w:lang w:val="en-GB"/>
        </w:rPr>
      </w:pPr>
      <w:bookmarkStart w:id="1" w:name="_GoBack"/>
      <w:bookmarkEnd w:id="1"/>
      <w:r>
        <w:rPr>
          <w:noProof/>
          <w:lang w:val="en-GB"/>
        </w:rPr>
        <w:lastRenderedPageBreak/>
        <w:t xml:space="preserve">INTRODUCING </w:t>
      </w:r>
      <w:r w:rsidR="00BE514E">
        <w:rPr>
          <w:noProof/>
          <w:lang w:val="en-GB"/>
        </w:rPr>
        <w:t xml:space="preserve">the </w:t>
      </w:r>
      <w:r w:rsidR="00701D7C" w:rsidRPr="00F41B43">
        <w:rPr>
          <w:noProof/>
          <w:lang w:val="en-GB"/>
        </w:rPr>
        <w:t>EUROPEAN HEALTH DATA SPACE</w:t>
      </w:r>
      <w:r>
        <w:rPr>
          <w:noProof/>
          <w:lang w:val="en-GB"/>
        </w:rPr>
        <w:t xml:space="preserve">: </w:t>
      </w:r>
    </w:p>
    <w:p w14:paraId="1CF43EED" w14:textId="49B3A5E8" w:rsidR="001D3D42" w:rsidRDefault="001D3D42" w:rsidP="0080624D">
      <w:pPr>
        <w:rPr>
          <w:rFonts w:eastAsia="Times New Roman"/>
          <w:noProof/>
          <w:lang w:val="en-GB"/>
        </w:rPr>
      </w:pPr>
      <w:bookmarkStart w:id="2" w:name="_Hlk101280528"/>
      <w:r>
        <w:rPr>
          <w:noProof/>
          <w:lang w:val="en-GB"/>
        </w:rPr>
        <w:t xml:space="preserve">Digitalisation is </w:t>
      </w:r>
      <w:r w:rsidR="00301068">
        <w:rPr>
          <w:noProof/>
          <w:lang w:val="en-GB"/>
        </w:rPr>
        <w:t xml:space="preserve">essential for </w:t>
      </w:r>
      <w:r>
        <w:rPr>
          <w:noProof/>
          <w:lang w:val="en-GB"/>
        </w:rPr>
        <w:t xml:space="preserve">the future of healthcare. </w:t>
      </w:r>
      <w:bookmarkEnd w:id="2"/>
      <w:r w:rsidR="0077357D" w:rsidRPr="00F523C2">
        <w:rPr>
          <w:noProof/>
          <w:lang w:val="en-GB"/>
        </w:rPr>
        <w:t xml:space="preserve">The digital transformation is </w:t>
      </w:r>
      <w:r w:rsidR="00301068" w:rsidRPr="00F523C2">
        <w:rPr>
          <w:noProof/>
          <w:lang w:val="en-GB"/>
        </w:rPr>
        <w:t>crucial</w:t>
      </w:r>
      <w:r w:rsidR="0077357D" w:rsidRPr="00F523C2">
        <w:rPr>
          <w:noProof/>
          <w:lang w:val="en-GB"/>
        </w:rPr>
        <w:t xml:space="preserve"> to </w:t>
      </w:r>
      <w:r>
        <w:rPr>
          <w:noProof/>
          <w:lang w:val="en-GB"/>
        </w:rPr>
        <w:t xml:space="preserve">provide better healthcare to citizens, to </w:t>
      </w:r>
      <w:r w:rsidR="0077357D" w:rsidRPr="00F523C2">
        <w:rPr>
          <w:noProof/>
          <w:lang w:val="en-GB"/>
        </w:rPr>
        <w:t>build stronger and more resil</w:t>
      </w:r>
      <w:r w:rsidR="0077357D" w:rsidRPr="007C2FC3">
        <w:rPr>
          <w:rFonts w:eastAsia="Times New Roman"/>
          <w:noProof/>
          <w:lang w:val="en-GB"/>
        </w:rPr>
        <w:t xml:space="preserve">ient health systems, to support long-term competitiveness and </w:t>
      </w:r>
      <w:r w:rsidR="0077357D" w:rsidRPr="0080624D">
        <w:rPr>
          <w:noProof/>
          <w:lang w:val="en-GB"/>
        </w:rPr>
        <w:t>innovation</w:t>
      </w:r>
      <w:r w:rsidR="0077357D" w:rsidRPr="007C2FC3">
        <w:rPr>
          <w:rFonts w:eastAsia="Times New Roman"/>
          <w:noProof/>
          <w:lang w:val="en-GB"/>
        </w:rPr>
        <w:t xml:space="preserve"> </w:t>
      </w:r>
      <w:r w:rsidR="0077357D">
        <w:rPr>
          <w:rFonts w:eastAsia="Times New Roman"/>
          <w:noProof/>
          <w:lang w:val="en-GB"/>
        </w:rPr>
        <w:t xml:space="preserve">in the EU’s medical industry, and </w:t>
      </w:r>
      <w:r w:rsidR="0077357D" w:rsidRPr="007C2FC3">
        <w:rPr>
          <w:rFonts w:eastAsia="Times New Roman"/>
          <w:noProof/>
          <w:lang w:val="en-GB"/>
        </w:rPr>
        <w:t xml:space="preserve">to help </w:t>
      </w:r>
      <w:r w:rsidR="0077357D">
        <w:rPr>
          <w:rFonts w:eastAsia="Times New Roman"/>
          <w:noProof/>
          <w:lang w:val="en-GB"/>
        </w:rPr>
        <w:t xml:space="preserve">the EU recover from the pandemic. </w:t>
      </w:r>
    </w:p>
    <w:p w14:paraId="20D73C5E" w14:textId="6538BE4F" w:rsidR="00DF4C21" w:rsidRDefault="002B48AC" w:rsidP="0080624D">
      <w:pPr>
        <w:rPr>
          <w:noProof/>
          <w:lang w:val="en-GB"/>
        </w:rPr>
      </w:pPr>
      <w:r w:rsidRPr="00F41B43">
        <w:rPr>
          <w:noProof/>
          <w:lang w:val="en-GB"/>
        </w:rPr>
        <w:t xml:space="preserve">Data </w:t>
      </w:r>
      <w:r w:rsidR="006146F7">
        <w:rPr>
          <w:noProof/>
          <w:lang w:val="en-GB"/>
        </w:rPr>
        <w:t xml:space="preserve">is </w:t>
      </w:r>
      <w:r w:rsidRPr="004F0D42">
        <w:rPr>
          <w:noProof/>
          <w:lang w:val="en-GB"/>
        </w:rPr>
        <w:t xml:space="preserve">an </w:t>
      </w:r>
      <w:r w:rsidR="00B4066F" w:rsidRPr="004F0D42">
        <w:rPr>
          <w:noProof/>
          <w:lang w:val="en-GB"/>
        </w:rPr>
        <w:t xml:space="preserve">indispensable </w:t>
      </w:r>
      <w:r w:rsidRPr="004F0D42">
        <w:rPr>
          <w:noProof/>
          <w:lang w:val="en-GB"/>
        </w:rPr>
        <w:t>part of today’s world. When used responsibly</w:t>
      </w:r>
      <w:r w:rsidR="001D3D42">
        <w:rPr>
          <w:noProof/>
          <w:lang w:val="en-GB"/>
        </w:rPr>
        <w:t xml:space="preserve"> and in full respect of fundamental rights</w:t>
      </w:r>
      <w:r w:rsidRPr="004F0D42">
        <w:rPr>
          <w:noProof/>
          <w:lang w:val="en-GB"/>
        </w:rPr>
        <w:t xml:space="preserve">, </w:t>
      </w:r>
      <w:r w:rsidR="006146F7">
        <w:rPr>
          <w:noProof/>
          <w:lang w:val="en-GB"/>
        </w:rPr>
        <w:t xml:space="preserve">it </w:t>
      </w:r>
      <w:r w:rsidR="004B520F">
        <w:rPr>
          <w:noProof/>
          <w:lang w:val="en-GB"/>
        </w:rPr>
        <w:t xml:space="preserve">can </w:t>
      </w:r>
      <w:r w:rsidRPr="004F0D42">
        <w:rPr>
          <w:noProof/>
          <w:lang w:val="en-GB"/>
        </w:rPr>
        <w:t>bring incredible benefits to every aspect of our everyday lives</w:t>
      </w:r>
      <w:r w:rsidR="0049606F">
        <w:rPr>
          <w:noProof/>
          <w:lang w:val="en-GB"/>
        </w:rPr>
        <w:t>, including</w:t>
      </w:r>
      <w:r w:rsidRPr="004F0D42">
        <w:rPr>
          <w:noProof/>
          <w:lang w:val="en-GB"/>
        </w:rPr>
        <w:t xml:space="preserve"> our health.</w:t>
      </w:r>
      <w:r w:rsidR="000C7A5E" w:rsidRPr="004F0D42">
        <w:rPr>
          <w:noProof/>
          <w:lang w:val="en-GB"/>
        </w:rPr>
        <w:t xml:space="preserve"> Member States’ health systems already generate, process and store a vast </w:t>
      </w:r>
      <w:r w:rsidR="000C7A5E" w:rsidRPr="004F0D42" w:rsidDel="00B32984">
        <w:rPr>
          <w:noProof/>
          <w:lang w:val="en-GB"/>
        </w:rPr>
        <w:t xml:space="preserve">amount </w:t>
      </w:r>
      <w:r w:rsidR="000C7A5E" w:rsidRPr="004F0D42">
        <w:rPr>
          <w:noProof/>
          <w:lang w:val="en-GB"/>
        </w:rPr>
        <w:t xml:space="preserve">of data. </w:t>
      </w:r>
      <w:r w:rsidR="00DF4C21">
        <w:rPr>
          <w:noProof/>
          <w:lang w:val="en-GB"/>
        </w:rPr>
        <w:t>Yet</w:t>
      </w:r>
      <w:r w:rsidR="006533FB">
        <w:rPr>
          <w:noProof/>
          <w:lang w:val="en-GB"/>
        </w:rPr>
        <w:t xml:space="preserve"> it </w:t>
      </w:r>
      <w:r w:rsidR="006533FB" w:rsidRPr="006533FB">
        <w:rPr>
          <w:noProof/>
          <w:lang w:val="en-GB"/>
        </w:rPr>
        <w:t xml:space="preserve">often </w:t>
      </w:r>
      <w:r w:rsidR="00DF4C21" w:rsidRPr="006533FB">
        <w:rPr>
          <w:noProof/>
          <w:lang w:val="en-GB"/>
        </w:rPr>
        <w:t xml:space="preserve">remains </w:t>
      </w:r>
      <w:r w:rsidR="006533FB" w:rsidRPr="006533FB">
        <w:rPr>
          <w:noProof/>
          <w:lang w:val="en-GB"/>
        </w:rPr>
        <w:t xml:space="preserve">difficult for citizens to access their health data electronically and for researchers to use it to improve diagnosis and treatments. </w:t>
      </w:r>
    </w:p>
    <w:p w14:paraId="0E1303A7" w14:textId="316603FB" w:rsidR="00AB73FE" w:rsidRDefault="00AB73FE" w:rsidP="00AB73FE">
      <w:pPr>
        <w:pStyle w:val="NormalWeb"/>
        <w:rPr>
          <w:noProof/>
          <w:lang w:val="en-GB"/>
        </w:rPr>
      </w:pPr>
      <w:r>
        <w:rPr>
          <w:noProof/>
          <w:lang w:val="en-GB"/>
        </w:rPr>
        <w:t xml:space="preserve">Today, a vast </w:t>
      </w:r>
      <w:r w:rsidRPr="004F0D42">
        <w:rPr>
          <w:noProof/>
          <w:lang w:val="en-GB"/>
        </w:rPr>
        <w:t xml:space="preserve">amount of health data </w:t>
      </w:r>
      <w:r>
        <w:rPr>
          <w:noProof/>
          <w:lang w:val="en-GB"/>
        </w:rPr>
        <w:t>is</w:t>
      </w:r>
      <w:r w:rsidRPr="004F0D42">
        <w:rPr>
          <w:noProof/>
          <w:lang w:val="en-GB"/>
        </w:rPr>
        <w:t xml:space="preserve"> generated</w:t>
      </w:r>
      <w:r w:rsidRPr="009D1F1B">
        <w:rPr>
          <w:noProof/>
          <w:lang w:val="en-GB"/>
        </w:rPr>
        <w:t xml:space="preserve"> </w:t>
      </w:r>
      <w:r>
        <w:rPr>
          <w:noProof/>
          <w:lang w:val="en-GB"/>
        </w:rPr>
        <w:t>e</w:t>
      </w:r>
      <w:r w:rsidRPr="004F0D42">
        <w:rPr>
          <w:noProof/>
          <w:lang w:val="en-GB"/>
        </w:rPr>
        <w:t>very second</w:t>
      </w:r>
      <w:r>
        <w:rPr>
          <w:noProof/>
          <w:lang w:val="en-GB"/>
        </w:rPr>
        <w:t xml:space="preserve">, providing </w:t>
      </w:r>
      <w:r w:rsidRPr="004F0D42">
        <w:rPr>
          <w:noProof/>
          <w:lang w:val="en-GB"/>
        </w:rPr>
        <w:t>healthcare services and researchers</w:t>
      </w:r>
      <w:r w:rsidRPr="00EC7EA1">
        <w:rPr>
          <w:noProof/>
          <w:lang w:val="en-GB"/>
        </w:rPr>
        <w:t xml:space="preserve"> </w:t>
      </w:r>
      <w:r>
        <w:rPr>
          <w:noProof/>
          <w:lang w:val="en-GB"/>
        </w:rPr>
        <w:t xml:space="preserve">with potential </w:t>
      </w:r>
      <w:r w:rsidRPr="004F0D42">
        <w:rPr>
          <w:noProof/>
          <w:lang w:val="en-GB"/>
        </w:rPr>
        <w:t>valuable insights</w:t>
      </w:r>
      <w:r>
        <w:rPr>
          <w:noProof/>
          <w:lang w:val="en-GB"/>
        </w:rPr>
        <w:t xml:space="preserve">. </w:t>
      </w:r>
      <w:r w:rsidRPr="002C5855">
        <w:rPr>
          <w:noProof/>
          <w:lang w:val="en-GB"/>
        </w:rPr>
        <w:t>Health data reuse is estimated to be worth around EUR 25-30 billion annually. That figure is expected to reach around EUR 50 billion within 10 years</w:t>
      </w:r>
      <w:r w:rsidRPr="002C5855">
        <w:rPr>
          <w:rStyle w:val="FootnoteReference"/>
          <w:noProof/>
          <w:lang w:val="en-GB"/>
        </w:rPr>
        <w:footnoteReference w:id="2"/>
      </w:r>
      <w:r w:rsidRPr="00E2446F">
        <w:rPr>
          <w:noProof/>
          <w:lang w:val="en-GB"/>
        </w:rPr>
        <w:t xml:space="preserve">. </w:t>
      </w:r>
      <w:r>
        <w:rPr>
          <w:noProof/>
          <w:lang w:val="en-GB"/>
        </w:rPr>
        <w:t xml:space="preserve">However, </w:t>
      </w:r>
      <w:r w:rsidRPr="00AA6D1D">
        <w:rPr>
          <w:noProof/>
          <w:lang w:val="en-GB"/>
        </w:rPr>
        <w:t xml:space="preserve">the complexity </w:t>
      </w:r>
      <w:r>
        <w:rPr>
          <w:noProof/>
          <w:lang w:val="en-GB"/>
        </w:rPr>
        <w:t xml:space="preserve">and divergence </w:t>
      </w:r>
      <w:r w:rsidRPr="00AA6D1D">
        <w:rPr>
          <w:noProof/>
          <w:lang w:val="en-GB"/>
        </w:rPr>
        <w:t xml:space="preserve">of rules, structures and processes </w:t>
      </w:r>
      <w:r>
        <w:rPr>
          <w:noProof/>
          <w:lang w:val="en-GB"/>
        </w:rPr>
        <w:t xml:space="preserve">within and </w:t>
      </w:r>
      <w:r w:rsidRPr="00AA6D1D">
        <w:rPr>
          <w:noProof/>
          <w:lang w:val="en-GB"/>
        </w:rPr>
        <w:t>across Member States make</w:t>
      </w:r>
      <w:r>
        <w:rPr>
          <w:noProof/>
          <w:lang w:val="en-GB"/>
        </w:rPr>
        <w:t>s</w:t>
      </w:r>
      <w:r w:rsidRPr="00AA6D1D">
        <w:rPr>
          <w:noProof/>
          <w:lang w:val="en-GB"/>
        </w:rPr>
        <w:t xml:space="preserve"> it difficult to </w:t>
      </w:r>
      <w:r>
        <w:rPr>
          <w:noProof/>
          <w:lang w:val="en-GB"/>
        </w:rPr>
        <w:t xml:space="preserve">easily </w:t>
      </w:r>
      <w:r w:rsidRPr="00AA6D1D">
        <w:rPr>
          <w:noProof/>
          <w:lang w:val="en-GB"/>
        </w:rPr>
        <w:t xml:space="preserve">access </w:t>
      </w:r>
      <w:r>
        <w:rPr>
          <w:noProof/>
          <w:lang w:val="en-GB"/>
        </w:rPr>
        <w:t>and s</w:t>
      </w:r>
      <w:r w:rsidRPr="00AA6D1D">
        <w:rPr>
          <w:noProof/>
          <w:lang w:val="en-GB"/>
        </w:rPr>
        <w:t>hare</w:t>
      </w:r>
      <w:r>
        <w:rPr>
          <w:noProof/>
          <w:lang w:val="en-GB"/>
        </w:rPr>
        <w:t xml:space="preserve"> </w:t>
      </w:r>
      <w:r w:rsidRPr="00AA6D1D">
        <w:rPr>
          <w:noProof/>
          <w:lang w:val="en-GB"/>
        </w:rPr>
        <w:t xml:space="preserve">health data. </w:t>
      </w:r>
      <w:r w:rsidRPr="00220D3F">
        <w:rPr>
          <w:noProof/>
          <w:lang w:val="en-GB"/>
        </w:rPr>
        <w:t xml:space="preserve">This creates barriers </w:t>
      </w:r>
      <w:r>
        <w:rPr>
          <w:noProof/>
          <w:lang w:val="en-GB"/>
        </w:rPr>
        <w:t>to</w:t>
      </w:r>
      <w:r w:rsidRPr="00220D3F">
        <w:rPr>
          <w:noProof/>
          <w:lang w:val="en-GB"/>
        </w:rPr>
        <w:t xml:space="preserve"> healthcar</w:t>
      </w:r>
      <w:r>
        <w:rPr>
          <w:noProof/>
          <w:lang w:val="en-GB"/>
        </w:rPr>
        <w:t>e delivery and innovation</w:t>
      </w:r>
      <w:r>
        <w:rPr>
          <w:noProof/>
        </w:rPr>
        <w:t xml:space="preserve">, </w:t>
      </w:r>
      <w:r w:rsidRPr="00BD27E4">
        <w:rPr>
          <w:noProof/>
          <w:lang w:val="en-GB"/>
        </w:rPr>
        <w:t>leaving patients unable to benefit</w:t>
      </w:r>
      <w:r>
        <w:rPr>
          <w:noProof/>
          <w:lang w:val="en-GB"/>
        </w:rPr>
        <w:t xml:space="preserve"> from its potential</w:t>
      </w:r>
      <w:r w:rsidRPr="00BD27E4">
        <w:rPr>
          <w:noProof/>
          <w:lang w:val="en-GB"/>
        </w:rPr>
        <w:t xml:space="preserve">. </w:t>
      </w:r>
      <w:r w:rsidRPr="001D180E">
        <w:rPr>
          <w:noProof/>
          <w:lang w:val="en-GB"/>
        </w:rPr>
        <w:t>Moreover, health systems are becoming the target of cyberattacks</w:t>
      </w:r>
      <w:r w:rsidR="00FB16A0">
        <w:rPr>
          <w:noProof/>
          <w:lang w:val="en-GB"/>
        </w:rPr>
        <w:t>.</w:t>
      </w:r>
      <w:r w:rsidRPr="001D180E">
        <w:rPr>
          <w:noProof/>
          <w:lang w:val="en-GB"/>
        </w:rPr>
        <w:t xml:space="preserve"> </w:t>
      </w:r>
      <w:r w:rsidR="00FB16A0">
        <w:rPr>
          <w:noProof/>
          <w:lang w:val="en-GB"/>
        </w:rPr>
        <w:t>T</w:t>
      </w:r>
      <w:r w:rsidRPr="001D180E">
        <w:rPr>
          <w:noProof/>
          <w:lang w:val="en-GB"/>
        </w:rPr>
        <w:t xml:space="preserve">herefore, the healthcare sector </w:t>
      </w:r>
      <w:r w:rsidR="00034DB4">
        <w:rPr>
          <w:noProof/>
          <w:lang w:val="en-GB"/>
        </w:rPr>
        <w:t xml:space="preserve">and relevant cyber security authorities </w:t>
      </w:r>
      <w:r w:rsidRPr="001D180E">
        <w:rPr>
          <w:noProof/>
          <w:lang w:val="en-GB"/>
        </w:rPr>
        <w:t>need to consider cybersecurity as a key factor for ensuring the resilience and availability of key healthcare services</w:t>
      </w:r>
      <w:r>
        <w:rPr>
          <w:rStyle w:val="FootnoteReference"/>
          <w:noProof/>
          <w:lang w:val="en-GB"/>
        </w:rPr>
        <w:footnoteReference w:id="3"/>
      </w:r>
      <w:r>
        <w:rPr>
          <w:noProof/>
          <w:lang w:val="en-GB"/>
        </w:rPr>
        <w:t>.</w:t>
      </w:r>
    </w:p>
    <w:p w14:paraId="7C33A282" w14:textId="10B71840" w:rsidR="00DF4C21" w:rsidRPr="000E7BED" w:rsidRDefault="00FF41CD" w:rsidP="001D180E">
      <w:pPr>
        <w:rPr>
          <w:noProof/>
          <w:lang w:val="en-GB"/>
        </w:rPr>
      </w:pPr>
      <w:r>
        <w:rPr>
          <w:noProof/>
          <w:lang w:val="en-GB"/>
        </w:rPr>
        <w:t>In essence</w:t>
      </w:r>
      <w:r w:rsidR="00DF4C21">
        <w:rPr>
          <w:noProof/>
          <w:lang w:val="en-GB"/>
        </w:rPr>
        <w:t>, t</w:t>
      </w:r>
      <w:r w:rsidR="006533FB" w:rsidRPr="006533FB">
        <w:rPr>
          <w:noProof/>
          <w:lang w:val="en-GB"/>
        </w:rPr>
        <w:t>oday’s EU health sector is rich in data</w:t>
      </w:r>
      <w:r w:rsidR="001D3D42">
        <w:rPr>
          <w:noProof/>
          <w:lang w:val="en-GB"/>
        </w:rPr>
        <w:t>,</w:t>
      </w:r>
      <w:r w:rsidR="006533FB" w:rsidRPr="006533FB">
        <w:rPr>
          <w:noProof/>
          <w:lang w:val="en-GB"/>
        </w:rPr>
        <w:t xml:space="preserve"> but poor in making it work for people and science. </w:t>
      </w:r>
      <w:r w:rsidR="001D3D42">
        <w:rPr>
          <w:noProof/>
          <w:lang w:val="en-GB"/>
        </w:rPr>
        <w:t xml:space="preserve">The EU </w:t>
      </w:r>
      <w:r w:rsidR="00D35A75">
        <w:rPr>
          <w:noProof/>
          <w:lang w:val="en-GB"/>
        </w:rPr>
        <w:t>need</w:t>
      </w:r>
      <w:r w:rsidR="001D3D42">
        <w:rPr>
          <w:noProof/>
          <w:lang w:val="en-GB"/>
        </w:rPr>
        <w:t>s</w:t>
      </w:r>
      <w:r w:rsidR="00D35A75">
        <w:rPr>
          <w:noProof/>
          <w:lang w:val="en-GB"/>
        </w:rPr>
        <w:t xml:space="preserve"> to tap into th</w:t>
      </w:r>
      <w:r w:rsidR="001D3D42">
        <w:rPr>
          <w:noProof/>
          <w:lang w:val="en-GB"/>
        </w:rPr>
        <w:t>is</w:t>
      </w:r>
      <w:r w:rsidR="00D35A75">
        <w:rPr>
          <w:noProof/>
          <w:lang w:val="en-GB"/>
        </w:rPr>
        <w:t xml:space="preserve"> huge</w:t>
      </w:r>
      <w:r w:rsidR="00554DA5" w:rsidRPr="006533FB">
        <w:rPr>
          <w:noProof/>
          <w:lang w:val="en-GB"/>
        </w:rPr>
        <w:t xml:space="preserve"> </w:t>
      </w:r>
      <w:r w:rsidR="006533FB" w:rsidRPr="006533FB">
        <w:rPr>
          <w:noProof/>
          <w:lang w:val="en-GB"/>
        </w:rPr>
        <w:t>potential to turn the wealth of health data across Europe into knowledge</w:t>
      </w:r>
      <w:r w:rsidR="001D3D42">
        <w:rPr>
          <w:noProof/>
          <w:lang w:val="en-GB"/>
        </w:rPr>
        <w:t xml:space="preserve"> at the service of citizens, and</w:t>
      </w:r>
      <w:r w:rsidR="006533FB" w:rsidRPr="006533FB">
        <w:rPr>
          <w:noProof/>
          <w:lang w:val="en-GB"/>
        </w:rPr>
        <w:t xml:space="preserve"> to better prevent, diagnose and treat diseases</w:t>
      </w:r>
      <w:r w:rsidR="00554DA5">
        <w:rPr>
          <w:noProof/>
          <w:lang w:val="en-GB"/>
        </w:rPr>
        <w:t>.</w:t>
      </w:r>
      <w:r w:rsidR="001D180E">
        <w:rPr>
          <w:noProof/>
          <w:lang w:val="en-GB"/>
        </w:rPr>
        <w:t xml:space="preserve"> </w:t>
      </w:r>
      <w:r w:rsidR="001D3D42" w:rsidRPr="000E7BED">
        <w:rPr>
          <w:noProof/>
          <w:lang w:val="en-GB"/>
        </w:rPr>
        <w:t xml:space="preserve">Health data </w:t>
      </w:r>
      <w:r w:rsidR="001D3D42">
        <w:rPr>
          <w:noProof/>
          <w:lang w:val="en-GB"/>
        </w:rPr>
        <w:t xml:space="preserve">can help achieve </w:t>
      </w:r>
      <w:r w:rsidR="001D3D42" w:rsidRPr="000E7BED">
        <w:rPr>
          <w:noProof/>
          <w:lang w:val="en-GB"/>
        </w:rPr>
        <w:t>more efficient, higher</w:t>
      </w:r>
      <w:r w:rsidR="001D3D42">
        <w:rPr>
          <w:noProof/>
          <w:lang w:val="en-GB"/>
        </w:rPr>
        <w:t>-</w:t>
      </w:r>
      <w:r w:rsidR="001D3D42" w:rsidRPr="000E7BED">
        <w:rPr>
          <w:noProof/>
          <w:lang w:val="en-GB"/>
        </w:rPr>
        <w:t>quality, safer and more personalised care</w:t>
      </w:r>
      <w:r w:rsidR="001D3D42">
        <w:rPr>
          <w:noProof/>
          <w:lang w:val="en-GB"/>
        </w:rPr>
        <w:t>,</w:t>
      </w:r>
      <w:r w:rsidR="001D3D42" w:rsidRPr="000E7BED">
        <w:rPr>
          <w:noProof/>
          <w:lang w:val="en-GB"/>
        </w:rPr>
        <w:t xml:space="preserve"> and </w:t>
      </w:r>
      <w:r w:rsidR="001D3D42">
        <w:rPr>
          <w:noProof/>
          <w:lang w:val="en-GB"/>
        </w:rPr>
        <w:t xml:space="preserve">help </w:t>
      </w:r>
      <w:r w:rsidR="001D3D42" w:rsidRPr="000E7BED">
        <w:rPr>
          <w:noProof/>
          <w:lang w:val="en-GB"/>
        </w:rPr>
        <w:t xml:space="preserve">improve healthcare delivery. </w:t>
      </w:r>
      <w:r w:rsidR="00671F2B" w:rsidRPr="000E7BED">
        <w:rPr>
          <w:noProof/>
          <w:lang w:val="en-GB"/>
        </w:rPr>
        <w:t>Health data</w:t>
      </w:r>
      <w:r w:rsidR="00A90748">
        <w:rPr>
          <w:rStyle w:val="FootnoteReference"/>
          <w:noProof/>
          <w:lang w:val="en-GB"/>
        </w:rPr>
        <w:footnoteReference w:id="4"/>
      </w:r>
      <w:r w:rsidR="00671F2B" w:rsidRPr="000E7BED">
        <w:rPr>
          <w:noProof/>
          <w:lang w:val="en-GB"/>
        </w:rPr>
        <w:t xml:space="preserve"> and data science </w:t>
      </w:r>
      <w:r w:rsidR="008811CE">
        <w:rPr>
          <w:noProof/>
          <w:lang w:val="en-GB"/>
        </w:rPr>
        <w:t xml:space="preserve">could </w:t>
      </w:r>
      <w:r w:rsidR="00671F2B" w:rsidRPr="000E7BED">
        <w:rPr>
          <w:noProof/>
          <w:lang w:val="en-GB"/>
        </w:rPr>
        <w:t>dramatically transform public health and revolutionise healthcare systems</w:t>
      </w:r>
      <w:r w:rsidR="00671F2B" w:rsidRPr="00FF6C1E">
        <w:rPr>
          <w:noProof/>
          <w:lang w:val="en-GB"/>
        </w:rPr>
        <w:t xml:space="preserve">, enabling </w:t>
      </w:r>
      <w:r w:rsidR="00B32984">
        <w:rPr>
          <w:noProof/>
          <w:lang w:val="en-GB"/>
        </w:rPr>
        <w:t>life-saving</w:t>
      </w:r>
      <w:r w:rsidR="00671F2B" w:rsidRPr="000E7BED">
        <w:rPr>
          <w:noProof/>
          <w:lang w:val="en-GB"/>
        </w:rPr>
        <w:t xml:space="preserve"> healthcare improvements. Health data </w:t>
      </w:r>
      <w:r w:rsidR="00D35CE7">
        <w:rPr>
          <w:noProof/>
          <w:lang w:val="en-GB"/>
        </w:rPr>
        <w:t xml:space="preserve">can </w:t>
      </w:r>
      <w:r w:rsidR="00671F2B" w:rsidRPr="000E7BED">
        <w:rPr>
          <w:noProof/>
          <w:lang w:val="en-GB"/>
        </w:rPr>
        <w:t>also play a crucial role</w:t>
      </w:r>
      <w:r w:rsidR="006C1B42">
        <w:rPr>
          <w:noProof/>
          <w:lang w:val="en-GB"/>
        </w:rPr>
        <w:t xml:space="preserve"> </w:t>
      </w:r>
      <w:r w:rsidR="00282B37">
        <w:rPr>
          <w:noProof/>
          <w:lang w:val="en-GB"/>
        </w:rPr>
        <w:t xml:space="preserve">in </w:t>
      </w:r>
      <w:r w:rsidR="00671F2B" w:rsidRPr="000E7BED">
        <w:rPr>
          <w:noProof/>
          <w:lang w:val="en-GB"/>
        </w:rPr>
        <w:t>speeding up the development of new medical products and treatments for patients who need them</w:t>
      </w:r>
      <w:r w:rsidR="00282B37" w:rsidRPr="00282B37">
        <w:rPr>
          <w:noProof/>
          <w:lang w:val="en-GB"/>
        </w:rPr>
        <w:t xml:space="preserve"> </w:t>
      </w:r>
      <w:r w:rsidR="00282B37">
        <w:rPr>
          <w:noProof/>
          <w:lang w:val="en-GB"/>
        </w:rPr>
        <w:t>most</w:t>
      </w:r>
      <w:r w:rsidR="00671F2B" w:rsidRPr="000E7BED">
        <w:rPr>
          <w:noProof/>
          <w:lang w:val="en-GB"/>
        </w:rPr>
        <w:t xml:space="preserve">. </w:t>
      </w:r>
    </w:p>
    <w:p w14:paraId="63EE568D" w14:textId="78A8895B" w:rsidR="00CC66B0" w:rsidRPr="00224E67" w:rsidRDefault="00AA6D1D" w:rsidP="00C858B7">
      <w:pPr>
        <w:pStyle w:val="NormalWeb"/>
        <w:rPr>
          <w:noProof/>
          <w:lang w:val="en-GB"/>
        </w:rPr>
      </w:pPr>
      <w:r>
        <w:rPr>
          <w:noProof/>
          <w:lang w:val="en-GB"/>
        </w:rPr>
        <w:t xml:space="preserve">The COVID-19 </w:t>
      </w:r>
      <w:r w:rsidRPr="00AA6D1D">
        <w:rPr>
          <w:noProof/>
          <w:lang w:val="en-GB"/>
        </w:rPr>
        <w:t xml:space="preserve">pandemic has clearly demonstrated the importance of </w:t>
      </w:r>
      <w:r w:rsidR="00C133E5">
        <w:rPr>
          <w:noProof/>
          <w:lang w:val="en-GB"/>
        </w:rPr>
        <w:t>digital services in the health domain</w:t>
      </w:r>
      <w:r w:rsidR="00A90748">
        <w:rPr>
          <w:noProof/>
          <w:lang w:val="en-GB"/>
        </w:rPr>
        <w:t>.</w:t>
      </w:r>
      <w:r w:rsidRPr="00AA6D1D">
        <w:rPr>
          <w:noProof/>
          <w:lang w:val="en-GB"/>
        </w:rPr>
        <w:t xml:space="preserve"> </w:t>
      </w:r>
      <w:r>
        <w:rPr>
          <w:noProof/>
          <w:lang w:val="en-GB"/>
        </w:rPr>
        <w:t xml:space="preserve">It </w:t>
      </w:r>
      <w:r w:rsidR="00C858B7" w:rsidRPr="004F0D42">
        <w:rPr>
          <w:noProof/>
          <w:lang w:val="en-GB"/>
        </w:rPr>
        <w:t>has shown that</w:t>
      </w:r>
      <w:r w:rsidR="00C858B7" w:rsidRPr="004F0D42">
        <w:rPr>
          <w:b/>
          <w:noProof/>
          <w:lang w:val="en-GB"/>
        </w:rPr>
        <w:t xml:space="preserve"> up-to-date, </w:t>
      </w:r>
      <w:r w:rsidR="00D6020B">
        <w:rPr>
          <w:b/>
          <w:noProof/>
          <w:lang w:val="en-GB"/>
        </w:rPr>
        <w:t>reliable</w:t>
      </w:r>
      <w:r w:rsidR="00D6020B" w:rsidRPr="004F0D42">
        <w:rPr>
          <w:b/>
          <w:noProof/>
          <w:lang w:val="en-GB"/>
        </w:rPr>
        <w:t xml:space="preserve"> </w:t>
      </w:r>
      <w:r w:rsidR="00F179F9">
        <w:rPr>
          <w:b/>
          <w:noProof/>
          <w:lang w:val="en-GB"/>
        </w:rPr>
        <w:t>and FAIR</w:t>
      </w:r>
      <w:r w:rsidR="00F179F9">
        <w:rPr>
          <w:rStyle w:val="FootnoteReference"/>
          <w:b/>
          <w:noProof/>
          <w:lang w:val="en-GB"/>
        </w:rPr>
        <w:footnoteReference w:id="5"/>
      </w:r>
      <w:r w:rsidR="00F179F9">
        <w:rPr>
          <w:b/>
          <w:noProof/>
          <w:lang w:val="en-GB"/>
        </w:rPr>
        <w:t xml:space="preserve"> </w:t>
      </w:r>
      <w:r w:rsidR="00C858B7" w:rsidRPr="004F0D42">
        <w:rPr>
          <w:b/>
          <w:noProof/>
          <w:lang w:val="en-GB"/>
        </w:rPr>
        <w:t xml:space="preserve">health data </w:t>
      </w:r>
      <w:r w:rsidR="00516C76">
        <w:rPr>
          <w:b/>
          <w:noProof/>
          <w:lang w:val="en-GB"/>
        </w:rPr>
        <w:t xml:space="preserve">is </w:t>
      </w:r>
      <w:r w:rsidR="00136FDC" w:rsidRPr="004F0D42">
        <w:rPr>
          <w:b/>
          <w:noProof/>
          <w:lang w:val="en-GB"/>
        </w:rPr>
        <w:t xml:space="preserve">key </w:t>
      </w:r>
      <w:r w:rsidR="00B62D67">
        <w:rPr>
          <w:b/>
          <w:noProof/>
          <w:lang w:val="en-GB"/>
        </w:rPr>
        <w:t xml:space="preserve">in providing </w:t>
      </w:r>
      <w:r w:rsidR="008A789F">
        <w:rPr>
          <w:b/>
          <w:noProof/>
          <w:lang w:val="en-GB"/>
        </w:rPr>
        <w:t xml:space="preserve">an efficient </w:t>
      </w:r>
      <w:r>
        <w:rPr>
          <w:b/>
          <w:noProof/>
          <w:lang w:val="en-GB"/>
        </w:rPr>
        <w:t>public health response</w:t>
      </w:r>
      <w:r w:rsidR="00B62D67">
        <w:rPr>
          <w:b/>
          <w:noProof/>
          <w:lang w:val="en-GB"/>
        </w:rPr>
        <w:t xml:space="preserve"> to crisis and</w:t>
      </w:r>
      <w:r w:rsidR="006C1B42">
        <w:rPr>
          <w:b/>
          <w:noProof/>
          <w:lang w:val="en-GB"/>
        </w:rPr>
        <w:t xml:space="preserve"> </w:t>
      </w:r>
      <w:r w:rsidR="00B62D67">
        <w:rPr>
          <w:b/>
          <w:noProof/>
          <w:lang w:val="en-GB"/>
        </w:rPr>
        <w:t>in</w:t>
      </w:r>
      <w:r>
        <w:rPr>
          <w:b/>
          <w:noProof/>
          <w:lang w:val="en-GB"/>
        </w:rPr>
        <w:t xml:space="preserve"> develop</w:t>
      </w:r>
      <w:r w:rsidR="00B62D67">
        <w:rPr>
          <w:b/>
          <w:noProof/>
          <w:lang w:val="en-GB"/>
        </w:rPr>
        <w:t>ing</w:t>
      </w:r>
      <w:r>
        <w:rPr>
          <w:b/>
          <w:noProof/>
          <w:lang w:val="en-GB"/>
        </w:rPr>
        <w:t xml:space="preserve"> effective treatments and vaccines</w:t>
      </w:r>
      <w:r w:rsidR="00C858B7" w:rsidRPr="004F0D42">
        <w:rPr>
          <w:b/>
          <w:noProof/>
          <w:lang w:val="en-GB"/>
        </w:rPr>
        <w:t>.</w:t>
      </w:r>
      <w:r w:rsidR="00C858B7" w:rsidRPr="004F0D42">
        <w:rPr>
          <w:noProof/>
          <w:lang w:val="en-GB"/>
        </w:rPr>
        <w:t xml:space="preserve"> </w:t>
      </w:r>
      <w:r w:rsidR="00DF4C21">
        <w:rPr>
          <w:noProof/>
          <w:lang w:val="en-GB"/>
        </w:rPr>
        <w:t>It</w:t>
      </w:r>
      <w:r w:rsidR="00B62D67" w:rsidRPr="00B62D67">
        <w:rPr>
          <w:noProof/>
          <w:lang w:val="en-GB"/>
        </w:rPr>
        <w:t xml:space="preserve"> has </w:t>
      </w:r>
      <w:r w:rsidR="00DF4C21">
        <w:rPr>
          <w:noProof/>
          <w:lang w:val="en-GB"/>
        </w:rPr>
        <w:t xml:space="preserve">also </w:t>
      </w:r>
      <w:r w:rsidR="00B62D67" w:rsidRPr="00B62D67">
        <w:rPr>
          <w:noProof/>
          <w:lang w:val="en-GB"/>
        </w:rPr>
        <w:t xml:space="preserve">significantly accelerated the </w:t>
      </w:r>
      <w:r w:rsidR="007A61FD" w:rsidRPr="004F0D42">
        <w:rPr>
          <w:noProof/>
          <w:lang w:val="en-GB"/>
        </w:rPr>
        <w:t>uptake of digital tools</w:t>
      </w:r>
      <w:r w:rsidR="00136FDC" w:rsidRPr="004F0D42">
        <w:rPr>
          <w:noProof/>
          <w:lang w:val="en-GB"/>
        </w:rPr>
        <w:t>, such as</w:t>
      </w:r>
      <w:r w:rsidR="00A90748">
        <w:rPr>
          <w:noProof/>
          <w:lang w:val="en-GB"/>
        </w:rPr>
        <w:t xml:space="preserve"> electronic health records (</w:t>
      </w:r>
      <w:r w:rsidR="00C858B7" w:rsidRPr="004F0D42">
        <w:rPr>
          <w:noProof/>
          <w:lang w:val="en-GB"/>
        </w:rPr>
        <w:t>personal medical records or similar documents in digital form), e-prescriptions and digital health applications</w:t>
      </w:r>
      <w:r w:rsidR="00F179F9">
        <w:rPr>
          <w:noProof/>
          <w:lang w:val="en-GB"/>
        </w:rPr>
        <w:t xml:space="preserve">, </w:t>
      </w:r>
      <w:r w:rsidR="00F179F9" w:rsidRPr="00F179F9">
        <w:rPr>
          <w:noProof/>
          <w:lang w:val="en-GB"/>
        </w:rPr>
        <w:t>as well as the sharing of research data</w:t>
      </w:r>
      <w:r w:rsidR="007A61FD" w:rsidRPr="004F0D42">
        <w:rPr>
          <w:noProof/>
          <w:lang w:val="en-GB"/>
        </w:rPr>
        <w:t>. Digital health products and services, including telehealth</w:t>
      </w:r>
      <w:r w:rsidR="00F878C4" w:rsidRPr="004F0D42">
        <w:rPr>
          <w:rStyle w:val="FootnoteReference"/>
          <w:noProof/>
          <w:lang w:val="en-GB"/>
        </w:rPr>
        <w:footnoteReference w:id="6"/>
      </w:r>
      <w:r w:rsidR="007A61FD" w:rsidRPr="004F0D42">
        <w:rPr>
          <w:noProof/>
          <w:lang w:val="en-GB"/>
        </w:rPr>
        <w:t xml:space="preserve">, </w:t>
      </w:r>
      <w:r w:rsidR="0042606D">
        <w:rPr>
          <w:noProof/>
          <w:lang w:val="en-GB"/>
        </w:rPr>
        <w:t>are no longer novelties</w:t>
      </w:r>
      <w:r w:rsidR="006A2DB2">
        <w:rPr>
          <w:noProof/>
          <w:lang w:val="en-GB"/>
        </w:rPr>
        <w:t>.</w:t>
      </w:r>
      <w:r w:rsidR="0042606D">
        <w:rPr>
          <w:noProof/>
          <w:lang w:val="en-GB"/>
        </w:rPr>
        <w:t xml:space="preserve"> </w:t>
      </w:r>
      <w:r w:rsidR="006A2DB2">
        <w:rPr>
          <w:noProof/>
          <w:lang w:val="en-GB"/>
        </w:rPr>
        <w:t>T</w:t>
      </w:r>
      <w:r w:rsidR="0042606D">
        <w:rPr>
          <w:noProof/>
          <w:lang w:val="en-GB"/>
        </w:rPr>
        <w:t xml:space="preserve">hey </w:t>
      </w:r>
      <w:r w:rsidR="008A789F">
        <w:rPr>
          <w:noProof/>
          <w:lang w:val="en-GB"/>
        </w:rPr>
        <w:t>are</w:t>
      </w:r>
      <w:r w:rsidR="007A61FD" w:rsidRPr="004F0D42" w:rsidDel="008A789F">
        <w:rPr>
          <w:noProof/>
          <w:lang w:val="en-GB"/>
        </w:rPr>
        <w:t xml:space="preserve"> </w:t>
      </w:r>
      <w:r w:rsidR="008A789F" w:rsidRPr="004F0D42">
        <w:rPr>
          <w:noProof/>
          <w:lang w:val="en-GB"/>
        </w:rPr>
        <w:t>becom</w:t>
      </w:r>
      <w:r w:rsidR="008A789F">
        <w:rPr>
          <w:noProof/>
          <w:lang w:val="en-GB"/>
        </w:rPr>
        <w:t>ing</w:t>
      </w:r>
      <w:r w:rsidR="008A789F" w:rsidRPr="004F0D42">
        <w:rPr>
          <w:noProof/>
          <w:lang w:val="en-GB"/>
        </w:rPr>
        <w:t xml:space="preserve"> </w:t>
      </w:r>
      <w:r w:rsidR="007A61FD" w:rsidRPr="004F0D42">
        <w:rPr>
          <w:noProof/>
          <w:lang w:val="en-GB"/>
        </w:rPr>
        <w:t xml:space="preserve">a part of </w:t>
      </w:r>
      <w:r w:rsidR="008A789F">
        <w:rPr>
          <w:noProof/>
          <w:lang w:val="en-GB"/>
        </w:rPr>
        <w:t xml:space="preserve">everyday </w:t>
      </w:r>
      <w:r w:rsidR="00C858B7" w:rsidRPr="004F0D42">
        <w:rPr>
          <w:noProof/>
          <w:lang w:val="en-GB"/>
        </w:rPr>
        <w:t xml:space="preserve">care </w:t>
      </w:r>
      <w:r w:rsidR="007A61FD" w:rsidRPr="004F0D42">
        <w:rPr>
          <w:noProof/>
          <w:lang w:val="en-GB"/>
        </w:rPr>
        <w:t xml:space="preserve">delivery. </w:t>
      </w:r>
    </w:p>
    <w:p w14:paraId="1A3FCA58" w14:textId="77777777" w:rsidR="0089367C" w:rsidRDefault="00D35A75" w:rsidP="0089367C">
      <w:pPr>
        <w:pStyle w:val="NormalWeb"/>
        <w:rPr>
          <w:noProof/>
          <w:lang w:val="en-GB"/>
        </w:rPr>
      </w:pPr>
      <w:r>
        <w:rPr>
          <w:noProof/>
          <w:lang w:val="en-GB"/>
        </w:rPr>
        <w:t>Harnessing the power of health data through the digital transformation</w:t>
      </w:r>
      <w:r w:rsidRPr="004F0D42">
        <w:rPr>
          <w:noProof/>
          <w:lang w:val="en-GB"/>
        </w:rPr>
        <w:t xml:space="preserve"> </w:t>
      </w:r>
      <w:r w:rsidR="00B4066F" w:rsidRPr="004F0D42">
        <w:rPr>
          <w:noProof/>
          <w:lang w:val="en-GB"/>
        </w:rPr>
        <w:t xml:space="preserve">is </w:t>
      </w:r>
      <w:r w:rsidR="00E052B0" w:rsidRPr="004F0D42">
        <w:rPr>
          <w:noProof/>
          <w:lang w:val="en-GB"/>
        </w:rPr>
        <w:t>especially</w:t>
      </w:r>
      <w:r w:rsidR="00DA0648" w:rsidRPr="004F0D42">
        <w:rPr>
          <w:noProof/>
          <w:lang w:val="en-GB"/>
        </w:rPr>
        <w:t xml:space="preserve"> </w:t>
      </w:r>
      <w:r w:rsidR="00B4066F" w:rsidRPr="004F0D42">
        <w:rPr>
          <w:noProof/>
          <w:lang w:val="en-GB"/>
        </w:rPr>
        <w:t xml:space="preserve">relevant </w:t>
      </w:r>
      <w:r w:rsidR="00DA0648" w:rsidRPr="004F0D42">
        <w:rPr>
          <w:noProof/>
          <w:lang w:val="en-GB"/>
        </w:rPr>
        <w:t xml:space="preserve">when patients move </w:t>
      </w:r>
      <w:r w:rsidR="008B463C">
        <w:rPr>
          <w:noProof/>
          <w:lang w:val="en-GB"/>
        </w:rPr>
        <w:t xml:space="preserve">within or </w:t>
      </w:r>
      <w:r w:rsidR="00B41F1D">
        <w:rPr>
          <w:noProof/>
          <w:lang w:val="en-GB"/>
        </w:rPr>
        <w:t>to other EU countries</w:t>
      </w:r>
      <w:r w:rsidR="00E052B0" w:rsidRPr="004F0D42">
        <w:rPr>
          <w:noProof/>
          <w:lang w:val="en-GB"/>
        </w:rPr>
        <w:t>;</w:t>
      </w:r>
      <w:r w:rsidR="00DA0648" w:rsidRPr="004F0D42">
        <w:rPr>
          <w:noProof/>
          <w:lang w:val="en-GB"/>
        </w:rPr>
        <w:t xml:space="preserve"> and when researchers, innovators, policy</w:t>
      </w:r>
      <w:r w:rsidR="006E0A22">
        <w:rPr>
          <w:noProof/>
          <w:lang w:val="en-GB"/>
        </w:rPr>
        <w:t>-</w:t>
      </w:r>
      <w:r w:rsidR="00DA0648" w:rsidRPr="004F0D42">
        <w:rPr>
          <w:noProof/>
          <w:lang w:val="en-GB"/>
        </w:rPr>
        <w:t xml:space="preserve">makers </w:t>
      </w:r>
      <w:r w:rsidR="00E052B0" w:rsidRPr="004F0D42">
        <w:rPr>
          <w:noProof/>
          <w:lang w:val="en-GB"/>
        </w:rPr>
        <w:t xml:space="preserve">or </w:t>
      </w:r>
      <w:r w:rsidR="00DA0648" w:rsidRPr="004F0D42">
        <w:rPr>
          <w:noProof/>
          <w:lang w:val="en-GB"/>
        </w:rPr>
        <w:t xml:space="preserve">regulators </w:t>
      </w:r>
      <w:r w:rsidR="00F74E25">
        <w:rPr>
          <w:noProof/>
          <w:lang w:val="en-GB"/>
        </w:rPr>
        <w:t xml:space="preserve">need </w:t>
      </w:r>
      <w:r w:rsidR="00F74E25" w:rsidRPr="00F74E25">
        <w:rPr>
          <w:noProof/>
          <w:lang w:val="en-GB"/>
        </w:rPr>
        <w:t xml:space="preserve">critical data that can </w:t>
      </w:r>
      <w:r w:rsidR="002B7DAF">
        <w:rPr>
          <w:noProof/>
          <w:lang w:val="en-GB"/>
        </w:rPr>
        <w:t>enable</w:t>
      </w:r>
      <w:r w:rsidR="002B7DAF" w:rsidRPr="00F74E25">
        <w:rPr>
          <w:noProof/>
          <w:lang w:val="en-GB"/>
        </w:rPr>
        <w:t xml:space="preserve"> </w:t>
      </w:r>
      <w:r w:rsidR="00F74E25" w:rsidRPr="00F74E25">
        <w:rPr>
          <w:noProof/>
          <w:lang w:val="en-GB"/>
        </w:rPr>
        <w:t>the p</w:t>
      </w:r>
      <w:r w:rsidR="00F74E25">
        <w:rPr>
          <w:noProof/>
          <w:lang w:val="en-GB"/>
        </w:rPr>
        <w:t xml:space="preserve">ower of science to help patients. </w:t>
      </w:r>
      <w:r w:rsidR="00335DAC">
        <w:rPr>
          <w:noProof/>
          <w:lang w:val="en-GB"/>
        </w:rPr>
        <w:t>Similarly, sharing health data in border regions where</w:t>
      </w:r>
      <w:r w:rsidR="0089367C" w:rsidRPr="00335DAC">
        <w:rPr>
          <w:noProof/>
          <w:lang w:val="en-GB"/>
        </w:rPr>
        <w:t xml:space="preserve"> individuals access healthcare services across the border much more frequently</w:t>
      </w:r>
      <w:r w:rsidR="00335DAC">
        <w:rPr>
          <w:noProof/>
          <w:lang w:val="en-GB"/>
        </w:rPr>
        <w:t xml:space="preserve"> </w:t>
      </w:r>
      <w:r w:rsidR="004C297E">
        <w:rPr>
          <w:noProof/>
          <w:lang w:val="en-GB"/>
        </w:rPr>
        <w:t xml:space="preserve">will </w:t>
      </w:r>
      <w:r w:rsidR="00335DAC">
        <w:rPr>
          <w:noProof/>
          <w:lang w:val="en-GB"/>
        </w:rPr>
        <w:t xml:space="preserve">be </w:t>
      </w:r>
      <w:r w:rsidR="00A951A9">
        <w:rPr>
          <w:noProof/>
          <w:lang w:val="en-GB"/>
        </w:rPr>
        <w:t xml:space="preserve">far </w:t>
      </w:r>
      <w:r w:rsidR="00335DAC">
        <w:rPr>
          <w:noProof/>
          <w:lang w:val="en-GB"/>
        </w:rPr>
        <w:t>easier</w:t>
      </w:r>
      <w:r w:rsidR="0089367C" w:rsidRPr="00335DAC">
        <w:rPr>
          <w:noProof/>
          <w:lang w:val="en-GB"/>
        </w:rPr>
        <w:t>.</w:t>
      </w:r>
    </w:p>
    <w:p w14:paraId="1C425D93" w14:textId="77777777" w:rsidR="00C16FE6" w:rsidRPr="007D6587" w:rsidRDefault="00C16FE6" w:rsidP="00C16FE6">
      <w:pPr>
        <w:rPr>
          <w:noProof/>
          <w:lang w:val="en-IE"/>
        </w:rPr>
      </w:pPr>
      <w:r>
        <w:rPr>
          <w:noProof/>
          <w:lang w:val="en-GB"/>
        </w:rPr>
        <w:t>Increased i</w:t>
      </w:r>
      <w:r w:rsidRPr="00F41B43">
        <w:rPr>
          <w:noProof/>
          <w:lang w:val="en-GB"/>
        </w:rPr>
        <w:t xml:space="preserve">nteroperability </w:t>
      </w:r>
      <w:r>
        <w:rPr>
          <w:noProof/>
          <w:lang w:val="en-GB"/>
        </w:rPr>
        <w:t>for health data among</w:t>
      </w:r>
      <w:r w:rsidRPr="00F41B43">
        <w:rPr>
          <w:noProof/>
          <w:lang w:val="en-GB"/>
        </w:rPr>
        <w:t xml:space="preserve"> healthcare providers could lead to </w:t>
      </w:r>
      <w:r>
        <w:rPr>
          <w:noProof/>
          <w:lang w:val="en-GB"/>
        </w:rPr>
        <w:t>significant</w:t>
      </w:r>
      <w:r w:rsidRPr="00F41B43">
        <w:rPr>
          <w:noProof/>
          <w:lang w:val="en-GB"/>
        </w:rPr>
        <w:t xml:space="preserve"> savings for patients and health systems</w:t>
      </w:r>
      <w:r>
        <w:rPr>
          <w:noProof/>
          <w:lang w:val="en-GB"/>
        </w:rPr>
        <w:t>, given that a</w:t>
      </w:r>
      <w:r w:rsidRPr="00F41B43">
        <w:rPr>
          <w:noProof/>
          <w:lang w:val="en-GB"/>
        </w:rPr>
        <w:t xml:space="preserve">round 10% of </w:t>
      </w:r>
      <w:r>
        <w:rPr>
          <w:noProof/>
          <w:lang w:val="en-GB"/>
        </w:rPr>
        <w:t xml:space="preserve">medical </w:t>
      </w:r>
      <w:r w:rsidRPr="00F41B43">
        <w:rPr>
          <w:noProof/>
          <w:lang w:val="en-GB"/>
        </w:rPr>
        <w:t xml:space="preserve">images </w:t>
      </w:r>
      <w:r>
        <w:rPr>
          <w:noProof/>
          <w:lang w:val="en-GB"/>
        </w:rPr>
        <w:t>taken</w:t>
      </w:r>
      <w:r w:rsidRPr="00F41B43">
        <w:rPr>
          <w:noProof/>
          <w:lang w:val="en-GB"/>
        </w:rPr>
        <w:t xml:space="preserve"> in the EU Member States (</w:t>
      </w:r>
      <w:r>
        <w:rPr>
          <w:noProof/>
          <w:lang w:val="en-GB"/>
        </w:rPr>
        <w:t>costing</w:t>
      </w:r>
      <w:r w:rsidRPr="00F41B43">
        <w:rPr>
          <w:noProof/>
          <w:lang w:val="en-GB"/>
        </w:rPr>
        <w:t xml:space="preserve"> around EUR 14 billion</w:t>
      </w:r>
      <w:r>
        <w:rPr>
          <w:noProof/>
          <w:lang w:val="en-GB"/>
        </w:rPr>
        <w:t xml:space="preserve"> a </w:t>
      </w:r>
      <w:r w:rsidRPr="00F41B43">
        <w:rPr>
          <w:noProof/>
          <w:lang w:val="en-GB"/>
        </w:rPr>
        <w:t>year) are considered unnecessary</w:t>
      </w:r>
      <w:r>
        <w:rPr>
          <w:rStyle w:val="FootnoteReference"/>
          <w:noProof/>
          <w:lang w:val="en-GB"/>
        </w:rPr>
        <w:footnoteReference w:id="7"/>
      </w:r>
      <w:r>
        <w:rPr>
          <w:noProof/>
          <w:lang w:val="en-GB"/>
        </w:rPr>
        <w:t>. Also, thanks to</w:t>
      </w:r>
      <w:r w:rsidRPr="00F41B43">
        <w:rPr>
          <w:noProof/>
          <w:lang w:val="en-GB"/>
        </w:rPr>
        <w:t xml:space="preserve"> e</w:t>
      </w:r>
      <w:r>
        <w:rPr>
          <w:noProof/>
          <w:lang w:val="en-GB"/>
        </w:rPr>
        <w:t>-P</w:t>
      </w:r>
      <w:r w:rsidRPr="00F41B43">
        <w:rPr>
          <w:noProof/>
          <w:lang w:val="en-GB"/>
        </w:rPr>
        <w:t>rescriptions</w:t>
      </w:r>
      <w:r>
        <w:rPr>
          <w:noProof/>
          <w:lang w:val="en-GB"/>
        </w:rPr>
        <w:t>,</w:t>
      </w:r>
      <w:r w:rsidRPr="00F41B43">
        <w:rPr>
          <w:noProof/>
          <w:lang w:val="en-GB"/>
        </w:rPr>
        <w:t xml:space="preserve"> errors in dispensing medical products could be reduced by 6%</w:t>
      </w:r>
      <w:r>
        <w:rPr>
          <w:noProof/>
          <w:lang w:val="en-GB"/>
        </w:rPr>
        <w:t xml:space="preserve"> on average</w:t>
      </w:r>
      <w:r>
        <w:rPr>
          <w:rStyle w:val="FootnoteReference"/>
          <w:noProof/>
          <w:lang w:val="en-GB"/>
        </w:rPr>
        <w:footnoteReference w:id="8"/>
      </w:r>
      <w:r>
        <w:rPr>
          <w:noProof/>
          <w:lang w:val="en-GB"/>
        </w:rPr>
        <w:t xml:space="preserve"> and up to </w:t>
      </w:r>
      <w:r w:rsidRPr="00F41B43">
        <w:rPr>
          <w:noProof/>
          <w:lang w:val="en-GB"/>
        </w:rPr>
        <w:t>15%</w:t>
      </w:r>
      <w:r w:rsidRPr="00F41B43">
        <w:rPr>
          <w:rStyle w:val="FootnoteReference"/>
          <w:noProof/>
          <w:lang w:val="en-GB"/>
        </w:rPr>
        <w:footnoteReference w:id="9"/>
      </w:r>
      <w:r w:rsidRPr="00F41B43">
        <w:rPr>
          <w:noProof/>
          <w:lang w:val="en-GB"/>
        </w:rPr>
        <w:t xml:space="preserve"> in more digitalised countries.</w:t>
      </w:r>
      <w:r w:rsidRPr="00281AB5">
        <w:rPr>
          <w:noProof/>
        </w:rPr>
        <w:t xml:space="preserve"> </w:t>
      </w:r>
      <w:r w:rsidRPr="007D6587">
        <w:rPr>
          <w:noProof/>
          <w:lang w:val="en-GB"/>
        </w:rPr>
        <w:t xml:space="preserve">It is </w:t>
      </w:r>
      <w:r>
        <w:rPr>
          <w:noProof/>
          <w:lang w:val="en-GB"/>
        </w:rPr>
        <w:t xml:space="preserve">also </w:t>
      </w:r>
      <w:r w:rsidRPr="007D6587">
        <w:rPr>
          <w:noProof/>
          <w:lang w:val="en-GB"/>
        </w:rPr>
        <w:t>estimated that</w:t>
      </w:r>
      <w:r>
        <w:rPr>
          <w:noProof/>
          <w:lang w:val="en-GB"/>
        </w:rPr>
        <w:t xml:space="preserve"> systematic use of</w:t>
      </w:r>
      <w:r w:rsidRPr="007D6587">
        <w:rPr>
          <w:noProof/>
          <w:lang w:val="en-GB"/>
        </w:rPr>
        <w:t xml:space="preserve"> </w:t>
      </w:r>
      <w:r w:rsidRPr="007D6587">
        <w:rPr>
          <w:b/>
          <w:bCs/>
          <w:noProof/>
          <w:lang w:val="en-GB"/>
        </w:rPr>
        <w:t>MyHealth@EU</w:t>
      </w:r>
      <w:r>
        <w:rPr>
          <w:rStyle w:val="FootnoteReference"/>
          <w:b/>
          <w:bCs/>
          <w:noProof/>
          <w:lang w:val="en-GB"/>
        </w:rPr>
        <w:footnoteReference w:id="10"/>
      </w:r>
      <w:r w:rsidRPr="007D6587">
        <w:rPr>
          <w:noProof/>
          <w:lang w:val="en-GB"/>
        </w:rPr>
        <w:t xml:space="preserve"> in the cross-border context, could result </w:t>
      </w:r>
      <w:r w:rsidR="00473B7E">
        <w:rPr>
          <w:noProof/>
          <w:lang w:val="en-GB"/>
        </w:rPr>
        <w:t xml:space="preserve">overall </w:t>
      </w:r>
      <w:r w:rsidRPr="007D6587">
        <w:rPr>
          <w:noProof/>
          <w:lang w:val="en-GB"/>
        </w:rPr>
        <w:t xml:space="preserve">in </w:t>
      </w:r>
      <w:r w:rsidRPr="007D6587">
        <w:rPr>
          <w:b/>
          <w:bCs/>
          <w:noProof/>
          <w:lang w:val="en-GB"/>
        </w:rPr>
        <w:t xml:space="preserve">EUR </w:t>
      </w:r>
      <w:r>
        <w:rPr>
          <w:b/>
          <w:bCs/>
          <w:noProof/>
          <w:lang w:val="en-GB"/>
        </w:rPr>
        <w:t>2</w:t>
      </w:r>
      <w:r w:rsidRPr="007D6587">
        <w:rPr>
          <w:b/>
          <w:bCs/>
          <w:noProof/>
          <w:lang w:val="en-GB"/>
        </w:rPr>
        <w:t>-</w:t>
      </w:r>
      <w:r>
        <w:rPr>
          <w:b/>
          <w:bCs/>
          <w:noProof/>
          <w:lang w:val="en-GB"/>
        </w:rPr>
        <w:t>3</w:t>
      </w:r>
      <w:r w:rsidRPr="007D6587">
        <w:rPr>
          <w:b/>
          <w:bCs/>
          <w:noProof/>
          <w:lang w:val="en-GB"/>
        </w:rPr>
        <w:t xml:space="preserve"> billion in savings</w:t>
      </w:r>
      <w:r w:rsidRPr="007D6587">
        <w:rPr>
          <w:noProof/>
          <w:lang w:val="en-GB"/>
        </w:rPr>
        <w:t xml:space="preserve"> through the services of electronic cross-border </w:t>
      </w:r>
      <w:r w:rsidRPr="007D6587">
        <w:rPr>
          <w:b/>
          <w:bCs/>
          <w:noProof/>
          <w:lang w:val="en-GB"/>
        </w:rPr>
        <w:t>prescriptions</w:t>
      </w:r>
      <w:r w:rsidRPr="007D6587">
        <w:rPr>
          <w:noProof/>
          <w:lang w:val="en-GB"/>
        </w:rPr>
        <w:t xml:space="preserve"> (corresponding to EUR 37-52 million additional dispensations over 10 years)</w:t>
      </w:r>
      <w:r w:rsidRPr="00AE4B54">
        <w:rPr>
          <w:rStyle w:val="FootnoteReference"/>
          <w:noProof/>
          <w:lang w:val="en-GB"/>
        </w:rPr>
        <w:footnoteReference w:id="11"/>
      </w:r>
      <w:r w:rsidRPr="007D6587">
        <w:rPr>
          <w:noProof/>
          <w:lang w:val="en-GB"/>
        </w:rPr>
        <w:t>.</w:t>
      </w:r>
    </w:p>
    <w:p w14:paraId="03858F00" w14:textId="4809EFDF" w:rsidR="0077357D" w:rsidRDefault="008B463C" w:rsidP="0077357D">
      <w:pPr>
        <w:spacing w:before="100" w:beforeAutospacing="1" w:after="100" w:afterAutospacing="1" w:line="240" w:lineRule="auto"/>
        <w:rPr>
          <w:noProof/>
          <w:lang w:val="en-GB"/>
        </w:rPr>
      </w:pPr>
      <w:r>
        <w:rPr>
          <w:noProof/>
          <w:lang w:val="en-GB"/>
        </w:rPr>
        <w:t>In order to unleash the potential of health data the Commission is presenting a legislative proposal</w:t>
      </w:r>
      <w:r w:rsidR="00710B1F">
        <w:rPr>
          <w:noProof/>
          <w:lang w:val="en-GB"/>
        </w:rPr>
        <w:t xml:space="preserve"> </w:t>
      </w:r>
      <w:r>
        <w:rPr>
          <w:noProof/>
          <w:lang w:val="en-GB"/>
        </w:rPr>
        <w:t xml:space="preserve">to create a </w:t>
      </w:r>
      <w:r w:rsidRPr="00872562">
        <w:rPr>
          <w:b/>
          <w:bCs/>
          <w:noProof/>
          <w:lang w:val="en-GB"/>
        </w:rPr>
        <w:t>European Health Data Space</w:t>
      </w:r>
      <w:r w:rsidR="00761DDB">
        <w:rPr>
          <w:noProof/>
          <w:lang w:val="en-GB"/>
        </w:rPr>
        <w:t>, to</w:t>
      </w:r>
      <w:r w:rsidR="0077357D">
        <w:rPr>
          <w:noProof/>
          <w:lang w:val="en-GB"/>
        </w:rPr>
        <w:t xml:space="preserve"> empower individuals to take control of their own health data</w:t>
      </w:r>
      <w:r w:rsidR="00961A82">
        <w:rPr>
          <w:noProof/>
          <w:lang w:val="en-GB"/>
        </w:rPr>
        <w:t xml:space="preserve"> and to allow its use for better healthcare delivery</w:t>
      </w:r>
      <w:r w:rsidR="00761DDB">
        <w:rPr>
          <w:noProof/>
          <w:lang w:val="en-GB"/>
        </w:rPr>
        <w:t>,</w:t>
      </w:r>
      <w:r w:rsidR="0077357D" w:rsidRPr="004F0D42">
        <w:rPr>
          <w:noProof/>
          <w:lang w:val="en-GB"/>
        </w:rPr>
        <w:t xml:space="preserve"> </w:t>
      </w:r>
      <w:r w:rsidR="00961A82">
        <w:rPr>
          <w:noProof/>
          <w:lang w:val="en-GB"/>
        </w:rPr>
        <w:t xml:space="preserve">and </w:t>
      </w:r>
      <w:r w:rsidR="00761DDB">
        <w:rPr>
          <w:noProof/>
          <w:lang w:val="en-GB"/>
        </w:rPr>
        <w:t xml:space="preserve">to </w:t>
      </w:r>
      <w:r w:rsidR="0077357D">
        <w:rPr>
          <w:noProof/>
          <w:lang w:val="en-GB"/>
        </w:rPr>
        <w:t xml:space="preserve">enable the EU to </w:t>
      </w:r>
      <w:r w:rsidR="0077357D" w:rsidRPr="004F0D42">
        <w:rPr>
          <w:noProof/>
          <w:lang w:val="en-GB"/>
        </w:rPr>
        <w:t xml:space="preserve">make </w:t>
      </w:r>
      <w:r w:rsidR="0077357D">
        <w:rPr>
          <w:noProof/>
          <w:lang w:val="en-GB"/>
        </w:rPr>
        <w:t xml:space="preserve">full use of the potential </w:t>
      </w:r>
      <w:r w:rsidR="0077357D" w:rsidRPr="004F0D42">
        <w:rPr>
          <w:noProof/>
          <w:lang w:val="en-GB"/>
        </w:rPr>
        <w:t>offered by a safe</w:t>
      </w:r>
      <w:r w:rsidR="0077357D">
        <w:rPr>
          <w:noProof/>
          <w:lang w:val="en-GB"/>
        </w:rPr>
        <w:t xml:space="preserve"> and secure</w:t>
      </w:r>
      <w:r w:rsidR="0077357D" w:rsidRPr="004F0D42">
        <w:rPr>
          <w:noProof/>
          <w:lang w:val="en-GB"/>
        </w:rPr>
        <w:t xml:space="preserve"> exchange, use </w:t>
      </w:r>
      <w:r w:rsidR="0077357D">
        <w:rPr>
          <w:noProof/>
          <w:lang w:val="en-GB"/>
        </w:rPr>
        <w:t>and</w:t>
      </w:r>
      <w:r w:rsidR="0077357D" w:rsidRPr="004F0D42">
        <w:rPr>
          <w:noProof/>
          <w:lang w:val="en-GB"/>
        </w:rPr>
        <w:t xml:space="preserve"> reuse of health data</w:t>
      </w:r>
      <w:r w:rsidR="00961A82">
        <w:rPr>
          <w:noProof/>
          <w:lang w:val="en-GB"/>
        </w:rPr>
        <w:t xml:space="preserve">, without the </w:t>
      </w:r>
      <w:r w:rsidR="00761DDB">
        <w:rPr>
          <w:noProof/>
          <w:lang w:val="en-GB"/>
        </w:rPr>
        <w:t>existing obstacles</w:t>
      </w:r>
      <w:r w:rsidR="0077357D" w:rsidRPr="004F0D42">
        <w:rPr>
          <w:noProof/>
          <w:lang w:val="en-GB"/>
        </w:rPr>
        <w:t xml:space="preserve">. </w:t>
      </w:r>
    </w:p>
    <w:p w14:paraId="35CBAC06" w14:textId="77777777" w:rsidR="0077357D" w:rsidRDefault="0077357D" w:rsidP="0077357D">
      <w:pPr>
        <w:spacing w:before="100" w:beforeAutospacing="1" w:after="100" w:afterAutospacing="1" w:line="240" w:lineRule="auto"/>
        <w:rPr>
          <w:noProof/>
          <w:lang w:val="en-GB"/>
        </w:rPr>
      </w:pPr>
      <w:r w:rsidRPr="00F945E4">
        <w:rPr>
          <w:noProof/>
          <w:lang w:val="en-GB" w:eastAsia="en-GB"/>
        </w:rPr>
        <w:drawing>
          <wp:inline distT="0" distB="0" distL="0" distR="0" wp14:anchorId="3F0CA690" wp14:editId="635EABE4">
            <wp:extent cx="5943600" cy="2360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360930"/>
                    </a:xfrm>
                    <a:prstGeom prst="rect">
                      <a:avLst/>
                    </a:prstGeom>
                  </pic:spPr>
                </pic:pic>
              </a:graphicData>
            </a:graphic>
          </wp:inline>
        </w:drawing>
      </w:r>
    </w:p>
    <w:p w14:paraId="6193356A" w14:textId="77777777" w:rsidR="0077357D" w:rsidRPr="00F41B43" w:rsidRDefault="0077357D" w:rsidP="0077357D">
      <w:pPr>
        <w:pStyle w:val="Caption"/>
        <w:jc w:val="center"/>
        <w:rPr>
          <w:noProof/>
          <w:lang w:val="en-GB"/>
        </w:rPr>
      </w:pPr>
      <w:r>
        <w:rPr>
          <w:noProof/>
        </w:rPr>
        <w:t>F</w:t>
      </w:r>
      <w:r w:rsidRPr="008E71FD">
        <w:rPr>
          <w:noProof/>
        </w:rPr>
        <w:t xml:space="preserve">igure </w:t>
      </w:r>
      <w:r w:rsidR="002F32B1">
        <w:rPr>
          <w:noProof/>
        </w:rPr>
        <w:fldChar w:fldCharType="begin"/>
      </w:r>
      <w:r w:rsidR="002F32B1">
        <w:rPr>
          <w:noProof/>
        </w:rPr>
        <w:instrText xml:space="preserve"> SEQ Figure \* ARABIC </w:instrText>
      </w:r>
      <w:r w:rsidR="002F32B1">
        <w:rPr>
          <w:noProof/>
        </w:rPr>
        <w:fldChar w:fldCharType="separate"/>
      </w:r>
      <w:r>
        <w:rPr>
          <w:noProof/>
        </w:rPr>
        <w:t>1</w:t>
      </w:r>
      <w:r w:rsidR="002F32B1">
        <w:rPr>
          <w:noProof/>
        </w:rPr>
        <w:fldChar w:fldCharType="end"/>
      </w:r>
      <w:r w:rsidRPr="006413E7">
        <w:rPr>
          <w:noProof/>
        </w:rPr>
        <w:t xml:space="preserve"> </w:t>
      </w:r>
      <w:r>
        <w:rPr>
          <w:noProof/>
        </w:rPr>
        <w:t>-</w:t>
      </w:r>
      <w:r w:rsidRPr="008E71FD">
        <w:rPr>
          <w:noProof/>
        </w:rPr>
        <w:t xml:space="preserve"> </w:t>
      </w:r>
      <w:r>
        <w:rPr>
          <w:noProof/>
        </w:rPr>
        <w:t>Main objectives of the European Health Data Space</w:t>
      </w:r>
    </w:p>
    <w:p w14:paraId="67750CDB" w14:textId="4E68387C" w:rsidR="0077357D" w:rsidRPr="00CC425E" w:rsidRDefault="006C5B5F" w:rsidP="0077357D">
      <w:pPr>
        <w:spacing w:before="100" w:beforeAutospacing="1" w:after="100" w:afterAutospacing="1" w:line="240" w:lineRule="auto"/>
        <w:rPr>
          <w:rFonts w:eastAsia="Times New Roman"/>
          <w:strike/>
          <w:noProof/>
          <w:lang w:val="en-GB"/>
        </w:rPr>
      </w:pPr>
      <w:r w:rsidRPr="006F1201">
        <w:rPr>
          <w:noProof/>
          <w:lang w:val="en-GB"/>
        </w:rPr>
        <w:t xml:space="preserve">People are keen to </w:t>
      </w:r>
      <w:r>
        <w:rPr>
          <w:noProof/>
          <w:lang w:val="en-GB"/>
        </w:rPr>
        <w:t>share their data</w:t>
      </w:r>
      <w:r w:rsidRPr="006F1201">
        <w:rPr>
          <w:noProof/>
          <w:lang w:val="en-GB"/>
        </w:rPr>
        <w:t>, if there is a framework that merits their trust</w:t>
      </w:r>
      <w:r>
        <w:rPr>
          <w:rStyle w:val="FootnoteReference"/>
          <w:b/>
          <w:noProof/>
          <w:lang w:val="en-GB"/>
        </w:rPr>
        <w:footnoteReference w:id="12"/>
      </w:r>
      <w:r w:rsidRPr="00930699">
        <w:rPr>
          <w:noProof/>
          <w:lang w:val="en-GB"/>
        </w:rPr>
        <w:t xml:space="preserve">. </w:t>
      </w:r>
      <w:r w:rsidR="0077357D" w:rsidRPr="00CB74D2">
        <w:rPr>
          <w:rFonts w:eastAsia="Times New Roman"/>
          <w:noProof/>
          <w:lang w:val="en-GB"/>
        </w:rPr>
        <w:t xml:space="preserve">EU citizens will be able </w:t>
      </w:r>
      <w:r w:rsidR="0077357D" w:rsidRPr="00952763">
        <w:rPr>
          <w:rFonts w:eastAsia="Times New Roman"/>
          <w:noProof/>
          <w:lang w:val="en-GB"/>
        </w:rPr>
        <w:t>to access and share their</w:t>
      </w:r>
      <w:r w:rsidR="0077357D" w:rsidRPr="009F0D5C">
        <w:rPr>
          <w:rFonts w:eastAsia="Times New Roman"/>
          <w:noProof/>
          <w:lang w:val="en-GB"/>
        </w:rPr>
        <w:t xml:space="preserve"> data</w:t>
      </w:r>
      <w:r w:rsidR="0077357D" w:rsidRPr="007D74EC">
        <w:rPr>
          <w:rFonts w:eastAsia="Times New Roman"/>
          <w:noProof/>
          <w:lang w:val="en-GB"/>
        </w:rPr>
        <w:t xml:space="preserve"> in real time, while retai</w:t>
      </w:r>
      <w:r w:rsidR="0077357D" w:rsidRPr="00394E29">
        <w:rPr>
          <w:rFonts w:eastAsia="Times New Roman"/>
          <w:noProof/>
          <w:lang w:val="en-GB"/>
        </w:rPr>
        <w:t xml:space="preserve">ning greater control over </w:t>
      </w:r>
      <w:r>
        <w:rPr>
          <w:rFonts w:eastAsia="Times New Roman"/>
          <w:noProof/>
          <w:lang w:val="en-GB"/>
        </w:rPr>
        <w:t>it</w:t>
      </w:r>
      <w:r w:rsidR="0077357D" w:rsidRPr="00E1393A">
        <w:rPr>
          <w:rFonts w:eastAsia="Times New Roman"/>
          <w:noProof/>
          <w:lang w:val="en-GB"/>
        </w:rPr>
        <w:t>.</w:t>
      </w:r>
      <w:r w:rsidR="0077357D" w:rsidRPr="00111CC1">
        <w:rPr>
          <w:rFonts w:eastAsia="Times New Roman"/>
          <w:noProof/>
          <w:lang w:val="en-GB"/>
        </w:rPr>
        <w:t xml:space="preserve"> </w:t>
      </w:r>
      <w:r>
        <w:rPr>
          <w:noProof/>
          <w:lang w:val="en-GB"/>
        </w:rPr>
        <w:t>The European Health Data Space will allow a</w:t>
      </w:r>
      <w:r w:rsidRPr="008E71FD">
        <w:rPr>
          <w:noProof/>
          <w:lang w:val="en-GB"/>
        </w:rPr>
        <w:t xml:space="preserve"> </w:t>
      </w:r>
      <w:r w:rsidRPr="00F41B43">
        <w:rPr>
          <w:b/>
          <w:noProof/>
          <w:lang w:val="en-GB"/>
        </w:rPr>
        <w:t>more effective, accessible and resilient health</w:t>
      </w:r>
      <w:r>
        <w:rPr>
          <w:b/>
          <w:noProof/>
          <w:lang w:val="en-GB"/>
        </w:rPr>
        <w:t>care and better</w:t>
      </w:r>
      <w:r w:rsidRPr="00F41B43">
        <w:rPr>
          <w:b/>
          <w:noProof/>
          <w:lang w:val="en-GB"/>
        </w:rPr>
        <w:t xml:space="preserve"> quality of life, </w:t>
      </w:r>
      <w:r w:rsidRPr="00F41B43">
        <w:rPr>
          <w:noProof/>
          <w:lang w:val="en-GB"/>
        </w:rPr>
        <w:t>while</w:t>
      </w:r>
      <w:r w:rsidRPr="00F41B43">
        <w:rPr>
          <w:b/>
          <w:noProof/>
          <w:lang w:val="en-GB"/>
        </w:rPr>
        <w:t xml:space="preserve"> </w:t>
      </w:r>
      <w:r>
        <w:rPr>
          <w:b/>
          <w:noProof/>
          <w:lang w:val="en-GB"/>
        </w:rPr>
        <w:t>giving</w:t>
      </w:r>
      <w:r w:rsidRPr="00F41B43">
        <w:rPr>
          <w:b/>
          <w:noProof/>
          <w:lang w:val="en-GB"/>
        </w:rPr>
        <w:t xml:space="preserve"> individual</w:t>
      </w:r>
      <w:r>
        <w:rPr>
          <w:b/>
          <w:noProof/>
          <w:lang w:val="en-GB"/>
        </w:rPr>
        <w:t>s</w:t>
      </w:r>
      <w:r w:rsidRPr="00F41B43">
        <w:rPr>
          <w:b/>
          <w:noProof/>
          <w:lang w:val="en-GB"/>
        </w:rPr>
        <w:t xml:space="preserve"> </w:t>
      </w:r>
      <w:r>
        <w:rPr>
          <w:b/>
          <w:noProof/>
          <w:lang w:val="en-GB"/>
        </w:rPr>
        <w:t xml:space="preserve">control </w:t>
      </w:r>
      <w:r w:rsidRPr="00F41B43">
        <w:rPr>
          <w:b/>
          <w:noProof/>
          <w:lang w:val="en-GB"/>
        </w:rPr>
        <w:t xml:space="preserve">over </w:t>
      </w:r>
      <w:r>
        <w:rPr>
          <w:b/>
          <w:noProof/>
          <w:lang w:val="en-GB"/>
        </w:rPr>
        <w:t>their</w:t>
      </w:r>
      <w:r w:rsidRPr="00F41B43">
        <w:rPr>
          <w:b/>
          <w:noProof/>
          <w:lang w:val="en-GB"/>
        </w:rPr>
        <w:t xml:space="preserve"> health data</w:t>
      </w:r>
      <w:r>
        <w:rPr>
          <w:b/>
          <w:noProof/>
          <w:lang w:val="en-GB"/>
        </w:rPr>
        <w:t xml:space="preserve"> and unleashing the potential of the data economy</w:t>
      </w:r>
      <w:r w:rsidRPr="00F41B43">
        <w:rPr>
          <w:noProof/>
          <w:lang w:val="en-GB"/>
        </w:rPr>
        <w:t xml:space="preserve">. </w:t>
      </w:r>
      <w:r w:rsidR="0077357D" w:rsidRPr="008714C1">
        <w:rPr>
          <w:rFonts w:eastAsia="Times New Roman"/>
          <w:noProof/>
          <w:lang w:val="en-GB"/>
        </w:rPr>
        <w:t>As such, the European Health Data Space will have a significant</w:t>
      </w:r>
      <w:r>
        <w:rPr>
          <w:rFonts w:eastAsia="Times New Roman"/>
          <w:noProof/>
          <w:lang w:val="en-GB"/>
        </w:rPr>
        <w:t>ly</w:t>
      </w:r>
      <w:r w:rsidR="0077357D" w:rsidRPr="008714C1">
        <w:rPr>
          <w:rFonts w:eastAsia="Times New Roman"/>
          <w:noProof/>
          <w:lang w:val="en-GB"/>
        </w:rPr>
        <w:t xml:space="preserve"> positive impact on fundamental rights as regards personal data protection and free movement. </w:t>
      </w:r>
      <w:r w:rsidR="007630BA">
        <w:rPr>
          <w:rFonts w:eastAsia="Times New Roman"/>
          <w:noProof/>
          <w:lang w:val="en-GB"/>
        </w:rPr>
        <w:t>Properly articulated with the European Open Science Cloud (EOSC) data space and the relevant European life sciences data infrastructures</w:t>
      </w:r>
      <w:r w:rsidR="007630BA">
        <w:rPr>
          <w:rStyle w:val="FootnoteReference"/>
          <w:rFonts w:eastAsia="Times New Roman"/>
          <w:noProof/>
          <w:lang w:val="en-GB"/>
        </w:rPr>
        <w:footnoteReference w:id="13"/>
      </w:r>
      <w:r w:rsidR="007630BA" w:rsidRPr="009D4CAC">
        <w:rPr>
          <w:noProof/>
          <w:lang w:val="en-GB"/>
        </w:rPr>
        <w:t xml:space="preserve">, </w:t>
      </w:r>
      <w:r w:rsidR="0077357D" w:rsidRPr="008714C1">
        <w:rPr>
          <w:rFonts w:eastAsia="Times New Roman"/>
          <w:noProof/>
          <w:lang w:val="en-GB"/>
        </w:rPr>
        <w:t xml:space="preserve"> it will enable researchers, innovators and policy-makers to more effectively use the data securely and in a way that safeguards privacy.</w:t>
      </w:r>
      <w:r w:rsidR="0077357D" w:rsidRPr="00CC425E">
        <w:rPr>
          <w:rFonts w:eastAsia="Times New Roman"/>
          <w:strike/>
          <w:noProof/>
          <w:lang w:val="en-GB"/>
        </w:rPr>
        <w:t xml:space="preserve"> </w:t>
      </w:r>
    </w:p>
    <w:p w14:paraId="6873904F" w14:textId="22D66D36" w:rsidR="0077357D" w:rsidRDefault="00FB16A0" w:rsidP="0077357D">
      <w:pPr>
        <w:spacing w:before="100" w:beforeAutospacing="1" w:after="100" w:afterAutospacing="1" w:line="240" w:lineRule="auto"/>
        <w:rPr>
          <w:noProof/>
          <w:lang w:val="en-GB"/>
        </w:rPr>
      </w:pPr>
      <w:r w:rsidRPr="00FB16A0">
        <w:rPr>
          <w:noProof/>
          <w:lang w:val="en-GB"/>
        </w:rPr>
        <w:t xml:space="preserve">Through the </w:t>
      </w:r>
      <w:r w:rsidRPr="00244B06">
        <w:rPr>
          <w:b/>
          <w:bCs/>
          <w:noProof/>
          <w:lang w:val="en-GB"/>
        </w:rPr>
        <w:t>Conference on the Future of Europe</w:t>
      </w:r>
      <w:r w:rsidRPr="00FB16A0">
        <w:rPr>
          <w:noProof/>
          <w:lang w:val="en-GB"/>
        </w:rPr>
        <w:t xml:space="preserve">, citizens have explicitly called for the creation of a European </w:t>
      </w:r>
      <w:r>
        <w:rPr>
          <w:noProof/>
          <w:lang w:val="en-GB"/>
        </w:rPr>
        <w:t>H</w:t>
      </w:r>
      <w:r w:rsidRPr="00FB16A0">
        <w:rPr>
          <w:noProof/>
          <w:lang w:val="en-GB"/>
        </w:rPr>
        <w:t xml:space="preserve">ealth </w:t>
      </w:r>
      <w:r>
        <w:rPr>
          <w:noProof/>
          <w:lang w:val="en-GB"/>
        </w:rPr>
        <w:t>D</w:t>
      </w:r>
      <w:r w:rsidRPr="00FB16A0">
        <w:rPr>
          <w:noProof/>
          <w:lang w:val="en-GB"/>
        </w:rPr>
        <w:t xml:space="preserve">ata </w:t>
      </w:r>
      <w:r>
        <w:rPr>
          <w:noProof/>
          <w:lang w:val="en-GB"/>
        </w:rPr>
        <w:t>S</w:t>
      </w:r>
      <w:r w:rsidRPr="00FB16A0">
        <w:rPr>
          <w:noProof/>
          <w:lang w:val="en-GB"/>
        </w:rPr>
        <w:t>pace</w:t>
      </w:r>
      <w:r>
        <w:rPr>
          <w:noProof/>
          <w:lang w:val="en-GB"/>
        </w:rPr>
        <w:t xml:space="preserve">. </w:t>
      </w:r>
      <w:r w:rsidR="006C5B5F">
        <w:rPr>
          <w:noProof/>
          <w:lang w:val="en-GB"/>
        </w:rPr>
        <w:t>As such, t</w:t>
      </w:r>
      <w:r w:rsidR="0077357D" w:rsidRPr="00981D71">
        <w:rPr>
          <w:noProof/>
          <w:lang w:val="en-GB"/>
        </w:rPr>
        <w:t xml:space="preserve">he European Health Data Space is a key </w:t>
      </w:r>
      <w:r w:rsidR="006C5B5F">
        <w:rPr>
          <w:noProof/>
          <w:lang w:val="en-GB"/>
        </w:rPr>
        <w:t>pillar</w:t>
      </w:r>
      <w:r w:rsidR="006C5B5F" w:rsidRPr="00981D71">
        <w:rPr>
          <w:noProof/>
          <w:lang w:val="en-GB"/>
        </w:rPr>
        <w:t xml:space="preserve"> </w:t>
      </w:r>
      <w:r w:rsidR="0077357D" w:rsidRPr="00981D71">
        <w:rPr>
          <w:noProof/>
          <w:lang w:val="en-GB"/>
        </w:rPr>
        <w:t xml:space="preserve">of the strong </w:t>
      </w:r>
      <w:r w:rsidR="0077357D" w:rsidRPr="006F1201">
        <w:rPr>
          <w:b/>
          <w:noProof/>
          <w:lang w:val="en-GB"/>
        </w:rPr>
        <w:t>European Health Union</w:t>
      </w:r>
      <w:r w:rsidR="0077357D" w:rsidRPr="00981D71">
        <w:rPr>
          <w:noProof/>
          <w:lang w:val="en-GB"/>
        </w:rPr>
        <w:t xml:space="preserve"> presented by the Commission on 11 November 2020 to strengthen preparedness and response during health crises and </w:t>
      </w:r>
      <w:r w:rsidR="0077357D">
        <w:rPr>
          <w:noProof/>
          <w:lang w:val="en-GB"/>
        </w:rPr>
        <w:t>deliver resilient health systems</w:t>
      </w:r>
      <w:r w:rsidR="0077357D" w:rsidRPr="00981D71">
        <w:rPr>
          <w:noProof/>
          <w:lang w:val="en-GB"/>
        </w:rPr>
        <w:t xml:space="preserve">. The European Health Union is about protecting everyone’s health – leaving no-one behind. It builds on the solidarity that is both the bedrock of the EU and the recipe for success in tackling COVID-19. </w:t>
      </w:r>
      <w:r w:rsidR="0077357D">
        <w:rPr>
          <w:noProof/>
          <w:lang w:val="en-GB"/>
        </w:rPr>
        <w:t>The European Health Data Space</w:t>
      </w:r>
      <w:r w:rsidR="00197466">
        <w:rPr>
          <w:noProof/>
          <w:lang w:val="en-GB"/>
        </w:rPr>
        <w:t xml:space="preserve">, which is also one of the actions under the </w:t>
      </w:r>
      <w:r w:rsidR="00197466" w:rsidRPr="00E67300">
        <w:rPr>
          <w:b/>
          <w:bCs/>
          <w:noProof/>
          <w:lang w:val="en-GB"/>
        </w:rPr>
        <w:t>European Pillar of Social Rights Action Plan</w:t>
      </w:r>
      <w:r w:rsidR="00197466">
        <w:rPr>
          <w:noProof/>
          <w:lang w:val="en-GB"/>
        </w:rPr>
        <w:t xml:space="preserve">, </w:t>
      </w:r>
      <w:r w:rsidR="0077357D" w:rsidRPr="00981D71">
        <w:rPr>
          <w:noProof/>
          <w:lang w:val="en-GB"/>
        </w:rPr>
        <w:t>will drive th</w:t>
      </w:r>
      <w:r w:rsidR="0077357D">
        <w:rPr>
          <w:noProof/>
          <w:lang w:val="en-GB"/>
        </w:rPr>
        <w:t xml:space="preserve">is forward </w:t>
      </w:r>
      <w:r w:rsidR="0077357D" w:rsidRPr="00981D71">
        <w:rPr>
          <w:noProof/>
          <w:lang w:val="en-GB"/>
        </w:rPr>
        <w:t>– so that the European Health Union can deliver for everyone.</w:t>
      </w:r>
      <w:r w:rsidR="0077357D">
        <w:rPr>
          <w:noProof/>
          <w:lang w:val="en-GB"/>
        </w:rPr>
        <w:t xml:space="preserve"> </w:t>
      </w:r>
    </w:p>
    <w:p w14:paraId="347418BE" w14:textId="77777777" w:rsidR="0077357D" w:rsidRDefault="0077357D" w:rsidP="0077357D">
      <w:pPr>
        <w:spacing w:before="100" w:beforeAutospacing="1" w:after="100" w:afterAutospacing="1" w:line="240" w:lineRule="auto"/>
        <w:rPr>
          <w:noProof/>
          <w:lang w:val="en-GB"/>
        </w:rPr>
      </w:pPr>
      <w:r>
        <w:rPr>
          <w:noProof/>
          <w:lang w:val="en-GB"/>
        </w:rPr>
        <w:t>The European Health Data Space will link</w:t>
      </w:r>
      <w:r w:rsidRPr="000D40BA">
        <w:rPr>
          <w:noProof/>
          <w:lang w:val="en-GB"/>
        </w:rPr>
        <w:t xml:space="preserve"> dat</w:t>
      </w:r>
      <w:r>
        <w:rPr>
          <w:noProof/>
          <w:lang w:val="en-GB"/>
        </w:rPr>
        <w:t>a sets and</w:t>
      </w:r>
      <w:r w:rsidRPr="000D40BA">
        <w:rPr>
          <w:noProof/>
          <w:lang w:val="en-GB"/>
        </w:rPr>
        <w:t xml:space="preserve"> make them accessible</w:t>
      </w:r>
      <w:r>
        <w:rPr>
          <w:noProof/>
          <w:lang w:val="en-GB"/>
        </w:rPr>
        <w:t>, facilitating the search for the next game-changing health innovation.</w:t>
      </w:r>
      <w:r w:rsidRPr="000D40BA">
        <w:rPr>
          <w:noProof/>
          <w:lang w:val="en-GB"/>
        </w:rPr>
        <w:t xml:space="preserve"> </w:t>
      </w:r>
      <w:r w:rsidRPr="004F0D42">
        <w:rPr>
          <w:rFonts w:eastAsia="Times New Roman"/>
          <w:noProof/>
          <w:lang w:val="en-GB"/>
        </w:rPr>
        <w:t>It</w:t>
      </w:r>
      <w:r w:rsidRPr="004F0D42">
        <w:rPr>
          <w:noProof/>
          <w:lang w:val="en-GB"/>
        </w:rPr>
        <w:t xml:space="preserve"> is </w:t>
      </w:r>
      <w:r w:rsidRPr="004F0D42">
        <w:rPr>
          <w:b/>
          <w:noProof/>
          <w:lang w:val="en-GB"/>
        </w:rPr>
        <w:t>the first common</w:t>
      </w:r>
      <w:r w:rsidRPr="00F41B43">
        <w:rPr>
          <w:b/>
          <w:noProof/>
          <w:lang w:val="en-GB"/>
        </w:rPr>
        <w:t xml:space="preserve"> E</w:t>
      </w:r>
      <w:r>
        <w:rPr>
          <w:b/>
          <w:noProof/>
          <w:lang w:val="en-GB"/>
        </w:rPr>
        <w:t>U</w:t>
      </w:r>
      <w:r w:rsidRPr="00F41B43">
        <w:rPr>
          <w:b/>
          <w:noProof/>
          <w:lang w:val="en-GB"/>
        </w:rPr>
        <w:t xml:space="preserve"> data space</w:t>
      </w:r>
      <w:r w:rsidRPr="00F41B43">
        <w:rPr>
          <w:noProof/>
          <w:lang w:val="en-GB"/>
        </w:rPr>
        <w:t xml:space="preserve"> in a specific area</w:t>
      </w:r>
      <w:r>
        <w:rPr>
          <w:noProof/>
          <w:lang w:val="en-GB"/>
        </w:rPr>
        <w:t xml:space="preserve"> to emerge from the</w:t>
      </w:r>
      <w:r w:rsidRPr="00F41B43">
        <w:rPr>
          <w:noProof/>
          <w:lang w:val="en-GB"/>
        </w:rPr>
        <w:t xml:space="preserve"> EU </w:t>
      </w:r>
      <w:r>
        <w:rPr>
          <w:noProof/>
          <w:lang w:val="en-GB"/>
        </w:rPr>
        <w:t>s</w:t>
      </w:r>
      <w:r w:rsidRPr="00F41B43">
        <w:rPr>
          <w:noProof/>
          <w:lang w:val="en-GB"/>
        </w:rPr>
        <w:t xml:space="preserve">trategy for </w:t>
      </w:r>
      <w:r>
        <w:rPr>
          <w:noProof/>
          <w:lang w:val="en-GB"/>
        </w:rPr>
        <w:t>d</w:t>
      </w:r>
      <w:r w:rsidRPr="00F41B43">
        <w:rPr>
          <w:noProof/>
          <w:lang w:val="en-GB"/>
        </w:rPr>
        <w:t>ata</w:t>
      </w:r>
      <w:r w:rsidRPr="00F41B43">
        <w:rPr>
          <w:rStyle w:val="FootnoteReference"/>
          <w:noProof/>
          <w:lang w:val="en-GB"/>
        </w:rPr>
        <w:footnoteReference w:id="14"/>
      </w:r>
      <w:r>
        <w:rPr>
          <w:noProof/>
          <w:lang w:val="en-GB"/>
        </w:rPr>
        <w:t xml:space="preserve"> and is an </w:t>
      </w:r>
      <w:r w:rsidRPr="00E62F63">
        <w:rPr>
          <w:noProof/>
          <w:lang w:val="en-GB"/>
        </w:rPr>
        <w:t xml:space="preserve">integral part of the digital transition priority of </w:t>
      </w:r>
      <w:r>
        <w:rPr>
          <w:noProof/>
          <w:lang w:val="en-GB"/>
        </w:rPr>
        <w:t>the European Commission</w:t>
      </w:r>
      <w:r>
        <w:rPr>
          <w:rStyle w:val="FootnoteReference"/>
          <w:noProof/>
          <w:lang w:val="en-GB"/>
        </w:rPr>
        <w:footnoteReference w:id="15"/>
      </w:r>
      <w:r>
        <w:rPr>
          <w:noProof/>
          <w:lang w:val="en-GB"/>
        </w:rPr>
        <w:t xml:space="preserve">. </w:t>
      </w:r>
    </w:p>
    <w:p w14:paraId="64E5F608" w14:textId="2CA915CC" w:rsidR="00750A22" w:rsidRDefault="00750A22" w:rsidP="005D0260">
      <w:pPr>
        <w:spacing w:after="0" w:line="240" w:lineRule="auto"/>
        <w:rPr>
          <w:noProof/>
          <w:lang w:val="en-GB"/>
        </w:rPr>
      </w:pPr>
      <w:bookmarkStart w:id="3" w:name="_Hlk101283199"/>
      <w:r w:rsidRPr="00304FBD">
        <w:rPr>
          <w:noProof/>
          <w:lang w:val="en-GB"/>
        </w:rPr>
        <w:t xml:space="preserve">The European Health Data Space </w:t>
      </w:r>
      <w:r w:rsidRPr="006F1201">
        <w:rPr>
          <w:noProof/>
          <w:lang w:val="en-GB"/>
        </w:rPr>
        <w:t>builds on</w:t>
      </w:r>
      <w:r w:rsidRPr="00304FBD">
        <w:rPr>
          <w:b/>
          <w:noProof/>
          <w:lang w:val="en-GB"/>
        </w:rPr>
        <w:t xml:space="preserve"> </w:t>
      </w:r>
      <w:r w:rsidRPr="00304FBD">
        <w:rPr>
          <w:noProof/>
          <w:lang w:val="en-GB"/>
        </w:rPr>
        <w:t xml:space="preserve">the </w:t>
      </w:r>
      <w:r w:rsidRPr="006F1201">
        <w:rPr>
          <w:b/>
          <w:noProof/>
          <w:lang w:val="en-GB"/>
        </w:rPr>
        <w:t>General Data Protection Regulation (GDPR)</w:t>
      </w:r>
      <w:r w:rsidRPr="006F1201">
        <w:rPr>
          <w:rStyle w:val="FootnoteReference"/>
          <w:b/>
          <w:noProof/>
          <w:lang w:val="en-GB"/>
        </w:rPr>
        <w:footnoteReference w:id="16"/>
      </w:r>
      <w:r w:rsidRPr="006F1201">
        <w:rPr>
          <w:b/>
          <w:noProof/>
          <w:lang w:val="en-GB"/>
        </w:rPr>
        <w:t xml:space="preserve">, </w:t>
      </w:r>
      <w:r w:rsidRPr="00304FBD">
        <w:rPr>
          <w:b/>
          <w:noProof/>
          <w:lang w:val="en-GB"/>
        </w:rPr>
        <w:t>proposed Data Governance Act</w:t>
      </w:r>
      <w:r w:rsidRPr="00304FBD">
        <w:rPr>
          <w:rStyle w:val="FootnoteReference"/>
          <w:b/>
          <w:noProof/>
          <w:lang w:val="en-GB"/>
        </w:rPr>
        <w:footnoteReference w:id="17"/>
      </w:r>
      <w:r w:rsidRPr="00304FBD">
        <w:rPr>
          <w:noProof/>
          <w:lang w:val="en-GB"/>
        </w:rPr>
        <w:t xml:space="preserve">, </w:t>
      </w:r>
      <w:r w:rsidRPr="00304FBD">
        <w:rPr>
          <w:b/>
          <w:noProof/>
          <w:lang w:val="en-GB"/>
        </w:rPr>
        <w:t>draft Data Act</w:t>
      </w:r>
      <w:r w:rsidRPr="00304FBD">
        <w:rPr>
          <w:rStyle w:val="FootnoteReference"/>
          <w:b/>
          <w:noProof/>
          <w:lang w:val="en-GB"/>
        </w:rPr>
        <w:footnoteReference w:id="18"/>
      </w:r>
      <w:r w:rsidRPr="00304FBD">
        <w:rPr>
          <w:b/>
          <w:noProof/>
          <w:lang w:val="en-GB"/>
        </w:rPr>
        <w:t xml:space="preserve"> </w:t>
      </w:r>
      <w:r w:rsidRPr="00304FBD">
        <w:rPr>
          <w:noProof/>
          <w:lang w:val="en-GB"/>
        </w:rPr>
        <w:t xml:space="preserve">and </w:t>
      </w:r>
      <w:r w:rsidRPr="00304FBD">
        <w:rPr>
          <w:b/>
          <w:noProof/>
          <w:lang w:val="en-GB"/>
        </w:rPr>
        <w:t>NIS Directive</w:t>
      </w:r>
      <w:r w:rsidR="001C670C" w:rsidRPr="00304FBD">
        <w:rPr>
          <w:rStyle w:val="FootnoteReference"/>
          <w:b/>
          <w:noProof/>
          <w:lang w:val="en-GB"/>
        </w:rPr>
        <w:footnoteReference w:id="19"/>
      </w:r>
      <w:r w:rsidRPr="00304FBD">
        <w:rPr>
          <w:noProof/>
          <w:lang w:val="en-GB"/>
        </w:rPr>
        <w:t xml:space="preserve">. As horizontal frameworks, they provide rules (including security measures) </w:t>
      </w:r>
      <w:r w:rsidR="006A2DB2" w:rsidRPr="00304FBD">
        <w:rPr>
          <w:noProof/>
          <w:lang w:val="en-GB"/>
        </w:rPr>
        <w:t xml:space="preserve">that apply to </w:t>
      </w:r>
      <w:r w:rsidRPr="00304FBD">
        <w:rPr>
          <w:noProof/>
          <w:lang w:val="en-GB"/>
        </w:rPr>
        <w:t>the health sector</w:t>
      </w:r>
      <w:r w:rsidR="006A2DB2" w:rsidRPr="00304FBD">
        <w:rPr>
          <w:noProof/>
          <w:lang w:val="en-GB"/>
        </w:rPr>
        <w:t>. But the special sensitivity of health data has been recognised</w:t>
      </w:r>
      <w:r w:rsidR="00147A33">
        <w:rPr>
          <w:noProof/>
          <w:lang w:val="en-GB"/>
        </w:rPr>
        <w:t xml:space="preserve"> and is addressed by the current proposal</w:t>
      </w:r>
      <w:r w:rsidRPr="00304FBD">
        <w:rPr>
          <w:rStyle w:val="FootnoteReference"/>
          <w:noProof/>
          <w:lang w:val="en-GB"/>
        </w:rPr>
        <w:footnoteReference w:id="20"/>
      </w:r>
      <w:r w:rsidRPr="00304FBD">
        <w:rPr>
          <w:noProof/>
          <w:lang w:val="en-GB"/>
        </w:rPr>
        <w:t xml:space="preserve">. </w:t>
      </w:r>
      <w:bookmarkEnd w:id="3"/>
      <w:r w:rsidR="009B59B9" w:rsidRPr="00304FBD">
        <w:rPr>
          <w:noProof/>
          <w:lang w:val="en-GB"/>
        </w:rPr>
        <w:t>The</w:t>
      </w:r>
      <w:r w:rsidR="005D0260" w:rsidRPr="00304FBD">
        <w:rPr>
          <w:noProof/>
          <w:lang w:val="en-GB"/>
        </w:rPr>
        <w:t xml:space="preserve"> </w:t>
      </w:r>
      <w:r w:rsidR="009B59B9" w:rsidRPr="00304FBD">
        <w:rPr>
          <w:noProof/>
          <w:lang w:val="en-GB"/>
        </w:rPr>
        <w:t xml:space="preserve">Commission also plans to adopt a </w:t>
      </w:r>
      <w:r w:rsidR="005D0260" w:rsidRPr="00304FBD">
        <w:rPr>
          <w:noProof/>
          <w:lang w:val="en-GB"/>
        </w:rPr>
        <w:t xml:space="preserve">proposal for a </w:t>
      </w:r>
      <w:r w:rsidR="005D0260" w:rsidRPr="00304FBD">
        <w:rPr>
          <w:b/>
          <w:noProof/>
          <w:lang w:val="en-GB"/>
        </w:rPr>
        <w:t xml:space="preserve">Cyber </w:t>
      </w:r>
      <w:r w:rsidR="009B59B9" w:rsidRPr="00304FBD">
        <w:rPr>
          <w:b/>
          <w:noProof/>
          <w:lang w:val="en-GB"/>
        </w:rPr>
        <w:t>R</w:t>
      </w:r>
      <w:r w:rsidR="005D0260" w:rsidRPr="00304FBD">
        <w:rPr>
          <w:b/>
          <w:noProof/>
          <w:lang w:val="en-GB"/>
        </w:rPr>
        <w:t xml:space="preserve">esilience </w:t>
      </w:r>
      <w:r w:rsidR="009B59B9" w:rsidRPr="00304FBD">
        <w:rPr>
          <w:b/>
          <w:noProof/>
          <w:lang w:val="en-GB"/>
        </w:rPr>
        <w:t>A</w:t>
      </w:r>
      <w:r w:rsidR="005D0260" w:rsidRPr="00304FBD">
        <w:rPr>
          <w:b/>
          <w:noProof/>
          <w:lang w:val="en-GB"/>
        </w:rPr>
        <w:t>ct</w:t>
      </w:r>
      <w:r w:rsidR="005D0260" w:rsidRPr="00304FBD">
        <w:rPr>
          <w:noProof/>
          <w:lang w:val="en-GB"/>
        </w:rPr>
        <w:t xml:space="preserve"> in 2022</w:t>
      </w:r>
      <w:r w:rsidR="009B59B9" w:rsidRPr="00304FBD">
        <w:rPr>
          <w:noProof/>
          <w:lang w:val="en-GB"/>
        </w:rPr>
        <w:t>.</w:t>
      </w:r>
      <w:r w:rsidR="005D0260" w:rsidRPr="00304FBD">
        <w:rPr>
          <w:noProof/>
          <w:lang w:val="en-GB"/>
        </w:rPr>
        <w:t xml:space="preserve"> </w:t>
      </w:r>
      <w:r w:rsidR="009B59B9" w:rsidRPr="00304FBD">
        <w:rPr>
          <w:noProof/>
          <w:lang w:val="en-GB"/>
        </w:rPr>
        <w:t>This Act would</w:t>
      </w:r>
      <w:r w:rsidR="005D0260" w:rsidRPr="00304FBD">
        <w:rPr>
          <w:noProof/>
          <w:lang w:val="en-GB"/>
        </w:rPr>
        <w:t xml:space="preserve"> set out </w:t>
      </w:r>
      <w:r w:rsidR="009B59B9" w:rsidRPr="00304FBD">
        <w:rPr>
          <w:noProof/>
          <w:lang w:val="en-GB"/>
        </w:rPr>
        <w:t xml:space="preserve">the </w:t>
      </w:r>
      <w:r w:rsidR="005D0260" w:rsidRPr="00304FBD">
        <w:rPr>
          <w:noProof/>
          <w:lang w:val="en-GB"/>
        </w:rPr>
        <w:t>cybersecurity requirements for digital products and ancillary services.</w:t>
      </w:r>
      <w:r w:rsidR="005D0260" w:rsidRPr="00304FBD">
        <w:rPr>
          <w:noProof/>
        </w:rPr>
        <w:t xml:space="preserve"> </w:t>
      </w:r>
      <w:r w:rsidR="005D0260" w:rsidRPr="00304FBD">
        <w:rPr>
          <w:noProof/>
          <w:lang w:val="en-GB"/>
        </w:rPr>
        <w:t xml:space="preserve">The security requirements set out in the European Health Data Space, notably as regards electronic health record systems, provide more specific requirements </w:t>
      </w:r>
      <w:r w:rsidR="002B3EE7" w:rsidRPr="00304FBD">
        <w:rPr>
          <w:noProof/>
          <w:lang w:val="en-GB"/>
        </w:rPr>
        <w:t xml:space="preserve">for </w:t>
      </w:r>
      <w:r w:rsidR="00304FBD">
        <w:rPr>
          <w:noProof/>
          <w:lang w:val="en-GB"/>
        </w:rPr>
        <w:t xml:space="preserve">the </w:t>
      </w:r>
      <w:r w:rsidR="002B3EE7" w:rsidRPr="00304FBD">
        <w:rPr>
          <w:noProof/>
          <w:lang w:val="en-GB"/>
        </w:rPr>
        <w:t>health sector</w:t>
      </w:r>
      <w:r w:rsidR="005D0260" w:rsidRPr="00304FBD">
        <w:rPr>
          <w:noProof/>
          <w:lang w:val="en-GB"/>
        </w:rPr>
        <w:t>, such as access control.</w:t>
      </w:r>
      <w:r w:rsidR="00304FBD">
        <w:rPr>
          <w:noProof/>
          <w:lang w:val="en-GB"/>
        </w:rPr>
        <w:t xml:space="preserve"> The </w:t>
      </w:r>
      <w:r w:rsidRPr="00304FBD">
        <w:rPr>
          <w:noProof/>
          <w:lang w:val="en-GB"/>
        </w:rPr>
        <w:t xml:space="preserve">European Health Data Space complements these </w:t>
      </w:r>
      <w:r w:rsidR="00304FBD">
        <w:rPr>
          <w:noProof/>
          <w:lang w:val="en-GB"/>
        </w:rPr>
        <w:t>initiatives</w:t>
      </w:r>
      <w:r w:rsidRPr="00304FBD">
        <w:rPr>
          <w:noProof/>
          <w:lang w:val="en-GB"/>
        </w:rPr>
        <w:t xml:space="preserve"> and provides more </w:t>
      </w:r>
      <w:r w:rsidR="006A2DB2" w:rsidRPr="00304FBD">
        <w:rPr>
          <w:noProof/>
          <w:lang w:val="en-GB"/>
        </w:rPr>
        <w:t xml:space="preserve">tailor-made </w:t>
      </w:r>
      <w:r w:rsidRPr="00304FBD">
        <w:rPr>
          <w:noProof/>
          <w:lang w:val="en-GB"/>
        </w:rPr>
        <w:t>rules for the health sector</w:t>
      </w:r>
      <w:r w:rsidR="00A645B1">
        <w:rPr>
          <w:noProof/>
          <w:lang w:val="en-GB"/>
        </w:rPr>
        <w:t>,</w:t>
      </w:r>
      <w:r w:rsidR="00304FBD">
        <w:rPr>
          <w:noProof/>
          <w:lang w:val="en-GB"/>
        </w:rPr>
        <w:t xml:space="preserve"> where needed</w:t>
      </w:r>
      <w:r w:rsidR="000470AC">
        <w:rPr>
          <w:noProof/>
          <w:lang w:val="en-GB"/>
        </w:rPr>
        <w:t>.</w:t>
      </w:r>
    </w:p>
    <w:p w14:paraId="651C75E8" w14:textId="326FC345" w:rsidR="0024339B" w:rsidRPr="00F41B43" w:rsidRDefault="0024339B" w:rsidP="0024339B">
      <w:pPr>
        <w:pStyle w:val="NormalWeb"/>
        <w:rPr>
          <w:noProof/>
          <w:lang w:val="en-GB"/>
        </w:rPr>
      </w:pPr>
      <w:r w:rsidRPr="006F1201">
        <w:rPr>
          <w:b/>
          <w:noProof/>
          <w:lang w:val="en-GB"/>
        </w:rPr>
        <w:t>Trust</w:t>
      </w:r>
      <w:r w:rsidRPr="00086420">
        <w:rPr>
          <w:noProof/>
          <w:lang w:val="en-GB"/>
        </w:rPr>
        <w:t xml:space="preserve"> is </w:t>
      </w:r>
      <w:r>
        <w:rPr>
          <w:noProof/>
          <w:lang w:val="en-GB"/>
        </w:rPr>
        <w:t>a</w:t>
      </w:r>
      <w:r w:rsidRPr="00086420">
        <w:rPr>
          <w:noProof/>
          <w:lang w:val="en-GB"/>
        </w:rPr>
        <w:t xml:space="preserve"> </w:t>
      </w:r>
      <w:r w:rsidR="00A83BBD">
        <w:rPr>
          <w:noProof/>
          <w:lang w:val="en-GB"/>
        </w:rPr>
        <w:t>fundamental</w:t>
      </w:r>
      <w:r w:rsidR="00A83BBD" w:rsidRPr="00086420">
        <w:rPr>
          <w:noProof/>
          <w:lang w:val="en-GB"/>
        </w:rPr>
        <w:t xml:space="preserve"> </w:t>
      </w:r>
      <w:r w:rsidRPr="00086420">
        <w:rPr>
          <w:noProof/>
          <w:lang w:val="en-GB"/>
        </w:rPr>
        <w:t>enabler</w:t>
      </w:r>
      <w:r>
        <w:rPr>
          <w:noProof/>
          <w:lang w:val="en-GB"/>
        </w:rPr>
        <w:t xml:space="preserve"> for the success of the European Health Data Space.</w:t>
      </w:r>
      <w:r w:rsidRPr="00086420">
        <w:rPr>
          <w:noProof/>
          <w:lang w:val="en-GB"/>
        </w:rPr>
        <w:t xml:space="preserve"> </w:t>
      </w:r>
      <w:r>
        <w:rPr>
          <w:noProof/>
          <w:lang w:val="en-GB"/>
        </w:rPr>
        <w:t>C</w:t>
      </w:r>
      <w:r w:rsidRPr="00086420">
        <w:rPr>
          <w:noProof/>
          <w:lang w:val="en-GB"/>
        </w:rPr>
        <w:t xml:space="preserve">itizens must be </w:t>
      </w:r>
      <w:r>
        <w:rPr>
          <w:noProof/>
          <w:lang w:val="en-GB"/>
        </w:rPr>
        <w:t>confident</w:t>
      </w:r>
      <w:r w:rsidRPr="00086420">
        <w:rPr>
          <w:noProof/>
          <w:lang w:val="en-GB"/>
        </w:rPr>
        <w:t xml:space="preserve"> that their health data is adequately protected</w:t>
      </w:r>
      <w:r>
        <w:rPr>
          <w:noProof/>
          <w:lang w:val="en-IE"/>
        </w:rPr>
        <w:t xml:space="preserve">. </w:t>
      </w:r>
      <w:r w:rsidRPr="00F41B43">
        <w:rPr>
          <w:noProof/>
          <w:lang w:val="en-GB"/>
        </w:rPr>
        <w:t xml:space="preserve">The </w:t>
      </w:r>
      <w:r>
        <w:rPr>
          <w:noProof/>
          <w:lang w:val="en-GB"/>
        </w:rPr>
        <w:t>European Health Data Space</w:t>
      </w:r>
      <w:r w:rsidRPr="00F41B43">
        <w:rPr>
          <w:noProof/>
          <w:lang w:val="en-GB"/>
        </w:rPr>
        <w:t xml:space="preserve"> will provide a </w:t>
      </w:r>
      <w:r w:rsidRPr="006F1201">
        <w:rPr>
          <w:b/>
          <w:noProof/>
          <w:lang w:val="en-GB"/>
        </w:rPr>
        <w:t>trust</w:t>
      </w:r>
      <w:r w:rsidR="00F67707">
        <w:rPr>
          <w:b/>
          <w:noProof/>
          <w:lang w:val="en-GB"/>
        </w:rPr>
        <w:t>worthy</w:t>
      </w:r>
      <w:r w:rsidRPr="006F1201">
        <w:rPr>
          <w:b/>
          <w:noProof/>
          <w:lang w:val="en-GB"/>
        </w:rPr>
        <w:t xml:space="preserve"> setting for secure access to and processing of a wide range of health data</w:t>
      </w:r>
      <w:r w:rsidRPr="00872562">
        <w:rPr>
          <w:bCs/>
          <w:noProof/>
          <w:lang w:val="en-GB"/>
        </w:rPr>
        <w:t>.</w:t>
      </w:r>
      <w:r w:rsidRPr="0077357D">
        <w:rPr>
          <w:bCs/>
          <w:noProof/>
          <w:lang w:val="en-GB"/>
        </w:rPr>
        <w:t xml:space="preserve"> </w:t>
      </w:r>
      <w:r w:rsidRPr="00E15694">
        <w:rPr>
          <w:noProof/>
          <w:lang w:val="en-GB"/>
        </w:rPr>
        <w:t>Data protection, cyber security, legality of processing data</w:t>
      </w:r>
      <w:r>
        <w:rPr>
          <w:noProof/>
          <w:lang w:val="en-GB"/>
        </w:rPr>
        <w:t xml:space="preserve"> and</w:t>
      </w:r>
      <w:r w:rsidRPr="00E15694">
        <w:rPr>
          <w:noProof/>
          <w:lang w:val="en-GB"/>
        </w:rPr>
        <w:t xml:space="preserve"> </w:t>
      </w:r>
      <w:r>
        <w:rPr>
          <w:noProof/>
          <w:lang w:val="en-GB"/>
        </w:rPr>
        <w:t xml:space="preserve">personal </w:t>
      </w:r>
      <w:r w:rsidRPr="00E15694">
        <w:rPr>
          <w:noProof/>
          <w:lang w:val="en-GB"/>
        </w:rPr>
        <w:t>control of data</w:t>
      </w:r>
      <w:r>
        <w:rPr>
          <w:noProof/>
          <w:lang w:val="en-GB"/>
        </w:rPr>
        <w:t>:</w:t>
      </w:r>
      <w:r w:rsidRPr="00E15694">
        <w:rPr>
          <w:noProof/>
          <w:lang w:val="en-GB"/>
        </w:rPr>
        <w:t xml:space="preserve"> </w:t>
      </w:r>
      <w:r>
        <w:rPr>
          <w:noProof/>
          <w:lang w:val="en-GB"/>
        </w:rPr>
        <w:t>these principles share the aim of</w:t>
      </w:r>
      <w:r w:rsidRPr="00E15694">
        <w:rPr>
          <w:noProof/>
          <w:lang w:val="en-GB"/>
        </w:rPr>
        <w:t xml:space="preserve"> ensuring </w:t>
      </w:r>
      <w:r>
        <w:rPr>
          <w:noProof/>
          <w:lang w:val="en-GB"/>
        </w:rPr>
        <w:t xml:space="preserve">that </w:t>
      </w:r>
      <w:r w:rsidRPr="00E15694">
        <w:rPr>
          <w:noProof/>
          <w:lang w:val="en-GB"/>
        </w:rPr>
        <w:t>citizens can trust the system.</w:t>
      </w:r>
      <w:r>
        <w:rPr>
          <w:noProof/>
          <w:lang w:val="en-GB"/>
        </w:rPr>
        <w:t xml:space="preserve"> They are the building blocks of the European Health Data Space. </w:t>
      </w:r>
    </w:p>
    <w:p w14:paraId="6A73CE7F" w14:textId="77777777" w:rsidR="00D378DE" w:rsidRPr="00723238" w:rsidRDefault="00D35976" w:rsidP="00723238">
      <w:pPr>
        <w:pStyle w:val="Heading1"/>
        <w:rPr>
          <w:b w:val="0"/>
          <w:noProof/>
          <w:lang w:val="en-GB"/>
        </w:rPr>
      </w:pPr>
      <w:r>
        <w:rPr>
          <w:noProof/>
          <w:lang w:val="en-GB"/>
        </w:rPr>
        <w:t xml:space="preserve">CHALLENGES IN </w:t>
      </w:r>
      <w:r w:rsidR="0097389C">
        <w:rPr>
          <w:noProof/>
          <w:lang w:val="en-GB"/>
        </w:rPr>
        <w:t xml:space="preserve">harnessing the power of health data </w:t>
      </w:r>
    </w:p>
    <w:p w14:paraId="77C5BEA4" w14:textId="1EE115F7" w:rsidR="00560602" w:rsidRDefault="00560602" w:rsidP="00817783">
      <w:pPr>
        <w:spacing w:before="100" w:beforeAutospacing="1" w:after="100" w:afterAutospacing="1" w:line="240" w:lineRule="auto"/>
        <w:rPr>
          <w:noProof/>
          <w:lang w:val="en-GB"/>
        </w:rPr>
      </w:pPr>
      <w:r>
        <w:rPr>
          <w:bCs/>
          <w:noProof/>
          <w:lang w:val="en-GB"/>
        </w:rPr>
        <w:t xml:space="preserve">Today, </w:t>
      </w:r>
      <w:r w:rsidRPr="00CC425E">
        <w:rPr>
          <w:b/>
          <w:bCs/>
          <w:noProof/>
          <w:lang w:val="en-GB"/>
        </w:rPr>
        <w:t>individuals</w:t>
      </w:r>
      <w:r w:rsidRPr="0064039A">
        <w:rPr>
          <w:bCs/>
          <w:noProof/>
          <w:lang w:val="en-GB"/>
        </w:rPr>
        <w:t xml:space="preserve"> </w:t>
      </w:r>
      <w:r w:rsidR="00A81173">
        <w:rPr>
          <w:bCs/>
          <w:noProof/>
          <w:lang w:val="en-GB"/>
        </w:rPr>
        <w:t>face challenges</w:t>
      </w:r>
      <w:r w:rsidRPr="0064039A">
        <w:rPr>
          <w:bCs/>
          <w:noProof/>
          <w:lang w:val="en-GB"/>
        </w:rPr>
        <w:t xml:space="preserve"> </w:t>
      </w:r>
      <w:r w:rsidR="00900A55">
        <w:rPr>
          <w:bCs/>
          <w:noProof/>
          <w:lang w:val="en-GB"/>
        </w:rPr>
        <w:t>in</w:t>
      </w:r>
      <w:r w:rsidR="00900A55" w:rsidRPr="0064039A">
        <w:rPr>
          <w:bCs/>
          <w:noProof/>
          <w:lang w:val="en-GB"/>
        </w:rPr>
        <w:t xml:space="preserve"> </w:t>
      </w:r>
      <w:r w:rsidRPr="0064039A">
        <w:rPr>
          <w:bCs/>
          <w:noProof/>
          <w:lang w:val="en-GB"/>
        </w:rPr>
        <w:t>exercis</w:t>
      </w:r>
      <w:r w:rsidR="00900A55">
        <w:rPr>
          <w:bCs/>
          <w:noProof/>
          <w:lang w:val="en-GB"/>
        </w:rPr>
        <w:t>ing</w:t>
      </w:r>
      <w:r w:rsidRPr="0064039A">
        <w:rPr>
          <w:bCs/>
          <w:noProof/>
          <w:lang w:val="en-GB"/>
        </w:rPr>
        <w:t xml:space="preserve"> their right to control their health data, including accessing and </w:t>
      </w:r>
      <w:r>
        <w:rPr>
          <w:bCs/>
          <w:noProof/>
          <w:lang w:val="en-GB"/>
        </w:rPr>
        <w:t>transferring</w:t>
      </w:r>
      <w:r w:rsidRPr="0064039A">
        <w:rPr>
          <w:bCs/>
          <w:noProof/>
          <w:lang w:val="en-GB"/>
        </w:rPr>
        <w:t xml:space="preserve"> their data </w:t>
      </w:r>
      <w:r>
        <w:rPr>
          <w:bCs/>
          <w:noProof/>
          <w:lang w:val="en-GB"/>
        </w:rPr>
        <w:t xml:space="preserve">within the same Member State </w:t>
      </w:r>
      <w:r w:rsidRPr="0064039A">
        <w:rPr>
          <w:bCs/>
          <w:noProof/>
          <w:lang w:val="en-GB"/>
        </w:rPr>
        <w:t xml:space="preserve">and </w:t>
      </w:r>
      <w:r>
        <w:rPr>
          <w:bCs/>
          <w:noProof/>
          <w:lang w:val="en-GB"/>
        </w:rPr>
        <w:t>a</w:t>
      </w:r>
      <w:r w:rsidRPr="0064039A">
        <w:rPr>
          <w:bCs/>
          <w:noProof/>
          <w:lang w:val="en-GB"/>
        </w:rPr>
        <w:t>cross</w:t>
      </w:r>
      <w:r>
        <w:rPr>
          <w:bCs/>
          <w:noProof/>
          <w:lang w:val="en-GB"/>
        </w:rPr>
        <w:t xml:space="preserve"> </w:t>
      </w:r>
      <w:r w:rsidRPr="0064039A">
        <w:rPr>
          <w:bCs/>
          <w:noProof/>
          <w:lang w:val="en-GB"/>
        </w:rPr>
        <w:t>borders</w:t>
      </w:r>
      <w:r>
        <w:rPr>
          <w:noProof/>
          <w:lang w:val="en-GB"/>
        </w:rPr>
        <w:t xml:space="preserve">, </w:t>
      </w:r>
      <w:r w:rsidRPr="0064039A">
        <w:rPr>
          <w:noProof/>
          <w:lang w:val="en-GB"/>
        </w:rPr>
        <w:t xml:space="preserve">despite the </w:t>
      </w:r>
      <w:r>
        <w:rPr>
          <w:noProof/>
          <w:lang w:val="en-GB"/>
        </w:rPr>
        <w:t>relevant rules laid down in the</w:t>
      </w:r>
      <w:r w:rsidRPr="0064039A">
        <w:rPr>
          <w:noProof/>
          <w:lang w:val="en-GB"/>
        </w:rPr>
        <w:t xml:space="preserve"> </w:t>
      </w:r>
      <w:r>
        <w:rPr>
          <w:noProof/>
          <w:lang w:val="en-GB"/>
        </w:rPr>
        <w:t>GDPR.</w:t>
      </w:r>
      <w:r w:rsidRPr="009C7787">
        <w:rPr>
          <w:rFonts w:eastAsia="Times New Roman"/>
          <w:noProof/>
          <w:lang w:val="en-GB"/>
        </w:rPr>
        <w:t xml:space="preserve"> </w:t>
      </w:r>
      <w:r w:rsidRPr="00C008C6">
        <w:rPr>
          <w:rFonts w:eastAsia="Times New Roman"/>
          <w:noProof/>
          <w:lang w:val="en-GB"/>
        </w:rPr>
        <w:t xml:space="preserve">Not all Member States have set up </w:t>
      </w:r>
      <w:r>
        <w:rPr>
          <w:rFonts w:eastAsia="Times New Roman"/>
          <w:noProof/>
          <w:lang w:val="en-GB"/>
        </w:rPr>
        <w:t xml:space="preserve">systems to exchange </w:t>
      </w:r>
      <w:r w:rsidRPr="00C008C6">
        <w:rPr>
          <w:rFonts w:eastAsia="Times New Roman"/>
          <w:noProof/>
          <w:lang w:val="en-GB"/>
        </w:rPr>
        <w:t>electronic health record</w:t>
      </w:r>
      <w:r>
        <w:rPr>
          <w:rFonts w:eastAsia="Times New Roman"/>
          <w:noProof/>
          <w:lang w:val="en-GB"/>
        </w:rPr>
        <w:t>s</w:t>
      </w:r>
      <w:r w:rsidRPr="00C008C6">
        <w:rPr>
          <w:rFonts w:eastAsia="Times New Roman"/>
          <w:noProof/>
          <w:lang w:val="en-GB"/>
        </w:rPr>
        <w:t xml:space="preserve"> and </w:t>
      </w:r>
      <w:r>
        <w:rPr>
          <w:rFonts w:eastAsia="Times New Roman"/>
          <w:noProof/>
          <w:lang w:val="en-GB"/>
        </w:rPr>
        <w:t>there are significant deficiencies in the interoperability of the systems</w:t>
      </w:r>
      <w:r w:rsidRPr="0064039A">
        <w:rPr>
          <w:noProof/>
          <w:lang w:val="en-GB"/>
        </w:rPr>
        <w:t>.</w:t>
      </w:r>
      <w:r w:rsidRPr="00154842">
        <w:rPr>
          <w:rFonts w:eastAsia="Times New Roman"/>
          <w:noProof/>
          <w:szCs w:val="20"/>
          <w:lang w:val="en-GB"/>
        </w:rPr>
        <w:t xml:space="preserve"> </w:t>
      </w:r>
      <w:r w:rsidR="00E6657B" w:rsidRPr="00AF741D">
        <w:rPr>
          <w:noProof/>
        </w:rPr>
        <w:t xml:space="preserve">Patient summaries and e-prescription services exist in two-thirds of all Member States and are most frequently accessed via </w:t>
      </w:r>
      <w:r w:rsidR="00054C9B">
        <w:rPr>
          <w:noProof/>
        </w:rPr>
        <w:t xml:space="preserve">an </w:t>
      </w:r>
      <w:r w:rsidR="00E6657B" w:rsidRPr="00AF741D">
        <w:rPr>
          <w:noProof/>
        </w:rPr>
        <w:t xml:space="preserve">online portal, but only in </w:t>
      </w:r>
      <w:r w:rsidR="006F2BF5">
        <w:rPr>
          <w:noProof/>
        </w:rPr>
        <w:t xml:space="preserve">a </w:t>
      </w:r>
      <w:r w:rsidR="00E6657B" w:rsidRPr="00AF741D">
        <w:rPr>
          <w:noProof/>
        </w:rPr>
        <w:t xml:space="preserve">few </w:t>
      </w:r>
      <w:r w:rsidR="006F2BF5">
        <w:rPr>
          <w:noProof/>
        </w:rPr>
        <w:t>Member States</w:t>
      </w:r>
      <w:r w:rsidR="006F2BF5" w:rsidRPr="00AF741D">
        <w:rPr>
          <w:noProof/>
        </w:rPr>
        <w:t xml:space="preserve"> </w:t>
      </w:r>
      <w:r w:rsidR="00E6657B" w:rsidRPr="00AF741D">
        <w:rPr>
          <w:noProof/>
        </w:rPr>
        <w:t xml:space="preserve">can </w:t>
      </w:r>
      <w:r w:rsidR="006F2BF5">
        <w:rPr>
          <w:noProof/>
        </w:rPr>
        <w:t>they</w:t>
      </w:r>
      <w:r w:rsidR="00E6657B" w:rsidRPr="00AF741D">
        <w:rPr>
          <w:noProof/>
        </w:rPr>
        <w:t xml:space="preserve"> be sent or received across borders</w:t>
      </w:r>
      <w:r w:rsidR="00054C9B">
        <w:rPr>
          <w:noProof/>
        </w:rPr>
        <w:t>.</w:t>
      </w:r>
      <w:r w:rsidR="00E6657B" w:rsidRPr="00AF741D">
        <w:rPr>
          <w:noProof/>
        </w:rPr>
        <w:t xml:space="preserve"> </w:t>
      </w:r>
      <w:r w:rsidR="00054C9B">
        <w:rPr>
          <w:noProof/>
        </w:rPr>
        <w:t>F</w:t>
      </w:r>
      <w:r w:rsidR="006F2BF5">
        <w:rPr>
          <w:noProof/>
        </w:rPr>
        <w:t>urthermore,</w:t>
      </w:r>
      <w:r w:rsidR="00E6657B" w:rsidRPr="00AF741D">
        <w:rPr>
          <w:noProof/>
        </w:rPr>
        <w:t xml:space="preserve"> 11 </w:t>
      </w:r>
      <w:r w:rsidR="00054C9B">
        <w:rPr>
          <w:noProof/>
        </w:rPr>
        <w:t xml:space="preserve">Member States </w:t>
      </w:r>
      <w:r w:rsidR="00E6657B" w:rsidRPr="00AF741D">
        <w:rPr>
          <w:noProof/>
        </w:rPr>
        <w:t>are still using paper printouts for prescriptions</w:t>
      </w:r>
      <w:r w:rsidR="00E6657B" w:rsidRPr="00AF741D">
        <w:rPr>
          <w:rStyle w:val="FootnoteReference"/>
          <w:noProof/>
        </w:rPr>
        <w:footnoteReference w:id="21"/>
      </w:r>
      <w:r w:rsidR="00E6657B" w:rsidRPr="00AF741D">
        <w:rPr>
          <w:noProof/>
        </w:rPr>
        <w:t xml:space="preserve">. </w:t>
      </w:r>
      <w:r>
        <w:rPr>
          <w:rFonts w:eastAsia="Times New Roman"/>
          <w:noProof/>
          <w:szCs w:val="20"/>
          <w:lang w:val="en-GB"/>
        </w:rPr>
        <w:t xml:space="preserve">Only </w:t>
      </w:r>
      <w:r w:rsidR="006533FB">
        <w:rPr>
          <w:rFonts w:eastAsia="Times New Roman"/>
          <w:noProof/>
          <w:szCs w:val="20"/>
          <w:lang w:val="en-GB"/>
        </w:rPr>
        <w:t xml:space="preserve">ten </w:t>
      </w:r>
      <w:r w:rsidRPr="00801E4A">
        <w:rPr>
          <w:rFonts w:eastAsia="Times New Roman"/>
          <w:noProof/>
          <w:szCs w:val="20"/>
          <w:lang w:val="en-GB"/>
        </w:rPr>
        <w:t xml:space="preserve">Member States </w:t>
      </w:r>
      <w:r>
        <w:rPr>
          <w:rFonts w:eastAsia="Times New Roman"/>
          <w:noProof/>
          <w:szCs w:val="20"/>
          <w:lang w:val="en-GB"/>
        </w:rPr>
        <w:t xml:space="preserve">support access to patient summaries </w:t>
      </w:r>
      <w:r w:rsidR="00E41DED" w:rsidRPr="00E41DED">
        <w:rPr>
          <w:rFonts w:eastAsia="Times New Roman"/>
          <w:noProof/>
          <w:szCs w:val="20"/>
          <w:lang w:val="en-GB"/>
        </w:rPr>
        <w:t xml:space="preserve">or e-prescriptions </w:t>
      </w:r>
      <w:r>
        <w:rPr>
          <w:rFonts w:eastAsia="Times New Roman"/>
          <w:noProof/>
          <w:szCs w:val="20"/>
          <w:lang w:val="en-GB"/>
        </w:rPr>
        <w:t>via MyHealth@EU</w:t>
      </w:r>
      <w:r>
        <w:rPr>
          <w:rStyle w:val="FootnoteReference"/>
          <w:rFonts w:eastAsia="Times New Roman"/>
          <w:noProof/>
          <w:szCs w:val="20"/>
          <w:lang w:val="en-GB"/>
        </w:rPr>
        <w:footnoteReference w:id="22"/>
      </w:r>
      <w:r>
        <w:rPr>
          <w:rFonts w:eastAsia="Times New Roman"/>
          <w:noProof/>
          <w:szCs w:val="20"/>
          <w:lang w:val="en-GB"/>
        </w:rPr>
        <w:t xml:space="preserve"> when</w:t>
      </w:r>
      <w:r w:rsidRPr="00801E4A">
        <w:rPr>
          <w:rFonts w:eastAsia="Times New Roman"/>
          <w:noProof/>
          <w:szCs w:val="20"/>
          <w:lang w:val="en-GB"/>
        </w:rPr>
        <w:t xml:space="preserve"> </w:t>
      </w:r>
      <w:r>
        <w:rPr>
          <w:rFonts w:eastAsia="Times New Roman"/>
          <w:noProof/>
          <w:szCs w:val="20"/>
          <w:lang w:val="en-GB"/>
        </w:rPr>
        <w:t xml:space="preserve">data subjects use healthcare services of another </w:t>
      </w:r>
      <w:r w:rsidRPr="00801E4A">
        <w:rPr>
          <w:rFonts w:eastAsia="Times New Roman"/>
          <w:noProof/>
          <w:szCs w:val="20"/>
          <w:lang w:val="en-GB"/>
        </w:rPr>
        <w:t>Membe</w:t>
      </w:r>
      <w:r>
        <w:rPr>
          <w:rFonts w:eastAsia="Times New Roman"/>
          <w:noProof/>
          <w:szCs w:val="20"/>
          <w:lang w:val="en-GB"/>
        </w:rPr>
        <w:t>r State</w:t>
      </w:r>
      <w:r>
        <w:rPr>
          <w:noProof/>
        </w:rPr>
        <w:t>.</w:t>
      </w:r>
      <w:r>
        <w:rPr>
          <w:rFonts w:eastAsia="Times New Roman"/>
          <w:noProof/>
          <w:szCs w:val="20"/>
          <w:lang w:val="en-GB"/>
        </w:rPr>
        <w:t xml:space="preserve"> </w:t>
      </w:r>
      <w:r w:rsidRPr="008B0C21">
        <w:rPr>
          <w:rFonts w:eastAsia="Times New Roman"/>
          <w:noProof/>
          <w:szCs w:val="20"/>
          <w:lang w:val="en-GB"/>
        </w:rPr>
        <w:t>Other data, such as medical images or laboratory</w:t>
      </w:r>
      <w:r>
        <w:rPr>
          <w:rFonts w:eastAsia="Times New Roman"/>
          <w:noProof/>
          <w:szCs w:val="20"/>
          <w:lang w:val="en-GB"/>
        </w:rPr>
        <w:t xml:space="preserve"> results, </w:t>
      </w:r>
      <w:r w:rsidR="00010FAA">
        <w:rPr>
          <w:rFonts w:eastAsia="Times New Roman"/>
          <w:noProof/>
          <w:szCs w:val="20"/>
          <w:lang w:val="en-GB"/>
        </w:rPr>
        <w:t xml:space="preserve">are </w:t>
      </w:r>
      <w:r>
        <w:rPr>
          <w:rFonts w:eastAsia="Times New Roman"/>
          <w:noProof/>
          <w:szCs w:val="20"/>
          <w:lang w:val="en-GB"/>
        </w:rPr>
        <w:t>not exchanged yet</w:t>
      </w:r>
      <w:r>
        <w:rPr>
          <w:rStyle w:val="FootnoteReference"/>
          <w:rFonts w:eastAsia="Times New Roman"/>
          <w:noProof/>
          <w:szCs w:val="20"/>
          <w:lang w:val="en-GB"/>
        </w:rPr>
        <w:footnoteReference w:id="23"/>
      </w:r>
      <w:r>
        <w:rPr>
          <w:rFonts w:eastAsia="Times New Roman"/>
          <w:noProof/>
          <w:szCs w:val="20"/>
          <w:lang w:val="en-GB"/>
        </w:rPr>
        <w:t xml:space="preserve">. </w:t>
      </w:r>
    </w:p>
    <w:p w14:paraId="54E66282" w14:textId="671E3B5B" w:rsidR="0097389C" w:rsidRPr="00F41B43" w:rsidRDefault="00214280" w:rsidP="00872562">
      <w:pPr>
        <w:spacing w:before="100" w:beforeAutospacing="1" w:after="100" w:afterAutospacing="1" w:line="240" w:lineRule="auto"/>
        <w:rPr>
          <w:noProof/>
          <w:lang w:val="en-GB"/>
        </w:rPr>
      </w:pPr>
      <w:r w:rsidRPr="00214280">
        <w:rPr>
          <w:rFonts w:eastAsia="Times New Roman"/>
          <w:noProof/>
          <w:lang w:val="en-GB"/>
        </w:rPr>
        <w:t xml:space="preserve">Healthcare delivery and innovation are hampered by widely varying digital health solutions </w:t>
      </w:r>
      <w:r w:rsidR="006F2BF5">
        <w:rPr>
          <w:rFonts w:eastAsia="Times New Roman"/>
          <w:noProof/>
          <w:lang w:val="en-GB"/>
        </w:rPr>
        <w:t>(</w:t>
      </w:r>
      <w:r w:rsidRPr="00214280">
        <w:rPr>
          <w:rFonts w:eastAsia="Times New Roman"/>
          <w:noProof/>
          <w:lang w:val="en-GB"/>
        </w:rPr>
        <w:t>often incompatible with each other, between Member States and sometimes even within Member States</w:t>
      </w:r>
      <w:r w:rsidR="006F2BF5">
        <w:rPr>
          <w:rFonts w:eastAsia="Times New Roman"/>
          <w:noProof/>
          <w:lang w:val="en-GB"/>
        </w:rPr>
        <w:t>),</w:t>
      </w:r>
      <w:r w:rsidRPr="00214280">
        <w:rPr>
          <w:rFonts w:eastAsia="Times New Roman"/>
          <w:noProof/>
          <w:lang w:val="en-GB"/>
        </w:rPr>
        <w:t xml:space="preserve"> fragmented standards and specifications, and various legal and administrative rules. </w:t>
      </w:r>
      <w:r w:rsidR="00FE2A4B" w:rsidRPr="00FE2A4B">
        <w:rPr>
          <w:rFonts w:eastAsia="Times New Roman"/>
          <w:noProof/>
          <w:lang w:val="en-GB"/>
        </w:rPr>
        <w:t>Due to different standards and limited interoperability</w:t>
      </w:r>
      <w:r w:rsidR="00FE2A4B">
        <w:rPr>
          <w:rFonts w:eastAsia="Times New Roman"/>
          <w:noProof/>
          <w:lang w:val="en-GB"/>
        </w:rPr>
        <w:t>, i</w:t>
      </w:r>
      <w:r w:rsidR="00637977" w:rsidRPr="00637977">
        <w:rPr>
          <w:rFonts w:eastAsia="Times New Roman"/>
          <w:noProof/>
          <w:lang w:val="en-GB"/>
        </w:rPr>
        <w:t>ndustry faces barriers and additional costs both nationally and when entering the markets of other Member States</w:t>
      </w:r>
      <w:r w:rsidR="00E02F1A">
        <w:rPr>
          <w:rFonts w:eastAsia="Times New Roman"/>
          <w:noProof/>
          <w:lang w:val="en-GB"/>
        </w:rPr>
        <w:t>. Moreover, due to</w:t>
      </w:r>
      <w:r w:rsidR="00605437">
        <w:rPr>
          <w:rFonts w:eastAsia="Times New Roman"/>
          <w:noProof/>
          <w:lang w:val="en-GB"/>
        </w:rPr>
        <w:t xml:space="preserve"> implementation of</w:t>
      </w:r>
      <w:r w:rsidR="00054C9B">
        <w:rPr>
          <w:rFonts w:eastAsia="Times New Roman"/>
          <w:noProof/>
          <w:lang w:val="en-GB"/>
        </w:rPr>
        <w:t xml:space="preserve"> the</w:t>
      </w:r>
      <w:r w:rsidR="00605437">
        <w:rPr>
          <w:rFonts w:eastAsia="Times New Roman"/>
          <w:noProof/>
          <w:lang w:val="en-GB"/>
        </w:rPr>
        <w:t xml:space="preserve"> </w:t>
      </w:r>
      <w:r w:rsidR="003E4517">
        <w:rPr>
          <w:rFonts w:eastAsia="Times New Roman"/>
          <w:noProof/>
          <w:lang w:val="en-GB"/>
        </w:rPr>
        <w:t>GDPR in a fragmented manner</w:t>
      </w:r>
      <w:r w:rsidR="00475C80">
        <w:rPr>
          <w:rFonts w:eastAsia="Times New Roman"/>
          <w:noProof/>
          <w:lang w:val="en-GB"/>
        </w:rPr>
        <w:t xml:space="preserve"> in this area</w:t>
      </w:r>
      <w:r w:rsidR="003E4517">
        <w:rPr>
          <w:rFonts w:eastAsia="Times New Roman"/>
          <w:noProof/>
          <w:lang w:val="en-GB"/>
        </w:rPr>
        <w:t xml:space="preserve">, </w:t>
      </w:r>
      <w:r w:rsidR="00E02F1A">
        <w:rPr>
          <w:rFonts w:eastAsia="Times New Roman"/>
          <w:noProof/>
          <w:lang w:val="en-GB"/>
        </w:rPr>
        <w:t>it is</w:t>
      </w:r>
      <w:r w:rsidR="003E4517">
        <w:rPr>
          <w:rFonts w:eastAsia="Times New Roman"/>
          <w:noProof/>
          <w:lang w:val="en-GB"/>
        </w:rPr>
        <w:t xml:space="preserve"> more difficult to carry out cross-border studies.</w:t>
      </w:r>
    </w:p>
    <w:p w14:paraId="255DE57A" w14:textId="140C687A" w:rsidR="0097389C" w:rsidRPr="003F69AC" w:rsidRDefault="00444CDE" w:rsidP="0097389C">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u w:val="single"/>
          <w:lang w:val="en-GB"/>
        </w:rPr>
      </w:pPr>
      <w:r w:rsidRPr="003F69AC">
        <w:rPr>
          <w:i/>
          <w:noProof/>
          <w:u w:val="single"/>
          <w:lang w:val="en-GB"/>
        </w:rPr>
        <w:t xml:space="preserve">Current </w:t>
      </w:r>
      <w:r w:rsidR="00CD6ED0" w:rsidRPr="003F69AC">
        <w:rPr>
          <w:i/>
          <w:noProof/>
          <w:u w:val="single"/>
          <w:lang w:val="en-GB"/>
        </w:rPr>
        <w:t>c</w:t>
      </w:r>
      <w:r w:rsidRPr="003F69AC">
        <w:rPr>
          <w:i/>
          <w:noProof/>
          <w:u w:val="single"/>
          <w:lang w:val="en-GB"/>
        </w:rPr>
        <w:t>hallenges</w:t>
      </w:r>
      <w:r w:rsidR="0012595C">
        <w:rPr>
          <w:i/>
          <w:noProof/>
          <w:u w:val="single"/>
          <w:lang w:val="en-GB"/>
        </w:rPr>
        <w:t xml:space="preserve"> </w:t>
      </w:r>
      <w:r w:rsidR="00054C9B">
        <w:rPr>
          <w:i/>
          <w:noProof/>
          <w:u w:val="single"/>
          <w:lang w:val="en-GB"/>
        </w:rPr>
        <w:t>in</w:t>
      </w:r>
      <w:r w:rsidR="00425F4E">
        <w:rPr>
          <w:i/>
          <w:noProof/>
          <w:u w:val="single"/>
          <w:lang w:val="en-GB"/>
        </w:rPr>
        <w:t xml:space="preserve"> using</w:t>
      </w:r>
      <w:r w:rsidR="0012595C">
        <w:rPr>
          <w:i/>
          <w:noProof/>
          <w:u w:val="single"/>
          <w:lang w:val="en-GB"/>
        </w:rPr>
        <w:t xml:space="preserve"> health data</w:t>
      </w:r>
    </w:p>
    <w:p w14:paraId="1E394167" w14:textId="77777777" w:rsidR="0097389C" w:rsidRPr="00F41B43" w:rsidRDefault="00793282" w:rsidP="0097389C">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lang w:val="en-GB"/>
        </w:rPr>
      </w:pPr>
      <w:r>
        <w:rPr>
          <w:i/>
          <w:noProof/>
          <w:lang w:val="en-GB"/>
        </w:rPr>
        <w:t>People</w:t>
      </w:r>
      <w:r w:rsidRPr="00F41B43">
        <w:rPr>
          <w:i/>
          <w:noProof/>
          <w:lang w:val="en-GB"/>
        </w:rPr>
        <w:t xml:space="preserve"> </w:t>
      </w:r>
      <w:r w:rsidR="0097389C" w:rsidRPr="00F41B43">
        <w:rPr>
          <w:i/>
          <w:noProof/>
          <w:lang w:val="en-GB"/>
        </w:rPr>
        <w:t xml:space="preserve">cannot </w:t>
      </w:r>
      <w:r w:rsidR="004F0419">
        <w:rPr>
          <w:i/>
          <w:noProof/>
          <w:lang w:val="en-GB"/>
        </w:rPr>
        <w:t xml:space="preserve">always </w:t>
      </w:r>
      <w:r w:rsidR="0097389C" w:rsidRPr="00F41B43">
        <w:rPr>
          <w:i/>
          <w:noProof/>
          <w:lang w:val="en-GB"/>
        </w:rPr>
        <w:t>easily access their health data electronically</w:t>
      </w:r>
      <w:r w:rsidR="004F0419">
        <w:rPr>
          <w:i/>
          <w:noProof/>
          <w:lang w:val="en-GB"/>
        </w:rPr>
        <w:t>, and</w:t>
      </w:r>
      <w:r w:rsidR="0097389C" w:rsidRPr="00F41B43">
        <w:rPr>
          <w:i/>
          <w:noProof/>
          <w:lang w:val="en-GB"/>
        </w:rPr>
        <w:t xml:space="preserve"> if they want to consult doctors </w:t>
      </w:r>
      <w:r w:rsidR="0097389C">
        <w:rPr>
          <w:i/>
          <w:noProof/>
          <w:lang w:val="en-GB"/>
        </w:rPr>
        <w:t>in</w:t>
      </w:r>
      <w:r w:rsidR="0097389C" w:rsidRPr="00F41B43">
        <w:rPr>
          <w:i/>
          <w:noProof/>
          <w:lang w:val="en-GB"/>
        </w:rPr>
        <w:t xml:space="preserve"> </w:t>
      </w:r>
      <w:r w:rsidR="007366B6">
        <w:rPr>
          <w:i/>
          <w:noProof/>
          <w:lang w:val="en-GB"/>
        </w:rPr>
        <w:t xml:space="preserve">more than one </w:t>
      </w:r>
      <w:r w:rsidR="0097389C" w:rsidRPr="00F41B43">
        <w:rPr>
          <w:i/>
          <w:noProof/>
          <w:lang w:val="en-GB"/>
        </w:rPr>
        <w:t>hospital</w:t>
      </w:r>
      <w:r w:rsidR="004F0419">
        <w:rPr>
          <w:i/>
          <w:noProof/>
          <w:lang w:val="en-GB"/>
        </w:rPr>
        <w:t xml:space="preserve"> or</w:t>
      </w:r>
      <w:r w:rsidR="0097389C" w:rsidRPr="00F41B43">
        <w:rPr>
          <w:i/>
          <w:noProof/>
          <w:lang w:val="en-GB"/>
        </w:rPr>
        <w:t xml:space="preserve"> medical centre, </w:t>
      </w:r>
      <w:r w:rsidR="004F0419">
        <w:rPr>
          <w:i/>
          <w:noProof/>
          <w:lang w:val="en-GB"/>
        </w:rPr>
        <w:t xml:space="preserve">they </w:t>
      </w:r>
      <w:r w:rsidR="0097389C" w:rsidRPr="00F41B43">
        <w:rPr>
          <w:i/>
          <w:noProof/>
          <w:lang w:val="en-GB"/>
        </w:rPr>
        <w:t xml:space="preserve">often cannot share the data with other health professionals. Today, </w:t>
      </w:r>
      <w:r w:rsidR="00CD6ED0">
        <w:rPr>
          <w:i/>
          <w:noProof/>
          <w:lang w:val="en-GB"/>
        </w:rPr>
        <w:t xml:space="preserve">a </w:t>
      </w:r>
      <w:r w:rsidR="0097389C" w:rsidRPr="00F41B43">
        <w:rPr>
          <w:i/>
          <w:noProof/>
          <w:lang w:val="en-GB"/>
        </w:rPr>
        <w:t xml:space="preserve">patient’s health data </w:t>
      </w:r>
      <w:r w:rsidR="007366B6">
        <w:rPr>
          <w:i/>
          <w:noProof/>
          <w:lang w:val="en-GB"/>
        </w:rPr>
        <w:t xml:space="preserve">is </w:t>
      </w:r>
      <w:r w:rsidR="0097389C" w:rsidRPr="00F41B43">
        <w:rPr>
          <w:i/>
          <w:noProof/>
          <w:lang w:val="en-GB"/>
        </w:rPr>
        <w:t xml:space="preserve">often </w:t>
      </w:r>
      <w:r w:rsidR="007366B6" w:rsidRPr="00F41B43">
        <w:rPr>
          <w:i/>
          <w:noProof/>
          <w:lang w:val="en-GB"/>
        </w:rPr>
        <w:t xml:space="preserve">still </w:t>
      </w:r>
      <w:r w:rsidR="0097389C" w:rsidRPr="00F41B43">
        <w:rPr>
          <w:i/>
          <w:noProof/>
          <w:lang w:val="en-GB"/>
        </w:rPr>
        <w:t xml:space="preserve">recorded on paper, untraceable and scattered </w:t>
      </w:r>
      <w:r w:rsidR="00CD6ED0">
        <w:rPr>
          <w:i/>
          <w:noProof/>
          <w:lang w:val="en-GB"/>
        </w:rPr>
        <w:t>across</w:t>
      </w:r>
      <w:r w:rsidR="00CD6ED0" w:rsidRPr="00F41B43">
        <w:rPr>
          <w:i/>
          <w:noProof/>
          <w:lang w:val="en-GB"/>
        </w:rPr>
        <w:t xml:space="preserve"> </w:t>
      </w:r>
      <w:r w:rsidR="002364F5">
        <w:rPr>
          <w:i/>
          <w:noProof/>
          <w:lang w:val="en-GB"/>
        </w:rPr>
        <w:t>various</w:t>
      </w:r>
      <w:r w:rsidR="007366B6" w:rsidRPr="00F41B43">
        <w:rPr>
          <w:i/>
          <w:noProof/>
          <w:lang w:val="en-GB"/>
        </w:rPr>
        <w:t xml:space="preserve"> </w:t>
      </w:r>
      <w:r w:rsidR="0097389C" w:rsidRPr="00F41B43">
        <w:rPr>
          <w:i/>
          <w:noProof/>
          <w:lang w:val="en-GB"/>
        </w:rPr>
        <w:t xml:space="preserve">places (hospitals, </w:t>
      </w:r>
      <w:r w:rsidR="00CD6ED0">
        <w:rPr>
          <w:i/>
          <w:noProof/>
          <w:lang w:val="en-GB"/>
        </w:rPr>
        <w:t>g</w:t>
      </w:r>
      <w:r w:rsidR="0097389C" w:rsidRPr="00F41B43">
        <w:rPr>
          <w:i/>
          <w:noProof/>
          <w:lang w:val="en-GB"/>
        </w:rPr>
        <w:t xml:space="preserve">eneral </w:t>
      </w:r>
      <w:r w:rsidR="00CD6ED0">
        <w:rPr>
          <w:i/>
          <w:noProof/>
          <w:lang w:val="en-GB"/>
        </w:rPr>
        <w:t>p</w:t>
      </w:r>
      <w:r w:rsidR="0097389C" w:rsidRPr="00F41B43">
        <w:rPr>
          <w:i/>
          <w:noProof/>
          <w:lang w:val="en-GB"/>
        </w:rPr>
        <w:t>ractitioners</w:t>
      </w:r>
      <w:r w:rsidR="00BD6AD5">
        <w:rPr>
          <w:i/>
          <w:noProof/>
          <w:lang w:val="en-GB"/>
        </w:rPr>
        <w:t>’</w:t>
      </w:r>
      <w:r w:rsidR="0059045A">
        <w:rPr>
          <w:i/>
          <w:noProof/>
          <w:lang w:val="en-GB"/>
        </w:rPr>
        <w:t xml:space="preserve"> venues</w:t>
      </w:r>
      <w:r w:rsidR="0097389C" w:rsidRPr="00F41B43">
        <w:rPr>
          <w:i/>
          <w:noProof/>
          <w:lang w:val="en-GB"/>
        </w:rPr>
        <w:t>, medical centres, etc.</w:t>
      </w:r>
      <w:r w:rsidR="0041664C">
        <w:rPr>
          <w:i/>
          <w:noProof/>
          <w:lang w:val="en-GB"/>
        </w:rPr>
        <w:t>)</w:t>
      </w:r>
      <w:r w:rsidR="000B5398">
        <w:rPr>
          <w:i/>
          <w:noProof/>
          <w:lang w:val="en-GB"/>
        </w:rPr>
        <w:t>.</w:t>
      </w:r>
      <w:r w:rsidR="0097389C" w:rsidRPr="00F41B43">
        <w:rPr>
          <w:i/>
          <w:noProof/>
          <w:lang w:val="en-GB"/>
        </w:rPr>
        <w:t xml:space="preserve"> </w:t>
      </w:r>
    </w:p>
    <w:p w14:paraId="158EDC38" w14:textId="620ACC7F" w:rsidR="00F566E3" w:rsidRDefault="00CD6ED0" w:rsidP="0097389C">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lang w:val="en-GB"/>
        </w:rPr>
      </w:pPr>
      <w:r>
        <w:rPr>
          <w:i/>
          <w:noProof/>
          <w:lang w:val="en-GB"/>
        </w:rPr>
        <w:t xml:space="preserve">The situation becomes </w:t>
      </w:r>
      <w:r w:rsidR="0097389C" w:rsidRPr="00F41B43">
        <w:rPr>
          <w:i/>
          <w:noProof/>
          <w:lang w:val="en-GB"/>
        </w:rPr>
        <w:t xml:space="preserve">even more difficult </w:t>
      </w:r>
      <w:r w:rsidR="007366B6">
        <w:rPr>
          <w:i/>
          <w:noProof/>
          <w:lang w:val="en-GB"/>
        </w:rPr>
        <w:t xml:space="preserve">when </w:t>
      </w:r>
      <w:r w:rsidR="0097389C" w:rsidRPr="00F41B43">
        <w:rPr>
          <w:i/>
          <w:noProof/>
          <w:lang w:val="en-GB"/>
        </w:rPr>
        <w:t>cross</w:t>
      </w:r>
      <w:r w:rsidR="007366B6">
        <w:rPr>
          <w:i/>
          <w:noProof/>
          <w:lang w:val="en-GB"/>
        </w:rPr>
        <w:t>ing</w:t>
      </w:r>
      <w:r w:rsidR="0097389C" w:rsidRPr="00F41B43">
        <w:rPr>
          <w:i/>
          <w:noProof/>
          <w:lang w:val="en-GB"/>
        </w:rPr>
        <w:t xml:space="preserve"> national borders. If a patient visits a doctor in an</w:t>
      </w:r>
      <w:r w:rsidR="0041664C">
        <w:rPr>
          <w:i/>
          <w:noProof/>
          <w:lang w:val="en-GB"/>
        </w:rPr>
        <w:t xml:space="preserve">other country, </w:t>
      </w:r>
      <w:r w:rsidR="00793282">
        <w:rPr>
          <w:i/>
          <w:noProof/>
          <w:lang w:val="en-GB"/>
        </w:rPr>
        <w:t>their</w:t>
      </w:r>
      <w:r w:rsidR="0097389C" w:rsidRPr="00F41B43">
        <w:rPr>
          <w:i/>
          <w:noProof/>
          <w:lang w:val="en-GB"/>
        </w:rPr>
        <w:t xml:space="preserve"> medical information (including diagnostic images) is often not accessible</w:t>
      </w:r>
      <w:r w:rsidR="0041664C">
        <w:rPr>
          <w:i/>
          <w:noProof/>
          <w:lang w:val="en-GB"/>
        </w:rPr>
        <w:t>, which can lead to</w:t>
      </w:r>
      <w:r w:rsidR="002C4174">
        <w:rPr>
          <w:i/>
          <w:noProof/>
          <w:lang w:val="en-GB"/>
        </w:rPr>
        <w:t xml:space="preserve"> delays and</w:t>
      </w:r>
      <w:r w:rsidR="0041664C">
        <w:rPr>
          <w:i/>
          <w:noProof/>
          <w:lang w:val="en-GB"/>
        </w:rPr>
        <w:t xml:space="preserve"> </w:t>
      </w:r>
      <w:r w:rsidR="00793282">
        <w:rPr>
          <w:i/>
          <w:noProof/>
          <w:lang w:val="en-GB"/>
        </w:rPr>
        <w:t xml:space="preserve">errors in </w:t>
      </w:r>
      <w:r w:rsidR="0041664C">
        <w:rPr>
          <w:i/>
          <w:noProof/>
          <w:lang w:val="en-GB"/>
        </w:rPr>
        <w:t xml:space="preserve">diagnosis or </w:t>
      </w:r>
      <w:r w:rsidR="00E42DC9">
        <w:rPr>
          <w:i/>
          <w:noProof/>
          <w:lang w:val="en-GB"/>
        </w:rPr>
        <w:t>treatment</w:t>
      </w:r>
      <w:r w:rsidR="0041664C">
        <w:rPr>
          <w:i/>
          <w:noProof/>
          <w:lang w:val="en-GB"/>
        </w:rPr>
        <w:t>. I</w:t>
      </w:r>
      <w:r w:rsidR="0097389C" w:rsidRPr="00F41B43">
        <w:rPr>
          <w:i/>
          <w:noProof/>
          <w:lang w:val="en-GB"/>
        </w:rPr>
        <w:t>n most cases, doctor</w:t>
      </w:r>
      <w:r w:rsidR="007366B6">
        <w:rPr>
          <w:i/>
          <w:noProof/>
          <w:lang w:val="en-GB"/>
        </w:rPr>
        <w:t xml:space="preserve">s </w:t>
      </w:r>
      <w:r w:rsidR="0097389C" w:rsidRPr="00F41B43">
        <w:rPr>
          <w:i/>
          <w:noProof/>
          <w:lang w:val="en-GB"/>
        </w:rPr>
        <w:t xml:space="preserve">cannot see </w:t>
      </w:r>
      <w:r w:rsidR="00054C9B">
        <w:rPr>
          <w:i/>
          <w:noProof/>
          <w:lang w:val="en-GB"/>
        </w:rPr>
        <w:t xml:space="preserve">the </w:t>
      </w:r>
      <w:r w:rsidR="0097389C" w:rsidRPr="00F41B43">
        <w:rPr>
          <w:i/>
          <w:noProof/>
          <w:lang w:val="en-GB"/>
        </w:rPr>
        <w:t>pati</w:t>
      </w:r>
      <w:r w:rsidR="0041664C">
        <w:rPr>
          <w:i/>
          <w:noProof/>
          <w:lang w:val="en-GB"/>
        </w:rPr>
        <w:t>ent’</w:t>
      </w:r>
      <w:r w:rsidR="00793282">
        <w:rPr>
          <w:i/>
          <w:noProof/>
          <w:lang w:val="en-GB"/>
        </w:rPr>
        <w:t>s</w:t>
      </w:r>
      <w:r w:rsidR="0041664C">
        <w:rPr>
          <w:i/>
          <w:noProof/>
          <w:lang w:val="en-GB"/>
        </w:rPr>
        <w:t xml:space="preserve"> health data if </w:t>
      </w:r>
      <w:r w:rsidR="00793282">
        <w:rPr>
          <w:i/>
          <w:noProof/>
          <w:lang w:val="en-GB"/>
        </w:rPr>
        <w:t>they have</w:t>
      </w:r>
      <w:r w:rsidR="0041664C">
        <w:rPr>
          <w:i/>
          <w:noProof/>
          <w:lang w:val="en-GB"/>
        </w:rPr>
        <w:t xml:space="preserve"> </w:t>
      </w:r>
      <w:r w:rsidR="0097389C" w:rsidRPr="00F41B43">
        <w:rPr>
          <w:i/>
          <w:noProof/>
          <w:lang w:val="en-GB"/>
        </w:rPr>
        <w:t xml:space="preserve">undergone health interventions in another country. </w:t>
      </w:r>
      <w:r w:rsidR="00CE6D65" w:rsidRPr="00037294">
        <w:rPr>
          <w:i/>
          <w:iCs/>
          <w:noProof/>
        </w:rPr>
        <w:t xml:space="preserve">Continuity of care and rapid access to personal electronic health data is even more important for residents in border regions, crossing the border frequently to </w:t>
      </w:r>
      <w:r w:rsidR="00FB16A0">
        <w:rPr>
          <w:i/>
          <w:iCs/>
          <w:noProof/>
        </w:rPr>
        <w:t>receive</w:t>
      </w:r>
      <w:r w:rsidR="00CE6D65" w:rsidRPr="00037294">
        <w:rPr>
          <w:i/>
          <w:iCs/>
          <w:noProof/>
        </w:rPr>
        <w:t xml:space="preserve"> healthcare.</w:t>
      </w:r>
    </w:p>
    <w:p w14:paraId="24A314FB" w14:textId="3D1FFB52" w:rsidR="00543D56" w:rsidRDefault="00391CFA" w:rsidP="0097389C">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lang w:val="en-GB"/>
        </w:rPr>
      </w:pPr>
      <w:r>
        <w:rPr>
          <w:i/>
          <w:noProof/>
          <w:lang w:val="en-GB"/>
        </w:rPr>
        <w:t>The</w:t>
      </w:r>
      <w:r w:rsidR="00F566E3">
        <w:rPr>
          <w:i/>
          <w:noProof/>
          <w:lang w:val="en-GB"/>
        </w:rPr>
        <w:t xml:space="preserve"> </w:t>
      </w:r>
      <w:r w:rsidR="006F2BF5">
        <w:rPr>
          <w:i/>
          <w:noProof/>
          <w:lang w:val="en-GB"/>
        </w:rPr>
        <w:t>o</w:t>
      </w:r>
      <w:r w:rsidR="00F566E3">
        <w:rPr>
          <w:i/>
          <w:noProof/>
          <w:lang w:val="en-GB"/>
        </w:rPr>
        <w:t xml:space="preserve">pen </w:t>
      </w:r>
      <w:r w:rsidR="006F2BF5">
        <w:rPr>
          <w:i/>
          <w:noProof/>
          <w:lang w:val="en-GB"/>
        </w:rPr>
        <w:t>p</w:t>
      </w:r>
      <w:r w:rsidR="00F566E3">
        <w:rPr>
          <w:i/>
          <w:noProof/>
          <w:lang w:val="en-GB"/>
        </w:rPr>
        <w:t xml:space="preserve">ublic </w:t>
      </w:r>
      <w:r w:rsidR="006F2BF5">
        <w:rPr>
          <w:i/>
          <w:noProof/>
          <w:lang w:val="en-GB"/>
        </w:rPr>
        <w:t>c</w:t>
      </w:r>
      <w:r w:rsidR="00F566E3">
        <w:rPr>
          <w:i/>
          <w:noProof/>
          <w:lang w:val="en-GB"/>
        </w:rPr>
        <w:t>onsultation</w:t>
      </w:r>
      <w:r w:rsidR="008811CE">
        <w:rPr>
          <w:rStyle w:val="FootnoteReference"/>
          <w:i/>
          <w:noProof/>
          <w:lang w:val="en-GB"/>
        </w:rPr>
        <w:footnoteReference w:id="24"/>
      </w:r>
      <w:r>
        <w:rPr>
          <w:i/>
          <w:noProof/>
          <w:lang w:val="en-GB"/>
        </w:rPr>
        <w:t xml:space="preserve"> for the European Health Data Space proposal</w:t>
      </w:r>
      <w:r w:rsidR="00F566E3">
        <w:rPr>
          <w:i/>
          <w:noProof/>
          <w:lang w:val="en-GB"/>
        </w:rPr>
        <w:t xml:space="preserve"> showed </w:t>
      </w:r>
      <w:r w:rsidR="00F566E3" w:rsidRPr="00393095">
        <w:rPr>
          <w:i/>
          <w:noProof/>
          <w:lang w:val="en-GB"/>
        </w:rPr>
        <w:t xml:space="preserve">that </w:t>
      </w:r>
      <w:r w:rsidR="00F566E3" w:rsidRPr="001C7665">
        <w:rPr>
          <w:i/>
          <w:noProof/>
          <w:lang w:eastAsia="en-GB"/>
        </w:rPr>
        <w:t xml:space="preserve">88% of respondents think </w:t>
      </w:r>
      <w:r w:rsidR="00054C9B">
        <w:rPr>
          <w:i/>
          <w:noProof/>
          <w:lang w:eastAsia="en-GB"/>
        </w:rPr>
        <w:t>it</w:t>
      </w:r>
      <w:r w:rsidR="00F566E3" w:rsidRPr="001C7665">
        <w:rPr>
          <w:i/>
          <w:noProof/>
          <w:lang w:eastAsia="en-GB"/>
        </w:rPr>
        <w:t xml:space="preserve"> should promote citizens’ control over their own health data</w:t>
      </w:r>
      <w:r w:rsidR="00F566E3" w:rsidRPr="001C7665">
        <w:rPr>
          <w:i/>
          <w:noProof/>
        </w:rPr>
        <w:t xml:space="preserve">, including access to health data and transmission of their health data in electronic format. 84% of respondents say that citizens should have the right to transmit one’s health data in electronic format to another professional or entity of their choice and 82% feel that they should have the right to request public healthcare providers to share </w:t>
      </w:r>
      <w:r w:rsidR="006F2BF5">
        <w:rPr>
          <w:i/>
          <w:noProof/>
        </w:rPr>
        <w:t xml:space="preserve">their </w:t>
      </w:r>
      <w:r w:rsidR="00F566E3" w:rsidRPr="001C7665">
        <w:rPr>
          <w:i/>
          <w:noProof/>
        </w:rPr>
        <w:t xml:space="preserve">health data </w:t>
      </w:r>
      <w:r w:rsidR="006F2BF5" w:rsidRPr="001C7665">
        <w:rPr>
          <w:i/>
          <w:noProof/>
        </w:rPr>
        <w:t xml:space="preserve">electronically </w:t>
      </w:r>
      <w:r w:rsidR="00F566E3" w:rsidRPr="001C7665">
        <w:rPr>
          <w:i/>
          <w:noProof/>
        </w:rPr>
        <w:t xml:space="preserve">with other healthcare providers/entities of </w:t>
      </w:r>
      <w:r w:rsidR="006F2BF5">
        <w:rPr>
          <w:i/>
          <w:noProof/>
        </w:rPr>
        <w:t>their</w:t>
      </w:r>
      <w:r w:rsidR="006F2BF5" w:rsidRPr="001C7665">
        <w:rPr>
          <w:i/>
          <w:noProof/>
        </w:rPr>
        <w:t xml:space="preserve"> </w:t>
      </w:r>
      <w:r w:rsidR="00F566E3" w:rsidRPr="001C7665">
        <w:rPr>
          <w:i/>
          <w:noProof/>
        </w:rPr>
        <w:t>choice.</w:t>
      </w:r>
      <w:r w:rsidR="00F566E3" w:rsidRPr="00393095">
        <w:rPr>
          <w:i/>
          <w:noProof/>
        </w:rPr>
        <w:t xml:space="preserve"> </w:t>
      </w:r>
      <w:r w:rsidR="00F566E3" w:rsidRPr="00607FD2">
        <w:rPr>
          <w:i/>
          <w:noProof/>
        </w:rPr>
        <w:t xml:space="preserve">83% of respondents say that </w:t>
      </w:r>
      <w:r w:rsidR="00F566E3">
        <w:rPr>
          <w:i/>
          <w:noProof/>
        </w:rPr>
        <w:t xml:space="preserve">the </w:t>
      </w:r>
      <w:r w:rsidR="00F566E3" w:rsidRPr="005A7F82">
        <w:rPr>
          <w:i/>
          <w:noProof/>
          <w:lang w:val="en-GB"/>
        </w:rPr>
        <w:t>European Health Data Space</w:t>
      </w:r>
      <w:r w:rsidR="00F566E3" w:rsidRPr="00607FD2">
        <w:rPr>
          <w:i/>
          <w:noProof/>
        </w:rPr>
        <w:t xml:space="preserve"> </w:t>
      </w:r>
      <w:r w:rsidR="00F566E3">
        <w:rPr>
          <w:i/>
          <w:noProof/>
        </w:rPr>
        <w:t>s</w:t>
      </w:r>
      <w:r w:rsidR="00F566E3" w:rsidRPr="00607FD2">
        <w:rPr>
          <w:i/>
          <w:noProof/>
        </w:rPr>
        <w:t>hould facilitate delivery of healthcare for citizens across borders.</w:t>
      </w:r>
      <w:r w:rsidR="0097389C" w:rsidRPr="00F41B43">
        <w:rPr>
          <w:i/>
          <w:noProof/>
          <w:lang w:val="en-GB"/>
        </w:rPr>
        <w:t xml:space="preserve"> </w:t>
      </w:r>
    </w:p>
    <w:p w14:paraId="1F68A359" w14:textId="5627DC2A" w:rsidR="00543D56" w:rsidRDefault="00543D56" w:rsidP="0097389C">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Times New Roman"/>
          <w:i/>
          <w:noProof/>
          <w:lang w:val="en-GB"/>
        </w:rPr>
      </w:pPr>
      <w:r>
        <w:rPr>
          <w:i/>
          <w:noProof/>
          <w:lang w:val="en-GB"/>
        </w:rPr>
        <w:t>Researchers</w:t>
      </w:r>
      <w:r w:rsidR="006E0A22">
        <w:rPr>
          <w:i/>
          <w:noProof/>
          <w:lang w:val="en-GB"/>
        </w:rPr>
        <w:t xml:space="preserve"> and</w:t>
      </w:r>
      <w:r>
        <w:rPr>
          <w:i/>
          <w:noProof/>
          <w:lang w:val="en-GB"/>
        </w:rPr>
        <w:t xml:space="preserve"> industry, </w:t>
      </w:r>
      <w:r w:rsidR="006E0A22">
        <w:rPr>
          <w:i/>
          <w:noProof/>
          <w:lang w:val="en-GB"/>
        </w:rPr>
        <w:t>along with</w:t>
      </w:r>
      <w:r>
        <w:rPr>
          <w:i/>
          <w:noProof/>
          <w:lang w:val="en-GB"/>
        </w:rPr>
        <w:t xml:space="preserve"> policy</w:t>
      </w:r>
      <w:r w:rsidR="006E0A22">
        <w:rPr>
          <w:i/>
          <w:noProof/>
          <w:lang w:val="en-GB"/>
        </w:rPr>
        <w:t>-</w:t>
      </w:r>
      <w:r>
        <w:rPr>
          <w:i/>
          <w:noProof/>
          <w:lang w:val="en-GB"/>
        </w:rPr>
        <w:t>makers and innovators</w:t>
      </w:r>
      <w:r w:rsidR="006E0A22">
        <w:rPr>
          <w:i/>
          <w:noProof/>
          <w:lang w:val="en-GB"/>
        </w:rPr>
        <w:t>,</w:t>
      </w:r>
      <w:r>
        <w:rPr>
          <w:i/>
          <w:noProof/>
          <w:lang w:val="en-GB"/>
        </w:rPr>
        <w:t xml:space="preserve"> face important obstacles </w:t>
      </w:r>
      <w:r w:rsidR="00643A72">
        <w:rPr>
          <w:i/>
          <w:noProof/>
          <w:lang w:val="en-GB"/>
        </w:rPr>
        <w:t xml:space="preserve">in </w:t>
      </w:r>
      <w:r>
        <w:rPr>
          <w:i/>
          <w:noProof/>
          <w:lang w:val="en-GB"/>
        </w:rPr>
        <w:t>access</w:t>
      </w:r>
      <w:r w:rsidR="00643A72">
        <w:rPr>
          <w:i/>
          <w:noProof/>
          <w:lang w:val="en-GB"/>
        </w:rPr>
        <w:t>ing</w:t>
      </w:r>
      <w:r>
        <w:rPr>
          <w:i/>
          <w:noProof/>
          <w:lang w:val="en-GB"/>
        </w:rPr>
        <w:t xml:space="preserve"> the data they need to develop new products, to take informed decisions or to </w:t>
      </w:r>
      <w:r w:rsidRPr="00543D56">
        <w:rPr>
          <w:i/>
          <w:noProof/>
          <w:lang w:val="en-GB"/>
        </w:rPr>
        <w:t>monitor the side effects of medicinal products</w:t>
      </w:r>
      <w:r w:rsidR="00643A72">
        <w:rPr>
          <w:i/>
          <w:noProof/>
          <w:lang w:val="en-GB"/>
        </w:rPr>
        <w:t xml:space="preserve"> over</w:t>
      </w:r>
      <w:r w:rsidR="00643A72" w:rsidRPr="00543D56">
        <w:rPr>
          <w:i/>
          <w:noProof/>
          <w:lang w:val="en-GB"/>
        </w:rPr>
        <w:t xml:space="preserve"> the long </w:t>
      </w:r>
      <w:r w:rsidR="00643A72">
        <w:rPr>
          <w:i/>
          <w:noProof/>
          <w:lang w:val="en-GB"/>
        </w:rPr>
        <w:t>term</w:t>
      </w:r>
      <w:r w:rsidRPr="00543D56">
        <w:rPr>
          <w:i/>
          <w:noProof/>
          <w:lang w:val="en-GB"/>
        </w:rPr>
        <w:t>, based on real</w:t>
      </w:r>
      <w:r w:rsidR="00643A72">
        <w:rPr>
          <w:i/>
          <w:noProof/>
          <w:lang w:val="en-GB"/>
        </w:rPr>
        <w:t>-</w:t>
      </w:r>
      <w:r w:rsidRPr="00543D56">
        <w:rPr>
          <w:i/>
          <w:noProof/>
          <w:lang w:val="en-GB"/>
        </w:rPr>
        <w:t>world evidence</w:t>
      </w:r>
      <w:r w:rsidR="008714C1">
        <w:rPr>
          <w:i/>
          <w:noProof/>
          <w:lang w:val="en-GB"/>
        </w:rPr>
        <w:t>, with impact on patient safety</w:t>
      </w:r>
      <w:r w:rsidRPr="00543D56">
        <w:rPr>
          <w:i/>
          <w:noProof/>
          <w:lang w:val="en-GB"/>
        </w:rPr>
        <w:t xml:space="preserve">. </w:t>
      </w:r>
      <w:r w:rsidRPr="00E6328B">
        <w:rPr>
          <w:rFonts w:eastAsia="Times New Roman"/>
          <w:i/>
          <w:noProof/>
          <w:lang w:val="en-GB"/>
        </w:rPr>
        <w:t>In many cases, consent</w:t>
      </w:r>
      <w:r>
        <w:rPr>
          <w:rStyle w:val="FootnoteReference"/>
          <w:noProof/>
          <w:lang w:val="en-GB"/>
        </w:rPr>
        <w:footnoteReference w:id="25"/>
      </w:r>
      <w:r w:rsidRPr="00E6328B">
        <w:rPr>
          <w:rFonts w:eastAsia="Times New Roman"/>
          <w:i/>
          <w:noProof/>
          <w:lang w:val="en-GB"/>
        </w:rPr>
        <w:t xml:space="preserve"> is the only way to access data for research, policy</w:t>
      </w:r>
      <w:r w:rsidR="006E0A22">
        <w:rPr>
          <w:rFonts w:eastAsia="Times New Roman"/>
          <w:i/>
          <w:noProof/>
          <w:lang w:val="en-GB"/>
        </w:rPr>
        <w:t>-</w:t>
      </w:r>
      <w:r w:rsidRPr="00E6328B">
        <w:rPr>
          <w:rFonts w:eastAsia="Times New Roman"/>
          <w:i/>
          <w:noProof/>
          <w:lang w:val="en-GB"/>
        </w:rPr>
        <w:t>making and regulatory purposes</w:t>
      </w:r>
      <w:r w:rsidRPr="00543D56">
        <w:rPr>
          <w:rFonts w:eastAsia="Times New Roman"/>
          <w:i/>
          <w:noProof/>
          <w:lang w:val="en-GB"/>
        </w:rPr>
        <w:t xml:space="preserve">. </w:t>
      </w:r>
      <w:r w:rsidRPr="00E6328B">
        <w:rPr>
          <w:i/>
          <w:noProof/>
          <w:lang w:val="en-GB"/>
        </w:rPr>
        <w:t>It is very costly and cumbersome for researchers to get consent from every patient to use the patient’s data in their research.</w:t>
      </w:r>
      <w:r w:rsidRPr="00543D56">
        <w:rPr>
          <w:i/>
          <w:noProof/>
          <w:lang w:val="en-GB"/>
        </w:rPr>
        <w:t xml:space="preserve"> </w:t>
      </w:r>
      <w:r w:rsidRPr="00E6328B">
        <w:rPr>
          <w:i/>
          <w:noProof/>
        </w:rPr>
        <w:t>Even when the patient consents, data holders are sometimes reluctant to provide data</w:t>
      </w:r>
      <w:r>
        <w:rPr>
          <w:i/>
          <w:noProof/>
        </w:rPr>
        <w:t xml:space="preserve"> </w:t>
      </w:r>
      <w:r w:rsidRPr="00E6328B">
        <w:rPr>
          <w:i/>
          <w:noProof/>
        </w:rPr>
        <w:t>for reasons other than data protection</w:t>
      </w:r>
      <w:r>
        <w:rPr>
          <w:i/>
          <w:noProof/>
        </w:rPr>
        <w:t xml:space="preserve"> and prefer to </w:t>
      </w:r>
      <w:r w:rsidRPr="00CC425E">
        <w:rPr>
          <w:rFonts w:eastAsia="Times New Roman"/>
          <w:i/>
          <w:noProof/>
          <w:lang w:val="en-GB"/>
        </w:rPr>
        <w:t>keep the health data for their activities.</w:t>
      </w:r>
      <w:r w:rsidRPr="00CC425E" w:rsidDel="00F523C2">
        <w:rPr>
          <w:rFonts w:eastAsia="Times New Roman"/>
          <w:i/>
          <w:noProof/>
          <w:lang w:val="en-GB"/>
        </w:rPr>
        <w:t xml:space="preserve"> </w:t>
      </w:r>
      <w:r w:rsidRPr="00E6328B">
        <w:rPr>
          <w:rFonts w:eastAsia="Times New Roman"/>
          <w:i/>
          <w:noProof/>
          <w:lang w:val="en-GB"/>
        </w:rPr>
        <w:t xml:space="preserve">The current </w:t>
      </w:r>
      <w:r w:rsidR="0011433F">
        <w:rPr>
          <w:rFonts w:eastAsia="Times New Roman"/>
          <w:i/>
          <w:noProof/>
          <w:lang w:val="en-GB"/>
        </w:rPr>
        <w:t xml:space="preserve">regulatory </w:t>
      </w:r>
      <w:r w:rsidRPr="00E6328B">
        <w:rPr>
          <w:rFonts w:eastAsia="Times New Roman"/>
          <w:i/>
          <w:noProof/>
          <w:lang w:val="en-GB"/>
        </w:rPr>
        <w:t>fragmentation between Member States hampers research and innovation by small players, as well as cross-</w:t>
      </w:r>
      <w:r w:rsidR="006E0A22">
        <w:rPr>
          <w:rFonts w:eastAsia="Times New Roman"/>
          <w:i/>
          <w:noProof/>
          <w:lang w:val="en-GB"/>
        </w:rPr>
        <w:t>border</w:t>
      </w:r>
      <w:r w:rsidRPr="00E6328B">
        <w:rPr>
          <w:rFonts w:eastAsia="Times New Roman"/>
          <w:i/>
          <w:noProof/>
          <w:lang w:val="en-GB"/>
        </w:rPr>
        <w:t xml:space="preserve"> research.</w:t>
      </w:r>
    </w:p>
    <w:p w14:paraId="0C4F4FB9" w14:textId="77777777" w:rsidR="00393095" w:rsidRPr="00CC425E" w:rsidRDefault="00F566E3" w:rsidP="0097389C">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Times New Roman"/>
          <w:i/>
          <w:noProof/>
          <w:lang w:val="en-GB"/>
        </w:rPr>
      </w:pPr>
      <w:r w:rsidRPr="00CC425E">
        <w:rPr>
          <w:rFonts w:eastAsia="Times New Roman"/>
          <w:i/>
          <w:noProof/>
          <w:lang w:val="en-GB"/>
        </w:rPr>
        <w:t xml:space="preserve">89% of respondents in the </w:t>
      </w:r>
      <w:r w:rsidR="006F2BF5">
        <w:rPr>
          <w:rFonts w:eastAsia="Times New Roman"/>
          <w:i/>
          <w:noProof/>
          <w:lang w:val="en-GB"/>
        </w:rPr>
        <w:t>p</w:t>
      </w:r>
      <w:r w:rsidRPr="00CC425E">
        <w:rPr>
          <w:rFonts w:eastAsia="Times New Roman"/>
          <w:i/>
          <w:noProof/>
          <w:lang w:val="en-GB"/>
        </w:rPr>
        <w:t xml:space="preserve">ublic </w:t>
      </w:r>
      <w:r w:rsidR="006F2BF5">
        <w:rPr>
          <w:rFonts w:eastAsia="Times New Roman"/>
          <w:i/>
          <w:noProof/>
          <w:lang w:val="en-GB"/>
        </w:rPr>
        <w:t>c</w:t>
      </w:r>
      <w:r w:rsidRPr="00CC425E">
        <w:rPr>
          <w:rFonts w:eastAsia="Times New Roman"/>
          <w:i/>
          <w:noProof/>
          <w:lang w:val="en-GB"/>
        </w:rPr>
        <w:t>onsultation believe that the European Health Data Space should support and accelerate research in health.</w:t>
      </w:r>
    </w:p>
    <w:p w14:paraId="59B21D22" w14:textId="79D2AAB9" w:rsidR="0097389C" w:rsidRPr="00F41B43" w:rsidRDefault="0097389C" w:rsidP="0097389C">
      <w:pPr>
        <w:rPr>
          <w:noProof/>
          <w:lang w:val="en-GB"/>
        </w:rPr>
      </w:pPr>
      <w:r w:rsidRPr="00F41B43">
        <w:rPr>
          <w:noProof/>
          <w:lang w:val="en-GB"/>
        </w:rPr>
        <w:t xml:space="preserve">The </w:t>
      </w:r>
      <w:r w:rsidRPr="00C92320">
        <w:rPr>
          <w:b/>
          <w:noProof/>
          <w:lang w:val="en-GB"/>
        </w:rPr>
        <w:t xml:space="preserve">digital </w:t>
      </w:r>
      <w:r w:rsidR="00067CE9">
        <w:rPr>
          <w:b/>
          <w:noProof/>
          <w:lang w:val="en-GB"/>
        </w:rPr>
        <w:t xml:space="preserve">health </w:t>
      </w:r>
      <w:r w:rsidRPr="00C92320">
        <w:rPr>
          <w:b/>
          <w:noProof/>
          <w:lang w:val="en-GB"/>
        </w:rPr>
        <w:t>industry</w:t>
      </w:r>
      <w:r w:rsidR="001229A7">
        <w:rPr>
          <w:b/>
          <w:noProof/>
          <w:lang w:val="en-GB"/>
        </w:rPr>
        <w:t xml:space="preserve"> </w:t>
      </w:r>
      <w:r w:rsidRPr="0096252A">
        <w:rPr>
          <w:noProof/>
          <w:lang w:val="en-GB"/>
        </w:rPr>
        <w:t xml:space="preserve">faces problems </w:t>
      </w:r>
      <w:r w:rsidR="0093173F" w:rsidRPr="0096252A">
        <w:rPr>
          <w:noProof/>
          <w:lang w:val="en-GB"/>
        </w:rPr>
        <w:t xml:space="preserve">when </w:t>
      </w:r>
      <w:r w:rsidRPr="0096252A">
        <w:rPr>
          <w:noProof/>
          <w:lang w:val="en-GB"/>
        </w:rPr>
        <w:t>placing new products and services on the market, given th</w:t>
      </w:r>
      <w:r w:rsidRPr="00F41B43">
        <w:rPr>
          <w:noProof/>
          <w:lang w:val="en-GB"/>
        </w:rPr>
        <w:t>e fragmentation of standards and specifications for storing and sharing data</w:t>
      </w:r>
      <w:r w:rsidR="0093173F">
        <w:rPr>
          <w:noProof/>
          <w:lang w:val="en-GB"/>
        </w:rPr>
        <w:t>. This</w:t>
      </w:r>
      <w:r w:rsidRPr="00F41B43">
        <w:rPr>
          <w:noProof/>
          <w:lang w:val="en-GB"/>
        </w:rPr>
        <w:t xml:space="preserve"> often </w:t>
      </w:r>
      <w:r w:rsidR="008A4352">
        <w:rPr>
          <w:noProof/>
          <w:lang w:val="en-GB"/>
        </w:rPr>
        <w:t>forces</w:t>
      </w:r>
      <w:r w:rsidR="008A4352" w:rsidRPr="00F41B43">
        <w:rPr>
          <w:noProof/>
          <w:lang w:val="en-GB"/>
        </w:rPr>
        <w:t xml:space="preserve"> </w:t>
      </w:r>
      <w:r w:rsidRPr="00F41B43">
        <w:rPr>
          <w:noProof/>
          <w:lang w:val="en-GB"/>
        </w:rPr>
        <w:t xml:space="preserve">healthcare providers </w:t>
      </w:r>
      <w:r w:rsidR="008A4352">
        <w:rPr>
          <w:noProof/>
          <w:lang w:val="en-GB"/>
        </w:rPr>
        <w:t xml:space="preserve">to </w:t>
      </w:r>
      <w:r w:rsidR="00C92320">
        <w:rPr>
          <w:noProof/>
          <w:lang w:val="en-GB"/>
        </w:rPr>
        <w:t xml:space="preserve">adopt new standards </w:t>
      </w:r>
      <w:r>
        <w:rPr>
          <w:noProof/>
          <w:lang w:val="en-GB"/>
        </w:rPr>
        <w:t xml:space="preserve">that </w:t>
      </w:r>
      <w:r w:rsidRPr="00F41B43">
        <w:rPr>
          <w:noProof/>
          <w:lang w:val="en-GB"/>
        </w:rPr>
        <w:t xml:space="preserve">erect barriers to new entrants. </w:t>
      </w:r>
      <w:r w:rsidR="003F69AC">
        <w:rPr>
          <w:noProof/>
          <w:lang w:val="en-GB"/>
        </w:rPr>
        <w:t xml:space="preserve">There is a variety of different </w:t>
      </w:r>
      <w:r w:rsidRPr="00F41B43">
        <w:rPr>
          <w:noProof/>
          <w:lang w:val="en-GB"/>
        </w:rPr>
        <w:t>standards</w:t>
      </w:r>
      <w:r w:rsidR="003F69AC">
        <w:rPr>
          <w:noProof/>
          <w:lang w:val="en-GB"/>
        </w:rPr>
        <w:t xml:space="preserve"> and</w:t>
      </w:r>
      <w:r w:rsidRPr="00F41B43">
        <w:rPr>
          <w:noProof/>
          <w:lang w:val="en-GB"/>
        </w:rPr>
        <w:t xml:space="preserve"> specifications </w:t>
      </w:r>
      <w:r w:rsidR="0093173F">
        <w:rPr>
          <w:noProof/>
          <w:lang w:val="en-GB"/>
        </w:rPr>
        <w:t xml:space="preserve">of </w:t>
      </w:r>
      <w:r w:rsidRPr="00F41B43">
        <w:rPr>
          <w:noProof/>
          <w:lang w:val="en-GB"/>
        </w:rPr>
        <w:t>various organisations</w:t>
      </w:r>
      <w:r w:rsidR="00614D2C">
        <w:rPr>
          <w:noProof/>
          <w:lang w:val="en-GB"/>
        </w:rPr>
        <w:t>.</w:t>
      </w:r>
      <w:r w:rsidRPr="00F41B43">
        <w:rPr>
          <w:noProof/>
          <w:lang w:val="en-GB"/>
        </w:rPr>
        <w:t xml:space="preserve"> </w:t>
      </w:r>
      <w:r w:rsidR="000C0EC4">
        <w:rPr>
          <w:noProof/>
          <w:lang w:val="en-GB"/>
        </w:rPr>
        <w:t xml:space="preserve">Therefore, </w:t>
      </w:r>
      <w:r w:rsidR="0093173F">
        <w:rPr>
          <w:noProof/>
          <w:lang w:val="en-GB"/>
        </w:rPr>
        <w:t>many</w:t>
      </w:r>
      <w:r w:rsidR="0093173F" w:rsidRPr="00F41B43">
        <w:rPr>
          <w:noProof/>
          <w:lang w:val="en-GB"/>
        </w:rPr>
        <w:t xml:space="preserve"> </w:t>
      </w:r>
      <w:r w:rsidRPr="00F41B43">
        <w:rPr>
          <w:noProof/>
          <w:lang w:val="en-GB"/>
        </w:rPr>
        <w:t xml:space="preserve">producers of digital health </w:t>
      </w:r>
      <w:r w:rsidR="0059045A">
        <w:rPr>
          <w:noProof/>
          <w:lang w:val="en-GB"/>
        </w:rPr>
        <w:t xml:space="preserve">products and providers of digital health </w:t>
      </w:r>
      <w:r w:rsidRPr="00F41B43">
        <w:rPr>
          <w:noProof/>
          <w:lang w:val="en-GB"/>
        </w:rPr>
        <w:t>services cannot market their products</w:t>
      </w:r>
      <w:r w:rsidR="0059045A">
        <w:rPr>
          <w:noProof/>
          <w:lang w:val="en-GB"/>
        </w:rPr>
        <w:t xml:space="preserve"> and services</w:t>
      </w:r>
      <w:r w:rsidRPr="00F41B43">
        <w:rPr>
          <w:noProof/>
          <w:lang w:val="en-GB"/>
        </w:rPr>
        <w:t xml:space="preserve"> in other Member States </w:t>
      </w:r>
      <w:r w:rsidR="0093173F" w:rsidRPr="0093173F">
        <w:rPr>
          <w:noProof/>
          <w:lang w:val="en-GB"/>
        </w:rPr>
        <w:t xml:space="preserve">without incurring </w:t>
      </w:r>
      <w:r w:rsidRPr="00F41B43">
        <w:rPr>
          <w:noProof/>
          <w:lang w:val="en-GB"/>
        </w:rPr>
        <w:t xml:space="preserve">additional costs to adapt </w:t>
      </w:r>
      <w:r w:rsidR="0093173F">
        <w:rPr>
          <w:noProof/>
          <w:lang w:val="en-GB"/>
        </w:rPr>
        <w:t xml:space="preserve">them </w:t>
      </w:r>
      <w:r w:rsidRPr="00F41B43">
        <w:rPr>
          <w:noProof/>
          <w:lang w:val="en-GB"/>
        </w:rPr>
        <w:t>to the national standards.</w:t>
      </w:r>
      <w:r w:rsidR="004B4D75">
        <w:rPr>
          <w:noProof/>
          <w:lang w:val="en-GB"/>
        </w:rPr>
        <w:t xml:space="preserve"> Moreover, industry has difficult</w:t>
      </w:r>
      <w:r w:rsidR="0052091F">
        <w:rPr>
          <w:noProof/>
          <w:lang w:val="en-GB"/>
        </w:rPr>
        <w:t>ies</w:t>
      </w:r>
      <w:r w:rsidR="004B4D75">
        <w:rPr>
          <w:noProof/>
          <w:lang w:val="en-GB"/>
        </w:rPr>
        <w:t xml:space="preserve"> to access health data for secondary use, which impacts on their innovation capacity. </w:t>
      </w:r>
    </w:p>
    <w:p w14:paraId="211492A5" w14:textId="77777777" w:rsidR="002C4174" w:rsidRDefault="002C4174" w:rsidP="0097389C">
      <w:pPr>
        <w:rPr>
          <w:noProof/>
          <w:lang w:val="en-GB"/>
        </w:rPr>
      </w:pPr>
      <w:r w:rsidRPr="002C4174">
        <w:rPr>
          <w:b/>
          <w:noProof/>
          <w:lang w:val="en-GB"/>
        </w:rPr>
        <w:t xml:space="preserve">Researchers and innovators </w:t>
      </w:r>
      <w:r w:rsidRPr="002C4174">
        <w:rPr>
          <w:noProof/>
          <w:lang w:val="en-GB"/>
        </w:rPr>
        <w:t xml:space="preserve">still face challenges </w:t>
      </w:r>
      <w:r w:rsidR="00643A72">
        <w:rPr>
          <w:noProof/>
          <w:lang w:val="en-GB"/>
        </w:rPr>
        <w:t xml:space="preserve">in accessing </w:t>
      </w:r>
      <w:r w:rsidRPr="002C4174">
        <w:rPr>
          <w:noProof/>
          <w:lang w:val="en-GB"/>
        </w:rPr>
        <w:t xml:space="preserve">critical data that can boost the faster translation of research results into benefits for patients, </w:t>
      </w:r>
      <w:r w:rsidR="00643A72">
        <w:rPr>
          <w:noProof/>
          <w:lang w:val="en-GB"/>
        </w:rPr>
        <w:t xml:space="preserve">despite </w:t>
      </w:r>
      <w:r w:rsidRPr="002C4174">
        <w:rPr>
          <w:noProof/>
          <w:lang w:val="en-GB"/>
        </w:rPr>
        <w:t>substantial progress through the establishment of Eu</w:t>
      </w:r>
      <w:r>
        <w:rPr>
          <w:noProof/>
          <w:lang w:val="en-GB"/>
        </w:rPr>
        <w:t>ropean Research Infrastructures</w:t>
      </w:r>
      <w:r>
        <w:rPr>
          <w:rStyle w:val="FootnoteReference"/>
          <w:noProof/>
          <w:lang w:val="en-GB"/>
        </w:rPr>
        <w:footnoteReference w:id="26"/>
      </w:r>
      <w:r w:rsidR="00643A72">
        <w:rPr>
          <w:noProof/>
          <w:lang w:val="en-GB"/>
        </w:rPr>
        <w:t>. These have led</w:t>
      </w:r>
      <w:r w:rsidRPr="002C4174">
        <w:rPr>
          <w:noProof/>
          <w:lang w:val="en-GB"/>
        </w:rPr>
        <w:t xml:space="preserve">, for example, </w:t>
      </w:r>
      <w:r w:rsidR="00643A72">
        <w:rPr>
          <w:noProof/>
          <w:lang w:val="en-GB"/>
        </w:rPr>
        <w:t xml:space="preserve">to </w:t>
      </w:r>
      <w:r w:rsidRPr="002C4174">
        <w:rPr>
          <w:noProof/>
          <w:lang w:val="en-GB"/>
        </w:rPr>
        <w:t>the creation of the European COVID-19 Data Platform</w:t>
      </w:r>
      <w:r>
        <w:rPr>
          <w:rStyle w:val="FootnoteReference"/>
          <w:noProof/>
          <w:lang w:val="en-GB"/>
        </w:rPr>
        <w:footnoteReference w:id="27"/>
      </w:r>
      <w:r w:rsidRPr="003F69AC">
        <w:rPr>
          <w:noProof/>
          <w:lang w:val="en-GB"/>
        </w:rPr>
        <w:t>.</w:t>
      </w:r>
      <w:r w:rsidRPr="002C4174">
        <w:rPr>
          <w:b/>
          <w:noProof/>
          <w:lang w:val="en-GB"/>
        </w:rPr>
        <w:t xml:space="preserve"> </w:t>
      </w:r>
      <w:r w:rsidR="0097389C" w:rsidRPr="00F41B43">
        <w:rPr>
          <w:noProof/>
          <w:lang w:val="en-GB"/>
        </w:rPr>
        <w:t xml:space="preserve">Fragmented and divergent legal and administrative rules, frameworks, processes, standards and infrastructure for </w:t>
      </w:r>
      <w:r w:rsidR="00614D2C">
        <w:rPr>
          <w:noProof/>
          <w:lang w:val="en-GB"/>
        </w:rPr>
        <w:t>reusing</w:t>
      </w:r>
      <w:r w:rsidR="00614D2C" w:rsidRPr="00F41B43">
        <w:rPr>
          <w:noProof/>
          <w:lang w:val="en-GB"/>
        </w:rPr>
        <w:t xml:space="preserve"> </w:t>
      </w:r>
      <w:r w:rsidR="0097389C" w:rsidRPr="00F41B43">
        <w:rPr>
          <w:noProof/>
          <w:lang w:val="en-GB"/>
        </w:rPr>
        <w:t xml:space="preserve">health data restrict </w:t>
      </w:r>
      <w:r w:rsidR="0097389C" w:rsidRPr="00FF1F23">
        <w:rPr>
          <w:noProof/>
          <w:lang w:val="en-GB"/>
        </w:rPr>
        <w:t>researchers and innovators</w:t>
      </w:r>
      <w:r w:rsidR="0093173F">
        <w:rPr>
          <w:noProof/>
          <w:lang w:val="en-GB"/>
        </w:rPr>
        <w:t>’ access</w:t>
      </w:r>
      <w:r w:rsidR="0097389C" w:rsidRPr="00FF1F23">
        <w:rPr>
          <w:noProof/>
          <w:lang w:val="en-GB"/>
        </w:rPr>
        <w:t xml:space="preserve"> to health data. </w:t>
      </w:r>
      <w:r w:rsidR="00B46F08">
        <w:rPr>
          <w:noProof/>
          <w:lang w:val="en-GB"/>
        </w:rPr>
        <w:t xml:space="preserve">They </w:t>
      </w:r>
      <w:r w:rsidR="00B46F08" w:rsidRPr="00F41B43">
        <w:rPr>
          <w:noProof/>
          <w:lang w:val="en-GB"/>
        </w:rPr>
        <w:t>also limit the availability of innovative health products and service</w:t>
      </w:r>
      <w:r w:rsidR="00B46F08">
        <w:rPr>
          <w:noProof/>
          <w:lang w:val="en-GB"/>
        </w:rPr>
        <w:t>.</w:t>
      </w:r>
    </w:p>
    <w:p w14:paraId="2D4A8FFF" w14:textId="329247DE" w:rsidR="0097389C" w:rsidRDefault="00B46F08" w:rsidP="00393095">
      <w:pPr>
        <w:rPr>
          <w:noProof/>
          <w:lang w:val="en-GB"/>
        </w:rPr>
      </w:pPr>
      <w:r>
        <w:rPr>
          <w:noProof/>
          <w:lang w:val="en-GB"/>
        </w:rPr>
        <w:t xml:space="preserve">For </w:t>
      </w:r>
      <w:r w:rsidRPr="006C3539">
        <w:rPr>
          <w:b/>
          <w:noProof/>
          <w:lang w:val="en-GB"/>
        </w:rPr>
        <w:t>policy-makers and regulators</w:t>
      </w:r>
      <w:r w:rsidR="002953C4">
        <w:rPr>
          <w:noProof/>
          <w:lang w:val="en-GB"/>
        </w:rPr>
        <w:t>,</w:t>
      </w:r>
      <w:r>
        <w:rPr>
          <w:noProof/>
          <w:lang w:val="en-GB"/>
        </w:rPr>
        <w:t xml:space="preserve"> the limited use of health data </w:t>
      </w:r>
      <w:r w:rsidR="002953C4">
        <w:rPr>
          <w:bCs/>
          <w:noProof/>
          <w:lang w:val="en-GB"/>
        </w:rPr>
        <w:t>put</w:t>
      </w:r>
      <w:r w:rsidR="008811CE">
        <w:rPr>
          <w:bCs/>
          <w:noProof/>
          <w:lang w:val="en-GB"/>
        </w:rPr>
        <w:t>s</w:t>
      </w:r>
      <w:r w:rsidR="002953C4">
        <w:rPr>
          <w:bCs/>
          <w:noProof/>
          <w:lang w:val="en-GB"/>
        </w:rPr>
        <w:t xml:space="preserve"> limits on making</w:t>
      </w:r>
      <w:r w:rsidR="002953C4" w:rsidRPr="006E402A">
        <w:rPr>
          <w:bCs/>
          <w:noProof/>
          <w:lang w:val="en-GB"/>
        </w:rPr>
        <w:t xml:space="preserve"> </w:t>
      </w:r>
      <w:r w:rsidRPr="006E402A">
        <w:rPr>
          <w:bCs/>
          <w:noProof/>
          <w:lang w:val="en-GB"/>
        </w:rPr>
        <w:t>more efficient and effective healthcare and public heal</w:t>
      </w:r>
      <w:r w:rsidRPr="006E402A">
        <w:rPr>
          <w:noProof/>
          <w:lang w:val="en-GB"/>
        </w:rPr>
        <w:t>th policy</w:t>
      </w:r>
      <w:r w:rsidR="0093173F">
        <w:rPr>
          <w:noProof/>
          <w:lang w:val="en-GB"/>
        </w:rPr>
        <w:t>, which</w:t>
      </w:r>
      <w:r w:rsidR="00614D2C">
        <w:rPr>
          <w:noProof/>
          <w:lang w:val="en-GB"/>
        </w:rPr>
        <w:t xml:space="preserve"> is crucial </w:t>
      </w:r>
      <w:r w:rsidR="0011433F">
        <w:rPr>
          <w:noProof/>
          <w:lang w:val="en-GB"/>
        </w:rPr>
        <w:t xml:space="preserve">particularly </w:t>
      </w:r>
      <w:r w:rsidR="0097389C" w:rsidRPr="00F41B43">
        <w:rPr>
          <w:noProof/>
          <w:lang w:val="en-GB"/>
        </w:rPr>
        <w:t xml:space="preserve">for effective </w:t>
      </w:r>
      <w:r w:rsidR="0011433F">
        <w:rPr>
          <w:noProof/>
          <w:lang w:val="en-GB"/>
        </w:rPr>
        <w:t xml:space="preserve">health </w:t>
      </w:r>
      <w:r w:rsidR="0097389C" w:rsidRPr="00F41B43">
        <w:rPr>
          <w:noProof/>
          <w:lang w:val="en-GB"/>
        </w:rPr>
        <w:t xml:space="preserve">crisis management. </w:t>
      </w:r>
      <w:r w:rsidR="004B4D75">
        <w:rPr>
          <w:noProof/>
          <w:lang w:val="en-GB"/>
        </w:rPr>
        <w:t xml:space="preserve">This was very </w:t>
      </w:r>
      <w:r w:rsidR="00543D56">
        <w:rPr>
          <w:noProof/>
          <w:lang w:val="en-GB"/>
        </w:rPr>
        <w:t xml:space="preserve">evident during </w:t>
      </w:r>
      <w:r w:rsidR="0052091F">
        <w:rPr>
          <w:noProof/>
          <w:lang w:val="en-GB"/>
        </w:rPr>
        <w:t xml:space="preserve">the </w:t>
      </w:r>
      <w:r w:rsidR="00543D56">
        <w:rPr>
          <w:noProof/>
          <w:lang w:val="en-GB"/>
        </w:rPr>
        <w:t>COVID</w:t>
      </w:r>
      <w:r w:rsidR="0052091F">
        <w:rPr>
          <w:noProof/>
          <w:lang w:val="en-GB"/>
        </w:rPr>
        <w:t>-19 pandemic</w:t>
      </w:r>
      <w:r w:rsidR="00543D56">
        <w:rPr>
          <w:noProof/>
          <w:lang w:val="en-GB"/>
        </w:rPr>
        <w:t xml:space="preserve">, when </w:t>
      </w:r>
      <w:r w:rsidR="002953C4">
        <w:rPr>
          <w:noProof/>
          <w:lang w:val="en-GB"/>
        </w:rPr>
        <w:t xml:space="preserve">the </w:t>
      </w:r>
      <w:r w:rsidR="00543D56">
        <w:rPr>
          <w:noProof/>
          <w:lang w:val="en-GB"/>
        </w:rPr>
        <w:t>E</w:t>
      </w:r>
      <w:r w:rsidR="002953C4">
        <w:rPr>
          <w:noProof/>
          <w:lang w:val="en-GB"/>
        </w:rPr>
        <w:t xml:space="preserve">uropean </w:t>
      </w:r>
      <w:r w:rsidR="00543D56">
        <w:rPr>
          <w:noProof/>
          <w:lang w:val="en-GB"/>
        </w:rPr>
        <w:t>C</w:t>
      </w:r>
      <w:r w:rsidR="002953C4">
        <w:rPr>
          <w:noProof/>
          <w:lang w:val="en-GB"/>
        </w:rPr>
        <w:t xml:space="preserve">entre for </w:t>
      </w:r>
      <w:r w:rsidR="00543D56">
        <w:rPr>
          <w:noProof/>
          <w:lang w:val="en-GB"/>
        </w:rPr>
        <w:t>D</w:t>
      </w:r>
      <w:r w:rsidR="002953C4">
        <w:rPr>
          <w:noProof/>
          <w:lang w:val="en-GB"/>
        </w:rPr>
        <w:t xml:space="preserve">isease Prevention and </w:t>
      </w:r>
      <w:r w:rsidR="00543D56">
        <w:rPr>
          <w:noProof/>
          <w:lang w:val="en-GB"/>
        </w:rPr>
        <w:t>C</w:t>
      </w:r>
      <w:r w:rsidR="002953C4">
        <w:rPr>
          <w:noProof/>
          <w:lang w:val="en-GB"/>
        </w:rPr>
        <w:t>ontrol</w:t>
      </w:r>
      <w:r w:rsidR="00543D56">
        <w:rPr>
          <w:noProof/>
          <w:lang w:val="en-GB"/>
        </w:rPr>
        <w:t xml:space="preserve"> and</w:t>
      </w:r>
      <w:r w:rsidR="002953C4">
        <w:rPr>
          <w:noProof/>
          <w:lang w:val="en-GB"/>
        </w:rPr>
        <w:t xml:space="preserve"> the</w:t>
      </w:r>
      <w:r w:rsidR="00543D56">
        <w:rPr>
          <w:noProof/>
          <w:lang w:val="en-GB"/>
        </w:rPr>
        <w:t xml:space="preserve"> E</w:t>
      </w:r>
      <w:r w:rsidR="002953C4">
        <w:rPr>
          <w:noProof/>
          <w:lang w:val="en-GB"/>
        </w:rPr>
        <w:t xml:space="preserve">uropean </w:t>
      </w:r>
      <w:r w:rsidR="00543D56">
        <w:rPr>
          <w:noProof/>
          <w:lang w:val="en-GB"/>
        </w:rPr>
        <w:t>M</w:t>
      </w:r>
      <w:r w:rsidR="002953C4">
        <w:rPr>
          <w:noProof/>
          <w:lang w:val="en-GB"/>
        </w:rPr>
        <w:t xml:space="preserve">edicines </w:t>
      </w:r>
      <w:r w:rsidR="00543D56">
        <w:rPr>
          <w:noProof/>
          <w:lang w:val="en-GB"/>
        </w:rPr>
        <w:t>A</w:t>
      </w:r>
      <w:r w:rsidR="002953C4">
        <w:rPr>
          <w:noProof/>
          <w:lang w:val="en-GB"/>
        </w:rPr>
        <w:t>gency</w:t>
      </w:r>
      <w:r w:rsidR="00543D56">
        <w:rPr>
          <w:noProof/>
          <w:lang w:val="en-GB"/>
        </w:rPr>
        <w:t xml:space="preserve"> struggled to </w:t>
      </w:r>
      <w:r w:rsidR="0052091F">
        <w:rPr>
          <w:noProof/>
          <w:lang w:val="en-GB"/>
        </w:rPr>
        <w:t>obtain</w:t>
      </w:r>
      <w:r w:rsidR="00543D56">
        <w:rPr>
          <w:noProof/>
          <w:lang w:val="en-GB"/>
        </w:rPr>
        <w:t xml:space="preserve"> rapid access to data and evidence for decisions</w:t>
      </w:r>
      <w:r w:rsidR="0052091F">
        <w:rPr>
          <w:noProof/>
          <w:lang w:val="en-GB"/>
        </w:rPr>
        <w:t xml:space="preserve"> and scientific guidance on the response to the pandemic</w:t>
      </w:r>
      <w:r w:rsidR="00543D56">
        <w:rPr>
          <w:noProof/>
          <w:lang w:val="en-GB"/>
        </w:rPr>
        <w:t xml:space="preserve">. </w:t>
      </w:r>
    </w:p>
    <w:p w14:paraId="2082EB20" w14:textId="77777777" w:rsidR="006413E7" w:rsidRDefault="000A6BD3" w:rsidP="00393095">
      <w:pPr>
        <w:keepNext/>
        <w:jc w:val="center"/>
        <w:rPr>
          <w:noProof/>
        </w:rPr>
      </w:pPr>
      <w:r w:rsidRPr="000A6BD3">
        <w:rPr>
          <w:noProof/>
          <w:lang w:val="en-GB" w:eastAsia="en-GB"/>
        </w:rPr>
        <w:drawing>
          <wp:inline distT="0" distB="0" distL="0" distR="0" wp14:anchorId="667A645C" wp14:editId="00690C8B">
            <wp:extent cx="5943600" cy="34664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466465"/>
                    </a:xfrm>
                    <a:prstGeom prst="rect">
                      <a:avLst/>
                    </a:prstGeom>
                  </pic:spPr>
                </pic:pic>
              </a:graphicData>
            </a:graphic>
          </wp:inline>
        </w:drawing>
      </w:r>
    </w:p>
    <w:p w14:paraId="5982FB06" w14:textId="77777777" w:rsidR="0097389C" w:rsidRPr="00F41B43" w:rsidRDefault="0097389C" w:rsidP="00393095">
      <w:pPr>
        <w:pStyle w:val="Caption"/>
        <w:jc w:val="center"/>
        <w:rPr>
          <w:noProof/>
          <w:lang w:val="en-GB"/>
        </w:rPr>
      </w:pPr>
      <w:r w:rsidRPr="008E71FD">
        <w:rPr>
          <w:noProof/>
        </w:rPr>
        <w:t xml:space="preserve">Figure </w:t>
      </w:r>
      <w:r w:rsidR="00C92320">
        <w:rPr>
          <w:noProof/>
        </w:rPr>
        <w:t>2</w:t>
      </w:r>
      <w:r w:rsidR="006413E7" w:rsidRPr="006413E7">
        <w:rPr>
          <w:noProof/>
        </w:rPr>
        <w:t xml:space="preserve"> </w:t>
      </w:r>
      <w:r w:rsidR="006413E7">
        <w:rPr>
          <w:noProof/>
        </w:rPr>
        <w:t>-</w:t>
      </w:r>
      <w:r w:rsidRPr="008E71FD">
        <w:rPr>
          <w:noProof/>
        </w:rPr>
        <w:t xml:space="preserve"> </w:t>
      </w:r>
      <w:r w:rsidR="000111E6">
        <w:rPr>
          <w:noProof/>
        </w:rPr>
        <w:t>P</w:t>
      </w:r>
      <w:r w:rsidRPr="008E71FD">
        <w:rPr>
          <w:noProof/>
        </w:rPr>
        <w:t xml:space="preserve">roblems </w:t>
      </w:r>
      <w:r w:rsidR="009C0CE8" w:rsidRPr="005C13B4">
        <w:rPr>
          <w:noProof/>
        </w:rPr>
        <w:t xml:space="preserve">in </w:t>
      </w:r>
      <w:r w:rsidRPr="005C13B4">
        <w:rPr>
          <w:noProof/>
        </w:rPr>
        <w:t>control</w:t>
      </w:r>
      <w:r w:rsidR="009C0CE8" w:rsidRPr="005C13B4">
        <w:rPr>
          <w:noProof/>
        </w:rPr>
        <w:t>ling</w:t>
      </w:r>
      <w:r w:rsidRPr="005C13B4">
        <w:rPr>
          <w:noProof/>
        </w:rPr>
        <w:t xml:space="preserve">, </w:t>
      </w:r>
      <w:r w:rsidR="006413E7" w:rsidRPr="006413E7">
        <w:rPr>
          <w:noProof/>
        </w:rPr>
        <w:t>using</w:t>
      </w:r>
      <w:r w:rsidRPr="008E71FD">
        <w:rPr>
          <w:noProof/>
        </w:rPr>
        <w:t xml:space="preserve"> and </w:t>
      </w:r>
      <w:r w:rsidR="006413E7" w:rsidRPr="006413E7">
        <w:rPr>
          <w:noProof/>
        </w:rPr>
        <w:t>sharing</w:t>
      </w:r>
      <w:r w:rsidRPr="008E71FD">
        <w:rPr>
          <w:noProof/>
        </w:rPr>
        <w:t xml:space="preserve"> health data</w:t>
      </w:r>
    </w:p>
    <w:p w14:paraId="10E4EB33" w14:textId="77777777" w:rsidR="0097389C" w:rsidRPr="00F41B43" w:rsidRDefault="00F523C2" w:rsidP="0097389C">
      <w:pPr>
        <w:rPr>
          <w:noProof/>
          <w:lang w:val="en-GB"/>
        </w:rPr>
      </w:pPr>
      <w:r w:rsidRPr="00F523C2">
        <w:rPr>
          <w:noProof/>
          <w:lang w:val="en-GB"/>
        </w:rPr>
        <w:t xml:space="preserve">Over half of Member States do not have specific legislation </w:t>
      </w:r>
      <w:r w:rsidR="002953C4">
        <w:rPr>
          <w:noProof/>
          <w:lang w:val="en-GB"/>
        </w:rPr>
        <w:t>on reusing</w:t>
      </w:r>
      <w:r w:rsidRPr="00F523C2">
        <w:rPr>
          <w:noProof/>
          <w:lang w:val="en-GB"/>
        </w:rPr>
        <w:t xml:space="preserve"> electronic health data</w:t>
      </w:r>
      <w:r w:rsidR="006F1201">
        <w:rPr>
          <w:noProof/>
          <w:lang w:val="en-GB"/>
        </w:rPr>
        <w:t xml:space="preserve"> </w:t>
      </w:r>
      <w:r w:rsidRPr="00F523C2">
        <w:rPr>
          <w:noProof/>
          <w:lang w:val="en-GB"/>
        </w:rPr>
        <w:t>for research</w:t>
      </w:r>
      <w:r w:rsidR="00976C45">
        <w:rPr>
          <w:noProof/>
          <w:lang w:val="en-GB"/>
        </w:rPr>
        <w:t>, policy</w:t>
      </w:r>
      <w:r w:rsidR="006E0A22">
        <w:rPr>
          <w:noProof/>
          <w:lang w:val="en-GB"/>
        </w:rPr>
        <w:t>-</w:t>
      </w:r>
      <w:r w:rsidR="00976C45">
        <w:rPr>
          <w:noProof/>
          <w:lang w:val="en-GB"/>
        </w:rPr>
        <w:t>making or regulatory</w:t>
      </w:r>
      <w:r w:rsidR="008A4352">
        <w:rPr>
          <w:noProof/>
          <w:lang w:val="en-GB"/>
        </w:rPr>
        <w:t xml:space="preserve"> </w:t>
      </w:r>
      <w:r w:rsidRPr="00F523C2">
        <w:rPr>
          <w:noProof/>
          <w:lang w:val="en-GB"/>
        </w:rPr>
        <w:t>purposes</w:t>
      </w:r>
      <w:r w:rsidR="002953C4">
        <w:rPr>
          <w:noProof/>
          <w:lang w:val="en-GB"/>
        </w:rPr>
        <w:t xml:space="preserve"> for instance,</w:t>
      </w:r>
      <w:r w:rsidRPr="00F523C2">
        <w:rPr>
          <w:noProof/>
          <w:lang w:val="en-GB"/>
        </w:rPr>
        <w:t xml:space="preserve"> and rely on the general provisions of the GDPR, often using consent for processing health data</w:t>
      </w:r>
      <w:r w:rsidR="008F0E9E">
        <w:rPr>
          <w:rStyle w:val="FootnoteReference"/>
          <w:noProof/>
          <w:lang w:val="en-GB"/>
        </w:rPr>
        <w:footnoteReference w:id="28"/>
      </w:r>
      <w:r w:rsidRPr="00F523C2">
        <w:rPr>
          <w:noProof/>
          <w:lang w:val="en-GB"/>
        </w:rPr>
        <w:t>. This situation results in limited health data reuse.</w:t>
      </w:r>
      <w:r>
        <w:rPr>
          <w:noProof/>
          <w:lang w:val="en-GB"/>
        </w:rPr>
        <w:t xml:space="preserve"> </w:t>
      </w:r>
      <w:r w:rsidR="0097389C" w:rsidRPr="00F41B43">
        <w:rPr>
          <w:noProof/>
          <w:lang w:val="en-GB"/>
        </w:rPr>
        <w:t xml:space="preserve">Not all </w:t>
      </w:r>
      <w:r>
        <w:rPr>
          <w:noProof/>
          <w:lang w:val="en-GB"/>
        </w:rPr>
        <w:t xml:space="preserve">Member States </w:t>
      </w:r>
      <w:r w:rsidR="0097389C" w:rsidRPr="00F41B43">
        <w:rPr>
          <w:noProof/>
          <w:lang w:val="en-GB"/>
        </w:rPr>
        <w:t xml:space="preserve">have a </w:t>
      </w:r>
      <w:r w:rsidR="00111FF2">
        <w:rPr>
          <w:noProof/>
          <w:lang w:val="en-GB"/>
        </w:rPr>
        <w:t>competent body for h</w:t>
      </w:r>
      <w:r w:rsidR="0097389C" w:rsidRPr="00F41B43">
        <w:rPr>
          <w:noProof/>
          <w:lang w:val="en-GB"/>
        </w:rPr>
        <w:t xml:space="preserve">ealth </w:t>
      </w:r>
      <w:r w:rsidR="00111FF2">
        <w:rPr>
          <w:noProof/>
          <w:lang w:val="en-GB"/>
        </w:rPr>
        <w:t>data a</w:t>
      </w:r>
      <w:r w:rsidR="0097389C" w:rsidRPr="00F41B43">
        <w:rPr>
          <w:noProof/>
          <w:lang w:val="en-GB"/>
        </w:rPr>
        <w:t xml:space="preserve">ccess, but where such a body exists, the number of </w:t>
      </w:r>
      <w:r w:rsidR="000111E6">
        <w:rPr>
          <w:noProof/>
          <w:lang w:val="en-GB"/>
        </w:rPr>
        <w:t xml:space="preserve">requests to use </w:t>
      </w:r>
      <w:r w:rsidR="00EA5A9A">
        <w:rPr>
          <w:noProof/>
          <w:lang w:val="en-GB"/>
        </w:rPr>
        <w:t>health data</w:t>
      </w:r>
      <w:r w:rsidR="00111FF2">
        <w:rPr>
          <w:noProof/>
          <w:lang w:val="en-GB"/>
        </w:rPr>
        <w:t xml:space="preserve"> for research or policy</w:t>
      </w:r>
      <w:r w:rsidR="003F0C5C">
        <w:rPr>
          <w:noProof/>
          <w:lang w:val="en-GB"/>
        </w:rPr>
        <w:t>-</w:t>
      </w:r>
      <w:r w:rsidR="00111FF2">
        <w:rPr>
          <w:noProof/>
          <w:lang w:val="en-GB"/>
        </w:rPr>
        <w:t>making</w:t>
      </w:r>
      <w:r w:rsidR="00AF687F">
        <w:rPr>
          <w:noProof/>
          <w:lang w:val="en-GB"/>
        </w:rPr>
        <w:t xml:space="preserve"> projects</w:t>
      </w:r>
      <w:r w:rsidR="0097389C" w:rsidRPr="00F41B43">
        <w:rPr>
          <w:noProof/>
          <w:lang w:val="en-GB"/>
        </w:rPr>
        <w:t xml:space="preserve"> is </w:t>
      </w:r>
      <w:r w:rsidR="008A4352">
        <w:rPr>
          <w:noProof/>
          <w:lang w:val="en-GB"/>
        </w:rPr>
        <w:t>rapidly increasing</w:t>
      </w:r>
      <w:r w:rsidR="00D713EE">
        <w:rPr>
          <w:noProof/>
          <w:lang w:val="en-GB"/>
        </w:rPr>
        <w:t>,</w:t>
      </w:r>
      <w:r w:rsidR="006E3533">
        <w:rPr>
          <w:rStyle w:val="FootnoteReference"/>
          <w:noProof/>
          <w:lang w:val="en-GB"/>
        </w:rPr>
        <w:footnoteReference w:id="29"/>
      </w:r>
      <w:r w:rsidR="00D713EE">
        <w:rPr>
          <w:noProof/>
          <w:lang w:val="en-GB"/>
        </w:rPr>
        <w:t xml:space="preserve"> showing the interest in such a system and sup</w:t>
      </w:r>
      <w:r w:rsidR="00D35976">
        <w:rPr>
          <w:noProof/>
          <w:lang w:val="en-GB"/>
        </w:rPr>
        <w:t>p</w:t>
      </w:r>
      <w:r w:rsidR="00D713EE">
        <w:rPr>
          <w:noProof/>
          <w:lang w:val="en-GB"/>
        </w:rPr>
        <w:t>ressed demand</w:t>
      </w:r>
      <w:r w:rsidR="0097389C" w:rsidRPr="00F41B43">
        <w:rPr>
          <w:noProof/>
          <w:lang w:val="en-GB"/>
        </w:rPr>
        <w:t xml:space="preserve">. </w:t>
      </w:r>
    </w:p>
    <w:p w14:paraId="391FCB16" w14:textId="77777777" w:rsidR="00A32D87" w:rsidRDefault="00A32D87" w:rsidP="00F523C2">
      <w:pPr>
        <w:rPr>
          <w:noProof/>
          <w:lang w:val="en-GB"/>
        </w:rPr>
      </w:pPr>
      <w:r>
        <w:rPr>
          <w:noProof/>
          <w:lang w:val="en-GB"/>
        </w:rPr>
        <w:t xml:space="preserve">There is evidently a </w:t>
      </w:r>
      <w:r w:rsidR="0061744B" w:rsidRPr="0061744B">
        <w:rPr>
          <w:noProof/>
          <w:lang w:val="en-GB"/>
        </w:rPr>
        <w:t xml:space="preserve">need for a regulatory framework that directly addresses the rights of </w:t>
      </w:r>
      <w:r w:rsidR="0061744B">
        <w:rPr>
          <w:noProof/>
          <w:lang w:val="en-GB"/>
        </w:rPr>
        <w:t>individuals</w:t>
      </w:r>
      <w:r w:rsidR="00E02F1A">
        <w:rPr>
          <w:noProof/>
          <w:lang w:val="en-GB"/>
        </w:rPr>
        <w:t xml:space="preserve">, </w:t>
      </w:r>
      <w:r w:rsidR="0061744B" w:rsidRPr="0061744B">
        <w:rPr>
          <w:noProof/>
          <w:lang w:val="en-GB"/>
        </w:rPr>
        <w:t>reduces fragmentation in the digital single market</w:t>
      </w:r>
      <w:r w:rsidR="00E02F1A">
        <w:rPr>
          <w:noProof/>
          <w:lang w:val="en-GB"/>
        </w:rPr>
        <w:t xml:space="preserve"> and </w:t>
      </w:r>
      <w:r w:rsidR="00E02F1A" w:rsidRPr="00E02F1A">
        <w:rPr>
          <w:noProof/>
          <w:lang w:val="en-GB"/>
        </w:rPr>
        <w:t>enable</w:t>
      </w:r>
      <w:r w:rsidR="00E02F1A">
        <w:rPr>
          <w:noProof/>
          <w:lang w:val="en-GB"/>
        </w:rPr>
        <w:t>s</w:t>
      </w:r>
      <w:r w:rsidR="00E02F1A" w:rsidRPr="00E02F1A">
        <w:rPr>
          <w:noProof/>
          <w:lang w:val="en-GB"/>
        </w:rPr>
        <w:t xml:space="preserve"> researchers, innovators and policy-makers to more effectively use the data securely</w:t>
      </w:r>
      <w:r w:rsidR="00E02F1A">
        <w:rPr>
          <w:noProof/>
          <w:lang w:val="en-GB"/>
        </w:rPr>
        <w:t xml:space="preserve">. </w:t>
      </w:r>
      <w:r w:rsidR="0061744B">
        <w:rPr>
          <w:noProof/>
          <w:lang w:val="en-GB"/>
        </w:rPr>
        <w:t xml:space="preserve"> </w:t>
      </w:r>
    </w:p>
    <w:p w14:paraId="13BED061" w14:textId="55B21EA9" w:rsidR="00A32D87" w:rsidRDefault="0061744B" w:rsidP="00A32D87">
      <w:pPr>
        <w:rPr>
          <w:noProof/>
          <w:lang w:val="en-GB"/>
        </w:rPr>
      </w:pPr>
      <w:r w:rsidRPr="0061744B">
        <w:rPr>
          <w:noProof/>
          <w:lang w:val="en-GB"/>
        </w:rPr>
        <w:t xml:space="preserve">EU-wide action is </w:t>
      </w:r>
      <w:r w:rsidR="00067CE9">
        <w:rPr>
          <w:noProof/>
          <w:lang w:val="en-GB"/>
        </w:rPr>
        <w:t>necessary and appropriate therefore,</w:t>
      </w:r>
      <w:r w:rsidR="00067CE9" w:rsidRPr="0061744B">
        <w:rPr>
          <w:noProof/>
          <w:lang w:val="en-GB"/>
        </w:rPr>
        <w:t xml:space="preserve"> </w:t>
      </w:r>
      <w:r w:rsidRPr="0061744B">
        <w:rPr>
          <w:noProof/>
          <w:lang w:val="en-GB"/>
        </w:rPr>
        <w:t xml:space="preserve">to promote </w:t>
      </w:r>
      <w:r w:rsidR="00067CE9">
        <w:rPr>
          <w:noProof/>
          <w:lang w:val="en-GB"/>
        </w:rPr>
        <w:t xml:space="preserve">the free, </w:t>
      </w:r>
      <w:r w:rsidRPr="0061744B">
        <w:rPr>
          <w:noProof/>
          <w:lang w:val="en-GB"/>
        </w:rPr>
        <w:t>cross-border flow</w:t>
      </w:r>
      <w:r w:rsidR="00067CE9">
        <w:rPr>
          <w:noProof/>
          <w:lang w:val="en-GB"/>
        </w:rPr>
        <w:t>s</w:t>
      </w:r>
      <w:r w:rsidRPr="0061744B">
        <w:rPr>
          <w:noProof/>
          <w:lang w:val="en-GB"/>
        </w:rPr>
        <w:t xml:space="preserve"> of personal health data and to foster a genuine internal market for personal health data and digital health products and services</w:t>
      </w:r>
      <w:r>
        <w:rPr>
          <w:noProof/>
          <w:lang w:val="en-GB"/>
        </w:rPr>
        <w:t xml:space="preserve">. </w:t>
      </w:r>
      <w:r w:rsidR="00A32D87">
        <w:rPr>
          <w:noProof/>
          <w:lang w:val="en-GB"/>
        </w:rPr>
        <w:t>In short, it will help deal with problems that would otherwise persist.</w:t>
      </w:r>
      <w:r w:rsidR="0052091F">
        <w:rPr>
          <w:noProof/>
          <w:lang w:val="en-GB"/>
        </w:rPr>
        <w:t xml:space="preserve"> </w:t>
      </w:r>
    </w:p>
    <w:p w14:paraId="1A4CD45C" w14:textId="77777777" w:rsidR="00701AA8" w:rsidRDefault="00701AA8" w:rsidP="00A32D87">
      <w:pPr>
        <w:rPr>
          <w:noProof/>
          <w:lang w:val="en-GB"/>
        </w:rPr>
      </w:pPr>
    </w:p>
    <w:p w14:paraId="6EF49E5F" w14:textId="77777777" w:rsidR="00A84FE7" w:rsidRDefault="00A84FE7" w:rsidP="00A32D87">
      <w:pPr>
        <w:rPr>
          <w:noProof/>
          <w:lang w:val="en-GB"/>
        </w:rPr>
      </w:pPr>
    </w:p>
    <w:p w14:paraId="15833110" w14:textId="77777777" w:rsidR="00A84FE7" w:rsidRDefault="00A84FE7">
      <w:pPr>
        <w:spacing w:after="160"/>
        <w:jc w:val="left"/>
        <w:rPr>
          <w:rFonts w:eastAsia="Times New Roman"/>
          <w:b/>
          <w:caps/>
          <w:noProof/>
          <w:lang w:val="en-IE"/>
        </w:rPr>
      </w:pPr>
      <w:r>
        <w:rPr>
          <w:noProof/>
        </w:rPr>
        <w:br w:type="page"/>
      </w:r>
    </w:p>
    <w:p w14:paraId="6EDB9467" w14:textId="396C9454" w:rsidR="00224AD4" w:rsidRPr="00F523C2" w:rsidRDefault="00195570" w:rsidP="001C7665">
      <w:pPr>
        <w:pStyle w:val="Heading1"/>
        <w:rPr>
          <w:noProof/>
        </w:rPr>
      </w:pPr>
      <w:r w:rsidRPr="00F523C2">
        <w:rPr>
          <w:noProof/>
        </w:rPr>
        <w:t xml:space="preserve">the </w:t>
      </w:r>
      <w:r w:rsidR="004F0D42" w:rsidRPr="00F523C2">
        <w:rPr>
          <w:noProof/>
        </w:rPr>
        <w:t>CONCEPT OF</w:t>
      </w:r>
      <w:r w:rsidR="00224AD4" w:rsidRPr="00F523C2">
        <w:rPr>
          <w:noProof/>
        </w:rPr>
        <w:t xml:space="preserve"> </w:t>
      </w:r>
      <w:r w:rsidRPr="00F523C2">
        <w:rPr>
          <w:noProof/>
        </w:rPr>
        <w:t xml:space="preserve">a </w:t>
      </w:r>
      <w:r w:rsidR="00224AD4" w:rsidRPr="00F523C2">
        <w:rPr>
          <w:noProof/>
        </w:rPr>
        <w:t xml:space="preserve">European Health Data Space </w:t>
      </w:r>
    </w:p>
    <w:p w14:paraId="3DDAE0E3" w14:textId="4D1D7C6B" w:rsidR="00A861BE" w:rsidRPr="004773AD" w:rsidRDefault="00A861BE" w:rsidP="00A861BE">
      <w:pPr>
        <w:spacing w:before="100" w:beforeAutospacing="1" w:after="100" w:afterAutospacing="1" w:line="240" w:lineRule="auto"/>
        <w:rPr>
          <w:rFonts w:eastAsia="Times New Roman"/>
          <w:b/>
          <w:bCs/>
          <w:i/>
          <w:iCs/>
          <w:noProof/>
          <w:lang w:val="en-GB"/>
        </w:rPr>
      </w:pPr>
      <w:r w:rsidRPr="004773AD">
        <w:rPr>
          <w:rFonts w:eastAsia="Times New Roman"/>
          <w:b/>
          <w:bCs/>
          <w:i/>
          <w:iCs/>
          <w:noProof/>
          <w:lang w:val="en-GB"/>
        </w:rPr>
        <w:t xml:space="preserve">Trust </w:t>
      </w:r>
      <w:r w:rsidR="0080624D">
        <w:rPr>
          <w:rFonts w:eastAsia="Times New Roman"/>
          <w:b/>
          <w:bCs/>
          <w:i/>
          <w:iCs/>
          <w:noProof/>
          <w:lang w:val="en-GB"/>
        </w:rPr>
        <w:t xml:space="preserve">as </w:t>
      </w:r>
      <w:r w:rsidR="00067CE9">
        <w:rPr>
          <w:rFonts w:eastAsia="Times New Roman"/>
          <w:b/>
          <w:bCs/>
          <w:i/>
          <w:iCs/>
          <w:noProof/>
          <w:lang w:val="en-GB"/>
        </w:rPr>
        <w:t xml:space="preserve">the </w:t>
      </w:r>
      <w:r w:rsidR="00CC66B0">
        <w:rPr>
          <w:rFonts w:eastAsia="Times New Roman"/>
          <w:b/>
          <w:bCs/>
          <w:i/>
          <w:iCs/>
          <w:noProof/>
          <w:lang w:val="en-GB"/>
        </w:rPr>
        <w:t xml:space="preserve">foundation </w:t>
      </w:r>
      <w:r w:rsidRPr="004773AD">
        <w:rPr>
          <w:rFonts w:eastAsia="Times New Roman"/>
          <w:b/>
          <w:bCs/>
          <w:i/>
          <w:iCs/>
          <w:noProof/>
          <w:lang w:val="en-GB"/>
        </w:rPr>
        <w:t>of the E</w:t>
      </w:r>
      <w:r w:rsidR="0080624D">
        <w:rPr>
          <w:rFonts w:eastAsia="Times New Roman"/>
          <w:b/>
          <w:bCs/>
          <w:i/>
          <w:iCs/>
          <w:noProof/>
          <w:lang w:val="en-GB"/>
        </w:rPr>
        <w:t xml:space="preserve">uropean </w:t>
      </w:r>
      <w:r w:rsidRPr="004773AD">
        <w:rPr>
          <w:rFonts w:eastAsia="Times New Roman"/>
          <w:b/>
          <w:bCs/>
          <w:i/>
          <w:iCs/>
          <w:noProof/>
          <w:lang w:val="en-GB"/>
        </w:rPr>
        <w:t>H</w:t>
      </w:r>
      <w:r w:rsidR="0080624D">
        <w:rPr>
          <w:rFonts w:eastAsia="Times New Roman"/>
          <w:b/>
          <w:bCs/>
          <w:i/>
          <w:iCs/>
          <w:noProof/>
          <w:lang w:val="en-GB"/>
        </w:rPr>
        <w:t xml:space="preserve">ealth </w:t>
      </w:r>
      <w:r w:rsidRPr="004773AD">
        <w:rPr>
          <w:rFonts w:eastAsia="Times New Roman"/>
          <w:b/>
          <w:bCs/>
          <w:i/>
          <w:iCs/>
          <w:noProof/>
          <w:lang w:val="en-GB"/>
        </w:rPr>
        <w:t>D</w:t>
      </w:r>
      <w:r w:rsidR="0080624D">
        <w:rPr>
          <w:rFonts w:eastAsia="Times New Roman"/>
          <w:b/>
          <w:bCs/>
          <w:i/>
          <w:iCs/>
          <w:noProof/>
          <w:lang w:val="en-GB"/>
        </w:rPr>
        <w:t xml:space="preserve">ata </w:t>
      </w:r>
      <w:r w:rsidRPr="004773AD">
        <w:rPr>
          <w:rFonts w:eastAsia="Times New Roman"/>
          <w:b/>
          <w:bCs/>
          <w:i/>
          <w:iCs/>
          <w:noProof/>
          <w:lang w:val="en-GB"/>
        </w:rPr>
        <w:t>S</w:t>
      </w:r>
      <w:r w:rsidR="0080624D">
        <w:rPr>
          <w:rFonts w:eastAsia="Times New Roman"/>
          <w:b/>
          <w:bCs/>
          <w:i/>
          <w:iCs/>
          <w:noProof/>
          <w:lang w:val="en-GB"/>
        </w:rPr>
        <w:t>pace</w:t>
      </w:r>
    </w:p>
    <w:p w14:paraId="10F246B3" w14:textId="77777777" w:rsidR="001659CF" w:rsidRPr="00C53E03" w:rsidRDefault="002953C4" w:rsidP="00F523C2">
      <w:pPr>
        <w:spacing w:before="100" w:beforeAutospacing="1" w:after="100" w:afterAutospacing="1" w:line="240" w:lineRule="auto"/>
        <w:rPr>
          <w:rFonts w:eastAsia="Times New Roman"/>
          <w:noProof/>
          <w:lang w:val="en-GB"/>
        </w:rPr>
      </w:pPr>
      <w:r>
        <w:rPr>
          <w:rFonts w:eastAsia="Times New Roman"/>
          <w:iCs/>
          <w:noProof/>
          <w:lang w:val="en-GB"/>
        </w:rPr>
        <w:t>S</w:t>
      </w:r>
      <w:r w:rsidR="001659CF" w:rsidRPr="001C7665">
        <w:rPr>
          <w:rFonts w:eastAsia="Times New Roman"/>
          <w:iCs/>
          <w:noProof/>
          <w:lang w:val="en-GB"/>
        </w:rPr>
        <w:t xml:space="preserve">takeholder consultations, and particularly the </w:t>
      </w:r>
      <w:r w:rsidR="00C53E03">
        <w:rPr>
          <w:rFonts w:eastAsia="Times New Roman"/>
          <w:iCs/>
          <w:noProof/>
          <w:lang w:val="en-GB"/>
        </w:rPr>
        <w:t>o</w:t>
      </w:r>
      <w:r w:rsidR="001659CF" w:rsidRPr="001C7665">
        <w:rPr>
          <w:rFonts w:eastAsia="Times New Roman"/>
          <w:iCs/>
          <w:noProof/>
          <w:lang w:val="en-GB"/>
        </w:rPr>
        <w:t>pen public consultation</w:t>
      </w:r>
      <w:r w:rsidR="008811CE">
        <w:rPr>
          <w:rStyle w:val="FootnoteReference"/>
          <w:rFonts w:eastAsia="Times New Roman"/>
          <w:iCs/>
          <w:noProof/>
          <w:lang w:val="en-GB"/>
        </w:rPr>
        <w:footnoteReference w:id="30"/>
      </w:r>
      <w:r w:rsidR="001659CF" w:rsidRPr="001C7665">
        <w:rPr>
          <w:rFonts w:eastAsia="Times New Roman"/>
          <w:iCs/>
          <w:noProof/>
          <w:lang w:val="en-GB"/>
        </w:rPr>
        <w:t>, have shown that strengthening trust in the sharing of health data and ensuring security and privacy are key for citizens, and they must be the cornerstone of the European Health Data Space.</w:t>
      </w:r>
      <w:r w:rsidR="008A701B" w:rsidRPr="008A701B">
        <w:rPr>
          <w:rFonts w:eastAsia="Times New Roman"/>
          <w:noProof/>
          <w:lang w:val="en-IE"/>
        </w:rPr>
        <w:t xml:space="preserve"> </w:t>
      </w:r>
    </w:p>
    <w:p w14:paraId="398EF986" w14:textId="77777777" w:rsidR="0042606D" w:rsidRDefault="000D3E26" w:rsidP="00F523C2">
      <w:pPr>
        <w:spacing w:before="100" w:beforeAutospacing="1" w:after="100" w:afterAutospacing="1" w:line="240" w:lineRule="auto"/>
        <w:rPr>
          <w:rFonts w:eastAsia="Times New Roman"/>
          <w:iCs/>
          <w:noProof/>
          <w:lang w:val="en-IE"/>
        </w:rPr>
      </w:pPr>
      <w:r>
        <w:rPr>
          <w:rFonts w:eastAsia="Times New Roman"/>
          <w:noProof/>
          <w:lang w:val="en-GB"/>
        </w:rPr>
        <w:t>U</w:t>
      </w:r>
      <w:r w:rsidR="00637977">
        <w:rPr>
          <w:rFonts w:eastAsia="Times New Roman"/>
          <w:noProof/>
          <w:lang w:val="en-GB"/>
        </w:rPr>
        <w:t>nleash</w:t>
      </w:r>
      <w:r>
        <w:rPr>
          <w:rFonts w:eastAsia="Times New Roman"/>
          <w:noProof/>
          <w:lang w:val="en-GB"/>
        </w:rPr>
        <w:t>ing</w:t>
      </w:r>
      <w:r w:rsidR="00637977">
        <w:rPr>
          <w:rFonts w:eastAsia="Times New Roman"/>
          <w:noProof/>
          <w:lang w:val="en-GB"/>
        </w:rPr>
        <w:t xml:space="preserve"> </w:t>
      </w:r>
      <w:r w:rsidR="005808A6">
        <w:rPr>
          <w:rFonts w:eastAsia="Times New Roman"/>
          <w:noProof/>
          <w:lang w:val="en-GB"/>
        </w:rPr>
        <w:t xml:space="preserve">the benefits of </w:t>
      </w:r>
      <w:r w:rsidR="00637977">
        <w:rPr>
          <w:rFonts w:eastAsia="Times New Roman"/>
          <w:noProof/>
          <w:lang w:val="en-GB"/>
        </w:rPr>
        <w:t>science and research</w:t>
      </w:r>
      <w:r>
        <w:rPr>
          <w:rFonts w:eastAsia="Times New Roman"/>
          <w:noProof/>
          <w:lang w:val="en-GB"/>
        </w:rPr>
        <w:t xml:space="preserve"> requires </w:t>
      </w:r>
      <w:r w:rsidR="00637977">
        <w:rPr>
          <w:rFonts w:eastAsia="Times New Roman"/>
          <w:noProof/>
          <w:lang w:val="en-GB"/>
        </w:rPr>
        <w:t xml:space="preserve">structural solutions at EU level. </w:t>
      </w:r>
      <w:r w:rsidR="002C6B48">
        <w:rPr>
          <w:rFonts w:eastAsia="Times New Roman"/>
          <w:noProof/>
          <w:lang w:val="en-GB"/>
        </w:rPr>
        <w:t xml:space="preserve">And </w:t>
      </w:r>
      <w:r w:rsidR="00143BFE">
        <w:rPr>
          <w:rFonts w:eastAsia="Times New Roman"/>
          <w:noProof/>
          <w:lang w:val="en-GB"/>
        </w:rPr>
        <w:t>to strengthen</w:t>
      </w:r>
      <w:r w:rsidR="002C6B48">
        <w:rPr>
          <w:rFonts w:eastAsia="Times New Roman"/>
          <w:noProof/>
          <w:lang w:val="en-GB"/>
        </w:rPr>
        <w:t xml:space="preserve"> </w:t>
      </w:r>
      <w:r w:rsidR="00143BFE" w:rsidRPr="00143BFE">
        <w:rPr>
          <w:rFonts w:eastAsia="Times New Roman"/>
          <w:noProof/>
          <w:lang w:val="en-GB"/>
        </w:rPr>
        <w:t xml:space="preserve">trust in the sharing of health data, security and privacy </w:t>
      </w:r>
      <w:r w:rsidR="00263126">
        <w:rPr>
          <w:rFonts w:eastAsia="Times New Roman"/>
          <w:noProof/>
          <w:lang w:val="en-GB"/>
        </w:rPr>
        <w:t>are</w:t>
      </w:r>
      <w:r w:rsidR="00143BFE" w:rsidRPr="00143BFE">
        <w:rPr>
          <w:rFonts w:eastAsia="Times New Roman"/>
          <w:noProof/>
          <w:lang w:val="en-GB"/>
        </w:rPr>
        <w:t xml:space="preserve"> fund</w:t>
      </w:r>
      <w:r w:rsidR="00263126">
        <w:rPr>
          <w:rFonts w:eastAsia="Times New Roman"/>
          <w:noProof/>
          <w:lang w:val="en-GB"/>
        </w:rPr>
        <w:t>amental</w:t>
      </w:r>
      <w:r w:rsidR="00143BFE" w:rsidRPr="00143BFE">
        <w:rPr>
          <w:rFonts w:eastAsia="Times New Roman"/>
          <w:noProof/>
          <w:lang w:val="en-GB"/>
        </w:rPr>
        <w:t xml:space="preserve"> principles</w:t>
      </w:r>
      <w:r w:rsidR="002C6B48">
        <w:rPr>
          <w:rFonts w:eastAsia="Times New Roman"/>
          <w:noProof/>
          <w:lang w:val="en-GB"/>
        </w:rPr>
        <w:t xml:space="preserve"> of the European Health Data Space.</w:t>
      </w:r>
      <w:r w:rsidR="002953C4">
        <w:rPr>
          <w:rFonts w:eastAsia="Times New Roman"/>
          <w:noProof/>
          <w:lang w:val="en-GB"/>
        </w:rPr>
        <w:t xml:space="preserve"> Accordingly, the</w:t>
      </w:r>
      <w:r w:rsidR="008A701B" w:rsidRPr="008A701B">
        <w:rPr>
          <w:rFonts w:eastAsia="Times New Roman"/>
          <w:iCs/>
          <w:noProof/>
          <w:lang w:val="en-IE"/>
        </w:rPr>
        <w:t xml:space="preserve"> </w:t>
      </w:r>
      <w:r w:rsidR="008A701B">
        <w:rPr>
          <w:rFonts w:eastAsia="Times New Roman"/>
          <w:iCs/>
          <w:noProof/>
          <w:lang w:val="en-IE"/>
        </w:rPr>
        <w:t>European Health Data Space</w:t>
      </w:r>
      <w:r w:rsidR="008A701B" w:rsidRPr="008A701B">
        <w:rPr>
          <w:rFonts w:eastAsia="Times New Roman"/>
          <w:iCs/>
          <w:noProof/>
          <w:lang w:val="en-IE"/>
        </w:rPr>
        <w:t xml:space="preserve"> include</w:t>
      </w:r>
      <w:r w:rsidR="008A701B">
        <w:rPr>
          <w:rFonts w:eastAsia="Times New Roman"/>
          <w:iCs/>
          <w:noProof/>
          <w:lang w:val="en-IE"/>
        </w:rPr>
        <w:t>s</w:t>
      </w:r>
      <w:r w:rsidR="008A701B" w:rsidRPr="008A701B">
        <w:rPr>
          <w:rFonts w:eastAsia="Times New Roman"/>
          <w:iCs/>
          <w:noProof/>
          <w:lang w:val="en-IE"/>
        </w:rPr>
        <w:t xml:space="preserve"> clear provisions on how data has to be kept secure.</w:t>
      </w:r>
    </w:p>
    <w:p w14:paraId="5F4279D5" w14:textId="0E79A90E" w:rsidR="0080624D" w:rsidRDefault="00A861BE" w:rsidP="00933930">
      <w:pPr>
        <w:spacing w:before="100" w:beforeAutospacing="1" w:after="100" w:afterAutospacing="1" w:line="240" w:lineRule="auto"/>
        <w:rPr>
          <w:rFonts w:eastAsia="Times New Roman"/>
          <w:noProof/>
          <w:lang w:val="en-GB"/>
        </w:rPr>
      </w:pPr>
      <w:r>
        <w:rPr>
          <w:rFonts w:eastAsia="Times New Roman"/>
          <w:noProof/>
          <w:lang w:val="en-GB"/>
        </w:rPr>
        <w:t xml:space="preserve">Concretely, </w:t>
      </w:r>
      <w:r w:rsidR="00933930">
        <w:rPr>
          <w:rFonts w:eastAsia="Times New Roman"/>
          <w:noProof/>
          <w:lang w:val="en-GB"/>
        </w:rPr>
        <w:t>the European Health Data Space build</w:t>
      </w:r>
      <w:r>
        <w:rPr>
          <w:rFonts w:eastAsia="Times New Roman"/>
          <w:noProof/>
          <w:lang w:val="en-GB"/>
        </w:rPr>
        <w:t>s</w:t>
      </w:r>
      <w:r w:rsidR="00933930">
        <w:rPr>
          <w:rFonts w:eastAsia="Times New Roman"/>
          <w:noProof/>
          <w:lang w:val="en-GB"/>
        </w:rPr>
        <w:t xml:space="preserve"> on strong </w:t>
      </w:r>
      <w:r w:rsidR="00933930" w:rsidRPr="00CC425E">
        <w:rPr>
          <w:rFonts w:eastAsia="Times New Roman"/>
          <w:b/>
          <w:noProof/>
          <w:lang w:val="en-GB"/>
        </w:rPr>
        <w:t xml:space="preserve">data protection </w:t>
      </w:r>
      <w:r w:rsidR="00933930" w:rsidRPr="00C41A60">
        <w:rPr>
          <w:rFonts w:eastAsia="Times New Roman"/>
          <w:noProof/>
          <w:lang w:val="en-GB"/>
        </w:rPr>
        <w:t>and</w:t>
      </w:r>
      <w:r w:rsidR="00933930" w:rsidRPr="00CC425E">
        <w:rPr>
          <w:rFonts w:eastAsia="Times New Roman"/>
          <w:b/>
          <w:noProof/>
          <w:lang w:val="en-GB"/>
        </w:rPr>
        <w:t xml:space="preserve"> cybersecurity</w:t>
      </w:r>
      <w:r w:rsidR="00933930">
        <w:rPr>
          <w:rFonts w:eastAsia="Times New Roman"/>
          <w:noProof/>
          <w:lang w:val="en-GB"/>
        </w:rPr>
        <w:t xml:space="preserve"> elements. The proposal introduces security criteria for electronic health record systems, in addition to interoperability. It builds upon the possibility offered by the GDPR to put forward an EU law supporting the use of health data for diagnosis and treatment, but also for research, statistics or for public interest, such as protecting against serious cross-border threats to health or </w:t>
      </w:r>
      <w:r w:rsidR="00933930" w:rsidRPr="00933930">
        <w:rPr>
          <w:rFonts w:eastAsia="Times New Roman"/>
          <w:iCs/>
          <w:noProof/>
          <w:lang w:val="en-IE"/>
        </w:rPr>
        <w:t>ensuring</w:t>
      </w:r>
      <w:r w:rsidR="00933930">
        <w:rPr>
          <w:rFonts w:eastAsia="Times New Roman"/>
          <w:noProof/>
          <w:lang w:val="en-GB"/>
        </w:rPr>
        <w:t xml:space="preserve"> high standards of quality and safety of healthcare and of medicinal products or medical devices. Moreover, in the context of the European Health Data Space, processing electronic health data for secondary use is only possible in secure processing environments, which need to comply with very high standards of privacy and cybersecurity and no personal data can be downloaded from such environments.</w:t>
      </w:r>
    </w:p>
    <w:p w14:paraId="1448C7B5" w14:textId="3AD73BD6" w:rsidR="0080624D" w:rsidRPr="004773AD" w:rsidRDefault="0080624D" w:rsidP="0080624D">
      <w:pPr>
        <w:spacing w:before="100" w:beforeAutospacing="1" w:after="100" w:afterAutospacing="1" w:line="240" w:lineRule="auto"/>
        <w:rPr>
          <w:rFonts w:eastAsia="Times New Roman"/>
          <w:b/>
          <w:bCs/>
          <w:i/>
          <w:iCs/>
          <w:noProof/>
          <w:lang w:val="en-GB"/>
        </w:rPr>
      </w:pPr>
      <w:r>
        <w:rPr>
          <w:rFonts w:eastAsia="Times New Roman"/>
          <w:b/>
          <w:bCs/>
          <w:i/>
          <w:iCs/>
          <w:noProof/>
          <w:lang w:val="en-GB"/>
        </w:rPr>
        <w:t>Boosting primary and secondary use of health data</w:t>
      </w:r>
    </w:p>
    <w:p w14:paraId="7AE50330" w14:textId="77777777" w:rsidR="00C53E03" w:rsidRPr="001C7665" w:rsidRDefault="00C53E03" w:rsidP="00A02D1D">
      <w:pPr>
        <w:spacing w:line="240" w:lineRule="auto"/>
        <w:rPr>
          <w:rFonts w:eastAsia="Times New Roman"/>
          <w:iCs/>
          <w:noProof/>
          <w:lang w:val="en-GB"/>
        </w:rPr>
      </w:pPr>
      <w:r w:rsidRPr="001C7665">
        <w:rPr>
          <w:rFonts w:eastAsia="Times New Roman"/>
          <w:iCs/>
          <w:noProof/>
          <w:lang w:val="en-GB"/>
        </w:rPr>
        <w:t xml:space="preserve">The European Health Data Space is a health specific ecosystem comprised of rules, common standards and practices, infrastructures and a governance framework that aims at: </w:t>
      </w:r>
    </w:p>
    <w:p w14:paraId="3EB84CD6" w14:textId="77777777" w:rsidR="00C53E03" w:rsidRDefault="00C53E03" w:rsidP="001C7665">
      <w:pPr>
        <w:numPr>
          <w:ilvl w:val="0"/>
          <w:numId w:val="37"/>
        </w:numPr>
        <w:spacing w:after="0" w:line="240" w:lineRule="auto"/>
        <w:ind w:left="714" w:hanging="357"/>
        <w:rPr>
          <w:rFonts w:eastAsia="Times New Roman"/>
          <w:iCs/>
          <w:noProof/>
          <w:lang w:val="en-GB"/>
        </w:rPr>
      </w:pPr>
      <w:r w:rsidRPr="001C7665">
        <w:rPr>
          <w:rFonts w:eastAsia="Times New Roman"/>
          <w:iCs/>
          <w:noProof/>
          <w:lang w:val="en-GB"/>
        </w:rPr>
        <w:t xml:space="preserve">empowering individuals through increased digital access to and control of their electronic personal health data and support </w:t>
      </w:r>
      <w:r w:rsidR="00263126">
        <w:rPr>
          <w:rFonts w:eastAsia="Times New Roman"/>
          <w:iCs/>
          <w:noProof/>
          <w:lang w:val="en-GB"/>
        </w:rPr>
        <w:t xml:space="preserve">to </w:t>
      </w:r>
      <w:r w:rsidRPr="001C7665">
        <w:rPr>
          <w:rFonts w:eastAsia="Times New Roman"/>
          <w:iCs/>
          <w:noProof/>
          <w:lang w:val="en-GB"/>
        </w:rPr>
        <w:t xml:space="preserve">their free movement; </w:t>
      </w:r>
    </w:p>
    <w:p w14:paraId="4624656B" w14:textId="2D41C37A" w:rsidR="00367935" w:rsidRDefault="00010FAA" w:rsidP="00367935">
      <w:pPr>
        <w:numPr>
          <w:ilvl w:val="0"/>
          <w:numId w:val="37"/>
        </w:numPr>
        <w:spacing w:after="0" w:line="240" w:lineRule="auto"/>
        <w:ind w:left="714" w:hanging="357"/>
        <w:rPr>
          <w:rFonts w:eastAsia="Times New Roman"/>
          <w:noProof/>
          <w:sz w:val="22"/>
          <w:szCs w:val="22"/>
        </w:rPr>
      </w:pPr>
      <w:r>
        <w:rPr>
          <w:noProof/>
        </w:rPr>
        <w:t>F</w:t>
      </w:r>
      <w:r w:rsidR="009F0D5C">
        <w:rPr>
          <w:noProof/>
        </w:rPr>
        <w:t>oster</w:t>
      </w:r>
      <w:r w:rsidR="00217E0F">
        <w:rPr>
          <w:noProof/>
        </w:rPr>
        <w:t>ing</w:t>
      </w:r>
      <w:r w:rsidR="009F0D5C">
        <w:rPr>
          <w:noProof/>
        </w:rPr>
        <w:t xml:space="preserve"> a genuine single market for </w:t>
      </w:r>
      <w:r w:rsidR="00BD6DC5">
        <w:rPr>
          <w:noProof/>
        </w:rPr>
        <w:t>electronic health record</w:t>
      </w:r>
      <w:r w:rsidR="00367935">
        <w:rPr>
          <w:noProof/>
        </w:rPr>
        <w:t xml:space="preserve"> </w:t>
      </w:r>
      <w:r w:rsidR="00BD6DC5">
        <w:rPr>
          <w:noProof/>
        </w:rPr>
        <w:t>s</w:t>
      </w:r>
      <w:r w:rsidR="00367935">
        <w:rPr>
          <w:noProof/>
        </w:rPr>
        <w:t>ystems</w:t>
      </w:r>
      <w:r w:rsidR="00217E0F">
        <w:rPr>
          <w:noProof/>
        </w:rPr>
        <w:t>,</w:t>
      </w:r>
      <w:r w:rsidR="00BD6DC5">
        <w:rPr>
          <w:noProof/>
        </w:rPr>
        <w:t xml:space="preserve"> </w:t>
      </w:r>
      <w:r w:rsidR="00367935">
        <w:rPr>
          <w:rFonts w:eastAsia="Times New Roman"/>
          <w:noProof/>
        </w:rPr>
        <w:t xml:space="preserve">relevant </w:t>
      </w:r>
      <w:r w:rsidR="00367935" w:rsidRPr="00367935">
        <w:rPr>
          <w:rFonts w:eastAsia="Times New Roman"/>
          <w:iCs/>
          <w:noProof/>
          <w:lang w:val="en-GB"/>
        </w:rPr>
        <w:t>medical</w:t>
      </w:r>
      <w:r w:rsidR="00367935">
        <w:rPr>
          <w:rFonts w:eastAsia="Times New Roman"/>
          <w:noProof/>
        </w:rPr>
        <w:t xml:space="preserve"> devices and high risk AI systems</w:t>
      </w:r>
    </w:p>
    <w:p w14:paraId="27ECB364" w14:textId="77777777" w:rsidR="00D24A0B" w:rsidRPr="00CB74D2" w:rsidRDefault="002953C4" w:rsidP="00560602">
      <w:pPr>
        <w:numPr>
          <w:ilvl w:val="0"/>
          <w:numId w:val="37"/>
        </w:numPr>
        <w:spacing w:before="100" w:beforeAutospacing="1" w:after="100" w:afterAutospacing="1" w:line="240" w:lineRule="auto"/>
        <w:rPr>
          <w:rFonts w:eastAsia="Times New Roman"/>
          <w:iCs/>
          <w:noProof/>
          <w:lang w:val="en-GB"/>
        </w:rPr>
      </w:pPr>
      <w:r>
        <w:rPr>
          <w:rFonts w:eastAsia="Times New Roman"/>
          <w:iCs/>
          <w:noProof/>
          <w:lang w:val="en-GB"/>
        </w:rPr>
        <w:t>provid</w:t>
      </w:r>
      <w:r w:rsidR="00AD7EF1">
        <w:rPr>
          <w:rFonts w:eastAsia="Times New Roman"/>
          <w:iCs/>
          <w:noProof/>
          <w:lang w:val="en-GB"/>
        </w:rPr>
        <w:t>ing</w:t>
      </w:r>
      <w:r w:rsidRPr="001C7665">
        <w:rPr>
          <w:rFonts w:eastAsia="Times New Roman"/>
          <w:iCs/>
          <w:noProof/>
          <w:lang w:val="en-GB"/>
        </w:rPr>
        <w:t xml:space="preserve"> </w:t>
      </w:r>
      <w:r w:rsidR="00C53E03" w:rsidRPr="001C7665">
        <w:rPr>
          <w:rFonts w:eastAsia="Times New Roman"/>
          <w:iCs/>
          <w:noProof/>
          <w:lang w:val="en-GB"/>
        </w:rPr>
        <w:t xml:space="preserve">a consistent, trustworthy and efficient </w:t>
      </w:r>
      <w:r>
        <w:rPr>
          <w:rFonts w:eastAsia="Times New Roman"/>
          <w:iCs/>
          <w:noProof/>
          <w:lang w:val="en-GB"/>
        </w:rPr>
        <w:t>set-up</w:t>
      </w:r>
      <w:r w:rsidRPr="001C7665">
        <w:rPr>
          <w:rFonts w:eastAsia="Times New Roman"/>
          <w:iCs/>
          <w:noProof/>
          <w:lang w:val="en-GB"/>
        </w:rPr>
        <w:t xml:space="preserve"> </w:t>
      </w:r>
      <w:r w:rsidR="00C53E03" w:rsidRPr="001C7665">
        <w:rPr>
          <w:rFonts w:eastAsia="Times New Roman"/>
          <w:iCs/>
          <w:noProof/>
          <w:lang w:val="en-GB"/>
        </w:rPr>
        <w:t>for the use of health data for research, innovation, policy-making and regulatory activities</w:t>
      </w:r>
      <w:r w:rsidR="00D24A0B">
        <w:rPr>
          <w:rFonts w:eastAsia="Times New Roman"/>
          <w:noProof/>
          <w:lang w:val="en-GB"/>
        </w:rPr>
        <w:t xml:space="preserve">. </w:t>
      </w:r>
    </w:p>
    <w:p w14:paraId="3EAABC0D" w14:textId="6F71DA01" w:rsidR="00224AD4" w:rsidRDefault="00224AD4" w:rsidP="004F0D42">
      <w:pPr>
        <w:spacing w:before="100" w:beforeAutospacing="1" w:after="100" w:afterAutospacing="1" w:line="240" w:lineRule="auto"/>
        <w:rPr>
          <w:rFonts w:eastAsia="Times New Roman"/>
          <w:noProof/>
          <w:lang w:val="en-GB"/>
        </w:rPr>
      </w:pPr>
      <w:r w:rsidRPr="00224AD4">
        <w:rPr>
          <w:rFonts w:eastAsia="Times New Roman"/>
          <w:noProof/>
          <w:lang w:val="en-GB"/>
        </w:rPr>
        <w:t>The development of a truly common European Health Data Space will require action</w:t>
      </w:r>
      <w:r w:rsidR="002D3170">
        <w:rPr>
          <w:rFonts w:eastAsia="Times New Roman"/>
          <w:noProof/>
          <w:lang w:val="en-GB"/>
        </w:rPr>
        <w:t>s</w:t>
      </w:r>
      <w:r w:rsidRPr="00224AD4">
        <w:rPr>
          <w:rFonts w:eastAsia="Times New Roman"/>
          <w:noProof/>
          <w:lang w:val="en-GB"/>
        </w:rPr>
        <w:t xml:space="preserve"> at national and E</w:t>
      </w:r>
      <w:r w:rsidR="0033058C">
        <w:rPr>
          <w:rFonts w:eastAsia="Times New Roman"/>
          <w:noProof/>
          <w:lang w:val="en-GB"/>
        </w:rPr>
        <w:t>U</w:t>
      </w:r>
      <w:r w:rsidRPr="00224AD4">
        <w:rPr>
          <w:rFonts w:eastAsia="Times New Roman"/>
          <w:noProof/>
          <w:lang w:val="en-GB"/>
        </w:rPr>
        <w:t xml:space="preserve"> level, along with strong cooperation between public and private stakeholders (for example, national digital health bodies, public health institutes, data protection authorities, healthcare providers, health professionals, academic and research institutions, and patient associations). </w:t>
      </w:r>
    </w:p>
    <w:p w14:paraId="36FD0575" w14:textId="77777777" w:rsidR="00142AF8" w:rsidRDefault="00142AF8" w:rsidP="00142AF8">
      <w:pPr>
        <w:pStyle w:val="NormalWeb"/>
        <w:jc w:val="center"/>
        <w:rPr>
          <w:noProof/>
          <w:lang w:val="en-GB"/>
        </w:rPr>
      </w:pPr>
      <w:r>
        <w:rPr>
          <w:noProof/>
          <w:lang w:val="en-GB" w:eastAsia="en-GB"/>
        </w:rPr>
        <w:drawing>
          <wp:inline distT="0" distB="0" distL="0" distR="0" wp14:anchorId="5912F248" wp14:editId="46E5A06E">
            <wp:extent cx="4477109" cy="213845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1317" cy="2164350"/>
                    </a:xfrm>
                    <a:prstGeom prst="rect">
                      <a:avLst/>
                    </a:prstGeom>
                    <a:noFill/>
                  </pic:spPr>
                </pic:pic>
              </a:graphicData>
            </a:graphic>
          </wp:inline>
        </w:drawing>
      </w:r>
    </w:p>
    <w:p w14:paraId="23C71EF7" w14:textId="77777777" w:rsidR="00142AF8" w:rsidRDefault="00142AF8" w:rsidP="00142AF8">
      <w:pPr>
        <w:pStyle w:val="Caption"/>
        <w:jc w:val="center"/>
        <w:rPr>
          <w:rFonts w:eastAsia="Times New Roman"/>
          <w:noProof/>
          <w:lang w:val="en-GB"/>
        </w:rPr>
      </w:pPr>
      <w:r>
        <w:rPr>
          <w:noProof/>
        </w:rPr>
        <w:t xml:space="preserve">Figure 3 – Primary and secondary uses of electronic health records </w:t>
      </w:r>
    </w:p>
    <w:p w14:paraId="28FBABD2" w14:textId="77777777" w:rsidR="00355083" w:rsidRDefault="00444CDE" w:rsidP="00CB74D2">
      <w:pPr>
        <w:pStyle w:val="NormalWeb"/>
        <w:rPr>
          <w:noProof/>
          <w:lang w:val="en-GB"/>
        </w:rPr>
      </w:pPr>
      <w:r>
        <w:rPr>
          <w:noProof/>
          <w:lang w:val="en-GB"/>
        </w:rPr>
        <w:t xml:space="preserve">This is where the two distinct uses of health data supported by the </w:t>
      </w:r>
      <w:r w:rsidR="0033058C">
        <w:rPr>
          <w:noProof/>
          <w:lang w:val="en-GB"/>
        </w:rPr>
        <w:t xml:space="preserve">European </w:t>
      </w:r>
      <w:r>
        <w:rPr>
          <w:noProof/>
          <w:lang w:val="en-GB"/>
        </w:rPr>
        <w:t>Health Data Space</w:t>
      </w:r>
      <w:r w:rsidR="0033058C">
        <w:rPr>
          <w:noProof/>
          <w:lang w:val="en-GB"/>
        </w:rPr>
        <w:t xml:space="preserve"> - </w:t>
      </w:r>
      <w:r w:rsidRPr="000706EB">
        <w:rPr>
          <w:b/>
          <w:noProof/>
          <w:lang w:val="en-GB"/>
        </w:rPr>
        <w:t>primary and secondary use</w:t>
      </w:r>
      <w:r w:rsidR="0033058C">
        <w:rPr>
          <w:b/>
          <w:noProof/>
          <w:lang w:val="en-GB"/>
        </w:rPr>
        <w:t xml:space="preserve"> -</w:t>
      </w:r>
      <w:r w:rsidR="0033058C" w:rsidRPr="0033058C">
        <w:rPr>
          <w:noProof/>
          <w:lang w:val="en-GB"/>
        </w:rPr>
        <w:t xml:space="preserve"> </w:t>
      </w:r>
      <w:r w:rsidR="0033058C">
        <w:rPr>
          <w:noProof/>
          <w:lang w:val="en-GB"/>
        </w:rPr>
        <w:t>come in</w:t>
      </w:r>
      <w:r w:rsidR="00161D6D">
        <w:rPr>
          <w:noProof/>
          <w:lang w:val="en-GB"/>
        </w:rPr>
        <w:t>to</w:t>
      </w:r>
      <w:r w:rsidR="0033058C">
        <w:rPr>
          <w:noProof/>
          <w:lang w:val="en-GB"/>
        </w:rPr>
        <w:t xml:space="preserve"> play</w:t>
      </w:r>
      <w:r>
        <w:rPr>
          <w:noProof/>
          <w:lang w:val="en-GB"/>
        </w:rPr>
        <w:t xml:space="preserve">. </w:t>
      </w:r>
    </w:p>
    <w:p w14:paraId="19A0C52B" w14:textId="633973DB" w:rsidR="00EB5C25" w:rsidRDefault="00444CDE" w:rsidP="00CB74D2">
      <w:pPr>
        <w:pStyle w:val="NormalWeb"/>
        <w:rPr>
          <w:noProof/>
          <w:lang w:val="en-GB"/>
        </w:rPr>
      </w:pPr>
      <w:r>
        <w:rPr>
          <w:noProof/>
          <w:lang w:val="en-GB"/>
        </w:rPr>
        <w:t xml:space="preserve">The </w:t>
      </w:r>
      <w:r w:rsidRPr="00CC425E">
        <w:rPr>
          <w:b/>
          <w:noProof/>
          <w:lang w:val="en-GB"/>
        </w:rPr>
        <w:t xml:space="preserve">primary use of </w:t>
      </w:r>
      <w:r w:rsidR="00D4348B">
        <w:rPr>
          <w:b/>
          <w:noProof/>
          <w:lang w:val="en-GB"/>
        </w:rPr>
        <w:t xml:space="preserve">electronic </w:t>
      </w:r>
      <w:r w:rsidR="002D3170" w:rsidRPr="00CC425E">
        <w:rPr>
          <w:b/>
          <w:noProof/>
          <w:lang w:val="en-GB"/>
        </w:rPr>
        <w:t xml:space="preserve">health </w:t>
      </w:r>
      <w:r w:rsidRPr="00CC425E">
        <w:rPr>
          <w:b/>
          <w:noProof/>
          <w:lang w:val="en-GB"/>
        </w:rPr>
        <w:t>data</w:t>
      </w:r>
      <w:r>
        <w:rPr>
          <w:noProof/>
          <w:lang w:val="en-GB"/>
        </w:rPr>
        <w:t xml:space="preserve"> </w:t>
      </w:r>
      <w:r w:rsidR="00730038">
        <w:rPr>
          <w:noProof/>
          <w:lang w:val="en-GB"/>
        </w:rPr>
        <w:t xml:space="preserve">supports the use of data for </w:t>
      </w:r>
      <w:r w:rsidR="0080624D">
        <w:rPr>
          <w:noProof/>
          <w:lang w:val="en-GB"/>
        </w:rPr>
        <w:t>better</w:t>
      </w:r>
      <w:r w:rsidR="00730038">
        <w:rPr>
          <w:noProof/>
          <w:lang w:val="en-GB"/>
        </w:rPr>
        <w:t xml:space="preserve"> healthcare at national and cross-border level. </w:t>
      </w:r>
      <w:r w:rsidR="00D4348B">
        <w:rPr>
          <w:noProof/>
          <w:lang w:val="en-GB"/>
        </w:rPr>
        <w:t>Medical data is typically stored in electronic health records</w:t>
      </w:r>
      <w:r w:rsidR="00710B1F">
        <w:rPr>
          <w:noProof/>
          <w:lang w:val="en-GB"/>
        </w:rPr>
        <w:t xml:space="preserve">, </w:t>
      </w:r>
      <w:r w:rsidR="00D4348B">
        <w:rPr>
          <w:noProof/>
          <w:lang w:val="en-GB"/>
        </w:rPr>
        <w:t xml:space="preserve">containing </w:t>
      </w:r>
      <w:r w:rsidR="00710B1F">
        <w:rPr>
          <w:noProof/>
          <w:lang w:val="en-GB"/>
        </w:rPr>
        <w:t xml:space="preserve">segments of </w:t>
      </w:r>
      <w:r w:rsidR="00D4348B">
        <w:rPr>
          <w:noProof/>
          <w:lang w:val="en-GB"/>
        </w:rPr>
        <w:t>a patient’</w:t>
      </w:r>
      <w:r w:rsidR="00054B72">
        <w:rPr>
          <w:noProof/>
          <w:lang w:val="en-GB"/>
        </w:rPr>
        <w:t>s</w:t>
      </w:r>
      <w:r w:rsidR="00D4348B">
        <w:rPr>
          <w:noProof/>
          <w:lang w:val="en-GB"/>
        </w:rPr>
        <w:t xml:space="preserve"> medical history (centrally or involving various healthcare providers). </w:t>
      </w:r>
      <w:r w:rsidR="00F67707">
        <w:rPr>
          <w:noProof/>
          <w:lang w:val="en-GB"/>
        </w:rPr>
        <w:t xml:space="preserve">The </w:t>
      </w:r>
      <w:r w:rsidR="007D74EC">
        <w:rPr>
          <w:noProof/>
          <w:lang w:val="en-GB"/>
        </w:rPr>
        <w:t xml:space="preserve">European Health Data Space </w:t>
      </w:r>
      <w:r w:rsidR="00067CE9">
        <w:rPr>
          <w:noProof/>
          <w:lang w:val="en-GB"/>
        </w:rPr>
        <w:t xml:space="preserve">will </w:t>
      </w:r>
      <w:r w:rsidR="007D74EC">
        <w:rPr>
          <w:noProof/>
          <w:lang w:val="en-GB"/>
        </w:rPr>
        <w:t xml:space="preserve">allow people to access </w:t>
      </w:r>
      <w:r w:rsidR="00710B1F">
        <w:rPr>
          <w:noProof/>
          <w:lang w:val="en-GB"/>
        </w:rPr>
        <w:t xml:space="preserve">their health </w:t>
      </w:r>
      <w:r w:rsidR="00E30C39">
        <w:rPr>
          <w:noProof/>
          <w:lang w:val="en-GB"/>
        </w:rPr>
        <w:t xml:space="preserve">data </w:t>
      </w:r>
      <w:r w:rsidR="007D74EC">
        <w:rPr>
          <w:noProof/>
          <w:lang w:val="en-GB"/>
        </w:rPr>
        <w:t xml:space="preserve">and </w:t>
      </w:r>
      <w:r w:rsidR="00730038">
        <w:rPr>
          <w:noProof/>
          <w:lang w:val="en-GB"/>
        </w:rPr>
        <w:t xml:space="preserve">make </w:t>
      </w:r>
      <w:r w:rsidR="007D74EC">
        <w:rPr>
          <w:noProof/>
          <w:lang w:val="en-GB"/>
        </w:rPr>
        <w:t xml:space="preserve">their </w:t>
      </w:r>
      <w:r w:rsidR="00730038">
        <w:rPr>
          <w:noProof/>
          <w:lang w:val="en-GB"/>
        </w:rPr>
        <w:t xml:space="preserve">data </w:t>
      </w:r>
      <w:r w:rsidR="00067CE9">
        <w:rPr>
          <w:noProof/>
          <w:lang w:val="en-GB"/>
        </w:rPr>
        <w:t xml:space="preserve">available </w:t>
      </w:r>
      <w:r w:rsidR="00730038">
        <w:rPr>
          <w:noProof/>
          <w:lang w:val="en-GB"/>
        </w:rPr>
        <w:t>to a heal</w:t>
      </w:r>
      <w:r w:rsidR="00D4348B">
        <w:rPr>
          <w:noProof/>
          <w:lang w:val="en-GB"/>
        </w:rPr>
        <w:t>th</w:t>
      </w:r>
      <w:r w:rsidR="00730038">
        <w:rPr>
          <w:noProof/>
          <w:lang w:val="en-GB"/>
        </w:rPr>
        <w:t xml:space="preserve"> prof</w:t>
      </w:r>
      <w:r w:rsidR="007D74EC">
        <w:rPr>
          <w:noProof/>
          <w:lang w:val="en-GB"/>
        </w:rPr>
        <w:t>essional of their choice,</w:t>
      </w:r>
      <w:r w:rsidR="00D4348B">
        <w:rPr>
          <w:noProof/>
          <w:lang w:val="en-GB"/>
        </w:rPr>
        <w:t xml:space="preserve"> including when abroad</w:t>
      </w:r>
      <w:r w:rsidR="007D74EC">
        <w:rPr>
          <w:noProof/>
          <w:lang w:val="en-GB"/>
        </w:rPr>
        <w:t xml:space="preserve"> and</w:t>
      </w:r>
      <w:r w:rsidR="00D4348B">
        <w:rPr>
          <w:noProof/>
          <w:lang w:val="en-GB"/>
        </w:rPr>
        <w:t xml:space="preserve"> in the language of </w:t>
      </w:r>
      <w:r w:rsidR="00F67707">
        <w:rPr>
          <w:noProof/>
          <w:lang w:val="en-GB"/>
        </w:rPr>
        <w:t xml:space="preserve">the health </w:t>
      </w:r>
      <w:r w:rsidR="00D4348B">
        <w:rPr>
          <w:noProof/>
          <w:lang w:val="en-GB"/>
        </w:rPr>
        <w:t xml:space="preserve">professional. Thus, the patient can </w:t>
      </w:r>
      <w:r w:rsidR="00394E29">
        <w:rPr>
          <w:noProof/>
          <w:lang w:val="en-GB"/>
        </w:rPr>
        <w:t>get</w:t>
      </w:r>
      <w:r w:rsidR="00D4348B">
        <w:rPr>
          <w:noProof/>
          <w:lang w:val="en-GB"/>
        </w:rPr>
        <w:t xml:space="preserve"> a better diagnosis and treatment</w:t>
      </w:r>
      <w:r w:rsidR="00E7297A">
        <w:rPr>
          <w:noProof/>
          <w:lang w:val="en-GB"/>
        </w:rPr>
        <w:t xml:space="preserve"> with</w:t>
      </w:r>
      <w:r w:rsidR="00D4348B">
        <w:rPr>
          <w:noProof/>
          <w:lang w:val="en-GB"/>
        </w:rPr>
        <w:t xml:space="preserve"> </w:t>
      </w:r>
      <w:r w:rsidR="00E7297A">
        <w:rPr>
          <w:noProof/>
          <w:lang w:val="en-GB"/>
        </w:rPr>
        <w:t>fewer</w:t>
      </w:r>
      <w:r w:rsidR="00D4348B">
        <w:rPr>
          <w:noProof/>
          <w:lang w:val="en-GB"/>
        </w:rPr>
        <w:t xml:space="preserve"> medical errors and avoid unnecessary </w:t>
      </w:r>
      <w:r w:rsidR="00344FC9">
        <w:rPr>
          <w:noProof/>
          <w:lang w:val="en-GB"/>
        </w:rPr>
        <w:t>diagnostics</w:t>
      </w:r>
      <w:r w:rsidR="00D4348B">
        <w:rPr>
          <w:noProof/>
          <w:lang w:val="en-GB"/>
        </w:rPr>
        <w:t>.</w:t>
      </w:r>
    </w:p>
    <w:p w14:paraId="47B8CD2D" w14:textId="444EC85B" w:rsidR="00EB5C25" w:rsidRDefault="00EB5C25" w:rsidP="00EB5C25">
      <w:pPr>
        <w:spacing w:after="0" w:line="240" w:lineRule="auto"/>
        <w:rPr>
          <w:noProof/>
          <w:lang w:val="en-GB"/>
        </w:rPr>
      </w:pPr>
      <w:r w:rsidRPr="003E0B7A">
        <w:rPr>
          <w:noProof/>
          <w:lang w:val="en-GB"/>
        </w:rPr>
        <w:t>The European Health Data Space will integrate three main product markets for primary use of health data:</w:t>
      </w:r>
    </w:p>
    <w:p w14:paraId="17A406ED" w14:textId="77777777" w:rsidR="00EB5C25" w:rsidRPr="00EB5C25" w:rsidRDefault="00EB5C25" w:rsidP="00EB5C25">
      <w:pPr>
        <w:spacing w:after="0" w:line="240" w:lineRule="auto"/>
        <w:ind w:left="357"/>
        <w:rPr>
          <w:rFonts w:eastAsia="Times New Roman"/>
          <w:iCs/>
          <w:noProof/>
          <w:lang w:val="en-GB"/>
        </w:rPr>
      </w:pPr>
      <w:r w:rsidRPr="00EB5C25">
        <w:rPr>
          <w:rFonts w:eastAsia="Times New Roman"/>
          <w:iCs/>
          <w:noProof/>
          <w:lang w:val="en-GB"/>
        </w:rPr>
        <w:t>1)</w:t>
      </w:r>
      <w:r w:rsidRPr="00EB5C25">
        <w:rPr>
          <w:rFonts w:eastAsia="Times New Roman"/>
          <w:iCs/>
          <w:noProof/>
          <w:lang w:val="en-GB"/>
        </w:rPr>
        <w:tab/>
        <w:t>electronic health records;</w:t>
      </w:r>
    </w:p>
    <w:p w14:paraId="0AAA61D5" w14:textId="67A7C6FB" w:rsidR="00EB5C25" w:rsidRPr="00EB5C25" w:rsidRDefault="00EB5C25" w:rsidP="00EB5C25">
      <w:pPr>
        <w:spacing w:after="0" w:line="240" w:lineRule="auto"/>
        <w:ind w:left="357"/>
        <w:rPr>
          <w:rFonts w:eastAsia="Times New Roman"/>
          <w:iCs/>
          <w:noProof/>
          <w:lang w:val="en-GB"/>
        </w:rPr>
      </w:pPr>
      <w:r w:rsidRPr="00EB5C25">
        <w:rPr>
          <w:rFonts w:eastAsia="Times New Roman"/>
          <w:iCs/>
          <w:noProof/>
          <w:lang w:val="en-GB"/>
        </w:rPr>
        <w:t>2)</w:t>
      </w:r>
      <w:r w:rsidRPr="00EB5C25">
        <w:rPr>
          <w:rFonts w:eastAsia="Times New Roman"/>
          <w:iCs/>
          <w:noProof/>
          <w:lang w:val="en-GB"/>
        </w:rPr>
        <w:tab/>
        <w:t>other health and medical software products (for example, medical imaging software, e-prescribing software, medical diagnosis software and telemedicine); and</w:t>
      </w:r>
    </w:p>
    <w:p w14:paraId="4577D08A" w14:textId="2A8978A8" w:rsidR="00D4348B" w:rsidRPr="00EB5C25" w:rsidRDefault="00EB5C25" w:rsidP="00EB5C25">
      <w:pPr>
        <w:spacing w:after="0" w:line="240" w:lineRule="auto"/>
        <w:ind w:left="357"/>
        <w:rPr>
          <w:rFonts w:eastAsia="Times New Roman"/>
          <w:iCs/>
          <w:noProof/>
          <w:lang w:val="en-GB"/>
        </w:rPr>
      </w:pPr>
      <w:r w:rsidRPr="00EB5C25">
        <w:rPr>
          <w:rFonts w:eastAsia="Times New Roman"/>
          <w:iCs/>
          <w:noProof/>
          <w:lang w:val="en-GB"/>
        </w:rPr>
        <w:t>3)</w:t>
      </w:r>
      <w:r w:rsidRPr="00EB5C25">
        <w:rPr>
          <w:rFonts w:eastAsia="Times New Roman"/>
          <w:iCs/>
          <w:noProof/>
          <w:lang w:val="en-GB"/>
        </w:rPr>
        <w:tab/>
        <w:t>wellness apps (with a voluntary labelling scheme informing consumers about interoperability with electronic health records).</w:t>
      </w:r>
      <w:r w:rsidRPr="00EB5C25">
        <w:rPr>
          <w:rStyle w:val="FootnoteReference"/>
          <w:noProof/>
          <w:lang w:val="en-GB"/>
        </w:rPr>
        <w:footnoteReference w:id="31"/>
      </w:r>
    </w:p>
    <w:p w14:paraId="208825C3" w14:textId="77777777" w:rsidR="00933930" w:rsidRDefault="00933930" w:rsidP="00701AA8">
      <w:pPr>
        <w:pBdr>
          <w:top w:val="single" w:sz="4" w:space="0" w:color="auto"/>
          <w:left w:val="single" w:sz="4" w:space="4" w:color="auto"/>
          <w:bottom w:val="single" w:sz="4" w:space="1" w:color="auto"/>
          <w:right w:val="single" w:sz="4" w:space="4" w:color="auto"/>
        </w:pBdr>
        <w:shd w:val="clear" w:color="auto" w:fill="DEEAF6" w:themeFill="accent1" w:themeFillTint="33"/>
        <w:spacing w:before="120"/>
        <w:rPr>
          <w:b/>
          <w:noProof/>
          <w:lang w:val="en-GB"/>
        </w:rPr>
      </w:pPr>
      <w:r w:rsidRPr="00933930">
        <w:rPr>
          <w:b/>
          <w:noProof/>
          <w:lang w:val="en-GB"/>
        </w:rPr>
        <w:t>Key aspects of European Health Data Space</w:t>
      </w:r>
      <w:r>
        <w:rPr>
          <w:b/>
          <w:noProof/>
          <w:lang w:val="en-GB"/>
        </w:rPr>
        <w:t>: Primary use of health data</w:t>
      </w:r>
    </w:p>
    <w:p w14:paraId="084FDBE2" w14:textId="3B02B9FC" w:rsidR="005C001E" w:rsidRPr="005C001E" w:rsidRDefault="008A76F4" w:rsidP="005C001E">
      <w:pPr>
        <w:pStyle w:val="ListParagraph"/>
        <w:numPr>
          <w:ilvl w:val="0"/>
          <w:numId w:val="46"/>
        </w:numPr>
        <w:pBdr>
          <w:top w:val="single" w:sz="4" w:space="0" w:color="auto"/>
          <w:left w:val="single" w:sz="4" w:space="4" w:color="auto"/>
          <w:bottom w:val="single" w:sz="4" w:space="1" w:color="auto"/>
          <w:right w:val="single" w:sz="4" w:space="4" w:color="auto"/>
        </w:pBdr>
        <w:shd w:val="clear" w:color="auto" w:fill="DEEAF6" w:themeFill="accent1" w:themeFillTint="33"/>
        <w:spacing w:before="120"/>
        <w:rPr>
          <w:noProof/>
          <w:lang w:val="en-GB"/>
        </w:rPr>
      </w:pPr>
      <w:r>
        <w:rPr>
          <w:noProof/>
          <w:lang w:val="en-GB"/>
        </w:rPr>
        <w:t xml:space="preserve">Patients will </w:t>
      </w:r>
      <w:r w:rsidRPr="00A02D1D">
        <w:rPr>
          <w:b/>
          <w:noProof/>
          <w:lang w:val="en-GB"/>
        </w:rPr>
        <w:t xml:space="preserve">have their </w:t>
      </w:r>
      <w:r w:rsidR="00EB5C25" w:rsidRPr="00A02D1D">
        <w:rPr>
          <w:b/>
          <w:noProof/>
          <w:lang w:val="en-GB"/>
        </w:rPr>
        <w:t>electronic</w:t>
      </w:r>
      <w:r w:rsidRPr="00A02D1D">
        <w:rPr>
          <w:b/>
          <w:noProof/>
          <w:lang w:val="en-GB"/>
        </w:rPr>
        <w:t xml:space="preserve"> health data available</w:t>
      </w:r>
      <w:r>
        <w:rPr>
          <w:noProof/>
          <w:lang w:val="en-GB"/>
        </w:rPr>
        <w:t xml:space="preserve"> via access point</w:t>
      </w:r>
      <w:r w:rsidR="00E30C39">
        <w:rPr>
          <w:noProof/>
          <w:lang w:val="en-GB"/>
        </w:rPr>
        <w:t>s established by Member States</w:t>
      </w:r>
      <w:r>
        <w:rPr>
          <w:noProof/>
          <w:lang w:val="en-GB"/>
        </w:rPr>
        <w:t xml:space="preserve">. </w:t>
      </w:r>
      <w:r w:rsidR="005C001E" w:rsidRPr="005C001E">
        <w:rPr>
          <w:noProof/>
          <w:lang w:val="en-GB"/>
        </w:rPr>
        <w:t xml:space="preserve">A </w:t>
      </w:r>
      <w:r w:rsidR="005C001E" w:rsidRPr="005C001E">
        <w:rPr>
          <w:rFonts w:eastAsia="Times New Roman"/>
          <w:noProof/>
          <w:lang w:val="en-GB"/>
        </w:rPr>
        <w:t>cross-border digital infrastructure</w:t>
      </w:r>
      <w:r w:rsidR="005C001E">
        <w:rPr>
          <w:rFonts w:eastAsia="Times New Roman"/>
          <w:noProof/>
          <w:lang w:val="en-GB"/>
        </w:rPr>
        <w:t xml:space="preserve"> </w:t>
      </w:r>
      <w:r>
        <w:rPr>
          <w:rFonts w:eastAsia="Times New Roman"/>
          <w:noProof/>
          <w:lang w:val="en-GB"/>
        </w:rPr>
        <w:t xml:space="preserve">for primary use </w:t>
      </w:r>
      <w:r w:rsidR="005C001E">
        <w:rPr>
          <w:rFonts w:eastAsia="Times New Roman"/>
          <w:noProof/>
          <w:lang w:val="en-GB"/>
        </w:rPr>
        <w:t xml:space="preserve">will </w:t>
      </w:r>
      <w:r>
        <w:rPr>
          <w:rFonts w:eastAsia="Times New Roman"/>
          <w:noProof/>
          <w:lang w:val="en-GB"/>
        </w:rPr>
        <w:t xml:space="preserve">connect Member States and allow </w:t>
      </w:r>
      <w:r w:rsidR="00010FAA">
        <w:rPr>
          <w:rFonts w:eastAsia="Times New Roman"/>
          <w:noProof/>
          <w:lang w:val="en-GB"/>
        </w:rPr>
        <w:t xml:space="preserve">patients to share their health data </w:t>
      </w:r>
    </w:p>
    <w:p w14:paraId="7AB3194E" w14:textId="45F19B68" w:rsidR="00FE35A0" w:rsidRPr="00FE35A0" w:rsidRDefault="00BB600B" w:rsidP="00AE4B54">
      <w:pPr>
        <w:pStyle w:val="ListParagraph"/>
        <w:numPr>
          <w:ilvl w:val="0"/>
          <w:numId w:val="46"/>
        </w:numPr>
        <w:pBdr>
          <w:top w:val="single" w:sz="4" w:space="0" w:color="auto"/>
          <w:left w:val="single" w:sz="4" w:space="4" w:color="auto"/>
          <w:bottom w:val="single" w:sz="4" w:space="1" w:color="auto"/>
          <w:right w:val="single" w:sz="4" w:space="4" w:color="auto"/>
        </w:pBdr>
        <w:shd w:val="clear" w:color="auto" w:fill="DEEAF6" w:themeFill="accent1" w:themeFillTint="33"/>
        <w:spacing w:before="120"/>
        <w:rPr>
          <w:noProof/>
          <w:lang w:val="en-GB"/>
        </w:rPr>
      </w:pPr>
      <w:r>
        <w:rPr>
          <w:noProof/>
          <w:lang w:val="en-GB"/>
        </w:rPr>
        <w:t>Patients will be</w:t>
      </w:r>
      <w:r w:rsidR="00D35A75" w:rsidRPr="00FE35A0">
        <w:rPr>
          <w:b/>
          <w:noProof/>
          <w:lang w:val="en-GB"/>
        </w:rPr>
        <w:t xml:space="preserve"> </w:t>
      </w:r>
      <w:r w:rsidR="001033E8" w:rsidRPr="00FE35A0">
        <w:rPr>
          <w:b/>
          <w:noProof/>
          <w:lang w:val="en-GB"/>
        </w:rPr>
        <w:t>empower</w:t>
      </w:r>
      <w:r>
        <w:rPr>
          <w:b/>
          <w:noProof/>
          <w:lang w:val="en-GB"/>
        </w:rPr>
        <w:t xml:space="preserve">ed </w:t>
      </w:r>
      <w:r w:rsidR="001033E8" w:rsidRPr="00FE35A0">
        <w:rPr>
          <w:b/>
          <w:noProof/>
          <w:lang w:val="en-GB"/>
        </w:rPr>
        <w:t>to control</w:t>
      </w:r>
      <w:r w:rsidR="001033E8" w:rsidRPr="00FE35A0">
        <w:rPr>
          <w:noProof/>
          <w:lang w:val="en-GB"/>
        </w:rPr>
        <w:t xml:space="preserve"> </w:t>
      </w:r>
      <w:r w:rsidR="008A76F4" w:rsidRPr="00A02D1D">
        <w:rPr>
          <w:b/>
          <w:bCs/>
          <w:noProof/>
          <w:lang w:val="en-GB"/>
        </w:rPr>
        <w:t>and share</w:t>
      </w:r>
      <w:r w:rsidR="008A76F4">
        <w:rPr>
          <w:noProof/>
          <w:lang w:val="en-GB"/>
        </w:rPr>
        <w:t xml:space="preserve"> </w:t>
      </w:r>
      <w:r w:rsidR="001033E8" w:rsidRPr="00A02D1D">
        <w:rPr>
          <w:b/>
          <w:bCs/>
          <w:noProof/>
          <w:lang w:val="en-GB"/>
        </w:rPr>
        <w:t>their electronic health data</w:t>
      </w:r>
      <w:r w:rsidR="008A76F4">
        <w:rPr>
          <w:noProof/>
          <w:lang w:val="en-GB"/>
        </w:rPr>
        <w:t xml:space="preserve"> with a healthcare provider of their choice</w:t>
      </w:r>
      <w:r w:rsidR="001033E8" w:rsidRPr="00FE35A0">
        <w:rPr>
          <w:noProof/>
          <w:lang w:val="en-GB"/>
        </w:rPr>
        <w:t xml:space="preserve">. </w:t>
      </w:r>
    </w:p>
    <w:p w14:paraId="068242A1" w14:textId="3B1274EF" w:rsidR="00E7297A" w:rsidRPr="00FE35A0" w:rsidRDefault="00E7297A" w:rsidP="00AE4B54">
      <w:pPr>
        <w:pStyle w:val="ListParagraph"/>
        <w:numPr>
          <w:ilvl w:val="0"/>
          <w:numId w:val="46"/>
        </w:numPr>
        <w:pBdr>
          <w:top w:val="single" w:sz="4" w:space="0" w:color="auto"/>
          <w:left w:val="single" w:sz="4" w:space="4" w:color="auto"/>
          <w:bottom w:val="single" w:sz="4" w:space="1" w:color="auto"/>
          <w:right w:val="single" w:sz="4" w:space="4" w:color="auto"/>
        </w:pBdr>
        <w:shd w:val="clear" w:color="auto" w:fill="DEEAF6" w:themeFill="accent1" w:themeFillTint="33"/>
        <w:spacing w:before="120"/>
        <w:rPr>
          <w:noProof/>
          <w:lang w:val="en-GB"/>
        </w:rPr>
      </w:pPr>
      <w:r w:rsidRPr="00FE35A0">
        <w:rPr>
          <w:noProof/>
          <w:lang w:val="en-GB"/>
        </w:rPr>
        <w:t xml:space="preserve">Member States will be required </w:t>
      </w:r>
      <w:r w:rsidRPr="00DD4564">
        <w:rPr>
          <w:bCs/>
          <w:noProof/>
        </w:rPr>
        <w:t>to</w:t>
      </w:r>
      <w:r w:rsidRPr="00FE35A0">
        <w:rPr>
          <w:b/>
          <w:noProof/>
        </w:rPr>
        <w:t xml:space="preserve"> make </w:t>
      </w:r>
      <w:r w:rsidR="00EB5C25">
        <w:rPr>
          <w:b/>
          <w:noProof/>
        </w:rPr>
        <w:t xml:space="preserve">priority categories of </w:t>
      </w:r>
      <w:r w:rsidRPr="00FE35A0">
        <w:rPr>
          <w:b/>
          <w:noProof/>
        </w:rPr>
        <w:t xml:space="preserve">data available in </w:t>
      </w:r>
      <w:r w:rsidR="00EB5C25">
        <w:rPr>
          <w:b/>
          <w:noProof/>
        </w:rPr>
        <w:t>a common</w:t>
      </w:r>
      <w:r w:rsidRPr="00FE35A0">
        <w:rPr>
          <w:b/>
          <w:noProof/>
          <w:lang w:val="en-GB"/>
        </w:rPr>
        <w:t xml:space="preserve"> European electronic health record exchange format</w:t>
      </w:r>
      <w:r w:rsidRPr="00FE35A0">
        <w:rPr>
          <w:noProof/>
          <w:lang w:val="en-GB"/>
        </w:rPr>
        <w:t xml:space="preserve">, such as </w:t>
      </w:r>
      <w:r w:rsidRPr="00560602">
        <w:rPr>
          <w:noProof/>
        </w:rPr>
        <w:t>patient summaries, e-prescriptions, e-dispensations, medical image</w:t>
      </w:r>
      <w:r w:rsidRPr="00FE35A0">
        <w:rPr>
          <w:noProof/>
          <w:lang w:val="en-GB"/>
        </w:rPr>
        <w:t>s</w:t>
      </w:r>
      <w:r w:rsidRPr="00560602">
        <w:rPr>
          <w:noProof/>
        </w:rPr>
        <w:t xml:space="preserve"> a</w:t>
      </w:r>
      <w:r w:rsidRPr="00FE35A0">
        <w:rPr>
          <w:noProof/>
          <w:lang w:val="en-GB"/>
        </w:rPr>
        <w:t xml:space="preserve">nd </w:t>
      </w:r>
      <w:r w:rsidRPr="00560602">
        <w:rPr>
          <w:noProof/>
        </w:rPr>
        <w:t>image reports, laboratory results and discharge reports</w:t>
      </w:r>
      <w:r w:rsidRPr="00FE35A0">
        <w:rPr>
          <w:noProof/>
          <w:lang w:val="en-GB"/>
        </w:rPr>
        <w:t>.</w:t>
      </w:r>
    </w:p>
    <w:p w14:paraId="4E42C44C" w14:textId="77777777" w:rsidR="00E7297A" w:rsidRDefault="00E7297A" w:rsidP="00DD4564">
      <w:pPr>
        <w:pStyle w:val="ListParagraph"/>
        <w:numPr>
          <w:ilvl w:val="0"/>
          <w:numId w:val="46"/>
        </w:numPr>
        <w:pBdr>
          <w:top w:val="single" w:sz="4" w:space="0" w:color="auto"/>
          <w:left w:val="single" w:sz="4" w:space="4" w:color="auto"/>
          <w:bottom w:val="single" w:sz="4" w:space="1" w:color="auto"/>
          <w:right w:val="single" w:sz="4" w:space="4" w:color="auto"/>
        </w:pBdr>
        <w:shd w:val="clear" w:color="auto" w:fill="DEEAF6" w:themeFill="accent1" w:themeFillTint="33"/>
        <w:spacing w:before="120"/>
        <w:rPr>
          <w:b/>
          <w:noProof/>
          <w:lang w:val="en-GB"/>
        </w:rPr>
      </w:pPr>
      <w:r w:rsidRPr="00560602">
        <w:rPr>
          <w:noProof/>
          <w:lang w:val="en-GB"/>
        </w:rPr>
        <w:t>Where personal health data ha</w:t>
      </w:r>
      <w:r>
        <w:rPr>
          <w:noProof/>
          <w:lang w:val="en-GB"/>
        </w:rPr>
        <w:t>s</w:t>
      </w:r>
      <w:r w:rsidRPr="00560602">
        <w:rPr>
          <w:noProof/>
          <w:lang w:val="en-GB"/>
        </w:rPr>
        <w:t xml:space="preserve"> not been collected electronically </w:t>
      </w:r>
      <w:r w:rsidRPr="00AE4B54">
        <w:rPr>
          <w:bCs/>
          <w:noProof/>
          <w:lang w:val="en-GB"/>
        </w:rPr>
        <w:t>prior to the application of this Regulation</w:t>
      </w:r>
      <w:r w:rsidRPr="00560602">
        <w:rPr>
          <w:noProof/>
          <w:lang w:val="en-GB"/>
        </w:rPr>
        <w:t>, Member States may decide not to convert it into an electronic format</w:t>
      </w:r>
      <w:r w:rsidRPr="00AE4B54">
        <w:rPr>
          <w:bCs/>
          <w:noProof/>
          <w:lang w:val="en-GB"/>
        </w:rPr>
        <w:t>.</w:t>
      </w:r>
    </w:p>
    <w:p w14:paraId="3B84CF45" w14:textId="0B42DFB9" w:rsidR="001033E8" w:rsidRPr="00FE35A0" w:rsidRDefault="001033E8" w:rsidP="00AE4B54">
      <w:pPr>
        <w:pStyle w:val="ListParagraph"/>
        <w:numPr>
          <w:ilvl w:val="0"/>
          <w:numId w:val="46"/>
        </w:numPr>
        <w:pBdr>
          <w:top w:val="single" w:sz="4" w:space="0" w:color="auto"/>
          <w:left w:val="single" w:sz="4" w:space="4" w:color="auto"/>
          <w:bottom w:val="single" w:sz="4" w:space="1" w:color="auto"/>
          <w:right w:val="single" w:sz="4" w:space="4" w:color="auto"/>
        </w:pBdr>
        <w:shd w:val="clear" w:color="auto" w:fill="DEEAF6" w:themeFill="accent1" w:themeFillTint="33"/>
        <w:spacing w:before="120"/>
        <w:rPr>
          <w:b/>
          <w:noProof/>
          <w:lang w:val="en-GB"/>
        </w:rPr>
      </w:pPr>
      <w:r w:rsidRPr="00FE35A0">
        <w:rPr>
          <w:b/>
          <w:noProof/>
          <w:lang w:val="en-GB"/>
        </w:rPr>
        <w:t xml:space="preserve">Health professionals </w:t>
      </w:r>
      <w:r w:rsidRPr="00FE35A0">
        <w:rPr>
          <w:noProof/>
          <w:lang w:val="en-GB"/>
        </w:rPr>
        <w:t xml:space="preserve">will be able to access electronic health records and should update the electronic health data of the patients they treat. </w:t>
      </w:r>
    </w:p>
    <w:p w14:paraId="71104FBF" w14:textId="0268BCCD" w:rsidR="00865795" w:rsidRDefault="00054B72" w:rsidP="00AE4B54">
      <w:pPr>
        <w:pStyle w:val="ListParagraph"/>
        <w:numPr>
          <w:ilvl w:val="0"/>
          <w:numId w:val="46"/>
        </w:numPr>
        <w:pBdr>
          <w:top w:val="single" w:sz="4" w:space="0" w:color="auto"/>
          <w:left w:val="single" w:sz="4" w:space="4" w:color="auto"/>
          <w:bottom w:val="single" w:sz="4" w:space="1" w:color="auto"/>
          <w:right w:val="single" w:sz="4" w:space="4" w:color="auto"/>
        </w:pBdr>
        <w:shd w:val="clear" w:color="auto" w:fill="DEEAF6" w:themeFill="accent1" w:themeFillTint="33"/>
        <w:spacing w:before="120"/>
        <w:rPr>
          <w:noProof/>
          <w:lang w:val="en-GB"/>
        </w:rPr>
      </w:pPr>
      <w:r w:rsidRPr="00BB600B">
        <w:rPr>
          <w:noProof/>
          <w:lang w:val="en-GB"/>
        </w:rPr>
        <w:t>To</w:t>
      </w:r>
      <w:r w:rsidR="001033E8" w:rsidRPr="00BB600B">
        <w:rPr>
          <w:noProof/>
          <w:lang w:val="en-GB"/>
        </w:rPr>
        <w:t xml:space="preserve"> support data being shared between healthcare providers, </w:t>
      </w:r>
      <w:r w:rsidR="001033E8" w:rsidRPr="00BB600B">
        <w:rPr>
          <w:b/>
          <w:noProof/>
          <w:lang w:val="en-GB"/>
        </w:rPr>
        <w:t>mandatory requirements</w:t>
      </w:r>
      <w:r w:rsidR="001033E8" w:rsidRPr="00BB600B">
        <w:rPr>
          <w:noProof/>
          <w:lang w:val="en-GB"/>
        </w:rPr>
        <w:t xml:space="preserve"> for interoperability, security, safety</w:t>
      </w:r>
      <w:r w:rsidR="001033E8" w:rsidRPr="00560602">
        <w:rPr>
          <w:noProof/>
        </w:rPr>
        <w:t xml:space="preserve"> </w:t>
      </w:r>
      <w:r w:rsidR="001033E8" w:rsidRPr="00BB600B">
        <w:rPr>
          <w:noProof/>
          <w:lang w:val="en-GB"/>
        </w:rPr>
        <w:t xml:space="preserve">and privacy will be introduced, as well as </w:t>
      </w:r>
      <w:r w:rsidR="001033E8" w:rsidRPr="00BB600B">
        <w:rPr>
          <w:b/>
          <w:noProof/>
          <w:lang w:val="en-GB"/>
        </w:rPr>
        <w:t>mandatory self-certification</w:t>
      </w:r>
      <w:r w:rsidR="001033E8" w:rsidRPr="00BB600B">
        <w:rPr>
          <w:noProof/>
          <w:lang w:val="en-GB"/>
        </w:rPr>
        <w:t xml:space="preserve"> of electronic health records covering interoperability and security. </w:t>
      </w:r>
    </w:p>
    <w:p w14:paraId="67900184" w14:textId="3E996036" w:rsidR="0079006F" w:rsidRPr="00C55490" w:rsidRDefault="00DD4564" w:rsidP="00C55490">
      <w:pPr>
        <w:pStyle w:val="ListParagraph"/>
        <w:numPr>
          <w:ilvl w:val="0"/>
          <w:numId w:val="46"/>
        </w:numPr>
        <w:pBdr>
          <w:top w:val="single" w:sz="4" w:space="0" w:color="auto"/>
          <w:left w:val="single" w:sz="4" w:space="4" w:color="auto"/>
          <w:bottom w:val="single" w:sz="4" w:space="1" w:color="auto"/>
          <w:right w:val="single" w:sz="4" w:space="4" w:color="auto"/>
        </w:pBdr>
        <w:shd w:val="clear" w:color="auto" w:fill="DEEAF6" w:themeFill="accent1" w:themeFillTint="33"/>
        <w:spacing w:before="120"/>
        <w:rPr>
          <w:noProof/>
          <w:lang w:val="en-GB"/>
        </w:rPr>
      </w:pPr>
      <w:r w:rsidRPr="00C55490">
        <w:rPr>
          <w:b/>
          <w:noProof/>
          <w:lang w:val="en-GB"/>
        </w:rPr>
        <w:t>Al</w:t>
      </w:r>
      <w:r w:rsidR="001033E8" w:rsidRPr="00C55490">
        <w:rPr>
          <w:b/>
          <w:noProof/>
          <w:lang w:val="en-GB"/>
        </w:rPr>
        <w:t xml:space="preserve">l Member States </w:t>
      </w:r>
      <w:r w:rsidR="00B62FAE" w:rsidRPr="00C55490">
        <w:rPr>
          <w:b/>
          <w:noProof/>
          <w:lang w:val="en-GB"/>
        </w:rPr>
        <w:t>will be required to</w:t>
      </w:r>
      <w:r w:rsidR="001033E8" w:rsidRPr="00C55490">
        <w:rPr>
          <w:b/>
          <w:noProof/>
          <w:lang w:val="en-GB"/>
        </w:rPr>
        <w:t xml:space="preserve"> participate </w:t>
      </w:r>
      <w:r w:rsidR="001033E8" w:rsidRPr="00C55490">
        <w:rPr>
          <w:b/>
          <w:bCs/>
          <w:noProof/>
          <w:lang w:val="en-GB"/>
        </w:rPr>
        <w:t>in cross-border digital infrastructure</w:t>
      </w:r>
      <w:r w:rsidR="001033E8" w:rsidRPr="00C55490">
        <w:rPr>
          <w:noProof/>
          <w:lang w:val="en-GB"/>
        </w:rPr>
        <w:t xml:space="preserve"> for the exchange of health data</w:t>
      </w:r>
      <w:r w:rsidR="001033E8" w:rsidRPr="00560602">
        <w:rPr>
          <w:noProof/>
        </w:rPr>
        <w:t xml:space="preserve"> </w:t>
      </w:r>
      <w:r w:rsidR="001033E8" w:rsidRPr="00C55490">
        <w:rPr>
          <w:noProof/>
          <w:lang w:val="en-GB"/>
        </w:rPr>
        <w:t>for healthcare delivery (</w:t>
      </w:r>
      <w:r w:rsidR="001033E8" w:rsidRPr="00C55490">
        <w:rPr>
          <w:b/>
          <w:noProof/>
          <w:lang w:val="en-GB"/>
        </w:rPr>
        <w:t>MyHealth@EU</w:t>
      </w:r>
      <w:r w:rsidR="001033E8" w:rsidRPr="00C55490">
        <w:rPr>
          <w:noProof/>
          <w:lang w:val="en-GB"/>
        </w:rPr>
        <w:t>)</w:t>
      </w:r>
      <w:r w:rsidR="001033E8" w:rsidRPr="00560602">
        <w:rPr>
          <w:noProof/>
          <w:vertAlign w:val="superscript"/>
          <w:lang w:val="en-GB"/>
        </w:rPr>
        <w:footnoteReference w:id="32"/>
      </w:r>
      <w:r w:rsidR="001033E8" w:rsidRPr="00C55490">
        <w:rPr>
          <w:noProof/>
          <w:lang w:val="en-GB"/>
        </w:rPr>
        <w:t>.</w:t>
      </w:r>
    </w:p>
    <w:p w14:paraId="1A970876" w14:textId="77777777" w:rsidR="001033E8" w:rsidRPr="00BB600B" w:rsidRDefault="001033E8" w:rsidP="00AE4B54">
      <w:pPr>
        <w:pStyle w:val="ListParagraph"/>
        <w:numPr>
          <w:ilvl w:val="0"/>
          <w:numId w:val="46"/>
        </w:numPr>
        <w:pBdr>
          <w:top w:val="single" w:sz="4" w:space="0" w:color="auto"/>
          <w:left w:val="single" w:sz="4" w:space="4" w:color="auto"/>
          <w:bottom w:val="single" w:sz="4" w:space="1" w:color="auto"/>
          <w:right w:val="single" w:sz="4" w:space="4" w:color="auto"/>
        </w:pBdr>
        <w:shd w:val="clear" w:color="auto" w:fill="DEEAF6" w:themeFill="accent1" w:themeFillTint="33"/>
        <w:spacing w:before="120"/>
        <w:rPr>
          <w:noProof/>
          <w:lang w:val="en-GB"/>
        </w:rPr>
      </w:pPr>
      <w:r w:rsidRPr="00BB600B">
        <w:rPr>
          <w:noProof/>
          <w:lang w:val="en-GB"/>
        </w:rPr>
        <w:t>A pilot project will support patients having access to their data on a mobile device in the language of the country of destination.</w:t>
      </w:r>
    </w:p>
    <w:p w14:paraId="2F2C52BC" w14:textId="36553D87" w:rsidR="002A110E" w:rsidRDefault="00C55490" w:rsidP="00AE4B54">
      <w:pPr>
        <w:pStyle w:val="ListParagraph"/>
        <w:numPr>
          <w:ilvl w:val="0"/>
          <w:numId w:val="46"/>
        </w:numPr>
        <w:pBdr>
          <w:top w:val="single" w:sz="4" w:space="0" w:color="auto"/>
          <w:left w:val="single" w:sz="4" w:space="4" w:color="auto"/>
          <w:bottom w:val="single" w:sz="4" w:space="1" w:color="auto"/>
          <w:right w:val="single" w:sz="4" w:space="4" w:color="auto"/>
        </w:pBdr>
        <w:shd w:val="clear" w:color="auto" w:fill="DEEAF6" w:themeFill="accent1" w:themeFillTint="33"/>
        <w:spacing w:before="120"/>
        <w:rPr>
          <w:noProof/>
          <w:lang w:val="en-GB"/>
        </w:rPr>
      </w:pPr>
      <w:r>
        <w:rPr>
          <w:bCs/>
          <w:noProof/>
          <w:lang w:val="en-GB"/>
        </w:rPr>
        <w:t xml:space="preserve">To facilitate the implementation, </w:t>
      </w:r>
      <w:r>
        <w:rPr>
          <w:b/>
          <w:noProof/>
          <w:lang w:val="en-GB"/>
        </w:rPr>
        <w:t>t</w:t>
      </w:r>
      <w:r w:rsidR="002A110E" w:rsidRPr="00DD4564">
        <w:rPr>
          <w:b/>
          <w:noProof/>
          <w:lang w:val="en-GB"/>
        </w:rPr>
        <w:t>ransitional period</w:t>
      </w:r>
      <w:r w:rsidR="006C3E6F">
        <w:rPr>
          <w:b/>
          <w:noProof/>
          <w:lang w:val="en-GB"/>
        </w:rPr>
        <w:t>s</w:t>
      </w:r>
      <w:r w:rsidR="002A110E">
        <w:rPr>
          <w:noProof/>
          <w:lang w:val="en-GB"/>
        </w:rPr>
        <w:t xml:space="preserve"> </w:t>
      </w:r>
      <w:r>
        <w:rPr>
          <w:noProof/>
          <w:lang w:val="en-GB"/>
        </w:rPr>
        <w:t xml:space="preserve">will apply for </w:t>
      </w:r>
      <w:r w:rsidR="002A110E">
        <w:rPr>
          <w:noProof/>
          <w:lang w:val="en-GB"/>
        </w:rPr>
        <w:t xml:space="preserve">certain </w:t>
      </w:r>
      <w:r>
        <w:rPr>
          <w:noProof/>
          <w:lang w:val="en-GB"/>
        </w:rPr>
        <w:t>obligations including the</w:t>
      </w:r>
      <w:r w:rsidR="002A110E">
        <w:rPr>
          <w:noProof/>
          <w:lang w:val="en-GB"/>
        </w:rPr>
        <w:t xml:space="preserve"> </w:t>
      </w:r>
      <w:r w:rsidR="006C3E6F">
        <w:rPr>
          <w:noProof/>
          <w:lang w:val="en-GB"/>
        </w:rPr>
        <w:t>registration</w:t>
      </w:r>
      <w:r w:rsidR="002A110E">
        <w:rPr>
          <w:noProof/>
          <w:lang w:val="en-GB"/>
        </w:rPr>
        <w:t xml:space="preserve"> of health data, </w:t>
      </w:r>
      <w:r w:rsidR="006C3E6F">
        <w:rPr>
          <w:noProof/>
          <w:lang w:val="en-GB"/>
        </w:rPr>
        <w:t xml:space="preserve">access of health professionals to data, making data available in the European format, </w:t>
      </w:r>
      <w:r>
        <w:rPr>
          <w:noProof/>
          <w:lang w:val="en-GB"/>
        </w:rPr>
        <w:t xml:space="preserve">the participation in the </w:t>
      </w:r>
      <w:r w:rsidR="002A110E">
        <w:rPr>
          <w:noProof/>
          <w:lang w:val="en-GB"/>
        </w:rPr>
        <w:t>cross border digital infrastructure</w:t>
      </w:r>
      <w:r w:rsidR="006C3E6F">
        <w:rPr>
          <w:noProof/>
          <w:lang w:val="en-GB"/>
        </w:rPr>
        <w:t xml:space="preserve">, </w:t>
      </w:r>
      <w:r w:rsidR="003655F5">
        <w:rPr>
          <w:noProof/>
          <w:lang w:val="en-GB"/>
        </w:rPr>
        <w:t>self-</w:t>
      </w:r>
      <w:r w:rsidR="002A110E">
        <w:rPr>
          <w:noProof/>
          <w:lang w:val="en-GB"/>
        </w:rPr>
        <w:t>certification of electronic health record systems</w:t>
      </w:r>
      <w:r w:rsidR="006C3E6F">
        <w:rPr>
          <w:noProof/>
          <w:lang w:val="en-GB"/>
        </w:rPr>
        <w:t xml:space="preserve">, as well as </w:t>
      </w:r>
      <w:r>
        <w:rPr>
          <w:noProof/>
          <w:lang w:val="en-GB"/>
        </w:rPr>
        <w:t xml:space="preserve">the </w:t>
      </w:r>
      <w:r w:rsidR="006C3E6F">
        <w:rPr>
          <w:noProof/>
          <w:lang w:val="en-GB"/>
        </w:rPr>
        <w:t>voluntary label for wellness applications</w:t>
      </w:r>
      <w:r w:rsidR="002A110E">
        <w:rPr>
          <w:noProof/>
          <w:lang w:val="en-GB"/>
        </w:rPr>
        <w:t>.</w:t>
      </w:r>
    </w:p>
    <w:p w14:paraId="7F26230E" w14:textId="35C4029A" w:rsidR="007C68BE" w:rsidRPr="002D765E" w:rsidRDefault="007C68BE" w:rsidP="00AE4B54">
      <w:pPr>
        <w:pStyle w:val="ListParagraph"/>
        <w:numPr>
          <w:ilvl w:val="0"/>
          <w:numId w:val="46"/>
        </w:numPr>
        <w:pBdr>
          <w:top w:val="single" w:sz="4" w:space="0" w:color="auto"/>
          <w:left w:val="single" w:sz="4" w:space="4" w:color="auto"/>
          <w:bottom w:val="single" w:sz="4" w:space="1" w:color="auto"/>
          <w:right w:val="single" w:sz="4" w:space="4" w:color="auto"/>
        </w:pBdr>
        <w:shd w:val="clear" w:color="auto" w:fill="DEEAF6" w:themeFill="accent1" w:themeFillTint="33"/>
        <w:spacing w:before="120"/>
        <w:rPr>
          <w:noProof/>
          <w:lang w:val="en-GB"/>
        </w:rPr>
      </w:pPr>
      <w:r w:rsidRPr="007C68BE">
        <w:rPr>
          <w:noProof/>
          <w:lang w:val="en-GB"/>
        </w:rPr>
        <w:t xml:space="preserve">Member States will have to set up a digital health authority </w:t>
      </w:r>
      <w:r>
        <w:rPr>
          <w:noProof/>
          <w:lang w:val="en-GB"/>
        </w:rPr>
        <w:t xml:space="preserve">to ensure that the additional rights for individuals </w:t>
      </w:r>
      <w:r w:rsidRPr="007C68BE">
        <w:rPr>
          <w:noProof/>
          <w:lang w:val="en-GB"/>
        </w:rPr>
        <w:t>are properly implemented</w:t>
      </w:r>
      <w:r>
        <w:rPr>
          <w:noProof/>
          <w:lang w:val="en-GB"/>
        </w:rPr>
        <w:t>.</w:t>
      </w:r>
    </w:p>
    <w:p w14:paraId="00F437BA" w14:textId="3C23D345" w:rsidR="00560602" w:rsidRDefault="00444CDE" w:rsidP="00CC425E">
      <w:pPr>
        <w:pStyle w:val="NormalWeb"/>
        <w:rPr>
          <w:noProof/>
          <w:lang w:val="en-GB"/>
        </w:rPr>
      </w:pPr>
      <w:r>
        <w:rPr>
          <w:noProof/>
          <w:lang w:val="en-GB"/>
        </w:rPr>
        <w:t xml:space="preserve">The </w:t>
      </w:r>
      <w:r w:rsidRPr="00CC425E">
        <w:rPr>
          <w:b/>
          <w:noProof/>
          <w:lang w:val="en-GB"/>
        </w:rPr>
        <w:t>secondary use</w:t>
      </w:r>
      <w:r w:rsidR="00D4348B">
        <w:rPr>
          <w:b/>
          <w:noProof/>
          <w:lang w:val="en-GB"/>
        </w:rPr>
        <w:t xml:space="preserve"> of electronic health data</w:t>
      </w:r>
      <w:r>
        <w:rPr>
          <w:noProof/>
          <w:lang w:val="en-GB"/>
        </w:rPr>
        <w:t xml:space="preserve"> </w:t>
      </w:r>
      <w:r w:rsidR="00054B72">
        <w:rPr>
          <w:noProof/>
          <w:lang w:val="en-GB"/>
        </w:rPr>
        <w:t>takes place when</w:t>
      </w:r>
      <w:r w:rsidR="00711523">
        <w:rPr>
          <w:noProof/>
          <w:lang w:val="en-GB"/>
        </w:rPr>
        <w:t xml:space="preserve"> health data</w:t>
      </w:r>
      <w:r>
        <w:rPr>
          <w:noProof/>
          <w:lang w:val="en-GB"/>
        </w:rPr>
        <w:t xml:space="preserve"> </w:t>
      </w:r>
      <w:r w:rsidR="00054B72">
        <w:rPr>
          <w:noProof/>
          <w:lang w:val="en-GB"/>
        </w:rPr>
        <w:t xml:space="preserve">is </w:t>
      </w:r>
      <w:r w:rsidR="00DD2CFC">
        <w:rPr>
          <w:noProof/>
          <w:lang w:val="en-GB"/>
        </w:rPr>
        <w:t xml:space="preserve">processed </w:t>
      </w:r>
      <w:r>
        <w:rPr>
          <w:noProof/>
          <w:lang w:val="en-GB"/>
        </w:rPr>
        <w:t>to inform and assess public health policies or to conduct research</w:t>
      </w:r>
      <w:r w:rsidR="00711523">
        <w:rPr>
          <w:noProof/>
          <w:lang w:val="en-GB"/>
        </w:rPr>
        <w:t>.</w:t>
      </w:r>
      <w:r w:rsidR="004F4524">
        <w:rPr>
          <w:noProof/>
          <w:lang w:val="en-GB"/>
        </w:rPr>
        <w:t xml:space="preserve"> </w:t>
      </w:r>
      <w:r w:rsidR="00D4348B">
        <w:rPr>
          <w:noProof/>
          <w:lang w:val="en-GB"/>
        </w:rPr>
        <w:t xml:space="preserve">This can </w:t>
      </w:r>
      <w:r w:rsidR="00054B72">
        <w:rPr>
          <w:noProof/>
          <w:lang w:val="en-GB"/>
        </w:rPr>
        <w:t xml:space="preserve">enhance </w:t>
      </w:r>
      <w:r w:rsidR="00D4348B">
        <w:rPr>
          <w:noProof/>
          <w:lang w:val="en-GB"/>
        </w:rPr>
        <w:t xml:space="preserve">patient safety and </w:t>
      </w:r>
      <w:r w:rsidR="00BB600B">
        <w:rPr>
          <w:noProof/>
          <w:lang w:val="en-GB"/>
        </w:rPr>
        <w:t xml:space="preserve">boost the </w:t>
      </w:r>
      <w:r w:rsidR="00D4348B">
        <w:rPr>
          <w:noProof/>
          <w:lang w:val="en-GB"/>
        </w:rPr>
        <w:t>develop</w:t>
      </w:r>
      <w:r w:rsidR="00BB600B">
        <w:rPr>
          <w:noProof/>
          <w:lang w:val="en-GB"/>
        </w:rPr>
        <w:t>ment of</w:t>
      </w:r>
      <w:r w:rsidR="00D4348B">
        <w:rPr>
          <w:noProof/>
          <w:lang w:val="en-GB"/>
        </w:rPr>
        <w:t xml:space="preserve"> new </w:t>
      </w:r>
      <w:r w:rsidR="00D4348B" w:rsidRPr="00224AD4">
        <w:rPr>
          <w:noProof/>
          <w:lang w:val="en-GB"/>
        </w:rPr>
        <w:t>medicines</w:t>
      </w:r>
      <w:r w:rsidR="00BB600B">
        <w:rPr>
          <w:noProof/>
          <w:lang w:val="en-GB"/>
        </w:rPr>
        <w:t xml:space="preserve"> and</w:t>
      </w:r>
      <w:r w:rsidR="00D4348B" w:rsidRPr="00224AD4">
        <w:rPr>
          <w:noProof/>
          <w:lang w:val="en-GB"/>
        </w:rPr>
        <w:t xml:space="preserve"> medical devices</w:t>
      </w:r>
      <w:r w:rsidR="00A25B66">
        <w:rPr>
          <w:noProof/>
          <w:lang w:val="en-GB"/>
        </w:rPr>
        <w:t>, as well as</w:t>
      </w:r>
      <w:r w:rsidR="00D4348B" w:rsidRPr="00224AD4">
        <w:rPr>
          <w:noProof/>
          <w:lang w:val="en-GB"/>
        </w:rPr>
        <w:t xml:space="preserve"> </w:t>
      </w:r>
      <w:r w:rsidR="00BB600B">
        <w:rPr>
          <w:noProof/>
          <w:lang w:val="en-GB"/>
        </w:rPr>
        <w:t xml:space="preserve">personalised medicine </w:t>
      </w:r>
      <w:r w:rsidR="007B6992">
        <w:rPr>
          <w:noProof/>
          <w:lang w:val="en-GB"/>
        </w:rPr>
        <w:t xml:space="preserve">and </w:t>
      </w:r>
      <w:r w:rsidR="00D4348B">
        <w:rPr>
          <w:noProof/>
          <w:lang w:val="en-GB"/>
        </w:rPr>
        <w:t xml:space="preserve">products relying on </w:t>
      </w:r>
      <w:r w:rsidR="00D4348B" w:rsidRPr="00224AD4">
        <w:rPr>
          <w:noProof/>
          <w:lang w:val="en-GB"/>
        </w:rPr>
        <w:t>artificial intelligence</w:t>
      </w:r>
      <w:r w:rsidR="00D4348B">
        <w:rPr>
          <w:noProof/>
          <w:lang w:val="en-GB"/>
        </w:rPr>
        <w:t>. In the context of European Health Data Space, t</w:t>
      </w:r>
      <w:r w:rsidR="004F4524">
        <w:rPr>
          <w:noProof/>
          <w:lang w:val="en-GB"/>
        </w:rPr>
        <w:t xml:space="preserve">he results </w:t>
      </w:r>
      <w:r w:rsidR="00711523">
        <w:rPr>
          <w:noProof/>
          <w:lang w:val="en-GB"/>
        </w:rPr>
        <w:t xml:space="preserve">of such research are </w:t>
      </w:r>
      <w:r w:rsidR="00A72B47">
        <w:rPr>
          <w:noProof/>
          <w:lang w:val="en-GB"/>
        </w:rPr>
        <w:t>made public</w:t>
      </w:r>
      <w:r w:rsidR="004F4524">
        <w:rPr>
          <w:noProof/>
          <w:lang w:val="en-GB"/>
        </w:rPr>
        <w:t xml:space="preserve"> in aggregated </w:t>
      </w:r>
      <w:r w:rsidR="00711523">
        <w:rPr>
          <w:noProof/>
          <w:lang w:val="en-GB"/>
        </w:rPr>
        <w:t>form</w:t>
      </w:r>
      <w:r w:rsidR="007B6992">
        <w:rPr>
          <w:noProof/>
          <w:lang w:val="en-GB"/>
        </w:rPr>
        <w:t xml:space="preserve"> </w:t>
      </w:r>
      <w:r w:rsidR="006D6293">
        <w:rPr>
          <w:noProof/>
          <w:lang w:val="en-GB"/>
        </w:rPr>
        <w:t>duly</w:t>
      </w:r>
      <w:r w:rsidR="007B6992">
        <w:rPr>
          <w:noProof/>
          <w:lang w:val="en-GB"/>
        </w:rPr>
        <w:t xml:space="preserve"> preserving data privacy</w:t>
      </w:r>
      <w:r>
        <w:rPr>
          <w:noProof/>
          <w:lang w:val="en-GB"/>
        </w:rPr>
        <w:t>.</w:t>
      </w:r>
      <w:r w:rsidR="006110D9" w:rsidRPr="006110D9">
        <w:rPr>
          <w:noProof/>
          <w:lang w:val="en-GB"/>
        </w:rPr>
        <w:t xml:space="preserve"> </w:t>
      </w:r>
    </w:p>
    <w:p w14:paraId="340A8608" w14:textId="027D2528" w:rsidR="00933930" w:rsidRDefault="00933930" w:rsidP="007E0CAD">
      <w:p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noProof/>
          <w:lang w:val="en-GB"/>
        </w:rPr>
      </w:pPr>
      <w:r w:rsidRPr="00933930">
        <w:rPr>
          <w:b/>
          <w:noProof/>
          <w:lang w:val="en-GB"/>
        </w:rPr>
        <w:t>Key aspects of European Health Data Space</w:t>
      </w:r>
      <w:r>
        <w:rPr>
          <w:b/>
          <w:noProof/>
          <w:lang w:val="en-GB"/>
        </w:rPr>
        <w:t>: Secondary use of health data</w:t>
      </w:r>
    </w:p>
    <w:p w14:paraId="12C4A1E0" w14:textId="76AFA5AC" w:rsidR="00BB600B" w:rsidRPr="00BB600B" w:rsidRDefault="00BB600B" w:rsidP="006D6293">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noProof/>
          <w:lang w:val="en-GB"/>
        </w:rPr>
      </w:pPr>
      <w:r>
        <w:rPr>
          <w:noProof/>
          <w:lang w:val="en-GB"/>
        </w:rPr>
        <w:t>T</w:t>
      </w:r>
      <w:r w:rsidRPr="00BB600B">
        <w:rPr>
          <w:noProof/>
          <w:lang w:val="en-GB"/>
        </w:rPr>
        <w:t xml:space="preserve">he European Health Data Space sets out a common </w:t>
      </w:r>
      <w:r w:rsidRPr="00BB600B">
        <w:rPr>
          <w:b/>
          <w:noProof/>
          <w:lang w:val="en-GB"/>
        </w:rPr>
        <w:t xml:space="preserve">EU framework </w:t>
      </w:r>
      <w:r w:rsidR="007B6992" w:rsidRPr="006D6293">
        <w:rPr>
          <w:bCs/>
          <w:noProof/>
          <w:lang w:val="en-GB"/>
        </w:rPr>
        <w:t xml:space="preserve">allowing </w:t>
      </w:r>
      <w:r w:rsidRPr="006D6293">
        <w:rPr>
          <w:bCs/>
          <w:noProof/>
          <w:lang w:val="en-GB"/>
        </w:rPr>
        <w:t xml:space="preserve">for use of health data </w:t>
      </w:r>
      <w:r w:rsidRPr="007B6992">
        <w:rPr>
          <w:bCs/>
          <w:noProof/>
          <w:lang w:val="en-GB"/>
        </w:rPr>
        <w:t>for research, innovation, public health, policy-making, regu</w:t>
      </w:r>
      <w:r w:rsidRPr="00BB600B">
        <w:rPr>
          <w:noProof/>
          <w:lang w:val="en-GB"/>
        </w:rPr>
        <w:t>latory activities and personalised medicine.</w:t>
      </w:r>
      <w:r w:rsidR="007B6992">
        <w:rPr>
          <w:noProof/>
          <w:lang w:val="en-GB"/>
        </w:rPr>
        <w:t xml:space="preserve"> It will draw on the creation of a </w:t>
      </w:r>
      <w:r w:rsidR="007B6992" w:rsidRPr="007B6992">
        <w:rPr>
          <w:b/>
          <w:noProof/>
          <w:lang w:val="en-GB"/>
        </w:rPr>
        <w:t xml:space="preserve">new </w:t>
      </w:r>
      <w:r w:rsidR="007B6992">
        <w:rPr>
          <w:b/>
          <w:noProof/>
          <w:lang w:val="en-GB"/>
        </w:rPr>
        <w:t xml:space="preserve">and </w:t>
      </w:r>
      <w:r w:rsidR="007B6992" w:rsidRPr="007B6992">
        <w:rPr>
          <w:b/>
          <w:noProof/>
          <w:lang w:val="en-GB"/>
        </w:rPr>
        <w:t>decentralised EU-infrastructure</w:t>
      </w:r>
      <w:r w:rsidR="007B6992">
        <w:rPr>
          <w:b/>
          <w:noProof/>
          <w:lang w:val="en-GB"/>
        </w:rPr>
        <w:t xml:space="preserve"> </w:t>
      </w:r>
      <w:r w:rsidR="00C4645A">
        <w:rPr>
          <w:b/>
          <w:noProof/>
          <w:lang w:val="en-GB"/>
        </w:rPr>
        <w:t>for secondary use of health data</w:t>
      </w:r>
      <w:r w:rsidR="00912C37">
        <w:rPr>
          <w:b/>
          <w:noProof/>
          <w:lang w:val="en-GB"/>
        </w:rPr>
        <w:t xml:space="preserve"> (HealthData@EU)</w:t>
      </w:r>
      <w:r w:rsidR="00C4645A">
        <w:rPr>
          <w:b/>
          <w:noProof/>
          <w:lang w:val="en-GB"/>
        </w:rPr>
        <w:t xml:space="preserve"> </w:t>
      </w:r>
      <w:r w:rsidR="007B6992" w:rsidRPr="006D6293">
        <w:rPr>
          <w:noProof/>
          <w:lang w:val="en-GB"/>
        </w:rPr>
        <w:t>that</w:t>
      </w:r>
      <w:r w:rsidR="00C4645A" w:rsidRPr="006D6293">
        <w:rPr>
          <w:noProof/>
          <w:lang w:val="en-GB"/>
        </w:rPr>
        <w:t xml:space="preserve"> will connect health data access bodies which should be set up in all Member States.</w:t>
      </w:r>
    </w:p>
    <w:p w14:paraId="7D74E62B" w14:textId="30295503" w:rsidR="00160C70" w:rsidRDefault="007B6992" w:rsidP="00160C70">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noProof/>
          <w:lang w:val="en-GB"/>
        </w:rPr>
      </w:pPr>
      <w:r w:rsidRPr="00160C70">
        <w:rPr>
          <w:rFonts w:eastAsia="Times New Roman"/>
          <w:noProof/>
          <w:lang w:val="en-GB"/>
        </w:rPr>
        <w:t xml:space="preserve">Those who wish to re-use </w:t>
      </w:r>
      <w:r w:rsidR="007E0CAD" w:rsidRPr="00160C70">
        <w:rPr>
          <w:rFonts w:eastAsia="Times New Roman"/>
          <w:noProof/>
          <w:lang w:val="en-GB"/>
        </w:rPr>
        <w:t xml:space="preserve">health data will need to apply for a permit from a </w:t>
      </w:r>
      <w:r w:rsidR="007E0CAD" w:rsidRPr="00160C70">
        <w:rPr>
          <w:rFonts w:eastAsia="Times New Roman"/>
          <w:b/>
          <w:noProof/>
          <w:lang w:val="en-GB"/>
        </w:rPr>
        <w:t>health data access body</w:t>
      </w:r>
      <w:r w:rsidR="007E0CAD" w:rsidRPr="00160C70">
        <w:rPr>
          <w:rFonts w:eastAsia="Times New Roman"/>
          <w:noProof/>
          <w:lang w:val="en-GB"/>
        </w:rPr>
        <w:t xml:space="preserve">. The </w:t>
      </w:r>
      <w:r w:rsidR="007E0CAD" w:rsidRPr="00160C70">
        <w:rPr>
          <w:rFonts w:eastAsia="Times New Roman"/>
          <w:b/>
          <w:noProof/>
          <w:lang w:val="en-GB"/>
        </w:rPr>
        <w:t>data permit</w:t>
      </w:r>
      <w:r w:rsidR="007E0CAD" w:rsidRPr="00160C70">
        <w:rPr>
          <w:rFonts w:eastAsia="Times New Roman"/>
          <w:noProof/>
          <w:lang w:val="en-GB"/>
        </w:rPr>
        <w:t xml:space="preserve"> sets out how the data may be used and for what purpose.</w:t>
      </w:r>
      <w:r w:rsidR="00121FCD" w:rsidRPr="00160C70">
        <w:rPr>
          <w:rFonts w:eastAsia="Times New Roman"/>
          <w:noProof/>
          <w:lang w:val="en-GB"/>
        </w:rPr>
        <w:t xml:space="preserve"> </w:t>
      </w:r>
    </w:p>
    <w:p w14:paraId="1E0D1B76" w14:textId="77777777" w:rsidR="00160C70" w:rsidRPr="00160C70" w:rsidRDefault="00160C70" w:rsidP="00160C70">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noProof/>
          <w:lang w:val="en-GB"/>
        </w:rPr>
      </w:pPr>
      <w:r w:rsidRPr="006D6293">
        <w:rPr>
          <w:rFonts w:eastAsia="Times New Roman"/>
          <w:noProof/>
          <w:lang w:val="en-GB"/>
        </w:rPr>
        <w:t xml:space="preserve">The data can only be </w:t>
      </w:r>
      <w:r w:rsidRPr="006D6293">
        <w:rPr>
          <w:rFonts w:eastAsia="Times New Roman"/>
          <w:b/>
          <w:bCs/>
          <w:noProof/>
          <w:lang w:val="en-GB"/>
        </w:rPr>
        <w:t>accessed and</w:t>
      </w:r>
      <w:r w:rsidRPr="006D6293">
        <w:rPr>
          <w:rFonts w:eastAsia="Times New Roman"/>
          <w:noProof/>
          <w:lang w:val="en-GB"/>
        </w:rPr>
        <w:t xml:space="preserve"> </w:t>
      </w:r>
      <w:r w:rsidRPr="006D6293">
        <w:rPr>
          <w:rFonts w:eastAsia="Times New Roman"/>
          <w:b/>
          <w:noProof/>
          <w:lang w:val="en-GB"/>
        </w:rPr>
        <w:t>processed in closed secure environments</w:t>
      </w:r>
      <w:r>
        <w:rPr>
          <w:rFonts w:eastAsia="Times New Roman"/>
          <w:b/>
          <w:noProof/>
          <w:lang w:val="en-GB"/>
        </w:rPr>
        <w:t xml:space="preserve"> </w:t>
      </w:r>
      <w:r w:rsidRPr="006D6293">
        <w:rPr>
          <w:rFonts w:eastAsia="Times New Roman"/>
          <w:bCs/>
          <w:noProof/>
          <w:lang w:val="en-GB"/>
        </w:rPr>
        <w:t>to be provided by the health data access bodies</w:t>
      </w:r>
      <w:r>
        <w:rPr>
          <w:rFonts w:eastAsia="Times New Roman"/>
          <w:bCs/>
          <w:noProof/>
          <w:lang w:val="en-GB"/>
        </w:rPr>
        <w:t xml:space="preserve"> with clear standards for cyber security</w:t>
      </w:r>
      <w:r w:rsidRPr="006D6293">
        <w:rPr>
          <w:rFonts w:eastAsia="Times New Roman"/>
          <w:bCs/>
          <w:noProof/>
          <w:lang w:val="en-GB"/>
        </w:rPr>
        <w:t>.</w:t>
      </w:r>
    </w:p>
    <w:p w14:paraId="5E131849" w14:textId="7D0820EA" w:rsidR="007E0CAD" w:rsidRPr="00160C70" w:rsidRDefault="007B6992" w:rsidP="00160C70">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noProof/>
          <w:lang w:val="en-GB"/>
        </w:rPr>
      </w:pPr>
      <w:r w:rsidRPr="00160C70">
        <w:rPr>
          <w:rFonts w:eastAsia="Times New Roman"/>
          <w:bCs/>
          <w:noProof/>
          <w:lang w:val="en-GB"/>
        </w:rPr>
        <w:t>Only</w:t>
      </w:r>
      <w:r w:rsidRPr="00160C70">
        <w:rPr>
          <w:rFonts w:eastAsia="Times New Roman"/>
          <w:noProof/>
          <w:lang w:val="en-GB"/>
        </w:rPr>
        <w:t xml:space="preserve"> </w:t>
      </w:r>
      <w:r w:rsidRPr="00160C70">
        <w:rPr>
          <w:rFonts w:eastAsia="Times New Roman"/>
          <w:b/>
          <w:noProof/>
          <w:lang w:val="en-GB"/>
        </w:rPr>
        <w:t>anonymous data</w:t>
      </w:r>
      <w:r w:rsidRPr="00160C70">
        <w:rPr>
          <w:rFonts w:eastAsia="Times New Roman"/>
          <w:bCs/>
          <w:noProof/>
          <w:lang w:val="en-GB"/>
        </w:rPr>
        <w:t xml:space="preserve"> can be extracted by the user</w:t>
      </w:r>
      <w:r w:rsidR="00643117" w:rsidRPr="00160C70">
        <w:rPr>
          <w:rFonts w:eastAsia="Times New Roman"/>
          <w:bCs/>
          <w:noProof/>
          <w:lang w:val="en-GB"/>
        </w:rPr>
        <w:t xml:space="preserve"> </w:t>
      </w:r>
      <w:r w:rsidR="007804F6">
        <w:rPr>
          <w:rFonts w:eastAsia="Times New Roman"/>
          <w:bCs/>
          <w:noProof/>
          <w:lang w:val="en-GB"/>
        </w:rPr>
        <w:t xml:space="preserve">who applied for the permit </w:t>
      </w:r>
      <w:r w:rsidR="00643117" w:rsidRPr="00160C70">
        <w:rPr>
          <w:rFonts w:eastAsia="Times New Roman"/>
          <w:bCs/>
          <w:noProof/>
          <w:lang w:val="en-GB"/>
        </w:rPr>
        <w:t>from the secure processing environment</w:t>
      </w:r>
      <w:r w:rsidRPr="00160C70">
        <w:rPr>
          <w:rFonts w:eastAsia="Times New Roman"/>
          <w:noProof/>
          <w:lang w:val="en-GB"/>
        </w:rPr>
        <w:t xml:space="preserve">. </w:t>
      </w:r>
      <w:r w:rsidR="007804F6">
        <w:rPr>
          <w:rFonts w:eastAsia="Times New Roman"/>
          <w:noProof/>
          <w:lang w:val="en-GB"/>
        </w:rPr>
        <w:t>Where r</w:t>
      </w:r>
      <w:r w:rsidR="007E0CAD" w:rsidRPr="00160C70">
        <w:rPr>
          <w:rFonts w:eastAsia="Times New Roman"/>
          <w:noProof/>
          <w:lang w:val="en-GB"/>
        </w:rPr>
        <w:t xml:space="preserve">esearchers, companies or public institutions </w:t>
      </w:r>
      <w:r w:rsidR="007804F6">
        <w:rPr>
          <w:rFonts w:eastAsia="Times New Roman"/>
          <w:noProof/>
          <w:lang w:val="en-GB"/>
        </w:rPr>
        <w:t xml:space="preserve">need access to personal electronic health data they </w:t>
      </w:r>
      <w:r w:rsidR="007E0CAD" w:rsidRPr="00160C70">
        <w:rPr>
          <w:rFonts w:eastAsia="Times New Roman"/>
          <w:noProof/>
          <w:lang w:val="en-GB"/>
        </w:rPr>
        <w:t xml:space="preserve">can only access </w:t>
      </w:r>
      <w:r w:rsidR="007804F6">
        <w:rPr>
          <w:rFonts w:eastAsia="Times New Roman"/>
          <w:noProof/>
          <w:lang w:val="en-GB"/>
        </w:rPr>
        <w:t xml:space="preserve">it in </w:t>
      </w:r>
      <w:r w:rsidR="007E0CAD" w:rsidRPr="00160C70">
        <w:rPr>
          <w:rFonts w:eastAsia="Times New Roman"/>
          <w:noProof/>
          <w:lang w:val="en-GB"/>
        </w:rPr>
        <w:t xml:space="preserve">pseudonymised </w:t>
      </w:r>
      <w:r w:rsidR="007804F6">
        <w:rPr>
          <w:rFonts w:eastAsia="Times New Roman"/>
          <w:noProof/>
          <w:lang w:val="en-GB"/>
        </w:rPr>
        <w:t>form</w:t>
      </w:r>
      <w:r w:rsidR="007E0CAD" w:rsidRPr="00160C70">
        <w:rPr>
          <w:rFonts w:eastAsia="Times New Roman"/>
          <w:noProof/>
          <w:lang w:val="en-GB"/>
        </w:rPr>
        <w:t>, i.e. data offering information about the disease, symptoms and medication, without revealing to the user the identity of the individual</w:t>
      </w:r>
      <w:r w:rsidR="00160C70" w:rsidRPr="00160C70">
        <w:rPr>
          <w:rFonts w:eastAsia="Times New Roman"/>
          <w:noProof/>
          <w:lang w:val="en-GB"/>
        </w:rPr>
        <w:t>.</w:t>
      </w:r>
      <w:r w:rsidR="00643117" w:rsidRPr="00160C70">
        <w:rPr>
          <w:rFonts w:eastAsia="Times New Roman"/>
          <w:noProof/>
          <w:lang w:val="en-GB"/>
        </w:rPr>
        <w:t xml:space="preserve"> </w:t>
      </w:r>
      <w:r w:rsidR="00160C70" w:rsidRPr="00160C70">
        <w:rPr>
          <w:rFonts w:eastAsia="Times New Roman"/>
          <w:noProof/>
          <w:lang w:val="en-GB"/>
        </w:rPr>
        <w:t>I</w:t>
      </w:r>
      <w:r w:rsidR="007E0CAD" w:rsidRPr="00160C70">
        <w:rPr>
          <w:rFonts w:eastAsia="Times New Roman"/>
          <w:noProof/>
          <w:lang w:val="en-GB"/>
        </w:rPr>
        <w:t>t is forbidden for the user to attempt to re-identify the data subjects.</w:t>
      </w:r>
    </w:p>
    <w:p w14:paraId="38440A19" w14:textId="16DE0ACF" w:rsidR="007B6992" w:rsidRPr="003E69C5" w:rsidRDefault="00851323" w:rsidP="006D6293">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noProof/>
          <w:lang w:val="en-GB"/>
        </w:rPr>
      </w:pPr>
      <w:r w:rsidRPr="006D6293">
        <w:rPr>
          <w:rFonts w:eastAsia="Times New Roman"/>
          <w:noProof/>
          <w:lang w:val="en-GB"/>
        </w:rPr>
        <w:t>I</w:t>
      </w:r>
      <w:r w:rsidR="0037776E" w:rsidRPr="006D6293">
        <w:rPr>
          <w:rFonts w:eastAsia="Times New Roman"/>
          <w:noProof/>
          <w:lang w:val="en-GB"/>
        </w:rPr>
        <w:t xml:space="preserve">t </w:t>
      </w:r>
      <w:r w:rsidR="00054B72" w:rsidRPr="006D6293">
        <w:rPr>
          <w:rFonts w:eastAsia="Times New Roman"/>
          <w:noProof/>
          <w:lang w:val="en-GB"/>
        </w:rPr>
        <w:t xml:space="preserve">will </w:t>
      </w:r>
      <w:r w:rsidR="0037776E" w:rsidRPr="006D6293">
        <w:rPr>
          <w:rFonts w:eastAsia="Times New Roman"/>
          <w:noProof/>
          <w:lang w:val="en-GB"/>
        </w:rPr>
        <w:t xml:space="preserve">be </w:t>
      </w:r>
      <w:r w:rsidR="0037776E" w:rsidRPr="006D6293">
        <w:rPr>
          <w:rFonts w:eastAsia="Times New Roman"/>
          <w:b/>
          <w:noProof/>
          <w:lang w:val="en-GB"/>
        </w:rPr>
        <w:t>forbidden to use the data to take decisions detrimental to individuals</w:t>
      </w:r>
      <w:r w:rsidR="0037776E" w:rsidRPr="006D6293">
        <w:rPr>
          <w:rFonts w:eastAsia="Times New Roman"/>
          <w:noProof/>
          <w:lang w:val="en-GB"/>
        </w:rPr>
        <w:t>, to increase insurance premiums, t</w:t>
      </w:r>
      <w:r w:rsidR="001A7F3E" w:rsidRPr="006D6293">
        <w:rPr>
          <w:rFonts w:eastAsia="Times New Roman"/>
          <w:noProof/>
          <w:lang w:val="en-GB"/>
        </w:rPr>
        <w:t>o market</w:t>
      </w:r>
      <w:r w:rsidR="0037776E" w:rsidRPr="006D6293">
        <w:rPr>
          <w:rFonts w:eastAsia="Times New Roman"/>
          <w:noProof/>
          <w:lang w:val="en-GB"/>
        </w:rPr>
        <w:t xml:space="preserve"> health products</w:t>
      </w:r>
      <w:r w:rsidR="001A7F3E" w:rsidRPr="006D6293">
        <w:rPr>
          <w:rFonts w:eastAsia="Times New Roman"/>
          <w:noProof/>
          <w:lang w:val="en-GB"/>
        </w:rPr>
        <w:t xml:space="preserve"> towards health professionals or patients</w:t>
      </w:r>
      <w:r w:rsidR="0037776E" w:rsidRPr="006D6293">
        <w:rPr>
          <w:rFonts w:eastAsia="Times New Roman"/>
          <w:noProof/>
          <w:lang w:val="en-GB"/>
        </w:rPr>
        <w:t xml:space="preserve"> or to design harmful products or services.</w:t>
      </w:r>
    </w:p>
    <w:p w14:paraId="1ACCD1FF" w14:textId="437C9054" w:rsidR="0088638A" w:rsidRPr="0088638A" w:rsidRDefault="00F03CCA" w:rsidP="003E69C5">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noProof/>
          <w:lang w:val="en-GB"/>
        </w:rPr>
      </w:pPr>
      <w:bookmarkStart w:id="4" w:name="_Hlk101776982"/>
      <w:r w:rsidRPr="003E69C5">
        <w:rPr>
          <w:rFonts w:eastAsia="Times New Roman"/>
          <w:noProof/>
          <w:lang w:val="en-GB"/>
        </w:rPr>
        <w:t xml:space="preserve">Health data access bodies will have to ensure </w:t>
      </w:r>
      <w:r w:rsidRPr="003E69C5">
        <w:rPr>
          <w:rFonts w:eastAsia="Times New Roman"/>
          <w:b/>
          <w:bCs/>
          <w:noProof/>
          <w:lang w:val="en-GB"/>
        </w:rPr>
        <w:t>transparency</w:t>
      </w:r>
      <w:r w:rsidRPr="003E69C5">
        <w:rPr>
          <w:rFonts w:eastAsia="Times New Roman"/>
          <w:noProof/>
          <w:lang w:val="en-GB"/>
        </w:rPr>
        <w:t>: information will be published about</w:t>
      </w:r>
      <w:r w:rsidR="003E69C5">
        <w:rPr>
          <w:rFonts w:eastAsia="Times New Roman"/>
          <w:noProof/>
          <w:lang w:val="en-GB"/>
        </w:rPr>
        <w:t xml:space="preserve"> data access applications</w:t>
      </w:r>
      <w:r w:rsidR="00332EA4">
        <w:rPr>
          <w:rFonts w:eastAsia="Times New Roman"/>
          <w:noProof/>
          <w:lang w:val="en-GB"/>
        </w:rPr>
        <w:t xml:space="preserve">. </w:t>
      </w:r>
      <w:r w:rsidR="003E69C5">
        <w:rPr>
          <w:rFonts w:eastAsia="Times New Roman"/>
          <w:noProof/>
          <w:lang w:val="en-GB"/>
        </w:rPr>
        <w:t xml:space="preserve">In addition, data users must make public the results of their </w:t>
      </w:r>
      <w:r w:rsidR="003E69C5" w:rsidRPr="007D74C4">
        <w:rPr>
          <w:rFonts w:eastAsia="Times New Roman"/>
          <w:b/>
          <w:bCs/>
          <w:noProof/>
          <w:lang w:val="en-GB"/>
        </w:rPr>
        <w:t>electronic health data uses</w:t>
      </w:r>
      <w:r w:rsidR="003E69C5">
        <w:rPr>
          <w:rFonts w:eastAsia="Times New Roman"/>
          <w:b/>
          <w:bCs/>
          <w:noProof/>
          <w:lang w:val="en-GB"/>
        </w:rPr>
        <w:t xml:space="preserve"> </w:t>
      </w:r>
      <w:r w:rsidR="003E69C5">
        <w:rPr>
          <w:rFonts w:eastAsia="Times New Roman"/>
          <w:noProof/>
          <w:lang w:val="en-GB"/>
        </w:rPr>
        <w:t xml:space="preserve">and inform the health data access bodies of </w:t>
      </w:r>
      <w:r w:rsidR="003E69C5" w:rsidRPr="003E69C5">
        <w:rPr>
          <w:rFonts w:eastAsia="Times New Roman"/>
          <w:b/>
          <w:bCs/>
          <w:noProof/>
          <w:lang w:val="en-GB"/>
        </w:rPr>
        <w:t>any significant findings relevant for the health of individuals</w:t>
      </w:r>
      <w:r w:rsidR="00332EA4">
        <w:rPr>
          <w:rFonts w:eastAsia="Times New Roman"/>
          <w:noProof/>
          <w:lang w:val="en-GB"/>
        </w:rPr>
        <w:t>.</w:t>
      </w:r>
    </w:p>
    <w:bookmarkEnd w:id="4"/>
    <w:p w14:paraId="2A7EA55D" w14:textId="323BC478" w:rsidR="00160C70" w:rsidRPr="006D6293" w:rsidRDefault="00160C70" w:rsidP="00160C70">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b/>
          <w:noProof/>
          <w:lang w:val="en-GB"/>
        </w:rPr>
      </w:pPr>
      <w:r>
        <w:rPr>
          <w:rFonts w:eastAsia="Times New Roman"/>
          <w:noProof/>
          <w:lang w:val="en-GB"/>
        </w:rPr>
        <w:t xml:space="preserve">For simple cases, users can directly request data from a single health data provider as long as the same safeguards for privacy and security are ensured. </w:t>
      </w:r>
    </w:p>
    <w:p w14:paraId="25442AD0" w14:textId="020CFA9B" w:rsidR="006110D9" w:rsidRPr="006D6293" w:rsidRDefault="00C4645A" w:rsidP="006D6293">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noProof/>
          <w:lang w:val="en-GB"/>
        </w:rPr>
      </w:pPr>
      <w:r>
        <w:rPr>
          <w:rFonts w:eastAsia="Times New Roman"/>
          <w:noProof/>
          <w:lang w:val="en-GB"/>
        </w:rPr>
        <w:t>Researchers and innovators from third countries can access data for secondary use under the same conditions and requirements</w:t>
      </w:r>
      <w:r w:rsidR="007804F6">
        <w:rPr>
          <w:rFonts w:eastAsia="Times New Roman"/>
          <w:noProof/>
          <w:lang w:val="en-GB"/>
        </w:rPr>
        <w:t xml:space="preserve"> as those from inside the EU</w:t>
      </w:r>
      <w:r>
        <w:rPr>
          <w:rFonts w:eastAsia="Times New Roman"/>
          <w:noProof/>
          <w:lang w:val="en-GB"/>
        </w:rPr>
        <w:t>.</w:t>
      </w:r>
    </w:p>
    <w:p w14:paraId="6CD81DAD" w14:textId="1410968F" w:rsidR="00560602" w:rsidRPr="007B6992" w:rsidRDefault="003B6256" w:rsidP="006D6293">
      <w:pPr>
        <w:pStyle w:val="ListParagraph"/>
        <w:numPr>
          <w:ilvl w:val="0"/>
          <w:numId w:val="50"/>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noProof/>
          <w:lang w:val="en-GB"/>
        </w:rPr>
      </w:pPr>
      <w:r>
        <w:rPr>
          <w:noProof/>
          <w:lang w:val="en-GB"/>
        </w:rPr>
        <w:t>A</w:t>
      </w:r>
      <w:r w:rsidR="00912C37" w:rsidRPr="00912C37">
        <w:rPr>
          <w:noProof/>
          <w:lang w:val="en-GB"/>
        </w:rPr>
        <w:t>ll Member States will be required to participate in</w:t>
      </w:r>
      <w:r w:rsidR="00560602" w:rsidRPr="007B6992">
        <w:rPr>
          <w:b/>
          <w:noProof/>
          <w:lang w:val="en-GB"/>
        </w:rPr>
        <w:t xml:space="preserve"> the</w:t>
      </w:r>
      <w:r w:rsidR="00560602" w:rsidRPr="007B6992">
        <w:rPr>
          <w:noProof/>
          <w:lang w:val="en-GB"/>
        </w:rPr>
        <w:t xml:space="preserve"> </w:t>
      </w:r>
      <w:r w:rsidR="00560602" w:rsidRPr="007B6992">
        <w:rPr>
          <w:b/>
          <w:noProof/>
          <w:lang w:val="en-GB"/>
        </w:rPr>
        <w:t>EU-infrastructure</w:t>
      </w:r>
      <w:r w:rsidR="00560602" w:rsidRPr="007B6992">
        <w:rPr>
          <w:noProof/>
          <w:lang w:val="en-GB"/>
        </w:rPr>
        <w:t xml:space="preserve"> for secondary use</w:t>
      </w:r>
      <w:r w:rsidR="003A0AF0">
        <w:rPr>
          <w:noProof/>
        </w:rPr>
        <w:t xml:space="preserve"> (HealthData@EU)</w:t>
      </w:r>
      <w:r w:rsidRPr="003B6256">
        <w:rPr>
          <w:noProof/>
          <w:lang w:val="en-GB"/>
        </w:rPr>
        <w:t xml:space="preserve"> </w:t>
      </w:r>
      <w:r>
        <w:rPr>
          <w:noProof/>
          <w:lang w:val="en-GB"/>
        </w:rPr>
        <w:t>t</w:t>
      </w:r>
      <w:r w:rsidRPr="007B6992">
        <w:rPr>
          <w:noProof/>
          <w:lang w:val="en-GB"/>
        </w:rPr>
        <w:t xml:space="preserve">o </w:t>
      </w:r>
      <w:r>
        <w:rPr>
          <w:noProof/>
          <w:lang w:val="en-GB"/>
        </w:rPr>
        <w:t>facilitate cross-border studies</w:t>
      </w:r>
      <w:r>
        <w:rPr>
          <w:noProof/>
        </w:rPr>
        <w:t>. This infrastructure</w:t>
      </w:r>
      <w:r w:rsidR="00560602" w:rsidRPr="007B6992">
        <w:rPr>
          <w:noProof/>
          <w:lang w:val="en-GB"/>
        </w:rPr>
        <w:t xml:space="preserve"> </w:t>
      </w:r>
      <w:r>
        <w:rPr>
          <w:noProof/>
          <w:lang w:val="en-GB"/>
        </w:rPr>
        <w:t>will be</w:t>
      </w:r>
      <w:r w:rsidR="00560602" w:rsidRPr="007B6992">
        <w:rPr>
          <w:noProof/>
          <w:lang w:val="en-GB"/>
        </w:rPr>
        <w:t xml:space="preserve"> pilot</w:t>
      </w:r>
      <w:r>
        <w:rPr>
          <w:noProof/>
          <w:lang w:val="en-GB"/>
        </w:rPr>
        <w:t xml:space="preserve">ed in a </w:t>
      </w:r>
      <w:r w:rsidRPr="007B6992">
        <w:rPr>
          <w:noProof/>
          <w:lang w:val="en-GB"/>
        </w:rPr>
        <w:t>EU4Health</w:t>
      </w:r>
      <w:r w:rsidR="00560602" w:rsidRPr="007B6992">
        <w:rPr>
          <w:noProof/>
          <w:lang w:val="en-GB"/>
        </w:rPr>
        <w:t xml:space="preserve"> project starting in 2022</w:t>
      </w:r>
      <w:r w:rsidR="00560602" w:rsidRPr="00560602">
        <w:rPr>
          <w:noProof/>
          <w:vertAlign w:val="superscript"/>
          <w:lang w:val="en-GB"/>
        </w:rPr>
        <w:footnoteReference w:id="33"/>
      </w:r>
      <w:r w:rsidR="001033E8" w:rsidRPr="007B6992">
        <w:rPr>
          <w:noProof/>
          <w:lang w:val="en-GB"/>
        </w:rPr>
        <w:t>.</w:t>
      </w:r>
      <w:r w:rsidR="009D1C05">
        <w:rPr>
          <w:noProof/>
          <w:lang w:val="en-GB"/>
        </w:rPr>
        <w:t xml:space="preserve"> </w:t>
      </w:r>
    </w:p>
    <w:p w14:paraId="39F7669E" w14:textId="4FAC2114" w:rsidR="009D1C05" w:rsidRDefault="009D1C05" w:rsidP="00CC425E">
      <w:pPr>
        <w:spacing w:before="100" w:beforeAutospacing="1" w:after="0" w:line="240" w:lineRule="auto"/>
        <w:rPr>
          <w:noProof/>
          <w:lang w:val="en-GB"/>
        </w:rPr>
      </w:pPr>
      <w:r w:rsidRPr="009D1C05">
        <w:rPr>
          <w:rFonts w:eastAsia="Times New Roman"/>
          <w:b/>
          <w:bCs/>
          <w:i/>
          <w:iCs/>
          <w:noProof/>
          <w:lang w:val="en-GB"/>
        </w:rPr>
        <w:t>A common governance</w:t>
      </w:r>
    </w:p>
    <w:p w14:paraId="63287D1C" w14:textId="1195C682" w:rsidR="001033E8" w:rsidRDefault="001033E8" w:rsidP="00CC425E">
      <w:pPr>
        <w:spacing w:before="100" w:beforeAutospacing="1" w:after="0" w:line="240" w:lineRule="auto"/>
        <w:rPr>
          <w:noProof/>
          <w:lang w:val="en-GB"/>
        </w:rPr>
      </w:pPr>
      <w:r w:rsidRPr="00CC425E">
        <w:rPr>
          <w:noProof/>
          <w:lang w:val="en-GB"/>
        </w:rPr>
        <w:t xml:space="preserve">The proposal will also reinforce the </w:t>
      </w:r>
      <w:r w:rsidR="009D1C05">
        <w:rPr>
          <w:noProof/>
          <w:lang w:val="en-GB"/>
        </w:rPr>
        <w:t xml:space="preserve">existing </w:t>
      </w:r>
      <w:r w:rsidRPr="00CC425E">
        <w:rPr>
          <w:noProof/>
          <w:lang w:val="en-GB"/>
        </w:rPr>
        <w:t>governance at national and EU level</w:t>
      </w:r>
      <w:r w:rsidR="009D1C05" w:rsidRPr="009D1C05">
        <w:rPr>
          <w:noProof/>
          <w:lang w:val="en-GB"/>
        </w:rPr>
        <w:t xml:space="preserve"> </w:t>
      </w:r>
      <w:r w:rsidR="009D1C05">
        <w:rPr>
          <w:noProof/>
          <w:lang w:val="en-GB"/>
        </w:rPr>
        <w:t>as regards health data</w:t>
      </w:r>
      <w:r w:rsidR="00BD1D61">
        <w:rPr>
          <w:noProof/>
          <w:lang w:val="en-GB"/>
        </w:rPr>
        <w:t xml:space="preserve">. </w:t>
      </w:r>
      <w:r w:rsidR="007E0CAD">
        <w:rPr>
          <w:noProof/>
          <w:lang w:val="en-GB"/>
        </w:rPr>
        <w:t>It</w:t>
      </w:r>
      <w:r w:rsidR="00BD1D61">
        <w:rPr>
          <w:noProof/>
          <w:lang w:val="en-GB"/>
        </w:rPr>
        <w:t xml:space="preserve"> builds </w:t>
      </w:r>
      <w:r>
        <w:rPr>
          <w:noProof/>
          <w:lang w:val="en-GB"/>
        </w:rPr>
        <w:t xml:space="preserve">upon </w:t>
      </w:r>
      <w:r w:rsidR="00BD1D61">
        <w:rPr>
          <w:noProof/>
          <w:lang w:val="en-GB"/>
        </w:rPr>
        <w:t xml:space="preserve">the current cooperation for primary use of data, within </w:t>
      </w:r>
      <w:r w:rsidR="00F7190E">
        <w:rPr>
          <w:noProof/>
          <w:lang w:val="en-GB"/>
        </w:rPr>
        <w:t xml:space="preserve">the </w:t>
      </w:r>
      <w:r w:rsidR="00BD1D61">
        <w:rPr>
          <w:noProof/>
          <w:lang w:val="en-GB"/>
        </w:rPr>
        <w:t xml:space="preserve">eHealth Network, which proved very </w:t>
      </w:r>
      <w:r w:rsidR="00BD1D61" w:rsidRPr="00CC425E">
        <w:rPr>
          <w:rFonts w:eastAsia="Times New Roman"/>
          <w:noProof/>
          <w:lang w:val="en-GB"/>
        </w:rPr>
        <w:t>intensive</w:t>
      </w:r>
      <w:r w:rsidR="00BD1D61">
        <w:rPr>
          <w:rStyle w:val="FootnoteReference"/>
          <w:noProof/>
          <w:lang w:val="en-GB"/>
        </w:rPr>
        <w:footnoteReference w:id="34"/>
      </w:r>
      <w:r w:rsidR="00BD1D61">
        <w:rPr>
          <w:noProof/>
          <w:lang w:val="en-GB"/>
        </w:rPr>
        <w:t>, but also effective during COVID-19 pandemic, managing to build, in a record time, two EU-wide infrastructures (EU Digital C</w:t>
      </w:r>
      <w:r w:rsidR="00F92EAD">
        <w:rPr>
          <w:noProof/>
          <w:lang w:val="en-GB"/>
        </w:rPr>
        <w:t>OVID</w:t>
      </w:r>
      <w:r w:rsidR="00BD1D61">
        <w:rPr>
          <w:noProof/>
          <w:lang w:val="en-GB"/>
        </w:rPr>
        <w:t xml:space="preserve"> Certificate and contact tracing and warning apps)</w:t>
      </w:r>
      <w:r w:rsidR="00F7190E" w:rsidRPr="00F7190E">
        <w:rPr>
          <w:rStyle w:val="FootnoteReference"/>
          <w:noProof/>
          <w:lang w:val="en-GB"/>
        </w:rPr>
        <w:t xml:space="preserve"> </w:t>
      </w:r>
      <w:r w:rsidR="00F7190E">
        <w:rPr>
          <w:rStyle w:val="FootnoteReference"/>
          <w:noProof/>
          <w:lang w:val="en-GB"/>
        </w:rPr>
        <w:footnoteReference w:id="35"/>
      </w:r>
      <w:r w:rsidR="00BD1D61">
        <w:rPr>
          <w:noProof/>
          <w:lang w:val="en-GB"/>
        </w:rPr>
        <w:t xml:space="preserve">. </w:t>
      </w:r>
    </w:p>
    <w:p w14:paraId="2354807A" w14:textId="22128CE7" w:rsidR="00F92EAD" w:rsidRDefault="00560602">
      <w:p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noProof/>
          <w:lang w:val="en-GB"/>
        </w:rPr>
      </w:pPr>
      <w:r w:rsidRPr="00560602">
        <w:rPr>
          <w:b/>
          <w:noProof/>
          <w:lang w:val="en-GB"/>
        </w:rPr>
        <w:t>EU governance mechanism</w:t>
      </w:r>
    </w:p>
    <w:p w14:paraId="7BD191F9" w14:textId="6B491D5D" w:rsidR="00F02DF3" w:rsidRPr="00E36C94" w:rsidRDefault="00F92EAD" w:rsidP="00E36C94">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noProof/>
          <w:lang w:val="en-GB"/>
        </w:rPr>
      </w:pPr>
      <w:r w:rsidRPr="00E36C94">
        <w:rPr>
          <w:rFonts w:eastAsia="Times New Roman"/>
          <w:noProof/>
          <w:lang w:val="en-GB"/>
        </w:rPr>
        <w:t>A</w:t>
      </w:r>
      <w:r w:rsidR="00FD1155" w:rsidRPr="00E36C94">
        <w:rPr>
          <w:rFonts w:eastAsia="Times New Roman"/>
          <w:noProof/>
          <w:lang w:val="en-GB"/>
        </w:rPr>
        <w:t xml:space="preserve"> new</w:t>
      </w:r>
      <w:r w:rsidR="00560602" w:rsidRPr="00E36C94">
        <w:rPr>
          <w:rFonts w:eastAsia="Times New Roman"/>
          <w:noProof/>
          <w:lang w:val="en-GB"/>
        </w:rPr>
        <w:t xml:space="preserve"> </w:t>
      </w:r>
      <w:r w:rsidR="003A0AF0" w:rsidRPr="00E36C94">
        <w:rPr>
          <w:rFonts w:eastAsia="Times New Roman"/>
          <w:noProof/>
          <w:lang w:val="en-GB"/>
        </w:rPr>
        <w:t>European Health Data Space</w:t>
      </w:r>
      <w:r w:rsidR="00560602" w:rsidRPr="00E36C94">
        <w:rPr>
          <w:rFonts w:eastAsia="Times New Roman"/>
          <w:noProof/>
          <w:lang w:val="en-GB"/>
        </w:rPr>
        <w:t xml:space="preserve"> Board</w:t>
      </w:r>
      <w:r w:rsidR="00FD1155" w:rsidRPr="00E36C94">
        <w:rPr>
          <w:rFonts w:eastAsia="Times New Roman"/>
          <w:noProof/>
          <w:lang w:val="en-GB"/>
        </w:rPr>
        <w:t xml:space="preserve"> </w:t>
      </w:r>
      <w:r w:rsidR="00121FCD">
        <w:rPr>
          <w:rFonts w:eastAsia="Times New Roman"/>
          <w:noProof/>
          <w:lang w:val="en-GB"/>
        </w:rPr>
        <w:t xml:space="preserve">chaired by the Commission </w:t>
      </w:r>
      <w:r w:rsidR="00FD1155" w:rsidRPr="00E36C94">
        <w:rPr>
          <w:rFonts w:eastAsia="Times New Roman"/>
          <w:noProof/>
          <w:lang w:val="en-GB"/>
        </w:rPr>
        <w:t>will be created</w:t>
      </w:r>
      <w:r w:rsidR="00560602" w:rsidRPr="00E36C94">
        <w:rPr>
          <w:rFonts w:eastAsia="Times New Roman"/>
          <w:noProof/>
          <w:lang w:val="en-GB"/>
        </w:rPr>
        <w:t xml:space="preserve">, </w:t>
      </w:r>
      <w:r w:rsidR="003A0AF0" w:rsidRPr="00E36C94">
        <w:rPr>
          <w:rFonts w:eastAsia="Times New Roman"/>
          <w:noProof/>
          <w:lang w:val="en-GB"/>
        </w:rPr>
        <w:t>composed of the representatives of digital health authorities and health data access bodies from all the Member States</w:t>
      </w:r>
      <w:r w:rsidR="00A50C99" w:rsidRPr="00E36C94">
        <w:rPr>
          <w:rFonts w:eastAsia="Times New Roman"/>
          <w:noProof/>
          <w:lang w:val="en-GB"/>
        </w:rPr>
        <w:t>, and observer</w:t>
      </w:r>
      <w:r w:rsidR="00FD1155" w:rsidRPr="00E36C94">
        <w:rPr>
          <w:rFonts w:eastAsia="Times New Roman"/>
          <w:noProof/>
          <w:lang w:val="en-GB"/>
        </w:rPr>
        <w:t>s</w:t>
      </w:r>
      <w:r w:rsidR="001033E8" w:rsidRPr="00E36C94">
        <w:rPr>
          <w:rFonts w:eastAsia="Times New Roman"/>
          <w:noProof/>
          <w:lang w:val="en-GB"/>
        </w:rPr>
        <w:t>, depending on area of work.</w:t>
      </w:r>
    </w:p>
    <w:p w14:paraId="31D9EC81" w14:textId="2270966F" w:rsidR="00841931" w:rsidRDefault="003A0AF0" w:rsidP="00E36C94">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noProof/>
          <w:lang w:val="en-GB"/>
        </w:rPr>
      </w:pPr>
      <w:r w:rsidRPr="00E36C94">
        <w:rPr>
          <w:rFonts w:eastAsia="Times New Roman"/>
          <w:noProof/>
          <w:lang w:val="en-GB"/>
        </w:rPr>
        <w:t xml:space="preserve">It will </w:t>
      </w:r>
      <w:r w:rsidRPr="00D077A6">
        <w:rPr>
          <w:rFonts w:eastAsia="Times New Roman"/>
          <w:noProof/>
          <w:lang w:val="en-GB"/>
        </w:rPr>
        <w:t xml:space="preserve">contribute to the consistent application </w:t>
      </w:r>
      <w:r w:rsidR="00F02DF3">
        <w:rPr>
          <w:rFonts w:eastAsia="Times New Roman"/>
          <w:noProof/>
          <w:lang w:val="en-GB"/>
        </w:rPr>
        <w:t xml:space="preserve">of the Regulation </w:t>
      </w:r>
      <w:r w:rsidRPr="00D077A6">
        <w:rPr>
          <w:rFonts w:eastAsia="Times New Roman"/>
          <w:noProof/>
          <w:lang w:val="en-GB"/>
        </w:rPr>
        <w:t xml:space="preserve">throughout the </w:t>
      </w:r>
      <w:r>
        <w:rPr>
          <w:rFonts w:eastAsia="Times New Roman"/>
          <w:noProof/>
          <w:lang w:val="en-GB"/>
        </w:rPr>
        <w:t>EU</w:t>
      </w:r>
      <w:r w:rsidRPr="00D077A6">
        <w:rPr>
          <w:rFonts w:eastAsia="Times New Roman"/>
          <w:noProof/>
          <w:lang w:val="en-GB"/>
        </w:rPr>
        <w:t xml:space="preserve">, </w:t>
      </w:r>
      <w:r w:rsidR="00121FCD">
        <w:rPr>
          <w:rFonts w:eastAsia="Times New Roman"/>
          <w:noProof/>
          <w:lang w:val="en-GB"/>
        </w:rPr>
        <w:t>to coordinate and exchange best practices</w:t>
      </w:r>
      <w:r w:rsidR="00A22236">
        <w:rPr>
          <w:rFonts w:eastAsia="Times New Roman"/>
          <w:noProof/>
          <w:lang w:val="en-GB"/>
        </w:rPr>
        <w:t xml:space="preserve"> </w:t>
      </w:r>
      <w:r w:rsidR="00A50C99">
        <w:rPr>
          <w:rFonts w:eastAsia="Times New Roman"/>
          <w:noProof/>
          <w:lang w:val="en-GB"/>
        </w:rPr>
        <w:t>and will cooperate with other bodies at EU level.</w:t>
      </w:r>
    </w:p>
    <w:p w14:paraId="1052CBD6" w14:textId="22FD679E" w:rsidR="003A0AF0" w:rsidRDefault="001033E8" w:rsidP="00E36C94">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rPr>
          <w:rFonts w:eastAsia="Times New Roman"/>
          <w:noProof/>
          <w:lang w:val="en-GB"/>
        </w:rPr>
      </w:pPr>
      <w:r>
        <w:rPr>
          <w:rFonts w:eastAsia="Times New Roman"/>
          <w:noProof/>
          <w:lang w:val="en-GB"/>
        </w:rPr>
        <w:t xml:space="preserve">Member States will cooperate at EU level </w:t>
      </w:r>
      <w:r w:rsidR="009D1C05">
        <w:rPr>
          <w:rFonts w:eastAsia="Times New Roman"/>
          <w:noProof/>
          <w:lang w:val="en-GB"/>
        </w:rPr>
        <w:t xml:space="preserve">to ensure the smooth functioning of </w:t>
      </w:r>
      <w:r>
        <w:rPr>
          <w:rFonts w:eastAsia="Times New Roman"/>
          <w:noProof/>
          <w:lang w:val="en-GB"/>
        </w:rPr>
        <w:t xml:space="preserve">the two cross-border digital infrastructures (primary and secondary). </w:t>
      </w:r>
    </w:p>
    <w:p w14:paraId="2B632627" w14:textId="7FFA1CBA" w:rsidR="002A6B95" w:rsidRDefault="003E0B7A" w:rsidP="006F1201">
      <w:pPr>
        <w:pStyle w:val="Heading1"/>
        <w:rPr>
          <w:noProof/>
        </w:rPr>
      </w:pPr>
      <w:r>
        <w:rPr>
          <w:noProof/>
          <w:lang w:val="en-GB"/>
        </w:rPr>
        <w:t xml:space="preserve"> </w:t>
      </w:r>
      <w:r w:rsidR="001C7175">
        <w:rPr>
          <w:noProof/>
        </w:rPr>
        <w:t xml:space="preserve">THE EUROPEAN HEALTH DATA SPACE </w:t>
      </w:r>
      <w:r w:rsidR="00123CC6">
        <w:rPr>
          <w:noProof/>
        </w:rPr>
        <w:t xml:space="preserve">WORKING IN SYNERGY WITH </w:t>
      </w:r>
      <w:r w:rsidR="001C7175">
        <w:rPr>
          <w:noProof/>
        </w:rPr>
        <w:t xml:space="preserve">OTHER </w:t>
      </w:r>
      <w:r w:rsidR="00123CC6">
        <w:rPr>
          <w:noProof/>
        </w:rPr>
        <w:t xml:space="preserve">HEALTH POLICY </w:t>
      </w:r>
      <w:r w:rsidR="001C7175">
        <w:rPr>
          <w:noProof/>
        </w:rPr>
        <w:t>PRIORITIES</w:t>
      </w:r>
      <w:r w:rsidR="0097389C" w:rsidRPr="004F0D42">
        <w:rPr>
          <w:noProof/>
        </w:rPr>
        <w:t xml:space="preserve">  </w:t>
      </w:r>
    </w:p>
    <w:p w14:paraId="218AB02D" w14:textId="77777777" w:rsidR="005B76BB" w:rsidRDefault="00C4645A" w:rsidP="00224AD4">
      <w:pPr>
        <w:spacing w:before="100" w:beforeAutospacing="1" w:after="100" w:afterAutospacing="1" w:line="240" w:lineRule="auto"/>
        <w:rPr>
          <w:noProof/>
          <w:lang w:val="en-GB"/>
        </w:rPr>
      </w:pPr>
      <w:r>
        <w:rPr>
          <w:noProof/>
          <w:lang w:val="en-GB"/>
        </w:rPr>
        <w:t>The European Health Data Space will become</w:t>
      </w:r>
      <w:r w:rsidRPr="00412B5F">
        <w:rPr>
          <w:noProof/>
          <w:lang w:val="en-GB"/>
        </w:rPr>
        <w:t xml:space="preserve"> a powerful instrument </w:t>
      </w:r>
      <w:r>
        <w:rPr>
          <w:noProof/>
          <w:lang w:val="en-GB"/>
        </w:rPr>
        <w:t>for sharing</w:t>
      </w:r>
      <w:r w:rsidRPr="00412B5F">
        <w:rPr>
          <w:noProof/>
          <w:lang w:val="en-GB"/>
        </w:rPr>
        <w:t xml:space="preserve"> </w:t>
      </w:r>
      <w:r w:rsidR="00A8434B">
        <w:rPr>
          <w:noProof/>
          <w:lang w:val="en-GB"/>
        </w:rPr>
        <w:t>data to support</w:t>
      </w:r>
      <w:r w:rsidRPr="00412B5F">
        <w:rPr>
          <w:noProof/>
          <w:lang w:val="en-GB"/>
        </w:rPr>
        <w:t xml:space="preserve"> tailor-made prevention and treatment protocols and expertise</w:t>
      </w:r>
      <w:r>
        <w:rPr>
          <w:noProof/>
          <w:lang w:val="en-GB"/>
        </w:rPr>
        <w:t xml:space="preserve"> across borders. Pooling large volumes of data is a prerequisite for refining our knowledge on how to address diseases</w:t>
      </w:r>
      <w:r w:rsidRPr="00412B5F">
        <w:rPr>
          <w:noProof/>
          <w:lang w:val="en-GB"/>
        </w:rPr>
        <w:t>.</w:t>
      </w:r>
      <w:r>
        <w:rPr>
          <w:noProof/>
          <w:lang w:val="en-GB"/>
        </w:rPr>
        <w:t xml:space="preserve"> </w:t>
      </w:r>
    </w:p>
    <w:p w14:paraId="15BB676F" w14:textId="35B951FA" w:rsidR="00412B5F" w:rsidRPr="00723238" w:rsidRDefault="001A4320" w:rsidP="00224AD4">
      <w:pPr>
        <w:spacing w:before="100" w:beforeAutospacing="1" w:after="100" w:afterAutospacing="1" w:line="240" w:lineRule="auto"/>
        <w:rPr>
          <w:rFonts w:eastAsia="Times New Roman"/>
          <w:noProof/>
          <w:lang w:val="en-GB"/>
        </w:rPr>
      </w:pPr>
      <w:r>
        <w:rPr>
          <w:rFonts w:eastAsia="Times New Roman"/>
          <w:noProof/>
          <w:lang w:val="en-GB"/>
        </w:rPr>
        <w:t>T</w:t>
      </w:r>
      <w:r w:rsidR="00A139DD">
        <w:rPr>
          <w:rFonts w:eastAsia="Times New Roman"/>
          <w:noProof/>
          <w:lang w:val="en-GB"/>
        </w:rPr>
        <w:t xml:space="preserve">he European Health Data Space </w:t>
      </w:r>
      <w:r w:rsidR="00412B5F">
        <w:rPr>
          <w:rFonts w:eastAsia="Times New Roman"/>
          <w:noProof/>
          <w:lang w:val="en-GB"/>
        </w:rPr>
        <w:t xml:space="preserve">will boost </w:t>
      </w:r>
      <w:r w:rsidR="00D632BE">
        <w:rPr>
          <w:rFonts w:eastAsia="Times New Roman"/>
          <w:noProof/>
          <w:lang w:val="en-GB"/>
        </w:rPr>
        <w:t>the work</w:t>
      </w:r>
      <w:r w:rsidR="00B4066F">
        <w:rPr>
          <w:rFonts w:eastAsia="Times New Roman"/>
          <w:noProof/>
          <w:lang w:val="en-GB"/>
        </w:rPr>
        <w:t xml:space="preserve"> under</w:t>
      </w:r>
      <w:r w:rsidR="00412B5F" w:rsidRPr="00F41B43">
        <w:rPr>
          <w:rFonts w:eastAsia="Times New Roman"/>
          <w:noProof/>
          <w:lang w:val="en-GB"/>
        </w:rPr>
        <w:t xml:space="preserve"> </w:t>
      </w:r>
      <w:r w:rsidR="00647B0E" w:rsidRPr="009F159B">
        <w:rPr>
          <w:rFonts w:eastAsia="Times New Roman"/>
          <w:b/>
          <w:noProof/>
          <w:lang w:val="en-GB"/>
        </w:rPr>
        <w:t>Europe’s Beating Cancer Plan</w:t>
      </w:r>
      <w:r w:rsidR="00CB0917">
        <w:rPr>
          <w:rStyle w:val="FootnoteReference"/>
          <w:rFonts w:eastAsia="Times New Roman"/>
          <w:noProof/>
          <w:lang w:val="en-GB"/>
        </w:rPr>
        <w:footnoteReference w:id="36"/>
      </w:r>
      <w:r w:rsidR="00224AD4">
        <w:rPr>
          <w:rFonts w:eastAsia="Times New Roman"/>
          <w:noProof/>
          <w:lang w:val="en-GB"/>
        </w:rPr>
        <w:t xml:space="preserve"> </w:t>
      </w:r>
      <w:r w:rsidR="0011752A" w:rsidRPr="00185EFB">
        <w:rPr>
          <w:rFonts w:eastAsia="Times New Roman"/>
          <w:noProof/>
          <w:lang w:val="en-GB"/>
        </w:rPr>
        <w:t>and facilitate research and evidence gathering under the Horizon Europe Cancer Mission</w:t>
      </w:r>
      <w:r w:rsidR="0011752A" w:rsidRPr="00185EFB">
        <w:rPr>
          <w:rStyle w:val="FootnoteReference"/>
          <w:rFonts w:eastAsia="Times New Roman"/>
          <w:noProof/>
          <w:lang w:val="en-GB"/>
        </w:rPr>
        <w:footnoteReference w:id="37"/>
      </w:r>
      <w:r w:rsidR="0011752A" w:rsidRPr="00185EFB">
        <w:rPr>
          <w:rFonts w:eastAsia="Times New Roman"/>
          <w:noProof/>
          <w:lang w:val="en-GB"/>
        </w:rPr>
        <w:t xml:space="preserve">. </w:t>
      </w:r>
      <w:r w:rsidR="00403D06" w:rsidRPr="00185EFB">
        <w:rPr>
          <w:noProof/>
          <w:lang w:val="en-GB"/>
        </w:rPr>
        <w:t>P</w:t>
      </w:r>
      <w:r w:rsidR="00412B5F" w:rsidRPr="00185EFB">
        <w:rPr>
          <w:noProof/>
          <w:lang w:val="en-GB"/>
        </w:rPr>
        <w:t>ooling and sharing know</w:t>
      </w:r>
      <w:r w:rsidR="00403D06" w:rsidRPr="00185EFB">
        <w:rPr>
          <w:noProof/>
          <w:lang w:val="en-GB"/>
        </w:rPr>
        <w:t>ledge</w:t>
      </w:r>
      <w:r w:rsidR="00403D06">
        <w:rPr>
          <w:noProof/>
          <w:lang w:val="en-GB"/>
        </w:rPr>
        <w:t>, experience</w:t>
      </w:r>
      <w:r w:rsidR="00412B5F" w:rsidRPr="00412B5F">
        <w:rPr>
          <w:noProof/>
          <w:lang w:val="en-GB"/>
        </w:rPr>
        <w:t xml:space="preserve"> and data </w:t>
      </w:r>
      <w:r w:rsidR="00D632BE">
        <w:rPr>
          <w:noProof/>
          <w:lang w:val="en-GB"/>
        </w:rPr>
        <w:t>helps</w:t>
      </w:r>
      <w:r w:rsidR="007B1BB8" w:rsidRPr="00412B5F">
        <w:rPr>
          <w:noProof/>
          <w:lang w:val="en-GB"/>
        </w:rPr>
        <w:t xml:space="preserve"> </w:t>
      </w:r>
      <w:r w:rsidR="00D632BE">
        <w:rPr>
          <w:noProof/>
          <w:lang w:val="en-GB"/>
        </w:rPr>
        <w:t>develop</w:t>
      </w:r>
      <w:r w:rsidR="00403D06">
        <w:rPr>
          <w:noProof/>
          <w:lang w:val="en-GB"/>
        </w:rPr>
        <w:t xml:space="preserve"> </w:t>
      </w:r>
      <w:r w:rsidR="00D632BE">
        <w:rPr>
          <w:noProof/>
          <w:lang w:val="en-GB"/>
        </w:rPr>
        <w:t>practical</w:t>
      </w:r>
      <w:r w:rsidR="00403D06">
        <w:rPr>
          <w:noProof/>
          <w:lang w:val="en-GB"/>
        </w:rPr>
        <w:t xml:space="preserve"> solutions to</w:t>
      </w:r>
      <w:r w:rsidR="00412B5F" w:rsidRPr="00412B5F">
        <w:rPr>
          <w:noProof/>
          <w:lang w:val="en-GB"/>
        </w:rPr>
        <w:t xml:space="preserve"> benefit </w:t>
      </w:r>
      <w:r w:rsidR="00C30481">
        <w:rPr>
          <w:noProof/>
          <w:lang w:val="en-GB"/>
        </w:rPr>
        <w:t xml:space="preserve">cancer patients – </w:t>
      </w:r>
      <w:r w:rsidR="00403D06">
        <w:rPr>
          <w:noProof/>
          <w:lang w:val="en-GB"/>
        </w:rPr>
        <w:t>and, indeed</w:t>
      </w:r>
      <w:r w:rsidR="00C30481">
        <w:rPr>
          <w:noProof/>
          <w:lang w:val="en-GB"/>
        </w:rPr>
        <w:t>,</w:t>
      </w:r>
      <w:r w:rsidR="00403D06">
        <w:rPr>
          <w:noProof/>
          <w:lang w:val="en-GB"/>
        </w:rPr>
        <w:t xml:space="preserve"> </w:t>
      </w:r>
      <w:r w:rsidR="00D632BE">
        <w:rPr>
          <w:noProof/>
          <w:lang w:val="en-GB"/>
        </w:rPr>
        <w:t>everyone in the EU</w:t>
      </w:r>
      <w:r w:rsidR="00412B5F" w:rsidRPr="00412B5F">
        <w:rPr>
          <w:noProof/>
          <w:lang w:val="en-GB"/>
        </w:rPr>
        <w:t xml:space="preserve">. </w:t>
      </w:r>
    </w:p>
    <w:p w14:paraId="517BC8D1" w14:textId="77777777" w:rsidR="00412B5F" w:rsidRPr="00412B5F" w:rsidRDefault="00412B5F" w:rsidP="00412B5F">
      <w:pPr>
        <w:spacing w:before="100" w:beforeAutospacing="1" w:after="100" w:afterAutospacing="1" w:line="240" w:lineRule="auto"/>
        <w:rPr>
          <w:noProof/>
          <w:lang w:val="en-GB"/>
        </w:rPr>
      </w:pPr>
      <w:r w:rsidRPr="00412B5F">
        <w:rPr>
          <w:noProof/>
          <w:lang w:val="en-GB"/>
        </w:rPr>
        <w:t xml:space="preserve">The </w:t>
      </w:r>
      <w:r w:rsidR="008D6285">
        <w:rPr>
          <w:noProof/>
          <w:lang w:val="en-GB"/>
        </w:rPr>
        <w:t xml:space="preserve">European </w:t>
      </w:r>
      <w:r w:rsidR="000032D8">
        <w:rPr>
          <w:noProof/>
          <w:lang w:val="en-GB"/>
        </w:rPr>
        <w:t xml:space="preserve">Health </w:t>
      </w:r>
      <w:r w:rsidR="001949F4">
        <w:rPr>
          <w:noProof/>
          <w:lang w:val="en-GB"/>
        </w:rPr>
        <w:t>Data Space</w:t>
      </w:r>
      <w:r w:rsidRPr="00412B5F">
        <w:rPr>
          <w:noProof/>
          <w:lang w:val="en-GB"/>
        </w:rPr>
        <w:t xml:space="preserve"> will open </w:t>
      </w:r>
      <w:r w:rsidR="001949F4">
        <w:rPr>
          <w:noProof/>
          <w:lang w:val="en-GB"/>
        </w:rPr>
        <w:t xml:space="preserve">up </w:t>
      </w:r>
      <w:r w:rsidRPr="00412B5F">
        <w:rPr>
          <w:noProof/>
          <w:lang w:val="en-GB"/>
        </w:rPr>
        <w:t xml:space="preserve">innovative approaches </w:t>
      </w:r>
      <w:r w:rsidR="008D6285">
        <w:rPr>
          <w:noProof/>
          <w:lang w:val="en-GB"/>
        </w:rPr>
        <w:t>to</w:t>
      </w:r>
      <w:r w:rsidRPr="00412B5F">
        <w:rPr>
          <w:noProof/>
          <w:lang w:val="en-GB"/>
        </w:rPr>
        <w:t xml:space="preserve"> cancer registration, with potential </w:t>
      </w:r>
      <w:r w:rsidR="001949F4">
        <w:rPr>
          <w:noProof/>
          <w:lang w:val="en-GB"/>
        </w:rPr>
        <w:t xml:space="preserve">alternatives to </w:t>
      </w:r>
      <w:r w:rsidR="008D6285">
        <w:rPr>
          <w:noProof/>
          <w:lang w:val="en-GB"/>
        </w:rPr>
        <w:t xml:space="preserve">gather </w:t>
      </w:r>
      <w:r w:rsidRPr="00412B5F">
        <w:rPr>
          <w:noProof/>
          <w:lang w:val="en-GB"/>
        </w:rPr>
        <w:t>timely, geo</w:t>
      </w:r>
      <w:r w:rsidR="001949F4">
        <w:rPr>
          <w:noProof/>
          <w:lang w:val="en-GB"/>
        </w:rPr>
        <w:t>-</w:t>
      </w:r>
      <w:r w:rsidRPr="00412B5F">
        <w:rPr>
          <w:noProof/>
          <w:lang w:val="en-GB"/>
        </w:rPr>
        <w:t>localised informatio</w:t>
      </w:r>
      <w:r w:rsidR="001949F4">
        <w:rPr>
          <w:noProof/>
          <w:lang w:val="en-GB"/>
        </w:rPr>
        <w:t xml:space="preserve">n </w:t>
      </w:r>
      <w:r w:rsidR="008D6285">
        <w:rPr>
          <w:noProof/>
          <w:lang w:val="en-GB"/>
        </w:rPr>
        <w:t>on various</w:t>
      </w:r>
      <w:r w:rsidR="001949F4">
        <w:rPr>
          <w:noProof/>
          <w:lang w:val="en-GB"/>
        </w:rPr>
        <w:t xml:space="preserve"> types of cancers</w:t>
      </w:r>
      <w:r w:rsidRPr="00412B5F">
        <w:rPr>
          <w:noProof/>
          <w:lang w:val="en-GB"/>
        </w:rPr>
        <w:t xml:space="preserve">. This </w:t>
      </w:r>
      <w:r w:rsidR="001949F4">
        <w:rPr>
          <w:noProof/>
          <w:lang w:val="en-GB"/>
        </w:rPr>
        <w:t>could provide</w:t>
      </w:r>
      <w:r w:rsidRPr="00412B5F">
        <w:rPr>
          <w:noProof/>
          <w:lang w:val="en-GB"/>
        </w:rPr>
        <w:t xml:space="preserve"> </w:t>
      </w:r>
      <w:r w:rsidRPr="00136FDC">
        <w:rPr>
          <w:b/>
          <w:noProof/>
          <w:lang w:val="en-GB"/>
        </w:rPr>
        <w:t>a real-time state of play of cancers across the EU</w:t>
      </w:r>
      <w:r w:rsidR="001949F4">
        <w:rPr>
          <w:noProof/>
          <w:lang w:val="en-GB"/>
        </w:rPr>
        <w:t>. At the same time</w:t>
      </w:r>
      <w:r w:rsidRPr="00412B5F">
        <w:rPr>
          <w:noProof/>
          <w:lang w:val="en-GB"/>
        </w:rPr>
        <w:t xml:space="preserve">, </w:t>
      </w:r>
      <w:r w:rsidR="001949F4">
        <w:rPr>
          <w:noProof/>
          <w:lang w:val="en-GB"/>
        </w:rPr>
        <w:t>it could</w:t>
      </w:r>
      <w:r w:rsidRPr="00412B5F">
        <w:rPr>
          <w:noProof/>
          <w:lang w:val="en-GB"/>
        </w:rPr>
        <w:t xml:space="preserve"> identify </w:t>
      </w:r>
      <w:r w:rsidRPr="00136FDC">
        <w:rPr>
          <w:b/>
          <w:noProof/>
          <w:lang w:val="en-GB"/>
        </w:rPr>
        <w:t>trends, disparities and inequalities</w:t>
      </w:r>
      <w:r w:rsidRPr="00412B5F">
        <w:rPr>
          <w:noProof/>
          <w:lang w:val="en-GB"/>
        </w:rPr>
        <w:t xml:space="preserve"> between Member States and regions</w:t>
      </w:r>
      <w:r w:rsidR="001949F4">
        <w:rPr>
          <w:noProof/>
          <w:lang w:val="en-GB"/>
        </w:rPr>
        <w:t>. Importantly</w:t>
      </w:r>
      <w:r w:rsidRPr="00412B5F">
        <w:rPr>
          <w:noProof/>
          <w:lang w:val="en-GB"/>
        </w:rPr>
        <w:t xml:space="preserve">, </w:t>
      </w:r>
      <w:r w:rsidR="001949F4">
        <w:rPr>
          <w:noProof/>
          <w:lang w:val="en-GB"/>
        </w:rPr>
        <w:t xml:space="preserve">this could make it easier to spot the </w:t>
      </w:r>
      <w:r w:rsidRPr="00412B5F">
        <w:rPr>
          <w:noProof/>
          <w:lang w:val="en-GB"/>
        </w:rPr>
        <w:t xml:space="preserve">challenges and specific areas of action </w:t>
      </w:r>
      <w:r w:rsidR="001949F4" w:rsidRPr="00E61B29">
        <w:rPr>
          <w:noProof/>
          <w:lang w:val="en-GB"/>
        </w:rPr>
        <w:t xml:space="preserve">needing investment and </w:t>
      </w:r>
      <w:r w:rsidR="008D6285" w:rsidRPr="00E61B29">
        <w:rPr>
          <w:noProof/>
          <w:lang w:val="en-GB"/>
        </w:rPr>
        <w:t>other action</w:t>
      </w:r>
      <w:r w:rsidRPr="00412B5F">
        <w:rPr>
          <w:noProof/>
          <w:lang w:val="en-GB"/>
        </w:rPr>
        <w:t xml:space="preserve"> at EU, national and regional level. </w:t>
      </w:r>
    </w:p>
    <w:p w14:paraId="14D3DC4F" w14:textId="51B8EC40" w:rsidR="00412B5F" w:rsidRPr="00412B5F" w:rsidRDefault="001949F4" w:rsidP="00412B5F">
      <w:pPr>
        <w:spacing w:before="100" w:beforeAutospacing="1" w:after="100" w:afterAutospacing="1" w:line="240" w:lineRule="auto"/>
        <w:rPr>
          <w:noProof/>
          <w:lang w:val="en-GB"/>
        </w:rPr>
      </w:pPr>
      <w:r>
        <w:rPr>
          <w:noProof/>
          <w:lang w:val="en-GB"/>
        </w:rPr>
        <w:t>With better</w:t>
      </w:r>
      <w:r w:rsidR="00412B5F" w:rsidRPr="00412B5F">
        <w:rPr>
          <w:noProof/>
          <w:lang w:val="en-GB"/>
        </w:rPr>
        <w:t xml:space="preserve"> </w:t>
      </w:r>
      <w:r w:rsidR="00412B5F" w:rsidRPr="008E71FD">
        <w:rPr>
          <w:b/>
          <w:noProof/>
          <w:lang w:val="en-GB"/>
        </w:rPr>
        <w:t>telemedicine</w:t>
      </w:r>
      <w:r w:rsidR="00412B5F" w:rsidRPr="00412B5F">
        <w:rPr>
          <w:noProof/>
          <w:lang w:val="en-GB"/>
        </w:rPr>
        <w:t xml:space="preserve"> and remote monitoring tools</w:t>
      </w:r>
      <w:r>
        <w:rPr>
          <w:noProof/>
          <w:lang w:val="en-GB"/>
        </w:rPr>
        <w:t xml:space="preserve"> in the </w:t>
      </w:r>
      <w:r w:rsidR="008D6285">
        <w:rPr>
          <w:noProof/>
          <w:lang w:val="en-GB"/>
        </w:rPr>
        <w:t xml:space="preserve">European </w:t>
      </w:r>
      <w:r w:rsidR="000032D8">
        <w:rPr>
          <w:noProof/>
          <w:lang w:val="en-GB"/>
        </w:rPr>
        <w:t xml:space="preserve">Health </w:t>
      </w:r>
      <w:r>
        <w:rPr>
          <w:noProof/>
          <w:lang w:val="en-GB"/>
        </w:rPr>
        <w:t>Data Space</w:t>
      </w:r>
      <w:r w:rsidR="005D6BFC">
        <w:rPr>
          <w:noProof/>
          <w:lang w:val="en-GB"/>
        </w:rPr>
        <w:t>,</w:t>
      </w:r>
      <w:r w:rsidR="00D73C80">
        <w:rPr>
          <w:noProof/>
          <w:lang w:val="en-GB"/>
        </w:rPr>
        <w:t xml:space="preserve"> we </w:t>
      </w:r>
      <w:r w:rsidR="003D39C7">
        <w:rPr>
          <w:noProof/>
          <w:lang w:val="en-GB"/>
        </w:rPr>
        <w:t xml:space="preserve">can </w:t>
      </w:r>
      <w:r w:rsidR="008D6285">
        <w:rPr>
          <w:noProof/>
          <w:lang w:val="en-GB"/>
        </w:rPr>
        <w:t>make the most of</w:t>
      </w:r>
      <w:r w:rsidR="00D73C80">
        <w:rPr>
          <w:noProof/>
          <w:lang w:val="en-GB"/>
        </w:rPr>
        <w:t xml:space="preserve"> </w:t>
      </w:r>
      <w:r w:rsidR="00412B5F" w:rsidRPr="00412B5F">
        <w:rPr>
          <w:noProof/>
          <w:lang w:val="en-GB"/>
        </w:rPr>
        <w:t>virtual medical consultations, training and continuous education</w:t>
      </w:r>
      <w:r w:rsidR="00464F13">
        <w:rPr>
          <w:noProof/>
          <w:lang w:val="en-GB"/>
        </w:rPr>
        <w:t xml:space="preserve">. This </w:t>
      </w:r>
      <w:r w:rsidR="003D39C7">
        <w:rPr>
          <w:noProof/>
          <w:lang w:val="en-GB"/>
        </w:rPr>
        <w:t xml:space="preserve">will </w:t>
      </w:r>
      <w:r w:rsidR="00464F13">
        <w:rPr>
          <w:noProof/>
          <w:lang w:val="en-GB"/>
        </w:rPr>
        <w:t>help</w:t>
      </w:r>
      <w:r w:rsidR="00C02C7D">
        <w:rPr>
          <w:noProof/>
          <w:lang w:val="en-GB"/>
        </w:rPr>
        <w:t xml:space="preserve"> </w:t>
      </w:r>
      <w:r w:rsidR="00A50C99">
        <w:rPr>
          <w:noProof/>
          <w:lang w:val="en-GB"/>
        </w:rPr>
        <w:t xml:space="preserve">pool expertise for diagnosis and treatment, building on the </w:t>
      </w:r>
      <w:r w:rsidR="004621EC">
        <w:rPr>
          <w:noProof/>
          <w:lang w:val="en-GB"/>
        </w:rPr>
        <w:t>European Reference Networks</w:t>
      </w:r>
      <w:r w:rsidR="003D39C7" w:rsidRPr="003D39C7">
        <w:rPr>
          <w:noProof/>
          <w:lang w:val="en-GB"/>
        </w:rPr>
        <w:t xml:space="preserve"> </w:t>
      </w:r>
      <w:r w:rsidR="003D39C7">
        <w:rPr>
          <w:noProof/>
          <w:lang w:val="en-GB"/>
        </w:rPr>
        <w:t>model</w:t>
      </w:r>
      <w:r w:rsidR="00A50C99">
        <w:rPr>
          <w:rStyle w:val="FootnoteReference"/>
          <w:noProof/>
          <w:lang w:val="en-GB"/>
        </w:rPr>
        <w:footnoteReference w:id="38"/>
      </w:r>
      <w:r w:rsidR="00A50C99">
        <w:rPr>
          <w:noProof/>
          <w:lang w:val="en-GB"/>
        </w:rPr>
        <w:t xml:space="preserve">. It </w:t>
      </w:r>
      <w:r w:rsidR="003D39C7">
        <w:rPr>
          <w:noProof/>
          <w:lang w:val="en-GB"/>
        </w:rPr>
        <w:t xml:space="preserve">will </w:t>
      </w:r>
      <w:r w:rsidR="00A50C99">
        <w:rPr>
          <w:noProof/>
          <w:lang w:val="en-GB"/>
        </w:rPr>
        <w:t>also m</w:t>
      </w:r>
      <w:r w:rsidR="00D73C80">
        <w:rPr>
          <w:noProof/>
          <w:lang w:val="en-GB"/>
        </w:rPr>
        <w:t>ake</w:t>
      </w:r>
      <w:r w:rsidR="00412B5F" w:rsidRPr="00412B5F">
        <w:rPr>
          <w:noProof/>
          <w:lang w:val="en-GB"/>
        </w:rPr>
        <w:t xml:space="preserve"> </w:t>
      </w:r>
      <w:r w:rsidR="00412B5F" w:rsidRPr="00136FDC">
        <w:rPr>
          <w:b/>
          <w:noProof/>
          <w:lang w:val="en-GB"/>
        </w:rPr>
        <w:t>cancer screening and care</w:t>
      </w:r>
      <w:r w:rsidR="00D73C80">
        <w:rPr>
          <w:noProof/>
          <w:lang w:val="en-GB"/>
        </w:rPr>
        <w:t xml:space="preserve"> more</w:t>
      </w:r>
      <w:r w:rsidR="004463DC">
        <w:rPr>
          <w:noProof/>
          <w:lang w:val="en-GB"/>
        </w:rPr>
        <w:t xml:space="preserve"> targeted, more</w:t>
      </w:r>
      <w:r w:rsidR="00D73C80">
        <w:rPr>
          <w:noProof/>
          <w:lang w:val="en-GB"/>
        </w:rPr>
        <w:t xml:space="preserve"> effective and accessible.</w:t>
      </w:r>
      <w:r w:rsidR="003D50E4">
        <w:rPr>
          <w:noProof/>
          <w:lang w:val="en-GB"/>
        </w:rPr>
        <w:t xml:space="preserve"> </w:t>
      </w:r>
    </w:p>
    <w:p w14:paraId="1EB78922" w14:textId="21F67C46" w:rsidR="00765B89" w:rsidRDefault="00A35DBB" w:rsidP="00412B5F">
      <w:pPr>
        <w:spacing w:before="100" w:beforeAutospacing="1" w:after="100" w:afterAutospacing="1" w:line="240" w:lineRule="auto"/>
        <w:rPr>
          <w:rFonts w:eastAsia="Times New Roman"/>
          <w:noProof/>
          <w:lang w:val="en-GB"/>
        </w:rPr>
      </w:pPr>
      <w:r>
        <w:rPr>
          <w:rFonts w:eastAsia="Times New Roman"/>
          <w:noProof/>
          <w:lang w:val="en-GB"/>
        </w:rPr>
        <w:t xml:space="preserve">The </w:t>
      </w:r>
      <w:r w:rsidR="00CC20B3">
        <w:rPr>
          <w:rFonts w:eastAsia="Times New Roman"/>
          <w:noProof/>
          <w:lang w:val="en-GB"/>
        </w:rPr>
        <w:t xml:space="preserve">European </w:t>
      </w:r>
      <w:r w:rsidR="000032D8">
        <w:rPr>
          <w:noProof/>
          <w:lang w:val="en-GB"/>
        </w:rPr>
        <w:t xml:space="preserve">Health </w:t>
      </w:r>
      <w:r>
        <w:rPr>
          <w:rFonts w:eastAsia="Times New Roman"/>
          <w:noProof/>
          <w:lang w:val="en-GB"/>
        </w:rPr>
        <w:t xml:space="preserve">Data Space </w:t>
      </w:r>
      <w:r w:rsidRPr="00F41B43" w:rsidDel="00023A5E">
        <w:rPr>
          <w:noProof/>
          <w:lang w:val="en-GB"/>
        </w:rPr>
        <w:t xml:space="preserve">will </w:t>
      </w:r>
      <w:r w:rsidR="00473B7E">
        <w:rPr>
          <w:noProof/>
          <w:lang w:val="en-GB"/>
        </w:rPr>
        <w:t>open</w:t>
      </w:r>
      <w:r>
        <w:rPr>
          <w:noProof/>
          <w:lang w:val="en-GB"/>
        </w:rPr>
        <w:t xml:space="preserve"> new </w:t>
      </w:r>
      <w:r w:rsidRPr="009C4F79">
        <w:rPr>
          <w:noProof/>
          <w:lang w:val="en-GB"/>
        </w:rPr>
        <w:t xml:space="preserve">opportunities for </w:t>
      </w:r>
      <w:r w:rsidRPr="009C4F79" w:rsidDel="00023A5E">
        <w:rPr>
          <w:noProof/>
          <w:lang w:val="en-GB"/>
        </w:rPr>
        <w:t xml:space="preserve">health data </w:t>
      </w:r>
      <w:r w:rsidRPr="009C4F79">
        <w:rPr>
          <w:noProof/>
          <w:lang w:val="en-GB"/>
        </w:rPr>
        <w:t>to make a</w:t>
      </w:r>
      <w:r w:rsidRPr="009C4F79" w:rsidDel="00023A5E">
        <w:rPr>
          <w:noProof/>
          <w:lang w:val="en-GB"/>
        </w:rPr>
        <w:t xml:space="preserve"> vital </w:t>
      </w:r>
      <w:r w:rsidRPr="009C4F79">
        <w:rPr>
          <w:noProof/>
          <w:lang w:val="en-GB"/>
        </w:rPr>
        <w:t xml:space="preserve">contribution to </w:t>
      </w:r>
      <w:r w:rsidRPr="009C4F79" w:rsidDel="00023A5E">
        <w:rPr>
          <w:noProof/>
          <w:lang w:val="en-GB"/>
        </w:rPr>
        <w:t xml:space="preserve">innovation and research </w:t>
      </w:r>
      <w:r w:rsidRPr="00F76802">
        <w:rPr>
          <w:noProof/>
          <w:lang w:val="en-GB"/>
        </w:rPr>
        <w:t xml:space="preserve">in </w:t>
      </w:r>
      <w:r w:rsidRPr="00F76802" w:rsidDel="00023A5E">
        <w:rPr>
          <w:noProof/>
          <w:lang w:val="en-GB"/>
        </w:rPr>
        <w:t>medicines and treatments</w:t>
      </w:r>
      <w:r w:rsidRPr="00F76802">
        <w:rPr>
          <w:noProof/>
          <w:lang w:val="en-GB"/>
        </w:rPr>
        <w:t>,</w:t>
      </w:r>
      <w:r w:rsidRPr="00F76802" w:rsidDel="00023A5E">
        <w:rPr>
          <w:noProof/>
          <w:lang w:val="en-GB"/>
        </w:rPr>
        <w:t xml:space="preserve"> </w:t>
      </w:r>
      <w:r w:rsidRPr="00F76802">
        <w:rPr>
          <w:noProof/>
          <w:lang w:val="en-GB"/>
        </w:rPr>
        <w:t>thereby promoting</w:t>
      </w:r>
      <w:r w:rsidRPr="00F76802" w:rsidDel="00023A5E">
        <w:rPr>
          <w:noProof/>
          <w:lang w:val="en-GB"/>
        </w:rPr>
        <w:t xml:space="preserve"> the development of new therapies and medicinal products.</w:t>
      </w:r>
      <w:r w:rsidRPr="00F76802">
        <w:rPr>
          <w:noProof/>
          <w:lang w:val="en-GB"/>
        </w:rPr>
        <w:t xml:space="preserve"> This will </w:t>
      </w:r>
      <w:r w:rsidRPr="009C4F79">
        <w:rPr>
          <w:noProof/>
          <w:lang w:val="en-GB"/>
        </w:rPr>
        <w:t xml:space="preserve">help </w:t>
      </w:r>
      <w:r w:rsidR="003D39C7">
        <w:rPr>
          <w:noProof/>
          <w:lang w:val="en-GB"/>
        </w:rPr>
        <w:t xml:space="preserve">meet </w:t>
      </w:r>
      <w:r w:rsidR="00B03388" w:rsidRPr="009C4F79">
        <w:rPr>
          <w:noProof/>
          <w:lang w:val="en-GB"/>
        </w:rPr>
        <w:t xml:space="preserve">the aims of </w:t>
      </w:r>
      <w:r w:rsidR="00E17F1D" w:rsidRPr="009C4F79">
        <w:rPr>
          <w:rFonts w:eastAsia="Times New Roman"/>
          <w:noProof/>
          <w:lang w:val="en-GB"/>
        </w:rPr>
        <w:t xml:space="preserve">the </w:t>
      </w:r>
      <w:r w:rsidR="00647B0E" w:rsidRPr="009C4F79">
        <w:rPr>
          <w:rFonts w:eastAsia="Times New Roman"/>
          <w:b/>
          <w:noProof/>
          <w:lang w:val="en-GB"/>
        </w:rPr>
        <w:t>Pharmaceutical Strategy for Europe</w:t>
      </w:r>
      <w:r w:rsidR="00647B0E" w:rsidRPr="009C4F79">
        <w:rPr>
          <w:rFonts w:eastAsia="Times New Roman"/>
          <w:noProof/>
          <w:vertAlign w:val="superscript"/>
          <w:lang w:val="en-GB"/>
        </w:rPr>
        <w:footnoteReference w:id="39"/>
      </w:r>
      <w:r w:rsidR="00647B0E" w:rsidRPr="009C4F79">
        <w:rPr>
          <w:rFonts w:eastAsia="Times New Roman"/>
          <w:noProof/>
          <w:lang w:val="en-GB"/>
        </w:rPr>
        <w:t xml:space="preserve"> and </w:t>
      </w:r>
      <w:r w:rsidR="00E17F1D" w:rsidRPr="009C4F79">
        <w:rPr>
          <w:rFonts w:eastAsia="Times New Roman"/>
          <w:noProof/>
          <w:lang w:val="en-GB"/>
        </w:rPr>
        <w:t>the</w:t>
      </w:r>
      <w:r w:rsidR="005B76BB">
        <w:rPr>
          <w:rFonts w:eastAsia="Times New Roman"/>
          <w:noProof/>
          <w:lang w:val="en-GB"/>
        </w:rPr>
        <w:t xml:space="preserve"> mandate of the</w:t>
      </w:r>
      <w:r w:rsidR="00E17F1D" w:rsidRPr="009C4F79">
        <w:rPr>
          <w:rFonts w:eastAsia="Times New Roman"/>
          <w:noProof/>
          <w:lang w:val="en-GB"/>
        </w:rPr>
        <w:t xml:space="preserve"> </w:t>
      </w:r>
      <w:r w:rsidR="00647B0E" w:rsidRPr="009C4F79">
        <w:rPr>
          <w:rFonts w:eastAsia="Times New Roman"/>
          <w:noProof/>
          <w:lang w:val="en-GB"/>
        </w:rPr>
        <w:t xml:space="preserve">European Health Emergency Preparedness and Response </w:t>
      </w:r>
      <w:r w:rsidR="003D39C7">
        <w:rPr>
          <w:rFonts w:eastAsia="Times New Roman"/>
          <w:noProof/>
          <w:lang w:val="en-GB"/>
        </w:rPr>
        <w:t xml:space="preserve">Authority </w:t>
      </w:r>
      <w:r w:rsidR="00647B0E" w:rsidRPr="009C4F79">
        <w:rPr>
          <w:rFonts w:eastAsia="Times New Roman"/>
          <w:noProof/>
          <w:lang w:val="en-GB"/>
        </w:rPr>
        <w:t>(HERA</w:t>
      </w:r>
      <w:r w:rsidR="008C437B" w:rsidRPr="009C4F79">
        <w:rPr>
          <w:rFonts w:eastAsia="Times New Roman"/>
          <w:noProof/>
          <w:lang w:val="en-GB"/>
        </w:rPr>
        <w:t>)</w:t>
      </w:r>
      <w:r w:rsidR="00647B0E" w:rsidRPr="009C4F79">
        <w:rPr>
          <w:rFonts w:eastAsia="Times New Roman"/>
          <w:noProof/>
          <w:lang w:val="en-GB"/>
        </w:rPr>
        <w:t xml:space="preserve">. </w:t>
      </w:r>
    </w:p>
    <w:p w14:paraId="0214AD4E" w14:textId="6F4766F2" w:rsidR="00647B0E" w:rsidRDefault="00647B0E" w:rsidP="00412B5F">
      <w:pPr>
        <w:spacing w:before="100" w:beforeAutospacing="1" w:after="100" w:afterAutospacing="1" w:line="240" w:lineRule="auto"/>
        <w:rPr>
          <w:rFonts w:eastAsia="Times New Roman"/>
          <w:noProof/>
          <w:lang w:val="en-GB"/>
        </w:rPr>
      </w:pPr>
      <w:r w:rsidRPr="009C4F79">
        <w:rPr>
          <w:rFonts w:eastAsia="Times New Roman"/>
          <w:noProof/>
          <w:lang w:val="en-GB"/>
        </w:rPr>
        <w:t xml:space="preserve">Moreover, the </w:t>
      </w:r>
      <w:r w:rsidR="00CC20B3">
        <w:rPr>
          <w:rFonts w:eastAsia="Times New Roman"/>
          <w:noProof/>
          <w:lang w:val="en-GB"/>
        </w:rPr>
        <w:t xml:space="preserve">European </w:t>
      </w:r>
      <w:r w:rsidR="000032D8" w:rsidRPr="009C4F79">
        <w:rPr>
          <w:noProof/>
          <w:lang w:val="en-GB"/>
        </w:rPr>
        <w:t xml:space="preserve">Health </w:t>
      </w:r>
      <w:r w:rsidR="008355B0" w:rsidRPr="009C4F79">
        <w:rPr>
          <w:rFonts w:eastAsia="Times New Roman"/>
          <w:noProof/>
          <w:lang w:val="en-GB"/>
        </w:rPr>
        <w:t>Data Space</w:t>
      </w:r>
      <w:r w:rsidRPr="009C4F79">
        <w:rPr>
          <w:rFonts w:eastAsia="Times New Roman"/>
          <w:noProof/>
          <w:lang w:val="en-GB"/>
        </w:rPr>
        <w:t xml:space="preserve"> </w:t>
      </w:r>
      <w:r w:rsidRPr="009C4F79">
        <w:rPr>
          <w:rFonts w:eastAsia="Times New Roman"/>
          <w:b/>
          <w:noProof/>
          <w:lang w:val="en-GB"/>
        </w:rPr>
        <w:t xml:space="preserve">will </w:t>
      </w:r>
      <w:r w:rsidR="008E71FD" w:rsidRPr="009C4F79">
        <w:rPr>
          <w:rFonts w:eastAsia="Times New Roman"/>
          <w:b/>
          <w:noProof/>
          <w:lang w:val="en-GB"/>
        </w:rPr>
        <w:t xml:space="preserve">make </w:t>
      </w:r>
      <w:r w:rsidRPr="009C4F79">
        <w:rPr>
          <w:rFonts w:eastAsia="Times New Roman"/>
          <w:b/>
          <w:noProof/>
          <w:lang w:val="en-GB"/>
        </w:rPr>
        <w:t>continuity of care across EU</w:t>
      </w:r>
      <w:r w:rsidR="00B03388" w:rsidRPr="009C4F79">
        <w:rPr>
          <w:rFonts w:eastAsia="Times New Roman"/>
          <w:b/>
          <w:noProof/>
          <w:lang w:val="en-GB"/>
        </w:rPr>
        <w:t xml:space="preserve"> </w:t>
      </w:r>
      <w:r w:rsidR="00B03388" w:rsidRPr="009C4F79">
        <w:rPr>
          <w:rFonts w:eastAsia="Times New Roman"/>
          <w:noProof/>
          <w:lang w:val="en-GB"/>
        </w:rPr>
        <w:t>a reality</w:t>
      </w:r>
      <w:r w:rsidR="008C437B" w:rsidRPr="009C4F79">
        <w:rPr>
          <w:rFonts w:eastAsia="Times New Roman"/>
          <w:noProof/>
          <w:lang w:val="en-GB"/>
        </w:rPr>
        <w:t>.</w:t>
      </w:r>
      <w:r w:rsidRPr="009C4F79">
        <w:rPr>
          <w:rFonts w:eastAsia="Times New Roman"/>
          <w:noProof/>
          <w:lang w:val="en-GB"/>
        </w:rPr>
        <w:t xml:space="preserve"> By enabling </w:t>
      </w:r>
      <w:r w:rsidR="00E96422" w:rsidRPr="009C4F79">
        <w:rPr>
          <w:rFonts w:eastAsia="Times New Roman"/>
          <w:noProof/>
          <w:lang w:val="en-GB"/>
        </w:rPr>
        <w:t xml:space="preserve">patients to share their </w:t>
      </w:r>
      <w:r w:rsidRPr="009C4F79">
        <w:rPr>
          <w:rFonts w:eastAsia="Times New Roman"/>
          <w:noProof/>
          <w:lang w:val="en-GB"/>
        </w:rPr>
        <w:t xml:space="preserve">health data </w:t>
      </w:r>
      <w:r w:rsidR="0057173D" w:rsidRPr="009C4F79">
        <w:rPr>
          <w:rFonts w:eastAsia="Times New Roman"/>
          <w:noProof/>
          <w:lang w:val="en-GB"/>
        </w:rPr>
        <w:t>(</w:t>
      </w:r>
      <w:r w:rsidR="00F93E80" w:rsidRPr="009C4F79">
        <w:rPr>
          <w:rFonts w:eastAsia="Times New Roman"/>
          <w:noProof/>
          <w:lang w:val="en-GB"/>
        </w:rPr>
        <w:t>including</w:t>
      </w:r>
      <w:r w:rsidR="00F93E80" w:rsidRPr="00F41B43">
        <w:rPr>
          <w:rFonts w:eastAsia="Times New Roman"/>
          <w:noProof/>
          <w:lang w:val="en-GB"/>
        </w:rPr>
        <w:t xml:space="preserve"> vaccination</w:t>
      </w:r>
      <w:r w:rsidR="00CC20B3" w:rsidRPr="00CC20B3">
        <w:rPr>
          <w:rFonts w:eastAsia="Times New Roman"/>
          <w:noProof/>
          <w:lang w:val="en-GB"/>
        </w:rPr>
        <w:t xml:space="preserve"> </w:t>
      </w:r>
      <w:r w:rsidR="00CC20B3" w:rsidRPr="00F41B43">
        <w:rPr>
          <w:rFonts w:eastAsia="Times New Roman"/>
          <w:noProof/>
          <w:lang w:val="en-GB"/>
        </w:rPr>
        <w:t>data</w:t>
      </w:r>
      <w:r w:rsidR="0057173D">
        <w:rPr>
          <w:rFonts w:eastAsia="Times New Roman"/>
          <w:noProof/>
          <w:lang w:val="en-GB"/>
        </w:rPr>
        <w:t>)</w:t>
      </w:r>
      <w:r w:rsidR="00F93E80" w:rsidRPr="00F41B43">
        <w:rPr>
          <w:rFonts w:eastAsia="Times New Roman"/>
          <w:noProof/>
          <w:lang w:val="en-GB"/>
        </w:rPr>
        <w:t xml:space="preserve"> </w:t>
      </w:r>
      <w:r w:rsidR="00E96422" w:rsidRPr="00F41B43">
        <w:rPr>
          <w:rFonts w:eastAsia="Times New Roman"/>
          <w:noProof/>
          <w:lang w:val="en-GB"/>
        </w:rPr>
        <w:t>with</w:t>
      </w:r>
      <w:r w:rsidRPr="00F41B43">
        <w:rPr>
          <w:rFonts w:eastAsia="Times New Roman"/>
          <w:noProof/>
          <w:lang w:val="en-GB"/>
        </w:rPr>
        <w:t xml:space="preserve"> health professionals</w:t>
      </w:r>
      <w:r w:rsidR="00E96422" w:rsidRPr="00F41B43">
        <w:rPr>
          <w:rFonts w:eastAsia="Times New Roman"/>
          <w:noProof/>
          <w:lang w:val="en-GB"/>
        </w:rPr>
        <w:t xml:space="preserve">, in the </w:t>
      </w:r>
      <w:r w:rsidR="00556AE5" w:rsidRPr="00F41B43">
        <w:rPr>
          <w:rFonts w:eastAsia="Times New Roman"/>
          <w:noProof/>
          <w:lang w:val="en-GB"/>
        </w:rPr>
        <w:t>professional’</w:t>
      </w:r>
      <w:r w:rsidR="00CC20B3">
        <w:rPr>
          <w:rFonts w:eastAsia="Times New Roman"/>
          <w:noProof/>
          <w:lang w:val="en-GB"/>
        </w:rPr>
        <w:t>s</w:t>
      </w:r>
      <w:r w:rsidR="00556AE5" w:rsidRPr="00F41B43">
        <w:rPr>
          <w:rFonts w:eastAsia="Times New Roman"/>
          <w:noProof/>
          <w:lang w:val="en-GB"/>
        </w:rPr>
        <w:t xml:space="preserve"> own language</w:t>
      </w:r>
      <w:r w:rsidRPr="00F41B43">
        <w:rPr>
          <w:rFonts w:eastAsia="Times New Roman"/>
          <w:noProof/>
          <w:lang w:val="en-GB"/>
        </w:rPr>
        <w:t xml:space="preserve">, it will </w:t>
      </w:r>
      <w:r w:rsidR="00E96422" w:rsidRPr="00F41B43">
        <w:rPr>
          <w:rFonts w:eastAsia="Times New Roman"/>
          <w:noProof/>
          <w:lang w:val="en-GB"/>
        </w:rPr>
        <w:t xml:space="preserve">support better </w:t>
      </w:r>
      <w:r w:rsidR="0049541D" w:rsidRPr="00F41B43">
        <w:rPr>
          <w:rFonts w:eastAsia="Times New Roman"/>
          <w:noProof/>
          <w:lang w:val="en-GB"/>
        </w:rPr>
        <w:t xml:space="preserve">decision-making on </w:t>
      </w:r>
      <w:r w:rsidR="00E96422" w:rsidRPr="00F41B43">
        <w:rPr>
          <w:rFonts w:eastAsia="Times New Roman"/>
          <w:noProof/>
          <w:lang w:val="en-GB"/>
        </w:rPr>
        <w:t>treatment</w:t>
      </w:r>
      <w:r w:rsidR="00E17F1D" w:rsidRPr="00F41B43">
        <w:rPr>
          <w:noProof/>
          <w:lang w:val="en-GB"/>
        </w:rPr>
        <w:t xml:space="preserve"> </w:t>
      </w:r>
      <w:r w:rsidR="00E17F1D" w:rsidRPr="00F41B43">
        <w:rPr>
          <w:rFonts w:eastAsia="Times New Roman"/>
          <w:noProof/>
          <w:lang w:val="en-GB"/>
        </w:rPr>
        <w:t>and care across the EU</w:t>
      </w:r>
      <w:r w:rsidR="00E96422" w:rsidRPr="00F41B43">
        <w:rPr>
          <w:rFonts w:eastAsia="Times New Roman"/>
          <w:noProof/>
          <w:lang w:val="en-GB"/>
        </w:rPr>
        <w:t xml:space="preserve">. </w:t>
      </w:r>
      <w:r w:rsidR="00FA7237">
        <w:rPr>
          <w:rFonts w:eastAsia="Times New Roman"/>
          <w:noProof/>
          <w:lang w:val="en-GB"/>
        </w:rPr>
        <w:t>It will also avoid unnecessary and costly repetitions of tests and other medical procedures.</w:t>
      </w:r>
    </w:p>
    <w:p w14:paraId="6E49358B" w14:textId="48DF9EA2" w:rsidR="00647B0E" w:rsidRPr="00F41B43" w:rsidRDefault="00CC20B3" w:rsidP="00647B0E">
      <w:pPr>
        <w:pStyle w:val="NormalWeb"/>
        <w:rPr>
          <w:noProof/>
          <w:lang w:val="en-GB"/>
        </w:rPr>
      </w:pPr>
      <w:r w:rsidRPr="00CC20B3">
        <w:rPr>
          <w:noProof/>
          <w:lang w:val="en-GB"/>
        </w:rPr>
        <w:t>The European Health Data Space recognises the long-standing qualification of medical device software under the Medical Devices Regulation and the In Vitro Diagnostic Medical Devices Regulation</w:t>
      </w:r>
      <w:r w:rsidR="0006605D">
        <w:rPr>
          <w:rStyle w:val="FootnoteReference"/>
          <w:noProof/>
          <w:lang w:val="en-GB"/>
        </w:rPr>
        <w:footnoteReference w:id="40"/>
      </w:r>
      <w:r w:rsidR="00D27BFC">
        <w:rPr>
          <w:noProof/>
          <w:lang w:val="en-GB"/>
        </w:rPr>
        <w:t>.</w:t>
      </w:r>
      <w:r w:rsidR="00AE1346">
        <w:rPr>
          <w:noProof/>
          <w:lang w:val="en-GB"/>
        </w:rPr>
        <w:t xml:space="preserve"> </w:t>
      </w:r>
      <w:r w:rsidR="00D27BFC">
        <w:rPr>
          <w:noProof/>
          <w:lang w:val="en-GB"/>
        </w:rPr>
        <w:t>W</w:t>
      </w:r>
      <w:r w:rsidR="00B702AA" w:rsidRPr="00F41B43">
        <w:rPr>
          <w:noProof/>
          <w:lang w:val="en-GB"/>
        </w:rPr>
        <w:t xml:space="preserve">here </w:t>
      </w:r>
      <w:r w:rsidR="003107C4" w:rsidRPr="00F41B43">
        <w:rPr>
          <w:noProof/>
          <w:lang w:val="en-GB"/>
        </w:rPr>
        <w:t xml:space="preserve">manufacturers </w:t>
      </w:r>
      <w:r w:rsidR="00AE1346">
        <w:rPr>
          <w:noProof/>
          <w:lang w:val="en-GB"/>
        </w:rPr>
        <w:t xml:space="preserve">can </w:t>
      </w:r>
      <w:r w:rsidR="003107C4">
        <w:rPr>
          <w:noProof/>
          <w:lang w:val="en-GB"/>
        </w:rPr>
        <w:t xml:space="preserve">state that </w:t>
      </w:r>
      <w:r w:rsidR="00A50C99">
        <w:rPr>
          <w:noProof/>
          <w:lang w:val="en-GB"/>
        </w:rPr>
        <w:t xml:space="preserve">a medical device </w:t>
      </w:r>
      <w:r w:rsidR="003107C4">
        <w:rPr>
          <w:noProof/>
          <w:lang w:val="en-GB"/>
        </w:rPr>
        <w:t xml:space="preserve">is </w:t>
      </w:r>
      <w:r w:rsidR="00B702AA" w:rsidRPr="00F41B43">
        <w:rPr>
          <w:noProof/>
          <w:lang w:val="en-GB"/>
        </w:rPr>
        <w:t>interoperab</w:t>
      </w:r>
      <w:r w:rsidR="004621EC">
        <w:rPr>
          <w:noProof/>
          <w:lang w:val="en-GB"/>
        </w:rPr>
        <w:t>le</w:t>
      </w:r>
      <w:r w:rsidR="00B702AA" w:rsidRPr="00F41B43">
        <w:rPr>
          <w:noProof/>
          <w:lang w:val="en-GB"/>
        </w:rPr>
        <w:t xml:space="preserve"> with electronic health record</w:t>
      </w:r>
      <w:r w:rsidR="00940321">
        <w:rPr>
          <w:noProof/>
          <w:lang w:val="en-GB"/>
        </w:rPr>
        <w:t xml:space="preserve"> </w:t>
      </w:r>
      <w:r w:rsidR="00B702AA" w:rsidRPr="00F41B43">
        <w:rPr>
          <w:noProof/>
          <w:lang w:val="en-GB"/>
        </w:rPr>
        <w:t>s</w:t>
      </w:r>
      <w:r w:rsidR="00940321">
        <w:rPr>
          <w:noProof/>
          <w:lang w:val="en-GB"/>
        </w:rPr>
        <w:t>ystems</w:t>
      </w:r>
      <w:r w:rsidR="00B702AA" w:rsidRPr="00F41B43">
        <w:rPr>
          <w:noProof/>
          <w:lang w:val="en-GB"/>
        </w:rPr>
        <w:t xml:space="preserve">, </w:t>
      </w:r>
      <w:r w:rsidR="006D33F6" w:rsidRPr="006D33F6">
        <w:rPr>
          <w:noProof/>
          <w:lang w:val="en-GB"/>
        </w:rPr>
        <w:t>they will need to comply with the essential requirements on interoperability</w:t>
      </w:r>
      <w:r w:rsidR="005C30AF">
        <w:rPr>
          <w:noProof/>
          <w:lang w:val="en-GB"/>
        </w:rPr>
        <w:t xml:space="preserve">, </w:t>
      </w:r>
      <w:r w:rsidR="00F90649">
        <w:rPr>
          <w:noProof/>
        </w:rPr>
        <w:t>implemented</w:t>
      </w:r>
      <w:r w:rsidR="005C30AF">
        <w:rPr>
          <w:noProof/>
        </w:rPr>
        <w:t xml:space="preserve"> by</w:t>
      </w:r>
      <w:r w:rsidR="005C30AF" w:rsidRPr="005C30AF">
        <w:rPr>
          <w:noProof/>
        </w:rPr>
        <w:t xml:space="preserve"> the self-certification scheme for </w:t>
      </w:r>
      <w:r w:rsidR="005C30AF">
        <w:rPr>
          <w:noProof/>
        </w:rPr>
        <w:t>electronic health record systems</w:t>
      </w:r>
      <w:r w:rsidR="006D33F6">
        <w:rPr>
          <w:noProof/>
          <w:lang w:val="en-GB"/>
        </w:rPr>
        <w:t>.</w:t>
      </w:r>
    </w:p>
    <w:p w14:paraId="0997F5C9" w14:textId="77777777" w:rsidR="00045E3B" w:rsidRPr="00136FDC" w:rsidRDefault="00045E3B" w:rsidP="00045E3B">
      <w:pPr>
        <w:pStyle w:val="Heading1"/>
        <w:numPr>
          <w:ilvl w:val="0"/>
          <w:numId w:val="0"/>
        </w:numPr>
        <w:ind w:left="360"/>
        <w:rPr>
          <w:b w:val="0"/>
          <w:noProof/>
        </w:rPr>
      </w:pPr>
      <w:r>
        <w:rPr>
          <w:noProof/>
        </w:rPr>
        <w:t xml:space="preserve">5. </w:t>
      </w:r>
      <w:r w:rsidR="002F5048">
        <w:rPr>
          <w:noProof/>
        </w:rPr>
        <w:t>Benefits of</w:t>
      </w:r>
      <w:r w:rsidR="000732BC">
        <w:rPr>
          <w:noProof/>
        </w:rPr>
        <w:t xml:space="preserve"> </w:t>
      </w:r>
      <w:r w:rsidR="00F95C78">
        <w:rPr>
          <w:noProof/>
        </w:rPr>
        <w:t xml:space="preserve">a </w:t>
      </w:r>
      <w:r>
        <w:rPr>
          <w:noProof/>
        </w:rPr>
        <w:t xml:space="preserve">EUROPEAN HEALTH data space </w:t>
      </w:r>
    </w:p>
    <w:p w14:paraId="25BCD3CC" w14:textId="5646D2F5" w:rsidR="00045E3B" w:rsidRDefault="00045E3B" w:rsidP="00045E3B">
      <w:pPr>
        <w:rPr>
          <w:noProof/>
          <w:lang w:val="en-GB"/>
        </w:rPr>
      </w:pPr>
      <w:r w:rsidRPr="009F159B">
        <w:rPr>
          <w:noProof/>
          <w:lang w:val="en-GB"/>
        </w:rPr>
        <w:t xml:space="preserve">The </w:t>
      </w:r>
      <w:r>
        <w:rPr>
          <w:noProof/>
          <w:lang w:val="en-GB"/>
        </w:rPr>
        <w:t xml:space="preserve">European </w:t>
      </w:r>
      <w:r w:rsidRPr="009F159B">
        <w:rPr>
          <w:noProof/>
          <w:lang w:val="en-GB"/>
        </w:rPr>
        <w:t xml:space="preserve">Health Data Space will </w:t>
      </w:r>
      <w:r w:rsidR="00FA5386" w:rsidRPr="009F159B">
        <w:rPr>
          <w:noProof/>
          <w:lang w:val="en-GB"/>
        </w:rPr>
        <w:t>benefit</w:t>
      </w:r>
      <w:r w:rsidRPr="009F159B">
        <w:rPr>
          <w:noProof/>
          <w:lang w:val="en-GB"/>
        </w:rPr>
        <w:t xml:space="preserve"> individuals, health professionals, healthcare providers, researchers, regulators and policy-makers.</w:t>
      </w:r>
    </w:p>
    <w:p w14:paraId="5816004A" w14:textId="77777777" w:rsidR="002F5048" w:rsidRPr="009F159B" w:rsidRDefault="002F5048" w:rsidP="00045E3B">
      <w:pPr>
        <w:rPr>
          <w:noProof/>
          <w:lang w:val="en-GB"/>
        </w:rPr>
      </w:pPr>
      <w:r>
        <w:rPr>
          <w:noProof/>
          <w:lang w:val="en-GB" w:eastAsia="en-GB"/>
        </w:rPr>
        <w:drawing>
          <wp:inline distT="0" distB="0" distL="0" distR="0" wp14:anchorId="72486FE1" wp14:editId="5FF8F55C">
            <wp:extent cx="5944235" cy="254825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2548255"/>
                    </a:xfrm>
                    <a:prstGeom prst="rect">
                      <a:avLst/>
                    </a:prstGeom>
                    <a:noFill/>
                  </pic:spPr>
                </pic:pic>
              </a:graphicData>
            </a:graphic>
          </wp:inline>
        </w:drawing>
      </w:r>
    </w:p>
    <w:p w14:paraId="5F160626" w14:textId="77777777" w:rsidR="002F5048" w:rsidRPr="00FE485C" w:rsidRDefault="002F5048" w:rsidP="002F5048">
      <w:pPr>
        <w:pStyle w:val="NormalWeb"/>
        <w:jc w:val="center"/>
        <w:rPr>
          <w:i/>
          <w:noProof/>
          <w:sz w:val="18"/>
          <w:lang w:val="en-GB"/>
        </w:rPr>
      </w:pPr>
      <w:r w:rsidRPr="00FE485C">
        <w:rPr>
          <w:i/>
          <w:noProof/>
          <w:sz w:val="18"/>
          <w:lang w:val="en-GB"/>
        </w:rPr>
        <w:t xml:space="preserve">Figure </w:t>
      </w:r>
      <w:r>
        <w:rPr>
          <w:i/>
          <w:noProof/>
          <w:sz w:val="18"/>
          <w:szCs w:val="18"/>
          <w:lang w:val="en-GB"/>
        </w:rPr>
        <w:t>4</w:t>
      </w:r>
      <w:r w:rsidRPr="00FE485C">
        <w:rPr>
          <w:i/>
          <w:noProof/>
          <w:sz w:val="18"/>
          <w:lang w:val="en-GB"/>
        </w:rPr>
        <w:t xml:space="preserve">. </w:t>
      </w:r>
      <w:r>
        <w:rPr>
          <w:i/>
          <w:noProof/>
          <w:sz w:val="18"/>
          <w:lang w:val="en-GB"/>
        </w:rPr>
        <w:t>Benefits for users of European Health Data Space</w:t>
      </w:r>
    </w:p>
    <w:p w14:paraId="6AF6D5E4" w14:textId="567F1748" w:rsidR="00045E3B" w:rsidRDefault="00045E3B" w:rsidP="00045E3B">
      <w:pPr>
        <w:rPr>
          <w:noProof/>
          <w:lang w:val="en-GB"/>
        </w:rPr>
      </w:pPr>
      <w:r w:rsidRPr="00F41B43">
        <w:rPr>
          <w:b/>
          <w:noProof/>
          <w:u w:val="single"/>
          <w:lang w:val="en-GB"/>
        </w:rPr>
        <w:t>Individuals</w:t>
      </w:r>
      <w:r w:rsidRPr="00F41B43">
        <w:rPr>
          <w:noProof/>
          <w:lang w:val="en-GB"/>
        </w:rPr>
        <w:t xml:space="preserve"> will have </w:t>
      </w:r>
      <w:r>
        <w:rPr>
          <w:noProof/>
          <w:lang w:val="en-GB"/>
        </w:rPr>
        <w:t>greater</w:t>
      </w:r>
      <w:r w:rsidRPr="00F41B43">
        <w:rPr>
          <w:noProof/>
          <w:lang w:val="en-GB"/>
        </w:rPr>
        <w:t xml:space="preserve"> control over their health data. </w:t>
      </w:r>
      <w:r>
        <w:rPr>
          <w:noProof/>
          <w:lang w:val="en-GB"/>
        </w:rPr>
        <w:t>If</w:t>
      </w:r>
      <w:r w:rsidRPr="00F41B43">
        <w:rPr>
          <w:noProof/>
          <w:lang w:val="en-GB"/>
        </w:rPr>
        <w:t xml:space="preserve"> they wish, </w:t>
      </w:r>
      <w:r>
        <w:rPr>
          <w:noProof/>
          <w:lang w:val="en-GB"/>
        </w:rPr>
        <w:t xml:space="preserve">they will be able </w:t>
      </w:r>
      <w:r w:rsidRPr="00F41B43">
        <w:rPr>
          <w:noProof/>
          <w:lang w:val="en-GB"/>
        </w:rPr>
        <w:t>to provide</w:t>
      </w:r>
      <w:r>
        <w:rPr>
          <w:noProof/>
          <w:lang w:val="en-GB"/>
        </w:rPr>
        <w:t xml:space="preserve"> their data</w:t>
      </w:r>
      <w:r w:rsidRPr="00F41B43">
        <w:rPr>
          <w:noProof/>
          <w:lang w:val="en-GB"/>
        </w:rPr>
        <w:t xml:space="preserve"> to </w:t>
      </w:r>
      <w:r w:rsidR="00927431">
        <w:rPr>
          <w:noProof/>
          <w:lang w:val="en-GB"/>
        </w:rPr>
        <w:t>a</w:t>
      </w:r>
      <w:r w:rsidRPr="00F41B43">
        <w:rPr>
          <w:noProof/>
          <w:lang w:val="en-GB"/>
        </w:rPr>
        <w:t xml:space="preserve"> healthcare professional of their choice rapidly and in an easy, transparent</w:t>
      </w:r>
      <w:r>
        <w:rPr>
          <w:noProof/>
          <w:lang w:val="en-GB"/>
        </w:rPr>
        <w:t>,</w:t>
      </w:r>
      <w:r w:rsidRPr="00F41B43">
        <w:rPr>
          <w:noProof/>
          <w:lang w:val="en-GB"/>
        </w:rPr>
        <w:t xml:space="preserve"> common format</w:t>
      </w:r>
      <w:r w:rsidR="00D346CA">
        <w:rPr>
          <w:noProof/>
          <w:lang w:val="en-GB"/>
        </w:rPr>
        <w:t xml:space="preserve">. </w:t>
      </w:r>
      <w:r>
        <w:rPr>
          <w:noProof/>
          <w:lang w:val="en-GB"/>
        </w:rPr>
        <w:t>This will</w:t>
      </w:r>
      <w:r w:rsidRPr="00F41B43">
        <w:rPr>
          <w:noProof/>
          <w:lang w:val="en-GB"/>
        </w:rPr>
        <w:t xml:space="preserve"> reduc</w:t>
      </w:r>
      <w:r>
        <w:rPr>
          <w:noProof/>
          <w:lang w:val="en-GB"/>
        </w:rPr>
        <w:t>e</w:t>
      </w:r>
      <w:r w:rsidRPr="00F41B43">
        <w:rPr>
          <w:noProof/>
          <w:lang w:val="en-GB"/>
        </w:rPr>
        <w:t xml:space="preserve"> </w:t>
      </w:r>
      <w:r>
        <w:rPr>
          <w:noProof/>
          <w:lang w:val="en-GB"/>
        </w:rPr>
        <w:t xml:space="preserve">the </w:t>
      </w:r>
      <w:r w:rsidR="00FA5386">
        <w:rPr>
          <w:noProof/>
          <w:lang w:val="en-GB"/>
        </w:rPr>
        <w:t>number</w:t>
      </w:r>
      <w:r>
        <w:rPr>
          <w:noProof/>
          <w:lang w:val="en-GB"/>
        </w:rPr>
        <w:t xml:space="preserve"> of </w:t>
      </w:r>
      <w:r w:rsidRPr="00F41B43">
        <w:rPr>
          <w:noProof/>
          <w:lang w:val="en-GB"/>
        </w:rPr>
        <w:t>unnecessary tests and costs</w:t>
      </w:r>
      <w:r>
        <w:rPr>
          <w:noProof/>
          <w:lang w:val="en-GB"/>
        </w:rPr>
        <w:t>,</w:t>
      </w:r>
      <w:r w:rsidRPr="00F41B43">
        <w:rPr>
          <w:noProof/>
          <w:lang w:val="en-GB"/>
        </w:rPr>
        <w:t xml:space="preserve"> and increas</w:t>
      </w:r>
      <w:r>
        <w:rPr>
          <w:noProof/>
          <w:lang w:val="en-GB"/>
        </w:rPr>
        <w:t>e</w:t>
      </w:r>
      <w:r w:rsidRPr="00F41B43">
        <w:rPr>
          <w:noProof/>
          <w:lang w:val="en-GB"/>
        </w:rPr>
        <w:t xml:space="preserve"> healthcare</w:t>
      </w:r>
      <w:r>
        <w:rPr>
          <w:noProof/>
          <w:lang w:val="en-GB"/>
        </w:rPr>
        <w:t xml:space="preserve"> safety</w:t>
      </w:r>
      <w:r w:rsidRPr="00F41B43">
        <w:rPr>
          <w:noProof/>
          <w:lang w:val="en-GB"/>
        </w:rPr>
        <w:t xml:space="preserve">. </w:t>
      </w:r>
      <w:r w:rsidRPr="00281AB5">
        <w:rPr>
          <w:noProof/>
          <w:lang w:val="en-GB"/>
        </w:rPr>
        <w:t xml:space="preserve">The ability to access, analyse, and share </w:t>
      </w:r>
      <w:r>
        <w:rPr>
          <w:noProof/>
          <w:lang w:val="en-GB"/>
        </w:rPr>
        <w:t>health</w:t>
      </w:r>
      <w:r w:rsidRPr="00281AB5">
        <w:rPr>
          <w:noProof/>
          <w:lang w:val="en-GB"/>
        </w:rPr>
        <w:t xml:space="preserve"> data </w:t>
      </w:r>
      <w:r>
        <w:rPr>
          <w:noProof/>
          <w:lang w:val="en-GB"/>
        </w:rPr>
        <w:t>will make</w:t>
      </w:r>
      <w:r w:rsidRPr="00281AB5">
        <w:rPr>
          <w:noProof/>
          <w:lang w:val="en-GB"/>
        </w:rPr>
        <w:t xml:space="preserve"> </w:t>
      </w:r>
      <w:r>
        <w:rPr>
          <w:noProof/>
          <w:lang w:val="en-GB"/>
        </w:rPr>
        <w:t>healthcare more efficient, support</w:t>
      </w:r>
      <w:r w:rsidRPr="00281AB5">
        <w:rPr>
          <w:noProof/>
          <w:lang w:val="en-GB"/>
        </w:rPr>
        <w:t xml:space="preserve"> better medical decisions</w:t>
      </w:r>
      <w:r>
        <w:rPr>
          <w:noProof/>
          <w:lang w:val="en-GB"/>
        </w:rPr>
        <w:t xml:space="preserve"> and, therefore, improve health outcomes</w:t>
      </w:r>
      <w:r w:rsidRPr="00281AB5">
        <w:rPr>
          <w:noProof/>
          <w:lang w:val="en-GB"/>
        </w:rPr>
        <w:t>.</w:t>
      </w:r>
      <w:r>
        <w:rPr>
          <w:noProof/>
          <w:lang w:val="en-GB"/>
        </w:rPr>
        <w:t xml:space="preserve"> </w:t>
      </w:r>
      <w:r w:rsidRPr="00040E3E">
        <w:rPr>
          <w:noProof/>
          <w:lang w:val="en-GB"/>
        </w:rPr>
        <w:t xml:space="preserve">The European Health Data Space will help attain the Commission’s vision for </w:t>
      </w:r>
      <w:r>
        <w:rPr>
          <w:noProof/>
          <w:lang w:val="en-GB"/>
        </w:rPr>
        <w:t>EU’s</w:t>
      </w:r>
      <w:r w:rsidRPr="00040E3E">
        <w:rPr>
          <w:noProof/>
          <w:lang w:val="en-GB"/>
        </w:rPr>
        <w:t xml:space="preserve"> digital transformation by 2030, the Digital Compass</w:t>
      </w:r>
      <w:r>
        <w:rPr>
          <w:rStyle w:val="FootnoteReference"/>
          <w:noProof/>
          <w:lang w:val="en-GB"/>
        </w:rPr>
        <w:footnoteReference w:id="41"/>
      </w:r>
      <w:r w:rsidRPr="00040E3E">
        <w:rPr>
          <w:noProof/>
          <w:lang w:val="en-GB"/>
        </w:rPr>
        <w:t xml:space="preserve"> aim of providing</w:t>
      </w:r>
      <w:r w:rsidR="002252D5">
        <w:rPr>
          <w:noProof/>
          <w:lang w:val="en-GB"/>
        </w:rPr>
        <w:t xml:space="preserve"> </w:t>
      </w:r>
      <w:r w:rsidRPr="00040E3E">
        <w:rPr>
          <w:noProof/>
          <w:lang w:val="en-GB"/>
        </w:rPr>
        <w:t>100% of citizens with access to their medical records</w:t>
      </w:r>
      <w:r>
        <w:rPr>
          <w:noProof/>
          <w:lang w:val="en-GB"/>
        </w:rPr>
        <w:t xml:space="preserve"> and the Declaration of Digital Principles</w:t>
      </w:r>
      <w:r>
        <w:rPr>
          <w:rStyle w:val="FootnoteReference"/>
          <w:noProof/>
          <w:lang w:val="en-GB"/>
        </w:rPr>
        <w:footnoteReference w:id="42"/>
      </w:r>
      <w:r w:rsidRPr="00040E3E">
        <w:rPr>
          <w:noProof/>
          <w:lang w:val="en-GB"/>
        </w:rPr>
        <w:t xml:space="preserve">. It will build on the Commission proposal for a European Digital Identity Framework and Wallet </w:t>
      </w:r>
      <w:r w:rsidR="003D39C7">
        <w:rPr>
          <w:noProof/>
          <w:lang w:val="en-GB"/>
        </w:rPr>
        <w:t>enabling citizens to have</w:t>
      </w:r>
      <w:r w:rsidRPr="00040E3E">
        <w:rPr>
          <w:noProof/>
          <w:lang w:val="en-GB"/>
        </w:rPr>
        <w:t xml:space="preserve"> trust</w:t>
      </w:r>
      <w:r w:rsidR="003D39C7">
        <w:rPr>
          <w:noProof/>
          <w:lang w:val="en-GB"/>
        </w:rPr>
        <w:t>worthy</w:t>
      </w:r>
      <w:r w:rsidRPr="00040E3E">
        <w:rPr>
          <w:noProof/>
          <w:lang w:val="en-GB"/>
        </w:rPr>
        <w:t xml:space="preserve"> cross-border access to their health data </w:t>
      </w:r>
      <w:r w:rsidR="003D39C7">
        <w:rPr>
          <w:noProof/>
          <w:lang w:val="en-GB"/>
        </w:rPr>
        <w:t>from</w:t>
      </w:r>
      <w:r w:rsidR="003D39C7" w:rsidRPr="00040E3E">
        <w:rPr>
          <w:noProof/>
          <w:lang w:val="en-GB"/>
        </w:rPr>
        <w:t xml:space="preserve"> </w:t>
      </w:r>
      <w:r w:rsidRPr="00040E3E">
        <w:rPr>
          <w:noProof/>
          <w:lang w:val="en-GB"/>
        </w:rPr>
        <w:t>mobile devices.</w:t>
      </w:r>
    </w:p>
    <w:p w14:paraId="19681148" w14:textId="280C614D" w:rsidR="00045E3B" w:rsidRPr="00E063E9" w:rsidRDefault="00045E3B" w:rsidP="00045E3B">
      <w:pPr>
        <w:rPr>
          <w:iCs/>
          <w:noProof/>
          <w:lang w:val="en-GB"/>
        </w:rPr>
      </w:pPr>
      <w:r>
        <w:rPr>
          <w:iCs/>
          <w:noProof/>
          <w:lang w:val="en-GB"/>
        </w:rPr>
        <w:t>The European Health Data Space</w:t>
      </w:r>
      <w:r w:rsidRPr="00EE76AF">
        <w:rPr>
          <w:iCs/>
          <w:noProof/>
          <w:lang w:val="en-GB"/>
        </w:rPr>
        <w:t xml:space="preserve"> will</w:t>
      </w:r>
      <w:r w:rsidR="00FB16A0">
        <w:rPr>
          <w:iCs/>
          <w:noProof/>
          <w:lang w:val="en-GB"/>
        </w:rPr>
        <w:t xml:space="preserve"> respect</w:t>
      </w:r>
      <w:r w:rsidR="00A84FE7">
        <w:rPr>
          <w:iCs/>
          <w:noProof/>
          <w:lang w:val="en-GB"/>
        </w:rPr>
        <w:t xml:space="preserve"> the principle of no</w:t>
      </w:r>
      <w:r w:rsidR="00FB16A0">
        <w:rPr>
          <w:iCs/>
          <w:noProof/>
          <w:lang w:val="en-GB"/>
        </w:rPr>
        <w:t>n-</w:t>
      </w:r>
      <w:r w:rsidR="00A84FE7">
        <w:rPr>
          <w:iCs/>
          <w:noProof/>
          <w:lang w:val="en-GB"/>
        </w:rPr>
        <w:t xml:space="preserve">discrimination, addressing </w:t>
      </w:r>
      <w:r>
        <w:rPr>
          <w:iCs/>
          <w:noProof/>
          <w:lang w:val="en-GB"/>
        </w:rPr>
        <w:t xml:space="preserve">the </w:t>
      </w:r>
      <w:r w:rsidR="00A84FE7">
        <w:rPr>
          <w:iCs/>
          <w:noProof/>
          <w:lang w:val="en-GB"/>
        </w:rPr>
        <w:t>right</w:t>
      </w:r>
      <w:r w:rsidR="00FB16A0">
        <w:rPr>
          <w:iCs/>
          <w:noProof/>
          <w:lang w:val="en-GB"/>
        </w:rPr>
        <w:t>s</w:t>
      </w:r>
      <w:r w:rsidR="00A84FE7">
        <w:rPr>
          <w:iCs/>
          <w:noProof/>
          <w:lang w:val="en-GB"/>
        </w:rPr>
        <w:t xml:space="preserve"> and </w:t>
      </w:r>
      <w:r>
        <w:rPr>
          <w:iCs/>
          <w:noProof/>
          <w:lang w:val="en-GB"/>
        </w:rPr>
        <w:t>needs of</w:t>
      </w:r>
      <w:r w:rsidR="00A84FE7">
        <w:rPr>
          <w:iCs/>
          <w:noProof/>
          <w:lang w:val="en-GB"/>
        </w:rPr>
        <w:t xml:space="preserve"> persons with</w:t>
      </w:r>
      <w:r>
        <w:rPr>
          <w:iCs/>
          <w:noProof/>
          <w:lang w:val="en-GB"/>
        </w:rPr>
        <w:t xml:space="preserve"> </w:t>
      </w:r>
      <w:r w:rsidR="00A84FE7">
        <w:rPr>
          <w:iCs/>
          <w:noProof/>
          <w:lang w:val="en-GB"/>
        </w:rPr>
        <w:t xml:space="preserve">disabilities (i.e. access to information, freedom to choose between in person or digital services) as well as those of </w:t>
      </w:r>
      <w:r w:rsidRPr="00EE76AF">
        <w:rPr>
          <w:iCs/>
          <w:noProof/>
          <w:lang w:val="en-GB"/>
        </w:rPr>
        <w:t>rare diseases patients.</w:t>
      </w:r>
      <w:r>
        <w:rPr>
          <w:iCs/>
          <w:noProof/>
          <w:lang w:val="en-GB"/>
        </w:rPr>
        <w:t xml:space="preserve"> The vast majority of people</w:t>
      </w:r>
      <w:r w:rsidRPr="00E063E9">
        <w:rPr>
          <w:iCs/>
          <w:noProof/>
          <w:lang w:val="en-GB"/>
        </w:rPr>
        <w:t xml:space="preserve"> living with a rare disease are willing to share their health dat</w:t>
      </w:r>
      <w:r>
        <w:rPr>
          <w:iCs/>
          <w:noProof/>
          <w:lang w:val="en-GB"/>
        </w:rPr>
        <w:t>a to advance care and research.</w:t>
      </w:r>
      <w:r>
        <w:rPr>
          <w:rStyle w:val="FootnoteReference"/>
          <w:iCs/>
          <w:noProof/>
          <w:lang w:val="en-GB"/>
        </w:rPr>
        <w:footnoteReference w:id="43"/>
      </w:r>
      <w:r>
        <w:rPr>
          <w:iCs/>
          <w:noProof/>
          <w:lang w:val="en-GB"/>
        </w:rPr>
        <w:t xml:space="preserve"> </w:t>
      </w:r>
      <w:r w:rsidRPr="00E063E9">
        <w:rPr>
          <w:iCs/>
          <w:noProof/>
          <w:lang w:val="en-GB"/>
        </w:rPr>
        <w:t xml:space="preserve">The </w:t>
      </w:r>
      <w:r>
        <w:rPr>
          <w:iCs/>
          <w:noProof/>
          <w:lang w:val="en-GB"/>
        </w:rPr>
        <w:t xml:space="preserve">European </w:t>
      </w:r>
      <w:r w:rsidRPr="00E063E9">
        <w:rPr>
          <w:iCs/>
          <w:noProof/>
          <w:lang w:val="en-GB"/>
        </w:rPr>
        <w:t xml:space="preserve">Health Data Space </w:t>
      </w:r>
      <w:r>
        <w:rPr>
          <w:iCs/>
          <w:noProof/>
          <w:lang w:val="en-GB"/>
        </w:rPr>
        <w:t xml:space="preserve">will unleash the potential for </w:t>
      </w:r>
      <w:r w:rsidRPr="00E063E9">
        <w:rPr>
          <w:iCs/>
          <w:noProof/>
          <w:lang w:val="en-GB"/>
        </w:rPr>
        <w:t>be</w:t>
      </w:r>
      <w:r>
        <w:rPr>
          <w:iCs/>
          <w:noProof/>
          <w:lang w:val="en-GB"/>
        </w:rPr>
        <w:t>tter cross-border access to such data and will support</w:t>
      </w:r>
      <w:r w:rsidRPr="00E063E9">
        <w:rPr>
          <w:iCs/>
          <w:noProof/>
          <w:lang w:val="en-GB"/>
        </w:rPr>
        <w:t xml:space="preserve"> the development of treatments and health services</w:t>
      </w:r>
      <w:r>
        <w:rPr>
          <w:iCs/>
          <w:noProof/>
          <w:lang w:val="en-GB"/>
        </w:rPr>
        <w:t xml:space="preserve"> for rare disease patients</w:t>
      </w:r>
      <w:r w:rsidRPr="00E063E9">
        <w:rPr>
          <w:iCs/>
          <w:noProof/>
          <w:lang w:val="en-GB"/>
        </w:rPr>
        <w:t xml:space="preserve">. </w:t>
      </w:r>
      <w:r>
        <w:rPr>
          <w:noProof/>
          <w:lang w:val="en-GB"/>
        </w:rPr>
        <w:t>The examples of the European Reference Networks and its Clinical Patient Management Systems</w:t>
      </w:r>
      <w:r>
        <w:rPr>
          <w:rStyle w:val="FootnoteReference"/>
          <w:noProof/>
          <w:lang w:val="en-GB"/>
        </w:rPr>
        <w:footnoteReference w:id="44"/>
      </w:r>
      <w:r>
        <w:rPr>
          <w:noProof/>
          <w:lang w:val="en-GB"/>
        </w:rPr>
        <w:t xml:space="preserve"> show that patients located anywhere in a Member State can benefit from advice on the diagnosis and treatment of their </w:t>
      </w:r>
      <w:r w:rsidRPr="001C1DB2">
        <w:rPr>
          <w:b/>
          <w:noProof/>
          <w:lang w:val="en-GB"/>
        </w:rPr>
        <w:t>rare disease</w:t>
      </w:r>
      <w:r>
        <w:rPr>
          <w:b/>
          <w:noProof/>
          <w:lang w:val="en-GB"/>
        </w:rPr>
        <w:t>s</w:t>
      </w:r>
      <w:r>
        <w:rPr>
          <w:noProof/>
          <w:lang w:val="en-GB"/>
        </w:rPr>
        <w:t xml:space="preserve"> from the best specialists in the EU, </w:t>
      </w:r>
      <w:r w:rsidRPr="0070292E">
        <w:rPr>
          <w:noProof/>
          <w:lang w:val="en-GB"/>
        </w:rPr>
        <w:t>using virtual consultation panels</w:t>
      </w:r>
      <w:r>
        <w:rPr>
          <w:noProof/>
          <w:lang w:val="en-GB"/>
        </w:rPr>
        <w:t>.</w:t>
      </w:r>
    </w:p>
    <w:p w14:paraId="486BC023" w14:textId="77777777" w:rsidR="00045E3B" w:rsidRPr="00F41B43" w:rsidRDefault="00045E3B" w:rsidP="00045E3B">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u w:val="single"/>
          <w:lang w:val="en-GB"/>
        </w:rPr>
      </w:pPr>
      <w:bookmarkStart w:id="5" w:name="_Hlk100163913"/>
      <w:r>
        <w:rPr>
          <w:i/>
          <w:noProof/>
          <w:u w:val="single"/>
          <w:lang w:val="en-GB"/>
        </w:rPr>
        <w:t>The European Health Data Space, together with the GDPR,</w:t>
      </w:r>
      <w:r w:rsidRPr="00F41B43">
        <w:rPr>
          <w:i/>
          <w:noProof/>
          <w:u w:val="single"/>
          <w:lang w:val="en-GB"/>
        </w:rPr>
        <w:t xml:space="preserve"> will </w:t>
      </w:r>
      <w:r>
        <w:rPr>
          <w:i/>
          <w:noProof/>
          <w:u w:val="single"/>
          <w:lang w:val="en-GB"/>
        </w:rPr>
        <w:t xml:space="preserve">give people the </w:t>
      </w:r>
      <w:r w:rsidR="00406F05">
        <w:rPr>
          <w:i/>
          <w:noProof/>
          <w:u w:val="single"/>
          <w:lang w:val="en-GB"/>
        </w:rPr>
        <w:t>right</w:t>
      </w:r>
      <w:r w:rsidR="005B2635">
        <w:rPr>
          <w:i/>
          <w:noProof/>
          <w:u w:val="single"/>
          <w:lang w:val="en-GB"/>
        </w:rPr>
        <w:t xml:space="preserve"> </w:t>
      </w:r>
      <w:r>
        <w:rPr>
          <w:i/>
          <w:noProof/>
          <w:u w:val="single"/>
          <w:lang w:val="en-GB"/>
        </w:rPr>
        <w:t>to</w:t>
      </w:r>
      <w:r w:rsidRPr="00F41B43">
        <w:rPr>
          <w:i/>
          <w:noProof/>
          <w:u w:val="single"/>
          <w:lang w:val="en-GB"/>
        </w:rPr>
        <w:t>:</w:t>
      </w:r>
    </w:p>
    <w:p w14:paraId="68B6D568" w14:textId="75F2D942" w:rsidR="00045E3B" w:rsidRPr="00F41B43" w:rsidRDefault="00045E3B" w:rsidP="00045E3B">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lang w:val="en-GB"/>
        </w:rPr>
      </w:pPr>
      <w:r w:rsidRPr="00F41B43">
        <w:rPr>
          <w:i/>
          <w:noProof/>
          <w:lang w:val="en-GB"/>
        </w:rPr>
        <w:t xml:space="preserve">- </w:t>
      </w:r>
      <w:r w:rsidRPr="00F41B43">
        <w:rPr>
          <w:b/>
          <w:bCs/>
          <w:i/>
          <w:noProof/>
          <w:lang w:val="en-GB"/>
        </w:rPr>
        <w:t>access</w:t>
      </w:r>
      <w:r w:rsidRPr="00F41B43">
        <w:rPr>
          <w:bCs/>
          <w:i/>
          <w:noProof/>
          <w:lang w:val="en-GB"/>
        </w:rPr>
        <w:t xml:space="preserve"> their health data</w:t>
      </w:r>
      <w:r w:rsidR="00C6043F">
        <w:rPr>
          <w:bCs/>
          <w:i/>
          <w:noProof/>
          <w:lang w:val="en-GB"/>
        </w:rPr>
        <w:t xml:space="preserve"> in electronic form </w:t>
      </w:r>
      <w:r w:rsidRPr="00113DCC">
        <w:rPr>
          <w:b/>
          <w:i/>
          <w:noProof/>
          <w:lang w:val="en-GB"/>
        </w:rPr>
        <w:t>immediately</w:t>
      </w:r>
      <w:r w:rsidRPr="00F41B43">
        <w:rPr>
          <w:i/>
          <w:noProof/>
          <w:lang w:val="en-GB"/>
        </w:rPr>
        <w:t xml:space="preserve">, </w:t>
      </w:r>
      <w:r w:rsidRPr="00F41B43">
        <w:rPr>
          <w:b/>
          <w:bCs/>
          <w:i/>
          <w:noProof/>
          <w:lang w:val="en-GB"/>
        </w:rPr>
        <w:t>free of charge</w:t>
      </w:r>
      <w:r w:rsidRPr="00F41B43">
        <w:rPr>
          <w:bCs/>
          <w:i/>
          <w:noProof/>
          <w:lang w:val="en-GB"/>
        </w:rPr>
        <w:t xml:space="preserve"> and in an </w:t>
      </w:r>
      <w:r w:rsidRPr="00F41B43">
        <w:rPr>
          <w:b/>
          <w:bCs/>
          <w:i/>
          <w:noProof/>
          <w:lang w:val="en-GB"/>
        </w:rPr>
        <w:t>easily readable, accessible and</w:t>
      </w:r>
      <w:r w:rsidRPr="00F41B43">
        <w:rPr>
          <w:b/>
          <w:i/>
          <w:noProof/>
          <w:lang w:val="en-GB"/>
        </w:rPr>
        <w:t xml:space="preserve"> commonly used format</w:t>
      </w:r>
      <w:r>
        <w:rPr>
          <w:bCs/>
          <w:i/>
          <w:noProof/>
          <w:lang w:val="en-GB"/>
        </w:rPr>
        <w:t>.</w:t>
      </w:r>
      <w:r w:rsidRPr="00DF4441">
        <w:rPr>
          <w:i/>
          <w:noProof/>
          <w:lang w:val="en-GB"/>
        </w:rPr>
        <w:t xml:space="preserve"> </w:t>
      </w:r>
      <w:r w:rsidR="00950B4D">
        <w:rPr>
          <w:i/>
          <w:noProof/>
          <w:lang w:val="en-GB"/>
        </w:rPr>
        <w:t xml:space="preserve">Data </w:t>
      </w:r>
      <w:r w:rsidR="00D35CE7">
        <w:rPr>
          <w:i/>
          <w:noProof/>
          <w:lang w:val="en-GB"/>
        </w:rPr>
        <w:t xml:space="preserve">can </w:t>
      </w:r>
      <w:r w:rsidR="00950B4D">
        <w:rPr>
          <w:i/>
          <w:noProof/>
          <w:lang w:val="en-GB"/>
        </w:rPr>
        <w:t>be accessed using patient portals, on computers or smart phones</w:t>
      </w:r>
      <w:r w:rsidR="0026538F">
        <w:rPr>
          <w:i/>
          <w:noProof/>
          <w:lang w:val="en-GB"/>
        </w:rPr>
        <w:t>, depending on how the Member States make available this information at national level</w:t>
      </w:r>
      <w:r w:rsidR="00950B4D">
        <w:rPr>
          <w:i/>
          <w:noProof/>
          <w:lang w:val="en-GB"/>
        </w:rPr>
        <w:t xml:space="preserve">. </w:t>
      </w:r>
      <w:r>
        <w:rPr>
          <w:i/>
          <w:noProof/>
          <w:lang w:val="en-GB"/>
        </w:rPr>
        <w:t>F</w:t>
      </w:r>
      <w:r w:rsidRPr="00DF4441">
        <w:rPr>
          <w:i/>
          <w:noProof/>
          <w:lang w:val="en-GB"/>
        </w:rPr>
        <w:t xml:space="preserve">or </w:t>
      </w:r>
      <w:r w:rsidR="003D39C7">
        <w:rPr>
          <w:i/>
          <w:noProof/>
          <w:lang w:val="en-GB"/>
        </w:rPr>
        <w:t>people</w:t>
      </w:r>
      <w:r w:rsidR="003D39C7" w:rsidRPr="00DF4441">
        <w:rPr>
          <w:i/>
          <w:noProof/>
          <w:lang w:val="en-GB"/>
        </w:rPr>
        <w:t xml:space="preserve"> </w:t>
      </w:r>
      <w:r w:rsidRPr="00DF4441">
        <w:rPr>
          <w:i/>
          <w:noProof/>
          <w:lang w:val="en-GB"/>
        </w:rPr>
        <w:t xml:space="preserve">with disabilities to be able to enjoy their rights, </w:t>
      </w:r>
      <w:r w:rsidR="00950B4D">
        <w:rPr>
          <w:i/>
          <w:noProof/>
          <w:lang w:val="en-GB"/>
        </w:rPr>
        <w:t xml:space="preserve">the access </w:t>
      </w:r>
      <w:r w:rsidRPr="00DF4441">
        <w:rPr>
          <w:i/>
          <w:noProof/>
          <w:lang w:val="en-GB"/>
        </w:rPr>
        <w:t>must be accessible in line with the requirements of the European Accessibility Act (Directive 2019/882</w:t>
      </w:r>
      <w:r>
        <w:rPr>
          <w:i/>
          <w:noProof/>
          <w:lang w:val="en-GB"/>
        </w:rPr>
        <w:t>)</w:t>
      </w:r>
      <w:r w:rsidRPr="00DF4441">
        <w:rPr>
          <w:i/>
          <w:noProof/>
          <w:lang w:val="en-GB"/>
        </w:rPr>
        <w:t>;</w:t>
      </w:r>
    </w:p>
    <w:p w14:paraId="4925D6B0" w14:textId="615BFD04" w:rsidR="00B807A9" w:rsidRDefault="00045E3B" w:rsidP="00045E3B">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lang w:val="en-GB"/>
        </w:rPr>
      </w:pPr>
      <w:r w:rsidRPr="00F41B43">
        <w:rPr>
          <w:i/>
          <w:noProof/>
          <w:lang w:val="en-GB"/>
        </w:rPr>
        <w:t xml:space="preserve">- </w:t>
      </w:r>
      <w:r w:rsidR="00B807A9">
        <w:rPr>
          <w:i/>
          <w:noProof/>
          <w:lang w:val="en-GB"/>
        </w:rPr>
        <w:t xml:space="preserve">share their data in electronic form with </w:t>
      </w:r>
      <w:r w:rsidR="00B807A9" w:rsidRPr="00CC425E">
        <w:rPr>
          <w:b/>
          <w:i/>
          <w:noProof/>
          <w:lang w:val="en-GB"/>
        </w:rPr>
        <w:t>other health professionals</w:t>
      </w:r>
      <w:r w:rsidR="003D39C7" w:rsidRPr="003D39C7">
        <w:rPr>
          <w:i/>
          <w:noProof/>
          <w:lang w:val="en-GB"/>
        </w:rPr>
        <w:t xml:space="preserve"> </w:t>
      </w:r>
      <w:r w:rsidR="003D39C7">
        <w:rPr>
          <w:i/>
          <w:noProof/>
          <w:lang w:val="en-GB"/>
        </w:rPr>
        <w:t>when going to another hospital</w:t>
      </w:r>
      <w:r w:rsidR="00C6043F">
        <w:rPr>
          <w:i/>
          <w:noProof/>
          <w:lang w:val="en-GB"/>
        </w:rPr>
        <w:t>,</w:t>
      </w:r>
      <w:r w:rsidR="00457CE9">
        <w:rPr>
          <w:i/>
          <w:noProof/>
          <w:lang w:val="en-GB"/>
        </w:rPr>
        <w:t xml:space="preserve"> </w:t>
      </w:r>
      <w:r w:rsidR="00C6043F" w:rsidRPr="00F41B43">
        <w:rPr>
          <w:i/>
          <w:noProof/>
          <w:lang w:val="en-GB"/>
        </w:rPr>
        <w:t xml:space="preserve">without hindrance from </w:t>
      </w:r>
      <w:r w:rsidR="00C6043F">
        <w:rPr>
          <w:i/>
          <w:noProof/>
          <w:lang w:val="en-GB"/>
        </w:rPr>
        <w:t>previous h</w:t>
      </w:r>
      <w:r w:rsidR="00C6043F" w:rsidRPr="00F41B43">
        <w:rPr>
          <w:i/>
          <w:noProof/>
          <w:lang w:val="en-GB"/>
        </w:rPr>
        <w:t>ealthcare providers or manufacturers</w:t>
      </w:r>
      <w:r w:rsidR="00C6043F">
        <w:rPr>
          <w:i/>
          <w:noProof/>
          <w:lang w:val="en-GB"/>
        </w:rPr>
        <w:t>;</w:t>
      </w:r>
    </w:p>
    <w:p w14:paraId="4BAA0AF5" w14:textId="77777777" w:rsidR="00A140C9" w:rsidRDefault="00045E3B" w:rsidP="00045E3B">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lang w:val="en-GB"/>
        </w:rPr>
      </w:pPr>
      <w:r w:rsidRPr="00F41B43">
        <w:rPr>
          <w:i/>
          <w:noProof/>
          <w:lang w:val="en-GB"/>
        </w:rPr>
        <w:t xml:space="preserve">- </w:t>
      </w:r>
      <w:r w:rsidRPr="00AC11D9">
        <w:rPr>
          <w:b/>
          <w:i/>
          <w:noProof/>
          <w:lang w:val="en-GB"/>
        </w:rPr>
        <w:t xml:space="preserve">add data </w:t>
      </w:r>
      <w:r w:rsidRPr="00AC11D9">
        <w:rPr>
          <w:i/>
          <w:noProof/>
          <w:lang w:val="en-GB"/>
        </w:rPr>
        <w:t xml:space="preserve">to their electronic </w:t>
      </w:r>
      <w:r>
        <w:rPr>
          <w:i/>
          <w:noProof/>
          <w:lang w:val="en-GB"/>
        </w:rPr>
        <w:t xml:space="preserve">health record for </w:t>
      </w:r>
      <w:r w:rsidRPr="00AC11D9">
        <w:rPr>
          <w:i/>
          <w:noProof/>
          <w:lang w:val="en-GB"/>
        </w:rPr>
        <w:t>themselves</w:t>
      </w:r>
      <w:r w:rsidRPr="00AC11D9">
        <w:rPr>
          <w:b/>
          <w:i/>
          <w:noProof/>
          <w:lang w:val="en-GB"/>
        </w:rPr>
        <w:t xml:space="preserve"> </w:t>
      </w:r>
      <w:r w:rsidRPr="00F41B43">
        <w:rPr>
          <w:i/>
          <w:noProof/>
          <w:lang w:val="en-GB"/>
        </w:rPr>
        <w:t xml:space="preserve">or for </w:t>
      </w:r>
      <w:r w:rsidR="00A140C9">
        <w:rPr>
          <w:i/>
          <w:noProof/>
          <w:lang w:val="en-GB"/>
        </w:rPr>
        <w:t xml:space="preserve">people who trust them, such as </w:t>
      </w:r>
      <w:r>
        <w:rPr>
          <w:i/>
          <w:noProof/>
          <w:lang w:val="en-GB"/>
        </w:rPr>
        <w:t>their children</w:t>
      </w:r>
      <w:r w:rsidR="00A140C9">
        <w:rPr>
          <w:i/>
          <w:noProof/>
          <w:lang w:val="en-GB"/>
        </w:rPr>
        <w:t xml:space="preserve">; </w:t>
      </w:r>
    </w:p>
    <w:p w14:paraId="55733DDB" w14:textId="77777777" w:rsidR="00045E3B" w:rsidRPr="00F41B43" w:rsidRDefault="00821931" w:rsidP="00045E3B">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lang w:val="en-GB"/>
        </w:rPr>
      </w:pPr>
      <w:r>
        <w:rPr>
          <w:i/>
          <w:noProof/>
          <w:lang w:val="en-GB"/>
        </w:rPr>
        <w:t xml:space="preserve">- </w:t>
      </w:r>
      <w:r w:rsidR="00A140C9" w:rsidRPr="00CC425E">
        <w:rPr>
          <w:b/>
          <w:i/>
          <w:noProof/>
          <w:lang w:val="en-GB"/>
        </w:rPr>
        <w:t xml:space="preserve">request </w:t>
      </w:r>
      <w:r w:rsidR="003D39C7">
        <w:rPr>
          <w:b/>
          <w:i/>
          <w:noProof/>
          <w:lang w:val="en-GB"/>
        </w:rPr>
        <w:t xml:space="preserve">changes </w:t>
      </w:r>
      <w:r w:rsidR="00A140C9" w:rsidRPr="00CC425E">
        <w:rPr>
          <w:b/>
          <w:i/>
          <w:noProof/>
          <w:lang w:val="en-GB"/>
        </w:rPr>
        <w:t xml:space="preserve">to </w:t>
      </w:r>
      <w:r w:rsidR="00A140C9">
        <w:rPr>
          <w:i/>
          <w:noProof/>
          <w:lang w:val="en-GB"/>
        </w:rPr>
        <w:t>erroneous data</w:t>
      </w:r>
      <w:r w:rsidR="003D39C7" w:rsidRPr="003D39C7">
        <w:rPr>
          <w:b/>
          <w:i/>
          <w:noProof/>
          <w:lang w:val="en-GB"/>
        </w:rPr>
        <w:t xml:space="preserve"> </w:t>
      </w:r>
      <w:r w:rsidR="003D39C7" w:rsidRPr="00CC425E">
        <w:rPr>
          <w:b/>
          <w:i/>
          <w:noProof/>
          <w:lang w:val="en-GB"/>
        </w:rPr>
        <w:t>online</w:t>
      </w:r>
      <w:r w:rsidR="00045E3B">
        <w:rPr>
          <w:i/>
          <w:noProof/>
          <w:lang w:val="en-GB"/>
        </w:rPr>
        <w:t>;</w:t>
      </w:r>
    </w:p>
    <w:p w14:paraId="4118E721" w14:textId="77777777" w:rsidR="00045E3B" w:rsidRDefault="00045E3B" w:rsidP="00045E3B">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lang w:val="en-GB"/>
        </w:rPr>
      </w:pPr>
      <w:r w:rsidRPr="00F41B43">
        <w:rPr>
          <w:i/>
          <w:noProof/>
          <w:lang w:val="en-GB"/>
        </w:rPr>
        <w:t>-</w:t>
      </w:r>
      <w:r>
        <w:rPr>
          <w:i/>
          <w:noProof/>
          <w:lang w:val="en-GB"/>
        </w:rPr>
        <w:t xml:space="preserve"> </w:t>
      </w:r>
      <w:r w:rsidRPr="00F41B43">
        <w:rPr>
          <w:b/>
          <w:i/>
          <w:noProof/>
          <w:lang w:val="en-GB"/>
        </w:rPr>
        <w:t>restrict access</w:t>
      </w:r>
      <w:r w:rsidRPr="00F41B43">
        <w:rPr>
          <w:i/>
          <w:noProof/>
          <w:lang w:val="en-GB"/>
        </w:rPr>
        <w:t xml:space="preserve"> to their electronic health data or part of the data</w:t>
      </w:r>
      <w:r>
        <w:rPr>
          <w:i/>
          <w:noProof/>
          <w:lang w:val="en-GB"/>
        </w:rPr>
        <w:t>; i</w:t>
      </w:r>
      <w:r w:rsidRPr="00F41B43">
        <w:rPr>
          <w:i/>
          <w:noProof/>
          <w:lang w:val="en-GB"/>
        </w:rPr>
        <w:t xml:space="preserve">n cases of vital interest, where </w:t>
      </w:r>
      <w:r>
        <w:rPr>
          <w:i/>
          <w:noProof/>
          <w:lang w:val="en-GB"/>
        </w:rPr>
        <w:t>thei</w:t>
      </w:r>
      <w:r w:rsidRPr="00F41B43">
        <w:rPr>
          <w:i/>
          <w:noProof/>
          <w:lang w:val="en-GB"/>
        </w:rPr>
        <w:t>r life is at stake</w:t>
      </w:r>
      <w:r>
        <w:rPr>
          <w:i/>
          <w:noProof/>
          <w:lang w:val="en-GB"/>
        </w:rPr>
        <w:t>, such data may however be made available with additional restrictions;</w:t>
      </w:r>
    </w:p>
    <w:p w14:paraId="7367BE64" w14:textId="77777777" w:rsidR="00045E3B" w:rsidRDefault="00045E3B" w:rsidP="00045E3B">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lang w:val="en-GB"/>
        </w:rPr>
      </w:pPr>
      <w:r w:rsidRPr="00F41B43">
        <w:rPr>
          <w:i/>
          <w:noProof/>
          <w:lang w:val="en-GB"/>
        </w:rPr>
        <w:t xml:space="preserve">- easily </w:t>
      </w:r>
      <w:r>
        <w:rPr>
          <w:i/>
          <w:noProof/>
          <w:lang w:val="en-GB"/>
        </w:rPr>
        <w:t>obtain</w:t>
      </w:r>
      <w:r w:rsidRPr="00F41B43">
        <w:rPr>
          <w:i/>
          <w:noProof/>
          <w:lang w:val="en-GB"/>
        </w:rPr>
        <w:t xml:space="preserve"> </w:t>
      </w:r>
      <w:r w:rsidRPr="00F41B43">
        <w:rPr>
          <w:b/>
          <w:i/>
          <w:noProof/>
          <w:lang w:val="en-GB"/>
        </w:rPr>
        <w:t xml:space="preserve">information on </w:t>
      </w:r>
      <w:r w:rsidR="003D39C7">
        <w:rPr>
          <w:b/>
          <w:i/>
          <w:noProof/>
          <w:lang w:val="en-GB"/>
        </w:rPr>
        <w:t>which</w:t>
      </w:r>
      <w:r w:rsidR="00DA0B76">
        <w:rPr>
          <w:b/>
          <w:i/>
          <w:noProof/>
          <w:lang w:val="en-GB"/>
        </w:rPr>
        <w:t xml:space="preserve"> professional</w:t>
      </w:r>
      <w:r w:rsidR="003D39C7">
        <w:rPr>
          <w:b/>
          <w:i/>
          <w:noProof/>
          <w:lang w:val="en-GB"/>
        </w:rPr>
        <w:t>(s)</w:t>
      </w:r>
      <w:r w:rsidR="00DA0B76">
        <w:rPr>
          <w:b/>
          <w:i/>
          <w:noProof/>
          <w:lang w:val="en-GB"/>
        </w:rPr>
        <w:t xml:space="preserve"> accessed the</w:t>
      </w:r>
      <w:r w:rsidR="00E40975">
        <w:rPr>
          <w:b/>
          <w:i/>
          <w:noProof/>
          <w:lang w:val="en-GB"/>
        </w:rPr>
        <w:t>ir</w:t>
      </w:r>
      <w:r w:rsidR="00DA0B76">
        <w:rPr>
          <w:b/>
          <w:i/>
          <w:noProof/>
          <w:lang w:val="en-GB"/>
        </w:rPr>
        <w:t xml:space="preserve"> data</w:t>
      </w:r>
      <w:r>
        <w:rPr>
          <w:i/>
          <w:noProof/>
          <w:lang w:val="en-GB"/>
        </w:rPr>
        <w:t>;</w:t>
      </w:r>
    </w:p>
    <w:p w14:paraId="1231645D" w14:textId="1E448CCC" w:rsidR="00C4776C" w:rsidRPr="00C4776C" w:rsidRDefault="00C4776C" w:rsidP="00C4776C">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lang w:val="en-GB"/>
        </w:rPr>
      </w:pPr>
      <w:r w:rsidRPr="00C4776C">
        <w:rPr>
          <w:i/>
          <w:noProof/>
          <w:lang w:val="en-GB"/>
        </w:rPr>
        <w:t xml:space="preserve">Member States are required to designate digital health authorities that will have a fundamental role in enforcing the </w:t>
      </w:r>
      <w:r w:rsidR="00473B7E" w:rsidRPr="00C4776C">
        <w:rPr>
          <w:i/>
          <w:noProof/>
          <w:lang w:val="en-GB"/>
        </w:rPr>
        <w:t>above-mentioned</w:t>
      </w:r>
      <w:r w:rsidRPr="00C4776C">
        <w:rPr>
          <w:i/>
          <w:noProof/>
          <w:lang w:val="en-GB"/>
        </w:rPr>
        <w:t xml:space="preserve"> rights.</w:t>
      </w:r>
    </w:p>
    <w:bookmarkEnd w:id="5"/>
    <w:p w14:paraId="78A706E9" w14:textId="4264AB5A" w:rsidR="00045E3B" w:rsidRPr="00F41B43" w:rsidRDefault="00045E3B" w:rsidP="00CB74D2">
      <w:pPr>
        <w:rPr>
          <w:noProof/>
          <w:lang w:val="en-GB"/>
        </w:rPr>
      </w:pPr>
      <w:r w:rsidRPr="00F41B43">
        <w:rPr>
          <w:b/>
          <w:noProof/>
          <w:u w:val="single"/>
          <w:lang w:val="en-GB"/>
        </w:rPr>
        <w:t>Health professionals</w:t>
      </w:r>
      <w:r>
        <w:rPr>
          <w:b/>
          <w:noProof/>
          <w:u w:val="single"/>
          <w:lang w:val="en-GB"/>
        </w:rPr>
        <w:t>’</w:t>
      </w:r>
      <w:r w:rsidRPr="00F41B43">
        <w:rPr>
          <w:noProof/>
          <w:lang w:val="en-GB"/>
        </w:rPr>
        <w:t xml:space="preserve"> work </w:t>
      </w:r>
      <w:r>
        <w:rPr>
          <w:noProof/>
          <w:lang w:val="en-GB"/>
        </w:rPr>
        <w:t xml:space="preserve">will be </w:t>
      </w:r>
      <w:r w:rsidRPr="00F41B43">
        <w:rPr>
          <w:noProof/>
          <w:lang w:val="en-GB"/>
        </w:rPr>
        <w:t>made easier</w:t>
      </w:r>
      <w:r>
        <w:rPr>
          <w:noProof/>
          <w:lang w:val="en-GB"/>
        </w:rPr>
        <w:t xml:space="preserve"> and more effective</w:t>
      </w:r>
      <w:r w:rsidR="00EE4617">
        <w:rPr>
          <w:noProof/>
          <w:lang w:val="en-GB"/>
        </w:rPr>
        <w:t xml:space="preserve"> with more</w:t>
      </w:r>
      <w:r w:rsidR="008C6280">
        <w:rPr>
          <w:noProof/>
          <w:lang w:val="en-GB"/>
        </w:rPr>
        <w:t xml:space="preserve"> </w:t>
      </w:r>
      <w:r w:rsidR="002E33B4">
        <w:rPr>
          <w:noProof/>
          <w:lang w:val="en-GB"/>
        </w:rPr>
        <w:t>efficient</w:t>
      </w:r>
      <w:r w:rsidR="008C6280">
        <w:rPr>
          <w:noProof/>
          <w:lang w:val="en-GB"/>
        </w:rPr>
        <w:t xml:space="preserve"> access to health data of their patients</w:t>
      </w:r>
      <w:r w:rsidR="00EE4617">
        <w:rPr>
          <w:noProof/>
          <w:lang w:val="en-GB"/>
        </w:rPr>
        <w:t xml:space="preserve">. </w:t>
      </w:r>
      <w:r w:rsidR="008C6280">
        <w:rPr>
          <w:noProof/>
          <w:lang w:val="en-GB"/>
        </w:rPr>
        <w:t xml:space="preserve">Member States </w:t>
      </w:r>
      <w:r w:rsidR="00EE4617">
        <w:rPr>
          <w:noProof/>
          <w:lang w:val="en-GB"/>
        </w:rPr>
        <w:t>should</w:t>
      </w:r>
      <w:r w:rsidR="008C6280">
        <w:rPr>
          <w:noProof/>
          <w:lang w:val="en-GB"/>
        </w:rPr>
        <w:t xml:space="preserve"> support professionals in this endeavour. </w:t>
      </w:r>
      <w:r w:rsidR="0047595B">
        <w:rPr>
          <w:noProof/>
          <w:lang w:val="en-GB"/>
        </w:rPr>
        <w:t>However, a</w:t>
      </w:r>
      <w:r>
        <w:rPr>
          <w:noProof/>
          <w:lang w:val="en-GB"/>
        </w:rPr>
        <w:t>dapting</w:t>
      </w:r>
      <w:r w:rsidRPr="00F41B43">
        <w:rPr>
          <w:noProof/>
          <w:lang w:val="en-GB"/>
        </w:rPr>
        <w:t xml:space="preserve"> legal frameworks</w:t>
      </w:r>
      <w:r>
        <w:rPr>
          <w:noProof/>
          <w:lang w:val="en-GB"/>
        </w:rPr>
        <w:t xml:space="preserve"> to secure</w:t>
      </w:r>
      <w:r w:rsidRPr="00F41B43">
        <w:rPr>
          <w:noProof/>
          <w:lang w:val="en-GB"/>
        </w:rPr>
        <w:t xml:space="preserve"> the right safeguards and ethical standards is only a first step. </w:t>
      </w:r>
      <w:r>
        <w:rPr>
          <w:noProof/>
          <w:lang w:val="en-GB"/>
        </w:rPr>
        <w:t>Comprehensive</w:t>
      </w:r>
      <w:r w:rsidRPr="00F41B43">
        <w:rPr>
          <w:noProof/>
          <w:lang w:val="en-GB"/>
        </w:rPr>
        <w:t xml:space="preserve"> monitoring to assess the true impact of digital technologies on patient care and health outcome</w:t>
      </w:r>
      <w:r>
        <w:rPr>
          <w:noProof/>
          <w:lang w:val="en-GB"/>
        </w:rPr>
        <w:t>s</w:t>
      </w:r>
      <w:r w:rsidRPr="00F41B43">
        <w:rPr>
          <w:noProof/>
          <w:lang w:val="en-GB"/>
        </w:rPr>
        <w:t xml:space="preserve"> is </w:t>
      </w:r>
      <w:r>
        <w:rPr>
          <w:noProof/>
          <w:lang w:val="en-GB"/>
        </w:rPr>
        <w:t xml:space="preserve">also </w:t>
      </w:r>
      <w:r w:rsidRPr="00F41B43">
        <w:rPr>
          <w:noProof/>
          <w:lang w:val="en-GB"/>
        </w:rPr>
        <w:t xml:space="preserve">needed. </w:t>
      </w:r>
      <w:r>
        <w:rPr>
          <w:noProof/>
          <w:lang w:val="en-GB"/>
        </w:rPr>
        <w:t xml:space="preserve">Training </w:t>
      </w:r>
      <w:r w:rsidRPr="00F41B43">
        <w:rPr>
          <w:noProof/>
          <w:lang w:val="en-GB"/>
        </w:rPr>
        <w:t xml:space="preserve">health professionals </w:t>
      </w:r>
      <w:r>
        <w:rPr>
          <w:noProof/>
          <w:lang w:val="en-GB"/>
        </w:rPr>
        <w:t xml:space="preserve">to </w:t>
      </w:r>
      <w:r w:rsidRPr="00F41B43">
        <w:rPr>
          <w:noProof/>
          <w:lang w:val="en-GB"/>
        </w:rPr>
        <w:t>use digital technologies is</w:t>
      </w:r>
      <w:r>
        <w:rPr>
          <w:noProof/>
          <w:lang w:val="en-GB"/>
        </w:rPr>
        <w:t xml:space="preserve"> </w:t>
      </w:r>
      <w:r w:rsidRPr="00F41B43">
        <w:rPr>
          <w:noProof/>
          <w:lang w:val="en-GB"/>
        </w:rPr>
        <w:t>a</w:t>
      </w:r>
      <w:r>
        <w:rPr>
          <w:noProof/>
          <w:lang w:val="en-GB"/>
        </w:rPr>
        <w:t>nother</w:t>
      </w:r>
      <w:r w:rsidRPr="00F41B43">
        <w:rPr>
          <w:noProof/>
          <w:lang w:val="en-GB"/>
        </w:rPr>
        <w:t xml:space="preserve"> precondition.  </w:t>
      </w:r>
    </w:p>
    <w:p w14:paraId="3AC11A1F" w14:textId="38DA5C01" w:rsidR="00045E3B" w:rsidRPr="00F41B43" w:rsidRDefault="00045E3B" w:rsidP="00045E3B">
      <w:pPr>
        <w:rPr>
          <w:noProof/>
          <w:lang w:val="en-GB"/>
        </w:rPr>
      </w:pPr>
      <w:r w:rsidRPr="00F41B43">
        <w:rPr>
          <w:noProof/>
          <w:lang w:val="en-GB"/>
        </w:rPr>
        <w:t xml:space="preserve">With improved interoperability, health professionals will be able to access </w:t>
      </w:r>
      <w:r>
        <w:rPr>
          <w:noProof/>
          <w:lang w:val="en-GB"/>
        </w:rPr>
        <w:t xml:space="preserve">a patient’s </w:t>
      </w:r>
      <w:r w:rsidRPr="00F41B43">
        <w:rPr>
          <w:noProof/>
          <w:lang w:val="en-GB"/>
        </w:rPr>
        <w:t>medical history, thus increasing the evidence</w:t>
      </w:r>
      <w:r>
        <w:rPr>
          <w:noProof/>
          <w:lang w:val="en-GB"/>
        </w:rPr>
        <w:t xml:space="preserve"> </w:t>
      </w:r>
      <w:r w:rsidRPr="00F41B43">
        <w:rPr>
          <w:noProof/>
          <w:lang w:val="en-GB"/>
        </w:rPr>
        <w:t>base for decisi</w:t>
      </w:r>
      <w:r>
        <w:rPr>
          <w:noProof/>
          <w:lang w:val="en-GB"/>
        </w:rPr>
        <w:t>ons on treatment and diagnosis.</w:t>
      </w:r>
      <w:r w:rsidRPr="00F41B43">
        <w:rPr>
          <w:noProof/>
          <w:lang w:val="en-GB"/>
        </w:rPr>
        <w:t xml:space="preserve"> This </w:t>
      </w:r>
      <w:r>
        <w:rPr>
          <w:noProof/>
          <w:lang w:val="en-GB"/>
        </w:rPr>
        <w:t xml:space="preserve">will make </w:t>
      </w:r>
      <w:r w:rsidRPr="00F41B43">
        <w:rPr>
          <w:noProof/>
          <w:lang w:val="en-GB"/>
        </w:rPr>
        <w:t>healthcare system</w:t>
      </w:r>
      <w:r>
        <w:rPr>
          <w:noProof/>
          <w:lang w:val="en-GB"/>
        </w:rPr>
        <w:t>s more</w:t>
      </w:r>
      <w:r w:rsidRPr="00F41B43">
        <w:rPr>
          <w:noProof/>
          <w:lang w:val="en-GB"/>
        </w:rPr>
        <w:t xml:space="preserve"> efficien</w:t>
      </w:r>
      <w:r>
        <w:rPr>
          <w:noProof/>
          <w:lang w:val="en-GB"/>
        </w:rPr>
        <w:t>t</w:t>
      </w:r>
      <w:r w:rsidRPr="00F41B43">
        <w:rPr>
          <w:noProof/>
          <w:lang w:val="en-GB"/>
        </w:rPr>
        <w:t xml:space="preserve"> and reduce</w:t>
      </w:r>
      <w:r>
        <w:rPr>
          <w:noProof/>
          <w:lang w:val="en-GB"/>
        </w:rPr>
        <w:t xml:space="preserve"> </w:t>
      </w:r>
      <w:r w:rsidRPr="00F41B43">
        <w:rPr>
          <w:noProof/>
          <w:lang w:val="en-GB"/>
        </w:rPr>
        <w:t>costs</w:t>
      </w:r>
      <w:r>
        <w:rPr>
          <w:noProof/>
          <w:lang w:val="en-GB"/>
        </w:rPr>
        <w:t>, because</w:t>
      </w:r>
      <w:r w:rsidRPr="00F41B43">
        <w:rPr>
          <w:noProof/>
          <w:lang w:val="en-GB"/>
        </w:rPr>
        <w:t xml:space="preserve"> health professionals will spend less time copying data from </w:t>
      </w:r>
      <w:r w:rsidR="001B249C">
        <w:rPr>
          <w:noProof/>
          <w:lang w:val="en-GB"/>
        </w:rPr>
        <w:t>multiple</w:t>
      </w:r>
      <w:r w:rsidR="001B249C" w:rsidRPr="00F41B43">
        <w:rPr>
          <w:noProof/>
          <w:lang w:val="en-GB"/>
        </w:rPr>
        <w:t xml:space="preserve"> </w:t>
      </w:r>
      <w:r w:rsidRPr="00F41B43">
        <w:rPr>
          <w:noProof/>
          <w:lang w:val="en-GB"/>
        </w:rPr>
        <w:t xml:space="preserve">sources in </w:t>
      </w:r>
      <w:r w:rsidR="001B249C">
        <w:rPr>
          <w:noProof/>
          <w:lang w:val="en-GB"/>
        </w:rPr>
        <w:t>multiple</w:t>
      </w:r>
      <w:r w:rsidR="001B249C" w:rsidRPr="00F41B43">
        <w:rPr>
          <w:noProof/>
          <w:lang w:val="en-GB"/>
        </w:rPr>
        <w:t xml:space="preserve"> </w:t>
      </w:r>
      <w:r w:rsidRPr="00F41B43">
        <w:rPr>
          <w:noProof/>
          <w:lang w:val="en-GB"/>
        </w:rPr>
        <w:t xml:space="preserve">formats, </w:t>
      </w:r>
      <w:r>
        <w:rPr>
          <w:noProof/>
          <w:lang w:val="en-GB"/>
        </w:rPr>
        <w:t xml:space="preserve">and will </w:t>
      </w:r>
      <w:r w:rsidRPr="00F41B43">
        <w:rPr>
          <w:noProof/>
          <w:lang w:val="en-GB"/>
        </w:rPr>
        <w:t xml:space="preserve">no longer redo the same tests. The </w:t>
      </w:r>
      <w:r>
        <w:rPr>
          <w:noProof/>
          <w:lang w:val="en-GB"/>
        </w:rPr>
        <w:t xml:space="preserve">take-up </w:t>
      </w:r>
      <w:r w:rsidRPr="00F41B43">
        <w:rPr>
          <w:noProof/>
          <w:lang w:val="en-GB"/>
        </w:rPr>
        <w:t xml:space="preserve">of more advanced digital technologies needs to be </w:t>
      </w:r>
      <w:r>
        <w:rPr>
          <w:noProof/>
          <w:lang w:val="en-GB"/>
        </w:rPr>
        <w:t>promoted,</w:t>
      </w:r>
      <w:r w:rsidRPr="00F41B43">
        <w:rPr>
          <w:noProof/>
          <w:lang w:val="en-GB"/>
        </w:rPr>
        <w:t xml:space="preserve"> involv</w:t>
      </w:r>
      <w:r>
        <w:rPr>
          <w:noProof/>
          <w:lang w:val="en-GB"/>
        </w:rPr>
        <w:t>ing</w:t>
      </w:r>
      <w:r w:rsidRPr="00F41B43">
        <w:rPr>
          <w:noProof/>
          <w:lang w:val="en-GB"/>
        </w:rPr>
        <w:t xml:space="preserve"> and training the potential users. </w:t>
      </w:r>
    </w:p>
    <w:p w14:paraId="1D13EC4F" w14:textId="77777777" w:rsidR="00045E3B" w:rsidRPr="00F41B43" w:rsidRDefault="00045E3B" w:rsidP="00045E3B">
      <w:pPr>
        <w:rPr>
          <w:noProof/>
          <w:lang w:val="en-GB"/>
        </w:rPr>
      </w:pPr>
      <w:r w:rsidRPr="00F41B43">
        <w:rPr>
          <w:noProof/>
          <w:lang w:val="en-GB"/>
        </w:rPr>
        <w:t xml:space="preserve">Digital technologies can provide solutions to problems that health workers encounter in their routine tasks. </w:t>
      </w:r>
      <w:r>
        <w:rPr>
          <w:noProof/>
          <w:lang w:val="en-GB"/>
        </w:rPr>
        <w:t>Digital technologies</w:t>
      </w:r>
      <w:r w:rsidRPr="00F41B43">
        <w:rPr>
          <w:noProof/>
          <w:lang w:val="en-GB"/>
        </w:rPr>
        <w:t xml:space="preserve"> can make daily workflows easier, reducing administrative burden</w:t>
      </w:r>
      <w:r>
        <w:rPr>
          <w:noProof/>
          <w:lang w:val="en-GB"/>
        </w:rPr>
        <w:t xml:space="preserve"> and freeing up time for more patient</w:t>
      </w:r>
      <w:r w:rsidR="005200FB">
        <w:rPr>
          <w:noProof/>
          <w:lang w:val="en-GB"/>
        </w:rPr>
        <w:t>-</w:t>
      </w:r>
      <w:r>
        <w:rPr>
          <w:noProof/>
          <w:lang w:val="en-GB"/>
        </w:rPr>
        <w:t>focused care.</w:t>
      </w:r>
      <w:r w:rsidRPr="00F41B43">
        <w:rPr>
          <w:noProof/>
          <w:lang w:val="en-GB"/>
        </w:rPr>
        <w:t xml:space="preserve"> </w:t>
      </w:r>
      <w:r>
        <w:rPr>
          <w:noProof/>
          <w:lang w:val="en-GB"/>
        </w:rPr>
        <w:t>A</w:t>
      </w:r>
      <w:r w:rsidRPr="00F41B43">
        <w:rPr>
          <w:noProof/>
          <w:lang w:val="en-GB"/>
        </w:rPr>
        <w:t>bove all</w:t>
      </w:r>
      <w:r>
        <w:rPr>
          <w:noProof/>
          <w:lang w:val="en-GB"/>
        </w:rPr>
        <w:t>,</w:t>
      </w:r>
      <w:r w:rsidRPr="00F41B43">
        <w:rPr>
          <w:noProof/>
          <w:lang w:val="en-GB"/>
        </w:rPr>
        <w:t xml:space="preserve"> they can add value in clinical practice, helping achieve better health outcomes </w:t>
      </w:r>
      <w:r>
        <w:rPr>
          <w:noProof/>
          <w:lang w:val="en-GB"/>
        </w:rPr>
        <w:t>for</w:t>
      </w:r>
      <w:r w:rsidRPr="00F41B43">
        <w:rPr>
          <w:noProof/>
          <w:lang w:val="en-GB"/>
        </w:rPr>
        <w:t xml:space="preserve"> patients. However, </w:t>
      </w:r>
      <w:r w:rsidRPr="00D87E33">
        <w:rPr>
          <w:noProof/>
          <w:lang w:val="en-GB"/>
        </w:rPr>
        <w:t xml:space="preserve">providing tools alone will not bring about a </w:t>
      </w:r>
      <w:r w:rsidRPr="00F41B43">
        <w:rPr>
          <w:noProof/>
          <w:lang w:val="en-GB"/>
        </w:rPr>
        <w:t xml:space="preserve">successful digital transformation. </w:t>
      </w:r>
      <w:r>
        <w:rPr>
          <w:noProof/>
          <w:lang w:val="en-GB"/>
        </w:rPr>
        <w:t>H</w:t>
      </w:r>
      <w:r w:rsidRPr="00F41B43">
        <w:rPr>
          <w:noProof/>
          <w:lang w:val="en-GB"/>
        </w:rPr>
        <w:t xml:space="preserve">ealth professionals </w:t>
      </w:r>
      <w:r>
        <w:rPr>
          <w:noProof/>
          <w:lang w:val="en-GB"/>
        </w:rPr>
        <w:t xml:space="preserve">need to be involved </w:t>
      </w:r>
      <w:r w:rsidRPr="00F41B43">
        <w:rPr>
          <w:noProof/>
          <w:lang w:val="en-GB"/>
        </w:rPr>
        <w:t>in the digital transformation</w:t>
      </w:r>
      <w:r>
        <w:rPr>
          <w:noProof/>
          <w:lang w:val="en-GB"/>
        </w:rPr>
        <w:t xml:space="preserve"> and </w:t>
      </w:r>
      <w:r w:rsidRPr="00F41B43">
        <w:rPr>
          <w:noProof/>
          <w:lang w:val="en-GB"/>
        </w:rPr>
        <w:t xml:space="preserve">in co-designing digital health solutions. </w:t>
      </w:r>
    </w:p>
    <w:p w14:paraId="205D4C65" w14:textId="427BF3B9" w:rsidR="00E27943" w:rsidRPr="00E27943" w:rsidRDefault="00045E3B" w:rsidP="00E27943">
      <w:pPr>
        <w:rPr>
          <w:noProof/>
          <w:lang w:val="en-GB"/>
        </w:rPr>
      </w:pPr>
      <w:r w:rsidRPr="00F41B43">
        <w:rPr>
          <w:b/>
          <w:noProof/>
          <w:u w:val="single"/>
          <w:lang w:val="en-GB"/>
        </w:rPr>
        <w:t>Healthcare providers</w:t>
      </w:r>
      <w:r w:rsidRPr="00F41B43">
        <w:rPr>
          <w:noProof/>
          <w:lang w:val="en-GB"/>
        </w:rPr>
        <w:t xml:space="preserve"> </w:t>
      </w:r>
      <w:r>
        <w:rPr>
          <w:noProof/>
          <w:lang w:val="en-GB"/>
        </w:rPr>
        <w:t>will perform</w:t>
      </w:r>
      <w:r w:rsidRPr="00F41B43">
        <w:rPr>
          <w:noProof/>
          <w:lang w:val="en-GB"/>
        </w:rPr>
        <w:t xml:space="preserve"> </w:t>
      </w:r>
      <w:r>
        <w:rPr>
          <w:noProof/>
          <w:lang w:val="en-GB"/>
        </w:rPr>
        <w:t>fewer</w:t>
      </w:r>
      <w:r w:rsidRPr="00F41B43">
        <w:rPr>
          <w:noProof/>
          <w:lang w:val="en-GB"/>
        </w:rPr>
        <w:t xml:space="preserve"> unnecessary tests, with positive effects for patients and healthcare expenditure. </w:t>
      </w:r>
      <w:r w:rsidR="002F5048" w:rsidRPr="002F5048">
        <w:rPr>
          <w:noProof/>
          <w:lang w:val="en-GB"/>
        </w:rPr>
        <w:t xml:space="preserve">Optimising the use of health data has the potential to bring significant benefits and improve the effectiveness of healthcare systems. </w:t>
      </w:r>
      <w:r w:rsidR="00473B7E" w:rsidRPr="002F5048">
        <w:rPr>
          <w:noProof/>
          <w:lang w:val="en-GB"/>
        </w:rPr>
        <w:t>The health services sector</w:t>
      </w:r>
      <w:r w:rsidR="002F5048" w:rsidRPr="002F5048">
        <w:rPr>
          <w:noProof/>
          <w:lang w:val="en-GB"/>
        </w:rPr>
        <w:t xml:space="preserve"> represents approximately 10%</w:t>
      </w:r>
      <w:r w:rsidR="00247ADE">
        <w:rPr>
          <w:noProof/>
          <w:lang w:val="en-GB"/>
        </w:rPr>
        <w:t xml:space="preserve"> </w:t>
      </w:r>
      <w:r w:rsidR="002F5048" w:rsidRPr="002F5048">
        <w:rPr>
          <w:noProof/>
          <w:lang w:val="en-GB"/>
        </w:rPr>
        <w:t>of the EU’s GDP (2019) and includes both public and private providers</w:t>
      </w:r>
      <w:r w:rsidR="00552AAF">
        <w:rPr>
          <w:rStyle w:val="FootnoteReference"/>
          <w:noProof/>
          <w:lang w:val="en-GB"/>
        </w:rPr>
        <w:footnoteReference w:id="45"/>
      </w:r>
      <w:r w:rsidR="002F5048" w:rsidRPr="002F5048">
        <w:rPr>
          <w:noProof/>
          <w:lang w:val="en-GB"/>
        </w:rPr>
        <w:t xml:space="preserve">. It is a fundamental ecosystem for both the wellbeing of Europeans and the economy of the EU. With the right tools and solutions in place, it can be more efficient without hampering the performance of healthcare systems. One such solution is to avoid repeating unnecessary tests by strengthening interoperability to support data exchange between healthcare providers within countries and across borders. </w:t>
      </w:r>
      <w:r w:rsidR="0047595B" w:rsidRPr="00F41B43">
        <w:rPr>
          <w:noProof/>
          <w:lang w:val="en-GB"/>
        </w:rPr>
        <w:t xml:space="preserve">The </w:t>
      </w:r>
      <w:r w:rsidR="0047595B" w:rsidRPr="00647410">
        <w:rPr>
          <w:noProof/>
          <w:lang w:val="en-GB"/>
        </w:rPr>
        <w:t>Organisation for Economic Co-operation and Development</w:t>
      </w:r>
      <w:r w:rsidR="0047595B" w:rsidRPr="00F41B43">
        <w:rPr>
          <w:noProof/>
          <w:lang w:val="en-GB"/>
        </w:rPr>
        <w:t xml:space="preserve"> estimate</w:t>
      </w:r>
      <w:r w:rsidR="0047595B">
        <w:rPr>
          <w:noProof/>
          <w:lang w:val="en-GB"/>
        </w:rPr>
        <w:t>s</w:t>
      </w:r>
      <w:r w:rsidR="0047595B" w:rsidRPr="00F41B43">
        <w:rPr>
          <w:noProof/>
          <w:lang w:val="en-GB"/>
        </w:rPr>
        <w:t xml:space="preserve"> that automatic data</w:t>
      </w:r>
      <w:r w:rsidR="0047595B">
        <w:rPr>
          <w:noProof/>
          <w:lang w:val="en-GB"/>
        </w:rPr>
        <w:t>-</w:t>
      </w:r>
      <w:r w:rsidR="0047595B" w:rsidRPr="00F41B43">
        <w:rPr>
          <w:noProof/>
          <w:lang w:val="en-GB"/>
        </w:rPr>
        <w:t>sharing</w:t>
      </w:r>
      <w:r w:rsidR="0047595B">
        <w:rPr>
          <w:noProof/>
          <w:lang w:val="en-GB"/>
        </w:rPr>
        <w:t>, among other things,</w:t>
      </w:r>
      <w:r w:rsidR="0047595B" w:rsidRPr="00F41B43">
        <w:rPr>
          <w:noProof/>
          <w:lang w:val="en-GB"/>
        </w:rPr>
        <w:t xml:space="preserve"> can lead to direct financial savings </w:t>
      </w:r>
      <w:r w:rsidR="0047595B">
        <w:rPr>
          <w:noProof/>
          <w:lang w:val="en-GB"/>
        </w:rPr>
        <w:t xml:space="preserve">of </w:t>
      </w:r>
      <w:r w:rsidR="0047595B" w:rsidRPr="00F41B43">
        <w:rPr>
          <w:noProof/>
          <w:lang w:val="en-GB"/>
        </w:rPr>
        <w:t xml:space="preserve">as </w:t>
      </w:r>
      <w:r w:rsidR="0047595B">
        <w:rPr>
          <w:noProof/>
          <w:lang w:val="en-GB"/>
        </w:rPr>
        <w:t xml:space="preserve">much </w:t>
      </w:r>
      <w:r w:rsidR="0047595B" w:rsidRPr="00F41B43">
        <w:rPr>
          <w:noProof/>
          <w:lang w:val="en-GB"/>
        </w:rPr>
        <w:t>as 15% of hospital expenditure</w:t>
      </w:r>
      <w:r w:rsidR="0047595B">
        <w:rPr>
          <w:rStyle w:val="FootnoteReference"/>
          <w:noProof/>
          <w:lang w:val="en-GB"/>
        </w:rPr>
        <w:footnoteReference w:id="46"/>
      </w:r>
      <w:r w:rsidR="0047595B" w:rsidRPr="00F41B43">
        <w:rPr>
          <w:noProof/>
          <w:lang w:val="en-GB"/>
        </w:rPr>
        <w:t xml:space="preserve">. </w:t>
      </w:r>
      <w:r w:rsidR="0047595B" w:rsidRPr="00647410">
        <w:rPr>
          <w:noProof/>
          <w:lang w:val="en-GB"/>
        </w:rPr>
        <w:t>This comes from avoiding costs of capturing data from paper and reducing errors when transcribing information</w:t>
      </w:r>
      <w:r w:rsidR="0047595B" w:rsidRPr="00F41B43">
        <w:rPr>
          <w:noProof/>
          <w:lang w:val="en-GB"/>
        </w:rPr>
        <w:t xml:space="preserve">. </w:t>
      </w:r>
      <w:r w:rsidR="002F5048" w:rsidRPr="002F5048">
        <w:rPr>
          <w:noProof/>
          <w:lang w:val="en-GB"/>
        </w:rPr>
        <w:t>Telemedicine is also expected to make healthcare systems more efficient</w:t>
      </w:r>
      <w:r w:rsidR="00552AAF">
        <w:rPr>
          <w:rStyle w:val="FootnoteReference"/>
          <w:noProof/>
          <w:lang w:val="en-GB"/>
        </w:rPr>
        <w:footnoteReference w:id="47"/>
      </w:r>
      <w:r w:rsidR="002F5048" w:rsidRPr="002F5048">
        <w:rPr>
          <w:noProof/>
          <w:lang w:val="en-GB"/>
        </w:rPr>
        <w:t>. A 2018 market study on telemedicine</w:t>
      </w:r>
      <w:r w:rsidR="005B5E12">
        <w:rPr>
          <w:rStyle w:val="FootnoteReference"/>
          <w:noProof/>
          <w:lang w:val="en-GB"/>
        </w:rPr>
        <w:footnoteReference w:id="48"/>
      </w:r>
      <w:r w:rsidR="002F5048" w:rsidRPr="002F5048">
        <w:rPr>
          <w:noProof/>
          <w:lang w:val="en-GB"/>
        </w:rPr>
        <w:t xml:space="preserve"> considered that its market potential in the EU was strong and expected to grow at a compound annual growth rate of 14% in the coming years. </w:t>
      </w:r>
      <w:r w:rsidR="001B249C">
        <w:rPr>
          <w:noProof/>
          <w:lang w:val="en-GB"/>
        </w:rPr>
        <w:t>Overall, the benefits of primary use of health data can be quantified at EUR 5.5 billion over 10 years</w:t>
      </w:r>
      <w:r w:rsidR="00923E38">
        <w:rPr>
          <w:rStyle w:val="FootnoteReference"/>
          <w:noProof/>
          <w:lang w:val="en-GB"/>
        </w:rPr>
        <w:footnoteReference w:id="49"/>
      </w:r>
      <w:r w:rsidR="001B249C">
        <w:rPr>
          <w:noProof/>
          <w:lang w:val="en-GB"/>
        </w:rPr>
        <w:t xml:space="preserve"> including </w:t>
      </w:r>
      <w:r w:rsidR="001B249C" w:rsidRPr="00AA1422">
        <w:rPr>
          <w:noProof/>
          <w:lang w:val="en-GB"/>
        </w:rPr>
        <w:t xml:space="preserve">savings for healthcare providers and patients in health costs thanks to an increased uptake of </w:t>
      </w:r>
      <w:r w:rsidR="001543AD" w:rsidRPr="00AA1422">
        <w:rPr>
          <w:noProof/>
          <w:lang w:val="en-GB"/>
        </w:rPr>
        <w:t xml:space="preserve">telemedicine, faster deployment of cross-border sharing of health data </w:t>
      </w:r>
      <w:r w:rsidR="001543AD" w:rsidRPr="003E73E3">
        <w:rPr>
          <w:noProof/>
          <w:lang w:val="en-GB"/>
        </w:rPr>
        <w:t>and faster growth of the digital health and wellness applications markets</w:t>
      </w:r>
      <w:r w:rsidR="001543AD" w:rsidRPr="00AA1422">
        <w:rPr>
          <w:noProof/>
          <w:lang w:val="en-GB"/>
        </w:rPr>
        <w:t>.</w:t>
      </w:r>
    </w:p>
    <w:p w14:paraId="36489349" w14:textId="10692172" w:rsidR="00045E3B" w:rsidRPr="00472DCF" w:rsidRDefault="00045E3B" w:rsidP="00CC425E">
      <w:pPr>
        <w:rPr>
          <w:noProof/>
          <w:lang w:val="en-GB"/>
        </w:rPr>
      </w:pPr>
      <w:r w:rsidRPr="002C3029">
        <w:rPr>
          <w:b/>
          <w:noProof/>
          <w:u w:val="single"/>
          <w:lang w:val="en-GB"/>
        </w:rPr>
        <w:t>Researchers</w:t>
      </w:r>
      <w:r w:rsidRPr="00E92D9E">
        <w:rPr>
          <w:b/>
          <w:noProof/>
          <w:lang w:val="en-GB"/>
        </w:rPr>
        <w:t xml:space="preserve"> </w:t>
      </w:r>
      <w:r>
        <w:rPr>
          <w:noProof/>
          <w:lang w:val="en-GB"/>
        </w:rPr>
        <w:t>will</w:t>
      </w:r>
      <w:r w:rsidRPr="00F41B43">
        <w:rPr>
          <w:noProof/>
          <w:lang w:val="en-GB"/>
        </w:rPr>
        <w:t xml:space="preserve"> </w:t>
      </w:r>
      <w:r w:rsidR="0047595B">
        <w:rPr>
          <w:noProof/>
          <w:lang w:val="en-GB"/>
        </w:rPr>
        <w:t xml:space="preserve">also benefit from a more direct way of obtaining access to data in the context of the European Health Data Space. </w:t>
      </w:r>
      <w:r w:rsidR="00AA1422">
        <w:rPr>
          <w:noProof/>
          <w:lang w:val="en-GB"/>
        </w:rPr>
        <w:t>By obtaining access to data through health data access bodies t</w:t>
      </w:r>
      <w:r w:rsidR="0047595B">
        <w:rPr>
          <w:noProof/>
          <w:lang w:val="en-GB"/>
        </w:rPr>
        <w:t xml:space="preserve">hey will </w:t>
      </w:r>
      <w:r w:rsidRPr="00F41B43">
        <w:rPr>
          <w:noProof/>
          <w:lang w:val="en-GB"/>
        </w:rPr>
        <w:t xml:space="preserve">spend less time and money </w:t>
      </w:r>
      <w:r>
        <w:rPr>
          <w:noProof/>
          <w:lang w:val="en-GB"/>
        </w:rPr>
        <w:t>to</w:t>
      </w:r>
      <w:r w:rsidRPr="00F41B43">
        <w:rPr>
          <w:noProof/>
          <w:lang w:val="en-GB"/>
        </w:rPr>
        <w:t xml:space="preserve"> get consent for </w:t>
      </w:r>
      <w:r>
        <w:rPr>
          <w:noProof/>
          <w:lang w:val="en-GB"/>
        </w:rPr>
        <w:t xml:space="preserve">various </w:t>
      </w:r>
      <w:r w:rsidRPr="00F41B43">
        <w:rPr>
          <w:noProof/>
          <w:lang w:val="en-GB"/>
        </w:rPr>
        <w:t>research projects</w:t>
      </w:r>
      <w:r>
        <w:rPr>
          <w:noProof/>
          <w:lang w:val="en-GB"/>
        </w:rPr>
        <w:t>. This will free up</w:t>
      </w:r>
      <w:r w:rsidRPr="00F41B43">
        <w:rPr>
          <w:noProof/>
          <w:lang w:val="en-GB"/>
        </w:rPr>
        <w:t xml:space="preserve"> time </w:t>
      </w:r>
      <w:r w:rsidRPr="009D74AD">
        <w:rPr>
          <w:noProof/>
          <w:lang w:val="en-GB"/>
        </w:rPr>
        <w:t>to do the actual research</w:t>
      </w:r>
      <w:r>
        <w:rPr>
          <w:noProof/>
          <w:lang w:val="en-GB"/>
        </w:rPr>
        <w:t>.</w:t>
      </w:r>
      <w:r w:rsidRPr="009D74AD" w:rsidDel="009D74AD">
        <w:rPr>
          <w:noProof/>
          <w:lang w:val="en-GB"/>
        </w:rPr>
        <w:t xml:space="preserve"> </w:t>
      </w:r>
      <w:r w:rsidRPr="004708C1">
        <w:rPr>
          <w:noProof/>
          <w:lang w:val="en-GB"/>
        </w:rPr>
        <w:t xml:space="preserve">Researchers </w:t>
      </w:r>
      <w:r>
        <w:rPr>
          <w:noProof/>
          <w:lang w:val="en-GB"/>
        </w:rPr>
        <w:t xml:space="preserve">will have access to </w:t>
      </w:r>
      <w:r w:rsidRPr="004708C1">
        <w:rPr>
          <w:noProof/>
          <w:lang w:val="en-GB"/>
        </w:rPr>
        <w:t xml:space="preserve">large </w:t>
      </w:r>
      <w:r w:rsidR="000E4DBC">
        <w:rPr>
          <w:noProof/>
          <w:lang w:val="en-GB"/>
        </w:rPr>
        <w:t>trove</w:t>
      </w:r>
      <w:r w:rsidR="000E4DBC" w:rsidRPr="004708C1">
        <w:rPr>
          <w:noProof/>
          <w:lang w:val="en-GB"/>
        </w:rPr>
        <w:t>s</w:t>
      </w:r>
      <w:r w:rsidRPr="004708C1">
        <w:rPr>
          <w:noProof/>
          <w:lang w:val="en-GB"/>
        </w:rPr>
        <w:t xml:space="preserve"> of health data</w:t>
      </w:r>
      <w:r>
        <w:rPr>
          <w:noProof/>
          <w:lang w:val="en-GB"/>
        </w:rPr>
        <w:t xml:space="preserve">, </w:t>
      </w:r>
      <w:r w:rsidRPr="007A6FBD">
        <w:rPr>
          <w:noProof/>
          <w:lang w:val="en-GB"/>
        </w:rPr>
        <w:t xml:space="preserve">in particular healthcare and </w:t>
      </w:r>
      <w:r w:rsidR="00473B7E" w:rsidRPr="007A6FBD">
        <w:rPr>
          <w:noProof/>
          <w:lang w:val="en-GB"/>
        </w:rPr>
        <w:t>real-world</w:t>
      </w:r>
      <w:r w:rsidRPr="007A6FBD">
        <w:rPr>
          <w:noProof/>
          <w:lang w:val="en-GB"/>
        </w:rPr>
        <w:t xml:space="preserve"> evidence </w:t>
      </w:r>
      <w:r>
        <w:rPr>
          <w:noProof/>
          <w:lang w:val="en-GB"/>
        </w:rPr>
        <w:t>(</w:t>
      </w:r>
      <w:r w:rsidRPr="007A6FBD">
        <w:rPr>
          <w:noProof/>
          <w:lang w:val="en-GB"/>
        </w:rPr>
        <w:t>RWE</w:t>
      </w:r>
      <w:r>
        <w:rPr>
          <w:noProof/>
          <w:lang w:val="en-GB"/>
        </w:rPr>
        <w:t>)</w:t>
      </w:r>
      <w:r w:rsidRPr="007A6FBD">
        <w:rPr>
          <w:noProof/>
          <w:lang w:val="en-GB"/>
        </w:rPr>
        <w:t xml:space="preserve"> data</w:t>
      </w:r>
      <w:r>
        <w:rPr>
          <w:noProof/>
          <w:lang w:val="en-GB"/>
        </w:rPr>
        <w:t>, with the higher data quality</w:t>
      </w:r>
      <w:r w:rsidRPr="004708C1">
        <w:rPr>
          <w:noProof/>
          <w:lang w:val="en-GB"/>
        </w:rPr>
        <w:t xml:space="preserve"> </w:t>
      </w:r>
      <w:r w:rsidRPr="00E201FE">
        <w:rPr>
          <w:noProof/>
          <w:lang w:val="en-GB"/>
        </w:rPr>
        <w:t>and level of FAIR</w:t>
      </w:r>
      <w:r>
        <w:rPr>
          <w:noProof/>
          <w:lang w:val="en-GB"/>
        </w:rPr>
        <w:t>-</w:t>
      </w:r>
      <w:r w:rsidRPr="00E201FE">
        <w:rPr>
          <w:noProof/>
          <w:lang w:val="en-GB"/>
        </w:rPr>
        <w:t>ness</w:t>
      </w:r>
      <w:r w:rsidR="00066FDA">
        <w:rPr>
          <w:rStyle w:val="FootnoteReference"/>
          <w:noProof/>
          <w:lang w:val="en-GB"/>
        </w:rPr>
        <w:footnoteReference w:id="50"/>
      </w:r>
      <w:r w:rsidRPr="00E201FE">
        <w:rPr>
          <w:noProof/>
          <w:lang w:val="en-GB"/>
        </w:rPr>
        <w:t xml:space="preserve"> </w:t>
      </w:r>
      <w:r w:rsidRPr="004708C1">
        <w:rPr>
          <w:noProof/>
          <w:lang w:val="en-GB"/>
        </w:rPr>
        <w:t xml:space="preserve">that </w:t>
      </w:r>
      <w:r>
        <w:rPr>
          <w:noProof/>
          <w:lang w:val="en-GB"/>
        </w:rPr>
        <w:t xml:space="preserve">medical </w:t>
      </w:r>
      <w:r w:rsidRPr="004708C1">
        <w:rPr>
          <w:noProof/>
          <w:lang w:val="en-GB"/>
        </w:rPr>
        <w:t xml:space="preserve">breakthroughs </w:t>
      </w:r>
      <w:r>
        <w:rPr>
          <w:noProof/>
          <w:lang w:val="en-GB"/>
        </w:rPr>
        <w:t>require. Researchers will be able to know what data is available, where, and of what quality,</w:t>
      </w:r>
      <w:r w:rsidRPr="00E201FE">
        <w:rPr>
          <w:noProof/>
        </w:rPr>
        <w:t xml:space="preserve"> </w:t>
      </w:r>
      <w:r w:rsidRPr="00E201FE">
        <w:rPr>
          <w:noProof/>
          <w:lang w:val="en-GB"/>
        </w:rPr>
        <w:t>in addition to what is already available at European Research Infrastructures</w:t>
      </w:r>
      <w:r>
        <w:rPr>
          <w:noProof/>
          <w:lang w:val="en-GB"/>
        </w:rPr>
        <w:t xml:space="preserve">. They will be able to access the data in a more effective and less expensive way, through a data access body that maintains privacy. </w:t>
      </w:r>
    </w:p>
    <w:p w14:paraId="19473422" w14:textId="45AA2595" w:rsidR="00FA217D" w:rsidRDefault="00045E3B" w:rsidP="00045E3B">
      <w:pPr>
        <w:rPr>
          <w:noProof/>
          <w:lang w:val="en-GB"/>
        </w:rPr>
      </w:pPr>
      <w:r w:rsidRPr="00F41B43">
        <w:rPr>
          <w:b/>
          <w:noProof/>
          <w:u w:val="single"/>
          <w:lang w:val="en-GB"/>
        </w:rPr>
        <w:t>Regulators and policy-makers</w:t>
      </w:r>
      <w:r w:rsidRPr="00F41B43">
        <w:rPr>
          <w:noProof/>
          <w:lang w:val="en-GB"/>
        </w:rPr>
        <w:t xml:space="preserve"> will have </w:t>
      </w:r>
      <w:r>
        <w:rPr>
          <w:noProof/>
          <w:lang w:val="en-GB"/>
        </w:rPr>
        <w:t>easier access to</w:t>
      </w:r>
      <w:r w:rsidRPr="00F41B43">
        <w:rPr>
          <w:noProof/>
          <w:lang w:val="en-GB"/>
        </w:rPr>
        <w:t xml:space="preserve"> health data for the benefit of public health and the overall functioning of healthcare systems. This will improve health outcomes for patients and the </w:t>
      </w:r>
      <w:r>
        <w:rPr>
          <w:noProof/>
          <w:lang w:val="en-GB"/>
        </w:rPr>
        <w:t xml:space="preserve">broader </w:t>
      </w:r>
      <w:r w:rsidRPr="00F41B43">
        <w:rPr>
          <w:noProof/>
          <w:lang w:val="en-GB"/>
        </w:rPr>
        <w:t xml:space="preserve">public. </w:t>
      </w:r>
      <w:r w:rsidRPr="000A1EA1">
        <w:rPr>
          <w:noProof/>
          <w:lang w:val="en-GB"/>
        </w:rPr>
        <w:t xml:space="preserve">For instance, in a medium-sized EU country, renegotiating a reduction of up to 5% on the prices of </w:t>
      </w:r>
      <w:r>
        <w:rPr>
          <w:noProof/>
          <w:lang w:val="en-GB"/>
        </w:rPr>
        <w:t xml:space="preserve">various </w:t>
      </w:r>
      <w:r w:rsidRPr="000A1EA1">
        <w:rPr>
          <w:noProof/>
          <w:lang w:val="en-GB"/>
        </w:rPr>
        <w:t>medicinal products, based on better knowledge of their effects, could equate to EUR 50 million a year in savings</w:t>
      </w:r>
      <w:r>
        <w:rPr>
          <w:rStyle w:val="FootnoteReference"/>
          <w:noProof/>
          <w:lang w:val="en-GB"/>
        </w:rPr>
        <w:footnoteReference w:id="51"/>
      </w:r>
      <w:r>
        <w:rPr>
          <w:noProof/>
          <w:lang w:val="en-GB"/>
        </w:rPr>
        <w:t xml:space="preserve">. </w:t>
      </w:r>
      <w:r w:rsidRPr="00F41B43">
        <w:rPr>
          <w:noProof/>
          <w:lang w:val="en-GB"/>
        </w:rPr>
        <w:t>The</w:t>
      </w:r>
      <w:r>
        <w:rPr>
          <w:noProof/>
          <w:lang w:val="en-GB"/>
        </w:rPr>
        <w:t>se</w:t>
      </w:r>
      <w:r w:rsidRPr="00F41B43">
        <w:rPr>
          <w:noProof/>
          <w:lang w:val="en-GB"/>
        </w:rPr>
        <w:t xml:space="preserve"> benefits would </w:t>
      </w:r>
      <w:r>
        <w:rPr>
          <w:noProof/>
          <w:lang w:val="en-GB"/>
        </w:rPr>
        <w:t>lead to</w:t>
      </w:r>
      <w:r w:rsidRPr="00F41B43">
        <w:rPr>
          <w:noProof/>
          <w:lang w:val="en-GB"/>
        </w:rPr>
        <w:t xml:space="preserve"> better access to healthcare, reduced costs, increased efficiency, </w:t>
      </w:r>
      <w:r>
        <w:rPr>
          <w:noProof/>
          <w:lang w:val="en-GB"/>
        </w:rPr>
        <w:t xml:space="preserve">more </w:t>
      </w:r>
      <w:r w:rsidRPr="00F41B43">
        <w:rPr>
          <w:noProof/>
          <w:lang w:val="en-GB"/>
        </w:rPr>
        <w:t>resilien</w:t>
      </w:r>
      <w:r>
        <w:rPr>
          <w:noProof/>
          <w:lang w:val="en-GB"/>
        </w:rPr>
        <w:t>t</w:t>
      </w:r>
      <w:r w:rsidRPr="00F41B43">
        <w:rPr>
          <w:noProof/>
          <w:lang w:val="en-GB"/>
        </w:rPr>
        <w:t xml:space="preserve"> health systems, new research and innovation and better policy</w:t>
      </w:r>
      <w:r>
        <w:rPr>
          <w:noProof/>
          <w:lang w:val="en-GB"/>
        </w:rPr>
        <w:t>-</w:t>
      </w:r>
      <w:r w:rsidRPr="00F41B43">
        <w:rPr>
          <w:noProof/>
          <w:lang w:val="en-GB"/>
        </w:rPr>
        <w:t>making.</w:t>
      </w:r>
      <w:r w:rsidR="00FA217D">
        <w:rPr>
          <w:noProof/>
          <w:lang w:val="en-GB"/>
        </w:rPr>
        <w:t xml:space="preserve"> </w:t>
      </w:r>
    </w:p>
    <w:p w14:paraId="5BA7C34F" w14:textId="2C34D720" w:rsidR="00FA217D" w:rsidRDefault="00F92EAD" w:rsidP="00FA217D">
      <w:pPr>
        <w:rPr>
          <w:noProof/>
        </w:rPr>
      </w:pPr>
      <w:r>
        <w:rPr>
          <w:noProof/>
          <w:lang w:val="en-GB"/>
        </w:rPr>
        <w:t>T</w:t>
      </w:r>
      <w:r w:rsidR="00FA217D">
        <w:rPr>
          <w:noProof/>
          <w:lang w:val="en-GB"/>
        </w:rPr>
        <w:t>he solution for</w:t>
      </w:r>
      <w:r w:rsidR="00FA217D" w:rsidRPr="003435A9">
        <w:rPr>
          <w:noProof/>
        </w:rPr>
        <w:t xml:space="preserve"> </w:t>
      </w:r>
      <w:r w:rsidR="00FA217D" w:rsidRPr="001A4320">
        <w:rPr>
          <w:noProof/>
        </w:rPr>
        <w:t>secondary use of health data</w:t>
      </w:r>
      <w:r w:rsidR="00FA217D">
        <w:rPr>
          <w:noProof/>
        </w:rPr>
        <w:t xml:space="preserve"> proposed by the European Health Data Space</w:t>
      </w:r>
      <w:r w:rsidR="00FA217D" w:rsidRPr="003435A9">
        <w:rPr>
          <w:noProof/>
        </w:rPr>
        <w:t xml:space="preserve"> </w:t>
      </w:r>
      <w:r w:rsidR="00FA217D">
        <w:rPr>
          <w:noProof/>
        </w:rPr>
        <w:t>is expected to</w:t>
      </w:r>
      <w:r w:rsidR="00FA217D" w:rsidRPr="003435A9">
        <w:rPr>
          <w:noProof/>
        </w:rPr>
        <w:t xml:space="preserve"> result in a</w:t>
      </w:r>
      <w:r w:rsidR="00FA217D" w:rsidRPr="001A4320">
        <w:rPr>
          <w:noProof/>
        </w:rPr>
        <w:t xml:space="preserve"> significant </w:t>
      </w:r>
      <w:r w:rsidR="00FA217D" w:rsidRPr="00701AA8">
        <w:rPr>
          <w:b/>
          <w:noProof/>
        </w:rPr>
        <w:t>economic benefit of at least EUR 5.4 billion over the next 10 years</w:t>
      </w:r>
      <w:r w:rsidR="00923E38">
        <w:rPr>
          <w:rStyle w:val="FootnoteReference"/>
          <w:noProof/>
          <w:lang w:val="en-GB"/>
        </w:rPr>
        <w:footnoteReference w:id="52"/>
      </w:r>
      <w:r w:rsidR="00FA217D" w:rsidRPr="00701AA8">
        <w:rPr>
          <w:b/>
          <w:noProof/>
        </w:rPr>
        <w:t>.</w:t>
      </w:r>
      <w:r w:rsidR="00FA217D">
        <w:rPr>
          <w:noProof/>
        </w:rPr>
        <w:t xml:space="preserve"> This benefit</w:t>
      </w:r>
      <w:r w:rsidR="00FA217D" w:rsidRPr="003435A9">
        <w:rPr>
          <w:noProof/>
        </w:rPr>
        <w:t xml:space="preserve"> </w:t>
      </w:r>
      <w:r w:rsidR="00FA217D">
        <w:rPr>
          <w:noProof/>
        </w:rPr>
        <w:t xml:space="preserve">will come </w:t>
      </w:r>
      <w:r w:rsidR="00FA217D" w:rsidRPr="003435A9">
        <w:rPr>
          <w:noProof/>
        </w:rPr>
        <w:t xml:space="preserve">from </w:t>
      </w:r>
      <w:r w:rsidR="00FA217D">
        <w:rPr>
          <w:noProof/>
        </w:rPr>
        <w:t>three key areas:</w:t>
      </w:r>
    </w:p>
    <w:p w14:paraId="4DFC8810" w14:textId="77777777" w:rsidR="00FA217D" w:rsidRDefault="00FA217D" w:rsidP="00FA217D">
      <w:pPr>
        <w:pStyle w:val="ListParagraph"/>
        <w:numPr>
          <w:ilvl w:val="0"/>
          <w:numId w:val="41"/>
        </w:numPr>
        <w:rPr>
          <w:noProof/>
        </w:rPr>
      </w:pPr>
      <w:r w:rsidRPr="003435A9">
        <w:rPr>
          <w:noProof/>
        </w:rPr>
        <w:t xml:space="preserve">efficiency gains in data access as a result of </w:t>
      </w:r>
      <w:r w:rsidRPr="00472DCF">
        <w:rPr>
          <w:noProof/>
          <w:lang w:val="en-IE"/>
        </w:rPr>
        <w:t xml:space="preserve">a less costly access to health data for users, be they researchers, innovators, regulators or policy-makers </w:t>
      </w:r>
      <w:r>
        <w:rPr>
          <w:noProof/>
        </w:rPr>
        <w:t>(</w:t>
      </w:r>
      <w:r w:rsidRPr="00D24BBF">
        <w:rPr>
          <w:noProof/>
        </w:rPr>
        <w:t>EUR 3.4 billion)</w:t>
      </w:r>
      <w:r>
        <w:rPr>
          <w:noProof/>
        </w:rPr>
        <w:t>;</w:t>
      </w:r>
      <w:r w:rsidRPr="00D24BBF">
        <w:rPr>
          <w:noProof/>
        </w:rPr>
        <w:t xml:space="preserve"> </w:t>
      </w:r>
    </w:p>
    <w:p w14:paraId="6BFCA9E6" w14:textId="77777777" w:rsidR="00FA217D" w:rsidRDefault="00FA217D" w:rsidP="00FA217D">
      <w:pPr>
        <w:pStyle w:val="ListParagraph"/>
        <w:numPr>
          <w:ilvl w:val="0"/>
          <w:numId w:val="41"/>
        </w:numPr>
        <w:rPr>
          <w:noProof/>
        </w:rPr>
      </w:pPr>
      <w:r w:rsidRPr="00D24BBF">
        <w:rPr>
          <w:noProof/>
        </w:rPr>
        <w:t>greater information transparency for policy-makers and regulators (EUR 0.8 billion)</w:t>
      </w:r>
      <w:r>
        <w:rPr>
          <w:noProof/>
        </w:rPr>
        <w:t>;</w:t>
      </w:r>
      <w:r w:rsidRPr="00D24BBF">
        <w:rPr>
          <w:noProof/>
        </w:rPr>
        <w:t xml:space="preserve"> and </w:t>
      </w:r>
    </w:p>
    <w:p w14:paraId="570EBF75" w14:textId="77777777" w:rsidR="00FA217D" w:rsidRPr="00472DCF" w:rsidRDefault="00FA217D" w:rsidP="00FA217D">
      <w:pPr>
        <w:pStyle w:val="ListParagraph"/>
        <w:numPr>
          <w:ilvl w:val="0"/>
          <w:numId w:val="41"/>
        </w:numPr>
        <w:rPr>
          <w:noProof/>
          <w:lang w:val="en-GB"/>
        </w:rPr>
      </w:pPr>
      <w:r>
        <w:rPr>
          <w:noProof/>
        </w:rPr>
        <w:t>better</w:t>
      </w:r>
      <w:r w:rsidRPr="00D24BBF">
        <w:rPr>
          <w:noProof/>
        </w:rPr>
        <w:t xml:space="preserve"> value for patients, healthcare providers and innovators</w:t>
      </w:r>
      <w:r>
        <w:rPr>
          <w:noProof/>
        </w:rPr>
        <w:t>,</w:t>
      </w:r>
      <w:r w:rsidRPr="00D24BBF">
        <w:rPr>
          <w:noProof/>
        </w:rPr>
        <w:t xml:space="preserve"> thanks to further reuse of health data</w:t>
      </w:r>
      <w:r>
        <w:rPr>
          <w:noProof/>
        </w:rPr>
        <w:t xml:space="preserve">. This will be possible with </w:t>
      </w:r>
      <w:r w:rsidRPr="00472DCF">
        <w:rPr>
          <w:noProof/>
          <w:lang w:val="en-IE"/>
        </w:rPr>
        <w:t>the development of innovative products and services in health using data-intensive technologies</w:t>
      </w:r>
      <w:r>
        <w:rPr>
          <w:noProof/>
          <w:lang w:val="en-IE"/>
        </w:rPr>
        <w:t>,</w:t>
      </w:r>
      <w:r w:rsidRPr="00472DCF">
        <w:rPr>
          <w:noProof/>
          <w:lang w:val="en-IE"/>
        </w:rPr>
        <w:t xml:space="preserve"> such a</w:t>
      </w:r>
      <w:r>
        <w:rPr>
          <w:noProof/>
          <w:lang w:val="en-IE"/>
        </w:rPr>
        <w:t>s</w:t>
      </w:r>
      <w:r w:rsidRPr="00472DCF">
        <w:rPr>
          <w:noProof/>
          <w:lang w:val="en-IE"/>
        </w:rPr>
        <w:t xml:space="preserve"> AI-based systems </w:t>
      </w:r>
      <w:r w:rsidRPr="00D24BBF">
        <w:rPr>
          <w:noProof/>
        </w:rPr>
        <w:t>(EUR 1.2 billion).</w:t>
      </w:r>
    </w:p>
    <w:p w14:paraId="6BD3E2B6" w14:textId="65179286" w:rsidR="00045E3B" w:rsidRDefault="00045E3B" w:rsidP="00045E3B">
      <w:pPr>
        <w:pStyle w:val="NormalWeb"/>
        <w:rPr>
          <w:noProof/>
          <w:lang w:val="en-GB"/>
        </w:rPr>
      </w:pPr>
      <w:r w:rsidRPr="004501BA">
        <w:rPr>
          <w:b/>
          <w:noProof/>
          <w:u w:val="single"/>
          <w:lang w:val="en-GB"/>
        </w:rPr>
        <w:t>Industry</w:t>
      </w:r>
      <w:r w:rsidRPr="004501BA">
        <w:rPr>
          <w:noProof/>
          <w:lang w:val="en-GB"/>
        </w:rPr>
        <w:t xml:space="preserve"> will benefit from </w:t>
      </w:r>
      <w:r w:rsidR="00923E38">
        <w:rPr>
          <w:noProof/>
          <w:lang w:val="en-GB"/>
        </w:rPr>
        <w:t xml:space="preserve">same standards and specifications for interoperability and security across Europe, which will open new markets, including for SMEs. It will benefit from </w:t>
      </w:r>
      <w:r w:rsidRPr="004501BA">
        <w:rPr>
          <w:noProof/>
          <w:lang w:val="en-GB"/>
        </w:rPr>
        <w:t>greater availability of electronic health data through privacy preserving mechanisms for citizens including infrastructures that are trust</w:t>
      </w:r>
      <w:r w:rsidR="005B245E">
        <w:rPr>
          <w:noProof/>
          <w:lang w:val="en-GB"/>
        </w:rPr>
        <w:t>worthy</w:t>
      </w:r>
      <w:r w:rsidRPr="004501BA">
        <w:rPr>
          <w:noProof/>
          <w:lang w:val="en-GB"/>
        </w:rPr>
        <w:t xml:space="preserve"> by design, and the use of </w:t>
      </w:r>
      <w:r w:rsidR="000E4DBC" w:rsidRPr="004501BA">
        <w:rPr>
          <w:noProof/>
          <w:lang w:val="en-GB"/>
        </w:rPr>
        <w:t>anonymi</w:t>
      </w:r>
      <w:r w:rsidR="000E4DBC">
        <w:rPr>
          <w:noProof/>
          <w:lang w:val="en-GB"/>
        </w:rPr>
        <w:t>s</w:t>
      </w:r>
      <w:r w:rsidR="000E4DBC" w:rsidRPr="004501BA">
        <w:rPr>
          <w:noProof/>
          <w:lang w:val="en-GB"/>
        </w:rPr>
        <w:t>ation, aggregation</w:t>
      </w:r>
      <w:r w:rsidR="000E4DBC">
        <w:rPr>
          <w:noProof/>
          <w:lang w:val="en-GB"/>
        </w:rPr>
        <w:t xml:space="preserve"> and</w:t>
      </w:r>
      <w:r w:rsidR="000E4DBC" w:rsidRPr="004501BA">
        <w:rPr>
          <w:noProof/>
          <w:lang w:val="en-GB"/>
        </w:rPr>
        <w:t xml:space="preserve"> </w:t>
      </w:r>
      <w:r w:rsidRPr="004501BA">
        <w:rPr>
          <w:noProof/>
          <w:lang w:val="en-GB"/>
        </w:rPr>
        <w:t xml:space="preserve">synthetic data. </w:t>
      </w:r>
      <w:r>
        <w:rPr>
          <w:noProof/>
          <w:lang w:val="en-GB"/>
        </w:rPr>
        <w:t xml:space="preserve">Industry will also benefit from data that could help them develop new medicinal products or new devices involving AI. </w:t>
      </w:r>
      <w:r w:rsidRPr="004501BA">
        <w:rPr>
          <w:noProof/>
          <w:lang w:val="en-GB"/>
        </w:rPr>
        <w:t>Combined with AI technologies and access to real world conditions (such as through Testing and Experimentation Facilities), this will greatly boost innovation and accelerate the discovery, development and approval of new prevention approaches and treatments.</w:t>
      </w:r>
      <w:r>
        <w:rPr>
          <w:noProof/>
          <w:lang w:val="en-GB"/>
        </w:rPr>
        <w:t xml:space="preserve"> Industry will be able to use the data for innovation; for developing products that could improve people’s health; and for producing new and innovative medicinal products and devices that can help provide better, more personalised care. However, it will be forbidden to </w:t>
      </w:r>
      <w:r w:rsidR="00933930">
        <w:rPr>
          <w:noProof/>
          <w:lang w:val="en-GB"/>
        </w:rPr>
        <w:t xml:space="preserve">attempt to </w:t>
      </w:r>
      <w:r>
        <w:rPr>
          <w:noProof/>
          <w:lang w:val="en-GB"/>
        </w:rPr>
        <w:t xml:space="preserve">re-identify the individuals whose data is used. Moreover, the European Health Data Space data cannot be used to target individuals or health professionals to sell products or health services, to increase insurance premiums or to develop harmful products. All in all, the European Health Data Space supports industry in producing useful innovations for society, while keeping health data safe. </w:t>
      </w:r>
    </w:p>
    <w:p w14:paraId="3AAD5FF2" w14:textId="77777777" w:rsidR="00836D95" w:rsidRPr="00F41B43" w:rsidRDefault="00A77AE6" w:rsidP="00A77AE6">
      <w:pPr>
        <w:pStyle w:val="Heading1"/>
        <w:numPr>
          <w:ilvl w:val="0"/>
          <w:numId w:val="0"/>
        </w:numPr>
        <w:ind w:left="360"/>
        <w:rPr>
          <w:noProof/>
          <w:lang w:val="en-GB"/>
        </w:rPr>
      </w:pPr>
      <w:r>
        <w:rPr>
          <w:noProof/>
          <w:lang w:val="en-GB"/>
        </w:rPr>
        <w:t xml:space="preserve">6. </w:t>
      </w:r>
      <w:r w:rsidR="009A4F56" w:rsidRPr="00F41B43">
        <w:rPr>
          <w:noProof/>
          <w:lang w:val="en-GB"/>
        </w:rPr>
        <w:t>Funding</w:t>
      </w:r>
      <w:r w:rsidR="00177536" w:rsidRPr="00F41B43">
        <w:rPr>
          <w:noProof/>
          <w:lang w:val="en-GB"/>
        </w:rPr>
        <w:t xml:space="preserve"> </w:t>
      </w:r>
      <w:r w:rsidR="00D46475">
        <w:rPr>
          <w:noProof/>
          <w:lang w:val="en-GB"/>
        </w:rPr>
        <w:t>needs and cover</w:t>
      </w:r>
      <w:r w:rsidR="00FB4CDA">
        <w:rPr>
          <w:noProof/>
          <w:lang w:val="en-GB"/>
        </w:rPr>
        <w:t>age</w:t>
      </w:r>
    </w:p>
    <w:p w14:paraId="37E5658C" w14:textId="65FE19C9" w:rsidR="00DC6AA3" w:rsidRDefault="005B76BB">
      <w:pPr>
        <w:rPr>
          <w:noProof/>
          <w:lang w:val="en-GB"/>
        </w:rPr>
      </w:pPr>
      <w:r w:rsidRPr="000D40BA">
        <w:rPr>
          <w:noProof/>
        </w:rPr>
        <w:t>Investing in digitali</w:t>
      </w:r>
      <w:r>
        <w:rPr>
          <w:noProof/>
        </w:rPr>
        <w:t>s</w:t>
      </w:r>
      <w:r w:rsidRPr="000D40BA">
        <w:rPr>
          <w:noProof/>
        </w:rPr>
        <w:t xml:space="preserve">ation is investing in </w:t>
      </w:r>
      <w:r>
        <w:rPr>
          <w:noProof/>
        </w:rPr>
        <w:t xml:space="preserve">better healthcare and the resilience of </w:t>
      </w:r>
      <w:r w:rsidRPr="000D40BA">
        <w:rPr>
          <w:noProof/>
        </w:rPr>
        <w:t>our health system</w:t>
      </w:r>
      <w:r>
        <w:rPr>
          <w:noProof/>
        </w:rPr>
        <w:t>s</w:t>
      </w:r>
      <w:r w:rsidRPr="000D40BA">
        <w:rPr>
          <w:noProof/>
        </w:rPr>
        <w:t xml:space="preserve">. </w:t>
      </w:r>
      <w:r w:rsidR="006F5BCD">
        <w:rPr>
          <w:noProof/>
        </w:rPr>
        <w:t>The EU</w:t>
      </w:r>
      <w:r w:rsidR="006F5BCD" w:rsidRPr="000D40BA">
        <w:rPr>
          <w:noProof/>
        </w:rPr>
        <w:t xml:space="preserve"> </w:t>
      </w:r>
      <w:r w:rsidR="006F5BCD">
        <w:rPr>
          <w:noProof/>
        </w:rPr>
        <w:t>and Member States</w:t>
      </w:r>
      <w:r w:rsidR="006F5BCD" w:rsidRPr="000D40BA">
        <w:rPr>
          <w:noProof/>
        </w:rPr>
        <w:t xml:space="preserve"> need to take this bold step</w:t>
      </w:r>
      <w:r w:rsidR="006F5BCD">
        <w:rPr>
          <w:noProof/>
        </w:rPr>
        <w:t>, together</w:t>
      </w:r>
      <w:r w:rsidR="006F5BCD" w:rsidRPr="000D40BA">
        <w:rPr>
          <w:noProof/>
        </w:rPr>
        <w:t>.</w:t>
      </w:r>
      <w:r w:rsidR="006F5BCD">
        <w:rPr>
          <w:noProof/>
        </w:rPr>
        <w:t xml:space="preserve"> </w:t>
      </w:r>
      <w:r w:rsidR="00DC6AA3">
        <w:rPr>
          <w:noProof/>
          <w:lang w:val="en-GB"/>
        </w:rPr>
        <w:t xml:space="preserve">To make the European Health Data Space a reality, </w:t>
      </w:r>
      <w:r>
        <w:rPr>
          <w:noProof/>
          <w:lang w:val="en-GB"/>
        </w:rPr>
        <w:t xml:space="preserve">rapid </w:t>
      </w:r>
      <w:r w:rsidR="00BD6DC5">
        <w:rPr>
          <w:noProof/>
          <w:lang w:val="en-GB"/>
        </w:rPr>
        <w:t xml:space="preserve">progress in the </w:t>
      </w:r>
      <w:r w:rsidR="00A07684">
        <w:rPr>
          <w:noProof/>
          <w:lang w:val="en-GB"/>
        </w:rPr>
        <w:t xml:space="preserve">digitalisation </w:t>
      </w:r>
      <w:r w:rsidR="00BD6DC5">
        <w:rPr>
          <w:noProof/>
          <w:lang w:val="en-GB"/>
        </w:rPr>
        <w:t xml:space="preserve">of healthcare </w:t>
      </w:r>
      <w:r w:rsidR="00A07684">
        <w:rPr>
          <w:noProof/>
          <w:lang w:val="en-GB"/>
        </w:rPr>
        <w:t xml:space="preserve">at national level is needed. </w:t>
      </w:r>
      <w:r w:rsidR="00DC6AA3">
        <w:rPr>
          <w:noProof/>
          <w:lang w:val="en-GB"/>
        </w:rPr>
        <w:t xml:space="preserve">This </w:t>
      </w:r>
      <w:r w:rsidR="009A7B84">
        <w:rPr>
          <w:noProof/>
          <w:lang w:val="en-GB"/>
        </w:rPr>
        <w:t xml:space="preserve">includes investments in electronic health records, telemedicine, </w:t>
      </w:r>
      <w:r>
        <w:rPr>
          <w:noProof/>
          <w:lang w:val="en-GB"/>
        </w:rPr>
        <w:t xml:space="preserve">interoperability, </w:t>
      </w:r>
      <w:r w:rsidR="009A7B84">
        <w:rPr>
          <w:noProof/>
          <w:lang w:val="en-GB"/>
        </w:rPr>
        <w:t xml:space="preserve">but also data quality, institutions and solutions for secondary use of health data. </w:t>
      </w:r>
      <w:r w:rsidR="00A07684">
        <w:rPr>
          <w:noProof/>
          <w:lang w:val="en-GB"/>
        </w:rPr>
        <w:t>At the same time, interoperable EU-wide infrastructures to enable cross-border use of health data in the EU are also necessary.</w:t>
      </w:r>
      <w:r w:rsidR="00A07684" w:rsidRPr="00DC6AA3">
        <w:rPr>
          <w:noProof/>
        </w:rPr>
        <w:t xml:space="preserve"> </w:t>
      </w:r>
    </w:p>
    <w:p w14:paraId="76756FF7" w14:textId="32DD7110" w:rsidR="008A47DC" w:rsidRPr="00F41B43" w:rsidRDefault="00D46475" w:rsidP="009A4F56">
      <w:pPr>
        <w:rPr>
          <w:noProof/>
          <w:lang w:val="en-GB"/>
        </w:rPr>
      </w:pPr>
      <w:r>
        <w:rPr>
          <w:noProof/>
          <w:lang w:val="en-GB"/>
        </w:rPr>
        <w:t xml:space="preserve">To make the </w:t>
      </w:r>
      <w:r w:rsidR="00A633FD">
        <w:rPr>
          <w:noProof/>
          <w:lang w:val="en-GB"/>
        </w:rPr>
        <w:t xml:space="preserve">European </w:t>
      </w:r>
      <w:r w:rsidR="00B06704">
        <w:rPr>
          <w:noProof/>
          <w:lang w:val="en-GB"/>
        </w:rPr>
        <w:t xml:space="preserve">Health </w:t>
      </w:r>
      <w:r>
        <w:rPr>
          <w:noProof/>
          <w:lang w:val="en-GB"/>
        </w:rPr>
        <w:t xml:space="preserve">Data Space work, </w:t>
      </w:r>
      <w:r w:rsidR="0011752A">
        <w:rPr>
          <w:noProof/>
          <w:lang w:val="en-GB"/>
        </w:rPr>
        <w:t xml:space="preserve">financing </w:t>
      </w:r>
      <w:r w:rsidR="000C743D">
        <w:rPr>
          <w:noProof/>
          <w:lang w:val="en-GB"/>
        </w:rPr>
        <w:t xml:space="preserve">needs to </w:t>
      </w:r>
      <w:r>
        <w:rPr>
          <w:noProof/>
          <w:lang w:val="en-GB"/>
        </w:rPr>
        <w:t>cover</w:t>
      </w:r>
      <w:r w:rsidRPr="00F41B43">
        <w:rPr>
          <w:noProof/>
          <w:lang w:val="en-GB"/>
        </w:rPr>
        <w:t xml:space="preserve"> </w:t>
      </w:r>
      <w:r w:rsidR="003F3D2C" w:rsidRPr="00F41B43">
        <w:rPr>
          <w:noProof/>
          <w:lang w:val="en-GB"/>
        </w:rPr>
        <w:t xml:space="preserve">the costs </w:t>
      </w:r>
      <w:r w:rsidR="00A633FD">
        <w:rPr>
          <w:noProof/>
          <w:lang w:val="en-GB"/>
        </w:rPr>
        <w:t>of</w:t>
      </w:r>
      <w:r w:rsidR="003F3D2C" w:rsidRPr="00F41B43">
        <w:rPr>
          <w:noProof/>
          <w:lang w:val="en-GB"/>
        </w:rPr>
        <w:t xml:space="preserve">: </w:t>
      </w:r>
    </w:p>
    <w:p w14:paraId="12555B35" w14:textId="760A2FB5" w:rsidR="008A47DC" w:rsidRPr="00C8509B" w:rsidRDefault="003F3D2C" w:rsidP="00973AE3">
      <w:pPr>
        <w:pStyle w:val="ListParagraph"/>
        <w:numPr>
          <w:ilvl w:val="0"/>
          <w:numId w:val="29"/>
        </w:numPr>
        <w:rPr>
          <w:noProof/>
          <w:lang w:val="en-GB"/>
        </w:rPr>
      </w:pPr>
      <w:r w:rsidRPr="00C8509B">
        <w:rPr>
          <w:noProof/>
          <w:lang w:val="en-GB"/>
        </w:rPr>
        <w:t>deploy</w:t>
      </w:r>
      <w:r w:rsidR="00D46475" w:rsidRPr="00C8509B">
        <w:rPr>
          <w:noProof/>
          <w:lang w:val="en-GB"/>
        </w:rPr>
        <w:t>ing</w:t>
      </w:r>
      <w:r w:rsidRPr="00C8509B">
        <w:rPr>
          <w:noProof/>
          <w:lang w:val="en-GB"/>
        </w:rPr>
        <w:t xml:space="preserve"> and operati</w:t>
      </w:r>
      <w:r w:rsidR="00D46475" w:rsidRPr="00C8509B">
        <w:rPr>
          <w:noProof/>
          <w:lang w:val="en-GB"/>
        </w:rPr>
        <w:t>ng</w:t>
      </w:r>
      <w:r w:rsidRPr="00C8509B">
        <w:rPr>
          <w:noProof/>
          <w:lang w:val="en-GB"/>
        </w:rPr>
        <w:t xml:space="preserve"> infrastructure</w:t>
      </w:r>
      <w:r w:rsidR="005936D1">
        <w:rPr>
          <w:noProof/>
          <w:lang w:val="en-GB"/>
        </w:rPr>
        <w:t>s</w:t>
      </w:r>
      <w:r w:rsidR="008B3E8B" w:rsidRPr="00C8509B">
        <w:rPr>
          <w:noProof/>
          <w:lang w:val="en-GB"/>
        </w:rPr>
        <w:t>, at national and EU level</w:t>
      </w:r>
      <w:r w:rsidR="00D4120C">
        <w:rPr>
          <w:noProof/>
          <w:lang w:val="en-GB"/>
        </w:rPr>
        <w:t>, meaning</w:t>
      </w:r>
      <w:r w:rsidR="009A7B84">
        <w:rPr>
          <w:noProof/>
          <w:lang w:val="en-GB"/>
        </w:rPr>
        <w:t xml:space="preserve"> national infrastructures, as well as</w:t>
      </w:r>
      <w:r w:rsidR="00A07678">
        <w:rPr>
          <w:noProof/>
          <w:lang w:val="en-GB"/>
        </w:rPr>
        <w:t xml:space="preserve"> support for the EU gateways and additional EU services, such as the connection of Member States to the infrastructures supporting cross-border sharing of patients’ data in a language of the country of destination</w:t>
      </w:r>
      <w:r w:rsidR="00CC66B0">
        <w:rPr>
          <w:noProof/>
          <w:lang w:val="en-GB"/>
        </w:rPr>
        <w:t>,</w:t>
      </w:r>
      <w:r w:rsidR="00A07678">
        <w:rPr>
          <w:noProof/>
          <w:lang w:val="en-GB"/>
        </w:rPr>
        <w:t xml:space="preserve"> supporting multi-country research and policy</w:t>
      </w:r>
      <w:r w:rsidR="006E0A22">
        <w:rPr>
          <w:noProof/>
          <w:lang w:val="en-GB"/>
        </w:rPr>
        <w:t>-</w:t>
      </w:r>
      <w:r w:rsidR="00A07678">
        <w:rPr>
          <w:noProof/>
          <w:lang w:val="en-GB"/>
        </w:rPr>
        <w:t>making projects</w:t>
      </w:r>
      <w:r w:rsidR="00CC66B0">
        <w:rPr>
          <w:noProof/>
          <w:lang w:val="en-GB"/>
        </w:rPr>
        <w:t xml:space="preserve"> and compl</w:t>
      </w:r>
      <w:r w:rsidR="00BD6DC5">
        <w:rPr>
          <w:noProof/>
          <w:lang w:val="en-GB"/>
        </w:rPr>
        <w:t>iance</w:t>
      </w:r>
      <w:r w:rsidR="00CC66B0">
        <w:rPr>
          <w:noProof/>
          <w:lang w:val="en-GB"/>
        </w:rPr>
        <w:t xml:space="preserve"> with cybersecurity </w:t>
      </w:r>
      <w:r w:rsidR="00A1470B">
        <w:rPr>
          <w:noProof/>
          <w:lang w:val="en-GB"/>
        </w:rPr>
        <w:t xml:space="preserve">and interoperability </w:t>
      </w:r>
      <w:r w:rsidR="00CC66B0">
        <w:rPr>
          <w:noProof/>
          <w:lang w:val="en-GB"/>
        </w:rPr>
        <w:t>standards</w:t>
      </w:r>
      <w:r w:rsidR="009A66B4" w:rsidRPr="00C8509B">
        <w:rPr>
          <w:noProof/>
          <w:lang w:val="en-GB"/>
        </w:rPr>
        <w:t>;</w:t>
      </w:r>
      <w:r w:rsidR="00A633FD">
        <w:rPr>
          <w:noProof/>
          <w:lang w:val="en-GB"/>
        </w:rPr>
        <w:t xml:space="preserve"> and</w:t>
      </w:r>
    </w:p>
    <w:p w14:paraId="6F98B91F" w14:textId="2D13141C" w:rsidR="009A7B84" w:rsidRPr="007A24BD" w:rsidRDefault="009A7B84" w:rsidP="009A7B84">
      <w:pPr>
        <w:pStyle w:val="ListParagraph"/>
        <w:numPr>
          <w:ilvl w:val="0"/>
          <w:numId w:val="29"/>
        </w:numPr>
        <w:rPr>
          <w:noProof/>
          <w:lang w:val="en-GB"/>
        </w:rPr>
      </w:pPr>
      <w:r w:rsidRPr="007A24BD">
        <w:rPr>
          <w:noProof/>
          <w:lang w:val="en-GB"/>
        </w:rPr>
        <w:t>govern</w:t>
      </w:r>
      <w:r>
        <w:rPr>
          <w:noProof/>
          <w:lang w:val="en-GB"/>
        </w:rPr>
        <w:t>ance</w:t>
      </w:r>
      <w:r w:rsidRPr="007A24BD">
        <w:rPr>
          <w:noProof/>
          <w:lang w:val="en-GB"/>
        </w:rPr>
        <w:t xml:space="preserve"> f</w:t>
      </w:r>
      <w:r>
        <w:rPr>
          <w:noProof/>
          <w:lang w:val="en-GB"/>
        </w:rPr>
        <w:t>or</w:t>
      </w:r>
      <w:r w:rsidRPr="007A24BD">
        <w:rPr>
          <w:noProof/>
          <w:lang w:val="en-GB"/>
        </w:rPr>
        <w:t xml:space="preserve"> the </w:t>
      </w:r>
      <w:r>
        <w:rPr>
          <w:noProof/>
          <w:lang w:val="en-GB"/>
        </w:rPr>
        <w:t xml:space="preserve">European </w:t>
      </w:r>
      <w:r w:rsidRPr="007A24BD">
        <w:rPr>
          <w:noProof/>
          <w:lang w:val="en-GB"/>
        </w:rPr>
        <w:t>Health Data Space</w:t>
      </w:r>
      <w:r>
        <w:rPr>
          <w:noProof/>
          <w:lang w:val="en-GB"/>
        </w:rPr>
        <w:t xml:space="preserve">, meaning </w:t>
      </w:r>
      <w:r w:rsidR="00CC66B0">
        <w:rPr>
          <w:noProof/>
          <w:lang w:val="en-GB"/>
        </w:rPr>
        <w:t xml:space="preserve">coordination </w:t>
      </w:r>
      <w:r>
        <w:rPr>
          <w:noProof/>
          <w:lang w:val="en-GB"/>
        </w:rPr>
        <w:t>of relevant bodies, financing joint actions, and supporting for EU level cooperation;</w:t>
      </w:r>
    </w:p>
    <w:p w14:paraId="5102D54B" w14:textId="3648ADD0" w:rsidR="003F3D2C" w:rsidRPr="00973AE3" w:rsidRDefault="00D46475" w:rsidP="00973AE3">
      <w:pPr>
        <w:pStyle w:val="ListParagraph"/>
        <w:numPr>
          <w:ilvl w:val="0"/>
          <w:numId w:val="29"/>
        </w:numPr>
        <w:rPr>
          <w:noProof/>
          <w:lang w:val="en-GB"/>
        </w:rPr>
      </w:pPr>
      <w:r w:rsidRPr="005853B4">
        <w:rPr>
          <w:noProof/>
          <w:lang w:val="en-GB"/>
        </w:rPr>
        <w:t xml:space="preserve">carrying out </w:t>
      </w:r>
      <w:r w:rsidR="003F3D2C" w:rsidRPr="005853B4">
        <w:rPr>
          <w:noProof/>
          <w:lang w:val="en-GB"/>
        </w:rPr>
        <w:t xml:space="preserve">actions to support interoperability, </w:t>
      </w:r>
      <w:r w:rsidR="00CC66B0">
        <w:rPr>
          <w:noProof/>
          <w:lang w:val="en-GB"/>
        </w:rPr>
        <w:t>protection of personal data</w:t>
      </w:r>
      <w:r w:rsidR="004501BA">
        <w:rPr>
          <w:noProof/>
          <w:lang w:val="en-GB"/>
        </w:rPr>
        <w:t xml:space="preserve">, </w:t>
      </w:r>
      <w:r w:rsidR="00E1673E">
        <w:rPr>
          <w:noProof/>
          <w:lang w:val="en-GB"/>
        </w:rPr>
        <w:t xml:space="preserve">and </w:t>
      </w:r>
      <w:r w:rsidR="003F3D2C" w:rsidRPr="005853B4">
        <w:rPr>
          <w:noProof/>
          <w:lang w:val="en-GB"/>
        </w:rPr>
        <w:t>data quality</w:t>
      </w:r>
      <w:r w:rsidR="00D4120C">
        <w:rPr>
          <w:noProof/>
          <w:lang w:val="en-GB"/>
        </w:rPr>
        <w:t>, meaning</w:t>
      </w:r>
      <w:r w:rsidR="00A07678">
        <w:rPr>
          <w:noProof/>
          <w:lang w:val="en-GB"/>
        </w:rPr>
        <w:t xml:space="preserve"> development and selection of standards and specification</w:t>
      </w:r>
      <w:r w:rsidR="00A1470B">
        <w:rPr>
          <w:noProof/>
          <w:lang w:val="en-GB"/>
        </w:rPr>
        <w:t>s</w:t>
      </w:r>
      <w:r w:rsidR="00A07678">
        <w:rPr>
          <w:noProof/>
          <w:lang w:val="en-GB"/>
        </w:rPr>
        <w:t xml:space="preserve"> for data</w:t>
      </w:r>
      <w:r w:rsidR="00A1470B">
        <w:rPr>
          <w:noProof/>
          <w:lang w:val="en-GB"/>
        </w:rPr>
        <w:t xml:space="preserve"> </w:t>
      </w:r>
      <w:r w:rsidR="00A07678">
        <w:rPr>
          <w:noProof/>
          <w:lang w:val="en-GB"/>
        </w:rPr>
        <w:t xml:space="preserve">sharing, support </w:t>
      </w:r>
      <w:r w:rsidR="00A41671">
        <w:rPr>
          <w:noProof/>
          <w:lang w:val="en-GB"/>
        </w:rPr>
        <w:t xml:space="preserve">for </w:t>
      </w:r>
      <w:r w:rsidR="00A07678">
        <w:rPr>
          <w:noProof/>
          <w:lang w:val="en-GB"/>
        </w:rPr>
        <w:t>Member States to code data, support for developing the standardisation of new data categories</w:t>
      </w:r>
      <w:r w:rsidR="007D4DC6">
        <w:rPr>
          <w:noProof/>
          <w:lang w:val="en-GB"/>
        </w:rPr>
        <w:t>,</w:t>
      </w:r>
      <w:r w:rsidR="00A07678">
        <w:rPr>
          <w:noProof/>
          <w:lang w:val="en-GB"/>
        </w:rPr>
        <w:t xml:space="preserve"> etc.</w:t>
      </w:r>
    </w:p>
    <w:p w14:paraId="42F8ADDD" w14:textId="3ED40B9E" w:rsidR="004A1D0C" w:rsidRPr="00E90B95" w:rsidRDefault="00442F06" w:rsidP="004A1D0C">
      <w:pPr>
        <w:rPr>
          <w:noProof/>
          <w:lang w:val="en-GB"/>
        </w:rPr>
      </w:pPr>
      <w:r>
        <w:rPr>
          <w:noProof/>
          <w:lang w:val="en-GB"/>
        </w:rPr>
        <w:t xml:space="preserve">At EU level, EUR </w:t>
      </w:r>
      <w:r w:rsidR="00351895">
        <w:rPr>
          <w:noProof/>
          <w:lang w:val="en-GB"/>
        </w:rPr>
        <w:t>810</w:t>
      </w:r>
      <w:r>
        <w:rPr>
          <w:noProof/>
          <w:lang w:val="en-GB"/>
        </w:rPr>
        <w:t xml:space="preserve"> million is available to support the European Health Data Space. Over EUR </w:t>
      </w:r>
      <w:r w:rsidR="00351895">
        <w:rPr>
          <w:noProof/>
          <w:lang w:val="en-GB"/>
        </w:rPr>
        <w:t>330</w:t>
      </w:r>
      <w:r>
        <w:rPr>
          <w:noProof/>
          <w:lang w:val="en-GB"/>
        </w:rPr>
        <w:t xml:space="preserve"> million have been earmarked for European Health Data Space activities and infrastructures: </w:t>
      </w:r>
      <w:r w:rsidRPr="00E90B95">
        <w:rPr>
          <w:noProof/>
          <w:lang w:val="en-GB"/>
        </w:rPr>
        <w:t xml:space="preserve">EUR </w:t>
      </w:r>
      <w:r>
        <w:rPr>
          <w:noProof/>
          <w:lang w:val="en-GB"/>
        </w:rPr>
        <w:t>2</w:t>
      </w:r>
      <w:r w:rsidR="00351895">
        <w:rPr>
          <w:noProof/>
          <w:lang w:val="en-GB"/>
        </w:rPr>
        <w:t>8</w:t>
      </w:r>
      <w:r>
        <w:rPr>
          <w:noProof/>
          <w:lang w:val="en-GB"/>
        </w:rPr>
        <w:t>0</w:t>
      </w:r>
      <w:r w:rsidRPr="00E90B95">
        <w:rPr>
          <w:noProof/>
          <w:lang w:val="en-GB"/>
        </w:rPr>
        <w:t xml:space="preserve"> million under </w:t>
      </w:r>
      <w:r>
        <w:rPr>
          <w:noProof/>
          <w:lang w:val="en-GB"/>
        </w:rPr>
        <w:t xml:space="preserve">the </w:t>
      </w:r>
      <w:r w:rsidRPr="00E90B95">
        <w:rPr>
          <w:noProof/>
          <w:lang w:val="en-GB"/>
        </w:rPr>
        <w:t>EU4Health Programme</w:t>
      </w:r>
      <w:r>
        <w:rPr>
          <w:noProof/>
          <w:lang w:val="en-GB"/>
        </w:rPr>
        <w:t xml:space="preserve"> and additional EUR 50 million under the Digital Europe Programme. </w:t>
      </w:r>
      <w:r w:rsidR="004A1D0C">
        <w:rPr>
          <w:noProof/>
          <w:lang w:val="en-GB"/>
        </w:rPr>
        <w:t>Grants will be available to Member States</w:t>
      </w:r>
      <w:r w:rsidR="004A1D0C" w:rsidRPr="00E90B95">
        <w:rPr>
          <w:noProof/>
          <w:lang w:val="en-GB"/>
        </w:rPr>
        <w:t xml:space="preserve">: </w:t>
      </w:r>
    </w:p>
    <w:p w14:paraId="5932DE89" w14:textId="03DA7789" w:rsidR="004A1D0C" w:rsidRPr="00E90B95" w:rsidRDefault="004A1D0C" w:rsidP="006E0A22">
      <w:pPr>
        <w:ind w:left="360" w:hanging="360"/>
        <w:rPr>
          <w:noProof/>
          <w:lang w:val="en-GB"/>
        </w:rPr>
      </w:pPr>
      <w:r w:rsidRPr="00E90B95">
        <w:rPr>
          <w:noProof/>
          <w:lang w:val="en-GB"/>
        </w:rPr>
        <w:t>1.</w:t>
      </w:r>
      <w:r w:rsidRPr="00E90B95">
        <w:rPr>
          <w:noProof/>
          <w:lang w:val="en-GB"/>
        </w:rPr>
        <w:tab/>
        <w:t>to expand MyHealth@EU to more Member States and new services (patient summaries, e-prescriptions and e-dispensations, images, laboratory reports and discharge)</w:t>
      </w:r>
      <w:r w:rsidR="00B30F25">
        <w:rPr>
          <w:b/>
          <w:bCs/>
          <w:noProof/>
          <w:lang w:val="en-GB"/>
        </w:rPr>
        <w:t xml:space="preserve">, </w:t>
      </w:r>
      <w:r w:rsidR="00B30F25" w:rsidRPr="00BD6DC5">
        <w:rPr>
          <w:bCs/>
          <w:noProof/>
          <w:lang w:val="en-GB"/>
        </w:rPr>
        <w:t>including also patients’ access to their health data</w:t>
      </w:r>
      <w:r w:rsidRPr="00E90B95">
        <w:rPr>
          <w:noProof/>
          <w:lang w:val="en-GB"/>
        </w:rPr>
        <w:t>. A pilot project under the 2021 EU4Health work programme will help patients obtain their health data on their smartphones, in the language of the country of destination</w:t>
      </w:r>
      <w:r w:rsidR="00C133B7">
        <w:rPr>
          <w:noProof/>
          <w:lang w:val="en-GB"/>
        </w:rPr>
        <w:t>;</w:t>
      </w:r>
      <w:r w:rsidRPr="00E90B95">
        <w:rPr>
          <w:noProof/>
          <w:lang w:val="en-GB"/>
        </w:rPr>
        <w:t xml:space="preserve"> </w:t>
      </w:r>
    </w:p>
    <w:p w14:paraId="0F901327" w14:textId="77777777" w:rsidR="004A1D0C" w:rsidRDefault="004A1D0C" w:rsidP="006E0A22">
      <w:pPr>
        <w:ind w:left="360" w:hanging="360"/>
        <w:rPr>
          <w:noProof/>
          <w:lang w:val="en-GB"/>
        </w:rPr>
      </w:pPr>
      <w:r w:rsidRPr="00E90B95">
        <w:rPr>
          <w:noProof/>
          <w:lang w:val="en-GB"/>
        </w:rPr>
        <w:t>2.</w:t>
      </w:r>
      <w:r w:rsidRPr="00E90B95">
        <w:rPr>
          <w:noProof/>
          <w:lang w:val="en-GB"/>
        </w:rPr>
        <w:tab/>
        <w:t xml:space="preserve">to </w:t>
      </w:r>
      <w:r>
        <w:rPr>
          <w:noProof/>
          <w:lang w:val="en-GB"/>
        </w:rPr>
        <w:t xml:space="preserve">provide </w:t>
      </w:r>
      <w:r w:rsidRPr="00E90B95">
        <w:rPr>
          <w:noProof/>
          <w:lang w:val="en-GB"/>
        </w:rPr>
        <w:t>services by health data access bodies on secondary use of health data. An EU4Health pilot project under the 2021 EU4Health work programme will support the development of infrastructure for secondary use of health data.</w:t>
      </w:r>
    </w:p>
    <w:p w14:paraId="0DBD922A" w14:textId="67CE9213" w:rsidR="00E34DCB" w:rsidRDefault="00923E38" w:rsidP="004A1D0C">
      <w:pPr>
        <w:rPr>
          <w:noProof/>
          <w:lang w:val="en-GB"/>
        </w:rPr>
      </w:pPr>
      <w:r>
        <w:rPr>
          <w:noProof/>
          <w:lang w:val="en-GB"/>
        </w:rPr>
        <w:t>More than EUR 4</w:t>
      </w:r>
      <w:r w:rsidR="00106790">
        <w:rPr>
          <w:noProof/>
          <w:lang w:val="en-GB"/>
        </w:rPr>
        <w:t>8</w:t>
      </w:r>
      <w:r>
        <w:rPr>
          <w:noProof/>
          <w:lang w:val="en-GB"/>
        </w:rPr>
        <w:t xml:space="preserve">0 million from Digital Europe Programme, Connecting Europe Facility and Horizon Europe can be used by Member States and entities </w:t>
      </w:r>
      <w:r w:rsidR="006D7098">
        <w:rPr>
          <w:noProof/>
          <w:lang w:val="en-GB"/>
        </w:rPr>
        <w:t xml:space="preserve">involved in </w:t>
      </w:r>
      <w:r>
        <w:rPr>
          <w:noProof/>
          <w:lang w:val="en-GB"/>
        </w:rPr>
        <w:t>European Health Data Space</w:t>
      </w:r>
      <w:r w:rsidR="006D7098">
        <w:rPr>
          <w:noProof/>
          <w:lang w:val="en-GB"/>
        </w:rPr>
        <w:t xml:space="preserve">, along with </w:t>
      </w:r>
      <w:r w:rsidR="004C2EB6">
        <w:rPr>
          <w:noProof/>
          <w:lang w:val="en-GB"/>
        </w:rPr>
        <w:t>other sectors</w:t>
      </w:r>
      <w:r>
        <w:rPr>
          <w:noProof/>
          <w:lang w:val="en-GB"/>
        </w:rPr>
        <w:t xml:space="preserve">. </w:t>
      </w:r>
      <w:r w:rsidR="00DB3523">
        <w:rPr>
          <w:noProof/>
          <w:lang w:val="en-GB"/>
        </w:rPr>
        <w:t>Moreover, t</w:t>
      </w:r>
      <w:r w:rsidR="004A1D0C">
        <w:rPr>
          <w:noProof/>
          <w:lang w:val="en-GB"/>
        </w:rPr>
        <w:t xml:space="preserve">he </w:t>
      </w:r>
      <w:r w:rsidR="004A1D0C" w:rsidRPr="00E90B95">
        <w:rPr>
          <w:noProof/>
          <w:lang w:val="en-GB"/>
        </w:rPr>
        <w:t>D</w:t>
      </w:r>
      <w:r w:rsidR="004A1D0C">
        <w:rPr>
          <w:noProof/>
          <w:lang w:val="en-GB"/>
        </w:rPr>
        <w:t>igital</w:t>
      </w:r>
      <w:r w:rsidR="004A1D0C" w:rsidRPr="00E90B95">
        <w:rPr>
          <w:noProof/>
          <w:lang w:val="en-GB"/>
        </w:rPr>
        <w:t xml:space="preserve"> Europe Programme will support the deployment of infrastructures needed to make health data secure</w:t>
      </w:r>
      <w:r w:rsidR="000C52E3">
        <w:rPr>
          <w:noProof/>
          <w:lang w:val="en-GB"/>
        </w:rPr>
        <w:t>ly accessible across EU borders and</w:t>
      </w:r>
      <w:r w:rsidR="004A1D0C" w:rsidRPr="00E90B95">
        <w:rPr>
          <w:noProof/>
          <w:lang w:val="en-GB"/>
        </w:rPr>
        <w:t xml:space="preserve"> </w:t>
      </w:r>
      <w:r w:rsidR="00A12496">
        <w:rPr>
          <w:noProof/>
          <w:lang w:val="en-GB"/>
        </w:rPr>
        <w:t xml:space="preserve">to develop </w:t>
      </w:r>
      <w:r w:rsidR="00DB3523">
        <w:rPr>
          <w:noProof/>
          <w:lang w:val="en-GB"/>
        </w:rPr>
        <w:t xml:space="preserve">common </w:t>
      </w:r>
      <w:r w:rsidR="00A12496">
        <w:rPr>
          <w:noProof/>
          <w:lang w:val="en-GB"/>
        </w:rPr>
        <w:t>data space</w:t>
      </w:r>
      <w:r w:rsidR="00DB3523">
        <w:rPr>
          <w:noProof/>
          <w:lang w:val="en-GB"/>
        </w:rPr>
        <w:t>s</w:t>
      </w:r>
      <w:r w:rsidR="00A12496">
        <w:rPr>
          <w:noProof/>
          <w:lang w:val="en-GB"/>
        </w:rPr>
        <w:t xml:space="preserve"> </w:t>
      </w:r>
      <w:r w:rsidR="00B259A0">
        <w:rPr>
          <w:noProof/>
          <w:lang w:val="en-GB"/>
        </w:rPr>
        <w:t xml:space="preserve">(with over EUR </w:t>
      </w:r>
      <w:r w:rsidR="004C2EB6">
        <w:rPr>
          <w:noProof/>
          <w:lang w:val="en-GB"/>
        </w:rPr>
        <w:t>140</w:t>
      </w:r>
      <w:r w:rsidR="00B259A0">
        <w:rPr>
          <w:noProof/>
          <w:lang w:val="en-GB"/>
        </w:rPr>
        <w:t xml:space="preserve"> million from the work programmes 2021-2022). Where physical connectivity is lacking, </w:t>
      </w:r>
      <w:r w:rsidR="003616A9">
        <w:rPr>
          <w:noProof/>
          <w:lang w:val="en-GB"/>
        </w:rPr>
        <w:t xml:space="preserve">the </w:t>
      </w:r>
      <w:r w:rsidR="00B259A0">
        <w:rPr>
          <w:noProof/>
          <w:lang w:val="en-GB"/>
        </w:rPr>
        <w:t>Connecting Europe Facility will promote the interconnection of cloud infrastructures in Member States, including those that are needed in the European Health Data Space (</w:t>
      </w:r>
      <w:r w:rsidR="005C1FFC">
        <w:rPr>
          <w:noProof/>
          <w:lang w:val="en-GB"/>
        </w:rPr>
        <w:t>EUR 130 million)</w:t>
      </w:r>
      <w:r w:rsidR="004A1D0C" w:rsidRPr="00E90B95">
        <w:rPr>
          <w:noProof/>
          <w:lang w:val="en-GB"/>
        </w:rPr>
        <w:t xml:space="preserve">. Horizon Europe will </w:t>
      </w:r>
      <w:r w:rsidR="00DB3523">
        <w:rPr>
          <w:noProof/>
          <w:lang w:val="en-GB"/>
        </w:rPr>
        <w:t xml:space="preserve">continue to </w:t>
      </w:r>
      <w:r w:rsidR="004A1D0C" w:rsidRPr="00E90B95">
        <w:rPr>
          <w:noProof/>
          <w:lang w:val="en-GB"/>
        </w:rPr>
        <w:t xml:space="preserve">support </w:t>
      </w:r>
      <w:r w:rsidR="00DB3523">
        <w:rPr>
          <w:noProof/>
          <w:lang w:val="en-GB"/>
        </w:rPr>
        <w:t xml:space="preserve">the needs of the European Health Data Space through specific </w:t>
      </w:r>
      <w:r w:rsidR="004A1D0C" w:rsidRPr="00E90B95">
        <w:rPr>
          <w:noProof/>
          <w:lang w:val="en-GB"/>
        </w:rPr>
        <w:t>research</w:t>
      </w:r>
      <w:r w:rsidR="007630BA">
        <w:rPr>
          <w:noProof/>
          <w:lang w:val="en-GB"/>
        </w:rPr>
        <w:t xml:space="preserve"> and innovation</w:t>
      </w:r>
      <w:r w:rsidR="004A1D0C" w:rsidRPr="00E90B95">
        <w:rPr>
          <w:noProof/>
          <w:lang w:val="en-GB"/>
        </w:rPr>
        <w:t xml:space="preserve"> projects</w:t>
      </w:r>
      <w:r w:rsidR="00DB3523">
        <w:rPr>
          <w:noProof/>
          <w:lang w:val="en-GB"/>
        </w:rPr>
        <w:t xml:space="preserve"> and </w:t>
      </w:r>
      <w:r w:rsidR="007630BA">
        <w:rPr>
          <w:noProof/>
          <w:lang w:val="en-GB"/>
        </w:rPr>
        <w:t xml:space="preserve">coordination and </w:t>
      </w:r>
      <w:r w:rsidR="00DB3523">
        <w:rPr>
          <w:noProof/>
          <w:lang w:val="en-GB"/>
        </w:rPr>
        <w:t>support actions focusing</w:t>
      </w:r>
      <w:r w:rsidR="004A1D0C" w:rsidRPr="00E90B95">
        <w:rPr>
          <w:noProof/>
          <w:lang w:val="en-GB"/>
        </w:rPr>
        <w:t xml:space="preserve"> on </w:t>
      </w:r>
      <w:r w:rsidR="00DB3523">
        <w:rPr>
          <w:noProof/>
          <w:lang w:val="en-GB"/>
        </w:rPr>
        <w:t xml:space="preserve">health data </w:t>
      </w:r>
      <w:r w:rsidR="007630BA">
        <w:rPr>
          <w:noProof/>
          <w:lang w:val="en-GB"/>
        </w:rPr>
        <w:t xml:space="preserve">quality and </w:t>
      </w:r>
      <w:r w:rsidR="004A1D0C" w:rsidRPr="00E90B95">
        <w:rPr>
          <w:noProof/>
          <w:lang w:val="en-GB"/>
        </w:rPr>
        <w:t>interoperability</w:t>
      </w:r>
      <w:r w:rsidR="005C1FFC">
        <w:rPr>
          <w:noProof/>
          <w:lang w:val="en-GB"/>
        </w:rPr>
        <w:t xml:space="preserve"> and </w:t>
      </w:r>
      <w:r w:rsidR="007630BA">
        <w:rPr>
          <w:noProof/>
          <w:lang w:val="en-GB"/>
        </w:rPr>
        <w:t xml:space="preserve">through the </w:t>
      </w:r>
      <w:r w:rsidR="005C1FFC">
        <w:rPr>
          <w:noProof/>
          <w:lang w:val="en-GB"/>
        </w:rPr>
        <w:t xml:space="preserve">research infrastructures (around EUR </w:t>
      </w:r>
      <w:r w:rsidR="00106790">
        <w:rPr>
          <w:noProof/>
          <w:lang w:val="en-GB"/>
        </w:rPr>
        <w:t>210</w:t>
      </w:r>
      <w:r w:rsidR="005C1FFC">
        <w:rPr>
          <w:noProof/>
          <w:lang w:val="en-GB"/>
        </w:rPr>
        <w:t xml:space="preserve"> million</w:t>
      </w:r>
      <w:r w:rsidR="003815A2">
        <w:rPr>
          <w:noProof/>
          <w:lang w:val="en-GB"/>
        </w:rPr>
        <w:t xml:space="preserve"> allocated until 2022</w:t>
      </w:r>
      <w:r w:rsidR="005C1FFC">
        <w:rPr>
          <w:noProof/>
          <w:lang w:val="en-GB"/>
        </w:rPr>
        <w:t>)</w:t>
      </w:r>
      <w:r w:rsidR="004A1D0C" w:rsidRPr="00E90B95">
        <w:rPr>
          <w:noProof/>
          <w:lang w:val="en-GB"/>
        </w:rPr>
        <w:t>.</w:t>
      </w:r>
    </w:p>
    <w:p w14:paraId="73486584" w14:textId="574367BC" w:rsidR="004A1D0C" w:rsidRDefault="00E34DCB" w:rsidP="004A1D0C">
      <w:pPr>
        <w:rPr>
          <w:noProof/>
          <w:lang w:val="en-GB"/>
        </w:rPr>
      </w:pPr>
      <w:r w:rsidRPr="00E34DCB">
        <w:rPr>
          <w:noProof/>
          <w:lang w:val="en-GB"/>
        </w:rPr>
        <w:t>In addition, Member States have earmarked EUR 12 billion under the Recovery and Resilience Facility for investments in health, including digital health and the secondary use of health data. The European Regional Development Fund and InvestEU offer complementarities for additional investments in digital health based on national needs.</w:t>
      </w:r>
      <w:r w:rsidR="00CE6D65">
        <w:rPr>
          <w:noProof/>
          <w:lang w:val="en-GB"/>
        </w:rPr>
        <w:t xml:space="preserve"> </w:t>
      </w:r>
      <w:r w:rsidR="00CE6D65" w:rsidRPr="00D91664">
        <w:rPr>
          <w:noProof/>
          <w:lang w:val="en-GB"/>
        </w:rPr>
        <w:t xml:space="preserve">The Commission will </w:t>
      </w:r>
      <w:r w:rsidR="00CE6D65">
        <w:rPr>
          <w:noProof/>
          <w:lang w:val="en-GB"/>
        </w:rPr>
        <w:t>also</w:t>
      </w:r>
      <w:r w:rsidR="00CE6D65" w:rsidRPr="00D91664">
        <w:rPr>
          <w:noProof/>
          <w:lang w:val="en-GB"/>
        </w:rPr>
        <w:t xml:space="preserve"> support Member States through the Technical Support Instrument, upon demand, on designing and implementing strategies and action plans aiming to render health systems</w:t>
      </w:r>
      <w:r w:rsidR="00CE6D65">
        <w:rPr>
          <w:noProof/>
          <w:lang w:val="en-GB"/>
        </w:rPr>
        <w:t xml:space="preserve"> </w:t>
      </w:r>
      <w:r w:rsidR="00CE6D65" w:rsidRPr="00D91664">
        <w:rPr>
          <w:noProof/>
          <w:lang w:val="en-GB"/>
        </w:rPr>
        <w:t>interoperable</w:t>
      </w:r>
      <w:r w:rsidR="00CE6D65">
        <w:rPr>
          <w:noProof/>
          <w:lang w:val="en-GB"/>
        </w:rPr>
        <w:t>.</w:t>
      </w:r>
    </w:p>
    <w:p w14:paraId="4FEF878A" w14:textId="332F96B8" w:rsidR="006E4A34" w:rsidRDefault="006E4A34">
      <w:pPr>
        <w:spacing w:after="160"/>
        <w:jc w:val="left"/>
        <w:rPr>
          <w:noProof/>
          <w:lang w:val="en-GB"/>
        </w:rPr>
      </w:pPr>
      <w:r>
        <w:rPr>
          <w:noProof/>
          <w:lang w:val="en-GB"/>
        </w:rPr>
        <w:br w:type="page"/>
      </w:r>
    </w:p>
    <w:p w14:paraId="3B6B80E0" w14:textId="77777777" w:rsidR="009A4F56" w:rsidRPr="00F41B43" w:rsidRDefault="005176FF" w:rsidP="001C7665">
      <w:pPr>
        <w:pStyle w:val="Heading1"/>
        <w:numPr>
          <w:ilvl w:val="0"/>
          <w:numId w:val="0"/>
        </w:numPr>
        <w:ind w:left="360"/>
        <w:rPr>
          <w:noProof/>
          <w:lang w:val="en-GB"/>
        </w:rPr>
      </w:pPr>
      <w:r>
        <w:rPr>
          <w:rFonts w:eastAsiaTheme="minorHAnsi"/>
          <w:caps w:val="0"/>
          <w:noProof/>
          <w:lang w:val="en-GB"/>
        </w:rPr>
        <w:t>7</w:t>
      </w:r>
      <w:r w:rsidR="00731AE3">
        <w:rPr>
          <w:rFonts w:eastAsiaTheme="minorHAnsi"/>
          <w:caps w:val="0"/>
          <w:noProof/>
          <w:lang w:val="en-GB"/>
        </w:rPr>
        <w:t xml:space="preserve">. </w:t>
      </w:r>
      <w:r w:rsidR="009A4F56" w:rsidRPr="00F41B43">
        <w:rPr>
          <w:rFonts w:eastAsiaTheme="minorHAnsi"/>
          <w:caps w:val="0"/>
          <w:noProof/>
          <w:lang w:val="en-GB"/>
        </w:rPr>
        <w:t>CONCLUSION</w:t>
      </w:r>
    </w:p>
    <w:p w14:paraId="263BD809" w14:textId="0D8F626B" w:rsidR="0033645F" w:rsidRDefault="0033645F" w:rsidP="00DA0648">
      <w:pPr>
        <w:rPr>
          <w:noProof/>
          <w:lang w:val="en-GB"/>
        </w:rPr>
      </w:pPr>
      <w:r w:rsidRPr="00F41B43">
        <w:rPr>
          <w:noProof/>
          <w:lang w:val="en-GB"/>
        </w:rPr>
        <w:t xml:space="preserve">As the </w:t>
      </w:r>
      <w:r w:rsidR="00A17D6C">
        <w:rPr>
          <w:noProof/>
          <w:lang w:val="en-GB"/>
        </w:rPr>
        <w:t>EU</w:t>
      </w:r>
      <w:r w:rsidRPr="00F41B43">
        <w:rPr>
          <w:noProof/>
          <w:lang w:val="en-GB"/>
        </w:rPr>
        <w:t xml:space="preserve"> emerges from COVID-19 stronger, more united and better prepared for future crises, </w:t>
      </w:r>
      <w:r w:rsidR="007C0C76">
        <w:rPr>
          <w:noProof/>
          <w:lang w:val="en-GB"/>
        </w:rPr>
        <w:t>it has become abundantly clear that</w:t>
      </w:r>
      <w:r w:rsidRPr="00F41B43">
        <w:rPr>
          <w:noProof/>
          <w:lang w:val="en-GB"/>
        </w:rPr>
        <w:t xml:space="preserve">, </w:t>
      </w:r>
      <w:r w:rsidRPr="00F41B43">
        <w:rPr>
          <w:b/>
          <w:noProof/>
          <w:lang w:val="en-GB"/>
        </w:rPr>
        <w:t xml:space="preserve">when </w:t>
      </w:r>
      <w:r w:rsidR="007C0C76">
        <w:rPr>
          <w:b/>
          <w:noProof/>
          <w:lang w:val="en-GB"/>
        </w:rPr>
        <w:t xml:space="preserve">Europe </w:t>
      </w:r>
      <w:r w:rsidRPr="00F41B43">
        <w:rPr>
          <w:b/>
          <w:noProof/>
          <w:lang w:val="en-GB"/>
        </w:rPr>
        <w:t>come</w:t>
      </w:r>
      <w:r w:rsidR="007C0C76">
        <w:rPr>
          <w:b/>
          <w:noProof/>
          <w:lang w:val="en-GB"/>
        </w:rPr>
        <w:t>s</w:t>
      </w:r>
      <w:r w:rsidRPr="00F41B43">
        <w:rPr>
          <w:b/>
          <w:noProof/>
          <w:lang w:val="en-GB"/>
        </w:rPr>
        <w:t xml:space="preserve"> together</w:t>
      </w:r>
      <w:r w:rsidR="00A17D6C">
        <w:rPr>
          <w:b/>
          <w:noProof/>
          <w:lang w:val="en-GB"/>
        </w:rPr>
        <w:t>, cooperate</w:t>
      </w:r>
      <w:r w:rsidR="007C0C76">
        <w:rPr>
          <w:b/>
          <w:noProof/>
          <w:lang w:val="en-GB"/>
        </w:rPr>
        <w:t>s</w:t>
      </w:r>
      <w:r w:rsidRPr="00F41B43">
        <w:rPr>
          <w:b/>
          <w:noProof/>
          <w:lang w:val="en-GB"/>
        </w:rPr>
        <w:t xml:space="preserve"> and pool</w:t>
      </w:r>
      <w:r w:rsidR="007C0C76">
        <w:rPr>
          <w:b/>
          <w:noProof/>
          <w:lang w:val="en-GB"/>
        </w:rPr>
        <w:t>s</w:t>
      </w:r>
      <w:r w:rsidRPr="00F41B43">
        <w:rPr>
          <w:b/>
          <w:noProof/>
          <w:lang w:val="en-GB"/>
        </w:rPr>
        <w:t xml:space="preserve"> resources, giant strides</w:t>
      </w:r>
      <w:r w:rsidR="007C0C76">
        <w:rPr>
          <w:b/>
          <w:noProof/>
          <w:lang w:val="en-GB"/>
        </w:rPr>
        <w:t xml:space="preserve"> can be achieved</w:t>
      </w:r>
      <w:r w:rsidRPr="00F41B43">
        <w:rPr>
          <w:noProof/>
          <w:lang w:val="en-GB"/>
        </w:rPr>
        <w:t xml:space="preserve">. </w:t>
      </w:r>
      <w:r w:rsidR="00ED7CB9">
        <w:rPr>
          <w:noProof/>
          <w:lang w:val="en-GB"/>
        </w:rPr>
        <w:t xml:space="preserve"> </w:t>
      </w:r>
    </w:p>
    <w:p w14:paraId="60DB8FC2" w14:textId="075E9D1C" w:rsidR="00ED7CB9" w:rsidRDefault="007C0C76" w:rsidP="007A7E60">
      <w:pPr>
        <w:rPr>
          <w:noProof/>
          <w:lang w:val="en-GB"/>
        </w:rPr>
      </w:pPr>
      <w:r>
        <w:rPr>
          <w:noProof/>
          <w:lang w:val="en-GB"/>
        </w:rPr>
        <w:t xml:space="preserve">The digitalisation of healthcare in Europe is a challenge that requires such unity of purpose and common effort in </w:t>
      </w:r>
      <w:r w:rsidR="00BA21D6">
        <w:rPr>
          <w:noProof/>
          <w:lang w:val="en-GB"/>
        </w:rPr>
        <w:t>a strong European Health Union that puts citizens’ health first.</w:t>
      </w:r>
      <w:r w:rsidR="004621EC">
        <w:rPr>
          <w:noProof/>
          <w:lang w:val="en-GB"/>
        </w:rPr>
        <w:t xml:space="preserve"> </w:t>
      </w:r>
      <w:r w:rsidR="002A6B95">
        <w:rPr>
          <w:noProof/>
          <w:lang w:val="en-GB"/>
        </w:rPr>
        <w:t>T</w:t>
      </w:r>
      <w:r w:rsidR="002A6B95" w:rsidRPr="002A6B95">
        <w:rPr>
          <w:noProof/>
          <w:lang w:val="en-GB"/>
        </w:rPr>
        <w:t>he European Health Data Space</w:t>
      </w:r>
      <w:r w:rsidR="004621EC">
        <w:rPr>
          <w:noProof/>
          <w:lang w:val="en-GB"/>
        </w:rPr>
        <w:t xml:space="preserve"> </w:t>
      </w:r>
      <w:r>
        <w:rPr>
          <w:noProof/>
          <w:lang w:val="en-GB"/>
        </w:rPr>
        <w:t xml:space="preserve">will be </w:t>
      </w:r>
      <w:r w:rsidR="00BA21D6">
        <w:rPr>
          <w:noProof/>
          <w:lang w:val="en-GB"/>
        </w:rPr>
        <w:t>a key driver of th</w:t>
      </w:r>
      <w:r w:rsidR="004621EC">
        <w:rPr>
          <w:noProof/>
          <w:lang w:val="en-GB"/>
        </w:rPr>
        <w:t>is</w:t>
      </w:r>
      <w:r w:rsidR="00BA21D6">
        <w:rPr>
          <w:noProof/>
          <w:lang w:val="en-GB"/>
        </w:rPr>
        <w:t>.</w:t>
      </w:r>
      <w:r w:rsidR="00ED7CB9" w:rsidRPr="00ED7CB9">
        <w:rPr>
          <w:noProof/>
          <w:lang w:val="en-GB"/>
        </w:rPr>
        <w:t xml:space="preserve"> </w:t>
      </w:r>
    </w:p>
    <w:p w14:paraId="6226F20C" w14:textId="7DFD939F" w:rsidR="00BA21D6" w:rsidRDefault="00ED7CB9" w:rsidP="007A7E60">
      <w:pPr>
        <w:rPr>
          <w:noProof/>
          <w:lang w:val="en-GB"/>
        </w:rPr>
      </w:pPr>
      <w:r>
        <w:rPr>
          <w:noProof/>
          <w:lang w:val="en-GB"/>
        </w:rPr>
        <w:t xml:space="preserve">The unprecedented cooperation in digital health during </w:t>
      </w:r>
      <w:r w:rsidR="00F92EAD">
        <w:rPr>
          <w:noProof/>
          <w:lang w:val="en-GB"/>
        </w:rPr>
        <w:t xml:space="preserve">the </w:t>
      </w:r>
      <w:r>
        <w:rPr>
          <w:noProof/>
          <w:lang w:val="en-GB"/>
        </w:rPr>
        <w:t>COVID</w:t>
      </w:r>
      <w:r w:rsidR="00F92EAD">
        <w:rPr>
          <w:noProof/>
          <w:lang w:val="en-GB"/>
        </w:rPr>
        <w:t>-19</w:t>
      </w:r>
      <w:r>
        <w:rPr>
          <w:noProof/>
          <w:lang w:val="en-GB"/>
        </w:rPr>
        <w:t xml:space="preserve"> crisis positioned Europe as a global standard setter, for instance with regards to EU Digital COVID </w:t>
      </w:r>
      <w:r w:rsidR="003A219E">
        <w:rPr>
          <w:noProof/>
          <w:lang w:val="en-GB"/>
        </w:rPr>
        <w:t>C</w:t>
      </w:r>
      <w:r>
        <w:rPr>
          <w:noProof/>
          <w:lang w:val="en-GB"/>
        </w:rPr>
        <w:t>ertificate o</w:t>
      </w:r>
      <w:r w:rsidR="003A219E">
        <w:rPr>
          <w:noProof/>
          <w:lang w:val="en-GB"/>
        </w:rPr>
        <w:t>r</w:t>
      </w:r>
      <w:r>
        <w:rPr>
          <w:noProof/>
          <w:lang w:val="en-GB"/>
        </w:rPr>
        <w:t xml:space="preserve"> contact tracing and warning apps. Europe must build upon these achievements and reinforce </w:t>
      </w:r>
      <w:r w:rsidR="00AA6586">
        <w:rPr>
          <w:noProof/>
          <w:lang w:val="en-GB"/>
        </w:rPr>
        <w:t xml:space="preserve">cooperation </w:t>
      </w:r>
      <w:r w:rsidR="00034DB4">
        <w:rPr>
          <w:noProof/>
          <w:lang w:val="en-GB"/>
        </w:rPr>
        <w:t xml:space="preserve">with partner countries and international organisations </w:t>
      </w:r>
      <w:r w:rsidR="00AA6586">
        <w:rPr>
          <w:noProof/>
          <w:lang w:val="en-GB"/>
        </w:rPr>
        <w:t>and leadership</w:t>
      </w:r>
      <w:r>
        <w:rPr>
          <w:noProof/>
          <w:lang w:val="en-GB"/>
        </w:rPr>
        <w:t xml:space="preserve"> in this area</w:t>
      </w:r>
      <w:r w:rsidR="00034DB4">
        <w:rPr>
          <w:noProof/>
          <w:lang w:val="en-GB"/>
        </w:rPr>
        <w:t xml:space="preserve"> for stronger global health systems.</w:t>
      </w:r>
    </w:p>
    <w:p w14:paraId="2D43EA96" w14:textId="77777777" w:rsidR="008300F4" w:rsidRDefault="00F92EAD" w:rsidP="007A7E60">
      <w:pPr>
        <w:rPr>
          <w:noProof/>
          <w:lang w:val="en-GB"/>
        </w:rPr>
      </w:pPr>
      <w:r>
        <w:rPr>
          <w:noProof/>
          <w:lang w:val="en-GB"/>
        </w:rPr>
        <w:t>W</w:t>
      </w:r>
      <w:r w:rsidR="00ED7CB9">
        <w:rPr>
          <w:noProof/>
          <w:lang w:val="en-GB"/>
        </w:rPr>
        <w:t xml:space="preserve">e </w:t>
      </w:r>
      <w:r w:rsidR="00A41671">
        <w:rPr>
          <w:noProof/>
          <w:lang w:val="en-GB"/>
        </w:rPr>
        <w:t xml:space="preserve">now </w:t>
      </w:r>
      <w:r w:rsidR="00ED7CB9">
        <w:rPr>
          <w:noProof/>
          <w:lang w:val="en-GB"/>
        </w:rPr>
        <w:t xml:space="preserve">have </w:t>
      </w:r>
      <w:r w:rsidR="004621EC">
        <w:rPr>
          <w:noProof/>
          <w:lang w:val="en-GB"/>
        </w:rPr>
        <w:t>a</w:t>
      </w:r>
      <w:r w:rsidR="00BA21D6">
        <w:rPr>
          <w:noProof/>
          <w:lang w:val="en-GB"/>
        </w:rPr>
        <w:t>n opportunity</w:t>
      </w:r>
      <w:r w:rsidR="002A6B95" w:rsidRPr="002A6B95">
        <w:rPr>
          <w:noProof/>
          <w:lang w:val="en-GB"/>
        </w:rPr>
        <w:t xml:space="preserve"> to</w:t>
      </w:r>
      <w:r w:rsidR="008300F4">
        <w:rPr>
          <w:noProof/>
          <w:lang w:val="en-GB"/>
        </w:rPr>
        <w:t xml:space="preserve"> shift another paradigm</w:t>
      </w:r>
      <w:r w:rsidR="002A6B95" w:rsidRPr="002A6B95">
        <w:rPr>
          <w:noProof/>
          <w:lang w:val="en-GB"/>
        </w:rPr>
        <w:t xml:space="preserve"> </w:t>
      </w:r>
      <w:r w:rsidR="008300F4">
        <w:rPr>
          <w:noProof/>
          <w:lang w:val="en-GB"/>
        </w:rPr>
        <w:t xml:space="preserve">and </w:t>
      </w:r>
      <w:r w:rsidR="002A6B95" w:rsidRPr="002A6B95">
        <w:rPr>
          <w:noProof/>
          <w:lang w:val="en-GB"/>
        </w:rPr>
        <w:t xml:space="preserve">create an environment that is conducive to sharing </w:t>
      </w:r>
      <w:r w:rsidR="001D7CB1">
        <w:rPr>
          <w:noProof/>
          <w:lang w:val="en-GB"/>
        </w:rPr>
        <w:t xml:space="preserve">and making </w:t>
      </w:r>
      <w:r w:rsidR="002A6B95" w:rsidRPr="002A6B95">
        <w:rPr>
          <w:noProof/>
          <w:lang w:val="en-GB"/>
        </w:rPr>
        <w:t>data</w:t>
      </w:r>
      <w:r w:rsidR="001D7CB1">
        <w:rPr>
          <w:noProof/>
          <w:lang w:val="en-GB"/>
        </w:rPr>
        <w:t xml:space="preserve"> available</w:t>
      </w:r>
      <w:r w:rsidR="002A6B95" w:rsidRPr="002A6B95">
        <w:rPr>
          <w:noProof/>
          <w:lang w:val="en-GB"/>
        </w:rPr>
        <w:t xml:space="preserve">, built on trust and common principles, and in the collective interest of </w:t>
      </w:r>
      <w:r w:rsidR="00A17D6C">
        <w:rPr>
          <w:noProof/>
          <w:lang w:val="en-GB"/>
        </w:rPr>
        <w:t>everyone in the EU</w:t>
      </w:r>
      <w:r>
        <w:rPr>
          <w:noProof/>
          <w:lang w:val="en-GB"/>
        </w:rPr>
        <w:t xml:space="preserve"> to truly harness the power of health data</w:t>
      </w:r>
      <w:r w:rsidR="002A6B95" w:rsidRPr="002A6B95">
        <w:rPr>
          <w:noProof/>
          <w:lang w:val="en-GB"/>
        </w:rPr>
        <w:t>.</w:t>
      </w:r>
      <w:r w:rsidR="002A6B95">
        <w:rPr>
          <w:noProof/>
          <w:lang w:val="en-GB"/>
        </w:rPr>
        <w:t xml:space="preserve"> </w:t>
      </w:r>
    </w:p>
    <w:p w14:paraId="7C6B1922" w14:textId="0CB4B733" w:rsidR="007A61FD" w:rsidRDefault="00F92EAD" w:rsidP="007A7E60">
      <w:pPr>
        <w:rPr>
          <w:noProof/>
          <w:lang w:val="en-GB"/>
        </w:rPr>
      </w:pPr>
      <w:r>
        <w:rPr>
          <w:noProof/>
          <w:lang w:val="en-GB"/>
        </w:rPr>
        <w:t xml:space="preserve">This </w:t>
      </w:r>
      <w:r w:rsidR="008300F4">
        <w:rPr>
          <w:noProof/>
          <w:lang w:val="en-GB"/>
        </w:rPr>
        <w:t xml:space="preserve">project </w:t>
      </w:r>
      <w:r>
        <w:rPr>
          <w:noProof/>
          <w:lang w:val="en-GB"/>
        </w:rPr>
        <w:t xml:space="preserve">will be built on </w:t>
      </w:r>
      <w:r w:rsidR="007A61FD">
        <w:rPr>
          <w:noProof/>
          <w:lang w:val="en-GB"/>
        </w:rPr>
        <w:t>the</w:t>
      </w:r>
      <w:r w:rsidR="00F25608" w:rsidRPr="00F41B43">
        <w:rPr>
          <w:noProof/>
          <w:lang w:val="en-GB"/>
        </w:rPr>
        <w:t xml:space="preserve"> foundation</w:t>
      </w:r>
      <w:r w:rsidR="00BA21D6">
        <w:rPr>
          <w:noProof/>
          <w:lang w:val="en-GB"/>
        </w:rPr>
        <w:t>s</w:t>
      </w:r>
      <w:r w:rsidR="00F25608" w:rsidRPr="00F41B43">
        <w:rPr>
          <w:noProof/>
          <w:lang w:val="en-GB"/>
        </w:rPr>
        <w:t xml:space="preserve"> </w:t>
      </w:r>
      <w:r>
        <w:rPr>
          <w:noProof/>
          <w:lang w:val="en-GB"/>
        </w:rPr>
        <w:t>of</w:t>
      </w:r>
      <w:r w:rsidR="00F25608" w:rsidRPr="00F41B43">
        <w:rPr>
          <w:noProof/>
          <w:lang w:val="en-GB"/>
        </w:rPr>
        <w:t xml:space="preserve"> </w:t>
      </w:r>
      <w:r w:rsidR="007A7E60" w:rsidRPr="00F41B43">
        <w:rPr>
          <w:noProof/>
          <w:lang w:val="en-GB"/>
        </w:rPr>
        <w:t xml:space="preserve">secure and trustworthy </w:t>
      </w:r>
      <w:r w:rsidR="007A61FD">
        <w:rPr>
          <w:noProof/>
          <w:lang w:val="en-GB"/>
        </w:rPr>
        <w:t xml:space="preserve">access to data that is fully in line with the </w:t>
      </w:r>
      <w:r w:rsidR="00521247" w:rsidRPr="00F41B43">
        <w:rPr>
          <w:noProof/>
          <w:lang w:val="en-GB"/>
        </w:rPr>
        <w:t>fundamental values</w:t>
      </w:r>
      <w:r w:rsidR="007A61FD">
        <w:rPr>
          <w:noProof/>
          <w:lang w:val="en-GB"/>
        </w:rPr>
        <w:t xml:space="preserve"> underpinning </w:t>
      </w:r>
      <w:r w:rsidR="00A17D6C">
        <w:rPr>
          <w:noProof/>
          <w:lang w:val="en-GB"/>
        </w:rPr>
        <w:t>EU</w:t>
      </w:r>
      <w:r w:rsidR="00E03FE1" w:rsidRPr="00F41B43">
        <w:rPr>
          <w:noProof/>
          <w:lang w:val="en-GB"/>
        </w:rPr>
        <w:t>.</w:t>
      </w:r>
      <w:r w:rsidR="000220F0" w:rsidRPr="00F41B43">
        <w:rPr>
          <w:noProof/>
          <w:lang w:val="en-GB"/>
        </w:rPr>
        <w:t xml:space="preserve"> </w:t>
      </w:r>
    </w:p>
    <w:p w14:paraId="33B032E0" w14:textId="5CDCFC02" w:rsidR="001E0021" w:rsidRDefault="00F92EAD" w:rsidP="007A7E60">
      <w:pPr>
        <w:rPr>
          <w:noProof/>
          <w:lang w:val="en-GB"/>
        </w:rPr>
      </w:pPr>
      <w:r>
        <w:rPr>
          <w:noProof/>
          <w:lang w:val="en-GB"/>
        </w:rPr>
        <w:t>It is a</w:t>
      </w:r>
      <w:r w:rsidR="00BA21D6">
        <w:rPr>
          <w:noProof/>
          <w:lang w:val="en-GB"/>
        </w:rPr>
        <w:t xml:space="preserve">n opportunity </w:t>
      </w:r>
      <w:r>
        <w:rPr>
          <w:noProof/>
          <w:lang w:val="en-GB"/>
        </w:rPr>
        <w:t xml:space="preserve">to empower </w:t>
      </w:r>
      <w:r w:rsidR="007A61FD">
        <w:rPr>
          <w:noProof/>
          <w:lang w:val="en-GB"/>
        </w:rPr>
        <w:t xml:space="preserve">us </w:t>
      </w:r>
      <w:r w:rsidR="00BA21D6">
        <w:rPr>
          <w:noProof/>
          <w:lang w:val="en-GB"/>
        </w:rPr>
        <w:t xml:space="preserve">all, </w:t>
      </w:r>
      <w:r w:rsidR="007A61FD">
        <w:rPr>
          <w:noProof/>
          <w:lang w:val="en-GB"/>
        </w:rPr>
        <w:t xml:space="preserve">as individuals, </w:t>
      </w:r>
      <w:r>
        <w:rPr>
          <w:noProof/>
          <w:lang w:val="en-GB"/>
        </w:rPr>
        <w:t xml:space="preserve">to profit from </w:t>
      </w:r>
      <w:r w:rsidR="00A4770B">
        <w:rPr>
          <w:noProof/>
          <w:lang w:val="en-GB"/>
        </w:rPr>
        <w:t>stronger</w:t>
      </w:r>
      <w:r w:rsidR="007A61FD">
        <w:rPr>
          <w:noProof/>
          <w:lang w:val="en-GB"/>
        </w:rPr>
        <w:t xml:space="preserve"> </w:t>
      </w:r>
      <w:r w:rsidR="007A61FD" w:rsidRPr="007A61FD">
        <w:rPr>
          <w:noProof/>
          <w:lang w:val="en-GB"/>
        </w:rPr>
        <w:t>rights</w:t>
      </w:r>
      <w:r w:rsidR="00BD1D61">
        <w:rPr>
          <w:noProof/>
          <w:lang w:val="en-GB"/>
        </w:rPr>
        <w:t xml:space="preserve"> </w:t>
      </w:r>
      <w:r w:rsidR="007A61FD" w:rsidRPr="007A61FD">
        <w:rPr>
          <w:noProof/>
          <w:lang w:val="en-GB"/>
        </w:rPr>
        <w:t xml:space="preserve">and safeguards over </w:t>
      </w:r>
      <w:r w:rsidR="005936D1">
        <w:rPr>
          <w:noProof/>
          <w:lang w:val="en-GB"/>
        </w:rPr>
        <w:t>our</w:t>
      </w:r>
      <w:r w:rsidR="007A61FD" w:rsidRPr="007A61FD">
        <w:rPr>
          <w:noProof/>
          <w:lang w:val="en-GB"/>
        </w:rPr>
        <w:t xml:space="preserve"> health data. </w:t>
      </w:r>
      <w:r w:rsidR="00DB5F58">
        <w:rPr>
          <w:noProof/>
          <w:lang w:val="en-GB"/>
        </w:rPr>
        <w:t xml:space="preserve">It will be easier to </w:t>
      </w:r>
      <w:r w:rsidR="003E2737">
        <w:rPr>
          <w:noProof/>
          <w:lang w:val="en-GB"/>
        </w:rPr>
        <w:t>access and share our health data with other health professional</w:t>
      </w:r>
      <w:r w:rsidR="0002354F">
        <w:rPr>
          <w:noProof/>
          <w:lang w:val="en-GB"/>
        </w:rPr>
        <w:t>s</w:t>
      </w:r>
      <w:r w:rsidR="003E2737">
        <w:rPr>
          <w:noProof/>
          <w:lang w:val="en-GB"/>
        </w:rPr>
        <w:t>, without having to re-do the same tests</w:t>
      </w:r>
      <w:r w:rsidR="00DB5F58" w:rsidRPr="00DB5F58">
        <w:rPr>
          <w:noProof/>
          <w:lang w:val="en-GB"/>
        </w:rPr>
        <w:t xml:space="preserve"> </w:t>
      </w:r>
      <w:r w:rsidR="00DB5F58">
        <w:rPr>
          <w:noProof/>
          <w:lang w:val="en-GB"/>
        </w:rPr>
        <w:t>unnecessarily</w:t>
      </w:r>
      <w:r w:rsidR="003E2737">
        <w:rPr>
          <w:noProof/>
          <w:lang w:val="en-GB"/>
        </w:rPr>
        <w:t xml:space="preserve">. </w:t>
      </w:r>
      <w:r w:rsidR="00C4645A">
        <w:rPr>
          <w:noProof/>
          <w:lang w:val="en-GB"/>
        </w:rPr>
        <w:t xml:space="preserve">At the same time, </w:t>
      </w:r>
      <w:r w:rsidR="000117D0">
        <w:rPr>
          <w:noProof/>
          <w:lang w:val="en-GB"/>
        </w:rPr>
        <w:t>easier access to interoperable data of high quality will also facilitate innovation and the development of new treatments, new vaccines and personalised medicine.</w:t>
      </w:r>
    </w:p>
    <w:p w14:paraId="55494558" w14:textId="77777777" w:rsidR="007A61FD" w:rsidRDefault="00A41671" w:rsidP="007A7E60">
      <w:pPr>
        <w:rPr>
          <w:noProof/>
          <w:lang w:val="en-GB"/>
        </w:rPr>
      </w:pPr>
      <w:r>
        <w:rPr>
          <w:noProof/>
          <w:lang w:val="en-GB"/>
        </w:rPr>
        <w:t>In short, we have an</w:t>
      </w:r>
      <w:r w:rsidR="00BD1D61">
        <w:rPr>
          <w:noProof/>
          <w:lang w:val="en-GB"/>
        </w:rPr>
        <w:t xml:space="preserve"> opportunity to unleash the potential of health data economy. </w:t>
      </w:r>
    </w:p>
    <w:p w14:paraId="76F6218C" w14:textId="77777777" w:rsidR="00396E3F" w:rsidRPr="00F41B43" w:rsidRDefault="007A61FD" w:rsidP="007A7E60">
      <w:pPr>
        <w:rPr>
          <w:noProof/>
          <w:lang w:val="en-GB"/>
        </w:rPr>
      </w:pPr>
      <w:r>
        <w:rPr>
          <w:noProof/>
          <w:lang w:val="en-GB"/>
        </w:rPr>
        <w:t xml:space="preserve">The time has come to </w:t>
      </w:r>
      <w:r w:rsidR="00A41671">
        <w:rPr>
          <w:noProof/>
          <w:lang w:val="en-GB"/>
        </w:rPr>
        <w:t xml:space="preserve">seize that opportunity and </w:t>
      </w:r>
      <w:r>
        <w:rPr>
          <w:noProof/>
          <w:lang w:val="en-GB"/>
        </w:rPr>
        <w:t xml:space="preserve">make </w:t>
      </w:r>
      <w:r w:rsidR="00A17D6C" w:rsidRPr="00A17D6C">
        <w:rPr>
          <w:noProof/>
          <w:lang w:val="en-GB"/>
        </w:rPr>
        <w:t>the European Health Data Space</w:t>
      </w:r>
      <w:r w:rsidR="00C02C7D">
        <w:rPr>
          <w:noProof/>
          <w:lang w:val="en-GB"/>
        </w:rPr>
        <w:t xml:space="preserve"> </w:t>
      </w:r>
      <w:r w:rsidR="000220F0" w:rsidRPr="00F41B43">
        <w:rPr>
          <w:noProof/>
          <w:lang w:val="en-GB"/>
        </w:rPr>
        <w:t>a reality.</w:t>
      </w:r>
    </w:p>
    <w:sectPr w:rsidR="00396E3F" w:rsidRPr="00F41B43" w:rsidSect="006F06EA">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021DB" w14:textId="77777777" w:rsidR="0084764D" w:rsidRDefault="0084764D" w:rsidP="0093103A">
      <w:r>
        <w:separator/>
      </w:r>
    </w:p>
  </w:endnote>
  <w:endnote w:type="continuationSeparator" w:id="0">
    <w:p w14:paraId="059D6648" w14:textId="77777777" w:rsidR="0084764D" w:rsidRDefault="0084764D" w:rsidP="0093103A">
      <w:r>
        <w:continuationSeparator/>
      </w:r>
    </w:p>
  </w:endnote>
  <w:endnote w:type="continuationNotice" w:id="1">
    <w:p w14:paraId="25863E61" w14:textId="77777777" w:rsidR="0084764D" w:rsidRDefault="0084764D" w:rsidP="00931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
    <w:altName w:val="Yu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E1F8" w14:textId="77777777" w:rsidR="0050787A" w:rsidRPr="0050787A" w:rsidRDefault="0050787A" w:rsidP="00507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660E" w14:textId="4A054C89" w:rsidR="001A7412" w:rsidRPr="0050787A" w:rsidRDefault="0050787A" w:rsidP="0050787A">
    <w:pPr>
      <w:pStyle w:val="FooterCoverPage"/>
      <w:rPr>
        <w:rFonts w:ascii="Arial" w:hAnsi="Arial" w:cs="Arial"/>
        <w:b/>
        <w:sz w:val="48"/>
      </w:rPr>
    </w:pPr>
    <w:r w:rsidRPr="0050787A">
      <w:rPr>
        <w:rFonts w:ascii="Arial" w:hAnsi="Arial" w:cs="Arial"/>
        <w:b/>
        <w:sz w:val="48"/>
      </w:rPr>
      <w:t>EN</w:t>
    </w:r>
    <w:r w:rsidRPr="0050787A">
      <w:rPr>
        <w:rFonts w:ascii="Arial" w:hAnsi="Arial" w:cs="Arial"/>
        <w:b/>
        <w:sz w:val="48"/>
      </w:rPr>
      <w:tab/>
    </w:r>
    <w:r w:rsidRPr="0050787A">
      <w:rPr>
        <w:rFonts w:ascii="Arial" w:hAnsi="Arial" w:cs="Arial"/>
        <w:b/>
        <w:sz w:val="48"/>
      </w:rPr>
      <w:tab/>
    </w:r>
    <w:r w:rsidRPr="0050787A">
      <w:tab/>
    </w:r>
    <w:r w:rsidRPr="0050787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DCA4" w14:textId="77777777" w:rsidR="0050787A" w:rsidRPr="0050787A" w:rsidRDefault="0050787A" w:rsidP="0050787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382E6" w14:textId="77777777" w:rsidR="007D6BA5" w:rsidRDefault="007D6B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106379"/>
      <w:docPartObj>
        <w:docPartGallery w:val="Page Numbers (Bottom of Page)"/>
        <w:docPartUnique/>
      </w:docPartObj>
    </w:sdtPr>
    <w:sdtEndPr>
      <w:rPr>
        <w:noProof/>
      </w:rPr>
    </w:sdtEndPr>
    <w:sdtContent>
      <w:p w14:paraId="12843204" w14:textId="2FDA6D77" w:rsidR="007D6BA5" w:rsidRDefault="007D6BA5" w:rsidP="00692B25">
        <w:pPr>
          <w:pStyle w:val="Footer"/>
          <w:jc w:val="center"/>
        </w:pPr>
        <w:r>
          <w:fldChar w:fldCharType="begin"/>
        </w:r>
        <w:r>
          <w:instrText xml:space="preserve"> PAGE   \* MERGEFORMAT </w:instrText>
        </w:r>
        <w:r>
          <w:fldChar w:fldCharType="separate"/>
        </w:r>
        <w:r w:rsidR="0050787A">
          <w:rPr>
            <w:noProof/>
          </w:rPr>
          <w:t>18</w:t>
        </w:r>
        <w:r>
          <w:rPr>
            <w:noProof/>
          </w:rPr>
          <w:fldChar w:fldCharType="end"/>
        </w:r>
      </w:p>
    </w:sdtContent>
  </w:sdt>
  <w:p w14:paraId="747F8816" w14:textId="77777777" w:rsidR="007D6BA5" w:rsidRDefault="007D6BA5" w:rsidP="00692B2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218012"/>
      <w:docPartObj>
        <w:docPartGallery w:val="Page Numbers (Bottom of Page)"/>
        <w:docPartUnique/>
      </w:docPartObj>
    </w:sdtPr>
    <w:sdtEndPr>
      <w:rPr>
        <w:noProof/>
      </w:rPr>
    </w:sdtEndPr>
    <w:sdtContent>
      <w:p w14:paraId="06253A8C" w14:textId="0F639A94" w:rsidR="007D6BA5" w:rsidRDefault="007D6BA5">
        <w:pPr>
          <w:pStyle w:val="Footer"/>
          <w:jc w:val="center"/>
        </w:pPr>
        <w:r>
          <w:fldChar w:fldCharType="begin"/>
        </w:r>
        <w:r>
          <w:instrText xml:space="preserve"> PAGE   \* MERGEFORMAT </w:instrText>
        </w:r>
        <w:r>
          <w:fldChar w:fldCharType="separate"/>
        </w:r>
        <w:r w:rsidR="0050787A">
          <w:rPr>
            <w:noProof/>
          </w:rPr>
          <w:t>1</w:t>
        </w:r>
        <w:r>
          <w:rPr>
            <w:noProof/>
          </w:rPr>
          <w:fldChar w:fldCharType="end"/>
        </w:r>
      </w:p>
    </w:sdtContent>
  </w:sdt>
  <w:p w14:paraId="5D43C0DC" w14:textId="77777777" w:rsidR="007D6BA5" w:rsidRDefault="007D6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6C389" w14:textId="77777777" w:rsidR="0084764D" w:rsidRDefault="0084764D" w:rsidP="0093103A">
      <w:r>
        <w:separator/>
      </w:r>
    </w:p>
  </w:footnote>
  <w:footnote w:type="continuationSeparator" w:id="0">
    <w:p w14:paraId="6A45CDB4" w14:textId="77777777" w:rsidR="0084764D" w:rsidRDefault="0084764D" w:rsidP="0093103A">
      <w:r>
        <w:continuationSeparator/>
      </w:r>
    </w:p>
  </w:footnote>
  <w:footnote w:type="continuationNotice" w:id="1">
    <w:p w14:paraId="52841160" w14:textId="77777777" w:rsidR="0084764D" w:rsidRDefault="0084764D" w:rsidP="0093103A"/>
  </w:footnote>
  <w:footnote w:id="2">
    <w:p w14:paraId="0A7FD8DD" w14:textId="77777777" w:rsidR="00AB73FE" w:rsidRPr="00E2446F" w:rsidRDefault="00AB73FE" w:rsidP="00AB73FE">
      <w:pPr>
        <w:pStyle w:val="FootnoteText"/>
      </w:pPr>
      <w:r>
        <w:rPr>
          <w:rStyle w:val="FootnoteReference"/>
        </w:rPr>
        <w:footnoteRef/>
      </w:r>
      <w:r>
        <w:t xml:space="preserve"> </w:t>
      </w:r>
      <w:r w:rsidRPr="00E2446F">
        <w:t>Calculated as a share of the estimated value of data</w:t>
      </w:r>
      <w:r>
        <w:t>-</w:t>
      </w:r>
      <w:r w:rsidRPr="00E2446F">
        <w:t>sharing in the EU. For more information, see the impact assessmen</w:t>
      </w:r>
      <w:r>
        <w:t xml:space="preserve">t, Annex 5. </w:t>
      </w:r>
    </w:p>
  </w:footnote>
  <w:footnote w:id="3">
    <w:p w14:paraId="65AF5CCA" w14:textId="77777777" w:rsidR="00AB73FE" w:rsidRPr="00CC425E" w:rsidRDefault="00AB73FE" w:rsidP="00AB73FE">
      <w:pPr>
        <w:pStyle w:val="FootnoteText"/>
        <w:rPr>
          <w:lang w:val="en-IE"/>
        </w:rPr>
      </w:pPr>
      <w:r>
        <w:rPr>
          <w:rStyle w:val="FootnoteReference"/>
        </w:rPr>
        <w:footnoteRef/>
      </w:r>
      <w:r>
        <w:t xml:space="preserve"> </w:t>
      </w:r>
      <w:r w:rsidRPr="001D180E">
        <w:t>https://www.enisa.europa.eu/topics/critical-information-infrastructures-and-services/health</w:t>
      </w:r>
      <w:r>
        <w:t>.</w:t>
      </w:r>
    </w:p>
  </w:footnote>
  <w:footnote w:id="4">
    <w:p w14:paraId="3CBB5EB3" w14:textId="7353FD61" w:rsidR="007D6BA5" w:rsidRPr="00A90748" w:rsidRDefault="007D6BA5">
      <w:pPr>
        <w:pStyle w:val="FootnoteText"/>
      </w:pPr>
      <w:r>
        <w:rPr>
          <w:rStyle w:val="FootnoteReference"/>
        </w:rPr>
        <w:footnoteRef/>
      </w:r>
      <w:r>
        <w:t xml:space="preserve"> P</w:t>
      </w:r>
      <w:r w:rsidRPr="00A90748">
        <w:t xml:space="preserve">ersonal information </w:t>
      </w:r>
      <w:r>
        <w:t>on health status of an individual, or non-personal information related to health, such as statistics, anonymous or aggregated data</w:t>
      </w:r>
      <w:r w:rsidRPr="00A90748">
        <w:t>. This includes both medical data (</w:t>
      </w:r>
      <w:r>
        <w:t xml:space="preserve">information provided by the patient, diagnosis, </w:t>
      </w:r>
      <w:r w:rsidRPr="00A90748">
        <w:t>doctor referrals and prescriptions, medical examination reports, laboratory tests, radiographs,</w:t>
      </w:r>
      <w:r>
        <w:t xml:space="preserve"> </w:t>
      </w:r>
      <w:r w:rsidRPr="00176B69">
        <w:t>data acquired or processed in the context of health research</w:t>
      </w:r>
      <w:r>
        <w:t xml:space="preserve"> or policy making</w:t>
      </w:r>
      <w:r w:rsidRPr="00176B69">
        <w:t xml:space="preserve">, </w:t>
      </w:r>
      <w:r>
        <w:t xml:space="preserve">such as disease registries or data from registries with side effects of medicinal products or medical devices </w:t>
      </w:r>
      <w:r w:rsidRPr="00A90748">
        <w:t>etc.), administrative and financial information about health (</w:t>
      </w:r>
      <w:r>
        <w:t>including</w:t>
      </w:r>
      <w:r w:rsidRPr="00A90748">
        <w:t xml:space="preserve"> invoices for healthcare services and medical certificates for sick leave management etc.)</w:t>
      </w:r>
      <w:r>
        <w:t>, but also determinants of health (social, behavioral, environmental)</w:t>
      </w:r>
      <w:r w:rsidRPr="00A90748">
        <w:t>.</w:t>
      </w:r>
    </w:p>
  </w:footnote>
  <w:footnote w:id="5">
    <w:p w14:paraId="7B2CD27D" w14:textId="271BA631" w:rsidR="007D6BA5" w:rsidRPr="00F179F9" w:rsidRDefault="007D6BA5">
      <w:pPr>
        <w:pStyle w:val="FootnoteText"/>
      </w:pPr>
      <w:r>
        <w:rPr>
          <w:rStyle w:val="FootnoteReference"/>
        </w:rPr>
        <w:footnoteRef/>
      </w:r>
      <w:r>
        <w:t xml:space="preserve"> </w:t>
      </w:r>
      <w:r w:rsidRPr="00F179F9">
        <w:t>FAIR principles: findability, accessibility, interoperability, reusability (https://www.go-fair.org/fair-principles/)</w:t>
      </w:r>
      <w:r w:rsidR="00FB0A38">
        <w:t>.</w:t>
      </w:r>
    </w:p>
  </w:footnote>
  <w:footnote w:id="6">
    <w:p w14:paraId="019400F9" w14:textId="77777777" w:rsidR="007D6BA5" w:rsidRPr="004D3FFB" w:rsidRDefault="007D6BA5" w:rsidP="00244B06">
      <w:pPr>
        <w:pStyle w:val="FootnoteText"/>
        <w:jc w:val="left"/>
        <w:rPr>
          <w:lang w:val="en-IE"/>
        </w:rPr>
      </w:pPr>
      <w:r>
        <w:rPr>
          <w:rStyle w:val="FootnoteReference"/>
        </w:rPr>
        <w:footnoteRef/>
      </w:r>
      <w:r>
        <w:t xml:space="preserve"> </w:t>
      </w:r>
      <w:r w:rsidRPr="00F878C4">
        <w:rPr>
          <w:lang w:val="en-GB"/>
        </w:rPr>
        <w:t>Provision of healthcare services and medical information using innovative technologies</w:t>
      </w:r>
      <w:r>
        <w:rPr>
          <w:lang w:val="en-GB"/>
        </w:rPr>
        <w:t xml:space="preserve"> (</w:t>
      </w:r>
      <w:r w:rsidRPr="00F878C4">
        <w:rPr>
          <w:lang w:val="en-GB"/>
        </w:rPr>
        <w:t xml:space="preserve">especially </w:t>
      </w:r>
      <w:r w:rsidRPr="001E3A08">
        <w:rPr>
          <w:lang w:val="en-GB"/>
        </w:rPr>
        <w:t>information and communication technologies</w:t>
      </w:r>
      <w:r>
        <w:rPr>
          <w:lang w:val="en-GB"/>
        </w:rPr>
        <w:t>)</w:t>
      </w:r>
      <w:r w:rsidRPr="00F878C4">
        <w:rPr>
          <w:lang w:val="en-GB"/>
        </w:rPr>
        <w:t xml:space="preserve">, in situations where the health professional and </w:t>
      </w:r>
      <w:r>
        <w:rPr>
          <w:lang w:val="en-GB"/>
        </w:rPr>
        <w:t xml:space="preserve">the </w:t>
      </w:r>
      <w:r w:rsidRPr="00F878C4">
        <w:rPr>
          <w:lang w:val="en-GB"/>
        </w:rPr>
        <w:t>patient (or two health professionals) are not in the same location</w:t>
      </w:r>
      <w:r>
        <w:rPr>
          <w:lang w:val="en-GB"/>
        </w:rPr>
        <w:t>.</w:t>
      </w:r>
    </w:p>
  </w:footnote>
  <w:footnote w:id="7">
    <w:p w14:paraId="20A6087D" w14:textId="77777777" w:rsidR="007D6BA5" w:rsidRPr="001C7665" w:rsidRDefault="007D6BA5" w:rsidP="00C16FE6">
      <w:pPr>
        <w:pStyle w:val="FootnoteText"/>
        <w:rPr>
          <w:lang w:val="en-IE"/>
        </w:rPr>
      </w:pPr>
      <w:r>
        <w:rPr>
          <w:rStyle w:val="FootnoteReference"/>
        </w:rPr>
        <w:footnoteRef/>
      </w:r>
      <w:r>
        <w:t xml:space="preserve"> </w:t>
      </w:r>
      <w:r>
        <w:rPr>
          <w:lang w:val="en-IE"/>
        </w:rPr>
        <w:t>According to the impact assessment, p. 51.</w:t>
      </w:r>
    </w:p>
  </w:footnote>
  <w:footnote w:id="8">
    <w:p w14:paraId="1CA07263" w14:textId="34EC8C76" w:rsidR="007D6BA5" w:rsidRPr="00505F23" w:rsidRDefault="007D6BA5" w:rsidP="00C16FE6">
      <w:pPr>
        <w:pStyle w:val="FootnoteText"/>
        <w:rPr>
          <w:lang w:val="en-IE"/>
        </w:rPr>
      </w:pPr>
      <w:r>
        <w:rPr>
          <w:rStyle w:val="FootnoteReference"/>
        </w:rPr>
        <w:footnoteRef/>
      </w:r>
      <w:r>
        <w:t xml:space="preserve"> </w:t>
      </w:r>
      <w:r w:rsidRPr="00CE5A5A">
        <w:t>https://www.hiqa.ie/sites/default/files/2018-05/ePrescribing-An-Intl-Review.pdf</w:t>
      </w:r>
      <w:r w:rsidR="00817783">
        <w:t>.</w:t>
      </w:r>
      <w:r>
        <w:t xml:space="preserve"> </w:t>
      </w:r>
    </w:p>
  </w:footnote>
  <w:footnote w:id="9">
    <w:p w14:paraId="525104AC" w14:textId="77777777" w:rsidR="007D6BA5" w:rsidRPr="00F74324" w:rsidRDefault="007D6BA5" w:rsidP="00C16FE6">
      <w:pPr>
        <w:pStyle w:val="FootnoteText"/>
        <w:rPr>
          <w:lang w:val="en-IE"/>
        </w:rPr>
      </w:pPr>
      <w:r>
        <w:rPr>
          <w:rStyle w:val="FootnoteReference"/>
        </w:rPr>
        <w:footnoteRef/>
      </w:r>
      <w:r>
        <w:t xml:space="preserve"> </w:t>
      </w:r>
      <w:hyperlink r:id="rId1" w:history="1">
        <w:r w:rsidRPr="003E73E3">
          <w:t>https://www.hiqa.ie/sites/default/files/2018-05/ePrescribing-An-Intl-Review.pdf</w:t>
        </w:r>
      </w:hyperlink>
      <w:r w:rsidRPr="003E73E3">
        <w:t>.</w:t>
      </w:r>
    </w:p>
  </w:footnote>
  <w:footnote w:id="10">
    <w:p w14:paraId="092D29FB" w14:textId="77777777" w:rsidR="007D6BA5" w:rsidRPr="00841931" w:rsidRDefault="007D6BA5" w:rsidP="00C16FE6">
      <w:pPr>
        <w:pStyle w:val="FootnoteText"/>
      </w:pPr>
      <w:r>
        <w:rPr>
          <w:rStyle w:val="FootnoteReference"/>
        </w:rPr>
        <w:footnoteRef/>
      </w:r>
      <w:r>
        <w:t xml:space="preserve"> </w:t>
      </w:r>
      <w:r w:rsidRPr="00CE301E">
        <w:t>Cross-border digital infrastructure for the exchange of health data, also known as the eHealth Digital Service Infrastructure (previously referred to as “eHDSI”)</w:t>
      </w:r>
      <w:r>
        <w:t>.</w:t>
      </w:r>
    </w:p>
  </w:footnote>
  <w:footnote w:id="11">
    <w:p w14:paraId="24B04073" w14:textId="77777777" w:rsidR="007D6BA5" w:rsidRPr="00F112A3" w:rsidRDefault="007D6BA5" w:rsidP="00C16FE6">
      <w:pPr>
        <w:pStyle w:val="FootnoteText"/>
      </w:pPr>
      <w:r>
        <w:rPr>
          <w:rStyle w:val="FootnoteReference"/>
        </w:rPr>
        <w:footnoteRef/>
      </w:r>
      <w:r>
        <w:t xml:space="preserve"> According to the impact assessment, forthcoming, p 51.</w:t>
      </w:r>
    </w:p>
  </w:footnote>
  <w:footnote w:id="12">
    <w:p w14:paraId="1B7FFADA" w14:textId="77777777" w:rsidR="006C5B5F" w:rsidRPr="009613CD" w:rsidRDefault="006C5B5F" w:rsidP="006C5B5F">
      <w:pPr>
        <w:pStyle w:val="FootnoteText"/>
      </w:pPr>
      <w:r>
        <w:rPr>
          <w:rStyle w:val="FootnoteReference"/>
        </w:rPr>
        <w:footnoteRef/>
      </w:r>
      <w:r>
        <w:t xml:space="preserve"> </w:t>
      </w:r>
      <w:r w:rsidRPr="009613CD">
        <w:t>https://ec.europa.eu/health/system/files/2021-02/ms_rules_health-data_en_0.pdf</w:t>
      </w:r>
      <w:r>
        <w:t>.</w:t>
      </w:r>
    </w:p>
  </w:footnote>
  <w:footnote w:id="13">
    <w:p w14:paraId="18A55372" w14:textId="281D94F8" w:rsidR="007630BA" w:rsidRPr="006245F2" w:rsidRDefault="007630BA" w:rsidP="007630BA">
      <w:pPr>
        <w:pStyle w:val="FootnoteText"/>
      </w:pPr>
      <w:r>
        <w:rPr>
          <w:rStyle w:val="FootnoteReference"/>
        </w:rPr>
        <w:footnoteRef/>
      </w:r>
      <w:r>
        <w:t xml:space="preserve"> The European Strategy Forum on Research Infrastructures, through its strategic Roadmaps, facilitated the establishment of European research infrastructures dedicated to health research data, biobanking collections, medical imaging data, and others. Details available at: </w:t>
      </w:r>
      <w:r w:rsidR="00752D59" w:rsidRPr="00752D59">
        <w:rPr>
          <w:rStyle w:val="Hyperlink"/>
        </w:rPr>
        <w:t>https://roadmap2021.esfri.eu/</w:t>
      </w:r>
      <w:r>
        <w:t>.</w:t>
      </w:r>
    </w:p>
  </w:footnote>
  <w:footnote w:id="14">
    <w:p w14:paraId="38C26D1A" w14:textId="77777777" w:rsidR="007D6BA5" w:rsidRPr="00603D21" w:rsidRDefault="007D6BA5" w:rsidP="0077357D">
      <w:pPr>
        <w:pStyle w:val="FootnoteText"/>
      </w:pPr>
      <w:r>
        <w:rPr>
          <w:rStyle w:val="FootnoteReference"/>
        </w:rPr>
        <w:footnoteRef/>
      </w:r>
      <w:r>
        <w:t xml:space="preserve"> </w:t>
      </w:r>
      <w:r w:rsidRPr="00603D21">
        <w:t xml:space="preserve">European Commission. </w:t>
      </w:r>
      <w:r w:rsidRPr="00BD6AD5">
        <w:rPr>
          <w:i/>
        </w:rPr>
        <w:t>A European data strategy, 2020.</w:t>
      </w:r>
      <w:r w:rsidRPr="00603D21">
        <w:t xml:space="preserve"> </w:t>
      </w:r>
      <w:r>
        <w:t>(</w:t>
      </w:r>
      <w:hyperlink r:id="rId2" w:history="1">
        <w:r w:rsidRPr="00687B76">
          <w:rPr>
            <w:rStyle w:val="Hyperlink"/>
          </w:rPr>
          <w:t>https://ec.europa.eu/info/strategy/priorities-2019-2024/europe-fit-digital-age/european-data-strategy_en</w:t>
        </w:r>
      </w:hyperlink>
      <w:r>
        <w:rPr>
          <w:rStyle w:val="Hyperlink"/>
        </w:rPr>
        <w:t>)</w:t>
      </w:r>
      <w:r>
        <w:t xml:space="preserve">. </w:t>
      </w:r>
    </w:p>
  </w:footnote>
  <w:footnote w:id="15">
    <w:p w14:paraId="15E041CF" w14:textId="04153400" w:rsidR="007D6BA5" w:rsidRPr="00E62F63" w:rsidRDefault="007D6BA5" w:rsidP="0077357D">
      <w:pPr>
        <w:pStyle w:val="FootnoteText"/>
      </w:pPr>
      <w:r>
        <w:rPr>
          <w:rStyle w:val="FootnoteReference"/>
        </w:rPr>
        <w:footnoteRef/>
      </w:r>
      <w:r w:rsidRPr="00E62F63">
        <w:t>https://ec.europa.eu/info/strategy/priorities-2019-2024/europe-fit-digital-age/shaping-europe-digital-future_en</w:t>
      </w:r>
      <w:r>
        <w:t>.</w:t>
      </w:r>
    </w:p>
  </w:footnote>
  <w:footnote w:id="16">
    <w:p w14:paraId="574960FD" w14:textId="77777777" w:rsidR="007D6BA5" w:rsidRPr="00EF0437" w:rsidRDefault="007D6BA5" w:rsidP="00750A22">
      <w:pPr>
        <w:pStyle w:val="FootnoteText"/>
      </w:pPr>
      <w:r>
        <w:rPr>
          <w:rStyle w:val="FootnoteReference"/>
        </w:rPr>
        <w:footnoteRef/>
      </w:r>
      <w:r>
        <w:t xml:space="preserve"> </w:t>
      </w:r>
      <w:hyperlink r:id="rId3" w:history="1">
        <w:r w:rsidRPr="006D56B1">
          <w:rPr>
            <w:rStyle w:val="Hyperlink"/>
          </w:rPr>
          <w:t>https://eur-lex.europa.eu/eli/reg/2016/679/oj</w:t>
        </w:r>
      </w:hyperlink>
      <w:r>
        <w:t xml:space="preserve">. </w:t>
      </w:r>
    </w:p>
  </w:footnote>
  <w:footnote w:id="17">
    <w:p w14:paraId="351AABFE" w14:textId="07B850B9" w:rsidR="007D6BA5" w:rsidRPr="001C7665" w:rsidRDefault="007D6BA5" w:rsidP="00244B06">
      <w:pPr>
        <w:pStyle w:val="FootnoteText"/>
        <w:jc w:val="left"/>
        <w:rPr>
          <w:lang w:val="en-IE"/>
        </w:rPr>
      </w:pPr>
      <w:r>
        <w:rPr>
          <w:rStyle w:val="FootnoteReference"/>
        </w:rPr>
        <w:footnoteRef/>
      </w:r>
      <w:r w:rsidR="00734ADD">
        <w:t xml:space="preserve"> </w:t>
      </w:r>
      <w:r w:rsidRPr="00750A22">
        <w:rPr>
          <w:lang w:val="en-GB"/>
        </w:rPr>
        <w:t>Proposal for a Regulation on European data governance (Data Governance Act</w:t>
      </w:r>
      <w:r w:rsidR="000258CA">
        <w:rPr>
          <w:lang w:val="en-GB"/>
        </w:rPr>
        <w:t xml:space="preserve">) COM/2020/767, </w:t>
      </w:r>
      <w:hyperlink w:history="1">
        <w:r w:rsidR="00734ADD" w:rsidRPr="005246DE">
          <w:rPr>
            <w:rStyle w:val="Hyperlink"/>
            <w:lang w:val="en-GB"/>
          </w:rPr>
          <w:t>https://eur-lex.europa.eu /legal-content/EN/TXT/?uri=CELEX%3A52020PC0767.</w:t>
        </w:r>
      </w:hyperlink>
    </w:p>
  </w:footnote>
  <w:footnote w:id="18">
    <w:p w14:paraId="5B450032" w14:textId="77777777" w:rsidR="007D6BA5" w:rsidRPr="001C7665" w:rsidRDefault="007D6BA5">
      <w:pPr>
        <w:pStyle w:val="FootnoteText"/>
        <w:rPr>
          <w:lang w:val="en-IE"/>
        </w:rPr>
      </w:pPr>
      <w:r>
        <w:rPr>
          <w:rStyle w:val="FootnoteReference"/>
        </w:rPr>
        <w:footnoteRef/>
      </w:r>
      <w:r>
        <w:t xml:space="preserve"> </w:t>
      </w:r>
      <w:r w:rsidRPr="00750A22">
        <w:t>Proposal for a Regulation on harmonised rules on fair access and use of data (Data Act) COM/2022/68 fina</w:t>
      </w:r>
      <w:r>
        <w:t>l.</w:t>
      </w:r>
    </w:p>
  </w:footnote>
  <w:footnote w:id="19">
    <w:p w14:paraId="01255E9A" w14:textId="77777777" w:rsidR="007D6BA5" w:rsidRPr="001C670C" w:rsidRDefault="007D6BA5" w:rsidP="006F1201">
      <w:pPr>
        <w:pStyle w:val="FootnoteText"/>
      </w:pPr>
      <w:r>
        <w:rPr>
          <w:rStyle w:val="FootnoteReference"/>
        </w:rPr>
        <w:footnoteRef/>
      </w:r>
      <w:r w:rsidRPr="00657797">
        <w:t xml:space="preserve"> </w:t>
      </w:r>
      <w:hyperlink r:id="rId4" w:history="1">
        <w:r w:rsidRPr="00994A47">
          <w:rPr>
            <w:rStyle w:val="Hyperlink"/>
            <w:lang w:val="en-IE"/>
          </w:rPr>
          <w:t>https://eur-lex.europa.eu/legal-content/EN/TXT/?uri=celex:32016L1148</w:t>
        </w:r>
      </w:hyperlink>
      <w:r>
        <w:rPr>
          <w:lang w:val="en-IE"/>
        </w:rPr>
        <w:t xml:space="preserve">. </w:t>
      </w:r>
    </w:p>
  </w:footnote>
  <w:footnote w:id="20">
    <w:p w14:paraId="11AAE4A8" w14:textId="20ED3684" w:rsidR="007D6BA5" w:rsidRPr="00BD6AD5" w:rsidRDefault="007D6BA5" w:rsidP="00244B06">
      <w:pPr>
        <w:pStyle w:val="FootnoteText"/>
        <w:jc w:val="left"/>
        <w:rPr>
          <w:lang w:val="en-IE"/>
        </w:rPr>
      </w:pPr>
      <w:r>
        <w:rPr>
          <w:rStyle w:val="FootnoteReference"/>
        </w:rPr>
        <w:footnoteRef/>
      </w:r>
      <w:r w:rsidR="00734ADD">
        <w:t xml:space="preserve"> </w:t>
      </w:r>
      <w:hyperlink r:id="rId5" w:history="1">
        <w:r w:rsidR="00734ADD" w:rsidRPr="005246DE">
          <w:rPr>
            <w:rStyle w:val="Hyperlink"/>
          </w:rPr>
          <w:t>https://tehdas.eu/app/uploads/2021/06/tehdas-why-health-is-a-special-case-for-data-governance-2021-06-23.pdf</w:t>
        </w:r>
      </w:hyperlink>
      <w:r>
        <w:t>.</w:t>
      </w:r>
    </w:p>
  </w:footnote>
  <w:footnote w:id="21">
    <w:p w14:paraId="6D9B37FA" w14:textId="7E1FB7D5" w:rsidR="007D6BA5" w:rsidRPr="00701AA8" w:rsidRDefault="007D6BA5" w:rsidP="00E6657B">
      <w:pPr>
        <w:pStyle w:val="FootnoteText"/>
        <w:rPr>
          <w:szCs w:val="28"/>
          <w:lang w:val="en-IE"/>
        </w:rPr>
      </w:pPr>
      <w:r w:rsidRPr="00701AA8">
        <w:rPr>
          <w:rStyle w:val="FootnoteReference"/>
          <w:szCs w:val="28"/>
        </w:rPr>
        <w:footnoteRef/>
      </w:r>
      <w:r w:rsidRPr="00701AA8">
        <w:rPr>
          <w:szCs w:val="28"/>
        </w:rPr>
        <w:t xml:space="preserve"> Thiel, R., Lupiáñez-Villanueva, F., Deimel, L., Gunderson, L. and Sokolyanskaya A. (2021). eHealth, Interoperability of Health Data and Artificial Intelligence for Health and Care in the EU. </w:t>
      </w:r>
      <w:hyperlink r:id="rId6" w:history="1">
        <w:r w:rsidRPr="00701AA8">
          <w:rPr>
            <w:rStyle w:val="Hyperlink"/>
            <w:szCs w:val="28"/>
          </w:rPr>
          <w:t>https://ec.europa.eu/newsroom/dae/redirection/document/79897</w:t>
        </w:r>
      </w:hyperlink>
      <w:r>
        <w:rPr>
          <w:rStyle w:val="Hyperlink"/>
          <w:szCs w:val="28"/>
        </w:rPr>
        <w:t>.</w:t>
      </w:r>
    </w:p>
  </w:footnote>
  <w:footnote w:id="22">
    <w:p w14:paraId="76BF6030" w14:textId="10AA9BB5" w:rsidR="007D6BA5" w:rsidRPr="00CE301E" w:rsidRDefault="007D6BA5" w:rsidP="00244B06">
      <w:pPr>
        <w:pStyle w:val="FootnoteText"/>
        <w:jc w:val="left"/>
        <w:rPr>
          <w:lang w:val="en-IE"/>
        </w:rPr>
      </w:pPr>
      <w:r>
        <w:rPr>
          <w:rStyle w:val="FootnoteReference"/>
        </w:rPr>
        <w:footnoteRef/>
      </w:r>
      <w:r>
        <w:t xml:space="preserve"> </w:t>
      </w:r>
      <w:r w:rsidRPr="00CE301E">
        <w:t>Cross-border digital infrastructure for the exchange of health data, also known as the eHealth Digital Service Infrastructure (previously referred to as “eHDSI”)</w:t>
      </w:r>
      <w:r>
        <w:t xml:space="preserve">, </w:t>
      </w:r>
      <w:hyperlink r:id="rId7" w:history="1">
        <w:r w:rsidR="00734ADD" w:rsidRPr="005246DE">
          <w:rPr>
            <w:rStyle w:val="Hyperlink"/>
          </w:rPr>
          <w:t>https://eur-lex.europa.eu/legal-content/en/TXT/?uri= CELEX%3A32019D1765.</w:t>
        </w:r>
      </w:hyperlink>
    </w:p>
  </w:footnote>
  <w:footnote w:id="23">
    <w:p w14:paraId="26DA00B5" w14:textId="77777777" w:rsidR="007D6BA5" w:rsidRPr="00CE301E" w:rsidRDefault="007D6BA5" w:rsidP="00560602">
      <w:pPr>
        <w:pStyle w:val="FootnoteText"/>
        <w:rPr>
          <w:lang w:val="en-IE"/>
        </w:rPr>
      </w:pPr>
      <w:r>
        <w:rPr>
          <w:rStyle w:val="FootnoteReference"/>
        </w:rPr>
        <w:footnoteRef/>
      </w:r>
      <w:r>
        <w:t xml:space="preserve"> </w:t>
      </w:r>
      <w:r w:rsidRPr="00CE301E">
        <w:t>https://ec.europa.eu/health/ehealth-digital-health-and-care/electronic-cross-border-health-services_en.</w:t>
      </w:r>
    </w:p>
  </w:footnote>
  <w:footnote w:id="24">
    <w:p w14:paraId="1459EF8E" w14:textId="7C243B54" w:rsidR="007D6BA5" w:rsidRPr="008811CE" w:rsidRDefault="007D6BA5" w:rsidP="00244B06">
      <w:pPr>
        <w:pStyle w:val="FootnoteText"/>
        <w:jc w:val="left"/>
      </w:pPr>
      <w:r>
        <w:rPr>
          <w:rStyle w:val="FootnoteReference"/>
        </w:rPr>
        <w:footnoteRef/>
      </w:r>
      <w:r w:rsidR="00734ADD">
        <w:t xml:space="preserve"> </w:t>
      </w:r>
      <w:r w:rsidRPr="008811CE">
        <w:t>https://ec.europa.eu/info/law/better-regulation/have-your-say/initiatives/12663-A-European-Health-Data-Space/public-consultation_en</w:t>
      </w:r>
      <w:r>
        <w:t>.</w:t>
      </w:r>
    </w:p>
  </w:footnote>
  <w:footnote w:id="25">
    <w:p w14:paraId="5947DF38" w14:textId="1504F7C9" w:rsidR="007D6BA5" w:rsidRPr="00F909D4" w:rsidRDefault="007D6BA5" w:rsidP="00244B06">
      <w:pPr>
        <w:pStyle w:val="FootnoteText"/>
        <w:jc w:val="left"/>
      </w:pPr>
      <w:r>
        <w:rPr>
          <w:rStyle w:val="FootnoteReference"/>
        </w:rPr>
        <w:footnoteRef/>
      </w:r>
      <w:r w:rsidR="00734ADD">
        <w:t xml:space="preserve"> </w:t>
      </w:r>
      <w:hyperlink r:id="rId8" w:history="1">
        <w:r w:rsidR="00734ADD" w:rsidRPr="005246DE">
          <w:rPr>
            <w:rStyle w:val="Hyperlink"/>
          </w:rPr>
          <w:t>https://tehdas.eu/app/uploads/2021/09/tehdas-summary-of-results-case-studies-on-barriers-to-sharing-health-data-2021-09-28.pdf</w:t>
        </w:r>
      </w:hyperlink>
      <w:r>
        <w:rPr>
          <w:rStyle w:val="Hyperlink"/>
        </w:rPr>
        <w:t>.</w:t>
      </w:r>
      <w:r>
        <w:t xml:space="preserve"> </w:t>
      </w:r>
    </w:p>
  </w:footnote>
  <w:footnote w:id="26">
    <w:p w14:paraId="354B4FDF" w14:textId="77777777" w:rsidR="007D6BA5" w:rsidRPr="002C4174" w:rsidRDefault="007D6BA5">
      <w:pPr>
        <w:pStyle w:val="FootnoteText"/>
      </w:pPr>
      <w:r>
        <w:rPr>
          <w:rStyle w:val="FootnoteReference"/>
        </w:rPr>
        <w:footnoteRef/>
      </w:r>
      <w:r>
        <w:t xml:space="preserve"> </w:t>
      </w:r>
      <w:r w:rsidRPr="002C4174">
        <w:t>The European Strategy Forum on Research Infrastructures, through its strategic Roadmaps, facilitated the establishment of European research infrastructures dedicated to health research data, biobanking collections, medical imaging data, and others. Details available at: ESFRI Roadmap 2021</w:t>
      </w:r>
      <w:r>
        <w:t>.</w:t>
      </w:r>
    </w:p>
  </w:footnote>
  <w:footnote w:id="27">
    <w:p w14:paraId="2543E066" w14:textId="77777777" w:rsidR="007D6BA5" w:rsidRPr="002C4174" w:rsidRDefault="007D6BA5">
      <w:pPr>
        <w:pStyle w:val="FootnoteText"/>
      </w:pPr>
      <w:r>
        <w:rPr>
          <w:rStyle w:val="FootnoteReference"/>
        </w:rPr>
        <w:footnoteRef/>
      </w:r>
      <w:r>
        <w:t xml:space="preserve"> </w:t>
      </w:r>
      <w:r w:rsidRPr="002C4174">
        <w:t>COVID-19 Data Portal - accelerating scientific research through data (covid19dataportal.org).</w:t>
      </w:r>
    </w:p>
  </w:footnote>
  <w:footnote w:id="28">
    <w:p w14:paraId="38048059" w14:textId="42BD2187" w:rsidR="007D6BA5" w:rsidRPr="008F0E9E" w:rsidRDefault="007D6BA5">
      <w:pPr>
        <w:pStyle w:val="FootnoteText"/>
      </w:pPr>
      <w:r>
        <w:rPr>
          <w:rStyle w:val="FootnoteReference"/>
        </w:rPr>
        <w:footnoteRef/>
      </w:r>
      <w:r>
        <w:t xml:space="preserve"> Hansen J. et al, </w:t>
      </w:r>
      <w:r>
        <w:rPr>
          <w:i/>
        </w:rPr>
        <w:t xml:space="preserve">Assessment of the EU Member States’ rules on health data in the linght of GDPR, available at </w:t>
      </w:r>
      <w:hyperlink r:id="rId9" w:history="1">
        <w:r w:rsidRPr="008C5342">
          <w:rPr>
            <w:rStyle w:val="Hyperlink"/>
          </w:rPr>
          <w:t>https://ec.europa.eu/health/system/files/2021-02/ms_rules_health-data_en_0.pdf</w:t>
        </w:r>
      </w:hyperlink>
      <w:r>
        <w:rPr>
          <w:rStyle w:val="Hyperlink"/>
        </w:rPr>
        <w:t>.</w:t>
      </w:r>
    </w:p>
  </w:footnote>
  <w:footnote w:id="29">
    <w:p w14:paraId="1FBCA143" w14:textId="77777777" w:rsidR="007D6BA5" w:rsidRPr="006E3533" w:rsidRDefault="007D6BA5">
      <w:pPr>
        <w:pStyle w:val="FootnoteText"/>
      </w:pPr>
      <w:r>
        <w:rPr>
          <w:rStyle w:val="FootnoteReference"/>
        </w:rPr>
        <w:footnoteRef/>
      </w:r>
      <w:r>
        <w:t xml:space="preserve"> According to the impact assessment accompanying the proposal (p 15), forthcoming.</w:t>
      </w:r>
    </w:p>
  </w:footnote>
  <w:footnote w:id="30">
    <w:p w14:paraId="22835365" w14:textId="7AA28DA4" w:rsidR="007D6BA5" w:rsidRPr="00701AA8" w:rsidRDefault="007D6BA5" w:rsidP="00244B06">
      <w:pPr>
        <w:pStyle w:val="FootnoteText"/>
        <w:jc w:val="left"/>
        <w:rPr>
          <w:lang w:val="en-IE"/>
        </w:rPr>
      </w:pPr>
      <w:r>
        <w:rPr>
          <w:rStyle w:val="FootnoteReference"/>
        </w:rPr>
        <w:footnoteRef/>
      </w:r>
      <w:r w:rsidR="00FB0A38">
        <w:t xml:space="preserve"> </w:t>
      </w:r>
      <w:r w:rsidRPr="008811CE">
        <w:t>https://ec.europa.eu/info/law/better-regulation/have-your-say/initiatives/12663-A-European-Health-Data-Space/public-consultation_en</w:t>
      </w:r>
      <w:r>
        <w:t>.</w:t>
      </w:r>
    </w:p>
  </w:footnote>
  <w:footnote w:id="31">
    <w:p w14:paraId="23230B2E" w14:textId="77D0E713" w:rsidR="007D6BA5" w:rsidRPr="00AE4B54" w:rsidRDefault="007D6BA5" w:rsidP="00EB5C25">
      <w:pPr>
        <w:pStyle w:val="FootnoteText"/>
        <w:rPr>
          <w:lang w:val="en-GB"/>
        </w:rPr>
      </w:pPr>
      <w:r>
        <w:rPr>
          <w:rStyle w:val="FootnoteReference"/>
        </w:rPr>
        <w:footnoteRef/>
      </w:r>
      <w:r>
        <w:t xml:space="preserve"> </w:t>
      </w:r>
      <w:r w:rsidRPr="003E0B7A">
        <w:t>It is estimated that the European Health Data Space will produce a faster growth of the digital health and wellness applications markets, expected at 20-30% and 15-20% per year, respectively.</w:t>
      </w:r>
    </w:p>
  </w:footnote>
  <w:footnote w:id="32">
    <w:p w14:paraId="08BA6C31" w14:textId="77777777" w:rsidR="007D6BA5" w:rsidRPr="00F523C2" w:rsidRDefault="007D6BA5" w:rsidP="001033E8">
      <w:pPr>
        <w:pStyle w:val="FootnoteText"/>
      </w:pPr>
      <w:r>
        <w:rPr>
          <w:rStyle w:val="FootnoteReference"/>
        </w:rPr>
        <w:footnoteRef/>
      </w:r>
      <w:r>
        <w:t xml:space="preserve"> </w:t>
      </w:r>
      <w:r w:rsidRPr="00F523C2">
        <w:t xml:space="preserve">Ten Member States already support their patients in sharing data with foreign health professionals in professionals’ own language and all Member States are set to join these </w:t>
      </w:r>
      <w:r>
        <w:t xml:space="preserve">data </w:t>
      </w:r>
      <w:r w:rsidRPr="00F523C2">
        <w:t xml:space="preserve">exchanges. A pilot project under EU4Health will support patients’ access to their data in their own language.  </w:t>
      </w:r>
    </w:p>
  </w:footnote>
  <w:footnote w:id="33">
    <w:p w14:paraId="72D55B5B" w14:textId="77777777" w:rsidR="007D6BA5" w:rsidRPr="00695DCE" w:rsidRDefault="007D6BA5" w:rsidP="00560602">
      <w:pPr>
        <w:pStyle w:val="FootnoteText"/>
      </w:pPr>
      <w:r>
        <w:rPr>
          <w:rStyle w:val="FootnoteReference"/>
        </w:rPr>
        <w:footnoteRef/>
      </w:r>
      <w:r>
        <w:t xml:space="preserve"> </w:t>
      </w:r>
      <w:hyperlink r:id="rId10" w:history="1">
        <w:r w:rsidRPr="008C5342">
          <w:rPr>
            <w:rStyle w:val="Hyperlink"/>
          </w:rPr>
          <w:t>https://ec.europa.eu/info/funding-tenders/opportunities/portal/screen/opportunities/topic-details/eu4h-2021-pj-06</w:t>
        </w:r>
      </w:hyperlink>
      <w:r>
        <w:t>.</w:t>
      </w:r>
    </w:p>
  </w:footnote>
  <w:footnote w:id="34">
    <w:p w14:paraId="7E1E9DCD" w14:textId="77777777" w:rsidR="007D6BA5" w:rsidRPr="00CC425E" w:rsidRDefault="007D6BA5">
      <w:pPr>
        <w:pStyle w:val="FootnoteText"/>
        <w:rPr>
          <w:lang w:val="en-IE"/>
        </w:rPr>
      </w:pPr>
      <w:r>
        <w:rPr>
          <w:rStyle w:val="FootnoteReference"/>
        </w:rPr>
        <w:footnoteRef/>
      </w:r>
      <w:r>
        <w:t xml:space="preserve"> </w:t>
      </w:r>
      <w:r w:rsidRPr="00CC425E">
        <w:rPr>
          <w:lang w:val="en-IE"/>
        </w:rPr>
        <w:t xml:space="preserve">Over 400 on-line meetings of the eHealth Network and its subgroups have been organised since </w:t>
      </w:r>
      <w:r>
        <w:rPr>
          <w:lang w:val="en-IE"/>
        </w:rPr>
        <w:t xml:space="preserve">March 2020. </w:t>
      </w:r>
    </w:p>
  </w:footnote>
  <w:footnote w:id="35">
    <w:p w14:paraId="7798C977" w14:textId="3F8F53AC" w:rsidR="007D6BA5" w:rsidRPr="006301AD" w:rsidRDefault="007D6BA5" w:rsidP="00F7190E">
      <w:pPr>
        <w:pStyle w:val="FootnoteText"/>
        <w:rPr>
          <w:lang w:val="en-IE"/>
        </w:rPr>
      </w:pPr>
      <w:r>
        <w:rPr>
          <w:rStyle w:val="FootnoteReference"/>
        </w:rPr>
        <w:footnoteRef/>
      </w:r>
      <w:r>
        <w:t xml:space="preserve"> </w:t>
      </w:r>
      <w:hyperlink r:id="rId11" w:history="1">
        <w:r w:rsidR="00DB0DEA">
          <w:rPr>
            <w:rStyle w:val="Hyperlink"/>
          </w:rPr>
          <w:t>https://ec.europa.eu/health/ehealth-digital-health-and-care/ehealth-and-covid-19_en.</w:t>
        </w:r>
      </w:hyperlink>
    </w:p>
  </w:footnote>
  <w:footnote w:id="36">
    <w:p w14:paraId="31723B48" w14:textId="77777777" w:rsidR="007D6BA5" w:rsidRPr="009F159B" w:rsidRDefault="007D6BA5">
      <w:pPr>
        <w:pStyle w:val="FootnoteText"/>
        <w:rPr>
          <w:lang w:val="lv-LV"/>
        </w:rPr>
      </w:pPr>
      <w:r>
        <w:rPr>
          <w:rStyle w:val="FootnoteReference"/>
        </w:rPr>
        <w:footnoteRef/>
      </w:r>
      <w:r w:rsidRPr="00E222F1">
        <w:rPr>
          <w:lang w:val="lv-LV"/>
        </w:rPr>
        <w:t xml:space="preserve"> </w:t>
      </w:r>
      <w:hyperlink r:id="rId12" w:history="1">
        <w:r w:rsidRPr="00687B76">
          <w:rPr>
            <w:rStyle w:val="Hyperlink"/>
            <w:lang w:val="lv-LV"/>
          </w:rPr>
          <w:t>https://ec.europa.eu/health/system/files/2021-02/eu_cancer-plan_en_0.pdf</w:t>
        </w:r>
      </w:hyperlink>
      <w:r>
        <w:rPr>
          <w:lang w:val="lv-LV"/>
        </w:rPr>
        <w:t xml:space="preserve">. </w:t>
      </w:r>
    </w:p>
  </w:footnote>
  <w:footnote w:id="37">
    <w:p w14:paraId="06590AD5" w14:textId="00EFD1B9" w:rsidR="007D6BA5" w:rsidRPr="00594CE4" w:rsidRDefault="007D6BA5" w:rsidP="00244B06">
      <w:pPr>
        <w:pStyle w:val="FootnoteText"/>
        <w:jc w:val="left"/>
        <w:rPr>
          <w:lang w:val="lv-LV"/>
        </w:rPr>
      </w:pPr>
      <w:r>
        <w:rPr>
          <w:rStyle w:val="FootnoteReference"/>
        </w:rPr>
        <w:footnoteRef/>
      </w:r>
      <w:r w:rsidR="00FB0A38">
        <w:rPr>
          <w:lang w:val="lv-LV"/>
        </w:rPr>
        <w:t xml:space="preserve"> </w:t>
      </w:r>
      <w:hyperlink r:id="rId13" w:history="1">
        <w:r w:rsidR="00FB0A38" w:rsidRPr="004630FF">
          <w:rPr>
            <w:rStyle w:val="Hyperlink"/>
            <w:lang w:val="lv-LV"/>
          </w:rPr>
          <w:t>https://ec.europa.eu/info/research-and-innovation/funding/funding-opportunities/funding-programmes-and-open-calls/horizon-europe/eu-missions-horizon-europe/cancer_en</w:t>
        </w:r>
      </w:hyperlink>
      <w:r>
        <w:rPr>
          <w:lang w:val="lv-LV"/>
        </w:rPr>
        <w:t xml:space="preserve">. </w:t>
      </w:r>
    </w:p>
  </w:footnote>
  <w:footnote w:id="38">
    <w:p w14:paraId="21014068" w14:textId="77777777" w:rsidR="007D6BA5" w:rsidRPr="00CC425E" w:rsidRDefault="007D6BA5">
      <w:pPr>
        <w:pStyle w:val="FootnoteText"/>
        <w:rPr>
          <w:lang w:val="lv-LV"/>
        </w:rPr>
      </w:pPr>
      <w:r>
        <w:rPr>
          <w:rStyle w:val="FootnoteReference"/>
        </w:rPr>
        <w:footnoteRef/>
      </w:r>
      <w:r w:rsidRPr="00CC425E">
        <w:rPr>
          <w:lang w:val="lv-LV"/>
        </w:rPr>
        <w:t xml:space="preserve"> </w:t>
      </w:r>
      <w:hyperlink r:id="rId14" w:history="1">
        <w:r w:rsidRPr="003E73E3">
          <w:rPr>
            <w:rStyle w:val="Hyperlink"/>
            <w:lang w:val="lv-LV"/>
          </w:rPr>
          <w:t>ERN CPMS - (ern-net.eu)</w:t>
        </w:r>
      </w:hyperlink>
      <w:r w:rsidRPr="003E73E3">
        <w:rPr>
          <w:rStyle w:val="Hyperlink"/>
          <w:lang w:val="lv-LV"/>
        </w:rPr>
        <w:t>.</w:t>
      </w:r>
    </w:p>
  </w:footnote>
  <w:footnote w:id="39">
    <w:p w14:paraId="4810A402" w14:textId="7889B4E3" w:rsidR="007D6BA5" w:rsidRPr="009F159B" w:rsidRDefault="007D6BA5" w:rsidP="00647B0E">
      <w:pPr>
        <w:pStyle w:val="FootnoteText"/>
        <w:rPr>
          <w:lang w:val="lv-LV"/>
        </w:rPr>
      </w:pPr>
      <w:r>
        <w:rPr>
          <w:rStyle w:val="FootnoteReference"/>
        </w:rPr>
        <w:footnoteRef/>
      </w:r>
      <w:r w:rsidRPr="00E222F1">
        <w:rPr>
          <w:lang w:val="lv-LV"/>
        </w:rPr>
        <w:t xml:space="preserve"> </w:t>
      </w:r>
      <w:hyperlink r:id="rId15" w:history="1">
        <w:r w:rsidR="00FB0A38" w:rsidRPr="004630FF">
          <w:rPr>
            <w:rStyle w:val="Hyperlink"/>
            <w:lang w:val="lv-LV"/>
          </w:rPr>
          <w:t>https://ec.europa.eu/health/medicinal-products/pharmaceutical-strategy-europe_en</w:t>
        </w:r>
      </w:hyperlink>
      <w:r>
        <w:rPr>
          <w:lang w:val="lv-LV"/>
        </w:rPr>
        <w:t xml:space="preserve">. </w:t>
      </w:r>
    </w:p>
  </w:footnote>
  <w:footnote w:id="40">
    <w:p w14:paraId="4170AC7B" w14:textId="77777777" w:rsidR="007D6BA5" w:rsidRPr="001C7665" w:rsidRDefault="007D6BA5">
      <w:pPr>
        <w:pStyle w:val="FootnoteText"/>
        <w:rPr>
          <w:lang w:val="lv-LV"/>
        </w:rPr>
      </w:pPr>
      <w:r>
        <w:rPr>
          <w:rStyle w:val="FootnoteReference"/>
        </w:rPr>
        <w:footnoteRef/>
      </w:r>
      <w:r w:rsidRPr="001C7665">
        <w:rPr>
          <w:lang w:val="lv-LV"/>
        </w:rPr>
        <w:t xml:space="preserve"> Regulations (EU) 2017/745 and (EU) 2017/746 respectively</w:t>
      </w:r>
      <w:r>
        <w:rPr>
          <w:lang w:val="lv-LV"/>
        </w:rPr>
        <w:t>.</w:t>
      </w:r>
    </w:p>
  </w:footnote>
  <w:footnote w:id="41">
    <w:p w14:paraId="1A95B6AA" w14:textId="55ED6CA3" w:rsidR="007D6BA5" w:rsidRPr="001C7665" w:rsidRDefault="007D6BA5" w:rsidP="00244B06">
      <w:pPr>
        <w:pStyle w:val="FootnoteText"/>
        <w:jc w:val="left"/>
        <w:rPr>
          <w:lang w:val="lv-LV"/>
        </w:rPr>
      </w:pPr>
      <w:r>
        <w:rPr>
          <w:rStyle w:val="FootnoteReference"/>
        </w:rPr>
        <w:footnoteRef/>
      </w:r>
      <w:r w:rsidR="00FB0A38">
        <w:rPr>
          <w:lang w:val="lv-LV"/>
        </w:rPr>
        <w:t xml:space="preserve"> </w:t>
      </w:r>
      <w:r w:rsidRPr="001C7665">
        <w:rPr>
          <w:lang w:val="lv-LV"/>
        </w:rPr>
        <w:t>https://ec.europa.eu/info/strategy/priorities-2019-2024/europe-fit-digital-age/europes-digital-decade-digital-targets-2030_en</w:t>
      </w:r>
      <w:r>
        <w:rPr>
          <w:lang w:val="lv-LV"/>
        </w:rPr>
        <w:t>.</w:t>
      </w:r>
    </w:p>
  </w:footnote>
  <w:footnote w:id="42">
    <w:p w14:paraId="7C8D5246" w14:textId="106D92F1" w:rsidR="007D6BA5" w:rsidRPr="00594CE4" w:rsidRDefault="007D6BA5" w:rsidP="00244B06">
      <w:pPr>
        <w:pStyle w:val="FootnoteText"/>
        <w:jc w:val="left"/>
        <w:rPr>
          <w:lang w:val="lv-LV"/>
        </w:rPr>
      </w:pPr>
      <w:r>
        <w:rPr>
          <w:rStyle w:val="FootnoteReference"/>
        </w:rPr>
        <w:footnoteRef/>
      </w:r>
      <w:r w:rsidR="00FB0A38">
        <w:rPr>
          <w:lang w:val="lv-LV"/>
        </w:rPr>
        <w:t xml:space="preserve"> </w:t>
      </w:r>
      <w:hyperlink r:id="rId16" w:history="1">
        <w:r w:rsidR="00FB0A38" w:rsidRPr="004630FF">
          <w:rPr>
            <w:rStyle w:val="Hyperlink"/>
            <w:lang w:val="lv-LV"/>
          </w:rPr>
          <w:t>https://ec.europa.eu/info/law/better-regulation/have-your-say/initiatives/13017-Declaration-of-Digital-Principles-the-%E2%80%98European-way%E2%80%99-for-the-digital-society_en</w:t>
        </w:r>
      </w:hyperlink>
      <w:r>
        <w:rPr>
          <w:lang w:val="lv-LV"/>
        </w:rPr>
        <w:t xml:space="preserve">. </w:t>
      </w:r>
    </w:p>
  </w:footnote>
  <w:footnote w:id="43">
    <w:p w14:paraId="63BF3CC1" w14:textId="77777777" w:rsidR="007D6BA5" w:rsidRPr="003E73E3" w:rsidRDefault="007D6BA5" w:rsidP="00045E3B">
      <w:pPr>
        <w:pStyle w:val="FootnoteText"/>
        <w:rPr>
          <w:lang w:val="lv-LV"/>
        </w:rPr>
      </w:pPr>
      <w:r>
        <w:rPr>
          <w:rStyle w:val="FootnoteReference"/>
        </w:rPr>
        <w:footnoteRef/>
      </w:r>
      <w:r w:rsidRPr="003E73E3">
        <w:rPr>
          <w:lang w:val="lv-LV"/>
        </w:rPr>
        <w:t xml:space="preserve"> </w:t>
      </w:r>
      <w:hyperlink r:id="rId17" w:history="1">
        <w:r w:rsidRPr="003E73E3">
          <w:rPr>
            <w:rStyle w:val="Hyperlink"/>
            <w:lang w:val="lv-LV"/>
          </w:rPr>
          <w:t>https://ojrd.biomedcentral.com/track/pdf/10.1186/s13023-019-1123-4.pdf</w:t>
        </w:r>
      </w:hyperlink>
      <w:r w:rsidRPr="003E73E3">
        <w:rPr>
          <w:lang w:val="lv-LV"/>
        </w:rPr>
        <w:t xml:space="preserve">. </w:t>
      </w:r>
    </w:p>
  </w:footnote>
  <w:footnote w:id="44">
    <w:p w14:paraId="3A8AAFA0" w14:textId="42162592" w:rsidR="007D6BA5" w:rsidRPr="003D50E4" w:rsidRDefault="007D6BA5" w:rsidP="00045E3B">
      <w:pPr>
        <w:pStyle w:val="FootnoteText"/>
        <w:rPr>
          <w:lang w:val="lv-LV"/>
        </w:rPr>
      </w:pPr>
      <w:r>
        <w:rPr>
          <w:rStyle w:val="FootnoteReference"/>
        </w:rPr>
        <w:footnoteRef/>
      </w:r>
      <w:r w:rsidRPr="0070292E" w:rsidDel="0070292E">
        <w:rPr>
          <w:lang w:val="lv-LV"/>
        </w:rPr>
        <w:t xml:space="preserve"> </w:t>
      </w:r>
      <w:hyperlink r:id="rId18" w:history="1">
        <w:r w:rsidR="00752D59" w:rsidRPr="00752D59">
          <w:rPr>
            <w:rStyle w:val="Hyperlink"/>
            <w:lang w:val="lv-LV"/>
          </w:rPr>
          <w:t>https://ec.europa.eu/health/european-reference-networks/work-erns_en</w:t>
        </w:r>
      </w:hyperlink>
      <w:r w:rsidR="00752D59">
        <w:rPr>
          <w:lang w:val="lv-LV"/>
        </w:rPr>
        <w:t xml:space="preserve">. </w:t>
      </w:r>
    </w:p>
  </w:footnote>
  <w:footnote w:id="45">
    <w:p w14:paraId="75805C19" w14:textId="77777777" w:rsidR="007D6BA5" w:rsidRPr="005B5E12" w:rsidRDefault="007D6BA5">
      <w:pPr>
        <w:pStyle w:val="FootnoteText"/>
        <w:rPr>
          <w:lang w:val="lv-LV"/>
        </w:rPr>
      </w:pPr>
      <w:r>
        <w:rPr>
          <w:rStyle w:val="FootnoteReference"/>
        </w:rPr>
        <w:footnoteRef/>
      </w:r>
      <w:r w:rsidRPr="005B5E12">
        <w:rPr>
          <w:lang w:val="lv-LV"/>
        </w:rPr>
        <w:t xml:space="preserve"> </w:t>
      </w:r>
      <w:r w:rsidRPr="00552AAF">
        <w:rPr>
          <w:lang w:val="lv-LV"/>
        </w:rPr>
        <w:t>Healthcare expenditure statistics - Statistics Explained (europa.eu).</w:t>
      </w:r>
    </w:p>
  </w:footnote>
  <w:footnote w:id="46">
    <w:p w14:paraId="585A1627" w14:textId="77777777" w:rsidR="007D6BA5" w:rsidRPr="004F7F1B" w:rsidRDefault="007D6BA5" w:rsidP="0047595B">
      <w:pPr>
        <w:pStyle w:val="FootnoteText"/>
        <w:rPr>
          <w:lang w:val="lv-LV"/>
        </w:rPr>
      </w:pPr>
      <w:r>
        <w:rPr>
          <w:rStyle w:val="FootnoteReference"/>
        </w:rPr>
        <w:footnoteRef/>
      </w:r>
      <w:r w:rsidRPr="004F7F1B">
        <w:rPr>
          <w:lang w:val="lv-LV"/>
        </w:rPr>
        <w:t xml:space="preserve"> https://www.oecd.org/health/health-systems/Empowering-Health-Workforce-Digital-Revolution.pdf</w:t>
      </w:r>
      <w:r>
        <w:rPr>
          <w:lang w:val="lv-LV"/>
        </w:rPr>
        <w:t>.</w:t>
      </w:r>
    </w:p>
  </w:footnote>
  <w:footnote w:id="47">
    <w:p w14:paraId="1310C5BD" w14:textId="53494057" w:rsidR="007D6BA5" w:rsidRPr="005B5E12" w:rsidRDefault="007D6BA5" w:rsidP="00244B06">
      <w:pPr>
        <w:pStyle w:val="FootnoteText"/>
        <w:jc w:val="left"/>
        <w:rPr>
          <w:lang w:val="lv-LV"/>
        </w:rPr>
      </w:pPr>
      <w:r>
        <w:rPr>
          <w:rStyle w:val="FootnoteReference"/>
        </w:rPr>
        <w:footnoteRef/>
      </w:r>
      <w:r w:rsidR="00734ADD">
        <w:rPr>
          <w:lang w:val="lv-LV"/>
        </w:rPr>
        <w:t xml:space="preserve"> </w:t>
      </w:r>
      <w:hyperlink r:id="rId19" w:history="1">
        <w:r w:rsidR="00734ADD" w:rsidRPr="005246DE">
          <w:rPr>
            <w:rStyle w:val="Hyperlink"/>
            <w:lang w:val="lv-LV"/>
          </w:rPr>
          <w:t>https://www.oecd-ilibrary.org/docserver/8e56ede7-en.pdf?expires=1646391218&amp;id=i</w:t>
        </w:r>
      </w:hyperlink>
      <w:r w:rsidR="00734ADD">
        <w:rPr>
          <w:lang w:val="lv-LV"/>
        </w:rPr>
        <w:t xml:space="preserve"> </w:t>
      </w:r>
      <w:r w:rsidRPr="00552AAF">
        <w:rPr>
          <w:lang w:val="lv-LV"/>
        </w:rPr>
        <w:t>d&amp;accname=</w:t>
      </w:r>
      <w:r w:rsidR="00734ADD">
        <w:rPr>
          <w:lang w:val="lv-LV"/>
        </w:rPr>
        <w:t xml:space="preserve">  </w:t>
      </w:r>
      <w:r w:rsidRPr="00552AAF">
        <w:rPr>
          <w:lang w:val="lv-LV"/>
        </w:rPr>
        <w:t>guest&amp;checksum=40DB0F3D91A7741CC0D072D9196F2AEE.</w:t>
      </w:r>
    </w:p>
  </w:footnote>
  <w:footnote w:id="48">
    <w:p w14:paraId="057EA8E6" w14:textId="77777777" w:rsidR="007D6BA5" w:rsidRPr="005B5E12" w:rsidRDefault="007D6BA5">
      <w:pPr>
        <w:pStyle w:val="FootnoteText"/>
        <w:rPr>
          <w:lang w:val="lv-LV"/>
        </w:rPr>
      </w:pPr>
      <w:r>
        <w:rPr>
          <w:rStyle w:val="FootnoteReference"/>
        </w:rPr>
        <w:footnoteRef/>
      </w:r>
      <w:r w:rsidRPr="005B5E12">
        <w:rPr>
          <w:lang w:val="lv-LV"/>
        </w:rPr>
        <w:t xml:space="preserve"> https://ec.europa.eu/health/system/files/2019-08/2018_provision_marketstudy_telemedicine_en_0.pdf.</w:t>
      </w:r>
    </w:p>
  </w:footnote>
  <w:footnote w:id="49">
    <w:p w14:paraId="67222CBC" w14:textId="77777777" w:rsidR="007D6BA5" w:rsidRPr="003E73E3" w:rsidRDefault="007D6BA5">
      <w:pPr>
        <w:pStyle w:val="FootnoteText"/>
        <w:rPr>
          <w:lang w:val="en-IE"/>
        </w:rPr>
      </w:pPr>
      <w:r>
        <w:rPr>
          <w:rStyle w:val="FootnoteReference"/>
        </w:rPr>
        <w:footnoteRef/>
      </w:r>
      <w:r>
        <w:t xml:space="preserve"> </w:t>
      </w:r>
      <w:r>
        <w:rPr>
          <w:lang w:val="en-IE"/>
        </w:rPr>
        <w:t xml:space="preserve">According to the </w:t>
      </w:r>
      <w:r>
        <w:t xml:space="preserve">proposal’s </w:t>
      </w:r>
      <w:r>
        <w:rPr>
          <w:lang w:val="en-IE"/>
        </w:rPr>
        <w:t xml:space="preserve">impact assessment, p. 58. </w:t>
      </w:r>
    </w:p>
  </w:footnote>
  <w:footnote w:id="50">
    <w:p w14:paraId="1B38C758" w14:textId="77777777" w:rsidR="007D6BA5" w:rsidRPr="00066FDA" w:rsidRDefault="007D6BA5" w:rsidP="00244B06">
      <w:pPr>
        <w:pStyle w:val="FootnoteText"/>
        <w:jc w:val="left"/>
      </w:pPr>
      <w:r>
        <w:rPr>
          <w:rStyle w:val="FootnoteReference"/>
        </w:rPr>
        <w:footnoteRef/>
      </w:r>
      <w:r>
        <w:t xml:space="preserve"> </w:t>
      </w:r>
      <w:r w:rsidRPr="00066FDA">
        <w:t>FAIR principles: findability, accessibility, interoperability, reusability (https://www.go-fair.org/fair-principles/)</w:t>
      </w:r>
      <w:r>
        <w:t>.</w:t>
      </w:r>
    </w:p>
  </w:footnote>
  <w:footnote w:id="51">
    <w:p w14:paraId="6C4429B9" w14:textId="3C4F931E" w:rsidR="007D6BA5" w:rsidRPr="00244B06" w:rsidRDefault="007D6BA5" w:rsidP="00045E3B">
      <w:pPr>
        <w:pStyle w:val="FootnoteText"/>
        <w:rPr>
          <w:rStyle w:val="Hyperlink"/>
        </w:rPr>
      </w:pPr>
      <w:r>
        <w:rPr>
          <w:rStyle w:val="FootnoteReference"/>
        </w:rPr>
        <w:footnoteRef/>
      </w:r>
      <w:r>
        <w:t xml:space="preserve"> According to the proposal’s impact assessment., p. 56</w:t>
      </w:r>
      <w:r w:rsidR="00DB0DEA">
        <w:t>.</w:t>
      </w:r>
    </w:p>
  </w:footnote>
  <w:footnote w:id="52">
    <w:p w14:paraId="6B611F58" w14:textId="41718D89" w:rsidR="007D6BA5" w:rsidRPr="00110241" w:rsidRDefault="007D6BA5" w:rsidP="00923E38">
      <w:pPr>
        <w:pStyle w:val="FootnoteText"/>
        <w:rPr>
          <w:lang w:val="en-IE"/>
        </w:rPr>
      </w:pPr>
      <w:r>
        <w:rPr>
          <w:rStyle w:val="FootnoteReference"/>
        </w:rPr>
        <w:footnoteRef/>
      </w:r>
      <w:r>
        <w:t xml:space="preserve"> </w:t>
      </w:r>
      <w:r>
        <w:rPr>
          <w:lang w:val="en-IE"/>
        </w:rPr>
        <w:t xml:space="preserve">According to the </w:t>
      </w:r>
      <w:r>
        <w:t xml:space="preserve">proposal’s </w:t>
      </w:r>
      <w:r>
        <w:rPr>
          <w:lang w:val="en-IE"/>
        </w:rPr>
        <w:t>impact assessment, p. 58</w:t>
      </w:r>
      <w:r w:rsidR="00DB0DEA">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CD65" w14:textId="77777777" w:rsidR="0050787A" w:rsidRPr="0050787A" w:rsidRDefault="0050787A" w:rsidP="00507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E1A7" w14:textId="77777777" w:rsidR="0050787A" w:rsidRPr="0050787A" w:rsidRDefault="0050787A" w:rsidP="0050787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932BC" w14:textId="77777777" w:rsidR="0050787A" w:rsidRPr="0050787A" w:rsidRDefault="0050787A" w:rsidP="0050787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CA83" w14:textId="77777777" w:rsidR="007D6BA5" w:rsidRDefault="007D6B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880F6" w14:textId="77777777" w:rsidR="007D6BA5" w:rsidRDefault="007D6B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5CC6" w14:textId="77777777" w:rsidR="007D6BA5" w:rsidRDefault="007D6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987"/>
    <w:multiLevelType w:val="hybridMultilevel"/>
    <w:tmpl w:val="08C83314"/>
    <w:lvl w:ilvl="0" w:tplc="56708C9E">
      <w:numFmt w:val="bullet"/>
      <w:lvlText w:val="-"/>
      <w:lvlJc w:val="left"/>
      <w:pPr>
        <w:ind w:left="496" w:hanging="360"/>
      </w:pPr>
      <w:rPr>
        <w:rFonts w:ascii="Times New Roman" w:eastAsiaTheme="minorHAnsi" w:hAnsi="Times New Roman" w:cs="Times New Roman"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 w15:restartNumberingAfterBreak="0">
    <w:nsid w:val="04A424B9"/>
    <w:multiLevelType w:val="hybridMultilevel"/>
    <w:tmpl w:val="AB184054"/>
    <w:lvl w:ilvl="0" w:tplc="2408C1A6">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4D374E"/>
    <w:multiLevelType w:val="hybridMultilevel"/>
    <w:tmpl w:val="F35C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D07E7"/>
    <w:multiLevelType w:val="hybridMultilevel"/>
    <w:tmpl w:val="00505B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A5D5336"/>
    <w:multiLevelType w:val="hybridMultilevel"/>
    <w:tmpl w:val="05749650"/>
    <w:lvl w:ilvl="0" w:tplc="56708C9E">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03D48"/>
    <w:multiLevelType w:val="multilevel"/>
    <w:tmpl w:val="59F6C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D83981"/>
    <w:multiLevelType w:val="hybridMultilevel"/>
    <w:tmpl w:val="019888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3F426C0"/>
    <w:multiLevelType w:val="hybridMultilevel"/>
    <w:tmpl w:val="9274F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F712B"/>
    <w:multiLevelType w:val="hybridMultilevel"/>
    <w:tmpl w:val="B4000FF4"/>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7554C38"/>
    <w:multiLevelType w:val="hybridMultilevel"/>
    <w:tmpl w:val="3B22F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328F2"/>
    <w:multiLevelType w:val="hybridMultilevel"/>
    <w:tmpl w:val="F11C8646"/>
    <w:lvl w:ilvl="0" w:tplc="52EEDD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52AF6"/>
    <w:multiLevelType w:val="hybridMultilevel"/>
    <w:tmpl w:val="84702078"/>
    <w:lvl w:ilvl="0" w:tplc="909AD82A">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2" w15:restartNumberingAfterBreak="0">
    <w:nsid w:val="205756CA"/>
    <w:multiLevelType w:val="hybridMultilevel"/>
    <w:tmpl w:val="A5D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49F4"/>
    <w:multiLevelType w:val="hybridMultilevel"/>
    <w:tmpl w:val="B4AC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924A7"/>
    <w:multiLevelType w:val="hybridMultilevel"/>
    <w:tmpl w:val="C58AE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CE2FF3"/>
    <w:multiLevelType w:val="hybridMultilevel"/>
    <w:tmpl w:val="8418ED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5590A7F"/>
    <w:multiLevelType w:val="hybridMultilevel"/>
    <w:tmpl w:val="81728010"/>
    <w:lvl w:ilvl="0" w:tplc="73BEA6BA">
      <w:start w:val="1"/>
      <w:numFmt w:val="lowerLetter"/>
      <w:lvlText w:val="%1)"/>
      <w:lvlJc w:val="left"/>
      <w:pPr>
        <w:ind w:left="720" w:hanging="360"/>
      </w:pPr>
      <w:rPr>
        <w:rFonts w:ascii="Times New Roman" w:hAnsi="Times New Roman" w:cs="Times New Roman"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272E4975"/>
    <w:multiLevelType w:val="hybridMultilevel"/>
    <w:tmpl w:val="9DC052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7C610AB"/>
    <w:multiLevelType w:val="hybridMultilevel"/>
    <w:tmpl w:val="94FACB88"/>
    <w:lvl w:ilvl="0" w:tplc="6A940A40">
      <w:numFmt w:val="bullet"/>
      <w:lvlText w:val="-"/>
      <w:lvlJc w:val="left"/>
      <w:pPr>
        <w:ind w:left="720" w:hanging="360"/>
      </w:pPr>
      <w:rPr>
        <w:rFonts w:ascii="Times New Roman" w:eastAsiaTheme="minorHAnsi"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ACA3B49"/>
    <w:multiLevelType w:val="hybridMultilevel"/>
    <w:tmpl w:val="0D5CCC26"/>
    <w:lvl w:ilvl="0" w:tplc="EB0A8C20">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D7D3EE3"/>
    <w:multiLevelType w:val="hybridMultilevel"/>
    <w:tmpl w:val="7E3EB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726580"/>
    <w:multiLevelType w:val="hybridMultilevel"/>
    <w:tmpl w:val="1CDE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54FB6"/>
    <w:multiLevelType w:val="hybridMultilevel"/>
    <w:tmpl w:val="5FAEF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763C1A"/>
    <w:multiLevelType w:val="hybridMultilevel"/>
    <w:tmpl w:val="FB8E2D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1DE2EC3"/>
    <w:multiLevelType w:val="hybridMultilevel"/>
    <w:tmpl w:val="68CA8E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48B418C"/>
    <w:multiLevelType w:val="hybridMultilevel"/>
    <w:tmpl w:val="47005CBE"/>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D202B"/>
    <w:multiLevelType w:val="hybridMultilevel"/>
    <w:tmpl w:val="8C6EC90C"/>
    <w:lvl w:ilvl="0" w:tplc="60BC90F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571CB9"/>
    <w:multiLevelType w:val="hybridMultilevel"/>
    <w:tmpl w:val="2310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11D26"/>
    <w:multiLevelType w:val="hybridMultilevel"/>
    <w:tmpl w:val="E34C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D44A9"/>
    <w:multiLevelType w:val="hybridMultilevel"/>
    <w:tmpl w:val="B67E71D4"/>
    <w:lvl w:ilvl="0" w:tplc="56708C9E">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E266C"/>
    <w:multiLevelType w:val="multilevel"/>
    <w:tmpl w:val="511C36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B34322A"/>
    <w:multiLevelType w:val="hybridMultilevel"/>
    <w:tmpl w:val="FA80A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475A0"/>
    <w:multiLevelType w:val="hybridMultilevel"/>
    <w:tmpl w:val="A384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B5DC0"/>
    <w:multiLevelType w:val="hybridMultilevel"/>
    <w:tmpl w:val="969C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06F25"/>
    <w:multiLevelType w:val="hybridMultilevel"/>
    <w:tmpl w:val="9D54118A"/>
    <w:lvl w:ilvl="0" w:tplc="7624B4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9B3119"/>
    <w:multiLevelType w:val="hybridMultilevel"/>
    <w:tmpl w:val="BF2C9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61A82"/>
    <w:multiLevelType w:val="hybridMultilevel"/>
    <w:tmpl w:val="506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02476"/>
    <w:multiLevelType w:val="hybridMultilevel"/>
    <w:tmpl w:val="E4067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F659AD"/>
    <w:multiLevelType w:val="hybridMultilevel"/>
    <w:tmpl w:val="0472F010"/>
    <w:lvl w:ilvl="0" w:tplc="60BC90F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E1918"/>
    <w:multiLevelType w:val="hybridMultilevel"/>
    <w:tmpl w:val="75A4A346"/>
    <w:lvl w:ilvl="0" w:tplc="9EEE9BB8">
      <w:start w:val="1"/>
      <w:numFmt w:val="decimal"/>
      <w:pStyle w:val="Heading1"/>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B3A3E"/>
    <w:multiLevelType w:val="hybridMultilevel"/>
    <w:tmpl w:val="2E303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8"/>
  </w:num>
  <w:num w:numId="3">
    <w:abstractNumId w:val="14"/>
  </w:num>
  <w:num w:numId="4">
    <w:abstractNumId w:val="34"/>
  </w:num>
  <w:num w:numId="5">
    <w:abstractNumId w:val="11"/>
  </w:num>
  <w:num w:numId="6">
    <w:abstractNumId w:val="0"/>
  </w:num>
  <w:num w:numId="7">
    <w:abstractNumId w:val="29"/>
  </w:num>
  <w:num w:numId="8">
    <w:abstractNumId w:val="34"/>
  </w:num>
  <w:num w:numId="9">
    <w:abstractNumId w:val="4"/>
  </w:num>
  <w:num w:numId="10">
    <w:abstractNumId w:val="39"/>
  </w:num>
  <w:num w:numId="11">
    <w:abstractNumId w:val="5"/>
  </w:num>
  <w:num w:numId="12">
    <w:abstractNumId w:val="30"/>
  </w:num>
  <w:num w:numId="13">
    <w:abstractNumId w:val="31"/>
  </w:num>
  <w:num w:numId="14">
    <w:abstractNumId w:val="38"/>
  </w:num>
  <w:num w:numId="15">
    <w:abstractNumId w:val="19"/>
  </w:num>
  <w:num w:numId="16">
    <w:abstractNumId w:val="21"/>
  </w:num>
  <w:num w:numId="17">
    <w:abstractNumId w:val="9"/>
  </w:num>
  <w:num w:numId="18">
    <w:abstractNumId w:val="35"/>
  </w:num>
  <w:num w:numId="19">
    <w:abstractNumId w:val="32"/>
  </w:num>
  <w:num w:numId="20">
    <w:abstractNumId w:val="13"/>
  </w:num>
  <w:num w:numId="21">
    <w:abstractNumId w:val="27"/>
  </w:num>
  <w:num w:numId="22">
    <w:abstractNumId w:val="1"/>
  </w:num>
  <w:num w:numId="23">
    <w:abstractNumId w:val="36"/>
  </w:num>
  <w:num w:numId="24">
    <w:abstractNumId w:val="39"/>
  </w:num>
  <w:num w:numId="25">
    <w:abstractNumId w:val="39"/>
  </w:num>
  <w:num w:numId="26">
    <w:abstractNumId w:val="39"/>
  </w:num>
  <w:num w:numId="27">
    <w:abstractNumId w:val="39"/>
  </w:num>
  <w:num w:numId="28">
    <w:abstractNumId w:val="39"/>
  </w:num>
  <w:num w:numId="29">
    <w:abstractNumId w:val="37"/>
  </w:num>
  <w:num w:numId="30">
    <w:abstractNumId w:val="20"/>
  </w:num>
  <w:num w:numId="31">
    <w:abstractNumId w:val="33"/>
  </w:num>
  <w:num w:numId="32">
    <w:abstractNumId w:val="39"/>
  </w:num>
  <w:num w:numId="33">
    <w:abstractNumId w:val="39"/>
    <w:lvlOverride w:ilvl="0">
      <w:startOverride w:val="1"/>
    </w:lvlOverride>
  </w:num>
  <w:num w:numId="34">
    <w:abstractNumId w:val="39"/>
  </w:num>
  <w:num w:numId="35">
    <w:abstractNumId w:val="34"/>
  </w:num>
  <w:num w:numId="36">
    <w:abstractNumId w:val="1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10"/>
  </w:num>
  <w:num w:numId="40">
    <w:abstractNumId w:val="7"/>
  </w:num>
  <w:num w:numId="41">
    <w:abstractNumId w:val="2"/>
  </w:num>
  <w:num w:numId="42">
    <w:abstractNumId w:val="26"/>
  </w:num>
  <w:num w:numId="43">
    <w:abstractNumId w:val="25"/>
  </w:num>
  <w:num w:numId="44">
    <w:abstractNumId w:val="22"/>
  </w:num>
  <w:num w:numId="45">
    <w:abstractNumId w:val="16"/>
  </w:num>
  <w:num w:numId="46">
    <w:abstractNumId w:val="24"/>
  </w:num>
  <w:num w:numId="47">
    <w:abstractNumId w:val="6"/>
  </w:num>
  <w:num w:numId="48">
    <w:abstractNumId w:val="15"/>
  </w:num>
  <w:num w:numId="49">
    <w:abstractNumId w:val="3"/>
  </w:num>
  <w:num w:numId="50">
    <w:abstractNumId w:val="17"/>
  </w:num>
  <w:num w:numId="51">
    <w:abstractNumId w:val="23"/>
  </w:num>
  <w:num w:numId="5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fr-BE" w:vendorID="64" w:dllVersion="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NZ"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4CC9017-707C-4665-9F27-C8E5CA77C804"/>
    <w:docVar w:name="LW_COVERPAGE_TYPE" w:val="1"/>
    <w:docVar w:name="LW_CROSSREFERENCE" w:val="&lt;UNUSED&gt;"/>
    <w:docVar w:name="LW_DocType" w:val="NORMAL"/>
    <w:docVar w:name="LW_EMISSION" w:val="3.5.2022"/>
    <w:docVar w:name="LW_EMISSION_ISODATE" w:val="2022-05-03"/>
    <w:docVar w:name="LW_EMISSION_LOCATION" w:val="STR"/>
    <w:docVar w:name="LW_EMISSION_PREFIX" w:val="Strasbourg,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 European Health Data Space: harnessing the power of health data for people, patients and innovation&lt;/FMT&gt;"/>
    <w:docVar w:name="LW_TYPE.DOC.CP" w:val="COMMUNICATION FROM THE COMMISSION TO THE EUROPEAN PARLIAMENT AND THE COUNCIL"/>
    <w:docVar w:name="LW_TYPE.DOC.CP.USERTEXT" w:val="&lt;EMPTY&gt;"/>
    <w:docVar w:name="LwApiVersions" w:val="LW4CoDe 1.23.2.0; LW 8.0, Build 20211117"/>
  </w:docVars>
  <w:rsids>
    <w:rsidRoot w:val="005868A8"/>
    <w:rsid w:val="00001306"/>
    <w:rsid w:val="00001E0D"/>
    <w:rsid w:val="00002436"/>
    <w:rsid w:val="000032D8"/>
    <w:rsid w:val="0000334D"/>
    <w:rsid w:val="000038FD"/>
    <w:rsid w:val="00004840"/>
    <w:rsid w:val="0000526D"/>
    <w:rsid w:val="000053DC"/>
    <w:rsid w:val="000057E2"/>
    <w:rsid w:val="00005964"/>
    <w:rsid w:val="0000644C"/>
    <w:rsid w:val="000067F9"/>
    <w:rsid w:val="000102BD"/>
    <w:rsid w:val="0001038F"/>
    <w:rsid w:val="00010FAA"/>
    <w:rsid w:val="000111E6"/>
    <w:rsid w:val="000117D0"/>
    <w:rsid w:val="00011DBD"/>
    <w:rsid w:val="00013646"/>
    <w:rsid w:val="0001617E"/>
    <w:rsid w:val="00016937"/>
    <w:rsid w:val="0001794F"/>
    <w:rsid w:val="00021716"/>
    <w:rsid w:val="00021BD3"/>
    <w:rsid w:val="00021C41"/>
    <w:rsid w:val="000220F0"/>
    <w:rsid w:val="0002248F"/>
    <w:rsid w:val="0002354F"/>
    <w:rsid w:val="00023A5E"/>
    <w:rsid w:val="000245CC"/>
    <w:rsid w:val="000258CA"/>
    <w:rsid w:val="000260B0"/>
    <w:rsid w:val="0002660E"/>
    <w:rsid w:val="00031019"/>
    <w:rsid w:val="000334C5"/>
    <w:rsid w:val="0003401C"/>
    <w:rsid w:val="00034871"/>
    <w:rsid w:val="00034DB4"/>
    <w:rsid w:val="00035EEE"/>
    <w:rsid w:val="00037C51"/>
    <w:rsid w:val="00040E1C"/>
    <w:rsid w:val="00040E3E"/>
    <w:rsid w:val="000442C5"/>
    <w:rsid w:val="00045E3B"/>
    <w:rsid w:val="000470AC"/>
    <w:rsid w:val="000504CE"/>
    <w:rsid w:val="00053A3D"/>
    <w:rsid w:val="00053C2F"/>
    <w:rsid w:val="000546C0"/>
    <w:rsid w:val="000548C6"/>
    <w:rsid w:val="00054B72"/>
    <w:rsid w:val="00054C9B"/>
    <w:rsid w:val="00054EA2"/>
    <w:rsid w:val="00055490"/>
    <w:rsid w:val="000563A3"/>
    <w:rsid w:val="000569E8"/>
    <w:rsid w:val="000574AD"/>
    <w:rsid w:val="000616AB"/>
    <w:rsid w:val="0006193F"/>
    <w:rsid w:val="00061E7B"/>
    <w:rsid w:val="00063490"/>
    <w:rsid w:val="00064701"/>
    <w:rsid w:val="00064E2A"/>
    <w:rsid w:val="00064FFF"/>
    <w:rsid w:val="0006605D"/>
    <w:rsid w:val="00066839"/>
    <w:rsid w:val="00066FDA"/>
    <w:rsid w:val="0006703E"/>
    <w:rsid w:val="00067891"/>
    <w:rsid w:val="00067CE9"/>
    <w:rsid w:val="000706EB"/>
    <w:rsid w:val="00070748"/>
    <w:rsid w:val="0007163E"/>
    <w:rsid w:val="000732BC"/>
    <w:rsid w:val="000736CE"/>
    <w:rsid w:val="00073A48"/>
    <w:rsid w:val="00074123"/>
    <w:rsid w:val="00074185"/>
    <w:rsid w:val="00080B86"/>
    <w:rsid w:val="00080EF5"/>
    <w:rsid w:val="00082481"/>
    <w:rsid w:val="0008393D"/>
    <w:rsid w:val="00084711"/>
    <w:rsid w:val="00084B41"/>
    <w:rsid w:val="00085311"/>
    <w:rsid w:val="000857FE"/>
    <w:rsid w:val="0008594C"/>
    <w:rsid w:val="00085A43"/>
    <w:rsid w:val="00086420"/>
    <w:rsid w:val="0008743E"/>
    <w:rsid w:val="00090CFE"/>
    <w:rsid w:val="00092786"/>
    <w:rsid w:val="00094E05"/>
    <w:rsid w:val="000963E4"/>
    <w:rsid w:val="00097239"/>
    <w:rsid w:val="000A1EA1"/>
    <w:rsid w:val="000A402D"/>
    <w:rsid w:val="000A4878"/>
    <w:rsid w:val="000A4C1D"/>
    <w:rsid w:val="000A5D7C"/>
    <w:rsid w:val="000A5EC2"/>
    <w:rsid w:val="000A6BD3"/>
    <w:rsid w:val="000B2A53"/>
    <w:rsid w:val="000B2F17"/>
    <w:rsid w:val="000B49DC"/>
    <w:rsid w:val="000B528E"/>
    <w:rsid w:val="000B5398"/>
    <w:rsid w:val="000B6606"/>
    <w:rsid w:val="000B7E31"/>
    <w:rsid w:val="000C0D11"/>
    <w:rsid w:val="000C0EC4"/>
    <w:rsid w:val="000C2C89"/>
    <w:rsid w:val="000C47BA"/>
    <w:rsid w:val="000C52E3"/>
    <w:rsid w:val="000C6941"/>
    <w:rsid w:val="000C743D"/>
    <w:rsid w:val="000C7A5E"/>
    <w:rsid w:val="000C7FF8"/>
    <w:rsid w:val="000D0B5C"/>
    <w:rsid w:val="000D1F3D"/>
    <w:rsid w:val="000D363C"/>
    <w:rsid w:val="000D3E26"/>
    <w:rsid w:val="000D40BA"/>
    <w:rsid w:val="000D70C3"/>
    <w:rsid w:val="000D742C"/>
    <w:rsid w:val="000D7B8B"/>
    <w:rsid w:val="000E0C7C"/>
    <w:rsid w:val="000E42F5"/>
    <w:rsid w:val="000E4732"/>
    <w:rsid w:val="000E4D63"/>
    <w:rsid w:val="000E4DBC"/>
    <w:rsid w:val="000E65C2"/>
    <w:rsid w:val="000E6DEE"/>
    <w:rsid w:val="000F2011"/>
    <w:rsid w:val="000F3666"/>
    <w:rsid w:val="000F4ACA"/>
    <w:rsid w:val="000F67CE"/>
    <w:rsid w:val="000F67EF"/>
    <w:rsid w:val="001004C8"/>
    <w:rsid w:val="001033E8"/>
    <w:rsid w:val="00103A00"/>
    <w:rsid w:val="0010403A"/>
    <w:rsid w:val="0010435D"/>
    <w:rsid w:val="00104DDE"/>
    <w:rsid w:val="001051DB"/>
    <w:rsid w:val="0010532C"/>
    <w:rsid w:val="00106071"/>
    <w:rsid w:val="00106790"/>
    <w:rsid w:val="00107A8A"/>
    <w:rsid w:val="00110241"/>
    <w:rsid w:val="00111CC1"/>
    <w:rsid w:val="00111FF2"/>
    <w:rsid w:val="0011263B"/>
    <w:rsid w:val="00112E85"/>
    <w:rsid w:val="00113DCC"/>
    <w:rsid w:val="0011433F"/>
    <w:rsid w:val="00114345"/>
    <w:rsid w:val="0011622D"/>
    <w:rsid w:val="0011752A"/>
    <w:rsid w:val="001176E5"/>
    <w:rsid w:val="00120144"/>
    <w:rsid w:val="00121797"/>
    <w:rsid w:val="00121FCD"/>
    <w:rsid w:val="001229A7"/>
    <w:rsid w:val="001230C6"/>
    <w:rsid w:val="00123404"/>
    <w:rsid w:val="00123BE4"/>
    <w:rsid w:val="00123CC6"/>
    <w:rsid w:val="00125803"/>
    <w:rsid w:val="0012595C"/>
    <w:rsid w:val="001261C6"/>
    <w:rsid w:val="00127ED5"/>
    <w:rsid w:val="00132AA0"/>
    <w:rsid w:val="00135812"/>
    <w:rsid w:val="00135C66"/>
    <w:rsid w:val="00136FDC"/>
    <w:rsid w:val="0014030C"/>
    <w:rsid w:val="00140B5C"/>
    <w:rsid w:val="00142530"/>
    <w:rsid w:val="00142AF8"/>
    <w:rsid w:val="00142C07"/>
    <w:rsid w:val="001438F7"/>
    <w:rsid w:val="00143BFE"/>
    <w:rsid w:val="0014447D"/>
    <w:rsid w:val="001450F7"/>
    <w:rsid w:val="001478AD"/>
    <w:rsid w:val="00147A33"/>
    <w:rsid w:val="00150EE7"/>
    <w:rsid w:val="001520D8"/>
    <w:rsid w:val="00152B40"/>
    <w:rsid w:val="001543AD"/>
    <w:rsid w:val="00154842"/>
    <w:rsid w:val="00154CD6"/>
    <w:rsid w:val="00155B46"/>
    <w:rsid w:val="001573A0"/>
    <w:rsid w:val="00157B50"/>
    <w:rsid w:val="00160C70"/>
    <w:rsid w:val="00161D6D"/>
    <w:rsid w:val="00162A5F"/>
    <w:rsid w:val="001634ED"/>
    <w:rsid w:val="001655C6"/>
    <w:rsid w:val="001659CF"/>
    <w:rsid w:val="00167543"/>
    <w:rsid w:val="001708A5"/>
    <w:rsid w:val="0017129A"/>
    <w:rsid w:val="0017256A"/>
    <w:rsid w:val="00174233"/>
    <w:rsid w:val="001759A6"/>
    <w:rsid w:val="00176336"/>
    <w:rsid w:val="00176B69"/>
    <w:rsid w:val="00177536"/>
    <w:rsid w:val="0017757C"/>
    <w:rsid w:val="00180B39"/>
    <w:rsid w:val="001815B4"/>
    <w:rsid w:val="00182CCA"/>
    <w:rsid w:val="00183589"/>
    <w:rsid w:val="00185071"/>
    <w:rsid w:val="00185EFB"/>
    <w:rsid w:val="00190A75"/>
    <w:rsid w:val="001915AE"/>
    <w:rsid w:val="001932F6"/>
    <w:rsid w:val="0019457B"/>
    <w:rsid w:val="001949F4"/>
    <w:rsid w:val="001951D2"/>
    <w:rsid w:val="00195570"/>
    <w:rsid w:val="00196B21"/>
    <w:rsid w:val="00197466"/>
    <w:rsid w:val="00197AF6"/>
    <w:rsid w:val="001A2312"/>
    <w:rsid w:val="001A2D2E"/>
    <w:rsid w:val="001A3D86"/>
    <w:rsid w:val="001A4320"/>
    <w:rsid w:val="001A7412"/>
    <w:rsid w:val="001A7F3E"/>
    <w:rsid w:val="001B00C6"/>
    <w:rsid w:val="001B249C"/>
    <w:rsid w:val="001B2CE5"/>
    <w:rsid w:val="001B34C3"/>
    <w:rsid w:val="001B3ABA"/>
    <w:rsid w:val="001B3F26"/>
    <w:rsid w:val="001B469C"/>
    <w:rsid w:val="001B4807"/>
    <w:rsid w:val="001B49DF"/>
    <w:rsid w:val="001B50D9"/>
    <w:rsid w:val="001B6FCE"/>
    <w:rsid w:val="001C156B"/>
    <w:rsid w:val="001C1DB2"/>
    <w:rsid w:val="001C30B1"/>
    <w:rsid w:val="001C4430"/>
    <w:rsid w:val="001C54C1"/>
    <w:rsid w:val="001C670C"/>
    <w:rsid w:val="001C696A"/>
    <w:rsid w:val="001C6A9D"/>
    <w:rsid w:val="001C6C74"/>
    <w:rsid w:val="001C7175"/>
    <w:rsid w:val="001C747A"/>
    <w:rsid w:val="001C7665"/>
    <w:rsid w:val="001D0041"/>
    <w:rsid w:val="001D0B56"/>
    <w:rsid w:val="001D0F31"/>
    <w:rsid w:val="001D180E"/>
    <w:rsid w:val="001D1E3D"/>
    <w:rsid w:val="001D3D42"/>
    <w:rsid w:val="001D5B49"/>
    <w:rsid w:val="001D73A4"/>
    <w:rsid w:val="001D7CB1"/>
    <w:rsid w:val="001E0021"/>
    <w:rsid w:val="001E0094"/>
    <w:rsid w:val="001E0156"/>
    <w:rsid w:val="001E1868"/>
    <w:rsid w:val="001E1906"/>
    <w:rsid w:val="001E3079"/>
    <w:rsid w:val="001E3235"/>
    <w:rsid w:val="001E3A08"/>
    <w:rsid w:val="001E5E68"/>
    <w:rsid w:val="001E6CB4"/>
    <w:rsid w:val="001E705D"/>
    <w:rsid w:val="001F5984"/>
    <w:rsid w:val="001F7AF5"/>
    <w:rsid w:val="001F7F26"/>
    <w:rsid w:val="0020173A"/>
    <w:rsid w:val="00201EE8"/>
    <w:rsid w:val="0020203E"/>
    <w:rsid w:val="002038B2"/>
    <w:rsid w:val="00205B8E"/>
    <w:rsid w:val="00206991"/>
    <w:rsid w:val="0021224F"/>
    <w:rsid w:val="00214280"/>
    <w:rsid w:val="0021491A"/>
    <w:rsid w:val="002149F0"/>
    <w:rsid w:val="002162A7"/>
    <w:rsid w:val="002173FF"/>
    <w:rsid w:val="00217E0F"/>
    <w:rsid w:val="00220D3F"/>
    <w:rsid w:val="002215AE"/>
    <w:rsid w:val="00224122"/>
    <w:rsid w:val="00224AD4"/>
    <w:rsid w:val="00224E67"/>
    <w:rsid w:val="002252D5"/>
    <w:rsid w:val="00225B7F"/>
    <w:rsid w:val="00232F87"/>
    <w:rsid w:val="00233531"/>
    <w:rsid w:val="002335DF"/>
    <w:rsid w:val="0023483D"/>
    <w:rsid w:val="002364F5"/>
    <w:rsid w:val="002378CA"/>
    <w:rsid w:val="002400D0"/>
    <w:rsid w:val="00241289"/>
    <w:rsid w:val="0024213F"/>
    <w:rsid w:val="002427B0"/>
    <w:rsid w:val="0024339B"/>
    <w:rsid w:val="00244B06"/>
    <w:rsid w:val="0024505A"/>
    <w:rsid w:val="0024555B"/>
    <w:rsid w:val="002467E2"/>
    <w:rsid w:val="00247ADE"/>
    <w:rsid w:val="00253DAC"/>
    <w:rsid w:val="00255B30"/>
    <w:rsid w:val="00256D98"/>
    <w:rsid w:val="002574AB"/>
    <w:rsid w:val="002600E0"/>
    <w:rsid w:val="0026111B"/>
    <w:rsid w:val="00261287"/>
    <w:rsid w:val="00263126"/>
    <w:rsid w:val="00263D48"/>
    <w:rsid w:val="00264110"/>
    <w:rsid w:val="00264445"/>
    <w:rsid w:val="0026538F"/>
    <w:rsid w:val="0026542C"/>
    <w:rsid w:val="0027038D"/>
    <w:rsid w:val="00270B1C"/>
    <w:rsid w:val="00270DBB"/>
    <w:rsid w:val="00272612"/>
    <w:rsid w:val="00272786"/>
    <w:rsid w:val="00272C2A"/>
    <w:rsid w:val="00272E93"/>
    <w:rsid w:val="00273471"/>
    <w:rsid w:val="0027347D"/>
    <w:rsid w:val="002766C7"/>
    <w:rsid w:val="00276BD9"/>
    <w:rsid w:val="00281AB5"/>
    <w:rsid w:val="00282845"/>
    <w:rsid w:val="00282B37"/>
    <w:rsid w:val="00283507"/>
    <w:rsid w:val="00284605"/>
    <w:rsid w:val="00284E21"/>
    <w:rsid w:val="0028714A"/>
    <w:rsid w:val="002913EF"/>
    <w:rsid w:val="0029324F"/>
    <w:rsid w:val="002952E0"/>
    <w:rsid w:val="002953C4"/>
    <w:rsid w:val="002A110E"/>
    <w:rsid w:val="002A2B7F"/>
    <w:rsid w:val="002A3001"/>
    <w:rsid w:val="002A4457"/>
    <w:rsid w:val="002A6B95"/>
    <w:rsid w:val="002A73C3"/>
    <w:rsid w:val="002A7594"/>
    <w:rsid w:val="002B02B3"/>
    <w:rsid w:val="002B1986"/>
    <w:rsid w:val="002B3EE7"/>
    <w:rsid w:val="002B48AC"/>
    <w:rsid w:val="002B53A5"/>
    <w:rsid w:val="002B53D5"/>
    <w:rsid w:val="002B666E"/>
    <w:rsid w:val="002B7DAF"/>
    <w:rsid w:val="002C0A11"/>
    <w:rsid w:val="002C0B61"/>
    <w:rsid w:val="002C24F8"/>
    <w:rsid w:val="002C2547"/>
    <w:rsid w:val="002C3029"/>
    <w:rsid w:val="002C3909"/>
    <w:rsid w:val="002C4174"/>
    <w:rsid w:val="002C4E60"/>
    <w:rsid w:val="002C4F7D"/>
    <w:rsid w:val="002C5855"/>
    <w:rsid w:val="002C68AC"/>
    <w:rsid w:val="002C6B48"/>
    <w:rsid w:val="002C72BA"/>
    <w:rsid w:val="002C73B7"/>
    <w:rsid w:val="002D077B"/>
    <w:rsid w:val="002D1289"/>
    <w:rsid w:val="002D2701"/>
    <w:rsid w:val="002D3170"/>
    <w:rsid w:val="002D4066"/>
    <w:rsid w:val="002D42F0"/>
    <w:rsid w:val="002D4CAD"/>
    <w:rsid w:val="002D5A2B"/>
    <w:rsid w:val="002D672E"/>
    <w:rsid w:val="002D704D"/>
    <w:rsid w:val="002D71A7"/>
    <w:rsid w:val="002D765E"/>
    <w:rsid w:val="002E00D2"/>
    <w:rsid w:val="002E33B4"/>
    <w:rsid w:val="002E39B1"/>
    <w:rsid w:val="002E3A6A"/>
    <w:rsid w:val="002E54FB"/>
    <w:rsid w:val="002E5796"/>
    <w:rsid w:val="002E5ABD"/>
    <w:rsid w:val="002E7781"/>
    <w:rsid w:val="002F1030"/>
    <w:rsid w:val="002F32B1"/>
    <w:rsid w:val="002F39D7"/>
    <w:rsid w:val="002F49E4"/>
    <w:rsid w:val="002F5048"/>
    <w:rsid w:val="002F5B60"/>
    <w:rsid w:val="002F744C"/>
    <w:rsid w:val="00300125"/>
    <w:rsid w:val="00300F7C"/>
    <w:rsid w:val="00301068"/>
    <w:rsid w:val="003034D9"/>
    <w:rsid w:val="003043F6"/>
    <w:rsid w:val="00304FBD"/>
    <w:rsid w:val="00305140"/>
    <w:rsid w:val="0030701E"/>
    <w:rsid w:val="003107C4"/>
    <w:rsid w:val="0031134B"/>
    <w:rsid w:val="0031153D"/>
    <w:rsid w:val="00311DE3"/>
    <w:rsid w:val="00314BC4"/>
    <w:rsid w:val="00314C89"/>
    <w:rsid w:val="003169F2"/>
    <w:rsid w:val="00316CFD"/>
    <w:rsid w:val="00323299"/>
    <w:rsid w:val="00324851"/>
    <w:rsid w:val="00324EAC"/>
    <w:rsid w:val="003265B9"/>
    <w:rsid w:val="0033058C"/>
    <w:rsid w:val="003305E0"/>
    <w:rsid w:val="00330E0B"/>
    <w:rsid w:val="00332A46"/>
    <w:rsid w:val="00332EA4"/>
    <w:rsid w:val="00332F73"/>
    <w:rsid w:val="00335270"/>
    <w:rsid w:val="00335DAC"/>
    <w:rsid w:val="0033645F"/>
    <w:rsid w:val="00336BE8"/>
    <w:rsid w:val="00336CB4"/>
    <w:rsid w:val="00337E77"/>
    <w:rsid w:val="00340145"/>
    <w:rsid w:val="00340219"/>
    <w:rsid w:val="003435A9"/>
    <w:rsid w:val="003440DC"/>
    <w:rsid w:val="00344FC9"/>
    <w:rsid w:val="003453CC"/>
    <w:rsid w:val="00346A33"/>
    <w:rsid w:val="0034730C"/>
    <w:rsid w:val="003506A7"/>
    <w:rsid w:val="00350DAC"/>
    <w:rsid w:val="00351895"/>
    <w:rsid w:val="003521FE"/>
    <w:rsid w:val="00353A67"/>
    <w:rsid w:val="00353D4E"/>
    <w:rsid w:val="0035457C"/>
    <w:rsid w:val="00355083"/>
    <w:rsid w:val="003557DF"/>
    <w:rsid w:val="00356962"/>
    <w:rsid w:val="00356D37"/>
    <w:rsid w:val="003616A9"/>
    <w:rsid w:val="00362045"/>
    <w:rsid w:val="00364461"/>
    <w:rsid w:val="00364B3D"/>
    <w:rsid w:val="003655F5"/>
    <w:rsid w:val="00365BA0"/>
    <w:rsid w:val="0036611C"/>
    <w:rsid w:val="003669D7"/>
    <w:rsid w:val="00366C48"/>
    <w:rsid w:val="00367935"/>
    <w:rsid w:val="003712CD"/>
    <w:rsid w:val="00371CBE"/>
    <w:rsid w:val="0037311B"/>
    <w:rsid w:val="003738B7"/>
    <w:rsid w:val="0037450B"/>
    <w:rsid w:val="0037677F"/>
    <w:rsid w:val="00377032"/>
    <w:rsid w:val="0037776E"/>
    <w:rsid w:val="00380373"/>
    <w:rsid w:val="003815A2"/>
    <w:rsid w:val="00383007"/>
    <w:rsid w:val="003836C1"/>
    <w:rsid w:val="0038475D"/>
    <w:rsid w:val="00384C07"/>
    <w:rsid w:val="00386981"/>
    <w:rsid w:val="00386FEC"/>
    <w:rsid w:val="0038775C"/>
    <w:rsid w:val="003905BB"/>
    <w:rsid w:val="00391CFA"/>
    <w:rsid w:val="00391F18"/>
    <w:rsid w:val="00393095"/>
    <w:rsid w:val="00393788"/>
    <w:rsid w:val="00393EFC"/>
    <w:rsid w:val="00394289"/>
    <w:rsid w:val="00394DE8"/>
    <w:rsid w:val="00394E29"/>
    <w:rsid w:val="0039593A"/>
    <w:rsid w:val="003964FD"/>
    <w:rsid w:val="00396AEC"/>
    <w:rsid w:val="00396E3F"/>
    <w:rsid w:val="00397C18"/>
    <w:rsid w:val="003A008C"/>
    <w:rsid w:val="003A0AF0"/>
    <w:rsid w:val="003A0D03"/>
    <w:rsid w:val="003A219E"/>
    <w:rsid w:val="003A26FB"/>
    <w:rsid w:val="003A2F6C"/>
    <w:rsid w:val="003A4449"/>
    <w:rsid w:val="003A4A62"/>
    <w:rsid w:val="003A6051"/>
    <w:rsid w:val="003A7818"/>
    <w:rsid w:val="003B200A"/>
    <w:rsid w:val="003B2777"/>
    <w:rsid w:val="003B6256"/>
    <w:rsid w:val="003C3621"/>
    <w:rsid w:val="003C708D"/>
    <w:rsid w:val="003C71FE"/>
    <w:rsid w:val="003D28D6"/>
    <w:rsid w:val="003D39C7"/>
    <w:rsid w:val="003D4113"/>
    <w:rsid w:val="003D50E4"/>
    <w:rsid w:val="003D5902"/>
    <w:rsid w:val="003D7754"/>
    <w:rsid w:val="003E010C"/>
    <w:rsid w:val="003E0B7A"/>
    <w:rsid w:val="003E19F0"/>
    <w:rsid w:val="003E1D2F"/>
    <w:rsid w:val="003E2737"/>
    <w:rsid w:val="003E3E60"/>
    <w:rsid w:val="003E4517"/>
    <w:rsid w:val="003E590A"/>
    <w:rsid w:val="003E5917"/>
    <w:rsid w:val="003E5C1A"/>
    <w:rsid w:val="003E5DD2"/>
    <w:rsid w:val="003E69C5"/>
    <w:rsid w:val="003E6CEF"/>
    <w:rsid w:val="003E6E80"/>
    <w:rsid w:val="003E73E3"/>
    <w:rsid w:val="003E765F"/>
    <w:rsid w:val="003F02EA"/>
    <w:rsid w:val="003F0B50"/>
    <w:rsid w:val="003F0C5C"/>
    <w:rsid w:val="003F2713"/>
    <w:rsid w:val="003F3D2C"/>
    <w:rsid w:val="003F4C20"/>
    <w:rsid w:val="003F4CD2"/>
    <w:rsid w:val="003F68ED"/>
    <w:rsid w:val="003F69AC"/>
    <w:rsid w:val="003F72F7"/>
    <w:rsid w:val="003F7674"/>
    <w:rsid w:val="003F7C75"/>
    <w:rsid w:val="00400B94"/>
    <w:rsid w:val="00400EF6"/>
    <w:rsid w:val="00402149"/>
    <w:rsid w:val="00402371"/>
    <w:rsid w:val="00402FC3"/>
    <w:rsid w:val="0040345F"/>
    <w:rsid w:val="004037E1"/>
    <w:rsid w:val="004039FD"/>
    <w:rsid w:val="00403D06"/>
    <w:rsid w:val="004042CD"/>
    <w:rsid w:val="00404D62"/>
    <w:rsid w:val="00404F0D"/>
    <w:rsid w:val="004065E0"/>
    <w:rsid w:val="0040680A"/>
    <w:rsid w:val="00406F05"/>
    <w:rsid w:val="004078A7"/>
    <w:rsid w:val="00411551"/>
    <w:rsid w:val="00412B5F"/>
    <w:rsid w:val="004142E5"/>
    <w:rsid w:val="004157FC"/>
    <w:rsid w:val="0041580D"/>
    <w:rsid w:val="0041625E"/>
    <w:rsid w:val="0041664C"/>
    <w:rsid w:val="0041731F"/>
    <w:rsid w:val="0042041F"/>
    <w:rsid w:val="004212B4"/>
    <w:rsid w:val="00421ED8"/>
    <w:rsid w:val="00424BD9"/>
    <w:rsid w:val="00425C23"/>
    <w:rsid w:val="00425F4E"/>
    <w:rsid w:val="0042606D"/>
    <w:rsid w:val="00427063"/>
    <w:rsid w:val="00431160"/>
    <w:rsid w:val="004313F7"/>
    <w:rsid w:val="00431908"/>
    <w:rsid w:val="00432B41"/>
    <w:rsid w:val="0043324D"/>
    <w:rsid w:val="00434F01"/>
    <w:rsid w:val="00435F00"/>
    <w:rsid w:val="0043674B"/>
    <w:rsid w:val="00442B28"/>
    <w:rsid w:val="00442F06"/>
    <w:rsid w:val="00444CDE"/>
    <w:rsid w:val="004450F1"/>
    <w:rsid w:val="00445A76"/>
    <w:rsid w:val="004463DC"/>
    <w:rsid w:val="00446BF8"/>
    <w:rsid w:val="004501BA"/>
    <w:rsid w:val="00451D8C"/>
    <w:rsid w:val="00455BCF"/>
    <w:rsid w:val="00457CE9"/>
    <w:rsid w:val="00460315"/>
    <w:rsid w:val="004621EC"/>
    <w:rsid w:val="004624BD"/>
    <w:rsid w:val="00463CD2"/>
    <w:rsid w:val="00464CFA"/>
    <w:rsid w:val="00464F13"/>
    <w:rsid w:val="004657DC"/>
    <w:rsid w:val="004659F2"/>
    <w:rsid w:val="00465CD5"/>
    <w:rsid w:val="004705DE"/>
    <w:rsid w:val="004708C1"/>
    <w:rsid w:val="00472DCF"/>
    <w:rsid w:val="00473B7E"/>
    <w:rsid w:val="0047595B"/>
    <w:rsid w:val="00475C80"/>
    <w:rsid w:val="00476DDB"/>
    <w:rsid w:val="00483248"/>
    <w:rsid w:val="0048341D"/>
    <w:rsid w:val="00483627"/>
    <w:rsid w:val="00483D54"/>
    <w:rsid w:val="0048578A"/>
    <w:rsid w:val="0048621A"/>
    <w:rsid w:val="00486F20"/>
    <w:rsid w:val="0049172C"/>
    <w:rsid w:val="00491E40"/>
    <w:rsid w:val="00492556"/>
    <w:rsid w:val="00493B11"/>
    <w:rsid w:val="00494F2E"/>
    <w:rsid w:val="0049541D"/>
    <w:rsid w:val="0049606F"/>
    <w:rsid w:val="00497CB0"/>
    <w:rsid w:val="004A1D0C"/>
    <w:rsid w:val="004A5989"/>
    <w:rsid w:val="004A5E00"/>
    <w:rsid w:val="004A7CFC"/>
    <w:rsid w:val="004B0709"/>
    <w:rsid w:val="004B0A66"/>
    <w:rsid w:val="004B34FC"/>
    <w:rsid w:val="004B3B67"/>
    <w:rsid w:val="004B4D75"/>
    <w:rsid w:val="004B520F"/>
    <w:rsid w:val="004B7077"/>
    <w:rsid w:val="004C0FB4"/>
    <w:rsid w:val="004C280B"/>
    <w:rsid w:val="004C2953"/>
    <w:rsid w:val="004C297E"/>
    <w:rsid w:val="004C2EB6"/>
    <w:rsid w:val="004C3026"/>
    <w:rsid w:val="004C57FA"/>
    <w:rsid w:val="004C5B26"/>
    <w:rsid w:val="004D01AE"/>
    <w:rsid w:val="004D0A15"/>
    <w:rsid w:val="004D23B2"/>
    <w:rsid w:val="004D2673"/>
    <w:rsid w:val="004D3FFB"/>
    <w:rsid w:val="004D42F3"/>
    <w:rsid w:val="004E1B2E"/>
    <w:rsid w:val="004E2CBA"/>
    <w:rsid w:val="004E3021"/>
    <w:rsid w:val="004E3D8D"/>
    <w:rsid w:val="004E45B1"/>
    <w:rsid w:val="004E47E1"/>
    <w:rsid w:val="004E4F34"/>
    <w:rsid w:val="004E5AB8"/>
    <w:rsid w:val="004E69C7"/>
    <w:rsid w:val="004E6D70"/>
    <w:rsid w:val="004E72E2"/>
    <w:rsid w:val="004E7466"/>
    <w:rsid w:val="004F0419"/>
    <w:rsid w:val="004F0B30"/>
    <w:rsid w:val="004F0D42"/>
    <w:rsid w:val="004F1052"/>
    <w:rsid w:val="004F1541"/>
    <w:rsid w:val="004F1AE0"/>
    <w:rsid w:val="004F1C65"/>
    <w:rsid w:val="004F3CC9"/>
    <w:rsid w:val="004F42C4"/>
    <w:rsid w:val="004F4524"/>
    <w:rsid w:val="004F45F2"/>
    <w:rsid w:val="004F46AB"/>
    <w:rsid w:val="004F4C00"/>
    <w:rsid w:val="004F7F1B"/>
    <w:rsid w:val="00502A49"/>
    <w:rsid w:val="00502CC1"/>
    <w:rsid w:val="005031BE"/>
    <w:rsid w:val="005033A6"/>
    <w:rsid w:val="0050367E"/>
    <w:rsid w:val="0050545C"/>
    <w:rsid w:val="00505775"/>
    <w:rsid w:val="00505F23"/>
    <w:rsid w:val="00506626"/>
    <w:rsid w:val="00506FB5"/>
    <w:rsid w:val="0050787A"/>
    <w:rsid w:val="0051087D"/>
    <w:rsid w:val="00510CC1"/>
    <w:rsid w:val="00511246"/>
    <w:rsid w:val="00512557"/>
    <w:rsid w:val="00512D47"/>
    <w:rsid w:val="0051317C"/>
    <w:rsid w:val="005163AD"/>
    <w:rsid w:val="00516C76"/>
    <w:rsid w:val="00516DC5"/>
    <w:rsid w:val="005176FF"/>
    <w:rsid w:val="00517908"/>
    <w:rsid w:val="005200FB"/>
    <w:rsid w:val="0052091F"/>
    <w:rsid w:val="00521247"/>
    <w:rsid w:val="00522581"/>
    <w:rsid w:val="00523209"/>
    <w:rsid w:val="0052376F"/>
    <w:rsid w:val="00523E39"/>
    <w:rsid w:val="0052421E"/>
    <w:rsid w:val="005273D6"/>
    <w:rsid w:val="00527616"/>
    <w:rsid w:val="005300DB"/>
    <w:rsid w:val="005305A7"/>
    <w:rsid w:val="00533BB5"/>
    <w:rsid w:val="00534C28"/>
    <w:rsid w:val="00536B03"/>
    <w:rsid w:val="00543D56"/>
    <w:rsid w:val="00544B59"/>
    <w:rsid w:val="0054501D"/>
    <w:rsid w:val="00546310"/>
    <w:rsid w:val="00546ECF"/>
    <w:rsid w:val="00547320"/>
    <w:rsid w:val="00547461"/>
    <w:rsid w:val="00550738"/>
    <w:rsid w:val="00551CAD"/>
    <w:rsid w:val="00552AAF"/>
    <w:rsid w:val="005531FA"/>
    <w:rsid w:val="0055403F"/>
    <w:rsid w:val="00554DA5"/>
    <w:rsid w:val="00556AE5"/>
    <w:rsid w:val="00556E26"/>
    <w:rsid w:val="00560602"/>
    <w:rsid w:val="00561120"/>
    <w:rsid w:val="00562032"/>
    <w:rsid w:val="00562B82"/>
    <w:rsid w:val="00562EC3"/>
    <w:rsid w:val="00564317"/>
    <w:rsid w:val="0056717F"/>
    <w:rsid w:val="0057173D"/>
    <w:rsid w:val="00573A1A"/>
    <w:rsid w:val="00574376"/>
    <w:rsid w:val="00575579"/>
    <w:rsid w:val="0058004F"/>
    <w:rsid w:val="005808A6"/>
    <w:rsid w:val="00581E00"/>
    <w:rsid w:val="00581F82"/>
    <w:rsid w:val="005833CB"/>
    <w:rsid w:val="005834B5"/>
    <w:rsid w:val="005853B4"/>
    <w:rsid w:val="00585EFF"/>
    <w:rsid w:val="005868A8"/>
    <w:rsid w:val="0059045A"/>
    <w:rsid w:val="0059084A"/>
    <w:rsid w:val="0059165D"/>
    <w:rsid w:val="005935A2"/>
    <w:rsid w:val="005936D1"/>
    <w:rsid w:val="00593BC1"/>
    <w:rsid w:val="00593C55"/>
    <w:rsid w:val="0059572B"/>
    <w:rsid w:val="005968C2"/>
    <w:rsid w:val="00597A40"/>
    <w:rsid w:val="005A0577"/>
    <w:rsid w:val="005A0599"/>
    <w:rsid w:val="005A1D9F"/>
    <w:rsid w:val="005A344C"/>
    <w:rsid w:val="005A35F6"/>
    <w:rsid w:val="005A394A"/>
    <w:rsid w:val="005A5AF3"/>
    <w:rsid w:val="005A6C69"/>
    <w:rsid w:val="005A7900"/>
    <w:rsid w:val="005A7F82"/>
    <w:rsid w:val="005B0550"/>
    <w:rsid w:val="005B245E"/>
    <w:rsid w:val="005B2635"/>
    <w:rsid w:val="005B2CB0"/>
    <w:rsid w:val="005B2D38"/>
    <w:rsid w:val="005B3267"/>
    <w:rsid w:val="005B34F7"/>
    <w:rsid w:val="005B3EFE"/>
    <w:rsid w:val="005B576F"/>
    <w:rsid w:val="005B5E12"/>
    <w:rsid w:val="005B76BB"/>
    <w:rsid w:val="005C001E"/>
    <w:rsid w:val="005C13B4"/>
    <w:rsid w:val="005C1FFC"/>
    <w:rsid w:val="005C30AF"/>
    <w:rsid w:val="005C3B0F"/>
    <w:rsid w:val="005C6428"/>
    <w:rsid w:val="005C6BE3"/>
    <w:rsid w:val="005C6DF4"/>
    <w:rsid w:val="005D0260"/>
    <w:rsid w:val="005D034D"/>
    <w:rsid w:val="005D1F4E"/>
    <w:rsid w:val="005D2132"/>
    <w:rsid w:val="005D27F7"/>
    <w:rsid w:val="005D3298"/>
    <w:rsid w:val="005D3633"/>
    <w:rsid w:val="005D488F"/>
    <w:rsid w:val="005D6BFC"/>
    <w:rsid w:val="005E01FD"/>
    <w:rsid w:val="005E02D4"/>
    <w:rsid w:val="005E034F"/>
    <w:rsid w:val="005E14E2"/>
    <w:rsid w:val="005E228C"/>
    <w:rsid w:val="005E64DE"/>
    <w:rsid w:val="005E6F3D"/>
    <w:rsid w:val="005E78D3"/>
    <w:rsid w:val="005F239D"/>
    <w:rsid w:val="005F5742"/>
    <w:rsid w:val="005F7815"/>
    <w:rsid w:val="00603108"/>
    <w:rsid w:val="00603D21"/>
    <w:rsid w:val="00605437"/>
    <w:rsid w:val="00606F17"/>
    <w:rsid w:val="00606F1D"/>
    <w:rsid w:val="006071B5"/>
    <w:rsid w:val="00610E6C"/>
    <w:rsid w:val="006110D9"/>
    <w:rsid w:val="006146F7"/>
    <w:rsid w:val="00614AEC"/>
    <w:rsid w:val="00614D2C"/>
    <w:rsid w:val="0061514D"/>
    <w:rsid w:val="00615E2E"/>
    <w:rsid w:val="00616D6C"/>
    <w:rsid w:val="0061744B"/>
    <w:rsid w:val="00621878"/>
    <w:rsid w:val="006221B9"/>
    <w:rsid w:val="00622B34"/>
    <w:rsid w:val="00622D3F"/>
    <w:rsid w:val="0062309C"/>
    <w:rsid w:val="00623436"/>
    <w:rsid w:val="0062395F"/>
    <w:rsid w:val="006244A6"/>
    <w:rsid w:val="006303C3"/>
    <w:rsid w:val="00631839"/>
    <w:rsid w:val="006339E5"/>
    <w:rsid w:val="00635B17"/>
    <w:rsid w:val="006364C6"/>
    <w:rsid w:val="00637977"/>
    <w:rsid w:val="00637B6E"/>
    <w:rsid w:val="0064039A"/>
    <w:rsid w:val="006413E7"/>
    <w:rsid w:val="00641F6D"/>
    <w:rsid w:val="006420C1"/>
    <w:rsid w:val="00643117"/>
    <w:rsid w:val="00643A72"/>
    <w:rsid w:val="00644FFD"/>
    <w:rsid w:val="00645DC2"/>
    <w:rsid w:val="006461F5"/>
    <w:rsid w:val="006463F0"/>
    <w:rsid w:val="00646A34"/>
    <w:rsid w:val="00647410"/>
    <w:rsid w:val="00647B0E"/>
    <w:rsid w:val="00647F5B"/>
    <w:rsid w:val="00650136"/>
    <w:rsid w:val="00650F22"/>
    <w:rsid w:val="00652DDD"/>
    <w:rsid w:val="006533FB"/>
    <w:rsid w:val="00654286"/>
    <w:rsid w:val="0065460B"/>
    <w:rsid w:val="00656895"/>
    <w:rsid w:val="00656BCF"/>
    <w:rsid w:val="00656DB9"/>
    <w:rsid w:val="00657797"/>
    <w:rsid w:val="006577C5"/>
    <w:rsid w:val="006578D3"/>
    <w:rsid w:val="00661821"/>
    <w:rsid w:val="00661BF2"/>
    <w:rsid w:val="00662D03"/>
    <w:rsid w:val="00665C45"/>
    <w:rsid w:val="0066685F"/>
    <w:rsid w:val="006679A8"/>
    <w:rsid w:val="00670392"/>
    <w:rsid w:val="00671F2B"/>
    <w:rsid w:val="006737D5"/>
    <w:rsid w:val="00673E9C"/>
    <w:rsid w:val="00677F07"/>
    <w:rsid w:val="00680975"/>
    <w:rsid w:val="00680B3E"/>
    <w:rsid w:val="00681467"/>
    <w:rsid w:val="00683BD1"/>
    <w:rsid w:val="00684002"/>
    <w:rsid w:val="00687B04"/>
    <w:rsid w:val="00687CCB"/>
    <w:rsid w:val="00692B25"/>
    <w:rsid w:val="00694925"/>
    <w:rsid w:val="006954A7"/>
    <w:rsid w:val="00695D32"/>
    <w:rsid w:val="00695DCE"/>
    <w:rsid w:val="006A0190"/>
    <w:rsid w:val="006A1B54"/>
    <w:rsid w:val="006A2DB2"/>
    <w:rsid w:val="006A334D"/>
    <w:rsid w:val="006A38A7"/>
    <w:rsid w:val="006A50A7"/>
    <w:rsid w:val="006A76F6"/>
    <w:rsid w:val="006B62C2"/>
    <w:rsid w:val="006B63FA"/>
    <w:rsid w:val="006B7DA0"/>
    <w:rsid w:val="006C0020"/>
    <w:rsid w:val="006C1B42"/>
    <w:rsid w:val="006C215C"/>
    <w:rsid w:val="006C3E6F"/>
    <w:rsid w:val="006C4592"/>
    <w:rsid w:val="006C5541"/>
    <w:rsid w:val="006C5B5F"/>
    <w:rsid w:val="006D00EC"/>
    <w:rsid w:val="006D136B"/>
    <w:rsid w:val="006D239F"/>
    <w:rsid w:val="006D2BD9"/>
    <w:rsid w:val="006D33F6"/>
    <w:rsid w:val="006D34CA"/>
    <w:rsid w:val="006D3DCC"/>
    <w:rsid w:val="006D42DC"/>
    <w:rsid w:val="006D6293"/>
    <w:rsid w:val="006D6A5A"/>
    <w:rsid w:val="006D7098"/>
    <w:rsid w:val="006E0A22"/>
    <w:rsid w:val="006E0B21"/>
    <w:rsid w:val="006E3533"/>
    <w:rsid w:val="006E402A"/>
    <w:rsid w:val="006E4138"/>
    <w:rsid w:val="006E4A34"/>
    <w:rsid w:val="006E51CE"/>
    <w:rsid w:val="006E5932"/>
    <w:rsid w:val="006E7719"/>
    <w:rsid w:val="006E7C9C"/>
    <w:rsid w:val="006F06EA"/>
    <w:rsid w:val="006F1201"/>
    <w:rsid w:val="006F223F"/>
    <w:rsid w:val="006F2BF5"/>
    <w:rsid w:val="006F35C7"/>
    <w:rsid w:val="006F3729"/>
    <w:rsid w:val="006F3D77"/>
    <w:rsid w:val="006F417E"/>
    <w:rsid w:val="006F41F6"/>
    <w:rsid w:val="006F4B16"/>
    <w:rsid w:val="006F5BCD"/>
    <w:rsid w:val="00701AA8"/>
    <w:rsid w:val="00701D7C"/>
    <w:rsid w:val="0070292E"/>
    <w:rsid w:val="00703D43"/>
    <w:rsid w:val="00704A08"/>
    <w:rsid w:val="00705229"/>
    <w:rsid w:val="0070680A"/>
    <w:rsid w:val="00710B1F"/>
    <w:rsid w:val="00711523"/>
    <w:rsid w:val="00712CDC"/>
    <w:rsid w:val="00720DC9"/>
    <w:rsid w:val="00721CC1"/>
    <w:rsid w:val="0072232F"/>
    <w:rsid w:val="007225EC"/>
    <w:rsid w:val="007227C9"/>
    <w:rsid w:val="00723238"/>
    <w:rsid w:val="0072408A"/>
    <w:rsid w:val="00725580"/>
    <w:rsid w:val="00726615"/>
    <w:rsid w:val="00730038"/>
    <w:rsid w:val="00730B51"/>
    <w:rsid w:val="00731AE3"/>
    <w:rsid w:val="007333A7"/>
    <w:rsid w:val="00734ADD"/>
    <w:rsid w:val="007366B6"/>
    <w:rsid w:val="00736D53"/>
    <w:rsid w:val="007372DA"/>
    <w:rsid w:val="00737E70"/>
    <w:rsid w:val="00740699"/>
    <w:rsid w:val="007437C0"/>
    <w:rsid w:val="00744425"/>
    <w:rsid w:val="00744783"/>
    <w:rsid w:val="00746B03"/>
    <w:rsid w:val="00746FF3"/>
    <w:rsid w:val="00747404"/>
    <w:rsid w:val="00750690"/>
    <w:rsid w:val="00750A22"/>
    <w:rsid w:val="00751B6E"/>
    <w:rsid w:val="0075207F"/>
    <w:rsid w:val="00752200"/>
    <w:rsid w:val="0075275F"/>
    <w:rsid w:val="00752A2C"/>
    <w:rsid w:val="00752D59"/>
    <w:rsid w:val="007539F7"/>
    <w:rsid w:val="00756EB8"/>
    <w:rsid w:val="0075703E"/>
    <w:rsid w:val="007576E7"/>
    <w:rsid w:val="00760492"/>
    <w:rsid w:val="00761DDB"/>
    <w:rsid w:val="007626BE"/>
    <w:rsid w:val="007630BA"/>
    <w:rsid w:val="0076310B"/>
    <w:rsid w:val="007640D8"/>
    <w:rsid w:val="00764382"/>
    <w:rsid w:val="007649E7"/>
    <w:rsid w:val="00765B89"/>
    <w:rsid w:val="00766C7C"/>
    <w:rsid w:val="0076728B"/>
    <w:rsid w:val="007674D4"/>
    <w:rsid w:val="007679C6"/>
    <w:rsid w:val="00773221"/>
    <w:rsid w:val="0077357D"/>
    <w:rsid w:val="00775703"/>
    <w:rsid w:val="00776B51"/>
    <w:rsid w:val="00777784"/>
    <w:rsid w:val="007804F6"/>
    <w:rsid w:val="00781A70"/>
    <w:rsid w:val="007826B0"/>
    <w:rsid w:val="00783722"/>
    <w:rsid w:val="0078452A"/>
    <w:rsid w:val="00784CAA"/>
    <w:rsid w:val="00784FEA"/>
    <w:rsid w:val="00785FBE"/>
    <w:rsid w:val="0078673F"/>
    <w:rsid w:val="00786E04"/>
    <w:rsid w:val="00787A5C"/>
    <w:rsid w:val="00787CCA"/>
    <w:rsid w:val="0079006F"/>
    <w:rsid w:val="0079070D"/>
    <w:rsid w:val="00790864"/>
    <w:rsid w:val="00790ECC"/>
    <w:rsid w:val="0079112B"/>
    <w:rsid w:val="007912BF"/>
    <w:rsid w:val="0079308C"/>
    <w:rsid w:val="00793282"/>
    <w:rsid w:val="007951CF"/>
    <w:rsid w:val="00795D08"/>
    <w:rsid w:val="007965C2"/>
    <w:rsid w:val="007967D6"/>
    <w:rsid w:val="007A0DE4"/>
    <w:rsid w:val="007A1151"/>
    <w:rsid w:val="007A17B8"/>
    <w:rsid w:val="007A24BD"/>
    <w:rsid w:val="007A4053"/>
    <w:rsid w:val="007A48E7"/>
    <w:rsid w:val="007A61FD"/>
    <w:rsid w:val="007A6FBD"/>
    <w:rsid w:val="007A7E60"/>
    <w:rsid w:val="007B1BB8"/>
    <w:rsid w:val="007B25FA"/>
    <w:rsid w:val="007B266D"/>
    <w:rsid w:val="007B35D0"/>
    <w:rsid w:val="007B3823"/>
    <w:rsid w:val="007B6613"/>
    <w:rsid w:val="007B6992"/>
    <w:rsid w:val="007C0C76"/>
    <w:rsid w:val="007C2C6C"/>
    <w:rsid w:val="007C2FC3"/>
    <w:rsid w:val="007C5B80"/>
    <w:rsid w:val="007C68BE"/>
    <w:rsid w:val="007D2219"/>
    <w:rsid w:val="007D3612"/>
    <w:rsid w:val="007D45B1"/>
    <w:rsid w:val="007D4DC6"/>
    <w:rsid w:val="007D5CD9"/>
    <w:rsid w:val="007D6587"/>
    <w:rsid w:val="007D6BA5"/>
    <w:rsid w:val="007D74EC"/>
    <w:rsid w:val="007E0CAD"/>
    <w:rsid w:val="007E3664"/>
    <w:rsid w:val="007E445B"/>
    <w:rsid w:val="007E61D0"/>
    <w:rsid w:val="007E7B4D"/>
    <w:rsid w:val="007E7C91"/>
    <w:rsid w:val="007F01E5"/>
    <w:rsid w:val="007F02E2"/>
    <w:rsid w:val="007F1A59"/>
    <w:rsid w:val="007F2155"/>
    <w:rsid w:val="007F4D22"/>
    <w:rsid w:val="007F5C73"/>
    <w:rsid w:val="007F5F5A"/>
    <w:rsid w:val="007F7970"/>
    <w:rsid w:val="00801E4A"/>
    <w:rsid w:val="0080242B"/>
    <w:rsid w:val="00803516"/>
    <w:rsid w:val="0080624D"/>
    <w:rsid w:val="00806497"/>
    <w:rsid w:val="00807D98"/>
    <w:rsid w:val="00807F90"/>
    <w:rsid w:val="00810C43"/>
    <w:rsid w:val="00810FCC"/>
    <w:rsid w:val="00812BA3"/>
    <w:rsid w:val="00813055"/>
    <w:rsid w:val="00814AF7"/>
    <w:rsid w:val="0081516B"/>
    <w:rsid w:val="00817783"/>
    <w:rsid w:val="00817964"/>
    <w:rsid w:val="008203DB"/>
    <w:rsid w:val="00821931"/>
    <w:rsid w:val="008231FE"/>
    <w:rsid w:val="00824519"/>
    <w:rsid w:val="0082573E"/>
    <w:rsid w:val="0082652F"/>
    <w:rsid w:val="0082754A"/>
    <w:rsid w:val="008300F4"/>
    <w:rsid w:val="00833C13"/>
    <w:rsid w:val="00835076"/>
    <w:rsid w:val="008355B0"/>
    <w:rsid w:val="008357C2"/>
    <w:rsid w:val="0083587C"/>
    <w:rsid w:val="00836D95"/>
    <w:rsid w:val="00841931"/>
    <w:rsid w:val="00842E37"/>
    <w:rsid w:val="00844940"/>
    <w:rsid w:val="00844BEE"/>
    <w:rsid w:val="00844E29"/>
    <w:rsid w:val="0084602E"/>
    <w:rsid w:val="0084764D"/>
    <w:rsid w:val="00851323"/>
    <w:rsid w:val="00851BDF"/>
    <w:rsid w:val="00853FF7"/>
    <w:rsid w:val="008550DA"/>
    <w:rsid w:val="008555AC"/>
    <w:rsid w:val="008567A5"/>
    <w:rsid w:val="00860E11"/>
    <w:rsid w:val="00863085"/>
    <w:rsid w:val="008632D4"/>
    <w:rsid w:val="00863CDB"/>
    <w:rsid w:val="00864683"/>
    <w:rsid w:val="00865795"/>
    <w:rsid w:val="00866DFB"/>
    <w:rsid w:val="00870152"/>
    <w:rsid w:val="008714C1"/>
    <w:rsid w:val="00871B47"/>
    <w:rsid w:val="0087204A"/>
    <w:rsid w:val="00872562"/>
    <w:rsid w:val="00872AC4"/>
    <w:rsid w:val="00874B9F"/>
    <w:rsid w:val="008751EA"/>
    <w:rsid w:val="008766AF"/>
    <w:rsid w:val="008767F8"/>
    <w:rsid w:val="00876ED8"/>
    <w:rsid w:val="00880ABC"/>
    <w:rsid w:val="008811CE"/>
    <w:rsid w:val="00882EE1"/>
    <w:rsid w:val="0088638A"/>
    <w:rsid w:val="00886EE2"/>
    <w:rsid w:val="00887E5B"/>
    <w:rsid w:val="008906EE"/>
    <w:rsid w:val="00890F3B"/>
    <w:rsid w:val="00892DB2"/>
    <w:rsid w:val="0089367C"/>
    <w:rsid w:val="008941F6"/>
    <w:rsid w:val="00895808"/>
    <w:rsid w:val="008959A8"/>
    <w:rsid w:val="008960A4"/>
    <w:rsid w:val="00897E14"/>
    <w:rsid w:val="008A1DC3"/>
    <w:rsid w:val="008A389D"/>
    <w:rsid w:val="008A4352"/>
    <w:rsid w:val="008A44C6"/>
    <w:rsid w:val="008A47DC"/>
    <w:rsid w:val="008A49BA"/>
    <w:rsid w:val="008A6390"/>
    <w:rsid w:val="008A6909"/>
    <w:rsid w:val="008A701B"/>
    <w:rsid w:val="008A76F4"/>
    <w:rsid w:val="008A789F"/>
    <w:rsid w:val="008B09C4"/>
    <w:rsid w:val="008B0C21"/>
    <w:rsid w:val="008B2D19"/>
    <w:rsid w:val="008B3E8B"/>
    <w:rsid w:val="008B4336"/>
    <w:rsid w:val="008B463C"/>
    <w:rsid w:val="008B51C2"/>
    <w:rsid w:val="008B55F3"/>
    <w:rsid w:val="008B7A56"/>
    <w:rsid w:val="008C08AC"/>
    <w:rsid w:val="008C1EB5"/>
    <w:rsid w:val="008C200D"/>
    <w:rsid w:val="008C2C0C"/>
    <w:rsid w:val="008C37AF"/>
    <w:rsid w:val="008C437B"/>
    <w:rsid w:val="008C5228"/>
    <w:rsid w:val="008C6280"/>
    <w:rsid w:val="008D4166"/>
    <w:rsid w:val="008D467B"/>
    <w:rsid w:val="008D6285"/>
    <w:rsid w:val="008E1479"/>
    <w:rsid w:val="008E1553"/>
    <w:rsid w:val="008E3A44"/>
    <w:rsid w:val="008E56CC"/>
    <w:rsid w:val="008E6248"/>
    <w:rsid w:val="008E64E6"/>
    <w:rsid w:val="008E6A4C"/>
    <w:rsid w:val="008E71FD"/>
    <w:rsid w:val="008E7C20"/>
    <w:rsid w:val="008F06F8"/>
    <w:rsid w:val="008F09BF"/>
    <w:rsid w:val="008F0BDE"/>
    <w:rsid w:val="008F0E9E"/>
    <w:rsid w:val="008F16D7"/>
    <w:rsid w:val="008F282D"/>
    <w:rsid w:val="008F5C30"/>
    <w:rsid w:val="008F7675"/>
    <w:rsid w:val="00900A55"/>
    <w:rsid w:val="00902C29"/>
    <w:rsid w:val="009042EC"/>
    <w:rsid w:val="009058BF"/>
    <w:rsid w:val="009069CC"/>
    <w:rsid w:val="00906EB5"/>
    <w:rsid w:val="00912633"/>
    <w:rsid w:val="009128E4"/>
    <w:rsid w:val="00912C37"/>
    <w:rsid w:val="00913EC7"/>
    <w:rsid w:val="00914F15"/>
    <w:rsid w:val="0091612F"/>
    <w:rsid w:val="009172F2"/>
    <w:rsid w:val="00921A87"/>
    <w:rsid w:val="00923BC1"/>
    <w:rsid w:val="00923E38"/>
    <w:rsid w:val="00924357"/>
    <w:rsid w:val="00927431"/>
    <w:rsid w:val="0093056C"/>
    <w:rsid w:val="00930B75"/>
    <w:rsid w:val="0093103A"/>
    <w:rsid w:val="0093173F"/>
    <w:rsid w:val="0093228B"/>
    <w:rsid w:val="00932F59"/>
    <w:rsid w:val="00933930"/>
    <w:rsid w:val="009354CB"/>
    <w:rsid w:val="00937CC8"/>
    <w:rsid w:val="00940321"/>
    <w:rsid w:val="00940CC5"/>
    <w:rsid w:val="0094184A"/>
    <w:rsid w:val="009460AB"/>
    <w:rsid w:val="009471FD"/>
    <w:rsid w:val="009500AB"/>
    <w:rsid w:val="00950433"/>
    <w:rsid w:val="00950A3E"/>
    <w:rsid w:val="00950B4D"/>
    <w:rsid w:val="00951889"/>
    <w:rsid w:val="00951BBE"/>
    <w:rsid w:val="00952763"/>
    <w:rsid w:val="009538CB"/>
    <w:rsid w:val="00954392"/>
    <w:rsid w:val="009605A8"/>
    <w:rsid w:val="009613CD"/>
    <w:rsid w:val="00961A82"/>
    <w:rsid w:val="0096252A"/>
    <w:rsid w:val="009647CE"/>
    <w:rsid w:val="00964E96"/>
    <w:rsid w:val="00965A8A"/>
    <w:rsid w:val="00966855"/>
    <w:rsid w:val="00970310"/>
    <w:rsid w:val="00970AEA"/>
    <w:rsid w:val="00971B4F"/>
    <w:rsid w:val="0097389C"/>
    <w:rsid w:val="00973AE3"/>
    <w:rsid w:val="00973FC5"/>
    <w:rsid w:val="00974329"/>
    <w:rsid w:val="00975CBC"/>
    <w:rsid w:val="00976C45"/>
    <w:rsid w:val="00981D71"/>
    <w:rsid w:val="009831E1"/>
    <w:rsid w:val="00983695"/>
    <w:rsid w:val="0098641E"/>
    <w:rsid w:val="0098750C"/>
    <w:rsid w:val="00987C61"/>
    <w:rsid w:val="00987EAB"/>
    <w:rsid w:val="009943E8"/>
    <w:rsid w:val="0099771C"/>
    <w:rsid w:val="009A1013"/>
    <w:rsid w:val="009A307A"/>
    <w:rsid w:val="009A39BF"/>
    <w:rsid w:val="009A4F56"/>
    <w:rsid w:val="009A55F0"/>
    <w:rsid w:val="009A5FFC"/>
    <w:rsid w:val="009A66B4"/>
    <w:rsid w:val="009A72DE"/>
    <w:rsid w:val="009A7B84"/>
    <w:rsid w:val="009B0FA6"/>
    <w:rsid w:val="009B59B9"/>
    <w:rsid w:val="009C0CE8"/>
    <w:rsid w:val="009C1947"/>
    <w:rsid w:val="009C3255"/>
    <w:rsid w:val="009C4F79"/>
    <w:rsid w:val="009C5124"/>
    <w:rsid w:val="009C5AE6"/>
    <w:rsid w:val="009C5C75"/>
    <w:rsid w:val="009C629C"/>
    <w:rsid w:val="009C76F4"/>
    <w:rsid w:val="009C7787"/>
    <w:rsid w:val="009D1C05"/>
    <w:rsid w:val="009D1F1B"/>
    <w:rsid w:val="009D2E9D"/>
    <w:rsid w:val="009D4C9E"/>
    <w:rsid w:val="009D6271"/>
    <w:rsid w:val="009D6C88"/>
    <w:rsid w:val="009D6E7E"/>
    <w:rsid w:val="009D74AD"/>
    <w:rsid w:val="009D7C1C"/>
    <w:rsid w:val="009F0325"/>
    <w:rsid w:val="009F0D5C"/>
    <w:rsid w:val="009F159B"/>
    <w:rsid w:val="009F44D8"/>
    <w:rsid w:val="009F6921"/>
    <w:rsid w:val="00A02D1D"/>
    <w:rsid w:val="00A03A0C"/>
    <w:rsid w:val="00A03BBC"/>
    <w:rsid w:val="00A04799"/>
    <w:rsid w:val="00A04842"/>
    <w:rsid w:val="00A062D7"/>
    <w:rsid w:val="00A07678"/>
    <w:rsid w:val="00A07684"/>
    <w:rsid w:val="00A10D81"/>
    <w:rsid w:val="00A11E4E"/>
    <w:rsid w:val="00A12496"/>
    <w:rsid w:val="00A1301B"/>
    <w:rsid w:val="00A139DD"/>
    <w:rsid w:val="00A140C9"/>
    <w:rsid w:val="00A1470B"/>
    <w:rsid w:val="00A14A3D"/>
    <w:rsid w:val="00A14C74"/>
    <w:rsid w:val="00A15582"/>
    <w:rsid w:val="00A1690E"/>
    <w:rsid w:val="00A17D6C"/>
    <w:rsid w:val="00A21131"/>
    <w:rsid w:val="00A21440"/>
    <w:rsid w:val="00A22236"/>
    <w:rsid w:val="00A2363F"/>
    <w:rsid w:val="00A236D4"/>
    <w:rsid w:val="00A23D7D"/>
    <w:rsid w:val="00A25B66"/>
    <w:rsid w:val="00A27825"/>
    <w:rsid w:val="00A31102"/>
    <w:rsid w:val="00A316C5"/>
    <w:rsid w:val="00A31FE9"/>
    <w:rsid w:val="00A327E6"/>
    <w:rsid w:val="00A32D87"/>
    <w:rsid w:val="00A339E9"/>
    <w:rsid w:val="00A35DBB"/>
    <w:rsid w:val="00A35E6F"/>
    <w:rsid w:val="00A41671"/>
    <w:rsid w:val="00A45423"/>
    <w:rsid w:val="00A45E47"/>
    <w:rsid w:val="00A46331"/>
    <w:rsid w:val="00A468C6"/>
    <w:rsid w:val="00A4770B"/>
    <w:rsid w:val="00A47FD4"/>
    <w:rsid w:val="00A50744"/>
    <w:rsid w:val="00A50C99"/>
    <w:rsid w:val="00A5345F"/>
    <w:rsid w:val="00A53A84"/>
    <w:rsid w:val="00A5553F"/>
    <w:rsid w:val="00A55E23"/>
    <w:rsid w:val="00A56632"/>
    <w:rsid w:val="00A57F00"/>
    <w:rsid w:val="00A62073"/>
    <w:rsid w:val="00A62750"/>
    <w:rsid w:val="00A63253"/>
    <w:rsid w:val="00A633FD"/>
    <w:rsid w:val="00A645B1"/>
    <w:rsid w:val="00A64B63"/>
    <w:rsid w:val="00A6575C"/>
    <w:rsid w:val="00A66333"/>
    <w:rsid w:val="00A700B1"/>
    <w:rsid w:val="00A70123"/>
    <w:rsid w:val="00A72B47"/>
    <w:rsid w:val="00A74F69"/>
    <w:rsid w:val="00A77AE6"/>
    <w:rsid w:val="00A8055D"/>
    <w:rsid w:val="00A8080A"/>
    <w:rsid w:val="00A81173"/>
    <w:rsid w:val="00A8353A"/>
    <w:rsid w:val="00A83BBD"/>
    <w:rsid w:val="00A84092"/>
    <w:rsid w:val="00A8434B"/>
    <w:rsid w:val="00A84FE7"/>
    <w:rsid w:val="00A861BE"/>
    <w:rsid w:val="00A8660C"/>
    <w:rsid w:val="00A86792"/>
    <w:rsid w:val="00A90748"/>
    <w:rsid w:val="00A941DA"/>
    <w:rsid w:val="00A94731"/>
    <w:rsid w:val="00A951A9"/>
    <w:rsid w:val="00A9524A"/>
    <w:rsid w:val="00A952D0"/>
    <w:rsid w:val="00AA1367"/>
    <w:rsid w:val="00AA1422"/>
    <w:rsid w:val="00AA2735"/>
    <w:rsid w:val="00AA3098"/>
    <w:rsid w:val="00AA36A1"/>
    <w:rsid w:val="00AA3A29"/>
    <w:rsid w:val="00AA598D"/>
    <w:rsid w:val="00AA6586"/>
    <w:rsid w:val="00AA65F5"/>
    <w:rsid w:val="00AA6D1D"/>
    <w:rsid w:val="00AB1764"/>
    <w:rsid w:val="00AB2929"/>
    <w:rsid w:val="00AB42B4"/>
    <w:rsid w:val="00AB5423"/>
    <w:rsid w:val="00AB5AC3"/>
    <w:rsid w:val="00AB73FE"/>
    <w:rsid w:val="00AB7437"/>
    <w:rsid w:val="00AB7C38"/>
    <w:rsid w:val="00AC11D9"/>
    <w:rsid w:val="00AC35F5"/>
    <w:rsid w:val="00AC5B74"/>
    <w:rsid w:val="00AD04F5"/>
    <w:rsid w:val="00AD0808"/>
    <w:rsid w:val="00AD110B"/>
    <w:rsid w:val="00AD20C4"/>
    <w:rsid w:val="00AD28E8"/>
    <w:rsid w:val="00AD7299"/>
    <w:rsid w:val="00AD7EF1"/>
    <w:rsid w:val="00AE031F"/>
    <w:rsid w:val="00AE0D61"/>
    <w:rsid w:val="00AE1057"/>
    <w:rsid w:val="00AE1346"/>
    <w:rsid w:val="00AE1615"/>
    <w:rsid w:val="00AE4B54"/>
    <w:rsid w:val="00AE6226"/>
    <w:rsid w:val="00AE674F"/>
    <w:rsid w:val="00AE6AD5"/>
    <w:rsid w:val="00AE6F2E"/>
    <w:rsid w:val="00AE7B90"/>
    <w:rsid w:val="00AF242B"/>
    <w:rsid w:val="00AF2610"/>
    <w:rsid w:val="00AF2AA9"/>
    <w:rsid w:val="00AF6088"/>
    <w:rsid w:val="00AF687F"/>
    <w:rsid w:val="00B00C5E"/>
    <w:rsid w:val="00B0240D"/>
    <w:rsid w:val="00B03388"/>
    <w:rsid w:val="00B0580C"/>
    <w:rsid w:val="00B065A7"/>
    <w:rsid w:val="00B06704"/>
    <w:rsid w:val="00B13429"/>
    <w:rsid w:val="00B14494"/>
    <w:rsid w:val="00B14950"/>
    <w:rsid w:val="00B167AA"/>
    <w:rsid w:val="00B16D25"/>
    <w:rsid w:val="00B17E0D"/>
    <w:rsid w:val="00B234CF"/>
    <w:rsid w:val="00B24359"/>
    <w:rsid w:val="00B259A0"/>
    <w:rsid w:val="00B277AE"/>
    <w:rsid w:val="00B30F25"/>
    <w:rsid w:val="00B32984"/>
    <w:rsid w:val="00B32D6F"/>
    <w:rsid w:val="00B3491D"/>
    <w:rsid w:val="00B362CA"/>
    <w:rsid w:val="00B3637F"/>
    <w:rsid w:val="00B36B38"/>
    <w:rsid w:val="00B37AA7"/>
    <w:rsid w:val="00B37D42"/>
    <w:rsid w:val="00B4066F"/>
    <w:rsid w:val="00B4108C"/>
    <w:rsid w:val="00B41641"/>
    <w:rsid w:val="00B41F1D"/>
    <w:rsid w:val="00B4391A"/>
    <w:rsid w:val="00B43BAE"/>
    <w:rsid w:val="00B43BCD"/>
    <w:rsid w:val="00B44256"/>
    <w:rsid w:val="00B459F3"/>
    <w:rsid w:val="00B46F08"/>
    <w:rsid w:val="00B511FB"/>
    <w:rsid w:val="00B513E3"/>
    <w:rsid w:val="00B532E8"/>
    <w:rsid w:val="00B55066"/>
    <w:rsid w:val="00B56CCA"/>
    <w:rsid w:val="00B60DA9"/>
    <w:rsid w:val="00B61839"/>
    <w:rsid w:val="00B62D67"/>
    <w:rsid w:val="00B62FAE"/>
    <w:rsid w:val="00B667A2"/>
    <w:rsid w:val="00B67475"/>
    <w:rsid w:val="00B674B2"/>
    <w:rsid w:val="00B702AA"/>
    <w:rsid w:val="00B72137"/>
    <w:rsid w:val="00B73E38"/>
    <w:rsid w:val="00B748A4"/>
    <w:rsid w:val="00B74E21"/>
    <w:rsid w:val="00B75DBD"/>
    <w:rsid w:val="00B767EC"/>
    <w:rsid w:val="00B77A50"/>
    <w:rsid w:val="00B807A9"/>
    <w:rsid w:val="00B8192A"/>
    <w:rsid w:val="00B81E33"/>
    <w:rsid w:val="00B82DDC"/>
    <w:rsid w:val="00B85F90"/>
    <w:rsid w:val="00B90862"/>
    <w:rsid w:val="00B9097E"/>
    <w:rsid w:val="00B9177D"/>
    <w:rsid w:val="00B91D59"/>
    <w:rsid w:val="00B92364"/>
    <w:rsid w:val="00B93757"/>
    <w:rsid w:val="00B94BEF"/>
    <w:rsid w:val="00B95B8C"/>
    <w:rsid w:val="00B97335"/>
    <w:rsid w:val="00B97E31"/>
    <w:rsid w:val="00BA04FD"/>
    <w:rsid w:val="00BA068E"/>
    <w:rsid w:val="00BA0B31"/>
    <w:rsid w:val="00BA1CD4"/>
    <w:rsid w:val="00BA21D6"/>
    <w:rsid w:val="00BA2E2D"/>
    <w:rsid w:val="00BA2F29"/>
    <w:rsid w:val="00BA3046"/>
    <w:rsid w:val="00BA42F5"/>
    <w:rsid w:val="00BA642F"/>
    <w:rsid w:val="00BB0B84"/>
    <w:rsid w:val="00BB15DC"/>
    <w:rsid w:val="00BB3D37"/>
    <w:rsid w:val="00BB40F6"/>
    <w:rsid w:val="00BB4629"/>
    <w:rsid w:val="00BB5E31"/>
    <w:rsid w:val="00BB600B"/>
    <w:rsid w:val="00BB6FEA"/>
    <w:rsid w:val="00BC245E"/>
    <w:rsid w:val="00BC3918"/>
    <w:rsid w:val="00BC434A"/>
    <w:rsid w:val="00BC49BA"/>
    <w:rsid w:val="00BC5CF7"/>
    <w:rsid w:val="00BC7906"/>
    <w:rsid w:val="00BC7F2F"/>
    <w:rsid w:val="00BD1D0F"/>
    <w:rsid w:val="00BD1D61"/>
    <w:rsid w:val="00BD1FF0"/>
    <w:rsid w:val="00BD27E4"/>
    <w:rsid w:val="00BD2D2E"/>
    <w:rsid w:val="00BD33D2"/>
    <w:rsid w:val="00BD42A4"/>
    <w:rsid w:val="00BD5B24"/>
    <w:rsid w:val="00BD6AD5"/>
    <w:rsid w:val="00BD6D60"/>
    <w:rsid w:val="00BD6DC5"/>
    <w:rsid w:val="00BE0554"/>
    <w:rsid w:val="00BE069C"/>
    <w:rsid w:val="00BE08CB"/>
    <w:rsid w:val="00BE0B2B"/>
    <w:rsid w:val="00BE4381"/>
    <w:rsid w:val="00BE4E8A"/>
    <w:rsid w:val="00BE514E"/>
    <w:rsid w:val="00BE7572"/>
    <w:rsid w:val="00BF14BE"/>
    <w:rsid w:val="00BF1BE0"/>
    <w:rsid w:val="00BF325C"/>
    <w:rsid w:val="00BF4577"/>
    <w:rsid w:val="00BF574B"/>
    <w:rsid w:val="00BF62FD"/>
    <w:rsid w:val="00BF74AA"/>
    <w:rsid w:val="00C00102"/>
    <w:rsid w:val="00C008C6"/>
    <w:rsid w:val="00C00CEC"/>
    <w:rsid w:val="00C02C7D"/>
    <w:rsid w:val="00C03F1F"/>
    <w:rsid w:val="00C05615"/>
    <w:rsid w:val="00C06BB5"/>
    <w:rsid w:val="00C06D78"/>
    <w:rsid w:val="00C06D81"/>
    <w:rsid w:val="00C10101"/>
    <w:rsid w:val="00C11E63"/>
    <w:rsid w:val="00C11F31"/>
    <w:rsid w:val="00C12682"/>
    <w:rsid w:val="00C1287B"/>
    <w:rsid w:val="00C133B7"/>
    <w:rsid w:val="00C133E5"/>
    <w:rsid w:val="00C1497F"/>
    <w:rsid w:val="00C1607B"/>
    <w:rsid w:val="00C16109"/>
    <w:rsid w:val="00C16FE6"/>
    <w:rsid w:val="00C1710D"/>
    <w:rsid w:val="00C2098D"/>
    <w:rsid w:val="00C2211B"/>
    <w:rsid w:val="00C23F0F"/>
    <w:rsid w:val="00C25187"/>
    <w:rsid w:val="00C2565C"/>
    <w:rsid w:val="00C268F0"/>
    <w:rsid w:val="00C27395"/>
    <w:rsid w:val="00C30481"/>
    <w:rsid w:val="00C30ED7"/>
    <w:rsid w:val="00C312A3"/>
    <w:rsid w:val="00C32473"/>
    <w:rsid w:val="00C328F4"/>
    <w:rsid w:val="00C32D8B"/>
    <w:rsid w:val="00C33096"/>
    <w:rsid w:val="00C33B8B"/>
    <w:rsid w:val="00C35244"/>
    <w:rsid w:val="00C3795B"/>
    <w:rsid w:val="00C419B0"/>
    <w:rsid w:val="00C41A60"/>
    <w:rsid w:val="00C435A1"/>
    <w:rsid w:val="00C45403"/>
    <w:rsid w:val="00C4645A"/>
    <w:rsid w:val="00C46E32"/>
    <w:rsid w:val="00C47341"/>
    <w:rsid w:val="00C4776C"/>
    <w:rsid w:val="00C50243"/>
    <w:rsid w:val="00C50ADC"/>
    <w:rsid w:val="00C51674"/>
    <w:rsid w:val="00C51BD2"/>
    <w:rsid w:val="00C531BB"/>
    <w:rsid w:val="00C53E03"/>
    <w:rsid w:val="00C54295"/>
    <w:rsid w:val="00C55490"/>
    <w:rsid w:val="00C56ED9"/>
    <w:rsid w:val="00C6043F"/>
    <w:rsid w:val="00C646D7"/>
    <w:rsid w:val="00C6718E"/>
    <w:rsid w:val="00C672F6"/>
    <w:rsid w:val="00C70BA9"/>
    <w:rsid w:val="00C712D4"/>
    <w:rsid w:val="00C72B0A"/>
    <w:rsid w:val="00C731D9"/>
    <w:rsid w:val="00C73843"/>
    <w:rsid w:val="00C75CBC"/>
    <w:rsid w:val="00C75D43"/>
    <w:rsid w:val="00C80616"/>
    <w:rsid w:val="00C80981"/>
    <w:rsid w:val="00C815C6"/>
    <w:rsid w:val="00C821FE"/>
    <w:rsid w:val="00C83561"/>
    <w:rsid w:val="00C84830"/>
    <w:rsid w:val="00C8509B"/>
    <w:rsid w:val="00C858B7"/>
    <w:rsid w:val="00C878BF"/>
    <w:rsid w:val="00C90920"/>
    <w:rsid w:val="00C91909"/>
    <w:rsid w:val="00C92320"/>
    <w:rsid w:val="00C92CF1"/>
    <w:rsid w:val="00C94871"/>
    <w:rsid w:val="00C95670"/>
    <w:rsid w:val="00C9607C"/>
    <w:rsid w:val="00CA1D36"/>
    <w:rsid w:val="00CA27F1"/>
    <w:rsid w:val="00CB05A2"/>
    <w:rsid w:val="00CB0917"/>
    <w:rsid w:val="00CB2672"/>
    <w:rsid w:val="00CB450B"/>
    <w:rsid w:val="00CB5964"/>
    <w:rsid w:val="00CB74D2"/>
    <w:rsid w:val="00CC0299"/>
    <w:rsid w:val="00CC20B3"/>
    <w:rsid w:val="00CC2B1D"/>
    <w:rsid w:val="00CC425E"/>
    <w:rsid w:val="00CC59DD"/>
    <w:rsid w:val="00CC6328"/>
    <w:rsid w:val="00CC66B0"/>
    <w:rsid w:val="00CC7526"/>
    <w:rsid w:val="00CD0816"/>
    <w:rsid w:val="00CD15B7"/>
    <w:rsid w:val="00CD17BF"/>
    <w:rsid w:val="00CD23CE"/>
    <w:rsid w:val="00CD6ED0"/>
    <w:rsid w:val="00CD6FDA"/>
    <w:rsid w:val="00CD7CFB"/>
    <w:rsid w:val="00CE17B9"/>
    <w:rsid w:val="00CE25F4"/>
    <w:rsid w:val="00CE301E"/>
    <w:rsid w:val="00CE454D"/>
    <w:rsid w:val="00CE5A5A"/>
    <w:rsid w:val="00CE64A3"/>
    <w:rsid w:val="00CE6841"/>
    <w:rsid w:val="00CE6D65"/>
    <w:rsid w:val="00CF07B2"/>
    <w:rsid w:val="00CF2650"/>
    <w:rsid w:val="00CF2736"/>
    <w:rsid w:val="00CF3D31"/>
    <w:rsid w:val="00CF567C"/>
    <w:rsid w:val="00CF5D4B"/>
    <w:rsid w:val="00CF77F8"/>
    <w:rsid w:val="00D015C3"/>
    <w:rsid w:val="00D01AA3"/>
    <w:rsid w:val="00D035D6"/>
    <w:rsid w:val="00D03F1E"/>
    <w:rsid w:val="00D0426C"/>
    <w:rsid w:val="00D04AAA"/>
    <w:rsid w:val="00D05C3E"/>
    <w:rsid w:val="00D05D12"/>
    <w:rsid w:val="00D05E99"/>
    <w:rsid w:val="00D064F6"/>
    <w:rsid w:val="00D077A6"/>
    <w:rsid w:val="00D079D1"/>
    <w:rsid w:val="00D1138D"/>
    <w:rsid w:val="00D15AB5"/>
    <w:rsid w:val="00D17333"/>
    <w:rsid w:val="00D20953"/>
    <w:rsid w:val="00D22899"/>
    <w:rsid w:val="00D24575"/>
    <w:rsid w:val="00D24A0B"/>
    <w:rsid w:val="00D24BBF"/>
    <w:rsid w:val="00D24BE7"/>
    <w:rsid w:val="00D24D71"/>
    <w:rsid w:val="00D25A98"/>
    <w:rsid w:val="00D26083"/>
    <w:rsid w:val="00D27BFC"/>
    <w:rsid w:val="00D30940"/>
    <w:rsid w:val="00D3246E"/>
    <w:rsid w:val="00D32B02"/>
    <w:rsid w:val="00D33805"/>
    <w:rsid w:val="00D346CA"/>
    <w:rsid w:val="00D3501E"/>
    <w:rsid w:val="00D35795"/>
    <w:rsid w:val="00D35976"/>
    <w:rsid w:val="00D35A75"/>
    <w:rsid w:val="00D35CE7"/>
    <w:rsid w:val="00D369CB"/>
    <w:rsid w:val="00D36ABD"/>
    <w:rsid w:val="00D378DE"/>
    <w:rsid w:val="00D40254"/>
    <w:rsid w:val="00D4110A"/>
    <w:rsid w:val="00D4120C"/>
    <w:rsid w:val="00D4160C"/>
    <w:rsid w:val="00D418E8"/>
    <w:rsid w:val="00D4348B"/>
    <w:rsid w:val="00D44464"/>
    <w:rsid w:val="00D46475"/>
    <w:rsid w:val="00D46783"/>
    <w:rsid w:val="00D46F42"/>
    <w:rsid w:val="00D4791E"/>
    <w:rsid w:val="00D47A76"/>
    <w:rsid w:val="00D53319"/>
    <w:rsid w:val="00D53941"/>
    <w:rsid w:val="00D55F28"/>
    <w:rsid w:val="00D56115"/>
    <w:rsid w:val="00D5687D"/>
    <w:rsid w:val="00D57095"/>
    <w:rsid w:val="00D575F9"/>
    <w:rsid w:val="00D57D87"/>
    <w:rsid w:val="00D6020B"/>
    <w:rsid w:val="00D632BE"/>
    <w:rsid w:val="00D648C4"/>
    <w:rsid w:val="00D6493C"/>
    <w:rsid w:val="00D64CD0"/>
    <w:rsid w:val="00D665C5"/>
    <w:rsid w:val="00D671C8"/>
    <w:rsid w:val="00D67516"/>
    <w:rsid w:val="00D713EE"/>
    <w:rsid w:val="00D71590"/>
    <w:rsid w:val="00D724E7"/>
    <w:rsid w:val="00D72581"/>
    <w:rsid w:val="00D73269"/>
    <w:rsid w:val="00D73C80"/>
    <w:rsid w:val="00D74D68"/>
    <w:rsid w:val="00D76327"/>
    <w:rsid w:val="00D7710B"/>
    <w:rsid w:val="00D80404"/>
    <w:rsid w:val="00D80527"/>
    <w:rsid w:val="00D8155A"/>
    <w:rsid w:val="00D836A7"/>
    <w:rsid w:val="00D83DF2"/>
    <w:rsid w:val="00D8514C"/>
    <w:rsid w:val="00D857BD"/>
    <w:rsid w:val="00D85D2D"/>
    <w:rsid w:val="00D87E33"/>
    <w:rsid w:val="00D90302"/>
    <w:rsid w:val="00D92ED6"/>
    <w:rsid w:val="00D9612C"/>
    <w:rsid w:val="00D9639A"/>
    <w:rsid w:val="00D97DEF"/>
    <w:rsid w:val="00DA0648"/>
    <w:rsid w:val="00DA0B76"/>
    <w:rsid w:val="00DA14B0"/>
    <w:rsid w:val="00DA2032"/>
    <w:rsid w:val="00DA3528"/>
    <w:rsid w:val="00DA36CB"/>
    <w:rsid w:val="00DA3884"/>
    <w:rsid w:val="00DA3E6E"/>
    <w:rsid w:val="00DA6627"/>
    <w:rsid w:val="00DA759D"/>
    <w:rsid w:val="00DB0DEA"/>
    <w:rsid w:val="00DB1305"/>
    <w:rsid w:val="00DB2F73"/>
    <w:rsid w:val="00DB3523"/>
    <w:rsid w:val="00DB51F0"/>
    <w:rsid w:val="00DB5F58"/>
    <w:rsid w:val="00DB6A1F"/>
    <w:rsid w:val="00DC054F"/>
    <w:rsid w:val="00DC0C68"/>
    <w:rsid w:val="00DC1295"/>
    <w:rsid w:val="00DC30CA"/>
    <w:rsid w:val="00DC38AB"/>
    <w:rsid w:val="00DC4360"/>
    <w:rsid w:val="00DC44D1"/>
    <w:rsid w:val="00DC6AA3"/>
    <w:rsid w:val="00DC7162"/>
    <w:rsid w:val="00DD0EC7"/>
    <w:rsid w:val="00DD128D"/>
    <w:rsid w:val="00DD1524"/>
    <w:rsid w:val="00DD2CFC"/>
    <w:rsid w:val="00DD3C8E"/>
    <w:rsid w:val="00DD4550"/>
    <w:rsid w:val="00DD4564"/>
    <w:rsid w:val="00DE1FF8"/>
    <w:rsid w:val="00DE3F67"/>
    <w:rsid w:val="00DE51FB"/>
    <w:rsid w:val="00DE62F2"/>
    <w:rsid w:val="00DF03E7"/>
    <w:rsid w:val="00DF0BA1"/>
    <w:rsid w:val="00DF2C73"/>
    <w:rsid w:val="00DF417D"/>
    <w:rsid w:val="00DF4441"/>
    <w:rsid w:val="00DF4C21"/>
    <w:rsid w:val="00DF5371"/>
    <w:rsid w:val="00DF6402"/>
    <w:rsid w:val="00DF6530"/>
    <w:rsid w:val="00E00190"/>
    <w:rsid w:val="00E00A8D"/>
    <w:rsid w:val="00E00DEC"/>
    <w:rsid w:val="00E02EE5"/>
    <w:rsid w:val="00E02F1A"/>
    <w:rsid w:val="00E039A8"/>
    <w:rsid w:val="00E03FE1"/>
    <w:rsid w:val="00E052B0"/>
    <w:rsid w:val="00E05A51"/>
    <w:rsid w:val="00E063E9"/>
    <w:rsid w:val="00E074D9"/>
    <w:rsid w:val="00E1150E"/>
    <w:rsid w:val="00E11D30"/>
    <w:rsid w:val="00E1393A"/>
    <w:rsid w:val="00E15492"/>
    <w:rsid w:val="00E15694"/>
    <w:rsid w:val="00E1673E"/>
    <w:rsid w:val="00E17F1D"/>
    <w:rsid w:val="00E17F90"/>
    <w:rsid w:val="00E2014E"/>
    <w:rsid w:val="00E201FE"/>
    <w:rsid w:val="00E20C0C"/>
    <w:rsid w:val="00E20DDA"/>
    <w:rsid w:val="00E22174"/>
    <w:rsid w:val="00E222F1"/>
    <w:rsid w:val="00E2446F"/>
    <w:rsid w:val="00E24488"/>
    <w:rsid w:val="00E25E03"/>
    <w:rsid w:val="00E27943"/>
    <w:rsid w:val="00E27E2B"/>
    <w:rsid w:val="00E30C39"/>
    <w:rsid w:val="00E31728"/>
    <w:rsid w:val="00E32014"/>
    <w:rsid w:val="00E33925"/>
    <w:rsid w:val="00E34DCB"/>
    <w:rsid w:val="00E35AB3"/>
    <w:rsid w:val="00E363E4"/>
    <w:rsid w:val="00E36C94"/>
    <w:rsid w:val="00E40975"/>
    <w:rsid w:val="00E4163B"/>
    <w:rsid w:val="00E41DED"/>
    <w:rsid w:val="00E41F4D"/>
    <w:rsid w:val="00E42928"/>
    <w:rsid w:val="00E42DC9"/>
    <w:rsid w:val="00E440C1"/>
    <w:rsid w:val="00E51641"/>
    <w:rsid w:val="00E52115"/>
    <w:rsid w:val="00E5363B"/>
    <w:rsid w:val="00E53731"/>
    <w:rsid w:val="00E54AC7"/>
    <w:rsid w:val="00E54BA9"/>
    <w:rsid w:val="00E5725D"/>
    <w:rsid w:val="00E57449"/>
    <w:rsid w:val="00E61038"/>
    <w:rsid w:val="00E6116F"/>
    <w:rsid w:val="00E61B29"/>
    <w:rsid w:val="00E6215A"/>
    <w:rsid w:val="00E62F63"/>
    <w:rsid w:val="00E6328B"/>
    <w:rsid w:val="00E6657B"/>
    <w:rsid w:val="00E66E29"/>
    <w:rsid w:val="00E67268"/>
    <w:rsid w:val="00E706EC"/>
    <w:rsid w:val="00E709E7"/>
    <w:rsid w:val="00E71160"/>
    <w:rsid w:val="00E7123C"/>
    <w:rsid w:val="00E71624"/>
    <w:rsid w:val="00E7297A"/>
    <w:rsid w:val="00E73439"/>
    <w:rsid w:val="00E73F07"/>
    <w:rsid w:val="00E75C72"/>
    <w:rsid w:val="00E75E12"/>
    <w:rsid w:val="00E76812"/>
    <w:rsid w:val="00E80CA6"/>
    <w:rsid w:val="00E80F33"/>
    <w:rsid w:val="00E81953"/>
    <w:rsid w:val="00E84BF5"/>
    <w:rsid w:val="00E852EF"/>
    <w:rsid w:val="00E8557D"/>
    <w:rsid w:val="00E85780"/>
    <w:rsid w:val="00E86231"/>
    <w:rsid w:val="00E871BE"/>
    <w:rsid w:val="00E87594"/>
    <w:rsid w:val="00E87A5C"/>
    <w:rsid w:val="00E909E7"/>
    <w:rsid w:val="00E92D9E"/>
    <w:rsid w:val="00E9411A"/>
    <w:rsid w:val="00E941C4"/>
    <w:rsid w:val="00E95ECD"/>
    <w:rsid w:val="00E96422"/>
    <w:rsid w:val="00E972D8"/>
    <w:rsid w:val="00E97E20"/>
    <w:rsid w:val="00EA0B95"/>
    <w:rsid w:val="00EA3860"/>
    <w:rsid w:val="00EA4036"/>
    <w:rsid w:val="00EA4485"/>
    <w:rsid w:val="00EA5A9A"/>
    <w:rsid w:val="00EA5F3A"/>
    <w:rsid w:val="00EA7A3A"/>
    <w:rsid w:val="00EB1C69"/>
    <w:rsid w:val="00EB466F"/>
    <w:rsid w:val="00EB4A54"/>
    <w:rsid w:val="00EB5C25"/>
    <w:rsid w:val="00EB6248"/>
    <w:rsid w:val="00EB67E5"/>
    <w:rsid w:val="00EB6913"/>
    <w:rsid w:val="00EC14BE"/>
    <w:rsid w:val="00EC1C8D"/>
    <w:rsid w:val="00EC6041"/>
    <w:rsid w:val="00EC681A"/>
    <w:rsid w:val="00EC6D19"/>
    <w:rsid w:val="00EC7EA1"/>
    <w:rsid w:val="00ED0218"/>
    <w:rsid w:val="00ED42F2"/>
    <w:rsid w:val="00ED5B72"/>
    <w:rsid w:val="00ED7138"/>
    <w:rsid w:val="00ED770D"/>
    <w:rsid w:val="00ED79C1"/>
    <w:rsid w:val="00ED7CB9"/>
    <w:rsid w:val="00EE0DBF"/>
    <w:rsid w:val="00EE227A"/>
    <w:rsid w:val="00EE4617"/>
    <w:rsid w:val="00EE567D"/>
    <w:rsid w:val="00EE59BB"/>
    <w:rsid w:val="00EE5E68"/>
    <w:rsid w:val="00EE6CB0"/>
    <w:rsid w:val="00EE70D2"/>
    <w:rsid w:val="00EE723E"/>
    <w:rsid w:val="00EE76AF"/>
    <w:rsid w:val="00EF00FB"/>
    <w:rsid w:val="00EF0437"/>
    <w:rsid w:val="00EF63C2"/>
    <w:rsid w:val="00EF71C2"/>
    <w:rsid w:val="00EF71D2"/>
    <w:rsid w:val="00EF7E5F"/>
    <w:rsid w:val="00F0080C"/>
    <w:rsid w:val="00F02CFF"/>
    <w:rsid w:val="00F02DF3"/>
    <w:rsid w:val="00F03CCA"/>
    <w:rsid w:val="00F04E8A"/>
    <w:rsid w:val="00F112A3"/>
    <w:rsid w:val="00F11A2A"/>
    <w:rsid w:val="00F12817"/>
    <w:rsid w:val="00F12DC7"/>
    <w:rsid w:val="00F179F9"/>
    <w:rsid w:val="00F17B1A"/>
    <w:rsid w:val="00F20F43"/>
    <w:rsid w:val="00F21371"/>
    <w:rsid w:val="00F248AD"/>
    <w:rsid w:val="00F25608"/>
    <w:rsid w:val="00F256B9"/>
    <w:rsid w:val="00F265DC"/>
    <w:rsid w:val="00F30EBD"/>
    <w:rsid w:val="00F31D65"/>
    <w:rsid w:val="00F3392D"/>
    <w:rsid w:val="00F404D6"/>
    <w:rsid w:val="00F41B43"/>
    <w:rsid w:val="00F437C6"/>
    <w:rsid w:val="00F46448"/>
    <w:rsid w:val="00F47853"/>
    <w:rsid w:val="00F50B0A"/>
    <w:rsid w:val="00F515F3"/>
    <w:rsid w:val="00F523C2"/>
    <w:rsid w:val="00F533EC"/>
    <w:rsid w:val="00F540C9"/>
    <w:rsid w:val="00F54B22"/>
    <w:rsid w:val="00F55379"/>
    <w:rsid w:val="00F55D99"/>
    <w:rsid w:val="00F55EFD"/>
    <w:rsid w:val="00F566E3"/>
    <w:rsid w:val="00F570C9"/>
    <w:rsid w:val="00F60E68"/>
    <w:rsid w:val="00F610A5"/>
    <w:rsid w:val="00F616CA"/>
    <w:rsid w:val="00F622DE"/>
    <w:rsid w:val="00F63A54"/>
    <w:rsid w:val="00F63FCE"/>
    <w:rsid w:val="00F64179"/>
    <w:rsid w:val="00F646DD"/>
    <w:rsid w:val="00F66623"/>
    <w:rsid w:val="00F67707"/>
    <w:rsid w:val="00F67C4A"/>
    <w:rsid w:val="00F70353"/>
    <w:rsid w:val="00F70444"/>
    <w:rsid w:val="00F712D2"/>
    <w:rsid w:val="00F71300"/>
    <w:rsid w:val="00F7190E"/>
    <w:rsid w:val="00F71BF2"/>
    <w:rsid w:val="00F71EC9"/>
    <w:rsid w:val="00F726F0"/>
    <w:rsid w:val="00F74B70"/>
    <w:rsid w:val="00F74E25"/>
    <w:rsid w:val="00F75A29"/>
    <w:rsid w:val="00F76802"/>
    <w:rsid w:val="00F827CC"/>
    <w:rsid w:val="00F83A97"/>
    <w:rsid w:val="00F86452"/>
    <w:rsid w:val="00F878C4"/>
    <w:rsid w:val="00F90649"/>
    <w:rsid w:val="00F909D4"/>
    <w:rsid w:val="00F92466"/>
    <w:rsid w:val="00F92C22"/>
    <w:rsid w:val="00F92EAD"/>
    <w:rsid w:val="00F9384D"/>
    <w:rsid w:val="00F93E80"/>
    <w:rsid w:val="00F94313"/>
    <w:rsid w:val="00F945DE"/>
    <w:rsid w:val="00F945E4"/>
    <w:rsid w:val="00F95C78"/>
    <w:rsid w:val="00F96725"/>
    <w:rsid w:val="00FA0D2A"/>
    <w:rsid w:val="00FA1C1E"/>
    <w:rsid w:val="00FA217D"/>
    <w:rsid w:val="00FA295A"/>
    <w:rsid w:val="00FA51E4"/>
    <w:rsid w:val="00FA5386"/>
    <w:rsid w:val="00FA681D"/>
    <w:rsid w:val="00FA7237"/>
    <w:rsid w:val="00FB0113"/>
    <w:rsid w:val="00FB0902"/>
    <w:rsid w:val="00FB0A38"/>
    <w:rsid w:val="00FB14B5"/>
    <w:rsid w:val="00FB16A0"/>
    <w:rsid w:val="00FB20A1"/>
    <w:rsid w:val="00FB20C1"/>
    <w:rsid w:val="00FB2358"/>
    <w:rsid w:val="00FB3835"/>
    <w:rsid w:val="00FB4CDA"/>
    <w:rsid w:val="00FB540B"/>
    <w:rsid w:val="00FB6D0D"/>
    <w:rsid w:val="00FB740C"/>
    <w:rsid w:val="00FC03E1"/>
    <w:rsid w:val="00FC1302"/>
    <w:rsid w:val="00FC1887"/>
    <w:rsid w:val="00FC19AD"/>
    <w:rsid w:val="00FC2682"/>
    <w:rsid w:val="00FC3B54"/>
    <w:rsid w:val="00FC57F4"/>
    <w:rsid w:val="00FC68EB"/>
    <w:rsid w:val="00FD1150"/>
    <w:rsid w:val="00FD1155"/>
    <w:rsid w:val="00FD1E75"/>
    <w:rsid w:val="00FD5E0D"/>
    <w:rsid w:val="00FD606B"/>
    <w:rsid w:val="00FE0B88"/>
    <w:rsid w:val="00FE1CFB"/>
    <w:rsid w:val="00FE20F2"/>
    <w:rsid w:val="00FE2A4B"/>
    <w:rsid w:val="00FE35A0"/>
    <w:rsid w:val="00FE3A11"/>
    <w:rsid w:val="00FE3ED9"/>
    <w:rsid w:val="00FE485C"/>
    <w:rsid w:val="00FE4881"/>
    <w:rsid w:val="00FE730A"/>
    <w:rsid w:val="00FE7B4A"/>
    <w:rsid w:val="00FF1093"/>
    <w:rsid w:val="00FF1F23"/>
    <w:rsid w:val="00FF2983"/>
    <w:rsid w:val="00FF3E80"/>
    <w:rsid w:val="00FF41CD"/>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B7D91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EE"/>
    <w:pPr>
      <w:spacing w:after="120"/>
      <w:jc w:val="both"/>
    </w:pPr>
    <w:rPr>
      <w:rFonts w:ascii="Times New Roman" w:hAnsi="Times New Roman" w:cs="Times New Roman"/>
      <w:sz w:val="24"/>
      <w:szCs w:val="24"/>
    </w:rPr>
  </w:style>
  <w:style w:type="paragraph" w:styleId="Heading1">
    <w:name w:val="heading 1"/>
    <w:basedOn w:val="NormalWeb"/>
    <w:next w:val="Normal"/>
    <w:link w:val="Heading1Char"/>
    <w:uiPriority w:val="9"/>
    <w:qFormat/>
    <w:rsid w:val="003A7818"/>
    <w:pPr>
      <w:numPr>
        <w:numId w:val="10"/>
      </w:numPr>
      <w:outlineLvl w:val="0"/>
    </w:pPr>
    <w:rPr>
      <w:b/>
      <w:caps/>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868A8"/>
    <w:pPr>
      <w:spacing w:before="100" w:beforeAutospacing="1" w:after="100" w:afterAutospacing="1" w:line="240" w:lineRule="auto"/>
    </w:pPr>
    <w:rPr>
      <w:rFonts w:eastAsia="Times New Roman"/>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Plonk"/>
    <w:basedOn w:val="Normal"/>
    <w:link w:val="FootnoteTextChar"/>
    <w:uiPriority w:val="99"/>
    <w:unhideWhenUsed/>
    <w:qFormat/>
    <w:rsid w:val="007225EC"/>
    <w:pPr>
      <w:spacing w:after="0" w:line="240" w:lineRule="auto"/>
    </w:pPr>
    <w:rPr>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sid w:val="007225EC"/>
    <w:rPr>
      <w:sz w:val="20"/>
      <w:szCs w:val="20"/>
    </w:rPr>
  </w:style>
  <w:style w:type="character" w:styleId="FootnoteReference">
    <w:name w:val="footnote reference"/>
    <w:aliases w:val="Footnote symbol,Voetnootverwijzing,Times 10 Point,Exposant 3 Point,Footnote Refernece,BVI fnr,Fußnotenzeichen_Raxen,callout,Footnote Reference Number,SUPERS,Footnote reference number,fr,EN Footnote Reference,Footnote,Ref,footnote ref"/>
    <w:basedOn w:val="DefaultParagraphFont"/>
    <w:link w:val="FootnotesymbolCarZchn"/>
    <w:uiPriority w:val="99"/>
    <w:qFormat/>
    <w:rsid w:val="007225EC"/>
    <w:rPr>
      <w:vertAlign w:val="superscript"/>
    </w:rPr>
  </w:style>
  <w:style w:type="character" w:styleId="Hyperlink">
    <w:name w:val="Hyperlink"/>
    <w:basedOn w:val="DefaultParagraphFont"/>
    <w:uiPriority w:val="99"/>
    <w:unhideWhenUsed/>
    <w:qFormat/>
    <w:rsid w:val="00DB0DEA"/>
    <w:rPr>
      <w:rFonts w:ascii="Times New Roman" w:hAnsi="Times New Roman"/>
      <w:color w:val="auto"/>
      <w:sz w:val="20"/>
      <w:u w:val="none"/>
    </w:rPr>
  </w:style>
  <w:style w:type="paragraph" w:styleId="ListParagraph">
    <w:name w:val="List Paragraph"/>
    <w:basedOn w:val="Normal"/>
    <w:uiPriority w:val="34"/>
    <w:qFormat/>
    <w:rsid w:val="002A4457"/>
    <w:pPr>
      <w:ind w:left="720"/>
      <w:contextualSpacing/>
    </w:pPr>
  </w:style>
  <w:style w:type="character" w:styleId="CommentReference">
    <w:name w:val="annotation reference"/>
    <w:basedOn w:val="DefaultParagraphFont"/>
    <w:uiPriority w:val="99"/>
    <w:semiHidden/>
    <w:unhideWhenUsed/>
    <w:rsid w:val="00C328F4"/>
    <w:rPr>
      <w:sz w:val="16"/>
      <w:szCs w:val="16"/>
    </w:rPr>
  </w:style>
  <w:style w:type="paragraph" w:styleId="CommentText">
    <w:name w:val="annotation text"/>
    <w:basedOn w:val="Normal"/>
    <w:link w:val="CommentTextChar"/>
    <w:uiPriority w:val="99"/>
    <w:unhideWhenUsed/>
    <w:rsid w:val="00C328F4"/>
    <w:pPr>
      <w:spacing w:line="240" w:lineRule="auto"/>
    </w:pPr>
    <w:rPr>
      <w:sz w:val="20"/>
      <w:szCs w:val="20"/>
    </w:rPr>
  </w:style>
  <w:style w:type="character" w:customStyle="1" w:styleId="CommentTextChar">
    <w:name w:val="Comment Text Char"/>
    <w:basedOn w:val="DefaultParagraphFont"/>
    <w:link w:val="CommentText"/>
    <w:uiPriority w:val="99"/>
    <w:rsid w:val="00C328F4"/>
    <w:rPr>
      <w:sz w:val="20"/>
      <w:szCs w:val="20"/>
    </w:rPr>
  </w:style>
  <w:style w:type="paragraph" w:styleId="CommentSubject">
    <w:name w:val="annotation subject"/>
    <w:basedOn w:val="CommentText"/>
    <w:next w:val="CommentText"/>
    <w:link w:val="CommentSubjectChar"/>
    <w:uiPriority w:val="99"/>
    <w:semiHidden/>
    <w:unhideWhenUsed/>
    <w:rsid w:val="00C328F4"/>
    <w:rPr>
      <w:b/>
      <w:bCs/>
    </w:rPr>
  </w:style>
  <w:style w:type="character" w:customStyle="1" w:styleId="CommentSubjectChar">
    <w:name w:val="Comment Subject Char"/>
    <w:basedOn w:val="CommentTextChar"/>
    <w:link w:val="CommentSubject"/>
    <w:uiPriority w:val="99"/>
    <w:semiHidden/>
    <w:rsid w:val="00C328F4"/>
    <w:rPr>
      <w:b/>
      <w:bCs/>
      <w:sz w:val="20"/>
      <w:szCs w:val="20"/>
    </w:rPr>
  </w:style>
  <w:style w:type="paragraph" w:styleId="BalloonText">
    <w:name w:val="Balloon Text"/>
    <w:basedOn w:val="Normal"/>
    <w:link w:val="BalloonTextChar"/>
    <w:uiPriority w:val="99"/>
    <w:semiHidden/>
    <w:unhideWhenUsed/>
    <w:rsid w:val="00C32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8F4"/>
    <w:rPr>
      <w:rFonts w:ascii="Segoe UI" w:hAnsi="Segoe UI" w:cs="Segoe UI"/>
      <w:sz w:val="18"/>
      <w:szCs w:val="18"/>
    </w:rPr>
  </w:style>
  <w:style w:type="paragraph" w:styleId="EndnoteText">
    <w:name w:val="endnote text"/>
    <w:basedOn w:val="Normal"/>
    <w:link w:val="EndnoteTextChar"/>
    <w:uiPriority w:val="99"/>
    <w:unhideWhenUsed/>
    <w:rsid w:val="000057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57E2"/>
    <w:rPr>
      <w:sz w:val="20"/>
      <w:szCs w:val="20"/>
    </w:rPr>
  </w:style>
  <w:style w:type="character" w:styleId="EndnoteReference">
    <w:name w:val="endnote reference"/>
    <w:rsid w:val="000057E2"/>
    <w:rPr>
      <w:rFonts w:cs="Times New Roman"/>
      <w:vertAlign w:val="superscript"/>
    </w:rPr>
  </w:style>
  <w:style w:type="paragraph" w:styleId="Header">
    <w:name w:val="header"/>
    <w:basedOn w:val="Normal"/>
    <w:link w:val="HeaderChar"/>
    <w:uiPriority w:val="99"/>
    <w:unhideWhenUsed/>
    <w:rsid w:val="00AE7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B90"/>
  </w:style>
  <w:style w:type="paragraph" w:styleId="Footer">
    <w:name w:val="footer"/>
    <w:basedOn w:val="Normal"/>
    <w:link w:val="FooterChar"/>
    <w:uiPriority w:val="99"/>
    <w:unhideWhenUsed/>
    <w:rsid w:val="00AE7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B90"/>
  </w:style>
  <w:style w:type="paragraph" w:styleId="Caption">
    <w:name w:val="caption"/>
    <w:basedOn w:val="Normal"/>
    <w:next w:val="Normal"/>
    <w:uiPriority w:val="35"/>
    <w:unhideWhenUsed/>
    <w:qFormat/>
    <w:rsid w:val="00D40254"/>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3A7818"/>
    <w:rPr>
      <w:rFonts w:ascii="Times New Roman" w:eastAsia="Times New Roman" w:hAnsi="Times New Roman" w:cs="Times New Roman"/>
      <w:b/>
      <w:caps/>
      <w:sz w:val="24"/>
      <w:szCs w:val="24"/>
      <w:lang w:val="en-IE"/>
    </w:rPr>
  </w:style>
  <w:style w:type="character" w:customStyle="1" w:styleId="footnotereference0">
    <w:name w:val="footnotereference"/>
    <w:basedOn w:val="DefaultParagraphFont"/>
    <w:rsid w:val="00B0240D"/>
  </w:style>
  <w:style w:type="character" w:styleId="FollowedHyperlink">
    <w:name w:val="FollowedHyperlink"/>
    <w:basedOn w:val="DefaultParagraphFont"/>
    <w:uiPriority w:val="99"/>
    <w:semiHidden/>
    <w:unhideWhenUsed/>
    <w:rsid w:val="00F04E8A"/>
    <w:rPr>
      <w:color w:val="954F72"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053A3D"/>
    <w:pPr>
      <w:tabs>
        <w:tab w:val="left" w:pos="2302"/>
      </w:tabs>
      <w:spacing w:before="120" w:after="240" w:line="240" w:lineRule="exact"/>
    </w:pPr>
    <w:rPr>
      <w:rFonts w:asciiTheme="minorHAnsi" w:hAnsiTheme="minorHAnsi" w:cstheme="minorBidi"/>
      <w:sz w:val="22"/>
      <w:szCs w:val="22"/>
      <w:vertAlign w:val="superscript"/>
    </w:rPr>
  </w:style>
  <w:style w:type="paragraph" w:styleId="Revision">
    <w:name w:val="Revision"/>
    <w:hidden/>
    <w:uiPriority w:val="99"/>
    <w:semiHidden/>
    <w:rsid w:val="008355B0"/>
    <w:pPr>
      <w:spacing w:after="0" w:line="240" w:lineRule="auto"/>
    </w:pPr>
    <w:rPr>
      <w:rFonts w:ascii="Times New Roman" w:hAnsi="Times New Roman" w:cs="Times New Roman"/>
      <w:sz w:val="24"/>
      <w:szCs w:val="24"/>
    </w:rPr>
  </w:style>
  <w:style w:type="character" w:customStyle="1" w:styleId="Marker">
    <w:name w:val="Marker"/>
    <w:basedOn w:val="DefaultParagraphFont"/>
    <w:rsid w:val="00760492"/>
    <w:rPr>
      <w:color w:val="0000FF"/>
      <w:shd w:val="clear" w:color="auto" w:fill="auto"/>
    </w:rPr>
  </w:style>
  <w:style w:type="paragraph" w:customStyle="1" w:styleId="Pagedecouverture">
    <w:name w:val="Page de couverture"/>
    <w:basedOn w:val="Normal"/>
    <w:next w:val="Normal"/>
    <w:rsid w:val="00760492"/>
    <w:pPr>
      <w:spacing w:after="0" w:line="240" w:lineRule="auto"/>
    </w:pPr>
    <w:rPr>
      <w:szCs w:val="22"/>
    </w:rPr>
  </w:style>
  <w:style w:type="paragraph" w:customStyle="1" w:styleId="FooterCoverPage">
    <w:name w:val="Footer Cover Page"/>
    <w:basedOn w:val="Normal"/>
    <w:link w:val="FooterCoverPageChar"/>
    <w:rsid w:val="00760492"/>
    <w:pPr>
      <w:tabs>
        <w:tab w:val="center" w:pos="4535"/>
        <w:tab w:val="right" w:pos="9071"/>
        <w:tab w:val="right" w:pos="9921"/>
      </w:tabs>
      <w:spacing w:before="360" w:after="0" w:line="240" w:lineRule="auto"/>
      <w:ind w:left="-850" w:right="-850"/>
      <w:jc w:val="left"/>
    </w:pPr>
  </w:style>
  <w:style w:type="character" w:customStyle="1" w:styleId="NormalWebChar">
    <w:name w:val="Normal (Web) Char"/>
    <w:basedOn w:val="DefaultParagraphFont"/>
    <w:link w:val="NormalWeb"/>
    <w:uiPriority w:val="99"/>
    <w:rsid w:val="00760492"/>
    <w:rPr>
      <w:rFonts w:ascii="Times New Roman" w:eastAsia="Times New Roman" w:hAnsi="Times New Roman" w:cs="Times New Roman"/>
      <w:sz w:val="24"/>
      <w:szCs w:val="24"/>
    </w:rPr>
  </w:style>
  <w:style w:type="character" w:customStyle="1" w:styleId="FooterCoverPageChar">
    <w:name w:val="Footer Cover Page Char"/>
    <w:basedOn w:val="NormalWebChar"/>
    <w:link w:val="FooterCoverPage"/>
    <w:rsid w:val="00760492"/>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rsid w:val="0076049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NormalWebChar"/>
    <w:link w:val="FooterSensitivity"/>
    <w:rsid w:val="00760492"/>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rsid w:val="00760492"/>
    <w:pPr>
      <w:tabs>
        <w:tab w:val="center" w:pos="4535"/>
        <w:tab w:val="right" w:pos="9071"/>
      </w:tabs>
      <w:spacing w:line="240" w:lineRule="auto"/>
    </w:pPr>
  </w:style>
  <w:style w:type="character" w:customStyle="1" w:styleId="HeaderCoverPageChar">
    <w:name w:val="Header Cover Page Char"/>
    <w:basedOn w:val="NormalWebChar"/>
    <w:link w:val="HeaderCoverPage"/>
    <w:rsid w:val="00760492"/>
    <w:rPr>
      <w:rFonts w:ascii="Times New Roman" w:eastAsia="Times New Roman" w:hAnsi="Times New Roman" w:cs="Times New Roman"/>
      <w:sz w:val="24"/>
      <w:szCs w:val="24"/>
    </w:rPr>
  </w:style>
  <w:style w:type="paragraph" w:customStyle="1" w:styleId="HeaderSensitivity">
    <w:name w:val="Header Sensitivity"/>
    <w:basedOn w:val="Normal"/>
    <w:link w:val="HeaderSensitivityChar"/>
    <w:rsid w:val="00760492"/>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NormalWebChar"/>
    <w:link w:val="HeaderSensitivity"/>
    <w:rsid w:val="00760492"/>
    <w:rPr>
      <w:rFonts w:ascii="Times New Roman" w:eastAsia="Times New Roman" w:hAnsi="Times New Roman" w:cs="Times New Roman"/>
      <w:b/>
      <w:sz w:val="32"/>
      <w:szCs w:val="24"/>
    </w:rPr>
  </w:style>
  <w:style w:type="paragraph" w:customStyle="1" w:styleId="HeaderSensitivityRight">
    <w:name w:val="Header Sensitivity Right"/>
    <w:basedOn w:val="Normal"/>
    <w:link w:val="HeaderSensitivityRightChar"/>
    <w:rsid w:val="00D575F9"/>
    <w:pPr>
      <w:spacing w:line="240" w:lineRule="auto"/>
      <w:jc w:val="right"/>
    </w:pPr>
    <w:rPr>
      <w:sz w:val="28"/>
    </w:rPr>
  </w:style>
  <w:style w:type="character" w:customStyle="1" w:styleId="HeaderSensitivityRightChar">
    <w:name w:val="Header Sensitivity Right Char"/>
    <w:basedOn w:val="NormalWebChar"/>
    <w:link w:val="HeaderSensitivityRight"/>
    <w:rsid w:val="00760492"/>
    <w:rPr>
      <w:rFonts w:ascii="Times New Roman" w:eastAsia="Times New Roman" w:hAnsi="Times New Roman" w:cs="Times New Roman"/>
      <w:sz w:val="28"/>
      <w:szCs w:val="24"/>
    </w:rPr>
  </w:style>
  <w:style w:type="character" w:styleId="Emphasis">
    <w:name w:val="Emphasis"/>
    <w:basedOn w:val="DefaultParagraphFont"/>
    <w:uiPriority w:val="20"/>
    <w:qFormat/>
    <w:rsid w:val="00185EFB"/>
    <w:rPr>
      <w:i/>
      <w:iCs/>
    </w:rPr>
  </w:style>
  <w:style w:type="character" w:customStyle="1" w:styleId="EndnoteTextChar1">
    <w:name w:val="Endnote Text Char1"/>
    <w:uiPriority w:val="99"/>
    <w:rsid w:val="00E6657B"/>
    <w:rPr>
      <w:rFonts w:ascii="Georgia" w:eastAsia="MS ??" w:hAnsi="Georgia" w:cs="Arial"/>
      <w:color w:val="010101"/>
      <w:sz w:val="20"/>
      <w:szCs w:val="24"/>
    </w:rPr>
  </w:style>
  <w:style w:type="paragraph" w:customStyle="1" w:styleId="Disclaimer">
    <w:name w:val="Disclaimer"/>
    <w:basedOn w:val="Normal"/>
    <w:rsid w:val="00692B2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szCs w:val="22"/>
    </w:rPr>
  </w:style>
  <w:style w:type="paragraph" w:customStyle="1" w:styleId="SecurityMarking">
    <w:name w:val="SecurityMarking"/>
    <w:basedOn w:val="Normal"/>
    <w:rsid w:val="00D575F9"/>
    <w:pPr>
      <w:spacing w:after="0" w:line="276" w:lineRule="auto"/>
      <w:ind w:left="5103"/>
      <w:jc w:val="left"/>
    </w:pPr>
    <w:rPr>
      <w:sz w:val="28"/>
      <w:szCs w:val="22"/>
    </w:rPr>
  </w:style>
  <w:style w:type="paragraph" w:customStyle="1" w:styleId="DateMarking">
    <w:name w:val="DateMarking"/>
    <w:basedOn w:val="Normal"/>
    <w:rsid w:val="00D575F9"/>
    <w:pPr>
      <w:spacing w:after="0" w:line="276" w:lineRule="auto"/>
      <w:ind w:left="5103"/>
      <w:jc w:val="left"/>
    </w:pPr>
    <w:rPr>
      <w:i/>
      <w:sz w:val="28"/>
      <w:szCs w:val="22"/>
    </w:rPr>
  </w:style>
  <w:style w:type="paragraph" w:customStyle="1" w:styleId="ReleasableTo">
    <w:name w:val="ReleasableTo"/>
    <w:basedOn w:val="Normal"/>
    <w:rsid w:val="00D575F9"/>
    <w:pPr>
      <w:spacing w:after="0" w:line="276" w:lineRule="auto"/>
      <w:ind w:left="5103"/>
      <w:jc w:val="left"/>
    </w:pPr>
    <w:rPr>
      <w:i/>
      <w:sz w:val="28"/>
      <w:szCs w:val="22"/>
    </w:rPr>
  </w:style>
  <w:style w:type="character" w:customStyle="1" w:styleId="UnresolvedMention1">
    <w:name w:val="Unresolved Mention1"/>
    <w:basedOn w:val="DefaultParagraphFont"/>
    <w:uiPriority w:val="99"/>
    <w:semiHidden/>
    <w:unhideWhenUsed/>
    <w:rsid w:val="00841931"/>
    <w:rPr>
      <w:color w:val="605E5C"/>
      <w:shd w:val="clear" w:color="auto" w:fill="E1DFDD"/>
    </w:rPr>
  </w:style>
  <w:style w:type="paragraph" w:customStyle="1" w:styleId="Point1">
    <w:name w:val="Point 1"/>
    <w:basedOn w:val="Normal"/>
    <w:rsid w:val="00F03CCA"/>
    <w:pPr>
      <w:spacing w:before="120" w:line="240" w:lineRule="auto"/>
      <w:ind w:left="1417" w:hanging="567"/>
    </w:pPr>
    <w:rPr>
      <w:szCs w:val="22"/>
      <w:lang w:val="en-GB"/>
    </w:rPr>
  </w:style>
  <w:style w:type="character" w:customStyle="1" w:styleId="UnresolvedMention2">
    <w:name w:val="Unresolved Mention2"/>
    <w:basedOn w:val="DefaultParagraphFont"/>
    <w:uiPriority w:val="99"/>
    <w:semiHidden/>
    <w:unhideWhenUsed/>
    <w:rsid w:val="00752D59"/>
    <w:rPr>
      <w:color w:val="605E5C"/>
      <w:shd w:val="clear" w:color="auto" w:fill="E1DFDD"/>
    </w:rPr>
  </w:style>
  <w:style w:type="character" w:customStyle="1" w:styleId="UnresolvedMention">
    <w:name w:val="Unresolved Mention"/>
    <w:basedOn w:val="DefaultParagraphFont"/>
    <w:uiPriority w:val="99"/>
    <w:semiHidden/>
    <w:unhideWhenUsed/>
    <w:rsid w:val="00FB0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2147">
      <w:bodyDiv w:val="1"/>
      <w:marLeft w:val="0"/>
      <w:marRight w:val="0"/>
      <w:marTop w:val="0"/>
      <w:marBottom w:val="0"/>
      <w:divBdr>
        <w:top w:val="none" w:sz="0" w:space="0" w:color="auto"/>
        <w:left w:val="none" w:sz="0" w:space="0" w:color="auto"/>
        <w:bottom w:val="none" w:sz="0" w:space="0" w:color="auto"/>
        <w:right w:val="none" w:sz="0" w:space="0" w:color="auto"/>
      </w:divBdr>
    </w:div>
    <w:div w:id="70810740">
      <w:bodyDiv w:val="1"/>
      <w:marLeft w:val="0"/>
      <w:marRight w:val="0"/>
      <w:marTop w:val="0"/>
      <w:marBottom w:val="0"/>
      <w:divBdr>
        <w:top w:val="none" w:sz="0" w:space="0" w:color="auto"/>
        <w:left w:val="none" w:sz="0" w:space="0" w:color="auto"/>
        <w:bottom w:val="none" w:sz="0" w:space="0" w:color="auto"/>
        <w:right w:val="none" w:sz="0" w:space="0" w:color="auto"/>
      </w:divBdr>
    </w:div>
    <w:div w:id="122189848">
      <w:bodyDiv w:val="1"/>
      <w:marLeft w:val="0"/>
      <w:marRight w:val="0"/>
      <w:marTop w:val="0"/>
      <w:marBottom w:val="0"/>
      <w:divBdr>
        <w:top w:val="none" w:sz="0" w:space="0" w:color="auto"/>
        <w:left w:val="none" w:sz="0" w:space="0" w:color="auto"/>
        <w:bottom w:val="none" w:sz="0" w:space="0" w:color="auto"/>
        <w:right w:val="none" w:sz="0" w:space="0" w:color="auto"/>
      </w:divBdr>
    </w:div>
    <w:div w:id="187061112">
      <w:bodyDiv w:val="1"/>
      <w:marLeft w:val="0"/>
      <w:marRight w:val="0"/>
      <w:marTop w:val="0"/>
      <w:marBottom w:val="0"/>
      <w:divBdr>
        <w:top w:val="none" w:sz="0" w:space="0" w:color="auto"/>
        <w:left w:val="none" w:sz="0" w:space="0" w:color="auto"/>
        <w:bottom w:val="none" w:sz="0" w:space="0" w:color="auto"/>
        <w:right w:val="none" w:sz="0" w:space="0" w:color="auto"/>
      </w:divBdr>
    </w:div>
    <w:div w:id="253560985">
      <w:bodyDiv w:val="1"/>
      <w:marLeft w:val="0"/>
      <w:marRight w:val="0"/>
      <w:marTop w:val="0"/>
      <w:marBottom w:val="0"/>
      <w:divBdr>
        <w:top w:val="none" w:sz="0" w:space="0" w:color="auto"/>
        <w:left w:val="none" w:sz="0" w:space="0" w:color="auto"/>
        <w:bottom w:val="none" w:sz="0" w:space="0" w:color="auto"/>
        <w:right w:val="none" w:sz="0" w:space="0" w:color="auto"/>
      </w:divBdr>
    </w:div>
    <w:div w:id="326132728">
      <w:bodyDiv w:val="1"/>
      <w:marLeft w:val="0"/>
      <w:marRight w:val="0"/>
      <w:marTop w:val="0"/>
      <w:marBottom w:val="0"/>
      <w:divBdr>
        <w:top w:val="none" w:sz="0" w:space="0" w:color="auto"/>
        <w:left w:val="none" w:sz="0" w:space="0" w:color="auto"/>
        <w:bottom w:val="none" w:sz="0" w:space="0" w:color="auto"/>
        <w:right w:val="none" w:sz="0" w:space="0" w:color="auto"/>
      </w:divBdr>
    </w:div>
    <w:div w:id="359093937">
      <w:bodyDiv w:val="1"/>
      <w:marLeft w:val="0"/>
      <w:marRight w:val="0"/>
      <w:marTop w:val="0"/>
      <w:marBottom w:val="0"/>
      <w:divBdr>
        <w:top w:val="none" w:sz="0" w:space="0" w:color="auto"/>
        <w:left w:val="none" w:sz="0" w:space="0" w:color="auto"/>
        <w:bottom w:val="none" w:sz="0" w:space="0" w:color="auto"/>
        <w:right w:val="none" w:sz="0" w:space="0" w:color="auto"/>
      </w:divBdr>
    </w:div>
    <w:div w:id="361247835">
      <w:bodyDiv w:val="1"/>
      <w:marLeft w:val="0"/>
      <w:marRight w:val="0"/>
      <w:marTop w:val="0"/>
      <w:marBottom w:val="0"/>
      <w:divBdr>
        <w:top w:val="none" w:sz="0" w:space="0" w:color="auto"/>
        <w:left w:val="none" w:sz="0" w:space="0" w:color="auto"/>
        <w:bottom w:val="none" w:sz="0" w:space="0" w:color="auto"/>
        <w:right w:val="none" w:sz="0" w:space="0" w:color="auto"/>
      </w:divBdr>
    </w:div>
    <w:div w:id="466243747">
      <w:bodyDiv w:val="1"/>
      <w:marLeft w:val="0"/>
      <w:marRight w:val="0"/>
      <w:marTop w:val="0"/>
      <w:marBottom w:val="0"/>
      <w:divBdr>
        <w:top w:val="none" w:sz="0" w:space="0" w:color="auto"/>
        <w:left w:val="none" w:sz="0" w:space="0" w:color="auto"/>
        <w:bottom w:val="none" w:sz="0" w:space="0" w:color="auto"/>
        <w:right w:val="none" w:sz="0" w:space="0" w:color="auto"/>
      </w:divBdr>
    </w:div>
    <w:div w:id="466944105">
      <w:bodyDiv w:val="1"/>
      <w:marLeft w:val="0"/>
      <w:marRight w:val="0"/>
      <w:marTop w:val="0"/>
      <w:marBottom w:val="0"/>
      <w:divBdr>
        <w:top w:val="none" w:sz="0" w:space="0" w:color="auto"/>
        <w:left w:val="none" w:sz="0" w:space="0" w:color="auto"/>
        <w:bottom w:val="none" w:sz="0" w:space="0" w:color="auto"/>
        <w:right w:val="none" w:sz="0" w:space="0" w:color="auto"/>
      </w:divBdr>
    </w:div>
    <w:div w:id="536502576">
      <w:bodyDiv w:val="1"/>
      <w:marLeft w:val="0"/>
      <w:marRight w:val="0"/>
      <w:marTop w:val="0"/>
      <w:marBottom w:val="0"/>
      <w:divBdr>
        <w:top w:val="none" w:sz="0" w:space="0" w:color="auto"/>
        <w:left w:val="none" w:sz="0" w:space="0" w:color="auto"/>
        <w:bottom w:val="none" w:sz="0" w:space="0" w:color="auto"/>
        <w:right w:val="none" w:sz="0" w:space="0" w:color="auto"/>
      </w:divBdr>
    </w:div>
    <w:div w:id="582421860">
      <w:bodyDiv w:val="1"/>
      <w:marLeft w:val="0"/>
      <w:marRight w:val="0"/>
      <w:marTop w:val="0"/>
      <w:marBottom w:val="0"/>
      <w:divBdr>
        <w:top w:val="none" w:sz="0" w:space="0" w:color="auto"/>
        <w:left w:val="none" w:sz="0" w:space="0" w:color="auto"/>
        <w:bottom w:val="none" w:sz="0" w:space="0" w:color="auto"/>
        <w:right w:val="none" w:sz="0" w:space="0" w:color="auto"/>
      </w:divBdr>
    </w:div>
    <w:div w:id="1053456867">
      <w:bodyDiv w:val="1"/>
      <w:marLeft w:val="0"/>
      <w:marRight w:val="0"/>
      <w:marTop w:val="0"/>
      <w:marBottom w:val="0"/>
      <w:divBdr>
        <w:top w:val="none" w:sz="0" w:space="0" w:color="auto"/>
        <w:left w:val="none" w:sz="0" w:space="0" w:color="auto"/>
        <w:bottom w:val="none" w:sz="0" w:space="0" w:color="auto"/>
        <w:right w:val="none" w:sz="0" w:space="0" w:color="auto"/>
      </w:divBdr>
    </w:div>
    <w:div w:id="1142769222">
      <w:bodyDiv w:val="1"/>
      <w:marLeft w:val="0"/>
      <w:marRight w:val="0"/>
      <w:marTop w:val="0"/>
      <w:marBottom w:val="0"/>
      <w:divBdr>
        <w:top w:val="none" w:sz="0" w:space="0" w:color="auto"/>
        <w:left w:val="none" w:sz="0" w:space="0" w:color="auto"/>
        <w:bottom w:val="none" w:sz="0" w:space="0" w:color="auto"/>
        <w:right w:val="none" w:sz="0" w:space="0" w:color="auto"/>
      </w:divBdr>
    </w:div>
    <w:div w:id="1458716644">
      <w:bodyDiv w:val="1"/>
      <w:marLeft w:val="0"/>
      <w:marRight w:val="0"/>
      <w:marTop w:val="0"/>
      <w:marBottom w:val="0"/>
      <w:divBdr>
        <w:top w:val="none" w:sz="0" w:space="0" w:color="auto"/>
        <w:left w:val="none" w:sz="0" w:space="0" w:color="auto"/>
        <w:bottom w:val="none" w:sz="0" w:space="0" w:color="auto"/>
        <w:right w:val="none" w:sz="0" w:space="0" w:color="auto"/>
      </w:divBdr>
    </w:div>
    <w:div w:id="1558324031">
      <w:bodyDiv w:val="1"/>
      <w:marLeft w:val="0"/>
      <w:marRight w:val="0"/>
      <w:marTop w:val="0"/>
      <w:marBottom w:val="0"/>
      <w:divBdr>
        <w:top w:val="none" w:sz="0" w:space="0" w:color="auto"/>
        <w:left w:val="none" w:sz="0" w:space="0" w:color="auto"/>
        <w:bottom w:val="none" w:sz="0" w:space="0" w:color="auto"/>
        <w:right w:val="none" w:sz="0" w:space="0" w:color="auto"/>
      </w:divBdr>
    </w:div>
    <w:div w:id="1576741738">
      <w:bodyDiv w:val="1"/>
      <w:marLeft w:val="0"/>
      <w:marRight w:val="0"/>
      <w:marTop w:val="0"/>
      <w:marBottom w:val="0"/>
      <w:divBdr>
        <w:top w:val="none" w:sz="0" w:space="0" w:color="auto"/>
        <w:left w:val="none" w:sz="0" w:space="0" w:color="auto"/>
        <w:bottom w:val="none" w:sz="0" w:space="0" w:color="auto"/>
        <w:right w:val="none" w:sz="0" w:space="0" w:color="auto"/>
      </w:divBdr>
    </w:div>
    <w:div w:id="1741247308">
      <w:bodyDiv w:val="1"/>
      <w:marLeft w:val="0"/>
      <w:marRight w:val="0"/>
      <w:marTop w:val="0"/>
      <w:marBottom w:val="0"/>
      <w:divBdr>
        <w:top w:val="none" w:sz="0" w:space="0" w:color="auto"/>
        <w:left w:val="none" w:sz="0" w:space="0" w:color="auto"/>
        <w:bottom w:val="none" w:sz="0" w:space="0" w:color="auto"/>
        <w:right w:val="none" w:sz="0" w:space="0" w:color="auto"/>
      </w:divBdr>
    </w:div>
    <w:div w:id="1840731364">
      <w:bodyDiv w:val="1"/>
      <w:marLeft w:val="0"/>
      <w:marRight w:val="0"/>
      <w:marTop w:val="0"/>
      <w:marBottom w:val="0"/>
      <w:divBdr>
        <w:top w:val="none" w:sz="0" w:space="0" w:color="auto"/>
        <w:left w:val="none" w:sz="0" w:space="0" w:color="auto"/>
        <w:bottom w:val="none" w:sz="0" w:space="0" w:color="auto"/>
        <w:right w:val="none" w:sz="0" w:space="0" w:color="auto"/>
      </w:divBdr>
    </w:div>
    <w:div w:id="1876308858">
      <w:bodyDiv w:val="1"/>
      <w:marLeft w:val="0"/>
      <w:marRight w:val="0"/>
      <w:marTop w:val="0"/>
      <w:marBottom w:val="0"/>
      <w:divBdr>
        <w:top w:val="none" w:sz="0" w:space="0" w:color="auto"/>
        <w:left w:val="none" w:sz="0" w:space="0" w:color="auto"/>
        <w:bottom w:val="none" w:sz="0" w:space="0" w:color="auto"/>
        <w:right w:val="none" w:sz="0" w:space="0" w:color="auto"/>
      </w:divBdr>
    </w:div>
    <w:div w:id="21113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tehdas.eu/app/uploads/2021/09/tehdas-summary-of-results-case-studies-on-barriers-to-sharing-health-data-2021-09-28.pdf" TargetMode="External"/><Relationship Id="rId13" Type="http://schemas.openxmlformats.org/officeDocument/2006/relationships/hyperlink" Target="https://ec.europa.eu/info/research-and-innovation/funding/funding-opportunities/funding-programmes-and-open-calls/horizon-europe/eu-missions-horizon-europe/cancer_en" TargetMode="External"/><Relationship Id="rId18" Type="http://schemas.openxmlformats.org/officeDocument/2006/relationships/hyperlink" Target="https://ec.europa.eu/health/european-reference-networks/work-erns_en" TargetMode="External"/><Relationship Id="rId3" Type="http://schemas.openxmlformats.org/officeDocument/2006/relationships/hyperlink" Target="https://eur-lex.europa.eu/eli/reg/2016/679/oj" TargetMode="External"/><Relationship Id="rId7" Type="http://schemas.openxmlformats.org/officeDocument/2006/relationships/hyperlink" Target="https://eur-lex.europa.eu/legal-content/en/TXT/?uri=%20CELEX%3A32019D1765." TargetMode="External"/><Relationship Id="rId12" Type="http://schemas.openxmlformats.org/officeDocument/2006/relationships/hyperlink" Target="https://ec.europa.eu/health/system/files/2021-02/eu_cancer-plan_en_0.pdf" TargetMode="External"/><Relationship Id="rId17" Type="http://schemas.openxmlformats.org/officeDocument/2006/relationships/hyperlink" Target="https://ojrd.biomedcentral.com/track/pdf/10.1186/s13023-019-1123-4.pdf" TargetMode="External"/><Relationship Id="rId2" Type="http://schemas.openxmlformats.org/officeDocument/2006/relationships/hyperlink" Target="https://ec.europa.eu/info/strategy/priorities-2019-2024/europe-fit-digital-age/european-data-strategy_en" TargetMode="External"/><Relationship Id="rId16" Type="http://schemas.openxmlformats.org/officeDocument/2006/relationships/hyperlink" Target="https://ec.europa.eu/info/law/better-regulation/have-your-say/initiatives/13017-Declaration-of-Digital-Principles-the-%E2%80%98European-way%E2%80%99-for-the-digital-society_en" TargetMode="External"/><Relationship Id="rId1" Type="http://schemas.openxmlformats.org/officeDocument/2006/relationships/hyperlink" Target="https://www.hiqa.ie/sites/default/files/2018-05/ePrescribing-An-Intl-Review.pdf" TargetMode="External"/><Relationship Id="rId6" Type="http://schemas.openxmlformats.org/officeDocument/2006/relationships/hyperlink" Target="https://ec.europa.eu/newsroom/dae/redirection/document/79897" TargetMode="External"/><Relationship Id="rId11" Type="http://schemas.openxmlformats.org/officeDocument/2006/relationships/hyperlink" Target="https://ec.europa.eu/health/ehealth-digital-health-and-care/ehealth-and-covid-19_en" TargetMode="External"/><Relationship Id="rId5" Type="http://schemas.openxmlformats.org/officeDocument/2006/relationships/hyperlink" Target="https://tehdas.eu/app/uploads/2021/06/tehdas-why-health-is-a-special-case-for-data-governance-2021-06-23.pdf" TargetMode="External"/><Relationship Id="rId15" Type="http://schemas.openxmlformats.org/officeDocument/2006/relationships/hyperlink" Target="https://ec.europa.eu/health/medicinal-products/pharmaceutical-strategy-europe_en" TargetMode="External"/><Relationship Id="rId10" Type="http://schemas.openxmlformats.org/officeDocument/2006/relationships/hyperlink" Target="https://ec.europa.eu/info/funding-tenders/opportunities/portal/screen/opportunities/topic-details/eu4h-2021-pj-06" TargetMode="External"/><Relationship Id="rId19" Type="http://schemas.openxmlformats.org/officeDocument/2006/relationships/hyperlink" Target="https://www.oecd-ilibrary.org/docserver/8e56ede7-en.pdf?expires=1646391218&amp;id=i" TargetMode="External"/><Relationship Id="rId4" Type="http://schemas.openxmlformats.org/officeDocument/2006/relationships/hyperlink" Target="https://eur-lex.europa.eu/legal-content/EN/TXT/?uri=celex:32016L1148" TargetMode="External"/><Relationship Id="rId9" Type="http://schemas.openxmlformats.org/officeDocument/2006/relationships/hyperlink" Target="https://ec.europa.eu/health/system/files/2021-02/ms_rules_health-data_en_0.pdf" TargetMode="External"/><Relationship Id="rId14" Type="http://schemas.openxmlformats.org/officeDocument/2006/relationships/hyperlink" Target="https://cpms.ern-net.eu/login/?next=/ins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8D97-9D0C-45FC-BC9A-C641060D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6780</Words>
  <Characters>37834</Characters>
  <Application>Microsoft Office Word</Application>
  <DocSecurity>0</DocSecurity>
  <Lines>564</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2022-05-02T12:11:00Z</dcterms:created>
  <dcterms:modified xsi:type="dcterms:W3CDTF">2022-05-03T05:29:00Z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2022-04-29T11:20:49Z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a52a4579-aaac-4f16-8cf9-a396ab7af6a8</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8.0, Build 20220128</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CP-012</vt:lpwstr>
  </property>
</Properties>
</file>