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3C0C51" w14:textId="34C0B8B0" w:rsidR="00E607B4" w:rsidRDefault="00B7048D" w:rsidP="00B7048D">
      <w:pPr>
        <w:pStyle w:val="Pagedecouverture"/>
        <w:rPr>
          <w:noProof/>
        </w:rPr>
      </w:pPr>
      <w:bookmarkStart w:id="0" w:name="LW_BM_COVERPAGE"/>
      <w:r>
        <w:rPr>
          <w:noProof/>
        </w:rPr>
        <w:pict w14:anchorId="3D6756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EEA6E17F-FF37-45C2-9070-25340F676951" style="width:455.25pt;height:324pt">
            <v:imagedata r:id="rId8" o:title=""/>
          </v:shape>
        </w:pict>
      </w:r>
    </w:p>
    <w:bookmarkEnd w:id="0"/>
    <w:p w14:paraId="4E8F3D40" w14:textId="77777777" w:rsidR="00E607B4" w:rsidRDefault="00E607B4" w:rsidP="00E607B4">
      <w:pPr>
        <w:rPr>
          <w:noProof/>
        </w:rPr>
        <w:sectPr w:rsidR="00E607B4" w:rsidSect="00B7048D">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14:paraId="7E37E9C3" w14:textId="77777777" w:rsidR="00BA0C07" w:rsidRPr="00B628ED" w:rsidRDefault="00975163" w:rsidP="00C277BC">
      <w:pPr>
        <w:pStyle w:val="ListParagraph"/>
        <w:numPr>
          <w:ilvl w:val="0"/>
          <w:numId w:val="5"/>
        </w:numPr>
        <w:spacing w:line="240" w:lineRule="auto"/>
        <w:rPr>
          <w:rFonts w:ascii="Times New Roman" w:hAnsi="Times New Roman" w:cs="Times New Roman"/>
          <w:b/>
          <w:noProof/>
          <w:sz w:val="24"/>
          <w:szCs w:val="24"/>
        </w:rPr>
      </w:pPr>
      <w:bookmarkStart w:id="1" w:name="_GoBack"/>
      <w:bookmarkEnd w:id="1"/>
      <w:r>
        <w:rPr>
          <w:rFonts w:ascii="Times New Roman" w:hAnsi="Times New Roman"/>
          <w:b/>
          <w:noProof/>
          <w:sz w:val="24"/>
          <w:szCs w:val="24"/>
        </w:rPr>
        <w:lastRenderedPageBreak/>
        <w:t>WPROWADZENIE</w:t>
      </w:r>
    </w:p>
    <w:p w14:paraId="1BB3674D" w14:textId="21153703" w:rsidR="003B714B" w:rsidRDefault="00C30631" w:rsidP="345AED27">
      <w:pPr>
        <w:spacing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Światowa pandemia COVID-19 jeszcze się nie zakończyła. Czujność</w:t>
      </w:r>
      <w:r w:rsidR="00525C12">
        <w:rPr>
          <w:rFonts w:ascii="Times New Roman" w:hAnsi="Times New Roman"/>
          <w:noProof/>
          <w:color w:val="000000" w:themeColor="text1"/>
          <w:sz w:val="24"/>
          <w:szCs w:val="24"/>
        </w:rPr>
        <w:t xml:space="preserve"> i got</w:t>
      </w:r>
      <w:r>
        <w:rPr>
          <w:rFonts w:ascii="Times New Roman" w:hAnsi="Times New Roman"/>
          <w:noProof/>
          <w:color w:val="000000" w:themeColor="text1"/>
          <w:sz w:val="24"/>
          <w:szCs w:val="24"/>
        </w:rPr>
        <w:t xml:space="preserve">owość mają nadal zasadnicze znaczenie. </w:t>
      </w:r>
    </w:p>
    <w:p w14:paraId="43AE5D6D" w14:textId="6AA9869F" w:rsidR="003B714B" w:rsidRDefault="00EB4544" w:rsidP="345AED27">
      <w:pPr>
        <w:spacing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Chociaż</w:t>
      </w:r>
      <w:r w:rsidR="00525C12">
        <w:rPr>
          <w:rFonts w:ascii="Times New Roman" w:hAnsi="Times New Roman"/>
          <w:noProof/>
          <w:color w:val="000000" w:themeColor="text1"/>
          <w:sz w:val="24"/>
          <w:szCs w:val="24"/>
        </w:rPr>
        <w:t xml:space="preserve"> w cał</w:t>
      </w:r>
      <w:r>
        <w:rPr>
          <w:rFonts w:ascii="Times New Roman" w:hAnsi="Times New Roman"/>
          <w:noProof/>
          <w:color w:val="000000" w:themeColor="text1"/>
          <w:sz w:val="24"/>
          <w:szCs w:val="24"/>
        </w:rPr>
        <w:t xml:space="preserve">ej Europie obserwuje się różną liczbę zachorowań, jej wzrost nie prowadzi już tak często jak wcześniej do ciężkiego przebiegu choroby lub zgonu. Dominujący obecnie wariant omikron jest mniej groźny niż poprzednie warianty. Odporność populacji na wirusa, zarówno naturalna, jak i po szczepieniach, również znacznie wzrosła. </w:t>
      </w:r>
    </w:p>
    <w:p w14:paraId="724B05D5" w14:textId="47DEEEBE" w:rsidR="00DF0027" w:rsidRPr="003B714B" w:rsidRDefault="00456767" w:rsidP="345AED27">
      <w:pPr>
        <w:spacing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Ostatnie dwa lata pokazały, że</w:t>
      </w:r>
      <w:r w:rsidR="00525C12">
        <w:rPr>
          <w:rFonts w:ascii="Times New Roman" w:hAnsi="Times New Roman"/>
          <w:noProof/>
          <w:color w:val="000000" w:themeColor="text1"/>
          <w:sz w:val="24"/>
          <w:szCs w:val="24"/>
        </w:rPr>
        <w:t xml:space="preserve"> w mie</w:t>
      </w:r>
      <w:r>
        <w:rPr>
          <w:rFonts w:ascii="Times New Roman" w:hAnsi="Times New Roman"/>
          <w:noProof/>
          <w:color w:val="000000" w:themeColor="text1"/>
          <w:sz w:val="24"/>
          <w:szCs w:val="24"/>
        </w:rPr>
        <w:t>siącach letnich można spodziewać się niższych współczynników zachorowalności</w:t>
      </w:r>
      <w:r w:rsidR="00525C12">
        <w:rPr>
          <w:rFonts w:ascii="Times New Roman" w:hAnsi="Times New Roman"/>
          <w:noProof/>
          <w:color w:val="000000" w:themeColor="text1"/>
          <w:sz w:val="24"/>
          <w:szCs w:val="24"/>
        </w:rPr>
        <w:t>. W zwi</w:t>
      </w:r>
      <w:r>
        <w:rPr>
          <w:rFonts w:ascii="Times New Roman" w:hAnsi="Times New Roman"/>
          <w:noProof/>
          <w:color w:val="000000" w:themeColor="text1"/>
          <w:sz w:val="24"/>
          <w:szCs w:val="24"/>
        </w:rPr>
        <w:t>ązku</w:t>
      </w:r>
      <w:r w:rsidR="00525C12">
        <w:rPr>
          <w:rFonts w:ascii="Times New Roman" w:hAnsi="Times New Roman"/>
          <w:noProof/>
          <w:color w:val="000000" w:themeColor="text1"/>
          <w:sz w:val="24"/>
          <w:szCs w:val="24"/>
        </w:rPr>
        <w:t xml:space="preserve"> z tym w nad</w:t>
      </w:r>
      <w:r>
        <w:rPr>
          <w:rFonts w:ascii="Times New Roman" w:hAnsi="Times New Roman"/>
          <w:noProof/>
          <w:color w:val="000000" w:themeColor="text1"/>
          <w:sz w:val="24"/>
          <w:szCs w:val="24"/>
        </w:rPr>
        <w:t>chodzących miesiącach presja związana</w:t>
      </w:r>
      <w:r w:rsidR="00525C12">
        <w:rPr>
          <w:rFonts w:ascii="Times New Roman" w:hAnsi="Times New Roman"/>
          <w:noProof/>
          <w:color w:val="000000" w:themeColor="text1"/>
          <w:sz w:val="24"/>
          <w:szCs w:val="24"/>
        </w:rPr>
        <w:t xml:space="preserve"> z pan</w:t>
      </w:r>
      <w:r>
        <w:rPr>
          <w:rFonts w:ascii="Times New Roman" w:hAnsi="Times New Roman"/>
          <w:noProof/>
          <w:color w:val="000000" w:themeColor="text1"/>
          <w:sz w:val="24"/>
          <w:szCs w:val="24"/>
        </w:rPr>
        <w:t>demią prawdopodobnie się zmniejszy. Daje to bardzo potrzebny czas na przygotowanie się do ewentualnego nasilenia pandemii</w:t>
      </w:r>
      <w:r w:rsidR="00525C12">
        <w:rPr>
          <w:rFonts w:ascii="Times New Roman" w:hAnsi="Times New Roman"/>
          <w:noProof/>
          <w:color w:val="000000" w:themeColor="text1"/>
          <w:sz w:val="24"/>
          <w:szCs w:val="24"/>
        </w:rPr>
        <w:t xml:space="preserve"> w prz</w:t>
      </w:r>
      <w:r>
        <w:rPr>
          <w:rFonts w:ascii="Times New Roman" w:hAnsi="Times New Roman"/>
          <w:noProof/>
          <w:color w:val="000000" w:themeColor="text1"/>
          <w:sz w:val="24"/>
          <w:szCs w:val="24"/>
        </w:rPr>
        <w:t>yszłości. Musimy działać szybko</w:t>
      </w:r>
      <w:r w:rsidR="00525C12">
        <w:rPr>
          <w:rFonts w:ascii="Times New Roman" w:hAnsi="Times New Roman"/>
          <w:noProof/>
          <w:color w:val="000000" w:themeColor="text1"/>
          <w:sz w:val="24"/>
          <w:szCs w:val="24"/>
        </w:rPr>
        <w:t xml:space="preserve"> i wsp</w:t>
      </w:r>
      <w:r>
        <w:rPr>
          <w:rFonts w:ascii="Times New Roman" w:hAnsi="Times New Roman"/>
          <w:noProof/>
          <w:color w:val="000000" w:themeColor="text1"/>
          <w:sz w:val="24"/>
          <w:szCs w:val="24"/>
        </w:rPr>
        <w:t>ólnie, aby</w:t>
      </w:r>
      <w:r w:rsidR="00525C12">
        <w:rPr>
          <w:rFonts w:ascii="Times New Roman" w:hAnsi="Times New Roman"/>
          <w:noProof/>
          <w:color w:val="000000" w:themeColor="text1"/>
          <w:sz w:val="24"/>
          <w:szCs w:val="24"/>
        </w:rPr>
        <w:t xml:space="preserve"> w peł</w:t>
      </w:r>
      <w:r>
        <w:rPr>
          <w:rFonts w:ascii="Times New Roman" w:hAnsi="Times New Roman"/>
          <w:noProof/>
          <w:color w:val="000000" w:themeColor="text1"/>
          <w:sz w:val="24"/>
          <w:szCs w:val="24"/>
        </w:rPr>
        <w:t>ni wykorzystać tę szansę</w:t>
      </w:r>
      <w:r w:rsidR="00525C12">
        <w:rPr>
          <w:rFonts w:ascii="Times New Roman" w:hAnsi="Times New Roman"/>
          <w:noProof/>
          <w:color w:val="000000" w:themeColor="text1"/>
          <w:sz w:val="24"/>
          <w:szCs w:val="24"/>
        </w:rPr>
        <w:t xml:space="preserve"> i prz</w:t>
      </w:r>
      <w:r>
        <w:rPr>
          <w:rFonts w:ascii="Times New Roman" w:hAnsi="Times New Roman"/>
          <w:noProof/>
          <w:color w:val="000000" w:themeColor="text1"/>
          <w:sz w:val="24"/>
          <w:szCs w:val="24"/>
        </w:rPr>
        <w:t>ygotować się na sezon jesienno-zimowy i na późniejsze okresy.</w:t>
      </w:r>
    </w:p>
    <w:p w14:paraId="6C5E4C5C" w14:textId="22BEB84A" w:rsidR="0015658A" w:rsidRDefault="00CD49F7" w:rsidP="345AED27">
      <w:pPr>
        <w:spacing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Liczba zakażeń na świecie nadal sięga milionów. Wiele osób jest zamkniętych</w:t>
      </w:r>
      <w:r w:rsidR="00525C12">
        <w:rPr>
          <w:rFonts w:ascii="Times New Roman" w:hAnsi="Times New Roman"/>
          <w:noProof/>
          <w:color w:val="000000" w:themeColor="text1"/>
          <w:sz w:val="24"/>
          <w:szCs w:val="24"/>
        </w:rPr>
        <w:t xml:space="preserve"> w dom</w:t>
      </w:r>
      <w:r>
        <w:rPr>
          <w:rFonts w:ascii="Times New Roman" w:hAnsi="Times New Roman"/>
          <w:noProof/>
          <w:color w:val="000000" w:themeColor="text1"/>
          <w:sz w:val="24"/>
          <w:szCs w:val="24"/>
        </w:rPr>
        <w:t>ach. Wiele osób nadal cierpi lub umiera</w:t>
      </w:r>
      <w:r w:rsidR="00525C12">
        <w:rPr>
          <w:rFonts w:ascii="Times New Roman" w:hAnsi="Times New Roman"/>
          <w:noProof/>
          <w:color w:val="000000" w:themeColor="text1"/>
          <w:sz w:val="24"/>
          <w:szCs w:val="24"/>
        </w:rPr>
        <w:t xml:space="preserve"> z pow</w:t>
      </w:r>
      <w:r>
        <w:rPr>
          <w:rFonts w:ascii="Times New Roman" w:hAnsi="Times New Roman"/>
          <w:noProof/>
          <w:color w:val="000000" w:themeColor="text1"/>
          <w:sz w:val="24"/>
          <w:szCs w:val="24"/>
        </w:rPr>
        <w:t>odu COVID-19. Zmniejszająca się odporność na zakażenie</w:t>
      </w:r>
      <w:r w:rsidR="00525C12">
        <w:rPr>
          <w:rFonts w:ascii="Times New Roman" w:hAnsi="Times New Roman"/>
          <w:noProof/>
          <w:color w:val="000000" w:themeColor="text1"/>
          <w:sz w:val="24"/>
          <w:szCs w:val="24"/>
        </w:rPr>
        <w:t xml:space="preserve"> i moż</w:t>
      </w:r>
      <w:r>
        <w:rPr>
          <w:rFonts w:ascii="Times New Roman" w:hAnsi="Times New Roman"/>
          <w:noProof/>
          <w:color w:val="000000" w:themeColor="text1"/>
          <w:sz w:val="24"/>
          <w:szCs w:val="24"/>
        </w:rPr>
        <w:t>liwa zimowa sezonowość zwiększają prawdopodobieństwo pojawienia się</w:t>
      </w:r>
      <w:r w:rsidR="00525C12">
        <w:rPr>
          <w:rFonts w:ascii="Times New Roman" w:hAnsi="Times New Roman"/>
          <w:noProof/>
          <w:color w:val="000000" w:themeColor="text1"/>
          <w:sz w:val="24"/>
          <w:szCs w:val="24"/>
        </w:rPr>
        <w:t xml:space="preserve"> i roz</w:t>
      </w:r>
      <w:r>
        <w:rPr>
          <w:rFonts w:ascii="Times New Roman" w:hAnsi="Times New Roman"/>
          <w:noProof/>
          <w:color w:val="000000" w:themeColor="text1"/>
          <w:sz w:val="24"/>
          <w:szCs w:val="24"/>
        </w:rPr>
        <w:t xml:space="preserve">przestrzeniania nowych wariantów SARS-CoV-2 – wirusa wywołującego COVID-19. </w:t>
      </w:r>
    </w:p>
    <w:p w14:paraId="432BA847" w14:textId="6C67D373" w:rsidR="0095347C" w:rsidRDefault="00456767" w:rsidP="345AED27">
      <w:pPr>
        <w:spacing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Mając to na uwadze, kilka państw członkowskich zaczęło wdrażać nowe podejścia do zarządzania trwającą pandemią COVID-19</w:t>
      </w:r>
      <w:r w:rsidR="00525C12">
        <w:rPr>
          <w:rFonts w:ascii="Times New Roman" w:hAnsi="Times New Roman"/>
          <w:noProof/>
          <w:color w:val="000000" w:themeColor="text1"/>
          <w:sz w:val="24"/>
          <w:szCs w:val="24"/>
        </w:rPr>
        <w:t xml:space="preserve"> w cel</w:t>
      </w:r>
      <w:r>
        <w:rPr>
          <w:rFonts w:ascii="Times New Roman" w:hAnsi="Times New Roman"/>
          <w:noProof/>
          <w:color w:val="000000" w:themeColor="text1"/>
          <w:sz w:val="24"/>
          <w:szCs w:val="24"/>
        </w:rPr>
        <w:t>u zrównoważonej</w:t>
      </w:r>
      <w:r w:rsidR="00525C12">
        <w:rPr>
          <w:rFonts w:ascii="Times New Roman" w:hAnsi="Times New Roman"/>
          <w:noProof/>
          <w:color w:val="000000" w:themeColor="text1"/>
          <w:sz w:val="24"/>
          <w:szCs w:val="24"/>
        </w:rPr>
        <w:t xml:space="preserve"> i odp</w:t>
      </w:r>
      <w:r>
        <w:rPr>
          <w:rFonts w:ascii="Times New Roman" w:hAnsi="Times New Roman"/>
          <w:noProof/>
          <w:color w:val="000000" w:themeColor="text1"/>
          <w:sz w:val="24"/>
          <w:szCs w:val="24"/>
        </w:rPr>
        <w:t xml:space="preserve">ornej odbudowy po pandemii. </w:t>
      </w:r>
    </w:p>
    <w:p w14:paraId="4A6C7F61" w14:textId="272B9B28" w:rsidR="0015658A" w:rsidRDefault="00EB4544" w:rsidP="006310EC">
      <w:pPr>
        <w:spacing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Chociaż państwa członkowskie wdrażają takie nowe podejścia, rozdrobnione strategie gotowości</w:t>
      </w:r>
      <w:r w:rsidR="00525C12">
        <w:rPr>
          <w:rFonts w:ascii="Times New Roman" w:hAnsi="Times New Roman"/>
          <w:noProof/>
          <w:color w:val="000000" w:themeColor="text1"/>
          <w:sz w:val="24"/>
          <w:szCs w:val="24"/>
        </w:rPr>
        <w:t xml:space="preserve"> i rea</w:t>
      </w:r>
      <w:r>
        <w:rPr>
          <w:rFonts w:ascii="Times New Roman" w:hAnsi="Times New Roman"/>
          <w:noProof/>
          <w:color w:val="000000" w:themeColor="text1"/>
          <w:sz w:val="24"/>
          <w:szCs w:val="24"/>
        </w:rPr>
        <w:t>gowania mogą zniweczyć korzyści, jakie dotychczas przyniosła koordynacja środków bezpieczeństwa zdrowotnego</w:t>
      </w:r>
      <w:r w:rsidR="00525C12">
        <w:rPr>
          <w:rFonts w:ascii="Times New Roman" w:hAnsi="Times New Roman"/>
          <w:noProof/>
          <w:color w:val="000000" w:themeColor="text1"/>
          <w:sz w:val="24"/>
          <w:szCs w:val="24"/>
        </w:rPr>
        <w:t xml:space="preserve"> w cał</w:t>
      </w:r>
      <w:r>
        <w:rPr>
          <w:rFonts w:ascii="Times New Roman" w:hAnsi="Times New Roman"/>
          <w:noProof/>
          <w:color w:val="000000" w:themeColor="text1"/>
          <w:sz w:val="24"/>
          <w:szCs w:val="24"/>
        </w:rPr>
        <w:t>ej UE. Unijna strategia dotycząca szczepionek zapewniła wszystkim dostęp do wystarczającej liczby bezpiecznych</w:t>
      </w:r>
      <w:r w:rsidR="00525C12">
        <w:rPr>
          <w:rFonts w:ascii="Times New Roman" w:hAnsi="Times New Roman"/>
          <w:noProof/>
          <w:color w:val="000000" w:themeColor="text1"/>
          <w:sz w:val="24"/>
          <w:szCs w:val="24"/>
        </w:rPr>
        <w:t xml:space="preserve"> i sku</w:t>
      </w:r>
      <w:r>
        <w:rPr>
          <w:rFonts w:ascii="Times New Roman" w:hAnsi="Times New Roman"/>
          <w:noProof/>
          <w:color w:val="000000" w:themeColor="text1"/>
          <w:sz w:val="24"/>
          <w:szCs w:val="24"/>
        </w:rPr>
        <w:t>tecznych szczepień</w:t>
      </w:r>
      <w:r w:rsidR="00525C12">
        <w:rPr>
          <w:rFonts w:ascii="Times New Roman" w:hAnsi="Times New Roman"/>
          <w:noProof/>
          <w:color w:val="000000" w:themeColor="text1"/>
          <w:sz w:val="24"/>
          <w:szCs w:val="24"/>
        </w:rPr>
        <w:t>. Z sza</w:t>
      </w:r>
      <w:r>
        <w:rPr>
          <w:rFonts w:ascii="Times New Roman" w:hAnsi="Times New Roman"/>
          <w:noProof/>
          <w:color w:val="000000" w:themeColor="text1"/>
          <w:sz w:val="24"/>
          <w:szCs w:val="24"/>
        </w:rPr>
        <w:t>cunków WHO</w:t>
      </w:r>
      <w:r w:rsidR="00525C12">
        <w:rPr>
          <w:rFonts w:ascii="Times New Roman" w:hAnsi="Times New Roman"/>
          <w:noProof/>
          <w:color w:val="000000" w:themeColor="text1"/>
          <w:sz w:val="24"/>
          <w:szCs w:val="24"/>
        </w:rPr>
        <w:t xml:space="preserve"> i Eur</w:t>
      </w:r>
      <w:r>
        <w:rPr>
          <w:rFonts w:ascii="Times New Roman" w:hAnsi="Times New Roman"/>
          <w:noProof/>
          <w:color w:val="000000" w:themeColor="text1"/>
          <w:sz w:val="24"/>
          <w:szCs w:val="24"/>
        </w:rPr>
        <w:t>opejskiego Centrum ds. Zapobiegania</w:t>
      </w:r>
      <w:r w:rsidR="00525C12">
        <w:rPr>
          <w:rFonts w:ascii="Times New Roman" w:hAnsi="Times New Roman"/>
          <w:noProof/>
          <w:color w:val="000000" w:themeColor="text1"/>
          <w:sz w:val="24"/>
          <w:szCs w:val="24"/>
        </w:rPr>
        <w:t xml:space="preserve"> i Kon</w:t>
      </w:r>
      <w:r>
        <w:rPr>
          <w:rFonts w:ascii="Times New Roman" w:hAnsi="Times New Roman"/>
          <w:noProof/>
          <w:color w:val="000000" w:themeColor="text1"/>
          <w:sz w:val="24"/>
          <w:szCs w:val="24"/>
        </w:rPr>
        <w:t>troli Chorób (ECDC) wynika, że szczepionki przeciwko COVID-19 uratowały życie niemal pół miliona osób</w:t>
      </w:r>
      <w:r w:rsidR="00525C12">
        <w:rPr>
          <w:rFonts w:ascii="Times New Roman" w:hAnsi="Times New Roman"/>
          <w:noProof/>
          <w:color w:val="000000" w:themeColor="text1"/>
          <w:sz w:val="24"/>
          <w:szCs w:val="24"/>
        </w:rPr>
        <w:t xml:space="preserve"> w cał</w:t>
      </w:r>
      <w:r>
        <w:rPr>
          <w:rFonts w:ascii="Times New Roman" w:hAnsi="Times New Roman"/>
          <w:noProof/>
          <w:color w:val="000000" w:themeColor="text1"/>
          <w:sz w:val="24"/>
          <w:szCs w:val="24"/>
        </w:rPr>
        <w:t>ej Europie</w:t>
      </w:r>
      <w:r w:rsidR="00C30631">
        <w:rPr>
          <w:rStyle w:val="FootnoteReference"/>
          <w:rFonts w:ascii="Times New Roman" w:eastAsia="Times New Roman" w:hAnsi="Times New Roman" w:cs="Times New Roman"/>
          <w:noProof/>
          <w:color w:val="000000" w:themeColor="text1"/>
          <w:sz w:val="24"/>
          <w:szCs w:val="24"/>
          <w:lang w:eastAsia="en-GB"/>
        </w:rPr>
        <w:footnoteReference w:id="2"/>
      </w:r>
      <w:r w:rsidR="00525C12">
        <w:rPr>
          <w:rFonts w:ascii="Times New Roman" w:hAnsi="Times New Roman"/>
          <w:noProof/>
          <w:color w:val="000000" w:themeColor="text1"/>
          <w:sz w:val="24"/>
          <w:szCs w:val="24"/>
        </w:rPr>
        <w:t xml:space="preserve"> i w wie</w:t>
      </w:r>
      <w:r>
        <w:rPr>
          <w:rFonts w:ascii="Times New Roman" w:hAnsi="Times New Roman"/>
          <w:noProof/>
          <w:color w:val="000000" w:themeColor="text1"/>
          <w:sz w:val="24"/>
          <w:szCs w:val="24"/>
        </w:rPr>
        <w:t xml:space="preserve">lu przypadkach zapobiegły poważnemu przebiegowi choroby. </w:t>
      </w:r>
    </w:p>
    <w:p w14:paraId="218A65D1" w14:textId="1F83C77D" w:rsidR="00CD49F7" w:rsidRDefault="00CD49F7" w:rsidP="006310EC">
      <w:pPr>
        <w:spacing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Dzięki podejmowaniu wspólnych działań UE utrzymała również funkcjonowanie jednolitego rynku, zminimalizowała ograniczenia związane</w:t>
      </w:r>
      <w:r w:rsidR="00525C12">
        <w:rPr>
          <w:rFonts w:ascii="Times New Roman" w:hAnsi="Times New Roman"/>
          <w:noProof/>
          <w:color w:val="000000" w:themeColor="text1"/>
          <w:sz w:val="24"/>
          <w:szCs w:val="24"/>
        </w:rPr>
        <w:t xml:space="preserve"> z pod</w:t>
      </w:r>
      <w:r>
        <w:rPr>
          <w:rFonts w:ascii="Times New Roman" w:hAnsi="Times New Roman"/>
          <w:noProof/>
          <w:color w:val="000000" w:themeColor="text1"/>
          <w:sz w:val="24"/>
          <w:szCs w:val="24"/>
        </w:rPr>
        <w:t>różą</w:t>
      </w:r>
      <w:r w:rsidR="00525C12">
        <w:rPr>
          <w:rFonts w:ascii="Times New Roman" w:hAnsi="Times New Roman"/>
          <w:noProof/>
          <w:color w:val="000000" w:themeColor="text1"/>
          <w:sz w:val="24"/>
          <w:szCs w:val="24"/>
        </w:rPr>
        <w:t xml:space="preserve"> i zmo</w:t>
      </w:r>
      <w:r>
        <w:rPr>
          <w:rFonts w:ascii="Times New Roman" w:hAnsi="Times New Roman"/>
          <w:noProof/>
          <w:color w:val="000000" w:themeColor="text1"/>
          <w:sz w:val="24"/>
          <w:szCs w:val="24"/>
        </w:rPr>
        <w:t>bilizowała zdolności produkcyjne</w:t>
      </w:r>
      <w:r w:rsidR="00525C12">
        <w:rPr>
          <w:rFonts w:ascii="Times New Roman" w:hAnsi="Times New Roman"/>
          <w:noProof/>
          <w:color w:val="000000" w:themeColor="text1"/>
          <w:sz w:val="24"/>
          <w:szCs w:val="24"/>
        </w:rPr>
        <w:t xml:space="preserve"> w zak</w:t>
      </w:r>
      <w:r>
        <w:rPr>
          <w:rFonts w:ascii="Times New Roman" w:hAnsi="Times New Roman"/>
          <w:noProof/>
          <w:color w:val="000000" w:themeColor="text1"/>
          <w:sz w:val="24"/>
          <w:szCs w:val="24"/>
        </w:rPr>
        <w:t>resie najważniejszych produktów</w:t>
      </w:r>
      <w:r w:rsidR="00525C12">
        <w:rPr>
          <w:rFonts w:ascii="Times New Roman" w:hAnsi="Times New Roman"/>
          <w:noProof/>
          <w:color w:val="000000" w:themeColor="text1"/>
          <w:sz w:val="24"/>
          <w:szCs w:val="24"/>
        </w:rPr>
        <w:t xml:space="preserve"> w cza</w:t>
      </w:r>
      <w:r>
        <w:rPr>
          <w:rFonts w:ascii="Times New Roman" w:hAnsi="Times New Roman"/>
          <w:noProof/>
          <w:color w:val="000000" w:themeColor="text1"/>
          <w:sz w:val="24"/>
          <w:szCs w:val="24"/>
        </w:rPr>
        <w:t>sie zakłóceń</w:t>
      </w:r>
      <w:r w:rsidR="00525C12">
        <w:rPr>
          <w:rFonts w:ascii="Times New Roman" w:hAnsi="Times New Roman"/>
          <w:noProof/>
          <w:color w:val="000000" w:themeColor="text1"/>
          <w:sz w:val="24"/>
          <w:szCs w:val="24"/>
        </w:rPr>
        <w:t xml:space="preserve"> w łań</w:t>
      </w:r>
      <w:r>
        <w:rPr>
          <w:rFonts w:ascii="Times New Roman" w:hAnsi="Times New Roman"/>
          <w:noProof/>
          <w:color w:val="000000" w:themeColor="text1"/>
          <w:sz w:val="24"/>
          <w:szCs w:val="24"/>
        </w:rPr>
        <w:t>cuchach dostaw dzięki wytrwałej pracy osób będących „na pierwszej linii”</w:t>
      </w:r>
      <w:r w:rsidR="00525C12">
        <w:rPr>
          <w:rFonts w:ascii="Times New Roman" w:hAnsi="Times New Roman"/>
          <w:noProof/>
          <w:color w:val="000000" w:themeColor="text1"/>
          <w:sz w:val="24"/>
          <w:szCs w:val="24"/>
        </w:rPr>
        <w:t>. W now</w:t>
      </w:r>
      <w:r>
        <w:rPr>
          <w:rFonts w:ascii="Times New Roman" w:hAnsi="Times New Roman"/>
          <w:noProof/>
          <w:color w:val="000000" w:themeColor="text1"/>
          <w:sz w:val="24"/>
          <w:szCs w:val="24"/>
        </w:rPr>
        <w:t>ej fazie pandemii koordynacja działań ponownie będzie miała zasadnicze znaczenie.</w:t>
      </w:r>
    </w:p>
    <w:p w14:paraId="7CE374D8" w14:textId="40C3B207" w:rsidR="006310EC" w:rsidRDefault="1455EF49" w:rsidP="006310EC">
      <w:pPr>
        <w:spacing w:line="240" w:lineRule="auto"/>
        <w:jc w:val="both"/>
        <w:rPr>
          <w:rFonts w:ascii="Times New Roman" w:hAnsi="Times New Roman" w:cs="Times New Roman"/>
          <w:noProof/>
          <w:sz w:val="24"/>
          <w:szCs w:val="24"/>
        </w:rPr>
      </w:pPr>
      <w:r>
        <w:rPr>
          <w:rFonts w:ascii="Times New Roman" w:hAnsi="Times New Roman"/>
          <w:noProof/>
          <w:color w:val="000000" w:themeColor="text1"/>
          <w:sz w:val="24"/>
          <w:szCs w:val="24"/>
        </w:rPr>
        <w:t>W niniejszym komunikacie przedstawiono sposób zarządzania pandemią</w:t>
      </w:r>
      <w:r w:rsidR="00525C12">
        <w:rPr>
          <w:rFonts w:ascii="Times New Roman" w:hAnsi="Times New Roman"/>
          <w:noProof/>
          <w:color w:val="000000" w:themeColor="text1"/>
          <w:sz w:val="24"/>
          <w:szCs w:val="24"/>
        </w:rPr>
        <w:t xml:space="preserve"> w nad</w:t>
      </w:r>
      <w:r>
        <w:rPr>
          <w:rFonts w:ascii="Times New Roman" w:hAnsi="Times New Roman"/>
          <w:noProof/>
          <w:color w:val="000000" w:themeColor="text1"/>
          <w:sz w:val="24"/>
          <w:szCs w:val="24"/>
        </w:rPr>
        <w:t>chodzących miesiącach polegający na odejściu od stanu zagrożenia do trybu bardziej zrównoważonego. Zaleca się, aby państwa członkowskie podjęły działania przed jesienią,</w:t>
      </w:r>
      <w:r w:rsidR="00525C12">
        <w:rPr>
          <w:rFonts w:ascii="Times New Roman" w:hAnsi="Times New Roman"/>
          <w:noProof/>
          <w:color w:val="000000" w:themeColor="text1"/>
          <w:sz w:val="24"/>
          <w:szCs w:val="24"/>
        </w:rPr>
        <w:t xml:space="preserve"> w opa</w:t>
      </w:r>
      <w:r>
        <w:rPr>
          <w:rFonts w:ascii="Times New Roman" w:hAnsi="Times New Roman"/>
          <w:noProof/>
          <w:color w:val="000000" w:themeColor="text1"/>
          <w:sz w:val="24"/>
          <w:szCs w:val="24"/>
        </w:rPr>
        <w:t>rciu</w:t>
      </w:r>
      <w:r w:rsidR="00525C12">
        <w:rPr>
          <w:rFonts w:ascii="Times New Roman" w:hAnsi="Times New Roman"/>
          <w:noProof/>
          <w:color w:val="000000" w:themeColor="text1"/>
          <w:sz w:val="24"/>
          <w:szCs w:val="24"/>
        </w:rPr>
        <w:t xml:space="preserve"> o uda</w:t>
      </w:r>
      <w:r>
        <w:rPr>
          <w:rFonts w:ascii="Times New Roman" w:hAnsi="Times New Roman"/>
          <w:noProof/>
          <w:color w:val="000000" w:themeColor="text1"/>
          <w:sz w:val="24"/>
          <w:szCs w:val="24"/>
        </w:rPr>
        <w:t>ną ogólnounijną koordynację</w:t>
      </w:r>
      <w:r w:rsidR="00525C12">
        <w:rPr>
          <w:rFonts w:ascii="Times New Roman" w:hAnsi="Times New Roman"/>
          <w:noProof/>
          <w:color w:val="000000" w:themeColor="text1"/>
          <w:sz w:val="24"/>
          <w:szCs w:val="24"/>
        </w:rPr>
        <w:t xml:space="preserve"> w zak</w:t>
      </w:r>
      <w:r>
        <w:rPr>
          <w:rFonts w:ascii="Times New Roman" w:hAnsi="Times New Roman"/>
          <w:noProof/>
          <w:color w:val="000000" w:themeColor="text1"/>
          <w:sz w:val="24"/>
          <w:szCs w:val="24"/>
        </w:rPr>
        <w:t>resie gotowości</w:t>
      </w:r>
      <w:r w:rsidR="00525C12">
        <w:rPr>
          <w:rFonts w:ascii="Times New Roman" w:hAnsi="Times New Roman"/>
          <w:noProof/>
          <w:color w:val="000000" w:themeColor="text1"/>
          <w:sz w:val="24"/>
          <w:szCs w:val="24"/>
        </w:rPr>
        <w:t xml:space="preserve"> i rea</w:t>
      </w:r>
      <w:r>
        <w:rPr>
          <w:rFonts w:ascii="Times New Roman" w:hAnsi="Times New Roman"/>
          <w:noProof/>
          <w:color w:val="000000" w:themeColor="text1"/>
          <w:sz w:val="24"/>
          <w:szCs w:val="24"/>
        </w:rPr>
        <w:t>gowania</w:t>
      </w:r>
      <w:r w:rsidR="00525C12">
        <w:rPr>
          <w:rFonts w:ascii="Times New Roman" w:hAnsi="Times New Roman"/>
          <w:noProof/>
          <w:color w:val="000000" w:themeColor="text1"/>
          <w:sz w:val="24"/>
          <w:szCs w:val="24"/>
        </w:rPr>
        <w:t xml:space="preserve"> w dzi</w:t>
      </w:r>
      <w:r>
        <w:rPr>
          <w:rFonts w:ascii="Times New Roman" w:hAnsi="Times New Roman"/>
          <w:noProof/>
          <w:color w:val="000000" w:themeColor="text1"/>
          <w:sz w:val="24"/>
          <w:szCs w:val="24"/>
        </w:rPr>
        <w:t>edzinie zdrowia. Wspólnym celem powinna być ochrona zdrowia publicznego przy jednoczesnym utrzymaniu otwartości</w:t>
      </w:r>
      <w:r w:rsidR="00525C12">
        <w:rPr>
          <w:rFonts w:ascii="Times New Roman" w:hAnsi="Times New Roman"/>
          <w:noProof/>
          <w:color w:val="000000" w:themeColor="text1"/>
          <w:sz w:val="24"/>
          <w:szCs w:val="24"/>
        </w:rPr>
        <w:t xml:space="preserve"> i odp</w:t>
      </w:r>
      <w:r>
        <w:rPr>
          <w:rFonts w:ascii="Times New Roman" w:hAnsi="Times New Roman"/>
          <w:noProof/>
          <w:color w:val="000000" w:themeColor="text1"/>
          <w:sz w:val="24"/>
          <w:szCs w:val="24"/>
        </w:rPr>
        <w:t>orności społeczeństwa</w:t>
      </w:r>
      <w:r w:rsidR="00525C12">
        <w:rPr>
          <w:rFonts w:ascii="Times New Roman" w:hAnsi="Times New Roman"/>
          <w:noProof/>
          <w:color w:val="000000" w:themeColor="text1"/>
          <w:sz w:val="24"/>
          <w:szCs w:val="24"/>
        </w:rPr>
        <w:t xml:space="preserve"> i gos</w:t>
      </w:r>
      <w:r>
        <w:rPr>
          <w:rFonts w:ascii="Times New Roman" w:hAnsi="Times New Roman"/>
          <w:noProof/>
          <w:color w:val="000000" w:themeColor="text1"/>
          <w:sz w:val="24"/>
          <w:szCs w:val="24"/>
        </w:rPr>
        <w:t>podarki.</w:t>
      </w:r>
    </w:p>
    <w:p w14:paraId="3D06867E" w14:textId="2E0FD210" w:rsidR="00D11193" w:rsidRPr="00B628ED" w:rsidRDefault="00D11193" w:rsidP="005855E4">
      <w:pPr>
        <w:pStyle w:val="ListParagraph"/>
        <w:keepNext/>
        <w:numPr>
          <w:ilvl w:val="0"/>
          <w:numId w:val="5"/>
        </w:numPr>
        <w:spacing w:before="360" w:line="240" w:lineRule="auto"/>
        <w:rPr>
          <w:rFonts w:ascii="Times New Roman" w:hAnsi="Times New Roman" w:cs="Times New Roman"/>
          <w:b/>
          <w:noProof/>
          <w:sz w:val="24"/>
          <w:szCs w:val="24"/>
        </w:rPr>
      </w:pPr>
      <w:r>
        <w:rPr>
          <w:rFonts w:ascii="Times New Roman" w:hAnsi="Times New Roman"/>
          <w:b/>
          <w:noProof/>
          <w:sz w:val="24"/>
          <w:szCs w:val="24"/>
        </w:rPr>
        <w:t xml:space="preserve">OBECNY KONTEKST I WYZWANIA </w:t>
      </w:r>
    </w:p>
    <w:p w14:paraId="60CAFA16" w14:textId="083ADC8B" w:rsidR="00D11193" w:rsidRPr="00525C12" w:rsidRDefault="00A7352F" w:rsidP="00D11193">
      <w:pPr>
        <w:spacing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Jeżeli chodzi</w:t>
      </w:r>
      <w:r w:rsidR="00525C12">
        <w:rPr>
          <w:rFonts w:ascii="Times New Roman" w:hAnsi="Times New Roman"/>
          <w:noProof/>
          <w:color w:val="000000" w:themeColor="text1"/>
          <w:sz w:val="24"/>
          <w:szCs w:val="24"/>
        </w:rPr>
        <w:t xml:space="preserve"> o szc</w:t>
      </w:r>
      <w:r>
        <w:rPr>
          <w:rFonts w:ascii="Times New Roman" w:hAnsi="Times New Roman"/>
          <w:noProof/>
          <w:color w:val="000000" w:themeColor="text1"/>
          <w:sz w:val="24"/>
          <w:szCs w:val="24"/>
        </w:rPr>
        <w:t>zepienia, przed sezonem jesiennym niepokój budzą dwa elementy: stagn</w:t>
      </w:r>
      <w:r w:rsidR="002B59E4">
        <w:rPr>
          <w:rFonts w:ascii="Times New Roman" w:hAnsi="Times New Roman"/>
          <w:noProof/>
          <w:color w:val="000000" w:themeColor="text1"/>
          <w:sz w:val="24"/>
          <w:szCs w:val="24"/>
        </w:rPr>
        <w:t xml:space="preserve">acja lub nieoptymalna wysokość </w:t>
      </w:r>
      <w:r>
        <w:rPr>
          <w:rFonts w:ascii="Times New Roman" w:hAnsi="Times New Roman"/>
          <w:noProof/>
          <w:color w:val="000000" w:themeColor="text1"/>
          <w:sz w:val="24"/>
          <w:szCs w:val="24"/>
        </w:rPr>
        <w:t>wskaźnika wyszczepienia</w:t>
      </w:r>
      <w:r w:rsidR="00525C12">
        <w:rPr>
          <w:rFonts w:ascii="Times New Roman" w:hAnsi="Times New Roman"/>
          <w:noProof/>
          <w:color w:val="000000" w:themeColor="text1"/>
          <w:sz w:val="24"/>
          <w:szCs w:val="24"/>
        </w:rPr>
        <w:t xml:space="preserve"> w kil</w:t>
      </w:r>
      <w:r>
        <w:rPr>
          <w:rFonts w:ascii="Times New Roman" w:hAnsi="Times New Roman"/>
          <w:noProof/>
          <w:color w:val="000000" w:themeColor="text1"/>
          <w:sz w:val="24"/>
          <w:szCs w:val="24"/>
        </w:rPr>
        <w:t>ku państwach członkowskich UE; oraz mniejsza skuteczność szczepionki wśród osób, które nie otrzymały jeszcze dawki przypominającej. Ponad 90 mln kwalifikujących się osób w UE/EOG</w:t>
      </w:r>
      <w:r w:rsidR="00DB185E" w:rsidRPr="008B1096">
        <w:rPr>
          <w:rStyle w:val="FootnoteReference"/>
          <w:rFonts w:ascii="Times New Roman" w:eastAsia="Times New Roman" w:hAnsi="Times New Roman" w:cs="Times New Roman"/>
          <w:noProof/>
          <w:color w:val="000000" w:themeColor="text1"/>
          <w:sz w:val="24"/>
          <w:szCs w:val="24"/>
          <w:lang w:eastAsia="en-GB"/>
        </w:rPr>
        <w:footnoteReference w:id="3"/>
      </w:r>
      <w:r>
        <w:rPr>
          <w:rFonts w:ascii="Times New Roman" w:hAnsi="Times New Roman"/>
          <w:noProof/>
          <w:color w:val="000000" w:themeColor="text1"/>
          <w:sz w:val="24"/>
          <w:szCs w:val="24"/>
        </w:rPr>
        <w:t xml:space="preserve"> nadal nie zostało zaszczepionych,</w:t>
      </w:r>
      <w:r w:rsidR="00525C12">
        <w:rPr>
          <w:rFonts w:ascii="Times New Roman" w:hAnsi="Times New Roman"/>
          <w:noProof/>
          <w:color w:val="000000" w:themeColor="text1"/>
          <w:sz w:val="24"/>
          <w:szCs w:val="24"/>
        </w:rPr>
        <w:t xml:space="preserve"> w tym</w:t>
      </w:r>
      <w:r>
        <w:rPr>
          <w:rFonts w:ascii="Times New Roman" w:hAnsi="Times New Roman"/>
          <w:noProof/>
          <w:color w:val="000000" w:themeColor="text1"/>
          <w:sz w:val="24"/>
          <w:szCs w:val="24"/>
        </w:rPr>
        <w:t xml:space="preserve"> około 9 mln osób</w:t>
      </w:r>
      <w:r w:rsidR="00525C12">
        <w:rPr>
          <w:rFonts w:ascii="Times New Roman" w:hAnsi="Times New Roman"/>
          <w:noProof/>
          <w:color w:val="000000" w:themeColor="text1"/>
          <w:sz w:val="24"/>
          <w:szCs w:val="24"/>
        </w:rPr>
        <w:t xml:space="preserve"> w wie</w:t>
      </w:r>
      <w:r>
        <w:rPr>
          <w:rFonts w:ascii="Times New Roman" w:hAnsi="Times New Roman"/>
          <w:noProof/>
          <w:color w:val="000000" w:themeColor="text1"/>
          <w:sz w:val="24"/>
          <w:szCs w:val="24"/>
        </w:rPr>
        <w:t>ku 60 lat</w:t>
      </w:r>
      <w:r w:rsidR="00525C12">
        <w:rPr>
          <w:rFonts w:ascii="Times New Roman" w:hAnsi="Times New Roman"/>
          <w:noProof/>
          <w:color w:val="000000" w:themeColor="text1"/>
          <w:sz w:val="24"/>
          <w:szCs w:val="24"/>
        </w:rPr>
        <w:t xml:space="preserve"> i sta</w:t>
      </w:r>
      <w:r>
        <w:rPr>
          <w:rFonts w:ascii="Times New Roman" w:hAnsi="Times New Roman"/>
          <w:noProof/>
          <w:color w:val="000000" w:themeColor="text1"/>
          <w:sz w:val="24"/>
          <w:szCs w:val="24"/>
        </w:rPr>
        <w:t>rszych, co zwiększa ryzyko śmiertelności</w:t>
      </w:r>
      <w:r w:rsidR="00525C12">
        <w:rPr>
          <w:rFonts w:ascii="Times New Roman" w:hAnsi="Times New Roman"/>
          <w:noProof/>
          <w:color w:val="000000" w:themeColor="text1"/>
          <w:sz w:val="24"/>
          <w:szCs w:val="24"/>
        </w:rPr>
        <w:t xml:space="preserve"> i poj</w:t>
      </w:r>
      <w:r>
        <w:rPr>
          <w:rFonts w:ascii="Times New Roman" w:hAnsi="Times New Roman"/>
          <w:noProof/>
          <w:color w:val="000000" w:themeColor="text1"/>
          <w:sz w:val="24"/>
          <w:szCs w:val="24"/>
        </w:rPr>
        <w:t>awienia się nowych wariantów. Ponadto istnieją duże różnice pod względem wskaźnika wyszczepienia</w:t>
      </w:r>
      <w:r w:rsidR="00525C12">
        <w:rPr>
          <w:rFonts w:ascii="Times New Roman" w:hAnsi="Times New Roman"/>
          <w:noProof/>
          <w:color w:val="000000" w:themeColor="text1"/>
          <w:sz w:val="24"/>
          <w:szCs w:val="24"/>
        </w:rPr>
        <w:t xml:space="preserve"> w pos</w:t>
      </w:r>
      <w:r>
        <w:rPr>
          <w:rFonts w:ascii="Times New Roman" w:hAnsi="Times New Roman"/>
          <w:noProof/>
          <w:color w:val="000000" w:themeColor="text1"/>
          <w:sz w:val="24"/>
          <w:szCs w:val="24"/>
        </w:rPr>
        <w:t>zczególnych państwach członkowskich UE/EOG</w:t>
      </w:r>
      <w:r w:rsidR="00525C12">
        <w:rPr>
          <w:rFonts w:ascii="Times New Roman" w:hAnsi="Times New Roman"/>
          <w:noProof/>
          <w:color w:val="000000" w:themeColor="text1"/>
          <w:sz w:val="24"/>
          <w:szCs w:val="24"/>
        </w:rPr>
        <w:t>. W nie</w:t>
      </w:r>
      <w:r>
        <w:rPr>
          <w:rFonts w:ascii="Times New Roman" w:hAnsi="Times New Roman"/>
          <w:noProof/>
          <w:color w:val="000000" w:themeColor="text1"/>
          <w:sz w:val="24"/>
          <w:szCs w:val="24"/>
        </w:rPr>
        <w:t>których</w:t>
      </w:r>
      <w:r w:rsidR="00525C12">
        <w:rPr>
          <w:rFonts w:ascii="Times New Roman" w:hAnsi="Times New Roman"/>
          <w:noProof/>
          <w:color w:val="000000" w:themeColor="text1"/>
          <w:sz w:val="24"/>
          <w:szCs w:val="24"/>
        </w:rPr>
        <w:t xml:space="preserve"> z nic</w:t>
      </w:r>
      <w:r>
        <w:rPr>
          <w:rFonts w:ascii="Times New Roman" w:hAnsi="Times New Roman"/>
          <w:noProof/>
          <w:color w:val="000000" w:themeColor="text1"/>
          <w:sz w:val="24"/>
          <w:szCs w:val="24"/>
        </w:rPr>
        <w:t>h prawie 8</w:t>
      </w:r>
      <w:r w:rsidRPr="00525C12">
        <w:rPr>
          <w:rFonts w:ascii="Times New Roman" w:hAnsi="Times New Roman"/>
          <w:noProof/>
          <w:color w:val="000000" w:themeColor="text1"/>
          <w:sz w:val="24"/>
          <w:szCs w:val="24"/>
        </w:rPr>
        <w:t>5</w:t>
      </w:r>
      <w:r w:rsidR="00525C12" w:rsidRPr="00525C12">
        <w:rPr>
          <w:rFonts w:ascii="Times New Roman" w:hAnsi="Times New Roman"/>
          <w:noProof/>
          <w:color w:val="000000" w:themeColor="text1"/>
          <w:sz w:val="24"/>
          <w:szCs w:val="24"/>
        </w:rPr>
        <w:t> </w:t>
      </w:r>
      <w:r w:rsidRPr="00525C12">
        <w:rPr>
          <w:rFonts w:ascii="Times New Roman" w:hAnsi="Times New Roman"/>
          <w:noProof/>
          <w:color w:val="000000" w:themeColor="text1"/>
          <w:sz w:val="24"/>
          <w:szCs w:val="24"/>
        </w:rPr>
        <w:t>%</w:t>
      </w:r>
      <w:r>
        <w:rPr>
          <w:rFonts w:ascii="Times New Roman" w:hAnsi="Times New Roman"/>
          <w:noProof/>
          <w:color w:val="000000" w:themeColor="text1"/>
          <w:sz w:val="24"/>
          <w:szCs w:val="24"/>
        </w:rPr>
        <w:t xml:space="preserve"> całej populacji otrzymało pełny cykl szczepień pierwotnych,</w:t>
      </w:r>
      <w:r w:rsidR="00525C12">
        <w:rPr>
          <w:rFonts w:ascii="Times New Roman" w:hAnsi="Times New Roman"/>
          <w:noProof/>
          <w:color w:val="000000" w:themeColor="text1"/>
          <w:sz w:val="24"/>
          <w:szCs w:val="24"/>
        </w:rPr>
        <w:t xml:space="preserve"> w inn</w:t>
      </w:r>
      <w:r>
        <w:rPr>
          <w:rFonts w:ascii="Times New Roman" w:hAnsi="Times New Roman"/>
          <w:noProof/>
          <w:color w:val="000000" w:themeColor="text1"/>
          <w:sz w:val="24"/>
          <w:szCs w:val="24"/>
        </w:rPr>
        <w:t>ych odsetek ten wynosi mniej niż 5</w:t>
      </w:r>
      <w:r w:rsidRPr="00525C12">
        <w:rPr>
          <w:rFonts w:ascii="Times New Roman" w:hAnsi="Times New Roman"/>
          <w:noProof/>
          <w:color w:val="000000" w:themeColor="text1"/>
          <w:sz w:val="24"/>
          <w:szCs w:val="24"/>
        </w:rPr>
        <w:t>0</w:t>
      </w:r>
      <w:r w:rsidR="00525C12" w:rsidRPr="00525C12">
        <w:rPr>
          <w:rFonts w:ascii="Times New Roman" w:hAnsi="Times New Roman"/>
          <w:noProof/>
          <w:color w:val="000000" w:themeColor="text1"/>
          <w:sz w:val="24"/>
          <w:szCs w:val="24"/>
        </w:rPr>
        <w:t> </w:t>
      </w:r>
      <w:r w:rsidRPr="00525C12">
        <w:rPr>
          <w:rFonts w:ascii="Times New Roman" w:hAnsi="Times New Roman"/>
          <w:noProof/>
          <w:color w:val="000000" w:themeColor="text1"/>
          <w:sz w:val="24"/>
          <w:szCs w:val="24"/>
        </w:rPr>
        <w:t>%</w:t>
      </w:r>
      <w:r>
        <w:rPr>
          <w:rFonts w:ascii="Times New Roman" w:hAnsi="Times New Roman"/>
          <w:noProof/>
          <w:color w:val="000000" w:themeColor="text1"/>
          <w:sz w:val="24"/>
          <w:szCs w:val="24"/>
        </w:rPr>
        <w:t>. Po drugie odsetek osób dorosłych</w:t>
      </w:r>
      <w:r w:rsidR="00525C12">
        <w:rPr>
          <w:rFonts w:ascii="Times New Roman" w:hAnsi="Times New Roman"/>
          <w:noProof/>
          <w:color w:val="000000" w:themeColor="text1"/>
          <w:sz w:val="24"/>
          <w:szCs w:val="24"/>
        </w:rPr>
        <w:t xml:space="preserve"> w wie</w:t>
      </w:r>
      <w:r>
        <w:rPr>
          <w:rFonts w:ascii="Times New Roman" w:hAnsi="Times New Roman"/>
          <w:noProof/>
          <w:color w:val="000000" w:themeColor="text1"/>
          <w:sz w:val="24"/>
          <w:szCs w:val="24"/>
        </w:rPr>
        <w:t>ku powyżej 18 lat w UE/EOG, które otrzymały dawkę przypominającą, zaczął się stabilizować na tym samym poziomie</w:t>
      </w:r>
      <w:r w:rsidR="00525C12">
        <w:rPr>
          <w:rFonts w:ascii="Times New Roman" w:hAnsi="Times New Roman"/>
          <w:noProof/>
          <w:color w:val="000000" w:themeColor="text1"/>
          <w:sz w:val="24"/>
          <w:szCs w:val="24"/>
        </w:rPr>
        <w:t xml:space="preserve"> i obe</w:t>
      </w:r>
      <w:r>
        <w:rPr>
          <w:rFonts w:ascii="Times New Roman" w:hAnsi="Times New Roman"/>
          <w:noProof/>
          <w:color w:val="000000" w:themeColor="text1"/>
          <w:sz w:val="24"/>
          <w:szCs w:val="24"/>
        </w:rPr>
        <w:t>cnie wynosi około 6</w:t>
      </w:r>
      <w:r w:rsidRPr="00525C12">
        <w:rPr>
          <w:rFonts w:ascii="Times New Roman" w:hAnsi="Times New Roman"/>
          <w:noProof/>
          <w:color w:val="000000" w:themeColor="text1"/>
          <w:sz w:val="24"/>
          <w:szCs w:val="24"/>
        </w:rPr>
        <w:t>4</w:t>
      </w:r>
      <w:r w:rsidR="00525C12" w:rsidRPr="00525C12">
        <w:rPr>
          <w:rFonts w:ascii="Times New Roman" w:hAnsi="Times New Roman"/>
          <w:noProof/>
          <w:color w:val="000000" w:themeColor="text1"/>
          <w:sz w:val="24"/>
          <w:szCs w:val="24"/>
        </w:rPr>
        <w:t> </w:t>
      </w:r>
      <w:r w:rsidRPr="00525C12">
        <w:rPr>
          <w:rFonts w:ascii="Times New Roman" w:hAnsi="Times New Roman"/>
          <w:noProof/>
          <w:color w:val="000000" w:themeColor="text1"/>
          <w:sz w:val="24"/>
          <w:szCs w:val="24"/>
        </w:rPr>
        <w:t>%</w:t>
      </w:r>
      <w:r w:rsidR="004D4F31">
        <w:rPr>
          <w:rStyle w:val="FootnoteReference"/>
          <w:rFonts w:ascii="Times New Roman" w:eastAsia="Times New Roman" w:hAnsi="Times New Roman" w:cs="Times New Roman"/>
          <w:noProof/>
          <w:color w:val="000000" w:themeColor="text1"/>
          <w:sz w:val="24"/>
          <w:szCs w:val="24"/>
          <w:lang w:eastAsia="en-GB"/>
        </w:rPr>
        <w:footnoteReference w:id="4"/>
      </w:r>
      <w:r w:rsidRPr="00525C12">
        <w:rPr>
          <w:rFonts w:ascii="Times New Roman" w:hAnsi="Times New Roman"/>
          <w:noProof/>
          <w:color w:val="000000" w:themeColor="text1"/>
          <w:sz w:val="24"/>
          <w:szCs w:val="24"/>
        </w:rPr>
        <w:t>.</w:t>
      </w:r>
      <w:r w:rsidR="00525C12" w:rsidRPr="00525C12">
        <w:rPr>
          <w:rFonts w:ascii="Times New Roman" w:hAnsi="Times New Roman"/>
          <w:noProof/>
          <w:color w:val="000000" w:themeColor="text1"/>
          <w:sz w:val="24"/>
          <w:szCs w:val="24"/>
        </w:rPr>
        <w:t xml:space="preserve"> </w:t>
      </w:r>
    </w:p>
    <w:p w14:paraId="65E8F714" w14:textId="06F72680" w:rsidR="00591A06" w:rsidRDefault="04F17A2B" w:rsidP="20C88EBE">
      <w:pPr>
        <w:spacing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sz w:val="24"/>
          <w:szCs w:val="24"/>
        </w:rPr>
        <w:t>Choć trudno przewidzieć dalszy przebieg pandemii, jedno jest pewne: COVID-19 nie zniknie. Wirus będzie nadal ewoluował,</w:t>
      </w:r>
      <w:r w:rsidR="00525C12">
        <w:rPr>
          <w:rFonts w:ascii="Times New Roman" w:hAnsi="Times New Roman"/>
          <w:noProof/>
          <w:sz w:val="24"/>
          <w:szCs w:val="24"/>
        </w:rPr>
        <w:t xml:space="preserve"> a poj</w:t>
      </w:r>
      <w:r>
        <w:rPr>
          <w:rFonts w:ascii="Times New Roman" w:hAnsi="Times New Roman"/>
          <w:noProof/>
          <w:sz w:val="24"/>
          <w:szCs w:val="24"/>
        </w:rPr>
        <w:t xml:space="preserve">awienie się nowych wariantów jest bardzo prawdopodobne. </w:t>
      </w:r>
      <w:r>
        <w:rPr>
          <w:rFonts w:ascii="Times New Roman" w:hAnsi="Times New Roman"/>
          <w:noProof/>
          <w:color w:val="000000" w:themeColor="text1"/>
          <w:sz w:val="24"/>
          <w:szCs w:val="24"/>
        </w:rPr>
        <w:t>Nasza odpowiedź musi polegać na utrzymaniu wysokiego poziomu gotowości na wypadek wybuchu epidemii COVID-19</w:t>
      </w:r>
      <w:r w:rsidR="00525C12">
        <w:rPr>
          <w:rFonts w:ascii="Times New Roman" w:hAnsi="Times New Roman"/>
          <w:noProof/>
          <w:color w:val="000000" w:themeColor="text1"/>
          <w:sz w:val="24"/>
          <w:szCs w:val="24"/>
        </w:rPr>
        <w:t xml:space="preserve"> i poj</w:t>
      </w:r>
      <w:r>
        <w:rPr>
          <w:rFonts w:ascii="Times New Roman" w:hAnsi="Times New Roman"/>
          <w:noProof/>
          <w:color w:val="000000" w:themeColor="text1"/>
          <w:sz w:val="24"/>
          <w:szCs w:val="24"/>
        </w:rPr>
        <w:t>awienia się nowych wariantów wirusa oraz na zwiększeniu wskaźnika wyszczepienia poprzez ukierunkowane działania</w:t>
      </w:r>
      <w:r w:rsidR="00525C12">
        <w:rPr>
          <w:rFonts w:ascii="Times New Roman" w:hAnsi="Times New Roman"/>
          <w:noProof/>
          <w:color w:val="000000" w:themeColor="text1"/>
          <w:sz w:val="24"/>
          <w:szCs w:val="24"/>
        </w:rPr>
        <w:t xml:space="preserve"> w cel</w:t>
      </w:r>
      <w:r>
        <w:rPr>
          <w:rFonts w:ascii="Times New Roman" w:hAnsi="Times New Roman"/>
          <w:noProof/>
          <w:color w:val="000000" w:themeColor="text1"/>
          <w:sz w:val="24"/>
          <w:szCs w:val="24"/>
        </w:rPr>
        <w:t>u dotarcia do osób, które nadal nie są zaszczepione.</w:t>
      </w:r>
    </w:p>
    <w:p w14:paraId="3AC52B09" w14:textId="3B22C175" w:rsidR="00CF1835" w:rsidRDefault="005142F3" w:rsidP="00CF1835">
      <w:pPr>
        <w:spacing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Państwa dostosowują swoje strategie testowania, np. skupiając się na ciężkich przypadkach</w:t>
      </w:r>
      <w:r w:rsidR="00525C12">
        <w:rPr>
          <w:rFonts w:ascii="Times New Roman" w:hAnsi="Times New Roman"/>
          <w:noProof/>
          <w:color w:val="000000" w:themeColor="text1"/>
          <w:sz w:val="24"/>
          <w:szCs w:val="24"/>
        </w:rPr>
        <w:t xml:space="preserve"> i oso</w:t>
      </w:r>
      <w:r>
        <w:rPr>
          <w:rFonts w:ascii="Times New Roman" w:hAnsi="Times New Roman"/>
          <w:noProof/>
          <w:color w:val="000000" w:themeColor="text1"/>
          <w:sz w:val="24"/>
          <w:szCs w:val="24"/>
        </w:rPr>
        <w:t>bach,</w:t>
      </w:r>
      <w:r w:rsidR="00525C12">
        <w:rPr>
          <w:rFonts w:ascii="Times New Roman" w:hAnsi="Times New Roman"/>
          <w:noProof/>
          <w:color w:val="000000" w:themeColor="text1"/>
          <w:sz w:val="24"/>
          <w:szCs w:val="24"/>
        </w:rPr>
        <w:t xml:space="preserve"> w prz</w:t>
      </w:r>
      <w:r>
        <w:rPr>
          <w:rFonts w:ascii="Times New Roman" w:hAnsi="Times New Roman"/>
          <w:noProof/>
          <w:color w:val="000000" w:themeColor="text1"/>
          <w:sz w:val="24"/>
          <w:szCs w:val="24"/>
        </w:rPr>
        <w:t>ypadku których istnieją czynniki ryzyka ciężkiego przebiegu choroby</w:t>
      </w:r>
      <w:r w:rsidR="00525C12">
        <w:rPr>
          <w:rFonts w:ascii="Times New Roman" w:hAnsi="Times New Roman"/>
          <w:noProof/>
          <w:color w:val="000000" w:themeColor="text1"/>
          <w:sz w:val="24"/>
          <w:szCs w:val="24"/>
        </w:rPr>
        <w:t>. W mia</w:t>
      </w:r>
      <w:r>
        <w:rPr>
          <w:rFonts w:ascii="Times New Roman" w:hAnsi="Times New Roman"/>
          <w:noProof/>
          <w:color w:val="000000" w:themeColor="text1"/>
          <w:sz w:val="24"/>
          <w:szCs w:val="24"/>
        </w:rPr>
        <w:t>rę jak</w:t>
      </w:r>
      <w:r w:rsidR="00525C12">
        <w:rPr>
          <w:rFonts w:ascii="Times New Roman" w:hAnsi="Times New Roman"/>
          <w:noProof/>
          <w:color w:val="000000" w:themeColor="text1"/>
          <w:sz w:val="24"/>
          <w:szCs w:val="24"/>
        </w:rPr>
        <w:t xml:space="preserve"> w pań</w:t>
      </w:r>
      <w:r>
        <w:rPr>
          <w:rFonts w:ascii="Times New Roman" w:hAnsi="Times New Roman"/>
          <w:noProof/>
          <w:color w:val="000000" w:themeColor="text1"/>
          <w:sz w:val="24"/>
          <w:szCs w:val="24"/>
        </w:rPr>
        <w:t>stwach członkowskich zmieniają się strategie testowania, ich zasięg prawdopodobnie będzie się zmniejszał. Ponadto zmiana ta sprawi, że interpretacja danych epidemiologicznych stanie się trudniejsza. Dlatego ważne jest, aby nowe strategie testowania zostały opracowane</w:t>
      </w:r>
      <w:r w:rsidR="00525C12">
        <w:rPr>
          <w:rFonts w:ascii="Times New Roman" w:hAnsi="Times New Roman"/>
          <w:noProof/>
          <w:color w:val="000000" w:themeColor="text1"/>
          <w:sz w:val="24"/>
          <w:szCs w:val="24"/>
        </w:rPr>
        <w:t xml:space="preserve"> w spo</w:t>
      </w:r>
      <w:r>
        <w:rPr>
          <w:rFonts w:ascii="Times New Roman" w:hAnsi="Times New Roman"/>
          <w:noProof/>
          <w:color w:val="000000" w:themeColor="text1"/>
          <w:sz w:val="24"/>
          <w:szCs w:val="24"/>
        </w:rPr>
        <w:t>sób zapewniający ich reprezentatywność,</w:t>
      </w:r>
      <w:r w:rsidR="00525C12">
        <w:rPr>
          <w:rFonts w:ascii="Times New Roman" w:hAnsi="Times New Roman"/>
          <w:noProof/>
          <w:color w:val="000000" w:themeColor="text1"/>
          <w:sz w:val="24"/>
          <w:szCs w:val="24"/>
        </w:rPr>
        <w:t xml:space="preserve"> a tym</w:t>
      </w:r>
      <w:r>
        <w:rPr>
          <w:rFonts w:ascii="Times New Roman" w:hAnsi="Times New Roman"/>
          <w:noProof/>
          <w:color w:val="000000" w:themeColor="text1"/>
          <w:sz w:val="24"/>
          <w:szCs w:val="24"/>
        </w:rPr>
        <w:t xml:space="preserve"> samym dostarczający użytecznych wskazówek na temat tendencji epidemiologicznych. </w:t>
      </w:r>
    </w:p>
    <w:p w14:paraId="16000C2D" w14:textId="423374BD" w:rsidR="00203946" w:rsidRDefault="00D10302" w:rsidP="003B101E">
      <w:pPr>
        <w:spacing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Działania te są istotne</w:t>
      </w:r>
      <w:r w:rsidR="00525C12">
        <w:rPr>
          <w:rFonts w:ascii="Times New Roman" w:hAnsi="Times New Roman"/>
          <w:noProof/>
          <w:color w:val="000000" w:themeColor="text1"/>
          <w:sz w:val="24"/>
          <w:szCs w:val="24"/>
        </w:rPr>
        <w:t xml:space="preserve"> w sze</w:t>
      </w:r>
      <w:r>
        <w:rPr>
          <w:rFonts w:ascii="Times New Roman" w:hAnsi="Times New Roman"/>
          <w:noProof/>
          <w:color w:val="000000" w:themeColor="text1"/>
          <w:sz w:val="24"/>
          <w:szCs w:val="24"/>
        </w:rPr>
        <w:t>rszym kontekście, gdyż zdrowie</w:t>
      </w:r>
      <w:r w:rsidR="00525C12">
        <w:rPr>
          <w:rFonts w:ascii="Times New Roman" w:hAnsi="Times New Roman"/>
          <w:noProof/>
          <w:color w:val="000000" w:themeColor="text1"/>
          <w:sz w:val="24"/>
          <w:szCs w:val="24"/>
        </w:rPr>
        <w:t xml:space="preserve"> i dob</w:t>
      </w:r>
      <w:r>
        <w:rPr>
          <w:rFonts w:ascii="Times New Roman" w:hAnsi="Times New Roman"/>
          <w:noProof/>
          <w:color w:val="000000" w:themeColor="text1"/>
          <w:sz w:val="24"/>
          <w:szCs w:val="24"/>
        </w:rPr>
        <w:t xml:space="preserve">robyt gospodarczy są ze sobą powiązane. </w:t>
      </w:r>
      <w:bookmarkStart w:id="2" w:name="_Hlk101273175"/>
      <w:r>
        <w:rPr>
          <w:rFonts w:ascii="Times New Roman" w:hAnsi="Times New Roman"/>
          <w:noProof/>
          <w:color w:val="000000" w:themeColor="text1"/>
          <w:sz w:val="24"/>
          <w:szCs w:val="24"/>
        </w:rPr>
        <w:t xml:space="preserve">Międzynarodowy Fundusz Walutowy oszacował globalne straty ekonomiczne spowodowane pandemią na kwotę </w:t>
      </w:r>
      <w:bookmarkEnd w:id="2"/>
      <w:r>
        <w:rPr>
          <w:rFonts w:ascii="Times New Roman" w:hAnsi="Times New Roman"/>
          <w:noProof/>
          <w:color w:val="000000" w:themeColor="text1"/>
          <w:sz w:val="24"/>
          <w:szCs w:val="24"/>
        </w:rPr>
        <w:t>12,25 bln EUR</w:t>
      </w:r>
      <w:r w:rsidR="00CC62B1">
        <w:rPr>
          <w:rStyle w:val="FootnoteReference"/>
          <w:rFonts w:ascii="Times New Roman" w:eastAsia="Times New Roman" w:hAnsi="Times New Roman" w:cs="Times New Roman"/>
          <w:noProof/>
          <w:color w:val="000000" w:themeColor="text1"/>
          <w:sz w:val="24"/>
          <w:szCs w:val="24"/>
          <w:lang w:eastAsia="en-GB"/>
        </w:rPr>
        <w:footnoteReference w:id="5"/>
      </w:r>
      <w:r>
        <w:rPr>
          <w:rFonts w:ascii="Times New Roman" w:hAnsi="Times New Roman"/>
          <w:noProof/>
          <w:color w:val="000000" w:themeColor="text1"/>
          <w:sz w:val="24"/>
          <w:szCs w:val="24"/>
        </w:rPr>
        <w:t>. Dzięki uruchomieniu bezprecedensowych środków ekonomicznych</w:t>
      </w:r>
      <w:r w:rsidR="00525C12">
        <w:rPr>
          <w:rFonts w:ascii="Times New Roman" w:hAnsi="Times New Roman"/>
          <w:noProof/>
          <w:color w:val="000000" w:themeColor="text1"/>
          <w:sz w:val="24"/>
          <w:szCs w:val="24"/>
        </w:rPr>
        <w:t xml:space="preserve"> i bud</w:t>
      </w:r>
      <w:r>
        <w:rPr>
          <w:rFonts w:ascii="Times New Roman" w:hAnsi="Times New Roman"/>
          <w:noProof/>
          <w:color w:val="000000" w:themeColor="text1"/>
          <w:sz w:val="24"/>
          <w:szCs w:val="24"/>
        </w:rPr>
        <w:t>żetowych zdołano znacznie złagodzić skutki społeczno-ekonomiczne. Gotowość</w:t>
      </w:r>
      <w:r w:rsidR="00525C12">
        <w:rPr>
          <w:rFonts w:ascii="Times New Roman" w:hAnsi="Times New Roman"/>
          <w:noProof/>
          <w:color w:val="000000" w:themeColor="text1"/>
          <w:sz w:val="24"/>
          <w:szCs w:val="24"/>
        </w:rPr>
        <w:t xml:space="preserve"> w zak</w:t>
      </w:r>
      <w:r>
        <w:rPr>
          <w:rFonts w:ascii="Times New Roman" w:hAnsi="Times New Roman"/>
          <w:noProof/>
          <w:color w:val="000000" w:themeColor="text1"/>
          <w:sz w:val="24"/>
          <w:szCs w:val="24"/>
        </w:rPr>
        <w:t>resie bezpieczeństwa zdrowotnego</w:t>
      </w:r>
      <w:r w:rsidR="00525C12">
        <w:rPr>
          <w:rFonts w:ascii="Times New Roman" w:hAnsi="Times New Roman"/>
          <w:noProof/>
          <w:color w:val="000000" w:themeColor="text1"/>
          <w:sz w:val="24"/>
          <w:szCs w:val="24"/>
        </w:rPr>
        <w:t xml:space="preserve"> i odp</w:t>
      </w:r>
      <w:r>
        <w:rPr>
          <w:rFonts w:ascii="Times New Roman" w:hAnsi="Times New Roman"/>
          <w:noProof/>
          <w:color w:val="000000" w:themeColor="text1"/>
          <w:sz w:val="24"/>
          <w:szCs w:val="24"/>
        </w:rPr>
        <w:t>orne systemy opieki zdrowotnej</w:t>
      </w:r>
      <w:r w:rsidR="00525C12">
        <w:rPr>
          <w:rFonts w:ascii="Times New Roman" w:hAnsi="Times New Roman"/>
          <w:noProof/>
          <w:color w:val="000000" w:themeColor="text1"/>
          <w:sz w:val="24"/>
          <w:szCs w:val="24"/>
        </w:rPr>
        <w:t xml:space="preserve"> i och</w:t>
      </w:r>
      <w:r>
        <w:rPr>
          <w:rFonts w:ascii="Times New Roman" w:hAnsi="Times New Roman"/>
          <w:noProof/>
          <w:color w:val="000000" w:themeColor="text1"/>
          <w:sz w:val="24"/>
          <w:szCs w:val="24"/>
        </w:rPr>
        <w:t>rony socjalnej stanowią inwestycję we wzrost, stabilność</w:t>
      </w:r>
      <w:r w:rsidR="00525C12">
        <w:rPr>
          <w:rFonts w:ascii="Times New Roman" w:hAnsi="Times New Roman"/>
          <w:noProof/>
          <w:color w:val="000000" w:themeColor="text1"/>
          <w:sz w:val="24"/>
          <w:szCs w:val="24"/>
        </w:rPr>
        <w:t xml:space="preserve"> i odp</w:t>
      </w:r>
      <w:r>
        <w:rPr>
          <w:rFonts w:ascii="Times New Roman" w:hAnsi="Times New Roman"/>
          <w:noProof/>
          <w:color w:val="000000" w:themeColor="text1"/>
          <w:sz w:val="24"/>
          <w:szCs w:val="24"/>
        </w:rPr>
        <w:t>orność gospodarczą, co po raz kolejny uwidoczniło się</w:t>
      </w:r>
      <w:r w:rsidR="00525C12">
        <w:rPr>
          <w:rFonts w:ascii="Times New Roman" w:hAnsi="Times New Roman"/>
          <w:noProof/>
          <w:color w:val="000000" w:themeColor="text1"/>
          <w:sz w:val="24"/>
          <w:szCs w:val="24"/>
        </w:rPr>
        <w:t xml:space="preserve"> w ost</w:t>
      </w:r>
      <w:r>
        <w:rPr>
          <w:rFonts w:ascii="Times New Roman" w:hAnsi="Times New Roman"/>
          <w:noProof/>
          <w:color w:val="000000" w:themeColor="text1"/>
          <w:sz w:val="24"/>
          <w:szCs w:val="24"/>
        </w:rPr>
        <w:t>atnich tygodniach, kiedy to</w:t>
      </w:r>
      <w:r w:rsidR="00525C12">
        <w:rPr>
          <w:rFonts w:ascii="Times New Roman" w:hAnsi="Times New Roman"/>
          <w:noProof/>
          <w:color w:val="000000" w:themeColor="text1"/>
          <w:sz w:val="24"/>
          <w:szCs w:val="24"/>
        </w:rPr>
        <w:t xml:space="preserve"> w Chi</w:t>
      </w:r>
      <w:r>
        <w:rPr>
          <w:rFonts w:ascii="Times New Roman" w:hAnsi="Times New Roman"/>
          <w:noProof/>
          <w:color w:val="000000" w:themeColor="text1"/>
          <w:sz w:val="24"/>
          <w:szCs w:val="24"/>
        </w:rPr>
        <w:t>nach odnotowano dramatyczny wzrost liczby zachorowań</w:t>
      </w:r>
      <w:r w:rsidR="00525C12">
        <w:rPr>
          <w:rFonts w:ascii="Times New Roman" w:hAnsi="Times New Roman"/>
          <w:noProof/>
          <w:color w:val="000000" w:themeColor="text1"/>
          <w:sz w:val="24"/>
          <w:szCs w:val="24"/>
        </w:rPr>
        <w:t xml:space="preserve"> i pon</w:t>
      </w:r>
      <w:r>
        <w:rPr>
          <w:rFonts w:ascii="Times New Roman" w:hAnsi="Times New Roman"/>
          <w:noProof/>
          <w:color w:val="000000" w:themeColor="text1"/>
          <w:sz w:val="24"/>
          <w:szCs w:val="24"/>
        </w:rPr>
        <w:t>ownie wprowadzono rygorystyczne środki przypominające te</w:t>
      </w:r>
      <w:r w:rsidR="00525C12">
        <w:rPr>
          <w:rFonts w:ascii="Times New Roman" w:hAnsi="Times New Roman"/>
          <w:noProof/>
          <w:color w:val="000000" w:themeColor="text1"/>
          <w:sz w:val="24"/>
          <w:szCs w:val="24"/>
        </w:rPr>
        <w:t xml:space="preserve"> z poc</w:t>
      </w:r>
      <w:r>
        <w:rPr>
          <w:rFonts w:ascii="Times New Roman" w:hAnsi="Times New Roman"/>
          <w:noProof/>
          <w:color w:val="000000" w:themeColor="text1"/>
          <w:sz w:val="24"/>
          <w:szCs w:val="24"/>
        </w:rPr>
        <w:t>zątku pandemii. Na początku kwietnia 20</w:t>
      </w:r>
      <w:r w:rsidRPr="00525C12">
        <w:rPr>
          <w:rFonts w:ascii="Times New Roman" w:hAnsi="Times New Roman"/>
          <w:noProof/>
          <w:color w:val="000000" w:themeColor="text1"/>
          <w:sz w:val="24"/>
          <w:szCs w:val="24"/>
        </w:rPr>
        <w:t>22</w:t>
      </w:r>
      <w:r w:rsidR="00525C12" w:rsidRPr="00525C12">
        <w:rPr>
          <w:rFonts w:ascii="Times New Roman" w:hAnsi="Times New Roman"/>
          <w:noProof/>
          <w:color w:val="000000" w:themeColor="text1"/>
          <w:sz w:val="24"/>
          <w:szCs w:val="24"/>
        </w:rPr>
        <w:t> </w:t>
      </w:r>
      <w:r w:rsidRPr="00525C12">
        <w:rPr>
          <w:rFonts w:ascii="Times New Roman" w:hAnsi="Times New Roman"/>
          <w:noProof/>
          <w:color w:val="000000" w:themeColor="text1"/>
          <w:sz w:val="24"/>
          <w:szCs w:val="24"/>
        </w:rPr>
        <w:t>r.</w:t>
      </w:r>
      <w:r>
        <w:rPr>
          <w:rFonts w:ascii="Times New Roman" w:hAnsi="Times New Roman"/>
          <w:noProof/>
          <w:color w:val="000000" w:themeColor="text1"/>
          <w:sz w:val="24"/>
          <w:szCs w:val="24"/>
        </w:rPr>
        <w:t xml:space="preserve"> dziesiątki milionów ludzi</w:t>
      </w:r>
      <w:r w:rsidR="00525C12">
        <w:rPr>
          <w:rFonts w:ascii="Times New Roman" w:hAnsi="Times New Roman"/>
          <w:noProof/>
          <w:color w:val="000000" w:themeColor="text1"/>
          <w:sz w:val="24"/>
          <w:szCs w:val="24"/>
        </w:rPr>
        <w:t xml:space="preserve"> w Chi</w:t>
      </w:r>
      <w:r>
        <w:rPr>
          <w:rFonts w:ascii="Times New Roman" w:hAnsi="Times New Roman"/>
          <w:noProof/>
          <w:color w:val="000000" w:themeColor="text1"/>
          <w:sz w:val="24"/>
          <w:szCs w:val="24"/>
        </w:rPr>
        <w:t>nach zostały objęte surowymi obostrzeniami. Wstępne dowody wskazują na wpływ na sektor usług logistyki</w:t>
      </w:r>
      <w:r w:rsidR="00525C12">
        <w:rPr>
          <w:rFonts w:ascii="Times New Roman" w:hAnsi="Times New Roman"/>
          <w:noProof/>
          <w:color w:val="000000" w:themeColor="text1"/>
          <w:sz w:val="24"/>
          <w:szCs w:val="24"/>
        </w:rPr>
        <w:t xml:space="preserve"> i mag</w:t>
      </w:r>
      <w:r>
        <w:rPr>
          <w:rFonts w:ascii="Times New Roman" w:hAnsi="Times New Roman"/>
          <w:noProof/>
          <w:color w:val="000000" w:themeColor="text1"/>
          <w:sz w:val="24"/>
          <w:szCs w:val="24"/>
        </w:rPr>
        <w:t>azynowania,</w:t>
      </w:r>
      <w:r w:rsidR="00525C12">
        <w:rPr>
          <w:rFonts w:ascii="Times New Roman" w:hAnsi="Times New Roman"/>
          <w:noProof/>
          <w:color w:val="000000" w:themeColor="text1"/>
          <w:sz w:val="24"/>
          <w:szCs w:val="24"/>
        </w:rPr>
        <w:t xml:space="preserve"> a tak</w:t>
      </w:r>
      <w:r>
        <w:rPr>
          <w:rFonts w:ascii="Times New Roman" w:hAnsi="Times New Roman"/>
          <w:noProof/>
          <w:color w:val="000000" w:themeColor="text1"/>
          <w:sz w:val="24"/>
          <w:szCs w:val="24"/>
        </w:rPr>
        <w:t>że na wstrzymywanie produkcji przez niektórych głównych dostawców, na przykład</w:t>
      </w:r>
      <w:r w:rsidR="00525C12">
        <w:rPr>
          <w:rFonts w:ascii="Times New Roman" w:hAnsi="Times New Roman"/>
          <w:noProof/>
          <w:color w:val="000000" w:themeColor="text1"/>
          <w:sz w:val="24"/>
          <w:szCs w:val="24"/>
        </w:rPr>
        <w:t xml:space="preserve"> w sek</w:t>
      </w:r>
      <w:r>
        <w:rPr>
          <w:rFonts w:ascii="Times New Roman" w:hAnsi="Times New Roman"/>
          <w:noProof/>
          <w:color w:val="000000" w:themeColor="text1"/>
          <w:sz w:val="24"/>
          <w:szCs w:val="24"/>
        </w:rPr>
        <w:t>torze urządzeń elektroniki. Sytuacje takie jak ta obserwowana</w:t>
      </w:r>
      <w:r w:rsidR="00525C12">
        <w:rPr>
          <w:rFonts w:ascii="Times New Roman" w:hAnsi="Times New Roman"/>
          <w:noProof/>
          <w:color w:val="000000" w:themeColor="text1"/>
          <w:sz w:val="24"/>
          <w:szCs w:val="24"/>
        </w:rPr>
        <w:t xml:space="preserve"> w Chi</w:t>
      </w:r>
      <w:r>
        <w:rPr>
          <w:rFonts w:ascii="Times New Roman" w:hAnsi="Times New Roman"/>
          <w:noProof/>
          <w:color w:val="000000" w:themeColor="text1"/>
          <w:sz w:val="24"/>
          <w:szCs w:val="24"/>
        </w:rPr>
        <w:t>nach mogą zwiększyć ryzyko negatywnego wpływu na globalną gospodarkę</w:t>
      </w:r>
      <w:r w:rsidR="00525C12">
        <w:rPr>
          <w:rFonts w:ascii="Times New Roman" w:hAnsi="Times New Roman"/>
          <w:noProof/>
          <w:color w:val="000000" w:themeColor="text1"/>
          <w:sz w:val="24"/>
          <w:szCs w:val="24"/>
        </w:rPr>
        <w:t xml:space="preserve"> i glo</w:t>
      </w:r>
      <w:r>
        <w:rPr>
          <w:rFonts w:ascii="Times New Roman" w:hAnsi="Times New Roman"/>
          <w:noProof/>
          <w:color w:val="000000" w:themeColor="text1"/>
          <w:sz w:val="24"/>
          <w:szCs w:val="24"/>
        </w:rPr>
        <w:t>balne łańcuchy wartości oraz na dostawy strategicznych produktów</w:t>
      </w:r>
      <w:r w:rsidR="00525C12">
        <w:rPr>
          <w:rFonts w:ascii="Times New Roman" w:hAnsi="Times New Roman"/>
          <w:noProof/>
          <w:color w:val="000000" w:themeColor="text1"/>
          <w:sz w:val="24"/>
          <w:szCs w:val="24"/>
        </w:rPr>
        <w:t xml:space="preserve"> z Chi</w:t>
      </w:r>
      <w:r>
        <w:rPr>
          <w:rFonts w:ascii="Times New Roman" w:hAnsi="Times New Roman"/>
          <w:noProof/>
          <w:color w:val="000000" w:themeColor="text1"/>
          <w:sz w:val="24"/>
          <w:szCs w:val="24"/>
        </w:rPr>
        <w:t>n, od których UE jest uzależniona</w:t>
      </w:r>
      <w:r w:rsidR="00203946">
        <w:rPr>
          <w:rStyle w:val="FootnoteReference"/>
          <w:rFonts w:ascii="Times New Roman" w:eastAsia="Times New Roman" w:hAnsi="Times New Roman" w:cs="Times New Roman"/>
          <w:noProof/>
          <w:color w:val="000000" w:themeColor="text1"/>
          <w:sz w:val="24"/>
          <w:szCs w:val="24"/>
          <w:lang w:eastAsia="en-GB"/>
        </w:rPr>
        <w:footnoteReference w:id="6"/>
      </w:r>
      <w:r>
        <w:rPr>
          <w:rFonts w:ascii="Times New Roman" w:hAnsi="Times New Roman"/>
          <w:noProof/>
          <w:color w:val="000000" w:themeColor="text1"/>
          <w:sz w:val="24"/>
          <w:szCs w:val="24"/>
        </w:rPr>
        <w:t>. Odporność łańcucha dostaw musi zatem pozostać priorytetem.</w:t>
      </w:r>
    </w:p>
    <w:p w14:paraId="2096AAB4" w14:textId="5E6CE530" w:rsidR="004F539F" w:rsidRDefault="004F539F" w:rsidP="004F539F">
      <w:pPr>
        <w:spacing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Na przestrzeni ostatnich dwóch lat można było wyraźnie zaobserwować, że odporne łańcuchy dostaw mają kluczową rolę</w:t>
      </w:r>
      <w:r w:rsidR="00525C12">
        <w:rPr>
          <w:rFonts w:ascii="Times New Roman" w:hAnsi="Times New Roman"/>
          <w:noProof/>
          <w:color w:val="000000" w:themeColor="text1"/>
          <w:sz w:val="24"/>
          <w:szCs w:val="24"/>
        </w:rPr>
        <w:t xml:space="preserve"> w rea</w:t>
      </w:r>
      <w:r>
        <w:rPr>
          <w:rFonts w:ascii="Times New Roman" w:hAnsi="Times New Roman"/>
          <w:noProof/>
          <w:color w:val="000000" w:themeColor="text1"/>
          <w:sz w:val="24"/>
          <w:szCs w:val="24"/>
        </w:rPr>
        <w:t>gowaniu na pandemię. Monitorując łańcuchy dostaw krytycznych materiałów do produkcji szczepionek, wspierając wzrost unijnej zdolności produkcyjnej</w:t>
      </w:r>
      <w:r w:rsidR="00525C12">
        <w:rPr>
          <w:rFonts w:ascii="Times New Roman" w:hAnsi="Times New Roman"/>
          <w:noProof/>
          <w:color w:val="000000" w:themeColor="text1"/>
          <w:sz w:val="24"/>
          <w:szCs w:val="24"/>
        </w:rPr>
        <w:t xml:space="preserve"> i pro</w:t>
      </w:r>
      <w:r>
        <w:rPr>
          <w:rFonts w:ascii="Times New Roman" w:hAnsi="Times New Roman"/>
          <w:noProof/>
          <w:color w:val="000000" w:themeColor="text1"/>
          <w:sz w:val="24"/>
          <w:szCs w:val="24"/>
        </w:rPr>
        <w:t>wadząc ścisłą współpracę</w:t>
      </w:r>
      <w:r w:rsidR="00525C12">
        <w:rPr>
          <w:rFonts w:ascii="Times New Roman" w:hAnsi="Times New Roman"/>
          <w:noProof/>
          <w:color w:val="000000" w:themeColor="text1"/>
          <w:sz w:val="24"/>
          <w:szCs w:val="24"/>
        </w:rPr>
        <w:t xml:space="preserve"> z par</w:t>
      </w:r>
      <w:r>
        <w:rPr>
          <w:rFonts w:ascii="Times New Roman" w:hAnsi="Times New Roman"/>
          <w:noProof/>
          <w:color w:val="000000" w:themeColor="text1"/>
          <w:sz w:val="24"/>
          <w:szCs w:val="24"/>
        </w:rPr>
        <w:t>tnerami międzynarodowymi, grupa zadaniowa Komisji ds. zwiększenia skali przemysłowej produkcji szczepionek rozwiązała problem wąskich gardeł</w:t>
      </w:r>
      <w:r w:rsidR="00525C12">
        <w:rPr>
          <w:rFonts w:ascii="Times New Roman" w:hAnsi="Times New Roman"/>
          <w:noProof/>
          <w:color w:val="000000" w:themeColor="text1"/>
          <w:sz w:val="24"/>
          <w:szCs w:val="24"/>
        </w:rPr>
        <w:t xml:space="preserve"> w łań</w:t>
      </w:r>
      <w:r>
        <w:rPr>
          <w:rFonts w:ascii="Times New Roman" w:hAnsi="Times New Roman"/>
          <w:noProof/>
          <w:color w:val="000000" w:themeColor="text1"/>
          <w:sz w:val="24"/>
          <w:szCs w:val="24"/>
        </w:rPr>
        <w:t>cuchach dostaw</w:t>
      </w:r>
      <w:r w:rsidR="00525C12">
        <w:rPr>
          <w:rFonts w:ascii="Times New Roman" w:hAnsi="Times New Roman"/>
          <w:noProof/>
          <w:color w:val="000000" w:themeColor="text1"/>
          <w:sz w:val="24"/>
          <w:szCs w:val="24"/>
        </w:rPr>
        <w:t xml:space="preserve"> i wsp</w:t>
      </w:r>
      <w:r>
        <w:rPr>
          <w:rFonts w:ascii="Times New Roman" w:hAnsi="Times New Roman"/>
          <w:noProof/>
          <w:color w:val="000000" w:themeColor="text1"/>
          <w:sz w:val="24"/>
          <w:szCs w:val="24"/>
        </w:rPr>
        <w:t>arła bezprecedensowy wzrost zdolności produkcyjnej. Ponieważ wąskie gardła nadal mogą się pojawiać, istotne jest kontynuowanie tych prac.</w:t>
      </w:r>
    </w:p>
    <w:p w14:paraId="50608D0B" w14:textId="747C6BB2" w:rsidR="00D16B56" w:rsidRDefault="00B82C03" w:rsidP="003B101E">
      <w:pPr>
        <w:spacing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Zdrowie publiczne oraz wspólna, skoordynowana gotowość</w:t>
      </w:r>
      <w:r w:rsidR="00525C12">
        <w:rPr>
          <w:rFonts w:ascii="Times New Roman" w:hAnsi="Times New Roman"/>
          <w:noProof/>
          <w:color w:val="000000" w:themeColor="text1"/>
          <w:sz w:val="24"/>
          <w:szCs w:val="24"/>
        </w:rPr>
        <w:t xml:space="preserve"> i zdo</w:t>
      </w:r>
      <w:r>
        <w:rPr>
          <w:rFonts w:ascii="Times New Roman" w:hAnsi="Times New Roman"/>
          <w:noProof/>
          <w:color w:val="000000" w:themeColor="text1"/>
          <w:sz w:val="24"/>
          <w:szCs w:val="24"/>
        </w:rPr>
        <w:t>lność reagowania muszą pozostać jednym</w:t>
      </w:r>
      <w:r w:rsidR="00525C12">
        <w:rPr>
          <w:rFonts w:ascii="Times New Roman" w:hAnsi="Times New Roman"/>
          <w:noProof/>
          <w:color w:val="000000" w:themeColor="text1"/>
          <w:sz w:val="24"/>
          <w:szCs w:val="24"/>
        </w:rPr>
        <w:t xml:space="preserve"> z naj</w:t>
      </w:r>
      <w:r>
        <w:rPr>
          <w:rFonts w:ascii="Times New Roman" w:hAnsi="Times New Roman"/>
          <w:noProof/>
          <w:color w:val="000000" w:themeColor="text1"/>
          <w:sz w:val="24"/>
          <w:szCs w:val="24"/>
        </w:rPr>
        <w:t>ważniejszych punktów programu UE, jeśli chcemy zabezpieczyć naszą ścieżkę wzrostu gospodarczego przed przyszłymi wyzwaniami</w:t>
      </w:r>
      <w:r w:rsidR="00525C12">
        <w:rPr>
          <w:rFonts w:ascii="Times New Roman" w:hAnsi="Times New Roman"/>
          <w:noProof/>
          <w:color w:val="000000" w:themeColor="text1"/>
          <w:sz w:val="24"/>
          <w:szCs w:val="24"/>
        </w:rPr>
        <w:t xml:space="preserve"> w dob</w:t>
      </w:r>
      <w:r>
        <w:rPr>
          <w:rFonts w:ascii="Times New Roman" w:hAnsi="Times New Roman"/>
          <w:noProof/>
          <w:color w:val="000000" w:themeColor="text1"/>
          <w:sz w:val="24"/>
          <w:szCs w:val="24"/>
        </w:rPr>
        <w:t>ie pandemii. Ponadto należy poprawić jakość</w:t>
      </w:r>
      <w:r w:rsidR="00525C12">
        <w:rPr>
          <w:rFonts w:ascii="Times New Roman" w:hAnsi="Times New Roman"/>
          <w:noProof/>
          <w:color w:val="000000" w:themeColor="text1"/>
          <w:sz w:val="24"/>
          <w:szCs w:val="24"/>
        </w:rPr>
        <w:t xml:space="preserve"> i odp</w:t>
      </w:r>
      <w:r>
        <w:rPr>
          <w:rFonts w:ascii="Times New Roman" w:hAnsi="Times New Roman"/>
          <w:noProof/>
          <w:color w:val="000000" w:themeColor="text1"/>
          <w:sz w:val="24"/>
          <w:szCs w:val="24"/>
        </w:rPr>
        <w:t>orność systemów opieki zdrowotnej, zwłaszcza</w:t>
      </w:r>
      <w:r w:rsidR="00525C12">
        <w:rPr>
          <w:rFonts w:ascii="Times New Roman" w:hAnsi="Times New Roman"/>
          <w:noProof/>
          <w:color w:val="000000" w:themeColor="text1"/>
          <w:sz w:val="24"/>
          <w:szCs w:val="24"/>
        </w:rPr>
        <w:t xml:space="preserve"> w naj</w:t>
      </w:r>
      <w:r>
        <w:rPr>
          <w:rFonts w:ascii="Times New Roman" w:hAnsi="Times New Roman"/>
          <w:noProof/>
          <w:color w:val="000000" w:themeColor="text1"/>
          <w:sz w:val="24"/>
          <w:szCs w:val="24"/>
        </w:rPr>
        <w:t>słabiej rozwiniętych regionach,</w:t>
      </w:r>
      <w:r w:rsidR="00525C12">
        <w:rPr>
          <w:rFonts w:ascii="Times New Roman" w:hAnsi="Times New Roman"/>
          <w:noProof/>
          <w:color w:val="000000" w:themeColor="text1"/>
          <w:sz w:val="24"/>
          <w:szCs w:val="24"/>
        </w:rPr>
        <w:t xml:space="preserve"> w któ</w:t>
      </w:r>
      <w:r>
        <w:rPr>
          <w:rFonts w:ascii="Times New Roman" w:hAnsi="Times New Roman"/>
          <w:noProof/>
          <w:color w:val="000000" w:themeColor="text1"/>
          <w:sz w:val="24"/>
          <w:szCs w:val="24"/>
        </w:rPr>
        <w:t>rych wskaźnik umieralności na COVID-19 jest wyższy niż</w:t>
      </w:r>
      <w:r w:rsidR="00525C12">
        <w:rPr>
          <w:rFonts w:ascii="Times New Roman" w:hAnsi="Times New Roman"/>
          <w:noProof/>
          <w:color w:val="000000" w:themeColor="text1"/>
          <w:sz w:val="24"/>
          <w:szCs w:val="24"/>
        </w:rPr>
        <w:t xml:space="preserve"> w bar</w:t>
      </w:r>
      <w:r>
        <w:rPr>
          <w:rFonts w:ascii="Times New Roman" w:hAnsi="Times New Roman"/>
          <w:noProof/>
          <w:color w:val="000000" w:themeColor="text1"/>
          <w:sz w:val="24"/>
          <w:szCs w:val="24"/>
        </w:rPr>
        <w:t>dziej rozwiniętych regionach, jak wskazano</w:t>
      </w:r>
      <w:r w:rsidR="00525C12">
        <w:rPr>
          <w:rFonts w:ascii="Times New Roman" w:hAnsi="Times New Roman"/>
          <w:noProof/>
          <w:color w:val="000000" w:themeColor="text1"/>
          <w:sz w:val="24"/>
          <w:szCs w:val="24"/>
        </w:rPr>
        <w:t xml:space="preserve"> w 8</w:t>
      </w:r>
      <w:r>
        <w:rPr>
          <w:rFonts w:ascii="Times New Roman" w:hAnsi="Times New Roman"/>
          <w:noProof/>
          <w:color w:val="000000" w:themeColor="text1"/>
          <w:sz w:val="24"/>
          <w:szCs w:val="24"/>
        </w:rPr>
        <w:t>. sprawozdaniu na temat spójności</w:t>
      </w:r>
      <w:r w:rsidR="00FD62A1">
        <w:rPr>
          <w:rStyle w:val="FootnoteReference"/>
          <w:rFonts w:ascii="Times New Roman" w:eastAsia="Times New Roman" w:hAnsi="Times New Roman" w:cs="Times New Roman"/>
          <w:noProof/>
          <w:color w:val="000000" w:themeColor="text1"/>
          <w:sz w:val="24"/>
          <w:szCs w:val="24"/>
          <w:lang w:eastAsia="en-GB"/>
        </w:rPr>
        <w:footnoteReference w:id="7"/>
      </w:r>
      <w:r>
        <w:rPr>
          <w:rFonts w:ascii="Times New Roman" w:hAnsi="Times New Roman"/>
          <w:noProof/>
          <w:color w:val="000000" w:themeColor="text1"/>
          <w:sz w:val="24"/>
          <w:szCs w:val="24"/>
        </w:rPr>
        <w:t>. Organy krajowe mogą przeznaczać na ten cel środki</w:t>
      </w:r>
      <w:r w:rsidR="00525C12">
        <w:rPr>
          <w:rFonts w:ascii="Times New Roman" w:hAnsi="Times New Roman"/>
          <w:noProof/>
          <w:color w:val="000000" w:themeColor="text1"/>
          <w:sz w:val="24"/>
          <w:szCs w:val="24"/>
        </w:rPr>
        <w:t xml:space="preserve"> z Fun</w:t>
      </w:r>
      <w:r>
        <w:rPr>
          <w:rFonts w:ascii="Times New Roman" w:hAnsi="Times New Roman"/>
          <w:noProof/>
          <w:color w:val="000000" w:themeColor="text1"/>
          <w:sz w:val="24"/>
          <w:szCs w:val="24"/>
        </w:rPr>
        <w:t>duszu Spójności</w:t>
      </w:r>
      <w:r w:rsidR="00525C12">
        <w:rPr>
          <w:rFonts w:ascii="Times New Roman" w:hAnsi="Times New Roman"/>
          <w:noProof/>
          <w:color w:val="000000" w:themeColor="text1"/>
          <w:sz w:val="24"/>
          <w:szCs w:val="24"/>
        </w:rPr>
        <w:t>. W lat</w:t>
      </w:r>
      <w:r>
        <w:rPr>
          <w:rFonts w:ascii="Times New Roman" w:hAnsi="Times New Roman"/>
          <w:noProof/>
          <w:color w:val="000000" w:themeColor="text1"/>
          <w:sz w:val="24"/>
          <w:szCs w:val="24"/>
        </w:rPr>
        <w:t>ach 2014–2020 znaczną część środków finansowych</w:t>
      </w:r>
      <w:r w:rsidR="00525C12">
        <w:rPr>
          <w:rFonts w:ascii="Times New Roman" w:hAnsi="Times New Roman"/>
          <w:noProof/>
          <w:color w:val="000000" w:themeColor="text1"/>
          <w:sz w:val="24"/>
          <w:szCs w:val="24"/>
        </w:rPr>
        <w:t xml:space="preserve"> w ram</w:t>
      </w:r>
      <w:r>
        <w:rPr>
          <w:rFonts w:ascii="Times New Roman" w:hAnsi="Times New Roman"/>
          <w:noProof/>
          <w:color w:val="000000" w:themeColor="text1"/>
          <w:sz w:val="24"/>
          <w:szCs w:val="24"/>
        </w:rPr>
        <w:t>ach EFS przeznaczono na wsparcie usług zdrowotnych</w:t>
      </w:r>
      <w:r w:rsidR="00525C12">
        <w:rPr>
          <w:rFonts w:ascii="Times New Roman" w:hAnsi="Times New Roman"/>
          <w:noProof/>
          <w:color w:val="000000" w:themeColor="text1"/>
          <w:sz w:val="24"/>
          <w:szCs w:val="24"/>
        </w:rPr>
        <w:t xml:space="preserve"> i soc</w:t>
      </w:r>
      <w:r>
        <w:rPr>
          <w:rFonts w:ascii="Times New Roman" w:hAnsi="Times New Roman"/>
          <w:noProof/>
          <w:color w:val="000000" w:themeColor="text1"/>
          <w:sz w:val="24"/>
          <w:szCs w:val="24"/>
        </w:rPr>
        <w:t>jalnych,</w:t>
      </w:r>
      <w:r w:rsidR="00525C12">
        <w:rPr>
          <w:rFonts w:ascii="Times New Roman" w:hAnsi="Times New Roman"/>
          <w:noProof/>
          <w:color w:val="000000" w:themeColor="text1"/>
          <w:sz w:val="24"/>
          <w:szCs w:val="24"/>
        </w:rPr>
        <w:t xml:space="preserve"> a pla</w:t>
      </w:r>
      <w:r>
        <w:rPr>
          <w:rFonts w:ascii="Times New Roman" w:hAnsi="Times New Roman"/>
          <w:noProof/>
          <w:color w:val="000000" w:themeColor="text1"/>
          <w:sz w:val="24"/>
          <w:szCs w:val="24"/>
        </w:rPr>
        <w:t>cówki opieki zdrowotnej wybudowane lub zmodernizowane do tej pory przy wsparciu</w:t>
      </w:r>
      <w:r w:rsidR="00525C12">
        <w:rPr>
          <w:rFonts w:ascii="Times New Roman" w:hAnsi="Times New Roman"/>
          <w:noProof/>
          <w:color w:val="000000" w:themeColor="text1"/>
          <w:sz w:val="24"/>
          <w:szCs w:val="24"/>
        </w:rPr>
        <w:t xml:space="preserve"> w ram</w:t>
      </w:r>
      <w:r>
        <w:rPr>
          <w:rFonts w:ascii="Times New Roman" w:hAnsi="Times New Roman"/>
          <w:noProof/>
          <w:color w:val="000000" w:themeColor="text1"/>
          <w:sz w:val="24"/>
          <w:szCs w:val="24"/>
        </w:rPr>
        <w:t xml:space="preserve">ach EFRR zapewniają udoskonalone świadczenia </w:t>
      </w:r>
      <w:r w:rsidRPr="00525C12">
        <w:rPr>
          <w:rFonts w:ascii="Times New Roman" w:hAnsi="Times New Roman"/>
          <w:noProof/>
          <w:color w:val="000000" w:themeColor="text1"/>
          <w:sz w:val="24"/>
          <w:szCs w:val="24"/>
        </w:rPr>
        <w:t>dla</w:t>
      </w:r>
      <w:r w:rsidR="00525C12" w:rsidRPr="00525C12">
        <w:rPr>
          <w:rFonts w:ascii="Times New Roman" w:hAnsi="Times New Roman"/>
          <w:noProof/>
          <w:color w:val="000000" w:themeColor="text1"/>
          <w:sz w:val="24"/>
          <w:szCs w:val="24"/>
        </w:rPr>
        <w:t> </w:t>
      </w:r>
      <w:r w:rsidRPr="00525C12">
        <w:rPr>
          <w:rFonts w:ascii="Times New Roman" w:hAnsi="Times New Roman"/>
          <w:noProof/>
          <w:color w:val="000000" w:themeColor="text1"/>
          <w:sz w:val="24"/>
          <w:szCs w:val="24"/>
        </w:rPr>
        <w:t>5</w:t>
      </w:r>
      <w:r>
        <w:rPr>
          <w:rFonts w:ascii="Times New Roman" w:hAnsi="Times New Roman"/>
          <w:noProof/>
          <w:color w:val="000000" w:themeColor="text1"/>
          <w:sz w:val="24"/>
          <w:szCs w:val="24"/>
        </w:rPr>
        <w:t>3,3 mln osób.</w:t>
      </w:r>
    </w:p>
    <w:p w14:paraId="355BB958" w14:textId="67DC0D46" w:rsidR="002A73BE" w:rsidRDefault="57C8B0A9" w:rsidP="20C88EBE">
      <w:pPr>
        <w:spacing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Rosyjska agresja na Ukrainę będzie</w:t>
      </w:r>
      <w:r w:rsidR="00525C12">
        <w:rPr>
          <w:rFonts w:ascii="Times New Roman" w:hAnsi="Times New Roman"/>
          <w:noProof/>
          <w:color w:val="000000" w:themeColor="text1"/>
          <w:sz w:val="24"/>
          <w:szCs w:val="24"/>
        </w:rPr>
        <w:t xml:space="preserve"> w naj</w:t>
      </w:r>
      <w:r>
        <w:rPr>
          <w:rFonts w:ascii="Times New Roman" w:hAnsi="Times New Roman"/>
          <w:noProof/>
          <w:color w:val="000000" w:themeColor="text1"/>
          <w:sz w:val="24"/>
          <w:szCs w:val="24"/>
        </w:rPr>
        <w:t>bliższych miesiącach wywierać dodatkową presję na systemy opieki zdrowotnej państw członkowskich. Wiele</w:t>
      </w:r>
      <w:r w:rsidR="00525C12">
        <w:rPr>
          <w:rFonts w:ascii="Times New Roman" w:hAnsi="Times New Roman"/>
          <w:noProof/>
          <w:color w:val="000000" w:themeColor="text1"/>
          <w:sz w:val="24"/>
          <w:szCs w:val="24"/>
        </w:rPr>
        <w:t xml:space="preserve"> z mil</w:t>
      </w:r>
      <w:r>
        <w:rPr>
          <w:rFonts w:ascii="Times New Roman" w:hAnsi="Times New Roman"/>
          <w:noProof/>
          <w:color w:val="000000" w:themeColor="text1"/>
          <w:sz w:val="24"/>
          <w:szCs w:val="24"/>
        </w:rPr>
        <w:t>ionów osób zmuszonych do opuszczenia Ukrainy to ludzie narażeni na zagrożenia, potrzebujący medycznych świadczeń ratunkowych,</w:t>
      </w:r>
      <w:r w:rsidR="00525C12">
        <w:rPr>
          <w:rFonts w:ascii="Times New Roman" w:hAnsi="Times New Roman"/>
          <w:noProof/>
          <w:color w:val="000000" w:themeColor="text1"/>
          <w:sz w:val="24"/>
          <w:szCs w:val="24"/>
        </w:rPr>
        <w:t xml:space="preserve"> w szc</w:t>
      </w:r>
      <w:r>
        <w:rPr>
          <w:rFonts w:ascii="Times New Roman" w:hAnsi="Times New Roman"/>
          <w:noProof/>
          <w:color w:val="000000" w:themeColor="text1"/>
          <w:sz w:val="24"/>
          <w:szCs w:val="24"/>
        </w:rPr>
        <w:t>zególności wsparcia</w:t>
      </w:r>
      <w:r w:rsidR="00525C12">
        <w:rPr>
          <w:rFonts w:ascii="Times New Roman" w:hAnsi="Times New Roman"/>
          <w:noProof/>
          <w:color w:val="000000" w:themeColor="text1"/>
          <w:sz w:val="24"/>
          <w:szCs w:val="24"/>
        </w:rPr>
        <w:t xml:space="preserve"> w zak</w:t>
      </w:r>
      <w:r>
        <w:rPr>
          <w:rFonts w:ascii="Times New Roman" w:hAnsi="Times New Roman"/>
          <w:noProof/>
          <w:color w:val="000000" w:themeColor="text1"/>
          <w:sz w:val="24"/>
          <w:szCs w:val="24"/>
        </w:rPr>
        <w:t>resie zdrowia psychicznego, leczenia chorób przewlekłych</w:t>
      </w:r>
      <w:r w:rsidR="00525C12">
        <w:rPr>
          <w:rFonts w:ascii="Times New Roman" w:hAnsi="Times New Roman"/>
          <w:noProof/>
          <w:color w:val="000000" w:themeColor="text1"/>
          <w:sz w:val="24"/>
          <w:szCs w:val="24"/>
        </w:rPr>
        <w:t xml:space="preserve"> i rut</w:t>
      </w:r>
      <w:r>
        <w:rPr>
          <w:rFonts w:ascii="Times New Roman" w:hAnsi="Times New Roman"/>
          <w:noProof/>
          <w:color w:val="000000" w:themeColor="text1"/>
          <w:sz w:val="24"/>
          <w:szCs w:val="24"/>
        </w:rPr>
        <w:t>ynowej opieki zdrowotnej, takiej jak szczepienia dzieci. Uchodźcy</w:t>
      </w:r>
      <w:r w:rsidR="00525C12">
        <w:rPr>
          <w:rFonts w:ascii="Times New Roman" w:hAnsi="Times New Roman"/>
          <w:noProof/>
          <w:color w:val="000000" w:themeColor="text1"/>
          <w:sz w:val="24"/>
          <w:szCs w:val="24"/>
        </w:rPr>
        <w:t xml:space="preserve"> i wys</w:t>
      </w:r>
      <w:r>
        <w:rPr>
          <w:rFonts w:ascii="Times New Roman" w:hAnsi="Times New Roman"/>
          <w:noProof/>
          <w:color w:val="000000" w:themeColor="text1"/>
          <w:sz w:val="24"/>
          <w:szCs w:val="24"/>
        </w:rPr>
        <w:t>iedleńcy muszą mieć dostęp do opieki zdrowotnej,</w:t>
      </w:r>
      <w:r w:rsidR="00525C12">
        <w:rPr>
          <w:rFonts w:ascii="Times New Roman" w:hAnsi="Times New Roman"/>
          <w:noProof/>
          <w:color w:val="000000" w:themeColor="text1"/>
          <w:sz w:val="24"/>
          <w:szCs w:val="24"/>
        </w:rPr>
        <w:t xml:space="preserve"> w tym</w:t>
      </w:r>
      <w:r>
        <w:rPr>
          <w:rFonts w:ascii="Times New Roman" w:hAnsi="Times New Roman"/>
          <w:noProof/>
          <w:color w:val="000000" w:themeColor="text1"/>
          <w:sz w:val="24"/>
          <w:szCs w:val="24"/>
        </w:rPr>
        <w:t xml:space="preserve"> szczepień przeciwko COVID-19,</w:t>
      </w:r>
      <w:r w:rsidR="00525C12">
        <w:rPr>
          <w:rFonts w:ascii="Times New Roman" w:hAnsi="Times New Roman"/>
          <w:noProof/>
          <w:color w:val="000000" w:themeColor="text1"/>
          <w:sz w:val="24"/>
          <w:szCs w:val="24"/>
        </w:rPr>
        <w:t xml:space="preserve"> a tak</w:t>
      </w:r>
      <w:r>
        <w:rPr>
          <w:rFonts w:ascii="Times New Roman" w:hAnsi="Times New Roman"/>
          <w:noProof/>
          <w:color w:val="000000" w:themeColor="text1"/>
          <w:sz w:val="24"/>
          <w:szCs w:val="24"/>
        </w:rPr>
        <w:t>że do wsparcia</w:t>
      </w:r>
      <w:r w:rsidR="00525C12">
        <w:rPr>
          <w:rFonts w:ascii="Times New Roman" w:hAnsi="Times New Roman"/>
          <w:noProof/>
          <w:color w:val="000000" w:themeColor="text1"/>
          <w:sz w:val="24"/>
          <w:szCs w:val="24"/>
        </w:rPr>
        <w:t xml:space="preserve"> w zak</w:t>
      </w:r>
      <w:r>
        <w:rPr>
          <w:rFonts w:ascii="Times New Roman" w:hAnsi="Times New Roman"/>
          <w:noProof/>
          <w:color w:val="000000" w:themeColor="text1"/>
          <w:sz w:val="24"/>
          <w:szCs w:val="24"/>
        </w:rPr>
        <w:t>resie zdrowia psychicznego</w:t>
      </w:r>
      <w:r w:rsidR="00525C12">
        <w:rPr>
          <w:rFonts w:ascii="Times New Roman" w:hAnsi="Times New Roman"/>
          <w:noProof/>
          <w:color w:val="000000" w:themeColor="text1"/>
          <w:sz w:val="24"/>
          <w:szCs w:val="24"/>
        </w:rPr>
        <w:t xml:space="preserve"> i wsp</w:t>
      </w:r>
      <w:r>
        <w:rPr>
          <w:rFonts w:ascii="Times New Roman" w:hAnsi="Times New Roman"/>
          <w:noProof/>
          <w:color w:val="000000" w:themeColor="text1"/>
          <w:sz w:val="24"/>
          <w:szCs w:val="24"/>
        </w:rPr>
        <w:t xml:space="preserve">arcia psychospołecznego. </w:t>
      </w:r>
    </w:p>
    <w:p w14:paraId="1AE24135" w14:textId="227E8AFE" w:rsidR="20C88EBE" w:rsidRDefault="00AB0189" w:rsidP="20C88EBE">
      <w:pPr>
        <w:spacing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Centrum Koordynacji Reagowania Kryzysowego koordynowało szereg działań</w:t>
      </w:r>
      <w:r w:rsidR="00525C12">
        <w:rPr>
          <w:rFonts w:ascii="Times New Roman" w:hAnsi="Times New Roman"/>
          <w:noProof/>
          <w:color w:val="000000" w:themeColor="text1"/>
          <w:sz w:val="24"/>
          <w:szCs w:val="24"/>
        </w:rPr>
        <w:t xml:space="preserve"> w Ukr</w:t>
      </w:r>
      <w:r>
        <w:rPr>
          <w:rFonts w:ascii="Times New Roman" w:hAnsi="Times New Roman"/>
          <w:noProof/>
          <w:color w:val="000000" w:themeColor="text1"/>
          <w:sz w:val="24"/>
          <w:szCs w:val="24"/>
        </w:rPr>
        <w:t>ainie</w:t>
      </w:r>
      <w:r w:rsidR="00525C12">
        <w:rPr>
          <w:rFonts w:ascii="Times New Roman" w:hAnsi="Times New Roman"/>
          <w:noProof/>
          <w:color w:val="000000" w:themeColor="text1"/>
          <w:sz w:val="24"/>
          <w:szCs w:val="24"/>
        </w:rPr>
        <w:t xml:space="preserve"> i w kra</w:t>
      </w:r>
      <w:r>
        <w:rPr>
          <w:rFonts w:ascii="Times New Roman" w:hAnsi="Times New Roman"/>
          <w:noProof/>
          <w:color w:val="000000" w:themeColor="text1"/>
          <w:sz w:val="24"/>
          <w:szCs w:val="24"/>
        </w:rPr>
        <w:t>jach sąsiednich mających na celu reagowanie na stany zagrożenia zdrowia powstałe</w:t>
      </w:r>
      <w:r w:rsidR="00525C12">
        <w:rPr>
          <w:rFonts w:ascii="Times New Roman" w:hAnsi="Times New Roman"/>
          <w:noProof/>
          <w:color w:val="000000" w:themeColor="text1"/>
          <w:sz w:val="24"/>
          <w:szCs w:val="24"/>
        </w:rPr>
        <w:t xml:space="preserve"> w wyn</w:t>
      </w:r>
      <w:r>
        <w:rPr>
          <w:rFonts w:ascii="Times New Roman" w:hAnsi="Times New Roman"/>
          <w:noProof/>
          <w:color w:val="000000" w:themeColor="text1"/>
          <w:sz w:val="24"/>
          <w:szCs w:val="24"/>
        </w:rPr>
        <w:t>iku wojny</w:t>
      </w:r>
      <w:r>
        <w:rPr>
          <w:rStyle w:val="FootnoteReference"/>
          <w:rFonts w:ascii="Times New Roman" w:eastAsia="Times New Roman" w:hAnsi="Times New Roman" w:cs="Times New Roman"/>
          <w:noProof/>
          <w:color w:val="000000" w:themeColor="text1"/>
          <w:sz w:val="24"/>
          <w:szCs w:val="24"/>
          <w:lang w:eastAsia="en-GB"/>
        </w:rPr>
        <w:footnoteReference w:id="8"/>
      </w:r>
      <w:r>
        <w:rPr>
          <w:rFonts w:ascii="Times New Roman" w:hAnsi="Times New Roman"/>
          <w:noProof/>
          <w:color w:val="000000" w:themeColor="text1"/>
          <w:sz w:val="24"/>
          <w:szCs w:val="24"/>
        </w:rPr>
        <w:t xml:space="preserve">. </w:t>
      </w:r>
      <w:r>
        <w:rPr>
          <w:rFonts w:ascii="Times New Roman" w:hAnsi="Times New Roman"/>
          <w:noProof/>
          <w:sz w:val="24"/>
          <w:szCs w:val="24"/>
        </w:rPr>
        <w:t xml:space="preserve">Na przykład </w:t>
      </w:r>
      <w:r>
        <w:rPr>
          <w:rFonts w:ascii="Times New Roman" w:hAnsi="Times New Roman"/>
          <w:noProof/>
          <w:color w:val="000000" w:themeColor="text1"/>
          <w:sz w:val="24"/>
          <w:szCs w:val="24"/>
        </w:rPr>
        <w:t>Komisja ustanowiła specjalny europejski mechanizm solidarnościowy, za pośrednictwem którego państwa członkowskie mogą zwracać się</w:t>
      </w:r>
      <w:r w:rsidR="00525C12">
        <w:rPr>
          <w:rFonts w:ascii="Times New Roman" w:hAnsi="Times New Roman"/>
          <w:noProof/>
          <w:color w:val="000000" w:themeColor="text1"/>
          <w:sz w:val="24"/>
          <w:szCs w:val="24"/>
        </w:rPr>
        <w:t xml:space="preserve"> o wsp</w:t>
      </w:r>
      <w:r>
        <w:rPr>
          <w:rFonts w:ascii="Times New Roman" w:hAnsi="Times New Roman"/>
          <w:noProof/>
          <w:color w:val="000000" w:themeColor="text1"/>
          <w:sz w:val="24"/>
          <w:szCs w:val="24"/>
        </w:rPr>
        <w:t>arcie przy przenoszeniu pacjentów wymagających specjalistycznego leczenia szpitalnego</w:t>
      </w:r>
      <w:r w:rsidR="00525C12">
        <w:rPr>
          <w:rFonts w:ascii="Times New Roman" w:hAnsi="Times New Roman"/>
          <w:noProof/>
          <w:color w:val="000000" w:themeColor="text1"/>
          <w:sz w:val="24"/>
          <w:szCs w:val="24"/>
        </w:rPr>
        <w:t xml:space="preserve"> i opi</w:t>
      </w:r>
      <w:r>
        <w:rPr>
          <w:rFonts w:ascii="Times New Roman" w:hAnsi="Times New Roman"/>
          <w:noProof/>
          <w:color w:val="000000" w:themeColor="text1"/>
          <w:sz w:val="24"/>
          <w:szCs w:val="24"/>
        </w:rPr>
        <w:t>eki. Zalecenia operacyjne ECDC</w:t>
      </w:r>
      <w:r w:rsidR="20C88EBE" w:rsidRPr="00D33CBB">
        <w:rPr>
          <w:rFonts w:ascii="Times New Roman" w:hAnsi="Times New Roman" w:cs="Times New Roman"/>
          <w:noProof/>
          <w:sz w:val="24"/>
          <w:szCs w:val="24"/>
          <w:vertAlign w:val="superscript"/>
        </w:rPr>
        <w:footnoteReference w:id="9"/>
      </w:r>
      <w:r>
        <w:rPr>
          <w:rFonts w:ascii="Times New Roman" w:hAnsi="Times New Roman"/>
          <w:noProof/>
          <w:color w:val="000000" w:themeColor="text1"/>
          <w:sz w:val="24"/>
          <w:szCs w:val="24"/>
        </w:rPr>
        <w:t xml:space="preserve"> ponadto</w:t>
      </w:r>
      <w:r>
        <w:rPr>
          <w:rFonts w:ascii="Times New Roman" w:hAnsi="Times New Roman"/>
          <w:noProof/>
          <w:sz w:val="24"/>
          <w:szCs w:val="24"/>
          <w:vertAlign w:val="superscript"/>
        </w:rPr>
        <w:t xml:space="preserve"> </w:t>
      </w:r>
      <w:r>
        <w:rPr>
          <w:rFonts w:ascii="Times New Roman" w:hAnsi="Times New Roman"/>
          <w:noProof/>
          <w:color w:val="000000" w:themeColor="text1"/>
          <w:sz w:val="24"/>
          <w:szCs w:val="24"/>
        </w:rPr>
        <w:t>służą jako wskazówki dla państw członkowskich UE</w:t>
      </w:r>
      <w:r w:rsidR="00525C12">
        <w:rPr>
          <w:rFonts w:ascii="Times New Roman" w:hAnsi="Times New Roman"/>
          <w:noProof/>
          <w:color w:val="000000" w:themeColor="text1"/>
          <w:sz w:val="24"/>
          <w:szCs w:val="24"/>
        </w:rPr>
        <w:t xml:space="preserve"> i pra</w:t>
      </w:r>
      <w:r>
        <w:rPr>
          <w:rFonts w:ascii="Times New Roman" w:hAnsi="Times New Roman"/>
          <w:noProof/>
          <w:color w:val="000000" w:themeColor="text1"/>
          <w:sz w:val="24"/>
          <w:szCs w:val="24"/>
        </w:rPr>
        <w:t>cowników służby zdrowia</w:t>
      </w:r>
      <w:r w:rsidR="00525C12">
        <w:rPr>
          <w:rFonts w:ascii="Times New Roman" w:hAnsi="Times New Roman"/>
          <w:noProof/>
          <w:color w:val="000000" w:themeColor="text1"/>
          <w:sz w:val="24"/>
          <w:szCs w:val="24"/>
        </w:rPr>
        <w:t xml:space="preserve"> w zak</w:t>
      </w:r>
      <w:r>
        <w:rPr>
          <w:rFonts w:ascii="Times New Roman" w:hAnsi="Times New Roman"/>
          <w:noProof/>
          <w:color w:val="000000" w:themeColor="text1"/>
          <w:sz w:val="24"/>
          <w:szCs w:val="24"/>
        </w:rPr>
        <w:t>resie zapobiegania chorobom zakaźnym</w:t>
      </w:r>
      <w:r w:rsidR="00525C12">
        <w:rPr>
          <w:rFonts w:ascii="Times New Roman" w:hAnsi="Times New Roman"/>
          <w:noProof/>
          <w:color w:val="000000" w:themeColor="text1"/>
          <w:sz w:val="24"/>
          <w:szCs w:val="24"/>
        </w:rPr>
        <w:t xml:space="preserve"> i ich</w:t>
      </w:r>
      <w:r>
        <w:rPr>
          <w:rFonts w:ascii="Times New Roman" w:hAnsi="Times New Roman"/>
          <w:noProof/>
          <w:color w:val="000000" w:themeColor="text1"/>
          <w:sz w:val="24"/>
          <w:szCs w:val="24"/>
        </w:rPr>
        <w:t xml:space="preserve"> zwalczania</w:t>
      </w:r>
      <w:r w:rsidR="00525C12">
        <w:rPr>
          <w:rFonts w:ascii="Times New Roman" w:hAnsi="Times New Roman"/>
          <w:noProof/>
          <w:color w:val="000000" w:themeColor="text1"/>
          <w:sz w:val="24"/>
          <w:szCs w:val="24"/>
        </w:rPr>
        <w:t xml:space="preserve"> w tak</w:t>
      </w:r>
      <w:r>
        <w:rPr>
          <w:rFonts w:ascii="Times New Roman" w:hAnsi="Times New Roman"/>
          <w:noProof/>
          <w:color w:val="000000" w:themeColor="text1"/>
          <w:sz w:val="24"/>
          <w:szCs w:val="24"/>
        </w:rPr>
        <w:t>ich sytuacjach – umożliwiają kontynuację rutynowych programów szczepień wśród osób przesiedlonych,</w:t>
      </w:r>
      <w:r w:rsidR="00525C12">
        <w:rPr>
          <w:rFonts w:ascii="Times New Roman" w:hAnsi="Times New Roman"/>
          <w:noProof/>
          <w:color w:val="000000" w:themeColor="text1"/>
          <w:sz w:val="24"/>
          <w:szCs w:val="24"/>
        </w:rPr>
        <w:t xml:space="preserve"> a tak</w:t>
      </w:r>
      <w:r>
        <w:rPr>
          <w:rFonts w:ascii="Times New Roman" w:hAnsi="Times New Roman"/>
          <w:noProof/>
          <w:color w:val="000000" w:themeColor="text1"/>
          <w:sz w:val="24"/>
          <w:szCs w:val="24"/>
        </w:rPr>
        <w:t>że szczepienia przeciwko COVID-19</w:t>
      </w:r>
      <w:r w:rsidR="00525C12">
        <w:rPr>
          <w:rFonts w:ascii="Times New Roman" w:hAnsi="Times New Roman"/>
          <w:noProof/>
          <w:color w:val="000000" w:themeColor="text1"/>
          <w:sz w:val="24"/>
          <w:szCs w:val="24"/>
        </w:rPr>
        <w:t xml:space="preserve"> i inn</w:t>
      </w:r>
      <w:r>
        <w:rPr>
          <w:rFonts w:ascii="Times New Roman" w:hAnsi="Times New Roman"/>
          <w:noProof/>
          <w:color w:val="000000" w:themeColor="text1"/>
          <w:sz w:val="24"/>
          <w:szCs w:val="24"/>
        </w:rPr>
        <w:t>ym chorobom.</w:t>
      </w:r>
    </w:p>
    <w:p w14:paraId="74EC58BB" w14:textId="777F0D58" w:rsidR="00626332" w:rsidRDefault="00626332" w:rsidP="20C88EBE">
      <w:pPr>
        <w:spacing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Komisja uważnie analizuje również możliwe przyszłe zagrożenia dla zdrowia oraz podaż</w:t>
      </w:r>
      <w:r w:rsidR="00525C12">
        <w:rPr>
          <w:rFonts w:ascii="Times New Roman" w:hAnsi="Times New Roman"/>
          <w:noProof/>
          <w:color w:val="000000" w:themeColor="text1"/>
          <w:sz w:val="24"/>
          <w:szCs w:val="24"/>
        </w:rPr>
        <w:t xml:space="preserve"> i dos</w:t>
      </w:r>
      <w:r>
        <w:rPr>
          <w:rFonts w:ascii="Times New Roman" w:hAnsi="Times New Roman"/>
          <w:noProof/>
          <w:color w:val="000000" w:themeColor="text1"/>
          <w:sz w:val="24"/>
          <w:szCs w:val="24"/>
        </w:rPr>
        <w:t>tępność medycznych środków przeciwdziałania</w:t>
      </w:r>
      <w:r w:rsidR="00525C12">
        <w:rPr>
          <w:rFonts w:ascii="Times New Roman" w:hAnsi="Times New Roman"/>
          <w:noProof/>
          <w:color w:val="000000" w:themeColor="text1"/>
          <w:sz w:val="24"/>
          <w:szCs w:val="24"/>
        </w:rPr>
        <w:t xml:space="preserve"> w cel</w:t>
      </w:r>
      <w:r>
        <w:rPr>
          <w:rFonts w:ascii="Times New Roman" w:hAnsi="Times New Roman"/>
          <w:noProof/>
          <w:color w:val="000000" w:themeColor="text1"/>
          <w:sz w:val="24"/>
          <w:szCs w:val="24"/>
        </w:rPr>
        <w:t>u zaspokojenia szczególnych potrzeb zdrowotnych, które powstały</w:t>
      </w:r>
      <w:r w:rsidR="00525C12">
        <w:rPr>
          <w:rFonts w:ascii="Times New Roman" w:hAnsi="Times New Roman"/>
          <w:noProof/>
          <w:color w:val="000000" w:themeColor="text1"/>
          <w:sz w:val="24"/>
          <w:szCs w:val="24"/>
        </w:rPr>
        <w:t xml:space="preserve"> w wyn</w:t>
      </w:r>
      <w:r>
        <w:rPr>
          <w:rFonts w:ascii="Times New Roman" w:hAnsi="Times New Roman"/>
          <w:noProof/>
          <w:color w:val="000000" w:themeColor="text1"/>
          <w:sz w:val="24"/>
          <w:szCs w:val="24"/>
        </w:rPr>
        <w:t>iku rosyjskiej inwazji</w:t>
      </w:r>
      <w:r w:rsidR="00525C12">
        <w:rPr>
          <w:rFonts w:ascii="Times New Roman" w:hAnsi="Times New Roman"/>
          <w:noProof/>
          <w:color w:val="000000" w:themeColor="text1"/>
          <w:sz w:val="24"/>
          <w:szCs w:val="24"/>
        </w:rPr>
        <w:t xml:space="preserve"> i trw</w:t>
      </w:r>
      <w:r>
        <w:rPr>
          <w:rFonts w:ascii="Times New Roman" w:hAnsi="Times New Roman"/>
          <w:noProof/>
          <w:color w:val="000000" w:themeColor="text1"/>
          <w:sz w:val="24"/>
          <w:szCs w:val="24"/>
        </w:rPr>
        <w:t>ającej wojny</w:t>
      </w:r>
      <w:r w:rsidR="00525C12">
        <w:rPr>
          <w:rFonts w:ascii="Times New Roman" w:hAnsi="Times New Roman"/>
          <w:noProof/>
          <w:color w:val="000000" w:themeColor="text1"/>
          <w:sz w:val="24"/>
          <w:szCs w:val="24"/>
        </w:rPr>
        <w:t xml:space="preserve"> w Ukr</w:t>
      </w:r>
      <w:r>
        <w:rPr>
          <w:rFonts w:ascii="Times New Roman" w:hAnsi="Times New Roman"/>
          <w:noProof/>
          <w:color w:val="000000" w:themeColor="text1"/>
          <w:sz w:val="24"/>
          <w:szCs w:val="24"/>
        </w:rPr>
        <w:t>ainie. Zwiększenie liczby zaszczepionych osób,</w:t>
      </w:r>
      <w:r w:rsidR="00525C12">
        <w:rPr>
          <w:rFonts w:ascii="Times New Roman" w:hAnsi="Times New Roman"/>
          <w:noProof/>
          <w:color w:val="000000" w:themeColor="text1"/>
          <w:sz w:val="24"/>
          <w:szCs w:val="24"/>
        </w:rPr>
        <w:t xml:space="preserve"> w tym</w:t>
      </w:r>
      <w:r>
        <w:rPr>
          <w:rFonts w:ascii="Times New Roman" w:hAnsi="Times New Roman"/>
          <w:noProof/>
          <w:color w:val="000000" w:themeColor="text1"/>
          <w:sz w:val="24"/>
          <w:szCs w:val="24"/>
        </w:rPr>
        <w:t xml:space="preserve"> wśród uchodźców, pomoże zmniejszyć presję na europejskie systemy opieki zdrowotnej. To</w:t>
      </w:r>
      <w:r w:rsidR="00525C12">
        <w:rPr>
          <w:rFonts w:ascii="Times New Roman" w:hAnsi="Times New Roman"/>
          <w:noProof/>
          <w:color w:val="000000" w:themeColor="text1"/>
          <w:sz w:val="24"/>
          <w:szCs w:val="24"/>
        </w:rPr>
        <w:t xml:space="preserve"> z kol</w:t>
      </w:r>
      <w:r>
        <w:rPr>
          <w:rFonts w:ascii="Times New Roman" w:hAnsi="Times New Roman"/>
          <w:noProof/>
          <w:color w:val="000000" w:themeColor="text1"/>
          <w:sz w:val="24"/>
          <w:szCs w:val="24"/>
        </w:rPr>
        <w:t>ei pozwoli zwolnić miejsce potrzebne do udzielania pomocy rannym, przewlekle chorym lub dotkniętym traumą psychiczną uchodźcom wojennym.</w:t>
      </w:r>
    </w:p>
    <w:p w14:paraId="2A14ECE7" w14:textId="40799348" w:rsidR="007142D7" w:rsidRDefault="004315A3" w:rsidP="006A56B8">
      <w:pPr>
        <w:pStyle w:val="ListParagraph"/>
        <w:keepNext/>
        <w:numPr>
          <w:ilvl w:val="0"/>
          <w:numId w:val="5"/>
        </w:numPr>
        <w:spacing w:before="360" w:line="240" w:lineRule="auto"/>
        <w:rPr>
          <w:rFonts w:ascii="Times New Roman" w:hAnsi="Times New Roman" w:cs="Times New Roman"/>
          <w:b/>
          <w:noProof/>
          <w:sz w:val="24"/>
          <w:szCs w:val="24"/>
        </w:rPr>
      </w:pPr>
      <w:r>
        <w:rPr>
          <w:rFonts w:ascii="Times New Roman" w:hAnsi="Times New Roman"/>
          <w:b/>
          <w:noProof/>
          <w:sz w:val="24"/>
          <w:szCs w:val="24"/>
        </w:rPr>
        <w:t xml:space="preserve">ZACHOWANIE CZUJNOŚCI </w:t>
      </w:r>
    </w:p>
    <w:p w14:paraId="7FD13434" w14:textId="41CE0884" w:rsidR="00221FB9" w:rsidRDefault="00B57AC9" w:rsidP="00221FB9">
      <w:pPr>
        <w:spacing w:line="240" w:lineRule="auto"/>
        <w:jc w:val="both"/>
        <w:rPr>
          <w:rFonts w:ascii="Times New Roman" w:hAnsi="Times New Roman" w:cs="Times New Roman"/>
          <w:noProof/>
          <w:sz w:val="24"/>
          <w:szCs w:val="24"/>
        </w:rPr>
      </w:pPr>
      <w:r>
        <w:rPr>
          <w:rFonts w:ascii="Times New Roman" w:hAnsi="Times New Roman"/>
          <w:noProof/>
          <w:sz w:val="24"/>
          <w:szCs w:val="24"/>
        </w:rPr>
        <w:t>W świetle tych ciągłych wyzwań przyszły przebieg pandemii COVID-19</w:t>
      </w:r>
      <w:r w:rsidR="00525C12">
        <w:rPr>
          <w:rFonts w:ascii="Times New Roman" w:hAnsi="Times New Roman"/>
          <w:noProof/>
          <w:sz w:val="24"/>
          <w:szCs w:val="24"/>
        </w:rPr>
        <w:t xml:space="preserve"> i jej</w:t>
      </w:r>
      <w:r>
        <w:rPr>
          <w:rFonts w:ascii="Times New Roman" w:hAnsi="Times New Roman"/>
          <w:noProof/>
          <w:sz w:val="24"/>
          <w:szCs w:val="24"/>
        </w:rPr>
        <w:t xml:space="preserve"> ciężar dla społeczeństwa</w:t>
      </w:r>
      <w:r w:rsidR="00525C12">
        <w:rPr>
          <w:rFonts w:ascii="Times New Roman" w:hAnsi="Times New Roman"/>
          <w:noProof/>
          <w:sz w:val="24"/>
          <w:szCs w:val="24"/>
        </w:rPr>
        <w:t xml:space="preserve"> w nad</w:t>
      </w:r>
      <w:r>
        <w:rPr>
          <w:rFonts w:ascii="Times New Roman" w:hAnsi="Times New Roman"/>
          <w:noProof/>
          <w:sz w:val="24"/>
          <w:szCs w:val="24"/>
        </w:rPr>
        <w:t xml:space="preserve">chodzących latach będzie zależał od decyzji, które podejmiemy teraz. </w:t>
      </w:r>
    </w:p>
    <w:p w14:paraId="1460E7C0" w14:textId="5D615C71" w:rsidR="00CF1835" w:rsidRDefault="0F423713" w:rsidP="00204DFC">
      <w:pPr>
        <w:spacing w:line="240" w:lineRule="auto"/>
        <w:jc w:val="both"/>
        <w:rPr>
          <w:rFonts w:ascii="Times New Roman" w:hAnsi="Times New Roman" w:cs="Times New Roman"/>
          <w:noProof/>
          <w:sz w:val="24"/>
          <w:szCs w:val="24"/>
        </w:rPr>
      </w:pPr>
      <w:r>
        <w:rPr>
          <w:rFonts w:ascii="Times New Roman" w:hAnsi="Times New Roman"/>
          <w:noProof/>
          <w:sz w:val="24"/>
          <w:szCs w:val="24"/>
        </w:rPr>
        <w:t>Państwa członkowskie powinny wykorzystać ten okres do wzmocnienia nadzoru, systemów opieki zdrowotnej</w:t>
      </w:r>
      <w:r w:rsidR="00525C12">
        <w:rPr>
          <w:rFonts w:ascii="Times New Roman" w:hAnsi="Times New Roman"/>
          <w:noProof/>
          <w:sz w:val="24"/>
          <w:szCs w:val="24"/>
        </w:rPr>
        <w:t xml:space="preserve"> i ogó</w:t>
      </w:r>
      <w:r>
        <w:rPr>
          <w:rFonts w:ascii="Times New Roman" w:hAnsi="Times New Roman"/>
          <w:noProof/>
          <w:sz w:val="24"/>
          <w:szCs w:val="24"/>
        </w:rPr>
        <w:t>lnej gotowości na wypadek pandemii. Tymczasem naukowcy</w:t>
      </w:r>
      <w:r w:rsidR="00525C12">
        <w:rPr>
          <w:rFonts w:ascii="Times New Roman" w:hAnsi="Times New Roman"/>
          <w:noProof/>
          <w:sz w:val="24"/>
          <w:szCs w:val="24"/>
        </w:rPr>
        <w:t xml:space="preserve"> i pro</w:t>
      </w:r>
      <w:r>
        <w:rPr>
          <w:rFonts w:ascii="Times New Roman" w:hAnsi="Times New Roman"/>
          <w:noProof/>
          <w:sz w:val="24"/>
          <w:szCs w:val="24"/>
        </w:rPr>
        <w:t>ducenci szczepionek powinni priorytetowo potraktować opracowanie uniwersalnych, odpornych na różne warianty choroby szczepionek, które zapewnią długotrwałą ochronę przed zakażeniem. Uwagi wymaga również rozwój środków terapeutycznych przeciwko COVID-19, szczególnie skierowanych do pacjentów mających obniżoną odporność, którzy są nadmiernie reprezentowani na oddziałach intensywnej terapii, oraz ciągła potrzeba poprawy dostępu do szczepionek</w:t>
      </w:r>
      <w:r w:rsidR="00525C12">
        <w:rPr>
          <w:rFonts w:ascii="Times New Roman" w:hAnsi="Times New Roman"/>
          <w:noProof/>
          <w:sz w:val="24"/>
          <w:szCs w:val="24"/>
        </w:rPr>
        <w:t xml:space="preserve"> i śro</w:t>
      </w:r>
      <w:r>
        <w:rPr>
          <w:rFonts w:ascii="Times New Roman" w:hAnsi="Times New Roman"/>
          <w:noProof/>
          <w:sz w:val="24"/>
          <w:szCs w:val="24"/>
        </w:rPr>
        <w:t xml:space="preserve">dków terapeutycznych przeciwko COVID-19 na całym świecie. </w:t>
      </w:r>
    </w:p>
    <w:p w14:paraId="64A77010" w14:textId="77777777" w:rsidR="00CF1835" w:rsidRDefault="00CF1835" w:rsidP="00CF1835">
      <w:pPr>
        <w:pStyle w:val="Text1"/>
        <w:numPr>
          <w:ilvl w:val="0"/>
          <w:numId w:val="11"/>
        </w:numPr>
        <w:spacing w:after="200"/>
        <w:rPr>
          <w:b/>
          <w:i/>
          <w:noProof/>
          <w:szCs w:val="24"/>
        </w:rPr>
      </w:pPr>
      <w:r>
        <w:rPr>
          <w:b/>
          <w:i/>
          <w:noProof/>
          <w:szCs w:val="24"/>
        </w:rPr>
        <w:t>Wzrost rozpowszechnienia szczepionek przeciwko COVID-19</w:t>
      </w:r>
    </w:p>
    <w:p w14:paraId="06830250" w14:textId="77777777" w:rsidR="00CF1835" w:rsidRPr="00DD557B" w:rsidRDefault="00CF1835" w:rsidP="00CF1835">
      <w:pPr>
        <w:spacing w:after="120" w:line="240" w:lineRule="auto"/>
        <w:jc w:val="both"/>
        <w:rPr>
          <w:rFonts w:ascii="Times New Roman" w:hAnsi="Times New Roman" w:cs="Times New Roman"/>
          <w:b/>
          <w:i/>
          <w:noProof/>
          <w:sz w:val="24"/>
          <w:szCs w:val="24"/>
        </w:rPr>
      </w:pPr>
      <w:r>
        <w:rPr>
          <w:rFonts w:ascii="Times New Roman" w:hAnsi="Times New Roman"/>
          <w:b/>
          <w:i/>
          <w:noProof/>
          <w:sz w:val="24"/>
          <w:szCs w:val="24"/>
        </w:rPr>
        <w:t>Strategie szczepień</w:t>
      </w:r>
    </w:p>
    <w:p w14:paraId="6AFC6B23" w14:textId="40082166" w:rsidR="00CF1835" w:rsidRPr="00525C12" w:rsidRDefault="00CF1835" w:rsidP="00CF1835">
      <w:pPr>
        <w:spacing w:line="240" w:lineRule="auto"/>
        <w:jc w:val="both"/>
        <w:rPr>
          <w:rStyle w:val="CommentReference"/>
          <w:noProof/>
        </w:rPr>
      </w:pPr>
      <w:r>
        <w:rPr>
          <w:rFonts w:ascii="Times New Roman" w:hAnsi="Times New Roman"/>
          <w:noProof/>
          <w:sz w:val="24"/>
          <w:szCs w:val="24"/>
        </w:rPr>
        <w:t>Unijna strategia dotycząca szczepionek zapewniła szeroki wachlarz szczepionek przeciwko COVID-19</w:t>
      </w:r>
      <w:r w:rsidR="00525C12">
        <w:rPr>
          <w:rFonts w:ascii="Times New Roman" w:hAnsi="Times New Roman"/>
          <w:noProof/>
          <w:sz w:val="24"/>
          <w:szCs w:val="24"/>
        </w:rPr>
        <w:t xml:space="preserve"> i pow</w:t>
      </w:r>
      <w:r>
        <w:rPr>
          <w:rFonts w:ascii="Times New Roman" w:hAnsi="Times New Roman"/>
          <w:noProof/>
          <w:sz w:val="24"/>
          <w:szCs w:val="24"/>
        </w:rPr>
        <w:t>szechny dostęp do nich. Obecnie,</w:t>
      </w:r>
      <w:r w:rsidR="00525C12">
        <w:rPr>
          <w:rFonts w:ascii="Times New Roman" w:hAnsi="Times New Roman"/>
          <w:noProof/>
          <w:sz w:val="24"/>
          <w:szCs w:val="24"/>
        </w:rPr>
        <w:t xml:space="preserve"> w kon</w:t>
      </w:r>
      <w:r>
        <w:rPr>
          <w:rFonts w:ascii="Times New Roman" w:hAnsi="Times New Roman"/>
          <w:noProof/>
          <w:sz w:val="24"/>
          <w:szCs w:val="24"/>
        </w:rPr>
        <w:t>tekście wariantu omikron, należy skupić się na zwiększeniu liczby dawek przypominających, zwłaszcza</w:t>
      </w:r>
      <w:r w:rsidR="00525C12">
        <w:rPr>
          <w:rFonts w:ascii="Times New Roman" w:hAnsi="Times New Roman"/>
          <w:noProof/>
          <w:sz w:val="24"/>
          <w:szCs w:val="24"/>
        </w:rPr>
        <w:t xml:space="preserve"> w prz</w:t>
      </w:r>
      <w:r>
        <w:rPr>
          <w:rFonts w:ascii="Times New Roman" w:hAnsi="Times New Roman"/>
          <w:noProof/>
          <w:sz w:val="24"/>
          <w:szCs w:val="24"/>
        </w:rPr>
        <w:t>ypadku grup najbardziej narażonych. Nadal obserwujemy duże różnice pod względem wskaźnika wyszczepienia</w:t>
      </w:r>
      <w:r w:rsidR="00525C12">
        <w:rPr>
          <w:rFonts w:ascii="Times New Roman" w:hAnsi="Times New Roman"/>
          <w:noProof/>
          <w:sz w:val="24"/>
          <w:szCs w:val="24"/>
        </w:rPr>
        <w:t xml:space="preserve"> w pos</w:t>
      </w:r>
      <w:r>
        <w:rPr>
          <w:rFonts w:ascii="Times New Roman" w:hAnsi="Times New Roman"/>
          <w:noProof/>
          <w:sz w:val="24"/>
          <w:szCs w:val="24"/>
        </w:rPr>
        <w:t>zczególnych państwach członkowskich: niektóre</w:t>
      </w:r>
      <w:r w:rsidR="00525C12">
        <w:rPr>
          <w:rFonts w:ascii="Times New Roman" w:hAnsi="Times New Roman"/>
          <w:noProof/>
          <w:sz w:val="24"/>
          <w:szCs w:val="24"/>
        </w:rPr>
        <w:t xml:space="preserve"> z nic</w:t>
      </w:r>
      <w:r>
        <w:rPr>
          <w:rFonts w:ascii="Times New Roman" w:hAnsi="Times New Roman"/>
          <w:noProof/>
          <w:sz w:val="24"/>
          <w:szCs w:val="24"/>
        </w:rPr>
        <w:t>h osiągnęły wysoki poziom, podczas gdy inne pozostają</w:t>
      </w:r>
      <w:r w:rsidR="00525C12">
        <w:rPr>
          <w:rFonts w:ascii="Times New Roman" w:hAnsi="Times New Roman"/>
          <w:noProof/>
          <w:sz w:val="24"/>
          <w:szCs w:val="24"/>
        </w:rPr>
        <w:t xml:space="preserve"> w tyl</w:t>
      </w:r>
      <w:r>
        <w:rPr>
          <w:rFonts w:ascii="Times New Roman" w:hAnsi="Times New Roman"/>
          <w:noProof/>
          <w:sz w:val="24"/>
          <w:szCs w:val="24"/>
        </w:rPr>
        <w:t>e</w:t>
      </w:r>
      <w:r>
        <w:rPr>
          <w:rStyle w:val="FootnoteReference"/>
          <w:rFonts w:ascii="Times New Roman" w:hAnsi="Times New Roman" w:cs="Times New Roman"/>
          <w:noProof/>
          <w:sz w:val="24"/>
          <w:szCs w:val="24"/>
        </w:rPr>
        <w:footnoteReference w:id="10"/>
      </w:r>
      <w:r>
        <w:rPr>
          <w:rFonts w:ascii="Times New Roman" w:hAnsi="Times New Roman"/>
          <w:noProof/>
          <w:sz w:val="24"/>
          <w:szCs w:val="24"/>
        </w:rPr>
        <w:t>. Priorytetem powinno pozostać zniwelowanie różnic</w:t>
      </w:r>
      <w:r w:rsidR="00525C12">
        <w:rPr>
          <w:rFonts w:ascii="Times New Roman" w:hAnsi="Times New Roman"/>
          <w:noProof/>
          <w:sz w:val="24"/>
          <w:szCs w:val="24"/>
        </w:rPr>
        <w:t xml:space="preserve"> w poz</w:t>
      </w:r>
      <w:r>
        <w:rPr>
          <w:rFonts w:ascii="Times New Roman" w:hAnsi="Times New Roman"/>
          <w:noProof/>
          <w:sz w:val="24"/>
          <w:szCs w:val="24"/>
        </w:rPr>
        <w:t>iomie wyszczepienia wśród dorosłych, zarówno</w:t>
      </w:r>
      <w:r w:rsidR="00525C12">
        <w:rPr>
          <w:rFonts w:ascii="Times New Roman" w:hAnsi="Times New Roman"/>
          <w:noProof/>
          <w:sz w:val="24"/>
          <w:szCs w:val="24"/>
        </w:rPr>
        <w:t xml:space="preserve"> w obr</w:t>
      </w:r>
      <w:r>
        <w:rPr>
          <w:rFonts w:ascii="Times New Roman" w:hAnsi="Times New Roman"/>
          <w:noProof/>
          <w:sz w:val="24"/>
          <w:szCs w:val="24"/>
        </w:rPr>
        <w:t>ębie państw członkowskich, jak</w:t>
      </w:r>
      <w:r w:rsidR="00525C12">
        <w:rPr>
          <w:rFonts w:ascii="Times New Roman" w:hAnsi="Times New Roman"/>
          <w:noProof/>
          <w:sz w:val="24"/>
          <w:szCs w:val="24"/>
        </w:rPr>
        <w:t xml:space="preserve"> i pom</w:t>
      </w:r>
      <w:r>
        <w:rPr>
          <w:rFonts w:ascii="Times New Roman" w:hAnsi="Times New Roman"/>
          <w:noProof/>
          <w:sz w:val="24"/>
          <w:szCs w:val="24"/>
        </w:rPr>
        <w:t>iędzy nimi</w:t>
      </w:r>
      <w:r w:rsidRPr="00525C12">
        <w:rPr>
          <w:rFonts w:ascii="Times New Roman" w:hAnsi="Times New Roman"/>
          <w:noProof/>
          <w:sz w:val="24"/>
          <w:szCs w:val="24"/>
        </w:rPr>
        <w:t>.</w:t>
      </w:r>
      <w:r w:rsidR="00525C12" w:rsidRPr="00525C12">
        <w:rPr>
          <w:rFonts w:ascii="Times New Roman" w:hAnsi="Times New Roman"/>
          <w:noProof/>
          <w:sz w:val="24"/>
          <w:szCs w:val="24"/>
        </w:rPr>
        <w:t xml:space="preserve"> </w:t>
      </w:r>
    </w:p>
    <w:p w14:paraId="70A700C4" w14:textId="1502EEAF" w:rsidR="00CF1835" w:rsidRPr="00B6000F" w:rsidRDefault="00CF1835" w:rsidP="00CF1835">
      <w:pPr>
        <w:spacing w:after="0" w:line="240" w:lineRule="auto"/>
        <w:jc w:val="both"/>
        <w:rPr>
          <w:rFonts w:ascii="Times New Roman" w:hAnsi="Times New Roman" w:cs="Times New Roman"/>
          <w:noProof/>
          <w:sz w:val="24"/>
          <w:szCs w:val="24"/>
        </w:rPr>
      </w:pPr>
    </w:p>
    <w:p w14:paraId="641DB8A4" w14:textId="56085077" w:rsidR="0028059F" w:rsidRPr="00466111" w:rsidRDefault="0028059F" w:rsidP="0028059F">
      <w:pPr>
        <w:spacing w:after="60" w:line="240" w:lineRule="auto"/>
        <w:jc w:val="both"/>
        <w:rPr>
          <w:rStyle w:val="CommentReference"/>
          <w:b/>
          <w:noProof/>
          <w:sz w:val="20"/>
        </w:rPr>
      </w:pPr>
      <w:r w:rsidRPr="00466111">
        <w:rPr>
          <w:b/>
          <w:noProof/>
        </w:rPr>
        <w:t>Łączny wskaźnik wyszczepienia wśród osób</w:t>
      </w:r>
      <w:r w:rsidR="00525C12" w:rsidRPr="00466111">
        <w:rPr>
          <w:b/>
          <w:noProof/>
        </w:rPr>
        <w:t xml:space="preserve"> w wie</w:t>
      </w:r>
      <w:r w:rsidRPr="00466111">
        <w:rPr>
          <w:b/>
          <w:noProof/>
        </w:rPr>
        <w:t>ku powyżej 18 lat, tydzień 13. 2022</w:t>
      </w:r>
      <w:r w:rsidR="00525C12" w:rsidRPr="00466111">
        <w:rPr>
          <w:b/>
          <w:noProof/>
        </w:rPr>
        <w:t> </w:t>
      </w:r>
      <w:r w:rsidRPr="00466111">
        <w:rPr>
          <w:b/>
          <w:noProof/>
        </w:rPr>
        <w:t>r.</w:t>
      </w:r>
    </w:p>
    <w:p w14:paraId="63416A81" w14:textId="34CC093E" w:rsidR="0028059F" w:rsidRDefault="0028059F" w:rsidP="0028059F">
      <w:pPr>
        <w:spacing w:after="0" w:line="240" w:lineRule="auto"/>
        <w:jc w:val="both"/>
        <w:rPr>
          <w:rStyle w:val="CommentReference"/>
          <w:noProof/>
        </w:rPr>
      </w:pPr>
      <w:r>
        <w:rPr>
          <w:noProof/>
        </w:rPr>
        <w:t>Wartości dla UE/EOG oparte na zbiorczych danych</w:t>
      </w:r>
      <w:r w:rsidR="00525C12">
        <w:rPr>
          <w:noProof/>
        </w:rPr>
        <w:t xml:space="preserve"> z 3</w:t>
      </w:r>
      <w:r>
        <w:rPr>
          <w:noProof/>
        </w:rPr>
        <w:t>0 państw składających sprawozdania</w:t>
      </w:r>
    </w:p>
    <w:p w14:paraId="5F9FCB86" w14:textId="0AEF04D0" w:rsidR="0028059F" w:rsidRDefault="0028059F" w:rsidP="0028059F">
      <w:pPr>
        <w:spacing w:line="240" w:lineRule="auto"/>
        <w:jc w:val="both"/>
        <w:rPr>
          <w:rStyle w:val="CommentReference"/>
          <w:noProof/>
        </w:rPr>
      </w:pPr>
      <w:r>
        <w:rPr>
          <w:noProof/>
        </w:rPr>
        <w:t>Przynajmniej jedna podana dawka</w:t>
      </w:r>
      <w:r w:rsidR="00525C12">
        <w:rPr>
          <w:noProof/>
        </w:rPr>
        <w:t xml:space="preserve"> i dos</w:t>
      </w:r>
      <w:r>
        <w:rPr>
          <w:noProof/>
        </w:rPr>
        <w:t>tępne dane dotyczące populacji grupy docelowej</w:t>
      </w:r>
    </w:p>
    <w:p w14:paraId="016E252C" w14:textId="77777777" w:rsidR="00466111" w:rsidRDefault="0028059F" w:rsidP="00466111">
      <w:pPr>
        <w:spacing w:after="0" w:line="240" w:lineRule="auto"/>
        <w:jc w:val="both"/>
        <w:rPr>
          <w:noProof/>
          <w:sz w:val="14"/>
          <w:szCs w:val="14"/>
        </w:rPr>
      </w:pPr>
      <w:r w:rsidRPr="00466111">
        <w:rPr>
          <w:noProof/>
          <w:sz w:val="14"/>
          <w:szCs w:val="14"/>
          <w:lang w:val="en-GB" w:eastAsia="en-GB"/>
        </w:rPr>
        <w:drawing>
          <wp:inline distT="0" distB="0" distL="0" distR="0" wp14:anchorId="7513FF06" wp14:editId="6F3E8B7C">
            <wp:extent cx="233680" cy="23368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3680" cy="233680"/>
                    </a:xfrm>
                    <a:prstGeom prst="rect">
                      <a:avLst/>
                    </a:prstGeom>
                    <a:noFill/>
                    <a:ln>
                      <a:noFill/>
                    </a:ln>
                  </pic:spPr>
                </pic:pic>
              </a:graphicData>
            </a:graphic>
          </wp:inline>
        </w:drawing>
      </w:r>
      <w:r w:rsidRPr="00466111">
        <w:rPr>
          <w:noProof/>
          <w:sz w:val="14"/>
          <w:szCs w:val="14"/>
        </w:rPr>
        <w:t>Łączny wskaźnik przyjęcia co najmniej jednej dawki szczepionki</w:t>
      </w:r>
      <w:r w:rsidR="00525C12" w:rsidRPr="00466111">
        <w:rPr>
          <w:noProof/>
          <w:sz w:val="14"/>
          <w:szCs w:val="14"/>
        </w:rPr>
        <w:t xml:space="preserve"> </w:t>
      </w:r>
      <w:r w:rsidRPr="00466111">
        <w:rPr>
          <w:noProof/>
          <w:sz w:val="14"/>
          <w:szCs w:val="14"/>
          <w:lang w:val="en-GB" w:eastAsia="en-GB"/>
        </w:rPr>
        <w:drawing>
          <wp:inline distT="0" distB="0" distL="0" distR="0" wp14:anchorId="1B2B850A" wp14:editId="5C1F41DD">
            <wp:extent cx="221822" cy="201930"/>
            <wp:effectExtent l="0" t="0" r="6985"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6">
                      <a:extLst>
                        <a:ext uri="{28A0092B-C50C-407E-A947-70E740481C1C}">
                          <a14:useLocalDpi xmlns:a14="http://schemas.microsoft.com/office/drawing/2010/main" val="0"/>
                        </a:ext>
                      </a:extLst>
                    </a:blip>
                    <a:srcRect t="2" b="17036"/>
                    <a:stretch>
                      <a:fillRect/>
                    </a:stretch>
                  </pic:blipFill>
                  <pic:spPr bwMode="auto">
                    <a:xfrm>
                      <a:off x="0" y="0"/>
                      <a:ext cx="222236" cy="202307"/>
                    </a:xfrm>
                    <a:prstGeom prst="rect">
                      <a:avLst/>
                    </a:prstGeom>
                    <a:noFill/>
                    <a:ln>
                      <a:noFill/>
                    </a:ln>
                  </pic:spPr>
                </pic:pic>
              </a:graphicData>
            </a:graphic>
          </wp:inline>
        </w:drawing>
      </w:r>
      <w:r w:rsidRPr="00466111">
        <w:rPr>
          <w:noProof/>
          <w:sz w:val="14"/>
          <w:szCs w:val="14"/>
        </w:rPr>
        <w:t>Łączny wskaźnik przyjęcia szczepienia pierwotnego</w:t>
      </w:r>
      <w:r w:rsidR="00525C12" w:rsidRPr="00466111">
        <w:rPr>
          <w:noProof/>
          <w:sz w:val="14"/>
          <w:szCs w:val="14"/>
        </w:rPr>
        <w:t xml:space="preserve"> </w:t>
      </w:r>
      <w:r w:rsidRPr="00466111">
        <w:rPr>
          <w:noProof/>
          <w:sz w:val="14"/>
          <w:szCs w:val="14"/>
          <w:lang w:val="en-GB" w:eastAsia="en-GB"/>
        </w:rPr>
        <w:drawing>
          <wp:inline distT="0" distB="0" distL="0" distR="0" wp14:anchorId="6F9B8DD9" wp14:editId="709B1E74">
            <wp:extent cx="233680" cy="201930"/>
            <wp:effectExtent l="0" t="0" r="0"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7">
                      <a:extLst>
                        <a:ext uri="{28A0092B-C50C-407E-A947-70E740481C1C}">
                          <a14:useLocalDpi xmlns:a14="http://schemas.microsoft.com/office/drawing/2010/main" val="0"/>
                        </a:ext>
                      </a:extLst>
                    </a:blip>
                    <a:srcRect t="2" b="16798"/>
                    <a:stretch>
                      <a:fillRect/>
                    </a:stretch>
                  </pic:blipFill>
                  <pic:spPr bwMode="auto">
                    <a:xfrm>
                      <a:off x="0" y="0"/>
                      <a:ext cx="233680" cy="201930"/>
                    </a:xfrm>
                    <a:prstGeom prst="rect">
                      <a:avLst/>
                    </a:prstGeom>
                    <a:noFill/>
                    <a:ln>
                      <a:noFill/>
                    </a:ln>
                  </pic:spPr>
                </pic:pic>
              </a:graphicData>
            </a:graphic>
          </wp:inline>
        </w:drawing>
      </w:r>
      <w:r w:rsidRPr="00466111">
        <w:rPr>
          <w:noProof/>
          <w:sz w:val="14"/>
          <w:szCs w:val="14"/>
        </w:rPr>
        <w:t xml:space="preserve"> Łączny wskaźnik przyjęcia dawki</w:t>
      </w:r>
    </w:p>
    <w:p w14:paraId="104FCCC4" w14:textId="1811E440" w:rsidR="0028059F" w:rsidRPr="00466111" w:rsidRDefault="0028059F" w:rsidP="00466111">
      <w:pPr>
        <w:spacing w:after="0" w:line="240" w:lineRule="auto"/>
        <w:jc w:val="right"/>
        <w:rPr>
          <w:rStyle w:val="CommentReference"/>
          <w:noProof/>
          <w:sz w:val="14"/>
          <w:szCs w:val="14"/>
        </w:rPr>
      </w:pPr>
      <w:r w:rsidRPr="00466111">
        <w:rPr>
          <w:noProof/>
          <w:sz w:val="14"/>
          <w:szCs w:val="14"/>
        </w:rPr>
        <w:t xml:space="preserve"> </w:t>
      </w:r>
      <w:r w:rsidR="00466111">
        <w:rPr>
          <w:noProof/>
          <w:sz w:val="14"/>
          <w:szCs w:val="14"/>
        </w:rPr>
        <w:t xml:space="preserve">   </w:t>
      </w:r>
      <w:r w:rsidRPr="00466111">
        <w:rPr>
          <w:noProof/>
          <w:sz w:val="14"/>
          <w:szCs w:val="14"/>
        </w:rPr>
        <w:t>dodatkowej</w:t>
      </w:r>
      <w:r w:rsidR="00EB1614" w:rsidRPr="00466111">
        <w:rPr>
          <w:noProof/>
          <w:sz w:val="14"/>
          <w:szCs w:val="14"/>
        </w:rPr>
        <w:t>/przypominającej</w:t>
      </w:r>
    </w:p>
    <w:p w14:paraId="606F430F" w14:textId="76B8C928" w:rsidR="0028059F" w:rsidRDefault="00757FF7" w:rsidP="0028059F">
      <w:pPr>
        <w:spacing w:after="0" w:line="240" w:lineRule="auto"/>
        <w:jc w:val="both"/>
        <w:rPr>
          <w:rFonts w:ascii="Times New Roman" w:hAnsi="Times New Roman" w:cs="Times New Roman"/>
          <w:noProof/>
          <w:color w:val="FF0000"/>
          <w:sz w:val="24"/>
          <w:szCs w:val="24"/>
        </w:rPr>
      </w:pPr>
      <w:r w:rsidRPr="00757FF7">
        <w:rPr>
          <w:noProof/>
          <w:lang w:val="en-GB" w:eastAsia="en-GB"/>
        </w:rPr>
        <w:drawing>
          <wp:inline distT="0" distB="0" distL="0" distR="0" wp14:anchorId="3D3E9CA4" wp14:editId="4D84982A">
            <wp:extent cx="6112510" cy="5883841"/>
            <wp:effectExtent l="0" t="0" r="254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12510" cy="5883841"/>
                    </a:xfrm>
                    <a:prstGeom prst="rect">
                      <a:avLst/>
                    </a:prstGeom>
                    <a:noFill/>
                    <a:ln>
                      <a:noFill/>
                    </a:ln>
                  </pic:spPr>
                </pic:pic>
              </a:graphicData>
            </a:graphic>
          </wp:inline>
        </w:drawing>
      </w:r>
    </w:p>
    <w:p w14:paraId="276C77B5" w14:textId="77777777" w:rsidR="0028059F" w:rsidRPr="00B6000F" w:rsidRDefault="0028059F" w:rsidP="0028059F">
      <w:pPr>
        <w:spacing w:after="0" w:line="240" w:lineRule="auto"/>
        <w:jc w:val="both"/>
        <w:rPr>
          <w:rFonts w:ascii="Times New Roman" w:hAnsi="Times New Roman" w:cs="Times New Roman"/>
          <w:noProof/>
          <w:sz w:val="24"/>
          <w:szCs w:val="24"/>
        </w:rPr>
      </w:pPr>
    </w:p>
    <w:p w14:paraId="51D56480" w14:textId="4B3A461F" w:rsidR="00CF1835" w:rsidRDefault="00CF1835" w:rsidP="00CF1835">
      <w:pPr>
        <w:spacing w:line="240" w:lineRule="auto"/>
        <w:jc w:val="both"/>
        <w:rPr>
          <w:rFonts w:ascii="Times New Roman" w:hAnsi="Times New Roman" w:cs="Times New Roman"/>
          <w:noProof/>
          <w:sz w:val="24"/>
          <w:szCs w:val="24"/>
        </w:rPr>
      </w:pPr>
      <w:r>
        <w:rPr>
          <w:rFonts w:ascii="Times New Roman" w:hAnsi="Times New Roman"/>
          <w:noProof/>
          <w:sz w:val="24"/>
          <w:szCs w:val="24"/>
        </w:rPr>
        <w:t>We wspólnym oświadczeniu opublikowanym 6 kwietnia przez ECDC</w:t>
      </w:r>
      <w:r w:rsidR="00525C12">
        <w:rPr>
          <w:rFonts w:ascii="Times New Roman" w:hAnsi="Times New Roman"/>
          <w:noProof/>
          <w:sz w:val="24"/>
          <w:szCs w:val="24"/>
        </w:rPr>
        <w:t xml:space="preserve"> i Eur</w:t>
      </w:r>
      <w:r>
        <w:rPr>
          <w:rFonts w:ascii="Times New Roman" w:hAnsi="Times New Roman"/>
          <w:noProof/>
          <w:sz w:val="24"/>
          <w:szCs w:val="24"/>
        </w:rPr>
        <w:t>opejską Agencję Leków (EMA)</w:t>
      </w:r>
      <w:r>
        <w:rPr>
          <w:rStyle w:val="FootnoteReference"/>
          <w:rFonts w:ascii="Times New Roman" w:hAnsi="Times New Roman" w:cs="Times New Roman"/>
          <w:noProof/>
          <w:sz w:val="24"/>
          <w:szCs w:val="24"/>
        </w:rPr>
        <w:footnoteReference w:id="11"/>
      </w:r>
      <w:r>
        <w:rPr>
          <w:rFonts w:ascii="Times New Roman" w:hAnsi="Times New Roman"/>
          <w:noProof/>
          <w:sz w:val="24"/>
          <w:szCs w:val="24"/>
        </w:rPr>
        <w:t xml:space="preserve"> agencje UE stwierdzają, że</w:t>
      </w:r>
      <w:r w:rsidR="00525C12">
        <w:rPr>
          <w:rFonts w:ascii="Times New Roman" w:hAnsi="Times New Roman"/>
          <w:noProof/>
          <w:sz w:val="24"/>
          <w:szCs w:val="24"/>
        </w:rPr>
        <w:t xml:space="preserve"> w opa</w:t>
      </w:r>
      <w:r>
        <w:rPr>
          <w:rFonts w:ascii="Times New Roman" w:hAnsi="Times New Roman"/>
          <w:noProof/>
          <w:sz w:val="24"/>
          <w:szCs w:val="24"/>
        </w:rPr>
        <w:t>rciu</w:t>
      </w:r>
      <w:r w:rsidR="00525C12">
        <w:rPr>
          <w:rFonts w:ascii="Times New Roman" w:hAnsi="Times New Roman"/>
          <w:noProof/>
          <w:sz w:val="24"/>
          <w:szCs w:val="24"/>
        </w:rPr>
        <w:t xml:space="preserve"> o naj</w:t>
      </w:r>
      <w:r>
        <w:rPr>
          <w:rFonts w:ascii="Times New Roman" w:hAnsi="Times New Roman"/>
          <w:noProof/>
          <w:sz w:val="24"/>
          <w:szCs w:val="24"/>
        </w:rPr>
        <w:t>nowsze dostępne dowody nadal zaleca się podawanie czwartej dawki szczepionek mRNA osobom mającym obniżoną odporność. Ze względu na słabą kondycję zdrowotną osób</w:t>
      </w:r>
      <w:r w:rsidR="00525C12">
        <w:rPr>
          <w:rFonts w:ascii="Times New Roman" w:hAnsi="Times New Roman"/>
          <w:noProof/>
          <w:sz w:val="24"/>
          <w:szCs w:val="24"/>
        </w:rPr>
        <w:t xml:space="preserve"> w bar</w:t>
      </w:r>
      <w:r>
        <w:rPr>
          <w:rFonts w:ascii="Times New Roman" w:hAnsi="Times New Roman"/>
          <w:noProof/>
          <w:sz w:val="24"/>
          <w:szCs w:val="24"/>
        </w:rPr>
        <w:t>dzo podeszłym wieku (osoby dorosłe</w:t>
      </w:r>
      <w:r w:rsidR="00525C12">
        <w:rPr>
          <w:rFonts w:ascii="Times New Roman" w:hAnsi="Times New Roman"/>
          <w:noProof/>
          <w:sz w:val="24"/>
          <w:szCs w:val="24"/>
        </w:rPr>
        <w:t xml:space="preserve"> w wie</w:t>
      </w:r>
      <w:r>
        <w:rPr>
          <w:rFonts w:ascii="Times New Roman" w:hAnsi="Times New Roman"/>
          <w:noProof/>
          <w:sz w:val="24"/>
          <w:szCs w:val="24"/>
        </w:rPr>
        <w:t>ku powyżej 80 lat), ich słabszą odpowiedź immunologiczną na szczepienie</w:t>
      </w:r>
      <w:r w:rsidR="00525C12">
        <w:rPr>
          <w:rFonts w:ascii="Times New Roman" w:hAnsi="Times New Roman"/>
          <w:noProof/>
          <w:sz w:val="24"/>
          <w:szCs w:val="24"/>
        </w:rPr>
        <w:t xml:space="preserve"> i wię</w:t>
      </w:r>
      <w:r>
        <w:rPr>
          <w:rFonts w:ascii="Times New Roman" w:hAnsi="Times New Roman"/>
          <w:noProof/>
          <w:sz w:val="24"/>
          <w:szCs w:val="24"/>
        </w:rPr>
        <w:t>ksze ryzyko ciężkiego przebiegu COVID-19,</w:t>
      </w:r>
      <w:r w:rsidR="00525C12">
        <w:rPr>
          <w:rFonts w:ascii="Times New Roman" w:hAnsi="Times New Roman"/>
          <w:noProof/>
          <w:sz w:val="24"/>
          <w:szCs w:val="24"/>
        </w:rPr>
        <w:t xml:space="preserve"> w tej</w:t>
      </w:r>
      <w:r>
        <w:rPr>
          <w:rFonts w:ascii="Times New Roman" w:hAnsi="Times New Roman"/>
          <w:noProof/>
          <w:sz w:val="24"/>
          <w:szCs w:val="24"/>
        </w:rPr>
        <w:t xml:space="preserve"> grupie można również podać drugą dawkę przypominającą po upływie co najmniej 4 miesięcy od ostatniego szczepienia</w:t>
      </w:r>
      <w:r w:rsidR="00525C12">
        <w:rPr>
          <w:rFonts w:ascii="Times New Roman" w:hAnsi="Times New Roman"/>
          <w:noProof/>
          <w:sz w:val="24"/>
          <w:szCs w:val="24"/>
        </w:rPr>
        <w:t xml:space="preserve"> i z uwz</w:t>
      </w:r>
      <w:r>
        <w:rPr>
          <w:rFonts w:ascii="Times New Roman" w:hAnsi="Times New Roman"/>
          <w:noProof/>
          <w:sz w:val="24"/>
          <w:szCs w:val="24"/>
        </w:rPr>
        <w:t xml:space="preserve">ględnieniem lokalnej sytuacji epidemiologicznej. </w:t>
      </w:r>
    </w:p>
    <w:p w14:paraId="027D61BD" w14:textId="1B5BB082" w:rsidR="00CF1835" w:rsidRDefault="00CF1835" w:rsidP="00CF1835">
      <w:pPr>
        <w:spacing w:line="240" w:lineRule="auto"/>
        <w:jc w:val="both"/>
        <w:rPr>
          <w:rFonts w:ascii="Times New Roman" w:hAnsi="Times New Roman" w:cs="Times New Roman"/>
          <w:noProof/>
          <w:sz w:val="24"/>
          <w:szCs w:val="24"/>
        </w:rPr>
      </w:pPr>
      <w:r>
        <w:rPr>
          <w:rFonts w:ascii="Times New Roman" w:hAnsi="Times New Roman"/>
          <w:noProof/>
          <w:sz w:val="24"/>
          <w:szCs w:val="24"/>
        </w:rPr>
        <w:t>Jeżeli chodzi</w:t>
      </w:r>
      <w:r w:rsidR="00525C12">
        <w:rPr>
          <w:rFonts w:ascii="Times New Roman" w:hAnsi="Times New Roman"/>
          <w:noProof/>
          <w:sz w:val="24"/>
          <w:szCs w:val="24"/>
        </w:rPr>
        <w:t xml:space="preserve"> o dzi</w:t>
      </w:r>
      <w:r>
        <w:rPr>
          <w:rFonts w:ascii="Times New Roman" w:hAnsi="Times New Roman"/>
          <w:noProof/>
          <w:sz w:val="24"/>
          <w:szCs w:val="24"/>
        </w:rPr>
        <w:t>eci</w:t>
      </w:r>
      <w:r w:rsidR="00525C12">
        <w:rPr>
          <w:rFonts w:ascii="Times New Roman" w:hAnsi="Times New Roman"/>
          <w:noProof/>
          <w:sz w:val="24"/>
          <w:szCs w:val="24"/>
        </w:rPr>
        <w:t xml:space="preserve"> i mło</w:t>
      </w:r>
      <w:r>
        <w:rPr>
          <w:rFonts w:ascii="Times New Roman" w:hAnsi="Times New Roman"/>
          <w:noProof/>
          <w:sz w:val="24"/>
          <w:szCs w:val="24"/>
        </w:rPr>
        <w:t>dzież, obecnie istnieje kilka szczepionek przeciwko COVID-19 zatwierdzonych na szczeblu unijnym do celów podawania nastolatkom (w wieku 12–17 lat)</w:t>
      </w:r>
      <w:r w:rsidR="00525C12">
        <w:rPr>
          <w:rFonts w:ascii="Times New Roman" w:hAnsi="Times New Roman"/>
          <w:noProof/>
          <w:sz w:val="24"/>
          <w:szCs w:val="24"/>
        </w:rPr>
        <w:t xml:space="preserve"> i dzi</w:t>
      </w:r>
      <w:r>
        <w:rPr>
          <w:rFonts w:ascii="Times New Roman" w:hAnsi="Times New Roman"/>
          <w:noProof/>
          <w:sz w:val="24"/>
          <w:szCs w:val="24"/>
        </w:rPr>
        <w:t>eciom (w wieku 5–11 lat). Zasadniczo wskaźnik wyszczepienia wśród nastolatków</w:t>
      </w:r>
      <w:r w:rsidR="00525C12">
        <w:rPr>
          <w:rFonts w:ascii="Times New Roman" w:hAnsi="Times New Roman"/>
          <w:noProof/>
          <w:sz w:val="24"/>
          <w:szCs w:val="24"/>
        </w:rPr>
        <w:t xml:space="preserve"> w Uni</w:t>
      </w:r>
      <w:r>
        <w:rPr>
          <w:rFonts w:ascii="Times New Roman" w:hAnsi="Times New Roman"/>
          <w:noProof/>
          <w:sz w:val="24"/>
          <w:szCs w:val="24"/>
        </w:rPr>
        <w:t>i Europejskiej jest wysoki (np. powyżej 7</w:t>
      </w:r>
      <w:r w:rsidRPr="00525C12">
        <w:rPr>
          <w:rFonts w:ascii="Times New Roman" w:hAnsi="Times New Roman"/>
          <w:noProof/>
          <w:sz w:val="24"/>
          <w:szCs w:val="24"/>
        </w:rPr>
        <w:t>1</w:t>
      </w:r>
      <w:r w:rsidR="00525C12" w:rsidRPr="00525C12">
        <w:rPr>
          <w:rFonts w:ascii="Times New Roman" w:hAnsi="Times New Roman"/>
          <w:noProof/>
          <w:sz w:val="24"/>
          <w:szCs w:val="24"/>
        </w:rPr>
        <w:t> </w:t>
      </w:r>
      <w:r w:rsidRPr="00525C12">
        <w:rPr>
          <w:rFonts w:ascii="Times New Roman" w:hAnsi="Times New Roman"/>
          <w:noProof/>
          <w:sz w:val="24"/>
          <w:szCs w:val="24"/>
        </w:rPr>
        <w:t>%</w:t>
      </w:r>
      <w:r>
        <w:rPr>
          <w:rFonts w:ascii="Times New Roman" w:hAnsi="Times New Roman"/>
          <w:noProof/>
          <w:sz w:val="24"/>
          <w:szCs w:val="24"/>
        </w:rPr>
        <w:t xml:space="preserve"> osób</w:t>
      </w:r>
      <w:r w:rsidR="00525C12">
        <w:rPr>
          <w:rFonts w:ascii="Times New Roman" w:hAnsi="Times New Roman"/>
          <w:noProof/>
          <w:sz w:val="24"/>
          <w:szCs w:val="24"/>
        </w:rPr>
        <w:t xml:space="preserve"> w wie</w:t>
      </w:r>
      <w:r>
        <w:rPr>
          <w:rFonts w:ascii="Times New Roman" w:hAnsi="Times New Roman"/>
          <w:noProof/>
          <w:sz w:val="24"/>
          <w:szCs w:val="24"/>
        </w:rPr>
        <w:t>ku 15–17 lat otrzymało pełny cykl szczepień pierwotnych), ale wśród młodszych dzieci utrzymuje się na niskim poziomie (np. mniej niż 1</w:t>
      </w:r>
      <w:r w:rsidRPr="00525C12">
        <w:rPr>
          <w:rFonts w:ascii="Times New Roman" w:hAnsi="Times New Roman"/>
          <w:noProof/>
          <w:sz w:val="24"/>
          <w:szCs w:val="24"/>
        </w:rPr>
        <w:t>5</w:t>
      </w:r>
      <w:r w:rsidR="00525C12" w:rsidRPr="00525C12">
        <w:rPr>
          <w:rFonts w:ascii="Times New Roman" w:hAnsi="Times New Roman"/>
          <w:noProof/>
          <w:sz w:val="24"/>
          <w:szCs w:val="24"/>
        </w:rPr>
        <w:t> </w:t>
      </w:r>
      <w:r w:rsidRPr="00525C12">
        <w:rPr>
          <w:rFonts w:ascii="Times New Roman" w:hAnsi="Times New Roman"/>
          <w:noProof/>
          <w:sz w:val="24"/>
          <w:szCs w:val="24"/>
        </w:rPr>
        <w:t>%</w:t>
      </w:r>
      <w:r>
        <w:rPr>
          <w:rFonts w:ascii="Times New Roman" w:hAnsi="Times New Roman"/>
          <w:noProof/>
          <w:sz w:val="24"/>
          <w:szCs w:val="24"/>
        </w:rPr>
        <w:t xml:space="preserve"> dzieci</w:t>
      </w:r>
      <w:r w:rsidR="00525C12">
        <w:rPr>
          <w:rFonts w:ascii="Times New Roman" w:hAnsi="Times New Roman"/>
          <w:noProof/>
          <w:sz w:val="24"/>
          <w:szCs w:val="24"/>
        </w:rPr>
        <w:t xml:space="preserve"> w wie</w:t>
      </w:r>
      <w:r>
        <w:rPr>
          <w:rFonts w:ascii="Times New Roman" w:hAnsi="Times New Roman"/>
          <w:noProof/>
          <w:sz w:val="24"/>
          <w:szCs w:val="24"/>
        </w:rPr>
        <w:t>ku 5–9 lat otrzymało pełny cykl szczepień pierwotnych). Chociaż priorytetem pozostaje rozwiązanie kwestii niewystarczającego wyszczepienia wśród dorosłych, państwa członkowskie UE powinny rozważyć intensyfikację działań</w:t>
      </w:r>
      <w:r w:rsidR="00525C12">
        <w:rPr>
          <w:rFonts w:ascii="Times New Roman" w:hAnsi="Times New Roman"/>
          <w:noProof/>
          <w:sz w:val="24"/>
          <w:szCs w:val="24"/>
        </w:rPr>
        <w:t xml:space="preserve"> w kie</w:t>
      </w:r>
      <w:r>
        <w:rPr>
          <w:rFonts w:ascii="Times New Roman" w:hAnsi="Times New Roman"/>
          <w:noProof/>
          <w:sz w:val="24"/>
          <w:szCs w:val="24"/>
        </w:rPr>
        <w:t xml:space="preserve">runku zwiększenia wskaźnika wyszczepienia wśród młodszych dzieci. </w:t>
      </w:r>
    </w:p>
    <w:p w14:paraId="1F1B3DF8" w14:textId="70CC8EC5" w:rsidR="00CF1835" w:rsidRDefault="00CF1835" w:rsidP="00CF1835">
      <w:pPr>
        <w:spacing w:line="240" w:lineRule="auto"/>
        <w:jc w:val="both"/>
        <w:rPr>
          <w:rFonts w:ascii="Times New Roman" w:hAnsi="Times New Roman" w:cs="Times New Roman"/>
          <w:noProof/>
          <w:sz w:val="24"/>
          <w:szCs w:val="24"/>
        </w:rPr>
      </w:pPr>
      <w:r>
        <w:rPr>
          <w:rFonts w:ascii="Times New Roman" w:hAnsi="Times New Roman"/>
          <w:noProof/>
          <w:sz w:val="24"/>
          <w:szCs w:val="24"/>
        </w:rPr>
        <w:t>Nasz obecny zestaw szczepionek</w:t>
      </w:r>
      <w:r>
        <w:rPr>
          <w:rStyle w:val="FootnoteReference"/>
          <w:rFonts w:ascii="Times New Roman" w:hAnsi="Times New Roman" w:cs="Times New Roman"/>
          <w:noProof/>
          <w:sz w:val="24"/>
          <w:szCs w:val="24"/>
        </w:rPr>
        <w:footnoteReference w:id="12"/>
      </w:r>
      <w:r>
        <w:rPr>
          <w:rFonts w:ascii="Times New Roman" w:hAnsi="Times New Roman"/>
          <w:noProof/>
          <w:sz w:val="24"/>
          <w:szCs w:val="24"/>
        </w:rPr>
        <w:t xml:space="preserve"> oraz dostęp do dostosowanych</w:t>
      </w:r>
      <w:r w:rsidR="00525C12">
        <w:rPr>
          <w:rFonts w:ascii="Times New Roman" w:hAnsi="Times New Roman"/>
          <w:noProof/>
          <w:sz w:val="24"/>
          <w:szCs w:val="24"/>
        </w:rPr>
        <w:t xml:space="preserve"> w raz</w:t>
      </w:r>
      <w:r>
        <w:rPr>
          <w:rFonts w:ascii="Times New Roman" w:hAnsi="Times New Roman"/>
          <w:noProof/>
          <w:sz w:val="24"/>
          <w:szCs w:val="24"/>
        </w:rPr>
        <w:t>ie potrzeby szczepionek</w:t>
      </w:r>
      <w:r w:rsidR="00525C12">
        <w:rPr>
          <w:rFonts w:ascii="Times New Roman" w:hAnsi="Times New Roman"/>
          <w:noProof/>
          <w:sz w:val="24"/>
          <w:szCs w:val="24"/>
        </w:rPr>
        <w:t xml:space="preserve"> w prz</w:t>
      </w:r>
      <w:r>
        <w:rPr>
          <w:rFonts w:ascii="Times New Roman" w:hAnsi="Times New Roman"/>
          <w:noProof/>
          <w:sz w:val="24"/>
          <w:szCs w:val="24"/>
        </w:rPr>
        <w:t>yszłości daje państwom członkowskim szereg możliwości, jeśli chodzi</w:t>
      </w:r>
      <w:r w:rsidR="00525C12">
        <w:rPr>
          <w:rFonts w:ascii="Times New Roman" w:hAnsi="Times New Roman"/>
          <w:noProof/>
          <w:sz w:val="24"/>
          <w:szCs w:val="24"/>
        </w:rPr>
        <w:t xml:space="preserve"> o prz</w:t>
      </w:r>
      <w:r>
        <w:rPr>
          <w:rFonts w:ascii="Times New Roman" w:hAnsi="Times New Roman"/>
          <w:noProof/>
          <w:sz w:val="24"/>
          <w:szCs w:val="24"/>
        </w:rPr>
        <w:t>yszłe strategie szczepień. Państwa członkowskie powinny być gotowe do wprowadzenia dodatkowych dawek szczepionek przed najbliższym sezonem jesienno-zimowym. Trzeba będzie przy tym uwzględnić pojawiające się dowody na słabnącą ochronę zapewnianą przez szczepionki</w:t>
      </w:r>
      <w:r w:rsidR="00525C12">
        <w:rPr>
          <w:rFonts w:ascii="Times New Roman" w:hAnsi="Times New Roman"/>
          <w:noProof/>
          <w:sz w:val="24"/>
          <w:szCs w:val="24"/>
        </w:rPr>
        <w:t xml:space="preserve"> i zak</w:t>
      </w:r>
      <w:r>
        <w:rPr>
          <w:rFonts w:ascii="Times New Roman" w:hAnsi="Times New Roman"/>
          <w:noProof/>
          <w:sz w:val="24"/>
          <w:szCs w:val="24"/>
        </w:rPr>
        <w:t>ażenia naturalne, sytuację epidemiologiczną</w:t>
      </w:r>
      <w:r w:rsidR="00525C12">
        <w:rPr>
          <w:rFonts w:ascii="Times New Roman" w:hAnsi="Times New Roman"/>
          <w:noProof/>
          <w:sz w:val="24"/>
          <w:szCs w:val="24"/>
        </w:rPr>
        <w:t xml:space="preserve"> i poj</w:t>
      </w:r>
      <w:r>
        <w:rPr>
          <w:rFonts w:ascii="Times New Roman" w:hAnsi="Times New Roman"/>
          <w:noProof/>
          <w:sz w:val="24"/>
          <w:szCs w:val="24"/>
        </w:rPr>
        <w:t>awianie się nowych wariantów,</w:t>
      </w:r>
      <w:r w:rsidR="00525C12">
        <w:rPr>
          <w:rFonts w:ascii="Times New Roman" w:hAnsi="Times New Roman"/>
          <w:noProof/>
          <w:sz w:val="24"/>
          <w:szCs w:val="24"/>
        </w:rPr>
        <w:t xml:space="preserve"> a tak</w:t>
      </w:r>
      <w:r>
        <w:rPr>
          <w:rFonts w:ascii="Times New Roman" w:hAnsi="Times New Roman"/>
          <w:noProof/>
          <w:sz w:val="24"/>
          <w:szCs w:val="24"/>
        </w:rPr>
        <w:t>że opracowanie nowych szczepionek</w:t>
      </w:r>
      <w:r w:rsidR="00525C12">
        <w:rPr>
          <w:rFonts w:ascii="Times New Roman" w:hAnsi="Times New Roman"/>
          <w:noProof/>
          <w:sz w:val="24"/>
          <w:szCs w:val="24"/>
        </w:rPr>
        <w:t xml:space="preserve"> i ich</w:t>
      </w:r>
      <w:r>
        <w:rPr>
          <w:rFonts w:ascii="Times New Roman" w:hAnsi="Times New Roman"/>
          <w:noProof/>
          <w:sz w:val="24"/>
          <w:szCs w:val="24"/>
        </w:rPr>
        <w:t xml:space="preserve"> wpływ na zakażenia</w:t>
      </w:r>
      <w:r w:rsidR="00525C12">
        <w:rPr>
          <w:rFonts w:ascii="Times New Roman" w:hAnsi="Times New Roman"/>
          <w:noProof/>
          <w:sz w:val="24"/>
          <w:szCs w:val="24"/>
        </w:rPr>
        <w:t xml:space="preserve"> i dal</w:t>
      </w:r>
      <w:r>
        <w:rPr>
          <w:rFonts w:ascii="Times New Roman" w:hAnsi="Times New Roman"/>
          <w:noProof/>
          <w:sz w:val="24"/>
          <w:szCs w:val="24"/>
        </w:rPr>
        <w:t>sze przenoszenie. Ponadto trzeba będzie odpowiedzieć na ważne pytania</w:t>
      </w:r>
      <w:r w:rsidR="00525C12">
        <w:rPr>
          <w:rFonts w:ascii="Times New Roman" w:hAnsi="Times New Roman"/>
          <w:noProof/>
          <w:sz w:val="24"/>
          <w:szCs w:val="24"/>
        </w:rPr>
        <w:t xml:space="preserve"> z zak</w:t>
      </w:r>
      <w:r>
        <w:rPr>
          <w:rFonts w:ascii="Times New Roman" w:hAnsi="Times New Roman"/>
          <w:noProof/>
          <w:sz w:val="24"/>
          <w:szCs w:val="24"/>
        </w:rPr>
        <w:t>resu zdrowia publicznego, np. dotyczące określenia najlepszych kombinacji szczepionek oraz sposobu włączenia szczepionek następnej generacji do schematów szczepień</w:t>
      </w:r>
      <w:r w:rsidR="00525C12">
        <w:rPr>
          <w:rFonts w:ascii="Times New Roman" w:hAnsi="Times New Roman"/>
          <w:noProof/>
          <w:sz w:val="24"/>
          <w:szCs w:val="24"/>
        </w:rPr>
        <w:t>. W kam</w:t>
      </w:r>
      <w:r>
        <w:rPr>
          <w:rFonts w:ascii="Times New Roman" w:hAnsi="Times New Roman"/>
          <w:noProof/>
          <w:sz w:val="24"/>
          <w:szCs w:val="24"/>
        </w:rPr>
        <w:t>paniach szczepień na nadchodzący okres jesienno-zimowy należy również uwzględnić współwystępowanie COVID-19</w:t>
      </w:r>
      <w:r w:rsidR="00525C12">
        <w:rPr>
          <w:rFonts w:ascii="Times New Roman" w:hAnsi="Times New Roman"/>
          <w:noProof/>
          <w:sz w:val="24"/>
          <w:szCs w:val="24"/>
        </w:rPr>
        <w:t xml:space="preserve"> i gry</w:t>
      </w:r>
      <w:r>
        <w:rPr>
          <w:rFonts w:ascii="Times New Roman" w:hAnsi="Times New Roman"/>
          <w:noProof/>
          <w:sz w:val="24"/>
          <w:szCs w:val="24"/>
        </w:rPr>
        <w:t xml:space="preserve">py sezonowej. </w:t>
      </w:r>
    </w:p>
    <w:p w14:paraId="7325104F" w14:textId="77777777" w:rsidR="00CF1835" w:rsidRPr="0050544E" w:rsidRDefault="00CF1835" w:rsidP="00CF1835">
      <w:pPr>
        <w:pBdr>
          <w:top w:val="single" w:sz="4" w:space="1" w:color="auto"/>
          <w:left w:val="single" w:sz="4" w:space="4" w:color="auto"/>
          <w:bottom w:val="single" w:sz="4" w:space="1" w:color="auto"/>
          <w:right w:val="single" w:sz="4" w:space="4" w:color="auto"/>
        </w:pBdr>
        <w:spacing w:before="360" w:line="240" w:lineRule="auto"/>
        <w:jc w:val="center"/>
        <w:rPr>
          <w:rFonts w:ascii="Times New Roman" w:hAnsi="Times New Roman" w:cs="Times New Roman"/>
          <w:b/>
          <w:noProof/>
          <w:sz w:val="24"/>
          <w:szCs w:val="24"/>
        </w:rPr>
      </w:pPr>
      <w:r>
        <w:rPr>
          <w:rFonts w:ascii="Times New Roman" w:hAnsi="Times New Roman"/>
          <w:b/>
          <w:noProof/>
          <w:sz w:val="24"/>
          <w:szCs w:val="24"/>
        </w:rPr>
        <w:t>KLUCZOWE DZIAŁANIA DO PODJĘCIA PRZEZ PAŃSTWA CZŁONKOWSKIE</w:t>
      </w:r>
    </w:p>
    <w:p w14:paraId="6FEFA6E6" w14:textId="3188D8FA" w:rsidR="00CF1835" w:rsidRDefault="00CF1835" w:rsidP="00CF1835">
      <w:pPr>
        <w:pStyle w:val="ListParagraph"/>
        <w:numPr>
          <w:ilvl w:val="0"/>
          <w:numId w:val="10"/>
        </w:numPr>
        <w:pBdr>
          <w:top w:val="single" w:sz="4" w:space="1" w:color="auto"/>
          <w:left w:val="single" w:sz="4" w:space="4" w:color="auto"/>
          <w:bottom w:val="single" w:sz="4" w:space="1" w:color="auto"/>
          <w:right w:val="single" w:sz="4" w:space="4" w:color="auto"/>
        </w:pBdr>
        <w:spacing w:line="240" w:lineRule="auto"/>
        <w:ind w:left="480" w:hanging="480"/>
        <w:jc w:val="both"/>
        <w:rPr>
          <w:rFonts w:ascii="Times New Roman" w:hAnsi="Times New Roman" w:cs="Times New Roman"/>
          <w:noProof/>
          <w:sz w:val="24"/>
          <w:szCs w:val="24"/>
        </w:rPr>
      </w:pPr>
      <w:r>
        <w:rPr>
          <w:rFonts w:ascii="Times New Roman" w:hAnsi="Times New Roman"/>
          <w:noProof/>
          <w:sz w:val="24"/>
          <w:szCs w:val="24"/>
        </w:rPr>
        <w:t>Poprawa działań na rzecz wzrostu wskaźnika wyszczepienia lub liczby osób, które ukończyły cykl szczepień pierwotnych wśród osób niezaszczepionych lub zaszczepionych częściowo, również</w:t>
      </w:r>
      <w:r w:rsidR="00525C12">
        <w:rPr>
          <w:rFonts w:ascii="Times New Roman" w:hAnsi="Times New Roman"/>
          <w:noProof/>
          <w:sz w:val="24"/>
          <w:szCs w:val="24"/>
        </w:rPr>
        <w:t xml:space="preserve"> w ram</w:t>
      </w:r>
      <w:r>
        <w:rPr>
          <w:rFonts w:ascii="Times New Roman" w:hAnsi="Times New Roman"/>
          <w:noProof/>
          <w:sz w:val="24"/>
          <w:szCs w:val="24"/>
        </w:rPr>
        <w:t>ach stałego monitorowania</w:t>
      </w:r>
      <w:r w:rsidR="00525C12">
        <w:rPr>
          <w:rFonts w:ascii="Times New Roman" w:hAnsi="Times New Roman"/>
          <w:noProof/>
          <w:sz w:val="24"/>
          <w:szCs w:val="24"/>
        </w:rPr>
        <w:t xml:space="preserve"> i ana</w:t>
      </w:r>
      <w:r>
        <w:rPr>
          <w:rFonts w:ascii="Times New Roman" w:hAnsi="Times New Roman"/>
          <w:noProof/>
          <w:sz w:val="24"/>
          <w:szCs w:val="24"/>
        </w:rPr>
        <w:t>lizowania zjawiska oporu przed szczepieniami</w:t>
      </w:r>
      <w:r w:rsidR="00525C12">
        <w:rPr>
          <w:rFonts w:ascii="Times New Roman" w:hAnsi="Times New Roman"/>
          <w:noProof/>
          <w:sz w:val="24"/>
          <w:szCs w:val="24"/>
        </w:rPr>
        <w:t xml:space="preserve"> w cel</w:t>
      </w:r>
      <w:r>
        <w:rPr>
          <w:rFonts w:ascii="Times New Roman" w:hAnsi="Times New Roman"/>
          <w:noProof/>
          <w:sz w:val="24"/>
          <w:szCs w:val="24"/>
        </w:rPr>
        <w:t xml:space="preserve">u jego wyeliminowania. </w:t>
      </w:r>
    </w:p>
    <w:p w14:paraId="57E2BDAA" w14:textId="0C4463F9" w:rsidR="00CF1835" w:rsidRPr="00E24984" w:rsidRDefault="00CF1835" w:rsidP="00CF1835">
      <w:pPr>
        <w:pStyle w:val="ListParagraph"/>
        <w:numPr>
          <w:ilvl w:val="0"/>
          <w:numId w:val="10"/>
        </w:numPr>
        <w:pBdr>
          <w:top w:val="single" w:sz="4" w:space="1" w:color="auto"/>
          <w:left w:val="single" w:sz="4" w:space="4" w:color="auto"/>
          <w:bottom w:val="single" w:sz="4" w:space="1" w:color="auto"/>
          <w:right w:val="single" w:sz="4" w:space="4" w:color="auto"/>
        </w:pBdr>
        <w:spacing w:line="240" w:lineRule="auto"/>
        <w:ind w:left="480" w:hanging="480"/>
        <w:jc w:val="both"/>
        <w:rPr>
          <w:rFonts w:ascii="Times New Roman" w:hAnsi="Times New Roman" w:cs="Times New Roman"/>
          <w:noProof/>
          <w:sz w:val="24"/>
          <w:szCs w:val="24"/>
        </w:rPr>
      </w:pPr>
      <w:r>
        <w:rPr>
          <w:rFonts w:ascii="Times New Roman" w:hAnsi="Times New Roman"/>
          <w:noProof/>
          <w:sz w:val="24"/>
          <w:szCs w:val="24"/>
        </w:rPr>
        <w:t>Zintensyfikowanie działań</w:t>
      </w:r>
      <w:r w:rsidR="00525C12">
        <w:rPr>
          <w:rFonts w:ascii="Times New Roman" w:hAnsi="Times New Roman"/>
          <w:noProof/>
          <w:sz w:val="24"/>
          <w:szCs w:val="24"/>
        </w:rPr>
        <w:t xml:space="preserve"> w zak</w:t>
      </w:r>
      <w:r>
        <w:rPr>
          <w:rFonts w:ascii="Times New Roman" w:hAnsi="Times New Roman"/>
          <w:noProof/>
          <w:sz w:val="24"/>
          <w:szCs w:val="24"/>
        </w:rPr>
        <w:t>resie przyjmowania dawek przypominających przez wszystkie kwalifikujące się osoby dorosłe, najwcześniej trzy miesiące po zakończeniu cyklu szczepień pierwotnych.</w:t>
      </w:r>
    </w:p>
    <w:p w14:paraId="30930331" w14:textId="25E38B1D" w:rsidR="00CF1835" w:rsidRDefault="002777D1" w:rsidP="00CF1835">
      <w:pPr>
        <w:pStyle w:val="ListParagraph"/>
        <w:numPr>
          <w:ilvl w:val="0"/>
          <w:numId w:val="10"/>
        </w:numPr>
        <w:pBdr>
          <w:top w:val="single" w:sz="4" w:space="1" w:color="auto"/>
          <w:left w:val="single" w:sz="4" w:space="4" w:color="auto"/>
          <w:bottom w:val="single" w:sz="4" w:space="1" w:color="auto"/>
          <w:right w:val="single" w:sz="4" w:space="4" w:color="auto"/>
        </w:pBdr>
        <w:spacing w:line="240" w:lineRule="auto"/>
        <w:ind w:left="480" w:hanging="480"/>
        <w:jc w:val="both"/>
        <w:rPr>
          <w:rFonts w:ascii="Times New Roman" w:hAnsi="Times New Roman" w:cs="Times New Roman"/>
          <w:noProof/>
          <w:sz w:val="24"/>
          <w:szCs w:val="24"/>
        </w:rPr>
      </w:pPr>
      <w:r>
        <w:rPr>
          <w:rFonts w:ascii="Times New Roman" w:hAnsi="Times New Roman"/>
          <w:noProof/>
          <w:sz w:val="24"/>
          <w:szCs w:val="24"/>
        </w:rPr>
        <w:t>Do momentu rozpoczęcia roku szkolnego 2022–2023 rozważenie strategii zwiększenia wskaźnika wyszczepienia wśród młodszych dzieci, np. poprzez współpracę</w:t>
      </w:r>
      <w:r w:rsidR="00525C12">
        <w:rPr>
          <w:rFonts w:ascii="Times New Roman" w:hAnsi="Times New Roman"/>
          <w:noProof/>
          <w:sz w:val="24"/>
          <w:szCs w:val="24"/>
        </w:rPr>
        <w:t xml:space="preserve"> z ped</w:t>
      </w:r>
      <w:r>
        <w:rPr>
          <w:rFonts w:ascii="Times New Roman" w:hAnsi="Times New Roman"/>
          <w:noProof/>
          <w:sz w:val="24"/>
          <w:szCs w:val="24"/>
        </w:rPr>
        <w:t>iatrami</w:t>
      </w:r>
      <w:r w:rsidR="00525C12">
        <w:rPr>
          <w:rFonts w:ascii="Times New Roman" w:hAnsi="Times New Roman"/>
          <w:noProof/>
          <w:sz w:val="24"/>
          <w:szCs w:val="24"/>
        </w:rPr>
        <w:t xml:space="preserve"> i inn</w:t>
      </w:r>
      <w:r>
        <w:rPr>
          <w:rFonts w:ascii="Times New Roman" w:hAnsi="Times New Roman"/>
          <w:noProof/>
          <w:sz w:val="24"/>
          <w:szCs w:val="24"/>
        </w:rPr>
        <w:t xml:space="preserve">ymi pracownikami służby zdrowia, którzy dla wielu rodziców są zaufanym źródłem informacji. </w:t>
      </w:r>
    </w:p>
    <w:p w14:paraId="12EE3FE0" w14:textId="4EA38399" w:rsidR="00CF1835" w:rsidRPr="00E24984" w:rsidRDefault="00CF1835" w:rsidP="00CF1835">
      <w:pPr>
        <w:pStyle w:val="ListParagraph"/>
        <w:numPr>
          <w:ilvl w:val="0"/>
          <w:numId w:val="10"/>
        </w:numPr>
        <w:pBdr>
          <w:top w:val="single" w:sz="4" w:space="1" w:color="auto"/>
          <w:left w:val="single" w:sz="4" w:space="4" w:color="auto"/>
          <w:bottom w:val="single" w:sz="4" w:space="1" w:color="auto"/>
          <w:right w:val="single" w:sz="4" w:space="4" w:color="auto"/>
        </w:pBdr>
        <w:spacing w:line="240" w:lineRule="auto"/>
        <w:ind w:left="480" w:hanging="480"/>
        <w:jc w:val="both"/>
        <w:rPr>
          <w:rFonts w:ascii="Times New Roman" w:hAnsi="Times New Roman" w:cs="Times New Roman"/>
          <w:noProof/>
          <w:sz w:val="24"/>
          <w:szCs w:val="24"/>
        </w:rPr>
      </w:pPr>
      <w:r>
        <w:rPr>
          <w:rFonts w:ascii="Times New Roman" w:hAnsi="Times New Roman"/>
          <w:noProof/>
          <w:sz w:val="24"/>
          <w:szCs w:val="24"/>
        </w:rPr>
        <w:t>Zapewnienie czwartej dawki szczepionki osobom mającym obniżoną odporność</w:t>
      </w:r>
      <w:r w:rsidR="00525C12">
        <w:rPr>
          <w:rFonts w:ascii="Times New Roman" w:hAnsi="Times New Roman"/>
          <w:noProof/>
          <w:sz w:val="24"/>
          <w:szCs w:val="24"/>
        </w:rPr>
        <w:t xml:space="preserve"> i roz</w:t>
      </w:r>
      <w:r>
        <w:rPr>
          <w:rFonts w:ascii="Times New Roman" w:hAnsi="Times New Roman"/>
          <w:noProof/>
          <w:sz w:val="24"/>
          <w:szCs w:val="24"/>
        </w:rPr>
        <w:t>ważenie podania drugiej dawki przypominającej osobom</w:t>
      </w:r>
      <w:r w:rsidR="00525C12">
        <w:rPr>
          <w:rFonts w:ascii="Times New Roman" w:hAnsi="Times New Roman"/>
          <w:noProof/>
          <w:sz w:val="24"/>
          <w:szCs w:val="24"/>
        </w:rPr>
        <w:t xml:space="preserve"> w wie</w:t>
      </w:r>
      <w:r>
        <w:rPr>
          <w:rFonts w:ascii="Times New Roman" w:hAnsi="Times New Roman"/>
          <w:noProof/>
          <w:sz w:val="24"/>
          <w:szCs w:val="24"/>
        </w:rPr>
        <w:t xml:space="preserve">ku powyżej 80 lat, przy uwzględnieniu lokalnej sytuacji epidemiologicznej. </w:t>
      </w:r>
    </w:p>
    <w:p w14:paraId="59153C61" w14:textId="0F8FDBEF" w:rsidR="00CF1835" w:rsidRDefault="00CF1835" w:rsidP="00CF1835">
      <w:pPr>
        <w:pStyle w:val="ListParagraph"/>
        <w:numPr>
          <w:ilvl w:val="0"/>
          <w:numId w:val="10"/>
        </w:numPr>
        <w:pBdr>
          <w:top w:val="single" w:sz="4" w:space="1" w:color="auto"/>
          <w:left w:val="single" w:sz="4" w:space="4" w:color="auto"/>
          <w:bottom w:val="single" w:sz="4" w:space="1" w:color="auto"/>
          <w:right w:val="single" w:sz="4" w:space="4" w:color="auto"/>
        </w:pBdr>
        <w:spacing w:after="240" w:line="240" w:lineRule="auto"/>
        <w:ind w:left="480" w:hanging="480"/>
        <w:jc w:val="both"/>
        <w:rPr>
          <w:rFonts w:ascii="Times New Roman" w:hAnsi="Times New Roman" w:cs="Times New Roman"/>
          <w:noProof/>
          <w:sz w:val="24"/>
          <w:szCs w:val="24"/>
        </w:rPr>
      </w:pPr>
      <w:r>
        <w:rPr>
          <w:rFonts w:ascii="Times New Roman" w:hAnsi="Times New Roman"/>
          <w:noProof/>
          <w:sz w:val="24"/>
          <w:szCs w:val="24"/>
        </w:rPr>
        <w:t>Przygotowanie strategii szczepień przeciwko COVID-19 przed nadchodzącą porą jesienno-zimową</w:t>
      </w:r>
      <w:r w:rsidR="00525C12">
        <w:rPr>
          <w:rFonts w:ascii="Times New Roman" w:hAnsi="Times New Roman"/>
          <w:noProof/>
          <w:sz w:val="24"/>
          <w:szCs w:val="24"/>
        </w:rPr>
        <w:t xml:space="preserve"> i włą</w:t>
      </w:r>
      <w:r>
        <w:rPr>
          <w:rFonts w:ascii="Times New Roman" w:hAnsi="Times New Roman"/>
          <w:noProof/>
          <w:sz w:val="24"/>
          <w:szCs w:val="24"/>
        </w:rPr>
        <w:t xml:space="preserve">czenie </w:t>
      </w:r>
      <w:r w:rsidRPr="00525C12">
        <w:rPr>
          <w:rFonts w:ascii="Times New Roman" w:hAnsi="Times New Roman"/>
          <w:noProof/>
          <w:sz w:val="24"/>
          <w:szCs w:val="24"/>
        </w:rPr>
        <w:t>od</w:t>
      </w:r>
      <w:r w:rsidR="00525C12" w:rsidRPr="00525C12">
        <w:rPr>
          <w:rFonts w:ascii="Times New Roman" w:hAnsi="Times New Roman"/>
          <w:noProof/>
          <w:sz w:val="24"/>
          <w:szCs w:val="24"/>
        </w:rPr>
        <w:t> </w:t>
      </w:r>
      <w:r w:rsidRPr="00525C12">
        <w:rPr>
          <w:rFonts w:ascii="Times New Roman" w:hAnsi="Times New Roman"/>
          <w:noProof/>
          <w:sz w:val="24"/>
          <w:szCs w:val="24"/>
        </w:rPr>
        <w:t>2</w:t>
      </w:r>
      <w:r>
        <w:rPr>
          <w:rFonts w:ascii="Times New Roman" w:hAnsi="Times New Roman"/>
          <w:noProof/>
          <w:sz w:val="24"/>
          <w:szCs w:val="24"/>
        </w:rPr>
        <w:t>0</w:t>
      </w:r>
      <w:r w:rsidRPr="00525C12">
        <w:rPr>
          <w:rFonts w:ascii="Times New Roman" w:hAnsi="Times New Roman"/>
          <w:noProof/>
          <w:sz w:val="24"/>
          <w:szCs w:val="24"/>
        </w:rPr>
        <w:t>23</w:t>
      </w:r>
      <w:r w:rsidR="00525C12" w:rsidRPr="00525C12">
        <w:rPr>
          <w:rFonts w:ascii="Times New Roman" w:hAnsi="Times New Roman"/>
          <w:noProof/>
          <w:sz w:val="24"/>
          <w:szCs w:val="24"/>
        </w:rPr>
        <w:t> </w:t>
      </w:r>
      <w:r w:rsidRPr="00525C12">
        <w:rPr>
          <w:rFonts w:ascii="Times New Roman" w:hAnsi="Times New Roman"/>
          <w:noProof/>
          <w:sz w:val="24"/>
          <w:szCs w:val="24"/>
        </w:rPr>
        <w:t>r.</w:t>
      </w:r>
      <w:r>
        <w:rPr>
          <w:rFonts w:ascii="Times New Roman" w:hAnsi="Times New Roman"/>
          <w:noProof/>
          <w:sz w:val="24"/>
          <w:szCs w:val="24"/>
        </w:rPr>
        <w:t xml:space="preserve"> szczepień przeciwko COVID-19 do krajowych programów szczepień.</w:t>
      </w:r>
    </w:p>
    <w:p w14:paraId="1EBA446F" w14:textId="45F0E69B" w:rsidR="00CF1835" w:rsidRPr="00AB4B55" w:rsidRDefault="00CF1835" w:rsidP="00CF1835">
      <w:pPr>
        <w:pStyle w:val="ListParagraph"/>
        <w:numPr>
          <w:ilvl w:val="0"/>
          <w:numId w:val="10"/>
        </w:numPr>
        <w:pBdr>
          <w:top w:val="single" w:sz="4" w:space="1" w:color="auto"/>
          <w:left w:val="single" w:sz="4" w:space="4" w:color="auto"/>
          <w:bottom w:val="single" w:sz="4" w:space="1" w:color="auto"/>
          <w:right w:val="single" w:sz="4" w:space="4" w:color="auto"/>
        </w:pBdr>
        <w:spacing w:line="240" w:lineRule="auto"/>
        <w:ind w:left="480" w:hanging="480"/>
        <w:jc w:val="both"/>
        <w:rPr>
          <w:rFonts w:eastAsiaTheme="minorEastAsia"/>
          <w:noProof/>
          <w:sz w:val="24"/>
          <w:szCs w:val="24"/>
        </w:rPr>
      </w:pPr>
      <w:r>
        <w:rPr>
          <w:rFonts w:ascii="Times New Roman" w:hAnsi="Times New Roman"/>
          <w:noProof/>
          <w:sz w:val="24"/>
          <w:szCs w:val="24"/>
        </w:rPr>
        <w:t>Zwiększenie świadomości na temat corocznych kampanii szczepień przeciwko grypie sezonowej</w:t>
      </w:r>
      <w:r w:rsidR="00525C12">
        <w:rPr>
          <w:rFonts w:ascii="Times New Roman" w:hAnsi="Times New Roman"/>
          <w:noProof/>
          <w:sz w:val="24"/>
          <w:szCs w:val="24"/>
        </w:rPr>
        <w:t xml:space="preserve"> i zap</w:t>
      </w:r>
      <w:r>
        <w:rPr>
          <w:rFonts w:ascii="Times New Roman" w:hAnsi="Times New Roman"/>
          <w:noProof/>
          <w:sz w:val="24"/>
          <w:szCs w:val="24"/>
        </w:rPr>
        <w:t xml:space="preserve">ewnienie szybkiego zwiększenia liczby kampanii szczepień wśród osób najbardziej narażonych. </w:t>
      </w:r>
    </w:p>
    <w:p w14:paraId="21B0E58A" w14:textId="46FCAF17" w:rsidR="00B279DE" w:rsidRDefault="00B279DE" w:rsidP="003839E1">
      <w:pPr>
        <w:pStyle w:val="Text1"/>
        <w:numPr>
          <w:ilvl w:val="0"/>
          <w:numId w:val="11"/>
        </w:numPr>
        <w:spacing w:after="200"/>
        <w:rPr>
          <w:b/>
          <w:i/>
          <w:noProof/>
          <w:szCs w:val="24"/>
        </w:rPr>
      </w:pPr>
      <w:r>
        <w:rPr>
          <w:b/>
          <w:i/>
          <w:noProof/>
          <w:szCs w:val="24"/>
        </w:rPr>
        <w:t>Nadzór</w:t>
      </w:r>
      <w:r w:rsidR="00525C12">
        <w:rPr>
          <w:b/>
          <w:i/>
          <w:noProof/>
          <w:szCs w:val="24"/>
        </w:rPr>
        <w:t xml:space="preserve"> i gro</w:t>
      </w:r>
      <w:r>
        <w:rPr>
          <w:b/>
          <w:i/>
          <w:noProof/>
          <w:szCs w:val="24"/>
        </w:rPr>
        <w:t>madzenie informacji poprzez testowanie</w:t>
      </w:r>
      <w:r w:rsidR="00525C12">
        <w:rPr>
          <w:b/>
          <w:i/>
          <w:noProof/>
          <w:szCs w:val="24"/>
        </w:rPr>
        <w:t xml:space="preserve"> i sek</w:t>
      </w:r>
      <w:r>
        <w:rPr>
          <w:b/>
          <w:i/>
          <w:noProof/>
          <w:szCs w:val="24"/>
        </w:rPr>
        <w:t>wencjonowanie</w:t>
      </w:r>
    </w:p>
    <w:p w14:paraId="79344DDA" w14:textId="67A03DCB" w:rsidR="00FA6F3C" w:rsidRPr="00FA6F3C" w:rsidRDefault="00FA6F3C" w:rsidP="00D61628">
      <w:pPr>
        <w:spacing w:line="240" w:lineRule="auto"/>
        <w:jc w:val="both"/>
        <w:rPr>
          <w:rFonts w:ascii="Times New Roman" w:hAnsi="Times New Roman" w:cs="Times New Roman"/>
          <w:b/>
          <w:i/>
          <w:noProof/>
          <w:sz w:val="24"/>
          <w:szCs w:val="24"/>
        </w:rPr>
      </w:pPr>
      <w:r>
        <w:rPr>
          <w:rFonts w:ascii="Times New Roman" w:hAnsi="Times New Roman"/>
          <w:b/>
          <w:i/>
          <w:noProof/>
          <w:sz w:val="24"/>
          <w:szCs w:val="24"/>
        </w:rPr>
        <w:t>Zintegrowane systemy nadzoru</w:t>
      </w:r>
    </w:p>
    <w:p w14:paraId="1A62AF9C" w14:textId="770043AE" w:rsidR="00CB4F6C" w:rsidRDefault="009770E4" w:rsidP="00D61628">
      <w:pPr>
        <w:spacing w:line="240" w:lineRule="auto"/>
        <w:jc w:val="both"/>
        <w:rPr>
          <w:rFonts w:ascii="Times New Roman" w:hAnsi="Times New Roman" w:cs="Times New Roman"/>
          <w:noProof/>
          <w:sz w:val="24"/>
          <w:szCs w:val="24"/>
        </w:rPr>
      </w:pPr>
      <w:r>
        <w:rPr>
          <w:rFonts w:ascii="Times New Roman" w:hAnsi="Times New Roman"/>
          <w:noProof/>
          <w:sz w:val="24"/>
          <w:szCs w:val="24"/>
        </w:rPr>
        <w:t>Celem nadzoru nie powinno być już identyfikowanie</w:t>
      </w:r>
      <w:r w:rsidR="00525C12">
        <w:rPr>
          <w:rFonts w:ascii="Times New Roman" w:hAnsi="Times New Roman"/>
          <w:noProof/>
          <w:sz w:val="24"/>
          <w:szCs w:val="24"/>
        </w:rPr>
        <w:t xml:space="preserve"> i zgł</w:t>
      </w:r>
      <w:r>
        <w:rPr>
          <w:rFonts w:ascii="Times New Roman" w:hAnsi="Times New Roman"/>
          <w:noProof/>
          <w:sz w:val="24"/>
          <w:szCs w:val="24"/>
        </w:rPr>
        <w:t>aszanie wszystkich przypadków, ale raczej uzyskiwanie wiarygodnych danych szacunkowych dotyczących intensywności przenoszenia choroby</w:t>
      </w:r>
      <w:r w:rsidR="00525C12">
        <w:rPr>
          <w:rFonts w:ascii="Times New Roman" w:hAnsi="Times New Roman"/>
          <w:noProof/>
          <w:sz w:val="24"/>
          <w:szCs w:val="24"/>
        </w:rPr>
        <w:t xml:space="preserve"> w spo</w:t>
      </w:r>
      <w:r>
        <w:rPr>
          <w:rFonts w:ascii="Times New Roman" w:hAnsi="Times New Roman"/>
          <w:noProof/>
          <w:sz w:val="24"/>
          <w:szCs w:val="24"/>
        </w:rPr>
        <w:t>łeczności</w:t>
      </w:r>
      <w:r w:rsidR="00525C12">
        <w:rPr>
          <w:rFonts w:ascii="Times New Roman" w:hAnsi="Times New Roman"/>
          <w:noProof/>
          <w:sz w:val="24"/>
          <w:szCs w:val="24"/>
        </w:rPr>
        <w:t xml:space="preserve"> i sku</w:t>
      </w:r>
      <w:r>
        <w:rPr>
          <w:rFonts w:ascii="Times New Roman" w:hAnsi="Times New Roman"/>
          <w:noProof/>
          <w:sz w:val="24"/>
          <w:szCs w:val="24"/>
        </w:rPr>
        <w:t xml:space="preserve">tków ciężkiego przebiegu choroby, oraz badanie skuteczności szczepionek. </w:t>
      </w:r>
    </w:p>
    <w:p w14:paraId="56F7AA4B" w14:textId="35DBDDAF" w:rsidR="00CB4F6C" w:rsidRDefault="006F2DB9" w:rsidP="00CB4F6C">
      <w:pPr>
        <w:spacing w:line="240" w:lineRule="auto"/>
        <w:jc w:val="both"/>
        <w:rPr>
          <w:rFonts w:ascii="Times New Roman" w:hAnsi="Times New Roman" w:cs="Times New Roman"/>
          <w:noProof/>
          <w:sz w:val="24"/>
          <w:szCs w:val="24"/>
        </w:rPr>
      </w:pPr>
      <w:r>
        <w:rPr>
          <w:rFonts w:ascii="Times New Roman" w:hAnsi="Times New Roman"/>
          <w:noProof/>
          <w:sz w:val="24"/>
          <w:szCs w:val="24"/>
        </w:rPr>
        <w:t>ECDC wraz ze Światową Organizacją Zdrowia zgadzają się, że aby osiągnąć te cele, należy oprzeć się na istniejących systemach nadzoru nad grypą sezonową</w:t>
      </w:r>
      <w:r w:rsidR="00525C12">
        <w:rPr>
          <w:rFonts w:ascii="Times New Roman" w:hAnsi="Times New Roman"/>
          <w:noProof/>
          <w:sz w:val="24"/>
          <w:szCs w:val="24"/>
        </w:rPr>
        <w:t xml:space="preserve"> i inn</w:t>
      </w:r>
      <w:r>
        <w:rPr>
          <w:rFonts w:ascii="Times New Roman" w:hAnsi="Times New Roman"/>
          <w:noProof/>
          <w:sz w:val="24"/>
          <w:szCs w:val="24"/>
        </w:rPr>
        <w:t>ymi zakażeniami dróg oddechowych. Państwa członkowskie, korzystając</w:t>
      </w:r>
      <w:r w:rsidR="00525C12">
        <w:rPr>
          <w:rFonts w:ascii="Times New Roman" w:hAnsi="Times New Roman"/>
          <w:noProof/>
          <w:sz w:val="24"/>
          <w:szCs w:val="24"/>
        </w:rPr>
        <w:t xml:space="preserve"> z cyf</w:t>
      </w:r>
      <w:r>
        <w:rPr>
          <w:rFonts w:ascii="Times New Roman" w:hAnsi="Times New Roman"/>
          <w:noProof/>
          <w:sz w:val="24"/>
          <w:szCs w:val="24"/>
        </w:rPr>
        <w:t>ryzacji informacji zdrowotnej, powinny opracować strategie przywracania systemów nadzoru sentinel ostrych zakażeń dróg oddechowych, które to systemy opierają się na podstawowej</w:t>
      </w:r>
      <w:r w:rsidR="00525C12">
        <w:rPr>
          <w:rFonts w:ascii="Times New Roman" w:hAnsi="Times New Roman"/>
          <w:noProof/>
          <w:sz w:val="24"/>
          <w:szCs w:val="24"/>
        </w:rPr>
        <w:t xml:space="preserve"> i spe</w:t>
      </w:r>
      <w:r>
        <w:rPr>
          <w:rFonts w:ascii="Times New Roman" w:hAnsi="Times New Roman"/>
          <w:noProof/>
          <w:sz w:val="24"/>
          <w:szCs w:val="24"/>
        </w:rPr>
        <w:t>cjalistycznej opiece zdrowotnej</w:t>
      </w:r>
      <w:r w:rsidR="00A00B8A">
        <w:rPr>
          <w:rStyle w:val="FootnoteReference"/>
          <w:rFonts w:ascii="Times New Roman" w:hAnsi="Times New Roman" w:cs="Times New Roman"/>
          <w:noProof/>
          <w:sz w:val="24"/>
          <w:szCs w:val="24"/>
        </w:rPr>
        <w:footnoteReference w:id="13"/>
      </w:r>
      <w:r>
        <w:rPr>
          <w:rFonts w:ascii="Times New Roman" w:hAnsi="Times New Roman"/>
          <w:noProof/>
          <w:sz w:val="24"/>
          <w:szCs w:val="24"/>
        </w:rPr>
        <w:t>. Oprócz tego należy jednocześnie wzmocnić inne systemy monitorowania, takie jak system nadzorowania ścieków pod kątem SARS-CoV-2</w:t>
      </w:r>
      <w:r w:rsidR="00525C12">
        <w:rPr>
          <w:rFonts w:ascii="Times New Roman" w:hAnsi="Times New Roman"/>
          <w:noProof/>
          <w:sz w:val="24"/>
          <w:szCs w:val="24"/>
        </w:rPr>
        <w:t xml:space="preserve"> i w sze</w:t>
      </w:r>
      <w:r>
        <w:rPr>
          <w:rFonts w:ascii="Times New Roman" w:hAnsi="Times New Roman"/>
          <w:noProof/>
          <w:sz w:val="24"/>
          <w:szCs w:val="24"/>
        </w:rPr>
        <w:t>rszym zakresie (np. pod kątem poliowirusa, wirusów grypy lub oporności na środki przeciwdrobnoustrojowe).</w:t>
      </w:r>
    </w:p>
    <w:p w14:paraId="764CE90B" w14:textId="58205EEA" w:rsidR="007753FC" w:rsidRDefault="00CB4F6C" w:rsidP="00864B5C">
      <w:pPr>
        <w:spacing w:line="240" w:lineRule="auto"/>
        <w:jc w:val="both"/>
        <w:rPr>
          <w:rFonts w:ascii="Times New Roman" w:hAnsi="Times New Roman" w:cs="Times New Roman"/>
          <w:noProof/>
          <w:sz w:val="24"/>
          <w:szCs w:val="24"/>
        </w:rPr>
      </w:pPr>
      <w:r>
        <w:rPr>
          <w:rFonts w:ascii="Times New Roman" w:hAnsi="Times New Roman"/>
          <w:noProof/>
          <w:sz w:val="24"/>
          <w:szCs w:val="24"/>
        </w:rPr>
        <w:t>Istnieje również ciągła potrzeba zapewnienia odpowiedniej liczby próbek pobieranych do monitorowania szczepów wirusa</w:t>
      </w:r>
      <w:r w:rsidR="00525C12">
        <w:rPr>
          <w:rFonts w:ascii="Times New Roman" w:hAnsi="Times New Roman"/>
          <w:noProof/>
          <w:sz w:val="24"/>
          <w:szCs w:val="24"/>
        </w:rPr>
        <w:t xml:space="preserve"> w cel</w:t>
      </w:r>
      <w:r>
        <w:rPr>
          <w:rFonts w:ascii="Times New Roman" w:hAnsi="Times New Roman"/>
          <w:noProof/>
          <w:sz w:val="24"/>
          <w:szCs w:val="24"/>
        </w:rPr>
        <w:t>u wykrycia nowych wariantów. Komisja będzie wspierać takie działania Programu UE dla zdrowia</w:t>
      </w:r>
      <w:r w:rsidR="00525C12">
        <w:rPr>
          <w:rFonts w:ascii="Times New Roman" w:hAnsi="Times New Roman"/>
          <w:noProof/>
          <w:sz w:val="24"/>
          <w:szCs w:val="24"/>
        </w:rPr>
        <w:t xml:space="preserve"> i swo</w:t>
      </w:r>
      <w:r>
        <w:rPr>
          <w:rFonts w:ascii="Times New Roman" w:hAnsi="Times New Roman"/>
          <w:noProof/>
          <w:sz w:val="24"/>
          <w:szCs w:val="24"/>
        </w:rPr>
        <w:t>jego Urzędu ds. Gotowości</w:t>
      </w:r>
      <w:r w:rsidR="00525C12">
        <w:rPr>
          <w:rFonts w:ascii="Times New Roman" w:hAnsi="Times New Roman"/>
          <w:noProof/>
          <w:sz w:val="24"/>
          <w:szCs w:val="24"/>
        </w:rPr>
        <w:t xml:space="preserve"> i Rea</w:t>
      </w:r>
      <w:r>
        <w:rPr>
          <w:rFonts w:ascii="Times New Roman" w:hAnsi="Times New Roman"/>
          <w:noProof/>
          <w:sz w:val="24"/>
          <w:szCs w:val="24"/>
        </w:rPr>
        <w:t>gowania na Stany Zagrożenia Zdrowia (HERA) oraz we współpracy z ECDC</w:t>
      </w:r>
      <w:r w:rsidR="00525C12">
        <w:rPr>
          <w:rFonts w:ascii="Times New Roman" w:hAnsi="Times New Roman"/>
          <w:noProof/>
          <w:sz w:val="24"/>
          <w:szCs w:val="24"/>
        </w:rPr>
        <w:t>. W ram</w:t>
      </w:r>
      <w:r>
        <w:rPr>
          <w:rFonts w:ascii="Times New Roman" w:hAnsi="Times New Roman"/>
          <w:noProof/>
          <w:sz w:val="24"/>
          <w:szCs w:val="24"/>
        </w:rPr>
        <w:t>ach tych działań należy zapewnić, aby wszystkie sekwencje udostępniano za pomocą platform otwartego dostępu, takich jak europejski portal danych dotyczących COVID-19</w:t>
      </w:r>
      <w:r w:rsidR="00D61628">
        <w:rPr>
          <w:rStyle w:val="FootnoteReference"/>
          <w:rFonts w:ascii="Times New Roman" w:hAnsi="Times New Roman" w:cs="Times New Roman"/>
          <w:noProof/>
          <w:sz w:val="24"/>
          <w:szCs w:val="24"/>
        </w:rPr>
        <w:footnoteReference w:id="14"/>
      </w:r>
      <w:r>
        <w:rPr>
          <w:rFonts w:ascii="Times New Roman" w:hAnsi="Times New Roman"/>
          <w:noProof/>
          <w:sz w:val="24"/>
          <w:szCs w:val="24"/>
        </w:rPr>
        <w:t>, co pozwoli na dogłębne poznanie wariantów SARS-CoV-2 krążących</w:t>
      </w:r>
      <w:r w:rsidR="00525C12">
        <w:rPr>
          <w:rFonts w:ascii="Times New Roman" w:hAnsi="Times New Roman"/>
          <w:noProof/>
          <w:sz w:val="24"/>
          <w:szCs w:val="24"/>
        </w:rPr>
        <w:t xml:space="preserve"> w Eur</w:t>
      </w:r>
      <w:r>
        <w:rPr>
          <w:rFonts w:ascii="Times New Roman" w:hAnsi="Times New Roman"/>
          <w:noProof/>
          <w:sz w:val="24"/>
          <w:szCs w:val="24"/>
        </w:rPr>
        <w:t xml:space="preserve">opie. </w:t>
      </w:r>
    </w:p>
    <w:p w14:paraId="1A7057F0" w14:textId="065F94C7" w:rsidR="00CB4F6C" w:rsidRPr="00C36558" w:rsidRDefault="00D10302" w:rsidP="00C36558">
      <w:pPr>
        <w:spacing w:line="240" w:lineRule="auto"/>
        <w:jc w:val="both"/>
        <w:rPr>
          <w:rFonts w:ascii="Times New Roman" w:hAnsi="Times New Roman" w:cs="Times New Roman"/>
          <w:noProof/>
          <w:sz w:val="24"/>
          <w:szCs w:val="24"/>
          <w:shd w:val="clear" w:color="auto" w:fill="FFFFFF"/>
        </w:rPr>
      </w:pPr>
      <w:r>
        <w:rPr>
          <w:rFonts w:ascii="Times New Roman" w:hAnsi="Times New Roman"/>
          <w:noProof/>
          <w:sz w:val="24"/>
          <w:szCs w:val="24"/>
        </w:rPr>
        <w:t>Przyczyni się to do identyfikacji głównych zagrożeń</w:t>
      </w:r>
      <w:r w:rsidR="00525C12">
        <w:rPr>
          <w:rFonts w:ascii="Times New Roman" w:hAnsi="Times New Roman"/>
          <w:noProof/>
          <w:sz w:val="24"/>
          <w:szCs w:val="24"/>
        </w:rPr>
        <w:t xml:space="preserve"> o duż</w:t>
      </w:r>
      <w:r>
        <w:rPr>
          <w:rFonts w:ascii="Times New Roman" w:hAnsi="Times New Roman"/>
          <w:noProof/>
          <w:sz w:val="24"/>
          <w:szCs w:val="24"/>
        </w:rPr>
        <w:t>ym wpływie</w:t>
      </w:r>
      <w:r w:rsidR="00525C12">
        <w:rPr>
          <w:rFonts w:ascii="Times New Roman" w:hAnsi="Times New Roman"/>
          <w:noProof/>
          <w:sz w:val="24"/>
          <w:szCs w:val="24"/>
        </w:rPr>
        <w:t xml:space="preserve"> i ewe</w:t>
      </w:r>
      <w:r>
        <w:rPr>
          <w:rFonts w:ascii="Times New Roman" w:hAnsi="Times New Roman"/>
          <w:noProof/>
          <w:sz w:val="24"/>
          <w:szCs w:val="24"/>
        </w:rPr>
        <w:t>ntualnych luk</w:t>
      </w:r>
      <w:r w:rsidR="00525C12">
        <w:rPr>
          <w:rFonts w:ascii="Times New Roman" w:hAnsi="Times New Roman"/>
          <w:noProof/>
          <w:sz w:val="24"/>
          <w:szCs w:val="24"/>
        </w:rPr>
        <w:t xml:space="preserve"> w pod</w:t>
      </w:r>
      <w:r>
        <w:rPr>
          <w:rFonts w:ascii="Times New Roman" w:hAnsi="Times New Roman"/>
          <w:noProof/>
          <w:sz w:val="24"/>
          <w:szCs w:val="24"/>
        </w:rPr>
        <w:t>aży</w:t>
      </w:r>
      <w:r w:rsidR="00525C12">
        <w:rPr>
          <w:rFonts w:ascii="Times New Roman" w:hAnsi="Times New Roman"/>
          <w:noProof/>
          <w:sz w:val="24"/>
          <w:szCs w:val="24"/>
        </w:rPr>
        <w:t xml:space="preserve"> i dos</w:t>
      </w:r>
      <w:r>
        <w:rPr>
          <w:rFonts w:ascii="Times New Roman" w:hAnsi="Times New Roman"/>
          <w:noProof/>
          <w:sz w:val="24"/>
          <w:szCs w:val="24"/>
        </w:rPr>
        <w:t>tępności odpowiednich medycznych środków przeciwdziałania.</w:t>
      </w:r>
    </w:p>
    <w:p w14:paraId="62EA442A" w14:textId="77777777" w:rsidR="0050544E" w:rsidRPr="0050544E" w:rsidRDefault="0050544E" w:rsidP="00794281">
      <w:pPr>
        <w:pBdr>
          <w:top w:val="single" w:sz="4" w:space="1" w:color="auto"/>
          <w:left w:val="single" w:sz="4" w:space="4" w:color="auto"/>
          <w:bottom w:val="single" w:sz="4" w:space="1" w:color="auto"/>
          <w:right w:val="single" w:sz="4" w:space="4" w:color="auto"/>
        </w:pBdr>
        <w:spacing w:before="360" w:line="240" w:lineRule="auto"/>
        <w:jc w:val="center"/>
        <w:rPr>
          <w:rFonts w:ascii="Times New Roman" w:hAnsi="Times New Roman" w:cs="Times New Roman"/>
          <w:b/>
          <w:noProof/>
          <w:sz w:val="24"/>
          <w:szCs w:val="24"/>
        </w:rPr>
      </w:pPr>
      <w:r>
        <w:rPr>
          <w:rFonts w:ascii="Times New Roman" w:hAnsi="Times New Roman"/>
          <w:b/>
          <w:noProof/>
          <w:sz w:val="24"/>
          <w:szCs w:val="24"/>
        </w:rPr>
        <w:t>KLUCZOWE DZIAŁANIA DO PODJĘCIA PRZEZ PAŃSTWA CZŁONKOWSKIE</w:t>
      </w:r>
    </w:p>
    <w:p w14:paraId="1775520D" w14:textId="40929B10" w:rsidR="00F8110D" w:rsidRDefault="00F0424F" w:rsidP="00F0424F">
      <w:pPr>
        <w:pStyle w:val="ListParagraph"/>
        <w:numPr>
          <w:ilvl w:val="0"/>
          <w:numId w:val="10"/>
        </w:numPr>
        <w:pBdr>
          <w:top w:val="single" w:sz="4" w:space="1" w:color="auto"/>
          <w:left w:val="single" w:sz="4" w:space="4" w:color="auto"/>
          <w:bottom w:val="single" w:sz="4" w:space="1" w:color="auto"/>
          <w:right w:val="single" w:sz="4" w:space="4" w:color="auto"/>
        </w:pBdr>
        <w:spacing w:line="240" w:lineRule="auto"/>
        <w:ind w:left="480" w:hanging="480"/>
        <w:jc w:val="both"/>
        <w:rPr>
          <w:rFonts w:ascii="Times New Roman" w:hAnsi="Times New Roman" w:cs="Times New Roman"/>
          <w:noProof/>
          <w:sz w:val="24"/>
          <w:szCs w:val="24"/>
        </w:rPr>
      </w:pPr>
      <w:r>
        <w:rPr>
          <w:rFonts w:ascii="Times New Roman" w:hAnsi="Times New Roman"/>
          <w:noProof/>
          <w:sz w:val="24"/>
          <w:szCs w:val="24"/>
        </w:rPr>
        <w:t>Jak najszybsze wprowadzenie zintegrowanych całorocznych systemów nadzoru nad ostrymi chorobami układu oddechowego (zintegrowany nadzór nad COVID-19, grypą</w:t>
      </w:r>
      <w:r w:rsidR="00525C12">
        <w:rPr>
          <w:rFonts w:ascii="Times New Roman" w:hAnsi="Times New Roman"/>
          <w:noProof/>
          <w:sz w:val="24"/>
          <w:szCs w:val="24"/>
        </w:rPr>
        <w:t xml:space="preserve"> i inn</w:t>
      </w:r>
      <w:r>
        <w:rPr>
          <w:rFonts w:ascii="Times New Roman" w:hAnsi="Times New Roman"/>
          <w:noProof/>
          <w:sz w:val="24"/>
          <w:szCs w:val="24"/>
        </w:rPr>
        <w:t>ymi wirusami wywołującymi choroby układu oddechowego), które to systemy są trwałe</w:t>
      </w:r>
      <w:r w:rsidR="00525C12">
        <w:rPr>
          <w:rFonts w:ascii="Times New Roman" w:hAnsi="Times New Roman"/>
          <w:noProof/>
          <w:sz w:val="24"/>
          <w:szCs w:val="24"/>
        </w:rPr>
        <w:t xml:space="preserve"> i rep</w:t>
      </w:r>
      <w:r>
        <w:rPr>
          <w:rFonts w:ascii="Times New Roman" w:hAnsi="Times New Roman"/>
          <w:noProof/>
          <w:sz w:val="24"/>
          <w:szCs w:val="24"/>
        </w:rPr>
        <w:t>rezentatywne</w:t>
      </w:r>
      <w:r w:rsidR="00525C12">
        <w:rPr>
          <w:rFonts w:ascii="Times New Roman" w:hAnsi="Times New Roman"/>
          <w:noProof/>
          <w:sz w:val="24"/>
          <w:szCs w:val="24"/>
        </w:rPr>
        <w:t xml:space="preserve"> i opi</w:t>
      </w:r>
      <w:r>
        <w:rPr>
          <w:rFonts w:ascii="Times New Roman" w:hAnsi="Times New Roman"/>
          <w:noProof/>
          <w:sz w:val="24"/>
          <w:szCs w:val="24"/>
        </w:rPr>
        <w:t>erają się na wspólnych kryteriach identyfikacji przypadków</w:t>
      </w:r>
      <w:r w:rsidR="00525C12">
        <w:rPr>
          <w:rFonts w:ascii="Times New Roman" w:hAnsi="Times New Roman"/>
          <w:noProof/>
          <w:sz w:val="24"/>
          <w:szCs w:val="24"/>
        </w:rPr>
        <w:t xml:space="preserve"> i str</w:t>
      </w:r>
      <w:r>
        <w:rPr>
          <w:rFonts w:ascii="Times New Roman" w:hAnsi="Times New Roman"/>
          <w:noProof/>
          <w:sz w:val="24"/>
          <w:szCs w:val="24"/>
        </w:rPr>
        <w:t>ategii testowania w UE,</w:t>
      </w:r>
      <w:r w:rsidR="00525C12">
        <w:rPr>
          <w:rFonts w:ascii="Times New Roman" w:hAnsi="Times New Roman"/>
          <w:noProof/>
          <w:sz w:val="24"/>
          <w:szCs w:val="24"/>
        </w:rPr>
        <w:t xml:space="preserve"> a tak</w:t>
      </w:r>
      <w:r>
        <w:rPr>
          <w:rFonts w:ascii="Times New Roman" w:hAnsi="Times New Roman"/>
          <w:noProof/>
          <w:sz w:val="24"/>
          <w:szCs w:val="24"/>
        </w:rPr>
        <w:t>że łączą lekarzy podstawowej opieki zdrowotnej, szpitale</w:t>
      </w:r>
      <w:r w:rsidR="00525C12">
        <w:rPr>
          <w:rFonts w:ascii="Times New Roman" w:hAnsi="Times New Roman"/>
          <w:noProof/>
          <w:sz w:val="24"/>
          <w:szCs w:val="24"/>
        </w:rPr>
        <w:t xml:space="preserve"> i lab</w:t>
      </w:r>
      <w:r>
        <w:rPr>
          <w:rFonts w:ascii="Times New Roman" w:hAnsi="Times New Roman"/>
          <w:noProof/>
          <w:sz w:val="24"/>
          <w:szCs w:val="24"/>
        </w:rPr>
        <w:t xml:space="preserve">oratoria. </w:t>
      </w:r>
    </w:p>
    <w:p w14:paraId="253F765C" w14:textId="70A98144" w:rsidR="00D74DF4" w:rsidRPr="00F0424F" w:rsidRDefault="00F8110D" w:rsidP="00F0424F">
      <w:pPr>
        <w:pStyle w:val="ListParagraph"/>
        <w:numPr>
          <w:ilvl w:val="0"/>
          <w:numId w:val="10"/>
        </w:numPr>
        <w:pBdr>
          <w:top w:val="single" w:sz="4" w:space="1" w:color="auto"/>
          <w:left w:val="single" w:sz="4" w:space="4" w:color="auto"/>
          <w:bottom w:val="single" w:sz="4" w:space="1" w:color="auto"/>
          <w:right w:val="single" w:sz="4" w:space="4" w:color="auto"/>
        </w:pBdr>
        <w:spacing w:line="240" w:lineRule="auto"/>
        <w:ind w:left="480" w:hanging="480"/>
        <w:jc w:val="both"/>
        <w:rPr>
          <w:rFonts w:ascii="Times New Roman" w:hAnsi="Times New Roman" w:cs="Times New Roman"/>
          <w:noProof/>
          <w:sz w:val="24"/>
          <w:szCs w:val="24"/>
        </w:rPr>
      </w:pPr>
      <w:r>
        <w:rPr>
          <w:rFonts w:ascii="Times New Roman" w:hAnsi="Times New Roman"/>
          <w:noProof/>
          <w:sz w:val="24"/>
          <w:szCs w:val="24"/>
        </w:rPr>
        <w:t>Uzgodnienie – przy wsparciu ze strony ECDC – wspólnych kryteriów identyfikacji przypadków</w:t>
      </w:r>
      <w:r w:rsidR="00525C12">
        <w:rPr>
          <w:rFonts w:ascii="Times New Roman" w:hAnsi="Times New Roman"/>
          <w:noProof/>
          <w:sz w:val="24"/>
          <w:szCs w:val="24"/>
        </w:rPr>
        <w:t xml:space="preserve"> i str</w:t>
      </w:r>
      <w:r>
        <w:rPr>
          <w:rFonts w:ascii="Times New Roman" w:hAnsi="Times New Roman"/>
          <w:noProof/>
          <w:sz w:val="24"/>
          <w:szCs w:val="24"/>
        </w:rPr>
        <w:t xml:space="preserve">ategii testowania w UE. </w:t>
      </w:r>
    </w:p>
    <w:p w14:paraId="12E41B2A" w14:textId="0B558265" w:rsidR="00D74DF4" w:rsidRPr="00B93040" w:rsidRDefault="002E1A09" w:rsidP="00D74DF4">
      <w:pPr>
        <w:pStyle w:val="ListParagraph"/>
        <w:numPr>
          <w:ilvl w:val="0"/>
          <w:numId w:val="10"/>
        </w:numPr>
        <w:pBdr>
          <w:top w:val="single" w:sz="4" w:space="1" w:color="auto"/>
          <w:left w:val="single" w:sz="4" w:space="4" w:color="auto"/>
          <w:bottom w:val="single" w:sz="4" w:space="1" w:color="auto"/>
          <w:right w:val="single" w:sz="4" w:space="4" w:color="auto"/>
        </w:pBdr>
        <w:spacing w:line="240" w:lineRule="auto"/>
        <w:ind w:left="480" w:hanging="480"/>
        <w:jc w:val="both"/>
        <w:rPr>
          <w:rFonts w:ascii="Times New Roman" w:hAnsi="Times New Roman" w:cs="Times New Roman"/>
          <w:noProof/>
          <w:sz w:val="24"/>
          <w:szCs w:val="24"/>
        </w:rPr>
      </w:pPr>
      <w:r>
        <w:rPr>
          <w:rFonts w:ascii="Times New Roman" w:hAnsi="Times New Roman"/>
          <w:noProof/>
          <w:sz w:val="24"/>
          <w:szCs w:val="24"/>
        </w:rPr>
        <w:t>Dalsze gromadzenie</w:t>
      </w:r>
      <w:r w:rsidR="00525C12">
        <w:rPr>
          <w:rFonts w:ascii="Times New Roman" w:hAnsi="Times New Roman"/>
          <w:noProof/>
          <w:sz w:val="24"/>
          <w:szCs w:val="24"/>
        </w:rPr>
        <w:t xml:space="preserve"> i udo</w:t>
      </w:r>
      <w:r>
        <w:rPr>
          <w:rFonts w:ascii="Times New Roman" w:hAnsi="Times New Roman"/>
          <w:noProof/>
          <w:sz w:val="24"/>
          <w:szCs w:val="24"/>
        </w:rPr>
        <w:t>stępnienia ECDC wiarygodnych</w:t>
      </w:r>
      <w:r w:rsidR="00525C12">
        <w:rPr>
          <w:rFonts w:ascii="Times New Roman" w:hAnsi="Times New Roman"/>
          <w:noProof/>
          <w:sz w:val="24"/>
          <w:szCs w:val="24"/>
        </w:rPr>
        <w:t xml:space="preserve"> i akt</w:t>
      </w:r>
      <w:r>
        <w:rPr>
          <w:rFonts w:ascii="Times New Roman" w:hAnsi="Times New Roman"/>
          <w:noProof/>
          <w:sz w:val="24"/>
          <w:szCs w:val="24"/>
        </w:rPr>
        <w:t>ualnych danych</w:t>
      </w:r>
      <w:r w:rsidR="00525C12">
        <w:rPr>
          <w:rFonts w:ascii="Times New Roman" w:hAnsi="Times New Roman"/>
          <w:noProof/>
          <w:sz w:val="24"/>
          <w:szCs w:val="24"/>
        </w:rPr>
        <w:t xml:space="preserve"> z zin</w:t>
      </w:r>
      <w:r>
        <w:rPr>
          <w:rFonts w:ascii="Times New Roman" w:hAnsi="Times New Roman"/>
          <w:noProof/>
          <w:sz w:val="24"/>
          <w:szCs w:val="24"/>
        </w:rPr>
        <w:t>tegrowanych systemów nadzoru</w:t>
      </w:r>
      <w:r w:rsidR="002E45A9">
        <w:rPr>
          <w:rStyle w:val="FootnoteReference"/>
          <w:rFonts w:ascii="Times New Roman" w:hAnsi="Times New Roman" w:cs="Times New Roman"/>
          <w:noProof/>
          <w:sz w:val="24"/>
          <w:szCs w:val="24"/>
        </w:rPr>
        <w:footnoteReference w:id="15"/>
      </w:r>
      <w:r>
        <w:rPr>
          <w:rFonts w:ascii="Times New Roman" w:hAnsi="Times New Roman"/>
          <w:noProof/>
          <w:sz w:val="24"/>
          <w:szCs w:val="24"/>
        </w:rPr>
        <w:t xml:space="preserve"> oraz</w:t>
      </w:r>
      <w:r w:rsidR="00525C12">
        <w:rPr>
          <w:rFonts w:ascii="Times New Roman" w:hAnsi="Times New Roman"/>
          <w:noProof/>
          <w:sz w:val="24"/>
          <w:szCs w:val="24"/>
        </w:rPr>
        <w:t xml:space="preserve"> z pop</w:t>
      </w:r>
      <w:r>
        <w:rPr>
          <w:rFonts w:ascii="Times New Roman" w:hAnsi="Times New Roman"/>
          <w:noProof/>
          <w:sz w:val="24"/>
          <w:szCs w:val="24"/>
        </w:rPr>
        <w:t>ulacyjnych systemów nadzoru</w:t>
      </w:r>
      <w:r w:rsidR="00525C12">
        <w:rPr>
          <w:rFonts w:ascii="Times New Roman" w:hAnsi="Times New Roman"/>
          <w:noProof/>
          <w:sz w:val="24"/>
          <w:szCs w:val="24"/>
        </w:rPr>
        <w:t xml:space="preserve"> w cel</w:t>
      </w:r>
      <w:r>
        <w:rPr>
          <w:rFonts w:ascii="Times New Roman" w:hAnsi="Times New Roman"/>
          <w:noProof/>
          <w:sz w:val="24"/>
          <w:szCs w:val="24"/>
        </w:rPr>
        <w:t>u monitorowania przypadków hospitalizacji</w:t>
      </w:r>
      <w:r w:rsidR="00525C12">
        <w:rPr>
          <w:rFonts w:ascii="Times New Roman" w:hAnsi="Times New Roman"/>
          <w:noProof/>
          <w:sz w:val="24"/>
          <w:szCs w:val="24"/>
        </w:rPr>
        <w:t xml:space="preserve"> i zgo</w:t>
      </w:r>
      <w:r>
        <w:rPr>
          <w:rFonts w:ascii="Times New Roman" w:hAnsi="Times New Roman"/>
          <w:noProof/>
          <w:sz w:val="24"/>
          <w:szCs w:val="24"/>
        </w:rPr>
        <w:t xml:space="preserve">nów spowodowanych przez COVID-19. </w:t>
      </w:r>
    </w:p>
    <w:p w14:paraId="194DC11C" w14:textId="0E7C9D4C" w:rsidR="0050544E" w:rsidRPr="00537500" w:rsidRDefault="00170B90" w:rsidP="00537500">
      <w:pPr>
        <w:pStyle w:val="ListParagraph"/>
        <w:numPr>
          <w:ilvl w:val="0"/>
          <w:numId w:val="10"/>
        </w:numPr>
        <w:pBdr>
          <w:top w:val="single" w:sz="4" w:space="1" w:color="auto"/>
          <w:left w:val="single" w:sz="4" w:space="4" w:color="auto"/>
          <w:bottom w:val="single" w:sz="4" w:space="1" w:color="auto"/>
          <w:right w:val="single" w:sz="4" w:space="4" w:color="auto"/>
        </w:pBdr>
        <w:spacing w:line="240" w:lineRule="auto"/>
        <w:ind w:left="480" w:hanging="480"/>
        <w:jc w:val="both"/>
        <w:rPr>
          <w:rFonts w:ascii="Times New Roman" w:hAnsi="Times New Roman" w:cs="Times New Roman"/>
          <w:i/>
          <w:iCs/>
          <w:noProof/>
          <w:sz w:val="24"/>
          <w:szCs w:val="24"/>
        </w:rPr>
      </w:pPr>
      <w:r>
        <w:rPr>
          <w:rFonts w:ascii="Times New Roman" w:hAnsi="Times New Roman"/>
          <w:noProof/>
          <w:sz w:val="24"/>
          <w:szCs w:val="24"/>
        </w:rPr>
        <w:t>Wykorzystywanie uzupełniających systemów nadzoru, takich jak monitorowanie ścieków, do wykrywania gwałtownych wzrostów zachorowań na COVID-19. Pełne wykorzystywanie wsparcia finansowego UE</w:t>
      </w:r>
      <w:r w:rsidR="00525C12">
        <w:rPr>
          <w:rFonts w:ascii="Times New Roman" w:hAnsi="Times New Roman"/>
          <w:noProof/>
          <w:sz w:val="24"/>
          <w:szCs w:val="24"/>
        </w:rPr>
        <w:t xml:space="preserve"> w cel</w:t>
      </w:r>
      <w:r>
        <w:rPr>
          <w:rFonts w:ascii="Times New Roman" w:hAnsi="Times New Roman"/>
          <w:noProof/>
          <w:sz w:val="24"/>
          <w:szCs w:val="24"/>
        </w:rPr>
        <w:t>u wprowadzenia lub udoskonalenia systematycznego monitorowania ścieków pod kątem SARS-CoV-2.</w:t>
      </w:r>
    </w:p>
    <w:p w14:paraId="62B441C7" w14:textId="77777777" w:rsidR="00864B5C" w:rsidRDefault="00864B5C" w:rsidP="007A5592">
      <w:pPr>
        <w:pStyle w:val="Text1"/>
        <w:spacing w:after="0"/>
        <w:ind w:left="0"/>
        <w:rPr>
          <w:b/>
          <w:noProof/>
          <w:szCs w:val="24"/>
          <w:lang w:val="en-GB"/>
        </w:rPr>
      </w:pPr>
    </w:p>
    <w:p w14:paraId="384C6096" w14:textId="77777777" w:rsidR="007753FC" w:rsidRPr="0050544E" w:rsidRDefault="007753FC" w:rsidP="007753FC">
      <w:pPr>
        <w:pBdr>
          <w:top w:val="single" w:sz="4" w:space="1" w:color="auto"/>
          <w:left w:val="single" w:sz="4" w:space="4" w:color="auto"/>
          <w:bottom w:val="single" w:sz="4" w:space="1" w:color="auto"/>
          <w:right w:val="single" w:sz="4" w:space="4" w:color="auto"/>
        </w:pBdr>
        <w:spacing w:after="120" w:line="240" w:lineRule="auto"/>
        <w:jc w:val="center"/>
        <w:rPr>
          <w:rFonts w:ascii="Times New Roman" w:hAnsi="Times New Roman" w:cs="Times New Roman"/>
          <w:b/>
          <w:noProof/>
          <w:sz w:val="24"/>
          <w:szCs w:val="24"/>
        </w:rPr>
      </w:pPr>
      <w:r>
        <w:rPr>
          <w:rFonts w:ascii="Times New Roman" w:hAnsi="Times New Roman"/>
          <w:b/>
          <w:noProof/>
          <w:sz w:val="24"/>
          <w:szCs w:val="24"/>
        </w:rPr>
        <w:t>INICJATYWY I DZIAŁANIA UE</w:t>
      </w:r>
    </w:p>
    <w:p w14:paraId="6A2D8A58" w14:textId="4FBDDEB8" w:rsidR="000C04CF" w:rsidRPr="000C04CF" w:rsidRDefault="006F2DB9" w:rsidP="000C04CF">
      <w:pPr>
        <w:pStyle w:val="ListParagraph"/>
        <w:numPr>
          <w:ilvl w:val="0"/>
          <w:numId w:val="10"/>
        </w:numPr>
        <w:pBdr>
          <w:top w:val="single" w:sz="4" w:space="1" w:color="auto"/>
          <w:left w:val="single" w:sz="4" w:space="4" w:color="auto"/>
          <w:bottom w:val="single" w:sz="4" w:space="1" w:color="auto"/>
          <w:right w:val="single" w:sz="4" w:space="4" w:color="auto"/>
        </w:pBdr>
        <w:spacing w:line="240" w:lineRule="auto"/>
        <w:ind w:left="480" w:hanging="480"/>
        <w:jc w:val="both"/>
        <w:rPr>
          <w:rFonts w:eastAsiaTheme="minorEastAsia"/>
          <w:b/>
          <w:bCs/>
          <w:i/>
          <w:iCs/>
          <w:noProof/>
          <w:sz w:val="24"/>
          <w:szCs w:val="24"/>
        </w:rPr>
      </w:pPr>
      <w:r>
        <w:rPr>
          <w:rFonts w:ascii="Times New Roman" w:hAnsi="Times New Roman"/>
          <w:noProof/>
          <w:sz w:val="24"/>
          <w:szCs w:val="24"/>
        </w:rPr>
        <w:t>ECDC będzie kierować przejściem od kompleksowego nadzoru kryzysowego nad COVID-19 w UE/EOG do rutynowych zintegrowanych, zrównoważonych, reprezentatywnych systemów nadzoru nad ostrymi chorobami układu oddechowego</w:t>
      </w:r>
      <w:r w:rsidR="00525C12">
        <w:rPr>
          <w:rFonts w:ascii="Times New Roman" w:hAnsi="Times New Roman"/>
          <w:noProof/>
          <w:sz w:val="24"/>
          <w:szCs w:val="24"/>
        </w:rPr>
        <w:t xml:space="preserve"> i ost</w:t>
      </w:r>
      <w:r>
        <w:rPr>
          <w:rFonts w:ascii="Times New Roman" w:hAnsi="Times New Roman"/>
          <w:noProof/>
          <w:sz w:val="24"/>
          <w:szCs w:val="24"/>
        </w:rPr>
        <w:t>rymi chorobami układu oddechowego</w:t>
      </w:r>
      <w:r w:rsidR="00525C12">
        <w:rPr>
          <w:rFonts w:ascii="Times New Roman" w:hAnsi="Times New Roman"/>
          <w:noProof/>
          <w:sz w:val="24"/>
          <w:szCs w:val="24"/>
        </w:rPr>
        <w:t xml:space="preserve"> o cię</w:t>
      </w:r>
      <w:r>
        <w:rPr>
          <w:rFonts w:ascii="Times New Roman" w:hAnsi="Times New Roman"/>
          <w:noProof/>
          <w:sz w:val="24"/>
          <w:szCs w:val="24"/>
        </w:rPr>
        <w:t>żkim przebiegu (obejmujących COVID-19, grypę</w:t>
      </w:r>
      <w:r w:rsidR="00525C12">
        <w:rPr>
          <w:rFonts w:ascii="Times New Roman" w:hAnsi="Times New Roman"/>
          <w:noProof/>
          <w:sz w:val="24"/>
          <w:szCs w:val="24"/>
        </w:rPr>
        <w:t xml:space="preserve"> i inn</w:t>
      </w:r>
      <w:r>
        <w:rPr>
          <w:rFonts w:ascii="Times New Roman" w:hAnsi="Times New Roman"/>
          <w:noProof/>
          <w:sz w:val="24"/>
          <w:szCs w:val="24"/>
        </w:rPr>
        <w:t>e wirusy wywołujące choroby układu oddechowego).</w:t>
      </w:r>
    </w:p>
    <w:p w14:paraId="702148BA" w14:textId="799D0755" w:rsidR="007A5592" w:rsidRPr="007A5592" w:rsidRDefault="007A5592" w:rsidP="003839E1">
      <w:pPr>
        <w:pStyle w:val="ListParagraph"/>
        <w:numPr>
          <w:ilvl w:val="0"/>
          <w:numId w:val="10"/>
        </w:numPr>
        <w:pBdr>
          <w:top w:val="single" w:sz="4" w:space="1" w:color="auto"/>
          <w:left w:val="single" w:sz="4" w:space="4" w:color="auto"/>
          <w:bottom w:val="single" w:sz="4" w:space="1" w:color="auto"/>
          <w:right w:val="single" w:sz="4" w:space="4" w:color="auto"/>
        </w:pBdr>
        <w:spacing w:line="240" w:lineRule="auto"/>
        <w:ind w:left="480" w:hanging="480"/>
        <w:jc w:val="both"/>
        <w:rPr>
          <w:rFonts w:ascii="Times New Roman" w:hAnsi="Times New Roman" w:cs="Times New Roman"/>
          <w:noProof/>
          <w:sz w:val="24"/>
          <w:szCs w:val="24"/>
        </w:rPr>
      </w:pPr>
      <w:r>
        <w:rPr>
          <w:rFonts w:ascii="Times New Roman" w:hAnsi="Times New Roman"/>
          <w:noProof/>
          <w:sz w:val="24"/>
          <w:szCs w:val="24"/>
        </w:rPr>
        <w:t>Europejska grupa ekspertów ds. wariantów SARS-CoV-2 będzie nadal zapewniać doradztwo</w:t>
      </w:r>
      <w:r w:rsidR="00525C12">
        <w:rPr>
          <w:rFonts w:ascii="Times New Roman" w:hAnsi="Times New Roman"/>
          <w:noProof/>
          <w:sz w:val="24"/>
          <w:szCs w:val="24"/>
        </w:rPr>
        <w:t xml:space="preserve"> w zak</w:t>
      </w:r>
      <w:r>
        <w:rPr>
          <w:rFonts w:ascii="Times New Roman" w:hAnsi="Times New Roman"/>
          <w:noProof/>
          <w:sz w:val="24"/>
          <w:szCs w:val="24"/>
        </w:rPr>
        <w:t>resie opracowywania</w:t>
      </w:r>
      <w:r w:rsidR="00525C12">
        <w:rPr>
          <w:rFonts w:ascii="Times New Roman" w:hAnsi="Times New Roman"/>
          <w:noProof/>
          <w:sz w:val="24"/>
          <w:szCs w:val="24"/>
        </w:rPr>
        <w:t xml:space="preserve"> i pot</w:t>
      </w:r>
      <w:r>
        <w:rPr>
          <w:rFonts w:ascii="Times New Roman" w:hAnsi="Times New Roman"/>
          <w:noProof/>
          <w:sz w:val="24"/>
          <w:szCs w:val="24"/>
        </w:rPr>
        <w:t xml:space="preserve">encjalnego stosowania szczepionek dostosowanych do nowych pojawiających się wariantów. </w:t>
      </w:r>
    </w:p>
    <w:p w14:paraId="1D03726C" w14:textId="1FBF2CBF" w:rsidR="00736F64" w:rsidRPr="00525C12" w:rsidRDefault="003B6FA8" w:rsidP="003839E1">
      <w:pPr>
        <w:pStyle w:val="ListParagraph"/>
        <w:numPr>
          <w:ilvl w:val="0"/>
          <w:numId w:val="10"/>
        </w:numPr>
        <w:pBdr>
          <w:top w:val="single" w:sz="4" w:space="1" w:color="auto"/>
          <w:left w:val="single" w:sz="4" w:space="4" w:color="auto"/>
          <w:bottom w:val="single" w:sz="4" w:space="1" w:color="auto"/>
          <w:right w:val="single" w:sz="4" w:space="4" w:color="auto"/>
        </w:pBdr>
        <w:spacing w:after="240" w:line="240" w:lineRule="auto"/>
        <w:ind w:left="480" w:hanging="480"/>
        <w:jc w:val="both"/>
        <w:rPr>
          <w:rFonts w:ascii="Times New Roman" w:hAnsi="Times New Roman" w:cs="Times New Roman"/>
          <w:noProof/>
          <w:sz w:val="24"/>
          <w:szCs w:val="24"/>
        </w:rPr>
      </w:pPr>
      <w:r>
        <w:rPr>
          <w:rFonts w:ascii="Times New Roman" w:hAnsi="Times New Roman"/>
          <w:noProof/>
          <w:sz w:val="24"/>
          <w:szCs w:val="24"/>
        </w:rPr>
        <w:t>W latach 2022–2023,</w:t>
      </w:r>
      <w:r w:rsidR="00525C12">
        <w:rPr>
          <w:rFonts w:ascii="Times New Roman" w:hAnsi="Times New Roman"/>
          <w:noProof/>
          <w:sz w:val="24"/>
          <w:szCs w:val="24"/>
        </w:rPr>
        <w:t xml:space="preserve"> w cel</w:t>
      </w:r>
      <w:r>
        <w:rPr>
          <w:rFonts w:ascii="Times New Roman" w:hAnsi="Times New Roman"/>
          <w:noProof/>
          <w:sz w:val="24"/>
          <w:szCs w:val="24"/>
        </w:rPr>
        <w:t>u uzupełnienia istniejących już systemów, HERA opracuje najnowocześniejszy system informatyczny umożliwiający uzyskiwanie użytecznych informacji na potrzeby podejmowania decyzji dotyczących medycznych środków przeciwdziałania zarówno</w:t>
      </w:r>
      <w:r w:rsidR="00525C12">
        <w:rPr>
          <w:rFonts w:ascii="Times New Roman" w:hAnsi="Times New Roman"/>
          <w:noProof/>
          <w:sz w:val="24"/>
          <w:szCs w:val="24"/>
        </w:rPr>
        <w:t xml:space="preserve"> w faz</w:t>
      </w:r>
      <w:r>
        <w:rPr>
          <w:rFonts w:ascii="Times New Roman" w:hAnsi="Times New Roman"/>
          <w:noProof/>
          <w:sz w:val="24"/>
          <w:szCs w:val="24"/>
        </w:rPr>
        <w:t>ie gotowości, jak</w:t>
      </w:r>
      <w:r w:rsidR="00525C12">
        <w:rPr>
          <w:rFonts w:ascii="Times New Roman" w:hAnsi="Times New Roman"/>
          <w:noProof/>
          <w:sz w:val="24"/>
          <w:szCs w:val="24"/>
        </w:rPr>
        <w:t xml:space="preserve"> i w faz</w:t>
      </w:r>
      <w:r>
        <w:rPr>
          <w:rFonts w:ascii="Times New Roman" w:hAnsi="Times New Roman"/>
          <w:noProof/>
          <w:sz w:val="24"/>
          <w:szCs w:val="24"/>
        </w:rPr>
        <w:t>ie kryzysu</w:t>
      </w:r>
      <w:r w:rsidRPr="00525C12">
        <w:rPr>
          <w:rFonts w:ascii="Times New Roman" w:hAnsi="Times New Roman"/>
          <w:noProof/>
          <w:sz w:val="24"/>
          <w:szCs w:val="24"/>
        </w:rPr>
        <w:t>.</w:t>
      </w:r>
      <w:r w:rsidR="00525C12" w:rsidRPr="00525C12">
        <w:rPr>
          <w:rFonts w:ascii="Times New Roman" w:hAnsi="Times New Roman"/>
          <w:noProof/>
          <w:sz w:val="24"/>
          <w:szCs w:val="24"/>
        </w:rPr>
        <w:t xml:space="preserve"> </w:t>
      </w:r>
    </w:p>
    <w:p w14:paraId="2CB59D79" w14:textId="56437A73" w:rsidR="006A275D" w:rsidRDefault="006A275D" w:rsidP="003839E1">
      <w:pPr>
        <w:pStyle w:val="ListParagraph"/>
        <w:numPr>
          <w:ilvl w:val="0"/>
          <w:numId w:val="10"/>
        </w:numPr>
        <w:pBdr>
          <w:top w:val="single" w:sz="4" w:space="1" w:color="auto"/>
          <w:left w:val="single" w:sz="4" w:space="4" w:color="auto"/>
          <w:bottom w:val="single" w:sz="4" w:space="1" w:color="auto"/>
          <w:right w:val="single" w:sz="4" w:space="4" w:color="auto"/>
        </w:pBdr>
        <w:spacing w:after="240" w:line="240" w:lineRule="auto"/>
        <w:ind w:left="480" w:hanging="480"/>
        <w:jc w:val="both"/>
        <w:rPr>
          <w:rFonts w:ascii="Times New Roman" w:hAnsi="Times New Roman" w:cs="Times New Roman"/>
          <w:noProof/>
          <w:sz w:val="24"/>
          <w:szCs w:val="24"/>
        </w:rPr>
      </w:pPr>
      <w:r>
        <w:rPr>
          <w:rFonts w:ascii="Times New Roman" w:hAnsi="Times New Roman"/>
          <w:noProof/>
          <w:sz w:val="24"/>
          <w:szCs w:val="24"/>
        </w:rPr>
        <w:t>HERA, we współpracy z ECDC, wzmocni istniejącą sieć laboratoriów ECDC zajmującą się SARS-CoV-2</w:t>
      </w:r>
      <w:r w:rsidR="00525C12">
        <w:rPr>
          <w:rFonts w:ascii="Times New Roman" w:hAnsi="Times New Roman"/>
          <w:noProof/>
          <w:sz w:val="24"/>
          <w:szCs w:val="24"/>
        </w:rPr>
        <w:t xml:space="preserve"> w cel</w:t>
      </w:r>
      <w:r>
        <w:rPr>
          <w:rFonts w:ascii="Times New Roman" w:hAnsi="Times New Roman"/>
          <w:noProof/>
          <w:sz w:val="24"/>
          <w:szCs w:val="24"/>
        </w:rPr>
        <w:t>u prowadzenia badań nad charakterystyką pojawiających się wariantów oraz ich wpływem na skuteczność szczepionek</w:t>
      </w:r>
      <w:r w:rsidR="00525C12">
        <w:rPr>
          <w:rFonts w:ascii="Times New Roman" w:hAnsi="Times New Roman"/>
          <w:noProof/>
          <w:sz w:val="24"/>
          <w:szCs w:val="24"/>
        </w:rPr>
        <w:t xml:space="preserve"> i śro</w:t>
      </w:r>
      <w:r>
        <w:rPr>
          <w:rFonts w:ascii="Times New Roman" w:hAnsi="Times New Roman"/>
          <w:noProof/>
          <w:sz w:val="24"/>
          <w:szCs w:val="24"/>
        </w:rPr>
        <w:t>dków terapeutycznych.</w:t>
      </w:r>
    </w:p>
    <w:p w14:paraId="102843EF" w14:textId="2B7AD803" w:rsidR="006A275D" w:rsidRDefault="006A275D" w:rsidP="003839E1">
      <w:pPr>
        <w:pStyle w:val="ListParagraph"/>
        <w:numPr>
          <w:ilvl w:val="0"/>
          <w:numId w:val="10"/>
        </w:numPr>
        <w:pBdr>
          <w:top w:val="single" w:sz="4" w:space="1" w:color="auto"/>
          <w:left w:val="single" w:sz="4" w:space="4" w:color="auto"/>
          <w:bottom w:val="single" w:sz="4" w:space="1" w:color="auto"/>
          <w:right w:val="single" w:sz="4" w:space="4" w:color="auto"/>
        </w:pBdr>
        <w:spacing w:after="240" w:line="240" w:lineRule="auto"/>
        <w:ind w:left="480" w:hanging="480"/>
        <w:jc w:val="both"/>
        <w:rPr>
          <w:rFonts w:ascii="Times New Roman" w:hAnsi="Times New Roman" w:cs="Times New Roman"/>
          <w:noProof/>
          <w:sz w:val="24"/>
          <w:szCs w:val="24"/>
        </w:rPr>
      </w:pPr>
      <w:r>
        <w:rPr>
          <w:rFonts w:ascii="Times New Roman" w:hAnsi="Times New Roman"/>
          <w:noProof/>
          <w:sz w:val="24"/>
          <w:szCs w:val="24"/>
        </w:rPr>
        <w:t>HERA, we współpracy z ECDC</w:t>
      </w:r>
      <w:r w:rsidR="00525C12">
        <w:rPr>
          <w:rFonts w:ascii="Times New Roman" w:hAnsi="Times New Roman"/>
          <w:noProof/>
          <w:sz w:val="24"/>
          <w:szCs w:val="24"/>
        </w:rPr>
        <w:t xml:space="preserve"> i par</w:t>
      </w:r>
      <w:r>
        <w:rPr>
          <w:rFonts w:ascii="Times New Roman" w:hAnsi="Times New Roman"/>
          <w:noProof/>
          <w:sz w:val="24"/>
          <w:szCs w:val="24"/>
        </w:rPr>
        <w:t>tnerami międzynarodowymi, określi zagrożenia</w:t>
      </w:r>
      <w:r w:rsidR="00525C12">
        <w:rPr>
          <w:rFonts w:ascii="Times New Roman" w:hAnsi="Times New Roman"/>
          <w:noProof/>
          <w:sz w:val="24"/>
          <w:szCs w:val="24"/>
        </w:rPr>
        <w:t xml:space="preserve"> o duż</w:t>
      </w:r>
      <w:r>
        <w:rPr>
          <w:rFonts w:ascii="Times New Roman" w:hAnsi="Times New Roman"/>
          <w:noProof/>
          <w:sz w:val="24"/>
          <w:szCs w:val="24"/>
        </w:rPr>
        <w:t>ym wpływie</w:t>
      </w:r>
      <w:r w:rsidR="00525C12">
        <w:rPr>
          <w:rFonts w:ascii="Times New Roman" w:hAnsi="Times New Roman"/>
          <w:noProof/>
          <w:sz w:val="24"/>
          <w:szCs w:val="24"/>
        </w:rPr>
        <w:t xml:space="preserve"> i zaj</w:t>
      </w:r>
      <w:r>
        <w:rPr>
          <w:rFonts w:ascii="Times New Roman" w:hAnsi="Times New Roman"/>
          <w:noProof/>
          <w:sz w:val="24"/>
          <w:szCs w:val="24"/>
        </w:rPr>
        <w:t>mie się lukami</w:t>
      </w:r>
      <w:r w:rsidR="00525C12">
        <w:rPr>
          <w:rFonts w:ascii="Times New Roman" w:hAnsi="Times New Roman"/>
          <w:noProof/>
          <w:sz w:val="24"/>
          <w:szCs w:val="24"/>
        </w:rPr>
        <w:t xml:space="preserve"> w pod</w:t>
      </w:r>
      <w:r>
        <w:rPr>
          <w:rFonts w:ascii="Times New Roman" w:hAnsi="Times New Roman"/>
          <w:noProof/>
          <w:sz w:val="24"/>
          <w:szCs w:val="24"/>
        </w:rPr>
        <w:t>aży</w:t>
      </w:r>
      <w:r w:rsidR="00525C12">
        <w:rPr>
          <w:rFonts w:ascii="Times New Roman" w:hAnsi="Times New Roman"/>
          <w:noProof/>
          <w:sz w:val="24"/>
          <w:szCs w:val="24"/>
        </w:rPr>
        <w:t xml:space="preserve"> i dos</w:t>
      </w:r>
      <w:r>
        <w:rPr>
          <w:rFonts w:ascii="Times New Roman" w:hAnsi="Times New Roman"/>
          <w:noProof/>
          <w:sz w:val="24"/>
          <w:szCs w:val="24"/>
        </w:rPr>
        <w:t>tępności odpowiednich medycznych środków przeciwdziałania.</w:t>
      </w:r>
    </w:p>
    <w:p w14:paraId="39BABCE9" w14:textId="761856AF" w:rsidR="00C36558" w:rsidRPr="00794281" w:rsidRDefault="00C36558" w:rsidP="003839E1">
      <w:pPr>
        <w:pStyle w:val="ListParagraph"/>
        <w:numPr>
          <w:ilvl w:val="0"/>
          <w:numId w:val="10"/>
        </w:numPr>
        <w:pBdr>
          <w:top w:val="single" w:sz="4" w:space="1" w:color="auto"/>
          <w:left w:val="single" w:sz="4" w:space="4" w:color="auto"/>
          <w:bottom w:val="single" w:sz="4" w:space="1" w:color="auto"/>
          <w:right w:val="single" w:sz="4" w:space="4" w:color="auto"/>
        </w:pBdr>
        <w:spacing w:line="240" w:lineRule="auto"/>
        <w:ind w:left="480" w:hanging="480"/>
        <w:jc w:val="both"/>
        <w:rPr>
          <w:rFonts w:ascii="Times New Roman" w:hAnsi="Times New Roman" w:cs="Times New Roman"/>
          <w:noProof/>
          <w:sz w:val="24"/>
          <w:szCs w:val="24"/>
        </w:rPr>
      </w:pPr>
      <w:bookmarkStart w:id="3" w:name="_Hlk101246925"/>
      <w:r>
        <w:rPr>
          <w:rFonts w:ascii="Times New Roman" w:hAnsi="Times New Roman"/>
          <w:noProof/>
          <w:sz w:val="24"/>
          <w:szCs w:val="24"/>
        </w:rPr>
        <w:t xml:space="preserve">Komisja wesprze państwa członkowskie kwotą </w:t>
      </w:r>
      <w:r w:rsidRPr="00525C12">
        <w:rPr>
          <w:rFonts w:ascii="Times New Roman" w:hAnsi="Times New Roman"/>
          <w:noProof/>
          <w:sz w:val="24"/>
          <w:szCs w:val="24"/>
        </w:rPr>
        <w:t>do</w:t>
      </w:r>
      <w:r w:rsidR="00525C12" w:rsidRPr="00525C12">
        <w:rPr>
          <w:rFonts w:ascii="Times New Roman" w:hAnsi="Times New Roman"/>
          <w:noProof/>
          <w:sz w:val="24"/>
          <w:szCs w:val="24"/>
        </w:rPr>
        <w:t> </w:t>
      </w:r>
      <w:r w:rsidRPr="00525C12">
        <w:rPr>
          <w:rFonts w:ascii="Times New Roman" w:hAnsi="Times New Roman"/>
          <w:noProof/>
          <w:sz w:val="24"/>
          <w:szCs w:val="24"/>
        </w:rPr>
        <w:t>2</w:t>
      </w:r>
      <w:r>
        <w:rPr>
          <w:rFonts w:ascii="Times New Roman" w:hAnsi="Times New Roman"/>
          <w:noProof/>
          <w:sz w:val="24"/>
          <w:szCs w:val="24"/>
        </w:rPr>
        <w:t>0 mln EUR, za pośrednictwem Programu UE dla zdrowia,</w:t>
      </w:r>
      <w:r w:rsidR="00525C12">
        <w:rPr>
          <w:rFonts w:ascii="Times New Roman" w:hAnsi="Times New Roman"/>
          <w:noProof/>
          <w:sz w:val="24"/>
          <w:szCs w:val="24"/>
        </w:rPr>
        <w:t xml:space="preserve"> w two</w:t>
      </w:r>
      <w:r>
        <w:rPr>
          <w:rFonts w:ascii="Times New Roman" w:hAnsi="Times New Roman"/>
          <w:noProof/>
          <w:sz w:val="24"/>
          <w:szCs w:val="24"/>
        </w:rPr>
        <w:t>rzeniu zintegrowanych</w:t>
      </w:r>
      <w:r w:rsidR="00525C12">
        <w:rPr>
          <w:rFonts w:ascii="Times New Roman" w:hAnsi="Times New Roman"/>
          <w:noProof/>
          <w:sz w:val="24"/>
          <w:szCs w:val="24"/>
        </w:rPr>
        <w:t xml:space="preserve"> i sko</w:t>
      </w:r>
      <w:r>
        <w:rPr>
          <w:rFonts w:ascii="Times New Roman" w:hAnsi="Times New Roman"/>
          <w:noProof/>
          <w:sz w:val="24"/>
          <w:szCs w:val="24"/>
        </w:rPr>
        <w:t>ordynowanych systemów nadzoru</w:t>
      </w:r>
      <w:r w:rsidR="00525C12">
        <w:rPr>
          <w:rFonts w:ascii="Times New Roman" w:hAnsi="Times New Roman"/>
          <w:noProof/>
          <w:sz w:val="24"/>
          <w:szCs w:val="24"/>
        </w:rPr>
        <w:t xml:space="preserve"> w ram</w:t>
      </w:r>
      <w:r>
        <w:rPr>
          <w:rFonts w:ascii="Times New Roman" w:hAnsi="Times New Roman"/>
          <w:noProof/>
          <w:sz w:val="24"/>
          <w:szCs w:val="24"/>
        </w:rPr>
        <w:t>ach podejścia „Jedno zdrowie”</w:t>
      </w:r>
      <w:r w:rsidR="00525C12">
        <w:rPr>
          <w:rFonts w:ascii="Times New Roman" w:hAnsi="Times New Roman"/>
          <w:noProof/>
          <w:sz w:val="24"/>
          <w:szCs w:val="24"/>
        </w:rPr>
        <w:t xml:space="preserve"> w odn</w:t>
      </w:r>
      <w:r>
        <w:rPr>
          <w:rFonts w:ascii="Times New Roman" w:hAnsi="Times New Roman"/>
          <w:noProof/>
          <w:sz w:val="24"/>
          <w:szCs w:val="24"/>
        </w:rPr>
        <w:t>iesieniu do patogenów transgranicznych</w:t>
      </w:r>
      <w:bookmarkEnd w:id="3"/>
      <w:r w:rsidR="00C93879">
        <w:rPr>
          <w:rStyle w:val="FootnoteReference"/>
          <w:rFonts w:ascii="Times New Roman" w:hAnsi="Times New Roman" w:cs="Times New Roman"/>
          <w:noProof/>
          <w:sz w:val="24"/>
          <w:szCs w:val="24"/>
          <w:lang w:val="en-IE"/>
        </w:rPr>
        <w:footnoteReference w:id="16"/>
      </w:r>
      <w:r>
        <w:rPr>
          <w:rFonts w:ascii="Times New Roman" w:hAnsi="Times New Roman"/>
          <w:noProof/>
          <w:sz w:val="24"/>
          <w:szCs w:val="24"/>
          <w:shd w:val="clear" w:color="auto" w:fill="FFFFFF"/>
        </w:rPr>
        <w:t>.</w:t>
      </w:r>
    </w:p>
    <w:p w14:paraId="08206988" w14:textId="7C2DDE88" w:rsidR="00AD4DF9" w:rsidRDefault="00AD4DF9" w:rsidP="00852977">
      <w:pPr>
        <w:pStyle w:val="Text1"/>
        <w:keepNext/>
        <w:spacing w:after="120"/>
        <w:ind w:left="0"/>
        <w:rPr>
          <w:b/>
          <w:bCs/>
          <w:i/>
          <w:iCs/>
          <w:noProof/>
        </w:rPr>
      </w:pPr>
      <w:r>
        <w:rPr>
          <w:b/>
          <w:bCs/>
          <w:i/>
          <w:iCs/>
          <w:noProof/>
        </w:rPr>
        <w:t>Badania</w:t>
      </w:r>
      <w:r w:rsidR="00525C12">
        <w:rPr>
          <w:b/>
          <w:bCs/>
          <w:i/>
          <w:iCs/>
          <w:noProof/>
        </w:rPr>
        <w:t xml:space="preserve"> i sek</w:t>
      </w:r>
      <w:r>
        <w:rPr>
          <w:b/>
          <w:bCs/>
          <w:i/>
          <w:iCs/>
          <w:noProof/>
        </w:rPr>
        <w:t>wencjonowanie całogenomowe</w:t>
      </w:r>
    </w:p>
    <w:p w14:paraId="5E7D3B14" w14:textId="05F9E51C" w:rsidR="00AD4DF9" w:rsidRDefault="00121519" w:rsidP="345AED27">
      <w:pPr>
        <w:spacing w:line="240" w:lineRule="auto"/>
        <w:jc w:val="both"/>
        <w:rPr>
          <w:rFonts w:ascii="Times New Roman" w:hAnsi="Times New Roman" w:cs="Times New Roman"/>
          <w:noProof/>
          <w:sz w:val="24"/>
          <w:szCs w:val="24"/>
        </w:rPr>
      </w:pPr>
      <w:r>
        <w:rPr>
          <w:rFonts w:ascii="Times New Roman" w:hAnsi="Times New Roman"/>
          <w:noProof/>
          <w:sz w:val="24"/>
          <w:szCs w:val="24"/>
        </w:rPr>
        <w:t>Należy wprowadzić ukierunkowane badania diagnostyczne. Badania ukierunkowane powinny obejmować</w:t>
      </w:r>
      <w:r w:rsidR="00525C12">
        <w:rPr>
          <w:rFonts w:ascii="Times New Roman" w:hAnsi="Times New Roman"/>
          <w:noProof/>
          <w:sz w:val="24"/>
          <w:szCs w:val="24"/>
        </w:rPr>
        <w:t xml:space="preserve"> w pie</w:t>
      </w:r>
      <w:r>
        <w:rPr>
          <w:rFonts w:ascii="Times New Roman" w:hAnsi="Times New Roman"/>
          <w:noProof/>
          <w:sz w:val="24"/>
          <w:szCs w:val="24"/>
        </w:rPr>
        <w:t>rwszej kolejności np. osoby przebywające</w:t>
      </w:r>
      <w:r w:rsidR="00525C12">
        <w:rPr>
          <w:rFonts w:ascii="Times New Roman" w:hAnsi="Times New Roman"/>
          <w:noProof/>
          <w:sz w:val="24"/>
          <w:szCs w:val="24"/>
        </w:rPr>
        <w:t xml:space="preserve"> w ogn</w:t>
      </w:r>
      <w:r>
        <w:rPr>
          <w:rFonts w:ascii="Times New Roman" w:hAnsi="Times New Roman"/>
          <w:noProof/>
          <w:sz w:val="24"/>
          <w:szCs w:val="24"/>
        </w:rPr>
        <w:t>iskach epidemii, co pozwoli powstrzymywać lub ograniczać rozprzestrzenianie się choroby, osoby zagrożone rozwojem ciężkiego przebiegu COVID-19</w:t>
      </w:r>
      <w:r w:rsidR="00525C12">
        <w:rPr>
          <w:rFonts w:ascii="Times New Roman" w:hAnsi="Times New Roman"/>
          <w:noProof/>
          <w:sz w:val="24"/>
          <w:szCs w:val="24"/>
        </w:rPr>
        <w:t xml:space="preserve"> i wym</w:t>
      </w:r>
      <w:r>
        <w:rPr>
          <w:rFonts w:ascii="Times New Roman" w:hAnsi="Times New Roman"/>
          <w:noProof/>
          <w:sz w:val="24"/>
          <w:szCs w:val="24"/>
        </w:rPr>
        <w:t>agające środków terapeutycznych oraz osoby mające regularny kontakt</w:t>
      </w:r>
      <w:r w:rsidR="00525C12">
        <w:rPr>
          <w:rFonts w:ascii="Times New Roman" w:hAnsi="Times New Roman"/>
          <w:noProof/>
          <w:sz w:val="24"/>
          <w:szCs w:val="24"/>
        </w:rPr>
        <w:t xml:space="preserve"> z oso</w:t>
      </w:r>
      <w:r>
        <w:rPr>
          <w:rFonts w:ascii="Times New Roman" w:hAnsi="Times New Roman"/>
          <w:noProof/>
          <w:sz w:val="24"/>
          <w:szCs w:val="24"/>
        </w:rPr>
        <w:t>bami szczególnie narażonymi na zakażenie, takie jak pracownicy służby zdrowia</w:t>
      </w:r>
      <w:r w:rsidR="00525C12">
        <w:rPr>
          <w:rFonts w:ascii="Times New Roman" w:hAnsi="Times New Roman"/>
          <w:noProof/>
          <w:sz w:val="24"/>
          <w:szCs w:val="24"/>
        </w:rPr>
        <w:t xml:space="preserve"> w pla</w:t>
      </w:r>
      <w:r>
        <w:rPr>
          <w:rFonts w:ascii="Times New Roman" w:hAnsi="Times New Roman"/>
          <w:noProof/>
          <w:sz w:val="24"/>
          <w:szCs w:val="24"/>
        </w:rPr>
        <w:t>cówkach opieki doraźnej</w:t>
      </w:r>
      <w:r w:rsidR="00525C12">
        <w:rPr>
          <w:rFonts w:ascii="Times New Roman" w:hAnsi="Times New Roman"/>
          <w:noProof/>
          <w:sz w:val="24"/>
          <w:szCs w:val="24"/>
        </w:rPr>
        <w:t xml:space="preserve"> i dłu</w:t>
      </w:r>
      <w:r>
        <w:rPr>
          <w:rFonts w:ascii="Times New Roman" w:hAnsi="Times New Roman"/>
          <w:noProof/>
          <w:sz w:val="24"/>
          <w:szCs w:val="24"/>
        </w:rPr>
        <w:t xml:space="preserve">goterminowej. </w:t>
      </w:r>
    </w:p>
    <w:p w14:paraId="055062B5" w14:textId="7271151D" w:rsidR="00C6543B" w:rsidRDefault="00593F9C" w:rsidP="00C6543B">
      <w:pPr>
        <w:spacing w:line="240" w:lineRule="auto"/>
        <w:jc w:val="both"/>
        <w:rPr>
          <w:rFonts w:ascii="Times New Roman" w:hAnsi="Times New Roman" w:cs="Times New Roman"/>
          <w:noProof/>
          <w:sz w:val="24"/>
          <w:szCs w:val="24"/>
        </w:rPr>
      </w:pPr>
      <w:r>
        <w:rPr>
          <w:rFonts w:ascii="Times New Roman" w:hAnsi="Times New Roman"/>
          <w:noProof/>
          <w:sz w:val="24"/>
          <w:szCs w:val="24"/>
        </w:rPr>
        <w:t>Szybkie testy antygenowe są stosowane przez państwa członkowskie jako sposób na dalszą poprawę ogólnej zdolności testowej państw, zwłaszcza</w:t>
      </w:r>
      <w:r w:rsidR="00525C12">
        <w:rPr>
          <w:rFonts w:ascii="Times New Roman" w:hAnsi="Times New Roman"/>
          <w:noProof/>
          <w:sz w:val="24"/>
          <w:szCs w:val="24"/>
        </w:rPr>
        <w:t xml:space="preserve"> w prz</w:t>
      </w:r>
      <w:r>
        <w:rPr>
          <w:rFonts w:ascii="Times New Roman" w:hAnsi="Times New Roman"/>
          <w:noProof/>
          <w:sz w:val="24"/>
          <w:szCs w:val="24"/>
        </w:rPr>
        <w:t>ypadku ograniczonej zdolności do prowadzenia testów metodą PCR lub gdy potrzeby kliniczne wymagają szybszego czasu realizacji testów</w:t>
      </w:r>
      <w:r w:rsidR="00525C12">
        <w:rPr>
          <w:rFonts w:ascii="Times New Roman" w:hAnsi="Times New Roman"/>
          <w:noProof/>
          <w:sz w:val="24"/>
          <w:szCs w:val="24"/>
        </w:rPr>
        <w:t>. W tym</w:t>
      </w:r>
      <w:r>
        <w:rPr>
          <w:rFonts w:ascii="Times New Roman" w:hAnsi="Times New Roman"/>
          <w:noProof/>
          <w:sz w:val="24"/>
          <w:szCs w:val="24"/>
        </w:rPr>
        <w:t xml:space="preserve"> kontekście Komitet ds. Bezpieczeństwa Zdrowia utworzył specjalną techniczną grupę roboczą, której celem jest prowadzenie regularnego przeglądu</w:t>
      </w:r>
      <w:r w:rsidR="00525C12">
        <w:rPr>
          <w:rFonts w:ascii="Times New Roman" w:hAnsi="Times New Roman"/>
          <w:noProof/>
          <w:sz w:val="24"/>
          <w:szCs w:val="24"/>
        </w:rPr>
        <w:t xml:space="preserve"> i akt</w:t>
      </w:r>
      <w:r>
        <w:rPr>
          <w:rFonts w:ascii="Times New Roman" w:hAnsi="Times New Roman"/>
          <w:noProof/>
          <w:sz w:val="24"/>
          <w:szCs w:val="24"/>
        </w:rPr>
        <w:t>ualizowanie wspólnego wykazu szybkich testów antygenowych</w:t>
      </w:r>
      <w:r w:rsidR="00C6543B">
        <w:rPr>
          <w:rStyle w:val="FootnoteReference"/>
          <w:rFonts w:ascii="Times New Roman" w:hAnsi="Times New Roman" w:cs="Times New Roman"/>
          <w:noProof/>
          <w:sz w:val="24"/>
          <w:szCs w:val="24"/>
        </w:rPr>
        <w:footnoteReference w:id="17"/>
      </w:r>
      <w:r>
        <w:rPr>
          <w:rFonts w:ascii="Times New Roman" w:hAnsi="Times New Roman"/>
          <w:noProof/>
          <w:sz w:val="24"/>
          <w:szCs w:val="24"/>
        </w:rPr>
        <w:t xml:space="preserve"> spełniających konkretne kryteria wydajności pod względem wykrywania SARS-CoV-2. </w:t>
      </w:r>
    </w:p>
    <w:p w14:paraId="05E2F043" w14:textId="77777777" w:rsidR="00AD4DF9" w:rsidRPr="00AD4DF9" w:rsidRDefault="00AD4DF9" w:rsidP="00AD4DF9">
      <w:pPr>
        <w:pBdr>
          <w:top w:val="single" w:sz="4" w:space="1" w:color="auto"/>
          <w:left w:val="single" w:sz="4" w:space="4" w:color="auto"/>
          <w:bottom w:val="single" w:sz="4" w:space="1" w:color="auto"/>
          <w:right w:val="single" w:sz="4" w:space="4" w:color="auto"/>
        </w:pBdr>
        <w:spacing w:before="360" w:line="240" w:lineRule="auto"/>
        <w:jc w:val="center"/>
        <w:rPr>
          <w:rFonts w:ascii="Times New Roman" w:hAnsi="Times New Roman" w:cs="Times New Roman"/>
          <w:b/>
          <w:noProof/>
          <w:sz w:val="24"/>
          <w:szCs w:val="24"/>
        </w:rPr>
      </w:pPr>
      <w:r>
        <w:rPr>
          <w:rFonts w:ascii="Times New Roman" w:hAnsi="Times New Roman"/>
          <w:b/>
          <w:noProof/>
          <w:sz w:val="24"/>
          <w:szCs w:val="24"/>
        </w:rPr>
        <w:t>KLUCZOWE DZIAŁANIA DO PODJĘCIA PRZEZ PAŃSTWA CZŁONKOWSKIE</w:t>
      </w:r>
    </w:p>
    <w:p w14:paraId="6E27F41B" w14:textId="55E2C04A" w:rsidR="0088568E" w:rsidRPr="0088568E" w:rsidRDefault="002E1A09" w:rsidP="20C88EBE">
      <w:pPr>
        <w:pStyle w:val="ListParagraph"/>
        <w:numPr>
          <w:ilvl w:val="0"/>
          <w:numId w:val="10"/>
        </w:numPr>
        <w:pBdr>
          <w:top w:val="single" w:sz="4" w:space="1" w:color="auto"/>
          <w:left w:val="single" w:sz="4" w:space="4" w:color="auto"/>
          <w:bottom w:val="single" w:sz="4" w:space="1" w:color="auto"/>
          <w:right w:val="single" w:sz="4" w:space="4" w:color="auto"/>
        </w:pBdr>
        <w:spacing w:line="240" w:lineRule="auto"/>
        <w:ind w:left="480" w:hanging="480"/>
        <w:jc w:val="both"/>
        <w:rPr>
          <w:rFonts w:eastAsiaTheme="minorEastAsia"/>
          <w:noProof/>
          <w:sz w:val="24"/>
          <w:szCs w:val="24"/>
        </w:rPr>
      </w:pPr>
      <w:r>
        <w:rPr>
          <w:rFonts w:ascii="Times New Roman" w:hAnsi="Times New Roman"/>
          <w:noProof/>
          <w:sz w:val="24"/>
          <w:szCs w:val="24"/>
        </w:rPr>
        <w:t>Zapewnienie wystarczających zdolności</w:t>
      </w:r>
      <w:r w:rsidR="00525C12">
        <w:rPr>
          <w:rFonts w:ascii="Times New Roman" w:hAnsi="Times New Roman"/>
          <w:noProof/>
          <w:sz w:val="24"/>
          <w:szCs w:val="24"/>
        </w:rPr>
        <w:t xml:space="preserve"> w zak</w:t>
      </w:r>
      <w:r>
        <w:rPr>
          <w:rFonts w:ascii="Times New Roman" w:hAnsi="Times New Roman"/>
          <w:noProof/>
          <w:sz w:val="24"/>
          <w:szCs w:val="24"/>
        </w:rPr>
        <w:t>resie przeprowadzania testów</w:t>
      </w:r>
      <w:r w:rsidR="00525C12">
        <w:rPr>
          <w:rFonts w:ascii="Times New Roman" w:hAnsi="Times New Roman"/>
          <w:noProof/>
          <w:sz w:val="24"/>
          <w:szCs w:val="24"/>
        </w:rPr>
        <w:t xml:space="preserve"> i ust</w:t>
      </w:r>
      <w:r>
        <w:rPr>
          <w:rFonts w:ascii="Times New Roman" w:hAnsi="Times New Roman"/>
          <w:noProof/>
          <w:sz w:val="24"/>
          <w:szCs w:val="24"/>
        </w:rPr>
        <w:t>alania kontaktów zakaźnych oraz</w:t>
      </w:r>
      <w:r w:rsidR="00525C12">
        <w:rPr>
          <w:rFonts w:ascii="Times New Roman" w:hAnsi="Times New Roman"/>
          <w:noProof/>
          <w:sz w:val="24"/>
          <w:szCs w:val="24"/>
        </w:rPr>
        <w:t xml:space="preserve"> w raz</w:t>
      </w:r>
      <w:r>
        <w:rPr>
          <w:rFonts w:ascii="Times New Roman" w:hAnsi="Times New Roman"/>
          <w:noProof/>
          <w:sz w:val="24"/>
          <w:szCs w:val="24"/>
        </w:rPr>
        <w:t xml:space="preserve">ie potrzeby planowanie zwiększenia skali krajowych strategii testowania. </w:t>
      </w:r>
    </w:p>
    <w:p w14:paraId="0DCCB1BD" w14:textId="76C9D048" w:rsidR="00AD4DF9" w:rsidRDefault="00AD4DF9" w:rsidP="20C88EBE">
      <w:pPr>
        <w:pStyle w:val="ListParagraph"/>
        <w:numPr>
          <w:ilvl w:val="0"/>
          <w:numId w:val="10"/>
        </w:numPr>
        <w:pBdr>
          <w:top w:val="single" w:sz="4" w:space="1" w:color="auto"/>
          <w:left w:val="single" w:sz="4" w:space="4" w:color="auto"/>
          <w:bottom w:val="single" w:sz="4" w:space="1" w:color="auto"/>
          <w:right w:val="single" w:sz="4" w:space="4" w:color="auto"/>
        </w:pBdr>
        <w:spacing w:line="240" w:lineRule="auto"/>
        <w:ind w:left="480" w:hanging="480"/>
        <w:jc w:val="both"/>
        <w:rPr>
          <w:rFonts w:eastAsiaTheme="minorEastAsia"/>
          <w:noProof/>
          <w:sz w:val="24"/>
          <w:szCs w:val="24"/>
        </w:rPr>
      </w:pPr>
      <w:r>
        <w:rPr>
          <w:rFonts w:ascii="Times New Roman" w:hAnsi="Times New Roman"/>
          <w:noProof/>
          <w:sz w:val="24"/>
          <w:szCs w:val="24"/>
        </w:rPr>
        <w:t>Zapewnienie gotowości do szybkiego reagowania</w:t>
      </w:r>
      <w:r w:rsidR="00525C12">
        <w:rPr>
          <w:rFonts w:ascii="Times New Roman" w:hAnsi="Times New Roman"/>
          <w:noProof/>
          <w:sz w:val="24"/>
          <w:szCs w:val="24"/>
        </w:rPr>
        <w:t xml:space="preserve"> w prz</w:t>
      </w:r>
      <w:r>
        <w:rPr>
          <w:rFonts w:ascii="Times New Roman" w:hAnsi="Times New Roman"/>
          <w:noProof/>
          <w:sz w:val="24"/>
          <w:szCs w:val="24"/>
        </w:rPr>
        <w:t>ypadku pojawienia się ognisk epidemicznych na poziomie krajowym lub lokalnym</w:t>
      </w:r>
      <w:r w:rsidR="00525C12">
        <w:rPr>
          <w:rFonts w:ascii="Times New Roman" w:hAnsi="Times New Roman"/>
          <w:noProof/>
          <w:sz w:val="24"/>
          <w:szCs w:val="24"/>
        </w:rPr>
        <w:t xml:space="preserve"> w opa</w:t>
      </w:r>
      <w:r>
        <w:rPr>
          <w:rFonts w:ascii="Times New Roman" w:hAnsi="Times New Roman"/>
          <w:noProof/>
          <w:sz w:val="24"/>
          <w:szCs w:val="24"/>
        </w:rPr>
        <w:t>rciu</w:t>
      </w:r>
      <w:r w:rsidR="00525C12">
        <w:rPr>
          <w:rFonts w:ascii="Times New Roman" w:hAnsi="Times New Roman"/>
          <w:noProof/>
          <w:sz w:val="24"/>
          <w:szCs w:val="24"/>
        </w:rPr>
        <w:t xml:space="preserve"> o dzi</w:t>
      </w:r>
      <w:r>
        <w:rPr>
          <w:rFonts w:ascii="Times New Roman" w:hAnsi="Times New Roman"/>
          <w:noProof/>
          <w:sz w:val="24"/>
          <w:szCs w:val="24"/>
        </w:rPr>
        <w:t>ałania polityczne typu „barometr”</w:t>
      </w:r>
      <w:r w:rsidR="00403A11">
        <w:rPr>
          <w:rStyle w:val="FootnoteReference"/>
          <w:rFonts w:ascii="Times New Roman" w:hAnsi="Times New Roman" w:cs="Times New Roman"/>
          <w:noProof/>
          <w:sz w:val="24"/>
          <w:szCs w:val="24"/>
        </w:rPr>
        <w:footnoteReference w:id="18"/>
      </w:r>
      <w:r>
        <w:rPr>
          <w:rFonts w:ascii="Times New Roman" w:hAnsi="Times New Roman"/>
          <w:noProof/>
          <w:sz w:val="24"/>
          <w:szCs w:val="24"/>
        </w:rPr>
        <w:t>.</w:t>
      </w:r>
    </w:p>
    <w:p w14:paraId="00CB51F1" w14:textId="1B244105" w:rsidR="00AD4DF9" w:rsidRDefault="00B8193D" w:rsidP="003839E1">
      <w:pPr>
        <w:pStyle w:val="ListParagraph"/>
        <w:numPr>
          <w:ilvl w:val="0"/>
          <w:numId w:val="10"/>
        </w:numPr>
        <w:pBdr>
          <w:top w:val="single" w:sz="4" w:space="1" w:color="auto"/>
          <w:left w:val="single" w:sz="4" w:space="4" w:color="auto"/>
          <w:bottom w:val="single" w:sz="4" w:space="1" w:color="auto"/>
          <w:right w:val="single" w:sz="4" w:space="4" w:color="auto"/>
        </w:pBdr>
        <w:spacing w:line="240" w:lineRule="auto"/>
        <w:ind w:left="480" w:hanging="480"/>
        <w:jc w:val="both"/>
        <w:rPr>
          <w:rFonts w:ascii="Times New Roman" w:hAnsi="Times New Roman" w:cs="Times New Roman"/>
          <w:noProof/>
          <w:sz w:val="24"/>
          <w:szCs w:val="24"/>
        </w:rPr>
      </w:pPr>
      <w:r>
        <w:rPr>
          <w:rFonts w:ascii="Times New Roman" w:hAnsi="Times New Roman"/>
          <w:noProof/>
          <w:sz w:val="24"/>
          <w:szCs w:val="24"/>
        </w:rPr>
        <w:t>Dalsze budowanie zdolności służb laboratoryjnych zajmujących się sekwencjonowaniem</w:t>
      </w:r>
      <w:r w:rsidR="00525C12">
        <w:rPr>
          <w:rFonts w:ascii="Times New Roman" w:hAnsi="Times New Roman"/>
          <w:noProof/>
          <w:sz w:val="24"/>
          <w:szCs w:val="24"/>
        </w:rPr>
        <w:t xml:space="preserve"> i cha</w:t>
      </w:r>
      <w:r>
        <w:rPr>
          <w:rFonts w:ascii="Times New Roman" w:hAnsi="Times New Roman"/>
          <w:noProof/>
          <w:sz w:val="24"/>
          <w:szCs w:val="24"/>
        </w:rPr>
        <w:t>rakterystyką wirusa,</w:t>
      </w:r>
      <w:r w:rsidR="00525C12">
        <w:rPr>
          <w:rFonts w:ascii="Times New Roman" w:hAnsi="Times New Roman"/>
          <w:noProof/>
          <w:sz w:val="24"/>
          <w:szCs w:val="24"/>
        </w:rPr>
        <w:t xml:space="preserve"> w tym</w:t>
      </w:r>
      <w:r>
        <w:rPr>
          <w:rFonts w:ascii="Times New Roman" w:hAnsi="Times New Roman"/>
          <w:noProof/>
          <w:sz w:val="24"/>
          <w:szCs w:val="24"/>
        </w:rPr>
        <w:t xml:space="preserve"> zgłaszanie danych</w:t>
      </w:r>
      <w:r w:rsidR="00525C12">
        <w:rPr>
          <w:rFonts w:ascii="Times New Roman" w:hAnsi="Times New Roman"/>
          <w:noProof/>
          <w:sz w:val="24"/>
          <w:szCs w:val="24"/>
        </w:rPr>
        <w:t xml:space="preserve"> z uży</w:t>
      </w:r>
      <w:r>
        <w:rPr>
          <w:rFonts w:ascii="Times New Roman" w:hAnsi="Times New Roman"/>
          <w:noProof/>
          <w:sz w:val="24"/>
          <w:szCs w:val="24"/>
        </w:rPr>
        <w:t>ciem platform otwartego dostępu, oraz zapewnienie nieprzerwanego nadzoru wirologicznego.</w:t>
      </w:r>
    </w:p>
    <w:p w14:paraId="13133975" w14:textId="262A1444" w:rsidR="00591A06" w:rsidRDefault="00B8193D" w:rsidP="00E313E8">
      <w:pPr>
        <w:pStyle w:val="ListParagraph"/>
        <w:numPr>
          <w:ilvl w:val="0"/>
          <w:numId w:val="10"/>
        </w:numPr>
        <w:pBdr>
          <w:top w:val="single" w:sz="4" w:space="1" w:color="auto"/>
          <w:left w:val="single" w:sz="4" w:space="4" w:color="auto"/>
          <w:bottom w:val="single" w:sz="4" w:space="1" w:color="auto"/>
          <w:right w:val="single" w:sz="4" w:space="4" w:color="auto"/>
        </w:pBdr>
        <w:spacing w:line="240" w:lineRule="auto"/>
        <w:ind w:left="480" w:hanging="480"/>
        <w:jc w:val="both"/>
        <w:rPr>
          <w:rFonts w:ascii="Times New Roman" w:hAnsi="Times New Roman" w:cs="Times New Roman"/>
          <w:noProof/>
          <w:sz w:val="24"/>
          <w:szCs w:val="24"/>
        </w:rPr>
      </w:pPr>
      <w:r>
        <w:rPr>
          <w:rFonts w:ascii="Times New Roman" w:hAnsi="Times New Roman"/>
          <w:noProof/>
          <w:sz w:val="24"/>
          <w:szCs w:val="24"/>
        </w:rPr>
        <w:t>Przeprowadzanie okresowych przeglądów laboratoryjnych norm bezpieczeństwa na podstawie wniosków</w:t>
      </w:r>
      <w:r w:rsidR="00525C12">
        <w:rPr>
          <w:rFonts w:ascii="Times New Roman" w:hAnsi="Times New Roman"/>
          <w:noProof/>
          <w:sz w:val="24"/>
          <w:szCs w:val="24"/>
        </w:rPr>
        <w:t xml:space="preserve"> z doś</w:t>
      </w:r>
      <w:r>
        <w:rPr>
          <w:rFonts w:ascii="Times New Roman" w:hAnsi="Times New Roman"/>
          <w:noProof/>
          <w:sz w:val="24"/>
          <w:szCs w:val="24"/>
        </w:rPr>
        <w:t>wiadczeń</w:t>
      </w:r>
      <w:r w:rsidR="00525C12">
        <w:rPr>
          <w:rFonts w:ascii="Times New Roman" w:hAnsi="Times New Roman"/>
          <w:noProof/>
          <w:sz w:val="24"/>
          <w:szCs w:val="24"/>
        </w:rPr>
        <w:t xml:space="preserve"> w zak</w:t>
      </w:r>
      <w:r>
        <w:rPr>
          <w:rFonts w:ascii="Times New Roman" w:hAnsi="Times New Roman"/>
          <w:noProof/>
          <w:sz w:val="24"/>
          <w:szCs w:val="24"/>
        </w:rPr>
        <w:t>resie COVID-19</w:t>
      </w:r>
      <w:r w:rsidR="00525C12">
        <w:rPr>
          <w:rFonts w:ascii="Times New Roman" w:hAnsi="Times New Roman"/>
          <w:noProof/>
          <w:sz w:val="24"/>
          <w:szCs w:val="24"/>
        </w:rPr>
        <w:t xml:space="preserve"> i wyk</w:t>
      </w:r>
      <w:r>
        <w:rPr>
          <w:rFonts w:ascii="Times New Roman" w:hAnsi="Times New Roman"/>
          <w:noProof/>
          <w:sz w:val="24"/>
          <w:szCs w:val="24"/>
        </w:rPr>
        <w:t>orzystywanie uzyskanych</w:t>
      </w:r>
      <w:r w:rsidR="00525C12">
        <w:rPr>
          <w:rFonts w:ascii="Times New Roman" w:hAnsi="Times New Roman"/>
          <w:noProof/>
          <w:sz w:val="24"/>
          <w:szCs w:val="24"/>
        </w:rPr>
        <w:t xml:space="preserve"> w ten</w:t>
      </w:r>
      <w:r>
        <w:rPr>
          <w:rFonts w:ascii="Times New Roman" w:hAnsi="Times New Roman"/>
          <w:noProof/>
          <w:sz w:val="24"/>
          <w:szCs w:val="24"/>
        </w:rPr>
        <w:t xml:space="preserve"> sposób informacji do wprowadzania niezbędnych zmian oraz wzmocnienie norm bezpieczeństwa biologicznego.</w:t>
      </w:r>
    </w:p>
    <w:p w14:paraId="4853C5D4" w14:textId="718FAD70" w:rsidR="00FA6F3C" w:rsidRPr="00A90ECA" w:rsidRDefault="00FA6F3C" w:rsidP="00FA6F3C">
      <w:pPr>
        <w:pStyle w:val="ListParagraph"/>
        <w:numPr>
          <w:ilvl w:val="0"/>
          <w:numId w:val="10"/>
        </w:numPr>
        <w:pBdr>
          <w:top w:val="single" w:sz="4" w:space="1" w:color="auto"/>
          <w:left w:val="single" w:sz="4" w:space="4" w:color="auto"/>
          <w:bottom w:val="single" w:sz="4" w:space="1" w:color="auto"/>
          <w:right w:val="single" w:sz="4" w:space="4" w:color="auto"/>
        </w:pBdr>
        <w:spacing w:line="240" w:lineRule="auto"/>
        <w:ind w:left="480" w:hanging="480"/>
        <w:jc w:val="both"/>
        <w:rPr>
          <w:rFonts w:ascii="Times New Roman" w:hAnsi="Times New Roman" w:cs="Times New Roman"/>
          <w:noProof/>
          <w:sz w:val="24"/>
          <w:szCs w:val="24"/>
        </w:rPr>
      </w:pPr>
      <w:r>
        <w:rPr>
          <w:rFonts w:ascii="Times New Roman" w:hAnsi="Times New Roman"/>
          <w:noProof/>
          <w:sz w:val="24"/>
          <w:szCs w:val="24"/>
        </w:rPr>
        <w:t>Dalsze strategiczne przeprowadzanie testów</w:t>
      </w:r>
      <w:r w:rsidR="00525C12">
        <w:rPr>
          <w:rFonts w:ascii="Times New Roman" w:hAnsi="Times New Roman"/>
          <w:noProof/>
          <w:sz w:val="24"/>
          <w:szCs w:val="24"/>
        </w:rPr>
        <w:t xml:space="preserve"> w zwi</w:t>
      </w:r>
      <w:r>
        <w:rPr>
          <w:rFonts w:ascii="Times New Roman" w:hAnsi="Times New Roman"/>
          <w:noProof/>
          <w:sz w:val="24"/>
          <w:szCs w:val="24"/>
        </w:rPr>
        <w:t>ązku</w:t>
      </w:r>
      <w:r w:rsidR="00525C12">
        <w:rPr>
          <w:rFonts w:ascii="Times New Roman" w:hAnsi="Times New Roman"/>
          <w:noProof/>
          <w:sz w:val="24"/>
          <w:szCs w:val="24"/>
        </w:rPr>
        <w:t xml:space="preserve"> z rep</w:t>
      </w:r>
      <w:r>
        <w:rPr>
          <w:rFonts w:ascii="Times New Roman" w:hAnsi="Times New Roman"/>
          <w:noProof/>
          <w:sz w:val="24"/>
          <w:szCs w:val="24"/>
        </w:rPr>
        <w:t>rezentatywnym</w:t>
      </w:r>
      <w:r w:rsidR="00525C12">
        <w:rPr>
          <w:rFonts w:ascii="Times New Roman" w:hAnsi="Times New Roman"/>
          <w:noProof/>
          <w:sz w:val="24"/>
          <w:szCs w:val="24"/>
        </w:rPr>
        <w:t xml:space="preserve"> i uki</w:t>
      </w:r>
      <w:r>
        <w:rPr>
          <w:rFonts w:ascii="Times New Roman" w:hAnsi="Times New Roman"/>
          <w:noProof/>
          <w:sz w:val="24"/>
          <w:szCs w:val="24"/>
        </w:rPr>
        <w:t>erunkowanym sekwencjonowaniem genomu (według wytycznych ECDC</w:t>
      </w:r>
      <w:r>
        <w:rPr>
          <w:rStyle w:val="FootnoteReference"/>
          <w:rFonts w:ascii="Times New Roman" w:hAnsi="Times New Roman" w:cs="Times New Roman"/>
          <w:noProof/>
          <w:sz w:val="24"/>
          <w:szCs w:val="24"/>
        </w:rPr>
        <w:footnoteReference w:id="19"/>
      </w:r>
      <w:r>
        <w:rPr>
          <w:rFonts w:ascii="Times New Roman" w:hAnsi="Times New Roman"/>
          <w:noProof/>
          <w:sz w:val="24"/>
          <w:szCs w:val="24"/>
        </w:rPr>
        <w:t>), co daje możliwość monitorowania pojawiania się</w:t>
      </w:r>
      <w:r w:rsidR="00525C12">
        <w:rPr>
          <w:rFonts w:ascii="Times New Roman" w:hAnsi="Times New Roman"/>
          <w:noProof/>
          <w:sz w:val="24"/>
          <w:szCs w:val="24"/>
        </w:rPr>
        <w:t xml:space="preserve"> i roz</w:t>
      </w:r>
      <w:r>
        <w:rPr>
          <w:rFonts w:ascii="Times New Roman" w:hAnsi="Times New Roman"/>
          <w:noProof/>
          <w:sz w:val="24"/>
          <w:szCs w:val="24"/>
        </w:rPr>
        <w:t>przestrzeniania wariantów.</w:t>
      </w:r>
    </w:p>
    <w:p w14:paraId="6AB54FA6" w14:textId="42EC7FB5" w:rsidR="00FA6F3C" w:rsidRDefault="004B43A0" w:rsidP="00A90ECA">
      <w:pPr>
        <w:pStyle w:val="Text1"/>
        <w:numPr>
          <w:ilvl w:val="0"/>
          <w:numId w:val="11"/>
        </w:numPr>
        <w:spacing w:after="200"/>
        <w:rPr>
          <w:b/>
          <w:i/>
          <w:noProof/>
          <w:szCs w:val="24"/>
        </w:rPr>
      </w:pPr>
      <w:r>
        <w:rPr>
          <w:b/>
          <w:i/>
          <w:noProof/>
          <w:szCs w:val="24"/>
        </w:rPr>
        <w:t>Środki</w:t>
      </w:r>
      <w:r w:rsidR="00525C12">
        <w:rPr>
          <w:b/>
          <w:i/>
          <w:noProof/>
          <w:szCs w:val="24"/>
        </w:rPr>
        <w:t xml:space="preserve"> w zak</w:t>
      </w:r>
      <w:r>
        <w:rPr>
          <w:b/>
          <w:i/>
          <w:noProof/>
          <w:szCs w:val="24"/>
        </w:rPr>
        <w:t>resie gotowości</w:t>
      </w:r>
      <w:r w:rsidR="00525C12">
        <w:rPr>
          <w:b/>
          <w:i/>
          <w:noProof/>
          <w:szCs w:val="24"/>
        </w:rPr>
        <w:t xml:space="preserve"> i rea</w:t>
      </w:r>
      <w:r>
        <w:rPr>
          <w:b/>
          <w:i/>
          <w:noProof/>
          <w:szCs w:val="24"/>
        </w:rPr>
        <w:t>gowania</w:t>
      </w:r>
      <w:r w:rsidR="00525C12">
        <w:rPr>
          <w:b/>
          <w:i/>
          <w:noProof/>
          <w:szCs w:val="24"/>
        </w:rPr>
        <w:t xml:space="preserve"> w dzi</w:t>
      </w:r>
      <w:r>
        <w:rPr>
          <w:b/>
          <w:i/>
          <w:noProof/>
          <w:szCs w:val="24"/>
        </w:rPr>
        <w:t xml:space="preserve">edzinie zdrowia publicznego </w:t>
      </w:r>
    </w:p>
    <w:p w14:paraId="75227A12" w14:textId="77777777" w:rsidR="00A90ECA" w:rsidRPr="00A90ECA" w:rsidRDefault="00A90ECA" w:rsidP="00AD4DF9">
      <w:pPr>
        <w:spacing w:line="240" w:lineRule="auto"/>
        <w:jc w:val="both"/>
        <w:rPr>
          <w:rFonts w:ascii="Times New Roman" w:hAnsi="Times New Roman" w:cs="Times New Roman"/>
          <w:b/>
          <w:i/>
          <w:noProof/>
          <w:sz w:val="24"/>
          <w:szCs w:val="24"/>
        </w:rPr>
      </w:pPr>
      <w:r>
        <w:rPr>
          <w:rFonts w:ascii="Times New Roman" w:hAnsi="Times New Roman"/>
          <w:b/>
          <w:i/>
          <w:noProof/>
          <w:sz w:val="24"/>
          <w:szCs w:val="24"/>
        </w:rPr>
        <w:t>Planowanie gotowości</w:t>
      </w:r>
    </w:p>
    <w:p w14:paraId="282D3B8B" w14:textId="45062574" w:rsidR="00283759" w:rsidRDefault="004F4966" w:rsidP="00AD4DF9">
      <w:pPr>
        <w:spacing w:line="240" w:lineRule="auto"/>
        <w:jc w:val="both"/>
        <w:rPr>
          <w:rFonts w:ascii="Times New Roman" w:hAnsi="Times New Roman" w:cs="Times New Roman"/>
          <w:noProof/>
          <w:sz w:val="24"/>
          <w:szCs w:val="24"/>
        </w:rPr>
      </w:pPr>
      <w:r>
        <w:rPr>
          <w:rFonts w:ascii="Times New Roman" w:hAnsi="Times New Roman"/>
          <w:noProof/>
          <w:sz w:val="24"/>
          <w:szCs w:val="24"/>
        </w:rPr>
        <w:t>Z dowodów wynika, że pozafarmaceutyczne środki przeciwdziałania, takie jak noszenie masek, wentylacja</w:t>
      </w:r>
      <w:r w:rsidR="00525C12">
        <w:rPr>
          <w:rFonts w:ascii="Times New Roman" w:hAnsi="Times New Roman"/>
          <w:noProof/>
          <w:sz w:val="24"/>
          <w:szCs w:val="24"/>
        </w:rPr>
        <w:t xml:space="preserve"> i utr</w:t>
      </w:r>
      <w:r>
        <w:rPr>
          <w:rFonts w:ascii="Times New Roman" w:hAnsi="Times New Roman"/>
          <w:noProof/>
          <w:sz w:val="24"/>
          <w:szCs w:val="24"/>
        </w:rPr>
        <w:t xml:space="preserve">zymywanie dystansu fizycznego, skutecznie spowalniają rozprzestrzenianie się </w:t>
      </w:r>
      <w:r>
        <w:rPr>
          <w:rFonts w:ascii="Times New Roman" w:hAnsi="Times New Roman"/>
          <w:noProof/>
          <w:color w:val="000000" w:themeColor="text1"/>
          <w:sz w:val="24"/>
          <w:szCs w:val="24"/>
        </w:rPr>
        <w:t>COVID-19,</w:t>
      </w:r>
      <w:r>
        <w:rPr>
          <w:rFonts w:ascii="Times New Roman" w:hAnsi="Times New Roman"/>
          <w:noProof/>
          <w:sz w:val="24"/>
          <w:szCs w:val="24"/>
        </w:rPr>
        <w:t xml:space="preserve"> jeżeli są wprowadzane na wczesnym etapie</w:t>
      </w:r>
      <w:r w:rsidR="00525C12">
        <w:rPr>
          <w:rFonts w:ascii="Times New Roman" w:hAnsi="Times New Roman"/>
          <w:noProof/>
          <w:sz w:val="24"/>
          <w:szCs w:val="24"/>
        </w:rPr>
        <w:t xml:space="preserve"> i w spo</w:t>
      </w:r>
      <w:r>
        <w:rPr>
          <w:rFonts w:ascii="Times New Roman" w:hAnsi="Times New Roman"/>
          <w:noProof/>
          <w:sz w:val="24"/>
          <w:szCs w:val="24"/>
        </w:rPr>
        <w:t>sób kompleksowy oraz jeżeli zyskują akceptację społeczną. Państwa członkowskie powinny wprowadzić plany służące szybkiemu</w:t>
      </w:r>
      <w:r w:rsidR="00525C12">
        <w:rPr>
          <w:rFonts w:ascii="Times New Roman" w:hAnsi="Times New Roman"/>
          <w:noProof/>
          <w:sz w:val="24"/>
          <w:szCs w:val="24"/>
        </w:rPr>
        <w:t xml:space="preserve"> i sku</w:t>
      </w:r>
      <w:r>
        <w:rPr>
          <w:rFonts w:ascii="Times New Roman" w:hAnsi="Times New Roman"/>
          <w:noProof/>
          <w:sz w:val="24"/>
          <w:szCs w:val="24"/>
        </w:rPr>
        <w:t>tecznemu ponownemu wprowadzeniu takich interwencji, jeżeli wymaga tego sytuacja epidemiologiczna na szczeblu krajowym lub lokalnym,</w:t>
      </w:r>
      <w:r w:rsidR="00525C12">
        <w:rPr>
          <w:rFonts w:ascii="Times New Roman" w:hAnsi="Times New Roman"/>
          <w:noProof/>
          <w:sz w:val="24"/>
          <w:szCs w:val="24"/>
        </w:rPr>
        <w:t xml:space="preserve"> w cel</w:t>
      </w:r>
      <w:r>
        <w:rPr>
          <w:rFonts w:ascii="Times New Roman" w:hAnsi="Times New Roman"/>
          <w:noProof/>
          <w:sz w:val="24"/>
          <w:szCs w:val="24"/>
        </w:rPr>
        <w:t>u ochrony narażonych grup</w:t>
      </w:r>
      <w:r w:rsidR="00525C12">
        <w:rPr>
          <w:rFonts w:ascii="Times New Roman" w:hAnsi="Times New Roman"/>
          <w:noProof/>
          <w:sz w:val="24"/>
          <w:szCs w:val="24"/>
        </w:rPr>
        <w:t xml:space="preserve"> i mie</w:t>
      </w:r>
      <w:r>
        <w:rPr>
          <w:rFonts w:ascii="Times New Roman" w:hAnsi="Times New Roman"/>
          <w:noProof/>
          <w:sz w:val="24"/>
          <w:szCs w:val="24"/>
        </w:rPr>
        <w:t>jsc, takich jak szpitale</w:t>
      </w:r>
      <w:r w:rsidR="00525C12">
        <w:rPr>
          <w:rFonts w:ascii="Times New Roman" w:hAnsi="Times New Roman"/>
          <w:noProof/>
          <w:sz w:val="24"/>
          <w:szCs w:val="24"/>
        </w:rPr>
        <w:t xml:space="preserve"> i zak</w:t>
      </w:r>
      <w:r>
        <w:rPr>
          <w:rFonts w:ascii="Times New Roman" w:hAnsi="Times New Roman"/>
          <w:noProof/>
          <w:sz w:val="24"/>
          <w:szCs w:val="24"/>
        </w:rPr>
        <w:t>łady opieki długoterminowej. Należy wypracować dalsze synergie ze strategiami</w:t>
      </w:r>
      <w:r w:rsidR="00525C12">
        <w:rPr>
          <w:rFonts w:ascii="Times New Roman" w:hAnsi="Times New Roman"/>
          <w:noProof/>
          <w:sz w:val="24"/>
          <w:szCs w:val="24"/>
        </w:rPr>
        <w:t xml:space="preserve"> w zak</w:t>
      </w:r>
      <w:r>
        <w:rPr>
          <w:rFonts w:ascii="Times New Roman" w:hAnsi="Times New Roman"/>
          <w:noProof/>
          <w:sz w:val="24"/>
          <w:szCs w:val="24"/>
        </w:rPr>
        <w:t>resie bezpieczeństwa</w:t>
      </w:r>
      <w:r w:rsidR="00525C12">
        <w:rPr>
          <w:rFonts w:ascii="Times New Roman" w:hAnsi="Times New Roman"/>
          <w:noProof/>
          <w:sz w:val="24"/>
          <w:szCs w:val="24"/>
        </w:rPr>
        <w:t xml:space="preserve"> i hig</w:t>
      </w:r>
      <w:r>
        <w:rPr>
          <w:rFonts w:ascii="Times New Roman" w:hAnsi="Times New Roman"/>
          <w:noProof/>
          <w:sz w:val="24"/>
          <w:szCs w:val="24"/>
        </w:rPr>
        <w:t>ieny pracy, aby chronić pracowników</w:t>
      </w:r>
      <w:r w:rsidR="00525C12">
        <w:rPr>
          <w:rFonts w:ascii="Times New Roman" w:hAnsi="Times New Roman"/>
          <w:noProof/>
          <w:sz w:val="24"/>
          <w:szCs w:val="24"/>
        </w:rPr>
        <w:t xml:space="preserve"> i zap</w:t>
      </w:r>
      <w:r>
        <w:rPr>
          <w:rFonts w:ascii="Times New Roman" w:hAnsi="Times New Roman"/>
          <w:noProof/>
          <w:sz w:val="24"/>
          <w:szCs w:val="24"/>
        </w:rPr>
        <w:t>ewnić ciągłość działania</w:t>
      </w:r>
      <w:r w:rsidR="00CC30AA" w:rsidRPr="00CC30AA">
        <w:rPr>
          <w:rFonts w:ascii="Times New Roman" w:hAnsi="Times New Roman" w:cs="Times New Roman"/>
          <w:noProof/>
          <w:sz w:val="24"/>
          <w:szCs w:val="24"/>
          <w:vertAlign w:val="superscript"/>
        </w:rPr>
        <w:footnoteReference w:id="20"/>
      </w:r>
      <w:r>
        <w:rPr>
          <w:rFonts w:ascii="Times New Roman" w:hAnsi="Times New Roman"/>
          <w:noProof/>
          <w:sz w:val="24"/>
          <w:szCs w:val="24"/>
        </w:rPr>
        <w:t>. Należy również opracować jasne plany zarządzania placówkami edukacyjnymi na wypadek pojawienia się nowego wariantu nie tylko po to, aby dalej ograniczyć przenoszenie zakażenia</w:t>
      </w:r>
      <w:r w:rsidR="00525C12">
        <w:rPr>
          <w:rFonts w:ascii="Times New Roman" w:hAnsi="Times New Roman"/>
          <w:noProof/>
          <w:sz w:val="24"/>
          <w:szCs w:val="24"/>
        </w:rPr>
        <w:t xml:space="preserve"> w mło</w:t>
      </w:r>
      <w:r>
        <w:rPr>
          <w:rFonts w:ascii="Times New Roman" w:hAnsi="Times New Roman"/>
          <w:noProof/>
          <w:sz w:val="24"/>
          <w:szCs w:val="24"/>
        </w:rPr>
        <w:t>dszych grupach wiekowych</w:t>
      </w:r>
      <w:r w:rsidR="00525C12">
        <w:rPr>
          <w:rFonts w:ascii="Times New Roman" w:hAnsi="Times New Roman"/>
          <w:noProof/>
          <w:sz w:val="24"/>
          <w:szCs w:val="24"/>
        </w:rPr>
        <w:t xml:space="preserve"> i dal</w:t>
      </w:r>
      <w:r>
        <w:rPr>
          <w:rFonts w:ascii="Times New Roman" w:hAnsi="Times New Roman"/>
          <w:noProof/>
          <w:sz w:val="24"/>
          <w:szCs w:val="24"/>
        </w:rPr>
        <w:t>sze przenoszenie do narażonych populacji, ale również aby ograniczyć zamykanie szkół</w:t>
      </w:r>
      <w:r w:rsidR="00525C12">
        <w:rPr>
          <w:rFonts w:ascii="Times New Roman" w:hAnsi="Times New Roman"/>
          <w:noProof/>
          <w:sz w:val="24"/>
          <w:szCs w:val="24"/>
        </w:rPr>
        <w:t xml:space="preserve"> i wpł</w:t>
      </w:r>
      <w:r>
        <w:rPr>
          <w:rFonts w:ascii="Times New Roman" w:hAnsi="Times New Roman"/>
          <w:noProof/>
          <w:sz w:val="24"/>
          <w:szCs w:val="24"/>
        </w:rPr>
        <w:t>yw zamykania szkół na edukację</w:t>
      </w:r>
      <w:r w:rsidR="00525C12">
        <w:rPr>
          <w:rFonts w:ascii="Times New Roman" w:hAnsi="Times New Roman"/>
          <w:noProof/>
          <w:sz w:val="24"/>
          <w:szCs w:val="24"/>
        </w:rPr>
        <w:t xml:space="preserve"> i dob</w:t>
      </w:r>
      <w:r>
        <w:rPr>
          <w:rFonts w:ascii="Times New Roman" w:hAnsi="Times New Roman"/>
          <w:noProof/>
          <w:sz w:val="24"/>
          <w:szCs w:val="24"/>
        </w:rPr>
        <w:t>rostan dzieci.</w:t>
      </w:r>
    </w:p>
    <w:p w14:paraId="6A52097A" w14:textId="1FE30537" w:rsidR="00883361" w:rsidRDefault="00CB5BDB" w:rsidP="00AD4DF9">
      <w:pPr>
        <w:spacing w:line="240" w:lineRule="auto"/>
        <w:jc w:val="both"/>
        <w:rPr>
          <w:rFonts w:ascii="Times New Roman" w:hAnsi="Times New Roman" w:cs="Times New Roman"/>
          <w:noProof/>
          <w:sz w:val="24"/>
          <w:szCs w:val="24"/>
        </w:rPr>
      </w:pPr>
      <w:r>
        <w:rPr>
          <w:rFonts w:ascii="Times New Roman" w:hAnsi="Times New Roman"/>
          <w:noProof/>
          <w:sz w:val="24"/>
          <w:szCs w:val="24"/>
        </w:rPr>
        <w:t>Więcej działań należy podejmować</w:t>
      </w:r>
      <w:r w:rsidR="00525C12">
        <w:rPr>
          <w:rFonts w:ascii="Times New Roman" w:hAnsi="Times New Roman"/>
          <w:noProof/>
          <w:sz w:val="24"/>
          <w:szCs w:val="24"/>
        </w:rPr>
        <w:t xml:space="preserve"> w zak</w:t>
      </w:r>
      <w:r>
        <w:rPr>
          <w:rFonts w:ascii="Times New Roman" w:hAnsi="Times New Roman"/>
          <w:noProof/>
          <w:sz w:val="24"/>
          <w:szCs w:val="24"/>
        </w:rPr>
        <w:t>resie wentylacji wnętrz. Przenoszenie SARS-CoV-2 zasadniczo następuje</w:t>
      </w:r>
      <w:r w:rsidR="00525C12">
        <w:rPr>
          <w:rFonts w:ascii="Times New Roman" w:hAnsi="Times New Roman"/>
          <w:noProof/>
          <w:sz w:val="24"/>
          <w:szCs w:val="24"/>
        </w:rPr>
        <w:t xml:space="preserve"> w pom</w:t>
      </w:r>
      <w:r>
        <w:rPr>
          <w:rFonts w:ascii="Times New Roman" w:hAnsi="Times New Roman"/>
          <w:noProof/>
          <w:sz w:val="24"/>
          <w:szCs w:val="24"/>
        </w:rPr>
        <w:t>ieszczeniach zamkniętych, szczególnie</w:t>
      </w:r>
      <w:r w:rsidR="00525C12">
        <w:rPr>
          <w:rFonts w:ascii="Times New Roman" w:hAnsi="Times New Roman"/>
          <w:noProof/>
          <w:sz w:val="24"/>
          <w:szCs w:val="24"/>
        </w:rPr>
        <w:t xml:space="preserve"> w pom</w:t>
      </w:r>
      <w:r>
        <w:rPr>
          <w:rFonts w:ascii="Times New Roman" w:hAnsi="Times New Roman"/>
          <w:noProof/>
          <w:sz w:val="24"/>
          <w:szCs w:val="24"/>
        </w:rPr>
        <w:t>ieszczeniach słabo wentylowanych. Państwa członkowskie powinny rozważyć stosowanie urządzeń wyposażonych</w:t>
      </w:r>
      <w:r w:rsidR="00525C12">
        <w:rPr>
          <w:rFonts w:ascii="Times New Roman" w:hAnsi="Times New Roman"/>
          <w:noProof/>
          <w:sz w:val="24"/>
          <w:szCs w:val="24"/>
        </w:rPr>
        <w:t xml:space="preserve"> w wys</w:t>
      </w:r>
      <w:r>
        <w:rPr>
          <w:rFonts w:ascii="Times New Roman" w:hAnsi="Times New Roman"/>
          <w:noProof/>
          <w:sz w:val="24"/>
          <w:szCs w:val="24"/>
        </w:rPr>
        <w:t>okiej jakości filtry</w:t>
      </w:r>
      <w:r w:rsidR="004B43A0">
        <w:rPr>
          <w:rStyle w:val="FootnoteReference"/>
          <w:rFonts w:ascii="Times New Roman" w:hAnsi="Times New Roman" w:cs="Times New Roman"/>
          <w:noProof/>
          <w:sz w:val="24"/>
          <w:szCs w:val="24"/>
        </w:rPr>
        <w:footnoteReference w:id="21"/>
      </w:r>
      <w:r>
        <w:rPr>
          <w:rFonts w:ascii="Times New Roman" w:hAnsi="Times New Roman"/>
          <w:noProof/>
          <w:sz w:val="24"/>
          <w:szCs w:val="24"/>
        </w:rPr>
        <w:t>, szczególnie</w:t>
      </w:r>
      <w:r w:rsidR="00525C12">
        <w:rPr>
          <w:rFonts w:ascii="Times New Roman" w:hAnsi="Times New Roman"/>
          <w:noProof/>
          <w:sz w:val="24"/>
          <w:szCs w:val="24"/>
        </w:rPr>
        <w:t xml:space="preserve"> w szk</w:t>
      </w:r>
      <w:r>
        <w:rPr>
          <w:rFonts w:ascii="Times New Roman" w:hAnsi="Times New Roman"/>
          <w:noProof/>
          <w:sz w:val="24"/>
          <w:szCs w:val="24"/>
        </w:rPr>
        <w:t>ołach, lokalizacjach wysokiego ryzyka</w:t>
      </w:r>
      <w:r w:rsidR="00525C12">
        <w:rPr>
          <w:rFonts w:ascii="Times New Roman" w:hAnsi="Times New Roman"/>
          <w:noProof/>
          <w:sz w:val="24"/>
          <w:szCs w:val="24"/>
        </w:rPr>
        <w:t xml:space="preserve"> i zak</w:t>
      </w:r>
      <w:r>
        <w:rPr>
          <w:rFonts w:ascii="Times New Roman" w:hAnsi="Times New Roman"/>
          <w:noProof/>
          <w:sz w:val="24"/>
          <w:szCs w:val="24"/>
        </w:rPr>
        <w:t>ładach pracy.</w:t>
      </w:r>
    </w:p>
    <w:p w14:paraId="6842802F" w14:textId="77777777" w:rsidR="00CB4F6C" w:rsidRPr="00CB4F6C" w:rsidRDefault="00CB4F6C" w:rsidP="00CB4F6C">
      <w:pPr>
        <w:pBdr>
          <w:top w:val="single" w:sz="4" w:space="1" w:color="auto"/>
          <w:left w:val="single" w:sz="4" w:space="4" w:color="auto"/>
          <w:bottom w:val="single" w:sz="4" w:space="1" w:color="auto"/>
          <w:right w:val="single" w:sz="4" w:space="4" w:color="auto"/>
        </w:pBdr>
        <w:spacing w:line="240" w:lineRule="auto"/>
        <w:jc w:val="center"/>
        <w:rPr>
          <w:rFonts w:eastAsiaTheme="minorEastAsia"/>
          <w:noProof/>
          <w:sz w:val="24"/>
          <w:szCs w:val="24"/>
        </w:rPr>
      </w:pPr>
      <w:r>
        <w:rPr>
          <w:rFonts w:ascii="Times New Roman" w:hAnsi="Times New Roman"/>
          <w:b/>
          <w:noProof/>
          <w:sz w:val="24"/>
          <w:szCs w:val="24"/>
        </w:rPr>
        <w:t>KLUCZOWE DZIAŁANIA DO PODJĘCIA PRZEZ PAŃSTWA CZŁONKOWSKIE</w:t>
      </w:r>
    </w:p>
    <w:p w14:paraId="5A3C765F" w14:textId="2A219879" w:rsidR="00AD4DF9" w:rsidRDefault="006B2E55" w:rsidP="20C88EBE">
      <w:pPr>
        <w:pStyle w:val="ListParagraph"/>
        <w:numPr>
          <w:ilvl w:val="0"/>
          <w:numId w:val="10"/>
        </w:numPr>
        <w:pBdr>
          <w:top w:val="single" w:sz="4" w:space="1" w:color="auto"/>
          <w:left w:val="single" w:sz="4" w:space="4" w:color="auto"/>
          <w:bottom w:val="single" w:sz="4" w:space="1" w:color="auto"/>
          <w:right w:val="single" w:sz="4" w:space="4" w:color="auto"/>
        </w:pBdr>
        <w:spacing w:line="240" w:lineRule="auto"/>
        <w:ind w:left="480" w:hanging="480"/>
        <w:jc w:val="both"/>
        <w:rPr>
          <w:rFonts w:eastAsiaTheme="minorEastAsia"/>
          <w:noProof/>
          <w:sz w:val="24"/>
          <w:szCs w:val="24"/>
        </w:rPr>
      </w:pPr>
      <w:r>
        <w:rPr>
          <w:rFonts w:ascii="Times New Roman" w:hAnsi="Times New Roman"/>
          <w:noProof/>
          <w:sz w:val="24"/>
          <w:szCs w:val="24"/>
        </w:rPr>
        <w:t>Przeprowadzenie – przed jesienią 20</w:t>
      </w:r>
      <w:r w:rsidRPr="00525C12">
        <w:rPr>
          <w:rFonts w:ascii="Times New Roman" w:hAnsi="Times New Roman"/>
          <w:noProof/>
          <w:sz w:val="24"/>
          <w:szCs w:val="24"/>
        </w:rPr>
        <w:t>22</w:t>
      </w:r>
      <w:r w:rsidR="00525C12" w:rsidRPr="00525C12">
        <w:rPr>
          <w:rFonts w:ascii="Times New Roman" w:hAnsi="Times New Roman"/>
          <w:noProof/>
          <w:sz w:val="24"/>
          <w:szCs w:val="24"/>
        </w:rPr>
        <w:t> </w:t>
      </w:r>
      <w:r w:rsidRPr="00525C12">
        <w:rPr>
          <w:rFonts w:ascii="Times New Roman" w:hAnsi="Times New Roman"/>
          <w:noProof/>
          <w:sz w:val="24"/>
          <w:szCs w:val="24"/>
        </w:rPr>
        <w:t>r.</w:t>
      </w:r>
      <w:r>
        <w:rPr>
          <w:rFonts w:ascii="Times New Roman" w:hAnsi="Times New Roman"/>
          <w:noProof/>
          <w:sz w:val="24"/>
          <w:szCs w:val="24"/>
        </w:rPr>
        <w:t xml:space="preserve"> – przeglądu –skuteczności, opłacalności</w:t>
      </w:r>
      <w:r w:rsidR="00525C12">
        <w:rPr>
          <w:rFonts w:ascii="Times New Roman" w:hAnsi="Times New Roman"/>
          <w:noProof/>
          <w:sz w:val="24"/>
          <w:szCs w:val="24"/>
        </w:rPr>
        <w:t xml:space="preserve"> i spo</w:t>
      </w:r>
      <w:r>
        <w:rPr>
          <w:rFonts w:ascii="Times New Roman" w:hAnsi="Times New Roman"/>
          <w:noProof/>
          <w:sz w:val="24"/>
          <w:szCs w:val="24"/>
        </w:rPr>
        <w:t>łecznej akceptacji pozafarmaceutycznych środków przeciwdziałania wprowadzonych do tej pory oraz sporządzenie planów awaryjnych dotyczących ponownego wprowadzenia środków ochrony zdrowia publicznego, jeżeli będzie to konieczne do ograniczenia wpływu nowych wariantów SARS-CoV-2.</w:t>
      </w:r>
    </w:p>
    <w:p w14:paraId="006CEB21" w14:textId="55FC8745" w:rsidR="00A00B26" w:rsidRPr="00D33CBB" w:rsidRDefault="002E1A09" w:rsidP="00A00B26">
      <w:pPr>
        <w:pStyle w:val="ListParagraph"/>
        <w:numPr>
          <w:ilvl w:val="0"/>
          <w:numId w:val="10"/>
        </w:numPr>
        <w:pBdr>
          <w:top w:val="single" w:sz="4" w:space="1" w:color="auto"/>
          <w:left w:val="single" w:sz="4" w:space="4" w:color="auto"/>
          <w:bottom w:val="single" w:sz="4" w:space="1" w:color="auto"/>
          <w:right w:val="single" w:sz="4" w:space="4" w:color="auto"/>
        </w:pBdr>
        <w:spacing w:after="360" w:line="240" w:lineRule="auto"/>
        <w:ind w:left="480" w:hanging="480"/>
        <w:jc w:val="both"/>
        <w:rPr>
          <w:rFonts w:ascii="Times New Roman" w:hAnsi="Times New Roman" w:cs="Times New Roman"/>
          <w:noProof/>
          <w:sz w:val="24"/>
          <w:szCs w:val="24"/>
        </w:rPr>
      </w:pPr>
      <w:r>
        <w:rPr>
          <w:rFonts w:ascii="Times New Roman" w:hAnsi="Times New Roman"/>
          <w:noProof/>
          <w:sz w:val="24"/>
          <w:szCs w:val="24"/>
        </w:rPr>
        <w:t>Poprawa lub utrzymanie wydolności krajowych systemów opieki zdrowotnej, aby były one</w:t>
      </w:r>
      <w:r w:rsidR="00525C12">
        <w:rPr>
          <w:rFonts w:ascii="Times New Roman" w:hAnsi="Times New Roman"/>
          <w:noProof/>
          <w:sz w:val="24"/>
          <w:szCs w:val="24"/>
        </w:rPr>
        <w:t xml:space="preserve"> w sta</w:t>
      </w:r>
      <w:r>
        <w:rPr>
          <w:rFonts w:ascii="Times New Roman" w:hAnsi="Times New Roman"/>
          <w:noProof/>
          <w:sz w:val="24"/>
          <w:szCs w:val="24"/>
        </w:rPr>
        <w:t>nie zapewnić opiekę</w:t>
      </w:r>
      <w:r w:rsidR="00525C12">
        <w:rPr>
          <w:rFonts w:ascii="Times New Roman" w:hAnsi="Times New Roman"/>
          <w:noProof/>
          <w:sz w:val="24"/>
          <w:szCs w:val="24"/>
        </w:rPr>
        <w:t xml:space="preserve"> w prz</w:t>
      </w:r>
      <w:r>
        <w:rPr>
          <w:rFonts w:ascii="Times New Roman" w:hAnsi="Times New Roman"/>
          <w:noProof/>
          <w:sz w:val="24"/>
          <w:szCs w:val="24"/>
        </w:rPr>
        <w:t>ypadku wzrostu zachorowań na COVID-19 lub na grypę sezonową,</w:t>
      </w:r>
      <w:r w:rsidR="00525C12">
        <w:rPr>
          <w:rFonts w:ascii="Times New Roman" w:hAnsi="Times New Roman"/>
          <w:noProof/>
          <w:sz w:val="24"/>
          <w:szCs w:val="24"/>
        </w:rPr>
        <w:t xml:space="preserve"> w tym</w:t>
      </w:r>
      <w:r>
        <w:rPr>
          <w:rFonts w:ascii="Times New Roman" w:hAnsi="Times New Roman"/>
          <w:noProof/>
          <w:sz w:val="24"/>
          <w:szCs w:val="24"/>
        </w:rPr>
        <w:t xml:space="preserve"> zapewnienie wydolności szpitali/oddziałów intensywnej terapii</w:t>
      </w:r>
      <w:r w:rsidR="00525C12">
        <w:rPr>
          <w:rFonts w:ascii="Times New Roman" w:hAnsi="Times New Roman"/>
          <w:noProof/>
          <w:sz w:val="24"/>
          <w:szCs w:val="24"/>
        </w:rPr>
        <w:t xml:space="preserve"> i odp</w:t>
      </w:r>
      <w:r>
        <w:rPr>
          <w:rFonts w:ascii="Times New Roman" w:hAnsi="Times New Roman"/>
          <w:noProof/>
          <w:sz w:val="24"/>
          <w:szCs w:val="24"/>
        </w:rPr>
        <w:t>owiednich dostaw środków ochrony indywidualnej, szczepionek</w:t>
      </w:r>
      <w:r w:rsidR="00525C12">
        <w:rPr>
          <w:rFonts w:ascii="Times New Roman" w:hAnsi="Times New Roman"/>
          <w:noProof/>
          <w:sz w:val="24"/>
          <w:szCs w:val="24"/>
        </w:rPr>
        <w:t xml:space="preserve"> i śro</w:t>
      </w:r>
      <w:r>
        <w:rPr>
          <w:rFonts w:ascii="Times New Roman" w:hAnsi="Times New Roman"/>
          <w:noProof/>
          <w:sz w:val="24"/>
          <w:szCs w:val="24"/>
        </w:rPr>
        <w:t xml:space="preserve">dków terapeutycznych. </w:t>
      </w:r>
    </w:p>
    <w:p w14:paraId="6D85036A" w14:textId="7E0FF301" w:rsidR="004C3554" w:rsidRDefault="00852977" w:rsidP="20C88EBE">
      <w:pPr>
        <w:pStyle w:val="ListParagraph"/>
        <w:numPr>
          <w:ilvl w:val="0"/>
          <w:numId w:val="10"/>
        </w:numPr>
        <w:pBdr>
          <w:top w:val="single" w:sz="4" w:space="1" w:color="auto"/>
          <w:left w:val="single" w:sz="4" w:space="4" w:color="auto"/>
          <w:bottom w:val="single" w:sz="4" w:space="1" w:color="auto"/>
          <w:right w:val="single" w:sz="4" w:space="4" w:color="auto"/>
        </w:pBdr>
        <w:spacing w:line="240" w:lineRule="auto"/>
        <w:ind w:left="480" w:hanging="480"/>
        <w:jc w:val="both"/>
        <w:rPr>
          <w:rFonts w:eastAsiaTheme="minorEastAsia"/>
          <w:noProof/>
          <w:sz w:val="24"/>
          <w:szCs w:val="24"/>
        </w:rPr>
      </w:pPr>
      <w:r>
        <w:rPr>
          <w:rFonts w:ascii="Times New Roman" w:hAnsi="Times New Roman"/>
          <w:noProof/>
          <w:sz w:val="24"/>
          <w:szCs w:val="24"/>
        </w:rPr>
        <w:t>Opublikowanie zaktualizowanych zaleceń dotyczących stosowania masek ochronnych</w:t>
      </w:r>
      <w:r w:rsidR="00525C12">
        <w:rPr>
          <w:rFonts w:ascii="Times New Roman" w:hAnsi="Times New Roman"/>
          <w:noProof/>
          <w:sz w:val="24"/>
          <w:szCs w:val="24"/>
        </w:rPr>
        <w:t xml:space="preserve"> w okr</w:t>
      </w:r>
      <w:r>
        <w:rPr>
          <w:rFonts w:ascii="Times New Roman" w:hAnsi="Times New Roman"/>
          <w:noProof/>
          <w:sz w:val="24"/>
          <w:szCs w:val="24"/>
        </w:rPr>
        <w:t>eślonych miejscach</w:t>
      </w:r>
      <w:r w:rsidR="00525C12">
        <w:rPr>
          <w:rFonts w:ascii="Times New Roman" w:hAnsi="Times New Roman"/>
          <w:noProof/>
          <w:sz w:val="24"/>
          <w:szCs w:val="24"/>
        </w:rPr>
        <w:t xml:space="preserve"> z myś</w:t>
      </w:r>
      <w:r>
        <w:rPr>
          <w:rFonts w:ascii="Times New Roman" w:hAnsi="Times New Roman"/>
          <w:noProof/>
          <w:sz w:val="24"/>
          <w:szCs w:val="24"/>
        </w:rPr>
        <w:t>lą</w:t>
      </w:r>
      <w:r w:rsidR="00525C12">
        <w:rPr>
          <w:rFonts w:ascii="Times New Roman" w:hAnsi="Times New Roman"/>
          <w:noProof/>
          <w:sz w:val="24"/>
          <w:szCs w:val="24"/>
        </w:rPr>
        <w:t xml:space="preserve"> o och</w:t>
      </w:r>
      <w:r>
        <w:rPr>
          <w:rFonts w:ascii="Times New Roman" w:hAnsi="Times New Roman"/>
          <w:noProof/>
          <w:sz w:val="24"/>
          <w:szCs w:val="24"/>
        </w:rPr>
        <w:t>ronie osób narażonych na ciężki przebieg zakażenia COVID-19, takich jak osoby starsze</w:t>
      </w:r>
      <w:r w:rsidR="00525C12">
        <w:rPr>
          <w:rFonts w:ascii="Times New Roman" w:hAnsi="Times New Roman"/>
          <w:noProof/>
          <w:sz w:val="24"/>
          <w:szCs w:val="24"/>
        </w:rPr>
        <w:t xml:space="preserve"> i oso</w:t>
      </w:r>
      <w:r>
        <w:rPr>
          <w:rFonts w:ascii="Times New Roman" w:hAnsi="Times New Roman"/>
          <w:noProof/>
          <w:sz w:val="24"/>
          <w:szCs w:val="24"/>
        </w:rPr>
        <w:t>by cierpiące na choroby przewlekłe.</w:t>
      </w:r>
    </w:p>
    <w:p w14:paraId="2DB56B89" w14:textId="4A9F0213" w:rsidR="00C802DD" w:rsidRPr="00C802DD" w:rsidRDefault="002E1A09" w:rsidP="003839E1">
      <w:pPr>
        <w:pStyle w:val="ListParagraph"/>
        <w:numPr>
          <w:ilvl w:val="0"/>
          <w:numId w:val="10"/>
        </w:numPr>
        <w:pBdr>
          <w:top w:val="single" w:sz="4" w:space="1" w:color="auto"/>
          <w:left w:val="single" w:sz="4" w:space="4" w:color="auto"/>
          <w:bottom w:val="single" w:sz="4" w:space="1" w:color="auto"/>
          <w:right w:val="single" w:sz="4" w:space="4" w:color="auto"/>
        </w:pBdr>
        <w:spacing w:after="360" w:line="240" w:lineRule="auto"/>
        <w:ind w:left="480" w:hanging="480"/>
        <w:jc w:val="both"/>
        <w:rPr>
          <w:rFonts w:eastAsiaTheme="minorEastAsia"/>
          <w:noProof/>
          <w:sz w:val="24"/>
          <w:szCs w:val="24"/>
        </w:rPr>
      </w:pPr>
      <w:r>
        <w:rPr>
          <w:rFonts w:ascii="Times New Roman" w:hAnsi="Times New Roman"/>
          <w:noProof/>
          <w:sz w:val="24"/>
          <w:szCs w:val="24"/>
        </w:rPr>
        <w:t>Szybka poprawa jakości powietrza</w:t>
      </w:r>
      <w:r w:rsidR="00525C12">
        <w:rPr>
          <w:rFonts w:ascii="Times New Roman" w:hAnsi="Times New Roman"/>
          <w:noProof/>
          <w:sz w:val="24"/>
          <w:szCs w:val="24"/>
        </w:rPr>
        <w:t xml:space="preserve"> w pom</w:t>
      </w:r>
      <w:r>
        <w:rPr>
          <w:rFonts w:ascii="Times New Roman" w:hAnsi="Times New Roman"/>
          <w:noProof/>
          <w:sz w:val="24"/>
          <w:szCs w:val="24"/>
        </w:rPr>
        <w:t>ieszczeniach za pomocą odpowiedniej wentylacji, zwłaszcza</w:t>
      </w:r>
      <w:r w:rsidR="00525C12">
        <w:rPr>
          <w:rFonts w:ascii="Times New Roman" w:hAnsi="Times New Roman"/>
          <w:noProof/>
          <w:sz w:val="24"/>
          <w:szCs w:val="24"/>
        </w:rPr>
        <w:t xml:space="preserve"> w prz</w:t>
      </w:r>
      <w:r>
        <w:rPr>
          <w:rFonts w:ascii="Times New Roman" w:hAnsi="Times New Roman"/>
          <w:noProof/>
          <w:sz w:val="24"/>
          <w:szCs w:val="24"/>
        </w:rPr>
        <w:t>estrzeniach,</w:t>
      </w:r>
      <w:r w:rsidR="00525C12">
        <w:rPr>
          <w:rFonts w:ascii="Times New Roman" w:hAnsi="Times New Roman"/>
          <w:noProof/>
          <w:sz w:val="24"/>
          <w:szCs w:val="24"/>
        </w:rPr>
        <w:t xml:space="preserve"> w któ</w:t>
      </w:r>
      <w:r>
        <w:rPr>
          <w:rFonts w:ascii="Times New Roman" w:hAnsi="Times New Roman"/>
          <w:noProof/>
          <w:sz w:val="24"/>
          <w:szCs w:val="24"/>
        </w:rPr>
        <w:t>rych przebywa, mieszka lub pracuje wiele osób, jakich jak placówki opieki zdrowotnej</w:t>
      </w:r>
      <w:r w:rsidR="00525C12">
        <w:rPr>
          <w:rFonts w:ascii="Times New Roman" w:hAnsi="Times New Roman"/>
          <w:noProof/>
          <w:sz w:val="24"/>
          <w:szCs w:val="24"/>
        </w:rPr>
        <w:t xml:space="preserve"> i szk</w:t>
      </w:r>
      <w:r>
        <w:rPr>
          <w:rFonts w:ascii="Times New Roman" w:hAnsi="Times New Roman"/>
          <w:noProof/>
          <w:sz w:val="24"/>
          <w:szCs w:val="24"/>
        </w:rPr>
        <w:t>oły.</w:t>
      </w:r>
    </w:p>
    <w:p w14:paraId="556E1693" w14:textId="4E46975E" w:rsidR="00C802DD" w:rsidRPr="00C802DD" w:rsidRDefault="00A90ECA" w:rsidP="00C802DD">
      <w:pPr>
        <w:pStyle w:val="ListParagraph"/>
        <w:numPr>
          <w:ilvl w:val="0"/>
          <w:numId w:val="10"/>
        </w:numPr>
        <w:pBdr>
          <w:top w:val="single" w:sz="4" w:space="1" w:color="auto"/>
          <w:left w:val="single" w:sz="4" w:space="4" w:color="auto"/>
          <w:bottom w:val="single" w:sz="4" w:space="1" w:color="auto"/>
          <w:right w:val="single" w:sz="4" w:space="4" w:color="auto"/>
        </w:pBdr>
        <w:spacing w:after="360" w:line="240" w:lineRule="auto"/>
        <w:ind w:left="480" w:hanging="480"/>
        <w:jc w:val="both"/>
        <w:rPr>
          <w:rFonts w:ascii="Times New Roman" w:hAnsi="Times New Roman" w:cs="Times New Roman"/>
          <w:noProof/>
          <w:sz w:val="24"/>
          <w:szCs w:val="24"/>
        </w:rPr>
      </w:pPr>
      <w:r>
        <w:rPr>
          <w:rFonts w:ascii="Times New Roman" w:hAnsi="Times New Roman"/>
          <w:noProof/>
          <w:sz w:val="24"/>
          <w:szCs w:val="24"/>
        </w:rPr>
        <w:t>Usprawnienie koordynacji między organami ds. zdrowia publicznego</w:t>
      </w:r>
      <w:r w:rsidR="00525C12">
        <w:rPr>
          <w:rFonts w:ascii="Times New Roman" w:hAnsi="Times New Roman"/>
          <w:noProof/>
          <w:sz w:val="24"/>
          <w:szCs w:val="24"/>
        </w:rPr>
        <w:t xml:space="preserve"> i org</w:t>
      </w:r>
      <w:r>
        <w:rPr>
          <w:rFonts w:ascii="Times New Roman" w:hAnsi="Times New Roman"/>
          <w:noProof/>
          <w:sz w:val="24"/>
          <w:szCs w:val="24"/>
        </w:rPr>
        <w:t>anami ds. bezpieczeństwa</w:t>
      </w:r>
      <w:r w:rsidR="00525C12">
        <w:rPr>
          <w:rFonts w:ascii="Times New Roman" w:hAnsi="Times New Roman"/>
          <w:noProof/>
          <w:sz w:val="24"/>
          <w:szCs w:val="24"/>
        </w:rPr>
        <w:t xml:space="preserve"> i hig</w:t>
      </w:r>
      <w:r>
        <w:rPr>
          <w:rFonts w:ascii="Times New Roman" w:hAnsi="Times New Roman"/>
          <w:noProof/>
          <w:sz w:val="24"/>
          <w:szCs w:val="24"/>
        </w:rPr>
        <w:t>ieny pracy,</w:t>
      </w:r>
      <w:r w:rsidR="00525C12">
        <w:rPr>
          <w:rFonts w:ascii="Times New Roman" w:hAnsi="Times New Roman"/>
          <w:noProof/>
          <w:sz w:val="24"/>
          <w:szCs w:val="24"/>
        </w:rPr>
        <w:t xml:space="preserve"> w tym</w:t>
      </w:r>
      <w:r>
        <w:rPr>
          <w:rFonts w:ascii="Times New Roman" w:hAnsi="Times New Roman"/>
          <w:noProof/>
          <w:sz w:val="24"/>
          <w:szCs w:val="24"/>
        </w:rPr>
        <w:t xml:space="preserve"> opracowanie planów gotowości na przyszłe kryzysy zdrowotne</w:t>
      </w:r>
      <w:r w:rsidR="00525C12">
        <w:rPr>
          <w:rFonts w:ascii="Times New Roman" w:hAnsi="Times New Roman"/>
          <w:noProof/>
          <w:sz w:val="24"/>
          <w:szCs w:val="24"/>
        </w:rPr>
        <w:t xml:space="preserve"> w ram</w:t>
      </w:r>
      <w:r>
        <w:rPr>
          <w:rFonts w:ascii="Times New Roman" w:hAnsi="Times New Roman"/>
          <w:noProof/>
          <w:sz w:val="24"/>
          <w:szCs w:val="24"/>
        </w:rPr>
        <w:t>ach krajowych strategii bezpieczeństwa</w:t>
      </w:r>
      <w:r w:rsidR="00525C12">
        <w:rPr>
          <w:rFonts w:ascii="Times New Roman" w:hAnsi="Times New Roman"/>
          <w:noProof/>
          <w:sz w:val="24"/>
          <w:szCs w:val="24"/>
        </w:rPr>
        <w:t xml:space="preserve"> i hig</w:t>
      </w:r>
      <w:r>
        <w:rPr>
          <w:rFonts w:ascii="Times New Roman" w:hAnsi="Times New Roman"/>
          <w:noProof/>
          <w:sz w:val="24"/>
          <w:szCs w:val="24"/>
        </w:rPr>
        <w:t>ieny pracy.</w:t>
      </w:r>
    </w:p>
    <w:p w14:paraId="0BF763BB" w14:textId="34DA73CA" w:rsidR="00FA6F3C" w:rsidRPr="00A90ECA" w:rsidRDefault="00FA6F3C" w:rsidP="00A90ECA">
      <w:pPr>
        <w:pStyle w:val="ListParagraph"/>
        <w:numPr>
          <w:ilvl w:val="0"/>
          <w:numId w:val="10"/>
        </w:numPr>
        <w:pBdr>
          <w:top w:val="single" w:sz="4" w:space="1" w:color="auto"/>
          <w:left w:val="single" w:sz="4" w:space="4" w:color="auto"/>
          <w:bottom w:val="single" w:sz="4" w:space="1" w:color="auto"/>
          <w:right w:val="single" w:sz="4" w:space="4" w:color="auto"/>
        </w:pBdr>
        <w:spacing w:line="240" w:lineRule="auto"/>
        <w:ind w:left="480" w:hanging="480"/>
        <w:jc w:val="both"/>
        <w:rPr>
          <w:rFonts w:ascii="Times New Roman" w:hAnsi="Times New Roman" w:cs="Times New Roman"/>
          <w:noProof/>
          <w:sz w:val="24"/>
          <w:szCs w:val="24"/>
        </w:rPr>
      </w:pPr>
      <w:r>
        <w:rPr>
          <w:rFonts w:ascii="Times New Roman" w:hAnsi="Times New Roman"/>
          <w:noProof/>
          <w:sz w:val="24"/>
          <w:szCs w:val="24"/>
        </w:rPr>
        <w:t>Optymalizacja praktyk</w:t>
      </w:r>
      <w:r w:rsidR="00525C12">
        <w:rPr>
          <w:rFonts w:ascii="Times New Roman" w:hAnsi="Times New Roman"/>
          <w:noProof/>
          <w:sz w:val="24"/>
          <w:szCs w:val="24"/>
        </w:rPr>
        <w:t xml:space="preserve"> w zak</w:t>
      </w:r>
      <w:r>
        <w:rPr>
          <w:rFonts w:ascii="Times New Roman" w:hAnsi="Times New Roman"/>
          <w:noProof/>
          <w:sz w:val="24"/>
          <w:szCs w:val="24"/>
        </w:rPr>
        <w:t>resie profilaktyki</w:t>
      </w:r>
      <w:r w:rsidR="00525C12">
        <w:rPr>
          <w:rFonts w:ascii="Times New Roman" w:hAnsi="Times New Roman"/>
          <w:noProof/>
          <w:sz w:val="24"/>
          <w:szCs w:val="24"/>
        </w:rPr>
        <w:t xml:space="preserve"> i kon</w:t>
      </w:r>
      <w:r>
        <w:rPr>
          <w:rFonts w:ascii="Times New Roman" w:hAnsi="Times New Roman"/>
          <w:noProof/>
          <w:sz w:val="24"/>
          <w:szCs w:val="24"/>
        </w:rPr>
        <w:t>troli zakażeń</w:t>
      </w:r>
      <w:r w:rsidR="00525C12">
        <w:rPr>
          <w:rFonts w:ascii="Times New Roman" w:hAnsi="Times New Roman"/>
          <w:noProof/>
          <w:sz w:val="24"/>
          <w:szCs w:val="24"/>
        </w:rPr>
        <w:t xml:space="preserve"> i inw</w:t>
      </w:r>
      <w:r>
        <w:rPr>
          <w:rFonts w:ascii="Times New Roman" w:hAnsi="Times New Roman"/>
          <w:noProof/>
          <w:sz w:val="24"/>
          <w:szCs w:val="24"/>
        </w:rPr>
        <w:t>estowanie</w:t>
      </w:r>
      <w:r w:rsidR="00525C12">
        <w:rPr>
          <w:rFonts w:ascii="Times New Roman" w:hAnsi="Times New Roman"/>
          <w:noProof/>
          <w:sz w:val="24"/>
          <w:szCs w:val="24"/>
        </w:rPr>
        <w:t xml:space="preserve"> w tak</w:t>
      </w:r>
      <w:r>
        <w:rPr>
          <w:rFonts w:ascii="Times New Roman" w:hAnsi="Times New Roman"/>
          <w:noProof/>
          <w:sz w:val="24"/>
          <w:szCs w:val="24"/>
        </w:rPr>
        <w:t>ie praktyki zarówno</w:t>
      </w:r>
      <w:r w:rsidR="00525C12">
        <w:rPr>
          <w:rFonts w:ascii="Times New Roman" w:hAnsi="Times New Roman"/>
          <w:noProof/>
          <w:sz w:val="24"/>
          <w:szCs w:val="24"/>
        </w:rPr>
        <w:t xml:space="preserve"> w pla</w:t>
      </w:r>
      <w:r>
        <w:rPr>
          <w:rFonts w:ascii="Times New Roman" w:hAnsi="Times New Roman"/>
          <w:noProof/>
          <w:sz w:val="24"/>
          <w:szCs w:val="24"/>
        </w:rPr>
        <w:t>cówkach opieki długoterminowej, jak</w:t>
      </w:r>
      <w:r w:rsidR="00525C12">
        <w:rPr>
          <w:rFonts w:ascii="Times New Roman" w:hAnsi="Times New Roman"/>
          <w:noProof/>
          <w:sz w:val="24"/>
          <w:szCs w:val="24"/>
        </w:rPr>
        <w:t xml:space="preserve"> i pla</w:t>
      </w:r>
      <w:r>
        <w:rPr>
          <w:rFonts w:ascii="Times New Roman" w:hAnsi="Times New Roman"/>
          <w:noProof/>
          <w:sz w:val="24"/>
          <w:szCs w:val="24"/>
        </w:rPr>
        <w:t>cówkach opieki doraźnej, na przykład przez zapewnienie dostępności wystarczających</w:t>
      </w:r>
      <w:r w:rsidR="00525C12">
        <w:rPr>
          <w:rFonts w:ascii="Times New Roman" w:hAnsi="Times New Roman"/>
          <w:noProof/>
          <w:sz w:val="24"/>
          <w:szCs w:val="24"/>
        </w:rPr>
        <w:t xml:space="preserve"> i odp</w:t>
      </w:r>
      <w:r>
        <w:rPr>
          <w:rFonts w:ascii="Times New Roman" w:hAnsi="Times New Roman"/>
          <w:noProof/>
          <w:sz w:val="24"/>
          <w:szCs w:val="24"/>
        </w:rPr>
        <w:t>owiednio przeszkolonych zasobów ludzkich oraz dostępności materiałów, takich jak środki ochrony indywidualnej.</w:t>
      </w:r>
    </w:p>
    <w:p w14:paraId="27802A61" w14:textId="6BFF1F65" w:rsidR="00F5042E" w:rsidRDefault="00A90ECA" w:rsidP="00AB4B55">
      <w:pPr>
        <w:pStyle w:val="Text1"/>
        <w:keepNext/>
        <w:spacing w:after="200"/>
        <w:ind w:left="0"/>
        <w:rPr>
          <w:b/>
          <w:i/>
          <w:noProof/>
          <w:szCs w:val="24"/>
        </w:rPr>
      </w:pPr>
      <w:r>
        <w:rPr>
          <w:b/>
          <w:i/>
          <w:noProof/>
          <w:szCs w:val="24"/>
        </w:rPr>
        <w:t>Wewnątrzunijne</w:t>
      </w:r>
      <w:r w:rsidR="00525C12">
        <w:rPr>
          <w:b/>
          <w:i/>
          <w:noProof/>
          <w:szCs w:val="24"/>
        </w:rPr>
        <w:t xml:space="preserve"> i mię</w:t>
      </w:r>
      <w:r>
        <w:rPr>
          <w:b/>
          <w:i/>
          <w:noProof/>
          <w:szCs w:val="24"/>
        </w:rPr>
        <w:t>dzynarodowe środki</w:t>
      </w:r>
      <w:r w:rsidR="00525C12">
        <w:rPr>
          <w:b/>
          <w:i/>
          <w:noProof/>
          <w:szCs w:val="24"/>
        </w:rPr>
        <w:t xml:space="preserve"> w zak</w:t>
      </w:r>
      <w:r>
        <w:rPr>
          <w:b/>
          <w:i/>
          <w:noProof/>
          <w:szCs w:val="24"/>
        </w:rPr>
        <w:t xml:space="preserve">resie podróżowania </w:t>
      </w:r>
    </w:p>
    <w:p w14:paraId="69C91965" w14:textId="39997E9E" w:rsidR="000A693A" w:rsidRDefault="00F5042E" w:rsidP="00A90ECA">
      <w:pPr>
        <w:spacing w:line="240" w:lineRule="auto"/>
        <w:jc w:val="both"/>
        <w:rPr>
          <w:rFonts w:ascii="Times New Roman" w:hAnsi="Times New Roman" w:cs="Times New Roman"/>
          <w:noProof/>
          <w:sz w:val="24"/>
          <w:szCs w:val="24"/>
        </w:rPr>
      </w:pPr>
      <w:r>
        <w:rPr>
          <w:rFonts w:ascii="Times New Roman" w:hAnsi="Times New Roman"/>
          <w:noProof/>
          <w:sz w:val="24"/>
          <w:szCs w:val="24"/>
        </w:rPr>
        <w:t>Dzięki unijnemu cyfrowemu zaświadczeniu COVID udało się udostępnić obywatelom narzędzie akceptowane</w:t>
      </w:r>
      <w:r w:rsidR="00525C12">
        <w:rPr>
          <w:rFonts w:ascii="Times New Roman" w:hAnsi="Times New Roman"/>
          <w:noProof/>
          <w:sz w:val="24"/>
          <w:szCs w:val="24"/>
        </w:rPr>
        <w:t xml:space="preserve"> i cie</w:t>
      </w:r>
      <w:r>
        <w:rPr>
          <w:rFonts w:ascii="Times New Roman" w:hAnsi="Times New Roman"/>
          <w:noProof/>
          <w:sz w:val="24"/>
          <w:szCs w:val="24"/>
        </w:rPr>
        <w:t>szące się zaufan</w:t>
      </w:r>
      <w:r w:rsidR="002B59E4">
        <w:rPr>
          <w:rFonts w:ascii="Times New Roman" w:hAnsi="Times New Roman"/>
          <w:noProof/>
          <w:sz w:val="24"/>
          <w:szCs w:val="24"/>
        </w:rPr>
        <w:t>iem</w:t>
      </w:r>
      <w:r w:rsidR="00525C12">
        <w:rPr>
          <w:rFonts w:ascii="Times New Roman" w:hAnsi="Times New Roman"/>
          <w:noProof/>
          <w:sz w:val="24"/>
          <w:szCs w:val="24"/>
        </w:rPr>
        <w:t xml:space="preserve"> w cał</w:t>
      </w:r>
      <w:r w:rsidR="002B59E4">
        <w:rPr>
          <w:rFonts w:ascii="Times New Roman" w:hAnsi="Times New Roman"/>
          <w:noProof/>
          <w:sz w:val="24"/>
          <w:szCs w:val="24"/>
        </w:rPr>
        <w:t xml:space="preserve">ej UE. Zapobiegło ono </w:t>
      </w:r>
      <w:r>
        <w:rPr>
          <w:rFonts w:ascii="Times New Roman" w:hAnsi="Times New Roman"/>
          <w:noProof/>
          <w:sz w:val="24"/>
          <w:szCs w:val="24"/>
        </w:rPr>
        <w:t>powstaniu rozdrobnionego systemu wielu różnych zaświadczeń krajowych. System unijnego cyfrowego zaświadczenia COVID jest na tyle elastyczny, że</w:t>
      </w:r>
      <w:r w:rsidR="00525C12">
        <w:rPr>
          <w:rFonts w:ascii="Times New Roman" w:hAnsi="Times New Roman"/>
          <w:noProof/>
          <w:sz w:val="24"/>
          <w:szCs w:val="24"/>
        </w:rPr>
        <w:t xml:space="preserve"> w raz</w:t>
      </w:r>
      <w:r>
        <w:rPr>
          <w:rFonts w:ascii="Times New Roman" w:hAnsi="Times New Roman"/>
          <w:noProof/>
          <w:sz w:val="24"/>
          <w:szCs w:val="24"/>
        </w:rPr>
        <w:t>ie potrzeby może być dostosowany do ewentualnych przyszłych zmian</w:t>
      </w:r>
      <w:r w:rsidR="00525C12">
        <w:rPr>
          <w:rFonts w:ascii="Times New Roman" w:hAnsi="Times New Roman"/>
          <w:noProof/>
          <w:sz w:val="24"/>
          <w:szCs w:val="24"/>
        </w:rPr>
        <w:t xml:space="preserve"> i now</w:t>
      </w:r>
      <w:r>
        <w:rPr>
          <w:rFonts w:ascii="Times New Roman" w:hAnsi="Times New Roman"/>
          <w:noProof/>
          <w:sz w:val="24"/>
          <w:szCs w:val="24"/>
        </w:rPr>
        <w:t>ych dowodów naukowych.</w:t>
      </w:r>
    </w:p>
    <w:p w14:paraId="4876424A" w14:textId="0674A5A4" w:rsidR="00A90ECA" w:rsidRDefault="00A90ECA" w:rsidP="00A90ECA">
      <w:pPr>
        <w:spacing w:line="240" w:lineRule="auto"/>
        <w:jc w:val="both"/>
        <w:rPr>
          <w:rFonts w:ascii="Times New Roman" w:hAnsi="Times New Roman" w:cs="Times New Roman"/>
          <w:noProof/>
          <w:sz w:val="24"/>
          <w:szCs w:val="24"/>
        </w:rPr>
      </w:pPr>
      <w:r>
        <w:rPr>
          <w:rFonts w:ascii="Times New Roman" w:hAnsi="Times New Roman"/>
          <w:noProof/>
          <w:sz w:val="24"/>
          <w:szCs w:val="24"/>
        </w:rPr>
        <w:t>Niektóre państwa członkowskie –</w:t>
      </w:r>
      <w:r w:rsidR="00525C12">
        <w:rPr>
          <w:rFonts w:ascii="Times New Roman" w:hAnsi="Times New Roman"/>
          <w:noProof/>
          <w:sz w:val="24"/>
          <w:szCs w:val="24"/>
        </w:rPr>
        <w:t xml:space="preserve"> w opa</w:t>
      </w:r>
      <w:r>
        <w:rPr>
          <w:rFonts w:ascii="Times New Roman" w:hAnsi="Times New Roman"/>
          <w:noProof/>
          <w:sz w:val="24"/>
          <w:szCs w:val="24"/>
        </w:rPr>
        <w:t>rciu</w:t>
      </w:r>
      <w:r w:rsidR="00525C12">
        <w:rPr>
          <w:rFonts w:ascii="Times New Roman" w:hAnsi="Times New Roman"/>
          <w:noProof/>
          <w:sz w:val="24"/>
          <w:szCs w:val="24"/>
        </w:rPr>
        <w:t xml:space="preserve"> o pra</w:t>
      </w:r>
      <w:r>
        <w:rPr>
          <w:rFonts w:ascii="Times New Roman" w:hAnsi="Times New Roman"/>
          <w:noProof/>
          <w:sz w:val="24"/>
          <w:szCs w:val="24"/>
        </w:rPr>
        <w:t>wo krajowe – wykorzystują również unijne cyfrowe zaświadczenie COVID na szczeblu krajowym do ograniczania rozpowszechniania się COVID-19, na przykład poprzez stosowanie tego zaświadczenia jako warunku wstępu na wydarzenia kulturalne, korzystania</w:t>
      </w:r>
      <w:r w:rsidR="00525C12">
        <w:rPr>
          <w:rFonts w:ascii="Times New Roman" w:hAnsi="Times New Roman"/>
          <w:noProof/>
          <w:sz w:val="24"/>
          <w:szCs w:val="24"/>
        </w:rPr>
        <w:t xml:space="preserve"> z tra</w:t>
      </w:r>
      <w:r>
        <w:rPr>
          <w:rFonts w:ascii="Times New Roman" w:hAnsi="Times New Roman"/>
          <w:noProof/>
          <w:sz w:val="24"/>
          <w:szCs w:val="24"/>
        </w:rPr>
        <w:t>nsportu publicznego</w:t>
      </w:r>
      <w:r w:rsidR="00525C12">
        <w:rPr>
          <w:rFonts w:ascii="Times New Roman" w:hAnsi="Times New Roman"/>
          <w:noProof/>
          <w:sz w:val="24"/>
          <w:szCs w:val="24"/>
        </w:rPr>
        <w:t xml:space="preserve"> i w mie</w:t>
      </w:r>
      <w:r>
        <w:rPr>
          <w:rFonts w:ascii="Times New Roman" w:hAnsi="Times New Roman"/>
          <w:noProof/>
          <w:sz w:val="24"/>
          <w:szCs w:val="24"/>
        </w:rPr>
        <w:t>jscach pracy. Ponadto 37 państw</w:t>
      </w:r>
      <w:r w:rsidR="00525C12">
        <w:rPr>
          <w:rFonts w:ascii="Times New Roman" w:hAnsi="Times New Roman"/>
          <w:noProof/>
          <w:sz w:val="24"/>
          <w:szCs w:val="24"/>
        </w:rPr>
        <w:t xml:space="preserve"> i ter</w:t>
      </w:r>
      <w:r>
        <w:rPr>
          <w:rFonts w:ascii="Times New Roman" w:hAnsi="Times New Roman"/>
          <w:noProof/>
          <w:sz w:val="24"/>
          <w:szCs w:val="24"/>
        </w:rPr>
        <w:t>ytoriów niebędących członkami UE dołączyło do systemu unijnego cyfrowego zaświadczenia COVID,</w:t>
      </w:r>
      <w:r w:rsidR="00525C12">
        <w:rPr>
          <w:rFonts w:ascii="Times New Roman" w:hAnsi="Times New Roman"/>
          <w:noProof/>
          <w:sz w:val="24"/>
          <w:szCs w:val="24"/>
        </w:rPr>
        <w:t xml:space="preserve"> a kli</w:t>
      </w:r>
      <w:r>
        <w:rPr>
          <w:rFonts w:ascii="Times New Roman" w:hAnsi="Times New Roman"/>
          <w:noProof/>
          <w:sz w:val="24"/>
          <w:szCs w:val="24"/>
        </w:rPr>
        <w:t>ka innych państw wyraziło zainteresowanie dołączeniem lub rozpoczęło proces dołączenia do tego systemu,</w:t>
      </w:r>
      <w:r w:rsidR="00525C12">
        <w:rPr>
          <w:rFonts w:ascii="Times New Roman" w:hAnsi="Times New Roman"/>
          <w:noProof/>
          <w:sz w:val="24"/>
          <w:szCs w:val="24"/>
        </w:rPr>
        <w:t xml:space="preserve"> w wyn</w:t>
      </w:r>
      <w:r>
        <w:rPr>
          <w:rFonts w:ascii="Times New Roman" w:hAnsi="Times New Roman"/>
          <w:noProof/>
          <w:sz w:val="24"/>
          <w:szCs w:val="24"/>
        </w:rPr>
        <w:t>iku czego zaświadczenie stało się normą na poziomie międzynarodowym.</w:t>
      </w:r>
    </w:p>
    <w:p w14:paraId="010C4EFA" w14:textId="74C9C986" w:rsidR="00980E51" w:rsidRPr="00525C12" w:rsidRDefault="00980E51" w:rsidP="00A90ECA">
      <w:pPr>
        <w:spacing w:line="240" w:lineRule="auto"/>
        <w:jc w:val="both"/>
        <w:rPr>
          <w:rFonts w:ascii="Times New Roman" w:hAnsi="Times New Roman" w:cs="Times New Roman"/>
          <w:noProof/>
          <w:sz w:val="24"/>
          <w:szCs w:val="24"/>
        </w:rPr>
      </w:pPr>
      <w:r>
        <w:rPr>
          <w:rFonts w:ascii="Times New Roman" w:hAnsi="Times New Roman"/>
          <w:noProof/>
          <w:sz w:val="24"/>
          <w:szCs w:val="24"/>
        </w:rPr>
        <w:t>System unijnego cyfrowego zaświadczenia COVID okazał się podstawowym elementem ożywienia gospodarczego</w:t>
      </w:r>
      <w:r w:rsidR="00525C12">
        <w:rPr>
          <w:rFonts w:ascii="Times New Roman" w:hAnsi="Times New Roman"/>
          <w:noProof/>
          <w:sz w:val="24"/>
          <w:szCs w:val="24"/>
        </w:rPr>
        <w:t xml:space="preserve"> i wym</w:t>
      </w:r>
      <w:r>
        <w:rPr>
          <w:rFonts w:ascii="Times New Roman" w:hAnsi="Times New Roman"/>
          <w:noProof/>
          <w:sz w:val="24"/>
          <w:szCs w:val="24"/>
        </w:rPr>
        <w:t>iany kulturowej</w:t>
      </w:r>
      <w:r w:rsidR="00525C12">
        <w:rPr>
          <w:rFonts w:ascii="Times New Roman" w:hAnsi="Times New Roman"/>
          <w:noProof/>
          <w:sz w:val="24"/>
          <w:szCs w:val="24"/>
        </w:rPr>
        <w:t xml:space="preserve"> i spo</w:t>
      </w:r>
      <w:r>
        <w:rPr>
          <w:rFonts w:ascii="Times New Roman" w:hAnsi="Times New Roman"/>
          <w:noProof/>
          <w:sz w:val="24"/>
          <w:szCs w:val="24"/>
        </w:rPr>
        <w:t xml:space="preserve">łecznej również poza granicami UE. </w:t>
      </w:r>
    </w:p>
    <w:p w14:paraId="7BE0E224" w14:textId="1D357571" w:rsidR="00A54E7D" w:rsidRDefault="000A693A" w:rsidP="00D33CBB">
      <w:pPr>
        <w:spacing w:line="240" w:lineRule="auto"/>
        <w:jc w:val="both"/>
        <w:rPr>
          <w:rFonts w:ascii="Times New Roman" w:eastAsiaTheme="minorEastAsia" w:hAnsi="Times New Roman"/>
          <w:noProof/>
          <w:sz w:val="24"/>
          <w:szCs w:val="24"/>
        </w:rPr>
      </w:pPr>
      <w:r w:rsidRPr="00525C12">
        <w:rPr>
          <w:rFonts w:ascii="Times New Roman" w:hAnsi="Times New Roman"/>
          <w:noProof/>
          <w:sz w:val="24"/>
          <w:szCs w:val="24"/>
        </w:rPr>
        <w:t>J</w:t>
      </w:r>
      <w:r>
        <w:rPr>
          <w:rFonts w:ascii="Times New Roman" w:hAnsi="Times New Roman"/>
          <w:noProof/>
          <w:sz w:val="24"/>
          <w:szCs w:val="24"/>
        </w:rPr>
        <w:t>ak wskazano</w:t>
      </w:r>
      <w:r w:rsidR="00525C12">
        <w:rPr>
          <w:rFonts w:ascii="Times New Roman" w:hAnsi="Times New Roman"/>
          <w:noProof/>
          <w:sz w:val="24"/>
          <w:szCs w:val="24"/>
        </w:rPr>
        <w:t xml:space="preserve"> w zal</w:t>
      </w:r>
      <w:r>
        <w:rPr>
          <w:rFonts w:ascii="Times New Roman" w:hAnsi="Times New Roman"/>
          <w:noProof/>
          <w:sz w:val="24"/>
          <w:szCs w:val="24"/>
        </w:rPr>
        <w:t>eceniu Rady (UE) 2022/107</w:t>
      </w:r>
      <w:r>
        <w:rPr>
          <w:rStyle w:val="FootnoteReference"/>
          <w:rFonts w:ascii="Times New Roman" w:hAnsi="Times New Roman" w:cs="Times New Roman"/>
          <w:noProof/>
          <w:sz w:val="24"/>
          <w:szCs w:val="24"/>
        </w:rPr>
        <w:footnoteReference w:id="22"/>
      </w:r>
      <w:r>
        <w:rPr>
          <w:rFonts w:ascii="Times New Roman" w:hAnsi="Times New Roman"/>
          <w:noProof/>
          <w:sz w:val="24"/>
          <w:szCs w:val="24"/>
        </w:rPr>
        <w:t>, wszelkie ograniczenia swobodnego przemieszczania się wprowadzone</w:t>
      </w:r>
      <w:r w:rsidR="00525C12">
        <w:rPr>
          <w:rFonts w:ascii="Times New Roman" w:hAnsi="Times New Roman"/>
          <w:noProof/>
          <w:sz w:val="24"/>
          <w:szCs w:val="24"/>
        </w:rPr>
        <w:t xml:space="preserve"> w rea</w:t>
      </w:r>
      <w:r>
        <w:rPr>
          <w:rFonts w:ascii="Times New Roman" w:hAnsi="Times New Roman"/>
          <w:noProof/>
          <w:sz w:val="24"/>
          <w:szCs w:val="24"/>
        </w:rPr>
        <w:t>kcji na pandemię należy – zgodnie</w:t>
      </w:r>
      <w:r w:rsidR="00525C12">
        <w:rPr>
          <w:rFonts w:ascii="Times New Roman" w:hAnsi="Times New Roman"/>
          <w:noProof/>
          <w:sz w:val="24"/>
          <w:szCs w:val="24"/>
        </w:rPr>
        <w:t xml:space="preserve"> z zas</w:t>
      </w:r>
      <w:r>
        <w:rPr>
          <w:rFonts w:ascii="Times New Roman" w:hAnsi="Times New Roman"/>
          <w:noProof/>
          <w:sz w:val="24"/>
          <w:szCs w:val="24"/>
        </w:rPr>
        <w:t>adą konieczności</w:t>
      </w:r>
      <w:r w:rsidR="00525C12">
        <w:rPr>
          <w:rFonts w:ascii="Times New Roman" w:hAnsi="Times New Roman"/>
          <w:noProof/>
          <w:sz w:val="24"/>
          <w:szCs w:val="24"/>
        </w:rPr>
        <w:t xml:space="preserve"> i pro</w:t>
      </w:r>
      <w:r>
        <w:rPr>
          <w:rFonts w:ascii="Times New Roman" w:hAnsi="Times New Roman"/>
          <w:noProof/>
          <w:sz w:val="24"/>
          <w:szCs w:val="24"/>
        </w:rPr>
        <w:t>porcjonalności – znosić, gdy tylko pozwala na to sytuacja epidemiologiczna</w:t>
      </w:r>
      <w:r w:rsidR="00525C12">
        <w:rPr>
          <w:rFonts w:ascii="Times New Roman" w:hAnsi="Times New Roman"/>
          <w:noProof/>
          <w:sz w:val="24"/>
          <w:szCs w:val="24"/>
        </w:rPr>
        <w:t>. W rez</w:t>
      </w:r>
      <w:r>
        <w:rPr>
          <w:rFonts w:ascii="Times New Roman" w:hAnsi="Times New Roman"/>
          <w:noProof/>
          <w:sz w:val="24"/>
          <w:szCs w:val="24"/>
        </w:rPr>
        <w:t>ultacie wiele państw członkowskich zniosło już wymóg okazywania zaświadczeń COVID przez osoby podróżujące wewnątrz UE</w:t>
      </w:r>
      <w:r w:rsidR="00525C12">
        <w:rPr>
          <w:rFonts w:ascii="Times New Roman" w:hAnsi="Times New Roman"/>
          <w:noProof/>
          <w:sz w:val="24"/>
          <w:szCs w:val="24"/>
        </w:rPr>
        <w:t xml:space="preserve"> i nie</w:t>
      </w:r>
      <w:r>
        <w:rPr>
          <w:rFonts w:ascii="Times New Roman" w:hAnsi="Times New Roman"/>
          <w:noProof/>
          <w:sz w:val="24"/>
          <w:szCs w:val="24"/>
        </w:rPr>
        <w:t xml:space="preserve"> nakłada innych ograniczeń związanych</w:t>
      </w:r>
      <w:r w:rsidR="00525C12">
        <w:rPr>
          <w:rFonts w:ascii="Times New Roman" w:hAnsi="Times New Roman"/>
          <w:noProof/>
          <w:sz w:val="24"/>
          <w:szCs w:val="24"/>
        </w:rPr>
        <w:t xml:space="preserve"> z pod</w:t>
      </w:r>
      <w:r>
        <w:rPr>
          <w:rFonts w:ascii="Times New Roman" w:hAnsi="Times New Roman"/>
          <w:noProof/>
          <w:sz w:val="24"/>
          <w:szCs w:val="24"/>
        </w:rPr>
        <w:t>różą. Komisja zachęca pozostałe państwa członkowskie – zwłaszcza państwa, które zniosły podobne krajowe środki ochrony zdrowia publicznego – do zniesienia takich ograniczeń związanych</w:t>
      </w:r>
      <w:r w:rsidR="00525C12">
        <w:rPr>
          <w:rFonts w:ascii="Times New Roman" w:hAnsi="Times New Roman"/>
          <w:noProof/>
          <w:sz w:val="24"/>
          <w:szCs w:val="24"/>
        </w:rPr>
        <w:t xml:space="preserve"> z pod</w:t>
      </w:r>
      <w:r>
        <w:rPr>
          <w:rFonts w:ascii="Times New Roman" w:hAnsi="Times New Roman"/>
          <w:noProof/>
          <w:sz w:val="24"/>
          <w:szCs w:val="24"/>
        </w:rPr>
        <w:t xml:space="preserve">różą, gdy stosowania tych środków nie wymaga ochrona zdrowia publicznego. </w:t>
      </w:r>
    </w:p>
    <w:p w14:paraId="6D1B411E" w14:textId="3C61FA31" w:rsidR="004D6904" w:rsidRPr="004D6904" w:rsidRDefault="00A54E7D" w:rsidP="00D33CBB">
      <w:pPr>
        <w:spacing w:line="240" w:lineRule="auto"/>
        <w:jc w:val="both"/>
        <w:rPr>
          <w:rFonts w:ascii="Times New Roman" w:hAnsi="Times New Roman" w:cs="Times New Roman"/>
          <w:noProof/>
          <w:sz w:val="24"/>
          <w:szCs w:val="24"/>
        </w:rPr>
      </w:pPr>
      <w:r>
        <w:rPr>
          <w:rFonts w:ascii="Times New Roman" w:hAnsi="Times New Roman"/>
          <w:noProof/>
          <w:sz w:val="24"/>
          <w:szCs w:val="24"/>
        </w:rPr>
        <w:t>Unijne cyfrowe zaświadczenie COVID wprowadzono jako środek tymczasowy obowiązujący wstępnie przez okres jednego roku. Ponieważ jednak nie można wykluczyć, że państwa członkowskie uznają za konieczne przywrócenie zaświadczenia</w:t>
      </w:r>
      <w:r w:rsidR="00525C12">
        <w:rPr>
          <w:rFonts w:ascii="Times New Roman" w:hAnsi="Times New Roman"/>
          <w:noProof/>
          <w:sz w:val="24"/>
          <w:szCs w:val="24"/>
        </w:rPr>
        <w:t xml:space="preserve"> w kol</w:t>
      </w:r>
      <w:r>
        <w:rPr>
          <w:rFonts w:ascii="Times New Roman" w:hAnsi="Times New Roman"/>
          <w:noProof/>
          <w:sz w:val="24"/>
          <w:szCs w:val="24"/>
        </w:rPr>
        <w:t>ejnym roku, Komisja przyjęła wniosek dotyczący przedłużenia okresu stosowania rozporządzenia</w:t>
      </w:r>
      <w:r w:rsidR="00525C12">
        <w:rPr>
          <w:rFonts w:ascii="Times New Roman" w:hAnsi="Times New Roman"/>
          <w:noProof/>
          <w:sz w:val="24"/>
          <w:szCs w:val="24"/>
        </w:rPr>
        <w:t xml:space="preserve"> w spr</w:t>
      </w:r>
      <w:r>
        <w:rPr>
          <w:rFonts w:ascii="Times New Roman" w:hAnsi="Times New Roman"/>
          <w:noProof/>
          <w:sz w:val="24"/>
          <w:szCs w:val="24"/>
        </w:rPr>
        <w:t xml:space="preserve">awie unijnego cyfrowego zaświadczenia COVID </w:t>
      </w:r>
      <w:r w:rsidRPr="00525C12">
        <w:rPr>
          <w:rFonts w:ascii="Times New Roman" w:hAnsi="Times New Roman"/>
          <w:noProof/>
          <w:sz w:val="24"/>
          <w:szCs w:val="24"/>
        </w:rPr>
        <w:t>do</w:t>
      </w:r>
      <w:r w:rsidR="00525C12" w:rsidRPr="00525C12">
        <w:rPr>
          <w:rFonts w:ascii="Times New Roman" w:hAnsi="Times New Roman"/>
          <w:noProof/>
          <w:sz w:val="24"/>
          <w:szCs w:val="24"/>
        </w:rPr>
        <w:t> </w:t>
      </w:r>
      <w:r w:rsidRPr="00525C12">
        <w:rPr>
          <w:rFonts w:ascii="Times New Roman" w:hAnsi="Times New Roman"/>
          <w:noProof/>
          <w:sz w:val="24"/>
          <w:szCs w:val="24"/>
        </w:rPr>
        <w:t>3</w:t>
      </w:r>
      <w:r>
        <w:rPr>
          <w:rFonts w:ascii="Times New Roman" w:hAnsi="Times New Roman"/>
          <w:noProof/>
          <w:sz w:val="24"/>
          <w:szCs w:val="24"/>
        </w:rPr>
        <w:t>0 czerwca 20</w:t>
      </w:r>
      <w:r w:rsidRPr="00525C12">
        <w:rPr>
          <w:rFonts w:ascii="Times New Roman" w:hAnsi="Times New Roman"/>
          <w:noProof/>
          <w:sz w:val="24"/>
          <w:szCs w:val="24"/>
        </w:rPr>
        <w:t>23</w:t>
      </w:r>
      <w:r w:rsidR="00525C12" w:rsidRPr="00525C12">
        <w:rPr>
          <w:rFonts w:ascii="Times New Roman" w:hAnsi="Times New Roman"/>
          <w:noProof/>
          <w:sz w:val="24"/>
          <w:szCs w:val="24"/>
        </w:rPr>
        <w:t> </w:t>
      </w:r>
      <w:r w:rsidRPr="00525C12">
        <w:rPr>
          <w:rFonts w:ascii="Times New Roman" w:hAnsi="Times New Roman"/>
          <w:noProof/>
          <w:sz w:val="24"/>
          <w:szCs w:val="24"/>
        </w:rPr>
        <w:t>r.</w:t>
      </w:r>
      <w:r w:rsidR="003363C1" w:rsidRPr="008C7818">
        <w:rPr>
          <w:rStyle w:val="FootnoteReference"/>
          <w:rFonts w:ascii="Times New Roman" w:hAnsi="Times New Roman" w:cs="Times New Roman"/>
          <w:noProof/>
          <w:sz w:val="24"/>
          <w:szCs w:val="24"/>
        </w:rPr>
        <w:footnoteReference w:id="23"/>
      </w:r>
      <w:r>
        <w:rPr>
          <w:rFonts w:ascii="Times New Roman" w:hAnsi="Times New Roman"/>
          <w:noProof/>
          <w:sz w:val="24"/>
          <w:szCs w:val="24"/>
        </w:rPr>
        <w:t xml:space="preserve"> Celem tego wniosku jest zapewnienie możliwości dalszego stosowania tego ugruntowanego już systemu na wypadek, gdyby wymagała tego sytuacja epidemiologiczna. </w:t>
      </w:r>
    </w:p>
    <w:p w14:paraId="2011C04B" w14:textId="38325FEC" w:rsidR="00A82268" w:rsidRDefault="007257ED" w:rsidP="00D33CBB">
      <w:pPr>
        <w:spacing w:line="240" w:lineRule="auto"/>
        <w:jc w:val="both"/>
        <w:rPr>
          <w:rFonts w:ascii="Times New Roman" w:hAnsi="Times New Roman" w:cs="Times New Roman"/>
          <w:noProof/>
          <w:color w:val="000000"/>
          <w:sz w:val="24"/>
          <w:szCs w:val="24"/>
        </w:rPr>
      </w:pPr>
      <w:r>
        <w:rPr>
          <w:rFonts w:ascii="Times New Roman" w:hAnsi="Times New Roman"/>
          <w:noProof/>
          <w:sz w:val="24"/>
          <w:szCs w:val="24"/>
        </w:rPr>
        <w:t>Ponadto</w:t>
      </w:r>
      <w:r w:rsidR="00525C12">
        <w:rPr>
          <w:rFonts w:ascii="Times New Roman" w:hAnsi="Times New Roman"/>
          <w:noProof/>
          <w:sz w:val="24"/>
          <w:szCs w:val="24"/>
        </w:rPr>
        <w:t xml:space="preserve"> w kon</w:t>
      </w:r>
      <w:r>
        <w:rPr>
          <w:rFonts w:ascii="Times New Roman" w:hAnsi="Times New Roman"/>
          <w:noProof/>
          <w:sz w:val="24"/>
          <w:szCs w:val="24"/>
        </w:rPr>
        <w:t>tekście podróżowania</w:t>
      </w:r>
      <w:r w:rsidR="00525C12">
        <w:rPr>
          <w:rFonts w:ascii="Times New Roman" w:hAnsi="Times New Roman"/>
          <w:noProof/>
          <w:sz w:val="24"/>
          <w:szCs w:val="24"/>
        </w:rPr>
        <w:t xml:space="preserve"> z pań</w:t>
      </w:r>
      <w:r>
        <w:rPr>
          <w:rFonts w:ascii="Times New Roman" w:hAnsi="Times New Roman"/>
          <w:noProof/>
          <w:sz w:val="24"/>
          <w:szCs w:val="24"/>
        </w:rPr>
        <w:t>stw trzecich</w:t>
      </w:r>
      <w:r w:rsidR="00525C12">
        <w:rPr>
          <w:rFonts w:ascii="Times New Roman" w:hAnsi="Times New Roman"/>
          <w:noProof/>
          <w:sz w:val="24"/>
          <w:szCs w:val="24"/>
        </w:rPr>
        <w:t xml:space="preserve"> w cze</w:t>
      </w:r>
      <w:r>
        <w:rPr>
          <w:rFonts w:ascii="Times New Roman" w:hAnsi="Times New Roman"/>
          <w:noProof/>
          <w:sz w:val="24"/>
          <w:szCs w:val="24"/>
        </w:rPr>
        <w:t>rwcu 20</w:t>
      </w:r>
      <w:r w:rsidRPr="00525C12">
        <w:rPr>
          <w:rFonts w:ascii="Times New Roman" w:hAnsi="Times New Roman"/>
          <w:noProof/>
          <w:sz w:val="24"/>
          <w:szCs w:val="24"/>
        </w:rPr>
        <w:t>20</w:t>
      </w:r>
      <w:r w:rsidR="00525C12" w:rsidRPr="00525C12">
        <w:rPr>
          <w:rFonts w:ascii="Times New Roman" w:hAnsi="Times New Roman"/>
          <w:noProof/>
          <w:sz w:val="24"/>
          <w:szCs w:val="24"/>
        </w:rPr>
        <w:t> </w:t>
      </w:r>
      <w:r w:rsidRPr="00525C12">
        <w:rPr>
          <w:rFonts w:ascii="Times New Roman" w:hAnsi="Times New Roman"/>
          <w:noProof/>
          <w:sz w:val="24"/>
          <w:szCs w:val="24"/>
        </w:rPr>
        <w:t>r.</w:t>
      </w:r>
      <w:r>
        <w:rPr>
          <w:rFonts w:ascii="Times New Roman" w:hAnsi="Times New Roman"/>
          <w:noProof/>
          <w:sz w:val="24"/>
          <w:szCs w:val="24"/>
        </w:rPr>
        <w:t xml:space="preserve"> Rada przyjęła skoordynowane podejście do podróżowania do UE</w:t>
      </w:r>
      <w:r>
        <w:rPr>
          <w:rStyle w:val="FootnoteReference"/>
          <w:rFonts w:ascii="Times New Roman" w:hAnsi="Times New Roman" w:cs="Times New Roman"/>
          <w:noProof/>
          <w:sz w:val="24"/>
          <w:szCs w:val="24"/>
        </w:rPr>
        <w:footnoteReference w:id="24"/>
      </w:r>
      <w:r>
        <w:rPr>
          <w:rFonts w:ascii="Times New Roman" w:hAnsi="Times New Roman"/>
          <w:noProof/>
          <w:sz w:val="24"/>
          <w:szCs w:val="24"/>
        </w:rPr>
        <w:t>, które od tamtej pory trzykrotnie zmieniono</w:t>
      </w:r>
      <w:r w:rsidR="00525C12">
        <w:rPr>
          <w:rFonts w:ascii="Times New Roman" w:hAnsi="Times New Roman"/>
          <w:noProof/>
          <w:sz w:val="24"/>
          <w:szCs w:val="24"/>
        </w:rPr>
        <w:t>. W ram</w:t>
      </w:r>
      <w:r>
        <w:rPr>
          <w:rFonts w:ascii="Times New Roman" w:hAnsi="Times New Roman"/>
          <w:noProof/>
          <w:sz w:val="24"/>
          <w:szCs w:val="24"/>
        </w:rPr>
        <w:t xml:space="preserve">ach ostatniej zmiany – przyjętej </w:t>
      </w:r>
      <w:r>
        <w:rPr>
          <w:rFonts w:ascii="Times New Roman" w:hAnsi="Times New Roman"/>
          <w:noProof/>
          <w:color w:val="000000"/>
          <w:sz w:val="24"/>
          <w:szCs w:val="24"/>
        </w:rPr>
        <w:t>22 lutego 20</w:t>
      </w:r>
      <w:r w:rsidRPr="00525C12">
        <w:rPr>
          <w:rFonts w:ascii="Times New Roman" w:hAnsi="Times New Roman"/>
          <w:noProof/>
          <w:color w:val="000000"/>
          <w:sz w:val="24"/>
          <w:szCs w:val="24"/>
        </w:rPr>
        <w:t>22</w:t>
      </w:r>
      <w:r w:rsidR="00525C12" w:rsidRPr="00525C12">
        <w:rPr>
          <w:rFonts w:ascii="Times New Roman" w:hAnsi="Times New Roman"/>
          <w:noProof/>
          <w:color w:val="000000"/>
          <w:sz w:val="24"/>
          <w:szCs w:val="24"/>
        </w:rPr>
        <w:t> </w:t>
      </w:r>
      <w:r w:rsidRPr="00525C12">
        <w:rPr>
          <w:rFonts w:ascii="Times New Roman" w:hAnsi="Times New Roman"/>
          <w:noProof/>
          <w:color w:val="000000"/>
          <w:sz w:val="24"/>
          <w:szCs w:val="24"/>
        </w:rPr>
        <w:t>r.</w:t>
      </w:r>
      <w:r>
        <w:rPr>
          <w:rFonts w:ascii="Times New Roman" w:hAnsi="Times New Roman"/>
          <w:noProof/>
          <w:color w:val="000000"/>
          <w:sz w:val="24"/>
          <w:szCs w:val="24"/>
        </w:rPr>
        <w:t xml:space="preserve"> – przewiduje się, że państwa członkowskie powinny znieść tymczasowe ograniczenie dotyczące innych niż niezbędne podróży do UE</w:t>
      </w:r>
      <w:r w:rsidR="00525C12">
        <w:rPr>
          <w:rFonts w:ascii="Times New Roman" w:hAnsi="Times New Roman"/>
          <w:noProof/>
          <w:color w:val="000000"/>
          <w:sz w:val="24"/>
          <w:szCs w:val="24"/>
        </w:rPr>
        <w:t xml:space="preserve"> w odn</w:t>
      </w:r>
      <w:r>
        <w:rPr>
          <w:rFonts w:ascii="Times New Roman" w:hAnsi="Times New Roman"/>
          <w:noProof/>
          <w:color w:val="000000"/>
          <w:sz w:val="24"/>
          <w:szCs w:val="24"/>
        </w:rPr>
        <w:t>iesieniu do osób zaszczepionych szczepionką zatwierdzoną przez UE lub WHO oraz osób, które powróciły do zdrowia po przebyciu COVID-19 przed podróżą do UE. Unijne cyfrowe zaświadczenia COVID</w:t>
      </w:r>
      <w:r w:rsidR="00525C12">
        <w:rPr>
          <w:rFonts w:ascii="Times New Roman" w:hAnsi="Times New Roman"/>
          <w:noProof/>
          <w:color w:val="000000"/>
          <w:sz w:val="24"/>
          <w:szCs w:val="24"/>
        </w:rPr>
        <w:t xml:space="preserve"> i zaś</w:t>
      </w:r>
      <w:r>
        <w:rPr>
          <w:rFonts w:ascii="Times New Roman" w:hAnsi="Times New Roman"/>
          <w:noProof/>
          <w:color w:val="000000"/>
          <w:sz w:val="24"/>
          <w:szCs w:val="24"/>
        </w:rPr>
        <w:t>wiadczenia COVID-19 wydawane przez państwa trzecie, które uznaje się za równoważne unijnym cyfrowym zaświadczeniom COVID, powinny stanowić główną metodę udowadniania odbycia badań</w:t>
      </w:r>
      <w:r w:rsidR="00525C12">
        <w:rPr>
          <w:rFonts w:ascii="Times New Roman" w:hAnsi="Times New Roman"/>
          <w:noProof/>
          <w:color w:val="000000"/>
          <w:sz w:val="24"/>
          <w:szCs w:val="24"/>
        </w:rPr>
        <w:t xml:space="preserve"> i prz</w:t>
      </w:r>
      <w:r>
        <w:rPr>
          <w:rFonts w:ascii="Times New Roman" w:hAnsi="Times New Roman"/>
          <w:noProof/>
          <w:color w:val="000000"/>
          <w:sz w:val="24"/>
          <w:szCs w:val="24"/>
        </w:rPr>
        <w:t xml:space="preserve">yjęcia szczepień oraz jedyną metodę udowodniania wyzdrowienia, pod warunkiem że można je wiarygodnie zweryfikować. </w:t>
      </w:r>
    </w:p>
    <w:p w14:paraId="69CBB586" w14:textId="2FD12E30" w:rsidR="00257E78" w:rsidRPr="00E24984" w:rsidRDefault="00257E78" w:rsidP="00257E78">
      <w:pPr>
        <w:spacing w:line="240" w:lineRule="auto"/>
        <w:jc w:val="both"/>
        <w:rPr>
          <w:rFonts w:ascii="Times New Roman" w:hAnsi="Times New Roman" w:cs="Times New Roman"/>
          <w:noProof/>
          <w:sz w:val="24"/>
          <w:szCs w:val="24"/>
        </w:rPr>
      </w:pPr>
      <w:r>
        <w:rPr>
          <w:rFonts w:ascii="Times New Roman" w:hAnsi="Times New Roman"/>
          <w:noProof/>
          <w:color w:val="000000"/>
          <w:sz w:val="24"/>
          <w:szCs w:val="24"/>
        </w:rPr>
        <w:t>Ponadto</w:t>
      </w:r>
      <w:r>
        <w:rPr>
          <w:rFonts w:ascii="Times New Roman" w:hAnsi="Times New Roman"/>
          <w:noProof/>
          <w:sz w:val="24"/>
          <w:szCs w:val="24"/>
        </w:rPr>
        <w:t xml:space="preserve"> –</w:t>
      </w:r>
      <w:r w:rsidR="00525C12">
        <w:rPr>
          <w:rFonts w:ascii="Times New Roman" w:hAnsi="Times New Roman"/>
          <w:noProof/>
          <w:sz w:val="24"/>
          <w:szCs w:val="24"/>
        </w:rPr>
        <w:t xml:space="preserve"> w raz</w:t>
      </w:r>
      <w:r>
        <w:rPr>
          <w:rFonts w:ascii="Times New Roman" w:hAnsi="Times New Roman"/>
          <w:noProof/>
          <w:sz w:val="24"/>
          <w:szCs w:val="24"/>
        </w:rPr>
        <w:t>ie potrzeby</w:t>
      </w:r>
      <w:r w:rsidR="00525C12">
        <w:rPr>
          <w:rFonts w:ascii="Times New Roman" w:hAnsi="Times New Roman"/>
          <w:noProof/>
          <w:sz w:val="24"/>
          <w:szCs w:val="24"/>
        </w:rPr>
        <w:t xml:space="preserve"> i gdy</w:t>
      </w:r>
      <w:r>
        <w:rPr>
          <w:rFonts w:ascii="Times New Roman" w:hAnsi="Times New Roman"/>
          <w:noProof/>
          <w:sz w:val="24"/>
          <w:szCs w:val="24"/>
        </w:rPr>
        <w:t xml:space="preserve"> jest to proporcjonalne – należy wzmocnić działania służące zwiększeniu możliwości państw członkowskich pod względem ustalania kontaktów zakaźnych</w:t>
      </w:r>
      <w:r w:rsidR="00525C12">
        <w:rPr>
          <w:rFonts w:ascii="Times New Roman" w:hAnsi="Times New Roman"/>
          <w:noProof/>
          <w:sz w:val="24"/>
          <w:szCs w:val="24"/>
        </w:rPr>
        <w:t xml:space="preserve"> z pas</w:t>
      </w:r>
      <w:r>
        <w:rPr>
          <w:rFonts w:ascii="Times New Roman" w:hAnsi="Times New Roman"/>
          <w:noProof/>
          <w:sz w:val="24"/>
          <w:szCs w:val="24"/>
        </w:rPr>
        <w:t>ażerami transgranicznymi. Do dalszego upraszczania</w:t>
      </w:r>
      <w:r w:rsidR="00525C12">
        <w:rPr>
          <w:rFonts w:ascii="Times New Roman" w:hAnsi="Times New Roman"/>
          <w:noProof/>
          <w:sz w:val="24"/>
          <w:szCs w:val="24"/>
        </w:rPr>
        <w:t xml:space="preserve"> i dos</w:t>
      </w:r>
      <w:r>
        <w:rPr>
          <w:rFonts w:ascii="Times New Roman" w:hAnsi="Times New Roman"/>
          <w:noProof/>
          <w:sz w:val="24"/>
          <w:szCs w:val="24"/>
        </w:rPr>
        <w:t>konalenia tych procedur zachęcają dotychczasowe wyniki uproszczenia cyfrowych kart lokalizacji pasażera, działań na rzecz rozpowszechnienia unijnego cyfrowego wzoru</w:t>
      </w:r>
      <w:r w:rsidR="00525C12">
        <w:rPr>
          <w:rFonts w:ascii="Times New Roman" w:hAnsi="Times New Roman"/>
          <w:noProof/>
          <w:sz w:val="24"/>
          <w:szCs w:val="24"/>
        </w:rPr>
        <w:t xml:space="preserve"> i wni</w:t>
      </w:r>
      <w:r>
        <w:rPr>
          <w:rFonts w:ascii="Times New Roman" w:hAnsi="Times New Roman"/>
          <w:noProof/>
          <w:sz w:val="24"/>
          <w:szCs w:val="24"/>
        </w:rPr>
        <w:t xml:space="preserve">osku oraz umożliwienia skutecznej wymiany danych pasażerów między państwami członkowskimi. </w:t>
      </w:r>
    </w:p>
    <w:p w14:paraId="58E61479" w14:textId="42AEFA09" w:rsidR="00AF1A6B" w:rsidRPr="00AD4DF9" w:rsidRDefault="00AF1A6B" w:rsidP="00AF1A6B">
      <w:pPr>
        <w:pBdr>
          <w:top w:val="single" w:sz="4" w:space="1" w:color="auto"/>
          <w:left w:val="single" w:sz="4" w:space="4" w:color="auto"/>
          <w:bottom w:val="single" w:sz="4" w:space="1" w:color="auto"/>
          <w:right w:val="single" w:sz="4" w:space="4" w:color="auto"/>
        </w:pBdr>
        <w:spacing w:before="360" w:line="240" w:lineRule="auto"/>
        <w:jc w:val="center"/>
        <w:rPr>
          <w:rFonts w:ascii="Times New Roman" w:hAnsi="Times New Roman" w:cs="Times New Roman"/>
          <w:b/>
          <w:noProof/>
          <w:sz w:val="24"/>
          <w:szCs w:val="24"/>
        </w:rPr>
      </w:pPr>
      <w:r>
        <w:rPr>
          <w:rFonts w:ascii="Times New Roman" w:hAnsi="Times New Roman"/>
          <w:b/>
          <w:noProof/>
          <w:sz w:val="24"/>
          <w:szCs w:val="24"/>
        </w:rPr>
        <w:t>KLUCZOWE DZIAŁANIA DO PODJĘCIA PRZEZ PAŃSTWA CZŁONKOWSKIE I PARLAMENT EUROPEJSKI</w:t>
      </w:r>
    </w:p>
    <w:p w14:paraId="2D37B57C" w14:textId="4F498215" w:rsidR="004D6904" w:rsidRPr="00525C12" w:rsidRDefault="004D6904" w:rsidP="004D6904">
      <w:pPr>
        <w:pStyle w:val="ListParagraph"/>
        <w:numPr>
          <w:ilvl w:val="0"/>
          <w:numId w:val="10"/>
        </w:numPr>
        <w:pBdr>
          <w:top w:val="single" w:sz="4" w:space="1" w:color="auto"/>
          <w:left w:val="single" w:sz="4" w:space="4" w:color="auto"/>
          <w:bottom w:val="single" w:sz="4" w:space="1" w:color="auto"/>
          <w:right w:val="single" w:sz="4" w:space="4" w:color="auto"/>
        </w:pBdr>
        <w:spacing w:line="240" w:lineRule="auto"/>
        <w:ind w:left="480" w:hanging="480"/>
        <w:jc w:val="both"/>
        <w:rPr>
          <w:rFonts w:eastAsiaTheme="minorEastAsia"/>
          <w:noProof/>
          <w:sz w:val="24"/>
          <w:szCs w:val="24"/>
        </w:rPr>
      </w:pPr>
      <w:r>
        <w:rPr>
          <w:rFonts w:ascii="Times New Roman" w:hAnsi="Times New Roman"/>
          <w:noProof/>
          <w:sz w:val="24"/>
          <w:szCs w:val="24"/>
        </w:rPr>
        <w:t>Zniesienie wymogu przedstawiania unijnych cyfrowych zaświadczeń COVID przez podróżnych, gdy tylko pozwoli na to sytuacja epidemiologiczna</w:t>
      </w:r>
      <w:r w:rsidR="00525C12">
        <w:rPr>
          <w:rFonts w:ascii="Times New Roman" w:hAnsi="Times New Roman"/>
          <w:noProof/>
          <w:sz w:val="24"/>
          <w:szCs w:val="24"/>
        </w:rPr>
        <w:t xml:space="preserve"> i w szc</w:t>
      </w:r>
      <w:r>
        <w:rPr>
          <w:rFonts w:ascii="Times New Roman" w:hAnsi="Times New Roman"/>
          <w:noProof/>
          <w:sz w:val="24"/>
          <w:szCs w:val="24"/>
        </w:rPr>
        <w:t>zególności gdy znoszone będą podobne środki krajowe</w:t>
      </w:r>
      <w:r w:rsidRPr="00525C12">
        <w:rPr>
          <w:rFonts w:ascii="Times New Roman" w:hAnsi="Times New Roman"/>
          <w:noProof/>
          <w:sz w:val="24"/>
          <w:szCs w:val="24"/>
        </w:rPr>
        <w:t>.</w:t>
      </w:r>
      <w:r w:rsidR="00525C12" w:rsidRPr="00525C12">
        <w:rPr>
          <w:rFonts w:ascii="Times New Roman" w:hAnsi="Times New Roman"/>
          <w:noProof/>
          <w:sz w:val="24"/>
          <w:szCs w:val="24"/>
        </w:rPr>
        <w:t xml:space="preserve"> </w:t>
      </w:r>
    </w:p>
    <w:p w14:paraId="0DAC589A" w14:textId="4AB2C06A" w:rsidR="00AF1A6B" w:rsidRPr="00AF1A6B" w:rsidRDefault="002C5CBE" w:rsidP="00AF1A6B">
      <w:pPr>
        <w:pStyle w:val="ListParagraph"/>
        <w:numPr>
          <w:ilvl w:val="0"/>
          <w:numId w:val="10"/>
        </w:numPr>
        <w:pBdr>
          <w:top w:val="single" w:sz="4" w:space="1" w:color="auto"/>
          <w:left w:val="single" w:sz="4" w:space="4" w:color="auto"/>
          <w:bottom w:val="single" w:sz="4" w:space="1" w:color="auto"/>
          <w:right w:val="single" w:sz="4" w:space="4" w:color="auto"/>
        </w:pBdr>
        <w:spacing w:line="240" w:lineRule="auto"/>
        <w:ind w:left="480" w:hanging="480"/>
        <w:jc w:val="both"/>
        <w:rPr>
          <w:rFonts w:ascii="Times New Roman" w:hAnsi="Times New Roman" w:cs="Times New Roman"/>
          <w:noProof/>
          <w:sz w:val="24"/>
          <w:szCs w:val="24"/>
        </w:rPr>
      </w:pPr>
      <w:r>
        <w:rPr>
          <w:rFonts w:ascii="Times New Roman" w:hAnsi="Times New Roman"/>
          <w:noProof/>
          <w:sz w:val="24"/>
          <w:szCs w:val="24"/>
        </w:rPr>
        <w:t>Zapewnienie przyjęcia wniosku Komisji dotyczącego przedłużenia stosowania rozporządzenia</w:t>
      </w:r>
      <w:r w:rsidR="00525C12">
        <w:rPr>
          <w:rFonts w:ascii="Times New Roman" w:hAnsi="Times New Roman"/>
          <w:noProof/>
          <w:sz w:val="24"/>
          <w:szCs w:val="24"/>
        </w:rPr>
        <w:t xml:space="preserve"> w spr</w:t>
      </w:r>
      <w:r>
        <w:rPr>
          <w:rFonts w:ascii="Times New Roman" w:hAnsi="Times New Roman"/>
          <w:noProof/>
          <w:sz w:val="24"/>
          <w:szCs w:val="24"/>
        </w:rPr>
        <w:t>awie unijnego cyfrowego zaświadczenia COVID.</w:t>
      </w:r>
    </w:p>
    <w:p w14:paraId="6629CF66" w14:textId="2303DA9E" w:rsidR="00A82268" w:rsidRPr="00AB4B55" w:rsidRDefault="000A693A" w:rsidP="00DD56D4">
      <w:pPr>
        <w:pStyle w:val="ListParagraph"/>
        <w:numPr>
          <w:ilvl w:val="0"/>
          <w:numId w:val="10"/>
        </w:numPr>
        <w:pBdr>
          <w:top w:val="single" w:sz="4" w:space="1" w:color="auto"/>
          <w:left w:val="single" w:sz="4" w:space="4" w:color="auto"/>
          <w:bottom w:val="single" w:sz="4" w:space="1" w:color="auto"/>
          <w:right w:val="single" w:sz="4" w:space="4" w:color="auto"/>
        </w:pBdr>
        <w:spacing w:line="240" w:lineRule="auto"/>
        <w:ind w:left="480" w:hanging="480"/>
        <w:jc w:val="both"/>
        <w:rPr>
          <w:rFonts w:ascii="Times New Roman" w:hAnsi="Times New Roman" w:cs="Times New Roman"/>
          <w:noProof/>
          <w:sz w:val="24"/>
          <w:szCs w:val="24"/>
        </w:rPr>
      </w:pPr>
      <w:r>
        <w:rPr>
          <w:rFonts w:ascii="Times New Roman" w:hAnsi="Times New Roman"/>
          <w:noProof/>
          <w:sz w:val="24"/>
          <w:szCs w:val="24"/>
        </w:rPr>
        <w:t>Zniesienie ograniczeń związanych</w:t>
      </w:r>
      <w:r w:rsidR="00525C12">
        <w:rPr>
          <w:rFonts w:ascii="Times New Roman" w:hAnsi="Times New Roman"/>
          <w:noProof/>
          <w:sz w:val="24"/>
          <w:szCs w:val="24"/>
        </w:rPr>
        <w:t xml:space="preserve"> z pod</w:t>
      </w:r>
      <w:r>
        <w:rPr>
          <w:rFonts w:ascii="Times New Roman" w:hAnsi="Times New Roman"/>
          <w:noProof/>
          <w:sz w:val="24"/>
          <w:szCs w:val="24"/>
        </w:rPr>
        <w:t>różowaniem po i do UE, gdy tylko pozwoli na to sytuacja epidemiologiczna</w:t>
      </w:r>
      <w:r w:rsidR="00525C12">
        <w:rPr>
          <w:rFonts w:ascii="Times New Roman" w:hAnsi="Times New Roman"/>
          <w:noProof/>
          <w:sz w:val="24"/>
          <w:szCs w:val="24"/>
        </w:rPr>
        <w:t xml:space="preserve"> i w szc</w:t>
      </w:r>
      <w:r w:rsidR="002B59E4">
        <w:rPr>
          <w:rFonts w:ascii="Times New Roman" w:hAnsi="Times New Roman"/>
          <w:noProof/>
          <w:sz w:val="24"/>
          <w:szCs w:val="24"/>
        </w:rPr>
        <w:t xml:space="preserve">zególności gdy znoszone będą </w:t>
      </w:r>
      <w:r>
        <w:rPr>
          <w:rFonts w:ascii="Times New Roman" w:hAnsi="Times New Roman"/>
          <w:noProof/>
          <w:sz w:val="24"/>
          <w:szCs w:val="24"/>
        </w:rPr>
        <w:t>podobne środki krajowe.</w:t>
      </w:r>
    </w:p>
    <w:p w14:paraId="5080CD61" w14:textId="121602C3" w:rsidR="00257E78" w:rsidRPr="00257E78" w:rsidRDefault="00257E78" w:rsidP="00257E78">
      <w:pPr>
        <w:pStyle w:val="ListParagraph"/>
        <w:numPr>
          <w:ilvl w:val="0"/>
          <w:numId w:val="10"/>
        </w:numPr>
        <w:pBdr>
          <w:top w:val="single" w:sz="4" w:space="1" w:color="auto"/>
          <w:left w:val="single" w:sz="4" w:space="4" w:color="auto"/>
          <w:bottom w:val="single" w:sz="4" w:space="1" w:color="auto"/>
          <w:right w:val="single" w:sz="4" w:space="4" w:color="auto"/>
        </w:pBdr>
        <w:spacing w:line="240" w:lineRule="auto"/>
        <w:ind w:left="480" w:hanging="480"/>
        <w:jc w:val="both"/>
        <w:rPr>
          <w:rFonts w:ascii="Times New Roman" w:hAnsi="Times New Roman" w:cs="Times New Roman"/>
          <w:noProof/>
          <w:sz w:val="24"/>
          <w:szCs w:val="24"/>
        </w:rPr>
      </w:pPr>
      <w:r>
        <w:rPr>
          <w:rFonts w:ascii="Times New Roman" w:hAnsi="Times New Roman"/>
          <w:noProof/>
          <w:sz w:val="24"/>
          <w:szCs w:val="24"/>
        </w:rPr>
        <w:t>Przystąpienie do platformy wymiany kart lokalizacji pasażera, która znacznie ułatwi prace</w:t>
      </w:r>
      <w:r w:rsidR="00525C12">
        <w:rPr>
          <w:rFonts w:ascii="Times New Roman" w:hAnsi="Times New Roman"/>
          <w:noProof/>
          <w:sz w:val="24"/>
          <w:szCs w:val="24"/>
        </w:rPr>
        <w:t xml:space="preserve"> w prz</w:t>
      </w:r>
      <w:r>
        <w:rPr>
          <w:rFonts w:ascii="Times New Roman" w:hAnsi="Times New Roman"/>
          <w:noProof/>
          <w:sz w:val="24"/>
          <w:szCs w:val="24"/>
        </w:rPr>
        <w:t>ypadku, gdyby priorytetem ponownie stało się ustalanie kontaktów zakaźnych pasażerów transgranicznych, jeżeli będzie tego wymagać sytuacja epidemiologiczna. Przyjęcie</w:t>
      </w:r>
      <w:r w:rsidR="00525C12">
        <w:rPr>
          <w:rFonts w:ascii="Times New Roman" w:hAnsi="Times New Roman"/>
          <w:noProof/>
          <w:sz w:val="24"/>
          <w:szCs w:val="24"/>
        </w:rPr>
        <w:t xml:space="preserve"> w tym</w:t>
      </w:r>
      <w:r>
        <w:rPr>
          <w:rFonts w:ascii="Times New Roman" w:hAnsi="Times New Roman"/>
          <w:noProof/>
          <w:sz w:val="24"/>
          <w:szCs w:val="24"/>
        </w:rPr>
        <w:t xml:space="preserve"> celu cyfrowych wersji, najlepiej wzoru</w:t>
      </w:r>
      <w:r w:rsidR="00525C12">
        <w:rPr>
          <w:rFonts w:ascii="Times New Roman" w:hAnsi="Times New Roman"/>
          <w:noProof/>
          <w:sz w:val="24"/>
          <w:szCs w:val="24"/>
        </w:rPr>
        <w:t xml:space="preserve"> i wni</w:t>
      </w:r>
      <w:r>
        <w:rPr>
          <w:rFonts w:ascii="Times New Roman" w:hAnsi="Times New Roman"/>
          <w:noProof/>
          <w:sz w:val="24"/>
          <w:szCs w:val="24"/>
        </w:rPr>
        <w:t>osku unijnej cyfrowej karty lokalizacji pasażera.</w:t>
      </w:r>
    </w:p>
    <w:p w14:paraId="187569A5" w14:textId="383E1DCE" w:rsidR="00FF5A95" w:rsidRPr="00FE69A6" w:rsidRDefault="003E4090" w:rsidP="00FE69A6">
      <w:pPr>
        <w:pStyle w:val="Text1"/>
        <w:keepNext/>
        <w:numPr>
          <w:ilvl w:val="0"/>
          <w:numId w:val="11"/>
        </w:numPr>
        <w:spacing w:after="200"/>
        <w:rPr>
          <w:b/>
          <w:bCs/>
          <w:i/>
          <w:iCs/>
          <w:noProof/>
        </w:rPr>
      </w:pPr>
      <w:r>
        <w:rPr>
          <w:b/>
          <w:bCs/>
          <w:i/>
          <w:iCs/>
          <w:noProof/>
        </w:rPr>
        <w:t>Szczepionki</w:t>
      </w:r>
      <w:r w:rsidR="00525C12">
        <w:rPr>
          <w:b/>
          <w:bCs/>
          <w:i/>
          <w:iCs/>
          <w:noProof/>
        </w:rPr>
        <w:t xml:space="preserve"> i śro</w:t>
      </w:r>
      <w:r>
        <w:rPr>
          <w:b/>
          <w:bCs/>
          <w:i/>
          <w:iCs/>
          <w:noProof/>
        </w:rPr>
        <w:t>dki terapeutyczne przeciwko COVID-19</w:t>
      </w:r>
      <w:r w:rsidR="00525C12">
        <w:rPr>
          <w:b/>
          <w:bCs/>
          <w:i/>
          <w:iCs/>
          <w:noProof/>
        </w:rPr>
        <w:t xml:space="preserve"> i bad</w:t>
      </w:r>
      <w:r>
        <w:rPr>
          <w:b/>
          <w:bCs/>
          <w:i/>
          <w:iCs/>
          <w:noProof/>
        </w:rPr>
        <w:t>ania kliniczne</w:t>
      </w:r>
      <w:r w:rsidR="00525C12">
        <w:rPr>
          <w:b/>
          <w:bCs/>
          <w:i/>
          <w:iCs/>
          <w:noProof/>
        </w:rPr>
        <w:t xml:space="preserve"> w zak</w:t>
      </w:r>
      <w:r>
        <w:rPr>
          <w:b/>
          <w:bCs/>
          <w:i/>
          <w:iCs/>
          <w:noProof/>
        </w:rPr>
        <w:t>resie COVID-19</w:t>
      </w:r>
    </w:p>
    <w:p w14:paraId="1446130D" w14:textId="75E97689" w:rsidR="003E4090" w:rsidRPr="003E4090" w:rsidRDefault="003E4090" w:rsidP="00FE69A6">
      <w:pPr>
        <w:keepNext/>
        <w:spacing w:after="120" w:line="240" w:lineRule="auto"/>
        <w:jc w:val="both"/>
        <w:rPr>
          <w:rFonts w:ascii="Times New Roman" w:hAnsi="Times New Roman" w:cs="Times New Roman"/>
          <w:b/>
          <w:i/>
          <w:noProof/>
          <w:sz w:val="24"/>
          <w:szCs w:val="24"/>
        </w:rPr>
      </w:pPr>
      <w:r>
        <w:rPr>
          <w:rFonts w:ascii="Times New Roman" w:hAnsi="Times New Roman"/>
          <w:b/>
          <w:i/>
          <w:noProof/>
          <w:sz w:val="24"/>
          <w:szCs w:val="24"/>
        </w:rPr>
        <w:t xml:space="preserve">Szczepionki przeciwko COVID-19 </w:t>
      </w:r>
    </w:p>
    <w:p w14:paraId="36489FBD" w14:textId="436C12D2" w:rsidR="00FC0337" w:rsidRDefault="008E6FE1" w:rsidP="00436F11">
      <w:pPr>
        <w:spacing w:line="240" w:lineRule="auto"/>
        <w:jc w:val="both"/>
        <w:rPr>
          <w:rFonts w:ascii="Times New Roman" w:hAnsi="Times New Roman" w:cs="Times New Roman"/>
          <w:noProof/>
          <w:sz w:val="24"/>
          <w:szCs w:val="24"/>
        </w:rPr>
      </w:pPr>
      <w:r>
        <w:rPr>
          <w:rFonts w:ascii="Times New Roman" w:hAnsi="Times New Roman"/>
          <w:noProof/>
          <w:sz w:val="24"/>
          <w:szCs w:val="24"/>
        </w:rPr>
        <w:t>Stopniowo będzie udostępniana druga generacja szczepionek,</w:t>
      </w:r>
      <w:r w:rsidR="00525C12">
        <w:rPr>
          <w:rFonts w:ascii="Times New Roman" w:hAnsi="Times New Roman"/>
          <w:noProof/>
          <w:sz w:val="24"/>
          <w:szCs w:val="24"/>
        </w:rPr>
        <w:t xml:space="preserve"> w wyn</w:t>
      </w:r>
      <w:r>
        <w:rPr>
          <w:rFonts w:ascii="Times New Roman" w:hAnsi="Times New Roman"/>
          <w:noProof/>
          <w:sz w:val="24"/>
          <w:szCs w:val="24"/>
        </w:rPr>
        <w:t>iku czego zapewnione zostaną dodatkowe</w:t>
      </w:r>
      <w:r w:rsidR="00525C12">
        <w:rPr>
          <w:rFonts w:ascii="Times New Roman" w:hAnsi="Times New Roman"/>
          <w:noProof/>
          <w:sz w:val="24"/>
          <w:szCs w:val="24"/>
        </w:rPr>
        <w:t xml:space="preserve"> i być</w:t>
      </w:r>
      <w:r>
        <w:rPr>
          <w:rFonts w:ascii="Times New Roman" w:hAnsi="Times New Roman"/>
          <w:noProof/>
          <w:sz w:val="24"/>
          <w:szCs w:val="24"/>
        </w:rPr>
        <w:t xml:space="preserve"> może bardziej skuteczne opcje,</w:t>
      </w:r>
      <w:r w:rsidR="00525C12">
        <w:rPr>
          <w:rFonts w:ascii="Times New Roman" w:hAnsi="Times New Roman"/>
          <w:noProof/>
          <w:sz w:val="24"/>
          <w:szCs w:val="24"/>
        </w:rPr>
        <w:t xml:space="preserve"> w tym</w:t>
      </w:r>
      <w:r>
        <w:rPr>
          <w:rFonts w:ascii="Times New Roman" w:hAnsi="Times New Roman"/>
          <w:noProof/>
          <w:sz w:val="24"/>
          <w:szCs w:val="24"/>
        </w:rPr>
        <w:t xml:space="preserve"> szersza, bardziej kompleksowa</w:t>
      </w:r>
      <w:r w:rsidR="00525C12">
        <w:rPr>
          <w:rFonts w:ascii="Times New Roman" w:hAnsi="Times New Roman"/>
          <w:noProof/>
          <w:sz w:val="24"/>
          <w:szCs w:val="24"/>
        </w:rPr>
        <w:t xml:space="preserve"> i dłu</w:t>
      </w:r>
      <w:r>
        <w:rPr>
          <w:rFonts w:ascii="Times New Roman" w:hAnsi="Times New Roman"/>
          <w:noProof/>
          <w:sz w:val="24"/>
          <w:szCs w:val="24"/>
        </w:rPr>
        <w:t>ższa ochrona przed zakażeniem lub przenoszeniem zakażenia. Komisja, za pośrednictwem HERA,</w:t>
      </w:r>
      <w:r w:rsidR="00525C12">
        <w:rPr>
          <w:rFonts w:ascii="Times New Roman" w:hAnsi="Times New Roman"/>
          <w:noProof/>
          <w:sz w:val="24"/>
          <w:szCs w:val="24"/>
        </w:rPr>
        <w:t xml:space="preserve"> i Eur</w:t>
      </w:r>
      <w:r>
        <w:rPr>
          <w:rFonts w:ascii="Times New Roman" w:hAnsi="Times New Roman"/>
          <w:noProof/>
          <w:sz w:val="24"/>
          <w:szCs w:val="24"/>
        </w:rPr>
        <w:t>opejska Agencja Leków wspólnie</w:t>
      </w:r>
      <w:r w:rsidR="00525C12">
        <w:rPr>
          <w:rFonts w:ascii="Times New Roman" w:hAnsi="Times New Roman"/>
          <w:noProof/>
          <w:sz w:val="24"/>
          <w:szCs w:val="24"/>
        </w:rPr>
        <w:t xml:space="preserve"> z mię</w:t>
      </w:r>
      <w:r>
        <w:rPr>
          <w:rFonts w:ascii="Times New Roman" w:hAnsi="Times New Roman"/>
          <w:noProof/>
          <w:sz w:val="24"/>
          <w:szCs w:val="24"/>
        </w:rPr>
        <w:t>dzynarodowymi partnerami UE,</w:t>
      </w:r>
      <w:r w:rsidR="00525C12">
        <w:rPr>
          <w:rFonts w:ascii="Times New Roman" w:hAnsi="Times New Roman"/>
          <w:noProof/>
          <w:sz w:val="24"/>
          <w:szCs w:val="24"/>
        </w:rPr>
        <w:t xml:space="preserve"> w tym z Koa</w:t>
      </w:r>
      <w:r>
        <w:rPr>
          <w:rFonts w:ascii="Times New Roman" w:hAnsi="Times New Roman"/>
          <w:noProof/>
          <w:sz w:val="24"/>
          <w:szCs w:val="24"/>
        </w:rPr>
        <w:t>licją na rzecz innowacji dotyczących gotowości na wypadek wystąpienia epidemii, będą kontynuować współpracę</w:t>
      </w:r>
      <w:r w:rsidR="00525C12">
        <w:rPr>
          <w:rFonts w:ascii="Times New Roman" w:hAnsi="Times New Roman"/>
          <w:noProof/>
          <w:sz w:val="24"/>
          <w:szCs w:val="24"/>
        </w:rPr>
        <w:t xml:space="preserve"> z pro</w:t>
      </w:r>
      <w:r>
        <w:rPr>
          <w:rFonts w:ascii="Times New Roman" w:hAnsi="Times New Roman"/>
          <w:noProof/>
          <w:sz w:val="24"/>
          <w:szCs w:val="24"/>
        </w:rPr>
        <w:t>ducentami szczepionek, aby zapewnić skoordynowane podejście</w:t>
      </w:r>
      <w:r w:rsidR="00525C12">
        <w:rPr>
          <w:rFonts w:ascii="Times New Roman" w:hAnsi="Times New Roman"/>
          <w:noProof/>
          <w:sz w:val="24"/>
          <w:szCs w:val="24"/>
        </w:rPr>
        <w:t xml:space="preserve"> w zak</w:t>
      </w:r>
      <w:r>
        <w:rPr>
          <w:rFonts w:ascii="Times New Roman" w:hAnsi="Times New Roman"/>
          <w:noProof/>
          <w:sz w:val="24"/>
          <w:szCs w:val="24"/>
        </w:rPr>
        <w:t>resie szczepionek drugiej generacji zgodnie</w:t>
      </w:r>
      <w:r w:rsidR="00525C12">
        <w:rPr>
          <w:rFonts w:ascii="Times New Roman" w:hAnsi="Times New Roman"/>
          <w:noProof/>
          <w:sz w:val="24"/>
          <w:szCs w:val="24"/>
        </w:rPr>
        <w:t xml:space="preserve"> z pot</w:t>
      </w:r>
      <w:r>
        <w:rPr>
          <w:rFonts w:ascii="Times New Roman" w:hAnsi="Times New Roman"/>
          <w:noProof/>
          <w:sz w:val="24"/>
          <w:szCs w:val="24"/>
        </w:rPr>
        <w:t>rzebami państw członkowskich. Ponadto obecnie część producentów pracuje nad szczepionkami skojarzonymi przeciwko COVID-19</w:t>
      </w:r>
      <w:r w:rsidR="00525C12">
        <w:rPr>
          <w:rFonts w:ascii="Times New Roman" w:hAnsi="Times New Roman"/>
          <w:noProof/>
          <w:sz w:val="24"/>
          <w:szCs w:val="24"/>
        </w:rPr>
        <w:t xml:space="preserve"> i gry</w:t>
      </w:r>
      <w:r>
        <w:rPr>
          <w:rFonts w:ascii="Times New Roman" w:hAnsi="Times New Roman"/>
          <w:noProof/>
          <w:sz w:val="24"/>
          <w:szCs w:val="24"/>
        </w:rPr>
        <w:t xml:space="preserve">pie sezonowej. Jeżeli prace te zakończą się sukcesem, takie szczepionki mogą okazać się potężnym narzędziem na potrzeby państw członkowskich. </w:t>
      </w:r>
    </w:p>
    <w:p w14:paraId="611D90A5" w14:textId="2D5B8B82" w:rsidR="00100BAF" w:rsidRDefault="008D7996" w:rsidP="002158D9">
      <w:pPr>
        <w:spacing w:line="240" w:lineRule="auto"/>
        <w:jc w:val="both"/>
        <w:rPr>
          <w:rFonts w:ascii="Times New Roman" w:hAnsi="Times New Roman" w:cs="Times New Roman"/>
          <w:noProof/>
          <w:sz w:val="24"/>
          <w:szCs w:val="24"/>
        </w:rPr>
      </w:pPr>
      <w:r>
        <w:rPr>
          <w:rFonts w:ascii="Times New Roman" w:hAnsi="Times New Roman"/>
          <w:noProof/>
          <w:sz w:val="24"/>
          <w:szCs w:val="24"/>
        </w:rPr>
        <w:t>Komisja i EMA uwzględnią wszelkie regulacyjne zasady elastyczności</w:t>
      </w:r>
      <w:r w:rsidR="00525C12">
        <w:rPr>
          <w:rFonts w:ascii="Times New Roman" w:hAnsi="Times New Roman"/>
          <w:noProof/>
          <w:sz w:val="24"/>
          <w:szCs w:val="24"/>
        </w:rPr>
        <w:t xml:space="preserve"> i upr</w:t>
      </w:r>
      <w:r>
        <w:rPr>
          <w:rFonts w:ascii="Times New Roman" w:hAnsi="Times New Roman"/>
          <w:noProof/>
          <w:sz w:val="24"/>
          <w:szCs w:val="24"/>
        </w:rPr>
        <w:t>oszczenia konieczne na potrzeby szczepionek następnej generacji</w:t>
      </w:r>
      <w:r w:rsidR="00525C12">
        <w:rPr>
          <w:rFonts w:ascii="Times New Roman" w:hAnsi="Times New Roman"/>
          <w:noProof/>
          <w:sz w:val="24"/>
          <w:szCs w:val="24"/>
        </w:rPr>
        <w:t xml:space="preserve"> i szc</w:t>
      </w:r>
      <w:r>
        <w:rPr>
          <w:rFonts w:ascii="Times New Roman" w:hAnsi="Times New Roman"/>
          <w:noProof/>
          <w:sz w:val="24"/>
          <w:szCs w:val="24"/>
        </w:rPr>
        <w:t>zepionek uniwersalnych przeciwko COVID-19, bazując na zmianach już wprowadzonych</w:t>
      </w:r>
      <w:r w:rsidR="00525C12">
        <w:rPr>
          <w:rFonts w:ascii="Times New Roman" w:hAnsi="Times New Roman"/>
          <w:noProof/>
          <w:sz w:val="24"/>
          <w:szCs w:val="24"/>
        </w:rPr>
        <w:t xml:space="preserve"> w ram</w:t>
      </w:r>
      <w:r>
        <w:rPr>
          <w:rFonts w:ascii="Times New Roman" w:hAnsi="Times New Roman"/>
          <w:noProof/>
          <w:sz w:val="24"/>
          <w:szCs w:val="24"/>
        </w:rPr>
        <w:t>ach regulacyjnych</w:t>
      </w:r>
      <w:r w:rsidR="00FC0337">
        <w:rPr>
          <w:rStyle w:val="FootnoteReference"/>
          <w:rFonts w:ascii="Times New Roman" w:hAnsi="Times New Roman" w:cs="Times New Roman"/>
          <w:noProof/>
          <w:sz w:val="24"/>
          <w:szCs w:val="24"/>
          <w:lang w:val="en-IE"/>
        </w:rPr>
        <w:footnoteReference w:id="25"/>
      </w:r>
      <w:r>
        <w:rPr>
          <w:rFonts w:ascii="Times New Roman" w:hAnsi="Times New Roman"/>
          <w:noProof/>
          <w:sz w:val="24"/>
          <w:szCs w:val="24"/>
        </w:rPr>
        <w:t>,</w:t>
      </w:r>
      <w:r w:rsidR="00525C12">
        <w:rPr>
          <w:rFonts w:ascii="Times New Roman" w:hAnsi="Times New Roman"/>
          <w:noProof/>
          <w:sz w:val="24"/>
          <w:szCs w:val="24"/>
        </w:rPr>
        <w:t xml:space="preserve"> a tak</w:t>
      </w:r>
      <w:r>
        <w:rPr>
          <w:rFonts w:ascii="Times New Roman" w:hAnsi="Times New Roman"/>
          <w:noProof/>
          <w:sz w:val="24"/>
          <w:szCs w:val="24"/>
        </w:rPr>
        <w:t>że na obowiązujących obecnie opublikowanych wytycznych</w:t>
      </w:r>
      <w:r>
        <w:rPr>
          <w:rStyle w:val="FootnoteReference"/>
          <w:rFonts w:ascii="Times New Roman" w:hAnsi="Times New Roman" w:cs="Times New Roman"/>
          <w:noProof/>
          <w:sz w:val="24"/>
          <w:szCs w:val="24"/>
          <w:lang w:val="en-IE"/>
        </w:rPr>
        <w:footnoteReference w:id="26"/>
      </w:r>
      <w:r>
        <w:rPr>
          <w:rFonts w:ascii="Times New Roman" w:hAnsi="Times New Roman"/>
          <w:noProof/>
          <w:sz w:val="24"/>
          <w:szCs w:val="24"/>
        </w:rPr>
        <w:t xml:space="preserve">. </w:t>
      </w:r>
    </w:p>
    <w:p w14:paraId="78D5B4D3" w14:textId="0A558A0D" w:rsidR="00041E0F" w:rsidRDefault="00041E0F" w:rsidP="00041E0F">
      <w:pPr>
        <w:spacing w:line="240" w:lineRule="auto"/>
        <w:jc w:val="both"/>
        <w:rPr>
          <w:rFonts w:ascii="Times New Roman" w:hAnsi="Times New Roman" w:cs="Times New Roman"/>
          <w:noProof/>
          <w:sz w:val="24"/>
          <w:szCs w:val="24"/>
        </w:rPr>
      </w:pPr>
      <w:r>
        <w:rPr>
          <w:rFonts w:ascii="Times New Roman" w:hAnsi="Times New Roman"/>
          <w:noProof/>
          <w:sz w:val="24"/>
          <w:szCs w:val="24"/>
        </w:rPr>
        <w:t>W wyniku skutecznej realizacji strategii UE dotyczącej szczepionek przeciwko COVID-19 zapewniono stałe</w:t>
      </w:r>
      <w:r w:rsidR="00525C12">
        <w:rPr>
          <w:rFonts w:ascii="Times New Roman" w:hAnsi="Times New Roman"/>
          <w:noProof/>
          <w:sz w:val="24"/>
          <w:szCs w:val="24"/>
        </w:rPr>
        <w:t xml:space="preserve"> i prz</w:t>
      </w:r>
      <w:r>
        <w:rPr>
          <w:rFonts w:ascii="Times New Roman" w:hAnsi="Times New Roman"/>
          <w:noProof/>
          <w:sz w:val="24"/>
          <w:szCs w:val="24"/>
        </w:rPr>
        <w:t>ewidywalne dostawy szczepionek, co –</w:t>
      </w:r>
      <w:r w:rsidR="00525C12">
        <w:rPr>
          <w:rFonts w:ascii="Times New Roman" w:hAnsi="Times New Roman"/>
          <w:noProof/>
          <w:sz w:val="24"/>
          <w:szCs w:val="24"/>
        </w:rPr>
        <w:t xml:space="preserve"> w poł</w:t>
      </w:r>
      <w:r>
        <w:rPr>
          <w:rFonts w:ascii="Times New Roman" w:hAnsi="Times New Roman"/>
          <w:noProof/>
          <w:sz w:val="24"/>
          <w:szCs w:val="24"/>
        </w:rPr>
        <w:t>ączeniu ze stagnacją wskaźników wyszczepienia –</w:t>
      </w:r>
      <w:r w:rsidR="00525C12">
        <w:rPr>
          <w:rFonts w:ascii="Times New Roman" w:hAnsi="Times New Roman"/>
          <w:noProof/>
          <w:sz w:val="24"/>
          <w:szCs w:val="24"/>
        </w:rPr>
        <w:t xml:space="preserve"> w efe</w:t>
      </w:r>
      <w:r>
        <w:rPr>
          <w:rFonts w:ascii="Times New Roman" w:hAnsi="Times New Roman"/>
          <w:noProof/>
          <w:sz w:val="24"/>
          <w:szCs w:val="24"/>
        </w:rPr>
        <w:t>kcie spowodowało nagromadzenie niezużytych dawek. Komisja</w:t>
      </w:r>
      <w:r w:rsidR="00525C12">
        <w:rPr>
          <w:rFonts w:ascii="Times New Roman" w:hAnsi="Times New Roman"/>
          <w:noProof/>
          <w:sz w:val="24"/>
          <w:szCs w:val="24"/>
        </w:rPr>
        <w:t xml:space="preserve"> i pań</w:t>
      </w:r>
      <w:r>
        <w:rPr>
          <w:rFonts w:ascii="Times New Roman" w:hAnsi="Times New Roman"/>
          <w:noProof/>
          <w:sz w:val="24"/>
          <w:szCs w:val="24"/>
        </w:rPr>
        <w:t>stwa członkowskie koncentrują się obecne na ścisłej współpracy</w:t>
      </w:r>
      <w:r w:rsidR="00525C12">
        <w:rPr>
          <w:rFonts w:ascii="Times New Roman" w:hAnsi="Times New Roman"/>
          <w:noProof/>
          <w:sz w:val="24"/>
          <w:szCs w:val="24"/>
        </w:rPr>
        <w:t xml:space="preserve"> z pro</w:t>
      </w:r>
      <w:r>
        <w:rPr>
          <w:rFonts w:ascii="Times New Roman" w:hAnsi="Times New Roman"/>
          <w:noProof/>
          <w:sz w:val="24"/>
          <w:szCs w:val="24"/>
        </w:rPr>
        <w:t xml:space="preserve">ducentami, aby zoptymalizować dostosowania podaży do popytu. </w:t>
      </w:r>
    </w:p>
    <w:p w14:paraId="11101E34" w14:textId="77777777" w:rsidR="00CB4F6C" w:rsidRPr="0050544E" w:rsidRDefault="00CB4F6C" w:rsidP="00CB4F6C">
      <w:pPr>
        <w:pBdr>
          <w:top w:val="single" w:sz="4" w:space="1" w:color="auto"/>
          <w:left w:val="single" w:sz="4" w:space="4" w:color="auto"/>
          <w:bottom w:val="single" w:sz="4" w:space="1" w:color="auto"/>
          <w:right w:val="single" w:sz="4" w:space="4" w:color="auto"/>
        </w:pBdr>
        <w:spacing w:after="120" w:line="240" w:lineRule="auto"/>
        <w:jc w:val="center"/>
        <w:rPr>
          <w:rFonts w:ascii="Times New Roman" w:hAnsi="Times New Roman" w:cs="Times New Roman"/>
          <w:b/>
          <w:noProof/>
          <w:sz w:val="24"/>
          <w:szCs w:val="24"/>
        </w:rPr>
      </w:pPr>
      <w:r>
        <w:rPr>
          <w:rFonts w:ascii="Times New Roman" w:hAnsi="Times New Roman"/>
          <w:b/>
          <w:noProof/>
          <w:sz w:val="24"/>
          <w:szCs w:val="24"/>
        </w:rPr>
        <w:t>INICJATYWY I DZIAŁANIA UE</w:t>
      </w:r>
    </w:p>
    <w:p w14:paraId="36F8B8CB" w14:textId="42AC6F1F" w:rsidR="009912D9" w:rsidRPr="009912D9" w:rsidRDefault="009912D9" w:rsidP="009912D9">
      <w:pPr>
        <w:pStyle w:val="ListParagraph"/>
        <w:numPr>
          <w:ilvl w:val="0"/>
          <w:numId w:val="10"/>
        </w:numPr>
        <w:pBdr>
          <w:top w:val="single" w:sz="4" w:space="1" w:color="auto"/>
          <w:left w:val="single" w:sz="4" w:space="4" w:color="auto"/>
          <w:bottom w:val="single" w:sz="4" w:space="1" w:color="auto"/>
          <w:right w:val="single" w:sz="4" w:space="4" w:color="auto"/>
        </w:pBdr>
        <w:spacing w:line="240" w:lineRule="auto"/>
        <w:ind w:left="480" w:hanging="480"/>
        <w:jc w:val="both"/>
        <w:rPr>
          <w:rFonts w:ascii="Times New Roman" w:hAnsi="Times New Roman" w:cs="Times New Roman"/>
          <w:noProof/>
          <w:sz w:val="24"/>
          <w:szCs w:val="24"/>
        </w:rPr>
      </w:pPr>
      <w:r>
        <w:rPr>
          <w:rFonts w:ascii="Times New Roman" w:hAnsi="Times New Roman"/>
          <w:noProof/>
          <w:sz w:val="24"/>
          <w:szCs w:val="24"/>
        </w:rPr>
        <w:t>Opracowanie strategii na rzecz następnej generacji szczepionek przeciwko COVID-19, sprzyjającej koordynacji</w:t>
      </w:r>
      <w:r w:rsidR="00525C12">
        <w:rPr>
          <w:rFonts w:ascii="Times New Roman" w:hAnsi="Times New Roman"/>
          <w:noProof/>
          <w:sz w:val="24"/>
          <w:szCs w:val="24"/>
        </w:rPr>
        <w:t xml:space="preserve"> w tym</w:t>
      </w:r>
      <w:r>
        <w:rPr>
          <w:rFonts w:ascii="Times New Roman" w:hAnsi="Times New Roman"/>
          <w:noProof/>
          <w:sz w:val="24"/>
          <w:szCs w:val="24"/>
        </w:rPr>
        <w:t xml:space="preserve"> zakresie między podmiotami, ekspertami</w:t>
      </w:r>
      <w:r w:rsidR="00525C12">
        <w:rPr>
          <w:rFonts w:ascii="Times New Roman" w:hAnsi="Times New Roman"/>
          <w:noProof/>
          <w:sz w:val="24"/>
          <w:szCs w:val="24"/>
        </w:rPr>
        <w:t xml:space="preserve"> i bad</w:t>
      </w:r>
      <w:r>
        <w:rPr>
          <w:rFonts w:ascii="Times New Roman" w:hAnsi="Times New Roman"/>
          <w:noProof/>
          <w:sz w:val="24"/>
          <w:szCs w:val="24"/>
        </w:rPr>
        <w:t>aczami</w:t>
      </w:r>
      <w:r w:rsidR="00525C12">
        <w:rPr>
          <w:rFonts w:ascii="Times New Roman" w:hAnsi="Times New Roman"/>
          <w:noProof/>
          <w:sz w:val="24"/>
          <w:szCs w:val="24"/>
        </w:rPr>
        <w:t xml:space="preserve"> w dzi</w:t>
      </w:r>
      <w:r>
        <w:rPr>
          <w:rFonts w:ascii="Times New Roman" w:hAnsi="Times New Roman"/>
          <w:noProof/>
          <w:sz w:val="24"/>
          <w:szCs w:val="24"/>
        </w:rPr>
        <w:t xml:space="preserve">edzinie zdrowia publicznego. </w:t>
      </w:r>
    </w:p>
    <w:p w14:paraId="32636E2F" w14:textId="5036AAE9" w:rsidR="00CB4F6C" w:rsidRPr="00436F11" w:rsidRDefault="00F02887" w:rsidP="00CB4F6C">
      <w:pPr>
        <w:pStyle w:val="ListParagraph"/>
        <w:numPr>
          <w:ilvl w:val="0"/>
          <w:numId w:val="10"/>
        </w:numPr>
        <w:pBdr>
          <w:top w:val="single" w:sz="4" w:space="1" w:color="auto"/>
          <w:left w:val="single" w:sz="4" w:space="4" w:color="auto"/>
          <w:bottom w:val="single" w:sz="4" w:space="1" w:color="auto"/>
          <w:right w:val="single" w:sz="4" w:space="4" w:color="auto"/>
        </w:pBdr>
        <w:spacing w:after="240" w:line="240" w:lineRule="auto"/>
        <w:ind w:left="480" w:hanging="480"/>
        <w:jc w:val="both"/>
        <w:rPr>
          <w:rFonts w:ascii="Times New Roman" w:hAnsi="Times New Roman" w:cs="Times New Roman"/>
          <w:i/>
          <w:iCs/>
          <w:noProof/>
          <w:sz w:val="24"/>
          <w:szCs w:val="24"/>
        </w:rPr>
      </w:pPr>
      <w:r>
        <w:rPr>
          <w:rFonts w:ascii="Times New Roman" w:hAnsi="Times New Roman"/>
          <w:noProof/>
          <w:sz w:val="24"/>
          <w:szCs w:val="24"/>
        </w:rPr>
        <w:t xml:space="preserve">Wspieranie projektów opracowania szczepionek następnej generacji poprzez program prac </w:t>
      </w:r>
      <w:r w:rsidRPr="00525C12">
        <w:rPr>
          <w:rFonts w:ascii="Times New Roman" w:hAnsi="Times New Roman"/>
          <w:noProof/>
          <w:sz w:val="24"/>
          <w:szCs w:val="24"/>
        </w:rPr>
        <w:t>na</w:t>
      </w:r>
      <w:r w:rsidR="00525C12" w:rsidRPr="00525C12">
        <w:rPr>
          <w:rFonts w:ascii="Times New Roman" w:hAnsi="Times New Roman"/>
          <w:noProof/>
          <w:sz w:val="24"/>
          <w:szCs w:val="24"/>
        </w:rPr>
        <w:t> </w:t>
      </w:r>
      <w:r w:rsidRPr="00525C12">
        <w:rPr>
          <w:rFonts w:ascii="Times New Roman" w:hAnsi="Times New Roman"/>
          <w:noProof/>
          <w:sz w:val="24"/>
          <w:szCs w:val="24"/>
        </w:rPr>
        <w:t>2</w:t>
      </w:r>
      <w:r>
        <w:rPr>
          <w:rFonts w:ascii="Times New Roman" w:hAnsi="Times New Roman"/>
          <w:noProof/>
          <w:sz w:val="24"/>
          <w:szCs w:val="24"/>
        </w:rPr>
        <w:t>0</w:t>
      </w:r>
      <w:r w:rsidRPr="00525C12">
        <w:rPr>
          <w:rFonts w:ascii="Times New Roman" w:hAnsi="Times New Roman"/>
          <w:noProof/>
          <w:sz w:val="24"/>
          <w:szCs w:val="24"/>
        </w:rPr>
        <w:t>22</w:t>
      </w:r>
      <w:r w:rsidR="00525C12" w:rsidRPr="00525C12">
        <w:rPr>
          <w:rFonts w:ascii="Times New Roman" w:hAnsi="Times New Roman"/>
          <w:noProof/>
          <w:sz w:val="24"/>
          <w:szCs w:val="24"/>
        </w:rPr>
        <w:t> </w:t>
      </w:r>
      <w:r w:rsidRPr="00525C12">
        <w:rPr>
          <w:rFonts w:ascii="Times New Roman" w:hAnsi="Times New Roman"/>
          <w:noProof/>
          <w:sz w:val="24"/>
          <w:szCs w:val="24"/>
        </w:rPr>
        <w:t>r.</w:t>
      </w:r>
      <w:r w:rsidR="00525C12">
        <w:rPr>
          <w:rFonts w:ascii="Times New Roman" w:hAnsi="Times New Roman"/>
          <w:noProof/>
          <w:sz w:val="24"/>
          <w:szCs w:val="24"/>
        </w:rPr>
        <w:t xml:space="preserve"> w ram</w:t>
      </w:r>
      <w:r>
        <w:rPr>
          <w:rFonts w:ascii="Times New Roman" w:hAnsi="Times New Roman"/>
          <w:noProof/>
          <w:sz w:val="24"/>
          <w:szCs w:val="24"/>
        </w:rPr>
        <w:t>ach programu „Horyzont Europa”</w:t>
      </w:r>
      <w:r w:rsidR="00CB4F6C" w:rsidRPr="002158D9">
        <w:rPr>
          <w:rFonts w:ascii="Times New Roman" w:hAnsi="Times New Roman" w:cs="Times New Roman"/>
          <w:noProof/>
          <w:sz w:val="24"/>
          <w:szCs w:val="24"/>
          <w:vertAlign w:val="superscript"/>
        </w:rPr>
        <w:footnoteReference w:id="27"/>
      </w:r>
      <w:r>
        <w:rPr>
          <w:rFonts w:ascii="Times New Roman" w:hAnsi="Times New Roman"/>
          <w:noProof/>
          <w:sz w:val="24"/>
          <w:szCs w:val="24"/>
        </w:rPr>
        <w:t>.</w:t>
      </w:r>
    </w:p>
    <w:p w14:paraId="01D4B111" w14:textId="15057A2E" w:rsidR="00F02887" w:rsidRPr="00F02887" w:rsidRDefault="00470DEA" w:rsidP="00F02887">
      <w:pPr>
        <w:pStyle w:val="ListParagraph"/>
        <w:numPr>
          <w:ilvl w:val="0"/>
          <w:numId w:val="10"/>
        </w:numPr>
        <w:pBdr>
          <w:top w:val="single" w:sz="4" w:space="1" w:color="auto"/>
          <w:left w:val="single" w:sz="4" w:space="4" w:color="auto"/>
          <w:bottom w:val="single" w:sz="4" w:space="1" w:color="auto"/>
          <w:right w:val="single" w:sz="4" w:space="4" w:color="auto"/>
        </w:pBdr>
        <w:spacing w:after="240" w:line="240" w:lineRule="auto"/>
        <w:ind w:left="480" w:hanging="480"/>
        <w:jc w:val="both"/>
        <w:rPr>
          <w:rFonts w:ascii="Times New Roman" w:hAnsi="Times New Roman" w:cs="Times New Roman"/>
          <w:noProof/>
          <w:sz w:val="24"/>
          <w:szCs w:val="24"/>
        </w:rPr>
      </w:pPr>
      <w:r>
        <w:rPr>
          <w:rFonts w:ascii="Times New Roman" w:hAnsi="Times New Roman"/>
          <w:noProof/>
          <w:sz w:val="24"/>
          <w:szCs w:val="24"/>
        </w:rPr>
        <w:t>Identyfikacja obiecujących kandydatów na następną generację szczepionek przeciwko COVID-19</w:t>
      </w:r>
      <w:r w:rsidR="00525C12">
        <w:rPr>
          <w:rFonts w:ascii="Times New Roman" w:hAnsi="Times New Roman"/>
          <w:noProof/>
          <w:sz w:val="24"/>
          <w:szCs w:val="24"/>
        </w:rPr>
        <w:t xml:space="preserve"> i wsp</w:t>
      </w:r>
      <w:r>
        <w:rPr>
          <w:rFonts w:ascii="Times New Roman" w:hAnsi="Times New Roman"/>
          <w:noProof/>
          <w:sz w:val="24"/>
          <w:szCs w:val="24"/>
        </w:rPr>
        <w:t>ieranie ich tworzenia poprzez mobilizację wszystkich dostępnych instrumentów.</w:t>
      </w:r>
    </w:p>
    <w:p w14:paraId="4A0EAC00" w14:textId="29EF66FB" w:rsidR="00CB4F6C" w:rsidRDefault="00CB4F6C" w:rsidP="00E901C8">
      <w:pPr>
        <w:pStyle w:val="ListParagraph"/>
        <w:numPr>
          <w:ilvl w:val="0"/>
          <w:numId w:val="10"/>
        </w:numPr>
        <w:pBdr>
          <w:top w:val="single" w:sz="4" w:space="1" w:color="auto"/>
          <w:left w:val="single" w:sz="4" w:space="4" w:color="auto"/>
          <w:bottom w:val="single" w:sz="4" w:space="1" w:color="auto"/>
          <w:right w:val="single" w:sz="4" w:space="4" w:color="auto"/>
        </w:pBdr>
        <w:spacing w:after="240" w:line="240" w:lineRule="auto"/>
        <w:ind w:left="480" w:hanging="480"/>
        <w:jc w:val="both"/>
        <w:rPr>
          <w:rFonts w:ascii="Times New Roman" w:hAnsi="Times New Roman" w:cs="Times New Roman"/>
          <w:noProof/>
          <w:sz w:val="24"/>
          <w:szCs w:val="24"/>
        </w:rPr>
      </w:pPr>
      <w:r>
        <w:rPr>
          <w:rFonts w:ascii="Times New Roman" w:hAnsi="Times New Roman"/>
          <w:noProof/>
          <w:sz w:val="24"/>
          <w:szCs w:val="24"/>
        </w:rPr>
        <w:t>Propagowanie badań nad nowymi postaciami użytkowymi szczepionek</w:t>
      </w:r>
      <w:r w:rsidR="00525C12">
        <w:rPr>
          <w:rFonts w:ascii="Times New Roman" w:hAnsi="Times New Roman"/>
          <w:noProof/>
          <w:sz w:val="24"/>
          <w:szCs w:val="24"/>
        </w:rPr>
        <w:t xml:space="preserve"> i wsp</w:t>
      </w:r>
      <w:r>
        <w:rPr>
          <w:rFonts w:ascii="Times New Roman" w:hAnsi="Times New Roman"/>
          <w:noProof/>
          <w:sz w:val="24"/>
          <w:szCs w:val="24"/>
        </w:rPr>
        <w:t>ieranie inwestycji</w:t>
      </w:r>
      <w:r w:rsidR="00525C12">
        <w:rPr>
          <w:rFonts w:ascii="Times New Roman" w:hAnsi="Times New Roman"/>
          <w:noProof/>
          <w:sz w:val="24"/>
          <w:szCs w:val="24"/>
        </w:rPr>
        <w:t xml:space="preserve"> w świ</w:t>
      </w:r>
      <w:r>
        <w:rPr>
          <w:rFonts w:ascii="Times New Roman" w:hAnsi="Times New Roman"/>
          <w:noProof/>
          <w:sz w:val="24"/>
          <w:szCs w:val="24"/>
        </w:rPr>
        <w:t>atowej klasy infrastruktury.</w:t>
      </w:r>
    </w:p>
    <w:p w14:paraId="67C10932" w14:textId="7CEBEEA6" w:rsidR="00470DEA" w:rsidRDefault="00470DEA" w:rsidP="00E901C8">
      <w:pPr>
        <w:pStyle w:val="ListParagraph"/>
        <w:numPr>
          <w:ilvl w:val="0"/>
          <w:numId w:val="10"/>
        </w:numPr>
        <w:pBdr>
          <w:top w:val="single" w:sz="4" w:space="1" w:color="auto"/>
          <w:left w:val="single" w:sz="4" w:space="4" w:color="auto"/>
          <w:bottom w:val="single" w:sz="4" w:space="1" w:color="auto"/>
          <w:right w:val="single" w:sz="4" w:space="4" w:color="auto"/>
        </w:pBdr>
        <w:spacing w:after="240" w:line="240" w:lineRule="auto"/>
        <w:ind w:left="480" w:hanging="480"/>
        <w:jc w:val="both"/>
        <w:rPr>
          <w:rFonts w:ascii="Times New Roman" w:hAnsi="Times New Roman" w:cs="Times New Roman"/>
          <w:noProof/>
          <w:sz w:val="24"/>
          <w:szCs w:val="24"/>
        </w:rPr>
      </w:pPr>
      <w:r>
        <w:rPr>
          <w:rFonts w:ascii="Times New Roman" w:hAnsi="Times New Roman"/>
          <w:noProof/>
          <w:sz w:val="24"/>
          <w:szCs w:val="24"/>
        </w:rPr>
        <w:t>Dalsza współpraca</w:t>
      </w:r>
      <w:r w:rsidR="00525C12">
        <w:rPr>
          <w:rFonts w:ascii="Times New Roman" w:hAnsi="Times New Roman"/>
          <w:noProof/>
          <w:sz w:val="24"/>
          <w:szCs w:val="24"/>
        </w:rPr>
        <w:t xml:space="preserve"> z pro</w:t>
      </w:r>
      <w:r>
        <w:rPr>
          <w:rFonts w:ascii="Times New Roman" w:hAnsi="Times New Roman"/>
          <w:noProof/>
          <w:sz w:val="24"/>
          <w:szCs w:val="24"/>
        </w:rPr>
        <w:t>ducentami szczepionek</w:t>
      </w:r>
      <w:r w:rsidR="00525C12">
        <w:rPr>
          <w:rFonts w:ascii="Times New Roman" w:hAnsi="Times New Roman"/>
          <w:noProof/>
          <w:sz w:val="24"/>
          <w:szCs w:val="24"/>
        </w:rPr>
        <w:t xml:space="preserve"> i mię</w:t>
      </w:r>
      <w:r>
        <w:rPr>
          <w:rFonts w:ascii="Times New Roman" w:hAnsi="Times New Roman"/>
          <w:noProof/>
          <w:sz w:val="24"/>
          <w:szCs w:val="24"/>
        </w:rPr>
        <w:t>dzynarodowymi partnerami</w:t>
      </w:r>
      <w:r w:rsidR="00525C12">
        <w:rPr>
          <w:rFonts w:ascii="Times New Roman" w:hAnsi="Times New Roman"/>
          <w:noProof/>
          <w:sz w:val="24"/>
          <w:szCs w:val="24"/>
        </w:rPr>
        <w:t xml:space="preserve"> w cel</w:t>
      </w:r>
      <w:r>
        <w:rPr>
          <w:rFonts w:ascii="Times New Roman" w:hAnsi="Times New Roman"/>
          <w:noProof/>
          <w:sz w:val="24"/>
          <w:szCs w:val="24"/>
        </w:rPr>
        <w:t>u rozwiązania problemu niewykorzystanych dawek szczepionek.</w:t>
      </w:r>
    </w:p>
    <w:p w14:paraId="2FE946DB" w14:textId="77777777" w:rsidR="003E4090" w:rsidRPr="003E4090" w:rsidRDefault="003E4090" w:rsidP="003E4090">
      <w:pPr>
        <w:spacing w:after="120" w:line="240" w:lineRule="auto"/>
        <w:jc w:val="both"/>
        <w:rPr>
          <w:rFonts w:ascii="Times New Roman" w:hAnsi="Times New Roman" w:cs="Times New Roman"/>
          <w:b/>
          <w:i/>
          <w:noProof/>
          <w:sz w:val="24"/>
          <w:szCs w:val="24"/>
        </w:rPr>
      </w:pPr>
      <w:r>
        <w:rPr>
          <w:rFonts w:ascii="Times New Roman" w:hAnsi="Times New Roman"/>
          <w:b/>
          <w:i/>
          <w:noProof/>
          <w:sz w:val="24"/>
          <w:szCs w:val="24"/>
        </w:rPr>
        <w:t xml:space="preserve">Środki terapeutyczne przeciwko COVID-19 </w:t>
      </w:r>
    </w:p>
    <w:p w14:paraId="235004A5" w14:textId="3FC7411A" w:rsidR="00435EB2" w:rsidRDefault="00435EB2" w:rsidP="007546FA">
      <w:pPr>
        <w:spacing w:line="240" w:lineRule="auto"/>
        <w:jc w:val="both"/>
        <w:rPr>
          <w:rFonts w:ascii="Times New Roman" w:hAnsi="Times New Roman" w:cs="Times New Roman"/>
          <w:noProof/>
          <w:sz w:val="24"/>
          <w:szCs w:val="24"/>
        </w:rPr>
      </w:pPr>
      <w:r>
        <w:rPr>
          <w:rFonts w:ascii="Times New Roman" w:hAnsi="Times New Roman"/>
          <w:noProof/>
          <w:sz w:val="24"/>
          <w:szCs w:val="24"/>
        </w:rPr>
        <w:t>Unijna strategia na rzecz środków terapeutycznych przeciwko COVID-19</w:t>
      </w:r>
      <w:r w:rsidR="000C7F84">
        <w:rPr>
          <w:rStyle w:val="FootnoteReference"/>
          <w:rFonts w:ascii="Times New Roman" w:hAnsi="Times New Roman" w:cs="Times New Roman"/>
          <w:noProof/>
          <w:sz w:val="24"/>
          <w:szCs w:val="24"/>
        </w:rPr>
        <w:footnoteReference w:id="28"/>
      </w:r>
      <w:r>
        <w:rPr>
          <w:rFonts w:ascii="Times New Roman" w:hAnsi="Times New Roman"/>
          <w:noProof/>
          <w:sz w:val="24"/>
          <w:szCs w:val="24"/>
        </w:rPr>
        <w:t xml:space="preserve"> ma na celu stworzenie szerokiej gamy bezpiecznych</w:t>
      </w:r>
      <w:r w:rsidR="00525C12">
        <w:rPr>
          <w:rFonts w:ascii="Times New Roman" w:hAnsi="Times New Roman"/>
          <w:noProof/>
          <w:sz w:val="24"/>
          <w:szCs w:val="24"/>
        </w:rPr>
        <w:t xml:space="preserve"> i sku</w:t>
      </w:r>
      <w:r>
        <w:rPr>
          <w:rFonts w:ascii="Times New Roman" w:hAnsi="Times New Roman"/>
          <w:noProof/>
          <w:sz w:val="24"/>
          <w:szCs w:val="24"/>
        </w:rPr>
        <w:t>tecznych środków terapeutycznych przeciwko COVID-19. Strategia ta obejmuje pełny cykl życia leków: od badań, rozwoju, wyboru obiecujących potencjalnych kandydatów, szybkiego zatwierdzania na szczeblu regulacyjnym, produkcji</w:t>
      </w:r>
      <w:r w:rsidR="00525C12">
        <w:rPr>
          <w:rFonts w:ascii="Times New Roman" w:hAnsi="Times New Roman"/>
          <w:noProof/>
          <w:sz w:val="24"/>
          <w:szCs w:val="24"/>
        </w:rPr>
        <w:t xml:space="preserve"> i wpr</w:t>
      </w:r>
      <w:r>
        <w:rPr>
          <w:rFonts w:ascii="Times New Roman" w:hAnsi="Times New Roman"/>
          <w:noProof/>
          <w:sz w:val="24"/>
          <w:szCs w:val="24"/>
        </w:rPr>
        <w:t>owadzenia leków do obrotu aż po ostateczne wykorzystanie. Do tej pory zatwierdzono osiem środków terapeutycznych przeciwko COVID-19 należących do różnych kategorii, dostosowanych do poszczególnych etapów</w:t>
      </w:r>
      <w:r w:rsidR="00525C12">
        <w:rPr>
          <w:rFonts w:ascii="Times New Roman" w:hAnsi="Times New Roman"/>
          <w:noProof/>
          <w:sz w:val="24"/>
          <w:szCs w:val="24"/>
        </w:rPr>
        <w:t xml:space="preserve"> i sto</w:t>
      </w:r>
      <w:r>
        <w:rPr>
          <w:rFonts w:ascii="Times New Roman" w:hAnsi="Times New Roman"/>
          <w:noProof/>
          <w:sz w:val="24"/>
          <w:szCs w:val="24"/>
        </w:rPr>
        <w:t>pni dotkliwości choroby oraz odpowiednich do stosowania</w:t>
      </w:r>
      <w:r w:rsidR="00525C12">
        <w:rPr>
          <w:rFonts w:ascii="Times New Roman" w:hAnsi="Times New Roman"/>
          <w:noProof/>
          <w:sz w:val="24"/>
          <w:szCs w:val="24"/>
        </w:rPr>
        <w:t xml:space="preserve"> w szp</w:t>
      </w:r>
      <w:r>
        <w:rPr>
          <w:rFonts w:ascii="Times New Roman" w:hAnsi="Times New Roman"/>
          <w:noProof/>
          <w:sz w:val="24"/>
          <w:szCs w:val="24"/>
        </w:rPr>
        <w:t>italu albo</w:t>
      </w:r>
      <w:r w:rsidR="00525C12">
        <w:rPr>
          <w:rFonts w:ascii="Times New Roman" w:hAnsi="Times New Roman"/>
          <w:noProof/>
          <w:sz w:val="24"/>
          <w:szCs w:val="24"/>
        </w:rPr>
        <w:t xml:space="preserve"> w dom</w:t>
      </w:r>
      <w:r>
        <w:rPr>
          <w:rFonts w:ascii="Times New Roman" w:hAnsi="Times New Roman"/>
          <w:noProof/>
          <w:sz w:val="24"/>
          <w:szCs w:val="24"/>
        </w:rPr>
        <w:t xml:space="preserve">u. </w:t>
      </w:r>
    </w:p>
    <w:p w14:paraId="4FCEF38D" w14:textId="4E4F1BF2" w:rsidR="005A435F" w:rsidRPr="00B16D0B" w:rsidRDefault="005A435F" w:rsidP="00E313E8">
      <w:pPr>
        <w:spacing w:line="240" w:lineRule="auto"/>
        <w:jc w:val="both"/>
        <w:rPr>
          <w:rFonts w:ascii="Times New Roman" w:hAnsi="Times New Roman" w:cs="Times New Roman"/>
          <w:noProof/>
          <w:sz w:val="24"/>
          <w:szCs w:val="24"/>
        </w:rPr>
      </w:pPr>
      <w:r>
        <w:rPr>
          <w:rFonts w:ascii="Times New Roman" w:hAnsi="Times New Roman"/>
          <w:noProof/>
          <w:sz w:val="24"/>
          <w:szCs w:val="24"/>
        </w:rPr>
        <w:t>Komisja wspiera dostęp państw członkowskich do środków terapeutycznych</w:t>
      </w:r>
      <w:r w:rsidR="00525C12">
        <w:rPr>
          <w:rFonts w:ascii="Times New Roman" w:hAnsi="Times New Roman"/>
          <w:noProof/>
          <w:sz w:val="24"/>
          <w:szCs w:val="24"/>
        </w:rPr>
        <w:t xml:space="preserve"> i zaw</w:t>
      </w:r>
      <w:r>
        <w:rPr>
          <w:rFonts w:ascii="Times New Roman" w:hAnsi="Times New Roman"/>
          <w:noProof/>
          <w:sz w:val="24"/>
          <w:szCs w:val="24"/>
        </w:rPr>
        <w:t>arła cztery umowy ramowe, które zapewniły dostępność środków terapeutycznych</w:t>
      </w:r>
      <w:r w:rsidR="00525C12">
        <w:rPr>
          <w:rFonts w:ascii="Times New Roman" w:hAnsi="Times New Roman"/>
          <w:noProof/>
          <w:sz w:val="24"/>
          <w:szCs w:val="24"/>
        </w:rPr>
        <w:t xml:space="preserve"> w wie</w:t>
      </w:r>
      <w:r>
        <w:rPr>
          <w:rFonts w:ascii="Times New Roman" w:hAnsi="Times New Roman"/>
          <w:noProof/>
          <w:sz w:val="24"/>
          <w:szCs w:val="24"/>
        </w:rPr>
        <w:t xml:space="preserve">lu państwach członkowskich. </w:t>
      </w:r>
    </w:p>
    <w:p w14:paraId="5162383F" w14:textId="5E2FB9B1" w:rsidR="00E12EF1" w:rsidRDefault="00A36433" w:rsidP="00E12EF1">
      <w:pPr>
        <w:spacing w:line="240" w:lineRule="auto"/>
        <w:jc w:val="both"/>
        <w:rPr>
          <w:rFonts w:ascii="Times New Roman" w:hAnsi="Times New Roman" w:cs="Times New Roman"/>
          <w:noProof/>
          <w:sz w:val="24"/>
          <w:szCs w:val="24"/>
        </w:rPr>
      </w:pPr>
      <w:r>
        <w:rPr>
          <w:rFonts w:ascii="Times New Roman" w:hAnsi="Times New Roman"/>
          <w:noProof/>
          <w:sz w:val="24"/>
          <w:szCs w:val="24"/>
        </w:rPr>
        <w:t>Ponadto Komisja priorytetowo traktuje prace nad nowymi środkami terapeutycznymi,</w:t>
      </w:r>
      <w:r w:rsidR="00525C12">
        <w:rPr>
          <w:rFonts w:ascii="Times New Roman" w:hAnsi="Times New Roman"/>
          <w:noProof/>
          <w:sz w:val="24"/>
          <w:szCs w:val="24"/>
        </w:rPr>
        <w:t xml:space="preserve"> w tym</w:t>
      </w:r>
      <w:r>
        <w:rPr>
          <w:rFonts w:ascii="Times New Roman" w:hAnsi="Times New Roman"/>
          <w:noProof/>
          <w:sz w:val="24"/>
          <w:szCs w:val="24"/>
        </w:rPr>
        <w:t xml:space="preserve"> za pośrednictwem grupy ekspertów ds. środków terapeutycznych przeciwko COVID-19 – podgrupy</w:t>
      </w:r>
      <w:r>
        <w:rPr>
          <w:rFonts w:ascii="Times New Roman" w:hAnsi="Times New Roman"/>
          <w:b/>
          <w:noProof/>
          <w:sz w:val="24"/>
        </w:rPr>
        <w:t xml:space="preserve"> </w:t>
      </w:r>
      <w:r>
        <w:rPr>
          <w:rFonts w:ascii="Times New Roman" w:hAnsi="Times New Roman"/>
          <w:noProof/>
          <w:sz w:val="24"/>
        </w:rPr>
        <w:t>europejskiej grupy ekspertów ds. wariantów SARS-CoV-2</w:t>
      </w:r>
      <w:r>
        <w:rPr>
          <w:rFonts w:ascii="Times New Roman" w:hAnsi="Times New Roman"/>
          <w:noProof/>
          <w:sz w:val="24"/>
          <w:szCs w:val="24"/>
        </w:rPr>
        <w:t>. Komisja będzie kontrolować sytuację pod kątem obiecujących środków terapeutycznych</w:t>
      </w:r>
      <w:r w:rsidR="00525C12">
        <w:rPr>
          <w:rFonts w:ascii="Times New Roman" w:hAnsi="Times New Roman"/>
          <w:noProof/>
          <w:sz w:val="24"/>
          <w:szCs w:val="24"/>
        </w:rPr>
        <w:t xml:space="preserve"> w ści</w:t>
      </w:r>
      <w:r>
        <w:rPr>
          <w:rFonts w:ascii="Times New Roman" w:hAnsi="Times New Roman"/>
          <w:noProof/>
          <w:sz w:val="24"/>
          <w:szCs w:val="24"/>
        </w:rPr>
        <w:t>słej współpracy</w:t>
      </w:r>
      <w:r w:rsidR="00525C12">
        <w:rPr>
          <w:rFonts w:ascii="Times New Roman" w:hAnsi="Times New Roman"/>
          <w:noProof/>
          <w:sz w:val="24"/>
          <w:szCs w:val="24"/>
        </w:rPr>
        <w:t xml:space="preserve"> z pań</w:t>
      </w:r>
      <w:r>
        <w:rPr>
          <w:rFonts w:ascii="Times New Roman" w:hAnsi="Times New Roman"/>
          <w:noProof/>
          <w:sz w:val="24"/>
          <w:szCs w:val="24"/>
        </w:rPr>
        <w:t>stwami członkowskimi</w:t>
      </w:r>
      <w:r w:rsidR="00525C12">
        <w:rPr>
          <w:rFonts w:ascii="Times New Roman" w:hAnsi="Times New Roman"/>
          <w:noProof/>
          <w:sz w:val="24"/>
          <w:szCs w:val="24"/>
        </w:rPr>
        <w:t xml:space="preserve"> w cel</w:t>
      </w:r>
      <w:r>
        <w:rPr>
          <w:rFonts w:ascii="Times New Roman" w:hAnsi="Times New Roman"/>
          <w:noProof/>
          <w:sz w:val="24"/>
          <w:szCs w:val="24"/>
        </w:rPr>
        <w:t xml:space="preserve">u identyfikacji środków, które są potencjalnie korzystne dla pacjentów. </w:t>
      </w:r>
    </w:p>
    <w:p w14:paraId="242A1A07" w14:textId="381C7E19" w:rsidR="00A36433" w:rsidRDefault="00A36433" w:rsidP="00E12EF1">
      <w:pPr>
        <w:spacing w:line="240" w:lineRule="auto"/>
        <w:jc w:val="both"/>
        <w:rPr>
          <w:rFonts w:ascii="Times New Roman" w:hAnsi="Times New Roman" w:cs="Times New Roman"/>
          <w:noProof/>
          <w:sz w:val="24"/>
          <w:szCs w:val="24"/>
        </w:rPr>
      </w:pPr>
      <w:r>
        <w:rPr>
          <w:rFonts w:ascii="Times New Roman" w:hAnsi="Times New Roman"/>
          <w:noProof/>
          <w:color w:val="000000" w:themeColor="text1"/>
          <w:sz w:val="24"/>
          <w:szCs w:val="24"/>
        </w:rPr>
        <w:t>Dobrze byłoby, gdyby nowe środki terapeutyczne były łatwiejsze do przechowywania</w:t>
      </w:r>
      <w:r w:rsidR="00525C12">
        <w:rPr>
          <w:rFonts w:ascii="Times New Roman" w:hAnsi="Times New Roman"/>
          <w:noProof/>
          <w:color w:val="000000" w:themeColor="text1"/>
          <w:sz w:val="24"/>
          <w:szCs w:val="24"/>
        </w:rPr>
        <w:t xml:space="preserve"> i pod</w:t>
      </w:r>
      <w:r>
        <w:rPr>
          <w:rFonts w:ascii="Times New Roman" w:hAnsi="Times New Roman"/>
          <w:noProof/>
          <w:color w:val="000000" w:themeColor="text1"/>
          <w:sz w:val="24"/>
          <w:szCs w:val="24"/>
        </w:rPr>
        <w:t>awania. Może mieć to szczególne znaczenie przy stosowaniu</w:t>
      </w:r>
      <w:r w:rsidR="00525C12">
        <w:rPr>
          <w:rFonts w:ascii="Times New Roman" w:hAnsi="Times New Roman"/>
          <w:noProof/>
          <w:color w:val="000000" w:themeColor="text1"/>
          <w:sz w:val="24"/>
          <w:szCs w:val="24"/>
        </w:rPr>
        <w:t xml:space="preserve"> w pań</w:t>
      </w:r>
      <w:r>
        <w:rPr>
          <w:rFonts w:ascii="Times New Roman" w:hAnsi="Times New Roman"/>
          <w:noProof/>
          <w:color w:val="000000" w:themeColor="text1"/>
          <w:sz w:val="24"/>
          <w:szCs w:val="24"/>
        </w:rPr>
        <w:t>stwach</w:t>
      </w:r>
      <w:r w:rsidR="00525C12">
        <w:rPr>
          <w:rFonts w:ascii="Times New Roman" w:hAnsi="Times New Roman"/>
          <w:noProof/>
          <w:color w:val="000000" w:themeColor="text1"/>
          <w:sz w:val="24"/>
          <w:szCs w:val="24"/>
        </w:rPr>
        <w:t xml:space="preserve"> o nis</w:t>
      </w:r>
      <w:r>
        <w:rPr>
          <w:rFonts w:ascii="Times New Roman" w:hAnsi="Times New Roman"/>
          <w:noProof/>
          <w:color w:val="000000" w:themeColor="text1"/>
          <w:sz w:val="24"/>
          <w:szCs w:val="24"/>
        </w:rPr>
        <w:t>kich dochodach, co jednocześnie przyniesie korzyści</w:t>
      </w:r>
      <w:r w:rsidR="00525C12">
        <w:rPr>
          <w:rFonts w:ascii="Times New Roman" w:hAnsi="Times New Roman"/>
          <w:noProof/>
          <w:color w:val="000000" w:themeColor="text1"/>
          <w:sz w:val="24"/>
          <w:szCs w:val="24"/>
        </w:rPr>
        <w:t xml:space="preserve"> w wal</w:t>
      </w:r>
      <w:r>
        <w:rPr>
          <w:rFonts w:ascii="Times New Roman" w:hAnsi="Times New Roman"/>
          <w:noProof/>
          <w:color w:val="000000" w:themeColor="text1"/>
          <w:sz w:val="24"/>
          <w:szCs w:val="24"/>
        </w:rPr>
        <w:t>ce z COVID-19 na poziomie światowym.</w:t>
      </w:r>
      <w:r>
        <w:rPr>
          <w:rFonts w:ascii="Times New Roman" w:hAnsi="Times New Roman"/>
          <w:noProof/>
          <w:sz w:val="24"/>
          <w:szCs w:val="24"/>
        </w:rPr>
        <w:t xml:space="preserve"> Równolegle do prac nad nowymi środkami terapeutycznymi należy prowadzić nadzór nad opornością wirusów (np. na przeciwciała monoklonalne lub leki przeciwwirusowe), aby móc wybrać odpowiednie terapie</w:t>
      </w:r>
      <w:r w:rsidR="00525C12">
        <w:rPr>
          <w:rFonts w:ascii="Times New Roman" w:hAnsi="Times New Roman"/>
          <w:noProof/>
          <w:sz w:val="24"/>
          <w:szCs w:val="24"/>
        </w:rPr>
        <w:t xml:space="preserve"> i mon</w:t>
      </w:r>
      <w:r>
        <w:rPr>
          <w:rFonts w:ascii="Times New Roman" w:hAnsi="Times New Roman"/>
          <w:noProof/>
          <w:sz w:val="24"/>
          <w:szCs w:val="24"/>
        </w:rPr>
        <w:t>itorować rozprzestrzenianie się opornego wirusa</w:t>
      </w:r>
      <w:r w:rsidR="00525C12">
        <w:rPr>
          <w:rFonts w:ascii="Times New Roman" w:hAnsi="Times New Roman"/>
          <w:noProof/>
          <w:sz w:val="24"/>
          <w:szCs w:val="24"/>
        </w:rPr>
        <w:t xml:space="preserve"> w pop</w:t>
      </w:r>
      <w:r>
        <w:rPr>
          <w:rFonts w:ascii="Times New Roman" w:hAnsi="Times New Roman"/>
          <w:noProof/>
          <w:sz w:val="24"/>
          <w:szCs w:val="24"/>
        </w:rPr>
        <w:t>ulacji</w:t>
      </w:r>
      <w:r w:rsidR="00525C12">
        <w:rPr>
          <w:rFonts w:ascii="Times New Roman" w:hAnsi="Times New Roman"/>
          <w:noProof/>
          <w:sz w:val="24"/>
          <w:szCs w:val="24"/>
        </w:rPr>
        <w:t>. W cza</w:t>
      </w:r>
      <w:r>
        <w:rPr>
          <w:rFonts w:ascii="Times New Roman" w:hAnsi="Times New Roman"/>
          <w:noProof/>
          <w:sz w:val="24"/>
          <w:szCs w:val="24"/>
        </w:rPr>
        <w:t>sie pandemii COVID-19 szczególne znaczenie ma zatem nadzór nad ewentualnym pojawieniem się oporności na leki przeciwwirusowe.</w:t>
      </w:r>
    </w:p>
    <w:p w14:paraId="72A80BC2" w14:textId="77777777" w:rsidR="00E918F4" w:rsidRPr="0050544E" w:rsidRDefault="00E918F4" w:rsidP="00E918F4">
      <w:pPr>
        <w:keepNext/>
        <w:pBdr>
          <w:top w:val="single" w:sz="4" w:space="1" w:color="auto"/>
          <w:left w:val="single" w:sz="4" w:space="4" w:color="auto"/>
          <w:bottom w:val="single" w:sz="4" w:space="1" w:color="auto"/>
          <w:right w:val="single" w:sz="4" w:space="4" w:color="auto"/>
        </w:pBdr>
        <w:spacing w:before="360" w:after="120" w:line="240" w:lineRule="auto"/>
        <w:jc w:val="center"/>
        <w:rPr>
          <w:rFonts w:ascii="Times New Roman" w:hAnsi="Times New Roman" w:cs="Times New Roman"/>
          <w:b/>
          <w:noProof/>
          <w:sz w:val="24"/>
          <w:szCs w:val="24"/>
        </w:rPr>
      </w:pPr>
      <w:r>
        <w:rPr>
          <w:rFonts w:ascii="Times New Roman" w:hAnsi="Times New Roman"/>
          <w:b/>
          <w:noProof/>
          <w:sz w:val="24"/>
          <w:szCs w:val="24"/>
        </w:rPr>
        <w:t>INICJATYWY I DZIAŁANIA UE</w:t>
      </w:r>
    </w:p>
    <w:p w14:paraId="2EAF8EEE" w14:textId="2091D137" w:rsidR="00CE1577" w:rsidRPr="00F57613" w:rsidRDefault="00537500" w:rsidP="00CE1577">
      <w:pPr>
        <w:pStyle w:val="ListParagraph"/>
        <w:numPr>
          <w:ilvl w:val="0"/>
          <w:numId w:val="10"/>
        </w:numPr>
        <w:pBdr>
          <w:top w:val="single" w:sz="4" w:space="1" w:color="auto"/>
          <w:left w:val="single" w:sz="4" w:space="4" w:color="auto"/>
          <w:bottom w:val="single" w:sz="4" w:space="1" w:color="auto"/>
          <w:right w:val="single" w:sz="4" w:space="4" w:color="auto"/>
        </w:pBdr>
        <w:spacing w:after="240" w:line="240" w:lineRule="auto"/>
        <w:ind w:left="480" w:hanging="480"/>
        <w:jc w:val="both"/>
        <w:rPr>
          <w:rFonts w:ascii="Times New Roman" w:hAnsi="Times New Roman" w:cs="Times New Roman"/>
          <w:i/>
          <w:iCs/>
          <w:noProof/>
          <w:sz w:val="24"/>
          <w:szCs w:val="24"/>
        </w:rPr>
      </w:pPr>
      <w:r>
        <w:rPr>
          <w:rFonts w:ascii="Times New Roman" w:hAnsi="Times New Roman"/>
          <w:noProof/>
          <w:sz w:val="24"/>
          <w:szCs w:val="24"/>
        </w:rPr>
        <w:t>Współpraca</w:t>
      </w:r>
      <w:r w:rsidR="00525C12">
        <w:rPr>
          <w:rFonts w:ascii="Times New Roman" w:hAnsi="Times New Roman"/>
          <w:noProof/>
          <w:sz w:val="24"/>
          <w:szCs w:val="24"/>
        </w:rPr>
        <w:t xml:space="preserve"> z pań</w:t>
      </w:r>
      <w:r>
        <w:rPr>
          <w:rFonts w:ascii="Times New Roman" w:hAnsi="Times New Roman"/>
          <w:noProof/>
          <w:sz w:val="24"/>
          <w:szCs w:val="24"/>
        </w:rPr>
        <w:t>stwami członkowskimi</w:t>
      </w:r>
      <w:r w:rsidR="00525C12">
        <w:rPr>
          <w:rFonts w:ascii="Times New Roman" w:hAnsi="Times New Roman"/>
          <w:noProof/>
          <w:sz w:val="24"/>
          <w:szCs w:val="24"/>
        </w:rPr>
        <w:t xml:space="preserve"> w cel</w:t>
      </w:r>
      <w:r>
        <w:rPr>
          <w:rFonts w:ascii="Times New Roman" w:hAnsi="Times New Roman"/>
          <w:noProof/>
          <w:sz w:val="24"/>
          <w:szCs w:val="24"/>
        </w:rPr>
        <w:t>u identyfikacji priorytetów dalszego wspólnego udzielania zamówień na środki terapeutyczne oraz lepsza integracja</w:t>
      </w:r>
      <w:r w:rsidR="00525C12">
        <w:rPr>
          <w:rFonts w:ascii="Times New Roman" w:hAnsi="Times New Roman"/>
          <w:noProof/>
          <w:sz w:val="24"/>
          <w:szCs w:val="24"/>
        </w:rPr>
        <w:t xml:space="preserve"> z ugr</w:t>
      </w:r>
      <w:r>
        <w:rPr>
          <w:rFonts w:ascii="Times New Roman" w:hAnsi="Times New Roman"/>
          <w:noProof/>
          <w:sz w:val="24"/>
          <w:szCs w:val="24"/>
        </w:rPr>
        <w:t>untowanymi procesami krajowymi</w:t>
      </w:r>
      <w:r w:rsidR="00525C12">
        <w:rPr>
          <w:rFonts w:ascii="Times New Roman" w:hAnsi="Times New Roman"/>
          <w:noProof/>
          <w:sz w:val="24"/>
          <w:szCs w:val="24"/>
        </w:rPr>
        <w:t xml:space="preserve"> i uni</w:t>
      </w:r>
      <w:r>
        <w:rPr>
          <w:rFonts w:ascii="Times New Roman" w:hAnsi="Times New Roman"/>
          <w:noProof/>
          <w:sz w:val="24"/>
          <w:szCs w:val="24"/>
        </w:rPr>
        <w:t xml:space="preserve">jnymi. </w:t>
      </w:r>
    </w:p>
    <w:p w14:paraId="7FD2787E" w14:textId="44BE2A8C" w:rsidR="000C5DE5" w:rsidRPr="002206D8" w:rsidRDefault="00537500" w:rsidP="00AB4B55">
      <w:pPr>
        <w:pStyle w:val="ListParagraph"/>
        <w:numPr>
          <w:ilvl w:val="0"/>
          <w:numId w:val="10"/>
        </w:numPr>
        <w:pBdr>
          <w:top w:val="single" w:sz="4" w:space="1" w:color="auto"/>
          <w:left w:val="single" w:sz="4" w:space="4" w:color="auto"/>
          <w:bottom w:val="single" w:sz="4" w:space="1" w:color="auto"/>
          <w:right w:val="single" w:sz="4" w:space="4" w:color="auto"/>
        </w:pBdr>
        <w:spacing w:after="240" w:line="240" w:lineRule="auto"/>
        <w:ind w:left="480" w:hanging="480"/>
        <w:jc w:val="both"/>
        <w:rPr>
          <w:rFonts w:ascii="Times New Roman" w:hAnsi="Times New Roman" w:cs="Times New Roman"/>
          <w:iCs/>
          <w:noProof/>
          <w:sz w:val="24"/>
          <w:szCs w:val="24"/>
        </w:rPr>
      </w:pPr>
      <w:r>
        <w:rPr>
          <w:rFonts w:ascii="Times New Roman" w:hAnsi="Times New Roman"/>
          <w:iCs/>
          <w:noProof/>
          <w:sz w:val="24"/>
          <w:szCs w:val="24"/>
        </w:rPr>
        <w:t>Dalsze umożliwienie skoordynowanej oceny nowych związków terapeutycznych</w:t>
      </w:r>
      <w:r w:rsidR="00525C12">
        <w:rPr>
          <w:rFonts w:ascii="Times New Roman" w:hAnsi="Times New Roman"/>
          <w:iCs/>
          <w:noProof/>
          <w:sz w:val="24"/>
          <w:szCs w:val="24"/>
        </w:rPr>
        <w:t xml:space="preserve"> w ram</w:t>
      </w:r>
      <w:r>
        <w:rPr>
          <w:rFonts w:ascii="Times New Roman" w:hAnsi="Times New Roman"/>
          <w:iCs/>
          <w:noProof/>
          <w:sz w:val="24"/>
          <w:szCs w:val="24"/>
        </w:rPr>
        <w:t>ach europejskich platformowych adaptacyjnych badań klinicznych realizowanych na szeroką skalę,</w:t>
      </w:r>
      <w:r w:rsidR="00525C12">
        <w:rPr>
          <w:rFonts w:ascii="Times New Roman" w:hAnsi="Times New Roman"/>
          <w:iCs/>
          <w:noProof/>
          <w:sz w:val="24"/>
          <w:szCs w:val="24"/>
        </w:rPr>
        <w:t xml:space="preserve"> w ram</w:t>
      </w:r>
      <w:r>
        <w:rPr>
          <w:rFonts w:ascii="Times New Roman" w:hAnsi="Times New Roman"/>
          <w:iCs/>
          <w:noProof/>
          <w:sz w:val="24"/>
          <w:szCs w:val="24"/>
        </w:rPr>
        <w:t>ach mechanizmu doradczego wspólnego dostępu.</w:t>
      </w:r>
    </w:p>
    <w:p w14:paraId="32C283AA" w14:textId="14C9AE40" w:rsidR="002206D8" w:rsidRPr="00DD56D4" w:rsidRDefault="00537500" w:rsidP="00AB4B55">
      <w:pPr>
        <w:pStyle w:val="ListParagraph"/>
        <w:numPr>
          <w:ilvl w:val="0"/>
          <w:numId w:val="10"/>
        </w:numPr>
        <w:pBdr>
          <w:top w:val="single" w:sz="4" w:space="1" w:color="auto"/>
          <w:left w:val="single" w:sz="4" w:space="4" w:color="auto"/>
          <w:bottom w:val="single" w:sz="4" w:space="1" w:color="auto"/>
          <w:right w:val="single" w:sz="4" w:space="4" w:color="auto"/>
        </w:pBdr>
        <w:spacing w:after="240" w:line="240" w:lineRule="auto"/>
        <w:ind w:left="480" w:hanging="480"/>
        <w:jc w:val="both"/>
        <w:rPr>
          <w:rFonts w:ascii="Times New Roman" w:hAnsi="Times New Roman" w:cs="Times New Roman"/>
          <w:i/>
          <w:iCs/>
          <w:noProof/>
          <w:sz w:val="24"/>
          <w:szCs w:val="24"/>
        </w:rPr>
      </w:pPr>
      <w:r>
        <w:rPr>
          <w:rFonts w:ascii="Times New Roman" w:hAnsi="Times New Roman"/>
          <w:noProof/>
          <w:sz w:val="24"/>
          <w:szCs w:val="24"/>
        </w:rPr>
        <w:t>Propagowanie badań</w:t>
      </w:r>
      <w:r w:rsidR="00525C12">
        <w:rPr>
          <w:rFonts w:ascii="Times New Roman" w:hAnsi="Times New Roman"/>
          <w:noProof/>
          <w:sz w:val="24"/>
          <w:szCs w:val="24"/>
        </w:rPr>
        <w:t xml:space="preserve"> i roz</w:t>
      </w:r>
      <w:r>
        <w:rPr>
          <w:rFonts w:ascii="Times New Roman" w:hAnsi="Times New Roman"/>
          <w:noProof/>
          <w:sz w:val="24"/>
          <w:szCs w:val="24"/>
        </w:rPr>
        <w:t>woju</w:t>
      </w:r>
      <w:r w:rsidR="00525C12">
        <w:rPr>
          <w:rFonts w:ascii="Times New Roman" w:hAnsi="Times New Roman"/>
          <w:noProof/>
          <w:sz w:val="24"/>
          <w:szCs w:val="24"/>
        </w:rPr>
        <w:t xml:space="preserve"> w zak</w:t>
      </w:r>
      <w:r>
        <w:rPr>
          <w:rFonts w:ascii="Times New Roman" w:hAnsi="Times New Roman"/>
          <w:noProof/>
          <w:sz w:val="24"/>
          <w:szCs w:val="24"/>
        </w:rPr>
        <w:t>resie środków terapeutycznych przeciwko COVID-19. HERA rozważy możliwości wsparcia projektów ukierunkowanych na opracowanie leków przeciwwirusowych.</w:t>
      </w:r>
    </w:p>
    <w:p w14:paraId="486580F2" w14:textId="1A00702A" w:rsidR="0088568E" w:rsidRPr="0088568E" w:rsidRDefault="0088568E" w:rsidP="002158D9">
      <w:pPr>
        <w:spacing w:line="240" w:lineRule="auto"/>
        <w:jc w:val="both"/>
        <w:rPr>
          <w:rFonts w:ascii="Times New Roman" w:hAnsi="Times New Roman" w:cs="Times New Roman"/>
          <w:b/>
          <w:i/>
          <w:noProof/>
          <w:sz w:val="24"/>
          <w:szCs w:val="24"/>
        </w:rPr>
      </w:pPr>
      <w:r>
        <w:rPr>
          <w:rFonts w:ascii="Times New Roman" w:hAnsi="Times New Roman"/>
          <w:b/>
          <w:i/>
          <w:noProof/>
          <w:sz w:val="24"/>
          <w:szCs w:val="24"/>
        </w:rPr>
        <w:t>Badania kliniczne</w:t>
      </w:r>
    </w:p>
    <w:p w14:paraId="79109176" w14:textId="1FA2F8F2" w:rsidR="00A32971" w:rsidRDefault="0088568E" w:rsidP="345AED27">
      <w:pPr>
        <w:spacing w:line="240" w:lineRule="auto"/>
        <w:jc w:val="both"/>
        <w:rPr>
          <w:rFonts w:ascii="Times New Roman" w:hAnsi="Times New Roman" w:cs="Times New Roman"/>
          <w:noProof/>
          <w:sz w:val="24"/>
          <w:szCs w:val="24"/>
        </w:rPr>
      </w:pPr>
      <w:r>
        <w:rPr>
          <w:rFonts w:ascii="Times New Roman" w:hAnsi="Times New Roman"/>
          <w:noProof/>
          <w:sz w:val="24"/>
          <w:szCs w:val="24"/>
        </w:rPr>
        <w:t>Ze względu na rosnącą potrzebę opracowania nowych szczepionek</w:t>
      </w:r>
      <w:r w:rsidR="00525C12">
        <w:rPr>
          <w:rFonts w:ascii="Times New Roman" w:hAnsi="Times New Roman"/>
          <w:noProof/>
          <w:sz w:val="24"/>
          <w:szCs w:val="24"/>
        </w:rPr>
        <w:t xml:space="preserve"> i śro</w:t>
      </w:r>
      <w:r>
        <w:rPr>
          <w:rFonts w:ascii="Times New Roman" w:hAnsi="Times New Roman"/>
          <w:noProof/>
          <w:sz w:val="24"/>
          <w:szCs w:val="24"/>
        </w:rPr>
        <w:t>dków terapeutycznych badania kliniczne jeszcze nigdy nie były tak ważne. Duże, wielonarodowe badanie kliniczne uznaje się za najlepszą metodę generowania odpowiednich dowodów klinicznych</w:t>
      </w:r>
      <w:r w:rsidR="00525C12">
        <w:rPr>
          <w:rFonts w:ascii="Times New Roman" w:hAnsi="Times New Roman"/>
          <w:noProof/>
          <w:sz w:val="24"/>
          <w:szCs w:val="24"/>
        </w:rPr>
        <w:t xml:space="preserve"> w kró</w:t>
      </w:r>
      <w:r>
        <w:rPr>
          <w:rFonts w:ascii="Times New Roman" w:hAnsi="Times New Roman"/>
          <w:noProof/>
          <w:sz w:val="24"/>
          <w:szCs w:val="24"/>
        </w:rPr>
        <w:t>tkim czasie na potrzeby podejmowania decyzji regulacyjnych</w:t>
      </w:r>
      <w:r w:rsidR="00525C12">
        <w:rPr>
          <w:rFonts w:ascii="Times New Roman" w:hAnsi="Times New Roman"/>
          <w:noProof/>
          <w:sz w:val="24"/>
          <w:szCs w:val="24"/>
        </w:rPr>
        <w:t>. W cza</w:t>
      </w:r>
      <w:r>
        <w:rPr>
          <w:rFonts w:ascii="Times New Roman" w:hAnsi="Times New Roman"/>
          <w:noProof/>
          <w:sz w:val="24"/>
          <w:szCs w:val="24"/>
        </w:rPr>
        <w:t>sie pandemii COVID-19 widoczna stała się konieczność zapewnienia szybszej</w:t>
      </w:r>
      <w:r w:rsidR="00525C12">
        <w:rPr>
          <w:rFonts w:ascii="Times New Roman" w:hAnsi="Times New Roman"/>
          <w:noProof/>
          <w:sz w:val="24"/>
          <w:szCs w:val="24"/>
        </w:rPr>
        <w:t xml:space="preserve"> i sol</w:t>
      </w:r>
      <w:r>
        <w:rPr>
          <w:rFonts w:ascii="Times New Roman" w:hAnsi="Times New Roman"/>
          <w:noProof/>
          <w:sz w:val="24"/>
          <w:szCs w:val="24"/>
        </w:rPr>
        <w:t>idniejszej procedury skoordynowanego zatwierdzania wielonarodowych badań klinicznych przez państwa członkowskie, aby uniknąć rozdrobnienia spowodowanego konkurowaniem o te same zasoby</w:t>
      </w:r>
      <w:r w:rsidR="00525C12">
        <w:rPr>
          <w:rFonts w:ascii="Times New Roman" w:hAnsi="Times New Roman"/>
          <w:noProof/>
          <w:sz w:val="24"/>
          <w:szCs w:val="24"/>
        </w:rPr>
        <w:t xml:space="preserve"> i pop</w:t>
      </w:r>
      <w:r>
        <w:rPr>
          <w:rFonts w:ascii="Times New Roman" w:hAnsi="Times New Roman"/>
          <w:noProof/>
          <w:sz w:val="24"/>
          <w:szCs w:val="24"/>
        </w:rPr>
        <w:t>ulacje pacjentów</w:t>
      </w:r>
      <w:r w:rsidR="00525C12">
        <w:rPr>
          <w:rFonts w:ascii="Times New Roman" w:hAnsi="Times New Roman"/>
          <w:noProof/>
          <w:sz w:val="24"/>
          <w:szCs w:val="24"/>
        </w:rPr>
        <w:t xml:space="preserve"> w ram</w:t>
      </w:r>
      <w:r>
        <w:rPr>
          <w:rFonts w:ascii="Times New Roman" w:hAnsi="Times New Roman"/>
          <w:noProof/>
          <w:sz w:val="24"/>
          <w:szCs w:val="24"/>
        </w:rPr>
        <w:t xml:space="preserve">ach badań prowadzonych na małą skalę na terenie jednego państwa. </w:t>
      </w:r>
    </w:p>
    <w:p w14:paraId="1EE52C68" w14:textId="5A22BE94" w:rsidR="00F57613" w:rsidRPr="00716C8A" w:rsidDel="0073290A" w:rsidRDefault="00955EB8" w:rsidP="00F57613">
      <w:pPr>
        <w:spacing w:line="240" w:lineRule="auto"/>
        <w:jc w:val="both"/>
        <w:rPr>
          <w:rFonts w:ascii="Times New Roman" w:hAnsi="Times New Roman" w:cs="Times New Roman"/>
          <w:noProof/>
          <w:sz w:val="24"/>
          <w:szCs w:val="24"/>
          <w:vertAlign w:val="superscript"/>
        </w:rPr>
      </w:pPr>
      <w:r>
        <w:rPr>
          <w:rFonts w:ascii="Times New Roman" w:hAnsi="Times New Roman"/>
          <w:noProof/>
          <w:sz w:val="24"/>
          <w:szCs w:val="24"/>
        </w:rPr>
        <w:t>Aby umożliwić prowadzenie wielokrajowych badań klinicznych</w:t>
      </w:r>
      <w:r w:rsidR="00525C12">
        <w:rPr>
          <w:rFonts w:ascii="Times New Roman" w:hAnsi="Times New Roman"/>
          <w:noProof/>
          <w:sz w:val="24"/>
          <w:szCs w:val="24"/>
        </w:rPr>
        <w:t xml:space="preserve"> w zak</w:t>
      </w:r>
      <w:r>
        <w:rPr>
          <w:rFonts w:ascii="Times New Roman" w:hAnsi="Times New Roman"/>
          <w:noProof/>
          <w:sz w:val="24"/>
          <w:szCs w:val="24"/>
        </w:rPr>
        <w:t>resie COVID-19</w:t>
      </w:r>
      <w:r w:rsidR="00525C12">
        <w:rPr>
          <w:rFonts w:ascii="Times New Roman" w:hAnsi="Times New Roman"/>
          <w:noProof/>
          <w:sz w:val="24"/>
          <w:szCs w:val="24"/>
        </w:rPr>
        <w:t xml:space="preserve"> w Eur</w:t>
      </w:r>
      <w:r>
        <w:rPr>
          <w:rFonts w:ascii="Times New Roman" w:hAnsi="Times New Roman"/>
          <w:noProof/>
          <w:sz w:val="24"/>
          <w:szCs w:val="24"/>
        </w:rPr>
        <w:t>opie, zaspokajających konkretne potrzeby naszego kontynentu</w:t>
      </w:r>
      <w:r w:rsidR="00525C12">
        <w:rPr>
          <w:rFonts w:ascii="Times New Roman" w:hAnsi="Times New Roman"/>
          <w:noProof/>
          <w:sz w:val="24"/>
          <w:szCs w:val="24"/>
        </w:rPr>
        <w:t xml:space="preserve"> w zak</w:t>
      </w:r>
      <w:r>
        <w:rPr>
          <w:rFonts w:ascii="Times New Roman" w:hAnsi="Times New Roman"/>
          <w:noProof/>
          <w:sz w:val="24"/>
          <w:szCs w:val="24"/>
        </w:rPr>
        <w:t>resie zdrowia publicznego,</w:t>
      </w:r>
      <w:r w:rsidR="00525C12">
        <w:rPr>
          <w:rFonts w:ascii="Times New Roman" w:hAnsi="Times New Roman"/>
          <w:noProof/>
          <w:sz w:val="24"/>
          <w:szCs w:val="24"/>
        </w:rPr>
        <w:t xml:space="preserve"> w ram</w:t>
      </w:r>
      <w:r>
        <w:rPr>
          <w:rFonts w:ascii="Times New Roman" w:hAnsi="Times New Roman"/>
          <w:noProof/>
          <w:sz w:val="24"/>
          <w:szCs w:val="24"/>
        </w:rPr>
        <w:t>ach „Horyzont 2020” utworzono dwie europejskie sieci badań klinicznych: jedna</w:t>
      </w:r>
      <w:r w:rsidR="00525C12">
        <w:rPr>
          <w:rFonts w:ascii="Times New Roman" w:hAnsi="Times New Roman"/>
          <w:noProof/>
          <w:sz w:val="24"/>
          <w:szCs w:val="24"/>
        </w:rPr>
        <w:t xml:space="preserve"> z nic</w:t>
      </w:r>
      <w:r>
        <w:rPr>
          <w:rFonts w:ascii="Times New Roman" w:hAnsi="Times New Roman"/>
          <w:noProof/>
          <w:sz w:val="24"/>
          <w:szCs w:val="24"/>
        </w:rPr>
        <w:t>h zajmuje się środkami terapeutycznymi,</w:t>
      </w:r>
      <w:r w:rsidR="00525C12">
        <w:rPr>
          <w:rFonts w:ascii="Times New Roman" w:hAnsi="Times New Roman"/>
          <w:noProof/>
          <w:sz w:val="24"/>
          <w:szCs w:val="24"/>
        </w:rPr>
        <w:t xml:space="preserve"> a dru</w:t>
      </w:r>
      <w:r>
        <w:rPr>
          <w:rFonts w:ascii="Times New Roman" w:hAnsi="Times New Roman"/>
          <w:noProof/>
          <w:sz w:val="24"/>
          <w:szCs w:val="24"/>
        </w:rPr>
        <w:t>ga – szczepionkami. Ponadto mechanizm doradczy wspólnego dostępu wspiera wydajne korzystanie</w:t>
      </w:r>
      <w:r w:rsidR="00525C12">
        <w:rPr>
          <w:rFonts w:ascii="Times New Roman" w:hAnsi="Times New Roman"/>
          <w:noProof/>
          <w:sz w:val="24"/>
          <w:szCs w:val="24"/>
        </w:rPr>
        <w:t xml:space="preserve"> z zas</w:t>
      </w:r>
      <w:r>
        <w:rPr>
          <w:rFonts w:ascii="Times New Roman" w:hAnsi="Times New Roman"/>
          <w:noProof/>
          <w:sz w:val="24"/>
          <w:szCs w:val="24"/>
        </w:rPr>
        <w:t>obów</w:t>
      </w:r>
      <w:r w:rsidR="00525C12">
        <w:rPr>
          <w:rFonts w:ascii="Times New Roman" w:hAnsi="Times New Roman"/>
          <w:noProof/>
          <w:sz w:val="24"/>
          <w:szCs w:val="24"/>
        </w:rPr>
        <w:t xml:space="preserve"> w ram</w:t>
      </w:r>
      <w:r>
        <w:rPr>
          <w:rFonts w:ascii="Times New Roman" w:hAnsi="Times New Roman"/>
          <w:noProof/>
          <w:sz w:val="24"/>
          <w:szCs w:val="24"/>
        </w:rPr>
        <w:t>ach badań</w:t>
      </w:r>
      <w:r w:rsidR="00525C12">
        <w:rPr>
          <w:rFonts w:ascii="Times New Roman" w:hAnsi="Times New Roman"/>
          <w:noProof/>
          <w:sz w:val="24"/>
          <w:szCs w:val="24"/>
        </w:rPr>
        <w:t xml:space="preserve"> i zap</w:t>
      </w:r>
      <w:r>
        <w:rPr>
          <w:rFonts w:ascii="Times New Roman" w:hAnsi="Times New Roman"/>
          <w:noProof/>
          <w:sz w:val="24"/>
          <w:szCs w:val="24"/>
        </w:rPr>
        <w:t>obiega dublowaniu działań.</w:t>
      </w:r>
      <w:r>
        <w:rPr>
          <w:noProof/>
        </w:rPr>
        <w:t xml:space="preserve"> </w:t>
      </w:r>
      <w:r>
        <w:rPr>
          <w:rFonts w:ascii="Times New Roman" w:hAnsi="Times New Roman"/>
          <w:noProof/>
          <w:sz w:val="24"/>
          <w:szCs w:val="24"/>
        </w:rPr>
        <w:t>Sieć badań nad szczepionkami obejmuje ukierunkowane na zdrowie publiczne badania nad szczepionkami wśród osób starszych,</w:t>
      </w:r>
      <w:r w:rsidR="00525C12">
        <w:rPr>
          <w:rFonts w:ascii="Times New Roman" w:hAnsi="Times New Roman"/>
          <w:noProof/>
          <w:sz w:val="24"/>
          <w:szCs w:val="24"/>
        </w:rPr>
        <w:t xml:space="preserve"> w cał</w:t>
      </w:r>
      <w:r>
        <w:rPr>
          <w:rFonts w:ascii="Times New Roman" w:hAnsi="Times New Roman"/>
          <w:noProof/>
          <w:sz w:val="24"/>
          <w:szCs w:val="24"/>
        </w:rPr>
        <w:t>ej populacji osób dorosłych</w:t>
      </w:r>
      <w:r w:rsidR="00525C12">
        <w:rPr>
          <w:rFonts w:ascii="Times New Roman" w:hAnsi="Times New Roman"/>
          <w:noProof/>
          <w:sz w:val="24"/>
          <w:szCs w:val="24"/>
        </w:rPr>
        <w:t xml:space="preserve"> i wśr</w:t>
      </w:r>
      <w:r>
        <w:rPr>
          <w:rFonts w:ascii="Times New Roman" w:hAnsi="Times New Roman"/>
          <w:noProof/>
          <w:sz w:val="24"/>
          <w:szCs w:val="24"/>
        </w:rPr>
        <w:t>ód dzieci</w:t>
      </w:r>
      <w:r w:rsidR="00A36433">
        <w:rPr>
          <w:rStyle w:val="FootnoteReference"/>
          <w:rFonts w:ascii="Times New Roman" w:hAnsi="Times New Roman" w:cs="Times New Roman"/>
          <w:noProof/>
          <w:sz w:val="24"/>
          <w:szCs w:val="24"/>
          <w:lang w:val="en-IE"/>
        </w:rPr>
        <w:footnoteReference w:id="29"/>
      </w:r>
      <w:r>
        <w:rPr>
          <w:rFonts w:ascii="Times New Roman" w:hAnsi="Times New Roman"/>
          <w:noProof/>
          <w:sz w:val="24"/>
          <w:szCs w:val="24"/>
        </w:rPr>
        <w:t>. Ponadto</w:t>
      </w:r>
      <w:r w:rsidR="00525C12">
        <w:rPr>
          <w:rFonts w:ascii="Times New Roman" w:hAnsi="Times New Roman"/>
          <w:noProof/>
          <w:sz w:val="24"/>
          <w:szCs w:val="24"/>
        </w:rPr>
        <w:t xml:space="preserve"> w sty</w:t>
      </w:r>
      <w:r>
        <w:rPr>
          <w:rFonts w:ascii="Times New Roman" w:hAnsi="Times New Roman"/>
          <w:noProof/>
          <w:sz w:val="24"/>
          <w:szCs w:val="24"/>
        </w:rPr>
        <w:t>czniu 20</w:t>
      </w:r>
      <w:r w:rsidRPr="00525C12">
        <w:rPr>
          <w:rFonts w:ascii="Times New Roman" w:hAnsi="Times New Roman"/>
          <w:noProof/>
          <w:sz w:val="24"/>
          <w:szCs w:val="24"/>
        </w:rPr>
        <w:t>22</w:t>
      </w:r>
      <w:r w:rsidR="00525C12" w:rsidRPr="00525C12">
        <w:rPr>
          <w:rFonts w:ascii="Times New Roman" w:hAnsi="Times New Roman"/>
          <w:noProof/>
          <w:sz w:val="24"/>
          <w:szCs w:val="24"/>
        </w:rPr>
        <w:t> </w:t>
      </w:r>
      <w:r w:rsidRPr="00525C12">
        <w:rPr>
          <w:rFonts w:ascii="Times New Roman" w:hAnsi="Times New Roman"/>
          <w:noProof/>
          <w:sz w:val="24"/>
          <w:szCs w:val="24"/>
        </w:rPr>
        <w:t>r.</w:t>
      </w:r>
      <w:r>
        <w:rPr>
          <w:rFonts w:ascii="Times New Roman" w:hAnsi="Times New Roman"/>
          <w:noProof/>
          <w:sz w:val="24"/>
          <w:szCs w:val="24"/>
        </w:rPr>
        <w:t xml:space="preserve"> Komisja Europejska, EMA</w:t>
      </w:r>
      <w:r w:rsidR="00525C12">
        <w:rPr>
          <w:rFonts w:ascii="Times New Roman" w:hAnsi="Times New Roman"/>
          <w:noProof/>
          <w:sz w:val="24"/>
          <w:szCs w:val="24"/>
        </w:rPr>
        <w:t xml:space="preserve"> i sze</w:t>
      </w:r>
      <w:r>
        <w:rPr>
          <w:rFonts w:ascii="Times New Roman" w:hAnsi="Times New Roman"/>
          <w:noProof/>
          <w:sz w:val="24"/>
          <w:szCs w:val="24"/>
        </w:rPr>
        <w:t>fowie agencji ds. leków rozpoczęli inicjatywę ACT EU zrzeszającą zainteresowane strony</w:t>
      </w:r>
      <w:r w:rsidR="00525C12">
        <w:rPr>
          <w:rFonts w:ascii="Times New Roman" w:hAnsi="Times New Roman"/>
          <w:noProof/>
          <w:sz w:val="24"/>
          <w:szCs w:val="24"/>
        </w:rPr>
        <w:t xml:space="preserve"> w zak</w:t>
      </w:r>
      <w:r>
        <w:rPr>
          <w:rFonts w:ascii="Times New Roman" w:hAnsi="Times New Roman"/>
          <w:noProof/>
          <w:sz w:val="24"/>
          <w:szCs w:val="24"/>
        </w:rPr>
        <w:t>resie badań klinicznych, aby zwiększyć skalę, tempo realizacji</w:t>
      </w:r>
      <w:r w:rsidR="00525C12">
        <w:rPr>
          <w:rFonts w:ascii="Times New Roman" w:hAnsi="Times New Roman"/>
          <w:noProof/>
          <w:sz w:val="24"/>
          <w:szCs w:val="24"/>
        </w:rPr>
        <w:t xml:space="preserve"> i jak</w:t>
      </w:r>
      <w:r>
        <w:rPr>
          <w:rFonts w:ascii="Times New Roman" w:hAnsi="Times New Roman"/>
          <w:noProof/>
          <w:sz w:val="24"/>
          <w:szCs w:val="24"/>
        </w:rPr>
        <w:t>ość badań klinicznych</w:t>
      </w:r>
      <w:r w:rsidR="00F57613">
        <w:rPr>
          <w:rStyle w:val="FootnoteReference"/>
          <w:rFonts w:ascii="Times New Roman" w:hAnsi="Times New Roman" w:cs="Times New Roman"/>
          <w:noProof/>
          <w:sz w:val="24"/>
          <w:szCs w:val="24"/>
        </w:rPr>
        <w:footnoteReference w:id="30"/>
      </w:r>
      <w:r>
        <w:rPr>
          <w:rFonts w:ascii="Times New Roman" w:hAnsi="Times New Roman"/>
          <w:noProof/>
          <w:sz w:val="24"/>
          <w:szCs w:val="24"/>
        </w:rPr>
        <w:t>.</w:t>
      </w:r>
    </w:p>
    <w:p w14:paraId="74809BAD" w14:textId="3C81109F" w:rsidR="00A32971" w:rsidRDefault="345AED27" w:rsidP="00A32971">
      <w:pPr>
        <w:spacing w:line="240" w:lineRule="auto"/>
        <w:jc w:val="both"/>
        <w:rPr>
          <w:rFonts w:ascii="Times New Roman" w:hAnsi="Times New Roman" w:cs="Times New Roman"/>
          <w:noProof/>
          <w:sz w:val="24"/>
          <w:szCs w:val="24"/>
        </w:rPr>
      </w:pPr>
      <w:r>
        <w:rPr>
          <w:rFonts w:ascii="Times New Roman" w:hAnsi="Times New Roman"/>
          <w:noProof/>
          <w:sz w:val="24"/>
          <w:szCs w:val="24"/>
        </w:rPr>
        <w:t>Szybkie zatwierdzanie w UE badań klinicznych realizowanych na szeroką skalę stanowi również element unijnej strategii na rzecz środków terapeutycznych przeciwko COVID-19,</w:t>
      </w:r>
      <w:r w:rsidR="00525C12">
        <w:rPr>
          <w:rFonts w:ascii="Times New Roman" w:hAnsi="Times New Roman"/>
          <w:noProof/>
          <w:sz w:val="24"/>
          <w:szCs w:val="24"/>
        </w:rPr>
        <w:t xml:space="preserve"> i w zwi</w:t>
      </w:r>
      <w:r>
        <w:rPr>
          <w:rFonts w:ascii="Times New Roman" w:hAnsi="Times New Roman"/>
          <w:noProof/>
          <w:sz w:val="24"/>
          <w:szCs w:val="24"/>
        </w:rPr>
        <w:t>ązku</w:t>
      </w:r>
      <w:r w:rsidR="00525C12">
        <w:rPr>
          <w:rFonts w:ascii="Times New Roman" w:hAnsi="Times New Roman"/>
          <w:noProof/>
          <w:sz w:val="24"/>
          <w:szCs w:val="24"/>
        </w:rPr>
        <w:t xml:space="preserve"> z tym</w:t>
      </w:r>
      <w:r>
        <w:rPr>
          <w:rFonts w:ascii="Times New Roman" w:hAnsi="Times New Roman"/>
          <w:noProof/>
          <w:sz w:val="24"/>
          <w:szCs w:val="24"/>
        </w:rPr>
        <w:t xml:space="preserve"> rozpoczęto wspólne działanie</w:t>
      </w:r>
      <w:r w:rsidR="00010405">
        <w:rPr>
          <w:rStyle w:val="FootnoteReference"/>
          <w:rFonts w:ascii="Times New Roman" w:hAnsi="Times New Roman" w:cs="Times New Roman"/>
          <w:noProof/>
          <w:sz w:val="24"/>
          <w:szCs w:val="24"/>
          <w:lang w:val="en-IE"/>
        </w:rPr>
        <w:footnoteReference w:id="31"/>
      </w:r>
      <w:r>
        <w:rPr>
          <w:rFonts w:ascii="Times New Roman" w:hAnsi="Times New Roman"/>
          <w:noProof/>
          <w:sz w:val="24"/>
          <w:szCs w:val="24"/>
        </w:rPr>
        <w:t xml:space="preserve"> służące realizacji przyspieszonej procedury oceny</w:t>
      </w:r>
      <w:r w:rsidR="00525C12">
        <w:rPr>
          <w:rFonts w:ascii="Times New Roman" w:hAnsi="Times New Roman"/>
          <w:noProof/>
          <w:sz w:val="24"/>
          <w:szCs w:val="24"/>
        </w:rPr>
        <w:t xml:space="preserve"> i zat</w:t>
      </w:r>
      <w:r>
        <w:rPr>
          <w:rFonts w:ascii="Times New Roman" w:hAnsi="Times New Roman"/>
          <w:noProof/>
          <w:sz w:val="24"/>
          <w:szCs w:val="24"/>
        </w:rPr>
        <w:t>wierdzania wielokrajowych badań klinicznych nad środkami terapeutycznymi przeciwko COVID-19. Ponadto rozszerzono kompetencje grupy zadaniowej ds. stanów zagrożenia EMA, aby uwzględnić wspieranie współpracy między sponsorami</w:t>
      </w:r>
      <w:r w:rsidR="00525C12">
        <w:rPr>
          <w:rFonts w:ascii="Times New Roman" w:hAnsi="Times New Roman"/>
          <w:noProof/>
          <w:sz w:val="24"/>
          <w:szCs w:val="24"/>
        </w:rPr>
        <w:t xml:space="preserve"> w cel</w:t>
      </w:r>
      <w:r>
        <w:rPr>
          <w:rFonts w:ascii="Times New Roman" w:hAnsi="Times New Roman"/>
          <w:noProof/>
          <w:sz w:val="24"/>
          <w:szCs w:val="24"/>
        </w:rPr>
        <w:t>u prowadzenia platformowych badań na szeroką skalę</w:t>
      </w:r>
      <w:r w:rsidR="00525C12">
        <w:rPr>
          <w:rFonts w:ascii="Times New Roman" w:hAnsi="Times New Roman"/>
          <w:noProof/>
          <w:sz w:val="24"/>
          <w:szCs w:val="24"/>
        </w:rPr>
        <w:t xml:space="preserve"> w sta</w:t>
      </w:r>
      <w:r>
        <w:rPr>
          <w:rFonts w:ascii="Times New Roman" w:hAnsi="Times New Roman"/>
          <w:noProof/>
          <w:sz w:val="24"/>
          <w:szCs w:val="24"/>
        </w:rPr>
        <w:t xml:space="preserve">nach zagrożenia zdrowia publicznego. </w:t>
      </w:r>
    </w:p>
    <w:p w14:paraId="04E1402D" w14:textId="2A82DDD2" w:rsidR="00A32971" w:rsidRDefault="00A32971" w:rsidP="00A32971">
      <w:pPr>
        <w:spacing w:line="240" w:lineRule="auto"/>
        <w:jc w:val="both"/>
        <w:rPr>
          <w:rFonts w:ascii="Times New Roman" w:hAnsi="Times New Roman" w:cs="Times New Roman"/>
          <w:noProof/>
          <w:sz w:val="24"/>
          <w:szCs w:val="24"/>
        </w:rPr>
      </w:pPr>
      <w:r>
        <w:rPr>
          <w:rFonts w:ascii="Times New Roman" w:hAnsi="Times New Roman"/>
          <w:noProof/>
          <w:sz w:val="24"/>
          <w:szCs w:val="24"/>
        </w:rPr>
        <w:t>Jako partnerzy na arenie międzynarodowej europejskie organy regulacyjne przyczyniają się do trwającego przeglądu wytycznych dotyczących dobrej praktyki klinicznej Międzynarodowej Rady ds. Harmonizacji Wymagań Technicznych dla Rejestracji Produktów Leczniczych Stosowanych</w:t>
      </w:r>
      <w:r w:rsidR="00525C12">
        <w:rPr>
          <w:rFonts w:ascii="Times New Roman" w:hAnsi="Times New Roman"/>
          <w:noProof/>
          <w:sz w:val="24"/>
          <w:szCs w:val="24"/>
        </w:rPr>
        <w:t xml:space="preserve"> u Lud</w:t>
      </w:r>
      <w:r>
        <w:rPr>
          <w:rFonts w:ascii="Times New Roman" w:hAnsi="Times New Roman"/>
          <w:noProof/>
          <w:sz w:val="24"/>
          <w:szCs w:val="24"/>
        </w:rPr>
        <w:t>zi oraz wspierają prace prowadzone</w:t>
      </w:r>
      <w:r w:rsidR="00525C12">
        <w:rPr>
          <w:rFonts w:ascii="Times New Roman" w:hAnsi="Times New Roman"/>
          <w:noProof/>
          <w:sz w:val="24"/>
          <w:szCs w:val="24"/>
        </w:rPr>
        <w:t xml:space="preserve"> w ram</w:t>
      </w:r>
      <w:r>
        <w:rPr>
          <w:rFonts w:ascii="Times New Roman" w:hAnsi="Times New Roman"/>
          <w:noProof/>
          <w:sz w:val="24"/>
          <w:szCs w:val="24"/>
        </w:rPr>
        <w:t>ach Międzynarodowej koalicji organów regulacyjnych ds. produktów leczniczych, aby szybciej doprowadzić do międzynarodowej akceptacji platformowych badań realizowanych na szeroką skalę</w:t>
      </w:r>
      <w:r w:rsidR="00525C12">
        <w:rPr>
          <w:rFonts w:ascii="Times New Roman" w:hAnsi="Times New Roman"/>
          <w:noProof/>
          <w:sz w:val="24"/>
          <w:szCs w:val="24"/>
        </w:rPr>
        <w:t xml:space="preserve"> w cel</w:t>
      </w:r>
      <w:r>
        <w:rPr>
          <w:rFonts w:ascii="Times New Roman" w:hAnsi="Times New Roman"/>
          <w:noProof/>
          <w:sz w:val="24"/>
          <w:szCs w:val="24"/>
        </w:rPr>
        <w:t>u reagowania</w:t>
      </w:r>
      <w:r w:rsidR="00525C12">
        <w:rPr>
          <w:rFonts w:ascii="Times New Roman" w:hAnsi="Times New Roman"/>
          <w:noProof/>
          <w:sz w:val="24"/>
          <w:szCs w:val="24"/>
        </w:rPr>
        <w:t xml:space="preserve"> w sta</w:t>
      </w:r>
      <w:r>
        <w:rPr>
          <w:rFonts w:ascii="Times New Roman" w:hAnsi="Times New Roman"/>
          <w:noProof/>
          <w:sz w:val="24"/>
          <w:szCs w:val="24"/>
        </w:rPr>
        <w:t>nach zagrożenia zdrowia</w:t>
      </w:r>
      <w:r>
        <w:rPr>
          <w:rStyle w:val="FootnoteReference"/>
          <w:rFonts w:ascii="Times New Roman" w:hAnsi="Times New Roman" w:cs="Times New Roman"/>
          <w:noProof/>
          <w:sz w:val="24"/>
          <w:szCs w:val="24"/>
        </w:rPr>
        <w:footnoteReference w:id="32"/>
      </w:r>
      <w:r>
        <w:rPr>
          <w:rFonts w:ascii="Times New Roman" w:hAnsi="Times New Roman"/>
          <w:noProof/>
          <w:sz w:val="24"/>
          <w:szCs w:val="24"/>
        </w:rPr>
        <w:t xml:space="preserve">. </w:t>
      </w:r>
    </w:p>
    <w:p w14:paraId="12269ECA" w14:textId="77777777" w:rsidR="002158D9" w:rsidRPr="0050544E" w:rsidRDefault="002158D9" w:rsidP="0088568E">
      <w:pPr>
        <w:keepNext/>
        <w:pBdr>
          <w:top w:val="single" w:sz="4" w:space="1" w:color="auto"/>
          <w:left w:val="single" w:sz="4" w:space="4" w:color="auto"/>
          <w:bottom w:val="single" w:sz="4" w:space="1" w:color="auto"/>
          <w:right w:val="single" w:sz="4" w:space="4" w:color="auto"/>
        </w:pBdr>
        <w:spacing w:before="360" w:after="120" w:line="240" w:lineRule="auto"/>
        <w:jc w:val="center"/>
        <w:rPr>
          <w:rFonts w:ascii="Times New Roman" w:hAnsi="Times New Roman" w:cs="Times New Roman"/>
          <w:b/>
          <w:noProof/>
          <w:sz w:val="24"/>
          <w:szCs w:val="24"/>
        </w:rPr>
      </w:pPr>
      <w:r>
        <w:rPr>
          <w:rFonts w:ascii="Times New Roman" w:hAnsi="Times New Roman"/>
          <w:b/>
          <w:noProof/>
          <w:sz w:val="24"/>
          <w:szCs w:val="24"/>
        </w:rPr>
        <w:t>INICJATYWY I DZIAŁANIA UE</w:t>
      </w:r>
    </w:p>
    <w:p w14:paraId="379F43E6" w14:textId="7B8A95FF" w:rsidR="0088568E" w:rsidRPr="009E6CBE" w:rsidRDefault="00E008D5" w:rsidP="003839E1">
      <w:pPr>
        <w:pStyle w:val="ListParagraph"/>
        <w:numPr>
          <w:ilvl w:val="0"/>
          <w:numId w:val="10"/>
        </w:numPr>
        <w:pBdr>
          <w:top w:val="single" w:sz="4" w:space="1" w:color="auto"/>
          <w:left w:val="single" w:sz="4" w:space="4" w:color="auto"/>
          <w:bottom w:val="single" w:sz="4" w:space="1" w:color="auto"/>
          <w:right w:val="single" w:sz="4" w:space="4" w:color="auto"/>
        </w:pBdr>
        <w:spacing w:after="240" w:line="240" w:lineRule="auto"/>
        <w:ind w:left="480" w:hanging="480"/>
        <w:jc w:val="both"/>
        <w:rPr>
          <w:b/>
          <w:noProof/>
          <w:szCs w:val="24"/>
        </w:rPr>
      </w:pPr>
      <w:r>
        <w:rPr>
          <w:rFonts w:ascii="Times New Roman" w:hAnsi="Times New Roman"/>
          <w:noProof/>
          <w:sz w:val="24"/>
          <w:szCs w:val="24"/>
        </w:rPr>
        <w:t>Zwiększenie krajowych zdolności państw UE/EOG do prowadzenia badań naukowych</w:t>
      </w:r>
      <w:r w:rsidR="00525C12">
        <w:rPr>
          <w:rFonts w:ascii="Times New Roman" w:hAnsi="Times New Roman"/>
          <w:noProof/>
          <w:sz w:val="24"/>
          <w:szCs w:val="24"/>
        </w:rPr>
        <w:t xml:space="preserve"> i ang</w:t>
      </w:r>
      <w:r>
        <w:rPr>
          <w:rFonts w:ascii="Times New Roman" w:hAnsi="Times New Roman"/>
          <w:noProof/>
          <w:sz w:val="24"/>
          <w:szCs w:val="24"/>
        </w:rPr>
        <w:t>ażowania się</w:t>
      </w:r>
      <w:r w:rsidR="00525C12">
        <w:rPr>
          <w:rFonts w:ascii="Times New Roman" w:hAnsi="Times New Roman"/>
          <w:noProof/>
          <w:sz w:val="24"/>
          <w:szCs w:val="24"/>
        </w:rPr>
        <w:t xml:space="preserve"> w bad</w:t>
      </w:r>
      <w:r>
        <w:rPr>
          <w:rFonts w:ascii="Times New Roman" w:hAnsi="Times New Roman"/>
          <w:noProof/>
          <w:sz w:val="24"/>
          <w:szCs w:val="24"/>
        </w:rPr>
        <w:t>ania kliniczne realizowane przez wiele państw</w:t>
      </w:r>
      <w:r w:rsidR="00525C12">
        <w:rPr>
          <w:rFonts w:ascii="Times New Roman" w:hAnsi="Times New Roman"/>
          <w:noProof/>
          <w:sz w:val="24"/>
          <w:szCs w:val="24"/>
        </w:rPr>
        <w:t xml:space="preserve"> w cza</w:t>
      </w:r>
      <w:r>
        <w:rPr>
          <w:rFonts w:ascii="Times New Roman" w:hAnsi="Times New Roman"/>
          <w:noProof/>
          <w:sz w:val="24"/>
          <w:szCs w:val="24"/>
        </w:rPr>
        <w:t>sie kryzysu. Należy priorytetowo traktować terminowe wdrożenie europejskich badań realizowanych przez wiele państw.</w:t>
      </w:r>
    </w:p>
    <w:p w14:paraId="73FCA46C" w14:textId="4F2B80ED" w:rsidR="00440406" w:rsidRPr="002D02A7" w:rsidRDefault="00440406" w:rsidP="00440406">
      <w:pPr>
        <w:pStyle w:val="ListParagraph"/>
        <w:numPr>
          <w:ilvl w:val="0"/>
          <w:numId w:val="10"/>
        </w:numPr>
        <w:pBdr>
          <w:top w:val="single" w:sz="4" w:space="1" w:color="auto"/>
          <w:left w:val="single" w:sz="4" w:space="4" w:color="auto"/>
          <w:bottom w:val="single" w:sz="4" w:space="1" w:color="auto"/>
          <w:right w:val="single" w:sz="4" w:space="4" w:color="auto"/>
        </w:pBdr>
        <w:spacing w:after="240" w:line="240" w:lineRule="auto"/>
        <w:ind w:left="480" w:hanging="480"/>
        <w:jc w:val="both"/>
        <w:rPr>
          <w:b/>
          <w:noProof/>
          <w:szCs w:val="24"/>
        </w:rPr>
      </w:pPr>
      <w:r>
        <w:rPr>
          <w:rFonts w:ascii="Times New Roman" w:hAnsi="Times New Roman"/>
          <w:noProof/>
          <w:sz w:val="24"/>
          <w:szCs w:val="24"/>
        </w:rPr>
        <w:t>Monitorowanie pełnego</w:t>
      </w:r>
      <w:r w:rsidR="00525C12">
        <w:rPr>
          <w:rFonts w:ascii="Times New Roman" w:hAnsi="Times New Roman"/>
          <w:noProof/>
          <w:sz w:val="24"/>
          <w:szCs w:val="24"/>
        </w:rPr>
        <w:t xml:space="preserve"> i ter</w:t>
      </w:r>
      <w:r>
        <w:rPr>
          <w:rFonts w:ascii="Times New Roman" w:hAnsi="Times New Roman"/>
          <w:noProof/>
          <w:sz w:val="24"/>
          <w:szCs w:val="24"/>
        </w:rPr>
        <w:t>minowego wdrożenia rozporządzenia</w:t>
      </w:r>
      <w:r w:rsidR="00525C12">
        <w:rPr>
          <w:rFonts w:ascii="Times New Roman" w:hAnsi="Times New Roman"/>
          <w:noProof/>
          <w:sz w:val="24"/>
          <w:szCs w:val="24"/>
        </w:rPr>
        <w:t xml:space="preserve"> w spr</w:t>
      </w:r>
      <w:r>
        <w:rPr>
          <w:rFonts w:ascii="Times New Roman" w:hAnsi="Times New Roman"/>
          <w:noProof/>
          <w:sz w:val="24"/>
          <w:szCs w:val="24"/>
        </w:rPr>
        <w:t>awie badań klinicznych</w:t>
      </w:r>
      <w:r w:rsidR="00525C12">
        <w:rPr>
          <w:rFonts w:ascii="Times New Roman" w:hAnsi="Times New Roman"/>
          <w:noProof/>
          <w:sz w:val="24"/>
          <w:szCs w:val="24"/>
        </w:rPr>
        <w:t xml:space="preserve"> w wyk</w:t>
      </w:r>
      <w:r>
        <w:rPr>
          <w:rFonts w:ascii="Times New Roman" w:hAnsi="Times New Roman"/>
          <w:noProof/>
          <w:sz w:val="24"/>
          <w:szCs w:val="24"/>
        </w:rPr>
        <w:t>orzystaniem opracowywanych</w:t>
      </w:r>
      <w:r w:rsidR="00525C12">
        <w:rPr>
          <w:rFonts w:ascii="Times New Roman" w:hAnsi="Times New Roman"/>
          <w:noProof/>
          <w:sz w:val="24"/>
          <w:szCs w:val="24"/>
        </w:rPr>
        <w:t xml:space="preserve"> i reg</w:t>
      </w:r>
      <w:r>
        <w:rPr>
          <w:rFonts w:ascii="Times New Roman" w:hAnsi="Times New Roman"/>
          <w:noProof/>
          <w:sz w:val="24"/>
          <w:szCs w:val="24"/>
        </w:rPr>
        <w:t>ularnie publikowanych kluczowych wskaźników efektywności.</w:t>
      </w:r>
    </w:p>
    <w:p w14:paraId="3E3CBA39" w14:textId="6C691C0A" w:rsidR="00440406" w:rsidRPr="002D02A7" w:rsidRDefault="0050765C" w:rsidP="00440406">
      <w:pPr>
        <w:pStyle w:val="ListParagraph"/>
        <w:numPr>
          <w:ilvl w:val="0"/>
          <w:numId w:val="10"/>
        </w:numPr>
        <w:pBdr>
          <w:top w:val="single" w:sz="4" w:space="1" w:color="auto"/>
          <w:left w:val="single" w:sz="4" w:space="4" w:color="auto"/>
          <w:bottom w:val="single" w:sz="4" w:space="1" w:color="auto"/>
          <w:right w:val="single" w:sz="4" w:space="4" w:color="auto"/>
        </w:pBdr>
        <w:spacing w:after="240" w:line="240" w:lineRule="auto"/>
        <w:ind w:left="480" w:hanging="480"/>
        <w:jc w:val="both"/>
        <w:rPr>
          <w:b/>
          <w:noProof/>
          <w:szCs w:val="24"/>
        </w:rPr>
      </w:pPr>
      <w:r>
        <w:rPr>
          <w:rFonts w:ascii="Times New Roman" w:hAnsi="Times New Roman"/>
          <w:noProof/>
          <w:sz w:val="24"/>
          <w:szCs w:val="24"/>
        </w:rPr>
        <w:t>Wspieranie skoordynowanego</w:t>
      </w:r>
      <w:r w:rsidR="00525C12">
        <w:rPr>
          <w:rFonts w:ascii="Times New Roman" w:hAnsi="Times New Roman"/>
          <w:noProof/>
          <w:sz w:val="24"/>
          <w:szCs w:val="24"/>
        </w:rPr>
        <w:t xml:space="preserve"> i zha</w:t>
      </w:r>
      <w:r>
        <w:rPr>
          <w:rFonts w:ascii="Times New Roman" w:hAnsi="Times New Roman"/>
          <w:noProof/>
          <w:sz w:val="24"/>
          <w:szCs w:val="24"/>
        </w:rPr>
        <w:t>rmonizowanego przeprowadzania</w:t>
      </w:r>
      <w:r w:rsidR="00525C12">
        <w:rPr>
          <w:rFonts w:ascii="Times New Roman" w:hAnsi="Times New Roman"/>
          <w:noProof/>
          <w:sz w:val="24"/>
          <w:szCs w:val="24"/>
        </w:rPr>
        <w:t xml:space="preserve"> i reg</w:t>
      </w:r>
      <w:r>
        <w:rPr>
          <w:rFonts w:ascii="Times New Roman" w:hAnsi="Times New Roman"/>
          <w:noProof/>
          <w:sz w:val="24"/>
          <w:szCs w:val="24"/>
        </w:rPr>
        <w:t>ulacyjnego nadzorowania finansowanych ze środków unijnych platformowych badań nad środkami terapeutycznymi przeciwko COVID-19 na podstawie rozporządzenia</w:t>
      </w:r>
      <w:r w:rsidR="00525C12">
        <w:rPr>
          <w:rFonts w:ascii="Times New Roman" w:hAnsi="Times New Roman"/>
          <w:noProof/>
          <w:sz w:val="24"/>
          <w:szCs w:val="24"/>
        </w:rPr>
        <w:t xml:space="preserve"> w spr</w:t>
      </w:r>
      <w:r>
        <w:rPr>
          <w:rFonts w:ascii="Times New Roman" w:hAnsi="Times New Roman"/>
          <w:noProof/>
          <w:sz w:val="24"/>
          <w:szCs w:val="24"/>
        </w:rPr>
        <w:t>awie badań klinicznych.</w:t>
      </w:r>
    </w:p>
    <w:p w14:paraId="3AC0E144" w14:textId="4BC7A388" w:rsidR="00440406" w:rsidRPr="002D02A7" w:rsidRDefault="00D12DE5" w:rsidP="00440406">
      <w:pPr>
        <w:pStyle w:val="ListParagraph"/>
        <w:numPr>
          <w:ilvl w:val="0"/>
          <w:numId w:val="10"/>
        </w:numPr>
        <w:pBdr>
          <w:top w:val="single" w:sz="4" w:space="1" w:color="auto"/>
          <w:left w:val="single" w:sz="4" w:space="4" w:color="auto"/>
          <w:bottom w:val="single" w:sz="4" w:space="1" w:color="auto"/>
          <w:right w:val="single" w:sz="4" w:space="4" w:color="auto"/>
        </w:pBdr>
        <w:spacing w:after="240" w:line="240" w:lineRule="auto"/>
        <w:ind w:left="480" w:hanging="480"/>
        <w:jc w:val="both"/>
        <w:rPr>
          <w:b/>
          <w:noProof/>
          <w:szCs w:val="24"/>
        </w:rPr>
      </w:pPr>
      <w:r>
        <w:rPr>
          <w:rFonts w:ascii="Times New Roman" w:hAnsi="Times New Roman"/>
          <w:noProof/>
          <w:sz w:val="24"/>
          <w:szCs w:val="24"/>
        </w:rPr>
        <w:t>Realizacja inicjatywy ACT-EU służącej udoskonaleniu badań klinicznych dostarczających dowody na potrzeby podejmowania decyzji,</w:t>
      </w:r>
      <w:r w:rsidR="00525C12">
        <w:rPr>
          <w:rFonts w:ascii="Times New Roman" w:hAnsi="Times New Roman"/>
          <w:noProof/>
          <w:sz w:val="24"/>
          <w:szCs w:val="24"/>
        </w:rPr>
        <w:t xml:space="preserve"> w tym w spr</w:t>
      </w:r>
      <w:r>
        <w:rPr>
          <w:rFonts w:ascii="Times New Roman" w:hAnsi="Times New Roman"/>
          <w:noProof/>
          <w:sz w:val="24"/>
          <w:szCs w:val="24"/>
        </w:rPr>
        <w:t>awie szczepionek</w:t>
      </w:r>
      <w:r w:rsidR="00525C12">
        <w:rPr>
          <w:rFonts w:ascii="Times New Roman" w:hAnsi="Times New Roman"/>
          <w:noProof/>
          <w:sz w:val="24"/>
          <w:szCs w:val="24"/>
        </w:rPr>
        <w:t xml:space="preserve"> i śro</w:t>
      </w:r>
      <w:r>
        <w:rPr>
          <w:rFonts w:ascii="Times New Roman" w:hAnsi="Times New Roman"/>
          <w:noProof/>
          <w:sz w:val="24"/>
          <w:szCs w:val="24"/>
        </w:rPr>
        <w:t>dków terapeutycznych</w:t>
      </w:r>
      <w:r w:rsidR="00525C12">
        <w:rPr>
          <w:rFonts w:ascii="Times New Roman" w:hAnsi="Times New Roman"/>
          <w:noProof/>
          <w:sz w:val="24"/>
          <w:szCs w:val="24"/>
        </w:rPr>
        <w:t xml:space="preserve"> w cza</w:t>
      </w:r>
      <w:r>
        <w:rPr>
          <w:rFonts w:ascii="Times New Roman" w:hAnsi="Times New Roman"/>
          <w:noProof/>
          <w:sz w:val="24"/>
          <w:szCs w:val="24"/>
        </w:rPr>
        <w:t>sie kryzysów</w:t>
      </w:r>
      <w:r w:rsidR="00525C12">
        <w:rPr>
          <w:rFonts w:ascii="Times New Roman" w:hAnsi="Times New Roman"/>
          <w:noProof/>
          <w:sz w:val="24"/>
          <w:szCs w:val="24"/>
        </w:rPr>
        <w:t xml:space="preserve"> w dzi</w:t>
      </w:r>
      <w:r>
        <w:rPr>
          <w:rFonts w:ascii="Times New Roman" w:hAnsi="Times New Roman"/>
          <w:noProof/>
          <w:sz w:val="24"/>
          <w:szCs w:val="24"/>
        </w:rPr>
        <w:t>edzinie zdrowia publicznego</w:t>
      </w:r>
      <w:r w:rsidR="00525C12">
        <w:rPr>
          <w:rFonts w:ascii="Times New Roman" w:hAnsi="Times New Roman"/>
          <w:noProof/>
          <w:sz w:val="24"/>
          <w:szCs w:val="24"/>
        </w:rPr>
        <w:t xml:space="preserve"> i pan</w:t>
      </w:r>
      <w:r>
        <w:rPr>
          <w:rFonts w:ascii="Times New Roman" w:hAnsi="Times New Roman"/>
          <w:noProof/>
          <w:sz w:val="24"/>
          <w:szCs w:val="24"/>
        </w:rPr>
        <w:t>demii.</w:t>
      </w:r>
    </w:p>
    <w:p w14:paraId="148ECF43" w14:textId="1B9ECD06" w:rsidR="00440406" w:rsidRPr="00440406" w:rsidRDefault="00E008D5" w:rsidP="00440406">
      <w:pPr>
        <w:pStyle w:val="ListParagraph"/>
        <w:numPr>
          <w:ilvl w:val="0"/>
          <w:numId w:val="10"/>
        </w:numPr>
        <w:pBdr>
          <w:top w:val="single" w:sz="4" w:space="1" w:color="auto"/>
          <w:left w:val="single" w:sz="4" w:space="4" w:color="auto"/>
          <w:bottom w:val="single" w:sz="4" w:space="1" w:color="auto"/>
          <w:right w:val="single" w:sz="4" w:space="4" w:color="auto"/>
        </w:pBdr>
        <w:spacing w:after="240" w:line="240" w:lineRule="auto"/>
        <w:ind w:left="480" w:hanging="480"/>
        <w:jc w:val="both"/>
        <w:rPr>
          <w:b/>
          <w:noProof/>
          <w:szCs w:val="24"/>
        </w:rPr>
      </w:pPr>
      <w:r>
        <w:rPr>
          <w:rFonts w:ascii="Times New Roman" w:hAnsi="Times New Roman"/>
          <w:noProof/>
          <w:sz w:val="24"/>
          <w:szCs w:val="24"/>
        </w:rPr>
        <w:t>Realizacja wspólnego działania Unii</w:t>
      </w:r>
      <w:r w:rsidR="00525C12">
        <w:rPr>
          <w:rFonts w:ascii="Times New Roman" w:hAnsi="Times New Roman"/>
          <w:noProof/>
          <w:sz w:val="24"/>
          <w:szCs w:val="24"/>
        </w:rPr>
        <w:t xml:space="preserve"> w dzi</w:t>
      </w:r>
      <w:r>
        <w:rPr>
          <w:rFonts w:ascii="Times New Roman" w:hAnsi="Times New Roman"/>
          <w:noProof/>
          <w:sz w:val="24"/>
          <w:szCs w:val="24"/>
        </w:rPr>
        <w:t>edzinie zdrowia na rzecz szybkiego zatwierdzania badań nad środkami terapeutycznymi przeciwko COVID-19 oraz opracowanie zharmonizowanej procedury szybkiej</w:t>
      </w:r>
      <w:r w:rsidR="00525C12">
        <w:rPr>
          <w:rFonts w:ascii="Times New Roman" w:hAnsi="Times New Roman"/>
          <w:noProof/>
          <w:sz w:val="24"/>
          <w:szCs w:val="24"/>
        </w:rPr>
        <w:t xml:space="preserve"> i sko</w:t>
      </w:r>
      <w:r>
        <w:rPr>
          <w:rFonts w:ascii="Times New Roman" w:hAnsi="Times New Roman"/>
          <w:noProof/>
          <w:sz w:val="24"/>
          <w:szCs w:val="24"/>
        </w:rPr>
        <w:t>ordynowanej oceny wniosków</w:t>
      </w:r>
      <w:r w:rsidR="00525C12">
        <w:rPr>
          <w:rFonts w:ascii="Times New Roman" w:hAnsi="Times New Roman"/>
          <w:noProof/>
          <w:sz w:val="24"/>
          <w:szCs w:val="24"/>
        </w:rPr>
        <w:t xml:space="preserve"> o poz</w:t>
      </w:r>
      <w:r>
        <w:rPr>
          <w:rFonts w:ascii="Times New Roman" w:hAnsi="Times New Roman"/>
          <w:noProof/>
          <w:sz w:val="24"/>
          <w:szCs w:val="24"/>
        </w:rPr>
        <w:t>wolenie na badanie kliniczne wśród państw członkowskich na wypadek przyszłych stanów zagrożenia.</w:t>
      </w:r>
    </w:p>
    <w:p w14:paraId="64F062E1" w14:textId="77777777" w:rsidR="00740CF7" w:rsidRPr="00702757" w:rsidRDefault="00740CF7" w:rsidP="00740CF7">
      <w:pPr>
        <w:pStyle w:val="Text1"/>
        <w:keepNext/>
        <w:numPr>
          <w:ilvl w:val="0"/>
          <w:numId w:val="11"/>
        </w:numPr>
        <w:spacing w:after="200"/>
        <w:rPr>
          <w:b/>
          <w:i/>
          <w:noProof/>
          <w:szCs w:val="24"/>
        </w:rPr>
      </w:pPr>
      <w:r>
        <w:rPr>
          <w:b/>
          <w:i/>
          <w:noProof/>
          <w:szCs w:val="24"/>
        </w:rPr>
        <w:t>Odporne łańcuchy dostaw przez cały okres pandemii</w:t>
      </w:r>
    </w:p>
    <w:p w14:paraId="750E43C7" w14:textId="05F9E160" w:rsidR="00740CF7" w:rsidRDefault="00740CF7" w:rsidP="00740CF7">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Chociaż obecnie zdolność do produkcji szczepionek odpowiada zapotrzebowaniu, należy uważnie monitorować sytuację pod kątem wąskich gardeł</w:t>
      </w:r>
      <w:r w:rsidR="00525C12">
        <w:rPr>
          <w:rFonts w:ascii="Times New Roman" w:hAnsi="Times New Roman"/>
          <w:noProof/>
          <w:sz w:val="24"/>
          <w:szCs w:val="24"/>
        </w:rPr>
        <w:t xml:space="preserve"> w łań</w:t>
      </w:r>
      <w:r>
        <w:rPr>
          <w:rFonts w:ascii="Times New Roman" w:hAnsi="Times New Roman"/>
          <w:noProof/>
          <w:sz w:val="24"/>
          <w:szCs w:val="24"/>
        </w:rPr>
        <w:t>cuchach dostaw nie tylko szczepionek, ale również medycznych środków przeciwdziałania</w:t>
      </w:r>
      <w:r w:rsidR="00525C12">
        <w:rPr>
          <w:rFonts w:ascii="Times New Roman" w:hAnsi="Times New Roman"/>
          <w:noProof/>
          <w:sz w:val="24"/>
          <w:szCs w:val="24"/>
        </w:rPr>
        <w:t xml:space="preserve"> i mat</w:t>
      </w:r>
      <w:r>
        <w:rPr>
          <w:rFonts w:ascii="Times New Roman" w:hAnsi="Times New Roman"/>
          <w:noProof/>
          <w:sz w:val="24"/>
          <w:szCs w:val="24"/>
        </w:rPr>
        <w:t>eriałów do ich produkcji. Trwa</w:t>
      </w:r>
      <w:r w:rsidR="00525C12">
        <w:rPr>
          <w:rFonts w:ascii="Times New Roman" w:hAnsi="Times New Roman"/>
          <w:noProof/>
          <w:sz w:val="24"/>
          <w:szCs w:val="24"/>
        </w:rPr>
        <w:t xml:space="preserve"> i będ</w:t>
      </w:r>
      <w:r>
        <w:rPr>
          <w:rFonts w:ascii="Times New Roman" w:hAnsi="Times New Roman"/>
          <w:noProof/>
          <w:sz w:val="24"/>
          <w:szCs w:val="24"/>
        </w:rPr>
        <w:t>zie kontynuowana współpraca ze światowymi partnerami, m.in. za pośrednictwem wspólnej grupy zadaniowej UE i USA ds. produkcji</w:t>
      </w:r>
      <w:r w:rsidR="00525C12">
        <w:rPr>
          <w:rFonts w:ascii="Times New Roman" w:hAnsi="Times New Roman"/>
          <w:noProof/>
          <w:sz w:val="24"/>
          <w:szCs w:val="24"/>
        </w:rPr>
        <w:t xml:space="preserve"> i łań</w:t>
      </w:r>
      <w:r>
        <w:rPr>
          <w:rFonts w:ascii="Times New Roman" w:hAnsi="Times New Roman"/>
          <w:noProof/>
          <w:sz w:val="24"/>
          <w:szCs w:val="24"/>
        </w:rPr>
        <w:t xml:space="preserve">cucha dostaw na rzecz walki z COVID-19. </w:t>
      </w:r>
    </w:p>
    <w:p w14:paraId="3F4B14AA" w14:textId="43BA1BD6" w:rsidR="00740CF7" w:rsidRDefault="00740CF7" w:rsidP="00740CF7">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Ponadto, aby utrzymać część nowo utworzonych zdolności produkcyjnych w UE na wypadek przyszłych stanów zagrożenia zdrowia, Komisja ogłosiła obecnie utworzenie EU FAB – sieci zakładów zdolnych do nieprzerwanej produkcji szczepionek </w:t>
      </w:r>
      <w:r w:rsidRPr="00343314">
        <w:rPr>
          <w:rStyle w:val="FootnoteReference"/>
          <w:rFonts w:ascii="Times New Roman" w:hAnsi="Times New Roman" w:cs="Times New Roman"/>
          <w:noProof/>
          <w:sz w:val="24"/>
          <w:szCs w:val="24"/>
        </w:rPr>
        <w:footnoteReference w:id="33"/>
      </w:r>
      <w:r>
        <w:rPr>
          <w:rFonts w:ascii="Times New Roman" w:hAnsi="Times New Roman"/>
          <w:noProof/>
          <w:sz w:val="24"/>
          <w:szCs w:val="24"/>
        </w:rPr>
        <w:t>. Komisja rozpoczyna postępowania</w:t>
      </w:r>
      <w:r w:rsidR="00525C12">
        <w:rPr>
          <w:rFonts w:ascii="Times New Roman" w:hAnsi="Times New Roman"/>
          <w:noProof/>
          <w:sz w:val="24"/>
          <w:szCs w:val="24"/>
        </w:rPr>
        <w:t xml:space="preserve"> o udz</w:t>
      </w:r>
      <w:r>
        <w:rPr>
          <w:rFonts w:ascii="Times New Roman" w:hAnsi="Times New Roman"/>
          <w:noProof/>
          <w:sz w:val="24"/>
          <w:szCs w:val="24"/>
        </w:rPr>
        <w:t>ielenie zamówienia</w:t>
      </w:r>
      <w:r w:rsidR="00525C12">
        <w:rPr>
          <w:rFonts w:ascii="Times New Roman" w:hAnsi="Times New Roman"/>
          <w:noProof/>
          <w:sz w:val="24"/>
          <w:szCs w:val="24"/>
        </w:rPr>
        <w:t xml:space="preserve"> w cel</w:t>
      </w:r>
      <w:r>
        <w:rPr>
          <w:rFonts w:ascii="Times New Roman" w:hAnsi="Times New Roman"/>
          <w:noProof/>
          <w:sz w:val="24"/>
          <w:szCs w:val="24"/>
        </w:rPr>
        <w:t>u zapewnienia dostępności wystarczających</w:t>
      </w:r>
      <w:r w:rsidR="00525C12">
        <w:rPr>
          <w:rFonts w:ascii="Times New Roman" w:hAnsi="Times New Roman"/>
          <w:noProof/>
          <w:sz w:val="24"/>
          <w:szCs w:val="24"/>
        </w:rPr>
        <w:t xml:space="preserve"> i nie</w:t>
      </w:r>
      <w:r>
        <w:rPr>
          <w:rFonts w:ascii="Times New Roman" w:hAnsi="Times New Roman"/>
          <w:noProof/>
          <w:sz w:val="24"/>
          <w:szCs w:val="24"/>
        </w:rPr>
        <w:t>zawodnych zdolności produkcyjnych</w:t>
      </w:r>
      <w:r w:rsidR="00525C12">
        <w:rPr>
          <w:rFonts w:ascii="Times New Roman" w:hAnsi="Times New Roman"/>
          <w:noProof/>
          <w:sz w:val="24"/>
          <w:szCs w:val="24"/>
        </w:rPr>
        <w:t xml:space="preserve"> w zak</w:t>
      </w:r>
      <w:r>
        <w:rPr>
          <w:rFonts w:ascii="Times New Roman" w:hAnsi="Times New Roman"/>
          <w:noProof/>
          <w:sz w:val="24"/>
          <w:szCs w:val="24"/>
        </w:rPr>
        <w:t>resie różnych rodzajów szczepionek oraz możliwości natychmiastowego wykorzystania tych zdolności</w:t>
      </w:r>
      <w:r w:rsidR="00525C12">
        <w:rPr>
          <w:rFonts w:ascii="Times New Roman" w:hAnsi="Times New Roman"/>
          <w:noProof/>
          <w:sz w:val="24"/>
          <w:szCs w:val="24"/>
        </w:rPr>
        <w:t xml:space="preserve"> w cza</w:t>
      </w:r>
      <w:r>
        <w:rPr>
          <w:rFonts w:ascii="Times New Roman" w:hAnsi="Times New Roman"/>
          <w:noProof/>
          <w:sz w:val="24"/>
          <w:szCs w:val="24"/>
        </w:rPr>
        <w:t>sie kryzysu.</w:t>
      </w:r>
    </w:p>
    <w:p w14:paraId="3E64A2D6" w14:textId="7AA34E41" w:rsidR="00740CF7" w:rsidRDefault="00740CF7" w:rsidP="00740CF7">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Oprócz ekosystemu przemysłowego</w:t>
      </w:r>
      <w:r w:rsidR="00525C12">
        <w:rPr>
          <w:rFonts w:ascii="Times New Roman" w:hAnsi="Times New Roman"/>
          <w:noProof/>
          <w:sz w:val="24"/>
          <w:szCs w:val="24"/>
        </w:rPr>
        <w:t xml:space="preserve"> w dzi</w:t>
      </w:r>
      <w:r>
        <w:rPr>
          <w:rFonts w:ascii="Times New Roman" w:hAnsi="Times New Roman"/>
          <w:noProof/>
          <w:sz w:val="24"/>
          <w:szCs w:val="24"/>
        </w:rPr>
        <w:t>edzinie zdrowia należy również uważnie monitorować wpływ kolejnych faz pandemii na problemy</w:t>
      </w:r>
      <w:r w:rsidR="00525C12">
        <w:rPr>
          <w:rFonts w:ascii="Times New Roman" w:hAnsi="Times New Roman"/>
          <w:noProof/>
          <w:sz w:val="24"/>
          <w:szCs w:val="24"/>
        </w:rPr>
        <w:t xml:space="preserve"> z dos</w:t>
      </w:r>
      <w:r>
        <w:rPr>
          <w:rFonts w:ascii="Times New Roman" w:hAnsi="Times New Roman"/>
          <w:noProof/>
          <w:sz w:val="24"/>
          <w:szCs w:val="24"/>
        </w:rPr>
        <w:t>tawami</w:t>
      </w:r>
      <w:r w:rsidR="00525C12">
        <w:rPr>
          <w:rFonts w:ascii="Times New Roman" w:hAnsi="Times New Roman"/>
          <w:noProof/>
          <w:sz w:val="24"/>
          <w:szCs w:val="24"/>
        </w:rPr>
        <w:t xml:space="preserve"> w inn</w:t>
      </w:r>
      <w:r>
        <w:rPr>
          <w:rFonts w:ascii="Times New Roman" w:hAnsi="Times New Roman"/>
          <w:noProof/>
          <w:sz w:val="24"/>
          <w:szCs w:val="24"/>
        </w:rPr>
        <w:t>ych ekosystemach przemysłowych wynikające na przykład</w:t>
      </w:r>
      <w:r w:rsidR="00525C12">
        <w:rPr>
          <w:rFonts w:ascii="Times New Roman" w:hAnsi="Times New Roman"/>
          <w:noProof/>
          <w:sz w:val="24"/>
          <w:szCs w:val="24"/>
        </w:rPr>
        <w:t xml:space="preserve"> z wpł</w:t>
      </w:r>
      <w:r>
        <w:rPr>
          <w:rFonts w:ascii="Times New Roman" w:hAnsi="Times New Roman"/>
          <w:noProof/>
          <w:sz w:val="24"/>
          <w:szCs w:val="24"/>
        </w:rPr>
        <w:t>ywu lokalnych obostrzeń lub niedoborów pracowników na logistykę. Ważną kwestią pozostaje ścisła współpraca</w:t>
      </w:r>
      <w:r w:rsidR="00525C12">
        <w:rPr>
          <w:rFonts w:ascii="Times New Roman" w:hAnsi="Times New Roman"/>
          <w:noProof/>
          <w:sz w:val="24"/>
          <w:szCs w:val="24"/>
        </w:rPr>
        <w:t xml:space="preserve"> z zai</w:t>
      </w:r>
      <w:r>
        <w:rPr>
          <w:rFonts w:ascii="Times New Roman" w:hAnsi="Times New Roman"/>
          <w:noProof/>
          <w:sz w:val="24"/>
          <w:szCs w:val="24"/>
        </w:rPr>
        <w:t>nteresowanymi stronami</w:t>
      </w:r>
      <w:r w:rsidR="00525C12">
        <w:rPr>
          <w:rFonts w:ascii="Times New Roman" w:hAnsi="Times New Roman"/>
          <w:noProof/>
          <w:sz w:val="24"/>
          <w:szCs w:val="24"/>
        </w:rPr>
        <w:t xml:space="preserve"> z róż</w:t>
      </w:r>
      <w:r>
        <w:rPr>
          <w:rFonts w:ascii="Times New Roman" w:hAnsi="Times New Roman"/>
          <w:noProof/>
          <w:sz w:val="24"/>
          <w:szCs w:val="24"/>
        </w:rPr>
        <w:t>nych ekosystemów przemysłowych.</w:t>
      </w:r>
    </w:p>
    <w:p w14:paraId="35C7C6DB" w14:textId="2E7E259F" w:rsidR="00740CF7" w:rsidRDefault="00740CF7" w:rsidP="00740CF7">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Pandemia COVID-19 pokazała również, że</w:t>
      </w:r>
      <w:r w:rsidR="00525C12">
        <w:rPr>
          <w:rFonts w:ascii="Times New Roman" w:hAnsi="Times New Roman"/>
          <w:noProof/>
          <w:sz w:val="24"/>
          <w:szCs w:val="24"/>
        </w:rPr>
        <w:t xml:space="preserve"> w prz</w:t>
      </w:r>
      <w:r>
        <w:rPr>
          <w:rFonts w:ascii="Times New Roman" w:hAnsi="Times New Roman"/>
          <w:noProof/>
          <w:sz w:val="24"/>
          <w:szCs w:val="24"/>
        </w:rPr>
        <w:t>ypadku nieprzewidzianych wstrząsów</w:t>
      </w:r>
      <w:r w:rsidR="00525C12">
        <w:rPr>
          <w:rFonts w:ascii="Times New Roman" w:hAnsi="Times New Roman"/>
          <w:noProof/>
          <w:sz w:val="24"/>
          <w:szCs w:val="24"/>
        </w:rPr>
        <w:t xml:space="preserve"> w zak</w:t>
      </w:r>
      <w:r>
        <w:rPr>
          <w:rFonts w:ascii="Times New Roman" w:hAnsi="Times New Roman"/>
          <w:noProof/>
          <w:sz w:val="24"/>
          <w:szCs w:val="24"/>
        </w:rPr>
        <w:t>resie popytu lub podaży jednolity rynek staje</w:t>
      </w:r>
      <w:r w:rsidR="00525C12">
        <w:rPr>
          <w:rFonts w:ascii="Times New Roman" w:hAnsi="Times New Roman"/>
          <w:noProof/>
          <w:sz w:val="24"/>
          <w:szCs w:val="24"/>
        </w:rPr>
        <w:t xml:space="preserve"> w obl</w:t>
      </w:r>
      <w:r>
        <w:rPr>
          <w:rFonts w:ascii="Times New Roman" w:hAnsi="Times New Roman"/>
          <w:noProof/>
          <w:sz w:val="24"/>
          <w:szCs w:val="24"/>
        </w:rPr>
        <w:t>iczu szerszych wyzwań. Zwiększona wymiana informacji</w:t>
      </w:r>
      <w:r w:rsidR="00525C12">
        <w:rPr>
          <w:rFonts w:ascii="Times New Roman" w:hAnsi="Times New Roman"/>
          <w:noProof/>
          <w:sz w:val="24"/>
          <w:szCs w:val="24"/>
        </w:rPr>
        <w:t xml:space="preserve"> i lep</w:t>
      </w:r>
      <w:r>
        <w:rPr>
          <w:rFonts w:ascii="Times New Roman" w:hAnsi="Times New Roman"/>
          <w:noProof/>
          <w:sz w:val="24"/>
          <w:szCs w:val="24"/>
        </w:rPr>
        <w:t>sze kanały komunikacji mogły przyczynić się do sprawniejszego zarządzania reagowaniem kryzysowym</w:t>
      </w:r>
      <w:r w:rsidR="00525C12">
        <w:rPr>
          <w:rFonts w:ascii="Times New Roman" w:hAnsi="Times New Roman"/>
          <w:noProof/>
          <w:sz w:val="24"/>
          <w:szCs w:val="24"/>
        </w:rPr>
        <w:t xml:space="preserve"> w kon</w:t>
      </w:r>
      <w:r>
        <w:rPr>
          <w:rFonts w:ascii="Times New Roman" w:hAnsi="Times New Roman"/>
          <w:noProof/>
          <w:sz w:val="24"/>
          <w:szCs w:val="24"/>
        </w:rPr>
        <w:t>kretnych sektorach</w:t>
      </w:r>
      <w:r w:rsidR="00525C12">
        <w:rPr>
          <w:rFonts w:ascii="Times New Roman" w:hAnsi="Times New Roman"/>
          <w:noProof/>
          <w:sz w:val="24"/>
          <w:szCs w:val="24"/>
        </w:rPr>
        <w:t xml:space="preserve"> o str</w:t>
      </w:r>
      <w:r>
        <w:rPr>
          <w:rFonts w:ascii="Times New Roman" w:hAnsi="Times New Roman"/>
          <w:noProof/>
          <w:sz w:val="24"/>
          <w:szCs w:val="24"/>
        </w:rPr>
        <w:t xml:space="preserve">ategicznym znaczeniu. </w:t>
      </w:r>
      <w:bookmarkStart w:id="4" w:name="_Hlk101471230"/>
      <w:r>
        <w:rPr>
          <w:rFonts w:ascii="Times New Roman" w:hAnsi="Times New Roman"/>
          <w:noProof/>
          <w:sz w:val="24"/>
          <w:szCs w:val="24"/>
        </w:rPr>
        <w:t>Między innymi te kwestie będą przedmiotem dalszej analizy</w:t>
      </w:r>
      <w:r w:rsidR="00525C12">
        <w:rPr>
          <w:rFonts w:ascii="Times New Roman" w:hAnsi="Times New Roman"/>
          <w:noProof/>
          <w:sz w:val="24"/>
          <w:szCs w:val="24"/>
        </w:rPr>
        <w:t xml:space="preserve"> w ram</w:t>
      </w:r>
      <w:r>
        <w:rPr>
          <w:rFonts w:ascii="Times New Roman" w:hAnsi="Times New Roman"/>
          <w:noProof/>
          <w:sz w:val="24"/>
          <w:szCs w:val="24"/>
        </w:rPr>
        <w:t>ach oceny skutków przyszłego wniosku Komisji dotyczącego instrumentu nadzwyczajnego jednolitego rynku.</w:t>
      </w:r>
      <w:bookmarkEnd w:id="4"/>
    </w:p>
    <w:p w14:paraId="4C24949A" w14:textId="77777777" w:rsidR="00740CF7" w:rsidRPr="0050544E" w:rsidRDefault="00740CF7" w:rsidP="00740CF7">
      <w:pPr>
        <w:keepNext/>
        <w:pBdr>
          <w:top w:val="single" w:sz="4" w:space="1" w:color="auto"/>
          <w:left w:val="single" w:sz="4" w:space="4" w:color="auto"/>
          <w:bottom w:val="single" w:sz="4" w:space="1" w:color="auto"/>
          <w:right w:val="single" w:sz="4" w:space="4" w:color="auto"/>
        </w:pBdr>
        <w:spacing w:before="360" w:after="120" w:line="240" w:lineRule="auto"/>
        <w:jc w:val="center"/>
        <w:rPr>
          <w:rFonts w:ascii="Times New Roman" w:hAnsi="Times New Roman" w:cs="Times New Roman"/>
          <w:b/>
          <w:noProof/>
          <w:sz w:val="24"/>
          <w:szCs w:val="24"/>
        </w:rPr>
      </w:pPr>
      <w:r>
        <w:rPr>
          <w:rFonts w:ascii="Times New Roman" w:hAnsi="Times New Roman"/>
          <w:b/>
          <w:noProof/>
          <w:sz w:val="24"/>
          <w:szCs w:val="24"/>
        </w:rPr>
        <w:t>INICJATYWY I DZIAŁANIA UE</w:t>
      </w:r>
    </w:p>
    <w:p w14:paraId="3265B801" w14:textId="20954579" w:rsidR="00740CF7" w:rsidRPr="00702757" w:rsidRDefault="00740CF7" w:rsidP="00740CF7">
      <w:pPr>
        <w:pStyle w:val="ListParagraph"/>
        <w:numPr>
          <w:ilvl w:val="0"/>
          <w:numId w:val="10"/>
        </w:numPr>
        <w:pBdr>
          <w:top w:val="single" w:sz="4" w:space="1" w:color="auto"/>
          <w:left w:val="single" w:sz="4" w:space="4" w:color="auto"/>
          <w:bottom w:val="single" w:sz="4" w:space="1" w:color="auto"/>
          <w:right w:val="single" w:sz="4" w:space="4" w:color="auto"/>
        </w:pBdr>
        <w:spacing w:after="240" w:line="240" w:lineRule="auto"/>
        <w:ind w:left="480" w:hanging="480"/>
        <w:jc w:val="both"/>
        <w:rPr>
          <w:b/>
          <w:noProof/>
          <w:szCs w:val="24"/>
        </w:rPr>
      </w:pPr>
      <w:r>
        <w:rPr>
          <w:rFonts w:ascii="Times New Roman" w:hAnsi="Times New Roman"/>
          <w:noProof/>
          <w:sz w:val="24"/>
          <w:szCs w:val="24"/>
        </w:rPr>
        <w:t>Utrzymywanie kontaktów zewnętrznych</w:t>
      </w:r>
      <w:r w:rsidR="00525C12">
        <w:rPr>
          <w:rFonts w:ascii="Times New Roman" w:hAnsi="Times New Roman"/>
          <w:noProof/>
          <w:sz w:val="24"/>
          <w:szCs w:val="24"/>
        </w:rPr>
        <w:t xml:space="preserve"> z prz</w:t>
      </w:r>
      <w:r>
        <w:rPr>
          <w:rFonts w:ascii="Times New Roman" w:hAnsi="Times New Roman"/>
          <w:noProof/>
          <w:sz w:val="24"/>
          <w:szCs w:val="24"/>
        </w:rPr>
        <w:t>emysłem</w:t>
      </w:r>
      <w:r w:rsidR="00525C12">
        <w:rPr>
          <w:rFonts w:ascii="Times New Roman" w:hAnsi="Times New Roman"/>
          <w:noProof/>
          <w:sz w:val="24"/>
          <w:szCs w:val="24"/>
        </w:rPr>
        <w:t xml:space="preserve"> w kwe</w:t>
      </w:r>
      <w:r>
        <w:rPr>
          <w:rFonts w:ascii="Times New Roman" w:hAnsi="Times New Roman"/>
          <w:noProof/>
          <w:sz w:val="24"/>
          <w:szCs w:val="24"/>
        </w:rPr>
        <w:t>stii wpływu środków wprowadzonych</w:t>
      </w:r>
      <w:r w:rsidR="00525C12">
        <w:rPr>
          <w:rFonts w:ascii="Times New Roman" w:hAnsi="Times New Roman"/>
          <w:noProof/>
          <w:sz w:val="24"/>
          <w:szCs w:val="24"/>
        </w:rPr>
        <w:t xml:space="preserve"> w zwi</w:t>
      </w:r>
      <w:r>
        <w:rPr>
          <w:rFonts w:ascii="Times New Roman" w:hAnsi="Times New Roman"/>
          <w:noProof/>
          <w:sz w:val="24"/>
          <w:szCs w:val="24"/>
        </w:rPr>
        <w:t>ązku</w:t>
      </w:r>
      <w:r w:rsidR="00525C12">
        <w:rPr>
          <w:rFonts w:ascii="Times New Roman" w:hAnsi="Times New Roman"/>
          <w:noProof/>
          <w:sz w:val="24"/>
          <w:szCs w:val="24"/>
        </w:rPr>
        <w:t xml:space="preserve"> z pan</w:t>
      </w:r>
      <w:r>
        <w:rPr>
          <w:rFonts w:ascii="Times New Roman" w:hAnsi="Times New Roman"/>
          <w:noProof/>
          <w:sz w:val="24"/>
          <w:szCs w:val="24"/>
        </w:rPr>
        <w:t>demią na całym świecie na dostępność krytycznych materiałów.</w:t>
      </w:r>
    </w:p>
    <w:p w14:paraId="0350D2F6" w14:textId="0108E3BE" w:rsidR="00740CF7" w:rsidRDefault="00740CF7" w:rsidP="00740CF7">
      <w:pPr>
        <w:pStyle w:val="ListParagraph"/>
        <w:numPr>
          <w:ilvl w:val="0"/>
          <w:numId w:val="10"/>
        </w:numPr>
        <w:pBdr>
          <w:top w:val="single" w:sz="4" w:space="1" w:color="auto"/>
          <w:left w:val="single" w:sz="4" w:space="4" w:color="auto"/>
          <w:bottom w:val="single" w:sz="4" w:space="1" w:color="auto"/>
          <w:right w:val="single" w:sz="4" w:space="4" w:color="auto"/>
        </w:pBdr>
        <w:spacing w:after="240" w:line="240" w:lineRule="auto"/>
        <w:ind w:left="480" w:hanging="480"/>
        <w:jc w:val="both"/>
        <w:rPr>
          <w:rFonts w:ascii="Times New Roman" w:hAnsi="Times New Roman" w:cs="Times New Roman"/>
          <w:noProof/>
          <w:sz w:val="24"/>
          <w:szCs w:val="24"/>
        </w:rPr>
      </w:pPr>
      <w:r>
        <w:rPr>
          <w:rFonts w:ascii="Times New Roman" w:hAnsi="Times New Roman"/>
          <w:noProof/>
          <w:sz w:val="24"/>
          <w:szCs w:val="24"/>
        </w:rPr>
        <w:t>Utworzenie EU FAB – sieci zakładów stosujących jedną lub wiele technologii na potrzeby nieprzerwanej produkcji szczepionek</w:t>
      </w:r>
      <w:r w:rsidR="00525C12">
        <w:rPr>
          <w:rFonts w:ascii="Times New Roman" w:hAnsi="Times New Roman"/>
          <w:noProof/>
          <w:sz w:val="24"/>
          <w:szCs w:val="24"/>
        </w:rPr>
        <w:t xml:space="preserve"> w Eur</w:t>
      </w:r>
      <w:r>
        <w:rPr>
          <w:rFonts w:ascii="Times New Roman" w:hAnsi="Times New Roman"/>
          <w:noProof/>
          <w:sz w:val="24"/>
          <w:szCs w:val="24"/>
        </w:rPr>
        <w:t>opie.</w:t>
      </w:r>
    </w:p>
    <w:p w14:paraId="4EB9DD9D" w14:textId="4CF368B7" w:rsidR="00740CF7" w:rsidRPr="00702757" w:rsidRDefault="00740CF7" w:rsidP="00740CF7">
      <w:pPr>
        <w:pStyle w:val="ListParagraph"/>
        <w:numPr>
          <w:ilvl w:val="0"/>
          <w:numId w:val="10"/>
        </w:numPr>
        <w:pBdr>
          <w:top w:val="single" w:sz="4" w:space="1" w:color="auto"/>
          <w:left w:val="single" w:sz="4" w:space="4" w:color="auto"/>
          <w:bottom w:val="single" w:sz="4" w:space="1" w:color="auto"/>
          <w:right w:val="single" w:sz="4" w:space="4" w:color="auto"/>
        </w:pBdr>
        <w:spacing w:after="240" w:line="240" w:lineRule="auto"/>
        <w:ind w:left="480" w:hanging="480"/>
        <w:jc w:val="both"/>
        <w:rPr>
          <w:b/>
          <w:noProof/>
          <w:szCs w:val="24"/>
        </w:rPr>
      </w:pPr>
      <w:r>
        <w:rPr>
          <w:rFonts w:ascii="Times New Roman" w:hAnsi="Times New Roman"/>
          <w:noProof/>
          <w:sz w:val="24"/>
          <w:szCs w:val="24"/>
        </w:rPr>
        <w:t>Stałe monitorowanie łańcucha dostaw krytycznych medycznych środków przeciwdziałania</w:t>
      </w:r>
      <w:r w:rsidR="00525C12">
        <w:rPr>
          <w:rFonts w:ascii="Times New Roman" w:hAnsi="Times New Roman"/>
          <w:noProof/>
          <w:sz w:val="24"/>
          <w:szCs w:val="24"/>
        </w:rPr>
        <w:t xml:space="preserve"> i mat</w:t>
      </w:r>
      <w:r>
        <w:rPr>
          <w:rFonts w:ascii="Times New Roman" w:hAnsi="Times New Roman"/>
          <w:noProof/>
          <w:sz w:val="24"/>
          <w:szCs w:val="24"/>
        </w:rPr>
        <w:t>eriałów do ich produkcji, zwłaszcza we współpracy ze światowymi partnerami, m.in. za pośrednictwem wspólnej grupy zadaniowej UE i USA ds. produkcji</w:t>
      </w:r>
      <w:r w:rsidR="00525C12">
        <w:rPr>
          <w:rFonts w:ascii="Times New Roman" w:hAnsi="Times New Roman"/>
          <w:noProof/>
          <w:sz w:val="24"/>
          <w:szCs w:val="24"/>
        </w:rPr>
        <w:t xml:space="preserve"> i łań</w:t>
      </w:r>
      <w:r>
        <w:rPr>
          <w:rFonts w:ascii="Times New Roman" w:hAnsi="Times New Roman"/>
          <w:noProof/>
          <w:sz w:val="24"/>
          <w:szCs w:val="24"/>
        </w:rPr>
        <w:t>cucha dostaw na rzecz walki z COVID-19.</w:t>
      </w:r>
    </w:p>
    <w:p w14:paraId="45B203D9" w14:textId="0B61D236" w:rsidR="00D539F9" w:rsidRDefault="00D539F9" w:rsidP="00F10B97">
      <w:pPr>
        <w:pStyle w:val="Text1"/>
        <w:keepNext/>
        <w:numPr>
          <w:ilvl w:val="0"/>
          <w:numId w:val="11"/>
        </w:numPr>
        <w:spacing w:after="200"/>
        <w:rPr>
          <w:b/>
          <w:i/>
          <w:noProof/>
          <w:szCs w:val="24"/>
        </w:rPr>
      </w:pPr>
      <w:r>
        <w:rPr>
          <w:b/>
          <w:i/>
          <w:noProof/>
          <w:szCs w:val="24"/>
        </w:rPr>
        <w:t>Rozwiązanie problemu wprowadzania</w:t>
      </w:r>
      <w:r w:rsidR="00525C12">
        <w:rPr>
          <w:b/>
          <w:i/>
          <w:noProof/>
          <w:szCs w:val="24"/>
        </w:rPr>
        <w:t xml:space="preserve"> w błą</w:t>
      </w:r>
      <w:r>
        <w:rPr>
          <w:b/>
          <w:i/>
          <w:noProof/>
          <w:szCs w:val="24"/>
        </w:rPr>
        <w:t>d</w:t>
      </w:r>
      <w:r w:rsidR="00525C12">
        <w:rPr>
          <w:b/>
          <w:i/>
          <w:noProof/>
          <w:szCs w:val="24"/>
        </w:rPr>
        <w:t xml:space="preserve"> i dez</w:t>
      </w:r>
      <w:r>
        <w:rPr>
          <w:b/>
          <w:i/>
          <w:noProof/>
          <w:szCs w:val="24"/>
        </w:rPr>
        <w:t xml:space="preserve">informacji </w:t>
      </w:r>
    </w:p>
    <w:p w14:paraId="594A72BF" w14:textId="07B1F6F9" w:rsidR="00D539F9" w:rsidRPr="001206C4" w:rsidRDefault="00F028C6" w:rsidP="00D539F9">
      <w:pPr>
        <w:spacing w:line="240" w:lineRule="auto"/>
        <w:jc w:val="both"/>
        <w:rPr>
          <w:rFonts w:ascii="Times New Roman" w:hAnsi="Times New Roman" w:cs="Times New Roman"/>
          <w:noProof/>
          <w:sz w:val="24"/>
          <w:szCs w:val="24"/>
        </w:rPr>
      </w:pPr>
      <w:r>
        <w:rPr>
          <w:rFonts w:ascii="Times New Roman" w:hAnsi="Times New Roman"/>
          <w:noProof/>
          <w:sz w:val="24"/>
          <w:szCs w:val="24"/>
        </w:rPr>
        <w:t>Zagraniczne podmioty do własnych celów wykorzystują pandemię do wzbudzania</w:t>
      </w:r>
      <w:r w:rsidR="00525C12">
        <w:rPr>
          <w:rFonts w:ascii="Times New Roman" w:hAnsi="Times New Roman"/>
          <w:noProof/>
          <w:sz w:val="24"/>
          <w:szCs w:val="24"/>
        </w:rPr>
        <w:t xml:space="preserve"> i pog</w:t>
      </w:r>
      <w:r>
        <w:rPr>
          <w:rFonts w:ascii="Times New Roman" w:hAnsi="Times New Roman"/>
          <w:noProof/>
          <w:sz w:val="24"/>
          <w:szCs w:val="24"/>
        </w:rPr>
        <w:t>łębiania niepewności, strachu</w:t>
      </w:r>
      <w:r w:rsidR="00525C12">
        <w:rPr>
          <w:rFonts w:ascii="Times New Roman" w:hAnsi="Times New Roman"/>
          <w:noProof/>
          <w:sz w:val="24"/>
          <w:szCs w:val="24"/>
        </w:rPr>
        <w:t xml:space="preserve"> i aut</w:t>
      </w:r>
      <w:r>
        <w:rPr>
          <w:rFonts w:ascii="Times New Roman" w:hAnsi="Times New Roman"/>
          <w:noProof/>
          <w:sz w:val="24"/>
          <w:szCs w:val="24"/>
        </w:rPr>
        <w:t>entycznych obaw obywateli. Tego typu manipulacje informacjami</w:t>
      </w:r>
      <w:r w:rsidR="00525C12">
        <w:rPr>
          <w:rFonts w:ascii="Times New Roman" w:hAnsi="Times New Roman"/>
          <w:noProof/>
          <w:sz w:val="24"/>
          <w:szCs w:val="24"/>
        </w:rPr>
        <w:t xml:space="preserve"> i ing</w:t>
      </w:r>
      <w:r>
        <w:rPr>
          <w:rFonts w:ascii="Times New Roman" w:hAnsi="Times New Roman"/>
          <w:noProof/>
          <w:sz w:val="24"/>
          <w:szCs w:val="24"/>
        </w:rPr>
        <w:t>erowanie</w:t>
      </w:r>
      <w:r w:rsidR="00525C12">
        <w:rPr>
          <w:rFonts w:ascii="Times New Roman" w:hAnsi="Times New Roman"/>
          <w:noProof/>
          <w:sz w:val="24"/>
          <w:szCs w:val="24"/>
        </w:rPr>
        <w:t xml:space="preserve"> w ich</w:t>
      </w:r>
      <w:r>
        <w:rPr>
          <w:rFonts w:ascii="Times New Roman" w:hAnsi="Times New Roman"/>
          <w:noProof/>
          <w:sz w:val="24"/>
          <w:szCs w:val="24"/>
        </w:rPr>
        <w:t xml:space="preserve"> treść,</w:t>
      </w:r>
      <w:r w:rsidR="00525C12">
        <w:rPr>
          <w:rFonts w:ascii="Times New Roman" w:hAnsi="Times New Roman"/>
          <w:noProof/>
          <w:sz w:val="24"/>
          <w:szCs w:val="24"/>
        </w:rPr>
        <w:t xml:space="preserve"> w tym</w:t>
      </w:r>
      <w:r>
        <w:rPr>
          <w:rFonts w:ascii="Times New Roman" w:hAnsi="Times New Roman"/>
          <w:noProof/>
          <w:sz w:val="24"/>
          <w:szCs w:val="24"/>
        </w:rPr>
        <w:t xml:space="preserve"> dezinformacja, stanowi zagrożenie dla skutecznego reagowania na pandemię</w:t>
      </w:r>
      <w:r w:rsidR="00525C12">
        <w:rPr>
          <w:rFonts w:ascii="Times New Roman" w:hAnsi="Times New Roman"/>
          <w:noProof/>
          <w:sz w:val="24"/>
          <w:szCs w:val="24"/>
        </w:rPr>
        <w:t xml:space="preserve"> i ogr</w:t>
      </w:r>
      <w:r>
        <w:rPr>
          <w:rFonts w:ascii="Times New Roman" w:hAnsi="Times New Roman"/>
          <w:noProof/>
          <w:sz w:val="24"/>
          <w:szCs w:val="24"/>
        </w:rPr>
        <w:t>anicza zaufanie publiczne do instytucji odpowiedzialnych za walkę</w:t>
      </w:r>
      <w:r w:rsidR="00525C12">
        <w:rPr>
          <w:rFonts w:ascii="Times New Roman" w:hAnsi="Times New Roman"/>
          <w:noProof/>
          <w:sz w:val="24"/>
          <w:szCs w:val="24"/>
        </w:rPr>
        <w:t xml:space="preserve"> z pan</w:t>
      </w:r>
      <w:r>
        <w:rPr>
          <w:rFonts w:ascii="Times New Roman" w:hAnsi="Times New Roman"/>
          <w:noProof/>
          <w:sz w:val="24"/>
          <w:szCs w:val="24"/>
        </w:rPr>
        <w:t>demią COVID-19. Od ponad dwóch lat Komisja</w:t>
      </w:r>
      <w:r w:rsidR="00525C12">
        <w:rPr>
          <w:rFonts w:ascii="Times New Roman" w:hAnsi="Times New Roman"/>
          <w:noProof/>
          <w:sz w:val="24"/>
          <w:szCs w:val="24"/>
        </w:rPr>
        <w:t xml:space="preserve"> i wys</w:t>
      </w:r>
      <w:r>
        <w:rPr>
          <w:rFonts w:ascii="Times New Roman" w:hAnsi="Times New Roman"/>
          <w:noProof/>
          <w:sz w:val="24"/>
          <w:szCs w:val="24"/>
        </w:rPr>
        <w:t>oki przedstawiciel wspierają państwa członkowskie</w:t>
      </w:r>
      <w:r w:rsidR="00525C12">
        <w:rPr>
          <w:rFonts w:ascii="Times New Roman" w:hAnsi="Times New Roman"/>
          <w:noProof/>
          <w:sz w:val="24"/>
          <w:szCs w:val="24"/>
        </w:rPr>
        <w:t xml:space="preserve"> w pro</w:t>
      </w:r>
      <w:r>
        <w:rPr>
          <w:rFonts w:ascii="Times New Roman" w:hAnsi="Times New Roman"/>
          <w:noProof/>
          <w:sz w:val="24"/>
          <w:szCs w:val="24"/>
        </w:rPr>
        <w:t>pagowaniu godnych zaufania treści, identyfikacji luk informacyjnych</w:t>
      </w:r>
      <w:r w:rsidR="00525C12">
        <w:rPr>
          <w:rFonts w:ascii="Times New Roman" w:hAnsi="Times New Roman"/>
          <w:noProof/>
          <w:sz w:val="24"/>
          <w:szCs w:val="24"/>
        </w:rPr>
        <w:t xml:space="preserve"> i ich</w:t>
      </w:r>
      <w:r>
        <w:rPr>
          <w:rFonts w:ascii="Times New Roman" w:hAnsi="Times New Roman"/>
          <w:noProof/>
          <w:sz w:val="24"/>
          <w:szCs w:val="24"/>
        </w:rPr>
        <w:t xml:space="preserve"> uzupełnianiu oraz</w:t>
      </w:r>
      <w:r w:rsidR="00525C12">
        <w:rPr>
          <w:rFonts w:ascii="Times New Roman" w:hAnsi="Times New Roman"/>
          <w:noProof/>
          <w:sz w:val="24"/>
          <w:szCs w:val="24"/>
        </w:rPr>
        <w:t xml:space="preserve"> w zwa</w:t>
      </w:r>
      <w:r>
        <w:rPr>
          <w:rFonts w:ascii="Times New Roman" w:hAnsi="Times New Roman"/>
          <w:noProof/>
          <w:sz w:val="24"/>
          <w:szCs w:val="24"/>
        </w:rPr>
        <w:t>lczaniu działań służących manipulacji informacjami</w:t>
      </w:r>
      <w:r w:rsidR="00525C12">
        <w:rPr>
          <w:rFonts w:ascii="Times New Roman" w:hAnsi="Times New Roman"/>
          <w:noProof/>
          <w:sz w:val="24"/>
          <w:szCs w:val="24"/>
        </w:rPr>
        <w:t xml:space="preserve"> i ing</w:t>
      </w:r>
      <w:r>
        <w:rPr>
          <w:rFonts w:ascii="Times New Roman" w:hAnsi="Times New Roman"/>
          <w:noProof/>
          <w:sz w:val="24"/>
          <w:szCs w:val="24"/>
        </w:rPr>
        <w:t>erowaniu</w:t>
      </w:r>
      <w:r w:rsidR="00525C12">
        <w:rPr>
          <w:rFonts w:ascii="Times New Roman" w:hAnsi="Times New Roman"/>
          <w:noProof/>
          <w:sz w:val="24"/>
          <w:szCs w:val="24"/>
        </w:rPr>
        <w:t xml:space="preserve"> w inf</w:t>
      </w:r>
      <w:r>
        <w:rPr>
          <w:rFonts w:ascii="Times New Roman" w:hAnsi="Times New Roman"/>
          <w:noProof/>
          <w:sz w:val="24"/>
          <w:szCs w:val="24"/>
        </w:rPr>
        <w:t>ormacje oraz zwalczaniu zagrażających życiu obywateli prób wykorzystania kryzysu podejmowanych przez państwa</w:t>
      </w:r>
      <w:r w:rsidR="00525C12">
        <w:rPr>
          <w:rFonts w:ascii="Times New Roman" w:hAnsi="Times New Roman"/>
          <w:noProof/>
          <w:sz w:val="24"/>
          <w:szCs w:val="24"/>
        </w:rPr>
        <w:t xml:space="preserve"> i pod</w:t>
      </w:r>
      <w:r>
        <w:rPr>
          <w:rFonts w:ascii="Times New Roman" w:hAnsi="Times New Roman"/>
          <w:noProof/>
          <w:sz w:val="24"/>
          <w:szCs w:val="24"/>
        </w:rPr>
        <w:t xml:space="preserve">mioty niepaństwowe. </w:t>
      </w:r>
    </w:p>
    <w:p w14:paraId="4CC704E6" w14:textId="613B577B" w:rsidR="00A82268" w:rsidRDefault="00E008D5" w:rsidP="00A82268">
      <w:pPr>
        <w:spacing w:line="240" w:lineRule="auto"/>
        <w:jc w:val="both"/>
        <w:rPr>
          <w:rFonts w:ascii="Times New Roman" w:hAnsi="Times New Roman" w:cs="Times New Roman"/>
          <w:noProof/>
          <w:sz w:val="24"/>
          <w:szCs w:val="24"/>
        </w:rPr>
      </w:pPr>
      <w:r>
        <w:rPr>
          <w:rFonts w:ascii="Times New Roman" w:hAnsi="Times New Roman"/>
          <w:noProof/>
          <w:sz w:val="24"/>
          <w:szCs w:val="24"/>
        </w:rPr>
        <w:t>W odpowiedzi na zakrojone na szeroką skalę rozpowszechnianie fałszywych lub wprowadzających</w:t>
      </w:r>
      <w:r w:rsidR="00525C12">
        <w:rPr>
          <w:rFonts w:ascii="Times New Roman" w:hAnsi="Times New Roman"/>
          <w:noProof/>
          <w:sz w:val="24"/>
          <w:szCs w:val="24"/>
        </w:rPr>
        <w:t xml:space="preserve"> w błą</w:t>
      </w:r>
      <w:r>
        <w:rPr>
          <w:rFonts w:ascii="Times New Roman" w:hAnsi="Times New Roman"/>
          <w:noProof/>
          <w:sz w:val="24"/>
          <w:szCs w:val="24"/>
        </w:rPr>
        <w:t>d informacji</w:t>
      </w:r>
      <w:r w:rsidR="00525C12">
        <w:rPr>
          <w:rFonts w:ascii="Times New Roman" w:hAnsi="Times New Roman"/>
          <w:noProof/>
          <w:sz w:val="24"/>
          <w:szCs w:val="24"/>
        </w:rPr>
        <w:t xml:space="preserve"> w spo</w:t>
      </w:r>
      <w:r>
        <w:rPr>
          <w:rFonts w:ascii="Times New Roman" w:hAnsi="Times New Roman"/>
          <w:noProof/>
          <w:sz w:val="24"/>
          <w:szCs w:val="24"/>
        </w:rPr>
        <w:t>sób niezamierzony UE</w:t>
      </w:r>
      <w:r w:rsidR="00525C12">
        <w:rPr>
          <w:rFonts w:ascii="Times New Roman" w:hAnsi="Times New Roman"/>
          <w:noProof/>
          <w:sz w:val="24"/>
          <w:szCs w:val="24"/>
        </w:rPr>
        <w:t xml:space="preserve"> i pań</w:t>
      </w:r>
      <w:r>
        <w:rPr>
          <w:rFonts w:ascii="Times New Roman" w:hAnsi="Times New Roman"/>
          <w:noProof/>
          <w:sz w:val="24"/>
          <w:szCs w:val="24"/>
        </w:rPr>
        <w:t>stwa członkowskie zintensyfikowały działania informacyjne, aby na czas informować</w:t>
      </w:r>
      <w:r w:rsidR="00525C12">
        <w:rPr>
          <w:rFonts w:ascii="Times New Roman" w:hAnsi="Times New Roman"/>
          <w:noProof/>
          <w:sz w:val="24"/>
          <w:szCs w:val="24"/>
        </w:rPr>
        <w:t xml:space="preserve"> o fak</w:t>
      </w:r>
      <w:r>
        <w:rPr>
          <w:rFonts w:ascii="Times New Roman" w:hAnsi="Times New Roman"/>
          <w:noProof/>
          <w:sz w:val="24"/>
          <w:szCs w:val="24"/>
        </w:rPr>
        <w:t>tach na temat pandemii</w:t>
      </w:r>
      <w:r w:rsidR="00525C12">
        <w:rPr>
          <w:rFonts w:ascii="Times New Roman" w:hAnsi="Times New Roman"/>
          <w:noProof/>
          <w:sz w:val="24"/>
          <w:szCs w:val="24"/>
        </w:rPr>
        <w:t xml:space="preserve"> i wpr</w:t>
      </w:r>
      <w:r>
        <w:rPr>
          <w:rFonts w:ascii="Times New Roman" w:hAnsi="Times New Roman"/>
          <w:noProof/>
          <w:sz w:val="24"/>
          <w:szCs w:val="24"/>
        </w:rPr>
        <w:t>owadzanych środków. UE zintensyfikowała współpracę zarówno wśród instytucji Unii, jak</w:t>
      </w:r>
      <w:r w:rsidR="00525C12">
        <w:rPr>
          <w:rFonts w:ascii="Times New Roman" w:hAnsi="Times New Roman"/>
          <w:noProof/>
          <w:sz w:val="24"/>
          <w:szCs w:val="24"/>
        </w:rPr>
        <w:t xml:space="preserve"> i w szc</w:t>
      </w:r>
      <w:r>
        <w:rPr>
          <w:rFonts w:ascii="Times New Roman" w:hAnsi="Times New Roman"/>
          <w:noProof/>
          <w:sz w:val="24"/>
          <w:szCs w:val="24"/>
        </w:rPr>
        <w:t>zególności</w:t>
      </w:r>
      <w:r w:rsidR="00525C12">
        <w:rPr>
          <w:rFonts w:ascii="Times New Roman" w:hAnsi="Times New Roman"/>
          <w:noProof/>
          <w:sz w:val="24"/>
          <w:szCs w:val="24"/>
        </w:rPr>
        <w:t xml:space="preserve"> z pań</w:t>
      </w:r>
      <w:r>
        <w:rPr>
          <w:rFonts w:ascii="Times New Roman" w:hAnsi="Times New Roman"/>
          <w:noProof/>
          <w:sz w:val="24"/>
          <w:szCs w:val="24"/>
        </w:rPr>
        <w:t>stwami członkowskimi UE, zainteresowanymi stronami ze społeczeństwa obywatelskiego</w:t>
      </w:r>
      <w:r w:rsidR="00525C12">
        <w:rPr>
          <w:rFonts w:ascii="Times New Roman" w:hAnsi="Times New Roman"/>
          <w:noProof/>
          <w:sz w:val="24"/>
          <w:szCs w:val="24"/>
        </w:rPr>
        <w:t xml:space="preserve"> i bra</w:t>
      </w:r>
      <w:r>
        <w:rPr>
          <w:rFonts w:ascii="Times New Roman" w:hAnsi="Times New Roman"/>
          <w:noProof/>
          <w:sz w:val="24"/>
          <w:szCs w:val="24"/>
        </w:rPr>
        <w:t>nży</w:t>
      </w:r>
      <w:r w:rsidR="00525C12">
        <w:rPr>
          <w:rFonts w:ascii="Times New Roman" w:hAnsi="Times New Roman"/>
          <w:noProof/>
          <w:sz w:val="24"/>
          <w:szCs w:val="24"/>
        </w:rPr>
        <w:t xml:space="preserve"> w ram</w:t>
      </w:r>
      <w:r>
        <w:rPr>
          <w:rFonts w:ascii="Times New Roman" w:hAnsi="Times New Roman"/>
          <w:noProof/>
          <w:sz w:val="24"/>
          <w:szCs w:val="24"/>
        </w:rPr>
        <w:t>ach systemu wczesnego ostrzegania</w:t>
      </w:r>
      <w:r w:rsidR="00525C12">
        <w:rPr>
          <w:rFonts w:ascii="Times New Roman" w:hAnsi="Times New Roman"/>
          <w:noProof/>
          <w:sz w:val="24"/>
          <w:szCs w:val="24"/>
        </w:rPr>
        <w:t xml:space="preserve"> w cel</w:t>
      </w:r>
      <w:r>
        <w:rPr>
          <w:rFonts w:ascii="Times New Roman" w:hAnsi="Times New Roman"/>
          <w:noProof/>
          <w:sz w:val="24"/>
          <w:szCs w:val="24"/>
        </w:rPr>
        <w:t>u udostępniania informacji, analizy</w:t>
      </w:r>
      <w:r w:rsidR="00525C12">
        <w:rPr>
          <w:rFonts w:ascii="Times New Roman" w:hAnsi="Times New Roman"/>
          <w:noProof/>
          <w:sz w:val="24"/>
          <w:szCs w:val="24"/>
        </w:rPr>
        <w:t xml:space="preserve"> i naj</w:t>
      </w:r>
      <w:r>
        <w:rPr>
          <w:rFonts w:ascii="Times New Roman" w:hAnsi="Times New Roman"/>
          <w:noProof/>
          <w:sz w:val="24"/>
          <w:szCs w:val="24"/>
        </w:rPr>
        <w:t>lepszych praktyk</w:t>
      </w:r>
      <w:r w:rsidR="00525C12">
        <w:rPr>
          <w:rFonts w:ascii="Times New Roman" w:hAnsi="Times New Roman"/>
          <w:noProof/>
          <w:sz w:val="24"/>
          <w:szCs w:val="24"/>
        </w:rPr>
        <w:t xml:space="preserve"> w zak</w:t>
      </w:r>
      <w:r>
        <w:rPr>
          <w:rFonts w:ascii="Times New Roman" w:hAnsi="Times New Roman"/>
          <w:noProof/>
          <w:sz w:val="24"/>
          <w:szCs w:val="24"/>
        </w:rPr>
        <w:t>resie strategicznej komunikacji</w:t>
      </w:r>
      <w:r w:rsidR="00525C12">
        <w:rPr>
          <w:rFonts w:ascii="Times New Roman" w:hAnsi="Times New Roman"/>
          <w:noProof/>
          <w:sz w:val="24"/>
          <w:szCs w:val="24"/>
        </w:rPr>
        <w:t xml:space="preserve"> i zwi</w:t>
      </w:r>
      <w:r>
        <w:rPr>
          <w:rFonts w:ascii="Times New Roman" w:hAnsi="Times New Roman"/>
          <w:noProof/>
          <w:sz w:val="24"/>
          <w:szCs w:val="24"/>
        </w:rPr>
        <w:t>ększania odporności na manipulację informacjami dotyczącymi pandemii,</w:t>
      </w:r>
      <w:r w:rsidR="00525C12">
        <w:rPr>
          <w:rFonts w:ascii="Times New Roman" w:hAnsi="Times New Roman"/>
          <w:noProof/>
          <w:sz w:val="24"/>
          <w:szCs w:val="24"/>
        </w:rPr>
        <w:t xml:space="preserve"> a tak</w:t>
      </w:r>
      <w:r>
        <w:rPr>
          <w:rFonts w:ascii="Times New Roman" w:hAnsi="Times New Roman"/>
          <w:noProof/>
          <w:sz w:val="24"/>
          <w:szCs w:val="24"/>
        </w:rPr>
        <w:t>że współpracy</w:t>
      </w:r>
      <w:r w:rsidR="00525C12">
        <w:rPr>
          <w:rFonts w:ascii="Times New Roman" w:hAnsi="Times New Roman"/>
          <w:noProof/>
          <w:sz w:val="24"/>
          <w:szCs w:val="24"/>
        </w:rPr>
        <w:t xml:space="preserve"> w ram</w:t>
      </w:r>
      <w:r>
        <w:rPr>
          <w:rFonts w:ascii="Times New Roman" w:hAnsi="Times New Roman"/>
          <w:noProof/>
          <w:sz w:val="24"/>
          <w:szCs w:val="24"/>
        </w:rPr>
        <w:t>ach unijnego kodeksu postępowania. Unia Europejska opublikowała również wspólny komunikat dotyczący dezinformacji wokół COVID-19</w:t>
      </w:r>
      <w:r w:rsidR="003363C1">
        <w:rPr>
          <w:rStyle w:val="FootnoteReference"/>
          <w:rFonts w:ascii="Times New Roman" w:hAnsi="Times New Roman" w:cs="Times New Roman"/>
          <w:noProof/>
          <w:sz w:val="24"/>
          <w:szCs w:val="24"/>
        </w:rPr>
        <w:footnoteReference w:id="34"/>
      </w:r>
      <w:r>
        <w:rPr>
          <w:rFonts w:ascii="Times New Roman" w:hAnsi="Times New Roman"/>
          <w:noProof/>
          <w:sz w:val="24"/>
          <w:szCs w:val="24"/>
        </w:rPr>
        <w:t>. Ponieważ manipulacje informacjami</w:t>
      </w:r>
      <w:r w:rsidR="00525C12">
        <w:rPr>
          <w:rFonts w:ascii="Times New Roman" w:hAnsi="Times New Roman"/>
          <w:noProof/>
          <w:sz w:val="24"/>
          <w:szCs w:val="24"/>
        </w:rPr>
        <w:t xml:space="preserve"> i ing</w:t>
      </w:r>
      <w:r>
        <w:rPr>
          <w:rFonts w:ascii="Times New Roman" w:hAnsi="Times New Roman"/>
          <w:noProof/>
          <w:sz w:val="24"/>
          <w:szCs w:val="24"/>
        </w:rPr>
        <w:t>erencje</w:t>
      </w:r>
      <w:r w:rsidR="00525C12">
        <w:rPr>
          <w:rFonts w:ascii="Times New Roman" w:hAnsi="Times New Roman"/>
          <w:noProof/>
          <w:sz w:val="24"/>
          <w:szCs w:val="24"/>
        </w:rPr>
        <w:t xml:space="preserve"> w inf</w:t>
      </w:r>
      <w:r>
        <w:rPr>
          <w:rFonts w:ascii="Times New Roman" w:hAnsi="Times New Roman"/>
          <w:noProof/>
          <w:sz w:val="24"/>
          <w:szCs w:val="24"/>
        </w:rPr>
        <w:t>ormacje</w:t>
      </w:r>
      <w:r w:rsidR="00525C12">
        <w:rPr>
          <w:rFonts w:ascii="Times New Roman" w:hAnsi="Times New Roman"/>
          <w:noProof/>
          <w:sz w:val="24"/>
          <w:szCs w:val="24"/>
        </w:rPr>
        <w:t xml:space="preserve"> w kon</w:t>
      </w:r>
      <w:r>
        <w:rPr>
          <w:rFonts w:ascii="Times New Roman" w:hAnsi="Times New Roman"/>
          <w:noProof/>
          <w:sz w:val="24"/>
          <w:szCs w:val="24"/>
        </w:rPr>
        <w:t>tekście pandemii oraz wpływ takich działań to zjawiska widoczne na całym świecie, UE prowadzi również ścisłą współpracę</w:t>
      </w:r>
      <w:r w:rsidR="00525C12">
        <w:rPr>
          <w:rFonts w:ascii="Times New Roman" w:hAnsi="Times New Roman"/>
          <w:noProof/>
          <w:sz w:val="24"/>
          <w:szCs w:val="24"/>
        </w:rPr>
        <w:t xml:space="preserve"> z par</w:t>
      </w:r>
      <w:r>
        <w:rPr>
          <w:rFonts w:ascii="Times New Roman" w:hAnsi="Times New Roman"/>
          <w:noProof/>
          <w:sz w:val="24"/>
          <w:szCs w:val="24"/>
        </w:rPr>
        <w:t>tnerami międzynarodowymi, zwłaszcza</w:t>
      </w:r>
      <w:r w:rsidR="00525C12">
        <w:rPr>
          <w:rFonts w:ascii="Times New Roman" w:hAnsi="Times New Roman"/>
          <w:noProof/>
          <w:sz w:val="24"/>
          <w:szCs w:val="24"/>
        </w:rPr>
        <w:t xml:space="preserve"> w ram</w:t>
      </w:r>
      <w:r>
        <w:rPr>
          <w:rFonts w:ascii="Times New Roman" w:hAnsi="Times New Roman"/>
          <w:noProof/>
          <w:sz w:val="24"/>
          <w:szCs w:val="24"/>
        </w:rPr>
        <w:t>ach mechanizmu szybkiego reagowania G-7,</w:t>
      </w:r>
      <w:r w:rsidR="00525C12">
        <w:rPr>
          <w:rFonts w:ascii="Times New Roman" w:hAnsi="Times New Roman"/>
          <w:noProof/>
          <w:sz w:val="24"/>
          <w:szCs w:val="24"/>
        </w:rPr>
        <w:t xml:space="preserve"> w cel</w:t>
      </w:r>
      <w:r>
        <w:rPr>
          <w:rFonts w:ascii="Times New Roman" w:hAnsi="Times New Roman"/>
          <w:noProof/>
          <w:sz w:val="24"/>
          <w:szCs w:val="24"/>
        </w:rPr>
        <w:t>u udostępniania informacji na temat takich działań</w:t>
      </w:r>
      <w:r w:rsidR="00525C12">
        <w:rPr>
          <w:rFonts w:ascii="Times New Roman" w:hAnsi="Times New Roman"/>
          <w:noProof/>
          <w:sz w:val="24"/>
          <w:szCs w:val="24"/>
        </w:rPr>
        <w:t xml:space="preserve"> i pro</w:t>
      </w:r>
      <w:r>
        <w:rPr>
          <w:rFonts w:ascii="Times New Roman" w:hAnsi="Times New Roman"/>
          <w:noProof/>
          <w:sz w:val="24"/>
          <w:szCs w:val="24"/>
        </w:rPr>
        <w:t>wadzenia wymiany informacji na temat możliwych sposób reagowania.</w:t>
      </w:r>
    </w:p>
    <w:p w14:paraId="44C4CB2F" w14:textId="77777777" w:rsidR="00D539F9" w:rsidRPr="0050544E" w:rsidRDefault="00D539F9" w:rsidP="00AB4B55">
      <w:pPr>
        <w:keepNext/>
        <w:pBdr>
          <w:top w:val="single" w:sz="4" w:space="1" w:color="auto"/>
          <w:left w:val="single" w:sz="4" w:space="4" w:color="auto"/>
          <w:bottom w:val="single" w:sz="4" w:space="1" w:color="auto"/>
          <w:right w:val="single" w:sz="4" w:space="4" w:color="auto"/>
        </w:pBdr>
        <w:spacing w:before="360" w:line="240" w:lineRule="auto"/>
        <w:jc w:val="center"/>
        <w:rPr>
          <w:rFonts w:ascii="Times New Roman" w:hAnsi="Times New Roman" w:cs="Times New Roman"/>
          <w:b/>
          <w:noProof/>
          <w:sz w:val="24"/>
          <w:szCs w:val="24"/>
        </w:rPr>
      </w:pPr>
      <w:r>
        <w:rPr>
          <w:rFonts w:ascii="Times New Roman" w:hAnsi="Times New Roman"/>
          <w:b/>
          <w:noProof/>
          <w:sz w:val="24"/>
          <w:szCs w:val="24"/>
        </w:rPr>
        <w:t>KLUCZOWE DZIAŁANIA DO PODJĘCIA PRZEZ PAŃSTWA CZŁONKOWSKIE</w:t>
      </w:r>
    </w:p>
    <w:p w14:paraId="4CB3B00D" w14:textId="78D2D54F" w:rsidR="00D539F9" w:rsidRPr="00C76B7C" w:rsidRDefault="0050765C" w:rsidP="00BF5AF0">
      <w:pPr>
        <w:pStyle w:val="ListParagraph"/>
        <w:numPr>
          <w:ilvl w:val="0"/>
          <w:numId w:val="10"/>
        </w:numPr>
        <w:pBdr>
          <w:top w:val="single" w:sz="4" w:space="1" w:color="auto"/>
          <w:left w:val="single" w:sz="4" w:space="4" w:color="auto"/>
          <w:bottom w:val="single" w:sz="4" w:space="1" w:color="auto"/>
          <w:right w:val="single" w:sz="4" w:space="4" w:color="auto"/>
        </w:pBdr>
        <w:spacing w:line="240" w:lineRule="auto"/>
        <w:ind w:left="480" w:hanging="480"/>
        <w:jc w:val="both"/>
        <w:rPr>
          <w:rFonts w:ascii="Times New Roman" w:hAnsi="Times New Roman" w:cs="Times New Roman"/>
          <w:noProof/>
          <w:sz w:val="24"/>
          <w:szCs w:val="24"/>
        </w:rPr>
      </w:pPr>
      <w:r>
        <w:rPr>
          <w:rFonts w:ascii="Times New Roman" w:hAnsi="Times New Roman"/>
          <w:noProof/>
          <w:sz w:val="24"/>
          <w:szCs w:val="24"/>
        </w:rPr>
        <w:t>Wielokrotne podawanie spójnych wiadomości</w:t>
      </w:r>
      <w:r w:rsidR="00525C12">
        <w:rPr>
          <w:rFonts w:ascii="Times New Roman" w:hAnsi="Times New Roman"/>
          <w:noProof/>
          <w:sz w:val="24"/>
          <w:szCs w:val="24"/>
        </w:rPr>
        <w:t xml:space="preserve"> w cel</w:t>
      </w:r>
      <w:r>
        <w:rPr>
          <w:rFonts w:ascii="Times New Roman" w:hAnsi="Times New Roman"/>
          <w:noProof/>
          <w:sz w:val="24"/>
          <w:szCs w:val="24"/>
        </w:rPr>
        <w:t>u ograniczenia zjawiska wprowadzania</w:t>
      </w:r>
      <w:r w:rsidR="00525C12">
        <w:rPr>
          <w:rFonts w:ascii="Times New Roman" w:hAnsi="Times New Roman"/>
          <w:noProof/>
          <w:sz w:val="24"/>
          <w:szCs w:val="24"/>
        </w:rPr>
        <w:t xml:space="preserve"> w błą</w:t>
      </w:r>
      <w:r>
        <w:rPr>
          <w:rFonts w:ascii="Times New Roman" w:hAnsi="Times New Roman"/>
          <w:noProof/>
          <w:sz w:val="24"/>
          <w:szCs w:val="24"/>
        </w:rPr>
        <w:t>d</w:t>
      </w:r>
      <w:r w:rsidR="00525C12">
        <w:rPr>
          <w:rFonts w:ascii="Times New Roman" w:hAnsi="Times New Roman"/>
          <w:noProof/>
          <w:sz w:val="24"/>
          <w:szCs w:val="24"/>
        </w:rPr>
        <w:t xml:space="preserve"> i dez</w:t>
      </w:r>
      <w:r>
        <w:rPr>
          <w:rFonts w:ascii="Times New Roman" w:hAnsi="Times New Roman"/>
          <w:noProof/>
          <w:sz w:val="24"/>
          <w:szCs w:val="24"/>
        </w:rPr>
        <w:t>informacji wokół COVID-19,</w:t>
      </w:r>
      <w:r w:rsidR="00525C12">
        <w:rPr>
          <w:rFonts w:ascii="Times New Roman" w:hAnsi="Times New Roman"/>
          <w:noProof/>
          <w:sz w:val="24"/>
          <w:szCs w:val="24"/>
        </w:rPr>
        <w:t xml:space="preserve"> w szc</w:t>
      </w:r>
      <w:r>
        <w:rPr>
          <w:rFonts w:ascii="Times New Roman" w:hAnsi="Times New Roman"/>
          <w:noProof/>
          <w:sz w:val="24"/>
          <w:szCs w:val="24"/>
        </w:rPr>
        <w:t>zególności poprzez monitorowanie otoczenia informacyjnego</w:t>
      </w:r>
      <w:r w:rsidR="00525C12">
        <w:rPr>
          <w:rFonts w:ascii="Times New Roman" w:hAnsi="Times New Roman"/>
          <w:noProof/>
          <w:sz w:val="24"/>
          <w:szCs w:val="24"/>
        </w:rPr>
        <w:t xml:space="preserve"> i ten</w:t>
      </w:r>
      <w:r>
        <w:rPr>
          <w:rFonts w:ascii="Times New Roman" w:hAnsi="Times New Roman"/>
          <w:noProof/>
          <w:sz w:val="24"/>
          <w:szCs w:val="24"/>
        </w:rPr>
        <w:t>dencji, co</w:t>
      </w:r>
      <w:r w:rsidR="00525C12">
        <w:rPr>
          <w:rFonts w:ascii="Times New Roman" w:hAnsi="Times New Roman"/>
          <w:noProof/>
          <w:sz w:val="24"/>
          <w:szCs w:val="24"/>
        </w:rPr>
        <w:t xml:space="preserve"> w efe</w:t>
      </w:r>
      <w:r>
        <w:rPr>
          <w:rFonts w:ascii="Times New Roman" w:hAnsi="Times New Roman"/>
          <w:noProof/>
          <w:sz w:val="24"/>
          <w:szCs w:val="24"/>
        </w:rPr>
        <w:t>kcie ma umożliwić odpowiednie reagowanie</w:t>
      </w:r>
      <w:r w:rsidR="00525C12">
        <w:rPr>
          <w:rFonts w:ascii="Times New Roman" w:hAnsi="Times New Roman"/>
          <w:noProof/>
          <w:sz w:val="24"/>
          <w:szCs w:val="24"/>
        </w:rPr>
        <w:t xml:space="preserve"> i inf</w:t>
      </w:r>
      <w:r>
        <w:rPr>
          <w:rFonts w:ascii="Times New Roman" w:hAnsi="Times New Roman"/>
          <w:noProof/>
          <w:sz w:val="24"/>
          <w:szCs w:val="24"/>
        </w:rPr>
        <w:t xml:space="preserve">ormowanie. </w:t>
      </w:r>
    </w:p>
    <w:p w14:paraId="2475C4BB" w14:textId="7467FAB4" w:rsidR="00D539F9" w:rsidRDefault="005D6BE5" w:rsidP="003839E1">
      <w:pPr>
        <w:pStyle w:val="ListParagraph"/>
        <w:numPr>
          <w:ilvl w:val="0"/>
          <w:numId w:val="10"/>
        </w:numPr>
        <w:pBdr>
          <w:top w:val="single" w:sz="4" w:space="1" w:color="auto"/>
          <w:left w:val="single" w:sz="4" w:space="4" w:color="auto"/>
          <w:bottom w:val="single" w:sz="4" w:space="1" w:color="auto"/>
          <w:right w:val="single" w:sz="4" w:space="4" w:color="auto"/>
        </w:pBdr>
        <w:spacing w:line="240" w:lineRule="auto"/>
        <w:ind w:left="480" w:hanging="480"/>
        <w:jc w:val="both"/>
        <w:rPr>
          <w:rFonts w:ascii="Times New Roman" w:hAnsi="Times New Roman" w:cs="Times New Roman"/>
          <w:noProof/>
          <w:sz w:val="24"/>
          <w:szCs w:val="24"/>
        </w:rPr>
      </w:pPr>
      <w:r>
        <w:rPr>
          <w:rFonts w:ascii="Times New Roman" w:hAnsi="Times New Roman"/>
          <w:noProof/>
          <w:sz w:val="24"/>
          <w:szCs w:val="24"/>
        </w:rPr>
        <w:t>Przygotowywanie jasnego przekazu na temat wyważonych pozafarmaceutycznych środków przeciwdziałania, konieczności szczepienia</w:t>
      </w:r>
      <w:r w:rsidR="00525C12">
        <w:rPr>
          <w:rFonts w:ascii="Times New Roman" w:hAnsi="Times New Roman"/>
          <w:noProof/>
          <w:sz w:val="24"/>
          <w:szCs w:val="24"/>
        </w:rPr>
        <w:t xml:space="preserve"> i ewe</w:t>
      </w:r>
      <w:r>
        <w:rPr>
          <w:rFonts w:ascii="Times New Roman" w:hAnsi="Times New Roman"/>
          <w:noProof/>
          <w:sz w:val="24"/>
          <w:szCs w:val="24"/>
        </w:rPr>
        <w:t xml:space="preserve">ntualnego ponownego wprowadzania środków na podstawie najlepszych dostępnych dowodów naukowych. </w:t>
      </w:r>
    </w:p>
    <w:p w14:paraId="550903E3" w14:textId="12601E34" w:rsidR="00663E6F" w:rsidRPr="00775251" w:rsidRDefault="00663E6F" w:rsidP="00775251">
      <w:pPr>
        <w:pStyle w:val="ListParagraph"/>
        <w:numPr>
          <w:ilvl w:val="0"/>
          <w:numId w:val="10"/>
        </w:numPr>
        <w:pBdr>
          <w:top w:val="single" w:sz="4" w:space="1" w:color="auto"/>
          <w:left w:val="single" w:sz="4" w:space="4" w:color="auto"/>
          <w:bottom w:val="single" w:sz="4" w:space="1" w:color="auto"/>
          <w:right w:val="single" w:sz="4" w:space="4" w:color="auto"/>
        </w:pBdr>
        <w:spacing w:line="240" w:lineRule="auto"/>
        <w:ind w:left="480" w:hanging="480"/>
        <w:jc w:val="both"/>
        <w:rPr>
          <w:rFonts w:eastAsiaTheme="minorEastAsia"/>
          <w:noProof/>
          <w:sz w:val="24"/>
          <w:szCs w:val="24"/>
        </w:rPr>
      </w:pPr>
      <w:r>
        <w:rPr>
          <w:rFonts w:ascii="Times New Roman" w:hAnsi="Times New Roman"/>
          <w:noProof/>
          <w:sz w:val="24"/>
          <w:szCs w:val="24"/>
        </w:rPr>
        <w:t>Wprowadzenie konkretnych rozwiązań angażujących społeczność na potrzeby lepszego zrozumienia obaw</w:t>
      </w:r>
      <w:r w:rsidR="00525C12">
        <w:rPr>
          <w:rFonts w:ascii="Times New Roman" w:hAnsi="Times New Roman"/>
          <w:noProof/>
          <w:sz w:val="24"/>
          <w:szCs w:val="24"/>
        </w:rPr>
        <w:t xml:space="preserve"> i pos</w:t>
      </w:r>
      <w:r>
        <w:rPr>
          <w:rFonts w:ascii="Times New Roman" w:hAnsi="Times New Roman"/>
          <w:noProof/>
          <w:sz w:val="24"/>
          <w:szCs w:val="24"/>
        </w:rPr>
        <w:t>trzegania ryzyka. Rozważenie przeprowadzenia analiz behawioralnych, zwłaszcza</w:t>
      </w:r>
      <w:r w:rsidR="00525C12">
        <w:rPr>
          <w:rFonts w:ascii="Times New Roman" w:hAnsi="Times New Roman"/>
          <w:noProof/>
          <w:sz w:val="24"/>
          <w:szCs w:val="24"/>
        </w:rPr>
        <w:t xml:space="preserve"> w cel</w:t>
      </w:r>
      <w:r>
        <w:rPr>
          <w:rFonts w:ascii="Times New Roman" w:hAnsi="Times New Roman"/>
          <w:noProof/>
          <w:sz w:val="24"/>
          <w:szCs w:val="24"/>
        </w:rPr>
        <w:t>u zrozumienia kwestii akceptacji szczepień – przeciwko COVID-19,</w:t>
      </w:r>
      <w:r w:rsidR="00525C12">
        <w:rPr>
          <w:rFonts w:ascii="Times New Roman" w:hAnsi="Times New Roman"/>
          <w:noProof/>
          <w:sz w:val="24"/>
          <w:szCs w:val="24"/>
        </w:rPr>
        <w:t xml:space="preserve"> a tak</w:t>
      </w:r>
      <w:r>
        <w:rPr>
          <w:rFonts w:ascii="Times New Roman" w:hAnsi="Times New Roman"/>
          <w:noProof/>
          <w:sz w:val="24"/>
          <w:szCs w:val="24"/>
        </w:rPr>
        <w:t xml:space="preserve">że grypy – aby można było zwiększyć wskaźnik wyszczepienia. </w:t>
      </w:r>
    </w:p>
    <w:p w14:paraId="55E70005" w14:textId="546D5242" w:rsidR="00C9527D" w:rsidRPr="00E008D5" w:rsidRDefault="00C9527D" w:rsidP="57C8B0A9">
      <w:pPr>
        <w:pStyle w:val="ListParagraph"/>
        <w:numPr>
          <w:ilvl w:val="0"/>
          <w:numId w:val="10"/>
        </w:numPr>
        <w:pBdr>
          <w:top w:val="single" w:sz="4" w:space="1" w:color="auto"/>
          <w:left w:val="single" w:sz="4" w:space="4" w:color="auto"/>
          <w:bottom w:val="single" w:sz="4" w:space="1" w:color="auto"/>
          <w:right w:val="single" w:sz="4" w:space="4" w:color="auto"/>
        </w:pBdr>
        <w:spacing w:line="240" w:lineRule="auto"/>
        <w:ind w:left="480" w:hanging="480"/>
        <w:jc w:val="both"/>
        <w:rPr>
          <w:rFonts w:eastAsiaTheme="minorEastAsia"/>
          <w:noProof/>
          <w:sz w:val="24"/>
          <w:szCs w:val="24"/>
        </w:rPr>
      </w:pPr>
      <w:r>
        <w:rPr>
          <w:rFonts w:ascii="Times New Roman" w:hAnsi="Times New Roman"/>
          <w:noProof/>
          <w:sz w:val="24"/>
          <w:szCs w:val="24"/>
        </w:rPr>
        <w:t>Przygotowanie strategii komunikacyjnych na wypadek konieczności podawania</w:t>
      </w:r>
      <w:r w:rsidR="00525C12">
        <w:rPr>
          <w:rFonts w:ascii="Times New Roman" w:hAnsi="Times New Roman"/>
          <w:noProof/>
          <w:sz w:val="24"/>
          <w:szCs w:val="24"/>
        </w:rPr>
        <w:t xml:space="preserve"> w nie</w:t>
      </w:r>
      <w:r>
        <w:rPr>
          <w:rFonts w:ascii="Times New Roman" w:hAnsi="Times New Roman"/>
          <w:noProof/>
          <w:sz w:val="24"/>
          <w:szCs w:val="24"/>
        </w:rPr>
        <w:t>dalekiej przyszłości dodatkowych dawek szczepień przeciwko COVID-19</w:t>
      </w:r>
      <w:r w:rsidR="00525C12">
        <w:rPr>
          <w:rFonts w:ascii="Times New Roman" w:hAnsi="Times New Roman"/>
          <w:noProof/>
          <w:sz w:val="24"/>
          <w:szCs w:val="24"/>
        </w:rPr>
        <w:t xml:space="preserve"> z zas</w:t>
      </w:r>
      <w:r>
        <w:rPr>
          <w:rFonts w:ascii="Times New Roman" w:hAnsi="Times New Roman"/>
          <w:noProof/>
          <w:sz w:val="24"/>
          <w:szCs w:val="24"/>
        </w:rPr>
        <w:t>tosowaniem nowych lub zmodyfikowanych szczepionek.</w:t>
      </w:r>
    </w:p>
    <w:p w14:paraId="0C747622" w14:textId="24B500E7" w:rsidR="00E008D5" w:rsidRPr="00663E6F" w:rsidRDefault="00E008D5" w:rsidP="57C8B0A9">
      <w:pPr>
        <w:pStyle w:val="ListParagraph"/>
        <w:numPr>
          <w:ilvl w:val="0"/>
          <w:numId w:val="10"/>
        </w:numPr>
        <w:pBdr>
          <w:top w:val="single" w:sz="4" w:space="1" w:color="auto"/>
          <w:left w:val="single" w:sz="4" w:space="4" w:color="auto"/>
          <w:bottom w:val="single" w:sz="4" w:space="1" w:color="auto"/>
          <w:right w:val="single" w:sz="4" w:space="4" w:color="auto"/>
        </w:pBdr>
        <w:spacing w:line="240" w:lineRule="auto"/>
        <w:ind w:left="480" w:hanging="480"/>
        <w:jc w:val="both"/>
        <w:rPr>
          <w:rFonts w:eastAsiaTheme="minorEastAsia"/>
          <w:noProof/>
          <w:sz w:val="24"/>
          <w:szCs w:val="24"/>
        </w:rPr>
      </w:pPr>
      <w:r>
        <w:rPr>
          <w:rFonts w:ascii="Times New Roman" w:hAnsi="Times New Roman"/>
          <w:noProof/>
          <w:sz w:val="24"/>
          <w:szCs w:val="24"/>
        </w:rPr>
        <w:t>Dalsze udostępnianie – za pomocą unijnego systemu wczesnego ostrzegania – analiz</w:t>
      </w:r>
      <w:r w:rsidR="00525C12">
        <w:rPr>
          <w:rFonts w:ascii="Times New Roman" w:hAnsi="Times New Roman"/>
          <w:noProof/>
          <w:sz w:val="24"/>
          <w:szCs w:val="24"/>
        </w:rPr>
        <w:t xml:space="preserve"> i oce</w:t>
      </w:r>
      <w:r>
        <w:rPr>
          <w:rFonts w:ascii="Times New Roman" w:hAnsi="Times New Roman"/>
          <w:noProof/>
          <w:sz w:val="24"/>
          <w:szCs w:val="24"/>
        </w:rPr>
        <w:t>n zagranicznych manipulacji informacjami na temat pandemii</w:t>
      </w:r>
      <w:r w:rsidR="00525C12">
        <w:rPr>
          <w:rFonts w:ascii="Times New Roman" w:hAnsi="Times New Roman"/>
          <w:noProof/>
          <w:sz w:val="24"/>
          <w:szCs w:val="24"/>
        </w:rPr>
        <w:t xml:space="preserve"> i ing</w:t>
      </w:r>
      <w:r>
        <w:rPr>
          <w:rFonts w:ascii="Times New Roman" w:hAnsi="Times New Roman"/>
          <w:noProof/>
          <w:sz w:val="24"/>
          <w:szCs w:val="24"/>
        </w:rPr>
        <w:t>erencji</w:t>
      </w:r>
      <w:r w:rsidR="00525C12">
        <w:rPr>
          <w:rFonts w:ascii="Times New Roman" w:hAnsi="Times New Roman"/>
          <w:noProof/>
          <w:sz w:val="24"/>
          <w:szCs w:val="24"/>
        </w:rPr>
        <w:t xml:space="preserve"> w tak</w:t>
      </w:r>
      <w:r>
        <w:rPr>
          <w:rFonts w:ascii="Times New Roman" w:hAnsi="Times New Roman"/>
          <w:noProof/>
          <w:sz w:val="24"/>
          <w:szCs w:val="24"/>
        </w:rPr>
        <w:t xml:space="preserve">ie informacje </w:t>
      </w:r>
    </w:p>
    <w:p w14:paraId="19F89084" w14:textId="77777777" w:rsidR="000A63E9" w:rsidRPr="00221FB9" w:rsidRDefault="000A63E9" w:rsidP="000A63E9">
      <w:pPr>
        <w:spacing w:after="0" w:line="240" w:lineRule="auto"/>
        <w:jc w:val="both"/>
        <w:rPr>
          <w:rFonts w:ascii="Times New Roman" w:hAnsi="Times New Roman" w:cs="Times New Roman"/>
          <w:noProof/>
          <w:sz w:val="24"/>
          <w:szCs w:val="24"/>
        </w:rPr>
      </w:pPr>
    </w:p>
    <w:p w14:paraId="6FCCE37A" w14:textId="77777777" w:rsidR="000A63E9" w:rsidRPr="0050544E" w:rsidRDefault="000A63E9" w:rsidP="000A63E9">
      <w:pPr>
        <w:pBdr>
          <w:top w:val="single" w:sz="4" w:space="1" w:color="auto"/>
          <w:left w:val="single" w:sz="4" w:space="4" w:color="auto"/>
          <w:bottom w:val="single" w:sz="4" w:space="1" w:color="auto"/>
          <w:right w:val="single" w:sz="4" w:space="4" w:color="auto"/>
        </w:pBdr>
        <w:spacing w:line="240" w:lineRule="auto"/>
        <w:jc w:val="center"/>
        <w:rPr>
          <w:rFonts w:ascii="Times New Roman" w:hAnsi="Times New Roman" w:cs="Times New Roman"/>
          <w:b/>
          <w:noProof/>
          <w:sz w:val="24"/>
          <w:szCs w:val="24"/>
        </w:rPr>
      </w:pPr>
      <w:r>
        <w:rPr>
          <w:rFonts w:ascii="Times New Roman" w:hAnsi="Times New Roman"/>
          <w:b/>
          <w:noProof/>
          <w:sz w:val="24"/>
          <w:szCs w:val="24"/>
        </w:rPr>
        <w:t>INICJATYWY I DZIAŁANIA UE</w:t>
      </w:r>
    </w:p>
    <w:p w14:paraId="22F83ED8" w14:textId="5B7F9D62" w:rsidR="004D6904" w:rsidRDefault="000A63E9" w:rsidP="004D6904">
      <w:pPr>
        <w:pStyle w:val="ListParagraph"/>
        <w:numPr>
          <w:ilvl w:val="0"/>
          <w:numId w:val="10"/>
        </w:numPr>
        <w:pBdr>
          <w:top w:val="single" w:sz="4" w:space="1" w:color="auto"/>
          <w:left w:val="single" w:sz="4" w:space="4" w:color="auto"/>
          <w:bottom w:val="single" w:sz="4" w:space="1" w:color="auto"/>
          <w:right w:val="single" w:sz="4" w:space="4" w:color="auto"/>
        </w:pBdr>
        <w:spacing w:line="240" w:lineRule="auto"/>
        <w:ind w:left="480" w:hanging="480"/>
        <w:jc w:val="both"/>
        <w:rPr>
          <w:rFonts w:ascii="Times New Roman" w:hAnsi="Times New Roman" w:cs="Times New Roman"/>
          <w:noProof/>
          <w:sz w:val="24"/>
          <w:szCs w:val="24"/>
        </w:rPr>
      </w:pPr>
      <w:r>
        <w:rPr>
          <w:rFonts w:ascii="Times New Roman" w:hAnsi="Times New Roman"/>
          <w:noProof/>
          <w:sz w:val="24"/>
          <w:szCs w:val="24"/>
        </w:rPr>
        <w:t>Komisja</w:t>
      </w:r>
      <w:r w:rsidR="00525C12">
        <w:rPr>
          <w:rFonts w:ascii="Times New Roman" w:hAnsi="Times New Roman"/>
          <w:noProof/>
          <w:sz w:val="24"/>
          <w:szCs w:val="24"/>
        </w:rPr>
        <w:t xml:space="preserve"> i wys</w:t>
      </w:r>
      <w:r>
        <w:rPr>
          <w:rFonts w:ascii="Times New Roman" w:hAnsi="Times New Roman"/>
          <w:noProof/>
          <w:sz w:val="24"/>
          <w:szCs w:val="24"/>
        </w:rPr>
        <w:t>oki przedstawiciel nadal będą rozwijać działania wymienione we wspólnym komunikacie dotyczącym dezinformacji wokół COVID-19</w:t>
      </w:r>
      <w:r w:rsidR="00525C12">
        <w:rPr>
          <w:rFonts w:ascii="Times New Roman" w:hAnsi="Times New Roman"/>
          <w:noProof/>
          <w:sz w:val="24"/>
          <w:szCs w:val="24"/>
          <w:vertAlign w:val="superscript"/>
        </w:rPr>
        <w:t xml:space="preserve"> </w:t>
      </w:r>
      <w:r w:rsidR="00525C12">
        <w:rPr>
          <w:rFonts w:ascii="Times New Roman" w:hAnsi="Times New Roman"/>
          <w:noProof/>
          <w:sz w:val="24"/>
          <w:szCs w:val="24"/>
        </w:rPr>
        <w:t>i</w:t>
      </w:r>
      <w:r w:rsidR="00525C12">
        <w:rPr>
          <w:rFonts w:ascii="Times New Roman" w:hAnsi="Times New Roman"/>
          <w:noProof/>
          <w:sz w:val="24"/>
          <w:szCs w:val="24"/>
          <w:vertAlign w:val="superscript"/>
        </w:rPr>
        <w:t> </w:t>
      </w:r>
      <w:r w:rsidR="00525C12">
        <w:rPr>
          <w:rFonts w:ascii="Times New Roman" w:hAnsi="Times New Roman"/>
          <w:noProof/>
          <w:sz w:val="24"/>
          <w:szCs w:val="24"/>
        </w:rPr>
        <w:t>eur</w:t>
      </w:r>
      <w:r>
        <w:rPr>
          <w:rFonts w:ascii="Times New Roman" w:hAnsi="Times New Roman"/>
          <w:noProof/>
          <w:sz w:val="24"/>
          <w:szCs w:val="24"/>
        </w:rPr>
        <w:t>opejskim planie działania na rzecz demokracji</w:t>
      </w:r>
      <w:r w:rsidRPr="001206C4">
        <w:rPr>
          <w:noProof/>
          <w:vertAlign w:val="superscript"/>
        </w:rPr>
        <w:footnoteReference w:id="35"/>
      </w:r>
      <w:r>
        <w:rPr>
          <w:rFonts w:ascii="Times New Roman" w:hAnsi="Times New Roman"/>
          <w:noProof/>
          <w:sz w:val="24"/>
          <w:szCs w:val="24"/>
        </w:rPr>
        <w:t>, aby zwiększyć odporność na zjawisko wprowadzania</w:t>
      </w:r>
      <w:r w:rsidR="00525C12">
        <w:rPr>
          <w:rFonts w:ascii="Times New Roman" w:hAnsi="Times New Roman"/>
          <w:noProof/>
          <w:sz w:val="24"/>
          <w:szCs w:val="24"/>
        </w:rPr>
        <w:t xml:space="preserve"> w błą</w:t>
      </w:r>
      <w:r>
        <w:rPr>
          <w:rFonts w:ascii="Times New Roman" w:hAnsi="Times New Roman"/>
          <w:noProof/>
          <w:sz w:val="24"/>
          <w:szCs w:val="24"/>
        </w:rPr>
        <w:t>d</w:t>
      </w:r>
      <w:r w:rsidR="00525C12">
        <w:rPr>
          <w:rFonts w:ascii="Times New Roman" w:hAnsi="Times New Roman"/>
          <w:noProof/>
          <w:sz w:val="24"/>
          <w:szCs w:val="24"/>
        </w:rPr>
        <w:t xml:space="preserve"> i dez</w:t>
      </w:r>
      <w:r>
        <w:rPr>
          <w:rFonts w:ascii="Times New Roman" w:hAnsi="Times New Roman"/>
          <w:noProof/>
          <w:sz w:val="24"/>
          <w:szCs w:val="24"/>
        </w:rPr>
        <w:t>informacji</w:t>
      </w:r>
      <w:r w:rsidR="00525C12">
        <w:rPr>
          <w:rFonts w:ascii="Times New Roman" w:hAnsi="Times New Roman"/>
          <w:noProof/>
          <w:sz w:val="24"/>
          <w:szCs w:val="24"/>
        </w:rPr>
        <w:t xml:space="preserve"> w per</w:t>
      </w:r>
      <w:r>
        <w:rPr>
          <w:rFonts w:ascii="Times New Roman" w:hAnsi="Times New Roman"/>
          <w:noProof/>
          <w:sz w:val="24"/>
          <w:szCs w:val="24"/>
        </w:rPr>
        <w:t>spektywie długoterminowej. Działania te obejmują ułatwienie wymiany materiałów informacyjnych na temat koronawirusa między instytucjami Unii</w:t>
      </w:r>
      <w:r w:rsidR="00525C12">
        <w:rPr>
          <w:rFonts w:ascii="Times New Roman" w:hAnsi="Times New Roman"/>
          <w:noProof/>
          <w:sz w:val="24"/>
          <w:szCs w:val="24"/>
        </w:rPr>
        <w:t xml:space="preserve"> i pań</w:t>
      </w:r>
      <w:r>
        <w:rPr>
          <w:rFonts w:ascii="Times New Roman" w:hAnsi="Times New Roman"/>
          <w:noProof/>
          <w:sz w:val="24"/>
          <w:szCs w:val="24"/>
        </w:rPr>
        <w:t>stwami członkowskimi</w:t>
      </w:r>
      <w:r w:rsidRPr="001206C4">
        <w:rPr>
          <w:noProof/>
          <w:vertAlign w:val="superscript"/>
        </w:rPr>
        <w:footnoteReference w:id="36"/>
      </w:r>
      <w:r>
        <w:rPr>
          <w:rFonts w:ascii="Times New Roman" w:hAnsi="Times New Roman"/>
          <w:noProof/>
          <w:sz w:val="24"/>
          <w:szCs w:val="24"/>
        </w:rPr>
        <w:t>,</w:t>
      </w:r>
      <w:r w:rsidR="00525C12">
        <w:rPr>
          <w:rFonts w:ascii="Times New Roman" w:hAnsi="Times New Roman"/>
          <w:noProof/>
          <w:sz w:val="24"/>
          <w:szCs w:val="24"/>
        </w:rPr>
        <w:t xml:space="preserve"> a tak</w:t>
      </w:r>
      <w:r>
        <w:rPr>
          <w:rFonts w:ascii="Times New Roman" w:hAnsi="Times New Roman"/>
          <w:noProof/>
          <w:sz w:val="24"/>
          <w:szCs w:val="24"/>
        </w:rPr>
        <w:t>że monitorowanie</w:t>
      </w:r>
      <w:r w:rsidR="00525C12">
        <w:rPr>
          <w:rFonts w:ascii="Times New Roman" w:hAnsi="Times New Roman"/>
          <w:noProof/>
          <w:sz w:val="24"/>
          <w:szCs w:val="24"/>
        </w:rPr>
        <w:t xml:space="preserve"> i ana</w:t>
      </w:r>
      <w:r>
        <w:rPr>
          <w:rFonts w:ascii="Times New Roman" w:hAnsi="Times New Roman"/>
          <w:noProof/>
          <w:sz w:val="24"/>
          <w:szCs w:val="24"/>
        </w:rPr>
        <w:t>lizę zagrożeń dla zdrowia publicznego</w:t>
      </w:r>
      <w:r w:rsidR="00525C12">
        <w:rPr>
          <w:rFonts w:ascii="Times New Roman" w:hAnsi="Times New Roman"/>
          <w:noProof/>
          <w:sz w:val="24"/>
          <w:szCs w:val="24"/>
        </w:rPr>
        <w:t xml:space="preserve"> i szy</w:t>
      </w:r>
      <w:r>
        <w:rPr>
          <w:rFonts w:ascii="Times New Roman" w:hAnsi="Times New Roman"/>
          <w:noProof/>
          <w:sz w:val="24"/>
          <w:szCs w:val="24"/>
        </w:rPr>
        <w:t xml:space="preserve">bkie reagowanie na takie zagrożenia. </w:t>
      </w:r>
    </w:p>
    <w:p w14:paraId="032D4339" w14:textId="62BD6DB5" w:rsidR="000A63E9" w:rsidRPr="002D4DAD" w:rsidRDefault="000A63E9" w:rsidP="003839E1">
      <w:pPr>
        <w:pStyle w:val="ListParagraph"/>
        <w:numPr>
          <w:ilvl w:val="0"/>
          <w:numId w:val="10"/>
        </w:numPr>
        <w:pBdr>
          <w:top w:val="single" w:sz="4" w:space="1" w:color="auto"/>
          <w:left w:val="single" w:sz="4" w:space="4" w:color="auto"/>
          <w:bottom w:val="single" w:sz="4" w:space="1" w:color="auto"/>
          <w:right w:val="single" w:sz="4" w:space="4" w:color="auto"/>
        </w:pBdr>
        <w:spacing w:line="240" w:lineRule="auto"/>
        <w:ind w:left="480" w:hanging="480"/>
        <w:jc w:val="both"/>
        <w:rPr>
          <w:rFonts w:ascii="Times New Roman" w:hAnsi="Times New Roman" w:cs="Times New Roman"/>
          <w:noProof/>
          <w:sz w:val="24"/>
          <w:szCs w:val="24"/>
        </w:rPr>
      </w:pPr>
      <w:r>
        <w:rPr>
          <w:rFonts w:ascii="Times New Roman" w:hAnsi="Times New Roman"/>
          <w:noProof/>
          <w:sz w:val="24"/>
          <w:szCs w:val="24"/>
        </w:rPr>
        <w:t>Za sprawą kodeksu postępowania</w:t>
      </w:r>
      <w:r w:rsidR="00525C12">
        <w:rPr>
          <w:rFonts w:ascii="Times New Roman" w:hAnsi="Times New Roman"/>
          <w:noProof/>
          <w:sz w:val="24"/>
          <w:szCs w:val="24"/>
        </w:rPr>
        <w:t xml:space="preserve"> w zak</w:t>
      </w:r>
      <w:r>
        <w:rPr>
          <w:rFonts w:ascii="Times New Roman" w:hAnsi="Times New Roman"/>
          <w:noProof/>
          <w:sz w:val="24"/>
          <w:szCs w:val="24"/>
        </w:rPr>
        <w:t>resie zwalczania dezinformacji</w:t>
      </w:r>
      <w:r w:rsidRPr="001206C4">
        <w:rPr>
          <w:noProof/>
          <w:vertAlign w:val="superscript"/>
        </w:rPr>
        <w:footnoteReference w:id="37"/>
      </w:r>
      <w:r>
        <w:rPr>
          <w:rFonts w:ascii="Times New Roman" w:hAnsi="Times New Roman"/>
          <w:noProof/>
          <w:sz w:val="24"/>
          <w:szCs w:val="24"/>
        </w:rPr>
        <w:t xml:space="preserve"> Komisja zintensyfikuje współpracę</w:t>
      </w:r>
      <w:r w:rsidR="00525C12">
        <w:rPr>
          <w:rFonts w:ascii="Times New Roman" w:hAnsi="Times New Roman"/>
          <w:noProof/>
          <w:sz w:val="24"/>
          <w:szCs w:val="24"/>
        </w:rPr>
        <w:t xml:space="preserve"> z pla</w:t>
      </w:r>
      <w:r>
        <w:rPr>
          <w:rFonts w:ascii="Times New Roman" w:hAnsi="Times New Roman"/>
          <w:noProof/>
          <w:sz w:val="24"/>
          <w:szCs w:val="24"/>
        </w:rPr>
        <w:t>tformami internetowymi</w:t>
      </w:r>
      <w:r w:rsidR="00525C12">
        <w:rPr>
          <w:rFonts w:ascii="Times New Roman" w:hAnsi="Times New Roman"/>
          <w:noProof/>
          <w:sz w:val="24"/>
          <w:szCs w:val="24"/>
        </w:rPr>
        <w:t xml:space="preserve"> i będ</w:t>
      </w:r>
      <w:r>
        <w:rPr>
          <w:rFonts w:ascii="Times New Roman" w:hAnsi="Times New Roman"/>
          <w:noProof/>
          <w:sz w:val="24"/>
          <w:szCs w:val="24"/>
        </w:rPr>
        <w:t>zie wspierać europejskich weryfikatorów informacji.</w:t>
      </w:r>
    </w:p>
    <w:p w14:paraId="7A7895B4" w14:textId="7B224B1B" w:rsidR="00D539F9" w:rsidRPr="000A63E9" w:rsidRDefault="00223706" w:rsidP="003839E1">
      <w:pPr>
        <w:pStyle w:val="ListParagraph"/>
        <w:numPr>
          <w:ilvl w:val="0"/>
          <w:numId w:val="10"/>
        </w:numPr>
        <w:pBdr>
          <w:top w:val="single" w:sz="4" w:space="1" w:color="auto"/>
          <w:left w:val="single" w:sz="4" w:space="4" w:color="auto"/>
          <w:bottom w:val="single" w:sz="4" w:space="1" w:color="auto"/>
          <w:right w:val="single" w:sz="4" w:space="4" w:color="auto"/>
        </w:pBdr>
        <w:spacing w:after="360" w:line="240" w:lineRule="auto"/>
        <w:ind w:left="480" w:hanging="480"/>
        <w:jc w:val="both"/>
        <w:rPr>
          <w:rFonts w:ascii="Times New Roman" w:hAnsi="Times New Roman" w:cs="Times New Roman"/>
          <w:noProof/>
          <w:sz w:val="24"/>
          <w:szCs w:val="24"/>
        </w:rPr>
      </w:pPr>
      <w:r>
        <w:rPr>
          <w:rFonts w:ascii="Times New Roman" w:hAnsi="Times New Roman"/>
          <w:noProof/>
          <w:sz w:val="24"/>
          <w:szCs w:val="24"/>
        </w:rPr>
        <w:t>Komisja wspiera badania służące zrozumieniu,</w:t>
      </w:r>
      <w:r w:rsidR="00525C12">
        <w:rPr>
          <w:rFonts w:ascii="Times New Roman" w:hAnsi="Times New Roman"/>
          <w:noProof/>
          <w:sz w:val="24"/>
          <w:szCs w:val="24"/>
        </w:rPr>
        <w:t xml:space="preserve"> w jak</w:t>
      </w:r>
      <w:r>
        <w:rPr>
          <w:rFonts w:ascii="Times New Roman" w:hAnsi="Times New Roman"/>
          <w:noProof/>
          <w:sz w:val="24"/>
          <w:szCs w:val="24"/>
        </w:rPr>
        <w:t>i sposób informacje wprowadzające</w:t>
      </w:r>
      <w:r w:rsidR="00525C12">
        <w:rPr>
          <w:rFonts w:ascii="Times New Roman" w:hAnsi="Times New Roman"/>
          <w:noProof/>
          <w:sz w:val="24"/>
          <w:szCs w:val="24"/>
        </w:rPr>
        <w:t xml:space="preserve"> w błą</w:t>
      </w:r>
      <w:r>
        <w:rPr>
          <w:rFonts w:ascii="Times New Roman" w:hAnsi="Times New Roman"/>
          <w:noProof/>
          <w:sz w:val="24"/>
          <w:szCs w:val="24"/>
        </w:rPr>
        <w:t>d</w:t>
      </w:r>
      <w:r w:rsidR="00525C12">
        <w:rPr>
          <w:rFonts w:ascii="Times New Roman" w:hAnsi="Times New Roman"/>
          <w:noProof/>
          <w:sz w:val="24"/>
          <w:szCs w:val="24"/>
        </w:rPr>
        <w:t xml:space="preserve"> i man</w:t>
      </w:r>
      <w:r>
        <w:rPr>
          <w:rFonts w:ascii="Times New Roman" w:hAnsi="Times New Roman"/>
          <w:noProof/>
          <w:sz w:val="24"/>
          <w:szCs w:val="24"/>
        </w:rPr>
        <w:t xml:space="preserve">ipulowanie informacjami mogą wpływać na wskaźnik wyszczepienia. Zostanie przeprowadzona ocena potrzeby dalszych badań. </w:t>
      </w:r>
    </w:p>
    <w:p w14:paraId="7F141CD7" w14:textId="3D715D3F" w:rsidR="002C1DF2" w:rsidRDefault="002C1DF2" w:rsidP="004D6904">
      <w:pPr>
        <w:pStyle w:val="Text1"/>
        <w:keepNext/>
        <w:numPr>
          <w:ilvl w:val="0"/>
          <w:numId w:val="11"/>
        </w:numPr>
        <w:spacing w:after="200"/>
        <w:rPr>
          <w:b/>
          <w:i/>
          <w:noProof/>
          <w:szCs w:val="24"/>
        </w:rPr>
      </w:pPr>
      <w:r>
        <w:rPr>
          <w:b/>
          <w:i/>
          <w:noProof/>
          <w:szCs w:val="24"/>
        </w:rPr>
        <w:t>Wymiar globalny: solidarność</w:t>
      </w:r>
      <w:r w:rsidR="00525C12">
        <w:rPr>
          <w:b/>
          <w:i/>
          <w:noProof/>
          <w:szCs w:val="24"/>
        </w:rPr>
        <w:t xml:space="preserve"> i zar</w:t>
      </w:r>
      <w:r>
        <w:rPr>
          <w:b/>
          <w:i/>
          <w:noProof/>
          <w:szCs w:val="24"/>
        </w:rPr>
        <w:t xml:space="preserve">ządzanie </w:t>
      </w:r>
    </w:p>
    <w:p w14:paraId="4ABB5B8F" w14:textId="1E6DC2F4" w:rsidR="002D6DCB" w:rsidRPr="004E6AEE" w:rsidRDefault="00730ED2" w:rsidP="00730ED2">
      <w:pPr>
        <w:spacing w:line="240" w:lineRule="auto"/>
        <w:jc w:val="both"/>
        <w:rPr>
          <w:rFonts w:ascii="Times New Roman" w:hAnsi="Times New Roman" w:cs="Times New Roman"/>
          <w:noProof/>
          <w:sz w:val="24"/>
          <w:szCs w:val="24"/>
        </w:rPr>
      </w:pPr>
      <w:r>
        <w:rPr>
          <w:rFonts w:ascii="Times New Roman" w:hAnsi="Times New Roman"/>
          <w:noProof/>
          <w:sz w:val="24"/>
          <w:szCs w:val="24"/>
        </w:rPr>
        <w:t>UE, jej państwa członkowskie</w:t>
      </w:r>
      <w:r w:rsidR="00525C12">
        <w:rPr>
          <w:rFonts w:ascii="Times New Roman" w:hAnsi="Times New Roman"/>
          <w:noProof/>
          <w:sz w:val="24"/>
          <w:szCs w:val="24"/>
        </w:rPr>
        <w:t xml:space="preserve"> i ins</w:t>
      </w:r>
      <w:r>
        <w:rPr>
          <w:rFonts w:ascii="Times New Roman" w:hAnsi="Times New Roman"/>
          <w:noProof/>
          <w:sz w:val="24"/>
          <w:szCs w:val="24"/>
        </w:rPr>
        <w:t>tytucje finansowe – działając jako Drużyna Europy – odgrywają wiodącą rolę</w:t>
      </w:r>
      <w:r w:rsidR="00525C12">
        <w:rPr>
          <w:rFonts w:ascii="Times New Roman" w:hAnsi="Times New Roman"/>
          <w:noProof/>
          <w:sz w:val="24"/>
          <w:szCs w:val="24"/>
        </w:rPr>
        <w:t xml:space="preserve"> w świ</w:t>
      </w:r>
      <w:r>
        <w:rPr>
          <w:rFonts w:ascii="Times New Roman" w:hAnsi="Times New Roman"/>
          <w:noProof/>
          <w:sz w:val="24"/>
          <w:szCs w:val="24"/>
        </w:rPr>
        <w:t>atowych staraniach na rzecz gromadzenia zasobów</w:t>
      </w:r>
      <w:r w:rsidR="00525C12">
        <w:rPr>
          <w:rFonts w:ascii="Times New Roman" w:hAnsi="Times New Roman"/>
          <w:noProof/>
          <w:sz w:val="24"/>
          <w:szCs w:val="24"/>
        </w:rPr>
        <w:t xml:space="preserve"> i wie</w:t>
      </w:r>
      <w:r>
        <w:rPr>
          <w:rFonts w:ascii="Times New Roman" w:hAnsi="Times New Roman"/>
          <w:noProof/>
          <w:sz w:val="24"/>
          <w:szCs w:val="24"/>
        </w:rPr>
        <w:t>dzy specjalistycznej</w:t>
      </w:r>
      <w:r w:rsidR="00525C12">
        <w:rPr>
          <w:rFonts w:ascii="Times New Roman" w:hAnsi="Times New Roman"/>
          <w:noProof/>
          <w:sz w:val="24"/>
          <w:szCs w:val="24"/>
        </w:rPr>
        <w:t xml:space="preserve"> w zak</w:t>
      </w:r>
      <w:r>
        <w:rPr>
          <w:rFonts w:ascii="Times New Roman" w:hAnsi="Times New Roman"/>
          <w:noProof/>
          <w:sz w:val="24"/>
          <w:szCs w:val="24"/>
        </w:rPr>
        <w:t xml:space="preserve">resie COVID-19. </w:t>
      </w:r>
    </w:p>
    <w:p w14:paraId="6DA522BA" w14:textId="2C9D81CD" w:rsidR="00B37BBA" w:rsidRPr="00525C12" w:rsidRDefault="00B37BBA" w:rsidP="00730ED2">
      <w:pPr>
        <w:spacing w:line="240" w:lineRule="auto"/>
        <w:jc w:val="both"/>
        <w:rPr>
          <w:rFonts w:ascii="Times New Roman" w:hAnsi="Times New Roman" w:cs="Times New Roman"/>
          <w:noProof/>
          <w:sz w:val="24"/>
          <w:szCs w:val="24"/>
        </w:rPr>
      </w:pPr>
      <w:r>
        <w:rPr>
          <w:rFonts w:ascii="Times New Roman" w:hAnsi="Times New Roman"/>
          <w:noProof/>
          <w:sz w:val="24"/>
          <w:szCs w:val="24"/>
        </w:rPr>
        <w:t>UE jest liderem pod względem globalnej solidarności jako największy na świecie eksporter szczepionek przeciwko COVID-19 – do marca 20</w:t>
      </w:r>
      <w:r w:rsidRPr="00525C12">
        <w:rPr>
          <w:rFonts w:ascii="Times New Roman" w:hAnsi="Times New Roman"/>
          <w:noProof/>
          <w:sz w:val="24"/>
          <w:szCs w:val="24"/>
        </w:rPr>
        <w:t>22</w:t>
      </w:r>
      <w:r w:rsidR="00525C12" w:rsidRPr="00525C12">
        <w:rPr>
          <w:rFonts w:ascii="Times New Roman" w:hAnsi="Times New Roman"/>
          <w:noProof/>
          <w:sz w:val="24"/>
          <w:szCs w:val="24"/>
        </w:rPr>
        <w:t> </w:t>
      </w:r>
      <w:r w:rsidRPr="00525C12">
        <w:rPr>
          <w:rFonts w:ascii="Times New Roman" w:hAnsi="Times New Roman"/>
          <w:noProof/>
          <w:sz w:val="24"/>
          <w:szCs w:val="24"/>
        </w:rPr>
        <w:t>r.</w:t>
      </w:r>
      <w:r>
        <w:rPr>
          <w:rFonts w:ascii="Times New Roman" w:hAnsi="Times New Roman"/>
          <w:noProof/>
          <w:sz w:val="24"/>
          <w:szCs w:val="24"/>
        </w:rPr>
        <w:t xml:space="preserve"> ponad 2,1 mld gotowych dawek wywieziono </w:t>
      </w:r>
      <w:r w:rsidRPr="00525C12">
        <w:rPr>
          <w:rFonts w:ascii="Times New Roman" w:hAnsi="Times New Roman"/>
          <w:noProof/>
          <w:sz w:val="24"/>
          <w:szCs w:val="24"/>
        </w:rPr>
        <w:t>do</w:t>
      </w:r>
      <w:r w:rsidR="00525C12" w:rsidRPr="00525C12">
        <w:rPr>
          <w:rFonts w:ascii="Times New Roman" w:hAnsi="Times New Roman"/>
          <w:noProof/>
          <w:sz w:val="24"/>
          <w:szCs w:val="24"/>
        </w:rPr>
        <w:t> </w:t>
      </w:r>
      <w:r w:rsidRPr="00525C12">
        <w:rPr>
          <w:rFonts w:ascii="Times New Roman" w:hAnsi="Times New Roman"/>
          <w:noProof/>
          <w:sz w:val="24"/>
          <w:szCs w:val="24"/>
        </w:rPr>
        <w:t>1</w:t>
      </w:r>
      <w:r>
        <w:rPr>
          <w:rFonts w:ascii="Times New Roman" w:hAnsi="Times New Roman"/>
          <w:noProof/>
          <w:sz w:val="24"/>
          <w:szCs w:val="24"/>
        </w:rPr>
        <w:t>66 państw, co stanowi około dwóch trzecich całej dotychczasowej wielkości produkcji począwszy od najwcześniejszych etapów pandemii</w:t>
      </w:r>
      <w:r w:rsidR="00525C12">
        <w:rPr>
          <w:rFonts w:ascii="Times New Roman" w:hAnsi="Times New Roman"/>
          <w:noProof/>
          <w:sz w:val="24"/>
          <w:szCs w:val="24"/>
        </w:rPr>
        <w:t>. W ram</w:t>
      </w:r>
      <w:r>
        <w:rPr>
          <w:rFonts w:ascii="Times New Roman" w:hAnsi="Times New Roman"/>
          <w:noProof/>
          <w:sz w:val="24"/>
          <w:szCs w:val="24"/>
        </w:rPr>
        <w:t>ach mechanizmu udzielania pozwoleń na wywóz –</w:t>
      </w:r>
      <w:r w:rsidR="00525C12">
        <w:rPr>
          <w:rFonts w:ascii="Times New Roman" w:hAnsi="Times New Roman"/>
          <w:noProof/>
          <w:sz w:val="24"/>
          <w:szCs w:val="24"/>
        </w:rPr>
        <w:t xml:space="preserve"> w mię</w:t>
      </w:r>
      <w:r>
        <w:rPr>
          <w:rFonts w:ascii="Times New Roman" w:hAnsi="Times New Roman"/>
          <w:noProof/>
          <w:sz w:val="24"/>
          <w:szCs w:val="24"/>
        </w:rPr>
        <w:t>dzyczasie zastąpionego mechanizmem monitorowania – zapewniono przejrzystość eksportu szczepionek</w:t>
      </w:r>
      <w:r w:rsidR="00525C12">
        <w:rPr>
          <w:rFonts w:ascii="Times New Roman" w:hAnsi="Times New Roman"/>
          <w:noProof/>
          <w:sz w:val="24"/>
          <w:szCs w:val="24"/>
        </w:rPr>
        <w:t xml:space="preserve"> i wyw</w:t>
      </w:r>
      <w:r>
        <w:rPr>
          <w:rFonts w:ascii="Times New Roman" w:hAnsi="Times New Roman"/>
          <w:noProof/>
          <w:sz w:val="24"/>
          <w:szCs w:val="24"/>
        </w:rPr>
        <w:t>iązywanie się przez producentów</w:t>
      </w:r>
      <w:r w:rsidR="00525C12">
        <w:rPr>
          <w:rFonts w:ascii="Times New Roman" w:hAnsi="Times New Roman"/>
          <w:noProof/>
          <w:sz w:val="24"/>
          <w:szCs w:val="24"/>
        </w:rPr>
        <w:t xml:space="preserve"> z obo</w:t>
      </w:r>
      <w:r>
        <w:rPr>
          <w:rFonts w:ascii="Times New Roman" w:hAnsi="Times New Roman"/>
          <w:noProof/>
          <w:sz w:val="24"/>
          <w:szCs w:val="24"/>
        </w:rPr>
        <w:t>wiązków wynikających</w:t>
      </w:r>
      <w:r w:rsidR="00525C12">
        <w:rPr>
          <w:rFonts w:ascii="Times New Roman" w:hAnsi="Times New Roman"/>
          <w:noProof/>
          <w:sz w:val="24"/>
          <w:szCs w:val="24"/>
        </w:rPr>
        <w:t xml:space="preserve"> z umó</w:t>
      </w:r>
      <w:r>
        <w:rPr>
          <w:rFonts w:ascii="Times New Roman" w:hAnsi="Times New Roman"/>
          <w:noProof/>
          <w:sz w:val="24"/>
          <w:szCs w:val="24"/>
        </w:rPr>
        <w:t>w zakupu zawartych z UE,</w:t>
      </w:r>
      <w:r w:rsidR="00525C12">
        <w:rPr>
          <w:rFonts w:ascii="Times New Roman" w:hAnsi="Times New Roman"/>
          <w:noProof/>
          <w:sz w:val="24"/>
          <w:szCs w:val="24"/>
        </w:rPr>
        <w:t xml:space="preserve"> w tym</w:t>
      </w:r>
      <w:r>
        <w:rPr>
          <w:rFonts w:ascii="Times New Roman" w:hAnsi="Times New Roman"/>
          <w:noProof/>
          <w:sz w:val="24"/>
          <w:szCs w:val="24"/>
        </w:rPr>
        <w:t xml:space="preserve"> zobowiązań do udostępniania szczepionek na poziomie międzynarodowym</w:t>
      </w:r>
      <w:r w:rsidR="00525C12">
        <w:rPr>
          <w:rFonts w:ascii="Times New Roman" w:hAnsi="Times New Roman"/>
          <w:noProof/>
          <w:sz w:val="24"/>
          <w:szCs w:val="24"/>
        </w:rPr>
        <w:t xml:space="preserve"> w cel</w:t>
      </w:r>
      <w:r>
        <w:rPr>
          <w:rFonts w:ascii="Times New Roman" w:hAnsi="Times New Roman"/>
          <w:noProof/>
          <w:sz w:val="24"/>
          <w:szCs w:val="24"/>
        </w:rPr>
        <w:t>u zakończenia światowej pandemii</w:t>
      </w:r>
      <w:r w:rsidRPr="00525C12">
        <w:rPr>
          <w:rFonts w:ascii="Times New Roman" w:hAnsi="Times New Roman"/>
          <w:noProof/>
          <w:sz w:val="24"/>
          <w:szCs w:val="24"/>
        </w:rPr>
        <w:t>.</w:t>
      </w:r>
      <w:r w:rsidR="00525C12" w:rsidRPr="00525C12">
        <w:rPr>
          <w:rFonts w:ascii="Times New Roman" w:hAnsi="Times New Roman"/>
          <w:noProof/>
          <w:sz w:val="24"/>
          <w:szCs w:val="24"/>
        </w:rPr>
        <w:t xml:space="preserve"> </w:t>
      </w:r>
    </w:p>
    <w:p w14:paraId="02D8A00E" w14:textId="2F8282D8" w:rsidR="00730ED2" w:rsidRPr="004E6AEE" w:rsidRDefault="002D6DCB" w:rsidP="00730ED2">
      <w:pPr>
        <w:spacing w:line="240" w:lineRule="auto"/>
        <w:jc w:val="both"/>
        <w:rPr>
          <w:rFonts w:ascii="Times New Roman" w:hAnsi="Times New Roman" w:cs="Times New Roman"/>
          <w:noProof/>
          <w:sz w:val="24"/>
          <w:szCs w:val="24"/>
        </w:rPr>
      </w:pPr>
      <w:r>
        <w:rPr>
          <w:rFonts w:ascii="Times New Roman" w:hAnsi="Times New Roman"/>
          <w:noProof/>
          <w:sz w:val="24"/>
          <w:szCs w:val="24"/>
        </w:rPr>
        <w:t>Drużyna Europy przeznaczyła niemal 6 mld EUR na akcelerator dostępu do narzędzi walki z COVID-19,</w:t>
      </w:r>
      <w:r w:rsidR="00525C12">
        <w:rPr>
          <w:rFonts w:ascii="Times New Roman" w:hAnsi="Times New Roman"/>
          <w:noProof/>
          <w:sz w:val="24"/>
          <w:szCs w:val="24"/>
        </w:rPr>
        <w:t xml:space="preserve"> z cze</w:t>
      </w:r>
      <w:r>
        <w:rPr>
          <w:rFonts w:ascii="Times New Roman" w:hAnsi="Times New Roman"/>
          <w:noProof/>
          <w:sz w:val="24"/>
          <w:szCs w:val="24"/>
        </w:rPr>
        <w:t>go ponad 4 mld EUR przeznaczono na filar szczepionkowy COVAX</w:t>
      </w:r>
      <w:r w:rsidR="00525C12">
        <w:rPr>
          <w:rFonts w:ascii="Times New Roman" w:hAnsi="Times New Roman"/>
          <w:noProof/>
          <w:sz w:val="24"/>
          <w:szCs w:val="24"/>
        </w:rPr>
        <w:t xml:space="preserve"> w for</w:t>
      </w:r>
      <w:r>
        <w:rPr>
          <w:rFonts w:ascii="Times New Roman" w:hAnsi="Times New Roman"/>
          <w:noProof/>
          <w:sz w:val="24"/>
          <w:szCs w:val="24"/>
        </w:rPr>
        <w:t>mie dotacji</w:t>
      </w:r>
      <w:r w:rsidR="00525C12">
        <w:rPr>
          <w:rFonts w:ascii="Times New Roman" w:hAnsi="Times New Roman"/>
          <w:noProof/>
          <w:sz w:val="24"/>
          <w:szCs w:val="24"/>
        </w:rPr>
        <w:t xml:space="preserve"> i poż</w:t>
      </w:r>
      <w:r>
        <w:rPr>
          <w:rFonts w:ascii="Times New Roman" w:hAnsi="Times New Roman"/>
          <w:noProof/>
          <w:sz w:val="24"/>
          <w:szCs w:val="24"/>
        </w:rPr>
        <w:t>yczek na zakup szczepionek udzielanych krajom</w:t>
      </w:r>
      <w:r w:rsidR="00525C12">
        <w:rPr>
          <w:rFonts w:ascii="Times New Roman" w:hAnsi="Times New Roman"/>
          <w:noProof/>
          <w:sz w:val="24"/>
          <w:szCs w:val="24"/>
        </w:rPr>
        <w:t xml:space="preserve"> o nis</w:t>
      </w:r>
      <w:r>
        <w:rPr>
          <w:rFonts w:ascii="Times New Roman" w:hAnsi="Times New Roman"/>
          <w:noProof/>
          <w:sz w:val="24"/>
          <w:szCs w:val="24"/>
        </w:rPr>
        <w:t>kim</w:t>
      </w:r>
      <w:r w:rsidR="00525C12">
        <w:rPr>
          <w:rFonts w:ascii="Times New Roman" w:hAnsi="Times New Roman"/>
          <w:noProof/>
          <w:sz w:val="24"/>
          <w:szCs w:val="24"/>
        </w:rPr>
        <w:t xml:space="preserve"> i niż</w:t>
      </w:r>
      <w:r>
        <w:rPr>
          <w:rFonts w:ascii="Times New Roman" w:hAnsi="Times New Roman"/>
          <w:noProof/>
          <w:sz w:val="24"/>
          <w:szCs w:val="24"/>
        </w:rPr>
        <w:t>szym średnim dochodzie. Bufor humanitarny COVAX służący umożliwieniu realizacji szczepień na niestabilnych obszarach</w:t>
      </w:r>
      <w:r w:rsidR="00525C12">
        <w:rPr>
          <w:rFonts w:ascii="Times New Roman" w:hAnsi="Times New Roman"/>
          <w:noProof/>
          <w:sz w:val="24"/>
          <w:szCs w:val="24"/>
        </w:rPr>
        <w:t xml:space="preserve"> i tru</w:t>
      </w:r>
      <w:r>
        <w:rPr>
          <w:rFonts w:ascii="Times New Roman" w:hAnsi="Times New Roman"/>
          <w:noProof/>
          <w:sz w:val="24"/>
          <w:szCs w:val="24"/>
        </w:rPr>
        <w:t>dno dostępnych obszarach wsparto jak dotąd kwotą 10 mln EUR. UE zobowiązała się do przekazania krajom partnerskim co najmniej 700 mln dawek szczepionek przeciwko COVID-19,</w:t>
      </w:r>
      <w:r w:rsidR="00525C12">
        <w:rPr>
          <w:rFonts w:ascii="Times New Roman" w:hAnsi="Times New Roman"/>
          <w:noProof/>
          <w:sz w:val="24"/>
          <w:szCs w:val="24"/>
        </w:rPr>
        <w:t xml:space="preserve"> z cze</w:t>
      </w:r>
      <w:r>
        <w:rPr>
          <w:rFonts w:ascii="Times New Roman" w:hAnsi="Times New Roman"/>
          <w:noProof/>
          <w:sz w:val="24"/>
          <w:szCs w:val="24"/>
        </w:rPr>
        <w:t>go ponad 474 mln dawek już udostępniono. Ponadto UE zapewniła, aby unijna strategia na rzecz środków terapeutycznych przeciwko COVID-19 była skalowalna</w:t>
      </w:r>
      <w:r w:rsidR="00525C12">
        <w:rPr>
          <w:rFonts w:ascii="Times New Roman" w:hAnsi="Times New Roman"/>
          <w:noProof/>
          <w:sz w:val="24"/>
          <w:szCs w:val="24"/>
        </w:rPr>
        <w:t xml:space="preserve"> z kor</w:t>
      </w:r>
      <w:r>
        <w:rPr>
          <w:rFonts w:ascii="Times New Roman" w:hAnsi="Times New Roman"/>
          <w:noProof/>
          <w:sz w:val="24"/>
          <w:szCs w:val="24"/>
        </w:rPr>
        <w:t>zyścią dla pacjentów chorujących na COVID-19 na całym świecie</w:t>
      </w:r>
      <w:r w:rsidR="00525C12">
        <w:rPr>
          <w:rFonts w:ascii="Times New Roman" w:hAnsi="Times New Roman"/>
          <w:noProof/>
          <w:sz w:val="24"/>
          <w:szCs w:val="24"/>
        </w:rPr>
        <w:t>. W sze</w:t>
      </w:r>
      <w:r>
        <w:rPr>
          <w:rFonts w:ascii="Times New Roman" w:hAnsi="Times New Roman"/>
          <w:noProof/>
          <w:sz w:val="24"/>
          <w:szCs w:val="24"/>
        </w:rPr>
        <w:t>rszym ujęciu Drużyna Europy zmobilizowała ponad 46 mld EUR na wsparcie krajów partnerskich</w:t>
      </w:r>
      <w:r w:rsidR="00525C12">
        <w:rPr>
          <w:rFonts w:ascii="Times New Roman" w:hAnsi="Times New Roman"/>
          <w:noProof/>
          <w:sz w:val="24"/>
          <w:szCs w:val="24"/>
        </w:rPr>
        <w:t xml:space="preserve"> w rad</w:t>
      </w:r>
      <w:r>
        <w:rPr>
          <w:rFonts w:ascii="Times New Roman" w:hAnsi="Times New Roman"/>
          <w:noProof/>
          <w:sz w:val="24"/>
          <w:szCs w:val="24"/>
        </w:rPr>
        <w:t>zeniu sobie ze zdrowotnymi</w:t>
      </w:r>
      <w:r w:rsidR="00525C12">
        <w:rPr>
          <w:rFonts w:ascii="Times New Roman" w:hAnsi="Times New Roman"/>
          <w:noProof/>
          <w:sz w:val="24"/>
          <w:szCs w:val="24"/>
        </w:rPr>
        <w:t xml:space="preserve"> i spo</w:t>
      </w:r>
      <w:r>
        <w:rPr>
          <w:rFonts w:ascii="Times New Roman" w:hAnsi="Times New Roman"/>
          <w:noProof/>
          <w:sz w:val="24"/>
          <w:szCs w:val="24"/>
        </w:rPr>
        <w:t>łeczno-ekonomicznymi skutkami pandemii.</w:t>
      </w:r>
    </w:p>
    <w:p w14:paraId="1F74D88C" w14:textId="685F8F97" w:rsidR="005F1C6C" w:rsidRPr="004E6AEE" w:rsidRDefault="00FE61E6" w:rsidP="005F1C6C">
      <w:pPr>
        <w:spacing w:line="240" w:lineRule="auto"/>
        <w:jc w:val="both"/>
        <w:rPr>
          <w:rFonts w:ascii="Times New Roman" w:hAnsi="Times New Roman" w:cs="Times New Roman"/>
          <w:noProof/>
          <w:sz w:val="24"/>
          <w:szCs w:val="24"/>
        </w:rPr>
      </w:pPr>
      <w:r>
        <w:rPr>
          <w:rFonts w:ascii="Times New Roman" w:hAnsi="Times New Roman"/>
          <w:noProof/>
          <w:sz w:val="24"/>
          <w:szCs w:val="24"/>
        </w:rPr>
        <w:t>W związku</w:t>
      </w:r>
      <w:r w:rsidR="00525C12">
        <w:rPr>
          <w:rFonts w:ascii="Times New Roman" w:hAnsi="Times New Roman"/>
          <w:noProof/>
          <w:sz w:val="24"/>
          <w:szCs w:val="24"/>
        </w:rPr>
        <w:t xml:space="preserve"> z duż</w:t>
      </w:r>
      <w:r>
        <w:rPr>
          <w:rFonts w:ascii="Times New Roman" w:hAnsi="Times New Roman"/>
          <w:noProof/>
          <w:sz w:val="24"/>
          <w:szCs w:val="24"/>
        </w:rPr>
        <w:t>ą dostępnością szczepionek wyzwaniem nie jest już zapewnienie dużej liczby dawek, tylko ich podawanie</w:t>
      </w:r>
      <w:r w:rsidR="00525C12">
        <w:rPr>
          <w:rFonts w:ascii="Times New Roman" w:hAnsi="Times New Roman"/>
          <w:noProof/>
          <w:sz w:val="24"/>
          <w:szCs w:val="24"/>
        </w:rPr>
        <w:t xml:space="preserve"> i pom</w:t>
      </w:r>
      <w:r>
        <w:rPr>
          <w:rFonts w:ascii="Times New Roman" w:hAnsi="Times New Roman"/>
          <w:noProof/>
          <w:sz w:val="24"/>
          <w:szCs w:val="24"/>
        </w:rPr>
        <w:t>oc państwom</w:t>
      </w:r>
      <w:r w:rsidR="00525C12">
        <w:rPr>
          <w:rFonts w:ascii="Times New Roman" w:hAnsi="Times New Roman"/>
          <w:noProof/>
          <w:sz w:val="24"/>
          <w:szCs w:val="24"/>
        </w:rPr>
        <w:t xml:space="preserve"> w roz</w:t>
      </w:r>
      <w:r>
        <w:rPr>
          <w:rFonts w:ascii="Times New Roman" w:hAnsi="Times New Roman"/>
          <w:noProof/>
          <w:sz w:val="24"/>
          <w:szCs w:val="24"/>
        </w:rPr>
        <w:t>wiązywaniu konkretnych problemów</w:t>
      </w:r>
      <w:r w:rsidR="00525C12">
        <w:rPr>
          <w:rFonts w:ascii="Times New Roman" w:hAnsi="Times New Roman"/>
          <w:noProof/>
          <w:sz w:val="24"/>
          <w:szCs w:val="24"/>
        </w:rPr>
        <w:t xml:space="preserve"> w tym</w:t>
      </w:r>
      <w:r>
        <w:rPr>
          <w:rFonts w:ascii="Times New Roman" w:hAnsi="Times New Roman"/>
          <w:noProof/>
          <w:sz w:val="24"/>
          <w:szCs w:val="24"/>
        </w:rPr>
        <w:t xml:space="preserve"> zakresie. Na ten cel Drużyna Europy zdołała już zmobilizować 1 mld EUR</w:t>
      </w:r>
      <w:r w:rsidR="005F1C6C" w:rsidRPr="004E6AEE">
        <w:rPr>
          <w:rStyle w:val="FootnoteReference"/>
          <w:rFonts w:ascii="Times New Roman" w:hAnsi="Times New Roman" w:cs="Times New Roman"/>
          <w:noProof/>
          <w:sz w:val="24"/>
          <w:szCs w:val="24"/>
        </w:rPr>
        <w:footnoteReference w:id="38"/>
      </w:r>
      <w:r>
        <w:rPr>
          <w:rFonts w:ascii="Times New Roman" w:hAnsi="Times New Roman"/>
          <w:noProof/>
          <w:sz w:val="24"/>
          <w:szCs w:val="24"/>
        </w:rPr>
        <w:t>. Na szczycie Unii Afrykańskiej</w:t>
      </w:r>
      <w:r w:rsidR="00525C12">
        <w:rPr>
          <w:rFonts w:ascii="Times New Roman" w:hAnsi="Times New Roman"/>
          <w:noProof/>
          <w:sz w:val="24"/>
          <w:szCs w:val="24"/>
        </w:rPr>
        <w:t xml:space="preserve"> i Uni</w:t>
      </w:r>
      <w:r>
        <w:rPr>
          <w:rFonts w:ascii="Times New Roman" w:hAnsi="Times New Roman"/>
          <w:noProof/>
          <w:sz w:val="24"/>
          <w:szCs w:val="24"/>
        </w:rPr>
        <w:t>i Europejskiej (szczyt UA–UE)</w:t>
      </w:r>
      <w:r w:rsidR="00525C12">
        <w:rPr>
          <w:rFonts w:ascii="Times New Roman" w:hAnsi="Times New Roman"/>
          <w:noProof/>
          <w:sz w:val="24"/>
          <w:szCs w:val="24"/>
        </w:rPr>
        <w:t xml:space="preserve"> w lut</w:t>
      </w:r>
      <w:r>
        <w:rPr>
          <w:rFonts w:ascii="Times New Roman" w:hAnsi="Times New Roman"/>
          <w:noProof/>
          <w:sz w:val="24"/>
          <w:szCs w:val="24"/>
        </w:rPr>
        <w:t>ym 20</w:t>
      </w:r>
      <w:r w:rsidRPr="00525C12">
        <w:rPr>
          <w:rFonts w:ascii="Times New Roman" w:hAnsi="Times New Roman"/>
          <w:noProof/>
          <w:sz w:val="24"/>
          <w:szCs w:val="24"/>
        </w:rPr>
        <w:t>22</w:t>
      </w:r>
      <w:r w:rsidR="00525C12" w:rsidRPr="00525C12">
        <w:rPr>
          <w:rFonts w:ascii="Times New Roman" w:hAnsi="Times New Roman"/>
          <w:noProof/>
          <w:sz w:val="24"/>
          <w:szCs w:val="24"/>
        </w:rPr>
        <w:t> </w:t>
      </w:r>
      <w:r w:rsidRPr="00525C12">
        <w:rPr>
          <w:rFonts w:ascii="Times New Roman" w:hAnsi="Times New Roman"/>
          <w:noProof/>
          <w:sz w:val="24"/>
          <w:szCs w:val="24"/>
        </w:rPr>
        <w:t>r.</w:t>
      </w:r>
      <w:r>
        <w:rPr>
          <w:rFonts w:ascii="Times New Roman" w:hAnsi="Times New Roman"/>
          <w:noProof/>
          <w:sz w:val="24"/>
          <w:szCs w:val="24"/>
        </w:rPr>
        <w:t xml:space="preserve"> przedstawiono pakiet wsparcia na rzecz szczepień obejmujący dostawę, dodatkowe materiały</w:t>
      </w:r>
      <w:r w:rsidR="00525C12">
        <w:rPr>
          <w:rFonts w:ascii="Times New Roman" w:hAnsi="Times New Roman"/>
          <w:noProof/>
          <w:sz w:val="24"/>
          <w:szCs w:val="24"/>
        </w:rPr>
        <w:t xml:space="preserve"> i wsp</w:t>
      </w:r>
      <w:r>
        <w:rPr>
          <w:rFonts w:ascii="Times New Roman" w:hAnsi="Times New Roman"/>
          <w:noProof/>
          <w:sz w:val="24"/>
          <w:szCs w:val="24"/>
        </w:rPr>
        <w:t>arcie</w:t>
      </w:r>
      <w:r w:rsidR="00525C12">
        <w:rPr>
          <w:rFonts w:ascii="Times New Roman" w:hAnsi="Times New Roman"/>
          <w:noProof/>
          <w:sz w:val="24"/>
          <w:szCs w:val="24"/>
        </w:rPr>
        <w:t xml:space="preserve"> w zak</w:t>
      </w:r>
      <w:r>
        <w:rPr>
          <w:rFonts w:ascii="Times New Roman" w:hAnsi="Times New Roman"/>
          <w:noProof/>
          <w:sz w:val="24"/>
          <w:szCs w:val="24"/>
        </w:rPr>
        <w:t>resie dostarczenia. Wsparcie to będzie dostosowywane do konkretnych</w:t>
      </w:r>
      <w:r w:rsidR="00525C12">
        <w:rPr>
          <w:rFonts w:ascii="Times New Roman" w:hAnsi="Times New Roman"/>
          <w:noProof/>
          <w:sz w:val="24"/>
          <w:szCs w:val="24"/>
        </w:rPr>
        <w:t xml:space="preserve"> i zmi</w:t>
      </w:r>
      <w:r>
        <w:rPr>
          <w:rFonts w:ascii="Times New Roman" w:hAnsi="Times New Roman"/>
          <w:noProof/>
          <w:sz w:val="24"/>
          <w:szCs w:val="24"/>
        </w:rPr>
        <w:t>eniających się potrzeb państw. UE wzywa do wzmożenia koordynacji międzynarodowych działań służących zwiększeniu zdolności państw do skutecznego stosowania</w:t>
      </w:r>
      <w:r w:rsidR="00525C12">
        <w:rPr>
          <w:rFonts w:ascii="Times New Roman" w:hAnsi="Times New Roman"/>
          <w:noProof/>
          <w:sz w:val="24"/>
          <w:szCs w:val="24"/>
        </w:rPr>
        <w:t xml:space="preserve"> i pod</w:t>
      </w:r>
      <w:r>
        <w:rPr>
          <w:rFonts w:ascii="Times New Roman" w:hAnsi="Times New Roman"/>
          <w:noProof/>
          <w:sz w:val="24"/>
          <w:szCs w:val="24"/>
        </w:rPr>
        <w:t>awania szczepionek,</w:t>
      </w:r>
      <w:r w:rsidR="00525C12">
        <w:rPr>
          <w:rFonts w:ascii="Times New Roman" w:hAnsi="Times New Roman"/>
          <w:noProof/>
          <w:sz w:val="24"/>
          <w:szCs w:val="24"/>
        </w:rPr>
        <w:t xml:space="preserve"> w tym w ram</w:t>
      </w:r>
      <w:r>
        <w:rPr>
          <w:rFonts w:ascii="Times New Roman" w:hAnsi="Times New Roman"/>
          <w:noProof/>
          <w:sz w:val="24"/>
          <w:szCs w:val="24"/>
        </w:rPr>
        <w:t>ach światowego planu działania</w:t>
      </w:r>
      <w:r w:rsidR="00525C12">
        <w:rPr>
          <w:rFonts w:ascii="Times New Roman" w:hAnsi="Times New Roman"/>
          <w:noProof/>
          <w:sz w:val="24"/>
          <w:szCs w:val="24"/>
        </w:rPr>
        <w:t xml:space="preserve"> i okr</w:t>
      </w:r>
      <w:r>
        <w:rPr>
          <w:rFonts w:ascii="Times New Roman" w:hAnsi="Times New Roman"/>
          <w:noProof/>
          <w:sz w:val="24"/>
          <w:szCs w:val="24"/>
        </w:rPr>
        <w:t>eślonych</w:t>
      </w:r>
      <w:r w:rsidR="00525C12">
        <w:rPr>
          <w:rFonts w:ascii="Times New Roman" w:hAnsi="Times New Roman"/>
          <w:noProof/>
          <w:sz w:val="24"/>
          <w:szCs w:val="24"/>
        </w:rPr>
        <w:t xml:space="preserve"> w nim</w:t>
      </w:r>
      <w:r>
        <w:rPr>
          <w:rFonts w:ascii="Times New Roman" w:hAnsi="Times New Roman"/>
          <w:noProof/>
          <w:sz w:val="24"/>
          <w:szCs w:val="24"/>
        </w:rPr>
        <w:t xml:space="preserve"> kierunków działań. </w:t>
      </w:r>
    </w:p>
    <w:p w14:paraId="4F53C895" w14:textId="2F6303B2" w:rsidR="005959DB" w:rsidRPr="004E6AEE" w:rsidRDefault="00F842F1" w:rsidP="0088568E">
      <w:pPr>
        <w:spacing w:line="240" w:lineRule="auto"/>
        <w:jc w:val="both"/>
        <w:rPr>
          <w:rFonts w:ascii="Times New Roman" w:hAnsi="Times New Roman" w:cs="Times New Roman"/>
          <w:noProof/>
          <w:sz w:val="24"/>
          <w:szCs w:val="24"/>
        </w:rPr>
      </w:pPr>
      <w:r>
        <w:rPr>
          <w:rFonts w:ascii="Times New Roman" w:hAnsi="Times New Roman"/>
          <w:noProof/>
          <w:sz w:val="24"/>
          <w:szCs w:val="24"/>
        </w:rPr>
        <w:t>Jednocześnie UE prowadzi działania następcze</w:t>
      </w:r>
      <w:r w:rsidR="00525C12">
        <w:rPr>
          <w:rFonts w:ascii="Times New Roman" w:hAnsi="Times New Roman"/>
          <w:noProof/>
          <w:sz w:val="24"/>
          <w:szCs w:val="24"/>
        </w:rPr>
        <w:t xml:space="preserve"> w zwi</w:t>
      </w:r>
      <w:r>
        <w:rPr>
          <w:rFonts w:ascii="Times New Roman" w:hAnsi="Times New Roman"/>
          <w:noProof/>
          <w:sz w:val="24"/>
          <w:szCs w:val="24"/>
        </w:rPr>
        <w:t>ązku</w:t>
      </w:r>
      <w:r w:rsidR="00525C12">
        <w:rPr>
          <w:rFonts w:ascii="Times New Roman" w:hAnsi="Times New Roman"/>
          <w:noProof/>
          <w:sz w:val="24"/>
          <w:szCs w:val="24"/>
        </w:rPr>
        <w:t xml:space="preserve"> z wni</w:t>
      </w:r>
      <w:r>
        <w:rPr>
          <w:rFonts w:ascii="Times New Roman" w:hAnsi="Times New Roman"/>
          <w:noProof/>
          <w:sz w:val="24"/>
          <w:szCs w:val="24"/>
        </w:rPr>
        <w:t>oskami ze szczytu UA–UE wraz</w:t>
      </w:r>
      <w:r w:rsidR="00525C12">
        <w:rPr>
          <w:rFonts w:ascii="Times New Roman" w:hAnsi="Times New Roman"/>
          <w:noProof/>
          <w:sz w:val="24"/>
          <w:szCs w:val="24"/>
        </w:rPr>
        <w:t xml:space="preserve"> z par</w:t>
      </w:r>
      <w:r>
        <w:rPr>
          <w:rFonts w:ascii="Times New Roman" w:hAnsi="Times New Roman"/>
          <w:noProof/>
          <w:sz w:val="24"/>
          <w:szCs w:val="24"/>
        </w:rPr>
        <w:t>tnerami afrykańskimi,</w:t>
      </w:r>
      <w:r w:rsidR="00525C12">
        <w:rPr>
          <w:rFonts w:ascii="Times New Roman" w:hAnsi="Times New Roman"/>
          <w:noProof/>
          <w:sz w:val="24"/>
          <w:szCs w:val="24"/>
        </w:rPr>
        <w:t xml:space="preserve"> w tym w zak</w:t>
      </w:r>
      <w:r>
        <w:rPr>
          <w:rFonts w:ascii="Times New Roman" w:hAnsi="Times New Roman"/>
          <w:noProof/>
          <w:sz w:val="24"/>
          <w:szCs w:val="24"/>
        </w:rPr>
        <w:t>resie realizacji inicjatyw Drużyny Europy na rzecz zwiększenia produkcji szczepionek, leków</w:t>
      </w:r>
      <w:r w:rsidR="00525C12">
        <w:rPr>
          <w:rFonts w:ascii="Times New Roman" w:hAnsi="Times New Roman"/>
          <w:noProof/>
          <w:sz w:val="24"/>
          <w:szCs w:val="24"/>
        </w:rPr>
        <w:t xml:space="preserve"> i tec</w:t>
      </w:r>
      <w:r>
        <w:rPr>
          <w:rFonts w:ascii="Times New Roman" w:hAnsi="Times New Roman"/>
          <w:noProof/>
          <w:sz w:val="24"/>
          <w:szCs w:val="24"/>
        </w:rPr>
        <w:t>hnologii medycznych</w:t>
      </w:r>
      <w:r w:rsidR="00525C12">
        <w:rPr>
          <w:rFonts w:ascii="Times New Roman" w:hAnsi="Times New Roman"/>
          <w:noProof/>
          <w:sz w:val="24"/>
          <w:szCs w:val="24"/>
        </w:rPr>
        <w:t xml:space="preserve"> w Afr</w:t>
      </w:r>
      <w:r>
        <w:rPr>
          <w:rFonts w:ascii="Times New Roman" w:hAnsi="Times New Roman"/>
          <w:noProof/>
          <w:sz w:val="24"/>
          <w:szCs w:val="24"/>
        </w:rPr>
        <w:t>yce (MAV+), aby jeszcze bardziej usprawnić systemy opieki zdrowotnej</w:t>
      </w:r>
      <w:r w:rsidR="00525C12">
        <w:rPr>
          <w:rFonts w:ascii="Times New Roman" w:hAnsi="Times New Roman"/>
          <w:noProof/>
          <w:sz w:val="24"/>
          <w:szCs w:val="24"/>
        </w:rPr>
        <w:t xml:space="preserve"> i wzm</w:t>
      </w:r>
      <w:r>
        <w:rPr>
          <w:rFonts w:ascii="Times New Roman" w:hAnsi="Times New Roman"/>
          <w:noProof/>
          <w:sz w:val="24"/>
          <w:szCs w:val="24"/>
        </w:rPr>
        <w:t>ocnić ramy regulacyjne. Komisja zwiększy współpracę</w:t>
      </w:r>
      <w:r w:rsidR="00525C12">
        <w:rPr>
          <w:rFonts w:ascii="Times New Roman" w:hAnsi="Times New Roman"/>
          <w:noProof/>
          <w:sz w:val="24"/>
          <w:szCs w:val="24"/>
        </w:rPr>
        <w:t xml:space="preserve"> z Afr</w:t>
      </w:r>
      <w:r>
        <w:rPr>
          <w:rFonts w:ascii="Times New Roman" w:hAnsi="Times New Roman"/>
          <w:noProof/>
          <w:sz w:val="24"/>
          <w:szCs w:val="24"/>
        </w:rPr>
        <w:t>ykańskimi Centrami ds. Zwalczania</w:t>
      </w:r>
      <w:r w:rsidR="00525C12">
        <w:rPr>
          <w:rFonts w:ascii="Times New Roman" w:hAnsi="Times New Roman"/>
          <w:noProof/>
          <w:sz w:val="24"/>
          <w:szCs w:val="24"/>
        </w:rPr>
        <w:t xml:space="preserve"> i Pro</w:t>
      </w:r>
      <w:r>
        <w:rPr>
          <w:rFonts w:ascii="Times New Roman" w:hAnsi="Times New Roman"/>
          <w:noProof/>
          <w:sz w:val="24"/>
          <w:szCs w:val="24"/>
        </w:rPr>
        <w:t>filaktyki Chorób</w:t>
      </w:r>
      <w:r w:rsidR="00525C12">
        <w:rPr>
          <w:rFonts w:ascii="Times New Roman" w:hAnsi="Times New Roman"/>
          <w:noProof/>
          <w:sz w:val="24"/>
          <w:szCs w:val="24"/>
        </w:rPr>
        <w:t xml:space="preserve"> i Afr</w:t>
      </w:r>
      <w:r>
        <w:rPr>
          <w:rFonts w:ascii="Times New Roman" w:hAnsi="Times New Roman"/>
          <w:noProof/>
          <w:sz w:val="24"/>
          <w:szCs w:val="24"/>
        </w:rPr>
        <w:t>ykańską Agencją Leków, zwłaszcza</w:t>
      </w:r>
      <w:r w:rsidR="00525C12">
        <w:rPr>
          <w:rFonts w:ascii="Times New Roman" w:hAnsi="Times New Roman"/>
          <w:noProof/>
          <w:sz w:val="24"/>
          <w:szCs w:val="24"/>
        </w:rPr>
        <w:t xml:space="preserve"> w cel</w:t>
      </w:r>
      <w:r>
        <w:rPr>
          <w:rFonts w:ascii="Times New Roman" w:hAnsi="Times New Roman"/>
          <w:noProof/>
          <w:sz w:val="24"/>
          <w:szCs w:val="24"/>
        </w:rPr>
        <w:t>u dalszego podniesienia odporności afrykańskich systemów opieki zdrowotnej</w:t>
      </w:r>
      <w:r w:rsidR="00525C12">
        <w:rPr>
          <w:rFonts w:ascii="Times New Roman" w:hAnsi="Times New Roman"/>
          <w:noProof/>
          <w:sz w:val="24"/>
          <w:szCs w:val="24"/>
        </w:rPr>
        <w:t xml:space="preserve"> i pro</w:t>
      </w:r>
      <w:r>
        <w:rPr>
          <w:rFonts w:ascii="Times New Roman" w:hAnsi="Times New Roman"/>
          <w:noProof/>
          <w:sz w:val="24"/>
          <w:szCs w:val="24"/>
        </w:rPr>
        <w:t>pagowania współpracy regionalnej, również</w:t>
      </w:r>
      <w:r w:rsidR="00525C12">
        <w:rPr>
          <w:rFonts w:ascii="Times New Roman" w:hAnsi="Times New Roman"/>
          <w:noProof/>
          <w:sz w:val="24"/>
          <w:szCs w:val="24"/>
        </w:rPr>
        <w:t xml:space="preserve"> w inn</w:t>
      </w:r>
      <w:r>
        <w:rPr>
          <w:rFonts w:ascii="Times New Roman" w:hAnsi="Times New Roman"/>
          <w:noProof/>
          <w:sz w:val="24"/>
          <w:szCs w:val="24"/>
        </w:rPr>
        <w:t xml:space="preserve">ych regionach na świecie. </w:t>
      </w:r>
    </w:p>
    <w:p w14:paraId="01AA8ABB" w14:textId="7DC4D8F8" w:rsidR="005959DB" w:rsidRPr="004E6AEE" w:rsidRDefault="00730ED2" w:rsidP="00775251">
      <w:pPr>
        <w:spacing w:line="240" w:lineRule="auto"/>
        <w:jc w:val="both"/>
        <w:rPr>
          <w:rFonts w:ascii="Times New Roman" w:hAnsi="Times New Roman" w:cs="Times New Roman"/>
          <w:noProof/>
          <w:sz w:val="24"/>
          <w:szCs w:val="24"/>
        </w:rPr>
      </w:pPr>
      <w:r>
        <w:rPr>
          <w:rFonts w:ascii="Times New Roman" w:hAnsi="Times New Roman"/>
          <w:noProof/>
          <w:sz w:val="24"/>
          <w:szCs w:val="24"/>
        </w:rPr>
        <w:t>Nadal prowadzone będą działania</w:t>
      </w:r>
      <w:r w:rsidR="00525C12">
        <w:rPr>
          <w:rFonts w:ascii="Times New Roman" w:hAnsi="Times New Roman"/>
          <w:noProof/>
          <w:sz w:val="24"/>
          <w:szCs w:val="24"/>
        </w:rPr>
        <w:t xml:space="preserve"> w kra</w:t>
      </w:r>
      <w:r>
        <w:rPr>
          <w:rFonts w:ascii="Times New Roman" w:hAnsi="Times New Roman"/>
          <w:noProof/>
          <w:sz w:val="24"/>
          <w:szCs w:val="24"/>
        </w:rPr>
        <w:t>jach Bałkanów Zachodnich</w:t>
      </w:r>
      <w:r w:rsidR="00525C12">
        <w:rPr>
          <w:rFonts w:ascii="Times New Roman" w:hAnsi="Times New Roman"/>
          <w:noProof/>
          <w:sz w:val="24"/>
          <w:szCs w:val="24"/>
        </w:rPr>
        <w:t xml:space="preserve"> i Par</w:t>
      </w:r>
      <w:r>
        <w:rPr>
          <w:rFonts w:ascii="Times New Roman" w:hAnsi="Times New Roman"/>
          <w:noProof/>
          <w:sz w:val="24"/>
          <w:szCs w:val="24"/>
        </w:rPr>
        <w:t>tnerstwa Wschodniego na rzecz zwiększenia wydolności systemów opieki zdrowotnej na wypadek konieczności reagowania na lokalne ogniska COVID-19,</w:t>
      </w:r>
      <w:r w:rsidR="00525C12">
        <w:rPr>
          <w:rFonts w:ascii="Times New Roman" w:hAnsi="Times New Roman"/>
          <w:noProof/>
          <w:sz w:val="24"/>
          <w:szCs w:val="24"/>
        </w:rPr>
        <w:t xml:space="preserve"> a tak</w:t>
      </w:r>
      <w:r>
        <w:rPr>
          <w:rFonts w:ascii="Times New Roman" w:hAnsi="Times New Roman"/>
          <w:noProof/>
          <w:sz w:val="24"/>
          <w:szCs w:val="24"/>
        </w:rPr>
        <w:t>że innych chorób zakaźnych.</w:t>
      </w:r>
    </w:p>
    <w:p w14:paraId="50BBCB80" w14:textId="0DBE013F" w:rsidR="00387593" w:rsidRDefault="003F6C9B" w:rsidP="00FA1723">
      <w:pPr>
        <w:spacing w:line="240" w:lineRule="auto"/>
        <w:jc w:val="both"/>
        <w:rPr>
          <w:rFonts w:ascii="Times New Roman" w:hAnsi="Times New Roman" w:cs="Times New Roman"/>
          <w:noProof/>
          <w:sz w:val="24"/>
          <w:szCs w:val="24"/>
        </w:rPr>
      </w:pPr>
      <w:r>
        <w:rPr>
          <w:rFonts w:ascii="Times New Roman" w:hAnsi="Times New Roman"/>
          <w:noProof/>
          <w:sz w:val="24"/>
          <w:szCs w:val="24"/>
        </w:rPr>
        <w:t>Z doświadczeń</w:t>
      </w:r>
      <w:r w:rsidR="00525C12">
        <w:rPr>
          <w:rFonts w:ascii="Times New Roman" w:hAnsi="Times New Roman"/>
          <w:noProof/>
          <w:sz w:val="24"/>
          <w:szCs w:val="24"/>
        </w:rPr>
        <w:t xml:space="preserve"> w zak</w:t>
      </w:r>
      <w:r>
        <w:rPr>
          <w:rFonts w:ascii="Times New Roman" w:hAnsi="Times New Roman"/>
          <w:noProof/>
          <w:sz w:val="24"/>
          <w:szCs w:val="24"/>
        </w:rPr>
        <w:t>resie pandemii COVID-19 wynika, że konieczne są reformy światowej infrastruktury bezpieczeństwa zdrowotnego,</w:t>
      </w:r>
      <w:r w:rsidR="00525C12">
        <w:rPr>
          <w:rFonts w:ascii="Times New Roman" w:hAnsi="Times New Roman"/>
          <w:noProof/>
          <w:sz w:val="24"/>
          <w:szCs w:val="24"/>
        </w:rPr>
        <w:t xml:space="preserve"> a spo</w:t>
      </w:r>
      <w:r>
        <w:rPr>
          <w:rFonts w:ascii="Times New Roman" w:hAnsi="Times New Roman"/>
          <w:noProof/>
          <w:sz w:val="24"/>
          <w:szCs w:val="24"/>
        </w:rPr>
        <w:t>łeczność międzynarodowa musi reagować na przyszłe pandemie wspólnie, skutecznie</w:t>
      </w:r>
      <w:r w:rsidR="00525C12">
        <w:rPr>
          <w:rFonts w:ascii="Times New Roman" w:hAnsi="Times New Roman"/>
          <w:noProof/>
          <w:sz w:val="24"/>
          <w:szCs w:val="24"/>
        </w:rPr>
        <w:t xml:space="preserve"> i bez</w:t>
      </w:r>
      <w:r>
        <w:rPr>
          <w:rFonts w:ascii="Times New Roman" w:hAnsi="Times New Roman"/>
          <w:noProof/>
          <w:sz w:val="24"/>
          <w:szCs w:val="24"/>
        </w:rPr>
        <w:t>zwłocznie. Rozpoczęto już negocjacje</w:t>
      </w:r>
      <w:r w:rsidR="00525C12">
        <w:rPr>
          <w:rFonts w:ascii="Times New Roman" w:hAnsi="Times New Roman"/>
          <w:noProof/>
          <w:sz w:val="24"/>
          <w:szCs w:val="24"/>
        </w:rPr>
        <w:t xml:space="preserve"> w zwi</w:t>
      </w:r>
      <w:r>
        <w:rPr>
          <w:rFonts w:ascii="Times New Roman" w:hAnsi="Times New Roman"/>
          <w:noProof/>
          <w:sz w:val="24"/>
          <w:szCs w:val="24"/>
        </w:rPr>
        <w:t>ązku</w:t>
      </w:r>
      <w:r w:rsidR="00525C12">
        <w:rPr>
          <w:rFonts w:ascii="Times New Roman" w:hAnsi="Times New Roman"/>
          <w:noProof/>
          <w:sz w:val="24"/>
          <w:szCs w:val="24"/>
        </w:rPr>
        <w:t xml:space="preserve"> z wyr</w:t>
      </w:r>
      <w:r>
        <w:rPr>
          <w:rFonts w:ascii="Times New Roman" w:hAnsi="Times New Roman"/>
          <w:noProof/>
          <w:sz w:val="24"/>
          <w:szCs w:val="24"/>
        </w:rPr>
        <w:t>ażonym przez UE poparciem dla ustanowienia nowego prawnie wiążącego międzynarodowego instrumentu na rzecz zapobiegania pandemiom, gotowości</w:t>
      </w:r>
      <w:r w:rsidR="00525C12">
        <w:rPr>
          <w:rFonts w:ascii="Times New Roman" w:hAnsi="Times New Roman"/>
          <w:noProof/>
          <w:sz w:val="24"/>
          <w:szCs w:val="24"/>
        </w:rPr>
        <w:t xml:space="preserve"> i rea</w:t>
      </w:r>
      <w:r>
        <w:rPr>
          <w:rFonts w:ascii="Times New Roman" w:hAnsi="Times New Roman"/>
          <w:noProof/>
          <w:sz w:val="24"/>
          <w:szCs w:val="24"/>
        </w:rPr>
        <w:t>gowania na nie</w:t>
      </w:r>
      <w:r w:rsidR="001E46CE" w:rsidRPr="00D46317">
        <w:rPr>
          <w:rFonts w:ascii="Times New Roman" w:hAnsi="Times New Roman" w:cs="Times New Roman"/>
          <w:noProof/>
          <w:sz w:val="24"/>
          <w:szCs w:val="24"/>
          <w:vertAlign w:val="superscript"/>
        </w:rPr>
        <w:footnoteReference w:id="39"/>
      </w:r>
      <w:r>
        <w:rPr>
          <w:rFonts w:ascii="Times New Roman" w:hAnsi="Times New Roman"/>
          <w:noProof/>
          <w:sz w:val="24"/>
          <w:szCs w:val="24"/>
        </w:rPr>
        <w:t>. Taki instrument powinien stanowić punkt zwrotny</w:t>
      </w:r>
      <w:r w:rsidR="00525C12">
        <w:rPr>
          <w:rFonts w:ascii="Times New Roman" w:hAnsi="Times New Roman"/>
          <w:noProof/>
          <w:sz w:val="24"/>
          <w:szCs w:val="24"/>
        </w:rPr>
        <w:t xml:space="preserve"> w zak</w:t>
      </w:r>
      <w:r>
        <w:rPr>
          <w:rFonts w:ascii="Times New Roman" w:hAnsi="Times New Roman"/>
          <w:noProof/>
          <w:sz w:val="24"/>
          <w:szCs w:val="24"/>
        </w:rPr>
        <w:t xml:space="preserve">resie światowych ram ochrony zdrowia dzięki wyeliminowaniu luk uwidocznionych przez pandemię COVID-19. </w:t>
      </w:r>
    </w:p>
    <w:p w14:paraId="3458051D" w14:textId="228192EE" w:rsidR="345AED27" w:rsidRDefault="003F6C9B" w:rsidP="00991A79">
      <w:pPr>
        <w:spacing w:line="240" w:lineRule="auto"/>
        <w:jc w:val="both"/>
        <w:rPr>
          <w:rFonts w:ascii="Times New Roman" w:hAnsi="Times New Roman" w:cs="Times New Roman"/>
          <w:noProof/>
          <w:sz w:val="24"/>
          <w:szCs w:val="24"/>
        </w:rPr>
      </w:pPr>
      <w:r>
        <w:rPr>
          <w:rFonts w:ascii="Times New Roman" w:hAnsi="Times New Roman"/>
          <w:noProof/>
          <w:sz w:val="24"/>
          <w:szCs w:val="24"/>
        </w:rPr>
        <w:t>Jednocześnie należy zapewnić wyższy stopień przestrzegania</w:t>
      </w:r>
      <w:r w:rsidR="00525C12">
        <w:rPr>
          <w:rFonts w:ascii="Times New Roman" w:hAnsi="Times New Roman"/>
          <w:noProof/>
          <w:sz w:val="24"/>
          <w:szCs w:val="24"/>
        </w:rPr>
        <w:t xml:space="preserve"> i wyk</w:t>
      </w:r>
      <w:r>
        <w:rPr>
          <w:rFonts w:ascii="Times New Roman" w:hAnsi="Times New Roman"/>
          <w:noProof/>
          <w:sz w:val="24"/>
          <w:szCs w:val="24"/>
        </w:rPr>
        <w:t>onywania Międzynarodowych przepisów zdrowotnych oraz umocnić pozycję WHO między innymi poprzez stałe</w:t>
      </w:r>
      <w:r w:rsidR="00525C12">
        <w:rPr>
          <w:rFonts w:ascii="Times New Roman" w:hAnsi="Times New Roman"/>
          <w:noProof/>
          <w:sz w:val="24"/>
          <w:szCs w:val="24"/>
        </w:rPr>
        <w:t xml:space="preserve"> i odp</w:t>
      </w:r>
      <w:r>
        <w:rPr>
          <w:rFonts w:ascii="Times New Roman" w:hAnsi="Times New Roman"/>
          <w:noProof/>
          <w:sz w:val="24"/>
          <w:szCs w:val="24"/>
        </w:rPr>
        <w:t>owiednie finansowanie przeznaczone na realizację powierzonych jej zadań.</w:t>
      </w:r>
    </w:p>
    <w:p w14:paraId="32C5A814" w14:textId="4813CC4B" w:rsidR="00730ED2" w:rsidRDefault="00D0030F" w:rsidP="00991A79">
      <w:pPr>
        <w:spacing w:line="240" w:lineRule="auto"/>
        <w:jc w:val="both"/>
        <w:rPr>
          <w:rFonts w:ascii="Times New Roman" w:hAnsi="Times New Roman" w:cs="Times New Roman"/>
          <w:noProof/>
          <w:sz w:val="24"/>
          <w:szCs w:val="24"/>
        </w:rPr>
      </w:pPr>
      <w:r>
        <w:rPr>
          <w:rFonts w:ascii="Times New Roman" w:hAnsi="Times New Roman"/>
          <w:noProof/>
          <w:sz w:val="24"/>
          <w:szCs w:val="24"/>
        </w:rPr>
        <w:t>UE – która nadal przoduje</w:t>
      </w:r>
      <w:r w:rsidR="00525C12">
        <w:rPr>
          <w:rFonts w:ascii="Times New Roman" w:hAnsi="Times New Roman"/>
          <w:noProof/>
          <w:sz w:val="24"/>
          <w:szCs w:val="24"/>
        </w:rPr>
        <w:t xml:space="preserve"> w sta</w:t>
      </w:r>
      <w:r>
        <w:rPr>
          <w:rFonts w:ascii="Times New Roman" w:hAnsi="Times New Roman"/>
          <w:noProof/>
          <w:sz w:val="24"/>
          <w:szCs w:val="24"/>
        </w:rPr>
        <w:t>raniach służących poprawie krajobrazu opieki zdrowotnej na świecie – będzie prowadzić wielostronne działania. Okazją do umocnienia współpracy na arenie międzynarodowej będzie szczyt</w:t>
      </w:r>
      <w:r w:rsidR="00525C12">
        <w:rPr>
          <w:rFonts w:ascii="Times New Roman" w:hAnsi="Times New Roman"/>
          <w:noProof/>
          <w:sz w:val="24"/>
          <w:szCs w:val="24"/>
        </w:rPr>
        <w:t xml:space="preserve"> w spr</w:t>
      </w:r>
      <w:r>
        <w:rPr>
          <w:rFonts w:ascii="Times New Roman" w:hAnsi="Times New Roman"/>
          <w:noProof/>
          <w:sz w:val="24"/>
          <w:szCs w:val="24"/>
        </w:rPr>
        <w:t>awie COVID-19, który zostanie zwołany przez Stany Zjednoczone 12 maja. Ponadto, bazując na wynikach Globalnego Szczytu Zdrowotnego, który odbył się</w:t>
      </w:r>
      <w:r w:rsidR="00525C12">
        <w:rPr>
          <w:rFonts w:ascii="Times New Roman" w:hAnsi="Times New Roman"/>
          <w:noProof/>
          <w:sz w:val="24"/>
          <w:szCs w:val="24"/>
        </w:rPr>
        <w:t xml:space="preserve"> w maj</w:t>
      </w:r>
      <w:r>
        <w:rPr>
          <w:rFonts w:ascii="Times New Roman" w:hAnsi="Times New Roman"/>
          <w:noProof/>
          <w:sz w:val="24"/>
          <w:szCs w:val="24"/>
        </w:rPr>
        <w:t>u 20</w:t>
      </w:r>
      <w:r w:rsidRPr="00525C12">
        <w:rPr>
          <w:rFonts w:ascii="Times New Roman" w:hAnsi="Times New Roman"/>
          <w:noProof/>
          <w:sz w:val="24"/>
          <w:szCs w:val="24"/>
        </w:rPr>
        <w:t>21</w:t>
      </w:r>
      <w:r w:rsidR="00525C12" w:rsidRPr="00525C12">
        <w:rPr>
          <w:rFonts w:ascii="Times New Roman" w:hAnsi="Times New Roman"/>
          <w:noProof/>
          <w:sz w:val="24"/>
          <w:szCs w:val="24"/>
        </w:rPr>
        <w:t> </w:t>
      </w:r>
      <w:r w:rsidRPr="00525C12">
        <w:rPr>
          <w:rFonts w:ascii="Times New Roman" w:hAnsi="Times New Roman"/>
          <w:noProof/>
          <w:sz w:val="24"/>
          <w:szCs w:val="24"/>
        </w:rPr>
        <w:t>r.</w:t>
      </w:r>
      <w:r>
        <w:rPr>
          <w:rFonts w:ascii="Times New Roman" w:hAnsi="Times New Roman"/>
          <w:noProof/>
          <w:sz w:val="24"/>
          <w:szCs w:val="24"/>
        </w:rPr>
        <w:t>, Komisja zorganizuje</w:t>
      </w:r>
      <w:r w:rsidR="00525C12">
        <w:rPr>
          <w:rFonts w:ascii="Times New Roman" w:hAnsi="Times New Roman"/>
          <w:noProof/>
          <w:sz w:val="24"/>
          <w:szCs w:val="24"/>
        </w:rPr>
        <w:t xml:space="preserve"> w cią</w:t>
      </w:r>
      <w:r>
        <w:rPr>
          <w:rFonts w:ascii="Times New Roman" w:hAnsi="Times New Roman"/>
          <w:noProof/>
          <w:sz w:val="24"/>
          <w:szCs w:val="24"/>
        </w:rPr>
        <w:t>gu kol</w:t>
      </w:r>
      <w:r w:rsidR="002B59E4">
        <w:rPr>
          <w:rFonts w:ascii="Times New Roman" w:hAnsi="Times New Roman"/>
          <w:noProof/>
          <w:sz w:val="24"/>
          <w:szCs w:val="24"/>
        </w:rPr>
        <w:t xml:space="preserve">ejnych kilku miesięcy pierwsze </w:t>
      </w:r>
      <w:r>
        <w:rPr>
          <w:rFonts w:ascii="Times New Roman" w:hAnsi="Times New Roman"/>
          <w:noProof/>
          <w:sz w:val="24"/>
          <w:szCs w:val="24"/>
        </w:rPr>
        <w:t>forum globalnej zdrowotnej</w:t>
      </w:r>
      <w:r w:rsidR="00525C12">
        <w:rPr>
          <w:rFonts w:ascii="Times New Roman" w:hAnsi="Times New Roman"/>
          <w:noProof/>
          <w:sz w:val="24"/>
          <w:szCs w:val="24"/>
        </w:rPr>
        <w:t xml:space="preserve"> z udz</w:t>
      </w:r>
      <w:r>
        <w:rPr>
          <w:rFonts w:ascii="Times New Roman" w:hAnsi="Times New Roman"/>
          <w:noProof/>
          <w:sz w:val="24"/>
          <w:szCs w:val="24"/>
        </w:rPr>
        <w:t>iałem organizacji społeczeństwa obywatelskiego.</w:t>
      </w:r>
    </w:p>
    <w:p w14:paraId="2A79A071" w14:textId="1EABF6AC" w:rsidR="00B37BBA" w:rsidRDefault="00B37BBA" w:rsidP="00B37BBA">
      <w:pPr>
        <w:spacing w:line="240" w:lineRule="auto"/>
        <w:jc w:val="both"/>
        <w:rPr>
          <w:rFonts w:ascii="Times New Roman" w:hAnsi="Times New Roman" w:cs="Times New Roman"/>
          <w:noProof/>
          <w:sz w:val="24"/>
          <w:szCs w:val="24"/>
        </w:rPr>
      </w:pPr>
      <w:r>
        <w:rPr>
          <w:rFonts w:ascii="Times New Roman" w:hAnsi="Times New Roman"/>
          <w:noProof/>
          <w:sz w:val="24"/>
          <w:szCs w:val="24"/>
        </w:rPr>
        <w:t>Ponadto – na forum WTO – UE dąży do zwiększenia odporności światowego handlu podstawowymi produktami, zachęcając partnerów handlowych do podejmowania zobowiązań do niewprowadzania ograniczeń</w:t>
      </w:r>
      <w:r w:rsidR="00525C12">
        <w:rPr>
          <w:rFonts w:ascii="Times New Roman" w:hAnsi="Times New Roman"/>
          <w:noProof/>
          <w:sz w:val="24"/>
          <w:szCs w:val="24"/>
        </w:rPr>
        <w:t xml:space="preserve"> w wyw</w:t>
      </w:r>
      <w:r>
        <w:rPr>
          <w:rFonts w:ascii="Times New Roman" w:hAnsi="Times New Roman"/>
          <w:noProof/>
          <w:sz w:val="24"/>
          <w:szCs w:val="24"/>
        </w:rPr>
        <w:t>ozie podstawowych towarów, zapewnienia większej przejrzystości środków handlowych</w:t>
      </w:r>
      <w:r w:rsidR="00525C12">
        <w:rPr>
          <w:rFonts w:ascii="Times New Roman" w:hAnsi="Times New Roman"/>
          <w:noProof/>
          <w:sz w:val="24"/>
          <w:szCs w:val="24"/>
        </w:rPr>
        <w:t xml:space="preserve"> i uła</w:t>
      </w:r>
      <w:r>
        <w:rPr>
          <w:rFonts w:ascii="Times New Roman" w:hAnsi="Times New Roman"/>
          <w:noProof/>
          <w:sz w:val="24"/>
          <w:szCs w:val="24"/>
        </w:rPr>
        <w:t>twienia handlu</w:t>
      </w:r>
      <w:r w:rsidR="00525C12">
        <w:rPr>
          <w:rFonts w:ascii="Times New Roman" w:hAnsi="Times New Roman"/>
          <w:noProof/>
          <w:sz w:val="24"/>
          <w:szCs w:val="24"/>
        </w:rPr>
        <w:t xml:space="preserve"> w cza</w:t>
      </w:r>
      <w:r>
        <w:rPr>
          <w:rFonts w:ascii="Times New Roman" w:hAnsi="Times New Roman"/>
          <w:noProof/>
          <w:sz w:val="24"/>
          <w:szCs w:val="24"/>
        </w:rPr>
        <w:t>sie kryzysu. UE aktywnie pracuje nad osiągnięciem porozumienia</w:t>
      </w:r>
      <w:r w:rsidR="00525C12">
        <w:rPr>
          <w:rFonts w:ascii="Times New Roman" w:hAnsi="Times New Roman"/>
          <w:noProof/>
          <w:sz w:val="24"/>
          <w:szCs w:val="24"/>
        </w:rPr>
        <w:t xml:space="preserve"> w spr</w:t>
      </w:r>
      <w:r>
        <w:rPr>
          <w:rFonts w:ascii="Times New Roman" w:hAnsi="Times New Roman"/>
          <w:noProof/>
          <w:sz w:val="24"/>
          <w:szCs w:val="24"/>
        </w:rPr>
        <w:t>awie znaczenia kwestii własności intelektualnej</w:t>
      </w:r>
      <w:r w:rsidR="00525C12">
        <w:rPr>
          <w:rFonts w:ascii="Times New Roman" w:hAnsi="Times New Roman"/>
          <w:noProof/>
          <w:sz w:val="24"/>
          <w:szCs w:val="24"/>
        </w:rPr>
        <w:t xml:space="preserve"> w ram</w:t>
      </w:r>
      <w:r>
        <w:rPr>
          <w:rFonts w:ascii="Times New Roman" w:hAnsi="Times New Roman"/>
          <w:noProof/>
          <w:sz w:val="24"/>
          <w:szCs w:val="24"/>
        </w:rPr>
        <w:t>ach kompleksowego podejścia</w:t>
      </w:r>
      <w:r w:rsidR="00525C12">
        <w:rPr>
          <w:rFonts w:ascii="Times New Roman" w:hAnsi="Times New Roman"/>
          <w:noProof/>
          <w:sz w:val="24"/>
          <w:szCs w:val="24"/>
        </w:rPr>
        <w:t xml:space="preserve"> w zak</w:t>
      </w:r>
      <w:r>
        <w:rPr>
          <w:rFonts w:ascii="Times New Roman" w:hAnsi="Times New Roman"/>
          <w:noProof/>
          <w:sz w:val="24"/>
          <w:szCs w:val="24"/>
        </w:rPr>
        <w:t>resie handlu</w:t>
      </w:r>
      <w:r w:rsidR="00525C12">
        <w:rPr>
          <w:rFonts w:ascii="Times New Roman" w:hAnsi="Times New Roman"/>
          <w:noProof/>
          <w:sz w:val="24"/>
          <w:szCs w:val="24"/>
        </w:rPr>
        <w:t xml:space="preserve"> i zdr</w:t>
      </w:r>
      <w:r>
        <w:rPr>
          <w:rFonts w:ascii="Times New Roman" w:hAnsi="Times New Roman"/>
          <w:noProof/>
          <w:sz w:val="24"/>
          <w:szCs w:val="24"/>
        </w:rPr>
        <w:t>owia</w:t>
      </w:r>
      <w:r w:rsidR="00525C12">
        <w:rPr>
          <w:rFonts w:ascii="Times New Roman" w:hAnsi="Times New Roman"/>
          <w:noProof/>
          <w:sz w:val="24"/>
          <w:szCs w:val="24"/>
        </w:rPr>
        <w:t xml:space="preserve"> w ram</w:t>
      </w:r>
      <w:r>
        <w:rPr>
          <w:rFonts w:ascii="Times New Roman" w:hAnsi="Times New Roman"/>
          <w:noProof/>
          <w:sz w:val="24"/>
          <w:szCs w:val="24"/>
        </w:rPr>
        <w:t>ach 12. konferencji ministerialnej WTO.</w:t>
      </w:r>
    </w:p>
    <w:p w14:paraId="2FC90433" w14:textId="77777777" w:rsidR="000A63E9" w:rsidRPr="0050544E" w:rsidRDefault="000A63E9" w:rsidP="0088568E">
      <w:pPr>
        <w:pBdr>
          <w:top w:val="single" w:sz="4" w:space="1" w:color="auto"/>
          <w:left w:val="single" w:sz="4" w:space="4" w:color="auto"/>
          <w:bottom w:val="single" w:sz="4" w:space="1" w:color="auto"/>
          <w:right w:val="single" w:sz="4" w:space="4" w:color="auto"/>
        </w:pBdr>
        <w:spacing w:before="360" w:line="240" w:lineRule="auto"/>
        <w:jc w:val="center"/>
        <w:rPr>
          <w:rFonts w:ascii="Times New Roman" w:hAnsi="Times New Roman" w:cs="Times New Roman"/>
          <w:b/>
          <w:noProof/>
          <w:sz w:val="24"/>
          <w:szCs w:val="24"/>
        </w:rPr>
      </w:pPr>
      <w:r>
        <w:rPr>
          <w:rFonts w:ascii="Times New Roman" w:hAnsi="Times New Roman"/>
          <w:b/>
          <w:noProof/>
          <w:sz w:val="24"/>
          <w:szCs w:val="24"/>
        </w:rPr>
        <w:t>INICJATYWY I DZIAŁANIA UE</w:t>
      </w:r>
    </w:p>
    <w:p w14:paraId="048CA344" w14:textId="4D6A0B01" w:rsidR="00730ED2" w:rsidRPr="00F97D12" w:rsidRDefault="00730ED2" w:rsidP="003839E1">
      <w:pPr>
        <w:pStyle w:val="ListParagraph"/>
        <w:numPr>
          <w:ilvl w:val="0"/>
          <w:numId w:val="10"/>
        </w:numPr>
        <w:pBdr>
          <w:top w:val="single" w:sz="4" w:space="1" w:color="auto"/>
          <w:left w:val="single" w:sz="4" w:space="4" w:color="auto"/>
          <w:bottom w:val="single" w:sz="4" w:space="1" w:color="auto"/>
          <w:right w:val="single" w:sz="4" w:space="4" w:color="auto"/>
        </w:pBdr>
        <w:spacing w:after="360" w:line="240" w:lineRule="auto"/>
        <w:ind w:left="480" w:hanging="480"/>
        <w:jc w:val="both"/>
        <w:rPr>
          <w:rFonts w:ascii="Times New Roman" w:hAnsi="Times New Roman" w:cs="Times New Roman"/>
          <w:noProof/>
          <w:sz w:val="24"/>
          <w:szCs w:val="24"/>
        </w:rPr>
      </w:pPr>
      <w:r>
        <w:rPr>
          <w:rFonts w:ascii="Times New Roman" w:hAnsi="Times New Roman"/>
          <w:noProof/>
          <w:sz w:val="24"/>
          <w:szCs w:val="24"/>
        </w:rPr>
        <w:t>UE nadal będzie odgrywać – we współpracy</w:t>
      </w:r>
      <w:r w:rsidR="00525C12">
        <w:rPr>
          <w:rFonts w:ascii="Times New Roman" w:hAnsi="Times New Roman"/>
          <w:noProof/>
          <w:sz w:val="24"/>
          <w:szCs w:val="24"/>
        </w:rPr>
        <w:t xml:space="preserve"> z par</w:t>
      </w:r>
      <w:r>
        <w:rPr>
          <w:rFonts w:ascii="Times New Roman" w:hAnsi="Times New Roman"/>
          <w:noProof/>
          <w:sz w:val="24"/>
          <w:szCs w:val="24"/>
        </w:rPr>
        <w:t>tnerami międzynarodowymi – wiodącą rolę</w:t>
      </w:r>
      <w:r w:rsidR="00525C12">
        <w:rPr>
          <w:rFonts w:ascii="Times New Roman" w:hAnsi="Times New Roman"/>
          <w:noProof/>
          <w:sz w:val="24"/>
          <w:szCs w:val="24"/>
        </w:rPr>
        <w:t xml:space="preserve"> w zak</w:t>
      </w:r>
      <w:r>
        <w:rPr>
          <w:rFonts w:ascii="Times New Roman" w:hAnsi="Times New Roman"/>
          <w:noProof/>
          <w:sz w:val="24"/>
          <w:szCs w:val="24"/>
        </w:rPr>
        <w:t>resie globalnej reakcji na COVID-19, dostosowując działania do zmieniającej się sytuacji,</w:t>
      </w:r>
      <w:r w:rsidR="00525C12">
        <w:rPr>
          <w:rFonts w:ascii="Times New Roman" w:hAnsi="Times New Roman"/>
          <w:noProof/>
          <w:sz w:val="24"/>
          <w:szCs w:val="24"/>
        </w:rPr>
        <w:t xml:space="preserve"> w szc</w:t>
      </w:r>
      <w:r>
        <w:rPr>
          <w:rFonts w:ascii="Times New Roman" w:hAnsi="Times New Roman"/>
          <w:noProof/>
          <w:sz w:val="24"/>
          <w:szCs w:val="24"/>
        </w:rPr>
        <w:t>zególności poprzez zapewnienie dalszego kompleksowego pakietu wsparcia na rzecz szczepień</w:t>
      </w:r>
      <w:r w:rsidR="00525C12">
        <w:rPr>
          <w:rFonts w:ascii="Times New Roman" w:hAnsi="Times New Roman"/>
          <w:noProof/>
          <w:sz w:val="24"/>
          <w:szCs w:val="24"/>
        </w:rPr>
        <w:t xml:space="preserve"> w Afr</w:t>
      </w:r>
      <w:r>
        <w:rPr>
          <w:rFonts w:ascii="Times New Roman" w:hAnsi="Times New Roman"/>
          <w:noProof/>
          <w:sz w:val="24"/>
          <w:szCs w:val="24"/>
        </w:rPr>
        <w:t>yce, obejmującego zaopatrzenie, dodatkowe materiały</w:t>
      </w:r>
      <w:r w:rsidR="00525C12">
        <w:rPr>
          <w:rFonts w:ascii="Times New Roman" w:hAnsi="Times New Roman"/>
          <w:noProof/>
          <w:sz w:val="24"/>
          <w:szCs w:val="24"/>
        </w:rPr>
        <w:t xml:space="preserve"> i wsp</w:t>
      </w:r>
      <w:r>
        <w:rPr>
          <w:rFonts w:ascii="Times New Roman" w:hAnsi="Times New Roman"/>
          <w:noProof/>
          <w:sz w:val="24"/>
          <w:szCs w:val="24"/>
        </w:rPr>
        <w:t>arcie dostaw.</w:t>
      </w:r>
    </w:p>
    <w:p w14:paraId="63CCA00B" w14:textId="5E27DE8A" w:rsidR="00387593" w:rsidRPr="00F97D12" w:rsidRDefault="000A63E9" w:rsidP="00BD1A4C">
      <w:pPr>
        <w:pStyle w:val="ListParagraph"/>
        <w:numPr>
          <w:ilvl w:val="0"/>
          <w:numId w:val="10"/>
        </w:numPr>
        <w:pBdr>
          <w:top w:val="single" w:sz="4" w:space="1" w:color="auto"/>
          <w:left w:val="single" w:sz="4" w:space="4" w:color="auto"/>
          <w:bottom w:val="single" w:sz="4" w:space="1" w:color="auto"/>
          <w:right w:val="single" w:sz="4" w:space="4" w:color="auto"/>
        </w:pBdr>
        <w:spacing w:after="360" w:line="240" w:lineRule="auto"/>
        <w:ind w:left="480" w:hanging="480"/>
        <w:jc w:val="both"/>
        <w:rPr>
          <w:rFonts w:ascii="Times New Roman" w:hAnsi="Times New Roman" w:cs="Times New Roman"/>
          <w:noProof/>
          <w:sz w:val="24"/>
          <w:szCs w:val="24"/>
        </w:rPr>
      </w:pPr>
      <w:r>
        <w:rPr>
          <w:rFonts w:ascii="Times New Roman" w:hAnsi="Times New Roman"/>
          <w:noProof/>
          <w:sz w:val="24"/>
          <w:szCs w:val="24"/>
        </w:rPr>
        <w:t>Drużyna Europy nadal będzie wspierać dostęp do odpowiedniej opieki zdrowotnej dla wszystkich populacji oraz skuteczniejsze systemy opieki zdrowotnej</w:t>
      </w:r>
      <w:r w:rsidR="00525C12">
        <w:rPr>
          <w:rFonts w:ascii="Times New Roman" w:hAnsi="Times New Roman"/>
          <w:noProof/>
          <w:sz w:val="24"/>
          <w:szCs w:val="24"/>
        </w:rPr>
        <w:t xml:space="preserve"> w kra</w:t>
      </w:r>
      <w:r>
        <w:rPr>
          <w:rFonts w:ascii="Times New Roman" w:hAnsi="Times New Roman"/>
          <w:noProof/>
          <w:sz w:val="24"/>
          <w:szCs w:val="24"/>
        </w:rPr>
        <w:t>jach partnerskich we wszystkich regionach na świecie na potrzeby wykrywania</w:t>
      </w:r>
      <w:r w:rsidR="00525C12">
        <w:rPr>
          <w:rFonts w:ascii="Times New Roman" w:hAnsi="Times New Roman"/>
          <w:noProof/>
          <w:sz w:val="24"/>
          <w:szCs w:val="24"/>
        </w:rPr>
        <w:t xml:space="preserve"> i lec</w:t>
      </w:r>
      <w:r>
        <w:rPr>
          <w:rFonts w:ascii="Times New Roman" w:hAnsi="Times New Roman"/>
          <w:noProof/>
          <w:sz w:val="24"/>
          <w:szCs w:val="24"/>
        </w:rPr>
        <w:t>zenia chorób oraz zapobiegania im,</w:t>
      </w:r>
      <w:r w:rsidR="00525C12">
        <w:rPr>
          <w:rFonts w:ascii="Times New Roman" w:hAnsi="Times New Roman"/>
          <w:noProof/>
          <w:sz w:val="24"/>
          <w:szCs w:val="24"/>
        </w:rPr>
        <w:t xml:space="preserve"> a tak</w:t>
      </w:r>
      <w:r>
        <w:rPr>
          <w:rFonts w:ascii="Times New Roman" w:hAnsi="Times New Roman"/>
          <w:noProof/>
          <w:sz w:val="24"/>
          <w:szCs w:val="24"/>
        </w:rPr>
        <w:t>że reagowania na obecne</w:t>
      </w:r>
      <w:r w:rsidR="00525C12">
        <w:rPr>
          <w:rFonts w:ascii="Times New Roman" w:hAnsi="Times New Roman"/>
          <w:noProof/>
          <w:sz w:val="24"/>
          <w:szCs w:val="24"/>
        </w:rPr>
        <w:t xml:space="preserve"> i prz</w:t>
      </w:r>
      <w:r>
        <w:rPr>
          <w:rFonts w:ascii="Times New Roman" w:hAnsi="Times New Roman"/>
          <w:noProof/>
          <w:sz w:val="24"/>
          <w:szCs w:val="24"/>
        </w:rPr>
        <w:t>yszłe epidemie</w:t>
      </w:r>
      <w:r w:rsidR="00525C12">
        <w:rPr>
          <w:rFonts w:ascii="Times New Roman" w:hAnsi="Times New Roman"/>
          <w:noProof/>
          <w:sz w:val="24"/>
          <w:szCs w:val="24"/>
        </w:rPr>
        <w:t xml:space="preserve"> i pan</w:t>
      </w:r>
      <w:r>
        <w:rPr>
          <w:rFonts w:ascii="Times New Roman" w:hAnsi="Times New Roman"/>
          <w:noProof/>
          <w:sz w:val="24"/>
          <w:szCs w:val="24"/>
        </w:rPr>
        <w:t>demie, zwłaszcza</w:t>
      </w:r>
      <w:r w:rsidR="00525C12">
        <w:rPr>
          <w:rFonts w:ascii="Times New Roman" w:hAnsi="Times New Roman"/>
          <w:noProof/>
          <w:sz w:val="24"/>
          <w:szCs w:val="24"/>
        </w:rPr>
        <w:t xml:space="preserve"> w ram</w:t>
      </w:r>
      <w:r>
        <w:rPr>
          <w:rFonts w:ascii="Times New Roman" w:hAnsi="Times New Roman"/>
          <w:noProof/>
          <w:sz w:val="24"/>
          <w:szCs w:val="24"/>
        </w:rPr>
        <w:t>ach zwiększonej lokalnej produkcji farmaceutycznej oraz podejścia „Jedno zdrowie”. UE zainwestuje ponad 1 mld EUR</w:t>
      </w:r>
      <w:r w:rsidR="00525C12">
        <w:rPr>
          <w:rFonts w:ascii="Times New Roman" w:hAnsi="Times New Roman"/>
          <w:noProof/>
          <w:sz w:val="24"/>
          <w:szCs w:val="24"/>
        </w:rPr>
        <w:t xml:space="preserve"> w umo</w:t>
      </w:r>
      <w:r>
        <w:rPr>
          <w:rFonts w:ascii="Times New Roman" w:hAnsi="Times New Roman"/>
          <w:noProof/>
          <w:sz w:val="24"/>
          <w:szCs w:val="24"/>
        </w:rPr>
        <w:t>cnienie systemów opieki zdrowotnej i co najmniej 1 mld EUR we wsparcie lokalnej produkcji produktów zdrowotnych</w:t>
      </w:r>
      <w:r w:rsidR="00525C12">
        <w:rPr>
          <w:rFonts w:ascii="Times New Roman" w:hAnsi="Times New Roman"/>
          <w:noProof/>
          <w:sz w:val="24"/>
          <w:szCs w:val="24"/>
        </w:rPr>
        <w:t xml:space="preserve"> w Afr</w:t>
      </w:r>
      <w:r>
        <w:rPr>
          <w:rFonts w:ascii="Times New Roman" w:hAnsi="Times New Roman"/>
          <w:noProof/>
          <w:sz w:val="24"/>
          <w:szCs w:val="24"/>
        </w:rPr>
        <w:t>yce.</w:t>
      </w:r>
    </w:p>
    <w:p w14:paraId="3C24BEB5" w14:textId="14627E80" w:rsidR="000A63E9" w:rsidRDefault="000A63E9" w:rsidP="003839E1">
      <w:pPr>
        <w:pStyle w:val="ListParagraph"/>
        <w:numPr>
          <w:ilvl w:val="0"/>
          <w:numId w:val="10"/>
        </w:numPr>
        <w:pBdr>
          <w:top w:val="single" w:sz="4" w:space="1" w:color="auto"/>
          <w:left w:val="single" w:sz="4" w:space="4" w:color="auto"/>
          <w:bottom w:val="single" w:sz="4" w:space="1" w:color="auto"/>
          <w:right w:val="single" w:sz="4" w:space="4" w:color="auto"/>
        </w:pBdr>
        <w:spacing w:after="360" w:line="240" w:lineRule="auto"/>
        <w:ind w:left="480" w:hanging="480"/>
        <w:jc w:val="both"/>
        <w:rPr>
          <w:rFonts w:ascii="Times New Roman" w:hAnsi="Times New Roman" w:cs="Times New Roman"/>
          <w:noProof/>
          <w:sz w:val="24"/>
          <w:szCs w:val="24"/>
        </w:rPr>
      </w:pPr>
      <w:r>
        <w:rPr>
          <w:rFonts w:ascii="Times New Roman" w:hAnsi="Times New Roman"/>
          <w:noProof/>
          <w:sz w:val="24"/>
          <w:szCs w:val="24"/>
        </w:rPr>
        <w:t>UE nadal będzie wspierać państwa Bałkanów Zachodnich, Partnerstwa Wschodniego</w:t>
      </w:r>
      <w:r w:rsidR="00525C12">
        <w:rPr>
          <w:rFonts w:ascii="Times New Roman" w:hAnsi="Times New Roman"/>
          <w:noProof/>
          <w:sz w:val="24"/>
          <w:szCs w:val="24"/>
        </w:rPr>
        <w:t xml:space="preserve"> i Afr</w:t>
      </w:r>
      <w:r>
        <w:rPr>
          <w:rFonts w:ascii="Times New Roman" w:hAnsi="Times New Roman"/>
          <w:noProof/>
          <w:sz w:val="24"/>
          <w:szCs w:val="24"/>
        </w:rPr>
        <w:t>yki</w:t>
      </w:r>
      <w:r w:rsidR="00525C12">
        <w:rPr>
          <w:rFonts w:ascii="Times New Roman" w:hAnsi="Times New Roman"/>
          <w:noProof/>
          <w:sz w:val="24"/>
          <w:szCs w:val="24"/>
        </w:rPr>
        <w:t xml:space="preserve"> w zwi</w:t>
      </w:r>
      <w:r>
        <w:rPr>
          <w:rFonts w:ascii="Times New Roman" w:hAnsi="Times New Roman"/>
          <w:noProof/>
          <w:sz w:val="24"/>
          <w:szCs w:val="24"/>
        </w:rPr>
        <w:t>ększaniu skuteczności ich systemów opieki zdrowotnej, m.in.</w:t>
      </w:r>
      <w:r w:rsidR="00525C12">
        <w:rPr>
          <w:rFonts w:ascii="Times New Roman" w:hAnsi="Times New Roman"/>
          <w:noProof/>
          <w:sz w:val="24"/>
          <w:szCs w:val="24"/>
        </w:rPr>
        <w:t xml:space="preserve"> w zak</w:t>
      </w:r>
      <w:r>
        <w:rPr>
          <w:rFonts w:ascii="Times New Roman" w:hAnsi="Times New Roman"/>
          <w:noProof/>
          <w:sz w:val="24"/>
          <w:szCs w:val="24"/>
        </w:rPr>
        <w:t>resie ukierunkowanego świadczenia usług, podstawowej opieki zdrowotnej</w:t>
      </w:r>
      <w:r w:rsidR="00525C12">
        <w:rPr>
          <w:rFonts w:ascii="Times New Roman" w:hAnsi="Times New Roman"/>
          <w:noProof/>
          <w:sz w:val="24"/>
          <w:szCs w:val="24"/>
        </w:rPr>
        <w:t xml:space="preserve"> i opi</w:t>
      </w:r>
      <w:r>
        <w:rPr>
          <w:rFonts w:ascii="Times New Roman" w:hAnsi="Times New Roman"/>
          <w:noProof/>
          <w:sz w:val="24"/>
          <w:szCs w:val="24"/>
        </w:rPr>
        <w:t>eki specjalistycznej, pracowników służby zdrowia</w:t>
      </w:r>
      <w:r w:rsidR="00525C12">
        <w:rPr>
          <w:rFonts w:ascii="Times New Roman" w:hAnsi="Times New Roman"/>
          <w:noProof/>
          <w:sz w:val="24"/>
          <w:szCs w:val="24"/>
        </w:rPr>
        <w:t xml:space="preserve"> i sys</w:t>
      </w:r>
      <w:r>
        <w:rPr>
          <w:rFonts w:ascii="Times New Roman" w:hAnsi="Times New Roman"/>
          <w:noProof/>
          <w:sz w:val="24"/>
          <w:szCs w:val="24"/>
        </w:rPr>
        <w:t>temów informacji zdrowotnych, oraz</w:t>
      </w:r>
      <w:r w:rsidR="00525C12">
        <w:rPr>
          <w:rFonts w:ascii="Times New Roman" w:hAnsi="Times New Roman"/>
          <w:noProof/>
          <w:sz w:val="24"/>
          <w:szCs w:val="24"/>
        </w:rPr>
        <w:t xml:space="preserve"> w ram</w:t>
      </w:r>
      <w:r>
        <w:rPr>
          <w:rFonts w:ascii="Times New Roman" w:hAnsi="Times New Roman"/>
          <w:noProof/>
          <w:sz w:val="24"/>
          <w:szCs w:val="24"/>
        </w:rPr>
        <w:t>ach podstawowego pakietu niezbędnych usług pozwalających na przetrwanie wstrząsów,</w:t>
      </w:r>
      <w:r w:rsidR="00525C12">
        <w:rPr>
          <w:rFonts w:ascii="Times New Roman" w:hAnsi="Times New Roman"/>
          <w:noProof/>
          <w:sz w:val="24"/>
          <w:szCs w:val="24"/>
        </w:rPr>
        <w:t xml:space="preserve"> w cel</w:t>
      </w:r>
      <w:r>
        <w:rPr>
          <w:rFonts w:ascii="Times New Roman" w:hAnsi="Times New Roman"/>
          <w:noProof/>
          <w:sz w:val="24"/>
          <w:szCs w:val="24"/>
        </w:rPr>
        <w:t>u umożliwienia wczesnego ostrzegania</w:t>
      </w:r>
      <w:r w:rsidR="00525C12">
        <w:rPr>
          <w:rFonts w:ascii="Times New Roman" w:hAnsi="Times New Roman"/>
          <w:noProof/>
          <w:sz w:val="24"/>
          <w:szCs w:val="24"/>
        </w:rPr>
        <w:t xml:space="preserve"> o ogn</w:t>
      </w:r>
      <w:r>
        <w:rPr>
          <w:rFonts w:ascii="Times New Roman" w:hAnsi="Times New Roman"/>
          <w:noProof/>
          <w:sz w:val="24"/>
          <w:szCs w:val="24"/>
        </w:rPr>
        <w:t>iskach choroby</w:t>
      </w:r>
      <w:r w:rsidR="00525C12">
        <w:rPr>
          <w:rFonts w:ascii="Times New Roman" w:hAnsi="Times New Roman"/>
          <w:noProof/>
          <w:sz w:val="24"/>
          <w:szCs w:val="24"/>
        </w:rPr>
        <w:t xml:space="preserve"> i zap</w:t>
      </w:r>
      <w:r>
        <w:rPr>
          <w:rFonts w:ascii="Times New Roman" w:hAnsi="Times New Roman"/>
          <w:noProof/>
          <w:sz w:val="24"/>
          <w:szCs w:val="24"/>
        </w:rPr>
        <w:t xml:space="preserve">obiegania oporności na środki przeciwdrobnoustrojowe. </w:t>
      </w:r>
    </w:p>
    <w:p w14:paraId="18FEBD12" w14:textId="48F66353" w:rsidR="00775251" w:rsidRDefault="00775251" w:rsidP="003839E1">
      <w:pPr>
        <w:pStyle w:val="ListParagraph"/>
        <w:numPr>
          <w:ilvl w:val="0"/>
          <w:numId w:val="10"/>
        </w:numPr>
        <w:pBdr>
          <w:top w:val="single" w:sz="4" w:space="1" w:color="auto"/>
          <w:left w:val="single" w:sz="4" w:space="4" w:color="auto"/>
          <w:bottom w:val="single" w:sz="4" w:space="1" w:color="auto"/>
          <w:right w:val="single" w:sz="4" w:space="4" w:color="auto"/>
        </w:pBdr>
        <w:spacing w:after="360" w:line="240" w:lineRule="auto"/>
        <w:ind w:left="480" w:hanging="480"/>
        <w:jc w:val="both"/>
        <w:rPr>
          <w:rFonts w:ascii="Times New Roman" w:hAnsi="Times New Roman" w:cs="Times New Roman"/>
          <w:noProof/>
          <w:sz w:val="24"/>
          <w:szCs w:val="24"/>
        </w:rPr>
      </w:pPr>
      <w:r>
        <w:rPr>
          <w:rFonts w:ascii="Times New Roman" w:hAnsi="Times New Roman"/>
          <w:noProof/>
          <w:sz w:val="24"/>
          <w:szCs w:val="24"/>
        </w:rPr>
        <w:t>UE</w:t>
      </w:r>
      <w:r w:rsidR="00525C12">
        <w:rPr>
          <w:rFonts w:ascii="Times New Roman" w:hAnsi="Times New Roman"/>
          <w:noProof/>
          <w:sz w:val="24"/>
          <w:szCs w:val="24"/>
        </w:rPr>
        <w:t xml:space="preserve"> w dal</w:t>
      </w:r>
      <w:r>
        <w:rPr>
          <w:rFonts w:ascii="Times New Roman" w:hAnsi="Times New Roman"/>
          <w:noProof/>
          <w:sz w:val="24"/>
          <w:szCs w:val="24"/>
        </w:rPr>
        <w:t>szym ciągu będzie zachęcać partnerów na Bałkanach Zachodnich do przyłączenia się do działań realizowanych</w:t>
      </w:r>
      <w:r w:rsidR="00525C12">
        <w:rPr>
          <w:rFonts w:ascii="Times New Roman" w:hAnsi="Times New Roman"/>
          <w:noProof/>
          <w:sz w:val="24"/>
          <w:szCs w:val="24"/>
        </w:rPr>
        <w:t xml:space="preserve"> w ram</w:t>
      </w:r>
      <w:r>
        <w:rPr>
          <w:rFonts w:ascii="Times New Roman" w:hAnsi="Times New Roman"/>
          <w:noProof/>
          <w:sz w:val="24"/>
          <w:szCs w:val="24"/>
        </w:rPr>
        <w:t>ach Programu UE dla zdrowia, do podpisania unijnej umowy dotyczącej wspólnego udzielania zamówień (co powinno być również możliwe</w:t>
      </w:r>
      <w:r w:rsidR="00525C12">
        <w:rPr>
          <w:rFonts w:ascii="Times New Roman" w:hAnsi="Times New Roman"/>
          <w:noProof/>
          <w:sz w:val="24"/>
          <w:szCs w:val="24"/>
        </w:rPr>
        <w:t xml:space="preserve"> w prz</w:t>
      </w:r>
      <w:r>
        <w:rPr>
          <w:rFonts w:ascii="Times New Roman" w:hAnsi="Times New Roman"/>
          <w:noProof/>
          <w:sz w:val="24"/>
          <w:szCs w:val="24"/>
        </w:rPr>
        <w:t>ypadku państw DCFTA</w:t>
      </w:r>
      <w:r w:rsidRPr="00C6024E">
        <w:rPr>
          <w:noProof/>
          <w:sz w:val="18"/>
          <w:szCs w:val="18"/>
        </w:rPr>
        <w:footnoteReference w:id="40"/>
      </w:r>
      <w:r>
        <w:rPr>
          <w:rFonts w:ascii="Times New Roman" w:hAnsi="Times New Roman"/>
          <w:noProof/>
          <w:sz w:val="24"/>
          <w:szCs w:val="24"/>
        </w:rPr>
        <w:t xml:space="preserve"> należących do Partnerstwa Wschodniego) oraz do udziału</w:t>
      </w:r>
      <w:r w:rsidR="00525C12">
        <w:rPr>
          <w:rFonts w:ascii="Times New Roman" w:hAnsi="Times New Roman"/>
          <w:noProof/>
          <w:sz w:val="24"/>
          <w:szCs w:val="24"/>
        </w:rPr>
        <w:t xml:space="preserve"> w Kom</w:t>
      </w:r>
      <w:r>
        <w:rPr>
          <w:rFonts w:ascii="Times New Roman" w:hAnsi="Times New Roman"/>
          <w:noProof/>
          <w:sz w:val="24"/>
          <w:szCs w:val="24"/>
        </w:rPr>
        <w:t>itecie ds. Bezpieczeństwa Zdrowia</w:t>
      </w:r>
      <w:r w:rsidR="00525C12">
        <w:rPr>
          <w:rFonts w:ascii="Times New Roman" w:hAnsi="Times New Roman"/>
          <w:noProof/>
          <w:sz w:val="24"/>
          <w:szCs w:val="24"/>
        </w:rPr>
        <w:t xml:space="preserve"> w cha</w:t>
      </w:r>
      <w:r>
        <w:rPr>
          <w:rFonts w:ascii="Times New Roman" w:hAnsi="Times New Roman"/>
          <w:noProof/>
          <w:sz w:val="24"/>
          <w:szCs w:val="24"/>
        </w:rPr>
        <w:t>rakterze obserwatorów wraz</w:t>
      </w:r>
      <w:r w:rsidR="00525C12">
        <w:rPr>
          <w:rFonts w:ascii="Times New Roman" w:hAnsi="Times New Roman"/>
          <w:noProof/>
          <w:sz w:val="24"/>
          <w:szCs w:val="24"/>
        </w:rPr>
        <w:t xml:space="preserve"> z Ukr</w:t>
      </w:r>
      <w:r>
        <w:rPr>
          <w:rFonts w:ascii="Times New Roman" w:hAnsi="Times New Roman"/>
          <w:noProof/>
          <w:sz w:val="24"/>
          <w:szCs w:val="24"/>
        </w:rPr>
        <w:t>ainą (i pozostałymi państwami DCFTA).</w:t>
      </w:r>
    </w:p>
    <w:p w14:paraId="7C376569" w14:textId="6F06A239" w:rsidR="00B37BBA" w:rsidRDefault="00BD1A4C" w:rsidP="003839E1">
      <w:pPr>
        <w:pStyle w:val="ListParagraph"/>
        <w:numPr>
          <w:ilvl w:val="0"/>
          <w:numId w:val="10"/>
        </w:numPr>
        <w:pBdr>
          <w:top w:val="single" w:sz="4" w:space="1" w:color="auto"/>
          <w:left w:val="single" w:sz="4" w:space="4" w:color="auto"/>
          <w:bottom w:val="single" w:sz="4" w:space="1" w:color="auto"/>
          <w:right w:val="single" w:sz="4" w:space="4" w:color="auto"/>
        </w:pBdr>
        <w:spacing w:after="360" w:line="240" w:lineRule="auto"/>
        <w:ind w:left="480" w:hanging="480"/>
        <w:jc w:val="both"/>
        <w:rPr>
          <w:rFonts w:ascii="Times New Roman" w:hAnsi="Times New Roman" w:cs="Times New Roman"/>
          <w:noProof/>
          <w:sz w:val="24"/>
          <w:szCs w:val="24"/>
        </w:rPr>
      </w:pPr>
      <w:r>
        <w:rPr>
          <w:rFonts w:ascii="Times New Roman" w:hAnsi="Times New Roman"/>
          <w:noProof/>
          <w:sz w:val="24"/>
          <w:szCs w:val="24"/>
        </w:rPr>
        <w:t>UE będzie wspierać</w:t>
      </w:r>
      <w:r w:rsidR="00525C12">
        <w:rPr>
          <w:rFonts w:ascii="Times New Roman" w:hAnsi="Times New Roman"/>
          <w:noProof/>
          <w:sz w:val="24"/>
          <w:szCs w:val="24"/>
        </w:rPr>
        <w:t xml:space="preserve"> i pro</w:t>
      </w:r>
      <w:r>
        <w:rPr>
          <w:rFonts w:ascii="Times New Roman" w:hAnsi="Times New Roman"/>
          <w:noProof/>
          <w:sz w:val="24"/>
          <w:szCs w:val="24"/>
        </w:rPr>
        <w:t>wadzić międzynarodowe działania służące wyciągnięciu wniosków</w:t>
      </w:r>
      <w:r w:rsidR="00525C12">
        <w:rPr>
          <w:rFonts w:ascii="Times New Roman" w:hAnsi="Times New Roman"/>
          <w:noProof/>
          <w:sz w:val="24"/>
          <w:szCs w:val="24"/>
        </w:rPr>
        <w:t xml:space="preserve"> z obe</w:t>
      </w:r>
      <w:r>
        <w:rPr>
          <w:rFonts w:ascii="Times New Roman" w:hAnsi="Times New Roman"/>
          <w:noProof/>
          <w:sz w:val="24"/>
          <w:szCs w:val="24"/>
        </w:rPr>
        <w:t>cnej pandemii</w:t>
      </w:r>
      <w:r w:rsidR="00525C12">
        <w:rPr>
          <w:rFonts w:ascii="Times New Roman" w:hAnsi="Times New Roman"/>
          <w:noProof/>
          <w:sz w:val="24"/>
          <w:szCs w:val="24"/>
        </w:rPr>
        <w:t xml:space="preserve"> i pop</w:t>
      </w:r>
      <w:r>
        <w:rPr>
          <w:rFonts w:ascii="Times New Roman" w:hAnsi="Times New Roman"/>
          <w:noProof/>
          <w:sz w:val="24"/>
          <w:szCs w:val="24"/>
        </w:rPr>
        <w:t>rawie globalnych strategii ochrony zdrowia, światowej infrastruktury bezpieczeństwa zdrowotnego</w:t>
      </w:r>
      <w:r w:rsidR="00525C12">
        <w:rPr>
          <w:rFonts w:ascii="Times New Roman" w:hAnsi="Times New Roman"/>
          <w:noProof/>
          <w:sz w:val="24"/>
          <w:szCs w:val="24"/>
        </w:rPr>
        <w:t xml:space="preserve"> i Mię</w:t>
      </w:r>
      <w:r>
        <w:rPr>
          <w:rFonts w:ascii="Times New Roman" w:hAnsi="Times New Roman"/>
          <w:noProof/>
          <w:sz w:val="24"/>
          <w:szCs w:val="24"/>
        </w:rPr>
        <w:t xml:space="preserve">dzynarodowych przepisów zdrowotnych. </w:t>
      </w:r>
    </w:p>
    <w:p w14:paraId="172B3267" w14:textId="1F4169D2" w:rsidR="00BD1A4C" w:rsidRDefault="00B37BBA" w:rsidP="003839E1">
      <w:pPr>
        <w:pStyle w:val="ListParagraph"/>
        <w:numPr>
          <w:ilvl w:val="0"/>
          <w:numId w:val="10"/>
        </w:numPr>
        <w:pBdr>
          <w:top w:val="single" w:sz="4" w:space="1" w:color="auto"/>
          <w:left w:val="single" w:sz="4" w:space="4" w:color="auto"/>
          <w:bottom w:val="single" w:sz="4" w:space="1" w:color="auto"/>
          <w:right w:val="single" w:sz="4" w:space="4" w:color="auto"/>
        </w:pBdr>
        <w:spacing w:after="360" w:line="240" w:lineRule="auto"/>
        <w:ind w:left="480" w:hanging="480"/>
        <w:jc w:val="both"/>
        <w:rPr>
          <w:rFonts w:ascii="Times New Roman" w:hAnsi="Times New Roman" w:cs="Times New Roman"/>
          <w:noProof/>
          <w:sz w:val="24"/>
          <w:szCs w:val="24"/>
        </w:rPr>
      </w:pPr>
      <w:r>
        <w:rPr>
          <w:rFonts w:ascii="Times New Roman" w:hAnsi="Times New Roman"/>
          <w:noProof/>
          <w:sz w:val="24"/>
          <w:szCs w:val="24"/>
        </w:rPr>
        <w:t>UE będzie współpracować</w:t>
      </w:r>
      <w:r w:rsidR="00525C12">
        <w:rPr>
          <w:rFonts w:ascii="Times New Roman" w:hAnsi="Times New Roman"/>
          <w:noProof/>
          <w:sz w:val="24"/>
          <w:szCs w:val="24"/>
        </w:rPr>
        <w:t xml:space="preserve"> z par</w:t>
      </w:r>
      <w:r>
        <w:rPr>
          <w:rFonts w:ascii="Times New Roman" w:hAnsi="Times New Roman"/>
          <w:noProof/>
          <w:sz w:val="24"/>
          <w:szCs w:val="24"/>
        </w:rPr>
        <w:t>tnerami handlowymi</w:t>
      </w:r>
      <w:r w:rsidR="00525C12">
        <w:rPr>
          <w:rFonts w:ascii="Times New Roman" w:hAnsi="Times New Roman"/>
          <w:noProof/>
          <w:sz w:val="24"/>
          <w:szCs w:val="24"/>
        </w:rPr>
        <w:t xml:space="preserve"> w zwi</w:t>
      </w:r>
      <w:r>
        <w:rPr>
          <w:rFonts w:ascii="Times New Roman" w:hAnsi="Times New Roman"/>
          <w:noProof/>
          <w:sz w:val="24"/>
          <w:szCs w:val="24"/>
        </w:rPr>
        <w:t xml:space="preserve">ązku ze zbliżającą </w:t>
      </w:r>
      <w:r w:rsidRPr="00525C12">
        <w:rPr>
          <w:rFonts w:ascii="Times New Roman" w:hAnsi="Times New Roman"/>
          <w:noProof/>
          <w:sz w:val="24"/>
          <w:szCs w:val="24"/>
        </w:rPr>
        <w:t>się</w:t>
      </w:r>
      <w:r w:rsidR="00525C12" w:rsidRPr="00525C12">
        <w:rPr>
          <w:rFonts w:ascii="Times New Roman" w:hAnsi="Times New Roman"/>
          <w:noProof/>
          <w:sz w:val="24"/>
          <w:szCs w:val="24"/>
        </w:rPr>
        <w:t> </w:t>
      </w:r>
      <w:r w:rsidRPr="00525C12">
        <w:rPr>
          <w:rFonts w:ascii="Times New Roman" w:hAnsi="Times New Roman"/>
          <w:noProof/>
          <w:sz w:val="24"/>
          <w:szCs w:val="24"/>
        </w:rPr>
        <w:t>1</w:t>
      </w:r>
      <w:r>
        <w:rPr>
          <w:rFonts w:ascii="Times New Roman" w:hAnsi="Times New Roman"/>
          <w:noProof/>
          <w:sz w:val="24"/>
          <w:szCs w:val="24"/>
        </w:rPr>
        <w:t>2. konferencją ministerialną WTO</w:t>
      </w:r>
      <w:r w:rsidR="00525C12">
        <w:rPr>
          <w:rFonts w:ascii="Times New Roman" w:hAnsi="Times New Roman"/>
          <w:noProof/>
          <w:sz w:val="24"/>
          <w:szCs w:val="24"/>
        </w:rPr>
        <w:t xml:space="preserve"> w cel</w:t>
      </w:r>
      <w:r>
        <w:rPr>
          <w:rFonts w:ascii="Times New Roman" w:hAnsi="Times New Roman"/>
          <w:noProof/>
          <w:sz w:val="24"/>
          <w:szCs w:val="24"/>
        </w:rPr>
        <w:t>u zapewnienia nieprzerwanej dostępności niezbędnych materiałów za sprawą otwartych łańcuchów dostaw</w:t>
      </w:r>
      <w:r w:rsidR="00525C12">
        <w:rPr>
          <w:rFonts w:ascii="Times New Roman" w:hAnsi="Times New Roman"/>
          <w:noProof/>
          <w:sz w:val="24"/>
          <w:szCs w:val="24"/>
        </w:rPr>
        <w:t xml:space="preserve"> i han</w:t>
      </w:r>
      <w:r>
        <w:rPr>
          <w:rFonts w:ascii="Times New Roman" w:hAnsi="Times New Roman"/>
          <w:noProof/>
          <w:sz w:val="24"/>
          <w:szCs w:val="24"/>
        </w:rPr>
        <w:t>dlu oraz</w:t>
      </w:r>
      <w:r w:rsidR="00525C12">
        <w:rPr>
          <w:rFonts w:ascii="Times New Roman" w:hAnsi="Times New Roman"/>
          <w:noProof/>
          <w:sz w:val="24"/>
          <w:szCs w:val="24"/>
        </w:rPr>
        <w:t xml:space="preserve"> w cel</w:t>
      </w:r>
      <w:r>
        <w:rPr>
          <w:rFonts w:ascii="Times New Roman" w:hAnsi="Times New Roman"/>
          <w:noProof/>
          <w:sz w:val="24"/>
          <w:szCs w:val="24"/>
        </w:rPr>
        <w:t>u aktywnego wspierania prac WTO</w:t>
      </w:r>
      <w:r w:rsidR="00525C12">
        <w:rPr>
          <w:rFonts w:ascii="Times New Roman" w:hAnsi="Times New Roman"/>
          <w:noProof/>
          <w:sz w:val="24"/>
          <w:szCs w:val="24"/>
        </w:rPr>
        <w:t xml:space="preserve"> w zak</w:t>
      </w:r>
      <w:r>
        <w:rPr>
          <w:rFonts w:ascii="Times New Roman" w:hAnsi="Times New Roman"/>
          <w:noProof/>
          <w:sz w:val="24"/>
          <w:szCs w:val="24"/>
        </w:rPr>
        <w:t>resie reakcji na pandemię, m.in.</w:t>
      </w:r>
      <w:r w:rsidR="00525C12">
        <w:rPr>
          <w:rFonts w:ascii="Times New Roman" w:hAnsi="Times New Roman"/>
          <w:noProof/>
          <w:sz w:val="24"/>
          <w:szCs w:val="24"/>
        </w:rPr>
        <w:t xml:space="preserve"> w kwe</w:t>
      </w:r>
      <w:r>
        <w:rPr>
          <w:rFonts w:ascii="Times New Roman" w:hAnsi="Times New Roman"/>
          <w:noProof/>
          <w:sz w:val="24"/>
          <w:szCs w:val="24"/>
        </w:rPr>
        <w:t>stiach związanych</w:t>
      </w:r>
      <w:r w:rsidR="00525C12">
        <w:rPr>
          <w:rFonts w:ascii="Times New Roman" w:hAnsi="Times New Roman"/>
          <w:noProof/>
          <w:sz w:val="24"/>
          <w:szCs w:val="24"/>
        </w:rPr>
        <w:t xml:space="preserve"> z wła</w:t>
      </w:r>
      <w:r>
        <w:rPr>
          <w:rFonts w:ascii="Times New Roman" w:hAnsi="Times New Roman"/>
          <w:noProof/>
          <w:sz w:val="24"/>
          <w:szCs w:val="24"/>
        </w:rPr>
        <w:t>snością intelektualną.</w:t>
      </w:r>
    </w:p>
    <w:p w14:paraId="17248270" w14:textId="39322234" w:rsidR="00204DFC" w:rsidRDefault="00204DFC" w:rsidP="00204DFC">
      <w:pPr>
        <w:pStyle w:val="ListParagraph"/>
        <w:keepNext/>
        <w:spacing w:before="360" w:line="240" w:lineRule="auto"/>
        <w:jc w:val="both"/>
        <w:rPr>
          <w:rFonts w:ascii="Times New Roman" w:hAnsi="Times New Roman" w:cs="Times New Roman"/>
          <w:b/>
          <w:noProof/>
          <w:sz w:val="24"/>
          <w:szCs w:val="24"/>
        </w:rPr>
      </w:pPr>
    </w:p>
    <w:p w14:paraId="6EACCF13" w14:textId="77777777" w:rsidR="003464D4" w:rsidRPr="00B628ED" w:rsidRDefault="00B279DE" w:rsidP="00D11193">
      <w:pPr>
        <w:pStyle w:val="ListParagraph"/>
        <w:keepNext/>
        <w:numPr>
          <w:ilvl w:val="0"/>
          <w:numId w:val="5"/>
        </w:numPr>
        <w:spacing w:before="360" w:line="240" w:lineRule="auto"/>
        <w:jc w:val="both"/>
        <w:rPr>
          <w:rFonts w:ascii="Times New Roman" w:hAnsi="Times New Roman" w:cs="Times New Roman"/>
          <w:b/>
          <w:noProof/>
          <w:sz w:val="24"/>
          <w:szCs w:val="24"/>
        </w:rPr>
      </w:pPr>
      <w:r>
        <w:rPr>
          <w:rFonts w:ascii="Times New Roman" w:hAnsi="Times New Roman"/>
          <w:b/>
          <w:noProof/>
          <w:sz w:val="24"/>
          <w:szCs w:val="24"/>
        </w:rPr>
        <w:t>ŚRODKI, KTÓRE NALEŻY WPROWADZIĆ W PERSPEKTYWIE ŚREDNIO- I DŁUGOTERMINOWEJ</w:t>
      </w:r>
    </w:p>
    <w:p w14:paraId="199470A5" w14:textId="7C886561" w:rsidR="00EF14E6" w:rsidRDefault="00204DFC" w:rsidP="00204DFC">
      <w:pPr>
        <w:spacing w:line="240" w:lineRule="auto"/>
        <w:jc w:val="both"/>
        <w:rPr>
          <w:rFonts w:ascii="Times New Roman" w:hAnsi="Times New Roman" w:cs="Times New Roman"/>
          <w:noProof/>
          <w:sz w:val="24"/>
          <w:szCs w:val="24"/>
        </w:rPr>
      </w:pPr>
      <w:r>
        <w:rPr>
          <w:rFonts w:ascii="Times New Roman" w:hAnsi="Times New Roman"/>
          <w:noProof/>
          <w:sz w:val="24"/>
          <w:szCs w:val="24"/>
        </w:rPr>
        <w:t>Pandemia COVID-19 skutkuje długoterminowymi wyzwaniami,</w:t>
      </w:r>
      <w:r w:rsidR="00525C12">
        <w:rPr>
          <w:rFonts w:ascii="Times New Roman" w:hAnsi="Times New Roman"/>
          <w:noProof/>
          <w:sz w:val="24"/>
          <w:szCs w:val="24"/>
        </w:rPr>
        <w:t xml:space="preserve"> z któ</w:t>
      </w:r>
      <w:r>
        <w:rPr>
          <w:rFonts w:ascii="Times New Roman" w:hAnsi="Times New Roman"/>
          <w:noProof/>
          <w:sz w:val="24"/>
          <w:szCs w:val="24"/>
        </w:rPr>
        <w:t>rymi UE musi się uporać, aby lepiej przygotować się na radzenie sobie</w:t>
      </w:r>
      <w:r w:rsidR="00525C12">
        <w:rPr>
          <w:rFonts w:ascii="Times New Roman" w:hAnsi="Times New Roman"/>
          <w:noProof/>
          <w:sz w:val="24"/>
          <w:szCs w:val="24"/>
        </w:rPr>
        <w:t xml:space="preserve"> z zag</w:t>
      </w:r>
      <w:r>
        <w:rPr>
          <w:rFonts w:ascii="Times New Roman" w:hAnsi="Times New Roman"/>
          <w:noProof/>
          <w:sz w:val="24"/>
          <w:szCs w:val="24"/>
        </w:rPr>
        <w:t>rożeniami dla zdrowia związanymi</w:t>
      </w:r>
      <w:r w:rsidR="00525C12">
        <w:rPr>
          <w:rFonts w:ascii="Times New Roman" w:hAnsi="Times New Roman"/>
          <w:noProof/>
          <w:sz w:val="24"/>
          <w:szCs w:val="24"/>
        </w:rPr>
        <w:t xml:space="preserve"> z cho</w:t>
      </w:r>
      <w:r>
        <w:rPr>
          <w:rFonts w:ascii="Times New Roman" w:hAnsi="Times New Roman"/>
          <w:noProof/>
          <w:sz w:val="24"/>
          <w:szCs w:val="24"/>
        </w:rPr>
        <w:t>robami zakaźnymi. Realizacja krótkoterminowych działań określonych</w:t>
      </w:r>
      <w:r w:rsidR="00525C12">
        <w:rPr>
          <w:rFonts w:ascii="Times New Roman" w:hAnsi="Times New Roman"/>
          <w:noProof/>
          <w:sz w:val="24"/>
          <w:szCs w:val="24"/>
        </w:rPr>
        <w:t xml:space="preserve"> w pop</w:t>
      </w:r>
      <w:r>
        <w:rPr>
          <w:rFonts w:ascii="Times New Roman" w:hAnsi="Times New Roman"/>
          <w:noProof/>
          <w:sz w:val="24"/>
          <w:szCs w:val="24"/>
        </w:rPr>
        <w:t>rzednim rozdziale stwarza możliwości zwiększenia –</w:t>
      </w:r>
      <w:r w:rsidR="00525C12">
        <w:rPr>
          <w:rFonts w:ascii="Times New Roman" w:hAnsi="Times New Roman"/>
          <w:noProof/>
          <w:sz w:val="24"/>
          <w:szCs w:val="24"/>
        </w:rPr>
        <w:t xml:space="preserve"> w opa</w:t>
      </w:r>
      <w:r>
        <w:rPr>
          <w:rFonts w:ascii="Times New Roman" w:hAnsi="Times New Roman"/>
          <w:noProof/>
          <w:sz w:val="24"/>
          <w:szCs w:val="24"/>
        </w:rPr>
        <w:t>rciu</w:t>
      </w:r>
      <w:r w:rsidR="00525C12">
        <w:rPr>
          <w:rFonts w:ascii="Times New Roman" w:hAnsi="Times New Roman"/>
          <w:noProof/>
          <w:sz w:val="24"/>
          <w:szCs w:val="24"/>
        </w:rPr>
        <w:t xml:space="preserve"> o pod</w:t>
      </w:r>
      <w:r>
        <w:rPr>
          <w:rFonts w:ascii="Times New Roman" w:hAnsi="Times New Roman"/>
          <w:noProof/>
          <w:sz w:val="24"/>
          <w:szCs w:val="24"/>
        </w:rPr>
        <w:t>ejście „Jedno zdrowie” – gotowości na wypadek pandemii</w:t>
      </w:r>
      <w:r w:rsidR="00525C12">
        <w:rPr>
          <w:rFonts w:ascii="Times New Roman" w:hAnsi="Times New Roman"/>
          <w:noProof/>
          <w:sz w:val="24"/>
          <w:szCs w:val="24"/>
        </w:rPr>
        <w:t xml:space="preserve"> i umo</w:t>
      </w:r>
      <w:r>
        <w:rPr>
          <w:rFonts w:ascii="Times New Roman" w:hAnsi="Times New Roman"/>
          <w:noProof/>
          <w:sz w:val="24"/>
          <w:szCs w:val="24"/>
        </w:rPr>
        <w:t>cnienia koordynacji</w:t>
      </w:r>
      <w:r w:rsidR="00525C12">
        <w:rPr>
          <w:rFonts w:ascii="Times New Roman" w:hAnsi="Times New Roman"/>
          <w:noProof/>
          <w:sz w:val="24"/>
          <w:szCs w:val="24"/>
        </w:rPr>
        <w:t xml:space="preserve"> w zak</w:t>
      </w:r>
      <w:r>
        <w:rPr>
          <w:rFonts w:ascii="Times New Roman" w:hAnsi="Times New Roman"/>
          <w:noProof/>
          <w:sz w:val="24"/>
          <w:szCs w:val="24"/>
        </w:rPr>
        <w:t>resie reagowania między państwami członkowskimi,</w:t>
      </w:r>
      <w:r w:rsidR="00525C12">
        <w:rPr>
          <w:rFonts w:ascii="Times New Roman" w:hAnsi="Times New Roman"/>
          <w:noProof/>
          <w:sz w:val="24"/>
          <w:szCs w:val="24"/>
        </w:rPr>
        <w:t xml:space="preserve"> a tak</w:t>
      </w:r>
      <w:r>
        <w:rPr>
          <w:rFonts w:ascii="Times New Roman" w:hAnsi="Times New Roman"/>
          <w:noProof/>
          <w:sz w:val="24"/>
          <w:szCs w:val="24"/>
        </w:rPr>
        <w:t>że na poziomie globalnym.</w:t>
      </w:r>
    </w:p>
    <w:p w14:paraId="7690FFED" w14:textId="48F00234" w:rsidR="00CF2DB1" w:rsidRPr="00EF14E6" w:rsidRDefault="00EF14E6" w:rsidP="00EF14E6">
      <w:pPr>
        <w:spacing w:after="120" w:line="240" w:lineRule="auto"/>
        <w:jc w:val="both"/>
        <w:rPr>
          <w:rFonts w:ascii="Times New Roman" w:hAnsi="Times New Roman" w:cs="Times New Roman"/>
          <w:bCs/>
          <w:iCs/>
          <w:noProof/>
          <w:sz w:val="24"/>
          <w:szCs w:val="24"/>
        </w:rPr>
      </w:pPr>
      <w:r>
        <w:rPr>
          <w:rFonts w:ascii="Times New Roman" w:hAnsi="Times New Roman"/>
          <w:noProof/>
          <w:sz w:val="24"/>
          <w:szCs w:val="24"/>
        </w:rPr>
        <w:t xml:space="preserve">Ponadto </w:t>
      </w:r>
      <w:r>
        <w:rPr>
          <w:rFonts w:ascii="Times New Roman" w:hAnsi="Times New Roman"/>
          <w:noProof/>
          <w:sz w:val="24"/>
        </w:rPr>
        <w:t>Komisja będzie nadal wspierać dodatkowe środki</w:t>
      </w:r>
      <w:r w:rsidR="00525C12">
        <w:rPr>
          <w:rFonts w:ascii="Times New Roman" w:hAnsi="Times New Roman"/>
          <w:noProof/>
          <w:sz w:val="24"/>
        </w:rPr>
        <w:t xml:space="preserve"> w zak</w:t>
      </w:r>
      <w:r>
        <w:rPr>
          <w:rFonts w:ascii="Times New Roman" w:hAnsi="Times New Roman"/>
          <w:noProof/>
          <w:sz w:val="24"/>
        </w:rPr>
        <w:t>resie gotowości poprzez dalszy rozwój strategicznej rezerwy sprzętu medycznego rescEU</w:t>
      </w:r>
      <w:r w:rsidR="00525C12">
        <w:rPr>
          <w:rFonts w:ascii="Times New Roman" w:hAnsi="Times New Roman"/>
          <w:noProof/>
          <w:sz w:val="24"/>
        </w:rPr>
        <w:t xml:space="preserve"> w ram</w:t>
      </w:r>
      <w:r>
        <w:rPr>
          <w:rFonts w:ascii="Times New Roman" w:hAnsi="Times New Roman"/>
          <w:noProof/>
          <w:sz w:val="24"/>
        </w:rPr>
        <w:t>ach Unijnego Mechanizmu Ochrony Ludności.</w:t>
      </w:r>
    </w:p>
    <w:p w14:paraId="41E4352F" w14:textId="2060C65C" w:rsidR="00F370FE" w:rsidRDefault="00F370FE" w:rsidP="00F370FE">
      <w:pPr>
        <w:spacing w:line="240" w:lineRule="auto"/>
        <w:jc w:val="both"/>
        <w:rPr>
          <w:rFonts w:ascii="Times New Roman" w:hAnsi="Times New Roman" w:cs="Times New Roman"/>
          <w:noProof/>
          <w:sz w:val="24"/>
          <w:szCs w:val="24"/>
        </w:rPr>
      </w:pPr>
      <w:r>
        <w:rPr>
          <w:rFonts w:ascii="Times New Roman" w:hAnsi="Times New Roman"/>
          <w:noProof/>
          <w:sz w:val="24"/>
          <w:szCs w:val="24"/>
        </w:rPr>
        <w:t>Należy zapewnić dostosowanie środków odbudowy po pandemii COVID-19 do długoterminowych celów klimatycznych, środowiskowych</w:t>
      </w:r>
      <w:r w:rsidR="00525C12">
        <w:rPr>
          <w:rFonts w:ascii="Times New Roman" w:hAnsi="Times New Roman"/>
          <w:noProof/>
          <w:sz w:val="24"/>
          <w:szCs w:val="24"/>
        </w:rPr>
        <w:t xml:space="preserve"> i spo</w:t>
      </w:r>
      <w:r>
        <w:rPr>
          <w:rFonts w:ascii="Times New Roman" w:hAnsi="Times New Roman"/>
          <w:noProof/>
          <w:sz w:val="24"/>
          <w:szCs w:val="24"/>
        </w:rPr>
        <w:t>łecznych</w:t>
      </w:r>
      <w:r w:rsidR="00525C12">
        <w:rPr>
          <w:rFonts w:ascii="Times New Roman" w:hAnsi="Times New Roman"/>
          <w:noProof/>
          <w:sz w:val="24"/>
          <w:szCs w:val="24"/>
        </w:rPr>
        <w:t xml:space="preserve"> w ram</w:t>
      </w:r>
      <w:r>
        <w:rPr>
          <w:rFonts w:ascii="Times New Roman" w:hAnsi="Times New Roman"/>
          <w:noProof/>
          <w:sz w:val="24"/>
          <w:szCs w:val="24"/>
        </w:rPr>
        <w:t>ach idei lepszego odbudowywania.</w:t>
      </w:r>
    </w:p>
    <w:p w14:paraId="131E15B9" w14:textId="3460390A" w:rsidR="00533133" w:rsidRDefault="00533133" w:rsidP="00204DFC">
      <w:pPr>
        <w:spacing w:line="240" w:lineRule="auto"/>
        <w:jc w:val="both"/>
        <w:rPr>
          <w:rFonts w:ascii="Times New Roman" w:hAnsi="Times New Roman" w:cs="Times New Roman"/>
          <w:noProof/>
          <w:sz w:val="24"/>
          <w:szCs w:val="24"/>
        </w:rPr>
      </w:pPr>
      <w:r>
        <w:rPr>
          <w:rFonts w:ascii="Times New Roman" w:hAnsi="Times New Roman"/>
          <w:noProof/>
          <w:sz w:val="24"/>
          <w:szCs w:val="24"/>
        </w:rPr>
        <w:t>Patrząc</w:t>
      </w:r>
      <w:r w:rsidR="00525C12">
        <w:rPr>
          <w:rFonts w:ascii="Times New Roman" w:hAnsi="Times New Roman"/>
          <w:noProof/>
          <w:sz w:val="24"/>
          <w:szCs w:val="24"/>
        </w:rPr>
        <w:t xml:space="preserve"> w prz</w:t>
      </w:r>
      <w:r>
        <w:rPr>
          <w:rFonts w:ascii="Times New Roman" w:hAnsi="Times New Roman"/>
          <w:noProof/>
          <w:sz w:val="24"/>
          <w:szCs w:val="24"/>
        </w:rPr>
        <w:t>yszłość, ECDC opracowało analizę jakościowych scenariuszy długoterminowych przewidujących szeroki wachlarz wyników, jak pokazano poniżej</w:t>
      </w:r>
      <w:r w:rsidR="00525C12">
        <w:rPr>
          <w:rFonts w:ascii="Times New Roman" w:hAnsi="Times New Roman"/>
          <w:noProof/>
          <w:sz w:val="24"/>
          <w:szCs w:val="24"/>
        </w:rPr>
        <w:t>. W poł</w:t>
      </w:r>
      <w:r>
        <w:rPr>
          <w:rFonts w:ascii="Times New Roman" w:hAnsi="Times New Roman"/>
          <w:noProof/>
          <w:sz w:val="24"/>
          <w:szCs w:val="24"/>
        </w:rPr>
        <w:t>owie kwietnia 20</w:t>
      </w:r>
      <w:r w:rsidRPr="00525C12">
        <w:rPr>
          <w:rFonts w:ascii="Times New Roman" w:hAnsi="Times New Roman"/>
          <w:noProof/>
          <w:sz w:val="24"/>
          <w:szCs w:val="24"/>
        </w:rPr>
        <w:t>22</w:t>
      </w:r>
      <w:r w:rsidR="00525C12" w:rsidRPr="00525C12">
        <w:rPr>
          <w:rFonts w:ascii="Times New Roman" w:hAnsi="Times New Roman"/>
          <w:noProof/>
          <w:sz w:val="24"/>
          <w:szCs w:val="24"/>
        </w:rPr>
        <w:t> </w:t>
      </w:r>
      <w:r w:rsidRPr="00525C12">
        <w:rPr>
          <w:rFonts w:ascii="Times New Roman" w:hAnsi="Times New Roman"/>
          <w:noProof/>
          <w:sz w:val="24"/>
          <w:szCs w:val="24"/>
        </w:rPr>
        <w:t>r.</w:t>
      </w:r>
      <w:r>
        <w:rPr>
          <w:rFonts w:ascii="Times New Roman" w:hAnsi="Times New Roman"/>
          <w:noProof/>
          <w:sz w:val="24"/>
          <w:szCs w:val="24"/>
        </w:rPr>
        <w:t xml:space="preserve"> można było zaobserwować spowolnienie niedawnej ponownej fali zakażeń</w:t>
      </w:r>
      <w:r w:rsidR="00525C12">
        <w:rPr>
          <w:rFonts w:ascii="Times New Roman" w:hAnsi="Times New Roman"/>
          <w:noProof/>
          <w:sz w:val="24"/>
          <w:szCs w:val="24"/>
        </w:rPr>
        <w:t xml:space="preserve"> w Eur</w:t>
      </w:r>
      <w:r>
        <w:rPr>
          <w:rFonts w:ascii="Times New Roman" w:hAnsi="Times New Roman"/>
          <w:noProof/>
          <w:sz w:val="24"/>
          <w:szCs w:val="24"/>
        </w:rPr>
        <w:t>opie. Dlatego też oraz</w:t>
      </w:r>
      <w:r w:rsidR="00525C12">
        <w:rPr>
          <w:rFonts w:ascii="Times New Roman" w:hAnsi="Times New Roman"/>
          <w:noProof/>
          <w:sz w:val="24"/>
          <w:szCs w:val="24"/>
        </w:rPr>
        <w:t xml:space="preserve"> w zwi</w:t>
      </w:r>
      <w:r>
        <w:rPr>
          <w:rFonts w:ascii="Times New Roman" w:hAnsi="Times New Roman"/>
          <w:noProof/>
          <w:sz w:val="24"/>
          <w:szCs w:val="24"/>
        </w:rPr>
        <w:t>ązku</w:t>
      </w:r>
      <w:r w:rsidR="00525C12">
        <w:rPr>
          <w:rFonts w:ascii="Times New Roman" w:hAnsi="Times New Roman"/>
          <w:noProof/>
          <w:sz w:val="24"/>
          <w:szCs w:val="24"/>
        </w:rPr>
        <w:t xml:space="preserve"> z syg</w:t>
      </w:r>
      <w:r>
        <w:rPr>
          <w:rFonts w:ascii="Times New Roman" w:hAnsi="Times New Roman"/>
          <w:noProof/>
          <w:sz w:val="24"/>
          <w:szCs w:val="24"/>
        </w:rPr>
        <w:t>nałami,</w:t>
      </w:r>
      <w:r w:rsidR="00525C12">
        <w:rPr>
          <w:rFonts w:ascii="Times New Roman" w:hAnsi="Times New Roman"/>
          <w:noProof/>
          <w:sz w:val="24"/>
          <w:szCs w:val="24"/>
        </w:rPr>
        <w:t xml:space="preserve"> z któ</w:t>
      </w:r>
      <w:r>
        <w:rPr>
          <w:rFonts w:ascii="Times New Roman" w:hAnsi="Times New Roman"/>
          <w:noProof/>
          <w:sz w:val="24"/>
          <w:szCs w:val="24"/>
        </w:rPr>
        <w:t>rych wynika, iż utrzymujące się przenoszenie zakażenia obserwowane ostatnio wśród populacji osób starszych niekoniecznie przekłada się na wskaźniki ciężkiego przebiegu choroby tak wysokie jak wskaźniki obserwowane jeszcze niedawno, obecna sytuacja plasuje się między scenariuszem „mniejszego zagrożenia”</w:t>
      </w:r>
      <w:r w:rsidR="00525C12">
        <w:rPr>
          <w:rFonts w:ascii="Times New Roman" w:hAnsi="Times New Roman"/>
          <w:noProof/>
          <w:sz w:val="24"/>
          <w:szCs w:val="24"/>
        </w:rPr>
        <w:t xml:space="preserve"> a sce</w:t>
      </w:r>
      <w:r>
        <w:rPr>
          <w:rFonts w:ascii="Times New Roman" w:hAnsi="Times New Roman"/>
          <w:noProof/>
          <w:sz w:val="24"/>
          <w:szCs w:val="24"/>
        </w:rPr>
        <w:t>nariuszem „regularnych reinfekcji”</w:t>
      </w:r>
      <w:r w:rsidR="00525C12">
        <w:rPr>
          <w:rFonts w:ascii="Times New Roman" w:hAnsi="Times New Roman"/>
          <w:noProof/>
          <w:sz w:val="24"/>
          <w:szCs w:val="24"/>
        </w:rPr>
        <w:t>. O tym</w:t>
      </w:r>
      <w:r>
        <w:rPr>
          <w:rFonts w:ascii="Times New Roman" w:hAnsi="Times New Roman"/>
          <w:noProof/>
          <w:sz w:val="24"/>
          <w:szCs w:val="24"/>
        </w:rPr>
        <w:t>, który scenariusz utrzyma się</w:t>
      </w:r>
      <w:r w:rsidR="00525C12">
        <w:rPr>
          <w:rFonts w:ascii="Times New Roman" w:hAnsi="Times New Roman"/>
          <w:noProof/>
          <w:sz w:val="24"/>
          <w:szCs w:val="24"/>
        </w:rPr>
        <w:t xml:space="preserve"> w per</w:t>
      </w:r>
      <w:r>
        <w:rPr>
          <w:rFonts w:ascii="Times New Roman" w:hAnsi="Times New Roman"/>
          <w:noProof/>
          <w:sz w:val="24"/>
          <w:szCs w:val="24"/>
        </w:rPr>
        <w:t>spektywie długoterminowej, przekonamy się</w:t>
      </w:r>
      <w:r w:rsidR="00525C12">
        <w:rPr>
          <w:rFonts w:ascii="Times New Roman" w:hAnsi="Times New Roman"/>
          <w:noProof/>
          <w:sz w:val="24"/>
          <w:szCs w:val="24"/>
        </w:rPr>
        <w:t xml:space="preserve"> w prz</w:t>
      </w:r>
      <w:r>
        <w:rPr>
          <w:rFonts w:ascii="Times New Roman" w:hAnsi="Times New Roman"/>
          <w:noProof/>
          <w:sz w:val="24"/>
          <w:szCs w:val="24"/>
        </w:rPr>
        <w:t>yszłości.</w:t>
      </w:r>
    </w:p>
    <w:p w14:paraId="127B71E0" w14:textId="24CC4E55" w:rsidR="007A264C" w:rsidRPr="00AD7A63" w:rsidRDefault="007A264C" w:rsidP="00204DFC">
      <w:pPr>
        <w:spacing w:line="240" w:lineRule="auto"/>
        <w:jc w:val="both"/>
        <w:rPr>
          <w:rFonts w:ascii="Times New Roman" w:hAnsi="Times New Roman" w:cs="Times New Roman"/>
          <w:b/>
          <w:noProof/>
          <w:color w:val="FF0000"/>
          <w:sz w:val="20"/>
          <w:szCs w:val="20"/>
        </w:rPr>
      </w:pPr>
      <w:r w:rsidRPr="00AD7A63">
        <w:rPr>
          <w:b/>
          <w:noProof/>
          <w:sz w:val="20"/>
          <w:szCs w:val="20"/>
        </w:rPr>
        <w:t>Pięć możliwych faz: długoterminowe scenariusze rozwoju pandemii COVID-19</w:t>
      </w:r>
    </w:p>
    <w:tbl>
      <w:tblPr>
        <w:tblStyle w:val="TableGrid"/>
        <w:tblW w:w="9944" w:type="dxa"/>
        <w:tblLook w:val="04A0" w:firstRow="1" w:lastRow="0" w:firstColumn="1" w:lastColumn="0" w:noHBand="0" w:noVBand="1"/>
      </w:tblPr>
      <w:tblGrid>
        <w:gridCol w:w="1792"/>
        <w:gridCol w:w="236"/>
        <w:gridCol w:w="1795"/>
        <w:gridCol w:w="236"/>
        <w:gridCol w:w="1796"/>
        <w:gridCol w:w="236"/>
        <w:gridCol w:w="1822"/>
        <w:gridCol w:w="236"/>
        <w:gridCol w:w="1795"/>
      </w:tblGrid>
      <w:tr w:rsidR="00B02A81" w14:paraId="051BB405" w14:textId="77777777" w:rsidTr="007A1E57">
        <w:tc>
          <w:tcPr>
            <w:tcW w:w="1800" w:type="dxa"/>
            <w:tcBorders>
              <w:top w:val="single" w:sz="4" w:space="0" w:color="8DC531"/>
              <w:left w:val="single" w:sz="4" w:space="0" w:color="8DC531"/>
              <w:bottom w:val="single" w:sz="4" w:space="0" w:color="77A62A"/>
              <w:right w:val="single" w:sz="4" w:space="0" w:color="8DC531"/>
            </w:tcBorders>
            <w:shd w:val="clear" w:color="auto" w:fill="77A62A"/>
            <w:vAlign w:val="center"/>
          </w:tcPr>
          <w:p w14:paraId="295DBDDA" w14:textId="77777777" w:rsidR="00B02A81" w:rsidRPr="00B02A81" w:rsidRDefault="00B02A81" w:rsidP="007A1E57">
            <w:pPr>
              <w:spacing w:before="80" w:after="80"/>
              <w:jc w:val="center"/>
              <w:rPr>
                <w:rFonts w:ascii="Verdana" w:hAnsi="Verdana" w:cs="Times New Roman"/>
                <w:b/>
                <w:noProof/>
                <w:color w:val="FFFFFF" w:themeColor="background1"/>
                <w:sz w:val="14"/>
                <w:szCs w:val="24"/>
              </w:rPr>
            </w:pPr>
            <w:r>
              <w:rPr>
                <w:rFonts w:ascii="Verdana" w:hAnsi="Verdana"/>
                <w:b/>
                <w:noProof/>
                <w:color w:val="FFFFFF" w:themeColor="background1"/>
                <w:sz w:val="14"/>
                <w:szCs w:val="24"/>
              </w:rPr>
              <w:t>Mniejsze zagrożenie</w:t>
            </w:r>
          </w:p>
        </w:tc>
        <w:tc>
          <w:tcPr>
            <w:tcW w:w="236" w:type="dxa"/>
            <w:tcBorders>
              <w:top w:val="nil"/>
              <w:left w:val="single" w:sz="4" w:space="0" w:color="8DC531"/>
              <w:bottom w:val="nil"/>
              <w:right w:val="single" w:sz="4" w:space="0" w:color="8DC531"/>
            </w:tcBorders>
          </w:tcPr>
          <w:p w14:paraId="0C4914DD" w14:textId="77777777" w:rsidR="00B02A81" w:rsidRDefault="00B02A81" w:rsidP="007A1E57">
            <w:pPr>
              <w:jc w:val="both"/>
              <w:rPr>
                <w:rFonts w:ascii="Times New Roman" w:hAnsi="Times New Roman" w:cs="Times New Roman"/>
                <w:noProof/>
                <w:sz w:val="24"/>
                <w:szCs w:val="24"/>
              </w:rPr>
            </w:pPr>
          </w:p>
        </w:tc>
        <w:tc>
          <w:tcPr>
            <w:tcW w:w="1800" w:type="dxa"/>
            <w:tcBorders>
              <w:top w:val="single" w:sz="4" w:space="0" w:color="8DC531"/>
              <w:left w:val="single" w:sz="4" w:space="0" w:color="8DC531"/>
              <w:bottom w:val="single" w:sz="4" w:space="0" w:color="77A62A"/>
              <w:right w:val="single" w:sz="4" w:space="0" w:color="8DC531"/>
            </w:tcBorders>
            <w:shd w:val="clear" w:color="auto" w:fill="77A62A"/>
            <w:vAlign w:val="center"/>
          </w:tcPr>
          <w:p w14:paraId="6AB20C65" w14:textId="77777777" w:rsidR="00B02A81" w:rsidRPr="00B02A81" w:rsidRDefault="00B02A81" w:rsidP="007A1E57">
            <w:pPr>
              <w:spacing w:before="80" w:after="80"/>
              <w:jc w:val="center"/>
              <w:rPr>
                <w:rFonts w:ascii="Times New Roman" w:hAnsi="Times New Roman" w:cs="Times New Roman"/>
                <w:noProof/>
                <w:sz w:val="14"/>
                <w:szCs w:val="24"/>
              </w:rPr>
            </w:pPr>
            <w:r>
              <w:rPr>
                <w:rFonts w:ascii="Verdana" w:hAnsi="Verdana"/>
                <w:b/>
                <w:noProof/>
                <w:color w:val="FFFFFF" w:themeColor="background1"/>
                <w:sz w:val="14"/>
                <w:szCs w:val="24"/>
              </w:rPr>
              <w:t>Regularne reinfekcje</w:t>
            </w:r>
          </w:p>
        </w:tc>
        <w:tc>
          <w:tcPr>
            <w:tcW w:w="236" w:type="dxa"/>
            <w:tcBorders>
              <w:top w:val="nil"/>
              <w:left w:val="single" w:sz="4" w:space="0" w:color="8DC531"/>
              <w:bottom w:val="nil"/>
              <w:right w:val="single" w:sz="4" w:space="0" w:color="8DC531"/>
            </w:tcBorders>
          </w:tcPr>
          <w:p w14:paraId="4B925BAD" w14:textId="77777777" w:rsidR="00B02A81" w:rsidRDefault="00B02A81" w:rsidP="007A1E57">
            <w:pPr>
              <w:jc w:val="both"/>
              <w:rPr>
                <w:rFonts w:ascii="Times New Roman" w:hAnsi="Times New Roman" w:cs="Times New Roman"/>
                <w:noProof/>
                <w:sz w:val="24"/>
                <w:szCs w:val="24"/>
              </w:rPr>
            </w:pPr>
          </w:p>
        </w:tc>
        <w:tc>
          <w:tcPr>
            <w:tcW w:w="1800" w:type="dxa"/>
            <w:tcBorders>
              <w:top w:val="single" w:sz="4" w:space="0" w:color="8DC531"/>
              <w:left w:val="single" w:sz="4" w:space="0" w:color="8DC531"/>
              <w:bottom w:val="single" w:sz="4" w:space="0" w:color="77A62A"/>
              <w:right w:val="single" w:sz="4" w:space="0" w:color="8DC531"/>
            </w:tcBorders>
            <w:shd w:val="clear" w:color="auto" w:fill="77A62A"/>
          </w:tcPr>
          <w:p w14:paraId="48D3E5A5" w14:textId="77777777" w:rsidR="00B02A81" w:rsidRPr="00B02A81" w:rsidRDefault="00B02A81" w:rsidP="007A1E57">
            <w:pPr>
              <w:spacing w:before="40" w:after="40"/>
              <w:jc w:val="center"/>
              <w:rPr>
                <w:rFonts w:ascii="Times New Roman" w:hAnsi="Times New Roman" w:cs="Times New Roman"/>
                <w:noProof/>
                <w:sz w:val="14"/>
                <w:szCs w:val="24"/>
              </w:rPr>
            </w:pPr>
            <w:r>
              <w:rPr>
                <w:rFonts w:ascii="Verdana" w:hAnsi="Verdana"/>
                <w:b/>
                <w:noProof/>
                <w:color w:val="FFFFFF" w:themeColor="background1"/>
                <w:sz w:val="14"/>
                <w:szCs w:val="24"/>
              </w:rPr>
              <w:t>Trudna do opanowania sytuacja zimą</w:t>
            </w:r>
          </w:p>
        </w:tc>
        <w:tc>
          <w:tcPr>
            <w:tcW w:w="236" w:type="dxa"/>
            <w:tcBorders>
              <w:top w:val="nil"/>
              <w:left w:val="single" w:sz="4" w:space="0" w:color="8DC531"/>
              <w:bottom w:val="nil"/>
              <w:right w:val="single" w:sz="4" w:space="0" w:color="8DC531"/>
            </w:tcBorders>
          </w:tcPr>
          <w:p w14:paraId="041DD711" w14:textId="77777777" w:rsidR="00B02A81" w:rsidRDefault="00B02A81" w:rsidP="007A1E57">
            <w:pPr>
              <w:jc w:val="both"/>
              <w:rPr>
                <w:rFonts w:ascii="Times New Roman" w:hAnsi="Times New Roman" w:cs="Times New Roman"/>
                <w:noProof/>
                <w:sz w:val="24"/>
                <w:szCs w:val="24"/>
              </w:rPr>
            </w:pPr>
          </w:p>
        </w:tc>
        <w:tc>
          <w:tcPr>
            <w:tcW w:w="1800" w:type="dxa"/>
            <w:tcBorders>
              <w:top w:val="single" w:sz="4" w:space="0" w:color="8DC531"/>
              <w:left w:val="single" w:sz="4" w:space="0" w:color="8DC531"/>
              <w:bottom w:val="single" w:sz="4" w:space="0" w:color="77A62A"/>
              <w:right w:val="single" w:sz="4" w:space="0" w:color="8DC531"/>
            </w:tcBorders>
            <w:shd w:val="clear" w:color="auto" w:fill="77A62A"/>
            <w:vAlign w:val="center"/>
          </w:tcPr>
          <w:p w14:paraId="07D05EC7" w14:textId="77777777" w:rsidR="00B02A81" w:rsidRPr="00B02A81" w:rsidRDefault="00B02A81" w:rsidP="007A1E57">
            <w:pPr>
              <w:spacing w:before="80" w:after="80"/>
              <w:jc w:val="center"/>
              <w:rPr>
                <w:rFonts w:ascii="Times New Roman" w:hAnsi="Times New Roman" w:cs="Times New Roman"/>
                <w:noProof/>
                <w:sz w:val="14"/>
                <w:szCs w:val="24"/>
              </w:rPr>
            </w:pPr>
            <w:r>
              <w:rPr>
                <w:rFonts w:ascii="Verdana" w:hAnsi="Verdana"/>
                <w:b/>
                <w:noProof/>
                <w:color w:val="FFFFFF" w:themeColor="background1"/>
                <w:sz w:val="14"/>
                <w:szCs w:val="24"/>
              </w:rPr>
              <w:t>Niemożliwa do opanowania sytuacja zimą</w:t>
            </w:r>
          </w:p>
        </w:tc>
        <w:tc>
          <w:tcPr>
            <w:tcW w:w="236" w:type="dxa"/>
            <w:tcBorders>
              <w:top w:val="nil"/>
              <w:left w:val="single" w:sz="4" w:space="0" w:color="8DC531"/>
              <w:bottom w:val="nil"/>
              <w:right w:val="single" w:sz="4" w:space="0" w:color="8DC531"/>
            </w:tcBorders>
          </w:tcPr>
          <w:p w14:paraId="5FD0A33A" w14:textId="77777777" w:rsidR="00B02A81" w:rsidRDefault="00B02A81" w:rsidP="007A1E57">
            <w:pPr>
              <w:jc w:val="both"/>
              <w:rPr>
                <w:rFonts w:ascii="Times New Roman" w:hAnsi="Times New Roman" w:cs="Times New Roman"/>
                <w:noProof/>
                <w:sz w:val="24"/>
                <w:szCs w:val="24"/>
              </w:rPr>
            </w:pPr>
          </w:p>
        </w:tc>
        <w:tc>
          <w:tcPr>
            <w:tcW w:w="1800" w:type="dxa"/>
            <w:tcBorders>
              <w:top w:val="single" w:sz="4" w:space="0" w:color="8DC531"/>
              <w:left w:val="single" w:sz="4" w:space="0" w:color="8DC531"/>
              <w:bottom w:val="single" w:sz="4" w:space="0" w:color="77A62A"/>
              <w:right w:val="single" w:sz="4" w:space="0" w:color="8DC531"/>
            </w:tcBorders>
            <w:shd w:val="clear" w:color="auto" w:fill="77A62A"/>
            <w:vAlign w:val="center"/>
          </w:tcPr>
          <w:p w14:paraId="6212C4FB" w14:textId="77777777" w:rsidR="00B02A81" w:rsidRPr="00B02A81" w:rsidRDefault="00B02A81" w:rsidP="007A1E57">
            <w:pPr>
              <w:spacing w:before="80" w:after="80"/>
              <w:jc w:val="center"/>
              <w:rPr>
                <w:rFonts w:ascii="Times New Roman" w:hAnsi="Times New Roman" w:cs="Times New Roman"/>
                <w:noProof/>
                <w:sz w:val="14"/>
                <w:szCs w:val="24"/>
              </w:rPr>
            </w:pPr>
            <w:r>
              <w:rPr>
                <w:rFonts w:ascii="Verdana" w:hAnsi="Verdana"/>
                <w:b/>
                <w:noProof/>
                <w:color w:val="FFFFFF" w:themeColor="background1"/>
                <w:sz w:val="14"/>
                <w:szCs w:val="24"/>
              </w:rPr>
              <w:t>Nowa pandemia</w:t>
            </w:r>
          </w:p>
        </w:tc>
      </w:tr>
      <w:tr w:rsidR="00B02A81" w14:paraId="4BD9760C" w14:textId="77777777" w:rsidTr="007A1E57">
        <w:tc>
          <w:tcPr>
            <w:tcW w:w="1800" w:type="dxa"/>
            <w:tcBorders>
              <w:top w:val="single" w:sz="4" w:space="0" w:color="77A62A"/>
              <w:left w:val="single" w:sz="4" w:space="0" w:color="77A62A"/>
              <w:bottom w:val="single" w:sz="4" w:space="0" w:color="77A62A"/>
              <w:right w:val="single" w:sz="4" w:space="0" w:color="77A62A"/>
            </w:tcBorders>
            <w:shd w:val="clear" w:color="auto" w:fill="auto"/>
          </w:tcPr>
          <w:p w14:paraId="12D5C756" w14:textId="4C894483" w:rsidR="00B02A81" w:rsidRPr="008826E5" w:rsidRDefault="00B02A81" w:rsidP="00B02A81">
            <w:pPr>
              <w:pStyle w:val="ListParagraph"/>
              <w:numPr>
                <w:ilvl w:val="0"/>
                <w:numId w:val="25"/>
              </w:numPr>
              <w:ind w:left="120" w:hanging="120"/>
              <w:rPr>
                <w:rFonts w:ascii="Verdana" w:hAnsi="Verdana" w:cs="Times New Roman"/>
                <w:noProof/>
                <w:sz w:val="24"/>
                <w:szCs w:val="24"/>
              </w:rPr>
            </w:pPr>
            <w:r>
              <w:rPr>
                <w:rFonts w:ascii="Verdana" w:hAnsi="Verdana"/>
                <w:noProof/>
                <w:sz w:val="14"/>
                <w:szCs w:val="24"/>
              </w:rPr>
              <w:t>Wskaźniki hospitalizacji</w:t>
            </w:r>
            <w:r w:rsidR="00525C12">
              <w:rPr>
                <w:rFonts w:ascii="Verdana" w:hAnsi="Verdana"/>
                <w:noProof/>
                <w:sz w:val="14"/>
                <w:szCs w:val="24"/>
              </w:rPr>
              <w:t xml:space="preserve"> i umi</w:t>
            </w:r>
            <w:r>
              <w:rPr>
                <w:rFonts w:ascii="Verdana" w:hAnsi="Verdana"/>
                <w:noProof/>
                <w:sz w:val="14"/>
                <w:szCs w:val="24"/>
              </w:rPr>
              <w:t>eralności</w:t>
            </w:r>
            <w:r w:rsidR="00525C12">
              <w:rPr>
                <w:rFonts w:ascii="Verdana" w:hAnsi="Verdana"/>
                <w:noProof/>
                <w:sz w:val="14"/>
                <w:szCs w:val="24"/>
              </w:rPr>
              <w:t xml:space="preserve"> w zwi</w:t>
            </w:r>
            <w:r>
              <w:rPr>
                <w:rFonts w:ascii="Verdana" w:hAnsi="Verdana"/>
                <w:noProof/>
                <w:sz w:val="14"/>
                <w:szCs w:val="24"/>
              </w:rPr>
              <w:t>ązku z COVID-19 spadają do bardzo niskiego poziomu</w:t>
            </w:r>
            <w:r w:rsidR="00525C12">
              <w:rPr>
                <w:rFonts w:ascii="Verdana" w:hAnsi="Verdana"/>
                <w:noProof/>
                <w:sz w:val="14"/>
                <w:szCs w:val="24"/>
              </w:rPr>
              <w:t xml:space="preserve"> i utr</w:t>
            </w:r>
            <w:r>
              <w:rPr>
                <w:rFonts w:ascii="Verdana" w:hAnsi="Verdana"/>
                <w:noProof/>
                <w:sz w:val="14"/>
                <w:szCs w:val="24"/>
              </w:rPr>
              <w:t>zymują się na takim poziomie.</w:t>
            </w:r>
          </w:p>
          <w:p w14:paraId="2E4CE577" w14:textId="77777777" w:rsidR="00B02A81" w:rsidRPr="008826E5" w:rsidRDefault="00B02A81" w:rsidP="00B02A81">
            <w:pPr>
              <w:pStyle w:val="ListParagraph"/>
              <w:numPr>
                <w:ilvl w:val="0"/>
                <w:numId w:val="25"/>
              </w:numPr>
              <w:ind w:left="120" w:hanging="120"/>
              <w:rPr>
                <w:rFonts w:ascii="Verdana" w:hAnsi="Verdana" w:cs="Times New Roman"/>
                <w:noProof/>
                <w:sz w:val="24"/>
                <w:szCs w:val="24"/>
              </w:rPr>
            </w:pPr>
            <w:r>
              <w:rPr>
                <w:rFonts w:ascii="Verdana" w:hAnsi="Verdana"/>
                <w:noProof/>
                <w:sz w:val="14"/>
                <w:szCs w:val="24"/>
              </w:rPr>
              <w:t>We wszystkich państwach UE/EOG uznaje się, że COVID-19 jest chorobą, którą można rutynowo zarządzać.</w:t>
            </w:r>
          </w:p>
        </w:tc>
        <w:tc>
          <w:tcPr>
            <w:tcW w:w="236" w:type="dxa"/>
            <w:tcBorders>
              <w:top w:val="nil"/>
              <w:left w:val="single" w:sz="4" w:space="0" w:color="77A62A"/>
              <w:bottom w:val="nil"/>
              <w:right w:val="single" w:sz="4" w:space="0" w:color="77A62A"/>
            </w:tcBorders>
          </w:tcPr>
          <w:p w14:paraId="570BDB0C" w14:textId="77777777" w:rsidR="00B02A81" w:rsidRDefault="00B02A81" w:rsidP="007A1E57">
            <w:pPr>
              <w:jc w:val="both"/>
              <w:rPr>
                <w:rFonts w:ascii="Times New Roman" w:hAnsi="Times New Roman" w:cs="Times New Roman"/>
                <w:noProof/>
                <w:sz w:val="24"/>
                <w:szCs w:val="24"/>
              </w:rPr>
            </w:pPr>
          </w:p>
        </w:tc>
        <w:tc>
          <w:tcPr>
            <w:tcW w:w="1800" w:type="dxa"/>
            <w:tcBorders>
              <w:top w:val="single" w:sz="4" w:space="0" w:color="77A62A"/>
              <w:left w:val="single" w:sz="4" w:space="0" w:color="77A62A"/>
              <w:bottom w:val="single" w:sz="4" w:space="0" w:color="77A62A"/>
              <w:right w:val="single" w:sz="4" w:space="0" w:color="77A62A"/>
            </w:tcBorders>
            <w:shd w:val="clear" w:color="auto" w:fill="auto"/>
          </w:tcPr>
          <w:p w14:paraId="7CDF4CDF" w14:textId="77777777" w:rsidR="00B02A81" w:rsidRPr="008826E5" w:rsidRDefault="00B02A81" w:rsidP="00B02A81">
            <w:pPr>
              <w:pStyle w:val="ListParagraph"/>
              <w:numPr>
                <w:ilvl w:val="0"/>
                <w:numId w:val="25"/>
              </w:numPr>
              <w:ind w:left="120" w:hanging="120"/>
              <w:rPr>
                <w:rFonts w:ascii="Verdana" w:hAnsi="Verdana" w:cs="Times New Roman"/>
                <w:noProof/>
                <w:sz w:val="24"/>
                <w:szCs w:val="24"/>
              </w:rPr>
            </w:pPr>
            <w:r>
              <w:rPr>
                <w:rFonts w:ascii="Verdana" w:hAnsi="Verdana"/>
                <w:noProof/>
                <w:sz w:val="14"/>
                <w:szCs w:val="24"/>
              </w:rPr>
              <w:t xml:space="preserve">Nadal pojawiają się nowe warianty odporne na reakcję immunologiczną, co skutkuje częstymi reinfekcjami. </w:t>
            </w:r>
          </w:p>
          <w:p w14:paraId="1D950E56" w14:textId="542DC7F4" w:rsidR="00B02A81" w:rsidRPr="008826E5" w:rsidRDefault="00B02A81" w:rsidP="00B02A81">
            <w:pPr>
              <w:pStyle w:val="ListParagraph"/>
              <w:numPr>
                <w:ilvl w:val="0"/>
                <w:numId w:val="25"/>
              </w:numPr>
              <w:ind w:left="120" w:hanging="120"/>
              <w:rPr>
                <w:rFonts w:ascii="Verdana" w:hAnsi="Verdana" w:cs="Times New Roman"/>
                <w:noProof/>
                <w:sz w:val="24"/>
                <w:szCs w:val="24"/>
              </w:rPr>
            </w:pPr>
            <w:r>
              <w:rPr>
                <w:rFonts w:ascii="Verdana" w:hAnsi="Verdana"/>
                <w:noProof/>
                <w:sz w:val="14"/>
                <w:szCs w:val="24"/>
              </w:rPr>
              <w:t>Chociaż wskaźnik umieralności na COVID-19 pozostaje niski, wyraźnie zmniejsza się odporność na zakażenie,</w:t>
            </w:r>
            <w:r w:rsidR="00525C12">
              <w:rPr>
                <w:rFonts w:ascii="Verdana" w:hAnsi="Verdana"/>
                <w:noProof/>
                <w:sz w:val="14"/>
                <w:szCs w:val="24"/>
              </w:rPr>
              <w:t xml:space="preserve"> a wsk</w:t>
            </w:r>
            <w:r>
              <w:rPr>
                <w:rFonts w:ascii="Verdana" w:hAnsi="Verdana"/>
                <w:noProof/>
                <w:sz w:val="14"/>
                <w:szCs w:val="24"/>
              </w:rPr>
              <w:t>aźnik hospitalizacji</w:t>
            </w:r>
            <w:r w:rsidR="00525C12">
              <w:rPr>
                <w:rFonts w:ascii="Verdana" w:hAnsi="Verdana"/>
                <w:noProof/>
                <w:sz w:val="14"/>
                <w:szCs w:val="24"/>
              </w:rPr>
              <w:t xml:space="preserve"> i umi</w:t>
            </w:r>
            <w:r>
              <w:rPr>
                <w:rFonts w:ascii="Verdana" w:hAnsi="Verdana"/>
                <w:noProof/>
                <w:sz w:val="14"/>
                <w:szCs w:val="24"/>
              </w:rPr>
              <w:t>eralności</w:t>
            </w:r>
            <w:r w:rsidR="00525C12">
              <w:rPr>
                <w:rFonts w:ascii="Verdana" w:hAnsi="Verdana"/>
                <w:noProof/>
                <w:sz w:val="14"/>
                <w:szCs w:val="24"/>
              </w:rPr>
              <w:t xml:space="preserve"> w pop</w:t>
            </w:r>
            <w:r>
              <w:rPr>
                <w:rFonts w:ascii="Verdana" w:hAnsi="Verdana"/>
                <w:noProof/>
                <w:sz w:val="14"/>
                <w:szCs w:val="24"/>
              </w:rPr>
              <w:t xml:space="preserve">ulacjach wysokiego ryzyka pozostaje na znacznym poziomie. </w:t>
            </w:r>
          </w:p>
        </w:tc>
        <w:tc>
          <w:tcPr>
            <w:tcW w:w="236" w:type="dxa"/>
            <w:tcBorders>
              <w:top w:val="nil"/>
              <w:left w:val="single" w:sz="4" w:space="0" w:color="77A62A"/>
              <w:bottom w:val="nil"/>
              <w:right w:val="single" w:sz="4" w:space="0" w:color="77A62A"/>
            </w:tcBorders>
          </w:tcPr>
          <w:p w14:paraId="7A53AE83" w14:textId="77777777" w:rsidR="00B02A81" w:rsidRDefault="00B02A81" w:rsidP="007A1E57">
            <w:pPr>
              <w:jc w:val="both"/>
              <w:rPr>
                <w:rFonts w:ascii="Times New Roman" w:hAnsi="Times New Roman" w:cs="Times New Roman"/>
                <w:noProof/>
                <w:sz w:val="24"/>
                <w:szCs w:val="24"/>
              </w:rPr>
            </w:pPr>
          </w:p>
        </w:tc>
        <w:tc>
          <w:tcPr>
            <w:tcW w:w="1800" w:type="dxa"/>
            <w:tcBorders>
              <w:top w:val="single" w:sz="4" w:space="0" w:color="77A62A"/>
              <w:left w:val="single" w:sz="4" w:space="0" w:color="77A62A"/>
              <w:bottom w:val="single" w:sz="4" w:space="0" w:color="77A62A"/>
              <w:right w:val="single" w:sz="4" w:space="0" w:color="77A62A"/>
            </w:tcBorders>
            <w:shd w:val="clear" w:color="auto" w:fill="auto"/>
          </w:tcPr>
          <w:p w14:paraId="775ADD69" w14:textId="23694A0D" w:rsidR="00B02A81" w:rsidRPr="00C70B7E" w:rsidRDefault="00B02A81" w:rsidP="00B02A81">
            <w:pPr>
              <w:pStyle w:val="ListParagraph"/>
              <w:numPr>
                <w:ilvl w:val="0"/>
                <w:numId w:val="25"/>
              </w:numPr>
              <w:ind w:left="120" w:hanging="120"/>
              <w:rPr>
                <w:rFonts w:ascii="Verdana" w:hAnsi="Verdana" w:cs="Times New Roman"/>
                <w:noProof/>
                <w:sz w:val="24"/>
                <w:szCs w:val="24"/>
              </w:rPr>
            </w:pPr>
            <w:r>
              <w:rPr>
                <w:rFonts w:ascii="Verdana" w:hAnsi="Verdana"/>
                <w:noProof/>
                <w:sz w:val="14"/>
                <w:szCs w:val="24"/>
              </w:rPr>
              <w:t>Tempo rozwoju wirusa przekracza tempo rozwoju szczepionek</w:t>
            </w:r>
            <w:r w:rsidR="00525C12">
              <w:rPr>
                <w:rFonts w:ascii="Verdana" w:hAnsi="Verdana"/>
                <w:noProof/>
                <w:sz w:val="14"/>
                <w:szCs w:val="24"/>
              </w:rPr>
              <w:t xml:space="preserve"> i moż</w:t>
            </w:r>
            <w:r>
              <w:rPr>
                <w:rFonts w:ascii="Verdana" w:hAnsi="Verdana"/>
                <w:noProof/>
                <w:sz w:val="14"/>
                <w:szCs w:val="24"/>
              </w:rPr>
              <w:t>liwości ochrony układu immunologicznego przed zakażeniem</w:t>
            </w:r>
            <w:r w:rsidR="00525C12">
              <w:rPr>
                <w:rFonts w:ascii="Verdana" w:hAnsi="Verdana"/>
                <w:noProof/>
                <w:sz w:val="14"/>
                <w:szCs w:val="24"/>
              </w:rPr>
              <w:t xml:space="preserve"> i dal</w:t>
            </w:r>
            <w:r>
              <w:rPr>
                <w:rFonts w:ascii="Verdana" w:hAnsi="Verdana"/>
                <w:noProof/>
                <w:sz w:val="14"/>
                <w:szCs w:val="24"/>
              </w:rPr>
              <w:t>szym przenoszeniem zakażenia.</w:t>
            </w:r>
          </w:p>
          <w:p w14:paraId="73ECEEDE" w14:textId="174BA266" w:rsidR="00B02A81" w:rsidRPr="00C70B7E" w:rsidRDefault="00B02A81" w:rsidP="00B02A81">
            <w:pPr>
              <w:pStyle w:val="ListParagraph"/>
              <w:numPr>
                <w:ilvl w:val="0"/>
                <w:numId w:val="25"/>
              </w:numPr>
              <w:ind w:left="120" w:hanging="120"/>
              <w:rPr>
                <w:rFonts w:ascii="Verdana" w:hAnsi="Verdana" w:cs="Times New Roman"/>
                <w:noProof/>
                <w:sz w:val="24"/>
                <w:szCs w:val="24"/>
              </w:rPr>
            </w:pPr>
            <w:r>
              <w:rPr>
                <w:rFonts w:ascii="Verdana" w:hAnsi="Verdana"/>
                <w:noProof/>
                <w:sz w:val="14"/>
                <w:szCs w:val="24"/>
              </w:rPr>
              <w:t>Pojawiają się warianty SARS-CoV-2</w:t>
            </w:r>
            <w:r w:rsidR="00525C12">
              <w:rPr>
                <w:rFonts w:ascii="Verdana" w:hAnsi="Verdana"/>
                <w:noProof/>
                <w:sz w:val="14"/>
                <w:szCs w:val="24"/>
              </w:rPr>
              <w:t xml:space="preserve"> o wię</w:t>
            </w:r>
            <w:r>
              <w:rPr>
                <w:rFonts w:ascii="Verdana" w:hAnsi="Verdana"/>
                <w:noProof/>
                <w:sz w:val="14"/>
                <w:szCs w:val="24"/>
              </w:rPr>
              <w:t xml:space="preserve">kszej dotkliwości przebiegu choroby, czemu towarzyszy malejąca odporność. </w:t>
            </w:r>
          </w:p>
          <w:p w14:paraId="63949FE0" w14:textId="2B2FC74A" w:rsidR="00B02A81" w:rsidRPr="00C70B7E" w:rsidRDefault="00B02A81" w:rsidP="00B02A81">
            <w:pPr>
              <w:pStyle w:val="ListParagraph"/>
              <w:numPr>
                <w:ilvl w:val="0"/>
                <w:numId w:val="25"/>
              </w:numPr>
              <w:spacing w:after="120"/>
              <w:ind w:left="120" w:hanging="120"/>
              <w:rPr>
                <w:rFonts w:ascii="Verdana" w:hAnsi="Verdana" w:cs="Times New Roman"/>
                <w:noProof/>
                <w:sz w:val="24"/>
                <w:szCs w:val="24"/>
              </w:rPr>
            </w:pPr>
            <w:r>
              <w:rPr>
                <w:rFonts w:ascii="Verdana" w:hAnsi="Verdana"/>
                <w:noProof/>
                <w:sz w:val="14"/>
                <w:szCs w:val="24"/>
              </w:rPr>
              <w:t>Ogół społeczeństwa wykazuje coraz mniejszą chęć przyjmowania dodatkowych dawek szczepionki, co przekłada się również na znaczne obciążenie systemów opieki zdrowotnej</w:t>
            </w:r>
            <w:r w:rsidR="00525C12">
              <w:rPr>
                <w:rFonts w:ascii="Verdana" w:hAnsi="Verdana"/>
                <w:noProof/>
                <w:sz w:val="14"/>
                <w:szCs w:val="24"/>
              </w:rPr>
              <w:t xml:space="preserve"> w okr</w:t>
            </w:r>
            <w:r>
              <w:rPr>
                <w:rFonts w:ascii="Verdana" w:hAnsi="Verdana"/>
                <w:noProof/>
                <w:sz w:val="14"/>
                <w:szCs w:val="24"/>
              </w:rPr>
              <w:t>esie zimowym.</w:t>
            </w:r>
          </w:p>
        </w:tc>
        <w:tc>
          <w:tcPr>
            <w:tcW w:w="236" w:type="dxa"/>
            <w:tcBorders>
              <w:top w:val="nil"/>
              <w:left w:val="single" w:sz="4" w:space="0" w:color="77A62A"/>
              <w:bottom w:val="nil"/>
              <w:right w:val="single" w:sz="4" w:space="0" w:color="77A62A"/>
            </w:tcBorders>
          </w:tcPr>
          <w:p w14:paraId="57C63D80" w14:textId="77777777" w:rsidR="00B02A81" w:rsidRDefault="00B02A81" w:rsidP="007A1E57">
            <w:pPr>
              <w:jc w:val="both"/>
              <w:rPr>
                <w:rFonts w:ascii="Times New Roman" w:hAnsi="Times New Roman" w:cs="Times New Roman"/>
                <w:noProof/>
                <w:sz w:val="24"/>
                <w:szCs w:val="24"/>
              </w:rPr>
            </w:pPr>
          </w:p>
        </w:tc>
        <w:tc>
          <w:tcPr>
            <w:tcW w:w="1800" w:type="dxa"/>
            <w:tcBorders>
              <w:top w:val="single" w:sz="4" w:space="0" w:color="77A62A"/>
              <w:left w:val="single" w:sz="4" w:space="0" w:color="77A62A"/>
              <w:bottom w:val="single" w:sz="4" w:space="0" w:color="77A62A"/>
              <w:right w:val="single" w:sz="4" w:space="0" w:color="77A62A"/>
            </w:tcBorders>
          </w:tcPr>
          <w:p w14:paraId="6B322B44" w14:textId="4A7C4A51" w:rsidR="00B02A81" w:rsidRPr="00C70B7E" w:rsidRDefault="00B02A81" w:rsidP="00B02A81">
            <w:pPr>
              <w:pStyle w:val="ListParagraph"/>
              <w:numPr>
                <w:ilvl w:val="0"/>
                <w:numId w:val="25"/>
              </w:numPr>
              <w:ind w:left="120" w:hanging="120"/>
              <w:rPr>
                <w:rFonts w:ascii="Verdana" w:hAnsi="Verdana" w:cs="Times New Roman"/>
                <w:noProof/>
                <w:sz w:val="24"/>
                <w:szCs w:val="24"/>
              </w:rPr>
            </w:pPr>
            <w:r>
              <w:rPr>
                <w:rFonts w:ascii="Verdana" w:hAnsi="Verdana"/>
                <w:noProof/>
                <w:sz w:val="14"/>
                <w:szCs w:val="24"/>
              </w:rPr>
              <w:t>Spadek odporności</w:t>
            </w:r>
            <w:r w:rsidR="00525C12">
              <w:rPr>
                <w:rFonts w:ascii="Verdana" w:hAnsi="Verdana"/>
                <w:noProof/>
                <w:sz w:val="14"/>
                <w:szCs w:val="24"/>
              </w:rPr>
              <w:t xml:space="preserve"> i roz</w:t>
            </w:r>
            <w:r>
              <w:rPr>
                <w:rFonts w:ascii="Verdana" w:hAnsi="Verdana"/>
                <w:noProof/>
                <w:sz w:val="14"/>
                <w:szCs w:val="24"/>
              </w:rPr>
              <w:t>wój wirusa są na poziomie, na którym wskaźnik hospitalizacji wśród ogółu społeczeństwa regularnie przekracza wydolność systemów opieki zdrowotnej.</w:t>
            </w:r>
          </w:p>
          <w:p w14:paraId="7EB2D2C0" w14:textId="6AF788F7" w:rsidR="00B02A81" w:rsidRPr="00C70B7E" w:rsidRDefault="00B02A81" w:rsidP="00B02A81">
            <w:pPr>
              <w:pStyle w:val="ListParagraph"/>
              <w:numPr>
                <w:ilvl w:val="0"/>
                <w:numId w:val="25"/>
              </w:numPr>
              <w:ind w:left="120" w:hanging="120"/>
              <w:rPr>
                <w:rFonts w:ascii="Verdana" w:hAnsi="Verdana" w:cs="Times New Roman"/>
                <w:noProof/>
                <w:sz w:val="24"/>
                <w:szCs w:val="24"/>
              </w:rPr>
            </w:pPr>
            <w:r>
              <w:rPr>
                <w:rFonts w:ascii="Verdana" w:hAnsi="Verdana"/>
                <w:noProof/>
                <w:sz w:val="14"/>
                <w:szCs w:val="24"/>
              </w:rPr>
              <w:t>Takie okoliczności wymagałyby przyjęcia bardziej rygorystycznych pozafarmaceutycznych środków przeciwdziałania na poziomie populacji, przy czym takie środki są źle przyjmowane</w:t>
            </w:r>
            <w:r w:rsidR="00525C12">
              <w:rPr>
                <w:rFonts w:ascii="Verdana" w:hAnsi="Verdana"/>
                <w:noProof/>
                <w:sz w:val="14"/>
                <w:szCs w:val="24"/>
              </w:rPr>
              <w:t xml:space="preserve"> i sła</w:t>
            </w:r>
            <w:r>
              <w:rPr>
                <w:rFonts w:ascii="Verdana" w:hAnsi="Verdana"/>
                <w:noProof/>
                <w:sz w:val="14"/>
                <w:szCs w:val="24"/>
              </w:rPr>
              <w:t>bo przestrzegane, przez co</w:t>
            </w:r>
            <w:r w:rsidR="00525C12">
              <w:rPr>
                <w:rFonts w:ascii="Verdana" w:hAnsi="Verdana"/>
                <w:noProof/>
                <w:sz w:val="14"/>
                <w:szCs w:val="24"/>
              </w:rPr>
              <w:t xml:space="preserve"> w pra</w:t>
            </w:r>
            <w:r>
              <w:rPr>
                <w:rFonts w:ascii="Verdana" w:hAnsi="Verdana"/>
                <w:noProof/>
                <w:sz w:val="14"/>
                <w:szCs w:val="24"/>
              </w:rPr>
              <w:t xml:space="preserve">ktyce zaniechano stosowania obowiązkowych środków. </w:t>
            </w:r>
          </w:p>
          <w:p w14:paraId="2D4C041D" w14:textId="77777777" w:rsidR="00B02A81" w:rsidRPr="00C70B7E" w:rsidRDefault="00B02A81" w:rsidP="00B02A81">
            <w:pPr>
              <w:pStyle w:val="ListParagraph"/>
              <w:numPr>
                <w:ilvl w:val="0"/>
                <w:numId w:val="25"/>
              </w:numPr>
              <w:ind w:left="120" w:hanging="120"/>
              <w:rPr>
                <w:rFonts w:ascii="Verdana" w:hAnsi="Verdana" w:cs="Times New Roman"/>
                <w:noProof/>
                <w:sz w:val="24"/>
                <w:szCs w:val="24"/>
              </w:rPr>
            </w:pPr>
            <w:r>
              <w:rPr>
                <w:rFonts w:ascii="Verdana" w:hAnsi="Verdana"/>
                <w:noProof/>
                <w:sz w:val="14"/>
                <w:szCs w:val="24"/>
              </w:rPr>
              <w:t xml:space="preserve">Ogólne zmęczenie szczepieniami. </w:t>
            </w:r>
          </w:p>
        </w:tc>
        <w:tc>
          <w:tcPr>
            <w:tcW w:w="236" w:type="dxa"/>
            <w:tcBorders>
              <w:top w:val="nil"/>
              <w:left w:val="single" w:sz="4" w:space="0" w:color="77A62A"/>
              <w:bottom w:val="nil"/>
              <w:right w:val="single" w:sz="4" w:space="0" w:color="77A62A"/>
            </w:tcBorders>
          </w:tcPr>
          <w:p w14:paraId="5846A9D2" w14:textId="77777777" w:rsidR="00B02A81" w:rsidRDefault="00B02A81" w:rsidP="007A1E57">
            <w:pPr>
              <w:jc w:val="both"/>
              <w:rPr>
                <w:rFonts w:ascii="Times New Roman" w:hAnsi="Times New Roman" w:cs="Times New Roman"/>
                <w:noProof/>
                <w:sz w:val="24"/>
                <w:szCs w:val="24"/>
              </w:rPr>
            </w:pPr>
          </w:p>
        </w:tc>
        <w:tc>
          <w:tcPr>
            <w:tcW w:w="1800" w:type="dxa"/>
            <w:tcBorders>
              <w:top w:val="single" w:sz="4" w:space="0" w:color="77A62A"/>
              <w:left w:val="single" w:sz="4" w:space="0" w:color="77A62A"/>
              <w:bottom w:val="single" w:sz="4" w:space="0" w:color="77A62A"/>
              <w:right w:val="single" w:sz="4" w:space="0" w:color="77A62A"/>
            </w:tcBorders>
          </w:tcPr>
          <w:p w14:paraId="29EDBC99" w14:textId="41F33DA5" w:rsidR="00B02A81" w:rsidRPr="00C70B7E" w:rsidRDefault="00B02A81" w:rsidP="00B02A81">
            <w:pPr>
              <w:pStyle w:val="ListParagraph"/>
              <w:numPr>
                <w:ilvl w:val="0"/>
                <w:numId w:val="25"/>
              </w:numPr>
              <w:ind w:left="120" w:hanging="120"/>
              <w:rPr>
                <w:rFonts w:ascii="Verdana" w:hAnsi="Verdana" w:cs="Times New Roman"/>
                <w:noProof/>
                <w:sz w:val="24"/>
                <w:szCs w:val="24"/>
              </w:rPr>
            </w:pPr>
            <w:r>
              <w:rPr>
                <w:rFonts w:ascii="Verdana" w:hAnsi="Verdana"/>
                <w:noProof/>
                <w:sz w:val="14"/>
                <w:szCs w:val="24"/>
              </w:rPr>
              <w:t>W tym scenariuszu</w:t>
            </w:r>
            <w:r w:rsidR="00525C12">
              <w:rPr>
                <w:rFonts w:ascii="Verdana" w:hAnsi="Verdana"/>
                <w:noProof/>
                <w:sz w:val="14"/>
                <w:szCs w:val="24"/>
              </w:rPr>
              <w:t xml:space="preserve"> w koń</w:t>
            </w:r>
            <w:r>
              <w:rPr>
                <w:rFonts w:ascii="Verdana" w:hAnsi="Verdana"/>
                <w:noProof/>
                <w:sz w:val="14"/>
                <w:szCs w:val="24"/>
              </w:rPr>
              <w:t xml:space="preserve">cu dochodzi do urzeczywistnienia się stałego ryzyka pojawienia się pandemii spowodowanej nowymi szczepami. </w:t>
            </w:r>
          </w:p>
          <w:p w14:paraId="20691539" w14:textId="6E948337" w:rsidR="00B02A81" w:rsidRPr="00C70B7E" w:rsidRDefault="00B02A81" w:rsidP="00B02A81">
            <w:pPr>
              <w:pStyle w:val="ListParagraph"/>
              <w:numPr>
                <w:ilvl w:val="0"/>
                <w:numId w:val="25"/>
              </w:numPr>
              <w:ind w:left="120" w:hanging="120"/>
              <w:rPr>
                <w:rFonts w:ascii="Verdana" w:hAnsi="Verdana" w:cs="Times New Roman"/>
                <w:noProof/>
                <w:sz w:val="24"/>
                <w:szCs w:val="24"/>
              </w:rPr>
            </w:pPr>
            <w:r>
              <w:rPr>
                <w:rFonts w:ascii="Verdana" w:hAnsi="Verdana"/>
                <w:noProof/>
                <w:sz w:val="14"/>
                <w:szCs w:val="24"/>
              </w:rPr>
              <w:t>Powrót do podejścia opierającego się na wypłaszczeniu krzywej</w:t>
            </w:r>
            <w:r w:rsidR="00525C12">
              <w:rPr>
                <w:rFonts w:ascii="Verdana" w:hAnsi="Verdana"/>
                <w:noProof/>
                <w:sz w:val="14"/>
                <w:szCs w:val="24"/>
              </w:rPr>
              <w:t xml:space="preserve"> w cel</w:t>
            </w:r>
            <w:r>
              <w:rPr>
                <w:rFonts w:ascii="Verdana" w:hAnsi="Verdana"/>
                <w:noProof/>
                <w:sz w:val="14"/>
                <w:szCs w:val="24"/>
              </w:rPr>
              <w:t xml:space="preserve">u zyskania czasu na wprowadzenie zmienionej szczepionki. </w:t>
            </w:r>
          </w:p>
          <w:p w14:paraId="7A5FE4CD" w14:textId="77777777" w:rsidR="00B02A81" w:rsidRPr="00C70B7E" w:rsidRDefault="00B02A81" w:rsidP="00B02A81">
            <w:pPr>
              <w:pStyle w:val="ListParagraph"/>
              <w:numPr>
                <w:ilvl w:val="0"/>
                <w:numId w:val="25"/>
              </w:numPr>
              <w:ind w:left="120" w:hanging="120"/>
              <w:rPr>
                <w:rFonts w:ascii="Verdana" w:hAnsi="Verdana" w:cs="Times New Roman"/>
                <w:noProof/>
                <w:sz w:val="24"/>
                <w:szCs w:val="24"/>
              </w:rPr>
            </w:pPr>
            <w:r>
              <w:rPr>
                <w:rFonts w:ascii="Verdana" w:hAnsi="Verdana"/>
                <w:noProof/>
                <w:sz w:val="14"/>
                <w:szCs w:val="24"/>
              </w:rPr>
              <w:t xml:space="preserve">Ponowne nałożenie rygorystycznych ograniczeń na już zmęczoną pandemią populację wymagałoby przeprowadzenia szczegółowej oceny. </w:t>
            </w:r>
          </w:p>
        </w:tc>
      </w:tr>
    </w:tbl>
    <w:p w14:paraId="62E014BF" w14:textId="15FBB365" w:rsidR="00924F53" w:rsidRDefault="00924F53" w:rsidP="006F2DB9">
      <w:pPr>
        <w:spacing w:after="120" w:line="240" w:lineRule="auto"/>
        <w:jc w:val="both"/>
        <w:rPr>
          <w:rFonts w:ascii="Times New Roman" w:hAnsi="Times New Roman" w:cs="Times New Roman"/>
          <w:bCs/>
          <w:iCs/>
          <w:noProof/>
          <w:sz w:val="24"/>
          <w:szCs w:val="24"/>
        </w:rPr>
      </w:pPr>
    </w:p>
    <w:p w14:paraId="3B20003A" w14:textId="25EC64B2" w:rsidR="00D260FF" w:rsidRPr="00D260FF" w:rsidRDefault="000E25D3" w:rsidP="20C88EBE">
      <w:pPr>
        <w:spacing w:after="120" w:line="240" w:lineRule="auto"/>
        <w:jc w:val="both"/>
        <w:rPr>
          <w:rFonts w:ascii="Times New Roman" w:hAnsi="Times New Roman" w:cs="Times New Roman"/>
          <w:b/>
          <w:bCs/>
          <w:i/>
          <w:iCs/>
          <w:noProof/>
          <w:sz w:val="24"/>
          <w:szCs w:val="24"/>
        </w:rPr>
      </w:pPr>
      <w:r>
        <w:rPr>
          <w:rFonts w:ascii="Times New Roman" w:hAnsi="Times New Roman"/>
          <w:b/>
          <w:bCs/>
          <w:i/>
          <w:iCs/>
          <w:noProof/>
          <w:sz w:val="24"/>
          <w:szCs w:val="24"/>
        </w:rPr>
        <w:t>Zwalczanie szerszych skutków zdrowotnych pandemii,</w:t>
      </w:r>
      <w:r w:rsidR="00525C12">
        <w:rPr>
          <w:rFonts w:ascii="Times New Roman" w:hAnsi="Times New Roman"/>
          <w:b/>
          <w:bCs/>
          <w:i/>
          <w:iCs/>
          <w:noProof/>
          <w:sz w:val="24"/>
          <w:szCs w:val="24"/>
        </w:rPr>
        <w:t xml:space="preserve"> w tym</w:t>
      </w:r>
      <w:r>
        <w:rPr>
          <w:rFonts w:ascii="Times New Roman" w:hAnsi="Times New Roman"/>
          <w:b/>
          <w:bCs/>
          <w:i/>
          <w:iCs/>
          <w:noProof/>
          <w:sz w:val="24"/>
          <w:szCs w:val="24"/>
        </w:rPr>
        <w:t xml:space="preserve"> „przewlekłego COVID-19” </w:t>
      </w:r>
    </w:p>
    <w:p w14:paraId="55B57BEC" w14:textId="6E9A5B13" w:rsidR="00BD6BEE" w:rsidRDefault="00DC5E9C" w:rsidP="00DC5E9C">
      <w:pPr>
        <w:spacing w:line="240" w:lineRule="auto"/>
        <w:jc w:val="both"/>
        <w:rPr>
          <w:rFonts w:ascii="Times New Roman" w:hAnsi="Times New Roman" w:cs="Times New Roman"/>
          <w:noProof/>
          <w:sz w:val="24"/>
          <w:szCs w:val="24"/>
        </w:rPr>
      </w:pPr>
      <w:r>
        <w:rPr>
          <w:rFonts w:ascii="Times New Roman" w:hAnsi="Times New Roman"/>
          <w:noProof/>
          <w:sz w:val="24"/>
          <w:szCs w:val="24"/>
        </w:rPr>
        <w:t>Jak dotąd poznaliśmy jedynie część złożonych, bezpośrednich</w:t>
      </w:r>
      <w:r w:rsidR="00525C12">
        <w:rPr>
          <w:rFonts w:ascii="Times New Roman" w:hAnsi="Times New Roman"/>
          <w:noProof/>
          <w:sz w:val="24"/>
          <w:szCs w:val="24"/>
        </w:rPr>
        <w:t xml:space="preserve"> i poś</w:t>
      </w:r>
      <w:r>
        <w:rPr>
          <w:rFonts w:ascii="Times New Roman" w:hAnsi="Times New Roman"/>
          <w:noProof/>
          <w:sz w:val="24"/>
          <w:szCs w:val="24"/>
        </w:rPr>
        <w:t>rednich skutków zdrowotnych pandemii COVID-19. Aby zyskać pełne zrozumienie takich skutków zdrowotnych, konieczne będzie dalsze gromadzenie</w:t>
      </w:r>
      <w:r w:rsidR="00525C12">
        <w:rPr>
          <w:rFonts w:ascii="Times New Roman" w:hAnsi="Times New Roman"/>
          <w:noProof/>
          <w:sz w:val="24"/>
          <w:szCs w:val="24"/>
        </w:rPr>
        <w:t xml:space="preserve"> i ana</w:t>
      </w:r>
      <w:r>
        <w:rPr>
          <w:rFonts w:ascii="Times New Roman" w:hAnsi="Times New Roman"/>
          <w:noProof/>
          <w:sz w:val="24"/>
          <w:szCs w:val="24"/>
        </w:rPr>
        <w:t>lizowanie danych</w:t>
      </w:r>
      <w:r w:rsidR="00525C12">
        <w:rPr>
          <w:rFonts w:ascii="Times New Roman" w:hAnsi="Times New Roman"/>
          <w:noProof/>
          <w:sz w:val="24"/>
          <w:szCs w:val="24"/>
        </w:rPr>
        <w:t xml:space="preserve"> w kol</w:t>
      </w:r>
      <w:r>
        <w:rPr>
          <w:rFonts w:ascii="Times New Roman" w:hAnsi="Times New Roman"/>
          <w:noProof/>
          <w:sz w:val="24"/>
          <w:szCs w:val="24"/>
        </w:rPr>
        <w:t>ejnych latach. Ponadto należy zrozumieć skalę problemów</w:t>
      </w:r>
      <w:r w:rsidR="00525C12">
        <w:rPr>
          <w:rFonts w:ascii="Times New Roman" w:hAnsi="Times New Roman"/>
          <w:noProof/>
          <w:sz w:val="24"/>
          <w:szCs w:val="24"/>
        </w:rPr>
        <w:t xml:space="preserve"> w zak</w:t>
      </w:r>
      <w:r>
        <w:rPr>
          <w:rFonts w:ascii="Times New Roman" w:hAnsi="Times New Roman"/>
          <w:noProof/>
          <w:sz w:val="24"/>
          <w:szCs w:val="24"/>
        </w:rPr>
        <w:t>resie zdrowia publicznego</w:t>
      </w:r>
      <w:r w:rsidR="00525C12">
        <w:rPr>
          <w:rFonts w:ascii="Times New Roman" w:hAnsi="Times New Roman"/>
          <w:noProof/>
          <w:sz w:val="24"/>
          <w:szCs w:val="24"/>
        </w:rPr>
        <w:t xml:space="preserve"> i pro</w:t>
      </w:r>
      <w:r>
        <w:rPr>
          <w:rFonts w:ascii="Times New Roman" w:hAnsi="Times New Roman"/>
          <w:noProof/>
          <w:sz w:val="24"/>
          <w:szCs w:val="24"/>
        </w:rPr>
        <w:t>blemów społeczno-ekonomicznych związanych</w:t>
      </w:r>
      <w:r w:rsidR="00525C12">
        <w:rPr>
          <w:rFonts w:ascii="Times New Roman" w:hAnsi="Times New Roman"/>
          <w:noProof/>
          <w:sz w:val="24"/>
          <w:szCs w:val="24"/>
        </w:rPr>
        <w:t xml:space="preserve"> z oso</w:t>
      </w:r>
      <w:r>
        <w:rPr>
          <w:rFonts w:ascii="Times New Roman" w:hAnsi="Times New Roman"/>
          <w:noProof/>
          <w:sz w:val="24"/>
          <w:szCs w:val="24"/>
        </w:rPr>
        <w:t xml:space="preserve">bami cierpiącymi na zespół post-COVID-19, zwany również przewlekłym COVID-19. </w:t>
      </w:r>
    </w:p>
    <w:p w14:paraId="01869660" w14:textId="3C3794CC" w:rsidR="00991A79" w:rsidRPr="00525C12" w:rsidRDefault="00991A79" w:rsidP="00991A79">
      <w:pPr>
        <w:spacing w:line="240" w:lineRule="auto"/>
        <w:jc w:val="both"/>
        <w:rPr>
          <w:rFonts w:ascii="Times New Roman" w:hAnsi="Times New Roman" w:cs="Times New Roman"/>
          <w:noProof/>
          <w:sz w:val="24"/>
          <w:szCs w:val="24"/>
        </w:rPr>
      </w:pPr>
      <w:r>
        <w:rPr>
          <w:rFonts w:ascii="Times New Roman" w:hAnsi="Times New Roman"/>
          <w:noProof/>
          <w:sz w:val="24"/>
          <w:szCs w:val="24"/>
        </w:rPr>
        <w:t>Większą wagę trzeba będzie przywiązywać do kwestii dostosowania zasobów finansowych</w:t>
      </w:r>
      <w:r w:rsidR="00525C12">
        <w:rPr>
          <w:rFonts w:ascii="Times New Roman" w:hAnsi="Times New Roman"/>
          <w:noProof/>
          <w:sz w:val="24"/>
          <w:szCs w:val="24"/>
        </w:rPr>
        <w:t xml:space="preserve"> i lud</w:t>
      </w:r>
      <w:r>
        <w:rPr>
          <w:rFonts w:ascii="Times New Roman" w:hAnsi="Times New Roman"/>
          <w:noProof/>
          <w:sz w:val="24"/>
          <w:szCs w:val="24"/>
        </w:rPr>
        <w:t>zkich oraz towarów przeznaczonych do świadczenia opieki zdrowotnej na potrzeby zapewnienia odporności systemów opieki zdrowotnej. Dodatkowo, aby móc lepiej planować zaspokajanie potrzeb związanych</w:t>
      </w:r>
      <w:r w:rsidR="00525C12">
        <w:rPr>
          <w:rFonts w:ascii="Times New Roman" w:hAnsi="Times New Roman"/>
          <w:noProof/>
          <w:sz w:val="24"/>
          <w:szCs w:val="24"/>
        </w:rPr>
        <w:t xml:space="preserve"> z opi</w:t>
      </w:r>
      <w:r>
        <w:rPr>
          <w:rFonts w:ascii="Times New Roman" w:hAnsi="Times New Roman"/>
          <w:noProof/>
          <w:sz w:val="24"/>
          <w:szCs w:val="24"/>
        </w:rPr>
        <w:t>eką zdrowotną, należy osiągnąć lepsze zrozumienie podwyższonych poziomów zachorowalności</w:t>
      </w:r>
      <w:r w:rsidR="00525C12">
        <w:rPr>
          <w:rFonts w:ascii="Times New Roman" w:hAnsi="Times New Roman"/>
          <w:noProof/>
          <w:sz w:val="24"/>
          <w:szCs w:val="24"/>
        </w:rPr>
        <w:t xml:space="preserve"> i śmi</w:t>
      </w:r>
      <w:r>
        <w:rPr>
          <w:rFonts w:ascii="Times New Roman" w:hAnsi="Times New Roman"/>
          <w:noProof/>
          <w:sz w:val="24"/>
          <w:szCs w:val="24"/>
        </w:rPr>
        <w:t>ertelności obserwowanych</w:t>
      </w:r>
      <w:r w:rsidR="00525C12">
        <w:rPr>
          <w:rFonts w:ascii="Times New Roman" w:hAnsi="Times New Roman"/>
          <w:noProof/>
          <w:sz w:val="24"/>
          <w:szCs w:val="24"/>
        </w:rPr>
        <w:t xml:space="preserve"> w cza</w:t>
      </w:r>
      <w:r>
        <w:rPr>
          <w:rFonts w:ascii="Times New Roman" w:hAnsi="Times New Roman"/>
          <w:noProof/>
          <w:sz w:val="24"/>
          <w:szCs w:val="24"/>
        </w:rPr>
        <w:t>sie pandemii, również</w:t>
      </w:r>
      <w:r w:rsidR="00525C12">
        <w:rPr>
          <w:rFonts w:ascii="Times New Roman" w:hAnsi="Times New Roman"/>
          <w:noProof/>
          <w:sz w:val="24"/>
          <w:szCs w:val="24"/>
        </w:rPr>
        <w:t xml:space="preserve"> w zwi</w:t>
      </w:r>
      <w:r>
        <w:rPr>
          <w:rFonts w:ascii="Times New Roman" w:hAnsi="Times New Roman"/>
          <w:noProof/>
          <w:sz w:val="24"/>
          <w:szCs w:val="24"/>
        </w:rPr>
        <w:t>ązku</w:t>
      </w:r>
      <w:r w:rsidR="00525C12">
        <w:rPr>
          <w:rFonts w:ascii="Times New Roman" w:hAnsi="Times New Roman"/>
          <w:noProof/>
          <w:sz w:val="24"/>
          <w:szCs w:val="24"/>
        </w:rPr>
        <w:t xml:space="preserve"> z opó</w:t>
      </w:r>
      <w:r>
        <w:rPr>
          <w:rFonts w:ascii="Times New Roman" w:hAnsi="Times New Roman"/>
          <w:noProof/>
          <w:sz w:val="24"/>
          <w:szCs w:val="24"/>
        </w:rPr>
        <w:t>źnieniami</w:t>
      </w:r>
      <w:r w:rsidR="00525C12">
        <w:rPr>
          <w:rFonts w:ascii="Times New Roman" w:hAnsi="Times New Roman"/>
          <w:noProof/>
          <w:sz w:val="24"/>
          <w:szCs w:val="24"/>
        </w:rPr>
        <w:t xml:space="preserve"> w opi</w:t>
      </w:r>
      <w:r>
        <w:rPr>
          <w:rFonts w:ascii="Times New Roman" w:hAnsi="Times New Roman"/>
          <w:noProof/>
          <w:sz w:val="24"/>
          <w:szCs w:val="24"/>
        </w:rPr>
        <w:t>ece niezwiązanej z COVID-19. Podobnie należy zintensyfikować działania na wszystkich poziomach, aby zwalczać czynniki,</w:t>
      </w:r>
      <w:r w:rsidR="00525C12">
        <w:rPr>
          <w:rFonts w:ascii="Times New Roman" w:hAnsi="Times New Roman"/>
          <w:noProof/>
          <w:sz w:val="24"/>
          <w:szCs w:val="24"/>
        </w:rPr>
        <w:t xml:space="preserve"> o któ</w:t>
      </w:r>
      <w:r>
        <w:rPr>
          <w:rFonts w:ascii="Times New Roman" w:hAnsi="Times New Roman"/>
          <w:noProof/>
          <w:sz w:val="24"/>
          <w:szCs w:val="24"/>
        </w:rPr>
        <w:t>rych wiadomo, że zwiększają ryzyko ciężkiego przebiegu COVID-19, takie jak otyłość</w:t>
      </w:r>
      <w:r w:rsidR="00525C12">
        <w:rPr>
          <w:rFonts w:ascii="Times New Roman" w:hAnsi="Times New Roman"/>
          <w:noProof/>
          <w:sz w:val="24"/>
          <w:szCs w:val="24"/>
        </w:rPr>
        <w:t xml:space="preserve"> i cuk</w:t>
      </w:r>
      <w:r>
        <w:rPr>
          <w:rFonts w:ascii="Times New Roman" w:hAnsi="Times New Roman"/>
          <w:noProof/>
          <w:sz w:val="24"/>
          <w:szCs w:val="24"/>
        </w:rPr>
        <w:t>rzyca</w:t>
      </w:r>
      <w:r w:rsidRPr="00525C12">
        <w:rPr>
          <w:rFonts w:ascii="Times New Roman" w:hAnsi="Times New Roman"/>
          <w:noProof/>
          <w:sz w:val="24"/>
          <w:szCs w:val="24"/>
        </w:rPr>
        <w:t>.</w:t>
      </w:r>
      <w:r w:rsidR="00525C12" w:rsidRPr="00525C12">
        <w:rPr>
          <w:rFonts w:ascii="Times New Roman" w:hAnsi="Times New Roman"/>
          <w:noProof/>
          <w:sz w:val="24"/>
          <w:szCs w:val="24"/>
        </w:rPr>
        <w:t xml:space="preserve"> </w:t>
      </w:r>
    </w:p>
    <w:p w14:paraId="2DAB5199" w14:textId="5C414080" w:rsidR="00BD6BEE" w:rsidRDefault="00DC5E9C" w:rsidP="00BD6BEE">
      <w:pPr>
        <w:spacing w:line="240" w:lineRule="auto"/>
        <w:jc w:val="both"/>
        <w:rPr>
          <w:rFonts w:ascii="Times New Roman" w:hAnsi="Times New Roman" w:cs="Times New Roman"/>
          <w:noProof/>
          <w:sz w:val="24"/>
          <w:szCs w:val="24"/>
        </w:rPr>
      </w:pPr>
      <w:r>
        <w:rPr>
          <w:rFonts w:ascii="Times New Roman" w:hAnsi="Times New Roman"/>
          <w:noProof/>
          <w:sz w:val="24"/>
          <w:szCs w:val="24"/>
        </w:rPr>
        <w:t>Jednocześnie piętno pandemii coraz bardziej odbija się na zdrowiu psychicznym,</w:t>
      </w:r>
      <w:r w:rsidR="00525C12">
        <w:rPr>
          <w:rFonts w:ascii="Times New Roman" w:hAnsi="Times New Roman"/>
          <w:noProof/>
          <w:sz w:val="24"/>
          <w:szCs w:val="24"/>
        </w:rPr>
        <w:t xml:space="preserve"> o czy</w:t>
      </w:r>
      <w:r>
        <w:rPr>
          <w:rFonts w:ascii="Times New Roman" w:hAnsi="Times New Roman"/>
          <w:noProof/>
          <w:sz w:val="24"/>
          <w:szCs w:val="24"/>
        </w:rPr>
        <w:t>m świadczy znaczny wzrost zgłaszanych przypadków osób cierpiących na zaburzenia lękowe</w:t>
      </w:r>
      <w:r w:rsidR="00525C12">
        <w:rPr>
          <w:rFonts w:ascii="Times New Roman" w:hAnsi="Times New Roman"/>
          <w:noProof/>
          <w:sz w:val="24"/>
          <w:szCs w:val="24"/>
        </w:rPr>
        <w:t xml:space="preserve"> i dep</w:t>
      </w:r>
      <w:r>
        <w:rPr>
          <w:rFonts w:ascii="Times New Roman" w:hAnsi="Times New Roman"/>
          <w:noProof/>
          <w:sz w:val="24"/>
          <w:szCs w:val="24"/>
        </w:rPr>
        <w:t>resyjne</w:t>
      </w:r>
      <w:r w:rsidR="00525C12">
        <w:rPr>
          <w:rFonts w:ascii="Times New Roman" w:hAnsi="Times New Roman"/>
          <w:noProof/>
          <w:sz w:val="24"/>
          <w:szCs w:val="24"/>
        </w:rPr>
        <w:t xml:space="preserve"> w wię</w:t>
      </w:r>
      <w:r>
        <w:rPr>
          <w:rFonts w:ascii="Times New Roman" w:hAnsi="Times New Roman"/>
          <w:noProof/>
          <w:sz w:val="24"/>
          <w:szCs w:val="24"/>
        </w:rPr>
        <w:t>kszości europejskich państw</w:t>
      </w:r>
      <w:r w:rsidR="00525C12">
        <w:rPr>
          <w:rFonts w:ascii="Times New Roman" w:hAnsi="Times New Roman"/>
          <w:noProof/>
          <w:sz w:val="24"/>
          <w:szCs w:val="24"/>
        </w:rPr>
        <w:t>. Z dos</w:t>
      </w:r>
      <w:r>
        <w:rPr>
          <w:rFonts w:ascii="Times New Roman" w:hAnsi="Times New Roman"/>
          <w:noProof/>
          <w:sz w:val="24"/>
          <w:szCs w:val="24"/>
        </w:rPr>
        <w:t>tępnych danych wynika, że wpływ pandemii COVID-19 na zdrowie psychiczne ludzi jest najbardziej wyraźny wśród dzieci</w:t>
      </w:r>
      <w:r w:rsidR="00F02887">
        <w:rPr>
          <w:rStyle w:val="FootnoteReference"/>
          <w:rFonts w:ascii="Times New Roman" w:hAnsi="Times New Roman" w:cs="Times New Roman"/>
          <w:noProof/>
          <w:sz w:val="24"/>
          <w:szCs w:val="24"/>
        </w:rPr>
        <w:footnoteReference w:id="41"/>
      </w:r>
      <w:r w:rsidR="00525C12">
        <w:rPr>
          <w:rFonts w:ascii="Times New Roman" w:hAnsi="Times New Roman"/>
          <w:noProof/>
          <w:sz w:val="24"/>
          <w:szCs w:val="24"/>
        </w:rPr>
        <w:t xml:space="preserve"> i mło</w:t>
      </w:r>
      <w:r>
        <w:rPr>
          <w:rFonts w:ascii="Times New Roman" w:hAnsi="Times New Roman"/>
          <w:noProof/>
          <w:sz w:val="24"/>
          <w:szCs w:val="24"/>
        </w:rPr>
        <w:t>dzieży, kobiet</w:t>
      </w:r>
      <w:r w:rsidR="00525C12">
        <w:rPr>
          <w:rFonts w:ascii="Times New Roman" w:hAnsi="Times New Roman"/>
          <w:noProof/>
          <w:sz w:val="24"/>
          <w:szCs w:val="24"/>
        </w:rPr>
        <w:t xml:space="preserve"> i osó</w:t>
      </w:r>
      <w:r>
        <w:rPr>
          <w:rFonts w:ascii="Times New Roman" w:hAnsi="Times New Roman"/>
          <w:noProof/>
          <w:sz w:val="24"/>
          <w:szCs w:val="24"/>
        </w:rPr>
        <w:t>b należących do grup wysokiego ryzyka, takich jak osoby starsze</w:t>
      </w:r>
      <w:r w:rsidR="00525C12">
        <w:rPr>
          <w:rFonts w:ascii="Times New Roman" w:hAnsi="Times New Roman"/>
          <w:noProof/>
          <w:sz w:val="24"/>
          <w:szCs w:val="24"/>
        </w:rPr>
        <w:t xml:space="preserve"> i oso</w:t>
      </w:r>
      <w:r>
        <w:rPr>
          <w:rFonts w:ascii="Times New Roman" w:hAnsi="Times New Roman"/>
          <w:noProof/>
          <w:sz w:val="24"/>
          <w:szCs w:val="24"/>
        </w:rPr>
        <w:t>by cierpiące na choroby przewlekłe lub osoby</w:t>
      </w:r>
      <w:r w:rsidR="00525C12">
        <w:rPr>
          <w:rFonts w:ascii="Times New Roman" w:hAnsi="Times New Roman"/>
          <w:noProof/>
          <w:sz w:val="24"/>
          <w:szCs w:val="24"/>
        </w:rPr>
        <w:t xml:space="preserve"> z nie</w:t>
      </w:r>
      <w:r>
        <w:rPr>
          <w:rFonts w:ascii="Times New Roman" w:hAnsi="Times New Roman"/>
          <w:noProof/>
          <w:sz w:val="24"/>
          <w:szCs w:val="24"/>
        </w:rPr>
        <w:t>pełnosprawnościami</w:t>
      </w:r>
      <w:r w:rsidR="00F02887">
        <w:rPr>
          <w:rStyle w:val="FootnoteReference"/>
          <w:rFonts w:ascii="Times New Roman" w:hAnsi="Times New Roman" w:cs="Times New Roman"/>
          <w:noProof/>
          <w:sz w:val="24"/>
          <w:szCs w:val="24"/>
        </w:rPr>
        <w:footnoteReference w:id="42"/>
      </w:r>
      <w:r>
        <w:rPr>
          <w:rFonts w:ascii="Times New Roman" w:hAnsi="Times New Roman"/>
          <w:noProof/>
          <w:sz w:val="24"/>
          <w:szCs w:val="24"/>
        </w:rPr>
        <w:t xml:space="preserve">. </w:t>
      </w:r>
    </w:p>
    <w:p w14:paraId="137124AC" w14:textId="6674C523" w:rsidR="00F02887" w:rsidRDefault="00F02887" w:rsidP="00BD6BEE">
      <w:pPr>
        <w:spacing w:line="240" w:lineRule="auto"/>
        <w:jc w:val="both"/>
        <w:rPr>
          <w:rFonts w:ascii="Times New Roman" w:hAnsi="Times New Roman" w:cs="Times New Roman"/>
          <w:noProof/>
          <w:sz w:val="24"/>
          <w:szCs w:val="24"/>
        </w:rPr>
      </w:pPr>
      <w:r>
        <w:rPr>
          <w:rFonts w:ascii="Times New Roman" w:hAnsi="Times New Roman"/>
          <w:noProof/>
          <w:sz w:val="24"/>
          <w:szCs w:val="24"/>
        </w:rPr>
        <w:t>W lutym 20</w:t>
      </w:r>
      <w:r w:rsidRPr="00525C12">
        <w:rPr>
          <w:rFonts w:ascii="Times New Roman" w:hAnsi="Times New Roman"/>
          <w:noProof/>
          <w:sz w:val="24"/>
          <w:szCs w:val="24"/>
        </w:rPr>
        <w:t>22</w:t>
      </w:r>
      <w:r w:rsidR="00525C12" w:rsidRPr="00525C12">
        <w:rPr>
          <w:rFonts w:ascii="Times New Roman" w:hAnsi="Times New Roman"/>
          <w:noProof/>
          <w:sz w:val="24"/>
          <w:szCs w:val="24"/>
        </w:rPr>
        <w:t> </w:t>
      </w:r>
      <w:r w:rsidRPr="00525C12">
        <w:rPr>
          <w:rFonts w:ascii="Times New Roman" w:hAnsi="Times New Roman"/>
          <w:noProof/>
          <w:sz w:val="24"/>
          <w:szCs w:val="24"/>
        </w:rPr>
        <w:t>r.</w:t>
      </w:r>
      <w:r>
        <w:rPr>
          <w:rFonts w:ascii="Times New Roman" w:hAnsi="Times New Roman"/>
          <w:noProof/>
          <w:sz w:val="24"/>
          <w:szCs w:val="24"/>
        </w:rPr>
        <w:t xml:space="preserve"> Komisja ogłosiła zaproszenie do składania wniosków dotyczących projektów służących wspieraniu zdrowia psychicznego narażonych dzieci</w:t>
      </w:r>
      <w:r w:rsidR="00525C12">
        <w:rPr>
          <w:rFonts w:ascii="Times New Roman" w:hAnsi="Times New Roman"/>
          <w:noProof/>
          <w:sz w:val="24"/>
          <w:szCs w:val="24"/>
        </w:rPr>
        <w:t xml:space="preserve"> i mło</w:t>
      </w:r>
      <w:r>
        <w:rPr>
          <w:rFonts w:ascii="Times New Roman" w:hAnsi="Times New Roman"/>
          <w:noProof/>
          <w:sz w:val="24"/>
          <w:szCs w:val="24"/>
        </w:rPr>
        <w:t>dzieży</w:t>
      </w:r>
      <w:r w:rsidRPr="006A56EF">
        <w:rPr>
          <w:rStyle w:val="FootnoteReference"/>
          <w:rFonts w:ascii="Times New Roman" w:hAnsi="Times New Roman" w:cs="Times New Roman"/>
          <w:noProof/>
          <w:sz w:val="24"/>
          <w:szCs w:val="24"/>
        </w:rPr>
        <w:footnoteReference w:id="43"/>
      </w:r>
      <w:r>
        <w:rPr>
          <w:rFonts w:ascii="Times New Roman" w:hAnsi="Times New Roman"/>
          <w:noProof/>
          <w:sz w:val="24"/>
          <w:szCs w:val="24"/>
        </w:rPr>
        <w:t>, przy czym na rzecz każdego projektu ma zostać przekazana dotacja</w:t>
      </w:r>
      <w:r w:rsidR="00525C12">
        <w:rPr>
          <w:rFonts w:ascii="Times New Roman" w:hAnsi="Times New Roman"/>
          <w:noProof/>
          <w:sz w:val="24"/>
          <w:szCs w:val="24"/>
        </w:rPr>
        <w:t xml:space="preserve"> o war</w:t>
      </w:r>
      <w:r>
        <w:rPr>
          <w:rFonts w:ascii="Times New Roman" w:hAnsi="Times New Roman"/>
          <w:noProof/>
          <w:sz w:val="24"/>
          <w:szCs w:val="24"/>
        </w:rPr>
        <w:t>tości 4 mln EUR, również jako wkład</w:t>
      </w:r>
      <w:r w:rsidR="00525C12">
        <w:rPr>
          <w:rFonts w:ascii="Times New Roman" w:hAnsi="Times New Roman"/>
          <w:noProof/>
          <w:sz w:val="24"/>
          <w:szCs w:val="24"/>
        </w:rPr>
        <w:t xml:space="preserve"> w Eur</w:t>
      </w:r>
      <w:r>
        <w:rPr>
          <w:rFonts w:ascii="Times New Roman" w:hAnsi="Times New Roman"/>
          <w:noProof/>
          <w:sz w:val="24"/>
          <w:szCs w:val="24"/>
        </w:rPr>
        <w:t xml:space="preserve">opejski Rok Młodzieży. 4 maja zostanie przyznana nagroda EU Health Award </w:t>
      </w:r>
      <w:r w:rsidRPr="00525C12">
        <w:rPr>
          <w:rFonts w:ascii="Times New Roman" w:hAnsi="Times New Roman"/>
          <w:noProof/>
          <w:sz w:val="24"/>
          <w:szCs w:val="24"/>
        </w:rPr>
        <w:t>za</w:t>
      </w:r>
      <w:r w:rsidR="00525C12" w:rsidRPr="00525C12">
        <w:rPr>
          <w:rFonts w:ascii="Times New Roman" w:hAnsi="Times New Roman"/>
          <w:noProof/>
          <w:sz w:val="24"/>
          <w:szCs w:val="24"/>
        </w:rPr>
        <w:t> </w:t>
      </w:r>
      <w:r w:rsidRPr="00525C12">
        <w:rPr>
          <w:rFonts w:ascii="Times New Roman" w:hAnsi="Times New Roman"/>
          <w:noProof/>
          <w:sz w:val="24"/>
          <w:szCs w:val="24"/>
        </w:rPr>
        <w:t>2</w:t>
      </w:r>
      <w:r>
        <w:rPr>
          <w:rFonts w:ascii="Times New Roman" w:hAnsi="Times New Roman"/>
          <w:noProof/>
          <w:sz w:val="24"/>
          <w:szCs w:val="24"/>
        </w:rPr>
        <w:t>0</w:t>
      </w:r>
      <w:r w:rsidRPr="00525C12">
        <w:rPr>
          <w:rFonts w:ascii="Times New Roman" w:hAnsi="Times New Roman"/>
          <w:noProof/>
          <w:sz w:val="24"/>
          <w:szCs w:val="24"/>
        </w:rPr>
        <w:t>21</w:t>
      </w:r>
      <w:r w:rsidR="00525C12" w:rsidRPr="00525C12">
        <w:rPr>
          <w:rFonts w:ascii="Times New Roman" w:hAnsi="Times New Roman"/>
          <w:noProof/>
          <w:sz w:val="24"/>
          <w:szCs w:val="24"/>
        </w:rPr>
        <w:t> </w:t>
      </w:r>
      <w:r w:rsidRPr="00525C12">
        <w:rPr>
          <w:rFonts w:ascii="Times New Roman" w:hAnsi="Times New Roman"/>
          <w:noProof/>
          <w:sz w:val="24"/>
          <w:szCs w:val="24"/>
        </w:rPr>
        <w:t>r.</w:t>
      </w:r>
      <w:r>
        <w:rPr>
          <w:rFonts w:ascii="Times New Roman" w:hAnsi="Times New Roman"/>
          <w:noProof/>
          <w:sz w:val="24"/>
          <w:szCs w:val="24"/>
        </w:rPr>
        <w:t>,</w:t>
      </w:r>
      <w:r w:rsidR="00525C12">
        <w:rPr>
          <w:rFonts w:ascii="Times New Roman" w:hAnsi="Times New Roman"/>
          <w:noProof/>
          <w:sz w:val="24"/>
          <w:szCs w:val="24"/>
        </w:rPr>
        <w:t xml:space="preserve"> w ram</w:t>
      </w:r>
      <w:r>
        <w:rPr>
          <w:rFonts w:ascii="Times New Roman" w:hAnsi="Times New Roman"/>
          <w:noProof/>
          <w:sz w:val="24"/>
          <w:szCs w:val="24"/>
        </w:rPr>
        <w:t>ach której docenione zostaną inicjatywy społeczne na rzecz ograniczenia wpływu COVID-19 na zdrowie psychiczne. Na wsparcie wprowadzenia dwóch praktyk zwalczania problemów</w:t>
      </w:r>
      <w:r w:rsidR="00525C12">
        <w:rPr>
          <w:rFonts w:ascii="Times New Roman" w:hAnsi="Times New Roman"/>
          <w:noProof/>
          <w:sz w:val="24"/>
          <w:szCs w:val="24"/>
        </w:rPr>
        <w:t xml:space="preserve"> w zak</w:t>
      </w:r>
      <w:r>
        <w:rPr>
          <w:rFonts w:ascii="Times New Roman" w:hAnsi="Times New Roman"/>
          <w:noProof/>
          <w:sz w:val="24"/>
          <w:szCs w:val="24"/>
        </w:rPr>
        <w:t>resie zdrowia psychicznego</w:t>
      </w:r>
      <w:r w:rsidR="00525C12">
        <w:rPr>
          <w:rFonts w:ascii="Times New Roman" w:hAnsi="Times New Roman"/>
          <w:noProof/>
          <w:sz w:val="24"/>
          <w:szCs w:val="24"/>
        </w:rPr>
        <w:t xml:space="preserve"> w cza</w:t>
      </w:r>
      <w:r>
        <w:rPr>
          <w:rFonts w:ascii="Times New Roman" w:hAnsi="Times New Roman"/>
          <w:noProof/>
          <w:sz w:val="24"/>
          <w:szCs w:val="24"/>
        </w:rPr>
        <w:t xml:space="preserve">sie pandemii COVID-19 przeznaczona zostanie kwota </w:t>
      </w:r>
      <w:r w:rsidRPr="00525C12">
        <w:rPr>
          <w:rFonts w:ascii="Times New Roman" w:hAnsi="Times New Roman"/>
          <w:noProof/>
          <w:sz w:val="24"/>
          <w:szCs w:val="24"/>
        </w:rPr>
        <w:t>do</w:t>
      </w:r>
      <w:r w:rsidR="00525C12" w:rsidRPr="00525C12">
        <w:rPr>
          <w:rFonts w:ascii="Times New Roman" w:hAnsi="Times New Roman"/>
          <w:noProof/>
          <w:sz w:val="24"/>
          <w:szCs w:val="24"/>
        </w:rPr>
        <w:t> </w:t>
      </w:r>
      <w:r w:rsidRPr="00525C12">
        <w:rPr>
          <w:rFonts w:ascii="Times New Roman" w:hAnsi="Times New Roman"/>
          <w:noProof/>
          <w:sz w:val="24"/>
          <w:szCs w:val="24"/>
        </w:rPr>
        <w:t>7</w:t>
      </w:r>
      <w:r>
        <w:rPr>
          <w:rFonts w:ascii="Times New Roman" w:hAnsi="Times New Roman"/>
          <w:noProof/>
          <w:sz w:val="24"/>
          <w:szCs w:val="24"/>
        </w:rPr>
        <w:t xml:space="preserve">50 000 EUR. </w:t>
      </w:r>
    </w:p>
    <w:p w14:paraId="0BEA656D" w14:textId="721DCD65" w:rsidR="002D21B7" w:rsidRPr="002D21B7" w:rsidRDefault="002D21B7" w:rsidP="002D21B7">
      <w:pPr>
        <w:spacing w:after="120" w:line="240" w:lineRule="auto"/>
        <w:jc w:val="both"/>
        <w:rPr>
          <w:rFonts w:ascii="Times New Roman" w:hAnsi="Times New Roman" w:cs="Times New Roman"/>
          <w:b/>
          <w:i/>
          <w:noProof/>
          <w:sz w:val="24"/>
          <w:szCs w:val="24"/>
        </w:rPr>
      </w:pPr>
      <w:r>
        <w:rPr>
          <w:rFonts w:ascii="Times New Roman" w:hAnsi="Times New Roman"/>
          <w:b/>
          <w:i/>
          <w:noProof/>
          <w:sz w:val="24"/>
          <w:szCs w:val="24"/>
        </w:rPr>
        <w:t>Przyspieszenie transformacji cyfrowej</w:t>
      </w:r>
      <w:r w:rsidR="00525C12">
        <w:rPr>
          <w:rFonts w:ascii="Times New Roman" w:hAnsi="Times New Roman"/>
          <w:b/>
          <w:i/>
          <w:noProof/>
          <w:sz w:val="24"/>
          <w:szCs w:val="24"/>
        </w:rPr>
        <w:t xml:space="preserve"> w zak</w:t>
      </w:r>
      <w:r>
        <w:rPr>
          <w:rFonts w:ascii="Times New Roman" w:hAnsi="Times New Roman"/>
          <w:b/>
          <w:i/>
          <w:noProof/>
          <w:sz w:val="24"/>
          <w:szCs w:val="24"/>
        </w:rPr>
        <w:t xml:space="preserve">resie zdrowia </w:t>
      </w:r>
    </w:p>
    <w:p w14:paraId="08F360E7" w14:textId="3E6057A5" w:rsidR="00E27F0F" w:rsidRPr="00525C12" w:rsidRDefault="002D21B7" w:rsidP="00D33CBB">
      <w:pPr>
        <w:spacing w:line="240" w:lineRule="auto"/>
        <w:jc w:val="both"/>
        <w:rPr>
          <w:rFonts w:ascii="Times New Roman" w:hAnsi="Times New Roman" w:cs="Times New Roman"/>
          <w:b/>
          <w:bCs/>
          <w:noProof/>
          <w:sz w:val="24"/>
          <w:szCs w:val="24"/>
        </w:rPr>
      </w:pPr>
      <w:r>
        <w:rPr>
          <w:rFonts w:ascii="Times New Roman" w:hAnsi="Times New Roman"/>
          <w:noProof/>
          <w:sz w:val="24"/>
          <w:szCs w:val="24"/>
        </w:rPr>
        <w:t>Pandemia COVID-19 wyraźnie pokazała znaczenie usług cyfrowych</w:t>
      </w:r>
      <w:r w:rsidR="00525C12">
        <w:rPr>
          <w:rFonts w:ascii="Times New Roman" w:hAnsi="Times New Roman"/>
          <w:noProof/>
          <w:sz w:val="24"/>
          <w:szCs w:val="24"/>
        </w:rPr>
        <w:t xml:space="preserve"> i spo</w:t>
      </w:r>
      <w:r>
        <w:rPr>
          <w:rFonts w:ascii="Times New Roman" w:hAnsi="Times New Roman"/>
          <w:noProof/>
          <w:sz w:val="24"/>
          <w:szCs w:val="24"/>
        </w:rPr>
        <w:t>wodowała ogromne przyspieszenie wdrażania narzędzi cyfrowych,</w:t>
      </w:r>
      <w:r w:rsidR="00525C12">
        <w:rPr>
          <w:rFonts w:ascii="Times New Roman" w:hAnsi="Times New Roman"/>
          <w:noProof/>
          <w:sz w:val="24"/>
          <w:szCs w:val="24"/>
        </w:rPr>
        <w:t xml:space="preserve"> w tym w zak</w:t>
      </w:r>
      <w:r>
        <w:rPr>
          <w:rFonts w:ascii="Times New Roman" w:hAnsi="Times New Roman"/>
          <w:noProof/>
          <w:sz w:val="24"/>
          <w:szCs w:val="24"/>
        </w:rPr>
        <w:t>resie zdrowia publicznego</w:t>
      </w:r>
      <w:r w:rsidR="00525C12">
        <w:rPr>
          <w:rFonts w:ascii="Times New Roman" w:hAnsi="Times New Roman"/>
          <w:noProof/>
          <w:sz w:val="24"/>
          <w:szCs w:val="24"/>
        </w:rPr>
        <w:t xml:space="preserve"> i świ</w:t>
      </w:r>
      <w:r>
        <w:rPr>
          <w:rFonts w:ascii="Times New Roman" w:hAnsi="Times New Roman"/>
          <w:noProof/>
          <w:sz w:val="24"/>
          <w:szCs w:val="24"/>
        </w:rPr>
        <w:t>adczeń zdrowotnych</w:t>
      </w:r>
      <w:r w:rsidR="00991A79">
        <w:rPr>
          <w:rStyle w:val="FootnoteReference"/>
          <w:rFonts w:ascii="Times New Roman" w:hAnsi="Times New Roman" w:cs="Times New Roman"/>
          <w:noProof/>
          <w:sz w:val="24"/>
          <w:szCs w:val="24"/>
        </w:rPr>
        <w:footnoteReference w:id="44"/>
      </w:r>
      <w:r>
        <w:rPr>
          <w:rFonts w:ascii="Times New Roman" w:hAnsi="Times New Roman"/>
          <w:noProof/>
          <w:sz w:val="24"/>
          <w:szCs w:val="24"/>
        </w:rPr>
        <w:t>. Zapewnienie interoperacyjności systemów cyfrowych</w:t>
      </w:r>
      <w:r w:rsidR="00525C12">
        <w:rPr>
          <w:rFonts w:ascii="Times New Roman" w:hAnsi="Times New Roman"/>
          <w:noProof/>
          <w:sz w:val="24"/>
          <w:szCs w:val="24"/>
        </w:rPr>
        <w:t xml:space="preserve"> w Eur</w:t>
      </w:r>
      <w:r>
        <w:rPr>
          <w:rFonts w:ascii="Times New Roman" w:hAnsi="Times New Roman"/>
          <w:noProof/>
          <w:sz w:val="24"/>
          <w:szCs w:val="24"/>
        </w:rPr>
        <w:t>opie</w:t>
      </w:r>
      <w:r w:rsidR="00525C12">
        <w:rPr>
          <w:rFonts w:ascii="Times New Roman" w:hAnsi="Times New Roman"/>
          <w:noProof/>
          <w:sz w:val="24"/>
          <w:szCs w:val="24"/>
        </w:rPr>
        <w:t xml:space="preserve"> i poz</w:t>
      </w:r>
      <w:r>
        <w:rPr>
          <w:rFonts w:ascii="Times New Roman" w:hAnsi="Times New Roman"/>
          <w:noProof/>
          <w:sz w:val="24"/>
          <w:szCs w:val="24"/>
        </w:rPr>
        <w:t>a jej granicami będzie miało również podstawowe znaczenie</w:t>
      </w:r>
      <w:r w:rsidR="00525C12">
        <w:rPr>
          <w:rFonts w:ascii="Times New Roman" w:hAnsi="Times New Roman"/>
          <w:noProof/>
          <w:sz w:val="24"/>
          <w:szCs w:val="24"/>
        </w:rPr>
        <w:t xml:space="preserve"> w kon</w:t>
      </w:r>
      <w:r>
        <w:rPr>
          <w:rFonts w:ascii="Times New Roman" w:hAnsi="Times New Roman"/>
          <w:noProof/>
          <w:sz w:val="24"/>
          <w:szCs w:val="24"/>
        </w:rPr>
        <w:t>tekście połączenia międzyregionalnego</w:t>
      </w:r>
      <w:r w:rsidR="00525C12">
        <w:rPr>
          <w:rFonts w:ascii="Times New Roman" w:hAnsi="Times New Roman"/>
          <w:noProof/>
          <w:sz w:val="24"/>
          <w:szCs w:val="24"/>
        </w:rPr>
        <w:t xml:space="preserve"> i świ</w:t>
      </w:r>
      <w:r>
        <w:rPr>
          <w:rFonts w:ascii="Times New Roman" w:hAnsi="Times New Roman"/>
          <w:noProof/>
          <w:sz w:val="24"/>
          <w:szCs w:val="24"/>
        </w:rPr>
        <w:t>atowego nadzoru</w:t>
      </w:r>
      <w:r w:rsidR="00525C12">
        <w:rPr>
          <w:rFonts w:ascii="Times New Roman" w:hAnsi="Times New Roman"/>
          <w:noProof/>
          <w:sz w:val="24"/>
          <w:szCs w:val="24"/>
        </w:rPr>
        <w:t xml:space="preserve"> i rea</w:t>
      </w:r>
      <w:r>
        <w:rPr>
          <w:rFonts w:ascii="Times New Roman" w:hAnsi="Times New Roman"/>
          <w:noProof/>
          <w:sz w:val="24"/>
          <w:szCs w:val="24"/>
        </w:rPr>
        <w:t>gowania oraz zwiększenia ich skuteczności. Przyszły wniosek ustawodawczy Komisji dotyczący europejskiej przestrzeni danych dotyczących zdrowia będzie miał na celu wykorzystanie znaczenia</w:t>
      </w:r>
      <w:r w:rsidR="00525C12">
        <w:rPr>
          <w:rFonts w:ascii="Times New Roman" w:hAnsi="Times New Roman"/>
          <w:noProof/>
          <w:sz w:val="24"/>
          <w:szCs w:val="24"/>
        </w:rPr>
        <w:t xml:space="preserve"> i pot</w:t>
      </w:r>
      <w:r>
        <w:rPr>
          <w:rFonts w:ascii="Times New Roman" w:hAnsi="Times New Roman"/>
          <w:noProof/>
          <w:sz w:val="24"/>
          <w:szCs w:val="24"/>
        </w:rPr>
        <w:t>encjału danych dotyczących zdrowia</w:t>
      </w:r>
      <w:r w:rsidR="00525C12">
        <w:rPr>
          <w:rFonts w:ascii="Times New Roman" w:hAnsi="Times New Roman"/>
          <w:noProof/>
          <w:sz w:val="24"/>
          <w:szCs w:val="24"/>
        </w:rPr>
        <w:t xml:space="preserve"> z kor</w:t>
      </w:r>
      <w:r>
        <w:rPr>
          <w:rFonts w:ascii="Times New Roman" w:hAnsi="Times New Roman"/>
          <w:noProof/>
          <w:sz w:val="24"/>
          <w:szCs w:val="24"/>
        </w:rPr>
        <w:t>zyścią dla pacjentów</w:t>
      </w:r>
      <w:r w:rsidR="00525C12">
        <w:rPr>
          <w:rFonts w:ascii="Times New Roman" w:hAnsi="Times New Roman"/>
          <w:noProof/>
          <w:sz w:val="24"/>
          <w:szCs w:val="24"/>
        </w:rPr>
        <w:t xml:space="preserve"> i zwi</w:t>
      </w:r>
      <w:r>
        <w:rPr>
          <w:rFonts w:ascii="Times New Roman" w:hAnsi="Times New Roman"/>
          <w:noProof/>
          <w:sz w:val="24"/>
          <w:szCs w:val="24"/>
        </w:rPr>
        <w:t>ększenie odporności</w:t>
      </w:r>
      <w:r w:rsidR="00525C12">
        <w:rPr>
          <w:rFonts w:ascii="Times New Roman" w:hAnsi="Times New Roman"/>
          <w:noProof/>
          <w:sz w:val="24"/>
          <w:szCs w:val="24"/>
        </w:rPr>
        <w:t xml:space="preserve"> i wyd</w:t>
      </w:r>
      <w:r>
        <w:rPr>
          <w:rFonts w:ascii="Times New Roman" w:hAnsi="Times New Roman"/>
          <w:noProof/>
          <w:sz w:val="24"/>
          <w:szCs w:val="24"/>
        </w:rPr>
        <w:t>olności systemów opieki zdrowotnej, aby umożliwić szybkie reagowanie na zagrożenia dla zdrowia</w:t>
      </w:r>
      <w:r w:rsidRPr="00525C12">
        <w:rPr>
          <w:rFonts w:ascii="Times New Roman" w:hAnsi="Times New Roman"/>
          <w:noProof/>
          <w:sz w:val="24"/>
          <w:szCs w:val="24"/>
        </w:rPr>
        <w:t>.</w:t>
      </w:r>
      <w:r w:rsidR="00525C12" w:rsidRPr="00525C12">
        <w:rPr>
          <w:rFonts w:ascii="Times New Roman" w:hAnsi="Times New Roman"/>
          <w:noProof/>
          <w:sz w:val="24"/>
          <w:szCs w:val="24"/>
        </w:rPr>
        <w:t xml:space="preserve"> </w:t>
      </w:r>
    </w:p>
    <w:p w14:paraId="7BD93164" w14:textId="77777777" w:rsidR="00CC04E8" w:rsidRPr="00B628ED" w:rsidRDefault="00A118B6" w:rsidP="20C88EBE">
      <w:pPr>
        <w:pStyle w:val="ListParagraph"/>
        <w:keepNext/>
        <w:numPr>
          <w:ilvl w:val="0"/>
          <w:numId w:val="5"/>
        </w:numPr>
        <w:spacing w:before="360" w:line="240" w:lineRule="auto"/>
        <w:jc w:val="both"/>
        <w:rPr>
          <w:rFonts w:ascii="Times New Roman" w:hAnsi="Times New Roman" w:cs="Times New Roman"/>
          <w:b/>
          <w:bCs/>
          <w:noProof/>
          <w:sz w:val="24"/>
          <w:szCs w:val="24"/>
        </w:rPr>
      </w:pPr>
      <w:r>
        <w:rPr>
          <w:rFonts w:ascii="Times New Roman" w:hAnsi="Times New Roman"/>
          <w:b/>
          <w:bCs/>
          <w:noProof/>
          <w:sz w:val="24"/>
          <w:szCs w:val="24"/>
        </w:rPr>
        <w:t>WNIOSEK</w:t>
      </w:r>
    </w:p>
    <w:p w14:paraId="5E64AF45" w14:textId="2FB8B6EA" w:rsidR="007A264C" w:rsidRDefault="00E0017D" w:rsidP="00A65670">
      <w:pPr>
        <w:spacing w:line="240" w:lineRule="auto"/>
        <w:jc w:val="both"/>
        <w:rPr>
          <w:rFonts w:ascii="Times New Roman" w:hAnsi="Times New Roman" w:cs="Times New Roman"/>
          <w:noProof/>
          <w:sz w:val="24"/>
          <w:szCs w:val="24"/>
        </w:rPr>
      </w:pPr>
      <w:r>
        <w:rPr>
          <w:rFonts w:ascii="Times New Roman" w:hAnsi="Times New Roman"/>
          <w:noProof/>
          <w:sz w:val="24"/>
          <w:szCs w:val="24"/>
        </w:rPr>
        <w:t>Pandemia COVID-19 oddziałuje na wiele sposobów i na szeroką skalę na zdrowie publiczne, systemy opieki zdrowotnej, gospodarki</w:t>
      </w:r>
      <w:r w:rsidR="00525C12">
        <w:rPr>
          <w:rFonts w:ascii="Times New Roman" w:hAnsi="Times New Roman"/>
          <w:noProof/>
          <w:sz w:val="24"/>
          <w:szCs w:val="24"/>
        </w:rPr>
        <w:t xml:space="preserve"> i cał</w:t>
      </w:r>
      <w:r>
        <w:rPr>
          <w:rFonts w:ascii="Times New Roman" w:hAnsi="Times New Roman"/>
          <w:noProof/>
          <w:sz w:val="24"/>
          <w:szCs w:val="24"/>
        </w:rPr>
        <w:t>y styl życia. Punktem zwrotnym może okazać się podejście przyjęte</w:t>
      </w:r>
      <w:r w:rsidR="00525C12">
        <w:rPr>
          <w:rFonts w:ascii="Times New Roman" w:hAnsi="Times New Roman"/>
          <w:noProof/>
          <w:sz w:val="24"/>
          <w:szCs w:val="24"/>
        </w:rPr>
        <w:t xml:space="preserve"> w odn</w:t>
      </w:r>
      <w:r>
        <w:rPr>
          <w:rFonts w:ascii="Times New Roman" w:hAnsi="Times New Roman"/>
          <w:noProof/>
          <w:sz w:val="24"/>
          <w:szCs w:val="24"/>
        </w:rPr>
        <w:t xml:space="preserve">iesieniu do kolejnej fazy pandemii. </w:t>
      </w:r>
    </w:p>
    <w:p w14:paraId="5648C15D" w14:textId="09A93147" w:rsidR="0088568E" w:rsidRDefault="004B5023" w:rsidP="00A65670">
      <w:pPr>
        <w:spacing w:line="240" w:lineRule="auto"/>
        <w:jc w:val="both"/>
        <w:rPr>
          <w:rFonts w:ascii="Times New Roman" w:hAnsi="Times New Roman" w:cs="Times New Roman"/>
          <w:noProof/>
          <w:sz w:val="24"/>
          <w:szCs w:val="24"/>
        </w:rPr>
      </w:pPr>
      <w:r>
        <w:rPr>
          <w:rFonts w:ascii="Times New Roman" w:hAnsi="Times New Roman"/>
          <w:noProof/>
          <w:sz w:val="24"/>
          <w:szCs w:val="24"/>
        </w:rPr>
        <w:t>Poluzowanie pozafarmaceutycznych środków przeciwdziałania przynosi ogromną ulgę, zwłaszcza</w:t>
      </w:r>
      <w:r w:rsidR="00525C12">
        <w:rPr>
          <w:rFonts w:ascii="Times New Roman" w:hAnsi="Times New Roman"/>
          <w:noProof/>
          <w:sz w:val="24"/>
          <w:szCs w:val="24"/>
        </w:rPr>
        <w:t xml:space="preserve"> z pun</w:t>
      </w:r>
      <w:r>
        <w:rPr>
          <w:rFonts w:ascii="Times New Roman" w:hAnsi="Times New Roman"/>
          <w:noProof/>
          <w:sz w:val="24"/>
          <w:szCs w:val="24"/>
        </w:rPr>
        <w:t>ktu widzenia obywateli</w:t>
      </w:r>
      <w:r w:rsidR="00525C12">
        <w:rPr>
          <w:rFonts w:ascii="Times New Roman" w:hAnsi="Times New Roman"/>
          <w:noProof/>
          <w:sz w:val="24"/>
          <w:szCs w:val="24"/>
        </w:rPr>
        <w:t xml:space="preserve"> i sys</w:t>
      </w:r>
      <w:r>
        <w:rPr>
          <w:rFonts w:ascii="Times New Roman" w:hAnsi="Times New Roman"/>
          <w:noProof/>
          <w:sz w:val="24"/>
          <w:szCs w:val="24"/>
        </w:rPr>
        <w:t>temów opieki zdrowotnej, ale również</w:t>
      </w:r>
      <w:r w:rsidR="00525C12">
        <w:rPr>
          <w:rFonts w:ascii="Times New Roman" w:hAnsi="Times New Roman"/>
          <w:noProof/>
          <w:sz w:val="24"/>
          <w:szCs w:val="24"/>
        </w:rPr>
        <w:t xml:space="preserve"> z pun</w:t>
      </w:r>
      <w:r>
        <w:rPr>
          <w:rFonts w:ascii="Times New Roman" w:hAnsi="Times New Roman"/>
          <w:noProof/>
          <w:sz w:val="24"/>
          <w:szCs w:val="24"/>
        </w:rPr>
        <w:t>ktu widzenia podmiotów gospodarczych starających się poprawić swoją sytuację po niszczących skutkach pandemii. Najważniejsze jest jednak nieprzerywanie starań. Pandemia cały czas trwa</w:t>
      </w:r>
      <w:r w:rsidR="00525C12">
        <w:rPr>
          <w:rFonts w:ascii="Times New Roman" w:hAnsi="Times New Roman"/>
          <w:noProof/>
          <w:sz w:val="24"/>
          <w:szCs w:val="24"/>
        </w:rPr>
        <w:t xml:space="preserve"> i ist</w:t>
      </w:r>
      <w:r>
        <w:rPr>
          <w:rFonts w:ascii="Times New Roman" w:hAnsi="Times New Roman"/>
          <w:noProof/>
          <w:sz w:val="24"/>
          <w:szCs w:val="24"/>
        </w:rPr>
        <w:t>nieje duże prawdopodobieństwo pojawienia się kolejnych fal</w:t>
      </w:r>
      <w:r w:rsidR="00525C12">
        <w:rPr>
          <w:rFonts w:ascii="Times New Roman" w:hAnsi="Times New Roman"/>
          <w:noProof/>
          <w:sz w:val="24"/>
          <w:szCs w:val="24"/>
        </w:rPr>
        <w:t xml:space="preserve"> w prz</w:t>
      </w:r>
      <w:r>
        <w:rPr>
          <w:rFonts w:ascii="Times New Roman" w:hAnsi="Times New Roman"/>
          <w:noProof/>
          <w:sz w:val="24"/>
          <w:szCs w:val="24"/>
        </w:rPr>
        <w:t>yszłości. Zapewnienie skutecznej gotowości</w:t>
      </w:r>
      <w:r w:rsidR="00525C12">
        <w:rPr>
          <w:rFonts w:ascii="Times New Roman" w:hAnsi="Times New Roman"/>
          <w:noProof/>
          <w:sz w:val="24"/>
          <w:szCs w:val="24"/>
        </w:rPr>
        <w:t xml:space="preserve"> i rea</w:t>
      </w:r>
      <w:r>
        <w:rPr>
          <w:rFonts w:ascii="Times New Roman" w:hAnsi="Times New Roman"/>
          <w:noProof/>
          <w:sz w:val="24"/>
          <w:szCs w:val="24"/>
        </w:rPr>
        <w:t>kcji należy postrzegać jako ciągły proces, któremu –</w:t>
      </w:r>
      <w:r w:rsidR="00525C12">
        <w:rPr>
          <w:rFonts w:ascii="Times New Roman" w:hAnsi="Times New Roman"/>
          <w:noProof/>
          <w:sz w:val="24"/>
          <w:szCs w:val="24"/>
        </w:rPr>
        <w:t xml:space="preserve"> w cel</w:t>
      </w:r>
      <w:r>
        <w:rPr>
          <w:rFonts w:ascii="Times New Roman" w:hAnsi="Times New Roman"/>
          <w:noProof/>
          <w:sz w:val="24"/>
          <w:szCs w:val="24"/>
        </w:rPr>
        <w:t>u zapewnienia jego maksymalnej skuteczności – powinny towarzyszyć stałe oceny polityki, planów</w:t>
      </w:r>
      <w:r w:rsidR="00525C12">
        <w:rPr>
          <w:rFonts w:ascii="Times New Roman" w:hAnsi="Times New Roman"/>
          <w:noProof/>
          <w:sz w:val="24"/>
          <w:szCs w:val="24"/>
        </w:rPr>
        <w:t xml:space="preserve"> i pro</w:t>
      </w:r>
      <w:r>
        <w:rPr>
          <w:rFonts w:ascii="Times New Roman" w:hAnsi="Times New Roman"/>
          <w:noProof/>
          <w:sz w:val="24"/>
          <w:szCs w:val="24"/>
        </w:rPr>
        <w:t>cedur</w:t>
      </w:r>
      <w:r w:rsidR="00525C12">
        <w:rPr>
          <w:rFonts w:ascii="Times New Roman" w:hAnsi="Times New Roman"/>
          <w:noProof/>
          <w:sz w:val="24"/>
          <w:szCs w:val="24"/>
        </w:rPr>
        <w:t xml:space="preserve"> w opa</w:t>
      </w:r>
      <w:r>
        <w:rPr>
          <w:rFonts w:ascii="Times New Roman" w:hAnsi="Times New Roman"/>
          <w:noProof/>
          <w:sz w:val="24"/>
          <w:szCs w:val="24"/>
        </w:rPr>
        <w:t>rciu</w:t>
      </w:r>
      <w:r w:rsidR="00525C12">
        <w:rPr>
          <w:rFonts w:ascii="Times New Roman" w:hAnsi="Times New Roman"/>
          <w:noProof/>
          <w:sz w:val="24"/>
          <w:szCs w:val="24"/>
        </w:rPr>
        <w:t xml:space="preserve"> o zys</w:t>
      </w:r>
      <w:r>
        <w:rPr>
          <w:rFonts w:ascii="Times New Roman" w:hAnsi="Times New Roman"/>
          <w:noProof/>
          <w:sz w:val="24"/>
          <w:szCs w:val="24"/>
        </w:rPr>
        <w:t>kane doświadczenia</w:t>
      </w:r>
      <w:r w:rsidR="00525C12">
        <w:rPr>
          <w:rFonts w:ascii="Times New Roman" w:hAnsi="Times New Roman"/>
          <w:noProof/>
          <w:sz w:val="24"/>
          <w:szCs w:val="24"/>
        </w:rPr>
        <w:t xml:space="preserve"> i wyc</w:t>
      </w:r>
      <w:r>
        <w:rPr>
          <w:rFonts w:ascii="Times New Roman" w:hAnsi="Times New Roman"/>
          <w:noProof/>
          <w:sz w:val="24"/>
          <w:szCs w:val="24"/>
        </w:rPr>
        <w:t xml:space="preserve">iągnięte wnioski. </w:t>
      </w:r>
    </w:p>
    <w:p w14:paraId="30CC4A74" w14:textId="1A3FB3F6" w:rsidR="00E0017D" w:rsidRDefault="00E0017D" w:rsidP="00BC03DF">
      <w:pPr>
        <w:pStyle w:val="CommentText"/>
        <w:jc w:val="both"/>
        <w:rPr>
          <w:rFonts w:ascii="Times New Roman" w:hAnsi="Times New Roman" w:cs="Times New Roman"/>
          <w:noProof/>
          <w:sz w:val="24"/>
          <w:szCs w:val="24"/>
        </w:rPr>
      </w:pPr>
      <w:r>
        <w:rPr>
          <w:rFonts w:ascii="Times New Roman" w:hAnsi="Times New Roman"/>
          <w:noProof/>
          <w:sz w:val="24"/>
          <w:szCs w:val="24"/>
        </w:rPr>
        <w:t>Warto,</w:t>
      </w:r>
      <w:r w:rsidR="00525C12">
        <w:rPr>
          <w:rFonts w:ascii="Times New Roman" w:hAnsi="Times New Roman"/>
          <w:noProof/>
          <w:sz w:val="24"/>
          <w:szCs w:val="24"/>
        </w:rPr>
        <w:t xml:space="preserve"> a naw</w:t>
      </w:r>
      <w:r>
        <w:rPr>
          <w:rFonts w:ascii="Times New Roman" w:hAnsi="Times New Roman"/>
          <w:noProof/>
          <w:sz w:val="24"/>
          <w:szCs w:val="24"/>
        </w:rPr>
        <w:t>et należy robić więcej, aby sformułować takie wnioski</w:t>
      </w:r>
      <w:r w:rsidR="00525C12">
        <w:rPr>
          <w:rFonts w:ascii="Times New Roman" w:hAnsi="Times New Roman"/>
          <w:noProof/>
          <w:sz w:val="24"/>
          <w:szCs w:val="24"/>
        </w:rPr>
        <w:t xml:space="preserve"> i pod</w:t>
      </w:r>
      <w:r>
        <w:rPr>
          <w:rFonts w:ascii="Times New Roman" w:hAnsi="Times New Roman"/>
          <w:noProof/>
          <w:sz w:val="24"/>
          <w:szCs w:val="24"/>
        </w:rPr>
        <w:t>jąć działania na ich podstawie, aby poprawić gotowość</w:t>
      </w:r>
      <w:r w:rsidR="00525C12">
        <w:rPr>
          <w:rFonts w:ascii="Times New Roman" w:hAnsi="Times New Roman"/>
          <w:noProof/>
          <w:sz w:val="24"/>
          <w:szCs w:val="24"/>
        </w:rPr>
        <w:t xml:space="preserve"> w zak</w:t>
      </w:r>
      <w:r>
        <w:rPr>
          <w:rFonts w:ascii="Times New Roman" w:hAnsi="Times New Roman"/>
          <w:noProof/>
          <w:sz w:val="24"/>
          <w:szCs w:val="24"/>
        </w:rPr>
        <w:t>resie zdrowia publicznego</w:t>
      </w:r>
      <w:r w:rsidR="00525C12">
        <w:rPr>
          <w:rFonts w:ascii="Times New Roman" w:hAnsi="Times New Roman"/>
          <w:noProof/>
          <w:sz w:val="24"/>
          <w:szCs w:val="24"/>
        </w:rPr>
        <w:t xml:space="preserve"> i rea</w:t>
      </w:r>
      <w:r>
        <w:rPr>
          <w:rFonts w:ascii="Times New Roman" w:hAnsi="Times New Roman"/>
          <w:noProof/>
          <w:sz w:val="24"/>
          <w:szCs w:val="24"/>
        </w:rPr>
        <w:t>gowanie na przyszłe pandemie</w:t>
      </w:r>
      <w:r w:rsidR="00525C12">
        <w:rPr>
          <w:rFonts w:ascii="Times New Roman" w:hAnsi="Times New Roman"/>
          <w:noProof/>
          <w:sz w:val="24"/>
          <w:szCs w:val="24"/>
        </w:rPr>
        <w:t xml:space="preserve"> i kry</w:t>
      </w:r>
      <w:r>
        <w:rPr>
          <w:rFonts w:ascii="Times New Roman" w:hAnsi="Times New Roman"/>
          <w:noProof/>
          <w:sz w:val="24"/>
          <w:szCs w:val="24"/>
        </w:rPr>
        <w:t>zysy zdrowotne. Aby prowadzone działania były skuteczne, należy wspólnie usuwać braki</w:t>
      </w:r>
      <w:r w:rsidR="00525C12">
        <w:rPr>
          <w:rFonts w:ascii="Times New Roman" w:hAnsi="Times New Roman"/>
          <w:noProof/>
          <w:sz w:val="24"/>
          <w:szCs w:val="24"/>
        </w:rPr>
        <w:t xml:space="preserve"> w eur</w:t>
      </w:r>
      <w:r>
        <w:rPr>
          <w:rFonts w:ascii="Times New Roman" w:hAnsi="Times New Roman"/>
          <w:noProof/>
          <w:sz w:val="24"/>
          <w:szCs w:val="24"/>
        </w:rPr>
        <w:t>opejskich systemach zdrowia publicznego</w:t>
      </w:r>
      <w:r w:rsidR="00525C12">
        <w:rPr>
          <w:rFonts w:ascii="Times New Roman" w:hAnsi="Times New Roman"/>
          <w:noProof/>
          <w:sz w:val="24"/>
          <w:szCs w:val="24"/>
        </w:rPr>
        <w:t xml:space="preserve"> i opi</w:t>
      </w:r>
      <w:r>
        <w:rPr>
          <w:rFonts w:ascii="Times New Roman" w:hAnsi="Times New Roman"/>
          <w:noProof/>
          <w:sz w:val="24"/>
          <w:szCs w:val="24"/>
        </w:rPr>
        <w:t>eki zdrowotnej oraz zagwarantować, aby systemy te były wystarczająco odporne na przyszłe zagrożenia dla zdrowia,</w:t>
      </w:r>
      <w:r w:rsidR="00525C12">
        <w:rPr>
          <w:rFonts w:ascii="Times New Roman" w:hAnsi="Times New Roman"/>
          <w:noProof/>
          <w:sz w:val="24"/>
          <w:szCs w:val="24"/>
        </w:rPr>
        <w:t xml:space="preserve"> a jed</w:t>
      </w:r>
      <w:r>
        <w:rPr>
          <w:rFonts w:ascii="Times New Roman" w:hAnsi="Times New Roman"/>
          <w:noProof/>
          <w:sz w:val="24"/>
          <w:szCs w:val="24"/>
        </w:rPr>
        <w:t>nocześnie należy uznać znaczenie podejścia „Jedno zdrowie”</w:t>
      </w:r>
      <w:r w:rsidR="00525C12">
        <w:rPr>
          <w:rFonts w:ascii="Times New Roman" w:hAnsi="Times New Roman"/>
          <w:noProof/>
          <w:sz w:val="24"/>
          <w:szCs w:val="24"/>
        </w:rPr>
        <w:t xml:space="preserve"> i koo</w:t>
      </w:r>
      <w:r>
        <w:rPr>
          <w:rFonts w:ascii="Times New Roman" w:hAnsi="Times New Roman"/>
          <w:noProof/>
          <w:sz w:val="24"/>
          <w:szCs w:val="24"/>
        </w:rPr>
        <w:t>rdynacji między sektorami, tak aby UE była lepiej przygotowana na stany zagrożenia. Obecne inwestycje</w:t>
      </w:r>
      <w:r w:rsidR="00525C12">
        <w:rPr>
          <w:rFonts w:ascii="Times New Roman" w:hAnsi="Times New Roman"/>
          <w:noProof/>
          <w:sz w:val="24"/>
          <w:szCs w:val="24"/>
        </w:rPr>
        <w:t xml:space="preserve"> w tyc</w:t>
      </w:r>
      <w:r>
        <w:rPr>
          <w:rFonts w:ascii="Times New Roman" w:hAnsi="Times New Roman"/>
          <w:noProof/>
          <w:sz w:val="24"/>
          <w:szCs w:val="24"/>
        </w:rPr>
        <w:t>h obszarach stanowią również inwestycje</w:t>
      </w:r>
      <w:r w:rsidR="00525C12">
        <w:rPr>
          <w:rFonts w:ascii="Times New Roman" w:hAnsi="Times New Roman"/>
          <w:noProof/>
          <w:sz w:val="24"/>
          <w:szCs w:val="24"/>
        </w:rPr>
        <w:t xml:space="preserve"> w prz</w:t>
      </w:r>
      <w:r>
        <w:rPr>
          <w:rFonts w:ascii="Times New Roman" w:hAnsi="Times New Roman"/>
          <w:noProof/>
          <w:sz w:val="24"/>
          <w:szCs w:val="24"/>
        </w:rPr>
        <w:t xml:space="preserve">yszłość, gdyż mogą ograniczyć skutki przyszłych ognisk epidemicznych lub pandemii. </w:t>
      </w:r>
    </w:p>
    <w:p w14:paraId="402EE653" w14:textId="2D33AA71" w:rsidR="00A65670" w:rsidRDefault="00FA2152" w:rsidP="00BC03DF">
      <w:pPr>
        <w:pStyle w:val="CommentText"/>
        <w:jc w:val="both"/>
        <w:rPr>
          <w:rFonts w:ascii="Times New Roman" w:hAnsi="Times New Roman" w:cs="Times New Roman"/>
          <w:noProof/>
          <w:sz w:val="24"/>
          <w:szCs w:val="24"/>
        </w:rPr>
      </w:pPr>
      <w:r>
        <w:rPr>
          <w:rFonts w:ascii="Times New Roman" w:hAnsi="Times New Roman"/>
          <w:noProof/>
          <w:sz w:val="24"/>
          <w:szCs w:val="24"/>
        </w:rPr>
        <w:t>Dzięki szczepieniom, naturalnej odporności</w:t>
      </w:r>
      <w:r w:rsidR="00525C12">
        <w:rPr>
          <w:rFonts w:ascii="Times New Roman" w:hAnsi="Times New Roman"/>
          <w:noProof/>
          <w:sz w:val="24"/>
          <w:szCs w:val="24"/>
        </w:rPr>
        <w:t xml:space="preserve"> i sko</w:t>
      </w:r>
      <w:r>
        <w:rPr>
          <w:rFonts w:ascii="Times New Roman" w:hAnsi="Times New Roman"/>
          <w:noProof/>
          <w:sz w:val="24"/>
          <w:szCs w:val="24"/>
        </w:rPr>
        <w:t>ordynowanemu podejściu UE można działać na rzecz lepszego przygotowania Europy na różne scenariusze rozwoju sytuacji</w:t>
      </w:r>
      <w:r w:rsidR="00525C12">
        <w:rPr>
          <w:rFonts w:ascii="Times New Roman" w:hAnsi="Times New Roman"/>
          <w:noProof/>
          <w:sz w:val="24"/>
          <w:szCs w:val="24"/>
        </w:rPr>
        <w:t xml:space="preserve"> w prz</w:t>
      </w:r>
      <w:r>
        <w:rPr>
          <w:rFonts w:ascii="Times New Roman" w:hAnsi="Times New Roman"/>
          <w:noProof/>
          <w:sz w:val="24"/>
          <w:szCs w:val="24"/>
        </w:rPr>
        <w:t>yszłości. Szybkie przyjęcie wszystkich wniosków dotyczących Europejskiej Unii Zdrowotnej pozwoli dalej zwiększać zdolności UE do zapobiegania kryzysom zdrowotnym oraz do przygotowania się</w:t>
      </w:r>
      <w:r w:rsidR="00525C12">
        <w:rPr>
          <w:rFonts w:ascii="Times New Roman" w:hAnsi="Times New Roman"/>
          <w:noProof/>
          <w:sz w:val="24"/>
          <w:szCs w:val="24"/>
        </w:rPr>
        <w:t xml:space="preserve"> i rea</w:t>
      </w:r>
      <w:r>
        <w:rPr>
          <w:rFonts w:ascii="Times New Roman" w:hAnsi="Times New Roman"/>
          <w:noProof/>
          <w:sz w:val="24"/>
          <w:szCs w:val="24"/>
        </w:rPr>
        <w:t>gowania na takie kryzysy. Zachowując czujność, można osiągnąć większe bezpieczeństwo zdrowotne</w:t>
      </w:r>
      <w:r w:rsidR="00525C12">
        <w:rPr>
          <w:rFonts w:ascii="Times New Roman" w:hAnsi="Times New Roman"/>
          <w:noProof/>
          <w:sz w:val="24"/>
          <w:szCs w:val="24"/>
        </w:rPr>
        <w:t xml:space="preserve"> w Eur</w:t>
      </w:r>
      <w:r>
        <w:rPr>
          <w:rFonts w:ascii="Times New Roman" w:hAnsi="Times New Roman"/>
          <w:noProof/>
          <w:sz w:val="24"/>
          <w:szCs w:val="24"/>
        </w:rPr>
        <w:t>opie i na świecie. Trzeba skorzystać</w:t>
      </w:r>
      <w:r w:rsidR="00525C12">
        <w:rPr>
          <w:rFonts w:ascii="Times New Roman" w:hAnsi="Times New Roman"/>
          <w:noProof/>
          <w:sz w:val="24"/>
          <w:szCs w:val="24"/>
        </w:rPr>
        <w:t xml:space="preserve"> z tej</w:t>
      </w:r>
      <w:r>
        <w:rPr>
          <w:rFonts w:ascii="Times New Roman" w:hAnsi="Times New Roman"/>
          <w:noProof/>
          <w:sz w:val="24"/>
          <w:szCs w:val="24"/>
        </w:rPr>
        <w:t xml:space="preserve"> możliwości</w:t>
      </w:r>
      <w:r w:rsidR="00525C12">
        <w:rPr>
          <w:rFonts w:ascii="Times New Roman" w:hAnsi="Times New Roman"/>
          <w:noProof/>
          <w:sz w:val="24"/>
          <w:szCs w:val="24"/>
        </w:rPr>
        <w:t xml:space="preserve"> i dzi</w:t>
      </w:r>
      <w:r>
        <w:rPr>
          <w:rFonts w:ascii="Times New Roman" w:hAnsi="Times New Roman"/>
          <w:noProof/>
          <w:sz w:val="24"/>
          <w:szCs w:val="24"/>
        </w:rPr>
        <w:t xml:space="preserve">ałać, póki nadal jest na to czas.   </w:t>
      </w:r>
    </w:p>
    <w:sectPr w:rsidR="00A65670" w:rsidSect="00424884">
      <w:headerReference w:type="even" r:id="rId19"/>
      <w:headerReference w:type="default" r:id="rId20"/>
      <w:footerReference w:type="even" r:id="rId21"/>
      <w:footerReference w:type="default" r:id="rId22"/>
      <w:headerReference w:type="first" r:id="rId23"/>
      <w:footerReference w:type="first" r:id="rId24"/>
      <w:pgSz w:w="11906" w:h="16838"/>
      <w:pgMar w:top="1417" w:right="1200" w:bottom="1200" w:left="108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FEE02C" w14:textId="77777777" w:rsidR="00525C12" w:rsidRDefault="00525C12" w:rsidP="00CB242B">
      <w:pPr>
        <w:spacing w:after="0" w:line="240" w:lineRule="auto"/>
      </w:pPr>
      <w:r>
        <w:separator/>
      </w:r>
    </w:p>
  </w:endnote>
  <w:endnote w:type="continuationSeparator" w:id="0">
    <w:p w14:paraId="3846065D" w14:textId="77777777" w:rsidR="00525C12" w:rsidRDefault="00525C12" w:rsidP="00CB242B">
      <w:pPr>
        <w:spacing w:after="0" w:line="240" w:lineRule="auto"/>
      </w:pPr>
      <w:r>
        <w:continuationSeparator/>
      </w:r>
    </w:p>
  </w:endnote>
  <w:endnote w:type="continuationNotice" w:id="1">
    <w:p w14:paraId="454A52E6" w14:textId="77777777" w:rsidR="00525C12" w:rsidRDefault="00525C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EC Square Sans Pro">
    <w:charset w:val="00"/>
    <w:family w:val="swiss"/>
    <w:pitch w:val="variable"/>
    <w:sig w:usb0="A00002BF" w:usb1="5000E0FB"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8F168" w14:textId="77777777" w:rsidR="00B7048D" w:rsidRPr="00B7048D" w:rsidRDefault="00B7048D" w:rsidP="00B704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E9497" w14:textId="7D74ED1F" w:rsidR="00466111" w:rsidRPr="00B7048D" w:rsidRDefault="00B7048D" w:rsidP="00B7048D">
    <w:pPr>
      <w:pStyle w:val="FooterCoverPage"/>
      <w:rPr>
        <w:rFonts w:ascii="Arial" w:hAnsi="Arial" w:cs="Arial"/>
        <w:b/>
        <w:sz w:val="48"/>
      </w:rPr>
    </w:pPr>
    <w:r w:rsidRPr="00B7048D">
      <w:rPr>
        <w:rFonts w:ascii="Arial" w:hAnsi="Arial" w:cs="Arial"/>
        <w:b/>
        <w:sz w:val="48"/>
      </w:rPr>
      <w:t>PL</w:t>
    </w:r>
    <w:r w:rsidRPr="00B7048D">
      <w:rPr>
        <w:rFonts w:ascii="Arial" w:hAnsi="Arial" w:cs="Arial"/>
        <w:b/>
        <w:sz w:val="48"/>
      </w:rPr>
      <w:tab/>
    </w:r>
    <w:r w:rsidRPr="00B7048D">
      <w:rPr>
        <w:rFonts w:ascii="Arial" w:hAnsi="Arial" w:cs="Arial"/>
        <w:b/>
        <w:sz w:val="48"/>
      </w:rPr>
      <w:tab/>
    </w:r>
    <w:r w:rsidRPr="00B7048D">
      <w:tab/>
    </w:r>
    <w:r w:rsidRPr="00B7048D">
      <w:rPr>
        <w:rFonts w:ascii="Arial" w:hAnsi="Arial" w:cs="Arial"/>
        <w:b/>
        <w:sz w:val="48"/>
      </w:rPr>
      <w:t>PL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5A411" w14:textId="77777777" w:rsidR="00B7048D" w:rsidRPr="00B7048D" w:rsidRDefault="00B7048D" w:rsidP="00B7048D">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EC1E8" w14:textId="77777777" w:rsidR="00525C12" w:rsidRDefault="00525C1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327210"/>
      <w:docPartObj>
        <w:docPartGallery w:val="Page Numbers (Bottom of Page)"/>
        <w:docPartUnique/>
      </w:docPartObj>
    </w:sdtPr>
    <w:sdtEndPr>
      <w:rPr>
        <w:rFonts w:ascii="Times New Roman" w:hAnsi="Times New Roman" w:cs="Times New Roman"/>
        <w:noProof/>
      </w:rPr>
    </w:sdtEndPr>
    <w:sdtContent>
      <w:p w14:paraId="356299DA" w14:textId="71050025" w:rsidR="00525C12" w:rsidRPr="00EC6A21" w:rsidRDefault="00525C12">
        <w:pPr>
          <w:pStyle w:val="Footer"/>
          <w:jc w:val="center"/>
          <w:rPr>
            <w:rFonts w:ascii="Times New Roman" w:hAnsi="Times New Roman" w:cs="Times New Roman"/>
          </w:rPr>
        </w:pPr>
        <w:r w:rsidRPr="00EC6A21">
          <w:rPr>
            <w:rFonts w:ascii="Times New Roman" w:hAnsi="Times New Roman" w:cs="Times New Roman"/>
            <w:color w:val="2B579A"/>
            <w:shd w:val="clear" w:color="auto" w:fill="E6E6E6"/>
          </w:rPr>
          <w:fldChar w:fldCharType="begin"/>
        </w:r>
        <w:r w:rsidRPr="00EC6A21">
          <w:rPr>
            <w:rFonts w:ascii="Times New Roman" w:hAnsi="Times New Roman" w:cs="Times New Roman"/>
          </w:rPr>
          <w:instrText xml:space="preserve"> PAGE   \* MERGEFORMAT </w:instrText>
        </w:r>
        <w:r w:rsidRPr="00EC6A21">
          <w:rPr>
            <w:rFonts w:ascii="Times New Roman" w:hAnsi="Times New Roman" w:cs="Times New Roman"/>
            <w:color w:val="2B579A"/>
            <w:shd w:val="clear" w:color="auto" w:fill="E6E6E6"/>
          </w:rPr>
          <w:fldChar w:fldCharType="separate"/>
        </w:r>
        <w:r w:rsidR="00B7048D">
          <w:rPr>
            <w:rFonts w:ascii="Times New Roman" w:hAnsi="Times New Roman" w:cs="Times New Roman"/>
            <w:noProof/>
          </w:rPr>
          <w:t>1</w:t>
        </w:r>
        <w:r w:rsidRPr="00EC6A21">
          <w:rPr>
            <w:rFonts w:ascii="Times New Roman" w:hAnsi="Times New Roman" w:cs="Times New Roman"/>
            <w:color w:val="2B579A"/>
            <w:shd w:val="clear" w:color="auto" w:fill="E6E6E6"/>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05D47" w14:textId="77777777" w:rsidR="00525C12" w:rsidRDefault="00525C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8531F8" w14:textId="77777777" w:rsidR="00525C12" w:rsidRDefault="00525C12" w:rsidP="00CB242B">
      <w:pPr>
        <w:spacing w:after="0" w:line="240" w:lineRule="auto"/>
      </w:pPr>
      <w:r>
        <w:separator/>
      </w:r>
    </w:p>
  </w:footnote>
  <w:footnote w:type="continuationSeparator" w:id="0">
    <w:p w14:paraId="18FB6D96" w14:textId="77777777" w:rsidR="00525C12" w:rsidRDefault="00525C12" w:rsidP="00CB242B">
      <w:pPr>
        <w:spacing w:after="0" w:line="240" w:lineRule="auto"/>
      </w:pPr>
      <w:r>
        <w:continuationSeparator/>
      </w:r>
    </w:p>
  </w:footnote>
  <w:footnote w:type="continuationNotice" w:id="1">
    <w:p w14:paraId="3EFEEFF9" w14:textId="77777777" w:rsidR="00525C12" w:rsidRDefault="00525C12">
      <w:pPr>
        <w:spacing w:after="0" w:line="240" w:lineRule="auto"/>
      </w:pPr>
    </w:p>
  </w:footnote>
  <w:footnote w:id="2">
    <w:p w14:paraId="3F06B0EC" w14:textId="77777777" w:rsidR="00525C12" w:rsidRDefault="00525C12" w:rsidP="00F97D12">
      <w:pPr>
        <w:pStyle w:val="FootnoteText"/>
        <w:jc w:val="both"/>
      </w:pPr>
      <w:r>
        <w:rPr>
          <w:rStyle w:val="FootnoteReference"/>
        </w:rPr>
        <w:footnoteRef/>
      </w:r>
      <w:r>
        <w:t xml:space="preserve"> </w:t>
      </w:r>
      <w:r>
        <w:tab/>
        <w:t>https://www.ecdc.europa.eu/en/news-events/who-ecdc-nearly-half-million-lives-saved-covid-19-vaccination</w:t>
      </w:r>
    </w:p>
  </w:footnote>
  <w:footnote w:id="3">
    <w:p w14:paraId="3156A8D7" w14:textId="2C7A7999" w:rsidR="00525C12" w:rsidRDefault="00525C12" w:rsidP="00F97D12">
      <w:pPr>
        <w:pStyle w:val="FootnoteText"/>
        <w:jc w:val="both"/>
      </w:pPr>
      <w:r>
        <w:rPr>
          <w:rStyle w:val="FootnoteReference"/>
        </w:rPr>
        <w:footnoteRef/>
      </w:r>
      <w:r>
        <w:t xml:space="preserve"> </w:t>
      </w:r>
      <w:r>
        <w:tab/>
        <w:t xml:space="preserve">Liczba ta obejmuje wszystkie osoby kwalifikujące się do szczepienia, z wyłączeniem dzieci w wieku poniżej 5 lat. </w:t>
      </w:r>
    </w:p>
  </w:footnote>
  <w:footnote w:id="4">
    <w:p w14:paraId="64981572" w14:textId="02699FE1" w:rsidR="00525C12" w:rsidRPr="00015C32" w:rsidRDefault="00525C12" w:rsidP="00F97D12">
      <w:pPr>
        <w:pStyle w:val="FootnoteText"/>
        <w:jc w:val="both"/>
        <w:rPr>
          <w:rFonts w:cstheme="minorHAnsi"/>
        </w:rPr>
      </w:pPr>
      <w:r>
        <w:rPr>
          <w:rStyle w:val="FootnoteReference"/>
          <w:rFonts w:cstheme="minorHAnsi"/>
        </w:rPr>
        <w:footnoteRef/>
      </w:r>
      <w:r>
        <w:t xml:space="preserve"> </w:t>
      </w:r>
      <w:r>
        <w:tab/>
        <w:t>ECDC, COVID-19 vaccine tracker [Śledzenie postępów w wyszczepieniu szczepionką przeciwko COVID-19], https://qap.ecdc.europa.eu/public/extensions/COVID-19/vaccine-tracker.html#age-group-tab</w:t>
      </w:r>
    </w:p>
  </w:footnote>
  <w:footnote w:id="5">
    <w:p w14:paraId="5DD6D9A9" w14:textId="7A33993D" w:rsidR="00525C12" w:rsidRPr="00CC62B1" w:rsidRDefault="00525C12" w:rsidP="00F97D12">
      <w:pPr>
        <w:pStyle w:val="FootnoteText"/>
        <w:jc w:val="both"/>
      </w:pPr>
      <w:r w:rsidRPr="00525C12">
        <w:rPr>
          <w:rStyle w:val="FootnoteReference"/>
        </w:rPr>
        <w:footnoteRef/>
      </w:r>
      <w:r w:rsidRPr="00525C12">
        <w:t xml:space="preserve"> </w:t>
      </w:r>
      <w:r w:rsidRPr="00525C12">
        <w:rPr>
          <w:color w:val="1F497D"/>
        </w:rPr>
        <w:tab/>
      </w:r>
      <w:r>
        <w:t>https://www.imf.org/en/Publications/WEO/Issues/2022/01/25/world-economic-outlook-update-january-2022</w:t>
      </w:r>
      <w:hyperlink r:id="rId1" w:history="1">
        <w:r>
          <w:rPr>
            <w:rStyle w:val="Hyperlink"/>
            <w:color w:val="0000FF"/>
          </w:rPr>
          <w:t xml:space="preserve"> </w:t>
        </w:r>
      </w:hyperlink>
    </w:p>
  </w:footnote>
  <w:footnote w:id="6">
    <w:p w14:paraId="4AF87618" w14:textId="4584E497" w:rsidR="00525C12" w:rsidRDefault="00525C12" w:rsidP="00F97D12">
      <w:pPr>
        <w:pStyle w:val="FootnoteText"/>
        <w:jc w:val="both"/>
      </w:pPr>
      <w:r>
        <w:rPr>
          <w:rStyle w:val="FootnoteReference"/>
        </w:rPr>
        <w:footnoteRef/>
      </w:r>
      <w:r>
        <w:t xml:space="preserve"> </w:t>
      </w:r>
      <w:r>
        <w:tab/>
        <w:t>Np. farmaceutyczne składniki czynne (API), komponenty IT, surowce krytyczne i środki ochrony indywidualnej.</w:t>
      </w:r>
    </w:p>
  </w:footnote>
  <w:footnote w:id="7">
    <w:p w14:paraId="5ED9E6F1" w14:textId="3556EAB2" w:rsidR="00525C12" w:rsidRPr="00A57013" w:rsidRDefault="00525C12" w:rsidP="00FD62A1">
      <w:pPr>
        <w:pStyle w:val="FootnoteText"/>
      </w:pPr>
      <w:r>
        <w:rPr>
          <w:rStyle w:val="FootnoteReference"/>
        </w:rPr>
        <w:footnoteRef/>
      </w:r>
      <w:r>
        <w:t xml:space="preserve"> </w:t>
      </w:r>
      <w:r>
        <w:tab/>
        <w:t xml:space="preserve">Komunikat Komisji dotyczący 8. sprawozdania na temat spójności: Spójność w Europie </w:t>
      </w:r>
      <w:r w:rsidRPr="00525C12">
        <w:t>do 2</w:t>
      </w:r>
      <w:r>
        <w:t>0</w:t>
      </w:r>
      <w:r w:rsidRPr="00525C12">
        <w:t>50 r.</w:t>
      </w:r>
      <w:r>
        <w:t>, COM(2022) 34 final.</w:t>
      </w:r>
    </w:p>
  </w:footnote>
  <w:footnote w:id="8">
    <w:p w14:paraId="76445CAD" w14:textId="136FB438" w:rsidR="00525C12" w:rsidRPr="00AB4B55" w:rsidRDefault="00525C12" w:rsidP="00F97D12">
      <w:pPr>
        <w:pStyle w:val="FootnoteText"/>
        <w:jc w:val="both"/>
        <w:rPr>
          <w:rFonts w:cstheme="minorHAnsi"/>
        </w:rPr>
      </w:pPr>
      <w:r>
        <w:rPr>
          <w:rStyle w:val="FootnoteReference"/>
          <w:rFonts w:cstheme="minorHAnsi"/>
        </w:rPr>
        <w:footnoteRef/>
      </w:r>
      <w:r>
        <w:t xml:space="preserve"> </w:t>
      </w:r>
      <w:r>
        <w:tab/>
        <w:t>Komunikat</w:t>
      </w:r>
      <w:r>
        <w:rPr>
          <w:color w:val="000000" w:themeColor="text1"/>
        </w:rPr>
        <w:t xml:space="preserve"> Komisji: Przyjmowanie osób uciekających przed wojną w Ukrainie: Przygotowanie Europy do zaspokojenia potrzeb, </w:t>
      </w:r>
      <w:r>
        <w:t>COM(2022) 131 final.</w:t>
      </w:r>
    </w:p>
  </w:footnote>
  <w:footnote w:id="9">
    <w:p w14:paraId="15FE012A" w14:textId="111FA4F2" w:rsidR="00525C12" w:rsidRPr="00B11CE0" w:rsidRDefault="00525C12" w:rsidP="00F97D12">
      <w:pPr>
        <w:spacing w:after="0"/>
        <w:jc w:val="both"/>
        <w:rPr>
          <w:sz w:val="20"/>
        </w:rPr>
      </w:pPr>
      <w:r>
        <w:rPr>
          <w:rFonts w:cstheme="minorHAnsi"/>
          <w:sz w:val="20"/>
          <w:szCs w:val="20"/>
          <w:vertAlign w:val="superscript"/>
        </w:rPr>
        <w:footnoteRef/>
      </w:r>
      <w:r>
        <w:rPr>
          <w:sz w:val="20"/>
          <w:szCs w:val="20"/>
        </w:rPr>
        <w:t xml:space="preserve"> </w:t>
      </w:r>
      <w:r>
        <w:rPr>
          <w:sz w:val="20"/>
          <w:szCs w:val="20"/>
        </w:rPr>
        <w:tab/>
        <w:t>https://www.ecdc.europa.eu/sites/default/files/documents/prevention-control-infectious-diseases-russia-aggression.pdf</w:t>
      </w:r>
    </w:p>
  </w:footnote>
  <w:footnote w:id="10">
    <w:p w14:paraId="64586D9F" w14:textId="18CB06B7" w:rsidR="00525C12" w:rsidRPr="000A776B" w:rsidRDefault="00525C12" w:rsidP="00CD0FF0">
      <w:pPr>
        <w:pStyle w:val="CommentText"/>
        <w:spacing w:after="0"/>
        <w:jc w:val="both"/>
      </w:pPr>
      <w:r>
        <w:rPr>
          <w:rStyle w:val="FootnoteReference"/>
        </w:rPr>
        <w:footnoteRef/>
      </w:r>
      <w:r>
        <w:t xml:space="preserve"> </w:t>
      </w:r>
      <w:r>
        <w:tab/>
        <w:t>ECDC, krajowe sprawozdanie ogólne, szczepienia, https://covid19-country-overviews.ecdc.europa.eu/vaccination.html</w:t>
      </w:r>
    </w:p>
  </w:footnote>
  <w:footnote w:id="11">
    <w:p w14:paraId="2F7267DF" w14:textId="77777777" w:rsidR="00525C12" w:rsidRDefault="00525C12" w:rsidP="00F97D12">
      <w:pPr>
        <w:pStyle w:val="FootnoteText"/>
        <w:jc w:val="both"/>
      </w:pPr>
      <w:r>
        <w:rPr>
          <w:rStyle w:val="FootnoteReference"/>
        </w:rPr>
        <w:footnoteRef/>
      </w:r>
      <w:r>
        <w:t xml:space="preserve"> </w:t>
      </w:r>
      <w:r>
        <w:tab/>
        <w:t>https://www.ecdc.europa.eu/en/news-events/ema-ecdc-statement-fourth-covid-vaccine-dose</w:t>
      </w:r>
    </w:p>
  </w:footnote>
  <w:footnote w:id="12">
    <w:p w14:paraId="53079A32" w14:textId="77777777" w:rsidR="00525C12" w:rsidRDefault="00525C12" w:rsidP="00F97D12">
      <w:pPr>
        <w:pStyle w:val="FootnoteText"/>
        <w:jc w:val="both"/>
      </w:pPr>
      <w:r>
        <w:rPr>
          <w:rStyle w:val="FootnoteReference"/>
        </w:rPr>
        <w:footnoteRef/>
      </w:r>
      <w:r>
        <w:t xml:space="preserve"> </w:t>
      </w:r>
      <w:r>
        <w:tab/>
        <w:t>Obecnie dostępne są trzy różne technologie szczepionek. Dzięki szczepionce Valneva UE będzie mogła wkrótce zaoferować swoim obywatelom czwartą technologię szczepień.</w:t>
      </w:r>
    </w:p>
  </w:footnote>
  <w:footnote w:id="13">
    <w:p w14:paraId="7D183B4C" w14:textId="0E095636" w:rsidR="00525C12" w:rsidRPr="00DD56D4" w:rsidRDefault="00525C12" w:rsidP="00F97D12">
      <w:pPr>
        <w:pStyle w:val="FootnoteText"/>
        <w:jc w:val="both"/>
        <w:rPr>
          <w:rFonts w:cstheme="minorHAnsi"/>
          <w:szCs w:val="16"/>
        </w:rPr>
      </w:pPr>
      <w:r>
        <w:rPr>
          <w:rStyle w:val="FootnoteReference"/>
          <w:rFonts w:cstheme="minorHAnsi"/>
          <w:szCs w:val="16"/>
        </w:rPr>
        <w:footnoteRef/>
      </w:r>
      <w:r>
        <w:t xml:space="preserve"> </w:t>
      </w:r>
      <w:r>
        <w:tab/>
      </w:r>
      <w:r>
        <w:rPr>
          <w:szCs w:val="16"/>
          <w:shd w:val="clear" w:color="auto" w:fill="FFFFFF"/>
        </w:rPr>
        <w:t>Nadzór sentinel jest to „monitorowanie częstości występowania określonych chorób/stanów chorobowych poprzez dobrowolną sieć lekarzy, laboratoriów i wydziałów zdrowia publicznego w celu oceny stabilności lub zmian w poziomie zdrowia populacji”.</w:t>
      </w:r>
    </w:p>
  </w:footnote>
  <w:footnote w:id="14">
    <w:p w14:paraId="3AB432AF" w14:textId="445B96F3" w:rsidR="00525C12" w:rsidRPr="00DD56D4" w:rsidRDefault="00525C12" w:rsidP="00F97D12">
      <w:pPr>
        <w:pStyle w:val="FootnoteText"/>
        <w:jc w:val="both"/>
      </w:pPr>
      <w:r>
        <w:rPr>
          <w:rStyle w:val="FootnoteReference"/>
        </w:rPr>
        <w:footnoteRef/>
      </w:r>
      <w:r>
        <w:t xml:space="preserve"> </w:t>
      </w:r>
      <w:r>
        <w:tab/>
        <w:t>Portal danych dotyczących COVID-19: https://www.covid19dataportal.org/</w:t>
      </w:r>
    </w:p>
  </w:footnote>
  <w:footnote w:id="15">
    <w:p w14:paraId="3494675B" w14:textId="7D187D12" w:rsidR="00525C12" w:rsidRDefault="00525C12" w:rsidP="00F97D12">
      <w:pPr>
        <w:pStyle w:val="FootnoteText"/>
        <w:jc w:val="both"/>
      </w:pPr>
      <w:r>
        <w:rPr>
          <w:rStyle w:val="FootnoteReference"/>
        </w:rPr>
        <w:footnoteRef/>
      </w:r>
      <w:r>
        <w:t xml:space="preserve"> </w:t>
      </w:r>
      <w:r>
        <w:tab/>
        <w:t xml:space="preserve">Np. z zintegrowanych systemów nadzoru SARI (ostrych zakażeń dróg oddechowych o ciężkim przebiegu), ILI (zakażeń grypopodobnych) lub ARI (ostrych zakażeń dróg oddechowych). </w:t>
      </w:r>
    </w:p>
  </w:footnote>
  <w:footnote w:id="16">
    <w:p w14:paraId="745A743E" w14:textId="1FD97979" w:rsidR="00525C12" w:rsidRDefault="00525C12" w:rsidP="00F97D12">
      <w:pPr>
        <w:pStyle w:val="FootnoteText"/>
        <w:jc w:val="both"/>
      </w:pPr>
      <w:r>
        <w:rPr>
          <w:rStyle w:val="FootnoteReference"/>
          <w:rFonts w:cstheme="minorHAnsi"/>
        </w:rPr>
        <w:footnoteRef/>
      </w:r>
      <w:r>
        <w:t xml:space="preserve"> </w:t>
      </w:r>
      <w:r>
        <w:tab/>
        <w:t xml:space="preserve">Na przykład: „Dotacje bezpośrednie dla organów państw członkowskich: utworzenie skoordynowanego systemu nadzoru w ramach podejścia »Jedno zdrowie« w odniesieniu do transgranicznych patogenów zagrażających Unii” (CP-g-22-04.01); „Wspólne działanie w sprawie zwiększenia skuteczności Międzynarodowych przepisów zdrowotnych i gotowości w UE (SHARP)”: https://sharpja.eu/; oraz wspólne działanie na rzecz zintegrowanego nadzoru. </w:t>
      </w:r>
    </w:p>
  </w:footnote>
  <w:footnote w:id="17">
    <w:p w14:paraId="4C7F6121" w14:textId="7E8D7B92" w:rsidR="00525C12" w:rsidRDefault="00525C12" w:rsidP="00F97D12">
      <w:pPr>
        <w:pStyle w:val="FootnoteText"/>
        <w:jc w:val="both"/>
      </w:pPr>
      <w:r>
        <w:rPr>
          <w:rStyle w:val="FootnoteReference"/>
        </w:rPr>
        <w:footnoteRef/>
      </w:r>
      <w:r>
        <w:t xml:space="preserve"> </w:t>
      </w:r>
      <w:r>
        <w:tab/>
        <w:t>Techniczna grupa robocza ds. testów diagnostycznych w kierunku COVID-19, https://ec.europa.eu/health/health-security-and-infectious-diseases/crisis-management/covid-19-diagnostic-tests_pl</w:t>
      </w:r>
    </w:p>
  </w:footnote>
  <w:footnote w:id="18">
    <w:p w14:paraId="1870EB69" w14:textId="167BF524" w:rsidR="00525C12" w:rsidRDefault="00525C12" w:rsidP="00F97D12">
      <w:pPr>
        <w:pStyle w:val="FootnoteText"/>
        <w:jc w:val="both"/>
      </w:pPr>
      <w:r>
        <w:rPr>
          <w:rStyle w:val="FootnoteReference"/>
        </w:rPr>
        <w:footnoteRef/>
      </w:r>
      <w:r>
        <w:t xml:space="preserve"> </w:t>
      </w:r>
      <w:r>
        <w:tab/>
        <w:t>Są to wcześniej ustalone, przewidywalne działania polityczne realizowane na podstawie progów epidemiologicznych, stanowiące ramy dostosowywania środków reagowania na COVID-19.</w:t>
      </w:r>
    </w:p>
  </w:footnote>
  <w:footnote w:id="19">
    <w:p w14:paraId="2A9E8C85" w14:textId="264C4E9E" w:rsidR="00525C12" w:rsidRDefault="00525C12" w:rsidP="00F97D12">
      <w:pPr>
        <w:pStyle w:val="FootnoteText"/>
        <w:jc w:val="both"/>
      </w:pPr>
      <w:r>
        <w:rPr>
          <w:rStyle w:val="FootnoteReference"/>
        </w:rPr>
        <w:footnoteRef/>
      </w:r>
      <w:r>
        <w:t xml:space="preserve"> </w:t>
      </w:r>
      <w:r>
        <w:tab/>
        <w:t>ECDC, „Guidance for representative and targeted genomic SARS-CoV-2 monitoring” [„Wytyczne dotyczące reprezentatywnego i ukierunkowanego monitorowania genomu SARS-CoV-2”], https://www.ecdc.europa.eu/en/publications-data/guidance-representative-and-targeted-genomic-sars-cov-2-monitoring</w:t>
      </w:r>
    </w:p>
  </w:footnote>
  <w:footnote w:id="20">
    <w:p w14:paraId="004230A6" w14:textId="5B83753F" w:rsidR="00525C12" w:rsidRPr="004538F9" w:rsidRDefault="00525C12" w:rsidP="00CC30AA">
      <w:pPr>
        <w:pStyle w:val="FootnoteText"/>
      </w:pPr>
      <w:r>
        <w:rPr>
          <w:rStyle w:val="FootnoteReference"/>
        </w:rPr>
        <w:footnoteRef/>
      </w:r>
      <w:r>
        <w:t xml:space="preserve"> Poprawa gotowości na wszelkie możliwe przyszłe kryzysy zdrowotne jest jednym z trzech najważniejszych przekrojowych celów określonych w strategicznych ramach UE dotyczących bezpieczeństwa i higieny pracy na lata 2021–2027, COM(2021) 323 final.</w:t>
      </w:r>
    </w:p>
  </w:footnote>
  <w:footnote w:id="21">
    <w:p w14:paraId="4440112A" w14:textId="797A4E7C" w:rsidR="00525C12" w:rsidRDefault="00525C12" w:rsidP="00F97D12">
      <w:pPr>
        <w:pStyle w:val="FootnoteText"/>
        <w:jc w:val="both"/>
      </w:pPr>
      <w:r>
        <w:rPr>
          <w:rStyle w:val="FootnoteReference"/>
        </w:rPr>
        <w:footnoteRef/>
      </w:r>
      <w:r>
        <w:t xml:space="preserve"> </w:t>
      </w:r>
      <w:r>
        <w:tab/>
        <w:t>Na przykład oddzielne urządzenia do oczyszczania powietrza wyposażone w filtry HEPA (wysokosprawne filtry powietrza) lub filtry o porównywalnej sprawności lub bakteriobójcze lampy ultrafioletowe (UVGI), urządzenia umieszczane w kanałach systemów ogrzewania, wentylacji i klimatyzacji lub wystarczająco wysoko w pomieszczeniach (ang. upper-room UVGI).</w:t>
      </w:r>
    </w:p>
  </w:footnote>
  <w:footnote w:id="22">
    <w:p w14:paraId="2E8230D9" w14:textId="15F25359" w:rsidR="00525C12" w:rsidRPr="00E0390B" w:rsidRDefault="00525C12" w:rsidP="000A693A">
      <w:pPr>
        <w:pStyle w:val="FootnoteText"/>
      </w:pPr>
      <w:r>
        <w:rPr>
          <w:rStyle w:val="FootnoteReference"/>
        </w:rPr>
        <w:footnoteRef/>
      </w:r>
      <w:r>
        <w:t xml:space="preserve"> </w:t>
      </w:r>
      <w:r>
        <w:tab/>
        <w:t>Zalecenie Rady (UE) 2022/107 z dnia 25 stycznia 20</w:t>
      </w:r>
      <w:r w:rsidRPr="00525C12">
        <w:t>22 r.</w:t>
      </w:r>
      <w:r>
        <w:t xml:space="preserve"> w sprawie skoordynowanego podejścia na rzecz ułatwienia bezpiecznego swobodnego przemieszczania się podczas pandemii COVID-19 i zastępujące zalecenie (UE) 2020/1475 (Dz.U. L 18 z 27.1.2022, s. 110).</w:t>
      </w:r>
    </w:p>
  </w:footnote>
  <w:footnote w:id="23">
    <w:p w14:paraId="4C31FFA4" w14:textId="04352952" w:rsidR="00525C12" w:rsidRDefault="00525C12">
      <w:pPr>
        <w:pStyle w:val="FootnoteText"/>
      </w:pPr>
      <w:r>
        <w:rPr>
          <w:rStyle w:val="FootnoteReference"/>
        </w:rPr>
        <w:footnoteRef/>
      </w:r>
      <w:r>
        <w:t xml:space="preserve"> </w:t>
      </w:r>
      <w:r>
        <w:tab/>
        <w:t>https://ec.europa.eu/commission/presscorner/detail/pl/ip_22_744</w:t>
      </w:r>
    </w:p>
  </w:footnote>
  <w:footnote w:id="24">
    <w:p w14:paraId="554CCA5B" w14:textId="35FC7B7A" w:rsidR="00525C12" w:rsidRPr="007257ED" w:rsidRDefault="00525C12" w:rsidP="00F97D12">
      <w:pPr>
        <w:pStyle w:val="FootnoteText"/>
        <w:jc w:val="both"/>
        <w:rPr>
          <w:rFonts w:cstheme="minorHAnsi"/>
        </w:rPr>
      </w:pPr>
      <w:r>
        <w:rPr>
          <w:rStyle w:val="FootnoteReference"/>
          <w:rFonts w:cstheme="minorHAnsi"/>
        </w:rPr>
        <w:footnoteRef/>
      </w:r>
      <w:r>
        <w:t xml:space="preserve"> </w:t>
      </w:r>
      <w:r>
        <w:tab/>
        <w:t>Na podstawie zalecenia Rady (UE) 2020/912 w sprawie tymczasowego ograniczenia innych niż niezbędne podróży do UE oraz ewentualnego zniesienia takiego ograniczenia.</w:t>
      </w:r>
    </w:p>
  </w:footnote>
  <w:footnote w:id="25">
    <w:p w14:paraId="3D622949" w14:textId="1DEC27F2" w:rsidR="00525C12" w:rsidRPr="00580BE8" w:rsidRDefault="00525C12" w:rsidP="00F97D12">
      <w:pPr>
        <w:pStyle w:val="FootnoteText"/>
        <w:jc w:val="both"/>
      </w:pPr>
      <w:r>
        <w:rPr>
          <w:rStyle w:val="FootnoteReference"/>
        </w:rPr>
        <w:footnoteRef/>
      </w:r>
      <w:r>
        <w:t xml:space="preserve"> </w:t>
      </w:r>
      <w:r>
        <w:tab/>
        <w:t>Rozporządzenie delegowane Komisji (UE) 2021/756 z dnia 24 marca 20</w:t>
      </w:r>
      <w:r w:rsidRPr="00525C12">
        <w:t>21 r.</w:t>
      </w:r>
      <w:r>
        <w:t xml:space="preserve"> zmieniające rozporządzenie (WE) </w:t>
      </w:r>
      <w:r w:rsidRPr="00525C12">
        <w:t>nr 1</w:t>
      </w:r>
      <w:r>
        <w:t>234/2008 dotyczące badania zmian w warunkach pozwoleń na dopuszczenie do obrotu dla produktów leczniczych stosowanych u ludzi i weterynaryjnych produktów leczniczych, Dz.U. L 162 z 10.5.2021, s. 1.</w:t>
      </w:r>
    </w:p>
  </w:footnote>
  <w:footnote w:id="26">
    <w:p w14:paraId="413843BD" w14:textId="7C129DDA" w:rsidR="00525C12" w:rsidRPr="000B0A7E" w:rsidRDefault="00525C12" w:rsidP="00F97D12">
      <w:pPr>
        <w:pStyle w:val="FootnoteText"/>
        <w:jc w:val="both"/>
      </w:pPr>
      <w:r>
        <w:rPr>
          <w:rStyle w:val="FootnoteReference"/>
        </w:rPr>
        <w:footnoteRef/>
      </w:r>
      <w:r>
        <w:t xml:space="preserve"> </w:t>
      </w:r>
      <w:r>
        <w:tab/>
        <w:t>https://ec.europa.eu/health/system/files/2021-09/guidance_regulatory_covid19_en_0.pdf</w:t>
      </w:r>
    </w:p>
  </w:footnote>
  <w:footnote w:id="27">
    <w:p w14:paraId="0D9F279D" w14:textId="370D9B7F" w:rsidR="00525C12" w:rsidRPr="009E6CBE" w:rsidRDefault="00525C12" w:rsidP="00F97D12">
      <w:pPr>
        <w:pStyle w:val="FootnoteText"/>
        <w:jc w:val="both"/>
      </w:pPr>
      <w:r>
        <w:rPr>
          <w:rStyle w:val="FootnoteReference"/>
        </w:rPr>
        <w:footnoteRef/>
      </w:r>
      <w:r>
        <w:t xml:space="preserve"> </w:t>
      </w:r>
      <w:r>
        <w:tab/>
        <w:t>https://ec.europa.eu/info/funding-tenders/opportunities/portal/screen/opportunities/topic-details/horizon-hlth-2022-disease-06-03-two-stage</w:t>
      </w:r>
    </w:p>
  </w:footnote>
  <w:footnote w:id="28">
    <w:p w14:paraId="2DBF74DF" w14:textId="503101C7" w:rsidR="00525C12" w:rsidRPr="000A776B" w:rsidRDefault="00525C12" w:rsidP="00F97D12">
      <w:pPr>
        <w:pStyle w:val="FootnoteText"/>
        <w:jc w:val="both"/>
      </w:pPr>
      <w:r>
        <w:rPr>
          <w:rStyle w:val="FootnoteReference"/>
        </w:rPr>
        <w:footnoteRef/>
      </w:r>
      <w:r>
        <w:t xml:space="preserve"> </w:t>
      </w:r>
      <w:r>
        <w:tab/>
        <w:t>Komunikat Komisji: „Unijna strategia na rzecz środków terapeutycznych przeciwko COVID-19”, COM(2021) 355 final/2.</w:t>
      </w:r>
    </w:p>
  </w:footnote>
  <w:footnote w:id="29">
    <w:p w14:paraId="68B7321F" w14:textId="3BE1CD1B" w:rsidR="00525C12" w:rsidRPr="00AB4B55" w:rsidRDefault="00525C12" w:rsidP="00F97D12">
      <w:pPr>
        <w:pStyle w:val="FootnoteText"/>
        <w:jc w:val="both"/>
        <w:rPr>
          <w:rFonts w:cstheme="minorHAnsi"/>
        </w:rPr>
      </w:pPr>
      <w:r>
        <w:rPr>
          <w:rStyle w:val="FootnoteReference"/>
          <w:rFonts w:cstheme="minorHAnsi"/>
        </w:rPr>
        <w:footnoteRef/>
      </w:r>
      <w:r>
        <w:t xml:space="preserve"> </w:t>
      </w:r>
      <w:r>
        <w:tab/>
        <w:t>EU-COVAT-1 AGED, EU-COVAT-2 BOOSTAVAC i EU-COVPT-1 CoVacc.</w:t>
      </w:r>
    </w:p>
  </w:footnote>
  <w:footnote w:id="30">
    <w:p w14:paraId="724D9C3A" w14:textId="40458FEA" w:rsidR="00525C12" w:rsidRPr="00AB4B55" w:rsidRDefault="00525C12" w:rsidP="00F97D12">
      <w:pPr>
        <w:pStyle w:val="FootnoteText"/>
        <w:jc w:val="both"/>
        <w:rPr>
          <w:rFonts w:cstheme="minorHAnsi"/>
        </w:rPr>
      </w:pPr>
      <w:r>
        <w:rPr>
          <w:rStyle w:val="FootnoteReference"/>
          <w:rFonts w:cstheme="minorHAnsi"/>
        </w:rPr>
        <w:footnoteRef/>
      </w:r>
      <w:r>
        <w:t xml:space="preserve"> </w:t>
      </w:r>
      <w:r>
        <w:tab/>
        <w:t>https://ec.europa.eu/health/system/files/2022-01/medicinal_accelerating-clinical-trials-eu_en.pdf</w:t>
      </w:r>
    </w:p>
  </w:footnote>
  <w:footnote w:id="31">
    <w:p w14:paraId="7B924986" w14:textId="10F99F34" w:rsidR="00525C12" w:rsidRPr="002973F4" w:rsidRDefault="00525C12" w:rsidP="00F97D12">
      <w:pPr>
        <w:pStyle w:val="FootnoteText"/>
        <w:jc w:val="both"/>
        <w:rPr>
          <w:rFonts w:cstheme="minorHAnsi"/>
        </w:rPr>
      </w:pPr>
      <w:r>
        <w:rPr>
          <w:rStyle w:val="FootnoteReference"/>
          <w:rFonts w:cstheme="minorHAnsi"/>
        </w:rPr>
        <w:footnoteRef/>
      </w:r>
      <w:r>
        <w:t xml:space="preserve"> </w:t>
      </w:r>
      <w:r>
        <w:tab/>
        <w:t>Spotkanie inauguracyjne 3 lutego 20</w:t>
      </w:r>
      <w:r w:rsidRPr="00525C12">
        <w:t>22 r.</w:t>
      </w:r>
      <w:r>
        <w:t>: https://ec.europa.eu/health/events/joint-action-support-coordinated-and-expedited-assessment-clinical-trials-covid-19-therapeutics_en</w:t>
      </w:r>
    </w:p>
  </w:footnote>
  <w:footnote w:id="32">
    <w:p w14:paraId="0206B71B" w14:textId="22685AFD" w:rsidR="00525C12" w:rsidRPr="00FE4D5B" w:rsidRDefault="00525C12" w:rsidP="00F97D12">
      <w:pPr>
        <w:pStyle w:val="FootnoteText"/>
        <w:jc w:val="both"/>
      </w:pPr>
      <w:r>
        <w:rPr>
          <w:rStyle w:val="FootnoteReference"/>
          <w:rFonts w:cstheme="minorHAnsi"/>
        </w:rPr>
        <w:footnoteRef/>
      </w:r>
      <w:r>
        <w:t xml:space="preserve"> </w:t>
      </w:r>
      <w:r>
        <w:tab/>
        <w:t>https://www.thelancet.com/journals/laninf/article/PIIS1473-3099(22)00061-5/fulltext</w:t>
      </w:r>
    </w:p>
  </w:footnote>
  <w:footnote w:id="33">
    <w:p w14:paraId="3E3E08C3" w14:textId="3B202AA4" w:rsidR="00525C12" w:rsidRDefault="00525C12" w:rsidP="00740CF7">
      <w:pPr>
        <w:pStyle w:val="FootnoteText"/>
        <w:jc w:val="both"/>
      </w:pPr>
      <w:r>
        <w:rPr>
          <w:rStyle w:val="FootnoteReference"/>
        </w:rPr>
        <w:footnoteRef/>
      </w:r>
      <w:r>
        <w:t xml:space="preserve"> </w:t>
      </w:r>
      <w:r>
        <w:tab/>
        <w:t>Zob. wstępne ogłoszenie informacyjne opublikowane 17 września 20</w:t>
      </w:r>
      <w:r w:rsidRPr="00525C12">
        <w:t>21 r.</w:t>
      </w:r>
      <w:r>
        <w:t>: https://ted.europa.eu/udl?uri=TED:NOTICE:467537-2021:TEXT:PL:HTML&amp;src=0</w:t>
      </w:r>
    </w:p>
  </w:footnote>
  <w:footnote w:id="34">
    <w:p w14:paraId="07566C0E" w14:textId="671C230F" w:rsidR="00525C12" w:rsidRDefault="00525C12">
      <w:pPr>
        <w:pStyle w:val="FootnoteText"/>
      </w:pPr>
      <w:r>
        <w:rPr>
          <w:rStyle w:val="FootnoteReference"/>
        </w:rPr>
        <w:footnoteRef/>
      </w:r>
      <w:r>
        <w:t xml:space="preserve"> </w:t>
      </w:r>
      <w:r>
        <w:tab/>
        <w:t>Wspólny komunikat: „Walka z dezinformacją wokół COVID-19 – dajemy dojść do głosu faktom”, JOIN(2020) 8 final.</w:t>
      </w:r>
    </w:p>
  </w:footnote>
  <w:footnote w:id="35">
    <w:p w14:paraId="5AFF3F5E" w14:textId="0FBB51B3" w:rsidR="00525C12" w:rsidRPr="002973F4" w:rsidRDefault="00525C12" w:rsidP="00CC62B1">
      <w:pPr>
        <w:pStyle w:val="FootnoteText"/>
        <w:jc w:val="both"/>
      </w:pPr>
      <w:r>
        <w:rPr>
          <w:rStyle w:val="FootnoteReference"/>
        </w:rPr>
        <w:footnoteRef/>
      </w:r>
      <w:r>
        <w:t xml:space="preserve"> </w:t>
      </w:r>
      <w:r>
        <w:tab/>
        <w:t>Komunikat Komisji w sprawie europejskiego planu działania na rzecz demokracji, COM(2020) 790 final.</w:t>
      </w:r>
    </w:p>
  </w:footnote>
  <w:footnote w:id="36">
    <w:p w14:paraId="0D2EE367" w14:textId="3E1A86CD" w:rsidR="00525C12" w:rsidRPr="00BE229A" w:rsidRDefault="00525C12" w:rsidP="00CC62B1">
      <w:pPr>
        <w:pStyle w:val="FootnoteText"/>
        <w:jc w:val="both"/>
      </w:pPr>
      <w:r>
        <w:rPr>
          <w:rStyle w:val="FootnoteReference"/>
        </w:rPr>
        <w:footnoteRef/>
      </w:r>
      <w:r>
        <w:t xml:space="preserve"> </w:t>
      </w:r>
      <w:r>
        <w:tab/>
        <w:t>Za pośrednictwem wewnętrznej sieci przeciwko dezinformacji i systemu wczesnego ostrzegania.</w:t>
      </w:r>
    </w:p>
  </w:footnote>
  <w:footnote w:id="37">
    <w:p w14:paraId="5AD6A043" w14:textId="7C619447" w:rsidR="00525C12" w:rsidRPr="002973F4" w:rsidRDefault="00525C12" w:rsidP="00CC62B1">
      <w:pPr>
        <w:pStyle w:val="FootnoteText"/>
        <w:jc w:val="both"/>
      </w:pPr>
      <w:r>
        <w:rPr>
          <w:rStyle w:val="FootnoteReference"/>
        </w:rPr>
        <w:footnoteRef/>
      </w:r>
      <w:r>
        <w:t xml:space="preserve"> </w:t>
      </w:r>
      <w:r>
        <w:tab/>
        <w:t>Komunikat Komisji „Wytyczne Komisji Europejskiej w sprawie wzmocnienia kodeksu postępowania w zakresie dezinformacji”, COM(2021) 262 final.</w:t>
      </w:r>
    </w:p>
  </w:footnote>
  <w:footnote w:id="38">
    <w:p w14:paraId="60A4414F" w14:textId="3244C09F" w:rsidR="00525C12" w:rsidRPr="007D21C2" w:rsidRDefault="00525C12" w:rsidP="00FE043A">
      <w:pPr>
        <w:pStyle w:val="FootnoteText"/>
        <w:jc w:val="both"/>
      </w:pPr>
      <w:r>
        <w:rPr>
          <w:rStyle w:val="FootnoteReference"/>
        </w:rPr>
        <w:footnoteRef/>
      </w:r>
      <w:r>
        <w:t xml:space="preserve"> </w:t>
      </w:r>
      <w:r>
        <w:tab/>
        <w:t>https://ec.europa.eu/commission/presscorner/detail/pl/fs_22_870</w:t>
      </w:r>
    </w:p>
  </w:footnote>
  <w:footnote w:id="39">
    <w:p w14:paraId="70AEC675" w14:textId="58DCE043" w:rsidR="00525C12" w:rsidRPr="00A65670" w:rsidRDefault="00525C12" w:rsidP="00CC62B1">
      <w:pPr>
        <w:pStyle w:val="FootnoteText"/>
        <w:ind w:left="284" w:hanging="284"/>
        <w:jc w:val="both"/>
      </w:pPr>
      <w:r>
        <w:rPr>
          <w:rStyle w:val="FootnoteReference"/>
        </w:rPr>
        <w:footnoteRef/>
      </w:r>
      <w:r>
        <w:t xml:space="preserve"> </w:t>
      </w:r>
      <w:r>
        <w:tab/>
      </w:r>
      <w:r>
        <w:tab/>
        <w:t>https://www.who.int/news-room/commentaries/detail/op-ed---covid-19-shows-why-united-action-is-needed-for-more-robust-international-health-architecture</w:t>
      </w:r>
    </w:p>
  </w:footnote>
  <w:footnote w:id="40">
    <w:p w14:paraId="18201880" w14:textId="33BE5086" w:rsidR="00525C12" w:rsidRDefault="00525C12" w:rsidP="00F97D12">
      <w:pPr>
        <w:pStyle w:val="FootnoteText"/>
        <w:jc w:val="both"/>
      </w:pPr>
      <w:r>
        <w:rPr>
          <w:rStyle w:val="FootnoteReference"/>
        </w:rPr>
        <w:footnoteRef/>
      </w:r>
      <w:r>
        <w:t xml:space="preserve"> </w:t>
      </w:r>
      <w:r>
        <w:tab/>
        <w:t>Pogłębione i kompleksowe strefy wolnego handlu (DCFTA) to trzy strefy wolnego handlu ustanowione między Unią Europejską a odpowiednio Gruzją, Mołdawią i Ukrainą.</w:t>
      </w:r>
    </w:p>
  </w:footnote>
  <w:footnote w:id="41">
    <w:p w14:paraId="76154FC5" w14:textId="07C2AE55" w:rsidR="00525C12" w:rsidRDefault="00525C12" w:rsidP="00F97D12">
      <w:pPr>
        <w:pStyle w:val="FootnoteText"/>
        <w:jc w:val="both"/>
      </w:pPr>
      <w:r>
        <w:rPr>
          <w:rStyle w:val="FootnoteReference"/>
        </w:rPr>
        <w:footnoteRef/>
      </w:r>
      <w:r>
        <w:t xml:space="preserve"> </w:t>
      </w:r>
      <w:r>
        <w:tab/>
        <w:t>Sprawozdanie UNICEF z 20</w:t>
      </w:r>
      <w:r w:rsidRPr="00525C12">
        <w:t>21 r.</w:t>
      </w:r>
      <w:r>
        <w:t xml:space="preserve"> „The State of the World's Children” [„Sytuacja dzieci na świecie”] poświęcono kwestii zdrowia psychicznego. W sprawozdaniu tym wskazuje się, że jeszcze przez z wiele lat dzieci i młodzież mogą odczuwać negatywny wpływ pandemii na zdrowie psychiczne: https://www.unicef.org/media/108121/file/SOWC-2021-Europe-regional-brief.pdf</w:t>
      </w:r>
    </w:p>
  </w:footnote>
  <w:footnote w:id="42">
    <w:p w14:paraId="2864F224" w14:textId="0EEAE3C9" w:rsidR="00525C12" w:rsidRDefault="00525C12" w:rsidP="00F97D12">
      <w:pPr>
        <w:pStyle w:val="FootnoteText"/>
        <w:jc w:val="both"/>
      </w:pPr>
      <w:r>
        <w:rPr>
          <w:rStyle w:val="FootnoteReference"/>
        </w:rPr>
        <w:footnoteRef/>
      </w:r>
      <w:r>
        <w:t xml:space="preserve"> </w:t>
      </w:r>
      <w:r>
        <w:tab/>
        <w:t>WHO, ‎2022, „Mental health and COVID-19: early evidence of the pandemic’s impact: scientfic brief” [„COVID-19 a zdrowie psychiczne: wczesne dowody wskazujące na wpływ pandemii, nota naukowa”], z 2 marca 20</w:t>
      </w:r>
      <w:r w:rsidRPr="00525C12">
        <w:t>22 r.</w:t>
      </w:r>
      <w:r>
        <w:t xml:space="preserve"> https://apps.who.int/iris/handle/10665/352189</w:t>
      </w:r>
    </w:p>
  </w:footnote>
  <w:footnote w:id="43">
    <w:p w14:paraId="172E2461" w14:textId="2A6E8B39" w:rsidR="00525C12" w:rsidRDefault="00525C12" w:rsidP="00F97D12">
      <w:pPr>
        <w:pStyle w:val="FootnoteText"/>
        <w:jc w:val="both"/>
      </w:pPr>
      <w:r>
        <w:rPr>
          <w:rStyle w:val="FootnoteReference"/>
        </w:rPr>
        <w:footnoteRef/>
      </w:r>
      <w:r>
        <w:t xml:space="preserve"> </w:t>
      </w:r>
      <w:r>
        <w:tab/>
        <w:t>EU4H-2022-PJ-03: DP-g-22-07.01/03 zaproszenie do składania wniosków dotyczących dbania o zdrowie psychiczne.</w:t>
      </w:r>
    </w:p>
  </w:footnote>
  <w:footnote w:id="44">
    <w:p w14:paraId="54C862AC" w14:textId="52B57F75" w:rsidR="00525C12" w:rsidRDefault="00525C12" w:rsidP="00F97D12">
      <w:pPr>
        <w:pStyle w:val="FootnoteText"/>
        <w:jc w:val="both"/>
      </w:pPr>
      <w:r>
        <w:rPr>
          <w:rStyle w:val="FootnoteReference"/>
        </w:rPr>
        <w:footnoteRef/>
      </w:r>
      <w:r>
        <w:t xml:space="preserve"> </w:t>
      </w:r>
      <w:r>
        <w:tab/>
        <w:t>Są to na przykład: elektroniczna dokumentacja medyczna, telezdrowie, e-recepty i aplikacje zdrowotne Ponadto platformy i aplikacje cyfrowe stosuje się na potrzeby monitorowania i nadzoru COVID-19, ustalania kontaktów zakaźnych, programów szczepień oraz wydawania i weryfikowania zaświadczeń COVID-19.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F1DA4" w14:textId="77777777" w:rsidR="00B7048D" w:rsidRPr="00B7048D" w:rsidRDefault="00B7048D" w:rsidP="00B704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1589D" w14:textId="77777777" w:rsidR="00B7048D" w:rsidRPr="00B7048D" w:rsidRDefault="00B7048D" w:rsidP="00B7048D">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FD943" w14:textId="77777777" w:rsidR="00B7048D" w:rsidRPr="00B7048D" w:rsidRDefault="00B7048D" w:rsidP="00B7048D">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020E2" w14:textId="77777777" w:rsidR="00525C12" w:rsidRDefault="00525C1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B08C9" w14:textId="77777777" w:rsidR="00525C12" w:rsidRDefault="00525C1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EF829" w14:textId="77777777" w:rsidR="00525C12" w:rsidRDefault="00525C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4734D"/>
    <w:multiLevelType w:val="hybridMultilevel"/>
    <w:tmpl w:val="1C74E83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96626"/>
    <w:multiLevelType w:val="hybridMultilevel"/>
    <w:tmpl w:val="167E1E8A"/>
    <w:lvl w:ilvl="0" w:tplc="1F961EDC">
      <w:start w:val="1"/>
      <w:numFmt w:val="bullet"/>
      <w:pStyle w:val="Briefinglist1"/>
      <w:lvlText w:val=""/>
      <w:lvlJc w:val="left"/>
      <w:pPr>
        <w:tabs>
          <w:tab w:val="num" w:pos="284"/>
        </w:tabs>
        <w:ind w:left="284" w:hanging="284"/>
      </w:pPr>
      <w:rPr>
        <w:rFonts w:ascii="Symbol" w:hAnsi="Symbol" w:hint="default"/>
        <w:b w:val="0"/>
        <w:i w:val="0"/>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9311F7"/>
    <w:multiLevelType w:val="hybridMultilevel"/>
    <w:tmpl w:val="B00AE7C4"/>
    <w:lvl w:ilvl="0" w:tplc="DD0EF17A">
      <w:start w:val="1"/>
      <w:numFmt w:val="decimal"/>
      <w:lvlText w:val="%1."/>
      <w:lvlJc w:val="left"/>
      <w:pPr>
        <w:ind w:left="720" w:hanging="360"/>
      </w:pPr>
    </w:lvl>
    <w:lvl w:ilvl="1" w:tplc="554831E6">
      <w:start w:val="1"/>
      <w:numFmt w:val="lowerLetter"/>
      <w:lvlText w:val="%2."/>
      <w:lvlJc w:val="left"/>
      <w:pPr>
        <w:ind w:left="1440" w:hanging="360"/>
      </w:pPr>
    </w:lvl>
    <w:lvl w:ilvl="2" w:tplc="8D045370">
      <w:start w:val="1"/>
      <w:numFmt w:val="lowerRoman"/>
      <w:lvlText w:val="%3."/>
      <w:lvlJc w:val="right"/>
      <w:pPr>
        <w:ind w:left="2160" w:hanging="180"/>
      </w:pPr>
    </w:lvl>
    <w:lvl w:ilvl="3" w:tplc="6FC4113E">
      <w:start w:val="1"/>
      <w:numFmt w:val="decimal"/>
      <w:lvlText w:val="%4."/>
      <w:lvlJc w:val="left"/>
      <w:pPr>
        <w:ind w:left="2880" w:hanging="360"/>
      </w:pPr>
    </w:lvl>
    <w:lvl w:ilvl="4" w:tplc="B69E5D2E">
      <w:start w:val="1"/>
      <w:numFmt w:val="lowerLetter"/>
      <w:lvlText w:val="%5."/>
      <w:lvlJc w:val="left"/>
      <w:pPr>
        <w:ind w:left="3600" w:hanging="360"/>
      </w:pPr>
    </w:lvl>
    <w:lvl w:ilvl="5" w:tplc="0E60F034">
      <w:start w:val="1"/>
      <w:numFmt w:val="lowerRoman"/>
      <w:lvlText w:val="%6."/>
      <w:lvlJc w:val="right"/>
      <w:pPr>
        <w:ind w:left="4320" w:hanging="180"/>
      </w:pPr>
    </w:lvl>
    <w:lvl w:ilvl="6" w:tplc="94900468">
      <w:start w:val="1"/>
      <w:numFmt w:val="decimal"/>
      <w:lvlText w:val="%7."/>
      <w:lvlJc w:val="left"/>
      <w:pPr>
        <w:ind w:left="5040" w:hanging="360"/>
      </w:pPr>
    </w:lvl>
    <w:lvl w:ilvl="7" w:tplc="54E40626">
      <w:start w:val="1"/>
      <w:numFmt w:val="lowerLetter"/>
      <w:lvlText w:val="%8."/>
      <w:lvlJc w:val="left"/>
      <w:pPr>
        <w:ind w:left="5760" w:hanging="360"/>
      </w:pPr>
    </w:lvl>
    <w:lvl w:ilvl="8" w:tplc="2C16CC76">
      <w:start w:val="1"/>
      <w:numFmt w:val="lowerRoman"/>
      <w:lvlText w:val="%9."/>
      <w:lvlJc w:val="right"/>
      <w:pPr>
        <w:ind w:left="6480" w:hanging="180"/>
      </w:pPr>
    </w:lvl>
  </w:abstractNum>
  <w:abstractNum w:abstractNumId="3"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0597E90"/>
    <w:multiLevelType w:val="hybridMultilevel"/>
    <w:tmpl w:val="79DC7FB0"/>
    <w:lvl w:ilvl="0" w:tplc="149C2936">
      <w:start w:val="1"/>
      <w:numFmt w:val="bullet"/>
      <w:lvlText w:val="·"/>
      <w:lvlJc w:val="left"/>
      <w:pPr>
        <w:ind w:left="720" w:hanging="360"/>
      </w:pPr>
      <w:rPr>
        <w:rFonts w:ascii="Symbol" w:hAnsi="Symbol" w:hint="default"/>
      </w:rPr>
    </w:lvl>
    <w:lvl w:ilvl="1" w:tplc="5F62AB10">
      <w:start w:val="1"/>
      <w:numFmt w:val="bullet"/>
      <w:lvlText w:val="o"/>
      <w:lvlJc w:val="left"/>
      <w:pPr>
        <w:ind w:left="1440" w:hanging="360"/>
      </w:pPr>
      <w:rPr>
        <w:rFonts w:ascii="Courier New" w:hAnsi="Courier New" w:hint="default"/>
      </w:rPr>
    </w:lvl>
    <w:lvl w:ilvl="2" w:tplc="2C701DAE">
      <w:start w:val="1"/>
      <w:numFmt w:val="bullet"/>
      <w:lvlText w:val=""/>
      <w:lvlJc w:val="left"/>
      <w:pPr>
        <w:ind w:left="2160" w:hanging="360"/>
      </w:pPr>
      <w:rPr>
        <w:rFonts w:ascii="Wingdings" w:hAnsi="Wingdings" w:hint="default"/>
      </w:rPr>
    </w:lvl>
    <w:lvl w:ilvl="3" w:tplc="202ED30E">
      <w:start w:val="1"/>
      <w:numFmt w:val="bullet"/>
      <w:lvlText w:val=""/>
      <w:lvlJc w:val="left"/>
      <w:pPr>
        <w:ind w:left="2880" w:hanging="360"/>
      </w:pPr>
      <w:rPr>
        <w:rFonts w:ascii="Symbol" w:hAnsi="Symbol" w:hint="default"/>
      </w:rPr>
    </w:lvl>
    <w:lvl w:ilvl="4" w:tplc="6534F358">
      <w:start w:val="1"/>
      <w:numFmt w:val="bullet"/>
      <w:lvlText w:val="o"/>
      <w:lvlJc w:val="left"/>
      <w:pPr>
        <w:ind w:left="3600" w:hanging="360"/>
      </w:pPr>
      <w:rPr>
        <w:rFonts w:ascii="Courier New" w:hAnsi="Courier New" w:hint="default"/>
      </w:rPr>
    </w:lvl>
    <w:lvl w:ilvl="5" w:tplc="3CDAE146">
      <w:start w:val="1"/>
      <w:numFmt w:val="bullet"/>
      <w:lvlText w:val=""/>
      <w:lvlJc w:val="left"/>
      <w:pPr>
        <w:ind w:left="4320" w:hanging="360"/>
      </w:pPr>
      <w:rPr>
        <w:rFonts w:ascii="Wingdings" w:hAnsi="Wingdings" w:hint="default"/>
      </w:rPr>
    </w:lvl>
    <w:lvl w:ilvl="6" w:tplc="C4F8140A">
      <w:start w:val="1"/>
      <w:numFmt w:val="bullet"/>
      <w:lvlText w:val=""/>
      <w:lvlJc w:val="left"/>
      <w:pPr>
        <w:ind w:left="5040" w:hanging="360"/>
      </w:pPr>
      <w:rPr>
        <w:rFonts w:ascii="Symbol" w:hAnsi="Symbol" w:hint="default"/>
      </w:rPr>
    </w:lvl>
    <w:lvl w:ilvl="7" w:tplc="378088B8">
      <w:start w:val="1"/>
      <w:numFmt w:val="bullet"/>
      <w:lvlText w:val="o"/>
      <w:lvlJc w:val="left"/>
      <w:pPr>
        <w:ind w:left="5760" w:hanging="360"/>
      </w:pPr>
      <w:rPr>
        <w:rFonts w:ascii="Courier New" w:hAnsi="Courier New" w:hint="default"/>
      </w:rPr>
    </w:lvl>
    <w:lvl w:ilvl="8" w:tplc="84DC737A">
      <w:start w:val="1"/>
      <w:numFmt w:val="bullet"/>
      <w:lvlText w:val=""/>
      <w:lvlJc w:val="left"/>
      <w:pPr>
        <w:ind w:left="6480" w:hanging="360"/>
      </w:pPr>
      <w:rPr>
        <w:rFonts w:ascii="Wingdings" w:hAnsi="Wingdings" w:hint="default"/>
      </w:rPr>
    </w:lvl>
  </w:abstractNum>
  <w:abstractNum w:abstractNumId="5" w15:restartNumberingAfterBreak="0">
    <w:nsid w:val="332C5D41"/>
    <w:multiLevelType w:val="multilevel"/>
    <w:tmpl w:val="834C8E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D343E3D"/>
    <w:multiLevelType w:val="hybridMultilevel"/>
    <w:tmpl w:val="31FAA068"/>
    <w:lvl w:ilvl="0" w:tplc="E092DD8E">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167494"/>
    <w:multiLevelType w:val="hybridMultilevel"/>
    <w:tmpl w:val="5B985EE2"/>
    <w:lvl w:ilvl="0" w:tplc="962450E2">
      <w:start w:val="1"/>
      <w:numFmt w:val="decimal"/>
      <w:lvlText w:val="%1."/>
      <w:lvlJc w:val="left"/>
      <w:pPr>
        <w:ind w:left="720" w:hanging="360"/>
      </w:pPr>
    </w:lvl>
    <w:lvl w:ilvl="1" w:tplc="6EC27EF2">
      <w:start w:val="1"/>
      <w:numFmt w:val="lowerLetter"/>
      <w:lvlText w:val="%2."/>
      <w:lvlJc w:val="left"/>
      <w:pPr>
        <w:ind w:left="1440" w:hanging="360"/>
      </w:pPr>
    </w:lvl>
    <w:lvl w:ilvl="2" w:tplc="827E8320">
      <w:start w:val="1"/>
      <w:numFmt w:val="lowerRoman"/>
      <w:lvlText w:val="%3."/>
      <w:lvlJc w:val="right"/>
      <w:pPr>
        <w:ind w:left="2160" w:hanging="180"/>
      </w:pPr>
    </w:lvl>
    <w:lvl w:ilvl="3" w:tplc="C97E96F2">
      <w:start w:val="1"/>
      <w:numFmt w:val="decimal"/>
      <w:lvlText w:val="%4."/>
      <w:lvlJc w:val="left"/>
      <w:pPr>
        <w:ind w:left="2880" w:hanging="360"/>
      </w:pPr>
    </w:lvl>
    <w:lvl w:ilvl="4" w:tplc="71262B74">
      <w:start w:val="1"/>
      <w:numFmt w:val="lowerLetter"/>
      <w:lvlText w:val="%5."/>
      <w:lvlJc w:val="left"/>
      <w:pPr>
        <w:ind w:left="3600" w:hanging="360"/>
      </w:pPr>
    </w:lvl>
    <w:lvl w:ilvl="5" w:tplc="80607E1C">
      <w:start w:val="1"/>
      <w:numFmt w:val="lowerRoman"/>
      <w:lvlText w:val="%6."/>
      <w:lvlJc w:val="right"/>
      <w:pPr>
        <w:ind w:left="4320" w:hanging="180"/>
      </w:pPr>
    </w:lvl>
    <w:lvl w:ilvl="6" w:tplc="8814CA1C">
      <w:start w:val="1"/>
      <w:numFmt w:val="decimal"/>
      <w:lvlText w:val="%7."/>
      <w:lvlJc w:val="left"/>
      <w:pPr>
        <w:ind w:left="5040" w:hanging="360"/>
      </w:pPr>
    </w:lvl>
    <w:lvl w:ilvl="7" w:tplc="107A9BC6">
      <w:start w:val="1"/>
      <w:numFmt w:val="lowerLetter"/>
      <w:lvlText w:val="%8."/>
      <w:lvlJc w:val="left"/>
      <w:pPr>
        <w:ind w:left="5760" w:hanging="360"/>
      </w:pPr>
    </w:lvl>
    <w:lvl w:ilvl="8" w:tplc="A08E12A2">
      <w:start w:val="1"/>
      <w:numFmt w:val="lowerRoman"/>
      <w:lvlText w:val="%9."/>
      <w:lvlJc w:val="right"/>
      <w:pPr>
        <w:ind w:left="6480" w:hanging="180"/>
      </w:pPr>
    </w:lvl>
  </w:abstractNum>
  <w:abstractNum w:abstractNumId="8" w15:restartNumberingAfterBreak="0">
    <w:nsid w:val="415C2798"/>
    <w:multiLevelType w:val="multilevel"/>
    <w:tmpl w:val="F1528616"/>
    <w:styleLink w:val="amprLISTL1-forboxORANGEdashed"/>
    <w:lvl w:ilvl="0">
      <w:start w:val="1"/>
      <w:numFmt w:val="bullet"/>
      <w:pStyle w:val="amprboxORANGEdashedbulletlis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394406C"/>
    <w:multiLevelType w:val="hybridMultilevel"/>
    <w:tmpl w:val="53E27902"/>
    <w:lvl w:ilvl="0" w:tplc="BB7286AC">
      <w:start w:val="1"/>
      <w:numFmt w:val="bullet"/>
      <w:lvlText w:val="·"/>
      <w:lvlJc w:val="left"/>
      <w:pPr>
        <w:ind w:left="720" w:hanging="360"/>
      </w:pPr>
      <w:rPr>
        <w:rFonts w:ascii="Symbol" w:hAnsi="Symbol" w:hint="default"/>
      </w:rPr>
    </w:lvl>
    <w:lvl w:ilvl="1" w:tplc="0D2EF1EC">
      <w:start w:val="1"/>
      <w:numFmt w:val="bullet"/>
      <w:lvlText w:val="o"/>
      <w:lvlJc w:val="left"/>
      <w:pPr>
        <w:ind w:left="1440" w:hanging="360"/>
      </w:pPr>
      <w:rPr>
        <w:rFonts w:ascii="Courier New" w:hAnsi="Courier New" w:hint="default"/>
      </w:rPr>
    </w:lvl>
    <w:lvl w:ilvl="2" w:tplc="93E06B00">
      <w:start w:val="1"/>
      <w:numFmt w:val="bullet"/>
      <w:lvlText w:val=""/>
      <w:lvlJc w:val="left"/>
      <w:pPr>
        <w:ind w:left="2160" w:hanging="360"/>
      </w:pPr>
      <w:rPr>
        <w:rFonts w:ascii="Wingdings" w:hAnsi="Wingdings" w:hint="default"/>
      </w:rPr>
    </w:lvl>
    <w:lvl w:ilvl="3" w:tplc="7C4E1938">
      <w:start w:val="1"/>
      <w:numFmt w:val="bullet"/>
      <w:lvlText w:val=""/>
      <w:lvlJc w:val="left"/>
      <w:pPr>
        <w:ind w:left="2880" w:hanging="360"/>
      </w:pPr>
      <w:rPr>
        <w:rFonts w:ascii="Symbol" w:hAnsi="Symbol" w:hint="default"/>
      </w:rPr>
    </w:lvl>
    <w:lvl w:ilvl="4" w:tplc="D34A5140">
      <w:start w:val="1"/>
      <w:numFmt w:val="bullet"/>
      <w:lvlText w:val="o"/>
      <w:lvlJc w:val="left"/>
      <w:pPr>
        <w:ind w:left="3600" w:hanging="360"/>
      </w:pPr>
      <w:rPr>
        <w:rFonts w:ascii="Courier New" w:hAnsi="Courier New" w:hint="default"/>
      </w:rPr>
    </w:lvl>
    <w:lvl w:ilvl="5" w:tplc="627EED88">
      <w:start w:val="1"/>
      <w:numFmt w:val="bullet"/>
      <w:lvlText w:val=""/>
      <w:lvlJc w:val="left"/>
      <w:pPr>
        <w:ind w:left="4320" w:hanging="360"/>
      </w:pPr>
      <w:rPr>
        <w:rFonts w:ascii="Wingdings" w:hAnsi="Wingdings" w:hint="default"/>
      </w:rPr>
    </w:lvl>
    <w:lvl w:ilvl="6" w:tplc="355EC0F0">
      <w:start w:val="1"/>
      <w:numFmt w:val="bullet"/>
      <w:lvlText w:val=""/>
      <w:lvlJc w:val="left"/>
      <w:pPr>
        <w:ind w:left="5040" w:hanging="360"/>
      </w:pPr>
      <w:rPr>
        <w:rFonts w:ascii="Symbol" w:hAnsi="Symbol" w:hint="default"/>
      </w:rPr>
    </w:lvl>
    <w:lvl w:ilvl="7" w:tplc="6418831C">
      <w:start w:val="1"/>
      <w:numFmt w:val="bullet"/>
      <w:lvlText w:val="o"/>
      <w:lvlJc w:val="left"/>
      <w:pPr>
        <w:ind w:left="5760" w:hanging="360"/>
      </w:pPr>
      <w:rPr>
        <w:rFonts w:ascii="Courier New" w:hAnsi="Courier New" w:hint="default"/>
      </w:rPr>
    </w:lvl>
    <w:lvl w:ilvl="8" w:tplc="67AEE404">
      <w:start w:val="1"/>
      <w:numFmt w:val="bullet"/>
      <w:lvlText w:val=""/>
      <w:lvlJc w:val="left"/>
      <w:pPr>
        <w:ind w:left="6480" w:hanging="360"/>
      </w:pPr>
      <w:rPr>
        <w:rFonts w:ascii="Wingdings" w:hAnsi="Wingdings" w:hint="default"/>
      </w:rPr>
    </w:lvl>
  </w:abstractNum>
  <w:abstractNum w:abstractNumId="10" w15:restartNumberingAfterBreak="0">
    <w:nsid w:val="48EE0CC8"/>
    <w:multiLevelType w:val="hybridMultilevel"/>
    <w:tmpl w:val="C47EB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9795C58"/>
    <w:multiLevelType w:val="hybridMultilevel"/>
    <w:tmpl w:val="E2BE1B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2249F7"/>
    <w:multiLevelType w:val="multilevel"/>
    <w:tmpl w:val="A44EE6E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C8A1BD1"/>
    <w:multiLevelType w:val="multilevel"/>
    <w:tmpl w:val="C7049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4A671F"/>
    <w:multiLevelType w:val="hybridMultilevel"/>
    <w:tmpl w:val="DA9E8144"/>
    <w:lvl w:ilvl="0" w:tplc="972ACE2E">
      <w:start w:val="1"/>
      <w:numFmt w:val="lowerRoman"/>
      <w:lvlText w:val="(%1)"/>
      <w:lvlJc w:val="left"/>
      <w:pPr>
        <w:ind w:left="1080" w:hanging="720"/>
      </w:pPr>
      <w:rPr>
        <w:rFonts w:ascii="Times New Roman" w:hAnsi="Times New Roman" w:cs="Times New Roman" w:hint="default"/>
        <w:b w:val="0"/>
        <w:i w:val="0"/>
        <w:sz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52CE6DA6"/>
    <w:multiLevelType w:val="hybridMultilevel"/>
    <w:tmpl w:val="0804DD42"/>
    <w:lvl w:ilvl="0" w:tplc="E640A8BA">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3C6062"/>
    <w:multiLevelType w:val="hybridMultilevel"/>
    <w:tmpl w:val="5748D0DE"/>
    <w:lvl w:ilvl="0" w:tplc="1180CE28">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7"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8" w15:restartNumberingAfterBreak="0">
    <w:nsid w:val="63161F39"/>
    <w:multiLevelType w:val="hybridMultilevel"/>
    <w:tmpl w:val="DA187CA6"/>
    <w:lvl w:ilvl="0" w:tplc="7DE42282">
      <w:start w:val="1"/>
      <w:numFmt w:val="lowerRoman"/>
      <w:lvlText w:val="(%1)"/>
      <w:lvlJc w:val="left"/>
      <w:pPr>
        <w:ind w:left="1080" w:hanging="720"/>
      </w:pPr>
      <w:rPr>
        <w:rFonts w:hint="default"/>
        <w:b/>
        <w:i/>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6ED07044"/>
    <w:multiLevelType w:val="hybridMultilevel"/>
    <w:tmpl w:val="FFA2807C"/>
    <w:lvl w:ilvl="0" w:tplc="7DE42282">
      <w:start w:val="1"/>
      <w:numFmt w:val="lowerRoman"/>
      <w:lvlText w:val="(%1)"/>
      <w:lvlJc w:val="left"/>
      <w:pPr>
        <w:ind w:left="1080" w:hanging="720"/>
      </w:pPr>
      <w:rPr>
        <w:rFonts w:hint="default"/>
        <w:b/>
        <w:i/>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79174191"/>
    <w:multiLevelType w:val="hybridMultilevel"/>
    <w:tmpl w:val="CA6C0A0A"/>
    <w:lvl w:ilvl="0" w:tplc="67663D94">
      <w:start w:val="1"/>
      <w:numFmt w:val="bullet"/>
      <w:pStyle w:val="Briefinglis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4"/>
  </w:num>
  <w:num w:numId="2">
    <w:abstractNumId w:val="7"/>
  </w:num>
  <w:num w:numId="3">
    <w:abstractNumId w:val="2"/>
  </w:num>
  <w:num w:numId="4">
    <w:abstractNumId w:val="9"/>
  </w:num>
  <w:num w:numId="5">
    <w:abstractNumId w:val="12"/>
  </w:num>
  <w:num w:numId="6">
    <w:abstractNumId w:val="8"/>
  </w:num>
  <w:num w:numId="7">
    <w:abstractNumId w:val="21"/>
  </w:num>
  <w:num w:numId="8">
    <w:abstractNumId w:val="17"/>
  </w:num>
  <w:num w:numId="9">
    <w:abstractNumId w:val="14"/>
  </w:num>
  <w:num w:numId="10">
    <w:abstractNumId w:val="6"/>
  </w:num>
  <w:num w:numId="11">
    <w:abstractNumId w:val="19"/>
  </w:num>
  <w:num w:numId="12">
    <w:abstractNumId w:val="20"/>
  </w:num>
  <w:num w:numId="13">
    <w:abstractNumId w:val="1"/>
  </w:num>
  <w:num w:numId="14">
    <w:abstractNumId w:val="5"/>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0"/>
  </w:num>
  <w:num w:numId="19">
    <w:abstractNumId w:val="3"/>
  </w:num>
  <w:num w:numId="20">
    <w:abstractNumId w:val="3"/>
  </w:num>
  <w:num w:numId="21">
    <w:abstractNumId w:val="3"/>
  </w:num>
  <w:num w:numId="22">
    <w:abstractNumId w:val="13"/>
  </w:num>
  <w:num w:numId="23">
    <w:abstractNumId w:val="18"/>
  </w:num>
  <w:num w:numId="24">
    <w:abstractNumId w:val="16"/>
  </w:num>
  <w:num w:numId="25">
    <w:abstractNumId w:val="15"/>
  </w:num>
  <w:num w:numId="26">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IE" w:vendorID="64" w:dllVersion="6" w:nlCheck="1" w:checkStyle="1"/>
  <w:activeWritingStyle w:appName="MSWord" w:lang="en-US" w:vendorID="64" w:dllVersion="6" w:nlCheck="1" w:checkStyle="1"/>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fr-BE" w:vendorID="64" w:dllVersion="0" w:nlCheck="1" w:checkStyle="0"/>
  <w:activeWritingStyle w:appName="MSWord" w:lang="hu-HU" w:vendorID="64" w:dllVersion="0" w:nlCheck="1" w:checkStyle="0"/>
  <w:activeWritingStyle w:appName="MSWord" w:lang="en-GB" w:vendorID="64" w:dllVersion="4096" w:nlCheck="1" w:checkStyle="0"/>
  <w:activeWritingStyle w:appName="MSWord" w:lang="en-IE" w:vendorID="64" w:dllVersion="4096" w:nlCheck="1" w:checkStyle="0"/>
  <w:activeWritingStyle w:appName="MSWord" w:lang="nl-NL" w:vendorID="64" w:dllVersion="6" w:nlCheck="1" w:checkStyle="0"/>
  <w:activeWritingStyle w:appName="MSWord" w:lang="sv-SE" w:vendorID="64" w:dllVersion="0" w:nlCheck="1" w:checkStyle="0"/>
  <w:activeWritingStyle w:appName="MSWord" w:lang="en-US" w:vendorID="64" w:dllVersion="4096"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EEA6E17F-FF37-45C2-9070-25340F676951"/>
    <w:docVar w:name="LW_COVERPAGE_TYPE" w:val="1"/>
    <w:docVar w:name="LW_CROSSREFERENCE" w:val="&lt;UNUSED&gt;"/>
    <w:docVar w:name="LW_DocType" w:val="NORMAL"/>
    <w:docVar w:name="LW_EMISSION" w:val="27.4.2022"/>
    <w:docVar w:name="LW_EMISSION_ISODATE" w:val="2022-04-27"/>
    <w:docVar w:name="LW_EMISSION_LOCATION" w:val="BRX"/>
    <w:docVar w:name="LW_EMISSION_PREFIX" w:val="Bruksela, dnia "/>
    <w:docVar w:name="LW_EMISSION_SUFFIX" w:val=" r."/>
    <w:docVar w:name="LW_ID_DOCTYPE_NONLW" w:val="CP-014"/>
    <w:docVar w:name="LW_LANGUE" w:val="PL"/>
    <w:docVar w:name="LW_LEVEL_OF_SENSITIVITY" w:val="Standard treatment"/>
    <w:docVar w:name="LW_NOM.INST" w:val="KOMISJA EUROPEJSKA"/>
    <w:docVar w:name="LW_NOM.INST_JOINTDOC" w:val="&lt;EMPTY&gt;"/>
    <w:docVar w:name="LW_PART_NBR" w:val="1"/>
    <w:docVar w:name="LW_PART_NBR_TOTAL" w:val="1"/>
    <w:docVar w:name="LW_REF.INST.NEW" w:val="COM"/>
    <w:docVar w:name="LW_REF.INST.NEW_ADOPTED" w:val="final"/>
    <w:docVar w:name="LW_REF.INST.NEW_TEXT" w:val="(2022) 19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trzymanie gotowości i reagowania UE na COVID-19 w dalszej perspektywie"/>
    <w:docVar w:name="LW_TYPE.DOC.CP" w:val="KOMUNIKAT KOMISJI DO PARLAMENTU EUROPEJSKIEGO, RADY, EUROPEJSKIEGO KOMITETU EKONOMICZNO-SPOŁECZNEGO I KOMITETU REGIONÓW"/>
    <w:docVar w:name="LW_TYPE.DOC.CP.USERTEXT" w:val="&lt;EMPTY&gt;"/>
    <w:docVar w:name="LwApiVersions" w:val="LW4CoDe 1.23.2.0; LW 8.0, Build 20211117"/>
  </w:docVars>
  <w:rsids>
    <w:rsidRoot w:val="00D24D41"/>
    <w:rsid w:val="000001A1"/>
    <w:rsid w:val="000017E5"/>
    <w:rsid w:val="00001854"/>
    <w:rsid w:val="000023BE"/>
    <w:rsid w:val="00002E84"/>
    <w:rsid w:val="000034E9"/>
    <w:rsid w:val="00003BBB"/>
    <w:rsid w:val="00004A4D"/>
    <w:rsid w:val="00006880"/>
    <w:rsid w:val="000078F6"/>
    <w:rsid w:val="00010137"/>
    <w:rsid w:val="00010278"/>
    <w:rsid w:val="000102AA"/>
    <w:rsid w:val="000102B3"/>
    <w:rsid w:val="00010405"/>
    <w:rsid w:val="0001046B"/>
    <w:rsid w:val="00011D7E"/>
    <w:rsid w:val="00012DBF"/>
    <w:rsid w:val="0001343F"/>
    <w:rsid w:val="00013648"/>
    <w:rsid w:val="0001443B"/>
    <w:rsid w:val="00015C32"/>
    <w:rsid w:val="00016345"/>
    <w:rsid w:val="00016375"/>
    <w:rsid w:val="0001762A"/>
    <w:rsid w:val="00017B1C"/>
    <w:rsid w:val="00021F7F"/>
    <w:rsid w:val="00022311"/>
    <w:rsid w:val="0002231A"/>
    <w:rsid w:val="0002558E"/>
    <w:rsid w:val="00025FEA"/>
    <w:rsid w:val="00026385"/>
    <w:rsid w:val="00031764"/>
    <w:rsid w:val="00031C37"/>
    <w:rsid w:val="00033793"/>
    <w:rsid w:val="00033FFD"/>
    <w:rsid w:val="0003430F"/>
    <w:rsid w:val="00034EF1"/>
    <w:rsid w:val="00037AC6"/>
    <w:rsid w:val="00040958"/>
    <w:rsid w:val="00041E0F"/>
    <w:rsid w:val="00041FB4"/>
    <w:rsid w:val="000424AD"/>
    <w:rsid w:val="00043EA6"/>
    <w:rsid w:val="000445F0"/>
    <w:rsid w:val="00046641"/>
    <w:rsid w:val="0004696C"/>
    <w:rsid w:val="00046B03"/>
    <w:rsid w:val="00050F9D"/>
    <w:rsid w:val="000519E1"/>
    <w:rsid w:val="000527BA"/>
    <w:rsid w:val="00053A50"/>
    <w:rsid w:val="000548DA"/>
    <w:rsid w:val="00055404"/>
    <w:rsid w:val="00055664"/>
    <w:rsid w:val="00055822"/>
    <w:rsid w:val="00055CF5"/>
    <w:rsid w:val="0005691B"/>
    <w:rsid w:val="00056D3E"/>
    <w:rsid w:val="00056F66"/>
    <w:rsid w:val="0005746F"/>
    <w:rsid w:val="00057B21"/>
    <w:rsid w:val="00060165"/>
    <w:rsid w:val="00060FDD"/>
    <w:rsid w:val="00061D50"/>
    <w:rsid w:val="00063666"/>
    <w:rsid w:val="00063D15"/>
    <w:rsid w:val="00064671"/>
    <w:rsid w:val="000656FA"/>
    <w:rsid w:val="00066D6B"/>
    <w:rsid w:val="00071318"/>
    <w:rsid w:val="00071EE1"/>
    <w:rsid w:val="000723F2"/>
    <w:rsid w:val="00072ACB"/>
    <w:rsid w:val="000732A3"/>
    <w:rsid w:val="00073C00"/>
    <w:rsid w:val="00073D5B"/>
    <w:rsid w:val="00074196"/>
    <w:rsid w:val="00074C04"/>
    <w:rsid w:val="00076128"/>
    <w:rsid w:val="00077A50"/>
    <w:rsid w:val="00080721"/>
    <w:rsid w:val="00080F45"/>
    <w:rsid w:val="00081134"/>
    <w:rsid w:val="000811E0"/>
    <w:rsid w:val="000817FE"/>
    <w:rsid w:val="0008224A"/>
    <w:rsid w:val="00083546"/>
    <w:rsid w:val="00083D5F"/>
    <w:rsid w:val="00083FF4"/>
    <w:rsid w:val="00085626"/>
    <w:rsid w:val="00086C7C"/>
    <w:rsid w:val="00086F17"/>
    <w:rsid w:val="000877F7"/>
    <w:rsid w:val="00087C19"/>
    <w:rsid w:val="00090BB8"/>
    <w:rsid w:val="000913A1"/>
    <w:rsid w:val="00091A11"/>
    <w:rsid w:val="000923A2"/>
    <w:rsid w:val="00092D7E"/>
    <w:rsid w:val="000943D1"/>
    <w:rsid w:val="000946ED"/>
    <w:rsid w:val="00094C8E"/>
    <w:rsid w:val="00094FEC"/>
    <w:rsid w:val="000963CB"/>
    <w:rsid w:val="00097713"/>
    <w:rsid w:val="00097839"/>
    <w:rsid w:val="00097DA2"/>
    <w:rsid w:val="000A3CF4"/>
    <w:rsid w:val="000A3ED3"/>
    <w:rsid w:val="000A4976"/>
    <w:rsid w:val="000A523A"/>
    <w:rsid w:val="000A54CA"/>
    <w:rsid w:val="000A63E9"/>
    <w:rsid w:val="000A6487"/>
    <w:rsid w:val="000A64C7"/>
    <w:rsid w:val="000A693A"/>
    <w:rsid w:val="000A6F27"/>
    <w:rsid w:val="000A776B"/>
    <w:rsid w:val="000A7D7E"/>
    <w:rsid w:val="000B2713"/>
    <w:rsid w:val="000B285E"/>
    <w:rsid w:val="000B3FD8"/>
    <w:rsid w:val="000B497E"/>
    <w:rsid w:val="000B498A"/>
    <w:rsid w:val="000B4C15"/>
    <w:rsid w:val="000B4FB2"/>
    <w:rsid w:val="000B4FC3"/>
    <w:rsid w:val="000B5977"/>
    <w:rsid w:val="000B61A6"/>
    <w:rsid w:val="000B663C"/>
    <w:rsid w:val="000B6D14"/>
    <w:rsid w:val="000B7140"/>
    <w:rsid w:val="000B716A"/>
    <w:rsid w:val="000B7632"/>
    <w:rsid w:val="000B7AAD"/>
    <w:rsid w:val="000C04CF"/>
    <w:rsid w:val="000C0C1B"/>
    <w:rsid w:val="000C1539"/>
    <w:rsid w:val="000C2A54"/>
    <w:rsid w:val="000C31F1"/>
    <w:rsid w:val="000C4EB4"/>
    <w:rsid w:val="000C57A1"/>
    <w:rsid w:val="000C5B35"/>
    <w:rsid w:val="000C5DE5"/>
    <w:rsid w:val="000C61B5"/>
    <w:rsid w:val="000C6E95"/>
    <w:rsid w:val="000C6FAD"/>
    <w:rsid w:val="000C72E2"/>
    <w:rsid w:val="000C759C"/>
    <w:rsid w:val="000C7F84"/>
    <w:rsid w:val="000D0BC3"/>
    <w:rsid w:val="000D0BD7"/>
    <w:rsid w:val="000D1DD4"/>
    <w:rsid w:val="000D2DE3"/>
    <w:rsid w:val="000D48F6"/>
    <w:rsid w:val="000D5D2A"/>
    <w:rsid w:val="000D7019"/>
    <w:rsid w:val="000D7662"/>
    <w:rsid w:val="000E0679"/>
    <w:rsid w:val="000E0D9C"/>
    <w:rsid w:val="000E0EFB"/>
    <w:rsid w:val="000E25D3"/>
    <w:rsid w:val="000E2F48"/>
    <w:rsid w:val="000E3E77"/>
    <w:rsid w:val="000E4935"/>
    <w:rsid w:val="000E67EB"/>
    <w:rsid w:val="000F0398"/>
    <w:rsid w:val="000F0D1B"/>
    <w:rsid w:val="000F136F"/>
    <w:rsid w:val="000F1F22"/>
    <w:rsid w:val="000F2A0A"/>
    <w:rsid w:val="000F2A9F"/>
    <w:rsid w:val="000F3181"/>
    <w:rsid w:val="000F3195"/>
    <w:rsid w:val="000F5005"/>
    <w:rsid w:val="000F5ADC"/>
    <w:rsid w:val="000F61E3"/>
    <w:rsid w:val="000F68CC"/>
    <w:rsid w:val="000F7419"/>
    <w:rsid w:val="000F7C39"/>
    <w:rsid w:val="000F7C8C"/>
    <w:rsid w:val="0010010C"/>
    <w:rsid w:val="00100BAF"/>
    <w:rsid w:val="00101570"/>
    <w:rsid w:val="001033C5"/>
    <w:rsid w:val="00104011"/>
    <w:rsid w:val="00105087"/>
    <w:rsid w:val="00105331"/>
    <w:rsid w:val="00105931"/>
    <w:rsid w:val="00106433"/>
    <w:rsid w:val="00110968"/>
    <w:rsid w:val="00110E5F"/>
    <w:rsid w:val="0011158A"/>
    <w:rsid w:val="00112409"/>
    <w:rsid w:val="001129A3"/>
    <w:rsid w:val="00112E1E"/>
    <w:rsid w:val="00112E71"/>
    <w:rsid w:val="0011301A"/>
    <w:rsid w:val="0011323D"/>
    <w:rsid w:val="00114080"/>
    <w:rsid w:val="001146CB"/>
    <w:rsid w:val="0011537B"/>
    <w:rsid w:val="001161D5"/>
    <w:rsid w:val="00116289"/>
    <w:rsid w:val="00116CB8"/>
    <w:rsid w:val="00117C3F"/>
    <w:rsid w:val="001206C4"/>
    <w:rsid w:val="00120864"/>
    <w:rsid w:val="00120A25"/>
    <w:rsid w:val="00121519"/>
    <w:rsid w:val="001217E7"/>
    <w:rsid w:val="001219FB"/>
    <w:rsid w:val="001223C3"/>
    <w:rsid w:val="00123017"/>
    <w:rsid w:val="00123139"/>
    <w:rsid w:val="00123651"/>
    <w:rsid w:val="001237F6"/>
    <w:rsid w:val="00123AA1"/>
    <w:rsid w:val="001258D3"/>
    <w:rsid w:val="00125A32"/>
    <w:rsid w:val="00125E32"/>
    <w:rsid w:val="00126105"/>
    <w:rsid w:val="00127825"/>
    <w:rsid w:val="0013284D"/>
    <w:rsid w:val="0013398E"/>
    <w:rsid w:val="00134067"/>
    <w:rsid w:val="00134F80"/>
    <w:rsid w:val="00135DA1"/>
    <w:rsid w:val="00136831"/>
    <w:rsid w:val="00136E1F"/>
    <w:rsid w:val="00136FC1"/>
    <w:rsid w:val="00137032"/>
    <w:rsid w:val="0013765F"/>
    <w:rsid w:val="0014006B"/>
    <w:rsid w:val="0014098E"/>
    <w:rsid w:val="00141919"/>
    <w:rsid w:val="0014220A"/>
    <w:rsid w:val="00142F46"/>
    <w:rsid w:val="001430EC"/>
    <w:rsid w:val="00144819"/>
    <w:rsid w:val="00144893"/>
    <w:rsid w:val="00144F59"/>
    <w:rsid w:val="001451FB"/>
    <w:rsid w:val="00145A3C"/>
    <w:rsid w:val="001461DF"/>
    <w:rsid w:val="00146A67"/>
    <w:rsid w:val="00146DF4"/>
    <w:rsid w:val="00147063"/>
    <w:rsid w:val="001470B6"/>
    <w:rsid w:val="0014732E"/>
    <w:rsid w:val="00150564"/>
    <w:rsid w:val="00151969"/>
    <w:rsid w:val="00152310"/>
    <w:rsid w:val="00152616"/>
    <w:rsid w:val="001528A8"/>
    <w:rsid w:val="001530C5"/>
    <w:rsid w:val="00153B92"/>
    <w:rsid w:val="001546E4"/>
    <w:rsid w:val="00155CC3"/>
    <w:rsid w:val="0015658A"/>
    <w:rsid w:val="001568D8"/>
    <w:rsid w:val="001573FF"/>
    <w:rsid w:val="001574B5"/>
    <w:rsid w:val="001611D1"/>
    <w:rsid w:val="001615DE"/>
    <w:rsid w:val="00163581"/>
    <w:rsid w:val="00163E26"/>
    <w:rsid w:val="00164856"/>
    <w:rsid w:val="00165B2E"/>
    <w:rsid w:val="00166285"/>
    <w:rsid w:val="00166CD5"/>
    <w:rsid w:val="0016732D"/>
    <w:rsid w:val="00167F33"/>
    <w:rsid w:val="00170B90"/>
    <w:rsid w:val="00170C01"/>
    <w:rsid w:val="001713C8"/>
    <w:rsid w:val="00171B24"/>
    <w:rsid w:val="0017233B"/>
    <w:rsid w:val="001726B1"/>
    <w:rsid w:val="00173518"/>
    <w:rsid w:val="00174ABA"/>
    <w:rsid w:val="00174B02"/>
    <w:rsid w:val="00181073"/>
    <w:rsid w:val="00181FE6"/>
    <w:rsid w:val="00183207"/>
    <w:rsid w:val="0018402E"/>
    <w:rsid w:val="001845D7"/>
    <w:rsid w:val="00184C72"/>
    <w:rsid w:val="00184D22"/>
    <w:rsid w:val="00187CE4"/>
    <w:rsid w:val="00191812"/>
    <w:rsid w:val="00191B36"/>
    <w:rsid w:val="00191DE5"/>
    <w:rsid w:val="00193943"/>
    <w:rsid w:val="00194BC7"/>
    <w:rsid w:val="00194C77"/>
    <w:rsid w:val="00195B1B"/>
    <w:rsid w:val="00195EF8"/>
    <w:rsid w:val="001A10A1"/>
    <w:rsid w:val="001A13F0"/>
    <w:rsid w:val="001A19F6"/>
    <w:rsid w:val="001A1AD2"/>
    <w:rsid w:val="001A1B2C"/>
    <w:rsid w:val="001A1B6B"/>
    <w:rsid w:val="001A1C79"/>
    <w:rsid w:val="001A1C8D"/>
    <w:rsid w:val="001A1DC4"/>
    <w:rsid w:val="001A3FD8"/>
    <w:rsid w:val="001A4A03"/>
    <w:rsid w:val="001A5A63"/>
    <w:rsid w:val="001A5CD7"/>
    <w:rsid w:val="001B0649"/>
    <w:rsid w:val="001B0EAB"/>
    <w:rsid w:val="001B17C2"/>
    <w:rsid w:val="001B2268"/>
    <w:rsid w:val="001B315A"/>
    <w:rsid w:val="001B336A"/>
    <w:rsid w:val="001B37E0"/>
    <w:rsid w:val="001B605B"/>
    <w:rsid w:val="001B7E97"/>
    <w:rsid w:val="001C06D7"/>
    <w:rsid w:val="001C0CCD"/>
    <w:rsid w:val="001C218D"/>
    <w:rsid w:val="001C2329"/>
    <w:rsid w:val="001C2C4F"/>
    <w:rsid w:val="001C34A5"/>
    <w:rsid w:val="001C38CF"/>
    <w:rsid w:val="001C3AA9"/>
    <w:rsid w:val="001C4F94"/>
    <w:rsid w:val="001C5F88"/>
    <w:rsid w:val="001C6B97"/>
    <w:rsid w:val="001C77A3"/>
    <w:rsid w:val="001D05B5"/>
    <w:rsid w:val="001D0FE4"/>
    <w:rsid w:val="001D1AB3"/>
    <w:rsid w:val="001D2010"/>
    <w:rsid w:val="001D2D72"/>
    <w:rsid w:val="001D421C"/>
    <w:rsid w:val="001D4C54"/>
    <w:rsid w:val="001D586D"/>
    <w:rsid w:val="001D6D68"/>
    <w:rsid w:val="001D6D9A"/>
    <w:rsid w:val="001D76D9"/>
    <w:rsid w:val="001E11FC"/>
    <w:rsid w:val="001E1587"/>
    <w:rsid w:val="001E160A"/>
    <w:rsid w:val="001E4606"/>
    <w:rsid w:val="001E46CE"/>
    <w:rsid w:val="001E47CF"/>
    <w:rsid w:val="001E6E30"/>
    <w:rsid w:val="001F0889"/>
    <w:rsid w:val="001F0997"/>
    <w:rsid w:val="001F31A6"/>
    <w:rsid w:val="001F3D7B"/>
    <w:rsid w:val="001F46F4"/>
    <w:rsid w:val="001F664C"/>
    <w:rsid w:val="001F6F2F"/>
    <w:rsid w:val="001F6FE1"/>
    <w:rsid w:val="002002FF"/>
    <w:rsid w:val="00200E93"/>
    <w:rsid w:val="00201977"/>
    <w:rsid w:val="00202043"/>
    <w:rsid w:val="002020CC"/>
    <w:rsid w:val="00203946"/>
    <w:rsid w:val="002039AA"/>
    <w:rsid w:val="00203A78"/>
    <w:rsid w:val="00203C8A"/>
    <w:rsid w:val="00204AB3"/>
    <w:rsid w:val="00204D85"/>
    <w:rsid w:val="00204DFC"/>
    <w:rsid w:val="002059A4"/>
    <w:rsid w:val="00205A58"/>
    <w:rsid w:val="0020641E"/>
    <w:rsid w:val="002066A3"/>
    <w:rsid w:val="00207E57"/>
    <w:rsid w:val="00207F3D"/>
    <w:rsid w:val="00210200"/>
    <w:rsid w:val="00210D4F"/>
    <w:rsid w:val="0021289B"/>
    <w:rsid w:val="002136BC"/>
    <w:rsid w:val="00213B18"/>
    <w:rsid w:val="00214AAC"/>
    <w:rsid w:val="00214D0F"/>
    <w:rsid w:val="002158D9"/>
    <w:rsid w:val="002161EB"/>
    <w:rsid w:val="002206D8"/>
    <w:rsid w:val="00221FB9"/>
    <w:rsid w:val="002223F0"/>
    <w:rsid w:val="0022290B"/>
    <w:rsid w:val="00223316"/>
    <w:rsid w:val="00223706"/>
    <w:rsid w:val="00224FCB"/>
    <w:rsid w:val="00225269"/>
    <w:rsid w:val="0022616F"/>
    <w:rsid w:val="002272E6"/>
    <w:rsid w:val="00227F8C"/>
    <w:rsid w:val="0023021A"/>
    <w:rsid w:val="00230670"/>
    <w:rsid w:val="002313E6"/>
    <w:rsid w:val="0023199F"/>
    <w:rsid w:val="00231FCA"/>
    <w:rsid w:val="00233261"/>
    <w:rsid w:val="002341F3"/>
    <w:rsid w:val="00235B26"/>
    <w:rsid w:val="00235E1E"/>
    <w:rsid w:val="002360BD"/>
    <w:rsid w:val="002373F4"/>
    <w:rsid w:val="0023784F"/>
    <w:rsid w:val="00237924"/>
    <w:rsid w:val="002405A2"/>
    <w:rsid w:val="00240873"/>
    <w:rsid w:val="00240E17"/>
    <w:rsid w:val="00241EB1"/>
    <w:rsid w:val="002426C2"/>
    <w:rsid w:val="00243223"/>
    <w:rsid w:val="00244159"/>
    <w:rsid w:val="00244A52"/>
    <w:rsid w:val="002455F8"/>
    <w:rsid w:val="002473D9"/>
    <w:rsid w:val="00250089"/>
    <w:rsid w:val="002507A9"/>
    <w:rsid w:val="002512B7"/>
    <w:rsid w:val="00252F28"/>
    <w:rsid w:val="002558B8"/>
    <w:rsid w:val="00255F4B"/>
    <w:rsid w:val="00257E78"/>
    <w:rsid w:val="00260060"/>
    <w:rsid w:val="002607C3"/>
    <w:rsid w:val="00261195"/>
    <w:rsid w:val="002612E2"/>
    <w:rsid w:val="002619A0"/>
    <w:rsid w:val="002620CD"/>
    <w:rsid w:val="002621E9"/>
    <w:rsid w:val="002625DE"/>
    <w:rsid w:val="0026290A"/>
    <w:rsid w:val="00262CF1"/>
    <w:rsid w:val="00263667"/>
    <w:rsid w:val="00263687"/>
    <w:rsid w:val="002638F1"/>
    <w:rsid w:val="00263E7C"/>
    <w:rsid w:val="002641C6"/>
    <w:rsid w:val="00264624"/>
    <w:rsid w:val="00264BAC"/>
    <w:rsid w:val="002658F9"/>
    <w:rsid w:val="00265AAD"/>
    <w:rsid w:val="00265C2B"/>
    <w:rsid w:val="00266CE8"/>
    <w:rsid w:val="002714D5"/>
    <w:rsid w:val="00271D9C"/>
    <w:rsid w:val="002724C1"/>
    <w:rsid w:val="00272F52"/>
    <w:rsid w:val="002732E7"/>
    <w:rsid w:val="002741AA"/>
    <w:rsid w:val="00275749"/>
    <w:rsid w:val="00276644"/>
    <w:rsid w:val="00277006"/>
    <w:rsid w:val="002774AC"/>
    <w:rsid w:val="002777D1"/>
    <w:rsid w:val="00277C84"/>
    <w:rsid w:val="0028059F"/>
    <w:rsid w:val="00280D76"/>
    <w:rsid w:val="00280D9A"/>
    <w:rsid w:val="0028373D"/>
    <w:rsid w:val="00283759"/>
    <w:rsid w:val="00283E5E"/>
    <w:rsid w:val="0028403D"/>
    <w:rsid w:val="0028482C"/>
    <w:rsid w:val="00284E96"/>
    <w:rsid w:val="002850CF"/>
    <w:rsid w:val="00287497"/>
    <w:rsid w:val="002878CA"/>
    <w:rsid w:val="00290600"/>
    <w:rsid w:val="00291E09"/>
    <w:rsid w:val="00291E92"/>
    <w:rsid w:val="00292D87"/>
    <w:rsid w:val="00293882"/>
    <w:rsid w:val="00294E64"/>
    <w:rsid w:val="0029549B"/>
    <w:rsid w:val="00295FBA"/>
    <w:rsid w:val="002973F4"/>
    <w:rsid w:val="00297FE9"/>
    <w:rsid w:val="002A013E"/>
    <w:rsid w:val="002A0E6D"/>
    <w:rsid w:val="002A1A5F"/>
    <w:rsid w:val="002A1E83"/>
    <w:rsid w:val="002A253C"/>
    <w:rsid w:val="002A3490"/>
    <w:rsid w:val="002A3D3A"/>
    <w:rsid w:val="002A5253"/>
    <w:rsid w:val="002A53C5"/>
    <w:rsid w:val="002A5B00"/>
    <w:rsid w:val="002A6C0C"/>
    <w:rsid w:val="002A7132"/>
    <w:rsid w:val="002A7134"/>
    <w:rsid w:val="002A73BE"/>
    <w:rsid w:val="002B18FB"/>
    <w:rsid w:val="002B23E7"/>
    <w:rsid w:val="002B2453"/>
    <w:rsid w:val="002B3AFE"/>
    <w:rsid w:val="002B4487"/>
    <w:rsid w:val="002B469A"/>
    <w:rsid w:val="002B51B8"/>
    <w:rsid w:val="002B5896"/>
    <w:rsid w:val="002B59E4"/>
    <w:rsid w:val="002B75C2"/>
    <w:rsid w:val="002C049A"/>
    <w:rsid w:val="002C0C89"/>
    <w:rsid w:val="002C1563"/>
    <w:rsid w:val="002C1CCE"/>
    <w:rsid w:val="002C1DF2"/>
    <w:rsid w:val="002C2982"/>
    <w:rsid w:val="002C3187"/>
    <w:rsid w:val="002C3C22"/>
    <w:rsid w:val="002C4CAD"/>
    <w:rsid w:val="002C5CBE"/>
    <w:rsid w:val="002C731C"/>
    <w:rsid w:val="002D1FFF"/>
    <w:rsid w:val="002D21B7"/>
    <w:rsid w:val="002D252A"/>
    <w:rsid w:val="002D2A7E"/>
    <w:rsid w:val="002D3247"/>
    <w:rsid w:val="002D55B9"/>
    <w:rsid w:val="002D6DCB"/>
    <w:rsid w:val="002D7671"/>
    <w:rsid w:val="002D77BF"/>
    <w:rsid w:val="002E0BDD"/>
    <w:rsid w:val="002E0F2E"/>
    <w:rsid w:val="002E1436"/>
    <w:rsid w:val="002E1A09"/>
    <w:rsid w:val="002E1BB1"/>
    <w:rsid w:val="002E1FB1"/>
    <w:rsid w:val="002E3C44"/>
    <w:rsid w:val="002E455F"/>
    <w:rsid w:val="002E45A9"/>
    <w:rsid w:val="002E4B83"/>
    <w:rsid w:val="002E52DC"/>
    <w:rsid w:val="002E5ECC"/>
    <w:rsid w:val="002E5FE6"/>
    <w:rsid w:val="002E6DEA"/>
    <w:rsid w:val="002E70A9"/>
    <w:rsid w:val="002E7A90"/>
    <w:rsid w:val="002E7FE5"/>
    <w:rsid w:val="002F009F"/>
    <w:rsid w:val="002F0DAD"/>
    <w:rsid w:val="002F26E3"/>
    <w:rsid w:val="002F2873"/>
    <w:rsid w:val="002F39B2"/>
    <w:rsid w:val="002F5F9C"/>
    <w:rsid w:val="002F762E"/>
    <w:rsid w:val="002F7637"/>
    <w:rsid w:val="002F7673"/>
    <w:rsid w:val="00300496"/>
    <w:rsid w:val="003007CF"/>
    <w:rsid w:val="00300A98"/>
    <w:rsid w:val="00301254"/>
    <w:rsid w:val="00301616"/>
    <w:rsid w:val="003021B3"/>
    <w:rsid w:val="003025CE"/>
    <w:rsid w:val="00302695"/>
    <w:rsid w:val="0030304B"/>
    <w:rsid w:val="00303DB1"/>
    <w:rsid w:val="00304498"/>
    <w:rsid w:val="00304AC3"/>
    <w:rsid w:val="00304AF6"/>
    <w:rsid w:val="00305F7A"/>
    <w:rsid w:val="003062CF"/>
    <w:rsid w:val="00306543"/>
    <w:rsid w:val="0030690E"/>
    <w:rsid w:val="00306E0A"/>
    <w:rsid w:val="003102E1"/>
    <w:rsid w:val="00310461"/>
    <w:rsid w:val="00311490"/>
    <w:rsid w:val="0031184C"/>
    <w:rsid w:val="003127BE"/>
    <w:rsid w:val="00312E25"/>
    <w:rsid w:val="00313BD4"/>
    <w:rsid w:val="00313F54"/>
    <w:rsid w:val="003140A9"/>
    <w:rsid w:val="00316266"/>
    <w:rsid w:val="003167B3"/>
    <w:rsid w:val="00316904"/>
    <w:rsid w:val="00317AF4"/>
    <w:rsid w:val="00320870"/>
    <w:rsid w:val="003217F5"/>
    <w:rsid w:val="00321C10"/>
    <w:rsid w:val="00321C42"/>
    <w:rsid w:val="00322973"/>
    <w:rsid w:val="0032301C"/>
    <w:rsid w:val="00324BA8"/>
    <w:rsid w:val="00324D16"/>
    <w:rsid w:val="0032506B"/>
    <w:rsid w:val="003261AA"/>
    <w:rsid w:val="003263D1"/>
    <w:rsid w:val="003265B7"/>
    <w:rsid w:val="00326AC3"/>
    <w:rsid w:val="00326DE7"/>
    <w:rsid w:val="003274FB"/>
    <w:rsid w:val="00330FA4"/>
    <w:rsid w:val="003311E2"/>
    <w:rsid w:val="0033194B"/>
    <w:rsid w:val="003341DD"/>
    <w:rsid w:val="00336046"/>
    <w:rsid w:val="003361DA"/>
    <w:rsid w:val="0033637F"/>
    <w:rsid w:val="003363C1"/>
    <w:rsid w:val="00336498"/>
    <w:rsid w:val="00336571"/>
    <w:rsid w:val="003366A8"/>
    <w:rsid w:val="0033689F"/>
    <w:rsid w:val="003368C0"/>
    <w:rsid w:val="00336A0C"/>
    <w:rsid w:val="003376E8"/>
    <w:rsid w:val="0033775E"/>
    <w:rsid w:val="00340CA3"/>
    <w:rsid w:val="00341468"/>
    <w:rsid w:val="00341DA3"/>
    <w:rsid w:val="00342224"/>
    <w:rsid w:val="00342EA9"/>
    <w:rsid w:val="003459B7"/>
    <w:rsid w:val="003464D4"/>
    <w:rsid w:val="003471BF"/>
    <w:rsid w:val="0034780C"/>
    <w:rsid w:val="0035098B"/>
    <w:rsid w:val="00351161"/>
    <w:rsid w:val="0035135A"/>
    <w:rsid w:val="00351E72"/>
    <w:rsid w:val="003522DD"/>
    <w:rsid w:val="00352798"/>
    <w:rsid w:val="00352A3F"/>
    <w:rsid w:val="00352B1F"/>
    <w:rsid w:val="00353404"/>
    <w:rsid w:val="003535BA"/>
    <w:rsid w:val="003545BB"/>
    <w:rsid w:val="00354C0B"/>
    <w:rsid w:val="0035717D"/>
    <w:rsid w:val="003572FD"/>
    <w:rsid w:val="00357D5F"/>
    <w:rsid w:val="0036094F"/>
    <w:rsid w:val="003620F4"/>
    <w:rsid w:val="003626D6"/>
    <w:rsid w:val="003667FA"/>
    <w:rsid w:val="003708DD"/>
    <w:rsid w:val="0037137A"/>
    <w:rsid w:val="00371CF0"/>
    <w:rsid w:val="00371E1E"/>
    <w:rsid w:val="00371E31"/>
    <w:rsid w:val="0037207F"/>
    <w:rsid w:val="00372CF4"/>
    <w:rsid w:val="00373325"/>
    <w:rsid w:val="00374502"/>
    <w:rsid w:val="0037452F"/>
    <w:rsid w:val="00374BDD"/>
    <w:rsid w:val="003757A4"/>
    <w:rsid w:val="003758CC"/>
    <w:rsid w:val="00375D2E"/>
    <w:rsid w:val="003761B1"/>
    <w:rsid w:val="0037625D"/>
    <w:rsid w:val="00376CC6"/>
    <w:rsid w:val="00376DE5"/>
    <w:rsid w:val="00377EAB"/>
    <w:rsid w:val="003800DC"/>
    <w:rsid w:val="00380227"/>
    <w:rsid w:val="00382815"/>
    <w:rsid w:val="003839E1"/>
    <w:rsid w:val="003839FE"/>
    <w:rsid w:val="00383F41"/>
    <w:rsid w:val="00384D04"/>
    <w:rsid w:val="00385016"/>
    <w:rsid w:val="00386226"/>
    <w:rsid w:val="0038655C"/>
    <w:rsid w:val="00387593"/>
    <w:rsid w:val="00390336"/>
    <w:rsid w:val="00390DC1"/>
    <w:rsid w:val="00391002"/>
    <w:rsid w:val="00391041"/>
    <w:rsid w:val="00391AFF"/>
    <w:rsid w:val="00391F3A"/>
    <w:rsid w:val="003926F3"/>
    <w:rsid w:val="0039388B"/>
    <w:rsid w:val="0039397A"/>
    <w:rsid w:val="00393F1F"/>
    <w:rsid w:val="0039411A"/>
    <w:rsid w:val="0039474B"/>
    <w:rsid w:val="00395CB5"/>
    <w:rsid w:val="003962B2"/>
    <w:rsid w:val="0039644D"/>
    <w:rsid w:val="003971C5"/>
    <w:rsid w:val="003A017E"/>
    <w:rsid w:val="003A09EA"/>
    <w:rsid w:val="003A1B99"/>
    <w:rsid w:val="003A2EF4"/>
    <w:rsid w:val="003A3599"/>
    <w:rsid w:val="003A48E4"/>
    <w:rsid w:val="003A4965"/>
    <w:rsid w:val="003A4D8A"/>
    <w:rsid w:val="003A6064"/>
    <w:rsid w:val="003A60F1"/>
    <w:rsid w:val="003A6405"/>
    <w:rsid w:val="003A7CE4"/>
    <w:rsid w:val="003B02EF"/>
    <w:rsid w:val="003B0EE0"/>
    <w:rsid w:val="003B101E"/>
    <w:rsid w:val="003B44A5"/>
    <w:rsid w:val="003B4E39"/>
    <w:rsid w:val="003B4EF0"/>
    <w:rsid w:val="003B57D4"/>
    <w:rsid w:val="003B5CEE"/>
    <w:rsid w:val="003B6C5B"/>
    <w:rsid w:val="003B6FA8"/>
    <w:rsid w:val="003B714B"/>
    <w:rsid w:val="003B79C3"/>
    <w:rsid w:val="003B7A7A"/>
    <w:rsid w:val="003B7EF3"/>
    <w:rsid w:val="003C0AC1"/>
    <w:rsid w:val="003C2296"/>
    <w:rsid w:val="003C2554"/>
    <w:rsid w:val="003C2B22"/>
    <w:rsid w:val="003C3D2E"/>
    <w:rsid w:val="003C46E7"/>
    <w:rsid w:val="003C5DA5"/>
    <w:rsid w:val="003C60B8"/>
    <w:rsid w:val="003C65C9"/>
    <w:rsid w:val="003D07DA"/>
    <w:rsid w:val="003D1E86"/>
    <w:rsid w:val="003D24C0"/>
    <w:rsid w:val="003D2EEF"/>
    <w:rsid w:val="003D2EF6"/>
    <w:rsid w:val="003D3D49"/>
    <w:rsid w:val="003D43F5"/>
    <w:rsid w:val="003D4D11"/>
    <w:rsid w:val="003D5A96"/>
    <w:rsid w:val="003D5B76"/>
    <w:rsid w:val="003D5E1D"/>
    <w:rsid w:val="003D67D4"/>
    <w:rsid w:val="003D67D9"/>
    <w:rsid w:val="003E1121"/>
    <w:rsid w:val="003E1C39"/>
    <w:rsid w:val="003E4090"/>
    <w:rsid w:val="003E4C05"/>
    <w:rsid w:val="003E5092"/>
    <w:rsid w:val="003E62B6"/>
    <w:rsid w:val="003E6D3B"/>
    <w:rsid w:val="003E734E"/>
    <w:rsid w:val="003E77BC"/>
    <w:rsid w:val="003F072B"/>
    <w:rsid w:val="003F2279"/>
    <w:rsid w:val="003F2435"/>
    <w:rsid w:val="003F262F"/>
    <w:rsid w:val="003F5EF6"/>
    <w:rsid w:val="003F616F"/>
    <w:rsid w:val="003F6C62"/>
    <w:rsid w:val="003F6C9B"/>
    <w:rsid w:val="003F79F9"/>
    <w:rsid w:val="004005E3"/>
    <w:rsid w:val="00401182"/>
    <w:rsid w:val="00401370"/>
    <w:rsid w:val="004022EE"/>
    <w:rsid w:val="004027E9"/>
    <w:rsid w:val="00403600"/>
    <w:rsid w:val="00403A11"/>
    <w:rsid w:val="00405102"/>
    <w:rsid w:val="004058B9"/>
    <w:rsid w:val="00405B06"/>
    <w:rsid w:val="00406265"/>
    <w:rsid w:val="00406D51"/>
    <w:rsid w:val="004070D6"/>
    <w:rsid w:val="0040789D"/>
    <w:rsid w:val="00407946"/>
    <w:rsid w:val="00410651"/>
    <w:rsid w:val="0041076B"/>
    <w:rsid w:val="0041175A"/>
    <w:rsid w:val="00411BD4"/>
    <w:rsid w:val="00411DEE"/>
    <w:rsid w:val="00412F37"/>
    <w:rsid w:val="004131FC"/>
    <w:rsid w:val="004137F8"/>
    <w:rsid w:val="00413B04"/>
    <w:rsid w:val="00414DA0"/>
    <w:rsid w:val="004161E6"/>
    <w:rsid w:val="00416493"/>
    <w:rsid w:val="00416689"/>
    <w:rsid w:val="004218B6"/>
    <w:rsid w:val="004228EC"/>
    <w:rsid w:val="004232B8"/>
    <w:rsid w:val="0042350C"/>
    <w:rsid w:val="00424482"/>
    <w:rsid w:val="00424884"/>
    <w:rsid w:val="00424A26"/>
    <w:rsid w:val="00425107"/>
    <w:rsid w:val="00425507"/>
    <w:rsid w:val="00425E6D"/>
    <w:rsid w:val="00426495"/>
    <w:rsid w:val="004265D3"/>
    <w:rsid w:val="00426866"/>
    <w:rsid w:val="00427505"/>
    <w:rsid w:val="00427916"/>
    <w:rsid w:val="00427A40"/>
    <w:rsid w:val="004301D5"/>
    <w:rsid w:val="00430CF6"/>
    <w:rsid w:val="004315A3"/>
    <w:rsid w:val="00431D29"/>
    <w:rsid w:val="00431DB9"/>
    <w:rsid w:val="004329ED"/>
    <w:rsid w:val="0043315C"/>
    <w:rsid w:val="00433B20"/>
    <w:rsid w:val="00434FDA"/>
    <w:rsid w:val="00435EB2"/>
    <w:rsid w:val="00436945"/>
    <w:rsid w:val="004369AE"/>
    <w:rsid w:val="00436B55"/>
    <w:rsid w:val="00436E71"/>
    <w:rsid w:val="00436F11"/>
    <w:rsid w:val="00437B2A"/>
    <w:rsid w:val="00440406"/>
    <w:rsid w:val="004405AB"/>
    <w:rsid w:val="00440A05"/>
    <w:rsid w:val="004425A6"/>
    <w:rsid w:val="00442F69"/>
    <w:rsid w:val="00443037"/>
    <w:rsid w:val="004446D7"/>
    <w:rsid w:val="00446E1D"/>
    <w:rsid w:val="00447FA8"/>
    <w:rsid w:val="00450011"/>
    <w:rsid w:val="004506D4"/>
    <w:rsid w:val="0045145B"/>
    <w:rsid w:val="0045240F"/>
    <w:rsid w:val="004525AA"/>
    <w:rsid w:val="004526B5"/>
    <w:rsid w:val="004538E3"/>
    <w:rsid w:val="0045431D"/>
    <w:rsid w:val="004549CC"/>
    <w:rsid w:val="00456767"/>
    <w:rsid w:val="004567FE"/>
    <w:rsid w:val="00456A12"/>
    <w:rsid w:val="00456B4F"/>
    <w:rsid w:val="00457CA7"/>
    <w:rsid w:val="00460282"/>
    <w:rsid w:val="00460D6F"/>
    <w:rsid w:val="004610DD"/>
    <w:rsid w:val="0046133A"/>
    <w:rsid w:val="004615ED"/>
    <w:rsid w:val="00462D32"/>
    <w:rsid w:val="004637D0"/>
    <w:rsid w:val="00463E11"/>
    <w:rsid w:val="0046426A"/>
    <w:rsid w:val="00465CE9"/>
    <w:rsid w:val="00465DE9"/>
    <w:rsid w:val="00466111"/>
    <w:rsid w:val="004664E6"/>
    <w:rsid w:val="00466805"/>
    <w:rsid w:val="00467917"/>
    <w:rsid w:val="00470450"/>
    <w:rsid w:val="00470DEA"/>
    <w:rsid w:val="004712CF"/>
    <w:rsid w:val="00472646"/>
    <w:rsid w:val="0047479A"/>
    <w:rsid w:val="00474844"/>
    <w:rsid w:val="00475319"/>
    <w:rsid w:val="00475A38"/>
    <w:rsid w:val="00475AFE"/>
    <w:rsid w:val="0047660E"/>
    <w:rsid w:val="00482DB8"/>
    <w:rsid w:val="00484B5E"/>
    <w:rsid w:val="00484C47"/>
    <w:rsid w:val="00485529"/>
    <w:rsid w:val="00486A17"/>
    <w:rsid w:val="00487E13"/>
    <w:rsid w:val="00490547"/>
    <w:rsid w:val="00490F80"/>
    <w:rsid w:val="004914A4"/>
    <w:rsid w:val="0049187A"/>
    <w:rsid w:val="004921DF"/>
    <w:rsid w:val="004927A5"/>
    <w:rsid w:val="004927F7"/>
    <w:rsid w:val="00492E51"/>
    <w:rsid w:val="00492FF0"/>
    <w:rsid w:val="004937D3"/>
    <w:rsid w:val="00494C99"/>
    <w:rsid w:val="00494ECC"/>
    <w:rsid w:val="00494EDE"/>
    <w:rsid w:val="004954A8"/>
    <w:rsid w:val="004958A1"/>
    <w:rsid w:val="0049604B"/>
    <w:rsid w:val="00496B92"/>
    <w:rsid w:val="00496DE3"/>
    <w:rsid w:val="0049701D"/>
    <w:rsid w:val="004A1B9F"/>
    <w:rsid w:val="004A37A2"/>
    <w:rsid w:val="004A59B5"/>
    <w:rsid w:val="004A5A3C"/>
    <w:rsid w:val="004A7714"/>
    <w:rsid w:val="004B147E"/>
    <w:rsid w:val="004B1F3F"/>
    <w:rsid w:val="004B2394"/>
    <w:rsid w:val="004B2EE9"/>
    <w:rsid w:val="004B43A0"/>
    <w:rsid w:val="004B49AD"/>
    <w:rsid w:val="004B4C5E"/>
    <w:rsid w:val="004B5023"/>
    <w:rsid w:val="004B5848"/>
    <w:rsid w:val="004B5ACC"/>
    <w:rsid w:val="004B5D27"/>
    <w:rsid w:val="004B6786"/>
    <w:rsid w:val="004B7AFD"/>
    <w:rsid w:val="004C02C3"/>
    <w:rsid w:val="004C1CCD"/>
    <w:rsid w:val="004C1D48"/>
    <w:rsid w:val="004C2567"/>
    <w:rsid w:val="004C2B8E"/>
    <w:rsid w:val="004C3554"/>
    <w:rsid w:val="004C3E3F"/>
    <w:rsid w:val="004C46FF"/>
    <w:rsid w:val="004C4B68"/>
    <w:rsid w:val="004C57D2"/>
    <w:rsid w:val="004C61D6"/>
    <w:rsid w:val="004C74B7"/>
    <w:rsid w:val="004D15CF"/>
    <w:rsid w:val="004D1866"/>
    <w:rsid w:val="004D2483"/>
    <w:rsid w:val="004D281A"/>
    <w:rsid w:val="004D2D99"/>
    <w:rsid w:val="004D317B"/>
    <w:rsid w:val="004D36AB"/>
    <w:rsid w:val="004D400F"/>
    <w:rsid w:val="004D4661"/>
    <w:rsid w:val="004D4ACC"/>
    <w:rsid w:val="004D4B31"/>
    <w:rsid w:val="004D4F31"/>
    <w:rsid w:val="004D5D5C"/>
    <w:rsid w:val="004D64F6"/>
    <w:rsid w:val="004D655A"/>
    <w:rsid w:val="004D6904"/>
    <w:rsid w:val="004D6C15"/>
    <w:rsid w:val="004D78B5"/>
    <w:rsid w:val="004D7C3A"/>
    <w:rsid w:val="004D7CB9"/>
    <w:rsid w:val="004E06FF"/>
    <w:rsid w:val="004E383C"/>
    <w:rsid w:val="004E643F"/>
    <w:rsid w:val="004E66DC"/>
    <w:rsid w:val="004E6AEE"/>
    <w:rsid w:val="004E77DD"/>
    <w:rsid w:val="004F4966"/>
    <w:rsid w:val="004F539F"/>
    <w:rsid w:val="004F54F4"/>
    <w:rsid w:val="004F5776"/>
    <w:rsid w:val="004F6A21"/>
    <w:rsid w:val="004F6C0D"/>
    <w:rsid w:val="00500108"/>
    <w:rsid w:val="00500335"/>
    <w:rsid w:val="0050242C"/>
    <w:rsid w:val="00502444"/>
    <w:rsid w:val="00502DD5"/>
    <w:rsid w:val="00504F36"/>
    <w:rsid w:val="0050544E"/>
    <w:rsid w:val="0050553E"/>
    <w:rsid w:val="00505816"/>
    <w:rsid w:val="00505B24"/>
    <w:rsid w:val="00506748"/>
    <w:rsid w:val="00506F06"/>
    <w:rsid w:val="00507386"/>
    <w:rsid w:val="0050739F"/>
    <w:rsid w:val="0050765C"/>
    <w:rsid w:val="00507B28"/>
    <w:rsid w:val="00510849"/>
    <w:rsid w:val="00510AA0"/>
    <w:rsid w:val="00510D04"/>
    <w:rsid w:val="005116BF"/>
    <w:rsid w:val="00513404"/>
    <w:rsid w:val="00513F40"/>
    <w:rsid w:val="005142F3"/>
    <w:rsid w:val="005144CE"/>
    <w:rsid w:val="005154D2"/>
    <w:rsid w:val="00515ABA"/>
    <w:rsid w:val="005164D9"/>
    <w:rsid w:val="0051654A"/>
    <w:rsid w:val="00516C3D"/>
    <w:rsid w:val="005173CA"/>
    <w:rsid w:val="0052063F"/>
    <w:rsid w:val="00521A86"/>
    <w:rsid w:val="00523080"/>
    <w:rsid w:val="005256A0"/>
    <w:rsid w:val="00525C12"/>
    <w:rsid w:val="005261BB"/>
    <w:rsid w:val="00526290"/>
    <w:rsid w:val="00527CE4"/>
    <w:rsid w:val="00530C2F"/>
    <w:rsid w:val="005315BD"/>
    <w:rsid w:val="005318B8"/>
    <w:rsid w:val="00532A86"/>
    <w:rsid w:val="00533133"/>
    <w:rsid w:val="005335E4"/>
    <w:rsid w:val="00534A1C"/>
    <w:rsid w:val="005353C5"/>
    <w:rsid w:val="00537209"/>
    <w:rsid w:val="00537500"/>
    <w:rsid w:val="00537502"/>
    <w:rsid w:val="005402A6"/>
    <w:rsid w:val="00540E53"/>
    <w:rsid w:val="00542BB2"/>
    <w:rsid w:val="00542EE6"/>
    <w:rsid w:val="00542F52"/>
    <w:rsid w:val="00543383"/>
    <w:rsid w:val="00544600"/>
    <w:rsid w:val="00545233"/>
    <w:rsid w:val="00545309"/>
    <w:rsid w:val="00545626"/>
    <w:rsid w:val="005476C2"/>
    <w:rsid w:val="00547952"/>
    <w:rsid w:val="005505E2"/>
    <w:rsid w:val="00550D3C"/>
    <w:rsid w:val="005514C5"/>
    <w:rsid w:val="00552F82"/>
    <w:rsid w:val="00553181"/>
    <w:rsid w:val="0055621E"/>
    <w:rsid w:val="0055747C"/>
    <w:rsid w:val="00557920"/>
    <w:rsid w:val="00560188"/>
    <w:rsid w:val="005607E1"/>
    <w:rsid w:val="00561401"/>
    <w:rsid w:val="00563156"/>
    <w:rsid w:val="00563D20"/>
    <w:rsid w:val="005649F2"/>
    <w:rsid w:val="00565ECF"/>
    <w:rsid w:val="005700BF"/>
    <w:rsid w:val="005703AA"/>
    <w:rsid w:val="00571146"/>
    <w:rsid w:val="0057147C"/>
    <w:rsid w:val="00571F60"/>
    <w:rsid w:val="00572D0E"/>
    <w:rsid w:val="005730BF"/>
    <w:rsid w:val="005765DF"/>
    <w:rsid w:val="00577F06"/>
    <w:rsid w:val="00577FF4"/>
    <w:rsid w:val="00581482"/>
    <w:rsid w:val="00581DA8"/>
    <w:rsid w:val="00581F89"/>
    <w:rsid w:val="00582462"/>
    <w:rsid w:val="005827F5"/>
    <w:rsid w:val="00582834"/>
    <w:rsid w:val="0058298E"/>
    <w:rsid w:val="00582A6B"/>
    <w:rsid w:val="00584020"/>
    <w:rsid w:val="00584307"/>
    <w:rsid w:val="00584D7D"/>
    <w:rsid w:val="005855E4"/>
    <w:rsid w:val="00585627"/>
    <w:rsid w:val="005862BE"/>
    <w:rsid w:val="0058789F"/>
    <w:rsid w:val="00590771"/>
    <w:rsid w:val="00590A28"/>
    <w:rsid w:val="00590E15"/>
    <w:rsid w:val="00591A06"/>
    <w:rsid w:val="005931EB"/>
    <w:rsid w:val="00593F9C"/>
    <w:rsid w:val="00594321"/>
    <w:rsid w:val="00595588"/>
    <w:rsid w:val="005959DB"/>
    <w:rsid w:val="00595B7D"/>
    <w:rsid w:val="005973EB"/>
    <w:rsid w:val="005A0EB8"/>
    <w:rsid w:val="005A198C"/>
    <w:rsid w:val="005A2355"/>
    <w:rsid w:val="005A33C4"/>
    <w:rsid w:val="005A37EF"/>
    <w:rsid w:val="005A3EFB"/>
    <w:rsid w:val="005A40BD"/>
    <w:rsid w:val="005A435F"/>
    <w:rsid w:val="005A53E8"/>
    <w:rsid w:val="005A5D5F"/>
    <w:rsid w:val="005A643C"/>
    <w:rsid w:val="005A69BF"/>
    <w:rsid w:val="005A72CF"/>
    <w:rsid w:val="005A731B"/>
    <w:rsid w:val="005B0740"/>
    <w:rsid w:val="005B0C40"/>
    <w:rsid w:val="005B185B"/>
    <w:rsid w:val="005B29FA"/>
    <w:rsid w:val="005B308A"/>
    <w:rsid w:val="005B3758"/>
    <w:rsid w:val="005B3DC7"/>
    <w:rsid w:val="005B449B"/>
    <w:rsid w:val="005B4DA2"/>
    <w:rsid w:val="005B518F"/>
    <w:rsid w:val="005B572B"/>
    <w:rsid w:val="005B715B"/>
    <w:rsid w:val="005B7DE2"/>
    <w:rsid w:val="005C0188"/>
    <w:rsid w:val="005C0227"/>
    <w:rsid w:val="005C1095"/>
    <w:rsid w:val="005C12EF"/>
    <w:rsid w:val="005C1D14"/>
    <w:rsid w:val="005C21F4"/>
    <w:rsid w:val="005C35AA"/>
    <w:rsid w:val="005C3988"/>
    <w:rsid w:val="005C6698"/>
    <w:rsid w:val="005D0181"/>
    <w:rsid w:val="005D0391"/>
    <w:rsid w:val="005D1F07"/>
    <w:rsid w:val="005D246C"/>
    <w:rsid w:val="005D2AA9"/>
    <w:rsid w:val="005D3F0C"/>
    <w:rsid w:val="005D47B1"/>
    <w:rsid w:val="005D4899"/>
    <w:rsid w:val="005D66C4"/>
    <w:rsid w:val="005D67A4"/>
    <w:rsid w:val="005D6BE5"/>
    <w:rsid w:val="005D7659"/>
    <w:rsid w:val="005D7C09"/>
    <w:rsid w:val="005D7E69"/>
    <w:rsid w:val="005DCDB5"/>
    <w:rsid w:val="005E0B90"/>
    <w:rsid w:val="005E1535"/>
    <w:rsid w:val="005E1828"/>
    <w:rsid w:val="005E3102"/>
    <w:rsid w:val="005E3610"/>
    <w:rsid w:val="005E4F71"/>
    <w:rsid w:val="005E716E"/>
    <w:rsid w:val="005F032D"/>
    <w:rsid w:val="005F092E"/>
    <w:rsid w:val="005F1C6C"/>
    <w:rsid w:val="005F23C6"/>
    <w:rsid w:val="005F2C17"/>
    <w:rsid w:val="005F4CDA"/>
    <w:rsid w:val="005F5371"/>
    <w:rsid w:val="005F5D76"/>
    <w:rsid w:val="005F70DB"/>
    <w:rsid w:val="005F76AA"/>
    <w:rsid w:val="005F76F4"/>
    <w:rsid w:val="005F78CE"/>
    <w:rsid w:val="00600342"/>
    <w:rsid w:val="00600435"/>
    <w:rsid w:val="00601479"/>
    <w:rsid w:val="00602087"/>
    <w:rsid w:val="00602211"/>
    <w:rsid w:val="00602B67"/>
    <w:rsid w:val="00604D8C"/>
    <w:rsid w:val="0060507C"/>
    <w:rsid w:val="00606B5F"/>
    <w:rsid w:val="00606BF7"/>
    <w:rsid w:val="00606F13"/>
    <w:rsid w:val="00612719"/>
    <w:rsid w:val="0061287D"/>
    <w:rsid w:val="00614315"/>
    <w:rsid w:val="00615DC9"/>
    <w:rsid w:val="00616E84"/>
    <w:rsid w:val="00617011"/>
    <w:rsid w:val="00622355"/>
    <w:rsid w:val="00623C87"/>
    <w:rsid w:val="0062403A"/>
    <w:rsid w:val="00625CBD"/>
    <w:rsid w:val="006260F4"/>
    <w:rsid w:val="00626332"/>
    <w:rsid w:val="00627D72"/>
    <w:rsid w:val="00630138"/>
    <w:rsid w:val="00630509"/>
    <w:rsid w:val="00630556"/>
    <w:rsid w:val="00630A06"/>
    <w:rsid w:val="006310EC"/>
    <w:rsid w:val="006314DF"/>
    <w:rsid w:val="006316BC"/>
    <w:rsid w:val="0063195E"/>
    <w:rsid w:val="006319D0"/>
    <w:rsid w:val="006349A0"/>
    <w:rsid w:val="00634DE8"/>
    <w:rsid w:val="00635514"/>
    <w:rsid w:val="006374E4"/>
    <w:rsid w:val="00640698"/>
    <w:rsid w:val="006408C4"/>
    <w:rsid w:val="00640926"/>
    <w:rsid w:val="006409F3"/>
    <w:rsid w:val="006414F2"/>
    <w:rsid w:val="0064189F"/>
    <w:rsid w:val="0064194C"/>
    <w:rsid w:val="0064203D"/>
    <w:rsid w:val="00642F15"/>
    <w:rsid w:val="00643CF2"/>
    <w:rsid w:val="0064412C"/>
    <w:rsid w:val="006442D9"/>
    <w:rsid w:val="0064564F"/>
    <w:rsid w:val="00645C3B"/>
    <w:rsid w:val="00645C8F"/>
    <w:rsid w:val="006464D4"/>
    <w:rsid w:val="006465DB"/>
    <w:rsid w:val="00646864"/>
    <w:rsid w:val="00647DFD"/>
    <w:rsid w:val="006510A8"/>
    <w:rsid w:val="00651612"/>
    <w:rsid w:val="00653BCD"/>
    <w:rsid w:val="006547C4"/>
    <w:rsid w:val="00655604"/>
    <w:rsid w:val="00656408"/>
    <w:rsid w:val="00656692"/>
    <w:rsid w:val="00656B9A"/>
    <w:rsid w:val="00656EB9"/>
    <w:rsid w:val="00660510"/>
    <w:rsid w:val="006631AC"/>
    <w:rsid w:val="0066333F"/>
    <w:rsid w:val="00663E6F"/>
    <w:rsid w:val="006659F2"/>
    <w:rsid w:val="00666B8E"/>
    <w:rsid w:val="00670258"/>
    <w:rsid w:val="00671167"/>
    <w:rsid w:val="006729CE"/>
    <w:rsid w:val="00672AC2"/>
    <w:rsid w:val="00673BE1"/>
    <w:rsid w:val="006754FD"/>
    <w:rsid w:val="00675B44"/>
    <w:rsid w:val="00677ED6"/>
    <w:rsid w:val="0068346A"/>
    <w:rsid w:val="0068354E"/>
    <w:rsid w:val="00684858"/>
    <w:rsid w:val="00686B8A"/>
    <w:rsid w:val="00686F13"/>
    <w:rsid w:val="00686F48"/>
    <w:rsid w:val="006879E3"/>
    <w:rsid w:val="00687C51"/>
    <w:rsid w:val="00691BC3"/>
    <w:rsid w:val="00693024"/>
    <w:rsid w:val="00693986"/>
    <w:rsid w:val="00693F35"/>
    <w:rsid w:val="00694A71"/>
    <w:rsid w:val="00695A7B"/>
    <w:rsid w:val="00695C90"/>
    <w:rsid w:val="0069779D"/>
    <w:rsid w:val="006A0D62"/>
    <w:rsid w:val="006A0FE1"/>
    <w:rsid w:val="006A275D"/>
    <w:rsid w:val="006A32B5"/>
    <w:rsid w:val="006A3A43"/>
    <w:rsid w:val="006A3E7E"/>
    <w:rsid w:val="006A3FDF"/>
    <w:rsid w:val="006A4410"/>
    <w:rsid w:val="006A47AE"/>
    <w:rsid w:val="006A4847"/>
    <w:rsid w:val="006A56B8"/>
    <w:rsid w:val="006A56EF"/>
    <w:rsid w:val="006A589A"/>
    <w:rsid w:val="006A5980"/>
    <w:rsid w:val="006A6C4A"/>
    <w:rsid w:val="006A7BF4"/>
    <w:rsid w:val="006B063C"/>
    <w:rsid w:val="006B07FD"/>
    <w:rsid w:val="006B08F8"/>
    <w:rsid w:val="006B2914"/>
    <w:rsid w:val="006B2B00"/>
    <w:rsid w:val="006B2B60"/>
    <w:rsid w:val="006B2D09"/>
    <w:rsid w:val="006B2E55"/>
    <w:rsid w:val="006B30AB"/>
    <w:rsid w:val="006B5A13"/>
    <w:rsid w:val="006C0AF8"/>
    <w:rsid w:val="006C17DB"/>
    <w:rsid w:val="006C35A5"/>
    <w:rsid w:val="006C52A9"/>
    <w:rsid w:val="006C5614"/>
    <w:rsid w:val="006C5654"/>
    <w:rsid w:val="006C5752"/>
    <w:rsid w:val="006C6E03"/>
    <w:rsid w:val="006C71FB"/>
    <w:rsid w:val="006C7C93"/>
    <w:rsid w:val="006D33E7"/>
    <w:rsid w:val="006D49EB"/>
    <w:rsid w:val="006D522A"/>
    <w:rsid w:val="006D58B6"/>
    <w:rsid w:val="006D6AE4"/>
    <w:rsid w:val="006D7C2C"/>
    <w:rsid w:val="006E0AF9"/>
    <w:rsid w:val="006E0C5F"/>
    <w:rsid w:val="006E0DCA"/>
    <w:rsid w:val="006E170D"/>
    <w:rsid w:val="006E173A"/>
    <w:rsid w:val="006E4EE1"/>
    <w:rsid w:val="006E5485"/>
    <w:rsid w:val="006E7359"/>
    <w:rsid w:val="006F1484"/>
    <w:rsid w:val="006F15C1"/>
    <w:rsid w:val="006F2531"/>
    <w:rsid w:val="006F2DB9"/>
    <w:rsid w:val="006F2E03"/>
    <w:rsid w:val="006F2E6E"/>
    <w:rsid w:val="006F331D"/>
    <w:rsid w:val="006F38C8"/>
    <w:rsid w:val="006F41B7"/>
    <w:rsid w:val="006F506B"/>
    <w:rsid w:val="006F5CD2"/>
    <w:rsid w:val="006F623B"/>
    <w:rsid w:val="006F6A6C"/>
    <w:rsid w:val="006F6A88"/>
    <w:rsid w:val="006F70B8"/>
    <w:rsid w:val="006F74E1"/>
    <w:rsid w:val="00700922"/>
    <w:rsid w:val="00700AF2"/>
    <w:rsid w:val="00702945"/>
    <w:rsid w:val="007030F5"/>
    <w:rsid w:val="007048B1"/>
    <w:rsid w:val="007070D8"/>
    <w:rsid w:val="00711185"/>
    <w:rsid w:val="00711DEA"/>
    <w:rsid w:val="00712792"/>
    <w:rsid w:val="00713BD1"/>
    <w:rsid w:val="007142D7"/>
    <w:rsid w:val="0071449D"/>
    <w:rsid w:val="00714877"/>
    <w:rsid w:val="00714E4C"/>
    <w:rsid w:val="00715D2D"/>
    <w:rsid w:val="00716489"/>
    <w:rsid w:val="0071764D"/>
    <w:rsid w:val="00720187"/>
    <w:rsid w:val="0072146B"/>
    <w:rsid w:val="007218E5"/>
    <w:rsid w:val="00721952"/>
    <w:rsid w:val="00721B51"/>
    <w:rsid w:val="007244F9"/>
    <w:rsid w:val="007255B9"/>
    <w:rsid w:val="007255F9"/>
    <w:rsid w:val="00725672"/>
    <w:rsid w:val="007257ED"/>
    <w:rsid w:val="00726693"/>
    <w:rsid w:val="00726A6A"/>
    <w:rsid w:val="00730ED2"/>
    <w:rsid w:val="007317D0"/>
    <w:rsid w:val="007318A6"/>
    <w:rsid w:val="00731C64"/>
    <w:rsid w:val="00731F68"/>
    <w:rsid w:val="00732640"/>
    <w:rsid w:val="0073290A"/>
    <w:rsid w:val="00732D89"/>
    <w:rsid w:val="00733007"/>
    <w:rsid w:val="00733204"/>
    <w:rsid w:val="007360EC"/>
    <w:rsid w:val="00736478"/>
    <w:rsid w:val="00736F64"/>
    <w:rsid w:val="00737081"/>
    <w:rsid w:val="00737B69"/>
    <w:rsid w:val="00737D3A"/>
    <w:rsid w:val="00740CF7"/>
    <w:rsid w:val="00740CF9"/>
    <w:rsid w:val="007410AE"/>
    <w:rsid w:val="007422ED"/>
    <w:rsid w:val="00742F1B"/>
    <w:rsid w:val="007431CC"/>
    <w:rsid w:val="0074381E"/>
    <w:rsid w:val="007438A5"/>
    <w:rsid w:val="00743D06"/>
    <w:rsid w:val="00745403"/>
    <w:rsid w:val="007456DD"/>
    <w:rsid w:val="00746009"/>
    <w:rsid w:val="007460E6"/>
    <w:rsid w:val="0074640C"/>
    <w:rsid w:val="0074687F"/>
    <w:rsid w:val="00747108"/>
    <w:rsid w:val="00752187"/>
    <w:rsid w:val="00753305"/>
    <w:rsid w:val="00753F20"/>
    <w:rsid w:val="007546FA"/>
    <w:rsid w:val="00754F1A"/>
    <w:rsid w:val="00755005"/>
    <w:rsid w:val="00756E47"/>
    <w:rsid w:val="0075769B"/>
    <w:rsid w:val="00757FF7"/>
    <w:rsid w:val="00761371"/>
    <w:rsid w:val="007615E9"/>
    <w:rsid w:val="00763068"/>
    <w:rsid w:val="007640CB"/>
    <w:rsid w:val="0076470C"/>
    <w:rsid w:val="00764967"/>
    <w:rsid w:val="0076559B"/>
    <w:rsid w:val="00766515"/>
    <w:rsid w:val="00767E1C"/>
    <w:rsid w:val="00767E9A"/>
    <w:rsid w:val="00771980"/>
    <w:rsid w:val="00771C51"/>
    <w:rsid w:val="00774286"/>
    <w:rsid w:val="00775251"/>
    <w:rsid w:val="007753FC"/>
    <w:rsid w:val="00775ECA"/>
    <w:rsid w:val="00777580"/>
    <w:rsid w:val="007777AD"/>
    <w:rsid w:val="00777E5A"/>
    <w:rsid w:val="0078048C"/>
    <w:rsid w:val="0078070D"/>
    <w:rsid w:val="007814CF"/>
    <w:rsid w:val="007824BC"/>
    <w:rsid w:val="007831F4"/>
    <w:rsid w:val="00783E7B"/>
    <w:rsid w:val="00783EF5"/>
    <w:rsid w:val="00784309"/>
    <w:rsid w:val="007843C7"/>
    <w:rsid w:val="007849A7"/>
    <w:rsid w:val="00786673"/>
    <w:rsid w:val="00786FB7"/>
    <w:rsid w:val="00787383"/>
    <w:rsid w:val="007908F6"/>
    <w:rsid w:val="00791E51"/>
    <w:rsid w:val="00792A68"/>
    <w:rsid w:val="00792B81"/>
    <w:rsid w:val="00793887"/>
    <w:rsid w:val="007941A6"/>
    <w:rsid w:val="00794281"/>
    <w:rsid w:val="0079448D"/>
    <w:rsid w:val="007967B1"/>
    <w:rsid w:val="007970D6"/>
    <w:rsid w:val="007977AD"/>
    <w:rsid w:val="00797A08"/>
    <w:rsid w:val="00797D65"/>
    <w:rsid w:val="007A0841"/>
    <w:rsid w:val="007A08E2"/>
    <w:rsid w:val="007A1217"/>
    <w:rsid w:val="007A1741"/>
    <w:rsid w:val="007A1E57"/>
    <w:rsid w:val="007A1E5D"/>
    <w:rsid w:val="007A227D"/>
    <w:rsid w:val="007A256E"/>
    <w:rsid w:val="007A264C"/>
    <w:rsid w:val="007A28EA"/>
    <w:rsid w:val="007A312D"/>
    <w:rsid w:val="007A344F"/>
    <w:rsid w:val="007A3E32"/>
    <w:rsid w:val="007A4F2E"/>
    <w:rsid w:val="007A5592"/>
    <w:rsid w:val="007A621F"/>
    <w:rsid w:val="007A7140"/>
    <w:rsid w:val="007A7DF8"/>
    <w:rsid w:val="007B5D1C"/>
    <w:rsid w:val="007B67D8"/>
    <w:rsid w:val="007B74AA"/>
    <w:rsid w:val="007B7FC6"/>
    <w:rsid w:val="007C0434"/>
    <w:rsid w:val="007C35BC"/>
    <w:rsid w:val="007C3946"/>
    <w:rsid w:val="007C3A08"/>
    <w:rsid w:val="007C3A8A"/>
    <w:rsid w:val="007C3D46"/>
    <w:rsid w:val="007C5C0E"/>
    <w:rsid w:val="007C69AF"/>
    <w:rsid w:val="007C7134"/>
    <w:rsid w:val="007D064F"/>
    <w:rsid w:val="007D0817"/>
    <w:rsid w:val="007D21C2"/>
    <w:rsid w:val="007D3F24"/>
    <w:rsid w:val="007D3FD8"/>
    <w:rsid w:val="007D559D"/>
    <w:rsid w:val="007D647E"/>
    <w:rsid w:val="007D6B4A"/>
    <w:rsid w:val="007D6BD3"/>
    <w:rsid w:val="007D6D22"/>
    <w:rsid w:val="007D7863"/>
    <w:rsid w:val="007D7F4C"/>
    <w:rsid w:val="007E0D2E"/>
    <w:rsid w:val="007E1C38"/>
    <w:rsid w:val="007E2075"/>
    <w:rsid w:val="007E2FE0"/>
    <w:rsid w:val="007E3F3D"/>
    <w:rsid w:val="007E4637"/>
    <w:rsid w:val="007E59D3"/>
    <w:rsid w:val="007E5BF3"/>
    <w:rsid w:val="007E6431"/>
    <w:rsid w:val="007F00C4"/>
    <w:rsid w:val="007F0965"/>
    <w:rsid w:val="007F0E1D"/>
    <w:rsid w:val="007F1288"/>
    <w:rsid w:val="007F196D"/>
    <w:rsid w:val="007F19C4"/>
    <w:rsid w:val="007F2937"/>
    <w:rsid w:val="007F3F32"/>
    <w:rsid w:val="007F4853"/>
    <w:rsid w:val="007F5D94"/>
    <w:rsid w:val="007F617B"/>
    <w:rsid w:val="007F6576"/>
    <w:rsid w:val="007F7A31"/>
    <w:rsid w:val="0080096A"/>
    <w:rsid w:val="008013DF"/>
    <w:rsid w:val="008016C8"/>
    <w:rsid w:val="00801888"/>
    <w:rsid w:val="00801AC7"/>
    <w:rsid w:val="008029F9"/>
    <w:rsid w:val="00803A6A"/>
    <w:rsid w:val="00803F6F"/>
    <w:rsid w:val="00805312"/>
    <w:rsid w:val="00806516"/>
    <w:rsid w:val="00807053"/>
    <w:rsid w:val="008070CD"/>
    <w:rsid w:val="00807B7D"/>
    <w:rsid w:val="00807C76"/>
    <w:rsid w:val="0081164E"/>
    <w:rsid w:val="00811B9E"/>
    <w:rsid w:val="008122DD"/>
    <w:rsid w:val="00814658"/>
    <w:rsid w:val="00814D48"/>
    <w:rsid w:val="00815480"/>
    <w:rsid w:val="0081636C"/>
    <w:rsid w:val="00816B73"/>
    <w:rsid w:val="00820B7C"/>
    <w:rsid w:val="008217C9"/>
    <w:rsid w:val="00821E14"/>
    <w:rsid w:val="00822310"/>
    <w:rsid w:val="008225C8"/>
    <w:rsid w:val="00824573"/>
    <w:rsid w:val="00824AF2"/>
    <w:rsid w:val="00827B87"/>
    <w:rsid w:val="008307C9"/>
    <w:rsid w:val="00830D73"/>
    <w:rsid w:val="0083216E"/>
    <w:rsid w:val="008324DF"/>
    <w:rsid w:val="0083253B"/>
    <w:rsid w:val="0083384B"/>
    <w:rsid w:val="0083427F"/>
    <w:rsid w:val="008344D3"/>
    <w:rsid w:val="00834B01"/>
    <w:rsid w:val="00835081"/>
    <w:rsid w:val="008360BC"/>
    <w:rsid w:val="0083642F"/>
    <w:rsid w:val="0083671F"/>
    <w:rsid w:val="00836CB7"/>
    <w:rsid w:val="00840A61"/>
    <w:rsid w:val="008416B9"/>
    <w:rsid w:val="008434D0"/>
    <w:rsid w:val="00843DF0"/>
    <w:rsid w:val="00843FB8"/>
    <w:rsid w:val="00844052"/>
    <w:rsid w:val="00844572"/>
    <w:rsid w:val="00844635"/>
    <w:rsid w:val="00845567"/>
    <w:rsid w:val="00845A1F"/>
    <w:rsid w:val="00845CB9"/>
    <w:rsid w:val="00846794"/>
    <w:rsid w:val="008476BA"/>
    <w:rsid w:val="00850D06"/>
    <w:rsid w:val="00850E4B"/>
    <w:rsid w:val="00850F68"/>
    <w:rsid w:val="00852977"/>
    <w:rsid w:val="00852BD6"/>
    <w:rsid w:val="00852D9C"/>
    <w:rsid w:val="008530FF"/>
    <w:rsid w:val="00853914"/>
    <w:rsid w:val="00853AA3"/>
    <w:rsid w:val="00855213"/>
    <w:rsid w:val="008564C5"/>
    <w:rsid w:val="00856C32"/>
    <w:rsid w:val="0086013A"/>
    <w:rsid w:val="00860C70"/>
    <w:rsid w:val="00861552"/>
    <w:rsid w:val="00861686"/>
    <w:rsid w:val="00861FCE"/>
    <w:rsid w:val="0086204D"/>
    <w:rsid w:val="00863182"/>
    <w:rsid w:val="00864B5C"/>
    <w:rsid w:val="00866E1F"/>
    <w:rsid w:val="0086757E"/>
    <w:rsid w:val="0086761A"/>
    <w:rsid w:val="0087056F"/>
    <w:rsid w:val="008709E8"/>
    <w:rsid w:val="008714D2"/>
    <w:rsid w:val="00872D12"/>
    <w:rsid w:val="0087350F"/>
    <w:rsid w:val="00873AF0"/>
    <w:rsid w:val="008741B0"/>
    <w:rsid w:val="0087456C"/>
    <w:rsid w:val="008758B0"/>
    <w:rsid w:val="00875B01"/>
    <w:rsid w:val="00875C2A"/>
    <w:rsid w:val="00876323"/>
    <w:rsid w:val="008800D0"/>
    <w:rsid w:val="008808AE"/>
    <w:rsid w:val="008808BD"/>
    <w:rsid w:val="008813FE"/>
    <w:rsid w:val="00881444"/>
    <w:rsid w:val="00883361"/>
    <w:rsid w:val="008841BB"/>
    <w:rsid w:val="008845DA"/>
    <w:rsid w:val="008850E9"/>
    <w:rsid w:val="00885556"/>
    <w:rsid w:val="0088568E"/>
    <w:rsid w:val="00885CA2"/>
    <w:rsid w:val="00886E6C"/>
    <w:rsid w:val="00887E6A"/>
    <w:rsid w:val="00890CF3"/>
    <w:rsid w:val="00891E00"/>
    <w:rsid w:val="00893484"/>
    <w:rsid w:val="008943EB"/>
    <w:rsid w:val="00894F52"/>
    <w:rsid w:val="00895E41"/>
    <w:rsid w:val="008971BA"/>
    <w:rsid w:val="0089752C"/>
    <w:rsid w:val="008975EF"/>
    <w:rsid w:val="008977E8"/>
    <w:rsid w:val="008A0471"/>
    <w:rsid w:val="008A0935"/>
    <w:rsid w:val="008A110A"/>
    <w:rsid w:val="008A2CBE"/>
    <w:rsid w:val="008A3DB9"/>
    <w:rsid w:val="008A3E60"/>
    <w:rsid w:val="008A3F77"/>
    <w:rsid w:val="008A4371"/>
    <w:rsid w:val="008A4E8C"/>
    <w:rsid w:val="008A6BA7"/>
    <w:rsid w:val="008A7BB6"/>
    <w:rsid w:val="008B0368"/>
    <w:rsid w:val="008B0507"/>
    <w:rsid w:val="008B1096"/>
    <w:rsid w:val="008B1236"/>
    <w:rsid w:val="008B281C"/>
    <w:rsid w:val="008B335B"/>
    <w:rsid w:val="008B4982"/>
    <w:rsid w:val="008B4A94"/>
    <w:rsid w:val="008B4C57"/>
    <w:rsid w:val="008B52FA"/>
    <w:rsid w:val="008B5B19"/>
    <w:rsid w:val="008B67CE"/>
    <w:rsid w:val="008B6A58"/>
    <w:rsid w:val="008B78BC"/>
    <w:rsid w:val="008C176E"/>
    <w:rsid w:val="008C1BF0"/>
    <w:rsid w:val="008C22EF"/>
    <w:rsid w:val="008C2906"/>
    <w:rsid w:val="008C29E8"/>
    <w:rsid w:val="008C3AA1"/>
    <w:rsid w:val="008C4C39"/>
    <w:rsid w:val="008C56F6"/>
    <w:rsid w:val="008C5D38"/>
    <w:rsid w:val="008C6235"/>
    <w:rsid w:val="008C7818"/>
    <w:rsid w:val="008D124E"/>
    <w:rsid w:val="008D1854"/>
    <w:rsid w:val="008D2122"/>
    <w:rsid w:val="008D25A2"/>
    <w:rsid w:val="008D3BD1"/>
    <w:rsid w:val="008D4ED3"/>
    <w:rsid w:val="008D65BE"/>
    <w:rsid w:val="008D6DAD"/>
    <w:rsid w:val="008D7996"/>
    <w:rsid w:val="008D7AD4"/>
    <w:rsid w:val="008D7C51"/>
    <w:rsid w:val="008E01AC"/>
    <w:rsid w:val="008E2D4E"/>
    <w:rsid w:val="008E3773"/>
    <w:rsid w:val="008E3E01"/>
    <w:rsid w:val="008E3EA9"/>
    <w:rsid w:val="008E3FA7"/>
    <w:rsid w:val="008E417F"/>
    <w:rsid w:val="008E4B64"/>
    <w:rsid w:val="008E5E81"/>
    <w:rsid w:val="008E5F05"/>
    <w:rsid w:val="008E6CC4"/>
    <w:rsid w:val="008E6FA0"/>
    <w:rsid w:val="008E6FE1"/>
    <w:rsid w:val="008F0013"/>
    <w:rsid w:val="008F0472"/>
    <w:rsid w:val="008F2B10"/>
    <w:rsid w:val="008F2F7A"/>
    <w:rsid w:val="008F4F55"/>
    <w:rsid w:val="008F54C8"/>
    <w:rsid w:val="008F55AE"/>
    <w:rsid w:val="008F612C"/>
    <w:rsid w:val="008F7695"/>
    <w:rsid w:val="008F7A3E"/>
    <w:rsid w:val="009020C4"/>
    <w:rsid w:val="00902778"/>
    <w:rsid w:val="00903A4D"/>
    <w:rsid w:val="0090588C"/>
    <w:rsid w:val="00905C16"/>
    <w:rsid w:val="00905D49"/>
    <w:rsid w:val="00906D1A"/>
    <w:rsid w:val="00906F59"/>
    <w:rsid w:val="0090770A"/>
    <w:rsid w:val="00907FFE"/>
    <w:rsid w:val="00910589"/>
    <w:rsid w:val="00910B18"/>
    <w:rsid w:val="00912977"/>
    <w:rsid w:val="00912B67"/>
    <w:rsid w:val="00913BF0"/>
    <w:rsid w:val="00914460"/>
    <w:rsid w:val="00915910"/>
    <w:rsid w:val="0091606F"/>
    <w:rsid w:val="00916494"/>
    <w:rsid w:val="00916790"/>
    <w:rsid w:val="00916E9E"/>
    <w:rsid w:val="0091725D"/>
    <w:rsid w:val="0092014C"/>
    <w:rsid w:val="0092037F"/>
    <w:rsid w:val="00920E85"/>
    <w:rsid w:val="00921951"/>
    <w:rsid w:val="00921CCE"/>
    <w:rsid w:val="00923DAC"/>
    <w:rsid w:val="0092470C"/>
    <w:rsid w:val="009249EB"/>
    <w:rsid w:val="00924B9F"/>
    <w:rsid w:val="00924BFC"/>
    <w:rsid w:val="00924F53"/>
    <w:rsid w:val="00925727"/>
    <w:rsid w:val="00926100"/>
    <w:rsid w:val="009263BC"/>
    <w:rsid w:val="009270C7"/>
    <w:rsid w:val="00927C22"/>
    <w:rsid w:val="00927C70"/>
    <w:rsid w:val="00930771"/>
    <w:rsid w:val="00930E2D"/>
    <w:rsid w:val="00934FAC"/>
    <w:rsid w:val="009353AF"/>
    <w:rsid w:val="009379D1"/>
    <w:rsid w:val="009405F0"/>
    <w:rsid w:val="00941226"/>
    <w:rsid w:val="00942375"/>
    <w:rsid w:val="009426AB"/>
    <w:rsid w:val="00942B13"/>
    <w:rsid w:val="00943BBA"/>
    <w:rsid w:val="009445A6"/>
    <w:rsid w:val="00944614"/>
    <w:rsid w:val="00945916"/>
    <w:rsid w:val="00945C0A"/>
    <w:rsid w:val="00945E21"/>
    <w:rsid w:val="00946F4F"/>
    <w:rsid w:val="009473B4"/>
    <w:rsid w:val="009475EF"/>
    <w:rsid w:val="00947E5C"/>
    <w:rsid w:val="0095097D"/>
    <w:rsid w:val="0095135E"/>
    <w:rsid w:val="00952254"/>
    <w:rsid w:val="00952E37"/>
    <w:rsid w:val="0095347C"/>
    <w:rsid w:val="00954CDE"/>
    <w:rsid w:val="00955BE6"/>
    <w:rsid w:val="00955D32"/>
    <w:rsid w:val="00955EB8"/>
    <w:rsid w:val="0095609C"/>
    <w:rsid w:val="00956D7E"/>
    <w:rsid w:val="00957359"/>
    <w:rsid w:val="00962075"/>
    <w:rsid w:val="00962160"/>
    <w:rsid w:val="00962164"/>
    <w:rsid w:val="00962972"/>
    <w:rsid w:val="00963AD3"/>
    <w:rsid w:val="00963C7B"/>
    <w:rsid w:val="00963D4D"/>
    <w:rsid w:val="00963E1D"/>
    <w:rsid w:val="00964412"/>
    <w:rsid w:val="009644CE"/>
    <w:rsid w:val="00966028"/>
    <w:rsid w:val="009666E2"/>
    <w:rsid w:val="00966720"/>
    <w:rsid w:val="009669D1"/>
    <w:rsid w:val="00966F8F"/>
    <w:rsid w:val="0096735F"/>
    <w:rsid w:val="009726CE"/>
    <w:rsid w:val="00972C51"/>
    <w:rsid w:val="0097353C"/>
    <w:rsid w:val="00974E2C"/>
    <w:rsid w:val="00975163"/>
    <w:rsid w:val="00975F3B"/>
    <w:rsid w:val="00976195"/>
    <w:rsid w:val="00976794"/>
    <w:rsid w:val="009770E4"/>
    <w:rsid w:val="00977135"/>
    <w:rsid w:val="00977507"/>
    <w:rsid w:val="00977DBA"/>
    <w:rsid w:val="00980E51"/>
    <w:rsid w:val="0098148B"/>
    <w:rsid w:val="00983E23"/>
    <w:rsid w:val="009845A7"/>
    <w:rsid w:val="00984EC5"/>
    <w:rsid w:val="0098545D"/>
    <w:rsid w:val="00985579"/>
    <w:rsid w:val="00987554"/>
    <w:rsid w:val="00987D91"/>
    <w:rsid w:val="0099029E"/>
    <w:rsid w:val="009908AB"/>
    <w:rsid w:val="00990DDA"/>
    <w:rsid w:val="009912D9"/>
    <w:rsid w:val="00991A79"/>
    <w:rsid w:val="00991DCB"/>
    <w:rsid w:val="00992069"/>
    <w:rsid w:val="00992220"/>
    <w:rsid w:val="0099393C"/>
    <w:rsid w:val="00993F46"/>
    <w:rsid w:val="00994FC3"/>
    <w:rsid w:val="00995191"/>
    <w:rsid w:val="00995702"/>
    <w:rsid w:val="0099741D"/>
    <w:rsid w:val="009977E2"/>
    <w:rsid w:val="00997D61"/>
    <w:rsid w:val="009A0812"/>
    <w:rsid w:val="009A11BB"/>
    <w:rsid w:val="009A1A97"/>
    <w:rsid w:val="009A24C6"/>
    <w:rsid w:val="009A2C13"/>
    <w:rsid w:val="009A4068"/>
    <w:rsid w:val="009A41C7"/>
    <w:rsid w:val="009A45EC"/>
    <w:rsid w:val="009A4A07"/>
    <w:rsid w:val="009A54CA"/>
    <w:rsid w:val="009A575D"/>
    <w:rsid w:val="009A61D5"/>
    <w:rsid w:val="009A61E5"/>
    <w:rsid w:val="009A61F3"/>
    <w:rsid w:val="009A7D5E"/>
    <w:rsid w:val="009B0B54"/>
    <w:rsid w:val="009B10DB"/>
    <w:rsid w:val="009B1CCF"/>
    <w:rsid w:val="009B1D9D"/>
    <w:rsid w:val="009B1F87"/>
    <w:rsid w:val="009B24BA"/>
    <w:rsid w:val="009B543D"/>
    <w:rsid w:val="009B5537"/>
    <w:rsid w:val="009B66B6"/>
    <w:rsid w:val="009C0770"/>
    <w:rsid w:val="009C0F69"/>
    <w:rsid w:val="009C117F"/>
    <w:rsid w:val="009C251B"/>
    <w:rsid w:val="009C2A55"/>
    <w:rsid w:val="009C3826"/>
    <w:rsid w:val="009C391F"/>
    <w:rsid w:val="009C4C7C"/>
    <w:rsid w:val="009C51BC"/>
    <w:rsid w:val="009C79B5"/>
    <w:rsid w:val="009D094C"/>
    <w:rsid w:val="009D1281"/>
    <w:rsid w:val="009D26FE"/>
    <w:rsid w:val="009D2856"/>
    <w:rsid w:val="009D2EA0"/>
    <w:rsid w:val="009D30B2"/>
    <w:rsid w:val="009D3B38"/>
    <w:rsid w:val="009D470F"/>
    <w:rsid w:val="009D4823"/>
    <w:rsid w:val="009D4BB8"/>
    <w:rsid w:val="009D4CF2"/>
    <w:rsid w:val="009D6FF0"/>
    <w:rsid w:val="009D73B2"/>
    <w:rsid w:val="009E029D"/>
    <w:rsid w:val="009E04A5"/>
    <w:rsid w:val="009E05F2"/>
    <w:rsid w:val="009E2AC6"/>
    <w:rsid w:val="009E2DB9"/>
    <w:rsid w:val="009E34DD"/>
    <w:rsid w:val="009E3D8F"/>
    <w:rsid w:val="009E42B1"/>
    <w:rsid w:val="009E4821"/>
    <w:rsid w:val="009E4FF4"/>
    <w:rsid w:val="009E5EB0"/>
    <w:rsid w:val="009E6826"/>
    <w:rsid w:val="009E6CBE"/>
    <w:rsid w:val="009E6D73"/>
    <w:rsid w:val="009F0980"/>
    <w:rsid w:val="009F0EB9"/>
    <w:rsid w:val="009F1407"/>
    <w:rsid w:val="009F15E9"/>
    <w:rsid w:val="009F198F"/>
    <w:rsid w:val="009F1A4C"/>
    <w:rsid w:val="009F1D86"/>
    <w:rsid w:val="009F3120"/>
    <w:rsid w:val="009F33D9"/>
    <w:rsid w:val="009F46D9"/>
    <w:rsid w:val="009F4BBD"/>
    <w:rsid w:val="009F6250"/>
    <w:rsid w:val="009F630C"/>
    <w:rsid w:val="009F6EE5"/>
    <w:rsid w:val="009F731F"/>
    <w:rsid w:val="009F75CB"/>
    <w:rsid w:val="009F7B0C"/>
    <w:rsid w:val="00A00B26"/>
    <w:rsid w:val="00A00B8A"/>
    <w:rsid w:val="00A01CF2"/>
    <w:rsid w:val="00A01E93"/>
    <w:rsid w:val="00A026B4"/>
    <w:rsid w:val="00A034A7"/>
    <w:rsid w:val="00A036D3"/>
    <w:rsid w:val="00A0501E"/>
    <w:rsid w:val="00A054CE"/>
    <w:rsid w:val="00A05E22"/>
    <w:rsid w:val="00A073AA"/>
    <w:rsid w:val="00A07479"/>
    <w:rsid w:val="00A118B6"/>
    <w:rsid w:val="00A126D7"/>
    <w:rsid w:val="00A15151"/>
    <w:rsid w:val="00A16D71"/>
    <w:rsid w:val="00A172DA"/>
    <w:rsid w:val="00A2023C"/>
    <w:rsid w:val="00A208D4"/>
    <w:rsid w:val="00A20BBA"/>
    <w:rsid w:val="00A2119B"/>
    <w:rsid w:val="00A2210D"/>
    <w:rsid w:val="00A22EC6"/>
    <w:rsid w:val="00A22F0A"/>
    <w:rsid w:val="00A23BF1"/>
    <w:rsid w:val="00A25E2E"/>
    <w:rsid w:val="00A26919"/>
    <w:rsid w:val="00A2765D"/>
    <w:rsid w:val="00A278CF"/>
    <w:rsid w:val="00A30616"/>
    <w:rsid w:val="00A308D9"/>
    <w:rsid w:val="00A312BE"/>
    <w:rsid w:val="00A3176F"/>
    <w:rsid w:val="00A324DF"/>
    <w:rsid w:val="00A32971"/>
    <w:rsid w:val="00A32DB9"/>
    <w:rsid w:val="00A32F45"/>
    <w:rsid w:val="00A33F2A"/>
    <w:rsid w:val="00A34C8D"/>
    <w:rsid w:val="00A3511E"/>
    <w:rsid w:val="00A36114"/>
    <w:rsid w:val="00A363AC"/>
    <w:rsid w:val="00A36433"/>
    <w:rsid w:val="00A3761F"/>
    <w:rsid w:val="00A37974"/>
    <w:rsid w:val="00A37DC7"/>
    <w:rsid w:val="00A40379"/>
    <w:rsid w:val="00A436DC"/>
    <w:rsid w:val="00A43C07"/>
    <w:rsid w:val="00A44914"/>
    <w:rsid w:val="00A45231"/>
    <w:rsid w:val="00A46ABE"/>
    <w:rsid w:val="00A47945"/>
    <w:rsid w:val="00A47CE7"/>
    <w:rsid w:val="00A501A0"/>
    <w:rsid w:val="00A50520"/>
    <w:rsid w:val="00A51AD0"/>
    <w:rsid w:val="00A51E35"/>
    <w:rsid w:val="00A529F0"/>
    <w:rsid w:val="00A535A0"/>
    <w:rsid w:val="00A540BF"/>
    <w:rsid w:val="00A54C66"/>
    <w:rsid w:val="00A54E7D"/>
    <w:rsid w:val="00A55104"/>
    <w:rsid w:val="00A55A7F"/>
    <w:rsid w:val="00A55E07"/>
    <w:rsid w:val="00A5689C"/>
    <w:rsid w:val="00A569F5"/>
    <w:rsid w:val="00A56AE6"/>
    <w:rsid w:val="00A57004"/>
    <w:rsid w:val="00A57013"/>
    <w:rsid w:val="00A57CA3"/>
    <w:rsid w:val="00A57EC2"/>
    <w:rsid w:val="00A60763"/>
    <w:rsid w:val="00A6092A"/>
    <w:rsid w:val="00A61010"/>
    <w:rsid w:val="00A64590"/>
    <w:rsid w:val="00A65105"/>
    <w:rsid w:val="00A65670"/>
    <w:rsid w:val="00A65E83"/>
    <w:rsid w:val="00A66138"/>
    <w:rsid w:val="00A67297"/>
    <w:rsid w:val="00A6740C"/>
    <w:rsid w:val="00A67633"/>
    <w:rsid w:val="00A70768"/>
    <w:rsid w:val="00A707AD"/>
    <w:rsid w:val="00A72C2F"/>
    <w:rsid w:val="00A7352F"/>
    <w:rsid w:val="00A7510D"/>
    <w:rsid w:val="00A779A0"/>
    <w:rsid w:val="00A80F60"/>
    <w:rsid w:val="00A8191F"/>
    <w:rsid w:val="00A81E31"/>
    <w:rsid w:val="00A82268"/>
    <w:rsid w:val="00A8297C"/>
    <w:rsid w:val="00A82982"/>
    <w:rsid w:val="00A8303B"/>
    <w:rsid w:val="00A83904"/>
    <w:rsid w:val="00A83AA7"/>
    <w:rsid w:val="00A84AC1"/>
    <w:rsid w:val="00A8542A"/>
    <w:rsid w:val="00A85697"/>
    <w:rsid w:val="00A856E1"/>
    <w:rsid w:val="00A87532"/>
    <w:rsid w:val="00A875E4"/>
    <w:rsid w:val="00A87E7F"/>
    <w:rsid w:val="00A90376"/>
    <w:rsid w:val="00A90ECA"/>
    <w:rsid w:val="00A91E11"/>
    <w:rsid w:val="00A924DB"/>
    <w:rsid w:val="00A9299A"/>
    <w:rsid w:val="00A931EC"/>
    <w:rsid w:val="00A9399C"/>
    <w:rsid w:val="00A93E30"/>
    <w:rsid w:val="00A96AB5"/>
    <w:rsid w:val="00A97164"/>
    <w:rsid w:val="00A975D3"/>
    <w:rsid w:val="00AA091A"/>
    <w:rsid w:val="00AA0D07"/>
    <w:rsid w:val="00AA0D6C"/>
    <w:rsid w:val="00AA10BD"/>
    <w:rsid w:val="00AA1904"/>
    <w:rsid w:val="00AA2ECA"/>
    <w:rsid w:val="00AA36F5"/>
    <w:rsid w:val="00AA4947"/>
    <w:rsid w:val="00AA6423"/>
    <w:rsid w:val="00AA766F"/>
    <w:rsid w:val="00AB0189"/>
    <w:rsid w:val="00AB0536"/>
    <w:rsid w:val="00AB1A51"/>
    <w:rsid w:val="00AB1BAB"/>
    <w:rsid w:val="00AB1C89"/>
    <w:rsid w:val="00AB2022"/>
    <w:rsid w:val="00AB354F"/>
    <w:rsid w:val="00AB3792"/>
    <w:rsid w:val="00AB39D8"/>
    <w:rsid w:val="00AB3D94"/>
    <w:rsid w:val="00AB4495"/>
    <w:rsid w:val="00AB459B"/>
    <w:rsid w:val="00AB4A34"/>
    <w:rsid w:val="00AB4B55"/>
    <w:rsid w:val="00AB6D1E"/>
    <w:rsid w:val="00AB7C23"/>
    <w:rsid w:val="00AC0A1F"/>
    <w:rsid w:val="00AC2B53"/>
    <w:rsid w:val="00AC3045"/>
    <w:rsid w:val="00AC38BC"/>
    <w:rsid w:val="00AC4099"/>
    <w:rsid w:val="00AC4303"/>
    <w:rsid w:val="00AC4424"/>
    <w:rsid w:val="00AC6DF1"/>
    <w:rsid w:val="00AC6EB4"/>
    <w:rsid w:val="00AC7726"/>
    <w:rsid w:val="00AC7AEC"/>
    <w:rsid w:val="00AC7CF0"/>
    <w:rsid w:val="00AD0C2A"/>
    <w:rsid w:val="00AD0E5C"/>
    <w:rsid w:val="00AD217C"/>
    <w:rsid w:val="00AD3585"/>
    <w:rsid w:val="00AD42AE"/>
    <w:rsid w:val="00AD4566"/>
    <w:rsid w:val="00AD4DF9"/>
    <w:rsid w:val="00AD51FA"/>
    <w:rsid w:val="00AD5E48"/>
    <w:rsid w:val="00AD62BB"/>
    <w:rsid w:val="00AD6F4B"/>
    <w:rsid w:val="00AD7168"/>
    <w:rsid w:val="00AD7A63"/>
    <w:rsid w:val="00AE0D08"/>
    <w:rsid w:val="00AE1330"/>
    <w:rsid w:val="00AE1438"/>
    <w:rsid w:val="00AE293D"/>
    <w:rsid w:val="00AE29A7"/>
    <w:rsid w:val="00AE4299"/>
    <w:rsid w:val="00AE57DA"/>
    <w:rsid w:val="00AF0C31"/>
    <w:rsid w:val="00AF100B"/>
    <w:rsid w:val="00AF1A6B"/>
    <w:rsid w:val="00AF220E"/>
    <w:rsid w:val="00AF3202"/>
    <w:rsid w:val="00AF4BB3"/>
    <w:rsid w:val="00AF4DFD"/>
    <w:rsid w:val="00AF5C49"/>
    <w:rsid w:val="00B00246"/>
    <w:rsid w:val="00B00AE6"/>
    <w:rsid w:val="00B013ED"/>
    <w:rsid w:val="00B02A81"/>
    <w:rsid w:val="00B0316F"/>
    <w:rsid w:val="00B05DAC"/>
    <w:rsid w:val="00B05E08"/>
    <w:rsid w:val="00B109DE"/>
    <w:rsid w:val="00B10D64"/>
    <w:rsid w:val="00B1195B"/>
    <w:rsid w:val="00B11CE0"/>
    <w:rsid w:val="00B124BD"/>
    <w:rsid w:val="00B1289C"/>
    <w:rsid w:val="00B13FE3"/>
    <w:rsid w:val="00B143B9"/>
    <w:rsid w:val="00B14999"/>
    <w:rsid w:val="00B15879"/>
    <w:rsid w:val="00B158BF"/>
    <w:rsid w:val="00B15C43"/>
    <w:rsid w:val="00B16AAC"/>
    <w:rsid w:val="00B16C95"/>
    <w:rsid w:val="00B16D0B"/>
    <w:rsid w:val="00B17650"/>
    <w:rsid w:val="00B17B5A"/>
    <w:rsid w:val="00B20042"/>
    <w:rsid w:val="00B20783"/>
    <w:rsid w:val="00B20DA7"/>
    <w:rsid w:val="00B23601"/>
    <w:rsid w:val="00B23A22"/>
    <w:rsid w:val="00B24584"/>
    <w:rsid w:val="00B24E31"/>
    <w:rsid w:val="00B25078"/>
    <w:rsid w:val="00B27786"/>
    <w:rsid w:val="00B279DE"/>
    <w:rsid w:val="00B300DF"/>
    <w:rsid w:val="00B30198"/>
    <w:rsid w:val="00B30555"/>
    <w:rsid w:val="00B307A9"/>
    <w:rsid w:val="00B31319"/>
    <w:rsid w:val="00B317F3"/>
    <w:rsid w:val="00B32280"/>
    <w:rsid w:val="00B32297"/>
    <w:rsid w:val="00B34EE6"/>
    <w:rsid w:val="00B36D11"/>
    <w:rsid w:val="00B37081"/>
    <w:rsid w:val="00B374C1"/>
    <w:rsid w:val="00B37BBA"/>
    <w:rsid w:val="00B4015A"/>
    <w:rsid w:val="00B4089F"/>
    <w:rsid w:val="00B4098A"/>
    <w:rsid w:val="00B40B02"/>
    <w:rsid w:val="00B41E67"/>
    <w:rsid w:val="00B422B8"/>
    <w:rsid w:val="00B4245B"/>
    <w:rsid w:val="00B43B21"/>
    <w:rsid w:val="00B43BC2"/>
    <w:rsid w:val="00B44047"/>
    <w:rsid w:val="00B449EB"/>
    <w:rsid w:val="00B450C9"/>
    <w:rsid w:val="00B46097"/>
    <w:rsid w:val="00B476A3"/>
    <w:rsid w:val="00B47EB4"/>
    <w:rsid w:val="00B519CA"/>
    <w:rsid w:val="00B51D89"/>
    <w:rsid w:val="00B528C4"/>
    <w:rsid w:val="00B53E4D"/>
    <w:rsid w:val="00B5465D"/>
    <w:rsid w:val="00B551B4"/>
    <w:rsid w:val="00B5529C"/>
    <w:rsid w:val="00B55518"/>
    <w:rsid w:val="00B57AC9"/>
    <w:rsid w:val="00B6000F"/>
    <w:rsid w:val="00B6014A"/>
    <w:rsid w:val="00B6041D"/>
    <w:rsid w:val="00B628ED"/>
    <w:rsid w:val="00B63340"/>
    <w:rsid w:val="00B647AD"/>
    <w:rsid w:val="00B65BED"/>
    <w:rsid w:val="00B65D51"/>
    <w:rsid w:val="00B66619"/>
    <w:rsid w:val="00B70483"/>
    <w:rsid w:val="00B7048D"/>
    <w:rsid w:val="00B7131A"/>
    <w:rsid w:val="00B72D3C"/>
    <w:rsid w:val="00B73473"/>
    <w:rsid w:val="00B73929"/>
    <w:rsid w:val="00B73A13"/>
    <w:rsid w:val="00B750C9"/>
    <w:rsid w:val="00B76298"/>
    <w:rsid w:val="00B7649E"/>
    <w:rsid w:val="00B76685"/>
    <w:rsid w:val="00B77902"/>
    <w:rsid w:val="00B77AB9"/>
    <w:rsid w:val="00B77E2F"/>
    <w:rsid w:val="00B77E74"/>
    <w:rsid w:val="00B8139B"/>
    <w:rsid w:val="00B8193D"/>
    <w:rsid w:val="00B826C8"/>
    <w:rsid w:val="00B82C03"/>
    <w:rsid w:val="00B82FFC"/>
    <w:rsid w:val="00B8308A"/>
    <w:rsid w:val="00B843B6"/>
    <w:rsid w:val="00B85035"/>
    <w:rsid w:val="00B859C4"/>
    <w:rsid w:val="00B85C9B"/>
    <w:rsid w:val="00B86359"/>
    <w:rsid w:val="00B86744"/>
    <w:rsid w:val="00B87AC1"/>
    <w:rsid w:val="00B87F6F"/>
    <w:rsid w:val="00B90301"/>
    <w:rsid w:val="00B90456"/>
    <w:rsid w:val="00B90949"/>
    <w:rsid w:val="00B90E3A"/>
    <w:rsid w:val="00B91D99"/>
    <w:rsid w:val="00B9210F"/>
    <w:rsid w:val="00B93040"/>
    <w:rsid w:val="00B93296"/>
    <w:rsid w:val="00B937C9"/>
    <w:rsid w:val="00B9542D"/>
    <w:rsid w:val="00B95784"/>
    <w:rsid w:val="00B95CE4"/>
    <w:rsid w:val="00B975AC"/>
    <w:rsid w:val="00B9797A"/>
    <w:rsid w:val="00BA0304"/>
    <w:rsid w:val="00BA0444"/>
    <w:rsid w:val="00BA0960"/>
    <w:rsid w:val="00BA0C07"/>
    <w:rsid w:val="00BA1D2A"/>
    <w:rsid w:val="00BA240A"/>
    <w:rsid w:val="00BA4429"/>
    <w:rsid w:val="00BA5509"/>
    <w:rsid w:val="00BA56D8"/>
    <w:rsid w:val="00BA5751"/>
    <w:rsid w:val="00BA5AA9"/>
    <w:rsid w:val="00BA5B54"/>
    <w:rsid w:val="00BA6051"/>
    <w:rsid w:val="00BB0955"/>
    <w:rsid w:val="00BB0CA8"/>
    <w:rsid w:val="00BB1F85"/>
    <w:rsid w:val="00BB4972"/>
    <w:rsid w:val="00BB52E4"/>
    <w:rsid w:val="00BB5840"/>
    <w:rsid w:val="00BB596A"/>
    <w:rsid w:val="00BB6288"/>
    <w:rsid w:val="00BB638C"/>
    <w:rsid w:val="00BB65D3"/>
    <w:rsid w:val="00BB6B26"/>
    <w:rsid w:val="00BB6E56"/>
    <w:rsid w:val="00BB75A4"/>
    <w:rsid w:val="00BB7B78"/>
    <w:rsid w:val="00BC03DF"/>
    <w:rsid w:val="00BC18D9"/>
    <w:rsid w:val="00BC3146"/>
    <w:rsid w:val="00BC3188"/>
    <w:rsid w:val="00BC4404"/>
    <w:rsid w:val="00BC5B52"/>
    <w:rsid w:val="00BC6861"/>
    <w:rsid w:val="00BC6EA9"/>
    <w:rsid w:val="00BC6FB3"/>
    <w:rsid w:val="00BC7518"/>
    <w:rsid w:val="00BC755B"/>
    <w:rsid w:val="00BD02B5"/>
    <w:rsid w:val="00BD05D2"/>
    <w:rsid w:val="00BD1572"/>
    <w:rsid w:val="00BD1A4C"/>
    <w:rsid w:val="00BD22CB"/>
    <w:rsid w:val="00BD2339"/>
    <w:rsid w:val="00BD2975"/>
    <w:rsid w:val="00BD3916"/>
    <w:rsid w:val="00BD3CC4"/>
    <w:rsid w:val="00BD3F4F"/>
    <w:rsid w:val="00BD4ACD"/>
    <w:rsid w:val="00BD5226"/>
    <w:rsid w:val="00BD6294"/>
    <w:rsid w:val="00BD6BB4"/>
    <w:rsid w:val="00BD6BEE"/>
    <w:rsid w:val="00BD70DB"/>
    <w:rsid w:val="00BD75BA"/>
    <w:rsid w:val="00BE0046"/>
    <w:rsid w:val="00BE0278"/>
    <w:rsid w:val="00BE0382"/>
    <w:rsid w:val="00BE229A"/>
    <w:rsid w:val="00BE43E5"/>
    <w:rsid w:val="00BE4ACD"/>
    <w:rsid w:val="00BE58DE"/>
    <w:rsid w:val="00BE6028"/>
    <w:rsid w:val="00BE6CE7"/>
    <w:rsid w:val="00BE6F79"/>
    <w:rsid w:val="00BE6FF0"/>
    <w:rsid w:val="00BE7029"/>
    <w:rsid w:val="00BF0031"/>
    <w:rsid w:val="00BF0978"/>
    <w:rsid w:val="00BF0B63"/>
    <w:rsid w:val="00BF1498"/>
    <w:rsid w:val="00BF2230"/>
    <w:rsid w:val="00BF23DF"/>
    <w:rsid w:val="00BF2472"/>
    <w:rsid w:val="00BF2C59"/>
    <w:rsid w:val="00BF32DB"/>
    <w:rsid w:val="00BF55AE"/>
    <w:rsid w:val="00BF5AF0"/>
    <w:rsid w:val="00BF69D2"/>
    <w:rsid w:val="00BF6DB0"/>
    <w:rsid w:val="00C020F8"/>
    <w:rsid w:val="00C02A9F"/>
    <w:rsid w:val="00C02F39"/>
    <w:rsid w:val="00C0368E"/>
    <w:rsid w:val="00C04BB6"/>
    <w:rsid w:val="00C05304"/>
    <w:rsid w:val="00C07C55"/>
    <w:rsid w:val="00C1034F"/>
    <w:rsid w:val="00C12954"/>
    <w:rsid w:val="00C12C98"/>
    <w:rsid w:val="00C156AF"/>
    <w:rsid w:val="00C1723F"/>
    <w:rsid w:val="00C20394"/>
    <w:rsid w:val="00C20D6F"/>
    <w:rsid w:val="00C21178"/>
    <w:rsid w:val="00C22074"/>
    <w:rsid w:val="00C22809"/>
    <w:rsid w:val="00C230B6"/>
    <w:rsid w:val="00C2335F"/>
    <w:rsid w:val="00C23B19"/>
    <w:rsid w:val="00C23C09"/>
    <w:rsid w:val="00C23CE1"/>
    <w:rsid w:val="00C24D20"/>
    <w:rsid w:val="00C26262"/>
    <w:rsid w:val="00C2670E"/>
    <w:rsid w:val="00C277BC"/>
    <w:rsid w:val="00C30593"/>
    <w:rsid w:val="00C30631"/>
    <w:rsid w:val="00C31B70"/>
    <w:rsid w:val="00C3342F"/>
    <w:rsid w:val="00C3347C"/>
    <w:rsid w:val="00C33B4D"/>
    <w:rsid w:val="00C3400D"/>
    <w:rsid w:val="00C34420"/>
    <w:rsid w:val="00C34F6E"/>
    <w:rsid w:val="00C3563F"/>
    <w:rsid w:val="00C362F6"/>
    <w:rsid w:val="00C36558"/>
    <w:rsid w:val="00C36FD5"/>
    <w:rsid w:val="00C37AF0"/>
    <w:rsid w:val="00C40D3F"/>
    <w:rsid w:val="00C431A9"/>
    <w:rsid w:val="00C43825"/>
    <w:rsid w:val="00C43DC0"/>
    <w:rsid w:val="00C45F7F"/>
    <w:rsid w:val="00C472F2"/>
    <w:rsid w:val="00C479E9"/>
    <w:rsid w:val="00C47DEE"/>
    <w:rsid w:val="00C50055"/>
    <w:rsid w:val="00C50BB7"/>
    <w:rsid w:val="00C50F9C"/>
    <w:rsid w:val="00C51013"/>
    <w:rsid w:val="00C52D05"/>
    <w:rsid w:val="00C531AB"/>
    <w:rsid w:val="00C53A35"/>
    <w:rsid w:val="00C55417"/>
    <w:rsid w:val="00C568F8"/>
    <w:rsid w:val="00C571E4"/>
    <w:rsid w:val="00C6024E"/>
    <w:rsid w:val="00C6039E"/>
    <w:rsid w:val="00C609F7"/>
    <w:rsid w:val="00C6253A"/>
    <w:rsid w:val="00C628AC"/>
    <w:rsid w:val="00C64EDA"/>
    <w:rsid w:val="00C6543B"/>
    <w:rsid w:val="00C65680"/>
    <w:rsid w:val="00C66135"/>
    <w:rsid w:val="00C67382"/>
    <w:rsid w:val="00C67BD9"/>
    <w:rsid w:val="00C704E2"/>
    <w:rsid w:val="00C706E7"/>
    <w:rsid w:val="00C7206E"/>
    <w:rsid w:val="00C7211A"/>
    <w:rsid w:val="00C725FA"/>
    <w:rsid w:val="00C72938"/>
    <w:rsid w:val="00C7480F"/>
    <w:rsid w:val="00C75D1E"/>
    <w:rsid w:val="00C76B7C"/>
    <w:rsid w:val="00C7761C"/>
    <w:rsid w:val="00C80264"/>
    <w:rsid w:val="00C802DD"/>
    <w:rsid w:val="00C80719"/>
    <w:rsid w:val="00C81AEB"/>
    <w:rsid w:val="00C8243A"/>
    <w:rsid w:val="00C828E0"/>
    <w:rsid w:val="00C831CA"/>
    <w:rsid w:val="00C8335A"/>
    <w:rsid w:val="00C85801"/>
    <w:rsid w:val="00C866F1"/>
    <w:rsid w:val="00C86D02"/>
    <w:rsid w:val="00C87CE6"/>
    <w:rsid w:val="00C90AA6"/>
    <w:rsid w:val="00C91251"/>
    <w:rsid w:val="00C91A40"/>
    <w:rsid w:val="00C9312F"/>
    <w:rsid w:val="00C93879"/>
    <w:rsid w:val="00C94EB3"/>
    <w:rsid w:val="00C9500F"/>
    <w:rsid w:val="00C9527D"/>
    <w:rsid w:val="00C95A52"/>
    <w:rsid w:val="00C9604F"/>
    <w:rsid w:val="00C96A5D"/>
    <w:rsid w:val="00C9754C"/>
    <w:rsid w:val="00C975C9"/>
    <w:rsid w:val="00C97A2D"/>
    <w:rsid w:val="00C97D2C"/>
    <w:rsid w:val="00CA0C05"/>
    <w:rsid w:val="00CA1C33"/>
    <w:rsid w:val="00CA2249"/>
    <w:rsid w:val="00CA2965"/>
    <w:rsid w:val="00CA2D2A"/>
    <w:rsid w:val="00CA2ED2"/>
    <w:rsid w:val="00CA498B"/>
    <w:rsid w:val="00CA4ABD"/>
    <w:rsid w:val="00CA4DDA"/>
    <w:rsid w:val="00CA521C"/>
    <w:rsid w:val="00CA5C38"/>
    <w:rsid w:val="00CA69B0"/>
    <w:rsid w:val="00CA69D8"/>
    <w:rsid w:val="00CA7F61"/>
    <w:rsid w:val="00CB1359"/>
    <w:rsid w:val="00CB2291"/>
    <w:rsid w:val="00CB242B"/>
    <w:rsid w:val="00CB294D"/>
    <w:rsid w:val="00CB4F2B"/>
    <w:rsid w:val="00CB4F6C"/>
    <w:rsid w:val="00CB59BF"/>
    <w:rsid w:val="00CB5BDB"/>
    <w:rsid w:val="00CB5E4B"/>
    <w:rsid w:val="00CB672D"/>
    <w:rsid w:val="00CB7595"/>
    <w:rsid w:val="00CC0431"/>
    <w:rsid w:val="00CC04E8"/>
    <w:rsid w:val="00CC1229"/>
    <w:rsid w:val="00CC1CD6"/>
    <w:rsid w:val="00CC2FFC"/>
    <w:rsid w:val="00CC30AA"/>
    <w:rsid w:val="00CC3668"/>
    <w:rsid w:val="00CC466D"/>
    <w:rsid w:val="00CC4695"/>
    <w:rsid w:val="00CC62B1"/>
    <w:rsid w:val="00CC729A"/>
    <w:rsid w:val="00CC77DD"/>
    <w:rsid w:val="00CD0D07"/>
    <w:rsid w:val="00CD0FF0"/>
    <w:rsid w:val="00CD23AE"/>
    <w:rsid w:val="00CD44E6"/>
    <w:rsid w:val="00CD49F7"/>
    <w:rsid w:val="00CD5121"/>
    <w:rsid w:val="00CD519D"/>
    <w:rsid w:val="00CD521C"/>
    <w:rsid w:val="00CD678D"/>
    <w:rsid w:val="00CD73F6"/>
    <w:rsid w:val="00CE0237"/>
    <w:rsid w:val="00CE0DFD"/>
    <w:rsid w:val="00CE12C4"/>
    <w:rsid w:val="00CE12EB"/>
    <w:rsid w:val="00CE1577"/>
    <w:rsid w:val="00CE1BA7"/>
    <w:rsid w:val="00CE1EB8"/>
    <w:rsid w:val="00CE2835"/>
    <w:rsid w:val="00CE5848"/>
    <w:rsid w:val="00CE611C"/>
    <w:rsid w:val="00CE6D03"/>
    <w:rsid w:val="00CF0AEC"/>
    <w:rsid w:val="00CF1835"/>
    <w:rsid w:val="00CF1CA4"/>
    <w:rsid w:val="00CF20D0"/>
    <w:rsid w:val="00CF2DB1"/>
    <w:rsid w:val="00CF39A9"/>
    <w:rsid w:val="00CF3EFF"/>
    <w:rsid w:val="00CF480C"/>
    <w:rsid w:val="00CF515E"/>
    <w:rsid w:val="00CF5E43"/>
    <w:rsid w:val="00CF68BF"/>
    <w:rsid w:val="00D0030F"/>
    <w:rsid w:val="00D00433"/>
    <w:rsid w:val="00D01380"/>
    <w:rsid w:val="00D02557"/>
    <w:rsid w:val="00D027E3"/>
    <w:rsid w:val="00D036A2"/>
    <w:rsid w:val="00D05414"/>
    <w:rsid w:val="00D074F8"/>
    <w:rsid w:val="00D079A4"/>
    <w:rsid w:val="00D07A2E"/>
    <w:rsid w:val="00D07C49"/>
    <w:rsid w:val="00D07CE7"/>
    <w:rsid w:val="00D10302"/>
    <w:rsid w:val="00D104F0"/>
    <w:rsid w:val="00D11193"/>
    <w:rsid w:val="00D111F3"/>
    <w:rsid w:val="00D1291A"/>
    <w:rsid w:val="00D12A6B"/>
    <w:rsid w:val="00D12D24"/>
    <w:rsid w:val="00D12DE5"/>
    <w:rsid w:val="00D1339D"/>
    <w:rsid w:val="00D1359E"/>
    <w:rsid w:val="00D1415A"/>
    <w:rsid w:val="00D14285"/>
    <w:rsid w:val="00D14540"/>
    <w:rsid w:val="00D14980"/>
    <w:rsid w:val="00D16318"/>
    <w:rsid w:val="00D16B56"/>
    <w:rsid w:val="00D16BAF"/>
    <w:rsid w:val="00D17629"/>
    <w:rsid w:val="00D177BC"/>
    <w:rsid w:val="00D219E4"/>
    <w:rsid w:val="00D21D6E"/>
    <w:rsid w:val="00D21D8B"/>
    <w:rsid w:val="00D22332"/>
    <w:rsid w:val="00D22518"/>
    <w:rsid w:val="00D22C65"/>
    <w:rsid w:val="00D24238"/>
    <w:rsid w:val="00D24D41"/>
    <w:rsid w:val="00D24FD6"/>
    <w:rsid w:val="00D25A89"/>
    <w:rsid w:val="00D25C26"/>
    <w:rsid w:val="00D260FF"/>
    <w:rsid w:val="00D265E2"/>
    <w:rsid w:val="00D26A53"/>
    <w:rsid w:val="00D26EDE"/>
    <w:rsid w:val="00D27E60"/>
    <w:rsid w:val="00D30384"/>
    <w:rsid w:val="00D31B3B"/>
    <w:rsid w:val="00D322D4"/>
    <w:rsid w:val="00D323D6"/>
    <w:rsid w:val="00D32488"/>
    <w:rsid w:val="00D332E2"/>
    <w:rsid w:val="00D33398"/>
    <w:rsid w:val="00D33CBB"/>
    <w:rsid w:val="00D3443F"/>
    <w:rsid w:val="00D3579D"/>
    <w:rsid w:val="00D35A08"/>
    <w:rsid w:val="00D35D22"/>
    <w:rsid w:val="00D36637"/>
    <w:rsid w:val="00D3698A"/>
    <w:rsid w:val="00D36A59"/>
    <w:rsid w:val="00D36E1E"/>
    <w:rsid w:val="00D40992"/>
    <w:rsid w:val="00D40F83"/>
    <w:rsid w:val="00D41669"/>
    <w:rsid w:val="00D41C47"/>
    <w:rsid w:val="00D41E02"/>
    <w:rsid w:val="00D423B3"/>
    <w:rsid w:val="00D42A2D"/>
    <w:rsid w:val="00D42F1B"/>
    <w:rsid w:val="00D434D3"/>
    <w:rsid w:val="00D44148"/>
    <w:rsid w:val="00D44EFE"/>
    <w:rsid w:val="00D45028"/>
    <w:rsid w:val="00D457FF"/>
    <w:rsid w:val="00D46073"/>
    <w:rsid w:val="00D46317"/>
    <w:rsid w:val="00D46944"/>
    <w:rsid w:val="00D47840"/>
    <w:rsid w:val="00D47C38"/>
    <w:rsid w:val="00D5059A"/>
    <w:rsid w:val="00D5080F"/>
    <w:rsid w:val="00D50B92"/>
    <w:rsid w:val="00D51C39"/>
    <w:rsid w:val="00D51D48"/>
    <w:rsid w:val="00D52938"/>
    <w:rsid w:val="00D529B6"/>
    <w:rsid w:val="00D539F9"/>
    <w:rsid w:val="00D54F81"/>
    <w:rsid w:val="00D553DA"/>
    <w:rsid w:val="00D55A19"/>
    <w:rsid w:val="00D560F0"/>
    <w:rsid w:val="00D567BE"/>
    <w:rsid w:val="00D603F4"/>
    <w:rsid w:val="00D61628"/>
    <w:rsid w:val="00D61CEF"/>
    <w:rsid w:val="00D61D72"/>
    <w:rsid w:val="00D6232A"/>
    <w:rsid w:val="00D627CE"/>
    <w:rsid w:val="00D646EC"/>
    <w:rsid w:val="00D65840"/>
    <w:rsid w:val="00D65D57"/>
    <w:rsid w:val="00D667AB"/>
    <w:rsid w:val="00D67A64"/>
    <w:rsid w:val="00D71A6C"/>
    <w:rsid w:val="00D71E0D"/>
    <w:rsid w:val="00D73725"/>
    <w:rsid w:val="00D74186"/>
    <w:rsid w:val="00D74514"/>
    <w:rsid w:val="00D74A26"/>
    <w:rsid w:val="00D74DF4"/>
    <w:rsid w:val="00D75610"/>
    <w:rsid w:val="00D76AEE"/>
    <w:rsid w:val="00D76CE9"/>
    <w:rsid w:val="00D7728B"/>
    <w:rsid w:val="00D773A1"/>
    <w:rsid w:val="00D7775E"/>
    <w:rsid w:val="00D7EF41"/>
    <w:rsid w:val="00D8014D"/>
    <w:rsid w:val="00D8075D"/>
    <w:rsid w:val="00D8088F"/>
    <w:rsid w:val="00D8090B"/>
    <w:rsid w:val="00D80F0F"/>
    <w:rsid w:val="00D81010"/>
    <w:rsid w:val="00D811EA"/>
    <w:rsid w:val="00D81782"/>
    <w:rsid w:val="00D81BA0"/>
    <w:rsid w:val="00D8243B"/>
    <w:rsid w:val="00D83D84"/>
    <w:rsid w:val="00D8410F"/>
    <w:rsid w:val="00D85533"/>
    <w:rsid w:val="00D85806"/>
    <w:rsid w:val="00D85BCB"/>
    <w:rsid w:val="00D86383"/>
    <w:rsid w:val="00D86E24"/>
    <w:rsid w:val="00D90CC6"/>
    <w:rsid w:val="00D93719"/>
    <w:rsid w:val="00D946C7"/>
    <w:rsid w:val="00D94C03"/>
    <w:rsid w:val="00D95EA4"/>
    <w:rsid w:val="00D96BC5"/>
    <w:rsid w:val="00DA0117"/>
    <w:rsid w:val="00DA0484"/>
    <w:rsid w:val="00DA0A80"/>
    <w:rsid w:val="00DA1848"/>
    <w:rsid w:val="00DA2710"/>
    <w:rsid w:val="00DA2BEA"/>
    <w:rsid w:val="00DA3900"/>
    <w:rsid w:val="00DA4463"/>
    <w:rsid w:val="00DA47B6"/>
    <w:rsid w:val="00DA505E"/>
    <w:rsid w:val="00DA5AA3"/>
    <w:rsid w:val="00DA621C"/>
    <w:rsid w:val="00DB0514"/>
    <w:rsid w:val="00DB185E"/>
    <w:rsid w:val="00DB1C4C"/>
    <w:rsid w:val="00DB22F0"/>
    <w:rsid w:val="00DB3D08"/>
    <w:rsid w:val="00DB43DF"/>
    <w:rsid w:val="00DB52D8"/>
    <w:rsid w:val="00DB5793"/>
    <w:rsid w:val="00DC00A7"/>
    <w:rsid w:val="00DC0ADB"/>
    <w:rsid w:val="00DC1CFA"/>
    <w:rsid w:val="00DC222E"/>
    <w:rsid w:val="00DC2DE0"/>
    <w:rsid w:val="00DC4AE1"/>
    <w:rsid w:val="00DC5707"/>
    <w:rsid w:val="00DC5708"/>
    <w:rsid w:val="00DC579F"/>
    <w:rsid w:val="00DC5DAB"/>
    <w:rsid w:val="00DC5E9C"/>
    <w:rsid w:val="00DC720F"/>
    <w:rsid w:val="00DC72B4"/>
    <w:rsid w:val="00DC745B"/>
    <w:rsid w:val="00DD0BF9"/>
    <w:rsid w:val="00DD0C28"/>
    <w:rsid w:val="00DD0C4C"/>
    <w:rsid w:val="00DD11B5"/>
    <w:rsid w:val="00DD1B68"/>
    <w:rsid w:val="00DD22F5"/>
    <w:rsid w:val="00DD2FA1"/>
    <w:rsid w:val="00DD332A"/>
    <w:rsid w:val="00DD3401"/>
    <w:rsid w:val="00DD3407"/>
    <w:rsid w:val="00DD557B"/>
    <w:rsid w:val="00DD56D4"/>
    <w:rsid w:val="00DD5CC3"/>
    <w:rsid w:val="00DD5CE7"/>
    <w:rsid w:val="00DD6CA2"/>
    <w:rsid w:val="00DE0081"/>
    <w:rsid w:val="00DE0557"/>
    <w:rsid w:val="00DE0F39"/>
    <w:rsid w:val="00DE1516"/>
    <w:rsid w:val="00DE1F9A"/>
    <w:rsid w:val="00DE22C7"/>
    <w:rsid w:val="00DE289B"/>
    <w:rsid w:val="00DE2CC8"/>
    <w:rsid w:val="00DE2DFF"/>
    <w:rsid w:val="00DE3FBD"/>
    <w:rsid w:val="00DE4F4E"/>
    <w:rsid w:val="00DE693A"/>
    <w:rsid w:val="00DE6BB9"/>
    <w:rsid w:val="00DE7D87"/>
    <w:rsid w:val="00DF0027"/>
    <w:rsid w:val="00DF1541"/>
    <w:rsid w:val="00DF1743"/>
    <w:rsid w:val="00DF2CA2"/>
    <w:rsid w:val="00DF2F08"/>
    <w:rsid w:val="00DF2F5D"/>
    <w:rsid w:val="00DF38F4"/>
    <w:rsid w:val="00DF3A33"/>
    <w:rsid w:val="00DF7943"/>
    <w:rsid w:val="00DF7A21"/>
    <w:rsid w:val="00E0017D"/>
    <w:rsid w:val="00E008D5"/>
    <w:rsid w:val="00E00F64"/>
    <w:rsid w:val="00E02963"/>
    <w:rsid w:val="00E034CC"/>
    <w:rsid w:val="00E054C8"/>
    <w:rsid w:val="00E063B9"/>
    <w:rsid w:val="00E079B6"/>
    <w:rsid w:val="00E113FE"/>
    <w:rsid w:val="00E12C0F"/>
    <w:rsid w:val="00E12EF1"/>
    <w:rsid w:val="00E13494"/>
    <w:rsid w:val="00E135CD"/>
    <w:rsid w:val="00E13D95"/>
    <w:rsid w:val="00E16314"/>
    <w:rsid w:val="00E1749C"/>
    <w:rsid w:val="00E17717"/>
    <w:rsid w:val="00E20118"/>
    <w:rsid w:val="00E204D8"/>
    <w:rsid w:val="00E20A72"/>
    <w:rsid w:val="00E217A8"/>
    <w:rsid w:val="00E21D3A"/>
    <w:rsid w:val="00E22A46"/>
    <w:rsid w:val="00E24984"/>
    <w:rsid w:val="00E24D83"/>
    <w:rsid w:val="00E25056"/>
    <w:rsid w:val="00E2547A"/>
    <w:rsid w:val="00E2603D"/>
    <w:rsid w:val="00E26473"/>
    <w:rsid w:val="00E269CC"/>
    <w:rsid w:val="00E27C86"/>
    <w:rsid w:val="00E27F0F"/>
    <w:rsid w:val="00E313E8"/>
    <w:rsid w:val="00E31863"/>
    <w:rsid w:val="00E320D9"/>
    <w:rsid w:val="00E33A0A"/>
    <w:rsid w:val="00E33C47"/>
    <w:rsid w:val="00E341E1"/>
    <w:rsid w:val="00E34B5D"/>
    <w:rsid w:val="00E34EA1"/>
    <w:rsid w:val="00E35211"/>
    <w:rsid w:val="00E35357"/>
    <w:rsid w:val="00E35A5C"/>
    <w:rsid w:val="00E371E1"/>
    <w:rsid w:val="00E37598"/>
    <w:rsid w:val="00E40664"/>
    <w:rsid w:val="00E41FFC"/>
    <w:rsid w:val="00E4232D"/>
    <w:rsid w:val="00E42FAE"/>
    <w:rsid w:val="00E438D4"/>
    <w:rsid w:val="00E44D27"/>
    <w:rsid w:val="00E44E80"/>
    <w:rsid w:val="00E45534"/>
    <w:rsid w:val="00E461F5"/>
    <w:rsid w:val="00E46F07"/>
    <w:rsid w:val="00E47D2C"/>
    <w:rsid w:val="00E50554"/>
    <w:rsid w:val="00E50EB9"/>
    <w:rsid w:val="00E50EF5"/>
    <w:rsid w:val="00E51297"/>
    <w:rsid w:val="00E537C5"/>
    <w:rsid w:val="00E53CA7"/>
    <w:rsid w:val="00E5485C"/>
    <w:rsid w:val="00E55870"/>
    <w:rsid w:val="00E55925"/>
    <w:rsid w:val="00E55EBD"/>
    <w:rsid w:val="00E563FB"/>
    <w:rsid w:val="00E56F2A"/>
    <w:rsid w:val="00E57281"/>
    <w:rsid w:val="00E577B3"/>
    <w:rsid w:val="00E57BBC"/>
    <w:rsid w:val="00E607B4"/>
    <w:rsid w:val="00E60D59"/>
    <w:rsid w:val="00E6208B"/>
    <w:rsid w:val="00E6226A"/>
    <w:rsid w:val="00E626BE"/>
    <w:rsid w:val="00E628FD"/>
    <w:rsid w:val="00E63213"/>
    <w:rsid w:val="00E6327F"/>
    <w:rsid w:val="00E633E8"/>
    <w:rsid w:val="00E63497"/>
    <w:rsid w:val="00E6591E"/>
    <w:rsid w:val="00E66850"/>
    <w:rsid w:val="00E668F1"/>
    <w:rsid w:val="00E66D72"/>
    <w:rsid w:val="00E67107"/>
    <w:rsid w:val="00E674DE"/>
    <w:rsid w:val="00E6759B"/>
    <w:rsid w:val="00E70732"/>
    <w:rsid w:val="00E70BA6"/>
    <w:rsid w:val="00E722BA"/>
    <w:rsid w:val="00E735E3"/>
    <w:rsid w:val="00E73DB2"/>
    <w:rsid w:val="00E73E6B"/>
    <w:rsid w:val="00E7444A"/>
    <w:rsid w:val="00E752A3"/>
    <w:rsid w:val="00E755B3"/>
    <w:rsid w:val="00E7575C"/>
    <w:rsid w:val="00E76258"/>
    <w:rsid w:val="00E77440"/>
    <w:rsid w:val="00E81EB6"/>
    <w:rsid w:val="00E8751F"/>
    <w:rsid w:val="00E87F8A"/>
    <w:rsid w:val="00E901C8"/>
    <w:rsid w:val="00E918F4"/>
    <w:rsid w:val="00E91BF6"/>
    <w:rsid w:val="00E92586"/>
    <w:rsid w:val="00E93837"/>
    <w:rsid w:val="00E94DA1"/>
    <w:rsid w:val="00E95587"/>
    <w:rsid w:val="00E95E03"/>
    <w:rsid w:val="00E9620D"/>
    <w:rsid w:val="00E97255"/>
    <w:rsid w:val="00E97E8A"/>
    <w:rsid w:val="00EA17CC"/>
    <w:rsid w:val="00EA22ED"/>
    <w:rsid w:val="00EA273E"/>
    <w:rsid w:val="00EA2B5C"/>
    <w:rsid w:val="00EA2F4C"/>
    <w:rsid w:val="00EA36C5"/>
    <w:rsid w:val="00EA3B7F"/>
    <w:rsid w:val="00EA3CAC"/>
    <w:rsid w:val="00EA437F"/>
    <w:rsid w:val="00EA446B"/>
    <w:rsid w:val="00EA49CE"/>
    <w:rsid w:val="00EA4D04"/>
    <w:rsid w:val="00EA5674"/>
    <w:rsid w:val="00EA6969"/>
    <w:rsid w:val="00EB034D"/>
    <w:rsid w:val="00EB1614"/>
    <w:rsid w:val="00EB3B06"/>
    <w:rsid w:val="00EB4544"/>
    <w:rsid w:val="00EB5036"/>
    <w:rsid w:val="00EB51D3"/>
    <w:rsid w:val="00EB5775"/>
    <w:rsid w:val="00EB5930"/>
    <w:rsid w:val="00EB5DDB"/>
    <w:rsid w:val="00EB5E41"/>
    <w:rsid w:val="00EB62F6"/>
    <w:rsid w:val="00EB6475"/>
    <w:rsid w:val="00EB7566"/>
    <w:rsid w:val="00EC080F"/>
    <w:rsid w:val="00EC156C"/>
    <w:rsid w:val="00EC2DA5"/>
    <w:rsid w:val="00EC3723"/>
    <w:rsid w:val="00EC39E5"/>
    <w:rsid w:val="00EC4122"/>
    <w:rsid w:val="00EC48FD"/>
    <w:rsid w:val="00EC4C15"/>
    <w:rsid w:val="00EC6A21"/>
    <w:rsid w:val="00EC75D8"/>
    <w:rsid w:val="00EC7A9D"/>
    <w:rsid w:val="00EC7AAF"/>
    <w:rsid w:val="00EC7FF7"/>
    <w:rsid w:val="00ED03C2"/>
    <w:rsid w:val="00ED07D2"/>
    <w:rsid w:val="00ED117D"/>
    <w:rsid w:val="00ED2E82"/>
    <w:rsid w:val="00ED3B61"/>
    <w:rsid w:val="00ED594C"/>
    <w:rsid w:val="00ED5C36"/>
    <w:rsid w:val="00ED5F14"/>
    <w:rsid w:val="00ED5FD1"/>
    <w:rsid w:val="00ED6784"/>
    <w:rsid w:val="00ED6B32"/>
    <w:rsid w:val="00ED78ED"/>
    <w:rsid w:val="00ED7ACB"/>
    <w:rsid w:val="00EE0796"/>
    <w:rsid w:val="00EE0D3B"/>
    <w:rsid w:val="00EE2C0D"/>
    <w:rsid w:val="00EE30B3"/>
    <w:rsid w:val="00EE32AC"/>
    <w:rsid w:val="00EE3460"/>
    <w:rsid w:val="00EE4502"/>
    <w:rsid w:val="00EE479C"/>
    <w:rsid w:val="00EE4E29"/>
    <w:rsid w:val="00EE4EF3"/>
    <w:rsid w:val="00EE5137"/>
    <w:rsid w:val="00EE5C1D"/>
    <w:rsid w:val="00EE6212"/>
    <w:rsid w:val="00EE682A"/>
    <w:rsid w:val="00EF0344"/>
    <w:rsid w:val="00EF1037"/>
    <w:rsid w:val="00EF1275"/>
    <w:rsid w:val="00EF12D1"/>
    <w:rsid w:val="00EF14E6"/>
    <w:rsid w:val="00EF1643"/>
    <w:rsid w:val="00EF186A"/>
    <w:rsid w:val="00EF3BE0"/>
    <w:rsid w:val="00EF409C"/>
    <w:rsid w:val="00EF4B9D"/>
    <w:rsid w:val="00EF4E21"/>
    <w:rsid w:val="00EF538B"/>
    <w:rsid w:val="00EF5EFD"/>
    <w:rsid w:val="00EF67A8"/>
    <w:rsid w:val="00EF70C2"/>
    <w:rsid w:val="00EF7545"/>
    <w:rsid w:val="00F00837"/>
    <w:rsid w:val="00F00E61"/>
    <w:rsid w:val="00F02887"/>
    <w:rsid w:val="00F028C6"/>
    <w:rsid w:val="00F0424F"/>
    <w:rsid w:val="00F04B96"/>
    <w:rsid w:val="00F062E2"/>
    <w:rsid w:val="00F06F0A"/>
    <w:rsid w:val="00F06F17"/>
    <w:rsid w:val="00F1012B"/>
    <w:rsid w:val="00F10B97"/>
    <w:rsid w:val="00F10F26"/>
    <w:rsid w:val="00F115F8"/>
    <w:rsid w:val="00F12157"/>
    <w:rsid w:val="00F12FB2"/>
    <w:rsid w:val="00F13707"/>
    <w:rsid w:val="00F14A42"/>
    <w:rsid w:val="00F15566"/>
    <w:rsid w:val="00F15D35"/>
    <w:rsid w:val="00F15DEE"/>
    <w:rsid w:val="00F16106"/>
    <w:rsid w:val="00F161F0"/>
    <w:rsid w:val="00F16FB7"/>
    <w:rsid w:val="00F171F5"/>
    <w:rsid w:val="00F17886"/>
    <w:rsid w:val="00F17A0F"/>
    <w:rsid w:val="00F17CAF"/>
    <w:rsid w:val="00F23E46"/>
    <w:rsid w:val="00F25F5E"/>
    <w:rsid w:val="00F2605D"/>
    <w:rsid w:val="00F26438"/>
    <w:rsid w:val="00F26569"/>
    <w:rsid w:val="00F269D5"/>
    <w:rsid w:val="00F27190"/>
    <w:rsid w:val="00F278FF"/>
    <w:rsid w:val="00F30303"/>
    <w:rsid w:val="00F3168B"/>
    <w:rsid w:val="00F32156"/>
    <w:rsid w:val="00F324D3"/>
    <w:rsid w:val="00F324E3"/>
    <w:rsid w:val="00F32BFF"/>
    <w:rsid w:val="00F337FA"/>
    <w:rsid w:val="00F33857"/>
    <w:rsid w:val="00F33D8E"/>
    <w:rsid w:val="00F3461E"/>
    <w:rsid w:val="00F34D4B"/>
    <w:rsid w:val="00F35555"/>
    <w:rsid w:val="00F368A4"/>
    <w:rsid w:val="00F36C9F"/>
    <w:rsid w:val="00F370FE"/>
    <w:rsid w:val="00F40BD1"/>
    <w:rsid w:val="00F40F6F"/>
    <w:rsid w:val="00F410C9"/>
    <w:rsid w:val="00F4172F"/>
    <w:rsid w:val="00F42901"/>
    <w:rsid w:val="00F4453A"/>
    <w:rsid w:val="00F4579D"/>
    <w:rsid w:val="00F46333"/>
    <w:rsid w:val="00F468C8"/>
    <w:rsid w:val="00F46F31"/>
    <w:rsid w:val="00F5042E"/>
    <w:rsid w:val="00F506DB"/>
    <w:rsid w:val="00F51A44"/>
    <w:rsid w:val="00F527AA"/>
    <w:rsid w:val="00F52831"/>
    <w:rsid w:val="00F52CD9"/>
    <w:rsid w:val="00F54124"/>
    <w:rsid w:val="00F550FB"/>
    <w:rsid w:val="00F55116"/>
    <w:rsid w:val="00F55289"/>
    <w:rsid w:val="00F566AD"/>
    <w:rsid w:val="00F5688C"/>
    <w:rsid w:val="00F568A5"/>
    <w:rsid w:val="00F5696F"/>
    <w:rsid w:val="00F5732C"/>
    <w:rsid w:val="00F57613"/>
    <w:rsid w:val="00F57F03"/>
    <w:rsid w:val="00F616E1"/>
    <w:rsid w:val="00F61F27"/>
    <w:rsid w:val="00F63A1D"/>
    <w:rsid w:val="00F641B9"/>
    <w:rsid w:val="00F646B7"/>
    <w:rsid w:val="00F64845"/>
    <w:rsid w:val="00F655B2"/>
    <w:rsid w:val="00F65757"/>
    <w:rsid w:val="00F65AD0"/>
    <w:rsid w:val="00F67E22"/>
    <w:rsid w:val="00F67E44"/>
    <w:rsid w:val="00F708F3"/>
    <w:rsid w:val="00F7106A"/>
    <w:rsid w:val="00F71A2F"/>
    <w:rsid w:val="00F7202C"/>
    <w:rsid w:val="00F729EA"/>
    <w:rsid w:val="00F731ED"/>
    <w:rsid w:val="00F74405"/>
    <w:rsid w:val="00F7441B"/>
    <w:rsid w:val="00F755D7"/>
    <w:rsid w:val="00F7675C"/>
    <w:rsid w:val="00F76A6B"/>
    <w:rsid w:val="00F76CFB"/>
    <w:rsid w:val="00F76F03"/>
    <w:rsid w:val="00F777D6"/>
    <w:rsid w:val="00F8110D"/>
    <w:rsid w:val="00F814EC"/>
    <w:rsid w:val="00F81718"/>
    <w:rsid w:val="00F81A72"/>
    <w:rsid w:val="00F82373"/>
    <w:rsid w:val="00F838F7"/>
    <w:rsid w:val="00F83C20"/>
    <w:rsid w:val="00F84103"/>
    <w:rsid w:val="00F842F1"/>
    <w:rsid w:val="00F85CB9"/>
    <w:rsid w:val="00F8650A"/>
    <w:rsid w:val="00F8696B"/>
    <w:rsid w:val="00F8768A"/>
    <w:rsid w:val="00F902A4"/>
    <w:rsid w:val="00F90A44"/>
    <w:rsid w:val="00F92F4B"/>
    <w:rsid w:val="00F943B2"/>
    <w:rsid w:val="00F9455E"/>
    <w:rsid w:val="00F94926"/>
    <w:rsid w:val="00F94BF0"/>
    <w:rsid w:val="00F96E77"/>
    <w:rsid w:val="00F9774F"/>
    <w:rsid w:val="00F97CEC"/>
    <w:rsid w:val="00F97D12"/>
    <w:rsid w:val="00FA0A69"/>
    <w:rsid w:val="00FA0C74"/>
    <w:rsid w:val="00FA0F8C"/>
    <w:rsid w:val="00FA1353"/>
    <w:rsid w:val="00FA1723"/>
    <w:rsid w:val="00FA1C55"/>
    <w:rsid w:val="00FA2152"/>
    <w:rsid w:val="00FA30A7"/>
    <w:rsid w:val="00FA35B5"/>
    <w:rsid w:val="00FA36D8"/>
    <w:rsid w:val="00FA3A03"/>
    <w:rsid w:val="00FA3AA9"/>
    <w:rsid w:val="00FA3E5E"/>
    <w:rsid w:val="00FA47CF"/>
    <w:rsid w:val="00FA4D55"/>
    <w:rsid w:val="00FA54D9"/>
    <w:rsid w:val="00FA643A"/>
    <w:rsid w:val="00FA6F3C"/>
    <w:rsid w:val="00FA710D"/>
    <w:rsid w:val="00FA79B0"/>
    <w:rsid w:val="00FA7F8D"/>
    <w:rsid w:val="00FB02B8"/>
    <w:rsid w:val="00FB03FD"/>
    <w:rsid w:val="00FB11A2"/>
    <w:rsid w:val="00FB1EEF"/>
    <w:rsid w:val="00FB2815"/>
    <w:rsid w:val="00FB2B40"/>
    <w:rsid w:val="00FB2BBC"/>
    <w:rsid w:val="00FB3035"/>
    <w:rsid w:val="00FB32CA"/>
    <w:rsid w:val="00FB3AC0"/>
    <w:rsid w:val="00FB506A"/>
    <w:rsid w:val="00FB50F3"/>
    <w:rsid w:val="00FB67E4"/>
    <w:rsid w:val="00FB760F"/>
    <w:rsid w:val="00FB788D"/>
    <w:rsid w:val="00FC00EB"/>
    <w:rsid w:val="00FC0337"/>
    <w:rsid w:val="00FC0A19"/>
    <w:rsid w:val="00FC1E6F"/>
    <w:rsid w:val="00FC2394"/>
    <w:rsid w:val="00FC2A43"/>
    <w:rsid w:val="00FC34BC"/>
    <w:rsid w:val="00FC4492"/>
    <w:rsid w:val="00FC45AD"/>
    <w:rsid w:val="00FC5C6B"/>
    <w:rsid w:val="00FC5EB5"/>
    <w:rsid w:val="00FC7125"/>
    <w:rsid w:val="00FC7B63"/>
    <w:rsid w:val="00FC7C06"/>
    <w:rsid w:val="00FC7C2A"/>
    <w:rsid w:val="00FD1A8C"/>
    <w:rsid w:val="00FD2568"/>
    <w:rsid w:val="00FD3E8A"/>
    <w:rsid w:val="00FD3F8B"/>
    <w:rsid w:val="00FD40D8"/>
    <w:rsid w:val="00FD62A1"/>
    <w:rsid w:val="00FD7060"/>
    <w:rsid w:val="00FD7A5B"/>
    <w:rsid w:val="00FD7B80"/>
    <w:rsid w:val="00FE043A"/>
    <w:rsid w:val="00FE0866"/>
    <w:rsid w:val="00FE0BED"/>
    <w:rsid w:val="00FE1F83"/>
    <w:rsid w:val="00FE4642"/>
    <w:rsid w:val="00FE4D5B"/>
    <w:rsid w:val="00FE57B1"/>
    <w:rsid w:val="00FE61E6"/>
    <w:rsid w:val="00FE69A6"/>
    <w:rsid w:val="00FE71EE"/>
    <w:rsid w:val="00FE79DD"/>
    <w:rsid w:val="00FE7FAF"/>
    <w:rsid w:val="00FF0137"/>
    <w:rsid w:val="00FF1528"/>
    <w:rsid w:val="00FF1F5B"/>
    <w:rsid w:val="00FF25BD"/>
    <w:rsid w:val="00FF307C"/>
    <w:rsid w:val="00FF3975"/>
    <w:rsid w:val="00FF482F"/>
    <w:rsid w:val="00FF5A95"/>
    <w:rsid w:val="00FF6142"/>
    <w:rsid w:val="00FF6428"/>
    <w:rsid w:val="00FF69A4"/>
    <w:rsid w:val="00FF7CA8"/>
    <w:rsid w:val="00FF7E74"/>
    <w:rsid w:val="010CA501"/>
    <w:rsid w:val="01379515"/>
    <w:rsid w:val="0166C83E"/>
    <w:rsid w:val="0199C7A8"/>
    <w:rsid w:val="01F3F832"/>
    <w:rsid w:val="02850249"/>
    <w:rsid w:val="04D9B794"/>
    <w:rsid w:val="04EB4BCA"/>
    <w:rsid w:val="04F17A2B"/>
    <w:rsid w:val="063B07C0"/>
    <w:rsid w:val="06ABA3F5"/>
    <w:rsid w:val="06BA744C"/>
    <w:rsid w:val="0702A9A1"/>
    <w:rsid w:val="07323421"/>
    <w:rsid w:val="073DDF52"/>
    <w:rsid w:val="07803845"/>
    <w:rsid w:val="07929553"/>
    <w:rsid w:val="07BA82D5"/>
    <w:rsid w:val="07C2846E"/>
    <w:rsid w:val="085644AD"/>
    <w:rsid w:val="086EB764"/>
    <w:rsid w:val="08CE0482"/>
    <w:rsid w:val="093D2A54"/>
    <w:rsid w:val="099FDDAC"/>
    <w:rsid w:val="09C65114"/>
    <w:rsid w:val="0A6C976A"/>
    <w:rsid w:val="0A8774C2"/>
    <w:rsid w:val="0AAA925A"/>
    <w:rsid w:val="0B6E944B"/>
    <w:rsid w:val="0B795FD6"/>
    <w:rsid w:val="0B81A931"/>
    <w:rsid w:val="0BF3CB15"/>
    <w:rsid w:val="0C5CC941"/>
    <w:rsid w:val="0C79BADC"/>
    <w:rsid w:val="0C825EF4"/>
    <w:rsid w:val="0CE4C979"/>
    <w:rsid w:val="0DC3A3A9"/>
    <w:rsid w:val="0DDBE679"/>
    <w:rsid w:val="0F3D4606"/>
    <w:rsid w:val="0F423713"/>
    <w:rsid w:val="0F6711C2"/>
    <w:rsid w:val="0FA872ED"/>
    <w:rsid w:val="0FD8A23C"/>
    <w:rsid w:val="108BF634"/>
    <w:rsid w:val="10D4DE9A"/>
    <w:rsid w:val="10DA4557"/>
    <w:rsid w:val="10F9566E"/>
    <w:rsid w:val="11C26599"/>
    <w:rsid w:val="11E2D4D2"/>
    <w:rsid w:val="121D30D6"/>
    <w:rsid w:val="1257869E"/>
    <w:rsid w:val="1270AEFB"/>
    <w:rsid w:val="127615B8"/>
    <w:rsid w:val="13C396F6"/>
    <w:rsid w:val="13D631E3"/>
    <w:rsid w:val="144D131B"/>
    <w:rsid w:val="1455EF49"/>
    <w:rsid w:val="147333A1"/>
    <w:rsid w:val="147391EA"/>
    <w:rsid w:val="1497A517"/>
    <w:rsid w:val="155F6757"/>
    <w:rsid w:val="15BC1A4A"/>
    <w:rsid w:val="163E1F36"/>
    <w:rsid w:val="1670BFFD"/>
    <w:rsid w:val="174B1A72"/>
    <w:rsid w:val="17598D52"/>
    <w:rsid w:val="190041D6"/>
    <w:rsid w:val="190A8BE1"/>
    <w:rsid w:val="190D7F8A"/>
    <w:rsid w:val="1982B648"/>
    <w:rsid w:val="19DE6284"/>
    <w:rsid w:val="19F023FB"/>
    <w:rsid w:val="1A6992D7"/>
    <w:rsid w:val="1A7BC0E0"/>
    <w:rsid w:val="1B0BF62E"/>
    <w:rsid w:val="1B498722"/>
    <w:rsid w:val="1B7C1085"/>
    <w:rsid w:val="1D46A404"/>
    <w:rsid w:val="1DA4E857"/>
    <w:rsid w:val="1F3609A6"/>
    <w:rsid w:val="1F9BE1FC"/>
    <w:rsid w:val="1FB52270"/>
    <w:rsid w:val="1FFA9970"/>
    <w:rsid w:val="20012769"/>
    <w:rsid w:val="201C1F8A"/>
    <w:rsid w:val="2049FA1A"/>
    <w:rsid w:val="2090DF27"/>
    <w:rsid w:val="20A580CC"/>
    <w:rsid w:val="20C88EBE"/>
    <w:rsid w:val="20DDFF5A"/>
    <w:rsid w:val="213F1548"/>
    <w:rsid w:val="21EB5209"/>
    <w:rsid w:val="222CAF88"/>
    <w:rsid w:val="22A8F8FC"/>
    <w:rsid w:val="22B92C6C"/>
    <w:rsid w:val="22BA8D32"/>
    <w:rsid w:val="23323A32"/>
    <w:rsid w:val="234E16D0"/>
    <w:rsid w:val="23616D5B"/>
    <w:rsid w:val="2387226A"/>
    <w:rsid w:val="23F426F0"/>
    <w:rsid w:val="2444C95D"/>
    <w:rsid w:val="24565D93"/>
    <w:rsid w:val="24589F10"/>
    <w:rsid w:val="24CE0A93"/>
    <w:rsid w:val="24D36768"/>
    <w:rsid w:val="24DDED91"/>
    <w:rsid w:val="24E77946"/>
    <w:rsid w:val="24F62517"/>
    <w:rsid w:val="256BBA3C"/>
    <w:rsid w:val="25A0B7A3"/>
    <w:rsid w:val="26AA5E40"/>
    <w:rsid w:val="27194908"/>
    <w:rsid w:val="273B66AF"/>
    <w:rsid w:val="275D827D"/>
    <w:rsid w:val="282415E9"/>
    <w:rsid w:val="283A453B"/>
    <w:rsid w:val="28458D70"/>
    <w:rsid w:val="28558377"/>
    <w:rsid w:val="28566D59"/>
    <w:rsid w:val="286769FB"/>
    <w:rsid w:val="2870915D"/>
    <w:rsid w:val="28B78B9A"/>
    <w:rsid w:val="28F180C2"/>
    <w:rsid w:val="29DC2217"/>
    <w:rsid w:val="29F60913"/>
    <w:rsid w:val="2A1D91A9"/>
    <w:rsid w:val="2A37C16D"/>
    <w:rsid w:val="2A4A31F3"/>
    <w:rsid w:val="2AB0866B"/>
    <w:rsid w:val="2ABF2171"/>
    <w:rsid w:val="2BD71DA3"/>
    <w:rsid w:val="2C6AE2D1"/>
    <w:rsid w:val="2C6CCEE5"/>
    <w:rsid w:val="2C7A816F"/>
    <w:rsid w:val="2CEF2744"/>
    <w:rsid w:val="2CFB4C97"/>
    <w:rsid w:val="2CFE12D1"/>
    <w:rsid w:val="2D1CC9D9"/>
    <w:rsid w:val="2D7AD90A"/>
    <w:rsid w:val="2DA92330"/>
    <w:rsid w:val="2DFD4C1C"/>
    <w:rsid w:val="2E64B5E8"/>
    <w:rsid w:val="2E6BF567"/>
    <w:rsid w:val="2FDF40B1"/>
    <w:rsid w:val="2FE5CD26"/>
    <w:rsid w:val="2FEFC47A"/>
    <w:rsid w:val="30288DBE"/>
    <w:rsid w:val="30546A9B"/>
    <w:rsid w:val="30F6E5AB"/>
    <w:rsid w:val="3102CEF5"/>
    <w:rsid w:val="317B1112"/>
    <w:rsid w:val="3190EF34"/>
    <w:rsid w:val="31CEBDBA"/>
    <w:rsid w:val="31E7E617"/>
    <w:rsid w:val="3231987B"/>
    <w:rsid w:val="323EF53E"/>
    <w:rsid w:val="32F2CE46"/>
    <w:rsid w:val="331D6DE8"/>
    <w:rsid w:val="3347723D"/>
    <w:rsid w:val="33602E80"/>
    <w:rsid w:val="33F5E22B"/>
    <w:rsid w:val="341930C9"/>
    <w:rsid w:val="344FD871"/>
    <w:rsid w:val="345AED27"/>
    <w:rsid w:val="34D29B7F"/>
    <w:rsid w:val="34F3CCDB"/>
    <w:rsid w:val="34FE9C16"/>
    <w:rsid w:val="35A1BAB2"/>
    <w:rsid w:val="35BC1AEC"/>
    <w:rsid w:val="3611D38B"/>
    <w:rsid w:val="36A22EDD"/>
    <w:rsid w:val="3784294D"/>
    <w:rsid w:val="37AF818C"/>
    <w:rsid w:val="37B3CF57"/>
    <w:rsid w:val="37B50492"/>
    <w:rsid w:val="37F0DF0B"/>
    <w:rsid w:val="380F186F"/>
    <w:rsid w:val="3813BEA2"/>
    <w:rsid w:val="387EBCB5"/>
    <w:rsid w:val="3945BF8F"/>
    <w:rsid w:val="39DE593E"/>
    <w:rsid w:val="39F2F7FC"/>
    <w:rsid w:val="3A000EEA"/>
    <w:rsid w:val="3A0A1D38"/>
    <w:rsid w:val="3B1FB74B"/>
    <w:rsid w:val="3B399366"/>
    <w:rsid w:val="3B75A000"/>
    <w:rsid w:val="3BDAE541"/>
    <w:rsid w:val="3BF1A31E"/>
    <w:rsid w:val="3C14F766"/>
    <w:rsid w:val="3C72DE2A"/>
    <w:rsid w:val="3D8B87E1"/>
    <w:rsid w:val="3DC8B983"/>
    <w:rsid w:val="3E2048B1"/>
    <w:rsid w:val="3E490728"/>
    <w:rsid w:val="3F7F19EC"/>
    <w:rsid w:val="3F926054"/>
    <w:rsid w:val="3F9A451F"/>
    <w:rsid w:val="40861C53"/>
    <w:rsid w:val="4089CE9A"/>
    <w:rsid w:val="419134DC"/>
    <w:rsid w:val="41BCAD7F"/>
    <w:rsid w:val="41F08CB5"/>
    <w:rsid w:val="42830249"/>
    <w:rsid w:val="4288B725"/>
    <w:rsid w:val="4298065E"/>
    <w:rsid w:val="4319395E"/>
    <w:rsid w:val="434713FB"/>
    <w:rsid w:val="43FCB503"/>
    <w:rsid w:val="4420C830"/>
    <w:rsid w:val="4449E1BA"/>
    <w:rsid w:val="44A0F933"/>
    <w:rsid w:val="45184A79"/>
    <w:rsid w:val="457A97AA"/>
    <w:rsid w:val="46A67878"/>
    <w:rsid w:val="46B852A7"/>
    <w:rsid w:val="47AA9F59"/>
    <w:rsid w:val="47B46A7F"/>
    <w:rsid w:val="481D6AB3"/>
    <w:rsid w:val="487CC2BB"/>
    <w:rsid w:val="4975957A"/>
    <w:rsid w:val="497620ED"/>
    <w:rsid w:val="49F7E0EF"/>
    <w:rsid w:val="4A5E3F77"/>
    <w:rsid w:val="4A9009B4"/>
    <w:rsid w:val="4AADA017"/>
    <w:rsid w:val="4AFFDC1E"/>
    <w:rsid w:val="4B05339E"/>
    <w:rsid w:val="4B864D62"/>
    <w:rsid w:val="4BC932FC"/>
    <w:rsid w:val="4C4595A3"/>
    <w:rsid w:val="4C5FFCCA"/>
    <w:rsid w:val="4C72D585"/>
    <w:rsid w:val="4D2F81B1"/>
    <w:rsid w:val="4D793415"/>
    <w:rsid w:val="4DE540D9"/>
    <w:rsid w:val="4DF3FC5A"/>
    <w:rsid w:val="4E6AAB90"/>
    <w:rsid w:val="4EB6B354"/>
    <w:rsid w:val="4EC62713"/>
    <w:rsid w:val="4F0C0F89"/>
    <w:rsid w:val="4F7B1AE5"/>
    <w:rsid w:val="4F7C57C4"/>
    <w:rsid w:val="4FD8260F"/>
    <w:rsid w:val="4FF9793D"/>
    <w:rsid w:val="503F7633"/>
    <w:rsid w:val="50752A89"/>
    <w:rsid w:val="509D3E6C"/>
    <w:rsid w:val="50BF561F"/>
    <w:rsid w:val="50FE7707"/>
    <w:rsid w:val="50FF4B38"/>
    <w:rsid w:val="515B4CC5"/>
    <w:rsid w:val="5195499E"/>
    <w:rsid w:val="519CAA44"/>
    <w:rsid w:val="52EFF731"/>
    <w:rsid w:val="52F71D26"/>
    <w:rsid w:val="53104583"/>
    <w:rsid w:val="539EC335"/>
    <w:rsid w:val="53AA6E66"/>
    <w:rsid w:val="5412D8CD"/>
    <w:rsid w:val="541DC39D"/>
    <w:rsid w:val="54A2B789"/>
    <w:rsid w:val="5539A20A"/>
    <w:rsid w:val="55E9B8AE"/>
    <w:rsid w:val="564A072A"/>
    <w:rsid w:val="56701B67"/>
    <w:rsid w:val="567808ED"/>
    <w:rsid w:val="57315132"/>
    <w:rsid w:val="5776B6B0"/>
    <w:rsid w:val="5798303F"/>
    <w:rsid w:val="57A5F4D0"/>
    <w:rsid w:val="57C8B0A9"/>
    <w:rsid w:val="57E2F1EA"/>
    <w:rsid w:val="58415056"/>
    <w:rsid w:val="584731CC"/>
    <w:rsid w:val="584FEC2C"/>
    <w:rsid w:val="58605A29"/>
    <w:rsid w:val="58723458"/>
    <w:rsid w:val="58A15D99"/>
    <w:rsid w:val="58DA0883"/>
    <w:rsid w:val="58F134C0"/>
    <w:rsid w:val="59665EAA"/>
    <w:rsid w:val="5989473A"/>
    <w:rsid w:val="5A05F875"/>
    <w:rsid w:val="5A5B92C3"/>
    <w:rsid w:val="5ABD29D1"/>
    <w:rsid w:val="5AC53602"/>
    <w:rsid w:val="5AE8AA2C"/>
    <w:rsid w:val="5B54C761"/>
    <w:rsid w:val="5B8C8190"/>
    <w:rsid w:val="5BA1C8D6"/>
    <w:rsid w:val="5C0201D6"/>
    <w:rsid w:val="5C04C255"/>
    <w:rsid w:val="5C6D71B1"/>
    <w:rsid w:val="5C7BAE44"/>
    <w:rsid w:val="5C9172BA"/>
    <w:rsid w:val="5C96D977"/>
    <w:rsid w:val="5D497739"/>
    <w:rsid w:val="5DB33FF8"/>
    <w:rsid w:val="5E0B7210"/>
    <w:rsid w:val="5E6B6DA8"/>
    <w:rsid w:val="5E9C379C"/>
    <w:rsid w:val="5EB868D6"/>
    <w:rsid w:val="5EEA2BB5"/>
    <w:rsid w:val="5F47DB6F"/>
    <w:rsid w:val="5F82BAFB"/>
    <w:rsid w:val="5FAFEB1F"/>
    <w:rsid w:val="5FB3EA82"/>
    <w:rsid w:val="5FD5A02E"/>
    <w:rsid w:val="6005C2D6"/>
    <w:rsid w:val="602155B3"/>
    <w:rsid w:val="605ABA64"/>
    <w:rsid w:val="6062A79F"/>
    <w:rsid w:val="606910BF"/>
    <w:rsid w:val="60AC7264"/>
    <w:rsid w:val="60D2C1CD"/>
    <w:rsid w:val="6104342B"/>
    <w:rsid w:val="6129E6A0"/>
    <w:rsid w:val="6157E0D3"/>
    <w:rsid w:val="61BABB94"/>
    <w:rsid w:val="6205ED85"/>
    <w:rsid w:val="6221CC77"/>
    <w:rsid w:val="6256341A"/>
    <w:rsid w:val="62E187C8"/>
    <w:rsid w:val="631A8B4B"/>
    <w:rsid w:val="647293AD"/>
    <w:rsid w:val="64A95482"/>
    <w:rsid w:val="64D933F9"/>
    <w:rsid w:val="65892EED"/>
    <w:rsid w:val="65B692AB"/>
    <w:rsid w:val="65C2D30F"/>
    <w:rsid w:val="65E779D4"/>
    <w:rsid w:val="660E640E"/>
    <w:rsid w:val="6614B624"/>
    <w:rsid w:val="6629DBB5"/>
    <w:rsid w:val="667D25BE"/>
    <w:rsid w:val="66F67144"/>
    <w:rsid w:val="6711FCC3"/>
    <w:rsid w:val="677375AF"/>
    <w:rsid w:val="677C912A"/>
    <w:rsid w:val="67A39A5F"/>
    <w:rsid w:val="67B54828"/>
    <w:rsid w:val="67F9BA76"/>
    <w:rsid w:val="681B4A9A"/>
    <w:rsid w:val="68229C72"/>
    <w:rsid w:val="685D5596"/>
    <w:rsid w:val="68A6468C"/>
    <w:rsid w:val="68B5BA4B"/>
    <w:rsid w:val="68B96F09"/>
    <w:rsid w:val="68E93C97"/>
    <w:rsid w:val="6921D9BC"/>
    <w:rsid w:val="69EF215D"/>
    <w:rsid w:val="6A34CBE2"/>
    <w:rsid w:val="6A4FF715"/>
    <w:rsid w:val="6A7F1C1A"/>
    <w:rsid w:val="6AB1A2E6"/>
    <w:rsid w:val="6B2F10B2"/>
    <w:rsid w:val="6BF2860C"/>
    <w:rsid w:val="6C46E6D2"/>
    <w:rsid w:val="6C4D7347"/>
    <w:rsid w:val="6C6B5229"/>
    <w:rsid w:val="6CEC3364"/>
    <w:rsid w:val="6D62E0EF"/>
    <w:rsid w:val="6D632003"/>
    <w:rsid w:val="6DB393F9"/>
    <w:rsid w:val="6DE1E302"/>
    <w:rsid w:val="6E12DBE3"/>
    <w:rsid w:val="6E33A860"/>
    <w:rsid w:val="6ECBDE2C"/>
    <w:rsid w:val="6F043DFE"/>
    <w:rsid w:val="6F083D05"/>
    <w:rsid w:val="6F851409"/>
    <w:rsid w:val="6FAEC10C"/>
    <w:rsid w:val="7012F1B3"/>
    <w:rsid w:val="709F294B"/>
    <w:rsid w:val="70A0A97F"/>
    <w:rsid w:val="715965DF"/>
    <w:rsid w:val="71BFA487"/>
    <w:rsid w:val="72212977"/>
    <w:rsid w:val="72D225DF"/>
    <w:rsid w:val="738E5A74"/>
    <w:rsid w:val="73A7F5C3"/>
    <w:rsid w:val="743E6F14"/>
    <w:rsid w:val="7443E661"/>
    <w:rsid w:val="745A310D"/>
    <w:rsid w:val="7498F427"/>
    <w:rsid w:val="74BEDA40"/>
    <w:rsid w:val="753883A6"/>
    <w:rsid w:val="75803FF5"/>
    <w:rsid w:val="7662F302"/>
    <w:rsid w:val="76FF226E"/>
    <w:rsid w:val="772099F5"/>
    <w:rsid w:val="772D438A"/>
    <w:rsid w:val="7788112A"/>
    <w:rsid w:val="77CEBBB0"/>
    <w:rsid w:val="78278565"/>
    <w:rsid w:val="7832C1B1"/>
    <w:rsid w:val="787C883B"/>
    <w:rsid w:val="78BF2EE5"/>
    <w:rsid w:val="78C4E3C1"/>
    <w:rsid w:val="790FB216"/>
    <w:rsid w:val="7923E18B"/>
    <w:rsid w:val="7A84F14D"/>
    <w:rsid w:val="7AF25B0A"/>
    <w:rsid w:val="7AF52829"/>
    <w:rsid w:val="7B17A96A"/>
    <w:rsid w:val="7B4D5E70"/>
    <w:rsid w:val="7B6CDDBC"/>
    <w:rsid w:val="7C3933DD"/>
    <w:rsid w:val="7C525C3A"/>
    <w:rsid w:val="7C5881AD"/>
    <w:rsid w:val="7D4FF95E"/>
    <w:rsid w:val="7D976565"/>
    <w:rsid w:val="7DACCF1C"/>
    <w:rsid w:val="7DB19125"/>
    <w:rsid w:val="7DD5BF65"/>
    <w:rsid w:val="7E0EFE44"/>
    <w:rsid w:val="7E3621CF"/>
    <w:rsid w:val="7F1E617F"/>
    <w:rsid w:val="7F2063A5"/>
    <w:rsid w:val="7F2E140E"/>
    <w:rsid w:val="7F4D6186"/>
    <w:rsid w:val="7FC533F2"/>
    <w:rsid w:val="7FD1F2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1CDEC52"/>
  <w15:chartTrackingRefBased/>
  <w15:docId w15:val="{D17A2BBA-9477-4DB2-9C86-B61DAA27E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540"/>
  </w:style>
  <w:style w:type="paragraph" w:styleId="Heading1">
    <w:name w:val="heading 1"/>
    <w:basedOn w:val="Normal"/>
    <w:next w:val="Normal"/>
    <w:link w:val="Heading1Char"/>
    <w:uiPriority w:val="9"/>
    <w:qFormat/>
    <w:rsid w:val="0023199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5F78CE"/>
    <w:pPr>
      <w:keepNext/>
      <w:tabs>
        <w:tab w:val="num" w:pos="1200"/>
      </w:tabs>
      <w:spacing w:after="240" w:line="240" w:lineRule="auto"/>
      <w:ind w:left="1200" w:hanging="720"/>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uiPriority w:val="9"/>
    <w:semiHidden/>
    <w:unhideWhenUsed/>
    <w:qFormat/>
    <w:rsid w:val="007E5BF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sk Body,Viñetas (Inicio Parrafo),3 Txt tabla,Zerrenda-paragrafoa,Lista multicolor - Énfasis 11,Normal bullet 2,Bullet list,List Paragraph1,Numbered List,1st level - Bullet List Paragraph,Lettre d'introduction,Paragrafo elenco,L,CV text"/>
    <w:basedOn w:val="Normal"/>
    <w:link w:val="ListParagraphChar"/>
    <w:uiPriority w:val="34"/>
    <w:qFormat/>
    <w:rsid w:val="00D24D41"/>
    <w:pPr>
      <w:ind w:left="720"/>
      <w:contextualSpacing/>
    </w:pPr>
  </w:style>
  <w:style w:type="paragraph" w:styleId="BalloonText">
    <w:name w:val="Balloon Text"/>
    <w:basedOn w:val="Normal"/>
    <w:link w:val="BalloonTextChar"/>
    <w:uiPriority w:val="99"/>
    <w:semiHidden/>
    <w:unhideWhenUsed/>
    <w:rsid w:val="00DC57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5707"/>
    <w:rPr>
      <w:rFonts w:ascii="Segoe UI" w:hAnsi="Segoe UI" w:cs="Segoe UI"/>
      <w:sz w:val="18"/>
      <w:szCs w:val="18"/>
    </w:rPr>
  </w:style>
  <w:style w:type="character" w:customStyle="1" w:styleId="apple-tab-span">
    <w:name w:val="apple-tab-span"/>
    <w:basedOn w:val="DefaultParagraphFont"/>
    <w:rsid w:val="001B315A"/>
  </w:style>
  <w:style w:type="character" w:styleId="CommentReference">
    <w:name w:val="annotation reference"/>
    <w:basedOn w:val="DefaultParagraphFont"/>
    <w:uiPriority w:val="99"/>
    <w:unhideWhenUsed/>
    <w:rsid w:val="00D1359E"/>
    <w:rPr>
      <w:sz w:val="16"/>
      <w:szCs w:val="16"/>
    </w:rPr>
  </w:style>
  <w:style w:type="paragraph" w:styleId="CommentText">
    <w:name w:val="annotation text"/>
    <w:basedOn w:val="Normal"/>
    <w:link w:val="CommentTextChar"/>
    <w:uiPriority w:val="99"/>
    <w:unhideWhenUsed/>
    <w:rsid w:val="00D1359E"/>
    <w:pPr>
      <w:spacing w:line="240" w:lineRule="auto"/>
    </w:pPr>
    <w:rPr>
      <w:sz w:val="20"/>
      <w:szCs w:val="20"/>
    </w:rPr>
  </w:style>
  <w:style w:type="character" w:customStyle="1" w:styleId="CommentTextChar">
    <w:name w:val="Comment Text Char"/>
    <w:basedOn w:val="DefaultParagraphFont"/>
    <w:link w:val="CommentText"/>
    <w:uiPriority w:val="99"/>
    <w:rsid w:val="00D1359E"/>
    <w:rPr>
      <w:sz w:val="20"/>
      <w:szCs w:val="20"/>
    </w:rPr>
  </w:style>
  <w:style w:type="paragraph" w:styleId="CommentSubject">
    <w:name w:val="annotation subject"/>
    <w:basedOn w:val="CommentText"/>
    <w:next w:val="CommentText"/>
    <w:link w:val="CommentSubjectChar"/>
    <w:uiPriority w:val="99"/>
    <w:semiHidden/>
    <w:unhideWhenUsed/>
    <w:rsid w:val="00D1359E"/>
    <w:rPr>
      <w:b/>
      <w:bCs/>
    </w:rPr>
  </w:style>
  <w:style w:type="character" w:customStyle="1" w:styleId="CommentSubjectChar">
    <w:name w:val="Comment Subject Char"/>
    <w:basedOn w:val="CommentTextChar"/>
    <w:link w:val="CommentSubject"/>
    <w:uiPriority w:val="99"/>
    <w:semiHidden/>
    <w:rsid w:val="00D1359E"/>
    <w:rPr>
      <w:b/>
      <w:bCs/>
      <w:sz w:val="20"/>
      <w:szCs w:val="20"/>
    </w:rPr>
  </w:style>
  <w:style w:type="paragraph" w:styleId="FootnoteText">
    <w:name w:val="footnote text"/>
    <w:aliases w:val="Char,Fußnote,Carattere,fn,Footnotes,Footnote ak,Footnote Text Char Char,fn Char Char,footnote text Char Char,Footnotes Char Char,Footnote ak Char Char,fn Char1,footnote text Char1,Footnotes Char1,ft,Footnote Text_EP-LC,Footnote Text Char1"/>
    <w:basedOn w:val="Normal"/>
    <w:link w:val="FootnoteTextChar"/>
    <w:uiPriority w:val="99"/>
    <w:unhideWhenUsed/>
    <w:qFormat/>
    <w:rsid w:val="00CB242B"/>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
    <w:basedOn w:val="DefaultParagraphFont"/>
    <w:link w:val="FootnoteText"/>
    <w:uiPriority w:val="99"/>
    <w:qFormat/>
    <w:rsid w:val="00CB242B"/>
    <w:rPr>
      <w:sz w:val="20"/>
      <w:szCs w:val="20"/>
    </w:rPr>
  </w:style>
  <w:style w:type="character" w:styleId="FootnoteReference">
    <w:name w:val="footnote reference"/>
    <w:aliases w:val="Footnote Reference Superscript,BVI fnr,Footnote symbol,Footnote reference number,note TESI,Appel note de bas de p,Nota,SUPERS,Footnote number,EN Footnote Reference,-E Fußnotenzeichen,number Char Char,number,Ref,styl,styli,F, BVI fnr,E"/>
    <w:basedOn w:val="DefaultParagraphFont"/>
    <w:link w:val="Odwo0142anieprzypisu"/>
    <w:uiPriority w:val="99"/>
    <w:unhideWhenUsed/>
    <w:qFormat/>
    <w:rsid w:val="00CB242B"/>
    <w:rPr>
      <w:vertAlign w:val="superscript"/>
    </w:rPr>
  </w:style>
  <w:style w:type="character" w:styleId="Hyperlink">
    <w:name w:val="Hyperlink"/>
    <w:basedOn w:val="DefaultParagraphFont"/>
    <w:uiPriority w:val="99"/>
    <w:unhideWhenUsed/>
    <w:rsid w:val="00CB242B"/>
    <w:rPr>
      <w:color w:val="0000FF" w:themeColor="hyperlink"/>
      <w:u w:val="single"/>
    </w:rPr>
  </w:style>
  <w:style w:type="paragraph" w:styleId="Header">
    <w:name w:val="header"/>
    <w:basedOn w:val="Normal"/>
    <w:link w:val="HeaderChar"/>
    <w:uiPriority w:val="99"/>
    <w:unhideWhenUsed/>
    <w:rsid w:val="00DF2F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5D"/>
  </w:style>
  <w:style w:type="paragraph" w:styleId="Footer">
    <w:name w:val="footer"/>
    <w:basedOn w:val="Normal"/>
    <w:link w:val="FooterChar"/>
    <w:uiPriority w:val="99"/>
    <w:unhideWhenUsed/>
    <w:rsid w:val="00DF2F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5D"/>
  </w:style>
  <w:style w:type="table" w:styleId="TableGrid">
    <w:name w:val="Table Grid"/>
    <w:aliases w:val="Document Table,CV1"/>
    <w:basedOn w:val="TableNormal"/>
    <w:uiPriority w:val="39"/>
    <w:rsid w:val="005B7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mprboxORANGEdashedbulletlist">
    <w:name w:val="[ampr box ORANGE dashed] bullet list"/>
    <w:basedOn w:val="Normal"/>
    <w:rsid w:val="00D00433"/>
    <w:pPr>
      <w:numPr>
        <w:numId w:val="6"/>
      </w:numPr>
      <w:spacing w:after="120" w:line="240" w:lineRule="auto"/>
      <w:jc w:val="both"/>
    </w:pPr>
    <w:rPr>
      <w:rFonts w:ascii="EC Square Sans Pro" w:hAnsi="EC Square Sans Pro" w:cs="Times New Roman"/>
      <w:color w:val="000000"/>
      <w:sz w:val="20"/>
      <w:szCs w:val="20"/>
      <w:lang w:eastAsia="fr-BE"/>
    </w:rPr>
  </w:style>
  <w:style w:type="character" w:customStyle="1" w:styleId="amprcharBoldBlue">
    <w:name w:val="[ampr char] Bold Blue"/>
    <w:basedOn w:val="DefaultParagraphFont"/>
    <w:uiPriority w:val="1"/>
    <w:rsid w:val="00D00433"/>
    <w:rPr>
      <w:b/>
      <w:bCs/>
      <w:color w:val="8064A2"/>
      <w:spacing w:val="1"/>
      <w:bdr w:val="none" w:sz="0" w:space="0" w:color="auto" w:frame="1"/>
    </w:rPr>
  </w:style>
  <w:style w:type="numbering" w:customStyle="1" w:styleId="amprLISTL1-forboxORANGEdashed">
    <w:name w:val="[ampr LIST] L1 - for box ORANGE dashed"/>
    <w:uiPriority w:val="99"/>
    <w:rsid w:val="00D00433"/>
    <w:pPr>
      <w:numPr>
        <w:numId w:val="6"/>
      </w:numPr>
    </w:pPr>
  </w:style>
  <w:style w:type="paragraph" w:styleId="Revision">
    <w:name w:val="Revision"/>
    <w:hidden/>
    <w:uiPriority w:val="99"/>
    <w:semiHidden/>
    <w:rsid w:val="001A1DC4"/>
    <w:pPr>
      <w:spacing w:after="0" w:line="240" w:lineRule="auto"/>
    </w:pPr>
  </w:style>
  <w:style w:type="character" w:customStyle="1" w:styleId="Marker">
    <w:name w:val="Marker"/>
    <w:basedOn w:val="DefaultParagraphFont"/>
    <w:rsid w:val="00D52938"/>
    <w:rPr>
      <w:color w:val="0000FF"/>
      <w:shd w:val="clear" w:color="auto" w:fill="auto"/>
    </w:rPr>
  </w:style>
  <w:style w:type="paragraph" w:customStyle="1" w:styleId="Pagedecouverture">
    <w:name w:val="Page de couverture"/>
    <w:basedOn w:val="Normal"/>
    <w:next w:val="Normal"/>
    <w:rsid w:val="00D52938"/>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D52938"/>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D52938"/>
    <w:rPr>
      <w:rFonts w:ascii="Times New Roman" w:hAnsi="Times New Roman" w:cs="Times New Roman"/>
      <w:sz w:val="24"/>
    </w:rPr>
  </w:style>
  <w:style w:type="paragraph" w:customStyle="1" w:styleId="FooterSensitivity">
    <w:name w:val="Footer Sensitivity"/>
    <w:basedOn w:val="Normal"/>
    <w:link w:val="FooterSensitivityChar"/>
    <w:rsid w:val="00D52938"/>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D52938"/>
    <w:rPr>
      <w:rFonts w:ascii="Times New Roman" w:hAnsi="Times New Roman" w:cs="Times New Roman"/>
      <w:b/>
      <w:sz w:val="32"/>
    </w:rPr>
  </w:style>
  <w:style w:type="paragraph" w:customStyle="1" w:styleId="HeaderCoverPage">
    <w:name w:val="Header Cover Page"/>
    <w:basedOn w:val="Normal"/>
    <w:link w:val="HeaderCoverPageChar"/>
    <w:rsid w:val="00D52938"/>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D52938"/>
    <w:rPr>
      <w:rFonts w:ascii="Times New Roman" w:hAnsi="Times New Roman" w:cs="Times New Roman"/>
      <w:sz w:val="24"/>
    </w:rPr>
  </w:style>
  <w:style w:type="paragraph" w:customStyle="1" w:styleId="HeaderSensitivity">
    <w:name w:val="Header Sensitivity"/>
    <w:basedOn w:val="Normal"/>
    <w:link w:val="HeaderSensitivityChar"/>
    <w:rsid w:val="00D52938"/>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D52938"/>
    <w:rPr>
      <w:rFonts w:ascii="Times New Roman" w:hAnsi="Times New Roman" w:cs="Times New Roman"/>
      <w:b/>
      <w:sz w:val="32"/>
    </w:rPr>
  </w:style>
  <w:style w:type="paragraph" w:customStyle="1" w:styleId="HeaderSensitivityRight">
    <w:name w:val="Header Sensitivity Right"/>
    <w:basedOn w:val="Normal"/>
    <w:link w:val="HeaderSensitivityRightChar"/>
    <w:rsid w:val="00980E51"/>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D52938"/>
    <w:rPr>
      <w:rFonts w:ascii="Times New Roman" w:hAnsi="Times New Roman" w:cs="Times New Roman"/>
      <w:sz w:val="28"/>
    </w:rPr>
  </w:style>
  <w:style w:type="paragraph" w:customStyle="1" w:styleId="Odwo0142anieprzypisu">
    <w:name w:val="Odwo&lt;0142&gt;anie przypisu"/>
    <w:aliases w:val="SUPER,BVI fnr Char1 Char,fr"/>
    <w:basedOn w:val="Normal"/>
    <w:link w:val="FootnoteReference"/>
    <w:uiPriority w:val="99"/>
    <w:rsid w:val="00383F41"/>
    <w:pPr>
      <w:spacing w:before="120" w:after="160" w:line="240" w:lineRule="exact"/>
      <w:jc w:val="both"/>
    </w:pPr>
    <w:rPr>
      <w:vertAlign w:val="superscript"/>
    </w:rPr>
  </w:style>
  <w:style w:type="character" w:styleId="Strong">
    <w:name w:val="Strong"/>
    <w:basedOn w:val="DefaultParagraphFont"/>
    <w:uiPriority w:val="22"/>
    <w:qFormat/>
    <w:rsid w:val="00AC7AEC"/>
    <w:rPr>
      <w:b/>
      <w:bCs/>
    </w:rPr>
  </w:style>
  <w:style w:type="paragraph" w:styleId="NoSpacing">
    <w:name w:val="No Spacing"/>
    <w:link w:val="NoSpacingChar"/>
    <w:uiPriority w:val="1"/>
    <w:qFormat/>
    <w:rsid w:val="00E25056"/>
    <w:pPr>
      <w:spacing w:after="0" w:line="240" w:lineRule="auto"/>
    </w:pPr>
  </w:style>
  <w:style w:type="character" w:customStyle="1" w:styleId="NoSpacingChar">
    <w:name w:val="No Spacing Char"/>
    <w:basedOn w:val="DefaultParagraphFont"/>
    <w:link w:val="NoSpacing"/>
    <w:uiPriority w:val="1"/>
    <w:rsid w:val="00125A32"/>
  </w:style>
  <w:style w:type="paragraph" w:customStyle="1" w:styleId="Text1">
    <w:name w:val="Text 1"/>
    <w:basedOn w:val="Normal"/>
    <w:uiPriority w:val="90"/>
    <w:qFormat/>
    <w:rsid w:val="00B63340"/>
    <w:pPr>
      <w:spacing w:after="240" w:line="240" w:lineRule="auto"/>
      <w:ind w:left="482"/>
      <w:jc w:val="both"/>
    </w:pPr>
    <w:rPr>
      <w:rFonts w:ascii="Times New Roman" w:eastAsia="Times New Roman" w:hAnsi="Times New Roman" w:cs="Times New Roman"/>
      <w:sz w:val="24"/>
      <w:szCs w:val="20"/>
    </w:rPr>
  </w:style>
  <w:style w:type="paragraph" w:styleId="NormalWeb">
    <w:name w:val="Normal (Web)"/>
    <w:basedOn w:val="Normal"/>
    <w:uiPriority w:val="99"/>
    <w:unhideWhenUsed/>
    <w:rsid w:val="00313F54"/>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ListParagraphChar">
    <w:name w:val="List Paragraph Char"/>
    <w:aliases w:val="Task Body Char,Viñetas (Inicio Parrafo) Char,3 Txt tabla Char,Zerrenda-paragrafoa Char,Lista multicolor - Énfasis 11 Char,Normal bullet 2 Char,Bullet list Char,List Paragraph1 Char,Numbered List Char,Lettre d'introduction Char,L Char"/>
    <w:link w:val="ListParagraph"/>
    <w:uiPriority w:val="34"/>
    <w:qFormat/>
    <w:locked/>
    <w:rsid w:val="00756E47"/>
  </w:style>
  <w:style w:type="character" w:customStyle="1" w:styleId="Heading2Char">
    <w:name w:val="Heading 2 Char"/>
    <w:basedOn w:val="DefaultParagraphFont"/>
    <w:link w:val="Heading2"/>
    <w:rsid w:val="005F78CE"/>
    <w:rPr>
      <w:rFonts w:ascii="Times New Roman" w:eastAsia="Times New Roman" w:hAnsi="Times New Roman" w:cs="Times New Roman"/>
      <w:b/>
      <w:sz w:val="24"/>
      <w:szCs w:val="20"/>
      <w:lang w:val="pl-PL"/>
    </w:rPr>
  </w:style>
  <w:style w:type="character" w:customStyle="1" w:styleId="authors">
    <w:name w:val="authors"/>
    <w:basedOn w:val="DefaultParagraphFont"/>
    <w:rsid w:val="005F78CE"/>
  </w:style>
  <w:style w:type="character" w:customStyle="1" w:styleId="arttitle">
    <w:name w:val="art_title"/>
    <w:basedOn w:val="DefaultParagraphFont"/>
    <w:rsid w:val="005F78CE"/>
  </w:style>
  <w:style w:type="character" w:customStyle="1" w:styleId="serialtitle">
    <w:name w:val="serial_title"/>
    <w:basedOn w:val="DefaultParagraphFont"/>
    <w:rsid w:val="005F78CE"/>
  </w:style>
  <w:style w:type="character" w:customStyle="1" w:styleId="volumeissue">
    <w:name w:val="volume_issue"/>
    <w:basedOn w:val="DefaultParagraphFont"/>
    <w:rsid w:val="005F78CE"/>
  </w:style>
  <w:style w:type="character" w:customStyle="1" w:styleId="pagerange">
    <w:name w:val="page_range"/>
    <w:basedOn w:val="DefaultParagraphFont"/>
    <w:rsid w:val="005F78CE"/>
  </w:style>
  <w:style w:type="character" w:customStyle="1" w:styleId="doilink">
    <w:name w:val="doi_link"/>
    <w:basedOn w:val="DefaultParagraphFont"/>
    <w:rsid w:val="005F78CE"/>
  </w:style>
  <w:style w:type="paragraph" w:customStyle="1" w:styleId="Text2">
    <w:name w:val="Text 2"/>
    <w:basedOn w:val="Normal"/>
    <w:rsid w:val="000A64C7"/>
    <w:pPr>
      <w:tabs>
        <w:tab w:val="left" w:pos="2302"/>
      </w:tabs>
      <w:spacing w:after="240" w:line="240" w:lineRule="auto"/>
      <w:ind w:left="1202"/>
      <w:jc w:val="both"/>
    </w:pPr>
    <w:rPr>
      <w:rFonts w:ascii="Times New Roman" w:eastAsia="Times New Roman" w:hAnsi="Times New Roman" w:cs="Times New Roman"/>
      <w:sz w:val="24"/>
      <w:szCs w:val="20"/>
    </w:rPr>
  </w:style>
  <w:style w:type="table" w:styleId="GridTable4-Accent1">
    <w:name w:val="Grid Table 4 Accent 1"/>
    <w:basedOn w:val="TableNormal"/>
    <w:uiPriority w:val="49"/>
    <w:rsid w:val="00B2360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B2360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FollowedHyperlink">
    <w:name w:val="FollowedHyperlink"/>
    <w:basedOn w:val="DefaultParagraphFont"/>
    <w:uiPriority w:val="99"/>
    <w:semiHidden/>
    <w:unhideWhenUsed/>
    <w:rsid w:val="00EB3B06"/>
    <w:rPr>
      <w:color w:val="800080" w:themeColor="followedHyperlink"/>
      <w:u w:val="single"/>
    </w:rPr>
  </w:style>
  <w:style w:type="character" w:customStyle="1" w:styleId="Heading3Char">
    <w:name w:val="Heading 3 Char"/>
    <w:basedOn w:val="DefaultParagraphFont"/>
    <w:link w:val="Heading3"/>
    <w:uiPriority w:val="9"/>
    <w:semiHidden/>
    <w:rsid w:val="007E5BF3"/>
    <w:rPr>
      <w:rFonts w:asciiTheme="majorHAnsi" w:eastAsiaTheme="majorEastAsia" w:hAnsiTheme="majorHAnsi" w:cstheme="majorBidi"/>
      <w:color w:val="243F60" w:themeColor="accent1" w:themeShade="7F"/>
      <w:sz w:val="24"/>
      <w:szCs w:val="24"/>
    </w:rPr>
  </w:style>
  <w:style w:type="character" w:customStyle="1" w:styleId="italic">
    <w:name w:val="italic"/>
    <w:basedOn w:val="DefaultParagraphFont"/>
    <w:rsid w:val="003A4965"/>
  </w:style>
  <w:style w:type="paragraph" w:customStyle="1" w:styleId="NumPar1">
    <w:name w:val="NumPar 1"/>
    <w:basedOn w:val="Normal"/>
    <w:next w:val="Text1"/>
    <w:rsid w:val="00836CB7"/>
    <w:pPr>
      <w:tabs>
        <w:tab w:val="num" w:pos="850"/>
      </w:tabs>
      <w:spacing w:before="120" w:after="120" w:line="240" w:lineRule="auto"/>
      <w:ind w:left="850" w:hanging="850"/>
      <w:jc w:val="both"/>
    </w:pPr>
    <w:rPr>
      <w:rFonts w:ascii="Times New Roman" w:hAnsi="Times New Roman" w:cs="Times New Roman"/>
      <w:sz w:val="24"/>
    </w:rPr>
  </w:style>
  <w:style w:type="character" w:customStyle="1" w:styleId="Aucun">
    <w:name w:val="Aucun"/>
    <w:rsid w:val="00836CB7"/>
  </w:style>
  <w:style w:type="paragraph" w:customStyle="1" w:styleId="Considrant">
    <w:name w:val="Considérant"/>
    <w:basedOn w:val="Normal"/>
    <w:rsid w:val="009B1CCF"/>
    <w:pPr>
      <w:numPr>
        <w:numId w:val="7"/>
      </w:numPr>
      <w:spacing w:before="120" w:after="120" w:line="240" w:lineRule="auto"/>
      <w:jc w:val="both"/>
    </w:pPr>
    <w:rPr>
      <w:rFonts w:ascii="Times New Roman" w:hAnsi="Times New Roman" w:cs="Times New Roman"/>
      <w:sz w:val="24"/>
    </w:rPr>
  </w:style>
  <w:style w:type="character" w:customStyle="1" w:styleId="highlight">
    <w:name w:val="highlight"/>
    <w:basedOn w:val="DefaultParagraphFont"/>
    <w:rsid w:val="003B57D4"/>
  </w:style>
  <w:style w:type="paragraph" w:customStyle="1" w:styleId="Disclaimer">
    <w:name w:val="Disclaimer"/>
    <w:basedOn w:val="Normal"/>
    <w:rsid w:val="0083671F"/>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rsid w:val="00980E51"/>
    <w:pPr>
      <w:spacing w:after="0"/>
      <w:ind w:left="5103"/>
    </w:pPr>
    <w:rPr>
      <w:rFonts w:ascii="Times New Roman" w:hAnsi="Times New Roman" w:cs="Times New Roman"/>
      <w:sz w:val="28"/>
    </w:rPr>
  </w:style>
  <w:style w:type="paragraph" w:customStyle="1" w:styleId="DateMarking">
    <w:name w:val="DateMarking"/>
    <w:basedOn w:val="Normal"/>
    <w:rsid w:val="00980E51"/>
    <w:pPr>
      <w:spacing w:after="0"/>
      <w:ind w:left="5103"/>
    </w:pPr>
    <w:rPr>
      <w:rFonts w:ascii="Times New Roman" w:hAnsi="Times New Roman" w:cs="Times New Roman"/>
      <w:i/>
      <w:sz w:val="28"/>
    </w:rPr>
  </w:style>
  <w:style w:type="paragraph" w:customStyle="1" w:styleId="ReleasableTo">
    <w:name w:val="ReleasableTo"/>
    <w:basedOn w:val="Normal"/>
    <w:rsid w:val="00980E51"/>
    <w:pPr>
      <w:spacing w:after="0"/>
      <w:ind w:left="5103"/>
    </w:pPr>
    <w:rPr>
      <w:rFonts w:ascii="Times New Roman" w:hAnsi="Times New Roman" w:cs="Times New Roman"/>
      <w:i/>
      <w:sz w:val="28"/>
    </w:rPr>
  </w:style>
  <w:style w:type="character" w:styleId="Emphasis">
    <w:name w:val="Emphasis"/>
    <w:basedOn w:val="DefaultParagraphFont"/>
    <w:uiPriority w:val="20"/>
    <w:qFormat/>
    <w:rsid w:val="00861FCE"/>
    <w:rPr>
      <w:i/>
      <w:iCs/>
    </w:rPr>
  </w:style>
  <w:style w:type="paragraph" w:customStyle="1" w:styleId="ListDash1">
    <w:name w:val="List Dash 1"/>
    <w:basedOn w:val="Text1"/>
    <w:rsid w:val="00941226"/>
    <w:pPr>
      <w:numPr>
        <w:numId w:val="8"/>
      </w:numPr>
    </w:pPr>
  </w:style>
  <w:style w:type="paragraph" w:customStyle="1" w:styleId="Appelnotedebasdep">
    <w:name w:val="Appel note de bas de p."/>
    <w:aliases w:val="BVI fnr Car Car Car Car,footnote reference,BVI fnr Car Car,BVI fnr Car,BVI fnr Car Car Car Car Char,Appel note de bas de p..BVI fnr Car Car Car Car,Appel note de bas de p..BVI fnr Car Car Car Car1, BVI fnr Car Car"/>
    <w:basedOn w:val="Normal"/>
    <w:uiPriority w:val="99"/>
    <w:rsid w:val="00864B5C"/>
    <w:pPr>
      <w:spacing w:after="160" w:line="240" w:lineRule="exact"/>
    </w:pPr>
    <w:rPr>
      <w:vertAlign w:val="superscript"/>
    </w:rPr>
  </w:style>
  <w:style w:type="paragraph" w:customStyle="1" w:styleId="Briefinglist2">
    <w:name w:val="Briefing list 2"/>
    <w:basedOn w:val="Normal"/>
    <w:link w:val="Briefinglist2Char"/>
    <w:uiPriority w:val="99"/>
    <w:rsid w:val="00280D76"/>
    <w:pPr>
      <w:numPr>
        <w:numId w:val="12"/>
      </w:numPr>
      <w:spacing w:after="120" w:line="240" w:lineRule="auto"/>
      <w:jc w:val="both"/>
    </w:pPr>
    <w:rPr>
      <w:rFonts w:ascii="Arial" w:eastAsia="Times New Roman" w:hAnsi="Arial" w:cs="Times New Roman"/>
      <w:szCs w:val="24"/>
      <w:lang w:eastAsia="en-GB"/>
    </w:rPr>
  </w:style>
  <w:style w:type="character" w:customStyle="1" w:styleId="Briefinglist2Char">
    <w:name w:val="Briefing list 2 Char"/>
    <w:basedOn w:val="DefaultParagraphFont"/>
    <w:link w:val="Briefinglist2"/>
    <w:uiPriority w:val="99"/>
    <w:rsid w:val="00280D76"/>
    <w:rPr>
      <w:rFonts w:ascii="Arial" w:eastAsia="Times New Roman" w:hAnsi="Arial" w:cs="Times New Roman"/>
      <w:szCs w:val="24"/>
      <w:lang w:eastAsia="en-GB"/>
    </w:rPr>
  </w:style>
  <w:style w:type="paragraph" w:customStyle="1" w:styleId="Briefinglist1">
    <w:name w:val="Briefing list 1"/>
    <w:basedOn w:val="Normal"/>
    <w:link w:val="Briefinglist1Char"/>
    <w:qFormat/>
    <w:rsid w:val="00280D76"/>
    <w:pPr>
      <w:keepLines/>
      <w:numPr>
        <w:numId w:val="13"/>
      </w:numPr>
      <w:spacing w:after="120" w:line="240" w:lineRule="auto"/>
      <w:jc w:val="both"/>
    </w:pPr>
    <w:rPr>
      <w:rFonts w:ascii="Arial" w:eastAsia="Times New Roman" w:hAnsi="Arial" w:cs="Times New Roman"/>
      <w:szCs w:val="24"/>
      <w:lang w:eastAsia="en-GB"/>
    </w:rPr>
  </w:style>
  <w:style w:type="character" w:customStyle="1" w:styleId="Briefinglist1Char">
    <w:name w:val="Briefing list 1 Char"/>
    <w:basedOn w:val="DefaultParagraphFont"/>
    <w:link w:val="Briefinglist1"/>
    <w:rsid w:val="00280D76"/>
    <w:rPr>
      <w:rFonts w:ascii="Arial" w:eastAsia="Times New Roman" w:hAnsi="Arial" w:cs="Times New Roman"/>
      <w:szCs w:val="24"/>
      <w:lang w:eastAsia="en-GB"/>
    </w:rPr>
  </w:style>
  <w:style w:type="paragraph" w:customStyle="1" w:styleId="Briefingtext">
    <w:name w:val="Briefing text"/>
    <w:basedOn w:val="Normal"/>
    <w:link w:val="BriefingtextChar"/>
    <w:uiPriority w:val="99"/>
    <w:rsid w:val="00DC1CFA"/>
    <w:pPr>
      <w:spacing w:after="120" w:line="240" w:lineRule="auto"/>
      <w:jc w:val="both"/>
    </w:pPr>
    <w:rPr>
      <w:rFonts w:ascii="Arial" w:eastAsia="Times New Roman" w:hAnsi="Arial" w:cs="Arial"/>
      <w:szCs w:val="24"/>
    </w:rPr>
  </w:style>
  <w:style w:type="character" w:customStyle="1" w:styleId="BriefingtextChar">
    <w:name w:val="Briefing text Char"/>
    <w:link w:val="Briefingtext"/>
    <w:uiPriority w:val="99"/>
    <w:rsid w:val="00DC1CFA"/>
    <w:rPr>
      <w:rFonts w:ascii="Arial" w:eastAsia="Times New Roman" w:hAnsi="Arial" w:cs="Arial"/>
      <w:szCs w:val="24"/>
    </w:rPr>
  </w:style>
  <w:style w:type="character" w:customStyle="1" w:styleId="Mention1">
    <w:name w:val="Mention1"/>
    <w:basedOn w:val="DefaultParagraphFont"/>
    <w:uiPriority w:val="99"/>
    <w:unhideWhenUsed/>
    <w:rPr>
      <w:color w:val="2B579A"/>
      <w:shd w:val="clear" w:color="auto" w:fill="E6E6E6"/>
    </w:rPr>
  </w:style>
  <w:style w:type="paragraph" w:customStyle="1" w:styleId="CharCharChar">
    <w:name w:val="Char Char Char"/>
    <w:basedOn w:val="Normal"/>
    <w:uiPriority w:val="99"/>
    <w:rsid w:val="00237924"/>
    <w:pPr>
      <w:spacing w:after="160" w:line="240" w:lineRule="exact"/>
    </w:pPr>
    <w:rPr>
      <w:vertAlign w:val="superscript"/>
    </w:rPr>
  </w:style>
  <w:style w:type="paragraph" w:customStyle="1" w:styleId="LegalNumPar">
    <w:name w:val="LegalNumPar"/>
    <w:basedOn w:val="Normal"/>
    <w:rsid w:val="009C391F"/>
    <w:pPr>
      <w:numPr>
        <w:numId w:val="21"/>
      </w:numPr>
      <w:spacing w:line="360" w:lineRule="auto"/>
    </w:pPr>
    <w:rPr>
      <w:sz w:val="24"/>
    </w:rPr>
  </w:style>
  <w:style w:type="paragraph" w:customStyle="1" w:styleId="LegalNumPar2">
    <w:name w:val="LegalNumPar2"/>
    <w:basedOn w:val="Normal"/>
    <w:rsid w:val="009C391F"/>
    <w:pPr>
      <w:numPr>
        <w:ilvl w:val="1"/>
        <w:numId w:val="21"/>
      </w:numPr>
      <w:spacing w:line="360" w:lineRule="auto"/>
    </w:pPr>
    <w:rPr>
      <w:sz w:val="24"/>
    </w:rPr>
  </w:style>
  <w:style w:type="paragraph" w:customStyle="1" w:styleId="LegalNumPar3">
    <w:name w:val="LegalNumPar3"/>
    <w:basedOn w:val="Normal"/>
    <w:rsid w:val="009C391F"/>
    <w:pPr>
      <w:numPr>
        <w:ilvl w:val="2"/>
        <w:numId w:val="21"/>
      </w:numPr>
      <w:spacing w:line="360" w:lineRule="auto"/>
    </w:pPr>
    <w:rPr>
      <w:sz w:val="24"/>
    </w:rPr>
  </w:style>
  <w:style w:type="character" w:customStyle="1" w:styleId="UnresolvedMention1">
    <w:name w:val="Unresolved Mention1"/>
    <w:basedOn w:val="DefaultParagraphFont"/>
    <w:uiPriority w:val="99"/>
    <w:semiHidden/>
    <w:unhideWhenUsed/>
    <w:rsid w:val="00F35555"/>
    <w:rPr>
      <w:color w:val="605E5C"/>
      <w:shd w:val="clear" w:color="auto" w:fill="E1DFDD"/>
    </w:rPr>
  </w:style>
  <w:style w:type="character" w:customStyle="1" w:styleId="Heading1Char">
    <w:name w:val="Heading 1 Char"/>
    <w:basedOn w:val="DefaultParagraphFont"/>
    <w:link w:val="Heading1"/>
    <w:uiPriority w:val="9"/>
    <w:rsid w:val="0023199F"/>
    <w:rPr>
      <w:rFonts w:asciiTheme="majorHAnsi" w:eastAsiaTheme="majorEastAsia" w:hAnsiTheme="majorHAnsi" w:cstheme="majorBidi"/>
      <w:color w:val="365F91" w:themeColor="accent1" w:themeShade="BF"/>
      <w:sz w:val="32"/>
      <w:szCs w:val="32"/>
    </w:rPr>
  </w:style>
  <w:style w:type="paragraph" w:customStyle="1" w:styleId="Body">
    <w:name w:val="Body"/>
    <w:basedOn w:val="Normal"/>
    <w:uiPriority w:val="99"/>
    <w:rsid w:val="00C36558"/>
    <w:pPr>
      <w:spacing w:after="0" w:line="240" w:lineRule="auto"/>
      <w:jc w:val="both"/>
    </w:pPr>
    <w:rPr>
      <w:rFonts w:ascii="Verdana" w:hAnsi="Verdana" w:cs="Times New Roman"/>
      <w:color w:val="333333"/>
      <w:sz w:val="20"/>
      <w:szCs w:val="20"/>
      <w:lang w:eastAsia="fi-FI"/>
    </w:rPr>
  </w:style>
  <w:style w:type="paragraph" w:customStyle="1" w:styleId="Default">
    <w:name w:val="Default"/>
    <w:rsid w:val="00714877"/>
    <w:pPr>
      <w:autoSpaceDE w:val="0"/>
      <w:autoSpaceDN w:val="0"/>
      <w:adjustRightInd w:val="0"/>
      <w:spacing w:after="0" w:line="240" w:lineRule="auto"/>
    </w:pPr>
    <w:rPr>
      <w:rFonts w:ascii="Open Sans" w:hAnsi="Open Sans" w:cs="Open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75153">
      <w:bodyDiv w:val="1"/>
      <w:marLeft w:val="0"/>
      <w:marRight w:val="0"/>
      <w:marTop w:val="0"/>
      <w:marBottom w:val="0"/>
      <w:divBdr>
        <w:top w:val="none" w:sz="0" w:space="0" w:color="auto"/>
        <w:left w:val="none" w:sz="0" w:space="0" w:color="auto"/>
        <w:bottom w:val="none" w:sz="0" w:space="0" w:color="auto"/>
        <w:right w:val="none" w:sz="0" w:space="0" w:color="auto"/>
      </w:divBdr>
    </w:div>
    <w:div w:id="27994330">
      <w:bodyDiv w:val="1"/>
      <w:marLeft w:val="0"/>
      <w:marRight w:val="0"/>
      <w:marTop w:val="0"/>
      <w:marBottom w:val="0"/>
      <w:divBdr>
        <w:top w:val="none" w:sz="0" w:space="0" w:color="auto"/>
        <w:left w:val="none" w:sz="0" w:space="0" w:color="auto"/>
        <w:bottom w:val="none" w:sz="0" w:space="0" w:color="auto"/>
        <w:right w:val="none" w:sz="0" w:space="0" w:color="auto"/>
      </w:divBdr>
    </w:div>
    <w:div w:id="28537012">
      <w:bodyDiv w:val="1"/>
      <w:marLeft w:val="0"/>
      <w:marRight w:val="0"/>
      <w:marTop w:val="0"/>
      <w:marBottom w:val="0"/>
      <w:divBdr>
        <w:top w:val="none" w:sz="0" w:space="0" w:color="auto"/>
        <w:left w:val="none" w:sz="0" w:space="0" w:color="auto"/>
        <w:bottom w:val="none" w:sz="0" w:space="0" w:color="auto"/>
        <w:right w:val="none" w:sz="0" w:space="0" w:color="auto"/>
      </w:divBdr>
      <w:divsChild>
        <w:div w:id="401366670">
          <w:marLeft w:val="360"/>
          <w:marRight w:val="0"/>
          <w:marTop w:val="0"/>
          <w:marBottom w:val="360"/>
          <w:divBdr>
            <w:top w:val="none" w:sz="0" w:space="0" w:color="auto"/>
            <w:left w:val="none" w:sz="0" w:space="0" w:color="auto"/>
            <w:bottom w:val="none" w:sz="0" w:space="0" w:color="auto"/>
            <w:right w:val="none" w:sz="0" w:space="0" w:color="auto"/>
          </w:divBdr>
        </w:div>
      </w:divsChild>
    </w:div>
    <w:div w:id="56364692">
      <w:bodyDiv w:val="1"/>
      <w:marLeft w:val="0"/>
      <w:marRight w:val="0"/>
      <w:marTop w:val="0"/>
      <w:marBottom w:val="0"/>
      <w:divBdr>
        <w:top w:val="none" w:sz="0" w:space="0" w:color="auto"/>
        <w:left w:val="none" w:sz="0" w:space="0" w:color="auto"/>
        <w:bottom w:val="none" w:sz="0" w:space="0" w:color="auto"/>
        <w:right w:val="none" w:sz="0" w:space="0" w:color="auto"/>
      </w:divBdr>
    </w:div>
    <w:div w:id="58944692">
      <w:bodyDiv w:val="1"/>
      <w:marLeft w:val="0"/>
      <w:marRight w:val="0"/>
      <w:marTop w:val="0"/>
      <w:marBottom w:val="0"/>
      <w:divBdr>
        <w:top w:val="none" w:sz="0" w:space="0" w:color="auto"/>
        <w:left w:val="none" w:sz="0" w:space="0" w:color="auto"/>
        <w:bottom w:val="none" w:sz="0" w:space="0" w:color="auto"/>
        <w:right w:val="none" w:sz="0" w:space="0" w:color="auto"/>
      </w:divBdr>
    </w:div>
    <w:div w:id="71705425">
      <w:bodyDiv w:val="1"/>
      <w:marLeft w:val="0"/>
      <w:marRight w:val="0"/>
      <w:marTop w:val="0"/>
      <w:marBottom w:val="0"/>
      <w:divBdr>
        <w:top w:val="none" w:sz="0" w:space="0" w:color="auto"/>
        <w:left w:val="none" w:sz="0" w:space="0" w:color="auto"/>
        <w:bottom w:val="none" w:sz="0" w:space="0" w:color="auto"/>
        <w:right w:val="none" w:sz="0" w:space="0" w:color="auto"/>
      </w:divBdr>
    </w:div>
    <w:div w:id="73625781">
      <w:bodyDiv w:val="1"/>
      <w:marLeft w:val="0"/>
      <w:marRight w:val="0"/>
      <w:marTop w:val="0"/>
      <w:marBottom w:val="0"/>
      <w:divBdr>
        <w:top w:val="none" w:sz="0" w:space="0" w:color="auto"/>
        <w:left w:val="none" w:sz="0" w:space="0" w:color="auto"/>
        <w:bottom w:val="none" w:sz="0" w:space="0" w:color="auto"/>
        <w:right w:val="none" w:sz="0" w:space="0" w:color="auto"/>
      </w:divBdr>
    </w:div>
    <w:div w:id="82994630">
      <w:bodyDiv w:val="1"/>
      <w:marLeft w:val="0"/>
      <w:marRight w:val="0"/>
      <w:marTop w:val="0"/>
      <w:marBottom w:val="0"/>
      <w:divBdr>
        <w:top w:val="none" w:sz="0" w:space="0" w:color="auto"/>
        <w:left w:val="none" w:sz="0" w:space="0" w:color="auto"/>
        <w:bottom w:val="none" w:sz="0" w:space="0" w:color="auto"/>
        <w:right w:val="none" w:sz="0" w:space="0" w:color="auto"/>
      </w:divBdr>
    </w:div>
    <w:div w:id="85007388">
      <w:bodyDiv w:val="1"/>
      <w:marLeft w:val="0"/>
      <w:marRight w:val="0"/>
      <w:marTop w:val="0"/>
      <w:marBottom w:val="0"/>
      <w:divBdr>
        <w:top w:val="none" w:sz="0" w:space="0" w:color="auto"/>
        <w:left w:val="none" w:sz="0" w:space="0" w:color="auto"/>
        <w:bottom w:val="none" w:sz="0" w:space="0" w:color="auto"/>
        <w:right w:val="none" w:sz="0" w:space="0" w:color="auto"/>
      </w:divBdr>
    </w:div>
    <w:div w:id="88546184">
      <w:bodyDiv w:val="1"/>
      <w:marLeft w:val="0"/>
      <w:marRight w:val="0"/>
      <w:marTop w:val="0"/>
      <w:marBottom w:val="0"/>
      <w:divBdr>
        <w:top w:val="none" w:sz="0" w:space="0" w:color="auto"/>
        <w:left w:val="none" w:sz="0" w:space="0" w:color="auto"/>
        <w:bottom w:val="none" w:sz="0" w:space="0" w:color="auto"/>
        <w:right w:val="none" w:sz="0" w:space="0" w:color="auto"/>
      </w:divBdr>
    </w:div>
    <w:div w:id="132910847">
      <w:bodyDiv w:val="1"/>
      <w:marLeft w:val="0"/>
      <w:marRight w:val="0"/>
      <w:marTop w:val="0"/>
      <w:marBottom w:val="0"/>
      <w:divBdr>
        <w:top w:val="none" w:sz="0" w:space="0" w:color="auto"/>
        <w:left w:val="none" w:sz="0" w:space="0" w:color="auto"/>
        <w:bottom w:val="none" w:sz="0" w:space="0" w:color="auto"/>
        <w:right w:val="none" w:sz="0" w:space="0" w:color="auto"/>
      </w:divBdr>
      <w:divsChild>
        <w:div w:id="866672623">
          <w:marLeft w:val="547"/>
          <w:marRight w:val="0"/>
          <w:marTop w:val="0"/>
          <w:marBottom w:val="0"/>
          <w:divBdr>
            <w:top w:val="none" w:sz="0" w:space="0" w:color="auto"/>
            <w:left w:val="none" w:sz="0" w:space="0" w:color="auto"/>
            <w:bottom w:val="none" w:sz="0" w:space="0" w:color="auto"/>
            <w:right w:val="none" w:sz="0" w:space="0" w:color="auto"/>
          </w:divBdr>
        </w:div>
        <w:div w:id="2045058779">
          <w:marLeft w:val="547"/>
          <w:marRight w:val="0"/>
          <w:marTop w:val="0"/>
          <w:marBottom w:val="0"/>
          <w:divBdr>
            <w:top w:val="none" w:sz="0" w:space="0" w:color="auto"/>
            <w:left w:val="none" w:sz="0" w:space="0" w:color="auto"/>
            <w:bottom w:val="none" w:sz="0" w:space="0" w:color="auto"/>
            <w:right w:val="none" w:sz="0" w:space="0" w:color="auto"/>
          </w:divBdr>
        </w:div>
      </w:divsChild>
    </w:div>
    <w:div w:id="133261152">
      <w:bodyDiv w:val="1"/>
      <w:marLeft w:val="0"/>
      <w:marRight w:val="0"/>
      <w:marTop w:val="0"/>
      <w:marBottom w:val="0"/>
      <w:divBdr>
        <w:top w:val="none" w:sz="0" w:space="0" w:color="auto"/>
        <w:left w:val="none" w:sz="0" w:space="0" w:color="auto"/>
        <w:bottom w:val="none" w:sz="0" w:space="0" w:color="auto"/>
        <w:right w:val="none" w:sz="0" w:space="0" w:color="auto"/>
      </w:divBdr>
    </w:div>
    <w:div w:id="147981833">
      <w:bodyDiv w:val="1"/>
      <w:marLeft w:val="0"/>
      <w:marRight w:val="0"/>
      <w:marTop w:val="0"/>
      <w:marBottom w:val="0"/>
      <w:divBdr>
        <w:top w:val="none" w:sz="0" w:space="0" w:color="auto"/>
        <w:left w:val="none" w:sz="0" w:space="0" w:color="auto"/>
        <w:bottom w:val="none" w:sz="0" w:space="0" w:color="auto"/>
        <w:right w:val="none" w:sz="0" w:space="0" w:color="auto"/>
      </w:divBdr>
    </w:div>
    <w:div w:id="175536799">
      <w:bodyDiv w:val="1"/>
      <w:marLeft w:val="0"/>
      <w:marRight w:val="0"/>
      <w:marTop w:val="0"/>
      <w:marBottom w:val="0"/>
      <w:divBdr>
        <w:top w:val="none" w:sz="0" w:space="0" w:color="auto"/>
        <w:left w:val="none" w:sz="0" w:space="0" w:color="auto"/>
        <w:bottom w:val="none" w:sz="0" w:space="0" w:color="auto"/>
        <w:right w:val="none" w:sz="0" w:space="0" w:color="auto"/>
      </w:divBdr>
    </w:div>
    <w:div w:id="183902328">
      <w:bodyDiv w:val="1"/>
      <w:marLeft w:val="0"/>
      <w:marRight w:val="0"/>
      <w:marTop w:val="0"/>
      <w:marBottom w:val="0"/>
      <w:divBdr>
        <w:top w:val="none" w:sz="0" w:space="0" w:color="auto"/>
        <w:left w:val="none" w:sz="0" w:space="0" w:color="auto"/>
        <w:bottom w:val="none" w:sz="0" w:space="0" w:color="auto"/>
        <w:right w:val="none" w:sz="0" w:space="0" w:color="auto"/>
      </w:divBdr>
    </w:div>
    <w:div w:id="186723701">
      <w:bodyDiv w:val="1"/>
      <w:marLeft w:val="0"/>
      <w:marRight w:val="0"/>
      <w:marTop w:val="0"/>
      <w:marBottom w:val="0"/>
      <w:divBdr>
        <w:top w:val="none" w:sz="0" w:space="0" w:color="auto"/>
        <w:left w:val="none" w:sz="0" w:space="0" w:color="auto"/>
        <w:bottom w:val="none" w:sz="0" w:space="0" w:color="auto"/>
        <w:right w:val="none" w:sz="0" w:space="0" w:color="auto"/>
      </w:divBdr>
    </w:div>
    <w:div w:id="190533541">
      <w:bodyDiv w:val="1"/>
      <w:marLeft w:val="0"/>
      <w:marRight w:val="0"/>
      <w:marTop w:val="0"/>
      <w:marBottom w:val="0"/>
      <w:divBdr>
        <w:top w:val="none" w:sz="0" w:space="0" w:color="auto"/>
        <w:left w:val="none" w:sz="0" w:space="0" w:color="auto"/>
        <w:bottom w:val="none" w:sz="0" w:space="0" w:color="auto"/>
        <w:right w:val="none" w:sz="0" w:space="0" w:color="auto"/>
      </w:divBdr>
    </w:div>
    <w:div w:id="233128781">
      <w:bodyDiv w:val="1"/>
      <w:marLeft w:val="0"/>
      <w:marRight w:val="0"/>
      <w:marTop w:val="0"/>
      <w:marBottom w:val="0"/>
      <w:divBdr>
        <w:top w:val="none" w:sz="0" w:space="0" w:color="auto"/>
        <w:left w:val="none" w:sz="0" w:space="0" w:color="auto"/>
        <w:bottom w:val="none" w:sz="0" w:space="0" w:color="auto"/>
        <w:right w:val="none" w:sz="0" w:space="0" w:color="auto"/>
      </w:divBdr>
    </w:div>
    <w:div w:id="233904505">
      <w:bodyDiv w:val="1"/>
      <w:marLeft w:val="0"/>
      <w:marRight w:val="0"/>
      <w:marTop w:val="0"/>
      <w:marBottom w:val="0"/>
      <w:divBdr>
        <w:top w:val="none" w:sz="0" w:space="0" w:color="auto"/>
        <w:left w:val="none" w:sz="0" w:space="0" w:color="auto"/>
        <w:bottom w:val="none" w:sz="0" w:space="0" w:color="auto"/>
        <w:right w:val="none" w:sz="0" w:space="0" w:color="auto"/>
      </w:divBdr>
    </w:div>
    <w:div w:id="242373423">
      <w:bodyDiv w:val="1"/>
      <w:marLeft w:val="0"/>
      <w:marRight w:val="0"/>
      <w:marTop w:val="0"/>
      <w:marBottom w:val="0"/>
      <w:divBdr>
        <w:top w:val="none" w:sz="0" w:space="0" w:color="auto"/>
        <w:left w:val="none" w:sz="0" w:space="0" w:color="auto"/>
        <w:bottom w:val="none" w:sz="0" w:space="0" w:color="auto"/>
        <w:right w:val="none" w:sz="0" w:space="0" w:color="auto"/>
      </w:divBdr>
    </w:div>
    <w:div w:id="254244458">
      <w:bodyDiv w:val="1"/>
      <w:marLeft w:val="0"/>
      <w:marRight w:val="0"/>
      <w:marTop w:val="0"/>
      <w:marBottom w:val="0"/>
      <w:divBdr>
        <w:top w:val="none" w:sz="0" w:space="0" w:color="auto"/>
        <w:left w:val="none" w:sz="0" w:space="0" w:color="auto"/>
        <w:bottom w:val="none" w:sz="0" w:space="0" w:color="auto"/>
        <w:right w:val="none" w:sz="0" w:space="0" w:color="auto"/>
      </w:divBdr>
    </w:div>
    <w:div w:id="286931694">
      <w:bodyDiv w:val="1"/>
      <w:marLeft w:val="0"/>
      <w:marRight w:val="0"/>
      <w:marTop w:val="0"/>
      <w:marBottom w:val="0"/>
      <w:divBdr>
        <w:top w:val="none" w:sz="0" w:space="0" w:color="auto"/>
        <w:left w:val="none" w:sz="0" w:space="0" w:color="auto"/>
        <w:bottom w:val="none" w:sz="0" w:space="0" w:color="auto"/>
        <w:right w:val="none" w:sz="0" w:space="0" w:color="auto"/>
      </w:divBdr>
    </w:div>
    <w:div w:id="291516948">
      <w:bodyDiv w:val="1"/>
      <w:marLeft w:val="0"/>
      <w:marRight w:val="0"/>
      <w:marTop w:val="0"/>
      <w:marBottom w:val="0"/>
      <w:divBdr>
        <w:top w:val="none" w:sz="0" w:space="0" w:color="auto"/>
        <w:left w:val="none" w:sz="0" w:space="0" w:color="auto"/>
        <w:bottom w:val="none" w:sz="0" w:space="0" w:color="auto"/>
        <w:right w:val="none" w:sz="0" w:space="0" w:color="auto"/>
      </w:divBdr>
    </w:div>
    <w:div w:id="295962006">
      <w:bodyDiv w:val="1"/>
      <w:marLeft w:val="0"/>
      <w:marRight w:val="0"/>
      <w:marTop w:val="0"/>
      <w:marBottom w:val="0"/>
      <w:divBdr>
        <w:top w:val="none" w:sz="0" w:space="0" w:color="auto"/>
        <w:left w:val="none" w:sz="0" w:space="0" w:color="auto"/>
        <w:bottom w:val="none" w:sz="0" w:space="0" w:color="auto"/>
        <w:right w:val="none" w:sz="0" w:space="0" w:color="auto"/>
      </w:divBdr>
    </w:div>
    <w:div w:id="301884258">
      <w:bodyDiv w:val="1"/>
      <w:marLeft w:val="0"/>
      <w:marRight w:val="0"/>
      <w:marTop w:val="0"/>
      <w:marBottom w:val="0"/>
      <w:divBdr>
        <w:top w:val="none" w:sz="0" w:space="0" w:color="auto"/>
        <w:left w:val="none" w:sz="0" w:space="0" w:color="auto"/>
        <w:bottom w:val="none" w:sz="0" w:space="0" w:color="auto"/>
        <w:right w:val="none" w:sz="0" w:space="0" w:color="auto"/>
      </w:divBdr>
    </w:div>
    <w:div w:id="302854834">
      <w:bodyDiv w:val="1"/>
      <w:marLeft w:val="0"/>
      <w:marRight w:val="0"/>
      <w:marTop w:val="0"/>
      <w:marBottom w:val="0"/>
      <w:divBdr>
        <w:top w:val="none" w:sz="0" w:space="0" w:color="auto"/>
        <w:left w:val="none" w:sz="0" w:space="0" w:color="auto"/>
        <w:bottom w:val="none" w:sz="0" w:space="0" w:color="auto"/>
        <w:right w:val="none" w:sz="0" w:space="0" w:color="auto"/>
      </w:divBdr>
    </w:div>
    <w:div w:id="304820247">
      <w:bodyDiv w:val="1"/>
      <w:marLeft w:val="0"/>
      <w:marRight w:val="0"/>
      <w:marTop w:val="0"/>
      <w:marBottom w:val="0"/>
      <w:divBdr>
        <w:top w:val="none" w:sz="0" w:space="0" w:color="auto"/>
        <w:left w:val="none" w:sz="0" w:space="0" w:color="auto"/>
        <w:bottom w:val="none" w:sz="0" w:space="0" w:color="auto"/>
        <w:right w:val="none" w:sz="0" w:space="0" w:color="auto"/>
      </w:divBdr>
    </w:div>
    <w:div w:id="321273655">
      <w:bodyDiv w:val="1"/>
      <w:marLeft w:val="0"/>
      <w:marRight w:val="0"/>
      <w:marTop w:val="0"/>
      <w:marBottom w:val="0"/>
      <w:divBdr>
        <w:top w:val="none" w:sz="0" w:space="0" w:color="auto"/>
        <w:left w:val="none" w:sz="0" w:space="0" w:color="auto"/>
        <w:bottom w:val="none" w:sz="0" w:space="0" w:color="auto"/>
        <w:right w:val="none" w:sz="0" w:space="0" w:color="auto"/>
      </w:divBdr>
    </w:div>
    <w:div w:id="322468996">
      <w:bodyDiv w:val="1"/>
      <w:marLeft w:val="0"/>
      <w:marRight w:val="0"/>
      <w:marTop w:val="0"/>
      <w:marBottom w:val="0"/>
      <w:divBdr>
        <w:top w:val="none" w:sz="0" w:space="0" w:color="auto"/>
        <w:left w:val="none" w:sz="0" w:space="0" w:color="auto"/>
        <w:bottom w:val="none" w:sz="0" w:space="0" w:color="auto"/>
        <w:right w:val="none" w:sz="0" w:space="0" w:color="auto"/>
      </w:divBdr>
    </w:div>
    <w:div w:id="326249617">
      <w:bodyDiv w:val="1"/>
      <w:marLeft w:val="0"/>
      <w:marRight w:val="0"/>
      <w:marTop w:val="0"/>
      <w:marBottom w:val="0"/>
      <w:divBdr>
        <w:top w:val="none" w:sz="0" w:space="0" w:color="auto"/>
        <w:left w:val="none" w:sz="0" w:space="0" w:color="auto"/>
        <w:bottom w:val="none" w:sz="0" w:space="0" w:color="auto"/>
        <w:right w:val="none" w:sz="0" w:space="0" w:color="auto"/>
      </w:divBdr>
    </w:div>
    <w:div w:id="330183595">
      <w:bodyDiv w:val="1"/>
      <w:marLeft w:val="0"/>
      <w:marRight w:val="0"/>
      <w:marTop w:val="0"/>
      <w:marBottom w:val="0"/>
      <w:divBdr>
        <w:top w:val="none" w:sz="0" w:space="0" w:color="auto"/>
        <w:left w:val="none" w:sz="0" w:space="0" w:color="auto"/>
        <w:bottom w:val="none" w:sz="0" w:space="0" w:color="auto"/>
        <w:right w:val="none" w:sz="0" w:space="0" w:color="auto"/>
      </w:divBdr>
    </w:div>
    <w:div w:id="347289749">
      <w:bodyDiv w:val="1"/>
      <w:marLeft w:val="0"/>
      <w:marRight w:val="0"/>
      <w:marTop w:val="0"/>
      <w:marBottom w:val="0"/>
      <w:divBdr>
        <w:top w:val="none" w:sz="0" w:space="0" w:color="auto"/>
        <w:left w:val="none" w:sz="0" w:space="0" w:color="auto"/>
        <w:bottom w:val="none" w:sz="0" w:space="0" w:color="auto"/>
        <w:right w:val="none" w:sz="0" w:space="0" w:color="auto"/>
      </w:divBdr>
      <w:divsChild>
        <w:div w:id="561065072">
          <w:marLeft w:val="547"/>
          <w:marRight w:val="0"/>
          <w:marTop w:val="0"/>
          <w:marBottom w:val="0"/>
          <w:divBdr>
            <w:top w:val="none" w:sz="0" w:space="0" w:color="auto"/>
            <w:left w:val="none" w:sz="0" w:space="0" w:color="auto"/>
            <w:bottom w:val="none" w:sz="0" w:space="0" w:color="auto"/>
            <w:right w:val="none" w:sz="0" w:space="0" w:color="auto"/>
          </w:divBdr>
        </w:div>
        <w:div w:id="1133905467">
          <w:marLeft w:val="547"/>
          <w:marRight w:val="0"/>
          <w:marTop w:val="0"/>
          <w:marBottom w:val="0"/>
          <w:divBdr>
            <w:top w:val="none" w:sz="0" w:space="0" w:color="auto"/>
            <w:left w:val="none" w:sz="0" w:space="0" w:color="auto"/>
            <w:bottom w:val="none" w:sz="0" w:space="0" w:color="auto"/>
            <w:right w:val="none" w:sz="0" w:space="0" w:color="auto"/>
          </w:divBdr>
        </w:div>
        <w:div w:id="1296370994">
          <w:marLeft w:val="547"/>
          <w:marRight w:val="0"/>
          <w:marTop w:val="0"/>
          <w:marBottom w:val="0"/>
          <w:divBdr>
            <w:top w:val="none" w:sz="0" w:space="0" w:color="auto"/>
            <w:left w:val="none" w:sz="0" w:space="0" w:color="auto"/>
            <w:bottom w:val="none" w:sz="0" w:space="0" w:color="auto"/>
            <w:right w:val="none" w:sz="0" w:space="0" w:color="auto"/>
          </w:divBdr>
        </w:div>
        <w:div w:id="1853302857">
          <w:marLeft w:val="547"/>
          <w:marRight w:val="0"/>
          <w:marTop w:val="0"/>
          <w:marBottom w:val="0"/>
          <w:divBdr>
            <w:top w:val="none" w:sz="0" w:space="0" w:color="auto"/>
            <w:left w:val="none" w:sz="0" w:space="0" w:color="auto"/>
            <w:bottom w:val="none" w:sz="0" w:space="0" w:color="auto"/>
            <w:right w:val="none" w:sz="0" w:space="0" w:color="auto"/>
          </w:divBdr>
        </w:div>
        <w:div w:id="2108235225">
          <w:marLeft w:val="547"/>
          <w:marRight w:val="0"/>
          <w:marTop w:val="0"/>
          <w:marBottom w:val="0"/>
          <w:divBdr>
            <w:top w:val="none" w:sz="0" w:space="0" w:color="auto"/>
            <w:left w:val="none" w:sz="0" w:space="0" w:color="auto"/>
            <w:bottom w:val="none" w:sz="0" w:space="0" w:color="auto"/>
            <w:right w:val="none" w:sz="0" w:space="0" w:color="auto"/>
          </w:divBdr>
        </w:div>
      </w:divsChild>
    </w:div>
    <w:div w:id="375588693">
      <w:bodyDiv w:val="1"/>
      <w:marLeft w:val="0"/>
      <w:marRight w:val="0"/>
      <w:marTop w:val="0"/>
      <w:marBottom w:val="0"/>
      <w:divBdr>
        <w:top w:val="none" w:sz="0" w:space="0" w:color="auto"/>
        <w:left w:val="none" w:sz="0" w:space="0" w:color="auto"/>
        <w:bottom w:val="none" w:sz="0" w:space="0" w:color="auto"/>
        <w:right w:val="none" w:sz="0" w:space="0" w:color="auto"/>
      </w:divBdr>
    </w:div>
    <w:div w:id="376927845">
      <w:bodyDiv w:val="1"/>
      <w:marLeft w:val="0"/>
      <w:marRight w:val="0"/>
      <w:marTop w:val="0"/>
      <w:marBottom w:val="0"/>
      <w:divBdr>
        <w:top w:val="none" w:sz="0" w:space="0" w:color="auto"/>
        <w:left w:val="none" w:sz="0" w:space="0" w:color="auto"/>
        <w:bottom w:val="none" w:sz="0" w:space="0" w:color="auto"/>
        <w:right w:val="none" w:sz="0" w:space="0" w:color="auto"/>
      </w:divBdr>
    </w:div>
    <w:div w:id="381101881">
      <w:bodyDiv w:val="1"/>
      <w:marLeft w:val="0"/>
      <w:marRight w:val="0"/>
      <w:marTop w:val="0"/>
      <w:marBottom w:val="0"/>
      <w:divBdr>
        <w:top w:val="none" w:sz="0" w:space="0" w:color="auto"/>
        <w:left w:val="none" w:sz="0" w:space="0" w:color="auto"/>
        <w:bottom w:val="none" w:sz="0" w:space="0" w:color="auto"/>
        <w:right w:val="none" w:sz="0" w:space="0" w:color="auto"/>
      </w:divBdr>
    </w:div>
    <w:div w:id="384836115">
      <w:bodyDiv w:val="1"/>
      <w:marLeft w:val="0"/>
      <w:marRight w:val="0"/>
      <w:marTop w:val="0"/>
      <w:marBottom w:val="0"/>
      <w:divBdr>
        <w:top w:val="none" w:sz="0" w:space="0" w:color="auto"/>
        <w:left w:val="none" w:sz="0" w:space="0" w:color="auto"/>
        <w:bottom w:val="none" w:sz="0" w:space="0" w:color="auto"/>
        <w:right w:val="none" w:sz="0" w:space="0" w:color="auto"/>
      </w:divBdr>
      <w:divsChild>
        <w:div w:id="1815759908">
          <w:marLeft w:val="547"/>
          <w:marRight w:val="0"/>
          <w:marTop w:val="0"/>
          <w:marBottom w:val="0"/>
          <w:divBdr>
            <w:top w:val="none" w:sz="0" w:space="0" w:color="auto"/>
            <w:left w:val="none" w:sz="0" w:space="0" w:color="auto"/>
            <w:bottom w:val="none" w:sz="0" w:space="0" w:color="auto"/>
            <w:right w:val="none" w:sz="0" w:space="0" w:color="auto"/>
          </w:divBdr>
        </w:div>
      </w:divsChild>
    </w:div>
    <w:div w:id="411902139">
      <w:bodyDiv w:val="1"/>
      <w:marLeft w:val="0"/>
      <w:marRight w:val="0"/>
      <w:marTop w:val="0"/>
      <w:marBottom w:val="0"/>
      <w:divBdr>
        <w:top w:val="none" w:sz="0" w:space="0" w:color="auto"/>
        <w:left w:val="none" w:sz="0" w:space="0" w:color="auto"/>
        <w:bottom w:val="none" w:sz="0" w:space="0" w:color="auto"/>
        <w:right w:val="none" w:sz="0" w:space="0" w:color="auto"/>
      </w:divBdr>
    </w:div>
    <w:div w:id="421950834">
      <w:bodyDiv w:val="1"/>
      <w:marLeft w:val="0"/>
      <w:marRight w:val="0"/>
      <w:marTop w:val="0"/>
      <w:marBottom w:val="0"/>
      <w:divBdr>
        <w:top w:val="none" w:sz="0" w:space="0" w:color="auto"/>
        <w:left w:val="none" w:sz="0" w:space="0" w:color="auto"/>
        <w:bottom w:val="none" w:sz="0" w:space="0" w:color="auto"/>
        <w:right w:val="none" w:sz="0" w:space="0" w:color="auto"/>
      </w:divBdr>
    </w:div>
    <w:div w:id="449394741">
      <w:bodyDiv w:val="1"/>
      <w:marLeft w:val="0"/>
      <w:marRight w:val="0"/>
      <w:marTop w:val="0"/>
      <w:marBottom w:val="0"/>
      <w:divBdr>
        <w:top w:val="none" w:sz="0" w:space="0" w:color="auto"/>
        <w:left w:val="none" w:sz="0" w:space="0" w:color="auto"/>
        <w:bottom w:val="none" w:sz="0" w:space="0" w:color="auto"/>
        <w:right w:val="none" w:sz="0" w:space="0" w:color="auto"/>
      </w:divBdr>
    </w:div>
    <w:div w:id="461004233">
      <w:bodyDiv w:val="1"/>
      <w:marLeft w:val="0"/>
      <w:marRight w:val="0"/>
      <w:marTop w:val="0"/>
      <w:marBottom w:val="0"/>
      <w:divBdr>
        <w:top w:val="none" w:sz="0" w:space="0" w:color="auto"/>
        <w:left w:val="none" w:sz="0" w:space="0" w:color="auto"/>
        <w:bottom w:val="none" w:sz="0" w:space="0" w:color="auto"/>
        <w:right w:val="none" w:sz="0" w:space="0" w:color="auto"/>
      </w:divBdr>
    </w:div>
    <w:div w:id="466702300">
      <w:bodyDiv w:val="1"/>
      <w:marLeft w:val="0"/>
      <w:marRight w:val="0"/>
      <w:marTop w:val="0"/>
      <w:marBottom w:val="0"/>
      <w:divBdr>
        <w:top w:val="none" w:sz="0" w:space="0" w:color="auto"/>
        <w:left w:val="none" w:sz="0" w:space="0" w:color="auto"/>
        <w:bottom w:val="none" w:sz="0" w:space="0" w:color="auto"/>
        <w:right w:val="none" w:sz="0" w:space="0" w:color="auto"/>
      </w:divBdr>
    </w:div>
    <w:div w:id="511408852">
      <w:bodyDiv w:val="1"/>
      <w:marLeft w:val="0"/>
      <w:marRight w:val="0"/>
      <w:marTop w:val="0"/>
      <w:marBottom w:val="0"/>
      <w:divBdr>
        <w:top w:val="none" w:sz="0" w:space="0" w:color="auto"/>
        <w:left w:val="none" w:sz="0" w:space="0" w:color="auto"/>
        <w:bottom w:val="none" w:sz="0" w:space="0" w:color="auto"/>
        <w:right w:val="none" w:sz="0" w:space="0" w:color="auto"/>
      </w:divBdr>
    </w:div>
    <w:div w:id="534392704">
      <w:bodyDiv w:val="1"/>
      <w:marLeft w:val="0"/>
      <w:marRight w:val="0"/>
      <w:marTop w:val="0"/>
      <w:marBottom w:val="0"/>
      <w:divBdr>
        <w:top w:val="none" w:sz="0" w:space="0" w:color="auto"/>
        <w:left w:val="none" w:sz="0" w:space="0" w:color="auto"/>
        <w:bottom w:val="none" w:sz="0" w:space="0" w:color="auto"/>
        <w:right w:val="none" w:sz="0" w:space="0" w:color="auto"/>
      </w:divBdr>
      <w:divsChild>
        <w:div w:id="39521191">
          <w:marLeft w:val="360"/>
          <w:marRight w:val="0"/>
          <w:marTop w:val="0"/>
          <w:marBottom w:val="360"/>
          <w:divBdr>
            <w:top w:val="none" w:sz="0" w:space="0" w:color="auto"/>
            <w:left w:val="none" w:sz="0" w:space="0" w:color="auto"/>
            <w:bottom w:val="none" w:sz="0" w:space="0" w:color="auto"/>
            <w:right w:val="none" w:sz="0" w:space="0" w:color="auto"/>
          </w:divBdr>
        </w:div>
      </w:divsChild>
    </w:div>
    <w:div w:id="611127446">
      <w:bodyDiv w:val="1"/>
      <w:marLeft w:val="0"/>
      <w:marRight w:val="0"/>
      <w:marTop w:val="0"/>
      <w:marBottom w:val="0"/>
      <w:divBdr>
        <w:top w:val="none" w:sz="0" w:space="0" w:color="auto"/>
        <w:left w:val="none" w:sz="0" w:space="0" w:color="auto"/>
        <w:bottom w:val="none" w:sz="0" w:space="0" w:color="auto"/>
        <w:right w:val="none" w:sz="0" w:space="0" w:color="auto"/>
      </w:divBdr>
    </w:div>
    <w:div w:id="611480566">
      <w:bodyDiv w:val="1"/>
      <w:marLeft w:val="0"/>
      <w:marRight w:val="0"/>
      <w:marTop w:val="0"/>
      <w:marBottom w:val="0"/>
      <w:divBdr>
        <w:top w:val="none" w:sz="0" w:space="0" w:color="auto"/>
        <w:left w:val="none" w:sz="0" w:space="0" w:color="auto"/>
        <w:bottom w:val="none" w:sz="0" w:space="0" w:color="auto"/>
        <w:right w:val="none" w:sz="0" w:space="0" w:color="auto"/>
      </w:divBdr>
    </w:div>
    <w:div w:id="654646853">
      <w:bodyDiv w:val="1"/>
      <w:marLeft w:val="0"/>
      <w:marRight w:val="0"/>
      <w:marTop w:val="0"/>
      <w:marBottom w:val="0"/>
      <w:divBdr>
        <w:top w:val="none" w:sz="0" w:space="0" w:color="auto"/>
        <w:left w:val="none" w:sz="0" w:space="0" w:color="auto"/>
        <w:bottom w:val="none" w:sz="0" w:space="0" w:color="auto"/>
        <w:right w:val="none" w:sz="0" w:space="0" w:color="auto"/>
      </w:divBdr>
    </w:div>
    <w:div w:id="665741450">
      <w:bodyDiv w:val="1"/>
      <w:marLeft w:val="0"/>
      <w:marRight w:val="0"/>
      <w:marTop w:val="0"/>
      <w:marBottom w:val="0"/>
      <w:divBdr>
        <w:top w:val="none" w:sz="0" w:space="0" w:color="auto"/>
        <w:left w:val="none" w:sz="0" w:space="0" w:color="auto"/>
        <w:bottom w:val="none" w:sz="0" w:space="0" w:color="auto"/>
        <w:right w:val="none" w:sz="0" w:space="0" w:color="auto"/>
      </w:divBdr>
    </w:div>
    <w:div w:id="674261066">
      <w:bodyDiv w:val="1"/>
      <w:marLeft w:val="0"/>
      <w:marRight w:val="0"/>
      <w:marTop w:val="0"/>
      <w:marBottom w:val="0"/>
      <w:divBdr>
        <w:top w:val="none" w:sz="0" w:space="0" w:color="auto"/>
        <w:left w:val="none" w:sz="0" w:space="0" w:color="auto"/>
        <w:bottom w:val="none" w:sz="0" w:space="0" w:color="auto"/>
        <w:right w:val="none" w:sz="0" w:space="0" w:color="auto"/>
      </w:divBdr>
    </w:div>
    <w:div w:id="676227913">
      <w:bodyDiv w:val="1"/>
      <w:marLeft w:val="0"/>
      <w:marRight w:val="0"/>
      <w:marTop w:val="0"/>
      <w:marBottom w:val="0"/>
      <w:divBdr>
        <w:top w:val="none" w:sz="0" w:space="0" w:color="auto"/>
        <w:left w:val="none" w:sz="0" w:space="0" w:color="auto"/>
        <w:bottom w:val="none" w:sz="0" w:space="0" w:color="auto"/>
        <w:right w:val="none" w:sz="0" w:space="0" w:color="auto"/>
      </w:divBdr>
    </w:div>
    <w:div w:id="678312559">
      <w:bodyDiv w:val="1"/>
      <w:marLeft w:val="0"/>
      <w:marRight w:val="0"/>
      <w:marTop w:val="0"/>
      <w:marBottom w:val="0"/>
      <w:divBdr>
        <w:top w:val="none" w:sz="0" w:space="0" w:color="auto"/>
        <w:left w:val="none" w:sz="0" w:space="0" w:color="auto"/>
        <w:bottom w:val="none" w:sz="0" w:space="0" w:color="auto"/>
        <w:right w:val="none" w:sz="0" w:space="0" w:color="auto"/>
      </w:divBdr>
    </w:div>
    <w:div w:id="694581099">
      <w:bodyDiv w:val="1"/>
      <w:marLeft w:val="0"/>
      <w:marRight w:val="0"/>
      <w:marTop w:val="0"/>
      <w:marBottom w:val="0"/>
      <w:divBdr>
        <w:top w:val="none" w:sz="0" w:space="0" w:color="auto"/>
        <w:left w:val="none" w:sz="0" w:space="0" w:color="auto"/>
        <w:bottom w:val="none" w:sz="0" w:space="0" w:color="auto"/>
        <w:right w:val="none" w:sz="0" w:space="0" w:color="auto"/>
      </w:divBdr>
    </w:div>
    <w:div w:id="698623417">
      <w:bodyDiv w:val="1"/>
      <w:marLeft w:val="0"/>
      <w:marRight w:val="0"/>
      <w:marTop w:val="0"/>
      <w:marBottom w:val="0"/>
      <w:divBdr>
        <w:top w:val="none" w:sz="0" w:space="0" w:color="auto"/>
        <w:left w:val="none" w:sz="0" w:space="0" w:color="auto"/>
        <w:bottom w:val="none" w:sz="0" w:space="0" w:color="auto"/>
        <w:right w:val="none" w:sz="0" w:space="0" w:color="auto"/>
      </w:divBdr>
    </w:div>
    <w:div w:id="739255667">
      <w:bodyDiv w:val="1"/>
      <w:marLeft w:val="0"/>
      <w:marRight w:val="0"/>
      <w:marTop w:val="0"/>
      <w:marBottom w:val="0"/>
      <w:divBdr>
        <w:top w:val="none" w:sz="0" w:space="0" w:color="auto"/>
        <w:left w:val="none" w:sz="0" w:space="0" w:color="auto"/>
        <w:bottom w:val="none" w:sz="0" w:space="0" w:color="auto"/>
        <w:right w:val="none" w:sz="0" w:space="0" w:color="auto"/>
      </w:divBdr>
    </w:div>
    <w:div w:id="766077118">
      <w:bodyDiv w:val="1"/>
      <w:marLeft w:val="0"/>
      <w:marRight w:val="0"/>
      <w:marTop w:val="0"/>
      <w:marBottom w:val="0"/>
      <w:divBdr>
        <w:top w:val="none" w:sz="0" w:space="0" w:color="auto"/>
        <w:left w:val="none" w:sz="0" w:space="0" w:color="auto"/>
        <w:bottom w:val="none" w:sz="0" w:space="0" w:color="auto"/>
        <w:right w:val="none" w:sz="0" w:space="0" w:color="auto"/>
      </w:divBdr>
    </w:div>
    <w:div w:id="790365231">
      <w:bodyDiv w:val="1"/>
      <w:marLeft w:val="0"/>
      <w:marRight w:val="0"/>
      <w:marTop w:val="0"/>
      <w:marBottom w:val="0"/>
      <w:divBdr>
        <w:top w:val="none" w:sz="0" w:space="0" w:color="auto"/>
        <w:left w:val="none" w:sz="0" w:space="0" w:color="auto"/>
        <w:bottom w:val="none" w:sz="0" w:space="0" w:color="auto"/>
        <w:right w:val="none" w:sz="0" w:space="0" w:color="auto"/>
      </w:divBdr>
    </w:div>
    <w:div w:id="795486211">
      <w:bodyDiv w:val="1"/>
      <w:marLeft w:val="0"/>
      <w:marRight w:val="0"/>
      <w:marTop w:val="0"/>
      <w:marBottom w:val="0"/>
      <w:divBdr>
        <w:top w:val="none" w:sz="0" w:space="0" w:color="auto"/>
        <w:left w:val="none" w:sz="0" w:space="0" w:color="auto"/>
        <w:bottom w:val="none" w:sz="0" w:space="0" w:color="auto"/>
        <w:right w:val="none" w:sz="0" w:space="0" w:color="auto"/>
      </w:divBdr>
    </w:div>
    <w:div w:id="796485441">
      <w:bodyDiv w:val="1"/>
      <w:marLeft w:val="0"/>
      <w:marRight w:val="0"/>
      <w:marTop w:val="0"/>
      <w:marBottom w:val="0"/>
      <w:divBdr>
        <w:top w:val="none" w:sz="0" w:space="0" w:color="auto"/>
        <w:left w:val="none" w:sz="0" w:space="0" w:color="auto"/>
        <w:bottom w:val="none" w:sz="0" w:space="0" w:color="auto"/>
        <w:right w:val="none" w:sz="0" w:space="0" w:color="auto"/>
      </w:divBdr>
    </w:div>
    <w:div w:id="803425447">
      <w:bodyDiv w:val="1"/>
      <w:marLeft w:val="0"/>
      <w:marRight w:val="0"/>
      <w:marTop w:val="0"/>
      <w:marBottom w:val="0"/>
      <w:divBdr>
        <w:top w:val="none" w:sz="0" w:space="0" w:color="auto"/>
        <w:left w:val="none" w:sz="0" w:space="0" w:color="auto"/>
        <w:bottom w:val="none" w:sz="0" w:space="0" w:color="auto"/>
        <w:right w:val="none" w:sz="0" w:space="0" w:color="auto"/>
      </w:divBdr>
      <w:divsChild>
        <w:div w:id="45032065">
          <w:marLeft w:val="547"/>
          <w:marRight w:val="0"/>
          <w:marTop w:val="0"/>
          <w:marBottom w:val="0"/>
          <w:divBdr>
            <w:top w:val="none" w:sz="0" w:space="0" w:color="auto"/>
            <w:left w:val="none" w:sz="0" w:space="0" w:color="auto"/>
            <w:bottom w:val="none" w:sz="0" w:space="0" w:color="auto"/>
            <w:right w:val="none" w:sz="0" w:space="0" w:color="auto"/>
          </w:divBdr>
        </w:div>
        <w:div w:id="1035934066">
          <w:marLeft w:val="547"/>
          <w:marRight w:val="0"/>
          <w:marTop w:val="0"/>
          <w:marBottom w:val="0"/>
          <w:divBdr>
            <w:top w:val="none" w:sz="0" w:space="0" w:color="auto"/>
            <w:left w:val="none" w:sz="0" w:space="0" w:color="auto"/>
            <w:bottom w:val="none" w:sz="0" w:space="0" w:color="auto"/>
            <w:right w:val="none" w:sz="0" w:space="0" w:color="auto"/>
          </w:divBdr>
        </w:div>
        <w:div w:id="1219785834">
          <w:marLeft w:val="547"/>
          <w:marRight w:val="0"/>
          <w:marTop w:val="0"/>
          <w:marBottom w:val="0"/>
          <w:divBdr>
            <w:top w:val="none" w:sz="0" w:space="0" w:color="auto"/>
            <w:left w:val="none" w:sz="0" w:space="0" w:color="auto"/>
            <w:bottom w:val="none" w:sz="0" w:space="0" w:color="auto"/>
            <w:right w:val="none" w:sz="0" w:space="0" w:color="auto"/>
          </w:divBdr>
        </w:div>
        <w:div w:id="1498963173">
          <w:marLeft w:val="547"/>
          <w:marRight w:val="0"/>
          <w:marTop w:val="0"/>
          <w:marBottom w:val="0"/>
          <w:divBdr>
            <w:top w:val="none" w:sz="0" w:space="0" w:color="auto"/>
            <w:left w:val="none" w:sz="0" w:space="0" w:color="auto"/>
            <w:bottom w:val="none" w:sz="0" w:space="0" w:color="auto"/>
            <w:right w:val="none" w:sz="0" w:space="0" w:color="auto"/>
          </w:divBdr>
        </w:div>
        <w:div w:id="1977103259">
          <w:marLeft w:val="547"/>
          <w:marRight w:val="0"/>
          <w:marTop w:val="0"/>
          <w:marBottom w:val="0"/>
          <w:divBdr>
            <w:top w:val="none" w:sz="0" w:space="0" w:color="auto"/>
            <w:left w:val="none" w:sz="0" w:space="0" w:color="auto"/>
            <w:bottom w:val="none" w:sz="0" w:space="0" w:color="auto"/>
            <w:right w:val="none" w:sz="0" w:space="0" w:color="auto"/>
          </w:divBdr>
        </w:div>
      </w:divsChild>
    </w:div>
    <w:div w:id="831869416">
      <w:bodyDiv w:val="1"/>
      <w:marLeft w:val="0"/>
      <w:marRight w:val="0"/>
      <w:marTop w:val="0"/>
      <w:marBottom w:val="0"/>
      <w:divBdr>
        <w:top w:val="none" w:sz="0" w:space="0" w:color="auto"/>
        <w:left w:val="none" w:sz="0" w:space="0" w:color="auto"/>
        <w:bottom w:val="none" w:sz="0" w:space="0" w:color="auto"/>
        <w:right w:val="none" w:sz="0" w:space="0" w:color="auto"/>
      </w:divBdr>
    </w:div>
    <w:div w:id="836992253">
      <w:bodyDiv w:val="1"/>
      <w:marLeft w:val="0"/>
      <w:marRight w:val="0"/>
      <w:marTop w:val="0"/>
      <w:marBottom w:val="0"/>
      <w:divBdr>
        <w:top w:val="none" w:sz="0" w:space="0" w:color="auto"/>
        <w:left w:val="none" w:sz="0" w:space="0" w:color="auto"/>
        <w:bottom w:val="none" w:sz="0" w:space="0" w:color="auto"/>
        <w:right w:val="none" w:sz="0" w:space="0" w:color="auto"/>
      </w:divBdr>
    </w:div>
    <w:div w:id="848905401">
      <w:bodyDiv w:val="1"/>
      <w:marLeft w:val="0"/>
      <w:marRight w:val="0"/>
      <w:marTop w:val="0"/>
      <w:marBottom w:val="0"/>
      <w:divBdr>
        <w:top w:val="none" w:sz="0" w:space="0" w:color="auto"/>
        <w:left w:val="none" w:sz="0" w:space="0" w:color="auto"/>
        <w:bottom w:val="none" w:sz="0" w:space="0" w:color="auto"/>
        <w:right w:val="none" w:sz="0" w:space="0" w:color="auto"/>
      </w:divBdr>
    </w:div>
    <w:div w:id="864442875">
      <w:bodyDiv w:val="1"/>
      <w:marLeft w:val="0"/>
      <w:marRight w:val="0"/>
      <w:marTop w:val="0"/>
      <w:marBottom w:val="0"/>
      <w:divBdr>
        <w:top w:val="none" w:sz="0" w:space="0" w:color="auto"/>
        <w:left w:val="none" w:sz="0" w:space="0" w:color="auto"/>
        <w:bottom w:val="none" w:sz="0" w:space="0" w:color="auto"/>
        <w:right w:val="none" w:sz="0" w:space="0" w:color="auto"/>
      </w:divBdr>
    </w:div>
    <w:div w:id="872306227">
      <w:bodyDiv w:val="1"/>
      <w:marLeft w:val="0"/>
      <w:marRight w:val="0"/>
      <w:marTop w:val="0"/>
      <w:marBottom w:val="0"/>
      <w:divBdr>
        <w:top w:val="none" w:sz="0" w:space="0" w:color="auto"/>
        <w:left w:val="none" w:sz="0" w:space="0" w:color="auto"/>
        <w:bottom w:val="none" w:sz="0" w:space="0" w:color="auto"/>
        <w:right w:val="none" w:sz="0" w:space="0" w:color="auto"/>
      </w:divBdr>
    </w:div>
    <w:div w:id="874462149">
      <w:bodyDiv w:val="1"/>
      <w:marLeft w:val="0"/>
      <w:marRight w:val="0"/>
      <w:marTop w:val="0"/>
      <w:marBottom w:val="0"/>
      <w:divBdr>
        <w:top w:val="none" w:sz="0" w:space="0" w:color="auto"/>
        <w:left w:val="none" w:sz="0" w:space="0" w:color="auto"/>
        <w:bottom w:val="none" w:sz="0" w:space="0" w:color="auto"/>
        <w:right w:val="none" w:sz="0" w:space="0" w:color="auto"/>
      </w:divBdr>
    </w:div>
    <w:div w:id="879704803">
      <w:bodyDiv w:val="1"/>
      <w:marLeft w:val="0"/>
      <w:marRight w:val="0"/>
      <w:marTop w:val="0"/>
      <w:marBottom w:val="0"/>
      <w:divBdr>
        <w:top w:val="none" w:sz="0" w:space="0" w:color="auto"/>
        <w:left w:val="none" w:sz="0" w:space="0" w:color="auto"/>
        <w:bottom w:val="none" w:sz="0" w:space="0" w:color="auto"/>
        <w:right w:val="none" w:sz="0" w:space="0" w:color="auto"/>
      </w:divBdr>
      <w:divsChild>
        <w:div w:id="128254520">
          <w:marLeft w:val="547"/>
          <w:marRight w:val="0"/>
          <w:marTop w:val="0"/>
          <w:marBottom w:val="0"/>
          <w:divBdr>
            <w:top w:val="none" w:sz="0" w:space="0" w:color="auto"/>
            <w:left w:val="none" w:sz="0" w:space="0" w:color="auto"/>
            <w:bottom w:val="none" w:sz="0" w:space="0" w:color="auto"/>
            <w:right w:val="none" w:sz="0" w:space="0" w:color="auto"/>
          </w:divBdr>
        </w:div>
        <w:div w:id="973872757">
          <w:marLeft w:val="547"/>
          <w:marRight w:val="0"/>
          <w:marTop w:val="0"/>
          <w:marBottom w:val="0"/>
          <w:divBdr>
            <w:top w:val="none" w:sz="0" w:space="0" w:color="auto"/>
            <w:left w:val="none" w:sz="0" w:space="0" w:color="auto"/>
            <w:bottom w:val="none" w:sz="0" w:space="0" w:color="auto"/>
            <w:right w:val="none" w:sz="0" w:space="0" w:color="auto"/>
          </w:divBdr>
        </w:div>
        <w:div w:id="1425033918">
          <w:marLeft w:val="547"/>
          <w:marRight w:val="0"/>
          <w:marTop w:val="0"/>
          <w:marBottom w:val="0"/>
          <w:divBdr>
            <w:top w:val="none" w:sz="0" w:space="0" w:color="auto"/>
            <w:left w:val="none" w:sz="0" w:space="0" w:color="auto"/>
            <w:bottom w:val="none" w:sz="0" w:space="0" w:color="auto"/>
            <w:right w:val="none" w:sz="0" w:space="0" w:color="auto"/>
          </w:divBdr>
        </w:div>
        <w:div w:id="1481263496">
          <w:marLeft w:val="547"/>
          <w:marRight w:val="0"/>
          <w:marTop w:val="0"/>
          <w:marBottom w:val="0"/>
          <w:divBdr>
            <w:top w:val="none" w:sz="0" w:space="0" w:color="auto"/>
            <w:left w:val="none" w:sz="0" w:space="0" w:color="auto"/>
            <w:bottom w:val="none" w:sz="0" w:space="0" w:color="auto"/>
            <w:right w:val="none" w:sz="0" w:space="0" w:color="auto"/>
          </w:divBdr>
        </w:div>
      </w:divsChild>
    </w:div>
    <w:div w:id="885802603">
      <w:bodyDiv w:val="1"/>
      <w:marLeft w:val="0"/>
      <w:marRight w:val="0"/>
      <w:marTop w:val="0"/>
      <w:marBottom w:val="0"/>
      <w:divBdr>
        <w:top w:val="none" w:sz="0" w:space="0" w:color="auto"/>
        <w:left w:val="none" w:sz="0" w:space="0" w:color="auto"/>
        <w:bottom w:val="none" w:sz="0" w:space="0" w:color="auto"/>
        <w:right w:val="none" w:sz="0" w:space="0" w:color="auto"/>
      </w:divBdr>
    </w:div>
    <w:div w:id="889417854">
      <w:bodyDiv w:val="1"/>
      <w:marLeft w:val="0"/>
      <w:marRight w:val="0"/>
      <w:marTop w:val="0"/>
      <w:marBottom w:val="0"/>
      <w:divBdr>
        <w:top w:val="none" w:sz="0" w:space="0" w:color="auto"/>
        <w:left w:val="none" w:sz="0" w:space="0" w:color="auto"/>
        <w:bottom w:val="none" w:sz="0" w:space="0" w:color="auto"/>
        <w:right w:val="none" w:sz="0" w:space="0" w:color="auto"/>
      </w:divBdr>
      <w:divsChild>
        <w:div w:id="192350643">
          <w:marLeft w:val="720"/>
          <w:marRight w:val="0"/>
          <w:marTop w:val="480"/>
          <w:marBottom w:val="120"/>
          <w:divBdr>
            <w:top w:val="none" w:sz="0" w:space="0" w:color="auto"/>
            <w:left w:val="none" w:sz="0" w:space="0" w:color="auto"/>
            <w:bottom w:val="none" w:sz="0" w:space="0" w:color="auto"/>
            <w:right w:val="none" w:sz="0" w:space="0" w:color="auto"/>
          </w:divBdr>
        </w:div>
        <w:div w:id="836843437">
          <w:marLeft w:val="720"/>
          <w:marRight w:val="0"/>
          <w:marTop w:val="480"/>
          <w:marBottom w:val="120"/>
          <w:divBdr>
            <w:top w:val="none" w:sz="0" w:space="0" w:color="auto"/>
            <w:left w:val="none" w:sz="0" w:space="0" w:color="auto"/>
            <w:bottom w:val="none" w:sz="0" w:space="0" w:color="auto"/>
            <w:right w:val="none" w:sz="0" w:space="0" w:color="auto"/>
          </w:divBdr>
        </w:div>
        <w:div w:id="963199200">
          <w:marLeft w:val="720"/>
          <w:marRight w:val="0"/>
          <w:marTop w:val="480"/>
          <w:marBottom w:val="120"/>
          <w:divBdr>
            <w:top w:val="none" w:sz="0" w:space="0" w:color="auto"/>
            <w:left w:val="none" w:sz="0" w:space="0" w:color="auto"/>
            <w:bottom w:val="none" w:sz="0" w:space="0" w:color="auto"/>
            <w:right w:val="none" w:sz="0" w:space="0" w:color="auto"/>
          </w:divBdr>
        </w:div>
      </w:divsChild>
    </w:div>
    <w:div w:id="897597326">
      <w:bodyDiv w:val="1"/>
      <w:marLeft w:val="0"/>
      <w:marRight w:val="0"/>
      <w:marTop w:val="0"/>
      <w:marBottom w:val="0"/>
      <w:divBdr>
        <w:top w:val="none" w:sz="0" w:space="0" w:color="auto"/>
        <w:left w:val="none" w:sz="0" w:space="0" w:color="auto"/>
        <w:bottom w:val="none" w:sz="0" w:space="0" w:color="auto"/>
        <w:right w:val="none" w:sz="0" w:space="0" w:color="auto"/>
      </w:divBdr>
    </w:div>
    <w:div w:id="916016364">
      <w:bodyDiv w:val="1"/>
      <w:marLeft w:val="0"/>
      <w:marRight w:val="0"/>
      <w:marTop w:val="0"/>
      <w:marBottom w:val="0"/>
      <w:divBdr>
        <w:top w:val="none" w:sz="0" w:space="0" w:color="auto"/>
        <w:left w:val="none" w:sz="0" w:space="0" w:color="auto"/>
        <w:bottom w:val="none" w:sz="0" w:space="0" w:color="auto"/>
        <w:right w:val="none" w:sz="0" w:space="0" w:color="auto"/>
      </w:divBdr>
      <w:divsChild>
        <w:div w:id="516505162">
          <w:marLeft w:val="0"/>
          <w:marRight w:val="0"/>
          <w:marTop w:val="0"/>
          <w:marBottom w:val="0"/>
          <w:divBdr>
            <w:top w:val="none" w:sz="0" w:space="0" w:color="auto"/>
            <w:left w:val="none" w:sz="0" w:space="0" w:color="auto"/>
            <w:bottom w:val="none" w:sz="0" w:space="0" w:color="auto"/>
            <w:right w:val="none" w:sz="0" w:space="0" w:color="auto"/>
          </w:divBdr>
        </w:div>
      </w:divsChild>
    </w:div>
    <w:div w:id="955256438">
      <w:bodyDiv w:val="1"/>
      <w:marLeft w:val="0"/>
      <w:marRight w:val="0"/>
      <w:marTop w:val="0"/>
      <w:marBottom w:val="0"/>
      <w:divBdr>
        <w:top w:val="none" w:sz="0" w:space="0" w:color="auto"/>
        <w:left w:val="none" w:sz="0" w:space="0" w:color="auto"/>
        <w:bottom w:val="none" w:sz="0" w:space="0" w:color="auto"/>
        <w:right w:val="none" w:sz="0" w:space="0" w:color="auto"/>
      </w:divBdr>
    </w:div>
    <w:div w:id="967663225">
      <w:bodyDiv w:val="1"/>
      <w:marLeft w:val="0"/>
      <w:marRight w:val="0"/>
      <w:marTop w:val="0"/>
      <w:marBottom w:val="0"/>
      <w:divBdr>
        <w:top w:val="none" w:sz="0" w:space="0" w:color="auto"/>
        <w:left w:val="none" w:sz="0" w:space="0" w:color="auto"/>
        <w:bottom w:val="none" w:sz="0" w:space="0" w:color="auto"/>
        <w:right w:val="none" w:sz="0" w:space="0" w:color="auto"/>
      </w:divBdr>
    </w:div>
    <w:div w:id="971055435">
      <w:bodyDiv w:val="1"/>
      <w:marLeft w:val="0"/>
      <w:marRight w:val="0"/>
      <w:marTop w:val="0"/>
      <w:marBottom w:val="0"/>
      <w:divBdr>
        <w:top w:val="none" w:sz="0" w:space="0" w:color="auto"/>
        <w:left w:val="none" w:sz="0" w:space="0" w:color="auto"/>
        <w:bottom w:val="none" w:sz="0" w:space="0" w:color="auto"/>
        <w:right w:val="none" w:sz="0" w:space="0" w:color="auto"/>
      </w:divBdr>
    </w:div>
    <w:div w:id="977219614">
      <w:bodyDiv w:val="1"/>
      <w:marLeft w:val="0"/>
      <w:marRight w:val="0"/>
      <w:marTop w:val="0"/>
      <w:marBottom w:val="0"/>
      <w:divBdr>
        <w:top w:val="none" w:sz="0" w:space="0" w:color="auto"/>
        <w:left w:val="none" w:sz="0" w:space="0" w:color="auto"/>
        <w:bottom w:val="none" w:sz="0" w:space="0" w:color="auto"/>
        <w:right w:val="none" w:sz="0" w:space="0" w:color="auto"/>
      </w:divBdr>
    </w:div>
    <w:div w:id="979264732">
      <w:bodyDiv w:val="1"/>
      <w:marLeft w:val="0"/>
      <w:marRight w:val="0"/>
      <w:marTop w:val="0"/>
      <w:marBottom w:val="0"/>
      <w:divBdr>
        <w:top w:val="none" w:sz="0" w:space="0" w:color="auto"/>
        <w:left w:val="none" w:sz="0" w:space="0" w:color="auto"/>
        <w:bottom w:val="none" w:sz="0" w:space="0" w:color="auto"/>
        <w:right w:val="none" w:sz="0" w:space="0" w:color="auto"/>
      </w:divBdr>
      <w:divsChild>
        <w:div w:id="310211023">
          <w:marLeft w:val="274"/>
          <w:marRight w:val="0"/>
          <w:marTop w:val="0"/>
          <w:marBottom w:val="0"/>
          <w:divBdr>
            <w:top w:val="none" w:sz="0" w:space="0" w:color="auto"/>
            <w:left w:val="none" w:sz="0" w:space="0" w:color="auto"/>
            <w:bottom w:val="none" w:sz="0" w:space="0" w:color="auto"/>
            <w:right w:val="none" w:sz="0" w:space="0" w:color="auto"/>
          </w:divBdr>
        </w:div>
        <w:div w:id="858347910">
          <w:marLeft w:val="274"/>
          <w:marRight w:val="0"/>
          <w:marTop w:val="0"/>
          <w:marBottom w:val="0"/>
          <w:divBdr>
            <w:top w:val="none" w:sz="0" w:space="0" w:color="auto"/>
            <w:left w:val="none" w:sz="0" w:space="0" w:color="auto"/>
            <w:bottom w:val="none" w:sz="0" w:space="0" w:color="auto"/>
            <w:right w:val="none" w:sz="0" w:space="0" w:color="auto"/>
          </w:divBdr>
        </w:div>
        <w:div w:id="936252603">
          <w:marLeft w:val="274"/>
          <w:marRight w:val="0"/>
          <w:marTop w:val="0"/>
          <w:marBottom w:val="0"/>
          <w:divBdr>
            <w:top w:val="none" w:sz="0" w:space="0" w:color="auto"/>
            <w:left w:val="none" w:sz="0" w:space="0" w:color="auto"/>
            <w:bottom w:val="none" w:sz="0" w:space="0" w:color="auto"/>
            <w:right w:val="none" w:sz="0" w:space="0" w:color="auto"/>
          </w:divBdr>
        </w:div>
        <w:div w:id="1332492695">
          <w:marLeft w:val="274"/>
          <w:marRight w:val="0"/>
          <w:marTop w:val="0"/>
          <w:marBottom w:val="0"/>
          <w:divBdr>
            <w:top w:val="none" w:sz="0" w:space="0" w:color="auto"/>
            <w:left w:val="none" w:sz="0" w:space="0" w:color="auto"/>
            <w:bottom w:val="none" w:sz="0" w:space="0" w:color="auto"/>
            <w:right w:val="none" w:sz="0" w:space="0" w:color="auto"/>
          </w:divBdr>
        </w:div>
        <w:div w:id="1729768420">
          <w:marLeft w:val="274"/>
          <w:marRight w:val="0"/>
          <w:marTop w:val="0"/>
          <w:marBottom w:val="0"/>
          <w:divBdr>
            <w:top w:val="none" w:sz="0" w:space="0" w:color="auto"/>
            <w:left w:val="none" w:sz="0" w:space="0" w:color="auto"/>
            <w:bottom w:val="none" w:sz="0" w:space="0" w:color="auto"/>
            <w:right w:val="none" w:sz="0" w:space="0" w:color="auto"/>
          </w:divBdr>
        </w:div>
        <w:div w:id="1993093135">
          <w:marLeft w:val="274"/>
          <w:marRight w:val="0"/>
          <w:marTop w:val="0"/>
          <w:marBottom w:val="0"/>
          <w:divBdr>
            <w:top w:val="none" w:sz="0" w:space="0" w:color="auto"/>
            <w:left w:val="none" w:sz="0" w:space="0" w:color="auto"/>
            <w:bottom w:val="none" w:sz="0" w:space="0" w:color="auto"/>
            <w:right w:val="none" w:sz="0" w:space="0" w:color="auto"/>
          </w:divBdr>
        </w:div>
      </w:divsChild>
    </w:div>
    <w:div w:id="984430744">
      <w:bodyDiv w:val="1"/>
      <w:marLeft w:val="0"/>
      <w:marRight w:val="0"/>
      <w:marTop w:val="0"/>
      <w:marBottom w:val="0"/>
      <w:divBdr>
        <w:top w:val="none" w:sz="0" w:space="0" w:color="auto"/>
        <w:left w:val="none" w:sz="0" w:space="0" w:color="auto"/>
        <w:bottom w:val="none" w:sz="0" w:space="0" w:color="auto"/>
        <w:right w:val="none" w:sz="0" w:space="0" w:color="auto"/>
      </w:divBdr>
    </w:div>
    <w:div w:id="990598595">
      <w:bodyDiv w:val="1"/>
      <w:marLeft w:val="0"/>
      <w:marRight w:val="0"/>
      <w:marTop w:val="0"/>
      <w:marBottom w:val="0"/>
      <w:divBdr>
        <w:top w:val="none" w:sz="0" w:space="0" w:color="auto"/>
        <w:left w:val="none" w:sz="0" w:space="0" w:color="auto"/>
        <w:bottom w:val="none" w:sz="0" w:space="0" w:color="auto"/>
        <w:right w:val="none" w:sz="0" w:space="0" w:color="auto"/>
      </w:divBdr>
    </w:div>
    <w:div w:id="1020356932">
      <w:bodyDiv w:val="1"/>
      <w:marLeft w:val="0"/>
      <w:marRight w:val="0"/>
      <w:marTop w:val="0"/>
      <w:marBottom w:val="0"/>
      <w:divBdr>
        <w:top w:val="none" w:sz="0" w:space="0" w:color="auto"/>
        <w:left w:val="none" w:sz="0" w:space="0" w:color="auto"/>
        <w:bottom w:val="none" w:sz="0" w:space="0" w:color="auto"/>
        <w:right w:val="none" w:sz="0" w:space="0" w:color="auto"/>
      </w:divBdr>
    </w:div>
    <w:div w:id="1028524556">
      <w:bodyDiv w:val="1"/>
      <w:marLeft w:val="0"/>
      <w:marRight w:val="0"/>
      <w:marTop w:val="0"/>
      <w:marBottom w:val="0"/>
      <w:divBdr>
        <w:top w:val="none" w:sz="0" w:space="0" w:color="auto"/>
        <w:left w:val="none" w:sz="0" w:space="0" w:color="auto"/>
        <w:bottom w:val="none" w:sz="0" w:space="0" w:color="auto"/>
        <w:right w:val="none" w:sz="0" w:space="0" w:color="auto"/>
      </w:divBdr>
    </w:div>
    <w:div w:id="1036851646">
      <w:bodyDiv w:val="1"/>
      <w:marLeft w:val="0"/>
      <w:marRight w:val="0"/>
      <w:marTop w:val="0"/>
      <w:marBottom w:val="0"/>
      <w:divBdr>
        <w:top w:val="none" w:sz="0" w:space="0" w:color="auto"/>
        <w:left w:val="none" w:sz="0" w:space="0" w:color="auto"/>
        <w:bottom w:val="none" w:sz="0" w:space="0" w:color="auto"/>
        <w:right w:val="none" w:sz="0" w:space="0" w:color="auto"/>
      </w:divBdr>
    </w:div>
    <w:div w:id="1055812405">
      <w:bodyDiv w:val="1"/>
      <w:marLeft w:val="0"/>
      <w:marRight w:val="0"/>
      <w:marTop w:val="0"/>
      <w:marBottom w:val="0"/>
      <w:divBdr>
        <w:top w:val="none" w:sz="0" w:space="0" w:color="auto"/>
        <w:left w:val="none" w:sz="0" w:space="0" w:color="auto"/>
        <w:bottom w:val="none" w:sz="0" w:space="0" w:color="auto"/>
        <w:right w:val="none" w:sz="0" w:space="0" w:color="auto"/>
      </w:divBdr>
    </w:div>
    <w:div w:id="1058364393">
      <w:bodyDiv w:val="1"/>
      <w:marLeft w:val="0"/>
      <w:marRight w:val="0"/>
      <w:marTop w:val="0"/>
      <w:marBottom w:val="0"/>
      <w:divBdr>
        <w:top w:val="none" w:sz="0" w:space="0" w:color="auto"/>
        <w:left w:val="none" w:sz="0" w:space="0" w:color="auto"/>
        <w:bottom w:val="none" w:sz="0" w:space="0" w:color="auto"/>
        <w:right w:val="none" w:sz="0" w:space="0" w:color="auto"/>
      </w:divBdr>
    </w:div>
    <w:div w:id="1084448619">
      <w:bodyDiv w:val="1"/>
      <w:marLeft w:val="0"/>
      <w:marRight w:val="0"/>
      <w:marTop w:val="0"/>
      <w:marBottom w:val="0"/>
      <w:divBdr>
        <w:top w:val="none" w:sz="0" w:space="0" w:color="auto"/>
        <w:left w:val="none" w:sz="0" w:space="0" w:color="auto"/>
        <w:bottom w:val="none" w:sz="0" w:space="0" w:color="auto"/>
        <w:right w:val="none" w:sz="0" w:space="0" w:color="auto"/>
      </w:divBdr>
    </w:div>
    <w:div w:id="1097751220">
      <w:bodyDiv w:val="1"/>
      <w:marLeft w:val="0"/>
      <w:marRight w:val="0"/>
      <w:marTop w:val="0"/>
      <w:marBottom w:val="0"/>
      <w:divBdr>
        <w:top w:val="none" w:sz="0" w:space="0" w:color="auto"/>
        <w:left w:val="none" w:sz="0" w:space="0" w:color="auto"/>
        <w:bottom w:val="none" w:sz="0" w:space="0" w:color="auto"/>
        <w:right w:val="none" w:sz="0" w:space="0" w:color="auto"/>
      </w:divBdr>
    </w:div>
    <w:div w:id="1117674369">
      <w:bodyDiv w:val="1"/>
      <w:marLeft w:val="0"/>
      <w:marRight w:val="0"/>
      <w:marTop w:val="0"/>
      <w:marBottom w:val="0"/>
      <w:divBdr>
        <w:top w:val="none" w:sz="0" w:space="0" w:color="auto"/>
        <w:left w:val="none" w:sz="0" w:space="0" w:color="auto"/>
        <w:bottom w:val="none" w:sz="0" w:space="0" w:color="auto"/>
        <w:right w:val="none" w:sz="0" w:space="0" w:color="auto"/>
      </w:divBdr>
    </w:div>
    <w:div w:id="1147089872">
      <w:bodyDiv w:val="1"/>
      <w:marLeft w:val="0"/>
      <w:marRight w:val="0"/>
      <w:marTop w:val="0"/>
      <w:marBottom w:val="0"/>
      <w:divBdr>
        <w:top w:val="none" w:sz="0" w:space="0" w:color="auto"/>
        <w:left w:val="none" w:sz="0" w:space="0" w:color="auto"/>
        <w:bottom w:val="none" w:sz="0" w:space="0" w:color="auto"/>
        <w:right w:val="none" w:sz="0" w:space="0" w:color="auto"/>
      </w:divBdr>
    </w:div>
    <w:div w:id="1160200011">
      <w:bodyDiv w:val="1"/>
      <w:marLeft w:val="0"/>
      <w:marRight w:val="0"/>
      <w:marTop w:val="0"/>
      <w:marBottom w:val="0"/>
      <w:divBdr>
        <w:top w:val="none" w:sz="0" w:space="0" w:color="auto"/>
        <w:left w:val="none" w:sz="0" w:space="0" w:color="auto"/>
        <w:bottom w:val="none" w:sz="0" w:space="0" w:color="auto"/>
        <w:right w:val="none" w:sz="0" w:space="0" w:color="auto"/>
      </w:divBdr>
    </w:div>
    <w:div w:id="1165971225">
      <w:bodyDiv w:val="1"/>
      <w:marLeft w:val="0"/>
      <w:marRight w:val="0"/>
      <w:marTop w:val="0"/>
      <w:marBottom w:val="0"/>
      <w:divBdr>
        <w:top w:val="none" w:sz="0" w:space="0" w:color="auto"/>
        <w:left w:val="none" w:sz="0" w:space="0" w:color="auto"/>
        <w:bottom w:val="none" w:sz="0" w:space="0" w:color="auto"/>
        <w:right w:val="none" w:sz="0" w:space="0" w:color="auto"/>
      </w:divBdr>
    </w:div>
    <w:div w:id="1168134938">
      <w:bodyDiv w:val="1"/>
      <w:marLeft w:val="0"/>
      <w:marRight w:val="0"/>
      <w:marTop w:val="0"/>
      <w:marBottom w:val="0"/>
      <w:divBdr>
        <w:top w:val="none" w:sz="0" w:space="0" w:color="auto"/>
        <w:left w:val="none" w:sz="0" w:space="0" w:color="auto"/>
        <w:bottom w:val="none" w:sz="0" w:space="0" w:color="auto"/>
        <w:right w:val="none" w:sz="0" w:space="0" w:color="auto"/>
      </w:divBdr>
    </w:div>
    <w:div w:id="1185290878">
      <w:bodyDiv w:val="1"/>
      <w:marLeft w:val="0"/>
      <w:marRight w:val="0"/>
      <w:marTop w:val="0"/>
      <w:marBottom w:val="0"/>
      <w:divBdr>
        <w:top w:val="none" w:sz="0" w:space="0" w:color="auto"/>
        <w:left w:val="none" w:sz="0" w:space="0" w:color="auto"/>
        <w:bottom w:val="none" w:sz="0" w:space="0" w:color="auto"/>
        <w:right w:val="none" w:sz="0" w:space="0" w:color="auto"/>
      </w:divBdr>
    </w:div>
    <w:div w:id="1203976287">
      <w:bodyDiv w:val="1"/>
      <w:marLeft w:val="0"/>
      <w:marRight w:val="0"/>
      <w:marTop w:val="0"/>
      <w:marBottom w:val="0"/>
      <w:divBdr>
        <w:top w:val="none" w:sz="0" w:space="0" w:color="auto"/>
        <w:left w:val="none" w:sz="0" w:space="0" w:color="auto"/>
        <w:bottom w:val="none" w:sz="0" w:space="0" w:color="auto"/>
        <w:right w:val="none" w:sz="0" w:space="0" w:color="auto"/>
      </w:divBdr>
    </w:div>
    <w:div w:id="1209493457">
      <w:bodyDiv w:val="1"/>
      <w:marLeft w:val="0"/>
      <w:marRight w:val="0"/>
      <w:marTop w:val="0"/>
      <w:marBottom w:val="0"/>
      <w:divBdr>
        <w:top w:val="none" w:sz="0" w:space="0" w:color="auto"/>
        <w:left w:val="none" w:sz="0" w:space="0" w:color="auto"/>
        <w:bottom w:val="none" w:sz="0" w:space="0" w:color="auto"/>
        <w:right w:val="none" w:sz="0" w:space="0" w:color="auto"/>
      </w:divBdr>
    </w:div>
    <w:div w:id="1210150304">
      <w:bodyDiv w:val="1"/>
      <w:marLeft w:val="0"/>
      <w:marRight w:val="0"/>
      <w:marTop w:val="0"/>
      <w:marBottom w:val="0"/>
      <w:divBdr>
        <w:top w:val="none" w:sz="0" w:space="0" w:color="auto"/>
        <w:left w:val="none" w:sz="0" w:space="0" w:color="auto"/>
        <w:bottom w:val="none" w:sz="0" w:space="0" w:color="auto"/>
        <w:right w:val="none" w:sz="0" w:space="0" w:color="auto"/>
      </w:divBdr>
    </w:div>
    <w:div w:id="1214659555">
      <w:bodyDiv w:val="1"/>
      <w:marLeft w:val="0"/>
      <w:marRight w:val="0"/>
      <w:marTop w:val="0"/>
      <w:marBottom w:val="0"/>
      <w:divBdr>
        <w:top w:val="none" w:sz="0" w:space="0" w:color="auto"/>
        <w:left w:val="none" w:sz="0" w:space="0" w:color="auto"/>
        <w:bottom w:val="none" w:sz="0" w:space="0" w:color="auto"/>
        <w:right w:val="none" w:sz="0" w:space="0" w:color="auto"/>
      </w:divBdr>
    </w:div>
    <w:div w:id="1214998452">
      <w:bodyDiv w:val="1"/>
      <w:marLeft w:val="0"/>
      <w:marRight w:val="0"/>
      <w:marTop w:val="0"/>
      <w:marBottom w:val="0"/>
      <w:divBdr>
        <w:top w:val="none" w:sz="0" w:space="0" w:color="auto"/>
        <w:left w:val="none" w:sz="0" w:space="0" w:color="auto"/>
        <w:bottom w:val="none" w:sz="0" w:space="0" w:color="auto"/>
        <w:right w:val="none" w:sz="0" w:space="0" w:color="auto"/>
      </w:divBdr>
    </w:div>
    <w:div w:id="1218592016">
      <w:bodyDiv w:val="1"/>
      <w:marLeft w:val="0"/>
      <w:marRight w:val="0"/>
      <w:marTop w:val="0"/>
      <w:marBottom w:val="0"/>
      <w:divBdr>
        <w:top w:val="none" w:sz="0" w:space="0" w:color="auto"/>
        <w:left w:val="none" w:sz="0" w:space="0" w:color="auto"/>
        <w:bottom w:val="none" w:sz="0" w:space="0" w:color="auto"/>
        <w:right w:val="none" w:sz="0" w:space="0" w:color="auto"/>
      </w:divBdr>
    </w:div>
    <w:div w:id="1219441437">
      <w:bodyDiv w:val="1"/>
      <w:marLeft w:val="0"/>
      <w:marRight w:val="0"/>
      <w:marTop w:val="0"/>
      <w:marBottom w:val="0"/>
      <w:divBdr>
        <w:top w:val="none" w:sz="0" w:space="0" w:color="auto"/>
        <w:left w:val="none" w:sz="0" w:space="0" w:color="auto"/>
        <w:bottom w:val="none" w:sz="0" w:space="0" w:color="auto"/>
        <w:right w:val="none" w:sz="0" w:space="0" w:color="auto"/>
      </w:divBdr>
    </w:div>
    <w:div w:id="1219826134">
      <w:bodyDiv w:val="1"/>
      <w:marLeft w:val="0"/>
      <w:marRight w:val="0"/>
      <w:marTop w:val="0"/>
      <w:marBottom w:val="0"/>
      <w:divBdr>
        <w:top w:val="none" w:sz="0" w:space="0" w:color="auto"/>
        <w:left w:val="none" w:sz="0" w:space="0" w:color="auto"/>
        <w:bottom w:val="none" w:sz="0" w:space="0" w:color="auto"/>
        <w:right w:val="none" w:sz="0" w:space="0" w:color="auto"/>
      </w:divBdr>
    </w:div>
    <w:div w:id="1224102367">
      <w:bodyDiv w:val="1"/>
      <w:marLeft w:val="0"/>
      <w:marRight w:val="0"/>
      <w:marTop w:val="0"/>
      <w:marBottom w:val="0"/>
      <w:divBdr>
        <w:top w:val="none" w:sz="0" w:space="0" w:color="auto"/>
        <w:left w:val="none" w:sz="0" w:space="0" w:color="auto"/>
        <w:bottom w:val="none" w:sz="0" w:space="0" w:color="auto"/>
        <w:right w:val="none" w:sz="0" w:space="0" w:color="auto"/>
      </w:divBdr>
    </w:div>
    <w:div w:id="1224757633">
      <w:bodyDiv w:val="1"/>
      <w:marLeft w:val="0"/>
      <w:marRight w:val="0"/>
      <w:marTop w:val="0"/>
      <w:marBottom w:val="0"/>
      <w:divBdr>
        <w:top w:val="none" w:sz="0" w:space="0" w:color="auto"/>
        <w:left w:val="none" w:sz="0" w:space="0" w:color="auto"/>
        <w:bottom w:val="none" w:sz="0" w:space="0" w:color="auto"/>
        <w:right w:val="none" w:sz="0" w:space="0" w:color="auto"/>
      </w:divBdr>
    </w:div>
    <w:div w:id="1243753511">
      <w:bodyDiv w:val="1"/>
      <w:marLeft w:val="0"/>
      <w:marRight w:val="0"/>
      <w:marTop w:val="0"/>
      <w:marBottom w:val="0"/>
      <w:divBdr>
        <w:top w:val="none" w:sz="0" w:space="0" w:color="auto"/>
        <w:left w:val="none" w:sz="0" w:space="0" w:color="auto"/>
        <w:bottom w:val="none" w:sz="0" w:space="0" w:color="auto"/>
        <w:right w:val="none" w:sz="0" w:space="0" w:color="auto"/>
      </w:divBdr>
    </w:div>
    <w:div w:id="1254125524">
      <w:bodyDiv w:val="1"/>
      <w:marLeft w:val="0"/>
      <w:marRight w:val="0"/>
      <w:marTop w:val="0"/>
      <w:marBottom w:val="0"/>
      <w:divBdr>
        <w:top w:val="none" w:sz="0" w:space="0" w:color="auto"/>
        <w:left w:val="none" w:sz="0" w:space="0" w:color="auto"/>
        <w:bottom w:val="none" w:sz="0" w:space="0" w:color="auto"/>
        <w:right w:val="none" w:sz="0" w:space="0" w:color="auto"/>
      </w:divBdr>
    </w:div>
    <w:div w:id="1272323063">
      <w:bodyDiv w:val="1"/>
      <w:marLeft w:val="0"/>
      <w:marRight w:val="0"/>
      <w:marTop w:val="0"/>
      <w:marBottom w:val="0"/>
      <w:divBdr>
        <w:top w:val="none" w:sz="0" w:space="0" w:color="auto"/>
        <w:left w:val="none" w:sz="0" w:space="0" w:color="auto"/>
        <w:bottom w:val="none" w:sz="0" w:space="0" w:color="auto"/>
        <w:right w:val="none" w:sz="0" w:space="0" w:color="auto"/>
      </w:divBdr>
    </w:div>
    <w:div w:id="1282495459">
      <w:bodyDiv w:val="1"/>
      <w:marLeft w:val="0"/>
      <w:marRight w:val="0"/>
      <w:marTop w:val="0"/>
      <w:marBottom w:val="0"/>
      <w:divBdr>
        <w:top w:val="none" w:sz="0" w:space="0" w:color="auto"/>
        <w:left w:val="none" w:sz="0" w:space="0" w:color="auto"/>
        <w:bottom w:val="none" w:sz="0" w:space="0" w:color="auto"/>
        <w:right w:val="none" w:sz="0" w:space="0" w:color="auto"/>
      </w:divBdr>
    </w:div>
    <w:div w:id="1285115728">
      <w:bodyDiv w:val="1"/>
      <w:marLeft w:val="0"/>
      <w:marRight w:val="0"/>
      <w:marTop w:val="0"/>
      <w:marBottom w:val="0"/>
      <w:divBdr>
        <w:top w:val="none" w:sz="0" w:space="0" w:color="auto"/>
        <w:left w:val="none" w:sz="0" w:space="0" w:color="auto"/>
        <w:bottom w:val="none" w:sz="0" w:space="0" w:color="auto"/>
        <w:right w:val="none" w:sz="0" w:space="0" w:color="auto"/>
      </w:divBdr>
    </w:div>
    <w:div w:id="1286934089">
      <w:bodyDiv w:val="1"/>
      <w:marLeft w:val="0"/>
      <w:marRight w:val="0"/>
      <w:marTop w:val="0"/>
      <w:marBottom w:val="0"/>
      <w:divBdr>
        <w:top w:val="none" w:sz="0" w:space="0" w:color="auto"/>
        <w:left w:val="none" w:sz="0" w:space="0" w:color="auto"/>
        <w:bottom w:val="none" w:sz="0" w:space="0" w:color="auto"/>
        <w:right w:val="none" w:sz="0" w:space="0" w:color="auto"/>
      </w:divBdr>
    </w:div>
    <w:div w:id="1289699363">
      <w:bodyDiv w:val="1"/>
      <w:marLeft w:val="0"/>
      <w:marRight w:val="0"/>
      <w:marTop w:val="0"/>
      <w:marBottom w:val="0"/>
      <w:divBdr>
        <w:top w:val="none" w:sz="0" w:space="0" w:color="auto"/>
        <w:left w:val="none" w:sz="0" w:space="0" w:color="auto"/>
        <w:bottom w:val="none" w:sz="0" w:space="0" w:color="auto"/>
        <w:right w:val="none" w:sz="0" w:space="0" w:color="auto"/>
      </w:divBdr>
    </w:div>
    <w:div w:id="1290890931">
      <w:bodyDiv w:val="1"/>
      <w:marLeft w:val="0"/>
      <w:marRight w:val="0"/>
      <w:marTop w:val="0"/>
      <w:marBottom w:val="0"/>
      <w:divBdr>
        <w:top w:val="none" w:sz="0" w:space="0" w:color="auto"/>
        <w:left w:val="none" w:sz="0" w:space="0" w:color="auto"/>
        <w:bottom w:val="none" w:sz="0" w:space="0" w:color="auto"/>
        <w:right w:val="none" w:sz="0" w:space="0" w:color="auto"/>
      </w:divBdr>
    </w:div>
    <w:div w:id="1299341626">
      <w:bodyDiv w:val="1"/>
      <w:marLeft w:val="0"/>
      <w:marRight w:val="0"/>
      <w:marTop w:val="0"/>
      <w:marBottom w:val="0"/>
      <w:divBdr>
        <w:top w:val="none" w:sz="0" w:space="0" w:color="auto"/>
        <w:left w:val="none" w:sz="0" w:space="0" w:color="auto"/>
        <w:bottom w:val="none" w:sz="0" w:space="0" w:color="auto"/>
        <w:right w:val="none" w:sz="0" w:space="0" w:color="auto"/>
      </w:divBdr>
    </w:div>
    <w:div w:id="1307121773">
      <w:bodyDiv w:val="1"/>
      <w:marLeft w:val="0"/>
      <w:marRight w:val="0"/>
      <w:marTop w:val="0"/>
      <w:marBottom w:val="0"/>
      <w:divBdr>
        <w:top w:val="none" w:sz="0" w:space="0" w:color="auto"/>
        <w:left w:val="none" w:sz="0" w:space="0" w:color="auto"/>
        <w:bottom w:val="none" w:sz="0" w:space="0" w:color="auto"/>
        <w:right w:val="none" w:sz="0" w:space="0" w:color="auto"/>
      </w:divBdr>
    </w:div>
    <w:div w:id="1313100575">
      <w:bodyDiv w:val="1"/>
      <w:marLeft w:val="0"/>
      <w:marRight w:val="0"/>
      <w:marTop w:val="0"/>
      <w:marBottom w:val="0"/>
      <w:divBdr>
        <w:top w:val="none" w:sz="0" w:space="0" w:color="auto"/>
        <w:left w:val="none" w:sz="0" w:space="0" w:color="auto"/>
        <w:bottom w:val="none" w:sz="0" w:space="0" w:color="auto"/>
        <w:right w:val="none" w:sz="0" w:space="0" w:color="auto"/>
      </w:divBdr>
    </w:div>
    <w:div w:id="1335842180">
      <w:bodyDiv w:val="1"/>
      <w:marLeft w:val="0"/>
      <w:marRight w:val="0"/>
      <w:marTop w:val="0"/>
      <w:marBottom w:val="0"/>
      <w:divBdr>
        <w:top w:val="none" w:sz="0" w:space="0" w:color="auto"/>
        <w:left w:val="none" w:sz="0" w:space="0" w:color="auto"/>
        <w:bottom w:val="none" w:sz="0" w:space="0" w:color="auto"/>
        <w:right w:val="none" w:sz="0" w:space="0" w:color="auto"/>
      </w:divBdr>
    </w:div>
    <w:div w:id="1338072840">
      <w:bodyDiv w:val="1"/>
      <w:marLeft w:val="0"/>
      <w:marRight w:val="0"/>
      <w:marTop w:val="0"/>
      <w:marBottom w:val="0"/>
      <w:divBdr>
        <w:top w:val="none" w:sz="0" w:space="0" w:color="auto"/>
        <w:left w:val="none" w:sz="0" w:space="0" w:color="auto"/>
        <w:bottom w:val="none" w:sz="0" w:space="0" w:color="auto"/>
        <w:right w:val="none" w:sz="0" w:space="0" w:color="auto"/>
      </w:divBdr>
    </w:div>
    <w:div w:id="1343360477">
      <w:bodyDiv w:val="1"/>
      <w:marLeft w:val="0"/>
      <w:marRight w:val="0"/>
      <w:marTop w:val="0"/>
      <w:marBottom w:val="0"/>
      <w:divBdr>
        <w:top w:val="none" w:sz="0" w:space="0" w:color="auto"/>
        <w:left w:val="none" w:sz="0" w:space="0" w:color="auto"/>
        <w:bottom w:val="none" w:sz="0" w:space="0" w:color="auto"/>
        <w:right w:val="none" w:sz="0" w:space="0" w:color="auto"/>
      </w:divBdr>
    </w:div>
    <w:div w:id="1400051463">
      <w:bodyDiv w:val="1"/>
      <w:marLeft w:val="0"/>
      <w:marRight w:val="0"/>
      <w:marTop w:val="0"/>
      <w:marBottom w:val="0"/>
      <w:divBdr>
        <w:top w:val="none" w:sz="0" w:space="0" w:color="auto"/>
        <w:left w:val="none" w:sz="0" w:space="0" w:color="auto"/>
        <w:bottom w:val="none" w:sz="0" w:space="0" w:color="auto"/>
        <w:right w:val="none" w:sz="0" w:space="0" w:color="auto"/>
      </w:divBdr>
    </w:div>
    <w:div w:id="1439450664">
      <w:bodyDiv w:val="1"/>
      <w:marLeft w:val="0"/>
      <w:marRight w:val="0"/>
      <w:marTop w:val="0"/>
      <w:marBottom w:val="0"/>
      <w:divBdr>
        <w:top w:val="none" w:sz="0" w:space="0" w:color="auto"/>
        <w:left w:val="none" w:sz="0" w:space="0" w:color="auto"/>
        <w:bottom w:val="none" w:sz="0" w:space="0" w:color="auto"/>
        <w:right w:val="none" w:sz="0" w:space="0" w:color="auto"/>
      </w:divBdr>
      <w:divsChild>
        <w:div w:id="246840849">
          <w:marLeft w:val="720"/>
          <w:marRight w:val="0"/>
          <w:marTop w:val="200"/>
          <w:marBottom w:val="0"/>
          <w:divBdr>
            <w:top w:val="none" w:sz="0" w:space="0" w:color="auto"/>
            <w:left w:val="none" w:sz="0" w:space="0" w:color="auto"/>
            <w:bottom w:val="none" w:sz="0" w:space="0" w:color="auto"/>
            <w:right w:val="none" w:sz="0" w:space="0" w:color="auto"/>
          </w:divBdr>
        </w:div>
        <w:div w:id="967055154">
          <w:marLeft w:val="720"/>
          <w:marRight w:val="0"/>
          <w:marTop w:val="200"/>
          <w:marBottom w:val="0"/>
          <w:divBdr>
            <w:top w:val="none" w:sz="0" w:space="0" w:color="auto"/>
            <w:left w:val="none" w:sz="0" w:space="0" w:color="auto"/>
            <w:bottom w:val="none" w:sz="0" w:space="0" w:color="auto"/>
            <w:right w:val="none" w:sz="0" w:space="0" w:color="auto"/>
          </w:divBdr>
        </w:div>
        <w:div w:id="1458643462">
          <w:marLeft w:val="720"/>
          <w:marRight w:val="0"/>
          <w:marTop w:val="200"/>
          <w:marBottom w:val="0"/>
          <w:divBdr>
            <w:top w:val="none" w:sz="0" w:space="0" w:color="auto"/>
            <w:left w:val="none" w:sz="0" w:space="0" w:color="auto"/>
            <w:bottom w:val="none" w:sz="0" w:space="0" w:color="auto"/>
            <w:right w:val="none" w:sz="0" w:space="0" w:color="auto"/>
          </w:divBdr>
        </w:div>
        <w:div w:id="2009477960">
          <w:marLeft w:val="720"/>
          <w:marRight w:val="0"/>
          <w:marTop w:val="200"/>
          <w:marBottom w:val="0"/>
          <w:divBdr>
            <w:top w:val="none" w:sz="0" w:space="0" w:color="auto"/>
            <w:left w:val="none" w:sz="0" w:space="0" w:color="auto"/>
            <w:bottom w:val="none" w:sz="0" w:space="0" w:color="auto"/>
            <w:right w:val="none" w:sz="0" w:space="0" w:color="auto"/>
          </w:divBdr>
        </w:div>
      </w:divsChild>
    </w:div>
    <w:div w:id="1441222876">
      <w:bodyDiv w:val="1"/>
      <w:marLeft w:val="0"/>
      <w:marRight w:val="0"/>
      <w:marTop w:val="0"/>
      <w:marBottom w:val="0"/>
      <w:divBdr>
        <w:top w:val="none" w:sz="0" w:space="0" w:color="auto"/>
        <w:left w:val="none" w:sz="0" w:space="0" w:color="auto"/>
        <w:bottom w:val="none" w:sz="0" w:space="0" w:color="auto"/>
        <w:right w:val="none" w:sz="0" w:space="0" w:color="auto"/>
      </w:divBdr>
    </w:div>
    <w:div w:id="1442720809">
      <w:bodyDiv w:val="1"/>
      <w:marLeft w:val="0"/>
      <w:marRight w:val="0"/>
      <w:marTop w:val="0"/>
      <w:marBottom w:val="0"/>
      <w:divBdr>
        <w:top w:val="none" w:sz="0" w:space="0" w:color="auto"/>
        <w:left w:val="none" w:sz="0" w:space="0" w:color="auto"/>
        <w:bottom w:val="none" w:sz="0" w:space="0" w:color="auto"/>
        <w:right w:val="none" w:sz="0" w:space="0" w:color="auto"/>
      </w:divBdr>
    </w:div>
    <w:div w:id="1445883070">
      <w:bodyDiv w:val="1"/>
      <w:marLeft w:val="0"/>
      <w:marRight w:val="0"/>
      <w:marTop w:val="0"/>
      <w:marBottom w:val="0"/>
      <w:divBdr>
        <w:top w:val="none" w:sz="0" w:space="0" w:color="auto"/>
        <w:left w:val="none" w:sz="0" w:space="0" w:color="auto"/>
        <w:bottom w:val="none" w:sz="0" w:space="0" w:color="auto"/>
        <w:right w:val="none" w:sz="0" w:space="0" w:color="auto"/>
      </w:divBdr>
    </w:div>
    <w:div w:id="1449544675">
      <w:bodyDiv w:val="1"/>
      <w:marLeft w:val="0"/>
      <w:marRight w:val="0"/>
      <w:marTop w:val="0"/>
      <w:marBottom w:val="0"/>
      <w:divBdr>
        <w:top w:val="none" w:sz="0" w:space="0" w:color="auto"/>
        <w:left w:val="none" w:sz="0" w:space="0" w:color="auto"/>
        <w:bottom w:val="none" w:sz="0" w:space="0" w:color="auto"/>
        <w:right w:val="none" w:sz="0" w:space="0" w:color="auto"/>
      </w:divBdr>
    </w:div>
    <w:div w:id="1464690232">
      <w:bodyDiv w:val="1"/>
      <w:marLeft w:val="0"/>
      <w:marRight w:val="0"/>
      <w:marTop w:val="0"/>
      <w:marBottom w:val="0"/>
      <w:divBdr>
        <w:top w:val="none" w:sz="0" w:space="0" w:color="auto"/>
        <w:left w:val="none" w:sz="0" w:space="0" w:color="auto"/>
        <w:bottom w:val="none" w:sz="0" w:space="0" w:color="auto"/>
        <w:right w:val="none" w:sz="0" w:space="0" w:color="auto"/>
      </w:divBdr>
    </w:div>
    <w:div w:id="1466971969">
      <w:bodyDiv w:val="1"/>
      <w:marLeft w:val="0"/>
      <w:marRight w:val="0"/>
      <w:marTop w:val="0"/>
      <w:marBottom w:val="0"/>
      <w:divBdr>
        <w:top w:val="none" w:sz="0" w:space="0" w:color="auto"/>
        <w:left w:val="none" w:sz="0" w:space="0" w:color="auto"/>
        <w:bottom w:val="none" w:sz="0" w:space="0" w:color="auto"/>
        <w:right w:val="none" w:sz="0" w:space="0" w:color="auto"/>
      </w:divBdr>
    </w:div>
    <w:div w:id="1469782940">
      <w:bodyDiv w:val="1"/>
      <w:marLeft w:val="0"/>
      <w:marRight w:val="0"/>
      <w:marTop w:val="0"/>
      <w:marBottom w:val="0"/>
      <w:divBdr>
        <w:top w:val="none" w:sz="0" w:space="0" w:color="auto"/>
        <w:left w:val="none" w:sz="0" w:space="0" w:color="auto"/>
        <w:bottom w:val="none" w:sz="0" w:space="0" w:color="auto"/>
        <w:right w:val="none" w:sz="0" w:space="0" w:color="auto"/>
      </w:divBdr>
      <w:divsChild>
        <w:div w:id="179011236">
          <w:marLeft w:val="1699"/>
          <w:marRight w:val="0"/>
          <w:marTop w:val="100"/>
          <w:marBottom w:val="0"/>
          <w:divBdr>
            <w:top w:val="none" w:sz="0" w:space="0" w:color="auto"/>
            <w:left w:val="none" w:sz="0" w:space="0" w:color="auto"/>
            <w:bottom w:val="none" w:sz="0" w:space="0" w:color="auto"/>
            <w:right w:val="none" w:sz="0" w:space="0" w:color="auto"/>
          </w:divBdr>
        </w:div>
        <w:div w:id="285360149">
          <w:marLeft w:val="1699"/>
          <w:marRight w:val="0"/>
          <w:marTop w:val="100"/>
          <w:marBottom w:val="0"/>
          <w:divBdr>
            <w:top w:val="none" w:sz="0" w:space="0" w:color="auto"/>
            <w:left w:val="none" w:sz="0" w:space="0" w:color="auto"/>
            <w:bottom w:val="none" w:sz="0" w:space="0" w:color="auto"/>
            <w:right w:val="none" w:sz="0" w:space="0" w:color="auto"/>
          </w:divBdr>
        </w:div>
        <w:div w:id="1534264810">
          <w:marLeft w:val="720"/>
          <w:marRight w:val="0"/>
          <w:marTop w:val="200"/>
          <w:marBottom w:val="0"/>
          <w:divBdr>
            <w:top w:val="none" w:sz="0" w:space="0" w:color="auto"/>
            <w:left w:val="none" w:sz="0" w:space="0" w:color="auto"/>
            <w:bottom w:val="none" w:sz="0" w:space="0" w:color="auto"/>
            <w:right w:val="none" w:sz="0" w:space="0" w:color="auto"/>
          </w:divBdr>
        </w:div>
        <w:div w:id="2098476525">
          <w:marLeft w:val="1699"/>
          <w:marRight w:val="0"/>
          <w:marTop w:val="100"/>
          <w:marBottom w:val="0"/>
          <w:divBdr>
            <w:top w:val="none" w:sz="0" w:space="0" w:color="auto"/>
            <w:left w:val="none" w:sz="0" w:space="0" w:color="auto"/>
            <w:bottom w:val="none" w:sz="0" w:space="0" w:color="auto"/>
            <w:right w:val="none" w:sz="0" w:space="0" w:color="auto"/>
          </w:divBdr>
        </w:div>
      </w:divsChild>
    </w:div>
    <w:div w:id="1484614136">
      <w:bodyDiv w:val="1"/>
      <w:marLeft w:val="0"/>
      <w:marRight w:val="0"/>
      <w:marTop w:val="0"/>
      <w:marBottom w:val="0"/>
      <w:divBdr>
        <w:top w:val="none" w:sz="0" w:space="0" w:color="auto"/>
        <w:left w:val="none" w:sz="0" w:space="0" w:color="auto"/>
        <w:bottom w:val="none" w:sz="0" w:space="0" w:color="auto"/>
        <w:right w:val="none" w:sz="0" w:space="0" w:color="auto"/>
      </w:divBdr>
    </w:div>
    <w:div w:id="1497958553">
      <w:bodyDiv w:val="1"/>
      <w:marLeft w:val="0"/>
      <w:marRight w:val="0"/>
      <w:marTop w:val="0"/>
      <w:marBottom w:val="0"/>
      <w:divBdr>
        <w:top w:val="none" w:sz="0" w:space="0" w:color="auto"/>
        <w:left w:val="none" w:sz="0" w:space="0" w:color="auto"/>
        <w:bottom w:val="none" w:sz="0" w:space="0" w:color="auto"/>
        <w:right w:val="none" w:sz="0" w:space="0" w:color="auto"/>
      </w:divBdr>
    </w:div>
    <w:div w:id="1498302845">
      <w:bodyDiv w:val="1"/>
      <w:marLeft w:val="0"/>
      <w:marRight w:val="0"/>
      <w:marTop w:val="0"/>
      <w:marBottom w:val="0"/>
      <w:divBdr>
        <w:top w:val="none" w:sz="0" w:space="0" w:color="auto"/>
        <w:left w:val="none" w:sz="0" w:space="0" w:color="auto"/>
        <w:bottom w:val="none" w:sz="0" w:space="0" w:color="auto"/>
        <w:right w:val="none" w:sz="0" w:space="0" w:color="auto"/>
      </w:divBdr>
    </w:div>
    <w:div w:id="1501964485">
      <w:bodyDiv w:val="1"/>
      <w:marLeft w:val="0"/>
      <w:marRight w:val="0"/>
      <w:marTop w:val="0"/>
      <w:marBottom w:val="0"/>
      <w:divBdr>
        <w:top w:val="none" w:sz="0" w:space="0" w:color="auto"/>
        <w:left w:val="none" w:sz="0" w:space="0" w:color="auto"/>
        <w:bottom w:val="none" w:sz="0" w:space="0" w:color="auto"/>
        <w:right w:val="none" w:sz="0" w:space="0" w:color="auto"/>
      </w:divBdr>
    </w:div>
    <w:div w:id="1513909561">
      <w:bodyDiv w:val="1"/>
      <w:marLeft w:val="0"/>
      <w:marRight w:val="0"/>
      <w:marTop w:val="0"/>
      <w:marBottom w:val="0"/>
      <w:divBdr>
        <w:top w:val="none" w:sz="0" w:space="0" w:color="auto"/>
        <w:left w:val="none" w:sz="0" w:space="0" w:color="auto"/>
        <w:bottom w:val="none" w:sz="0" w:space="0" w:color="auto"/>
        <w:right w:val="none" w:sz="0" w:space="0" w:color="auto"/>
      </w:divBdr>
    </w:div>
    <w:div w:id="1516724095">
      <w:bodyDiv w:val="1"/>
      <w:marLeft w:val="0"/>
      <w:marRight w:val="0"/>
      <w:marTop w:val="0"/>
      <w:marBottom w:val="0"/>
      <w:divBdr>
        <w:top w:val="none" w:sz="0" w:space="0" w:color="auto"/>
        <w:left w:val="none" w:sz="0" w:space="0" w:color="auto"/>
        <w:bottom w:val="none" w:sz="0" w:space="0" w:color="auto"/>
        <w:right w:val="none" w:sz="0" w:space="0" w:color="auto"/>
      </w:divBdr>
    </w:div>
    <w:div w:id="1518500818">
      <w:bodyDiv w:val="1"/>
      <w:marLeft w:val="0"/>
      <w:marRight w:val="0"/>
      <w:marTop w:val="0"/>
      <w:marBottom w:val="0"/>
      <w:divBdr>
        <w:top w:val="none" w:sz="0" w:space="0" w:color="auto"/>
        <w:left w:val="none" w:sz="0" w:space="0" w:color="auto"/>
        <w:bottom w:val="none" w:sz="0" w:space="0" w:color="auto"/>
        <w:right w:val="none" w:sz="0" w:space="0" w:color="auto"/>
      </w:divBdr>
    </w:div>
    <w:div w:id="1528835185">
      <w:bodyDiv w:val="1"/>
      <w:marLeft w:val="0"/>
      <w:marRight w:val="0"/>
      <w:marTop w:val="0"/>
      <w:marBottom w:val="0"/>
      <w:divBdr>
        <w:top w:val="none" w:sz="0" w:space="0" w:color="auto"/>
        <w:left w:val="none" w:sz="0" w:space="0" w:color="auto"/>
        <w:bottom w:val="none" w:sz="0" w:space="0" w:color="auto"/>
        <w:right w:val="none" w:sz="0" w:space="0" w:color="auto"/>
      </w:divBdr>
    </w:div>
    <w:div w:id="1531534159">
      <w:bodyDiv w:val="1"/>
      <w:marLeft w:val="0"/>
      <w:marRight w:val="0"/>
      <w:marTop w:val="0"/>
      <w:marBottom w:val="0"/>
      <w:divBdr>
        <w:top w:val="none" w:sz="0" w:space="0" w:color="auto"/>
        <w:left w:val="none" w:sz="0" w:space="0" w:color="auto"/>
        <w:bottom w:val="none" w:sz="0" w:space="0" w:color="auto"/>
        <w:right w:val="none" w:sz="0" w:space="0" w:color="auto"/>
      </w:divBdr>
    </w:div>
    <w:div w:id="1531725694">
      <w:bodyDiv w:val="1"/>
      <w:marLeft w:val="0"/>
      <w:marRight w:val="0"/>
      <w:marTop w:val="0"/>
      <w:marBottom w:val="0"/>
      <w:divBdr>
        <w:top w:val="none" w:sz="0" w:space="0" w:color="auto"/>
        <w:left w:val="none" w:sz="0" w:space="0" w:color="auto"/>
        <w:bottom w:val="none" w:sz="0" w:space="0" w:color="auto"/>
        <w:right w:val="none" w:sz="0" w:space="0" w:color="auto"/>
      </w:divBdr>
    </w:div>
    <w:div w:id="1544050223">
      <w:bodyDiv w:val="1"/>
      <w:marLeft w:val="0"/>
      <w:marRight w:val="0"/>
      <w:marTop w:val="0"/>
      <w:marBottom w:val="0"/>
      <w:divBdr>
        <w:top w:val="none" w:sz="0" w:space="0" w:color="auto"/>
        <w:left w:val="none" w:sz="0" w:space="0" w:color="auto"/>
        <w:bottom w:val="none" w:sz="0" w:space="0" w:color="auto"/>
        <w:right w:val="none" w:sz="0" w:space="0" w:color="auto"/>
      </w:divBdr>
    </w:div>
    <w:div w:id="1544832784">
      <w:bodyDiv w:val="1"/>
      <w:marLeft w:val="0"/>
      <w:marRight w:val="0"/>
      <w:marTop w:val="0"/>
      <w:marBottom w:val="0"/>
      <w:divBdr>
        <w:top w:val="none" w:sz="0" w:space="0" w:color="auto"/>
        <w:left w:val="none" w:sz="0" w:space="0" w:color="auto"/>
        <w:bottom w:val="none" w:sz="0" w:space="0" w:color="auto"/>
        <w:right w:val="none" w:sz="0" w:space="0" w:color="auto"/>
      </w:divBdr>
    </w:div>
    <w:div w:id="1552495125">
      <w:bodyDiv w:val="1"/>
      <w:marLeft w:val="0"/>
      <w:marRight w:val="0"/>
      <w:marTop w:val="0"/>
      <w:marBottom w:val="0"/>
      <w:divBdr>
        <w:top w:val="none" w:sz="0" w:space="0" w:color="auto"/>
        <w:left w:val="none" w:sz="0" w:space="0" w:color="auto"/>
        <w:bottom w:val="none" w:sz="0" w:space="0" w:color="auto"/>
        <w:right w:val="none" w:sz="0" w:space="0" w:color="auto"/>
      </w:divBdr>
      <w:divsChild>
        <w:div w:id="144392713">
          <w:marLeft w:val="360"/>
          <w:marRight w:val="0"/>
          <w:marTop w:val="0"/>
          <w:marBottom w:val="360"/>
          <w:divBdr>
            <w:top w:val="none" w:sz="0" w:space="0" w:color="auto"/>
            <w:left w:val="none" w:sz="0" w:space="0" w:color="auto"/>
            <w:bottom w:val="none" w:sz="0" w:space="0" w:color="auto"/>
            <w:right w:val="none" w:sz="0" w:space="0" w:color="auto"/>
          </w:divBdr>
        </w:div>
        <w:div w:id="866336278">
          <w:marLeft w:val="360"/>
          <w:marRight w:val="0"/>
          <w:marTop w:val="0"/>
          <w:marBottom w:val="360"/>
          <w:divBdr>
            <w:top w:val="none" w:sz="0" w:space="0" w:color="auto"/>
            <w:left w:val="none" w:sz="0" w:space="0" w:color="auto"/>
            <w:bottom w:val="none" w:sz="0" w:space="0" w:color="auto"/>
            <w:right w:val="none" w:sz="0" w:space="0" w:color="auto"/>
          </w:divBdr>
        </w:div>
        <w:div w:id="992836967">
          <w:marLeft w:val="360"/>
          <w:marRight w:val="0"/>
          <w:marTop w:val="0"/>
          <w:marBottom w:val="360"/>
          <w:divBdr>
            <w:top w:val="none" w:sz="0" w:space="0" w:color="auto"/>
            <w:left w:val="none" w:sz="0" w:space="0" w:color="auto"/>
            <w:bottom w:val="none" w:sz="0" w:space="0" w:color="auto"/>
            <w:right w:val="none" w:sz="0" w:space="0" w:color="auto"/>
          </w:divBdr>
        </w:div>
        <w:div w:id="1102602482">
          <w:marLeft w:val="360"/>
          <w:marRight w:val="0"/>
          <w:marTop w:val="0"/>
          <w:marBottom w:val="360"/>
          <w:divBdr>
            <w:top w:val="none" w:sz="0" w:space="0" w:color="auto"/>
            <w:left w:val="none" w:sz="0" w:space="0" w:color="auto"/>
            <w:bottom w:val="none" w:sz="0" w:space="0" w:color="auto"/>
            <w:right w:val="none" w:sz="0" w:space="0" w:color="auto"/>
          </w:divBdr>
        </w:div>
        <w:div w:id="1732072820">
          <w:marLeft w:val="360"/>
          <w:marRight w:val="0"/>
          <w:marTop w:val="0"/>
          <w:marBottom w:val="360"/>
          <w:divBdr>
            <w:top w:val="none" w:sz="0" w:space="0" w:color="auto"/>
            <w:left w:val="none" w:sz="0" w:space="0" w:color="auto"/>
            <w:bottom w:val="none" w:sz="0" w:space="0" w:color="auto"/>
            <w:right w:val="none" w:sz="0" w:space="0" w:color="auto"/>
          </w:divBdr>
        </w:div>
        <w:div w:id="2146309436">
          <w:marLeft w:val="360"/>
          <w:marRight w:val="0"/>
          <w:marTop w:val="0"/>
          <w:marBottom w:val="360"/>
          <w:divBdr>
            <w:top w:val="none" w:sz="0" w:space="0" w:color="auto"/>
            <w:left w:val="none" w:sz="0" w:space="0" w:color="auto"/>
            <w:bottom w:val="none" w:sz="0" w:space="0" w:color="auto"/>
            <w:right w:val="none" w:sz="0" w:space="0" w:color="auto"/>
          </w:divBdr>
        </w:div>
      </w:divsChild>
    </w:div>
    <w:div w:id="1563103251">
      <w:bodyDiv w:val="1"/>
      <w:marLeft w:val="0"/>
      <w:marRight w:val="0"/>
      <w:marTop w:val="0"/>
      <w:marBottom w:val="0"/>
      <w:divBdr>
        <w:top w:val="none" w:sz="0" w:space="0" w:color="auto"/>
        <w:left w:val="none" w:sz="0" w:space="0" w:color="auto"/>
        <w:bottom w:val="none" w:sz="0" w:space="0" w:color="auto"/>
        <w:right w:val="none" w:sz="0" w:space="0" w:color="auto"/>
      </w:divBdr>
    </w:div>
    <w:div w:id="1571623495">
      <w:bodyDiv w:val="1"/>
      <w:marLeft w:val="0"/>
      <w:marRight w:val="0"/>
      <w:marTop w:val="0"/>
      <w:marBottom w:val="0"/>
      <w:divBdr>
        <w:top w:val="none" w:sz="0" w:space="0" w:color="auto"/>
        <w:left w:val="none" w:sz="0" w:space="0" w:color="auto"/>
        <w:bottom w:val="none" w:sz="0" w:space="0" w:color="auto"/>
        <w:right w:val="none" w:sz="0" w:space="0" w:color="auto"/>
      </w:divBdr>
    </w:div>
    <w:div w:id="1581670857">
      <w:bodyDiv w:val="1"/>
      <w:marLeft w:val="0"/>
      <w:marRight w:val="0"/>
      <w:marTop w:val="0"/>
      <w:marBottom w:val="0"/>
      <w:divBdr>
        <w:top w:val="none" w:sz="0" w:space="0" w:color="auto"/>
        <w:left w:val="none" w:sz="0" w:space="0" w:color="auto"/>
        <w:bottom w:val="none" w:sz="0" w:space="0" w:color="auto"/>
        <w:right w:val="none" w:sz="0" w:space="0" w:color="auto"/>
      </w:divBdr>
    </w:div>
    <w:div w:id="1597208022">
      <w:bodyDiv w:val="1"/>
      <w:marLeft w:val="0"/>
      <w:marRight w:val="0"/>
      <w:marTop w:val="0"/>
      <w:marBottom w:val="0"/>
      <w:divBdr>
        <w:top w:val="none" w:sz="0" w:space="0" w:color="auto"/>
        <w:left w:val="none" w:sz="0" w:space="0" w:color="auto"/>
        <w:bottom w:val="none" w:sz="0" w:space="0" w:color="auto"/>
        <w:right w:val="none" w:sz="0" w:space="0" w:color="auto"/>
      </w:divBdr>
    </w:div>
    <w:div w:id="1597404458">
      <w:bodyDiv w:val="1"/>
      <w:marLeft w:val="0"/>
      <w:marRight w:val="0"/>
      <w:marTop w:val="0"/>
      <w:marBottom w:val="0"/>
      <w:divBdr>
        <w:top w:val="none" w:sz="0" w:space="0" w:color="auto"/>
        <w:left w:val="none" w:sz="0" w:space="0" w:color="auto"/>
        <w:bottom w:val="none" w:sz="0" w:space="0" w:color="auto"/>
        <w:right w:val="none" w:sz="0" w:space="0" w:color="auto"/>
      </w:divBdr>
    </w:div>
    <w:div w:id="1605919495">
      <w:bodyDiv w:val="1"/>
      <w:marLeft w:val="0"/>
      <w:marRight w:val="0"/>
      <w:marTop w:val="0"/>
      <w:marBottom w:val="0"/>
      <w:divBdr>
        <w:top w:val="none" w:sz="0" w:space="0" w:color="auto"/>
        <w:left w:val="none" w:sz="0" w:space="0" w:color="auto"/>
        <w:bottom w:val="none" w:sz="0" w:space="0" w:color="auto"/>
        <w:right w:val="none" w:sz="0" w:space="0" w:color="auto"/>
      </w:divBdr>
    </w:div>
    <w:div w:id="1609895537">
      <w:bodyDiv w:val="1"/>
      <w:marLeft w:val="0"/>
      <w:marRight w:val="0"/>
      <w:marTop w:val="0"/>
      <w:marBottom w:val="0"/>
      <w:divBdr>
        <w:top w:val="none" w:sz="0" w:space="0" w:color="auto"/>
        <w:left w:val="none" w:sz="0" w:space="0" w:color="auto"/>
        <w:bottom w:val="none" w:sz="0" w:space="0" w:color="auto"/>
        <w:right w:val="none" w:sz="0" w:space="0" w:color="auto"/>
      </w:divBdr>
    </w:div>
    <w:div w:id="1615793289">
      <w:bodyDiv w:val="1"/>
      <w:marLeft w:val="0"/>
      <w:marRight w:val="0"/>
      <w:marTop w:val="0"/>
      <w:marBottom w:val="0"/>
      <w:divBdr>
        <w:top w:val="none" w:sz="0" w:space="0" w:color="auto"/>
        <w:left w:val="none" w:sz="0" w:space="0" w:color="auto"/>
        <w:bottom w:val="none" w:sz="0" w:space="0" w:color="auto"/>
        <w:right w:val="none" w:sz="0" w:space="0" w:color="auto"/>
      </w:divBdr>
      <w:divsChild>
        <w:div w:id="1178081301">
          <w:marLeft w:val="360"/>
          <w:marRight w:val="0"/>
          <w:marTop w:val="0"/>
          <w:marBottom w:val="360"/>
          <w:divBdr>
            <w:top w:val="none" w:sz="0" w:space="0" w:color="auto"/>
            <w:left w:val="none" w:sz="0" w:space="0" w:color="auto"/>
            <w:bottom w:val="none" w:sz="0" w:space="0" w:color="auto"/>
            <w:right w:val="none" w:sz="0" w:space="0" w:color="auto"/>
          </w:divBdr>
        </w:div>
      </w:divsChild>
    </w:div>
    <w:div w:id="1626423972">
      <w:bodyDiv w:val="1"/>
      <w:marLeft w:val="0"/>
      <w:marRight w:val="0"/>
      <w:marTop w:val="0"/>
      <w:marBottom w:val="0"/>
      <w:divBdr>
        <w:top w:val="none" w:sz="0" w:space="0" w:color="auto"/>
        <w:left w:val="none" w:sz="0" w:space="0" w:color="auto"/>
        <w:bottom w:val="none" w:sz="0" w:space="0" w:color="auto"/>
        <w:right w:val="none" w:sz="0" w:space="0" w:color="auto"/>
      </w:divBdr>
    </w:div>
    <w:div w:id="1629705848">
      <w:bodyDiv w:val="1"/>
      <w:marLeft w:val="0"/>
      <w:marRight w:val="0"/>
      <w:marTop w:val="0"/>
      <w:marBottom w:val="0"/>
      <w:divBdr>
        <w:top w:val="none" w:sz="0" w:space="0" w:color="auto"/>
        <w:left w:val="none" w:sz="0" w:space="0" w:color="auto"/>
        <w:bottom w:val="none" w:sz="0" w:space="0" w:color="auto"/>
        <w:right w:val="none" w:sz="0" w:space="0" w:color="auto"/>
      </w:divBdr>
    </w:div>
    <w:div w:id="1637904428">
      <w:bodyDiv w:val="1"/>
      <w:marLeft w:val="0"/>
      <w:marRight w:val="0"/>
      <w:marTop w:val="0"/>
      <w:marBottom w:val="0"/>
      <w:divBdr>
        <w:top w:val="none" w:sz="0" w:space="0" w:color="auto"/>
        <w:left w:val="none" w:sz="0" w:space="0" w:color="auto"/>
        <w:bottom w:val="none" w:sz="0" w:space="0" w:color="auto"/>
        <w:right w:val="none" w:sz="0" w:space="0" w:color="auto"/>
      </w:divBdr>
    </w:div>
    <w:div w:id="1642617363">
      <w:bodyDiv w:val="1"/>
      <w:marLeft w:val="0"/>
      <w:marRight w:val="0"/>
      <w:marTop w:val="0"/>
      <w:marBottom w:val="0"/>
      <w:divBdr>
        <w:top w:val="none" w:sz="0" w:space="0" w:color="auto"/>
        <w:left w:val="none" w:sz="0" w:space="0" w:color="auto"/>
        <w:bottom w:val="none" w:sz="0" w:space="0" w:color="auto"/>
        <w:right w:val="none" w:sz="0" w:space="0" w:color="auto"/>
      </w:divBdr>
    </w:div>
    <w:div w:id="1645046235">
      <w:bodyDiv w:val="1"/>
      <w:marLeft w:val="0"/>
      <w:marRight w:val="0"/>
      <w:marTop w:val="0"/>
      <w:marBottom w:val="0"/>
      <w:divBdr>
        <w:top w:val="none" w:sz="0" w:space="0" w:color="auto"/>
        <w:left w:val="none" w:sz="0" w:space="0" w:color="auto"/>
        <w:bottom w:val="none" w:sz="0" w:space="0" w:color="auto"/>
        <w:right w:val="none" w:sz="0" w:space="0" w:color="auto"/>
      </w:divBdr>
    </w:div>
    <w:div w:id="1650474425">
      <w:bodyDiv w:val="1"/>
      <w:marLeft w:val="0"/>
      <w:marRight w:val="0"/>
      <w:marTop w:val="0"/>
      <w:marBottom w:val="0"/>
      <w:divBdr>
        <w:top w:val="none" w:sz="0" w:space="0" w:color="auto"/>
        <w:left w:val="none" w:sz="0" w:space="0" w:color="auto"/>
        <w:bottom w:val="none" w:sz="0" w:space="0" w:color="auto"/>
        <w:right w:val="none" w:sz="0" w:space="0" w:color="auto"/>
      </w:divBdr>
    </w:div>
    <w:div w:id="1652175446">
      <w:bodyDiv w:val="1"/>
      <w:marLeft w:val="0"/>
      <w:marRight w:val="0"/>
      <w:marTop w:val="0"/>
      <w:marBottom w:val="0"/>
      <w:divBdr>
        <w:top w:val="none" w:sz="0" w:space="0" w:color="auto"/>
        <w:left w:val="none" w:sz="0" w:space="0" w:color="auto"/>
        <w:bottom w:val="none" w:sz="0" w:space="0" w:color="auto"/>
        <w:right w:val="none" w:sz="0" w:space="0" w:color="auto"/>
      </w:divBdr>
    </w:div>
    <w:div w:id="1652713934">
      <w:bodyDiv w:val="1"/>
      <w:marLeft w:val="0"/>
      <w:marRight w:val="0"/>
      <w:marTop w:val="0"/>
      <w:marBottom w:val="0"/>
      <w:divBdr>
        <w:top w:val="none" w:sz="0" w:space="0" w:color="auto"/>
        <w:left w:val="none" w:sz="0" w:space="0" w:color="auto"/>
        <w:bottom w:val="none" w:sz="0" w:space="0" w:color="auto"/>
        <w:right w:val="none" w:sz="0" w:space="0" w:color="auto"/>
      </w:divBdr>
    </w:div>
    <w:div w:id="1656184533">
      <w:bodyDiv w:val="1"/>
      <w:marLeft w:val="0"/>
      <w:marRight w:val="0"/>
      <w:marTop w:val="0"/>
      <w:marBottom w:val="0"/>
      <w:divBdr>
        <w:top w:val="none" w:sz="0" w:space="0" w:color="auto"/>
        <w:left w:val="none" w:sz="0" w:space="0" w:color="auto"/>
        <w:bottom w:val="none" w:sz="0" w:space="0" w:color="auto"/>
        <w:right w:val="none" w:sz="0" w:space="0" w:color="auto"/>
      </w:divBdr>
    </w:div>
    <w:div w:id="1657413888">
      <w:bodyDiv w:val="1"/>
      <w:marLeft w:val="0"/>
      <w:marRight w:val="0"/>
      <w:marTop w:val="0"/>
      <w:marBottom w:val="0"/>
      <w:divBdr>
        <w:top w:val="none" w:sz="0" w:space="0" w:color="auto"/>
        <w:left w:val="none" w:sz="0" w:space="0" w:color="auto"/>
        <w:bottom w:val="none" w:sz="0" w:space="0" w:color="auto"/>
        <w:right w:val="none" w:sz="0" w:space="0" w:color="auto"/>
      </w:divBdr>
    </w:div>
    <w:div w:id="1659306033">
      <w:bodyDiv w:val="1"/>
      <w:marLeft w:val="0"/>
      <w:marRight w:val="0"/>
      <w:marTop w:val="0"/>
      <w:marBottom w:val="0"/>
      <w:divBdr>
        <w:top w:val="none" w:sz="0" w:space="0" w:color="auto"/>
        <w:left w:val="none" w:sz="0" w:space="0" w:color="auto"/>
        <w:bottom w:val="none" w:sz="0" w:space="0" w:color="auto"/>
        <w:right w:val="none" w:sz="0" w:space="0" w:color="auto"/>
      </w:divBdr>
    </w:div>
    <w:div w:id="1668286139">
      <w:bodyDiv w:val="1"/>
      <w:marLeft w:val="0"/>
      <w:marRight w:val="0"/>
      <w:marTop w:val="0"/>
      <w:marBottom w:val="0"/>
      <w:divBdr>
        <w:top w:val="none" w:sz="0" w:space="0" w:color="auto"/>
        <w:left w:val="none" w:sz="0" w:space="0" w:color="auto"/>
        <w:bottom w:val="none" w:sz="0" w:space="0" w:color="auto"/>
        <w:right w:val="none" w:sz="0" w:space="0" w:color="auto"/>
      </w:divBdr>
    </w:div>
    <w:div w:id="1670019027">
      <w:bodyDiv w:val="1"/>
      <w:marLeft w:val="0"/>
      <w:marRight w:val="0"/>
      <w:marTop w:val="0"/>
      <w:marBottom w:val="0"/>
      <w:divBdr>
        <w:top w:val="none" w:sz="0" w:space="0" w:color="auto"/>
        <w:left w:val="none" w:sz="0" w:space="0" w:color="auto"/>
        <w:bottom w:val="none" w:sz="0" w:space="0" w:color="auto"/>
        <w:right w:val="none" w:sz="0" w:space="0" w:color="auto"/>
      </w:divBdr>
    </w:div>
    <w:div w:id="1673945001">
      <w:bodyDiv w:val="1"/>
      <w:marLeft w:val="0"/>
      <w:marRight w:val="0"/>
      <w:marTop w:val="0"/>
      <w:marBottom w:val="0"/>
      <w:divBdr>
        <w:top w:val="none" w:sz="0" w:space="0" w:color="auto"/>
        <w:left w:val="none" w:sz="0" w:space="0" w:color="auto"/>
        <w:bottom w:val="none" w:sz="0" w:space="0" w:color="auto"/>
        <w:right w:val="none" w:sz="0" w:space="0" w:color="auto"/>
      </w:divBdr>
    </w:div>
    <w:div w:id="1679648692">
      <w:bodyDiv w:val="1"/>
      <w:marLeft w:val="0"/>
      <w:marRight w:val="0"/>
      <w:marTop w:val="0"/>
      <w:marBottom w:val="0"/>
      <w:divBdr>
        <w:top w:val="none" w:sz="0" w:space="0" w:color="auto"/>
        <w:left w:val="none" w:sz="0" w:space="0" w:color="auto"/>
        <w:bottom w:val="none" w:sz="0" w:space="0" w:color="auto"/>
        <w:right w:val="none" w:sz="0" w:space="0" w:color="auto"/>
      </w:divBdr>
    </w:div>
    <w:div w:id="1692801583">
      <w:bodyDiv w:val="1"/>
      <w:marLeft w:val="0"/>
      <w:marRight w:val="0"/>
      <w:marTop w:val="0"/>
      <w:marBottom w:val="0"/>
      <w:divBdr>
        <w:top w:val="none" w:sz="0" w:space="0" w:color="auto"/>
        <w:left w:val="none" w:sz="0" w:space="0" w:color="auto"/>
        <w:bottom w:val="none" w:sz="0" w:space="0" w:color="auto"/>
        <w:right w:val="none" w:sz="0" w:space="0" w:color="auto"/>
      </w:divBdr>
    </w:div>
    <w:div w:id="1716350624">
      <w:bodyDiv w:val="1"/>
      <w:marLeft w:val="0"/>
      <w:marRight w:val="0"/>
      <w:marTop w:val="0"/>
      <w:marBottom w:val="0"/>
      <w:divBdr>
        <w:top w:val="none" w:sz="0" w:space="0" w:color="auto"/>
        <w:left w:val="none" w:sz="0" w:space="0" w:color="auto"/>
        <w:bottom w:val="none" w:sz="0" w:space="0" w:color="auto"/>
        <w:right w:val="none" w:sz="0" w:space="0" w:color="auto"/>
      </w:divBdr>
    </w:div>
    <w:div w:id="1726561942">
      <w:bodyDiv w:val="1"/>
      <w:marLeft w:val="0"/>
      <w:marRight w:val="0"/>
      <w:marTop w:val="0"/>
      <w:marBottom w:val="0"/>
      <w:divBdr>
        <w:top w:val="none" w:sz="0" w:space="0" w:color="auto"/>
        <w:left w:val="none" w:sz="0" w:space="0" w:color="auto"/>
        <w:bottom w:val="none" w:sz="0" w:space="0" w:color="auto"/>
        <w:right w:val="none" w:sz="0" w:space="0" w:color="auto"/>
      </w:divBdr>
    </w:div>
    <w:div w:id="1730373136">
      <w:bodyDiv w:val="1"/>
      <w:marLeft w:val="0"/>
      <w:marRight w:val="0"/>
      <w:marTop w:val="0"/>
      <w:marBottom w:val="0"/>
      <w:divBdr>
        <w:top w:val="none" w:sz="0" w:space="0" w:color="auto"/>
        <w:left w:val="none" w:sz="0" w:space="0" w:color="auto"/>
        <w:bottom w:val="none" w:sz="0" w:space="0" w:color="auto"/>
        <w:right w:val="none" w:sz="0" w:space="0" w:color="auto"/>
      </w:divBdr>
    </w:div>
    <w:div w:id="1766918051">
      <w:bodyDiv w:val="1"/>
      <w:marLeft w:val="0"/>
      <w:marRight w:val="0"/>
      <w:marTop w:val="0"/>
      <w:marBottom w:val="0"/>
      <w:divBdr>
        <w:top w:val="none" w:sz="0" w:space="0" w:color="auto"/>
        <w:left w:val="none" w:sz="0" w:space="0" w:color="auto"/>
        <w:bottom w:val="none" w:sz="0" w:space="0" w:color="auto"/>
        <w:right w:val="none" w:sz="0" w:space="0" w:color="auto"/>
      </w:divBdr>
    </w:div>
    <w:div w:id="1775127873">
      <w:bodyDiv w:val="1"/>
      <w:marLeft w:val="0"/>
      <w:marRight w:val="0"/>
      <w:marTop w:val="0"/>
      <w:marBottom w:val="0"/>
      <w:divBdr>
        <w:top w:val="none" w:sz="0" w:space="0" w:color="auto"/>
        <w:left w:val="none" w:sz="0" w:space="0" w:color="auto"/>
        <w:bottom w:val="none" w:sz="0" w:space="0" w:color="auto"/>
        <w:right w:val="none" w:sz="0" w:space="0" w:color="auto"/>
      </w:divBdr>
    </w:div>
    <w:div w:id="1783647753">
      <w:bodyDiv w:val="1"/>
      <w:marLeft w:val="0"/>
      <w:marRight w:val="0"/>
      <w:marTop w:val="0"/>
      <w:marBottom w:val="0"/>
      <w:divBdr>
        <w:top w:val="none" w:sz="0" w:space="0" w:color="auto"/>
        <w:left w:val="none" w:sz="0" w:space="0" w:color="auto"/>
        <w:bottom w:val="none" w:sz="0" w:space="0" w:color="auto"/>
        <w:right w:val="none" w:sz="0" w:space="0" w:color="auto"/>
      </w:divBdr>
    </w:div>
    <w:div w:id="1791239431">
      <w:bodyDiv w:val="1"/>
      <w:marLeft w:val="0"/>
      <w:marRight w:val="0"/>
      <w:marTop w:val="0"/>
      <w:marBottom w:val="0"/>
      <w:divBdr>
        <w:top w:val="none" w:sz="0" w:space="0" w:color="auto"/>
        <w:left w:val="none" w:sz="0" w:space="0" w:color="auto"/>
        <w:bottom w:val="none" w:sz="0" w:space="0" w:color="auto"/>
        <w:right w:val="none" w:sz="0" w:space="0" w:color="auto"/>
      </w:divBdr>
    </w:div>
    <w:div w:id="1791705057">
      <w:bodyDiv w:val="1"/>
      <w:marLeft w:val="0"/>
      <w:marRight w:val="0"/>
      <w:marTop w:val="0"/>
      <w:marBottom w:val="0"/>
      <w:divBdr>
        <w:top w:val="none" w:sz="0" w:space="0" w:color="auto"/>
        <w:left w:val="none" w:sz="0" w:space="0" w:color="auto"/>
        <w:bottom w:val="none" w:sz="0" w:space="0" w:color="auto"/>
        <w:right w:val="none" w:sz="0" w:space="0" w:color="auto"/>
      </w:divBdr>
    </w:div>
    <w:div w:id="1799762276">
      <w:bodyDiv w:val="1"/>
      <w:marLeft w:val="0"/>
      <w:marRight w:val="0"/>
      <w:marTop w:val="0"/>
      <w:marBottom w:val="0"/>
      <w:divBdr>
        <w:top w:val="none" w:sz="0" w:space="0" w:color="auto"/>
        <w:left w:val="none" w:sz="0" w:space="0" w:color="auto"/>
        <w:bottom w:val="none" w:sz="0" w:space="0" w:color="auto"/>
        <w:right w:val="none" w:sz="0" w:space="0" w:color="auto"/>
      </w:divBdr>
    </w:div>
    <w:div w:id="1807772799">
      <w:bodyDiv w:val="1"/>
      <w:marLeft w:val="0"/>
      <w:marRight w:val="0"/>
      <w:marTop w:val="0"/>
      <w:marBottom w:val="0"/>
      <w:divBdr>
        <w:top w:val="none" w:sz="0" w:space="0" w:color="auto"/>
        <w:left w:val="none" w:sz="0" w:space="0" w:color="auto"/>
        <w:bottom w:val="none" w:sz="0" w:space="0" w:color="auto"/>
        <w:right w:val="none" w:sz="0" w:space="0" w:color="auto"/>
      </w:divBdr>
    </w:div>
    <w:div w:id="1815218355">
      <w:bodyDiv w:val="1"/>
      <w:marLeft w:val="0"/>
      <w:marRight w:val="0"/>
      <w:marTop w:val="0"/>
      <w:marBottom w:val="0"/>
      <w:divBdr>
        <w:top w:val="none" w:sz="0" w:space="0" w:color="auto"/>
        <w:left w:val="none" w:sz="0" w:space="0" w:color="auto"/>
        <w:bottom w:val="none" w:sz="0" w:space="0" w:color="auto"/>
        <w:right w:val="none" w:sz="0" w:space="0" w:color="auto"/>
      </w:divBdr>
    </w:div>
    <w:div w:id="1818260572">
      <w:bodyDiv w:val="1"/>
      <w:marLeft w:val="0"/>
      <w:marRight w:val="0"/>
      <w:marTop w:val="0"/>
      <w:marBottom w:val="0"/>
      <w:divBdr>
        <w:top w:val="none" w:sz="0" w:space="0" w:color="auto"/>
        <w:left w:val="none" w:sz="0" w:space="0" w:color="auto"/>
        <w:bottom w:val="none" w:sz="0" w:space="0" w:color="auto"/>
        <w:right w:val="none" w:sz="0" w:space="0" w:color="auto"/>
      </w:divBdr>
      <w:divsChild>
        <w:div w:id="1338994505">
          <w:marLeft w:val="1080"/>
          <w:marRight w:val="0"/>
          <w:marTop w:val="100"/>
          <w:marBottom w:val="360"/>
          <w:divBdr>
            <w:top w:val="none" w:sz="0" w:space="0" w:color="auto"/>
            <w:left w:val="none" w:sz="0" w:space="0" w:color="auto"/>
            <w:bottom w:val="none" w:sz="0" w:space="0" w:color="auto"/>
            <w:right w:val="none" w:sz="0" w:space="0" w:color="auto"/>
          </w:divBdr>
        </w:div>
      </w:divsChild>
    </w:div>
    <w:div w:id="1846746859">
      <w:bodyDiv w:val="1"/>
      <w:marLeft w:val="0"/>
      <w:marRight w:val="0"/>
      <w:marTop w:val="0"/>
      <w:marBottom w:val="0"/>
      <w:divBdr>
        <w:top w:val="none" w:sz="0" w:space="0" w:color="auto"/>
        <w:left w:val="none" w:sz="0" w:space="0" w:color="auto"/>
        <w:bottom w:val="none" w:sz="0" w:space="0" w:color="auto"/>
        <w:right w:val="none" w:sz="0" w:space="0" w:color="auto"/>
      </w:divBdr>
    </w:div>
    <w:div w:id="1859466658">
      <w:bodyDiv w:val="1"/>
      <w:marLeft w:val="0"/>
      <w:marRight w:val="0"/>
      <w:marTop w:val="0"/>
      <w:marBottom w:val="0"/>
      <w:divBdr>
        <w:top w:val="none" w:sz="0" w:space="0" w:color="auto"/>
        <w:left w:val="none" w:sz="0" w:space="0" w:color="auto"/>
        <w:bottom w:val="none" w:sz="0" w:space="0" w:color="auto"/>
        <w:right w:val="none" w:sz="0" w:space="0" w:color="auto"/>
      </w:divBdr>
    </w:div>
    <w:div w:id="1863981467">
      <w:bodyDiv w:val="1"/>
      <w:marLeft w:val="0"/>
      <w:marRight w:val="0"/>
      <w:marTop w:val="0"/>
      <w:marBottom w:val="0"/>
      <w:divBdr>
        <w:top w:val="none" w:sz="0" w:space="0" w:color="auto"/>
        <w:left w:val="none" w:sz="0" w:space="0" w:color="auto"/>
        <w:bottom w:val="none" w:sz="0" w:space="0" w:color="auto"/>
        <w:right w:val="none" w:sz="0" w:space="0" w:color="auto"/>
      </w:divBdr>
    </w:div>
    <w:div w:id="1864511388">
      <w:bodyDiv w:val="1"/>
      <w:marLeft w:val="0"/>
      <w:marRight w:val="0"/>
      <w:marTop w:val="0"/>
      <w:marBottom w:val="0"/>
      <w:divBdr>
        <w:top w:val="none" w:sz="0" w:space="0" w:color="auto"/>
        <w:left w:val="none" w:sz="0" w:space="0" w:color="auto"/>
        <w:bottom w:val="none" w:sz="0" w:space="0" w:color="auto"/>
        <w:right w:val="none" w:sz="0" w:space="0" w:color="auto"/>
      </w:divBdr>
    </w:div>
    <w:div w:id="1867253950">
      <w:bodyDiv w:val="1"/>
      <w:marLeft w:val="0"/>
      <w:marRight w:val="0"/>
      <w:marTop w:val="0"/>
      <w:marBottom w:val="0"/>
      <w:divBdr>
        <w:top w:val="none" w:sz="0" w:space="0" w:color="auto"/>
        <w:left w:val="none" w:sz="0" w:space="0" w:color="auto"/>
        <w:bottom w:val="none" w:sz="0" w:space="0" w:color="auto"/>
        <w:right w:val="none" w:sz="0" w:space="0" w:color="auto"/>
      </w:divBdr>
    </w:div>
    <w:div w:id="1871841360">
      <w:bodyDiv w:val="1"/>
      <w:marLeft w:val="0"/>
      <w:marRight w:val="0"/>
      <w:marTop w:val="0"/>
      <w:marBottom w:val="0"/>
      <w:divBdr>
        <w:top w:val="none" w:sz="0" w:space="0" w:color="auto"/>
        <w:left w:val="none" w:sz="0" w:space="0" w:color="auto"/>
        <w:bottom w:val="none" w:sz="0" w:space="0" w:color="auto"/>
        <w:right w:val="none" w:sz="0" w:space="0" w:color="auto"/>
      </w:divBdr>
    </w:div>
    <w:div w:id="1872840239">
      <w:bodyDiv w:val="1"/>
      <w:marLeft w:val="0"/>
      <w:marRight w:val="0"/>
      <w:marTop w:val="0"/>
      <w:marBottom w:val="0"/>
      <w:divBdr>
        <w:top w:val="none" w:sz="0" w:space="0" w:color="auto"/>
        <w:left w:val="none" w:sz="0" w:space="0" w:color="auto"/>
        <w:bottom w:val="none" w:sz="0" w:space="0" w:color="auto"/>
        <w:right w:val="none" w:sz="0" w:space="0" w:color="auto"/>
      </w:divBdr>
    </w:div>
    <w:div w:id="1876114554">
      <w:bodyDiv w:val="1"/>
      <w:marLeft w:val="0"/>
      <w:marRight w:val="0"/>
      <w:marTop w:val="0"/>
      <w:marBottom w:val="0"/>
      <w:divBdr>
        <w:top w:val="none" w:sz="0" w:space="0" w:color="auto"/>
        <w:left w:val="none" w:sz="0" w:space="0" w:color="auto"/>
        <w:bottom w:val="none" w:sz="0" w:space="0" w:color="auto"/>
        <w:right w:val="none" w:sz="0" w:space="0" w:color="auto"/>
      </w:divBdr>
    </w:div>
    <w:div w:id="1895893190">
      <w:bodyDiv w:val="1"/>
      <w:marLeft w:val="0"/>
      <w:marRight w:val="0"/>
      <w:marTop w:val="0"/>
      <w:marBottom w:val="0"/>
      <w:divBdr>
        <w:top w:val="none" w:sz="0" w:space="0" w:color="auto"/>
        <w:left w:val="none" w:sz="0" w:space="0" w:color="auto"/>
        <w:bottom w:val="none" w:sz="0" w:space="0" w:color="auto"/>
        <w:right w:val="none" w:sz="0" w:space="0" w:color="auto"/>
      </w:divBdr>
    </w:div>
    <w:div w:id="1925795983">
      <w:bodyDiv w:val="1"/>
      <w:marLeft w:val="0"/>
      <w:marRight w:val="0"/>
      <w:marTop w:val="0"/>
      <w:marBottom w:val="0"/>
      <w:divBdr>
        <w:top w:val="none" w:sz="0" w:space="0" w:color="auto"/>
        <w:left w:val="none" w:sz="0" w:space="0" w:color="auto"/>
        <w:bottom w:val="none" w:sz="0" w:space="0" w:color="auto"/>
        <w:right w:val="none" w:sz="0" w:space="0" w:color="auto"/>
      </w:divBdr>
    </w:div>
    <w:div w:id="1926649121">
      <w:bodyDiv w:val="1"/>
      <w:marLeft w:val="0"/>
      <w:marRight w:val="0"/>
      <w:marTop w:val="0"/>
      <w:marBottom w:val="0"/>
      <w:divBdr>
        <w:top w:val="none" w:sz="0" w:space="0" w:color="auto"/>
        <w:left w:val="none" w:sz="0" w:space="0" w:color="auto"/>
        <w:bottom w:val="none" w:sz="0" w:space="0" w:color="auto"/>
        <w:right w:val="none" w:sz="0" w:space="0" w:color="auto"/>
      </w:divBdr>
    </w:div>
    <w:div w:id="1945385678">
      <w:bodyDiv w:val="1"/>
      <w:marLeft w:val="0"/>
      <w:marRight w:val="0"/>
      <w:marTop w:val="0"/>
      <w:marBottom w:val="0"/>
      <w:divBdr>
        <w:top w:val="none" w:sz="0" w:space="0" w:color="auto"/>
        <w:left w:val="none" w:sz="0" w:space="0" w:color="auto"/>
        <w:bottom w:val="none" w:sz="0" w:space="0" w:color="auto"/>
        <w:right w:val="none" w:sz="0" w:space="0" w:color="auto"/>
      </w:divBdr>
    </w:div>
    <w:div w:id="1955092696">
      <w:bodyDiv w:val="1"/>
      <w:marLeft w:val="0"/>
      <w:marRight w:val="0"/>
      <w:marTop w:val="0"/>
      <w:marBottom w:val="0"/>
      <w:divBdr>
        <w:top w:val="none" w:sz="0" w:space="0" w:color="auto"/>
        <w:left w:val="none" w:sz="0" w:space="0" w:color="auto"/>
        <w:bottom w:val="none" w:sz="0" w:space="0" w:color="auto"/>
        <w:right w:val="none" w:sz="0" w:space="0" w:color="auto"/>
      </w:divBdr>
    </w:div>
    <w:div w:id="1974940504">
      <w:bodyDiv w:val="1"/>
      <w:marLeft w:val="0"/>
      <w:marRight w:val="0"/>
      <w:marTop w:val="0"/>
      <w:marBottom w:val="0"/>
      <w:divBdr>
        <w:top w:val="none" w:sz="0" w:space="0" w:color="auto"/>
        <w:left w:val="none" w:sz="0" w:space="0" w:color="auto"/>
        <w:bottom w:val="none" w:sz="0" w:space="0" w:color="auto"/>
        <w:right w:val="none" w:sz="0" w:space="0" w:color="auto"/>
      </w:divBdr>
    </w:div>
    <w:div w:id="1979992473">
      <w:bodyDiv w:val="1"/>
      <w:marLeft w:val="0"/>
      <w:marRight w:val="0"/>
      <w:marTop w:val="0"/>
      <w:marBottom w:val="0"/>
      <w:divBdr>
        <w:top w:val="none" w:sz="0" w:space="0" w:color="auto"/>
        <w:left w:val="none" w:sz="0" w:space="0" w:color="auto"/>
        <w:bottom w:val="none" w:sz="0" w:space="0" w:color="auto"/>
        <w:right w:val="none" w:sz="0" w:space="0" w:color="auto"/>
      </w:divBdr>
    </w:div>
    <w:div w:id="1984626709">
      <w:bodyDiv w:val="1"/>
      <w:marLeft w:val="0"/>
      <w:marRight w:val="0"/>
      <w:marTop w:val="0"/>
      <w:marBottom w:val="0"/>
      <w:divBdr>
        <w:top w:val="none" w:sz="0" w:space="0" w:color="auto"/>
        <w:left w:val="none" w:sz="0" w:space="0" w:color="auto"/>
        <w:bottom w:val="none" w:sz="0" w:space="0" w:color="auto"/>
        <w:right w:val="none" w:sz="0" w:space="0" w:color="auto"/>
      </w:divBdr>
    </w:div>
    <w:div w:id="1993679069">
      <w:bodyDiv w:val="1"/>
      <w:marLeft w:val="0"/>
      <w:marRight w:val="0"/>
      <w:marTop w:val="0"/>
      <w:marBottom w:val="0"/>
      <w:divBdr>
        <w:top w:val="none" w:sz="0" w:space="0" w:color="auto"/>
        <w:left w:val="none" w:sz="0" w:space="0" w:color="auto"/>
        <w:bottom w:val="none" w:sz="0" w:space="0" w:color="auto"/>
        <w:right w:val="none" w:sz="0" w:space="0" w:color="auto"/>
      </w:divBdr>
    </w:div>
    <w:div w:id="2005476863">
      <w:bodyDiv w:val="1"/>
      <w:marLeft w:val="0"/>
      <w:marRight w:val="0"/>
      <w:marTop w:val="0"/>
      <w:marBottom w:val="0"/>
      <w:divBdr>
        <w:top w:val="none" w:sz="0" w:space="0" w:color="auto"/>
        <w:left w:val="none" w:sz="0" w:space="0" w:color="auto"/>
        <w:bottom w:val="none" w:sz="0" w:space="0" w:color="auto"/>
        <w:right w:val="none" w:sz="0" w:space="0" w:color="auto"/>
      </w:divBdr>
    </w:div>
    <w:div w:id="2025132249">
      <w:bodyDiv w:val="1"/>
      <w:marLeft w:val="0"/>
      <w:marRight w:val="0"/>
      <w:marTop w:val="0"/>
      <w:marBottom w:val="0"/>
      <w:divBdr>
        <w:top w:val="none" w:sz="0" w:space="0" w:color="auto"/>
        <w:left w:val="none" w:sz="0" w:space="0" w:color="auto"/>
        <w:bottom w:val="none" w:sz="0" w:space="0" w:color="auto"/>
        <w:right w:val="none" w:sz="0" w:space="0" w:color="auto"/>
      </w:divBdr>
    </w:div>
    <w:div w:id="2041397734">
      <w:bodyDiv w:val="1"/>
      <w:marLeft w:val="0"/>
      <w:marRight w:val="0"/>
      <w:marTop w:val="0"/>
      <w:marBottom w:val="0"/>
      <w:divBdr>
        <w:top w:val="none" w:sz="0" w:space="0" w:color="auto"/>
        <w:left w:val="none" w:sz="0" w:space="0" w:color="auto"/>
        <w:bottom w:val="none" w:sz="0" w:space="0" w:color="auto"/>
        <w:right w:val="none" w:sz="0" w:space="0" w:color="auto"/>
      </w:divBdr>
    </w:div>
    <w:div w:id="2054965765">
      <w:bodyDiv w:val="1"/>
      <w:marLeft w:val="0"/>
      <w:marRight w:val="0"/>
      <w:marTop w:val="0"/>
      <w:marBottom w:val="0"/>
      <w:divBdr>
        <w:top w:val="none" w:sz="0" w:space="0" w:color="auto"/>
        <w:left w:val="none" w:sz="0" w:space="0" w:color="auto"/>
        <w:bottom w:val="none" w:sz="0" w:space="0" w:color="auto"/>
        <w:right w:val="none" w:sz="0" w:space="0" w:color="auto"/>
      </w:divBdr>
    </w:div>
    <w:div w:id="2070228784">
      <w:bodyDiv w:val="1"/>
      <w:marLeft w:val="0"/>
      <w:marRight w:val="0"/>
      <w:marTop w:val="0"/>
      <w:marBottom w:val="0"/>
      <w:divBdr>
        <w:top w:val="none" w:sz="0" w:space="0" w:color="auto"/>
        <w:left w:val="none" w:sz="0" w:space="0" w:color="auto"/>
        <w:bottom w:val="none" w:sz="0" w:space="0" w:color="auto"/>
        <w:right w:val="none" w:sz="0" w:space="0" w:color="auto"/>
      </w:divBdr>
    </w:div>
    <w:div w:id="2084990666">
      <w:bodyDiv w:val="1"/>
      <w:marLeft w:val="0"/>
      <w:marRight w:val="0"/>
      <w:marTop w:val="0"/>
      <w:marBottom w:val="0"/>
      <w:divBdr>
        <w:top w:val="none" w:sz="0" w:space="0" w:color="auto"/>
        <w:left w:val="none" w:sz="0" w:space="0" w:color="auto"/>
        <w:bottom w:val="none" w:sz="0" w:space="0" w:color="auto"/>
        <w:right w:val="none" w:sz="0" w:space="0" w:color="auto"/>
      </w:divBdr>
    </w:div>
    <w:div w:id="2085640237">
      <w:bodyDiv w:val="1"/>
      <w:marLeft w:val="0"/>
      <w:marRight w:val="0"/>
      <w:marTop w:val="0"/>
      <w:marBottom w:val="0"/>
      <w:divBdr>
        <w:top w:val="none" w:sz="0" w:space="0" w:color="auto"/>
        <w:left w:val="none" w:sz="0" w:space="0" w:color="auto"/>
        <w:bottom w:val="none" w:sz="0" w:space="0" w:color="auto"/>
        <w:right w:val="none" w:sz="0" w:space="0" w:color="auto"/>
      </w:divBdr>
    </w:div>
    <w:div w:id="2085760656">
      <w:bodyDiv w:val="1"/>
      <w:marLeft w:val="0"/>
      <w:marRight w:val="0"/>
      <w:marTop w:val="0"/>
      <w:marBottom w:val="0"/>
      <w:divBdr>
        <w:top w:val="none" w:sz="0" w:space="0" w:color="auto"/>
        <w:left w:val="none" w:sz="0" w:space="0" w:color="auto"/>
        <w:bottom w:val="none" w:sz="0" w:space="0" w:color="auto"/>
        <w:right w:val="none" w:sz="0" w:space="0" w:color="auto"/>
      </w:divBdr>
    </w:div>
    <w:div w:id="2090688205">
      <w:bodyDiv w:val="1"/>
      <w:marLeft w:val="0"/>
      <w:marRight w:val="0"/>
      <w:marTop w:val="0"/>
      <w:marBottom w:val="0"/>
      <w:divBdr>
        <w:top w:val="none" w:sz="0" w:space="0" w:color="auto"/>
        <w:left w:val="none" w:sz="0" w:space="0" w:color="auto"/>
        <w:bottom w:val="none" w:sz="0" w:space="0" w:color="auto"/>
        <w:right w:val="none" w:sz="0" w:space="0" w:color="auto"/>
      </w:divBdr>
    </w:div>
    <w:div w:id="2103716408">
      <w:bodyDiv w:val="1"/>
      <w:marLeft w:val="0"/>
      <w:marRight w:val="0"/>
      <w:marTop w:val="0"/>
      <w:marBottom w:val="0"/>
      <w:divBdr>
        <w:top w:val="none" w:sz="0" w:space="0" w:color="auto"/>
        <w:left w:val="none" w:sz="0" w:space="0" w:color="auto"/>
        <w:bottom w:val="none" w:sz="0" w:space="0" w:color="auto"/>
        <w:right w:val="none" w:sz="0" w:space="0" w:color="auto"/>
      </w:divBdr>
    </w:div>
    <w:div w:id="2112968923">
      <w:bodyDiv w:val="1"/>
      <w:marLeft w:val="0"/>
      <w:marRight w:val="0"/>
      <w:marTop w:val="0"/>
      <w:marBottom w:val="0"/>
      <w:divBdr>
        <w:top w:val="none" w:sz="0" w:space="0" w:color="auto"/>
        <w:left w:val="none" w:sz="0" w:space="0" w:color="auto"/>
        <w:bottom w:val="none" w:sz="0" w:space="0" w:color="auto"/>
        <w:right w:val="none" w:sz="0" w:space="0" w:color="auto"/>
      </w:divBdr>
    </w:div>
    <w:div w:id="2123306306">
      <w:bodyDiv w:val="1"/>
      <w:marLeft w:val="0"/>
      <w:marRight w:val="0"/>
      <w:marTop w:val="0"/>
      <w:marBottom w:val="0"/>
      <w:divBdr>
        <w:top w:val="none" w:sz="0" w:space="0" w:color="auto"/>
        <w:left w:val="none" w:sz="0" w:space="0" w:color="auto"/>
        <w:bottom w:val="none" w:sz="0" w:space="0" w:color="auto"/>
        <w:right w:val="none" w:sz="0" w:space="0" w:color="auto"/>
      </w:divBdr>
    </w:div>
    <w:div w:id="2128771528">
      <w:bodyDiv w:val="1"/>
      <w:marLeft w:val="0"/>
      <w:marRight w:val="0"/>
      <w:marTop w:val="0"/>
      <w:marBottom w:val="0"/>
      <w:divBdr>
        <w:top w:val="none" w:sz="0" w:space="0" w:color="auto"/>
        <w:left w:val="none" w:sz="0" w:space="0" w:color="auto"/>
        <w:bottom w:val="none" w:sz="0" w:space="0" w:color="auto"/>
        <w:right w:val="none" w:sz="0" w:space="0" w:color="auto"/>
      </w:divBdr>
      <w:divsChild>
        <w:div w:id="1005135687">
          <w:marLeft w:val="0"/>
          <w:marRight w:val="0"/>
          <w:marTop w:val="0"/>
          <w:marBottom w:val="0"/>
          <w:divBdr>
            <w:top w:val="none" w:sz="0" w:space="0" w:color="auto"/>
            <w:left w:val="none" w:sz="0" w:space="0" w:color="auto"/>
            <w:bottom w:val="none" w:sz="0" w:space="0" w:color="auto"/>
            <w:right w:val="none" w:sz="0" w:space="0" w:color="auto"/>
          </w:divBdr>
          <w:divsChild>
            <w:div w:id="707098981">
              <w:marLeft w:val="0"/>
              <w:marRight w:val="0"/>
              <w:marTop w:val="0"/>
              <w:marBottom w:val="0"/>
              <w:divBdr>
                <w:top w:val="none" w:sz="0" w:space="0" w:color="auto"/>
                <w:left w:val="none" w:sz="0" w:space="0" w:color="auto"/>
                <w:bottom w:val="none" w:sz="0" w:space="0" w:color="auto"/>
                <w:right w:val="none" w:sz="0" w:space="0" w:color="auto"/>
              </w:divBdr>
              <w:divsChild>
                <w:div w:id="390151880">
                  <w:marLeft w:val="0"/>
                  <w:marRight w:val="0"/>
                  <w:marTop w:val="0"/>
                  <w:marBottom w:val="0"/>
                  <w:divBdr>
                    <w:top w:val="none" w:sz="0" w:space="0" w:color="auto"/>
                    <w:left w:val="none" w:sz="0" w:space="0" w:color="auto"/>
                    <w:bottom w:val="none" w:sz="0" w:space="0" w:color="auto"/>
                    <w:right w:val="none" w:sz="0" w:space="0" w:color="auto"/>
                  </w:divBdr>
                </w:div>
                <w:div w:id="192533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823045">
          <w:marLeft w:val="0"/>
          <w:marRight w:val="0"/>
          <w:marTop w:val="0"/>
          <w:marBottom w:val="0"/>
          <w:divBdr>
            <w:top w:val="none" w:sz="0" w:space="0" w:color="auto"/>
            <w:left w:val="none" w:sz="0" w:space="0" w:color="auto"/>
            <w:bottom w:val="none" w:sz="0" w:space="0" w:color="auto"/>
            <w:right w:val="none" w:sz="0" w:space="0" w:color="auto"/>
          </w:divBdr>
          <w:divsChild>
            <w:div w:id="152837044">
              <w:marLeft w:val="0"/>
              <w:marRight w:val="0"/>
              <w:marTop w:val="0"/>
              <w:marBottom w:val="0"/>
              <w:divBdr>
                <w:top w:val="none" w:sz="0" w:space="0" w:color="auto"/>
                <w:left w:val="none" w:sz="0" w:space="0" w:color="auto"/>
                <w:bottom w:val="none" w:sz="0" w:space="0" w:color="auto"/>
                <w:right w:val="none" w:sz="0" w:space="0" w:color="auto"/>
              </w:divBdr>
              <w:divsChild>
                <w:div w:id="660042233">
                  <w:marLeft w:val="0"/>
                  <w:marRight w:val="0"/>
                  <w:marTop w:val="0"/>
                  <w:marBottom w:val="0"/>
                  <w:divBdr>
                    <w:top w:val="none" w:sz="0" w:space="0" w:color="auto"/>
                    <w:left w:val="none" w:sz="0" w:space="0" w:color="auto"/>
                    <w:bottom w:val="none" w:sz="0" w:space="0" w:color="auto"/>
                    <w:right w:val="none" w:sz="0" w:space="0" w:color="auto"/>
                  </w:divBdr>
                  <w:divsChild>
                    <w:div w:id="125169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89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image" Target="media/image5.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6.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1" Type="http://schemas.openxmlformats.org/officeDocument/2006/relationships/hyperlink" Target="https://www.imf.org/en/Publications/WEO/Issues/2022/01/25/world-economic-outlook-update-january-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C4F4F-F4DB-49DF-9F5B-EEB60133F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23</Pages>
  <Words>7996</Words>
  <Characters>55174</Characters>
  <Application>Microsoft Office Word</Application>
  <DocSecurity>0</DocSecurity>
  <Lines>935</Lines>
  <Paragraphs>226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39</cp:revision>
  <dcterms:created xsi:type="dcterms:W3CDTF">2022-04-26T13:14:00Z</dcterms:created>
  <dcterms:modified xsi:type="dcterms:W3CDTF">2022-05-05T06:56:00Z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2022-04-19T06:09:56Z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118a1881-0310-468e-a9fa-74a3a4a4ed70</vt:lpwstr>
  </property>
  <property fmtid="{D5CDD505-2E9C-101B-9397-08002B2CF9AE}" pid="8" name="MSIP_Label_6bd9ddd1-4d20-43f6-abfa-fc3c07406f94_ContentBits">
    <vt:lpwstr>0</vt:lpwstr>
  </property>
  <property fmtid="{D5CDD505-2E9C-101B-9397-08002B2CF9AE}" pid="9" name="Level of sensitivity">
    <vt:lpwstr>Standard treatment</vt:lpwstr>
  </property>
  <property fmtid="{D5CDD505-2E9C-101B-9397-08002B2CF9AE}" pid="10" name="Last edited using">
    <vt:lpwstr>LW 8.0, Build 20220128</vt:lpwstr>
  </property>
  <property fmtid="{D5CDD505-2E9C-101B-9397-08002B2CF9AE}" pid="11" name="DocStatus">
    <vt:lpwstr>Green</vt:lpwstr>
  </property>
  <property fmtid="{D5CDD505-2E9C-101B-9397-08002B2CF9AE}" pid="12" name="Part">
    <vt:lpwstr>1</vt:lpwstr>
  </property>
  <property fmtid="{D5CDD505-2E9C-101B-9397-08002B2CF9AE}" pid="13" name="Total parts">
    <vt:lpwstr>1</vt:lpwstr>
  </property>
  <property fmtid="{D5CDD505-2E9C-101B-9397-08002B2CF9AE}" pid="14" name="CPTemplateID">
    <vt:lpwstr>CP-014</vt:lpwstr>
  </property>
</Properties>
</file>