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3398F" w14:textId="17FA8417" w:rsidR="00E851F4" w:rsidRDefault="00FF421B" w:rsidP="00FF421B">
      <w:pPr>
        <w:pStyle w:val="Pagedecouverture"/>
        <w:rPr>
          <w:noProof/>
        </w:rPr>
      </w:pPr>
      <w:r>
        <w:rPr>
          <w:noProof/>
        </w:rPr>
        <w:pict w14:anchorId="7E4BF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53B2E0-85B5-47DA-874B-98DF0377159A" style="width:455.25pt;height:369.75pt">
            <v:imagedata r:id="rId7" o:title=""/>
          </v:shape>
        </w:pict>
      </w:r>
    </w:p>
    <w:p w14:paraId="1F941DC2" w14:textId="77777777" w:rsidR="00E851F4" w:rsidRDefault="00E851F4" w:rsidP="00E851F4">
      <w:pPr>
        <w:rPr>
          <w:noProof/>
        </w:rPr>
        <w:sectPr w:rsidR="00E851F4" w:rsidSect="00FF421B">
          <w:footerReference w:type="default" r:id="rId8"/>
          <w:pgSz w:w="11907" w:h="16839"/>
          <w:pgMar w:top="1134" w:right="1417" w:bottom="1134" w:left="1417" w:header="709" w:footer="709" w:gutter="0"/>
          <w:pgNumType w:start="0"/>
          <w:cols w:space="720"/>
          <w:docGrid w:linePitch="360"/>
        </w:sectPr>
      </w:pPr>
    </w:p>
    <w:p w14:paraId="10466A3B" w14:textId="77777777" w:rsidR="00E17E43" w:rsidRPr="00E17E43" w:rsidRDefault="00E17E43" w:rsidP="00F14D06">
      <w:pPr>
        <w:pStyle w:val="Exposdesmotifstitre"/>
        <w:rPr>
          <w:rFonts w:eastAsia="Calibri"/>
          <w:noProof/>
        </w:rPr>
      </w:pPr>
      <w:bookmarkStart w:id="0" w:name="_GoBack"/>
      <w:bookmarkEnd w:id="0"/>
      <w:r w:rsidRPr="00E17E43">
        <w:rPr>
          <w:rFonts w:eastAsia="Calibri"/>
          <w:noProof/>
        </w:rPr>
        <w:lastRenderedPageBreak/>
        <w:t>EXPLANATORY MEMORANDUM</w:t>
      </w:r>
    </w:p>
    <w:p w14:paraId="7866093C" w14:textId="77777777" w:rsidR="00E17E43" w:rsidRPr="00E17E43" w:rsidRDefault="00E17E43" w:rsidP="00037C7A">
      <w:pPr>
        <w:pStyle w:val="ManualHeading1"/>
        <w:rPr>
          <w:noProof/>
        </w:rPr>
      </w:pPr>
      <w:r w:rsidRPr="00E17E43">
        <w:rPr>
          <w:noProof/>
        </w:rPr>
        <w:t>1.</w:t>
      </w:r>
      <w:r w:rsidRPr="00E17E43">
        <w:rPr>
          <w:noProof/>
        </w:rPr>
        <w:tab/>
        <w:t>CONTEXT OF THE PROPOSAL</w:t>
      </w:r>
    </w:p>
    <w:p w14:paraId="7D7D3EA6" w14:textId="77777777" w:rsidR="00E17E43" w:rsidRPr="00E17E43" w:rsidRDefault="00E17E43" w:rsidP="00037C7A">
      <w:pPr>
        <w:pStyle w:val="ManualHeading2"/>
        <w:rPr>
          <w:noProof/>
        </w:rPr>
      </w:pPr>
      <w:r w:rsidRPr="00E17E43">
        <w:rPr>
          <w:noProof/>
          <w:color w:val="000000"/>
          <w:u w:color="000000"/>
          <w:bdr w:val="nil"/>
          <w:lang w:val="en-US" w:eastAsia="en-GB"/>
        </w:rPr>
        <w:t>•</w:t>
      </w:r>
      <w:r w:rsidRPr="00E17E43">
        <w:rPr>
          <w:noProof/>
          <w:color w:val="000000"/>
          <w:u w:color="000000"/>
          <w:bdr w:val="nil"/>
          <w:lang w:val="en-US" w:eastAsia="en-GB"/>
        </w:rPr>
        <w:tab/>
      </w:r>
      <w:r w:rsidRPr="00E17E43">
        <w:rPr>
          <w:noProof/>
        </w:rPr>
        <w:t>Reasons for and objectives of the proposal</w:t>
      </w:r>
    </w:p>
    <w:p w14:paraId="48D9703F" w14:textId="77777777" w:rsidR="00A753E6" w:rsidRPr="006C4B46" w:rsidRDefault="00A753E6" w:rsidP="00A753E6">
      <w:pPr>
        <w:rPr>
          <w:rFonts w:eastAsia="Calibri"/>
          <w:noProof/>
        </w:rPr>
      </w:pPr>
      <w:r w:rsidRPr="006C4B46">
        <w:rPr>
          <w:rFonts w:eastAsia="Calibri"/>
          <w:noProof/>
        </w:rPr>
        <w:t xml:space="preserve">The </w:t>
      </w:r>
      <w:r>
        <w:rPr>
          <w:rFonts w:eastAsia="Calibri"/>
          <w:noProof/>
        </w:rPr>
        <w:t>a</w:t>
      </w:r>
      <w:r w:rsidRPr="006C4B46">
        <w:rPr>
          <w:rFonts w:eastAsia="Calibri"/>
          <w:noProof/>
        </w:rPr>
        <w:t xml:space="preserve">ction </w:t>
      </w:r>
      <w:r>
        <w:rPr>
          <w:rFonts w:eastAsia="Calibri"/>
          <w:noProof/>
        </w:rPr>
        <w:t>p</w:t>
      </w:r>
      <w:r w:rsidRPr="006C4B46">
        <w:rPr>
          <w:rFonts w:eastAsia="Calibri"/>
          <w:noProof/>
        </w:rPr>
        <w:t xml:space="preserve">lan on </w:t>
      </w:r>
      <w:r>
        <w:rPr>
          <w:rFonts w:eastAsia="Calibri"/>
          <w:noProof/>
        </w:rPr>
        <w:t>f</w:t>
      </w:r>
      <w:r w:rsidRPr="006C4B46">
        <w:rPr>
          <w:rFonts w:eastAsia="Calibri"/>
          <w:noProof/>
        </w:rPr>
        <w:t xml:space="preserve">orest </w:t>
      </w:r>
      <w:r>
        <w:rPr>
          <w:rFonts w:eastAsia="Calibri"/>
          <w:noProof/>
        </w:rPr>
        <w:t>l</w:t>
      </w:r>
      <w:r w:rsidRPr="006C4B46">
        <w:rPr>
          <w:rFonts w:eastAsia="Calibri"/>
          <w:noProof/>
        </w:rPr>
        <w:t xml:space="preserve">aw </w:t>
      </w:r>
      <w:r>
        <w:rPr>
          <w:rFonts w:eastAsia="Calibri"/>
          <w:noProof/>
        </w:rPr>
        <w:t>e</w:t>
      </w:r>
      <w:r w:rsidRPr="006C4B46">
        <w:rPr>
          <w:rFonts w:eastAsia="Calibri"/>
          <w:noProof/>
        </w:rPr>
        <w:t xml:space="preserve">nforcement, </w:t>
      </w:r>
      <w:r>
        <w:rPr>
          <w:rFonts w:eastAsia="Calibri"/>
          <w:noProof/>
        </w:rPr>
        <w:t>g</w:t>
      </w:r>
      <w:r w:rsidRPr="006C4B46">
        <w:rPr>
          <w:rFonts w:eastAsia="Calibri"/>
          <w:noProof/>
        </w:rPr>
        <w:t xml:space="preserve">overnance and </w:t>
      </w:r>
      <w:r>
        <w:rPr>
          <w:rFonts w:eastAsia="Calibri"/>
          <w:noProof/>
        </w:rPr>
        <w:t>t</w:t>
      </w:r>
      <w:r w:rsidRPr="006C4B46">
        <w:rPr>
          <w:rFonts w:eastAsia="Calibri"/>
          <w:noProof/>
        </w:rPr>
        <w:t>rade (FLEGT)</w:t>
      </w:r>
      <w:r w:rsidRPr="00473E79">
        <w:rPr>
          <w:rStyle w:val="FootnoteReference"/>
          <w:noProof/>
        </w:rPr>
        <w:footnoteReference w:id="1"/>
      </w:r>
      <w:r w:rsidRPr="006C4B46">
        <w:rPr>
          <w:rFonts w:eastAsia="Calibri"/>
          <w:noProof/>
        </w:rPr>
        <w:t>, endorsed by the Council in 2003</w:t>
      </w:r>
      <w:r w:rsidRPr="00473E79">
        <w:rPr>
          <w:rStyle w:val="FootnoteReference"/>
          <w:noProof/>
        </w:rPr>
        <w:footnoteReference w:id="2"/>
      </w:r>
      <w:r w:rsidRPr="006C4B46">
        <w:rPr>
          <w:rFonts w:eastAsia="Calibri"/>
          <w:noProof/>
        </w:rPr>
        <w:t>, proposes a set of measures</w:t>
      </w:r>
      <w:r>
        <w:rPr>
          <w:rFonts w:eastAsia="Calibri"/>
          <w:noProof/>
        </w:rPr>
        <w:t xml:space="preserve"> to stop illegal logging. These measures </w:t>
      </w:r>
      <w:r w:rsidRPr="006C4B46">
        <w:rPr>
          <w:rFonts w:eastAsia="Calibri"/>
          <w:noProof/>
        </w:rPr>
        <w:t>includ</w:t>
      </w:r>
      <w:r>
        <w:rPr>
          <w:rFonts w:eastAsia="Calibri"/>
          <w:noProof/>
        </w:rPr>
        <w:t>e</w:t>
      </w:r>
      <w:r w:rsidRPr="006C4B46">
        <w:rPr>
          <w:rFonts w:eastAsia="Calibri"/>
          <w:noProof/>
        </w:rPr>
        <w:t xml:space="preserve"> support </w:t>
      </w:r>
      <w:r>
        <w:rPr>
          <w:rFonts w:eastAsia="Calibri"/>
          <w:noProof/>
        </w:rPr>
        <w:t>to</w:t>
      </w:r>
      <w:r w:rsidRPr="006C4B46">
        <w:rPr>
          <w:rFonts w:eastAsia="Calibri"/>
          <w:noProof/>
        </w:rPr>
        <w:t xml:space="preserve"> timber-producing countries, multilateral collaboration to tackle trade in illegal timber, support </w:t>
      </w:r>
      <w:r>
        <w:rPr>
          <w:rFonts w:eastAsia="Calibri"/>
          <w:noProof/>
        </w:rPr>
        <w:t>to</w:t>
      </w:r>
      <w:r w:rsidRPr="006C4B46">
        <w:rPr>
          <w:rFonts w:eastAsia="Calibri"/>
          <w:noProof/>
        </w:rPr>
        <w:t xml:space="preserve"> private</w:t>
      </w:r>
      <w:r>
        <w:rPr>
          <w:rFonts w:eastAsia="Calibri"/>
          <w:noProof/>
        </w:rPr>
        <w:t xml:space="preserve"> </w:t>
      </w:r>
      <w:r w:rsidRPr="006C4B46">
        <w:rPr>
          <w:rFonts w:eastAsia="Calibri"/>
          <w:noProof/>
        </w:rPr>
        <w:t xml:space="preserve">sector initiatives, and </w:t>
      </w:r>
      <w:r>
        <w:rPr>
          <w:rFonts w:eastAsia="Calibri"/>
          <w:noProof/>
        </w:rPr>
        <w:t>action</w:t>
      </w:r>
      <w:r w:rsidRPr="006C4B46">
        <w:rPr>
          <w:rFonts w:eastAsia="Calibri"/>
          <w:noProof/>
        </w:rPr>
        <w:t xml:space="preserve"> to discourage investment in activities that encourage illegal logging. The cornerstone of the </w:t>
      </w:r>
      <w:r>
        <w:rPr>
          <w:rFonts w:eastAsia="Calibri"/>
          <w:noProof/>
        </w:rPr>
        <w:t>a</w:t>
      </w:r>
      <w:r w:rsidRPr="006C4B46">
        <w:rPr>
          <w:rFonts w:eastAsia="Calibri"/>
          <w:noProof/>
        </w:rPr>
        <w:t xml:space="preserve">ction </w:t>
      </w:r>
      <w:r>
        <w:rPr>
          <w:rFonts w:eastAsia="Calibri"/>
          <w:noProof/>
        </w:rPr>
        <w:t>p</w:t>
      </w:r>
      <w:r w:rsidRPr="006C4B46">
        <w:rPr>
          <w:rFonts w:eastAsia="Calibri"/>
          <w:noProof/>
        </w:rPr>
        <w:t>lan is the establishment of FLEGT partnerships between the EU and timber-producing countries. In 2005, the Council adopted Regulation (EC) No 2173/2005 on the establishment of a FLEGT licensing scheme for imports of timber into the European Community</w:t>
      </w:r>
      <w:r w:rsidRPr="00473E79">
        <w:rPr>
          <w:rStyle w:val="FootnoteReference"/>
          <w:noProof/>
        </w:rPr>
        <w:footnoteReference w:id="3"/>
      </w:r>
      <w:r w:rsidRPr="006C4B46">
        <w:rPr>
          <w:rFonts w:eastAsia="Calibri"/>
          <w:noProof/>
        </w:rPr>
        <w:t xml:space="preserve">, that enables </w:t>
      </w:r>
      <w:r>
        <w:rPr>
          <w:rFonts w:eastAsia="Calibri"/>
          <w:noProof/>
        </w:rPr>
        <w:t>checking</w:t>
      </w:r>
      <w:r w:rsidRPr="006C4B46">
        <w:rPr>
          <w:rFonts w:eastAsia="Calibri"/>
          <w:noProof/>
        </w:rPr>
        <w:t xml:space="preserve"> the legality of timber imported into the EU under FLEGT partnerships.</w:t>
      </w:r>
    </w:p>
    <w:p w14:paraId="58B40A29" w14:textId="77777777" w:rsidR="00E17E43" w:rsidRPr="00E17E43" w:rsidRDefault="00E17E43" w:rsidP="00E17E43">
      <w:pPr>
        <w:rPr>
          <w:rFonts w:eastAsia="Calibri"/>
          <w:noProof/>
        </w:rPr>
      </w:pPr>
      <w:r w:rsidRPr="00E17E43">
        <w:rPr>
          <w:rFonts w:eastAsia="Calibri"/>
          <w:noProof/>
        </w:rPr>
        <w:t xml:space="preserve">In 2005, the Council authorised the </w:t>
      </w:r>
      <w:r w:rsidR="00A753E6">
        <w:rPr>
          <w:rFonts w:eastAsia="Calibri"/>
          <w:noProof/>
        </w:rPr>
        <w:t xml:space="preserve">Commission </w:t>
      </w:r>
      <w:r w:rsidRPr="00E17E43">
        <w:rPr>
          <w:rFonts w:eastAsia="Calibri"/>
          <w:noProof/>
        </w:rPr>
        <w:t>to negotiate FLEGT partnership agreements with timber-producing countries</w:t>
      </w:r>
      <w:r w:rsidRPr="00F96A53">
        <w:rPr>
          <w:rStyle w:val="FootnoteReference"/>
          <w:noProof/>
        </w:rPr>
        <w:footnoteReference w:id="4"/>
      </w:r>
      <w:r w:rsidRPr="00E17E43">
        <w:rPr>
          <w:rFonts w:eastAsia="Calibri"/>
          <w:noProof/>
        </w:rPr>
        <w:t xml:space="preserve">. </w:t>
      </w:r>
    </w:p>
    <w:p w14:paraId="0DF6A89B" w14:textId="77777777" w:rsidR="00A753E6" w:rsidRPr="006C4B46" w:rsidRDefault="00A753E6" w:rsidP="00A753E6">
      <w:pPr>
        <w:rPr>
          <w:rFonts w:eastAsia="Calibri"/>
          <w:noProof/>
        </w:rPr>
      </w:pPr>
      <w:r w:rsidRPr="006C4B46">
        <w:rPr>
          <w:rFonts w:eastAsia="Calibri"/>
          <w:noProof/>
        </w:rPr>
        <w:t>The Commission entered into negotiations with the Co-operative Republic of Guyana in 2013. The Commission has kept the Council updated on progress</w:t>
      </w:r>
      <w:r>
        <w:rPr>
          <w:rFonts w:eastAsia="Calibri"/>
          <w:noProof/>
        </w:rPr>
        <w:t xml:space="preserve"> </w:t>
      </w:r>
      <w:r w:rsidRPr="00235E2C">
        <w:rPr>
          <w:rFonts w:eastAsia="Calibri"/>
          <w:noProof/>
        </w:rPr>
        <w:t>regularly,</w:t>
      </w:r>
      <w:r w:rsidRPr="006C4B46">
        <w:rPr>
          <w:rFonts w:eastAsia="Calibri"/>
          <w:noProof/>
        </w:rPr>
        <w:t xml:space="preserve"> with reports to the Working Party on Forests and the FLEGT/EU</w:t>
      </w:r>
      <w:r>
        <w:rPr>
          <w:rFonts w:eastAsia="Calibri"/>
          <w:noProof/>
        </w:rPr>
        <w:t xml:space="preserve"> </w:t>
      </w:r>
      <w:r w:rsidRPr="006C4B46">
        <w:rPr>
          <w:rFonts w:eastAsia="Calibri"/>
          <w:noProof/>
        </w:rPr>
        <w:t>T</w:t>
      </w:r>
      <w:r>
        <w:rPr>
          <w:rFonts w:eastAsia="Calibri"/>
          <w:noProof/>
        </w:rPr>
        <w:t xml:space="preserve">imber </w:t>
      </w:r>
      <w:r w:rsidRPr="006C4B46">
        <w:rPr>
          <w:rFonts w:eastAsia="Calibri"/>
          <w:noProof/>
        </w:rPr>
        <w:t>R</w:t>
      </w:r>
      <w:r>
        <w:rPr>
          <w:rFonts w:eastAsia="Calibri"/>
          <w:noProof/>
        </w:rPr>
        <w:t>egulation</w:t>
      </w:r>
      <w:r w:rsidRPr="006C4B46">
        <w:rPr>
          <w:rFonts w:eastAsia="Calibri"/>
          <w:noProof/>
        </w:rPr>
        <w:t xml:space="preserve"> Committee. The Commission has also </w:t>
      </w:r>
      <w:r>
        <w:rPr>
          <w:rFonts w:eastAsia="Calibri"/>
          <w:noProof/>
        </w:rPr>
        <w:t xml:space="preserve">kept </w:t>
      </w:r>
      <w:r w:rsidRPr="006C4B46">
        <w:rPr>
          <w:rFonts w:eastAsia="Calibri"/>
          <w:noProof/>
        </w:rPr>
        <w:t xml:space="preserve">the European Parliament </w:t>
      </w:r>
      <w:r>
        <w:rPr>
          <w:rFonts w:eastAsia="Calibri"/>
          <w:noProof/>
        </w:rPr>
        <w:t>and stakeholders informed about</w:t>
      </w:r>
      <w:r w:rsidRPr="006C4B46">
        <w:rPr>
          <w:rFonts w:eastAsia="Calibri"/>
          <w:noProof/>
        </w:rPr>
        <w:t xml:space="preserve"> the negotiation</w:t>
      </w:r>
      <w:r>
        <w:rPr>
          <w:rFonts w:eastAsia="Calibri"/>
          <w:noProof/>
        </w:rPr>
        <w:t>s</w:t>
      </w:r>
      <w:r w:rsidRPr="006C4B46">
        <w:rPr>
          <w:rFonts w:eastAsia="Calibri"/>
          <w:noProof/>
        </w:rPr>
        <w:t xml:space="preserve">. </w:t>
      </w:r>
    </w:p>
    <w:p w14:paraId="4AAEF064" w14:textId="77777777" w:rsidR="00A753E6" w:rsidRDefault="00A753E6" w:rsidP="00EB6EE0">
      <w:pPr>
        <w:rPr>
          <w:rFonts w:eastAsia="Calibri"/>
          <w:noProof/>
        </w:rPr>
      </w:pPr>
      <w:r w:rsidRPr="006C4B46">
        <w:rPr>
          <w:rFonts w:eastAsia="Calibri"/>
          <w:noProof/>
        </w:rPr>
        <w:t xml:space="preserve">The Voluntary Partnership Agreement between the EU and Guyana addresses all elements of the Council negotiating directives. In particular, it establishes </w:t>
      </w:r>
      <w:r w:rsidRPr="006C4B46">
        <w:rPr>
          <w:rFonts w:eastAsia="Times New Roman"/>
          <w:noProof/>
          <w:color w:val="000000"/>
          <w:szCs w:val="24"/>
          <w:lang w:eastAsia="en-GB"/>
        </w:rPr>
        <w:t xml:space="preserve">a licensing scheme </w:t>
      </w:r>
      <w:r>
        <w:rPr>
          <w:rFonts w:eastAsia="Times New Roman"/>
          <w:noProof/>
          <w:color w:val="000000"/>
          <w:szCs w:val="24"/>
          <w:lang w:eastAsia="en-GB"/>
        </w:rPr>
        <w:t>that checks</w:t>
      </w:r>
      <w:r w:rsidRPr="006C4B46">
        <w:rPr>
          <w:rFonts w:eastAsia="Times New Roman"/>
          <w:noProof/>
          <w:color w:val="000000"/>
          <w:szCs w:val="24"/>
          <w:lang w:eastAsia="en-GB"/>
        </w:rPr>
        <w:t xml:space="preserve"> and </w:t>
      </w:r>
      <w:r>
        <w:rPr>
          <w:rFonts w:eastAsia="Times New Roman"/>
          <w:noProof/>
          <w:color w:val="000000"/>
          <w:szCs w:val="24"/>
          <w:lang w:eastAsia="en-GB"/>
        </w:rPr>
        <w:t>confirms</w:t>
      </w:r>
      <w:r w:rsidRPr="006C4B46">
        <w:rPr>
          <w:rFonts w:eastAsia="Times New Roman"/>
          <w:noProof/>
          <w:color w:val="000000"/>
          <w:szCs w:val="24"/>
          <w:lang w:eastAsia="en-GB"/>
        </w:rPr>
        <w:t xml:space="preserve"> the legality of timber products exported to </w:t>
      </w:r>
      <w:r>
        <w:rPr>
          <w:rFonts w:eastAsia="Times New Roman"/>
          <w:noProof/>
          <w:color w:val="000000"/>
          <w:szCs w:val="24"/>
          <w:lang w:eastAsia="en-GB"/>
        </w:rPr>
        <w:t>E</w:t>
      </w:r>
      <w:r w:rsidRPr="006C4B46">
        <w:rPr>
          <w:rFonts w:eastAsia="Times New Roman"/>
          <w:noProof/>
          <w:color w:val="000000"/>
          <w:szCs w:val="24"/>
          <w:lang w:eastAsia="en-GB"/>
        </w:rPr>
        <w:t xml:space="preserve">U </w:t>
      </w:r>
      <w:r>
        <w:rPr>
          <w:rFonts w:eastAsia="Times New Roman"/>
          <w:noProof/>
          <w:color w:val="000000"/>
          <w:szCs w:val="24"/>
          <w:lang w:eastAsia="en-GB"/>
        </w:rPr>
        <w:t>and</w:t>
      </w:r>
      <w:r w:rsidRPr="006C4B46">
        <w:rPr>
          <w:rFonts w:eastAsia="Times New Roman"/>
          <w:noProof/>
          <w:color w:val="000000"/>
          <w:szCs w:val="24"/>
          <w:lang w:eastAsia="en-GB"/>
        </w:rPr>
        <w:t xml:space="preserve"> </w:t>
      </w:r>
      <w:r>
        <w:rPr>
          <w:rFonts w:eastAsia="Times New Roman"/>
          <w:noProof/>
          <w:color w:val="000000"/>
          <w:szCs w:val="24"/>
          <w:lang w:eastAsia="en-GB"/>
        </w:rPr>
        <w:t xml:space="preserve">non-EU countries, as well as </w:t>
      </w:r>
      <w:r w:rsidRPr="006C4B46">
        <w:rPr>
          <w:rFonts w:eastAsia="Times New Roman"/>
          <w:noProof/>
          <w:color w:val="000000"/>
          <w:szCs w:val="24"/>
          <w:lang w:eastAsia="en-GB"/>
        </w:rPr>
        <w:t xml:space="preserve">timber sold domestically. </w:t>
      </w:r>
      <w:r>
        <w:rPr>
          <w:rFonts w:eastAsia="Times New Roman"/>
          <w:noProof/>
          <w:color w:val="000000"/>
          <w:szCs w:val="24"/>
          <w:lang w:eastAsia="en-GB"/>
        </w:rPr>
        <w:t>For</w:t>
      </w:r>
      <w:r w:rsidRPr="006C4B46">
        <w:rPr>
          <w:rFonts w:eastAsia="Times New Roman"/>
          <w:noProof/>
          <w:color w:val="000000"/>
          <w:szCs w:val="24"/>
          <w:lang w:eastAsia="en-GB"/>
        </w:rPr>
        <w:t xml:space="preserve"> imported timber, Guyana </w:t>
      </w:r>
      <w:r>
        <w:rPr>
          <w:rFonts w:eastAsia="Times New Roman"/>
          <w:noProof/>
          <w:color w:val="000000"/>
          <w:szCs w:val="24"/>
          <w:lang w:eastAsia="en-GB"/>
        </w:rPr>
        <w:t xml:space="preserve">commits </w:t>
      </w:r>
      <w:r w:rsidRPr="006C4B46">
        <w:rPr>
          <w:rFonts w:eastAsia="Times New Roman"/>
          <w:noProof/>
          <w:color w:val="000000"/>
          <w:szCs w:val="24"/>
          <w:lang w:eastAsia="en-GB"/>
        </w:rPr>
        <w:t xml:space="preserve">to ensure that such timber has been harvested </w:t>
      </w:r>
      <w:r>
        <w:rPr>
          <w:rFonts w:eastAsia="Times New Roman"/>
          <w:noProof/>
          <w:color w:val="000000"/>
          <w:szCs w:val="24"/>
          <w:lang w:eastAsia="en-GB"/>
        </w:rPr>
        <w:t xml:space="preserve">according to </w:t>
      </w:r>
      <w:r w:rsidRPr="006C4B46">
        <w:rPr>
          <w:rFonts w:eastAsia="Times New Roman"/>
          <w:noProof/>
          <w:color w:val="000000"/>
          <w:szCs w:val="24"/>
          <w:lang w:eastAsia="en-GB"/>
        </w:rPr>
        <w:t xml:space="preserve">the </w:t>
      </w:r>
      <w:r>
        <w:rPr>
          <w:rFonts w:eastAsia="Times New Roman"/>
          <w:noProof/>
          <w:color w:val="000000"/>
          <w:szCs w:val="24"/>
          <w:lang w:eastAsia="en-GB"/>
        </w:rPr>
        <w:t>law of the country of origin.</w:t>
      </w:r>
      <w:r w:rsidRPr="006C4B46">
        <w:rPr>
          <w:rFonts w:eastAsia="Times New Roman"/>
          <w:noProof/>
          <w:color w:val="000000"/>
          <w:szCs w:val="24"/>
          <w:lang w:eastAsia="en-GB"/>
        </w:rPr>
        <w:t xml:space="preserve"> </w:t>
      </w:r>
      <w:r>
        <w:rPr>
          <w:rFonts w:eastAsia="Times New Roman"/>
          <w:noProof/>
          <w:color w:val="000000"/>
          <w:szCs w:val="24"/>
          <w:lang w:eastAsia="en-GB"/>
        </w:rPr>
        <w:t xml:space="preserve">To do this, Guyana will </w:t>
      </w:r>
      <w:r w:rsidRPr="006C4B46">
        <w:rPr>
          <w:rFonts w:eastAsia="Times New Roman"/>
          <w:noProof/>
          <w:color w:val="000000"/>
          <w:szCs w:val="24"/>
          <w:lang w:eastAsia="en-GB"/>
        </w:rPr>
        <w:t>enact</w:t>
      </w:r>
      <w:r>
        <w:rPr>
          <w:rFonts w:eastAsia="Times New Roman"/>
          <w:noProof/>
          <w:color w:val="000000"/>
          <w:szCs w:val="24"/>
          <w:lang w:eastAsia="en-GB"/>
        </w:rPr>
        <w:t xml:space="preserve"> </w:t>
      </w:r>
      <w:r w:rsidRPr="006C4B46">
        <w:rPr>
          <w:rFonts w:eastAsia="Times New Roman"/>
          <w:noProof/>
          <w:color w:val="000000"/>
          <w:szCs w:val="24"/>
          <w:lang w:eastAsia="en-GB"/>
        </w:rPr>
        <w:t xml:space="preserve">specific legislation based on due diligence principles. The definition of legality is based on a comprehensive set of national </w:t>
      </w:r>
      <w:r>
        <w:rPr>
          <w:rFonts w:eastAsia="Times New Roman"/>
          <w:noProof/>
          <w:color w:val="000000"/>
          <w:szCs w:val="24"/>
          <w:lang w:eastAsia="en-GB"/>
        </w:rPr>
        <w:t>and</w:t>
      </w:r>
      <w:r w:rsidRPr="006C4B46">
        <w:rPr>
          <w:rFonts w:eastAsia="Times New Roman"/>
          <w:noProof/>
          <w:color w:val="000000"/>
          <w:szCs w:val="24"/>
          <w:lang w:eastAsia="en-GB"/>
        </w:rPr>
        <w:t xml:space="preserve"> international laws ratified by Guyana, reflecting the three </w:t>
      </w:r>
      <w:r>
        <w:rPr>
          <w:rFonts w:eastAsia="Times New Roman"/>
          <w:noProof/>
          <w:color w:val="000000"/>
          <w:szCs w:val="24"/>
          <w:lang w:eastAsia="en-GB"/>
        </w:rPr>
        <w:t>strands</w:t>
      </w:r>
      <w:r w:rsidRPr="006C4B46">
        <w:rPr>
          <w:rFonts w:eastAsia="Times New Roman"/>
          <w:noProof/>
          <w:color w:val="000000"/>
          <w:szCs w:val="24"/>
          <w:lang w:eastAsia="en-GB"/>
        </w:rPr>
        <w:t xml:space="preserve"> of sustainable forest management.</w:t>
      </w:r>
      <w:r w:rsidRPr="006C4B46">
        <w:rPr>
          <w:rFonts w:eastAsia="Calibri"/>
          <w:noProof/>
        </w:rPr>
        <w:t xml:space="preserve"> </w:t>
      </w:r>
    </w:p>
    <w:p w14:paraId="6ED2248F" w14:textId="6973C87D" w:rsidR="00A753E6" w:rsidRPr="006C4B46" w:rsidRDefault="00A753E6" w:rsidP="00A753E6">
      <w:pPr>
        <w:spacing w:after="0"/>
        <w:contextualSpacing/>
        <w:rPr>
          <w:rFonts w:eastAsia="Calibri"/>
          <w:noProof/>
        </w:rPr>
      </w:pPr>
      <w:r w:rsidRPr="006C4B46">
        <w:rPr>
          <w:rFonts w:eastAsia="Calibri"/>
          <w:noProof/>
        </w:rPr>
        <w:t>Guyana also commit</w:t>
      </w:r>
      <w:r>
        <w:rPr>
          <w:rFonts w:eastAsia="Calibri"/>
          <w:noProof/>
        </w:rPr>
        <w:t>s</w:t>
      </w:r>
      <w:r w:rsidRPr="006C4B46">
        <w:rPr>
          <w:rFonts w:eastAsia="Calibri"/>
          <w:noProof/>
        </w:rPr>
        <w:t xml:space="preserve"> to </w:t>
      </w:r>
      <w:r w:rsidRPr="006C4B46">
        <w:rPr>
          <w:rFonts w:eastAsia="Times New Roman"/>
          <w:noProof/>
          <w:color w:val="000000"/>
          <w:szCs w:val="24"/>
          <w:lang w:eastAsia="en-GB"/>
        </w:rPr>
        <w:t>review</w:t>
      </w:r>
      <w:r>
        <w:rPr>
          <w:rFonts w:eastAsia="Times New Roman"/>
          <w:noProof/>
          <w:color w:val="000000"/>
          <w:szCs w:val="24"/>
          <w:lang w:eastAsia="en-GB"/>
        </w:rPr>
        <w:t>ing</w:t>
      </w:r>
      <w:r w:rsidRPr="006C4B46">
        <w:rPr>
          <w:rFonts w:eastAsia="Times New Roman"/>
          <w:noProof/>
          <w:color w:val="000000"/>
          <w:szCs w:val="24"/>
          <w:lang w:eastAsia="en-GB"/>
        </w:rPr>
        <w:t xml:space="preserve"> </w:t>
      </w:r>
      <w:r>
        <w:rPr>
          <w:rFonts w:eastAsia="Times New Roman"/>
          <w:noProof/>
          <w:color w:val="000000"/>
          <w:szCs w:val="24"/>
          <w:lang w:eastAsia="en-GB"/>
        </w:rPr>
        <w:t xml:space="preserve">its </w:t>
      </w:r>
      <w:r w:rsidRPr="006C4B46">
        <w:rPr>
          <w:rFonts w:eastAsia="Times New Roman"/>
          <w:noProof/>
          <w:color w:val="000000"/>
          <w:szCs w:val="24"/>
          <w:lang w:eastAsia="en-GB"/>
        </w:rPr>
        <w:t xml:space="preserve">forestry </w:t>
      </w:r>
      <w:r>
        <w:rPr>
          <w:rFonts w:eastAsia="Times New Roman"/>
          <w:noProof/>
          <w:color w:val="000000"/>
          <w:szCs w:val="24"/>
          <w:lang w:eastAsia="en-GB"/>
        </w:rPr>
        <w:t>laws and</w:t>
      </w:r>
      <w:r w:rsidRPr="006C4B46">
        <w:rPr>
          <w:rFonts w:eastAsia="Times New Roman"/>
          <w:noProof/>
          <w:color w:val="000000"/>
          <w:szCs w:val="24"/>
          <w:lang w:eastAsia="en-GB"/>
        </w:rPr>
        <w:t xml:space="preserve"> strengthen </w:t>
      </w:r>
      <w:r>
        <w:rPr>
          <w:rFonts w:eastAsia="Times New Roman"/>
          <w:noProof/>
          <w:color w:val="000000"/>
          <w:szCs w:val="24"/>
          <w:lang w:eastAsia="en-GB"/>
        </w:rPr>
        <w:t xml:space="preserve">them </w:t>
      </w:r>
      <w:r w:rsidRPr="006C4B46">
        <w:rPr>
          <w:rFonts w:eastAsia="Times New Roman"/>
          <w:noProof/>
          <w:color w:val="000000"/>
          <w:szCs w:val="24"/>
          <w:lang w:eastAsia="en-GB"/>
        </w:rPr>
        <w:t xml:space="preserve">where necessary. </w:t>
      </w:r>
      <w:r>
        <w:rPr>
          <w:rFonts w:eastAsia="Times New Roman"/>
          <w:noProof/>
          <w:color w:val="000000"/>
          <w:szCs w:val="24"/>
          <w:lang w:eastAsia="en-GB"/>
        </w:rPr>
        <w:t>It has also set out a</w:t>
      </w:r>
      <w:r w:rsidRPr="00D25161">
        <w:rPr>
          <w:rFonts w:eastAsia="Calibri"/>
          <w:noProof/>
        </w:rPr>
        <w:t xml:space="preserve"> framework to monitor compliance and for independent evaluation</w:t>
      </w:r>
      <w:r w:rsidRPr="00DE073A">
        <w:rPr>
          <w:rFonts w:eastAsia="Calibri"/>
          <w:noProof/>
        </w:rPr>
        <w:t>s</w:t>
      </w:r>
      <w:r w:rsidRPr="00D25161">
        <w:rPr>
          <w:rFonts w:eastAsia="Calibri"/>
          <w:noProof/>
        </w:rPr>
        <w:t xml:space="preserve"> of the system</w:t>
      </w:r>
      <w:r>
        <w:rPr>
          <w:rFonts w:eastAsia="Calibri"/>
          <w:noProof/>
        </w:rPr>
        <w:t>.</w:t>
      </w:r>
      <w:r w:rsidRPr="006C4B46">
        <w:rPr>
          <w:rFonts w:eastAsia="Calibri"/>
          <w:noProof/>
        </w:rPr>
        <w:t xml:space="preserve"> </w:t>
      </w:r>
      <w:r>
        <w:rPr>
          <w:rFonts w:eastAsia="Calibri"/>
          <w:noProof/>
        </w:rPr>
        <w:t xml:space="preserve">To carry out these measures, </w:t>
      </w:r>
      <w:r>
        <w:rPr>
          <w:rFonts w:eastAsia="Times New Roman"/>
          <w:noProof/>
          <w:color w:val="000000"/>
          <w:szCs w:val="24"/>
          <w:lang w:eastAsia="en-GB"/>
        </w:rPr>
        <w:t>t</w:t>
      </w:r>
      <w:r w:rsidRPr="006C4B46">
        <w:rPr>
          <w:rFonts w:eastAsia="Times New Roman"/>
          <w:noProof/>
          <w:color w:val="000000"/>
          <w:szCs w:val="24"/>
          <w:lang w:eastAsia="en-GB"/>
        </w:rPr>
        <w:t xml:space="preserve">he </w:t>
      </w:r>
      <w:r>
        <w:rPr>
          <w:rFonts w:eastAsia="Times New Roman"/>
          <w:noProof/>
          <w:color w:val="000000"/>
          <w:szCs w:val="24"/>
          <w:lang w:eastAsia="en-GB"/>
        </w:rPr>
        <w:t>p</w:t>
      </w:r>
      <w:r w:rsidRPr="006C4B46">
        <w:rPr>
          <w:rFonts w:eastAsia="Times New Roman"/>
          <w:noProof/>
          <w:color w:val="000000"/>
          <w:szCs w:val="24"/>
          <w:lang w:eastAsia="en-GB"/>
        </w:rPr>
        <w:t xml:space="preserve">arties have agreed to an ambitious timeline of </w:t>
      </w:r>
      <w:r>
        <w:rPr>
          <w:rFonts w:eastAsia="Times New Roman"/>
          <w:noProof/>
          <w:color w:val="000000"/>
          <w:szCs w:val="24"/>
          <w:lang w:eastAsia="en-GB"/>
        </w:rPr>
        <w:t xml:space="preserve">6 years </w:t>
      </w:r>
      <w:r w:rsidRPr="006C4B46">
        <w:rPr>
          <w:rFonts w:eastAsia="Times New Roman"/>
          <w:noProof/>
          <w:color w:val="000000"/>
          <w:szCs w:val="24"/>
          <w:lang w:eastAsia="en-GB"/>
        </w:rPr>
        <w:t xml:space="preserve">(from the entry into force). </w:t>
      </w:r>
      <w:r w:rsidRPr="006C4B46">
        <w:rPr>
          <w:rFonts w:eastAsia="Calibri"/>
          <w:noProof/>
        </w:rPr>
        <w:t xml:space="preserve">These elements are set out in annexes to the Agreement, which provide a detailed description of the structures that will </w:t>
      </w:r>
      <w:r>
        <w:rPr>
          <w:rFonts w:eastAsia="Calibri"/>
          <w:noProof/>
        </w:rPr>
        <w:t xml:space="preserve">support </w:t>
      </w:r>
      <w:r w:rsidRPr="006C4B46">
        <w:rPr>
          <w:rFonts w:eastAsia="Calibri"/>
          <w:noProof/>
        </w:rPr>
        <w:t xml:space="preserve">the development of the Guyana Timber Legality Assurance System, as well as criteria </w:t>
      </w:r>
      <w:r>
        <w:rPr>
          <w:rFonts w:eastAsia="Calibri"/>
          <w:noProof/>
        </w:rPr>
        <w:t xml:space="preserve">to take </w:t>
      </w:r>
      <w:r w:rsidRPr="006C4B46">
        <w:rPr>
          <w:rFonts w:eastAsia="Calibri"/>
          <w:noProof/>
        </w:rPr>
        <w:t xml:space="preserve">a future decision </w:t>
      </w:r>
      <w:r>
        <w:rPr>
          <w:rFonts w:eastAsia="Calibri"/>
          <w:noProof/>
        </w:rPr>
        <w:t xml:space="preserve">to </w:t>
      </w:r>
      <w:r w:rsidRPr="006C4B46">
        <w:rPr>
          <w:rFonts w:eastAsia="Calibri"/>
          <w:noProof/>
        </w:rPr>
        <w:t xml:space="preserve">start the FLEGT licensing scheme. </w:t>
      </w:r>
    </w:p>
    <w:p w14:paraId="0ED181EE" w14:textId="77777777" w:rsidR="00A753E6" w:rsidRPr="006C4B46" w:rsidRDefault="00A753E6" w:rsidP="00A753E6">
      <w:pPr>
        <w:rPr>
          <w:rFonts w:eastAsia="Calibri"/>
          <w:noProof/>
        </w:rPr>
      </w:pPr>
      <w:r w:rsidRPr="004539D6">
        <w:rPr>
          <w:rFonts w:eastAsia="Calibri"/>
          <w:noProof/>
        </w:rPr>
        <w:t>The Agreement establishes a Joint Monitoring and Review Committee for dialogue and cooperation between the EU and Guyana on the licensing scheme.</w:t>
      </w:r>
      <w:r w:rsidRPr="006C4B46">
        <w:rPr>
          <w:rFonts w:eastAsia="Calibri"/>
          <w:noProof/>
        </w:rPr>
        <w:t xml:space="preserve"> It </w:t>
      </w:r>
      <w:r>
        <w:rPr>
          <w:rFonts w:eastAsia="Calibri"/>
          <w:noProof/>
        </w:rPr>
        <w:t xml:space="preserve">sets out </w:t>
      </w:r>
      <w:r w:rsidRPr="004539D6">
        <w:rPr>
          <w:rFonts w:eastAsia="Calibri"/>
          <w:noProof/>
        </w:rPr>
        <w:t>principles</w:t>
      </w:r>
      <w:r w:rsidRPr="006C4B46">
        <w:rPr>
          <w:rFonts w:eastAsia="Calibri"/>
          <w:noProof/>
        </w:rPr>
        <w:t xml:space="preserve"> </w:t>
      </w:r>
      <w:r>
        <w:rPr>
          <w:rFonts w:eastAsia="Calibri"/>
          <w:noProof/>
        </w:rPr>
        <w:t xml:space="preserve">for involving </w:t>
      </w:r>
      <w:r w:rsidRPr="006C4B46">
        <w:rPr>
          <w:rFonts w:eastAsia="Calibri"/>
          <w:noProof/>
        </w:rPr>
        <w:t>stakeholder</w:t>
      </w:r>
      <w:r>
        <w:rPr>
          <w:rFonts w:eastAsia="Calibri"/>
          <w:noProof/>
        </w:rPr>
        <w:t>s</w:t>
      </w:r>
      <w:r w:rsidRPr="006C4B46">
        <w:rPr>
          <w:rFonts w:eastAsia="Calibri"/>
          <w:noProof/>
        </w:rPr>
        <w:t xml:space="preserve">, social safeguards, </w:t>
      </w:r>
      <w:r>
        <w:rPr>
          <w:rFonts w:eastAsia="Calibri"/>
          <w:noProof/>
        </w:rPr>
        <w:t xml:space="preserve">and </w:t>
      </w:r>
      <w:r w:rsidRPr="006C4B46">
        <w:rPr>
          <w:rFonts w:eastAsia="Calibri"/>
          <w:noProof/>
        </w:rPr>
        <w:t>accountability and transparency</w:t>
      </w:r>
      <w:r>
        <w:rPr>
          <w:rFonts w:eastAsia="Calibri"/>
          <w:noProof/>
        </w:rPr>
        <w:t xml:space="preserve">. It also describes how </w:t>
      </w:r>
      <w:r w:rsidRPr="006C4B46">
        <w:rPr>
          <w:rFonts w:eastAsia="Calibri"/>
          <w:noProof/>
        </w:rPr>
        <w:t xml:space="preserve">complaints </w:t>
      </w:r>
      <w:r>
        <w:rPr>
          <w:rFonts w:eastAsia="Calibri"/>
          <w:noProof/>
        </w:rPr>
        <w:t xml:space="preserve">are handled and how </w:t>
      </w:r>
      <w:r w:rsidRPr="00D25161">
        <w:rPr>
          <w:rFonts w:eastAsia="Calibri"/>
          <w:noProof/>
        </w:rPr>
        <w:t xml:space="preserve">monitoring and reporting </w:t>
      </w:r>
      <w:r>
        <w:rPr>
          <w:rFonts w:eastAsia="Calibri"/>
          <w:noProof/>
        </w:rPr>
        <w:t>will be carried out</w:t>
      </w:r>
      <w:r w:rsidRPr="006C4B46">
        <w:rPr>
          <w:rFonts w:eastAsia="Calibri"/>
          <w:noProof/>
        </w:rPr>
        <w:t>.</w:t>
      </w:r>
    </w:p>
    <w:p w14:paraId="1672443B" w14:textId="77777777" w:rsidR="00A753E6" w:rsidRPr="006C4B46" w:rsidRDefault="00A753E6" w:rsidP="00A753E6">
      <w:pPr>
        <w:rPr>
          <w:rFonts w:eastAsia="Calibri"/>
          <w:noProof/>
        </w:rPr>
      </w:pPr>
      <w:r>
        <w:rPr>
          <w:rFonts w:eastAsia="Calibri"/>
          <w:noProof/>
        </w:rPr>
        <w:t xml:space="preserve">Besides </w:t>
      </w:r>
      <w:r w:rsidRPr="006C4B46">
        <w:rPr>
          <w:rFonts w:eastAsia="Calibri"/>
          <w:noProof/>
        </w:rPr>
        <w:t>the product</w:t>
      </w:r>
      <w:r>
        <w:rPr>
          <w:rFonts w:eastAsia="Calibri"/>
          <w:noProof/>
        </w:rPr>
        <w:t>s</w:t>
      </w:r>
      <w:r w:rsidRPr="006C4B46">
        <w:rPr>
          <w:rFonts w:eastAsia="Calibri"/>
          <w:noProof/>
        </w:rPr>
        <w:t xml:space="preserve"> </w:t>
      </w:r>
      <w:r>
        <w:rPr>
          <w:rFonts w:eastAsia="Calibri"/>
          <w:noProof/>
        </w:rPr>
        <w:t>set out</w:t>
      </w:r>
      <w:r w:rsidRPr="006C4B46">
        <w:rPr>
          <w:rFonts w:eastAsia="Calibri"/>
          <w:noProof/>
        </w:rPr>
        <w:t xml:space="preserve"> in Annex II to Regulation (EC) No 2173/2005</w:t>
      </w:r>
      <w:r>
        <w:rPr>
          <w:rFonts w:eastAsia="Calibri"/>
          <w:noProof/>
        </w:rPr>
        <w:t xml:space="preserve">, the Agreement also </w:t>
      </w:r>
      <w:r w:rsidRPr="006C4B46">
        <w:rPr>
          <w:rFonts w:eastAsia="Calibri"/>
          <w:noProof/>
        </w:rPr>
        <w:t>covers all timber products currently produced in, imported into</w:t>
      </w:r>
      <w:r>
        <w:rPr>
          <w:rFonts w:eastAsia="Calibri"/>
          <w:noProof/>
        </w:rPr>
        <w:t>,</w:t>
      </w:r>
      <w:r w:rsidRPr="006C4B46">
        <w:rPr>
          <w:rFonts w:eastAsia="Calibri"/>
          <w:noProof/>
        </w:rPr>
        <w:t xml:space="preserve"> and exported from Guyana. </w:t>
      </w:r>
    </w:p>
    <w:p w14:paraId="38B04AD3" w14:textId="77777777" w:rsidR="00A753E6" w:rsidRPr="006C4B46" w:rsidRDefault="00A753E6" w:rsidP="00A753E6">
      <w:pPr>
        <w:spacing w:after="0"/>
        <w:rPr>
          <w:rFonts w:eastAsia="Times New Roman"/>
          <w:noProof/>
          <w:color w:val="000000"/>
          <w:szCs w:val="24"/>
          <w:lang w:eastAsia="en-GB" w:bidi="en-GB"/>
        </w:rPr>
      </w:pPr>
      <w:r w:rsidRPr="00953C26">
        <w:rPr>
          <w:rFonts w:eastAsia="Calibri"/>
          <w:noProof/>
        </w:rPr>
        <w:t>The A</w:t>
      </w:r>
      <w:r w:rsidRPr="006415C9">
        <w:rPr>
          <w:rFonts w:eastAsia="Calibri"/>
          <w:noProof/>
        </w:rPr>
        <w:t xml:space="preserve">greement is underpinned by </w:t>
      </w:r>
      <w:r w:rsidRPr="00682D14">
        <w:rPr>
          <w:rFonts w:eastAsia="Calibri"/>
          <w:noProof/>
        </w:rPr>
        <w:t>the</w:t>
      </w:r>
      <w:r w:rsidRPr="00953C26">
        <w:rPr>
          <w:rFonts w:eastAsia="Calibri"/>
          <w:noProof/>
        </w:rPr>
        <w:t xml:space="preserve"> </w:t>
      </w:r>
      <w:r w:rsidRPr="006415C9">
        <w:rPr>
          <w:rFonts w:eastAsia="Calibri"/>
          <w:noProof/>
        </w:rPr>
        <w:t xml:space="preserve">principle </w:t>
      </w:r>
      <w:r w:rsidRPr="00682D14">
        <w:rPr>
          <w:rFonts w:eastAsia="Calibri"/>
          <w:noProof/>
        </w:rPr>
        <w:t>of non-discrimination</w:t>
      </w:r>
      <w:r>
        <w:rPr>
          <w:rFonts w:eastAsia="Calibri"/>
          <w:noProof/>
        </w:rPr>
        <w:t>, which means that</w:t>
      </w:r>
      <w:r w:rsidRPr="00682D14">
        <w:rPr>
          <w:rFonts w:eastAsia="Calibri"/>
          <w:noProof/>
        </w:rPr>
        <w:t xml:space="preserve"> </w:t>
      </w:r>
      <w:r w:rsidRPr="006415C9">
        <w:rPr>
          <w:rFonts w:eastAsia="Times New Roman"/>
          <w:noProof/>
          <w:color w:val="000000"/>
          <w:szCs w:val="24"/>
          <w:lang w:eastAsia="en-GB"/>
        </w:rPr>
        <w:t>stakeholders from both within and outside the forestry sector</w:t>
      </w:r>
      <w:r>
        <w:rPr>
          <w:rFonts w:eastAsia="Times New Roman"/>
          <w:noProof/>
          <w:color w:val="000000"/>
          <w:szCs w:val="24"/>
          <w:lang w:eastAsia="en-GB"/>
        </w:rPr>
        <w:t xml:space="preserve"> will be involved</w:t>
      </w:r>
      <w:r w:rsidRPr="006415C9">
        <w:rPr>
          <w:rFonts w:eastAsia="Times New Roman"/>
          <w:noProof/>
          <w:color w:val="000000"/>
          <w:szCs w:val="24"/>
          <w:lang w:eastAsia="en-GB"/>
        </w:rPr>
        <w:t>. T</w:t>
      </w:r>
      <w:r>
        <w:rPr>
          <w:rFonts w:eastAsia="Times New Roman"/>
          <w:noProof/>
          <w:color w:val="000000"/>
          <w:szCs w:val="24"/>
          <w:lang w:eastAsia="en-GB"/>
        </w:rPr>
        <w:t xml:space="preserve">hese include </w:t>
      </w:r>
      <w:r w:rsidRPr="006C4B46">
        <w:rPr>
          <w:rFonts w:eastAsia="Times New Roman"/>
          <w:noProof/>
          <w:color w:val="000000"/>
          <w:szCs w:val="24"/>
          <w:lang w:eastAsia="en-GB"/>
        </w:rPr>
        <w:t xml:space="preserve">those from the private sector, civil society, </w:t>
      </w:r>
      <w:r w:rsidRPr="006C4B46">
        <w:rPr>
          <w:rFonts w:eastAsia="Times New Roman"/>
          <w:noProof/>
          <w:color w:val="000000"/>
          <w:szCs w:val="24"/>
          <w:lang w:eastAsia="en-GB" w:bidi="en-GB"/>
        </w:rPr>
        <w:t>local and indigenous communities</w:t>
      </w:r>
      <w:r>
        <w:rPr>
          <w:rFonts w:eastAsia="Times New Roman"/>
          <w:noProof/>
          <w:color w:val="000000"/>
          <w:szCs w:val="24"/>
          <w:lang w:eastAsia="en-GB" w:bidi="en-GB"/>
        </w:rPr>
        <w:t>,</w:t>
      </w:r>
      <w:r w:rsidRPr="006C4B46">
        <w:rPr>
          <w:rFonts w:eastAsia="Times New Roman"/>
          <w:noProof/>
          <w:color w:val="000000"/>
          <w:szCs w:val="24"/>
          <w:lang w:eastAsia="en-GB" w:bidi="en-GB"/>
        </w:rPr>
        <w:t xml:space="preserve"> as well as other people dependent on forests. </w:t>
      </w:r>
    </w:p>
    <w:p w14:paraId="713ABB6E" w14:textId="1F6F5C4B" w:rsidR="00A753E6" w:rsidRDefault="00A753E6" w:rsidP="00EB6EE0">
      <w:pPr>
        <w:rPr>
          <w:rFonts w:eastAsia="Calibri"/>
          <w:noProof/>
        </w:rPr>
      </w:pPr>
      <w:r w:rsidRPr="006C4B46">
        <w:rPr>
          <w:rFonts w:eastAsia="Calibri"/>
          <w:noProof/>
        </w:rPr>
        <w:t xml:space="preserve">The Agreement </w:t>
      </w:r>
      <w:r>
        <w:rPr>
          <w:rFonts w:eastAsia="Calibri"/>
          <w:noProof/>
        </w:rPr>
        <w:t>provides</w:t>
      </w:r>
      <w:r w:rsidRPr="006C4B46">
        <w:rPr>
          <w:rFonts w:eastAsia="Calibri"/>
          <w:noProof/>
        </w:rPr>
        <w:t xml:space="preserve"> for import controls at the EU’s borders </w:t>
      </w:r>
      <w:r>
        <w:rPr>
          <w:rFonts w:eastAsia="Calibri"/>
          <w:noProof/>
        </w:rPr>
        <w:t>under</w:t>
      </w:r>
      <w:r w:rsidRPr="006C4B46">
        <w:rPr>
          <w:rFonts w:eastAsia="Calibri"/>
          <w:noProof/>
        </w:rPr>
        <w:t xml:space="preserve"> Regulation (EC) No 2173/2005 on the FLEGT licensing scheme and Regulation (EC) No 1024/2008 laying down detailed measures for implementing it. The Agreement </w:t>
      </w:r>
      <w:r>
        <w:rPr>
          <w:rFonts w:eastAsia="Calibri"/>
          <w:noProof/>
        </w:rPr>
        <w:t>describes</w:t>
      </w:r>
      <w:r w:rsidRPr="006C4B46">
        <w:rPr>
          <w:rFonts w:eastAsia="Calibri"/>
          <w:noProof/>
        </w:rPr>
        <w:t xml:space="preserve"> Guyana's FLEGT licence, which uses the format prescribed in the </w:t>
      </w:r>
      <w:r w:rsidRPr="00BE475A">
        <w:rPr>
          <w:rFonts w:eastAsia="Calibri"/>
          <w:noProof/>
        </w:rPr>
        <w:t>Implementing Regulation</w:t>
      </w:r>
      <w:r>
        <w:rPr>
          <w:rFonts w:eastAsia="Calibri"/>
          <w:noProof/>
        </w:rPr>
        <w:t xml:space="preserve"> </w:t>
      </w:r>
      <w:r w:rsidRPr="006C4B46">
        <w:rPr>
          <w:rFonts w:eastAsia="Calibri"/>
          <w:noProof/>
        </w:rPr>
        <w:t>(EC) No 1024/2008</w:t>
      </w:r>
      <w:r w:rsidRPr="00BE475A">
        <w:rPr>
          <w:rFonts w:eastAsia="Calibri"/>
          <w:noProof/>
        </w:rPr>
        <w:t>.</w:t>
      </w:r>
    </w:p>
    <w:p w14:paraId="75354E63" w14:textId="77777777" w:rsidR="00037C7A" w:rsidRPr="00037C7A" w:rsidRDefault="00037C7A" w:rsidP="00037C7A">
      <w:pPr>
        <w:pStyle w:val="ManualHeading2"/>
        <w:rPr>
          <w:noProof/>
          <w:lang w:val="en-US"/>
        </w:rPr>
      </w:pPr>
      <w:r w:rsidRPr="00037C7A">
        <w:rPr>
          <w:noProof/>
          <w:lang w:val="en-US"/>
        </w:rPr>
        <w:t>•</w:t>
      </w:r>
      <w:r w:rsidRPr="00037C7A">
        <w:rPr>
          <w:noProof/>
          <w:lang w:val="en-US"/>
        </w:rPr>
        <w:tab/>
        <w:t>Consistency with existing policy provisions in the policy area</w:t>
      </w:r>
    </w:p>
    <w:p w14:paraId="190D2DAB" w14:textId="77777777" w:rsidR="009D2984" w:rsidRPr="006C4B46" w:rsidRDefault="009D2984" w:rsidP="009D2984">
      <w:pPr>
        <w:pBdr>
          <w:top w:val="nil"/>
          <w:left w:val="nil"/>
          <w:bottom w:val="nil"/>
          <w:right w:val="nil"/>
          <w:between w:val="nil"/>
          <w:bar w:val="nil"/>
        </w:pBdr>
        <w:spacing w:before="0" w:after="240"/>
        <w:rPr>
          <w:rFonts w:eastAsia="Arial Unicode MS"/>
          <w:noProof/>
        </w:rPr>
      </w:pPr>
      <w:r w:rsidRPr="006C4B46">
        <w:rPr>
          <w:rFonts w:eastAsia="Calibri"/>
          <w:noProof/>
        </w:rPr>
        <w:t xml:space="preserve">The </w:t>
      </w:r>
      <w:r>
        <w:rPr>
          <w:rFonts w:eastAsia="Calibri"/>
          <w:noProof/>
        </w:rPr>
        <w:t>proposal</w:t>
      </w:r>
      <w:r w:rsidRPr="006C4B46">
        <w:rPr>
          <w:rFonts w:eastAsia="Calibri"/>
          <w:noProof/>
        </w:rPr>
        <w:t xml:space="preserve"> is consistent with Regulation (EU) No 995/2010 because the timber products</w:t>
      </w:r>
      <w:r>
        <w:rPr>
          <w:rFonts w:eastAsia="Calibri"/>
          <w:noProof/>
        </w:rPr>
        <w:t>,</w:t>
      </w:r>
      <w:r w:rsidRPr="006C4B46">
        <w:rPr>
          <w:rFonts w:eastAsia="Calibri"/>
          <w:noProof/>
        </w:rPr>
        <w:t xml:space="preserve"> covered by FLEGT licences issued in Guyana </w:t>
      </w:r>
      <w:r>
        <w:rPr>
          <w:rFonts w:eastAsia="Calibri"/>
          <w:noProof/>
        </w:rPr>
        <w:t xml:space="preserve">according to the </w:t>
      </w:r>
      <w:r w:rsidRPr="006C4B46">
        <w:rPr>
          <w:rFonts w:eastAsia="Calibri"/>
          <w:noProof/>
        </w:rPr>
        <w:t>Agreement</w:t>
      </w:r>
      <w:r>
        <w:rPr>
          <w:rFonts w:eastAsia="Calibri"/>
          <w:noProof/>
        </w:rPr>
        <w:t>,</w:t>
      </w:r>
      <w:r w:rsidRPr="006C4B46">
        <w:rPr>
          <w:rFonts w:eastAsia="Calibri"/>
          <w:noProof/>
        </w:rPr>
        <w:t xml:space="preserve"> will be deemed legally harvested </w:t>
      </w:r>
      <w:r>
        <w:rPr>
          <w:rFonts w:eastAsia="Calibri"/>
          <w:noProof/>
        </w:rPr>
        <w:t xml:space="preserve">as laid down in </w:t>
      </w:r>
      <w:r w:rsidRPr="006C4B46">
        <w:rPr>
          <w:rFonts w:eastAsia="Calibri"/>
          <w:noProof/>
        </w:rPr>
        <w:t xml:space="preserve">Article 3 </w:t>
      </w:r>
      <w:r w:rsidRPr="00221D13">
        <w:rPr>
          <w:rFonts w:eastAsia="Calibri"/>
          <w:noProof/>
        </w:rPr>
        <w:t>of that Regulation.</w:t>
      </w:r>
    </w:p>
    <w:p w14:paraId="299DBCC8" w14:textId="77777777" w:rsidR="00E17E43" w:rsidRPr="00E17E43" w:rsidRDefault="00E17E43" w:rsidP="00037C7A">
      <w:pPr>
        <w:pStyle w:val="ManualHeading2"/>
        <w:rPr>
          <w:noProof/>
        </w:rPr>
      </w:pPr>
      <w:r w:rsidRPr="00E17E43">
        <w:rPr>
          <w:noProof/>
          <w:color w:val="000000"/>
          <w:u w:color="000000"/>
          <w:bdr w:val="nil"/>
          <w:lang w:val="en-US" w:eastAsia="en-GB"/>
        </w:rPr>
        <w:t>•</w:t>
      </w:r>
      <w:r w:rsidRPr="00E17E43">
        <w:rPr>
          <w:noProof/>
          <w:color w:val="000000"/>
          <w:u w:color="000000"/>
          <w:bdr w:val="nil"/>
          <w:lang w:val="en-US" w:eastAsia="en-GB"/>
        </w:rPr>
        <w:tab/>
      </w:r>
      <w:r w:rsidRPr="00E17E43">
        <w:rPr>
          <w:noProof/>
        </w:rPr>
        <w:t>Consistency with other Union policies</w:t>
      </w:r>
    </w:p>
    <w:p w14:paraId="23601F52" w14:textId="77777777" w:rsidR="00E17E43" w:rsidRPr="00E17E43" w:rsidRDefault="009D2984" w:rsidP="00E17E43">
      <w:pPr>
        <w:pBdr>
          <w:top w:val="nil"/>
          <w:left w:val="nil"/>
          <w:bottom w:val="nil"/>
          <w:right w:val="nil"/>
          <w:between w:val="nil"/>
          <w:bar w:val="nil"/>
        </w:pBdr>
        <w:spacing w:before="0" w:after="240"/>
        <w:rPr>
          <w:rFonts w:eastAsia="Arial Unicode MS"/>
          <w:noProof/>
        </w:rPr>
      </w:pPr>
      <w:r>
        <w:rPr>
          <w:rFonts w:eastAsia="Calibri"/>
          <w:noProof/>
        </w:rPr>
        <w:t>T</w:t>
      </w:r>
      <w:r w:rsidRPr="006C4B46">
        <w:rPr>
          <w:rFonts w:eastAsia="Calibri"/>
          <w:noProof/>
        </w:rPr>
        <w:t>he conclusion of this Agreement is relevant for EU development cooperation policy because it promote</w:t>
      </w:r>
      <w:r>
        <w:rPr>
          <w:rFonts w:eastAsia="Calibri"/>
          <w:noProof/>
        </w:rPr>
        <w:t>s</w:t>
      </w:r>
      <w:r w:rsidRPr="006C4B46">
        <w:rPr>
          <w:rFonts w:eastAsia="Calibri"/>
          <w:noProof/>
        </w:rPr>
        <w:t xml:space="preserve"> trade in legally harvested timber</w:t>
      </w:r>
      <w:r>
        <w:rPr>
          <w:rFonts w:eastAsia="Calibri"/>
          <w:noProof/>
        </w:rPr>
        <w:t xml:space="preserve"> and </w:t>
      </w:r>
      <w:r w:rsidRPr="006C4B46">
        <w:rPr>
          <w:rFonts w:eastAsia="Calibri"/>
          <w:noProof/>
        </w:rPr>
        <w:t>strengthen</w:t>
      </w:r>
      <w:r>
        <w:rPr>
          <w:rFonts w:eastAsia="Calibri"/>
          <w:noProof/>
        </w:rPr>
        <w:t>s</w:t>
      </w:r>
      <w:r w:rsidRPr="006C4B46">
        <w:rPr>
          <w:rFonts w:eastAsia="Calibri"/>
          <w:noProof/>
        </w:rPr>
        <w:t xml:space="preserve"> forest governance in Guyana by improving transparency, accountability and </w:t>
      </w:r>
      <w:r>
        <w:rPr>
          <w:rFonts w:eastAsia="Calibri"/>
          <w:noProof/>
        </w:rPr>
        <w:t xml:space="preserve">participation by </w:t>
      </w:r>
      <w:r w:rsidRPr="006C4B46">
        <w:rPr>
          <w:rFonts w:eastAsia="Calibri"/>
          <w:noProof/>
        </w:rPr>
        <w:t>stakeholder</w:t>
      </w:r>
      <w:r>
        <w:rPr>
          <w:rFonts w:eastAsia="Calibri"/>
          <w:noProof/>
        </w:rPr>
        <w:t>s</w:t>
      </w:r>
      <w:r w:rsidRPr="006C4B46">
        <w:rPr>
          <w:rFonts w:eastAsia="Calibri"/>
          <w:noProof/>
        </w:rPr>
        <w:t xml:space="preserve">. </w:t>
      </w:r>
      <w:r>
        <w:rPr>
          <w:rFonts w:eastAsia="Calibri"/>
          <w:noProof/>
        </w:rPr>
        <w:t>T</w:t>
      </w:r>
      <w:r w:rsidRPr="006C4B46">
        <w:rPr>
          <w:rFonts w:eastAsia="Calibri"/>
          <w:noProof/>
        </w:rPr>
        <w:t xml:space="preserve">he Agreement will </w:t>
      </w:r>
      <w:r>
        <w:rPr>
          <w:rFonts w:eastAsia="Calibri"/>
          <w:noProof/>
        </w:rPr>
        <w:t xml:space="preserve">also strengthen </w:t>
      </w:r>
      <w:r w:rsidRPr="006C4B46">
        <w:rPr>
          <w:rFonts w:eastAsia="Calibri"/>
          <w:noProof/>
        </w:rPr>
        <w:t xml:space="preserve">sustainable forest management </w:t>
      </w:r>
      <w:r>
        <w:rPr>
          <w:rFonts w:eastAsia="Calibri"/>
          <w:noProof/>
        </w:rPr>
        <w:t xml:space="preserve">and </w:t>
      </w:r>
      <w:r w:rsidRPr="003E51C7">
        <w:rPr>
          <w:rFonts w:eastAsia="Calibri"/>
          <w:noProof/>
        </w:rPr>
        <w:t xml:space="preserve">will contribute to combating climate change through reduced emissions </w:t>
      </w:r>
      <w:r>
        <w:rPr>
          <w:rFonts w:eastAsia="Calibri"/>
          <w:noProof/>
        </w:rPr>
        <w:t xml:space="preserve">caused by </w:t>
      </w:r>
      <w:r w:rsidRPr="003E51C7">
        <w:rPr>
          <w:rFonts w:eastAsia="Calibri"/>
          <w:noProof/>
        </w:rPr>
        <w:t>deforestation and forest degradation</w:t>
      </w:r>
      <w:r w:rsidRPr="006C4B46">
        <w:rPr>
          <w:rFonts w:eastAsia="Calibri"/>
          <w:noProof/>
        </w:rPr>
        <w:t>.</w:t>
      </w:r>
    </w:p>
    <w:p w14:paraId="399E5E63" w14:textId="77777777" w:rsidR="00E17E43" w:rsidRPr="00E17E43" w:rsidRDefault="00E17E43" w:rsidP="00037C7A">
      <w:pPr>
        <w:pStyle w:val="ManualHeading1"/>
        <w:rPr>
          <w:noProof/>
        </w:rPr>
      </w:pPr>
      <w:r w:rsidRPr="00E17E43">
        <w:rPr>
          <w:noProof/>
        </w:rPr>
        <w:t>2.</w:t>
      </w:r>
      <w:r w:rsidRPr="00E17E43">
        <w:rPr>
          <w:noProof/>
        </w:rPr>
        <w:tab/>
        <w:t>LEGAL BASIS, SUBSIDIARITY AND PROPORTIONALITY</w:t>
      </w:r>
    </w:p>
    <w:p w14:paraId="0B97CE64"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Legal basis</w:t>
      </w:r>
    </w:p>
    <w:p w14:paraId="59D57E4F" w14:textId="77777777" w:rsidR="009D2984" w:rsidRPr="006C4B46" w:rsidRDefault="009D2984" w:rsidP="009D2984">
      <w:pPr>
        <w:pBdr>
          <w:top w:val="nil"/>
          <w:left w:val="nil"/>
          <w:bottom w:val="nil"/>
          <w:right w:val="nil"/>
          <w:between w:val="nil"/>
          <w:bar w:val="nil"/>
        </w:pBdr>
        <w:spacing w:before="0" w:after="240"/>
        <w:rPr>
          <w:rFonts w:eastAsia="Calibri"/>
          <w:noProof/>
        </w:rPr>
      </w:pPr>
      <w:r w:rsidRPr="006C4B46">
        <w:rPr>
          <w:rFonts w:eastAsia="Calibri"/>
          <w:noProof/>
        </w:rPr>
        <w:t xml:space="preserve">The legal basis is the first subparagraph of Article 207(3) and the first subparagraph of Article 207(4) of the Treaty on the </w:t>
      </w:r>
      <w:r>
        <w:rPr>
          <w:rFonts w:eastAsia="Calibri"/>
          <w:noProof/>
        </w:rPr>
        <w:t>F</w:t>
      </w:r>
      <w:r w:rsidRPr="006C4B46">
        <w:rPr>
          <w:rFonts w:eastAsia="Calibri"/>
          <w:noProof/>
        </w:rPr>
        <w:t xml:space="preserve">unctioning of the European Union (TFEU), </w:t>
      </w:r>
      <w:r>
        <w:rPr>
          <w:rFonts w:eastAsia="Calibri"/>
          <w:noProof/>
        </w:rPr>
        <w:t xml:space="preserve">combined </w:t>
      </w:r>
      <w:r w:rsidRPr="006C4B46">
        <w:rPr>
          <w:rFonts w:eastAsia="Calibri"/>
          <w:noProof/>
        </w:rPr>
        <w:t xml:space="preserve">with Article 218(6)(a)(v) and Article 218(7). </w:t>
      </w:r>
    </w:p>
    <w:p w14:paraId="6E5B8E70" w14:textId="77777777" w:rsidR="009D2984" w:rsidRPr="006C4B46" w:rsidRDefault="009D2984" w:rsidP="009D2984">
      <w:pPr>
        <w:pBdr>
          <w:top w:val="nil"/>
          <w:left w:val="nil"/>
          <w:bottom w:val="nil"/>
          <w:right w:val="nil"/>
          <w:between w:val="nil"/>
          <w:bar w:val="nil"/>
        </w:pBdr>
        <w:spacing w:before="0" w:after="240"/>
        <w:rPr>
          <w:rFonts w:eastAsia="Arial Unicode MS"/>
          <w:noProof/>
        </w:rPr>
      </w:pPr>
      <w:r w:rsidRPr="00E67B41">
        <w:rPr>
          <w:rFonts w:eastAsia="Calibri"/>
          <w:noProof/>
        </w:rPr>
        <w:t xml:space="preserve">Since </w:t>
      </w:r>
      <w:r w:rsidRPr="006E1C18">
        <w:rPr>
          <w:rFonts w:eastAsia="Calibri"/>
          <w:noProof/>
        </w:rPr>
        <w:t>the A</w:t>
      </w:r>
      <w:r w:rsidRPr="000C2045">
        <w:rPr>
          <w:rFonts w:eastAsia="Calibri"/>
          <w:noProof/>
        </w:rPr>
        <w:t xml:space="preserve">greement provides a legal framework to </w:t>
      </w:r>
      <w:r w:rsidRPr="00645DEC">
        <w:rPr>
          <w:rFonts w:eastAsia="Calibri"/>
          <w:noProof/>
        </w:rPr>
        <w:t>ensure</w:t>
      </w:r>
      <w:r w:rsidRPr="00F50FB5">
        <w:rPr>
          <w:rFonts w:eastAsia="Calibri"/>
          <w:noProof/>
        </w:rPr>
        <w:t xml:space="preserve"> all </w:t>
      </w:r>
      <w:r w:rsidRPr="007575BF">
        <w:rPr>
          <w:rFonts w:eastAsia="Calibri"/>
          <w:noProof/>
        </w:rPr>
        <w:t xml:space="preserve">timber and timber product </w:t>
      </w:r>
      <w:r w:rsidRPr="005F22E8">
        <w:rPr>
          <w:rFonts w:eastAsia="Calibri"/>
          <w:noProof/>
        </w:rPr>
        <w:t xml:space="preserve">imports into the </w:t>
      </w:r>
      <w:r w:rsidRPr="00CC7D46">
        <w:rPr>
          <w:rFonts w:eastAsia="Calibri"/>
          <w:noProof/>
        </w:rPr>
        <w:t xml:space="preserve">EU from Guyana </w:t>
      </w:r>
      <w:r w:rsidRPr="009002EB">
        <w:rPr>
          <w:rFonts w:eastAsia="Calibri"/>
          <w:noProof/>
        </w:rPr>
        <w:t xml:space="preserve">have been legally produced, the EU has exclusive competence to conclude it in </w:t>
      </w:r>
      <w:r w:rsidRPr="00E67B41">
        <w:rPr>
          <w:rFonts w:eastAsia="Calibri"/>
          <w:noProof/>
        </w:rPr>
        <w:t>line</w:t>
      </w:r>
      <w:r w:rsidRPr="006E1C18">
        <w:rPr>
          <w:rFonts w:eastAsia="Calibri"/>
          <w:noProof/>
        </w:rPr>
        <w:t xml:space="preserve"> with the first subparagraph of Article 207(3) and the first subparagraph of Article 207(4) of the </w:t>
      </w:r>
      <w:r w:rsidRPr="000C2045">
        <w:rPr>
          <w:rFonts w:eastAsia="Calibri"/>
          <w:noProof/>
        </w:rPr>
        <w:t>TFEU.</w:t>
      </w:r>
      <w:r w:rsidRPr="006C4B46">
        <w:rPr>
          <w:rFonts w:eastAsia="Calibri"/>
          <w:noProof/>
        </w:rPr>
        <w:t xml:space="preserve"> Article 218(6)(a)(v) </w:t>
      </w:r>
      <w:r>
        <w:rPr>
          <w:rFonts w:eastAsia="Calibri"/>
          <w:noProof/>
        </w:rPr>
        <w:t xml:space="preserve">of the </w:t>
      </w:r>
      <w:r w:rsidRPr="006C4B46">
        <w:rPr>
          <w:rFonts w:eastAsia="Calibri"/>
          <w:noProof/>
        </w:rPr>
        <w:t xml:space="preserve">TFEU </w:t>
      </w:r>
      <w:r>
        <w:rPr>
          <w:rFonts w:eastAsia="Calibri"/>
          <w:noProof/>
        </w:rPr>
        <w:t xml:space="preserve">provides </w:t>
      </w:r>
      <w:r w:rsidRPr="006C4B46">
        <w:rPr>
          <w:rFonts w:eastAsia="Calibri"/>
          <w:noProof/>
        </w:rPr>
        <w:t>that the Council concludes such agreements</w:t>
      </w:r>
      <w:r>
        <w:rPr>
          <w:rFonts w:eastAsia="Calibri"/>
          <w:noProof/>
        </w:rPr>
        <w:t xml:space="preserve">. </w:t>
      </w:r>
      <w:r w:rsidRPr="006C4B46">
        <w:rPr>
          <w:rFonts w:eastAsia="Calibri"/>
          <w:noProof/>
        </w:rPr>
        <w:t xml:space="preserve">Article 218(7) </w:t>
      </w:r>
      <w:r>
        <w:rPr>
          <w:rFonts w:eastAsia="Calibri"/>
          <w:noProof/>
        </w:rPr>
        <w:t xml:space="preserve">of the TFEU </w:t>
      </w:r>
      <w:r w:rsidRPr="006C4B46">
        <w:rPr>
          <w:rFonts w:eastAsia="Calibri"/>
          <w:noProof/>
        </w:rPr>
        <w:t xml:space="preserve">empowers the Council to authorise the negotiator to approve </w:t>
      </w:r>
      <w:r>
        <w:rPr>
          <w:rFonts w:eastAsia="Calibri"/>
          <w:noProof/>
        </w:rPr>
        <w:t>amendments</w:t>
      </w:r>
      <w:r w:rsidRPr="006C4B46">
        <w:rPr>
          <w:rFonts w:eastAsia="Calibri"/>
          <w:noProof/>
        </w:rPr>
        <w:t xml:space="preserve"> to the </w:t>
      </w:r>
      <w:r>
        <w:rPr>
          <w:rFonts w:eastAsia="Calibri"/>
          <w:noProof/>
        </w:rPr>
        <w:t>A</w:t>
      </w:r>
      <w:r w:rsidRPr="006C4B46">
        <w:rPr>
          <w:rFonts w:eastAsia="Calibri"/>
          <w:noProof/>
        </w:rPr>
        <w:t xml:space="preserve">greement on the </w:t>
      </w:r>
      <w:r>
        <w:rPr>
          <w:rFonts w:eastAsia="Calibri"/>
          <w:noProof/>
        </w:rPr>
        <w:t>E</w:t>
      </w:r>
      <w:r w:rsidRPr="006C4B46">
        <w:rPr>
          <w:rFonts w:eastAsia="Calibri"/>
          <w:noProof/>
        </w:rPr>
        <w:t xml:space="preserve">U’s behalf, where the </w:t>
      </w:r>
      <w:r>
        <w:rPr>
          <w:rFonts w:eastAsia="Calibri"/>
          <w:noProof/>
        </w:rPr>
        <w:t>A</w:t>
      </w:r>
      <w:r w:rsidRPr="006C4B46">
        <w:rPr>
          <w:rFonts w:eastAsia="Calibri"/>
          <w:noProof/>
        </w:rPr>
        <w:t xml:space="preserve">greement provides for amendments to be adopted by a simplified procedure or by a body set up by the </w:t>
      </w:r>
      <w:r>
        <w:rPr>
          <w:rFonts w:eastAsia="Calibri"/>
          <w:noProof/>
        </w:rPr>
        <w:t>A</w:t>
      </w:r>
      <w:r w:rsidRPr="006C4B46">
        <w:rPr>
          <w:rFonts w:eastAsia="Calibri"/>
          <w:noProof/>
        </w:rPr>
        <w:t xml:space="preserve">greement. </w:t>
      </w:r>
    </w:p>
    <w:p w14:paraId="4974548D"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 xml:space="preserve">Subsidiarity (for non-exclusive competence) </w:t>
      </w:r>
    </w:p>
    <w:p w14:paraId="0EDC746D"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3A6B2CD9"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Proportionality</w:t>
      </w:r>
    </w:p>
    <w:p w14:paraId="3CA463F6"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 xml:space="preserve">The conclusion of this Agreement is in line with the EU FLEGT Action Plan and does not go beyond what is necessary to achieve its aims. </w:t>
      </w:r>
    </w:p>
    <w:p w14:paraId="099BBA20"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Choice of the instrument</w:t>
      </w:r>
    </w:p>
    <w:p w14:paraId="3640045D" w14:textId="77777777" w:rsidR="00E17E43" w:rsidRPr="00E17E43" w:rsidRDefault="009D2984" w:rsidP="00E17E43">
      <w:pPr>
        <w:pBdr>
          <w:top w:val="nil"/>
          <w:left w:val="nil"/>
          <w:bottom w:val="nil"/>
          <w:right w:val="nil"/>
          <w:between w:val="nil"/>
          <w:bar w:val="nil"/>
        </w:pBdr>
        <w:spacing w:before="0" w:after="240"/>
        <w:rPr>
          <w:rFonts w:eastAsia="Arial Unicode MS"/>
          <w:noProof/>
        </w:rPr>
      </w:pPr>
      <w:r w:rsidRPr="006C4B46">
        <w:rPr>
          <w:rFonts w:eastAsia="Calibri"/>
          <w:noProof/>
        </w:rPr>
        <w:t xml:space="preserve">This proposal is in </w:t>
      </w:r>
      <w:r>
        <w:rPr>
          <w:rFonts w:eastAsia="Calibri"/>
          <w:noProof/>
        </w:rPr>
        <w:t>line</w:t>
      </w:r>
      <w:r w:rsidRPr="006C4B46">
        <w:rPr>
          <w:rFonts w:eastAsia="Calibri"/>
          <w:noProof/>
        </w:rPr>
        <w:t xml:space="preserve"> with Article 218(6)(a)(v) </w:t>
      </w:r>
      <w:r>
        <w:rPr>
          <w:rFonts w:eastAsia="Calibri"/>
          <w:noProof/>
        </w:rPr>
        <w:t xml:space="preserve">of the </w:t>
      </w:r>
      <w:r w:rsidRPr="006C4B46">
        <w:rPr>
          <w:rFonts w:eastAsia="Calibri"/>
          <w:noProof/>
        </w:rPr>
        <w:t xml:space="preserve">TFEU, which </w:t>
      </w:r>
      <w:r>
        <w:rPr>
          <w:rFonts w:eastAsia="Calibri"/>
          <w:noProof/>
        </w:rPr>
        <w:t xml:space="preserve">provides that </w:t>
      </w:r>
      <w:r w:rsidRPr="006C4B46">
        <w:rPr>
          <w:rFonts w:eastAsia="Calibri"/>
          <w:noProof/>
        </w:rPr>
        <w:t xml:space="preserve">the Council </w:t>
      </w:r>
      <w:r>
        <w:rPr>
          <w:rFonts w:eastAsia="Calibri"/>
          <w:noProof/>
        </w:rPr>
        <w:t xml:space="preserve">adopts </w:t>
      </w:r>
      <w:r w:rsidRPr="006C4B46">
        <w:rPr>
          <w:rFonts w:eastAsia="Calibri"/>
          <w:noProof/>
        </w:rPr>
        <w:t xml:space="preserve">decisions </w:t>
      </w:r>
      <w:r>
        <w:rPr>
          <w:rFonts w:eastAsia="Calibri"/>
          <w:noProof/>
        </w:rPr>
        <w:t>on</w:t>
      </w:r>
      <w:r w:rsidRPr="006C4B46">
        <w:rPr>
          <w:rFonts w:eastAsia="Calibri"/>
          <w:noProof/>
        </w:rPr>
        <w:t xml:space="preserve"> </w:t>
      </w:r>
      <w:r>
        <w:rPr>
          <w:rFonts w:eastAsia="Calibri"/>
          <w:noProof/>
        </w:rPr>
        <w:t xml:space="preserve">concluding </w:t>
      </w:r>
      <w:r w:rsidRPr="006C4B46">
        <w:rPr>
          <w:rFonts w:eastAsia="Calibri"/>
          <w:noProof/>
        </w:rPr>
        <w:t>international agreements.</w:t>
      </w:r>
    </w:p>
    <w:p w14:paraId="50F43A1A" w14:textId="77777777" w:rsidR="00E17E43" w:rsidRPr="00E17E43" w:rsidRDefault="00E17E43" w:rsidP="00037C7A">
      <w:pPr>
        <w:pStyle w:val="ManualHeading1"/>
        <w:rPr>
          <w:noProof/>
        </w:rPr>
      </w:pPr>
      <w:r w:rsidRPr="00E17E43">
        <w:rPr>
          <w:noProof/>
        </w:rPr>
        <w:t>3.</w:t>
      </w:r>
      <w:r w:rsidRPr="00E17E43">
        <w:rPr>
          <w:noProof/>
        </w:rPr>
        <w:tab/>
        <w:t>RESULTS OF EX-POST EVALUATIONS, STAKEHOLDER CONSULTATIONS AND IMPACT ASSESSMENTS</w:t>
      </w:r>
    </w:p>
    <w:p w14:paraId="4465DAE0"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Ex-post evaluations/fitness checks of existing legislation</w:t>
      </w:r>
    </w:p>
    <w:p w14:paraId="128A9EA4"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6AF4B631"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Stakeholder consultations</w:t>
      </w:r>
    </w:p>
    <w:p w14:paraId="48FE73FB"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64B43986"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Collection and use of expertise</w:t>
      </w:r>
    </w:p>
    <w:p w14:paraId="710FC59C"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051CDC26"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Impact assessment</w:t>
      </w:r>
    </w:p>
    <w:p w14:paraId="3F3655A0"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227FC154"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Regulatory fitness and simplification</w:t>
      </w:r>
    </w:p>
    <w:p w14:paraId="1A288411"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1F5F3DC5"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Fundamental rights</w:t>
      </w:r>
    </w:p>
    <w:p w14:paraId="23D16DE2"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34713D3C" w14:textId="77777777" w:rsidR="00E17E43" w:rsidRPr="00E17E43" w:rsidRDefault="00E17E43" w:rsidP="00037C7A">
      <w:pPr>
        <w:pStyle w:val="ManualHeading1"/>
        <w:rPr>
          <w:noProof/>
        </w:rPr>
      </w:pPr>
      <w:r w:rsidRPr="00E17E43">
        <w:rPr>
          <w:noProof/>
        </w:rPr>
        <w:t>4.</w:t>
      </w:r>
      <w:r w:rsidRPr="00E17E43">
        <w:rPr>
          <w:noProof/>
        </w:rPr>
        <w:tab/>
        <w:t>BUDGETARY IMPLICATIONS</w:t>
      </w:r>
    </w:p>
    <w:p w14:paraId="7747013B"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This initiative does not have budgetary implications.</w:t>
      </w:r>
    </w:p>
    <w:p w14:paraId="7A073DD9" w14:textId="77777777" w:rsidR="00E17E43" w:rsidRPr="00E17E43" w:rsidRDefault="00E17E43" w:rsidP="00037C7A">
      <w:pPr>
        <w:pStyle w:val="ManualHeading1"/>
        <w:rPr>
          <w:noProof/>
        </w:rPr>
      </w:pPr>
      <w:r w:rsidRPr="00E17E43">
        <w:rPr>
          <w:noProof/>
        </w:rPr>
        <w:t>5.</w:t>
      </w:r>
      <w:r w:rsidRPr="00E17E43">
        <w:rPr>
          <w:noProof/>
        </w:rPr>
        <w:tab/>
        <w:t>OTHER ELEMENTS</w:t>
      </w:r>
    </w:p>
    <w:p w14:paraId="02DCB322"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Implementation plans and monitoring, evaluation and reporting arrangements</w:t>
      </w:r>
    </w:p>
    <w:p w14:paraId="67D0D838"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5203D761"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Explanatory documents (for directives)</w:t>
      </w:r>
    </w:p>
    <w:p w14:paraId="786A7874"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279C00A4" w14:textId="77777777" w:rsidR="00E17E43" w:rsidRPr="00E17E43" w:rsidRDefault="00E17E43" w:rsidP="00037C7A">
      <w:pPr>
        <w:pStyle w:val="ManualHeading2"/>
        <w:rPr>
          <w:noProof/>
          <w:u w:color="000000"/>
          <w:bdr w:val="nil"/>
          <w:lang w:val="en-US" w:eastAsia="en-GB"/>
        </w:rPr>
      </w:pPr>
      <w:r w:rsidRPr="00E17E43">
        <w:rPr>
          <w:noProof/>
          <w:u w:color="000000"/>
          <w:bdr w:val="nil"/>
          <w:lang w:val="en-US" w:eastAsia="en-GB"/>
        </w:rPr>
        <w:t>•</w:t>
      </w:r>
      <w:r w:rsidRPr="00E17E43">
        <w:rPr>
          <w:noProof/>
          <w:u w:color="000000"/>
          <w:bdr w:val="nil"/>
          <w:lang w:val="en-US" w:eastAsia="en-GB"/>
        </w:rPr>
        <w:tab/>
        <w:t>Detailed explanation of the specific provisions of the proposal</w:t>
      </w:r>
    </w:p>
    <w:p w14:paraId="26D148DB" w14:textId="77777777" w:rsidR="00E17E43" w:rsidRPr="00E17E43" w:rsidRDefault="00E17E43" w:rsidP="00E17E43">
      <w:pPr>
        <w:pBdr>
          <w:top w:val="nil"/>
          <w:left w:val="nil"/>
          <w:bottom w:val="nil"/>
          <w:right w:val="nil"/>
          <w:between w:val="nil"/>
          <w:bar w:val="nil"/>
        </w:pBdr>
        <w:spacing w:before="0" w:after="240"/>
        <w:rPr>
          <w:rFonts w:eastAsia="Arial Unicode MS"/>
          <w:noProof/>
        </w:rPr>
      </w:pPr>
      <w:r w:rsidRPr="00E17E43">
        <w:rPr>
          <w:rFonts w:eastAsia="Calibri"/>
          <w:noProof/>
        </w:rPr>
        <w:t>Not applicable.</w:t>
      </w:r>
    </w:p>
    <w:p w14:paraId="45E4B2A7" w14:textId="77777777" w:rsidR="00E17E43" w:rsidRPr="00E17E43" w:rsidRDefault="00E17E43" w:rsidP="00E17E43">
      <w:pPr>
        <w:rPr>
          <w:rFonts w:eastAsia="Calibri"/>
          <w:noProof/>
        </w:rPr>
        <w:sectPr w:rsidR="00E17E43" w:rsidRPr="00E17E43" w:rsidSect="00FF421B">
          <w:footerReference w:type="default" r:id="rId9"/>
          <w:footerReference w:type="first" r:id="rId10"/>
          <w:pgSz w:w="11907" w:h="16839"/>
          <w:pgMar w:top="1134" w:right="1417" w:bottom="1134" w:left="1417" w:header="709" w:footer="709" w:gutter="0"/>
          <w:pgNumType w:start="1"/>
          <w:cols w:space="708"/>
          <w:docGrid w:linePitch="360"/>
        </w:sectPr>
      </w:pPr>
    </w:p>
    <w:p w14:paraId="3E78AC2C" w14:textId="5D30888B" w:rsidR="00065C9E" w:rsidRDefault="00065C9E" w:rsidP="00065C9E">
      <w:pPr>
        <w:pStyle w:val="Rfrenceinterinstitutionnelle"/>
        <w:rPr>
          <w:noProof/>
        </w:rPr>
      </w:pPr>
      <w:r w:rsidRPr="00065C9E">
        <w:t>2022/0141 (NLE)</w:t>
      </w:r>
    </w:p>
    <w:p w14:paraId="71A69A3D" w14:textId="2E5643ED" w:rsidR="00E17E43" w:rsidRPr="00E17E43" w:rsidRDefault="00D56F57" w:rsidP="00D56F57">
      <w:pPr>
        <w:pStyle w:val="Statut"/>
        <w:rPr>
          <w:noProof/>
        </w:rPr>
      </w:pPr>
      <w:r w:rsidRPr="00D56F57">
        <w:rPr>
          <w:noProof/>
        </w:rPr>
        <w:t>Proposal for a</w:t>
      </w:r>
    </w:p>
    <w:p w14:paraId="1F7813BE" w14:textId="3FD0F641" w:rsidR="00E17E43" w:rsidRPr="00E17E43" w:rsidRDefault="00D56F57" w:rsidP="00D56F57">
      <w:pPr>
        <w:pStyle w:val="Typedudocument"/>
        <w:rPr>
          <w:noProof/>
        </w:rPr>
      </w:pPr>
      <w:r w:rsidRPr="00D56F57">
        <w:rPr>
          <w:noProof/>
        </w:rPr>
        <w:t>COUNCIL DECISION</w:t>
      </w:r>
    </w:p>
    <w:p w14:paraId="5C9A23FB" w14:textId="3421FAB5" w:rsidR="00E17E43" w:rsidRPr="00E17E43" w:rsidRDefault="00D56F57" w:rsidP="00D56F57">
      <w:pPr>
        <w:pStyle w:val="Titreobjet"/>
        <w:rPr>
          <w:noProof/>
        </w:rPr>
      </w:pPr>
      <w:r w:rsidRPr="00D56F57">
        <w:rPr>
          <w:noProof/>
        </w:rPr>
        <w:t>on the signing, on behalf of the Union, of the Voluntary Partnership Agreement between the European Union and the Co-operative Republic of Guyana on forest law enforcement, governance and trade in timber products to the European Union</w:t>
      </w:r>
    </w:p>
    <w:p w14:paraId="20634AB9" w14:textId="77777777" w:rsidR="00E17E43" w:rsidRPr="00E17E43" w:rsidRDefault="00E17E43" w:rsidP="00037C7A">
      <w:pPr>
        <w:pStyle w:val="Institutionquiagit"/>
        <w:rPr>
          <w:noProof/>
        </w:rPr>
      </w:pPr>
      <w:r w:rsidRPr="00E17E43">
        <w:rPr>
          <w:noProof/>
        </w:rPr>
        <w:t xml:space="preserve">THE COUNCIL OF THE EUROPEAN </w:t>
      </w:r>
      <w:smartTag w:uri="urn:schemas-microsoft-com:office:smarttags" w:element="place">
        <w:r w:rsidRPr="00E17E43">
          <w:rPr>
            <w:noProof/>
          </w:rPr>
          <w:t>UNION</w:t>
        </w:r>
      </w:smartTag>
      <w:r w:rsidRPr="00E17E43">
        <w:rPr>
          <w:noProof/>
        </w:rPr>
        <w:t>,</w:t>
      </w:r>
    </w:p>
    <w:p w14:paraId="1C365C52" w14:textId="77777777" w:rsidR="00E17E43" w:rsidRPr="00E17E43" w:rsidRDefault="00E17E43" w:rsidP="00E17E43">
      <w:pPr>
        <w:rPr>
          <w:rFonts w:eastAsia="Calibri"/>
          <w:noProof/>
        </w:rPr>
      </w:pPr>
      <w:r w:rsidRPr="00E17E43">
        <w:rPr>
          <w:rFonts w:eastAsia="Calibri"/>
          <w:noProof/>
        </w:rPr>
        <w:t>Having regard to the Treaty on the Functioning of the European Union, and in particular the first subparagraph of Article 207(4), in conjunction with Article 218(5) thereof,</w:t>
      </w:r>
    </w:p>
    <w:p w14:paraId="6C8089B5" w14:textId="77777777" w:rsidR="00E17E43" w:rsidRPr="00E17E43" w:rsidRDefault="00E17E43" w:rsidP="00E17E43">
      <w:pPr>
        <w:rPr>
          <w:rFonts w:eastAsia="Calibri"/>
          <w:noProof/>
        </w:rPr>
      </w:pPr>
      <w:r w:rsidRPr="00E17E43">
        <w:rPr>
          <w:rFonts w:eastAsia="Calibri"/>
          <w:noProof/>
        </w:rPr>
        <w:t>Having regard to the proposal from the European Commission,</w:t>
      </w:r>
    </w:p>
    <w:p w14:paraId="1A2FCF61" w14:textId="77777777" w:rsidR="00E17E43" w:rsidRPr="00E17E43" w:rsidRDefault="00E17E43" w:rsidP="00E17E43">
      <w:pPr>
        <w:rPr>
          <w:rFonts w:eastAsia="Calibri"/>
          <w:noProof/>
        </w:rPr>
      </w:pPr>
      <w:r w:rsidRPr="00E17E43">
        <w:rPr>
          <w:rFonts w:eastAsia="Calibri"/>
          <w:noProof/>
        </w:rPr>
        <w:t>Whereas:</w:t>
      </w:r>
    </w:p>
    <w:p w14:paraId="373381FF" w14:textId="67AD3E6C" w:rsidR="00380F1F" w:rsidRPr="006C4B46" w:rsidRDefault="00FB0D60" w:rsidP="00FB0D60">
      <w:pPr>
        <w:pStyle w:val="ManualConsidrant"/>
        <w:rPr>
          <w:noProof/>
        </w:rPr>
      </w:pPr>
      <w:r w:rsidRPr="00FB0D60">
        <w:t>(1)</w:t>
      </w:r>
      <w:r w:rsidRPr="00FB0D60">
        <w:tab/>
      </w:r>
      <w:r w:rsidR="00380F1F" w:rsidRPr="006C4B46">
        <w:rPr>
          <w:noProof/>
        </w:rPr>
        <w:t>In May 2003</w:t>
      </w:r>
      <w:r w:rsidR="00380F1F">
        <w:rPr>
          <w:noProof/>
        </w:rPr>
        <w:t>,</w:t>
      </w:r>
      <w:r w:rsidR="00380F1F" w:rsidRPr="006C4B46">
        <w:rPr>
          <w:noProof/>
        </w:rPr>
        <w:t xml:space="preserve"> the Commission adopted </w:t>
      </w:r>
      <w:r w:rsidR="00380F1F">
        <w:rPr>
          <w:noProof/>
        </w:rPr>
        <w:t>the</w:t>
      </w:r>
      <w:r w:rsidR="00380F1F" w:rsidRPr="006C4B46">
        <w:rPr>
          <w:noProof/>
        </w:rPr>
        <w:t xml:space="preserve"> Communication to the </w:t>
      </w:r>
      <w:r w:rsidR="00380F1F">
        <w:rPr>
          <w:noProof/>
        </w:rPr>
        <w:t xml:space="preserve">Council and the </w:t>
      </w:r>
      <w:r w:rsidR="00380F1F" w:rsidRPr="006C4B46">
        <w:rPr>
          <w:noProof/>
        </w:rPr>
        <w:t xml:space="preserve">European Parliament </w:t>
      </w:r>
      <w:r w:rsidR="00380F1F" w:rsidRPr="0001728E">
        <w:rPr>
          <w:noProof/>
        </w:rPr>
        <w:t xml:space="preserve">Forest Law Enforcement, Governance and Trade (FLEGT): </w:t>
      </w:r>
      <w:r w:rsidR="00380F1F">
        <w:rPr>
          <w:noProof/>
        </w:rPr>
        <w:t>p</w:t>
      </w:r>
      <w:r w:rsidR="00380F1F" w:rsidRPr="0001728E">
        <w:rPr>
          <w:noProof/>
        </w:rPr>
        <w:t xml:space="preserve">roposal for an EU </w:t>
      </w:r>
      <w:r w:rsidR="00380F1F">
        <w:rPr>
          <w:noProof/>
        </w:rPr>
        <w:t>a</w:t>
      </w:r>
      <w:r w:rsidR="00380F1F" w:rsidRPr="0001728E">
        <w:rPr>
          <w:noProof/>
        </w:rPr>
        <w:t xml:space="preserve">ction </w:t>
      </w:r>
      <w:r w:rsidR="00380F1F">
        <w:rPr>
          <w:noProof/>
        </w:rPr>
        <w:t>p</w:t>
      </w:r>
      <w:r w:rsidR="00380F1F" w:rsidRPr="0001728E">
        <w:rPr>
          <w:noProof/>
        </w:rPr>
        <w:t>lan</w:t>
      </w:r>
      <w:r w:rsidR="00380F1F" w:rsidRPr="00473E79">
        <w:rPr>
          <w:rStyle w:val="FootnoteReference"/>
          <w:noProof/>
        </w:rPr>
        <w:footnoteReference w:id="5"/>
      </w:r>
      <w:r w:rsidR="00380F1F" w:rsidRPr="006C4B46">
        <w:rPr>
          <w:noProof/>
        </w:rPr>
        <w:t xml:space="preserve">, which called for measures to address illegal logging by developing voluntary partnership </w:t>
      </w:r>
      <w:r w:rsidR="00380F1F">
        <w:rPr>
          <w:noProof/>
        </w:rPr>
        <w:t>a</w:t>
      </w:r>
      <w:r w:rsidR="00380F1F" w:rsidRPr="006C4B46">
        <w:rPr>
          <w:noProof/>
        </w:rPr>
        <w:t xml:space="preserve">greements with timber-producing countries. Council conclusions on the </w:t>
      </w:r>
      <w:r w:rsidR="00380F1F">
        <w:rPr>
          <w:noProof/>
        </w:rPr>
        <w:t>a</w:t>
      </w:r>
      <w:r w:rsidR="00380F1F" w:rsidRPr="006C4B46">
        <w:rPr>
          <w:noProof/>
        </w:rPr>
        <w:t xml:space="preserve">ction </w:t>
      </w:r>
      <w:r w:rsidR="00380F1F">
        <w:rPr>
          <w:noProof/>
        </w:rPr>
        <w:t>p</w:t>
      </w:r>
      <w:r w:rsidR="00380F1F" w:rsidRPr="006C4B46">
        <w:rPr>
          <w:noProof/>
        </w:rPr>
        <w:t>lan were adopted in October 2003</w:t>
      </w:r>
      <w:r w:rsidR="00380F1F" w:rsidRPr="00473E79">
        <w:rPr>
          <w:rStyle w:val="FootnoteReference"/>
          <w:noProof/>
        </w:rPr>
        <w:footnoteReference w:id="6"/>
      </w:r>
      <w:r w:rsidR="00380F1F" w:rsidRPr="006C4B46">
        <w:rPr>
          <w:noProof/>
        </w:rPr>
        <w:t xml:space="preserve"> and a European Parliament resolution on the subject was adopted on 11 July 2005</w:t>
      </w:r>
      <w:r w:rsidR="00380F1F" w:rsidRPr="00473E79">
        <w:rPr>
          <w:rStyle w:val="FootnoteReference"/>
          <w:noProof/>
        </w:rPr>
        <w:footnoteReference w:id="7"/>
      </w:r>
      <w:r w:rsidR="00380F1F" w:rsidRPr="006C4B46">
        <w:rPr>
          <w:noProof/>
        </w:rPr>
        <w:t>,</w:t>
      </w:r>
    </w:p>
    <w:p w14:paraId="4E0EF199" w14:textId="238CB29F" w:rsidR="00E17E43" w:rsidRPr="00E17E43" w:rsidRDefault="00FB0D60" w:rsidP="00FB0D60">
      <w:pPr>
        <w:pStyle w:val="ManualConsidrant"/>
        <w:rPr>
          <w:noProof/>
        </w:rPr>
      </w:pPr>
      <w:r w:rsidRPr="00FB0D60">
        <w:t>(2)</w:t>
      </w:r>
      <w:r w:rsidRPr="00FB0D60">
        <w:tab/>
      </w:r>
      <w:r w:rsidR="00E17E43" w:rsidRPr="00E17E43">
        <w:rPr>
          <w:noProof/>
        </w:rPr>
        <w:t>On 5 December 2005, the Council authorised the Commission to open negotiations with timber-producing countries on partnership agreements to implement the EU Action Plan for Forest Law Enforcement, Governance and Trade.</w:t>
      </w:r>
    </w:p>
    <w:p w14:paraId="2E574BE1" w14:textId="32167B80" w:rsidR="00E17E43" w:rsidRPr="00E17E43" w:rsidRDefault="00FB0D60" w:rsidP="00FB0D60">
      <w:pPr>
        <w:pStyle w:val="ManualConsidrant"/>
        <w:rPr>
          <w:noProof/>
        </w:rPr>
      </w:pPr>
      <w:r w:rsidRPr="00FB0D60">
        <w:t>(3)</w:t>
      </w:r>
      <w:r w:rsidRPr="00FB0D60">
        <w:tab/>
      </w:r>
      <w:r w:rsidR="00E17E43" w:rsidRPr="00E17E43">
        <w:rPr>
          <w:noProof/>
        </w:rPr>
        <w:t>On 20 December 2005, the Council adopted Regulation (EC) No 2173/2005</w:t>
      </w:r>
      <w:r w:rsidR="00E17E43" w:rsidRPr="00F96A53">
        <w:rPr>
          <w:rStyle w:val="FootnoteReference"/>
          <w:noProof/>
        </w:rPr>
        <w:footnoteReference w:id="8"/>
      </w:r>
      <w:r w:rsidR="00E17E43" w:rsidRPr="00E17E43">
        <w:rPr>
          <w:noProof/>
        </w:rPr>
        <w:t xml:space="preserve"> which established a FLEGT licensing scheme for imports of timber into the Union from countries with which the Union has concluded voluntary partnership agreements.</w:t>
      </w:r>
    </w:p>
    <w:p w14:paraId="6606D3A6" w14:textId="0ED8E6AF" w:rsidR="00E17E43" w:rsidRPr="00E17E43" w:rsidRDefault="00FB0D60" w:rsidP="00FB0D60">
      <w:pPr>
        <w:pStyle w:val="ManualConsidrant"/>
        <w:rPr>
          <w:noProof/>
        </w:rPr>
      </w:pPr>
      <w:r w:rsidRPr="00FB0D60">
        <w:t>(4)</w:t>
      </w:r>
      <w:r w:rsidRPr="00FB0D60">
        <w:tab/>
      </w:r>
      <w:r w:rsidR="00E17E43" w:rsidRPr="00E17E43">
        <w:rPr>
          <w:noProof/>
        </w:rPr>
        <w:t>The negotiations with the Co-operative Republic of Guyana in view of the conclusion of a Voluntary Partnership Agreement on forest law enforcement, governance and trade in timber products (hereinafter referred to as ‘the Agreement’), were successfully concluded by the initialling of the Agreement  on 23 November 2018.</w:t>
      </w:r>
    </w:p>
    <w:p w14:paraId="2EF26A23" w14:textId="432C201E" w:rsidR="00E17E43" w:rsidRPr="00E17E43" w:rsidRDefault="00FB0D60" w:rsidP="00FB0D60">
      <w:pPr>
        <w:pStyle w:val="ManualConsidrant"/>
        <w:rPr>
          <w:noProof/>
        </w:rPr>
      </w:pPr>
      <w:r w:rsidRPr="00FB0D60">
        <w:t>(5)</w:t>
      </w:r>
      <w:r w:rsidRPr="00FB0D60">
        <w:tab/>
      </w:r>
      <w:r w:rsidR="00E17E43" w:rsidRPr="00E17E43">
        <w:rPr>
          <w:noProof/>
        </w:rPr>
        <w:t>Therefore, the Agreement should be signed on behalf of the European Union, subject to its conclusion at a later date.</w:t>
      </w:r>
    </w:p>
    <w:p w14:paraId="24DE8A99" w14:textId="77777777" w:rsidR="00E17E43" w:rsidRDefault="00E17E43" w:rsidP="00037C7A">
      <w:pPr>
        <w:pStyle w:val="Formuledadoption"/>
        <w:rPr>
          <w:noProof/>
        </w:rPr>
      </w:pPr>
      <w:r w:rsidRPr="00E17E43">
        <w:rPr>
          <w:noProof/>
        </w:rPr>
        <w:t xml:space="preserve">HAS ADOPTED THIS DECISION: </w:t>
      </w:r>
    </w:p>
    <w:p w14:paraId="0877C6CF" w14:textId="77777777" w:rsidR="00E17E43" w:rsidRPr="00E17E43" w:rsidRDefault="00E17E43" w:rsidP="00037C7A">
      <w:pPr>
        <w:pStyle w:val="Titrearticle"/>
        <w:rPr>
          <w:noProof/>
        </w:rPr>
      </w:pPr>
      <w:r w:rsidRPr="00E17E43">
        <w:rPr>
          <w:noProof/>
        </w:rPr>
        <w:t>Article 1</w:t>
      </w:r>
    </w:p>
    <w:p w14:paraId="7612A1A7" w14:textId="77777777" w:rsidR="00E17E43" w:rsidRPr="00E17E43" w:rsidRDefault="00E17E43" w:rsidP="00E17E43">
      <w:pPr>
        <w:rPr>
          <w:rFonts w:eastAsia="Calibri"/>
          <w:noProof/>
        </w:rPr>
      </w:pPr>
      <w:r w:rsidRPr="00E17E43">
        <w:rPr>
          <w:rFonts w:eastAsia="Calibri"/>
          <w:noProof/>
        </w:rPr>
        <w:t>The signing of the Voluntary Partnership Agreement between the European Union and the Co-operative Republic of Guyana on forest law enforcement, governance and trade in timber products is hereby approved on behalf of the Union, subject to the conclusion of the said Agreement.</w:t>
      </w:r>
    </w:p>
    <w:p w14:paraId="43D0752F" w14:textId="77777777" w:rsidR="00E17E43" w:rsidRPr="00E17E43" w:rsidRDefault="00E17E43" w:rsidP="00E17E43">
      <w:pPr>
        <w:rPr>
          <w:rFonts w:eastAsia="Calibri"/>
          <w:noProof/>
        </w:rPr>
      </w:pPr>
      <w:r w:rsidRPr="00E17E43">
        <w:rPr>
          <w:rFonts w:eastAsia="Calibri"/>
          <w:noProof/>
        </w:rPr>
        <w:t xml:space="preserve">The text of the Agreement to be signed is attached to this Decision. </w:t>
      </w:r>
    </w:p>
    <w:p w14:paraId="2F2C6D1C" w14:textId="77777777" w:rsidR="00E17E43" w:rsidRPr="00037C7A" w:rsidRDefault="00E17E43" w:rsidP="00037C7A">
      <w:pPr>
        <w:pStyle w:val="Titrearticle"/>
        <w:rPr>
          <w:noProof/>
        </w:rPr>
      </w:pPr>
      <w:r w:rsidRPr="00037C7A">
        <w:rPr>
          <w:noProof/>
        </w:rPr>
        <w:t>Article 2</w:t>
      </w:r>
    </w:p>
    <w:p w14:paraId="56628743" w14:textId="77777777" w:rsidR="00E17E43" w:rsidRPr="00E17E43" w:rsidRDefault="00E17E43" w:rsidP="00E17E43">
      <w:pPr>
        <w:rPr>
          <w:rFonts w:eastAsia="Calibri"/>
          <w:noProof/>
        </w:rPr>
      </w:pPr>
      <w:r w:rsidRPr="00E17E43">
        <w:rPr>
          <w:rFonts w:eastAsia="Calibri"/>
          <w:noProof/>
        </w:rPr>
        <w:t xml:space="preserve">The Council Secretariat General shall establish the instrument of full powers to sign the Agreement, subject to its conclusion, for the person(s) indicated by the </w:t>
      </w:r>
      <w:r w:rsidR="0009762A">
        <w:rPr>
          <w:rFonts w:eastAsia="Calibri"/>
          <w:noProof/>
        </w:rPr>
        <w:t>Commission</w:t>
      </w:r>
      <w:r w:rsidRPr="00E17E43">
        <w:rPr>
          <w:rFonts w:eastAsia="Calibri"/>
          <w:noProof/>
        </w:rPr>
        <w:t>.</w:t>
      </w:r>
    </w:p>
    <w:p w14:paraId="1CEC091B" w14:textId="77777777" w:rsidR="00E17E43" w:rsidRPr="00037C7A" w:rsidRDefault="00E17E43" w:rsidP="00A2460E">
      <w:pPr>
        <w:pStyle w:val="Titrearticle"/>
        <w:rPr>
          <w:noProof/>
        </w:rPr>
      </w:pPr>
      <w:r w:rsidRPr="00037C7A">
        <w:rPr>
          <w:noProof/>
        </w:rPr>
        <w:t>Article 3</w:t>
      </w:r>
    </w:p>
    <w:p w14:paraId="26261CA3" w14:textId="77777777" w:rsidR="00E17E43" w:rsidRPr="00E17E43" w:rsidRDefault="00E17E43" w:rsidP="00E17E43">
      <w:pPr>
        <w:rPr>
          <w:rFonts w:eastAsia="Calibri"/>
          <w:noProof/>
        </w:rPr>
      </w:pPr>
      <w:r w:rsidRPr="00E17E43">
        <w:rPr>
          <w:rFonts w:eastAsia="Calibri"/>
          <w:noProof/>
        </w:rPr>
        <w:t xml:space="preserve">This Decision shall enter into force on the day of its adoption. </w:t>
      </w:r>
    </w:p>
    <w:p w14:paraId="1F256C2A" w14:textId="4BBB0414" w:rsidR="00E17E43" w:rsidRPr="00E17E43" w:rsidRDefault="008C1A59" w:rsidP="00A2460E">
      <w:pPr>
        <w:pStyle w:val="Fait"/>
        <w:rPr>
          <w:noProof/>
        </w:rPr>
      </w:pPr>
      <w:r w:rsidRPr="008C1A59">
        <w:t>Done at Brussels,</w:t>
      </w:r>
    </w:p>
    <w:p w14:paraId="79B33DA7" w14:textId="77777777" w:rsidR="00E17E43" w:rsidRPr="00E17E43" w:rsidRDefault="00E17E43" w:rsidP="00A2460E">
      <w:pPr>
        <w:pStyle w:val="Institutionquisigne"/>
        <w:rPr>
          <w:noProof/>
        </w:rPr>
      </w:pPr>
      <w:r w:rsidRPr="00E17E43">
        <w:rPr>
          <w:noProof/>
        </w:rPr>
        <w:tab/>
        <w:t>For the Council</w:t>
      </w:r>
    </w:p>
    <w:p w14:paraId="6C512AEC" w14:textId="77777777" w:rsidR="00E851F4" w:rsidRPr="00E851F4" w:rsidRDefault="00E17E43" w:rsidP="00037C7A">
      <w:pPr>
        <w:pStyle w:val="Personnequisigne"/>
        <w:rPr>
          <w:noProof/>
        </w:rPr>
      </w:pPr>
      <w:r w:rsidRPr="00E17E43">
        <w:rPr>
          <w:noProof/>
        </w:rPr>
        <w:tab/>
        <w:t>The President</w:t>
      </w:r>
    </w:p>
    <w:sectPr w:rsidR="00E851F4" w:rsidRPr="00E851F4" w:rsidSect="00FF421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1598" w14:textId="77777777" w:rsidR="00E851F4" w:rsidRDefault="00E851F4" w:rsidP="00E851F4">
      <w:pPr>
        <w:spacing w:before="0" w:after="0"/>
      </w:pPr>
      <w:r>
        <w:separator/>
      </w:r>
    </w:p>
  </w:endnote>
  <w:endnote w:type="continuationSeparator" w:id="0">
    <w:p w14:paraId="315790D0" w14:textId="77777777" w:rsidR="00E851F4" w:rsidRDefault="00E851F4" w:rsidP="00E851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74F8" w14:textId="34AAB9C2" w:rsidR="00B516DC" w:rsidRPr="00FF421B" w:rsidRDefault="00FF421B" w:rsidP="00FF421B">
    <w:pPr>
      <w:pStyle w:val="Footer"/>
      <w:rPr>
        <w:rFonts w:ascii="Arial" w:hAnsi="Arial" w:cs="Arial"/>
        <w:b/>
        <w:sz w:val="48"/>
      </w:rPr>
    </w:pPr>
    <w:r w:rsidRPr="00FF421B">
      <w:rPr>
        <w:rFonts w:ascii="Arial" w:hAnsi="Arial" w:cs="Arial"/>
        <w:b/>
        <w:sz w:val="48"/>
      </w:rPr>
      <w:t>EN</w:t>
    </w:r>
    <w:r w:rsidRPr="00FF421B">
      <w:rPr>
        <w:rFonts w:ascii="Arial" w:hAnsi="Arial" w:cs="Arial"/>
        <w:b/>
        <w:sz w:val="48"/>
      </w:rPr>
      <w:tab/>
    </w:r>
    <w:r w:rsidRPr="00FF421B">
      <w:rPr>
        <w:rFonts w:ascii="Arial" w:hAnsi="Arial" w:cs="Arial"/>
        <w:b/>
        <w:sz w:val="48"/>
      </w:rPr>
      <w:tab/>
    </w:r>
    <w:r w:rsidRPr="00FF421B">
      <w:tab/>
    </w:r>
    <w:r w:rsidRPr="00FF421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9288" w14:textId="04932C20" w:rsidR="00FF421B" w:rsidRPr="00FF421B" w:rsidRDefault="00FF421B" w:rsidP="00FF421B">
    <w:pPr>
      <w:pStyle w:val="Footer"/>
      <w:rPr>
        <w:rFonts w:ascii="Arial" w:hAnsi="Arial" w:cs="Arial"/>
        <w:b/>
        <w:sz w:val="48"/>
      </w:rPr>
    </w:pPr>
    <w:r w:rsidRPr="00FF421B">
      <w:rPr>
        <w:rFonts w:ascii="Arial" w:hAnsi="Arial" w:cs="Arial"/>
        <w:b/>
        <w:sz w:val="48"/>
      </w:rPr>
      <w:t>EN</w:t>
    </w:r>
    <w:r w:rsidRPr="00FF421B">
      <w:rPr>
        <w:rFonts w:ascii="Arial" w:hAnsi="Arial" w:cs="Arial"/>
        <w:b/>
        <w:sz w:val="48"/>
      </w:rPr>
      <w:tab/>
    </w:r>
    <w:r>
      <w:fldChar w:fldCharType="begin"/>
    </w:r>
    <w:r>
      <w:instrText xml:space="preserve"> PAGE  \* MERGEFORMAT </w:instrText>
    </w:r>
    <w:r>
      <w:fldChar w:fldCharType="separate"/>
    </w:r>
    <w:r w:rsidR="00A2460E">
      <w:rPr>
        <w:noProof/>
      </w:rPr>
      <w:t>5</w:t>
    </w:r>
    <w:r>
      <w:fldChar w:fldCharType="end"/>
    </w:r>
    <w:r>
      <w:tab/>
    </w:r>
    <w:r w:rsidRPr="00FF421B">
      <w:tab/>
    </w:r>
    <w:r w:rsidRPr="00FF421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59D3" w14:textId="77777777" w:rsidR="00FF421B" w:rsidRPr="00FF421B" w:rsidRDefault="00FF421B" w:rsidP="00FF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36F08" w14:textId="77777777" w:rsidR="00E851F4" w:rsidRDefault="00E851F4" w:rsidP="00E851F4">
      <w:pPr>
        <w:spacing w:before="0" w:after="0"/>
      </w:pPr>
      <w:r>
        <w:separator/>
      </w:r>
    </w:p>
  </w:footnote>
  <w:footnote w:type="continuationSeparator" w:id="0">
    <w:p w14:paraId="1C1207C6" w14:textId="77777777" w:rsidR="00E851F4" w:rsidRDefault="00E851F4" w:rsidP="00E851F4">
      <w:pPr>
        <w:spacing w:before="0" w:after="0"/>
      </w:pPr>
      <w:r>
        <w:continuationSeparator/>
      </w:r>
    </w:p>
  </w:footnote>
  <w:footnote w:id="1">
    <w:p w14:paraId="635E53B8" w14:textId="77777777" w:rsidR="00A753E6" w:rsidRPr="00EA3B9B" w:rsidRDefault="00A753E6" w:rsidP="00A753E6">
      <w:pPr>
        <w:pStyle w:val="FootnoteText"/>
        <w:rPr>
          <w:szCs w:val="24"/>
          <w:lang w:val="pt-PT"/>
        </w:rPr>
      </w:pPr>
      <w:r w:rsidRPr="00856682">
        <w:rPr>
          <w:rStyle w:val="FootnoteReference"/>
          <w:szCs w:val="24"/>
        </w:rPr>
        <w:footnoteRef/>
      </w:r>
      <w:r w:rsidRPr="00EA3B9B">
        <w:rPr>
          <w:szCs w:val="24"/>
          <w:lang w:val="pt-PT"/>
        </w:rPr>
        <w:tab/>
        <w:t>COM(2003) 251.</w:t>
      </w:r>
    </w:p>
  </w:footnote>
  <w:footnote w:id="2">
    <w:p w14:paraId="34BE928F" w14:textId="77777777" w:rsidR="00A753E6" w:rsidRPr="00EA3B9B" w:rsidRDefault="00A753E6" w:rsidP="00A753E6">
      <w:pPr>
        <w:pStyle w:val="FootnoteText"/>
        <w:rPr>
          <w:szCs w:val="24"/>
          <w:lang w:val="pt-PT"/>
        </w:rPr>
      </w:pPr>
      <w:r w:rsidRPr="00856682">
        <w:rPr>
          <w:rStyle w:val="FootnoteReference"/>
          <w:szCs w:val="24"/>
        </w:rPr>
        <w:footnoteRef/>
      </w:r>
      <w:r w:rsidRPr="00EA3B9B">
        <w:rPr>
          <w:szCs w:val="24"/>
          <w:lang w:val="pt-PT"/>
        </w:rPr>
        <w:tab/>
        <w:t>OJ C 268, 7.11.2003, p. 1.</w:t>
      </w:r>
    </w:p>
  </w:footnote>
  <w:footnote w:id="3">
    <w:p w14:paraId="0E095430" w14:textId="77777777" w:rsidR="00A753E6" w:rsidRPr="00EA3B9B" w:rsidRDefault="00A753E6" w:rsidP="00A753E6">
      <w:pPr>
        <w:pStyle w:val="FootnoteText"/>
        <w:rPr>
          <w:szCs w:val="24"/>
          <w:lang w:val="pt-PT"/>
        </w:rPr>
      </w:pPr>
      <w:r w:rsidRPr="00856682">
        <w:rPr>
          <w:rStyle w:val="FootnoteReference"/>
          <w:szCs w:val="24"/>
        </w:rPr>
        <w:footnoteRef/>
      </w:r>
      <w:r w:rsidRPr="00EA3B9B">
        <w:rPr>
          <w:szCs w:val="24"/>
          <w:lang w:val="pt-PT"/>
        </w:rPr>
        <w:tab/>
        <w:t>OJ L 347, 30.12.2005, p. 1.</w:t>
      </w:r>
    </w:p>
  </w:footnote>
  <w:footnote w:id="4">
    <w:p w14:paraId="16EF7FEB" w14:textId="77777777" w:rsidR="00E17E43" w:rsidRPr="00856682" w:rsidRDefault="00E17E43" w:rsidP="00E17E43">
      <w:pPr>
        <w:pStyle w:val="FootnoteText"/>
        <w:rPr>
          <w:szCs w:val="24"/>
        </w:rPr>
      </w:pPr>
      <w:r w:rsidRPr="00856682">
        <w:rPr>
          <w:rStyle w:val="FootnoteReference"/>
          <w:szCs w:val="24"/>
        </w:rPr>
        <w:footnoteRef/>
      </w:r>
      <w:r w:rsidRPr="00856682">
        <w:rPr>
          <w:szCs w:val="24"/>
        </w:rPr>
        <w:tab/>
        <w:t xml:space="preserve">Restricted Council document </w:t>
      </w:r>
      <w:r w:rsidRPr="00562050">
        <w:rPr>
          <w:szCs w:val="24"/>
        </w:rPr>
        <w:t>10229/2/05 (declassified on 24 September 2015).</w:t>
      </w:r>
    </w:p>
  </w:footnote>
  <w:footnote w:id="5">
    <w:p w14:paraId="7D0B22F9" w14:textId="77777777" w:rsidR="00380F1F" w:rsidRPr="007D1960" w:rsidRDefault="00380F1F" w:rsidP="00380F1F">
      <w:pPr>
        <w:pStyle w:val="FootnoteText"/>
        <w:rPr>
          <w:szCs w:val="24"/>
          <w:lang w:val="pt-PT"/>
        </w:rPr>
      </w:pPr>
      <w:r w:rsidRPr="001749CD">
        <w:rPr>
          <w:rStyle w:val="FootnoteReference"/>
          <w:szCs w:val="24"/>
        </w:rPr>
        <w:footnoteRef/>
      </w:r>
      <w:r w:rsidRPr="007D1960">
        <w:rPr>
          <w:szCs w:val="24"/>
          <w:lang w:val="pt-PT"/>
        </w:rPr>
        <w:tab/>
        <w:t>COM(2003) 251.</w:t>
      </w:r>
    </w:p>
  </w:footnote>
  <w:footnote w:id="6">
    <w:p w14:paraId="2F49AB09" w14:textId="77777777" w:rsidR="00380F1F" w:rsidRPr="00BF5D1D" w:rsidRDefault="00380F1F" w:rsidP="00380F1F">
      <w:pPr>
        <w:pStyle w:val="FootnoteText"/>
        <w:rPr>
          <w:lang w:val="pt-PT"/>
        </w:rPr>
      </w:pPr>
      <w:r w:rsidRPr="001749CD">
        <w:rPr>
          <w:rStyle w:val="FootnoteReference"/>
          <w:szCs w:val="24"/>
        </w:rPr>
        <w:footnoteRef/>
      </w:r>
      <w:r w:rsidRPr="00BF5D1D">
        <w:rPr>
          <w:lang w:val="pt-PT"/>
        </w:rPr>
        <w:tab/>
        <w:t>OJ C 268, 7.11.2003, p. 1.</w:t>
      </w:r>
    </w:p>
  </w:footnote>
  <w:footnote w:id="7">
    <w:p w14:paraId="3833466C" w14:textId="77777777" w:rsidR="00380F1F" w:rsidRPr="002E676F" w:rsidRDefault="00380F1F" w:rsidP="00380F1F">
      <w:pPr>
        <w:pStyle w:val="FootnoteText"/>
        <w:rPr>
          <w:szCs w:val="24"/>
          <w:lang w:val="es-ES"/>
        </w:rPr>
      </w:pPr>
      <w:r w:rsidRPr="001749CD">
        <w:rPr>
          <w:rStyle w:val="FootnoteReference"/>
          <w:szCs w:val="24"/>
        </w:rPr>
        <w:footnoteRef/>
      </w:r>
      <w:r w:rsidRPr="002E676F">
        <w:rPr>
          <w:szCs w:val="24"/>
          <w:lang w:val="es-ES"/>
        </w:rPr>
        <w:tab/>
        <w:t>OJ C 157E, 6.7.2006, p. 482.</w:t>
      </w:r>
    </w:p>
  </w:footnote>
  <w:footnote w:id="8">
    <w:p w14:paraId="22216205" w14:textId="77777777" w:rsidR="00E17E43" w:rsidRPr="00856682" w:rsidRDefault="00E17E43" w:rsidP="00E17E43">
      <w:pPr>
        <w:pStyle w:val="FootnoteText"/>
        <w:rPr>
          <w:szCs w:val="24"/>
        </w:rPr>
      </w:pPr>
      <w:r w:rsidRPr="00856682">
        <w:rPr>
          <w:rStyle w:val="FootnoteReference"/>
          <w:szCs w:val="24"/>
        </w:rPr>
        <w:footnoteRef/>
      </w:r>
      <w:r w:rsidRPr="00856682">
        <w:rPr>
          <w:szCs w:val="24"/>
        </w:rPr>
        <w:tab/>
      </w:r>
      <w:r w:rsidRPr="00C3516F">
        <w:rPr>
          <w:szCs w:val="24"/>
        </w:rPr>
        <w:t xml:space="preserve">Council Regulation (EC) No 2173/2005 of 20 December 2005 on the establishment of a FLEGT licensing scheme for imports of timber into the European Community </w:t>
      </w:r>
      <w:r>
        <w:rPr>
          <w:szCs w:val="24"/>
        </w:rPr>
        <w:t>(</w:t>
      </w:r>
      <w:r w:rsidRPr="00856682">
        <w:rPr>
          <w:szCs w:val="24"/>
        </w:rPr>
        <w:t>OJ L 347, 30.12.2005, p. 1</w:t>
      </w:r>
      <w:r>
        <w:rPr>
          <w:szCs w:val="24"/>
        </w:rPr>
        <w:t>)</w:t>
      </w:r>
      <w:r w:rsidRPr="00856682">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AAEDB3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4A8E84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CE420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04B0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A20BF0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D7435B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3248AF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2A01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22"/>
    <w:lvlOverride w:ilvl="0">
      <w:startOverride w:val="1"/>
    </w:lvlOverride>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04 17:32: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53B2E0-85B5-47DA-874B-98DF0377159A"/>
    <w:docVar w:name="LW_COVERPAGE_TYPE" w:val="1"/>
    <w:docVar w:name="LW_CROSSREFERENCE" w:val="&lt;UNUSED&gt;"/>
    <w:docVar w:name="LW_DocType" w:val="COM"/>
    <w:docVar w:name="LW_EMISSION" w:val="10.5.2022"/>
    <w:docVar w:name="LW_EMISSION_ISODATE" w:val="2022-05-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1"/>
    <w:docVar w:name="LW_REF.II.NEW.CP_YEAR" w:val="2022"/>
    <w:docVar w:name="LW_REF.INST.NEW" w:val="COM"/>
    <w:docVar w:name="LW_REF.INST.NEW_ADOPTED" w:val="final"/>
    <w:docVar w:name="LW_REF.INST.NEW_TEXT" w:val="(2022)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Union, of the Voluntary Partnership Agreement between the European Union and the Co-operative Republic of Guyana on forest law enforcement, governance and trade in timber products to the European Union"/>
    <w:docVar w:name="LW_TYPE.DOC.CP" w:val="COUNCIL DECISION"/>
    <w:docVar w:name="LwApiVersions" w:val="LW4CoDe 1.23.2.0; LW 8.0, Build 20211117"/>
  </w:docVars>
  <w:rsids>
    <w:rsidRoot w:val="00E851F4"/>
    <w:rsid w:val="00026957"/>
    <w:rsid w:val="00037C7A"/>
    <w:rsid w:val="00065C9E"/>
    <w:rsid w:val="0009762A"/>
    <w:rsid w:val="000A7517"/>
    <w:rsid w:val="000D0F8E"/>
    <w:rsid w:val="000E198E"/>
    <w:rsid w:val="00164A14"/>
    <w:rsid w:val="001B2FD9"/>
    <w:rsid w:val="001C2816"/>
    <w:rsid w:val="002470EB"/>
    <w:rsid w:val="00305227"/>
    <w:rsid w:val="00380F1F"/>
    <w:rsid w:val="003B60DA"/>
    <w:rsid w:val="00407730"/>
    <w:rsid w:val="004E26C4"/>
    <w:rsid w:val="004E3AC9"/>
    <w:rsid w:val="004E4454"/>
    <w:rsid w:val="005002E0"/>
    <w:rsid w:val="00513E7E"/>
    <w:rsid w:val="00525C2C"/>
    <w:rsid w:val="00531CDA"/>
    <w:rsid w:val="005551CD"/>
    <w:rsid w:val="0070128F"/>
    <w:rsid w:val="00705752"/>
    <w:rsid w:val="007C06F6"/>
    <w:rsid w:val="008B5677"/>
    <w:rsid w:val="008C1A59"/>
    <w:rsid w:val="008C6088"/>
    <w:rsid w:val="00986B33"/>
    <w:rsid w:val="00987AD5"/>
    <w:rsid w:val="009B7138"/>
    <w:rsid w:val="009D2984"/>
    <w:rsid w:val="009F76EA"/>
    <w:rsid w:val="00A23593"/>
    <w:rsid w:val="00A2460E"/>
    <w:rsid w:val="00A71DBB"/>
    <w:rsid w:val="00A753E6"/>
    <w:rsid w:val="00AF14FF"/>
    <w:rsid w:val="00B01783"/>
    <w:rsid w:val="00B07C0F"/>
    <w:rsid w:val="00B516DC"/>
    <w:rsid w:val="00B63D11"/>
    <w:rsid w:val="00B80C5A"/>
    <w:rsid w:val="00B82CC9"/>
    <w:rsid w:val="00BA654F"/>
    <w:rsid w:val="00BE246D"/>
    <w:rsid w:val="00BF17AA"/>
    <w:rsid w:val="00C24556"/>
    <w:rsid w:val="00C44AA2"/>
    <w:rsid w:val="00C65056"/>
    <w:rsid w:val="00C71786"/>
    <w:rsid w:val="00D26DB8"/>
    <w:rsid w:val="00D56F57"/>
    <w:rsid w:val="00D70037"/>
    <w:rsid w:val="00E17E43"/>
    <w:rsid w:val="00E851F4"/>
    <w:rsid w:val="00EB6EE0"/>
    <w:rsid w:val="00F20062"/>
    <w:rsid w:val="00F37F7C"/>
    <w:rsid w:val="00F96A53"/>
    <w:rsid w:val="00FB0D60"/>
    <w:rsid w:val="00FE45F4"/>
    <w:rsid w:val="00FF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14:docId w14:val="404C10EE"/>
  <w15:docId w15:val="{653911AD-4227-4BDD-9F41-18FF990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C44AA2"/>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C44AA2"/>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C44AA2"/>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2359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23593"/>
    <w:pPr>
      <w:spacing w:after="0"/>
    </w:pPr>
  </w:style>
  <w:style w:type="paragraph" w:styleId="ListBullet">
    <w:name w:val="List Bullet"/>
    <w:basedOn w:val="Normal"/>
    <w:uiPriority w:val="99"/>
    <w:semiHidden/>
    <w:unhideWhenUsed/>
    <w:rsid w:val="00A23593"/>
    <w:pPr>
      <w:numPr>
        <w:numId w:val="1"/>
      </w:numPr>
      <w:contextualSpacing/>
    </w:pPr>
  </w:style>
  <w:style w:type="paragraph" w:styleId="ListBullet2">
    <w:name w:val="List Bullet 2"/>
    <w:basedOn w:val="Normal"/>
    <w:uiPriority w:val="99"/>
    <w:semiHidden/>
    <w:unhideWhenUsed/>
    <w:rsid w:val="00A23593"/>
    <w:pPr>
      <w:numPr>
        <w:numId w:val="2"/>
      </w:numPr>
      <w:contextualSpacing/>
    </w:pPr>
  </w:style>
  <w:style w:type="paragraph" w:styleId="ListBullet3">
    <w:name w:val="List Bullet 3"/>
    <w:basedOn w:val="Normal"/>
    <w:uiPriority w:val="99"/>
    <w:semiHidden/>
    <w:unhideWhenUsed/>
    <w:rsid w:val="00A23593"/>
    <w:pPr>
      <w:numPr>
        <w:numId w:val="3"/>
      </w:numPr>
      <w:contextualSpacing/>
    </w:pPr>
  </w:style>
  <w:style w:type="paragraph" w:styleId="ListBullet4">
    <w:name w:val="List Bullet 4"/>
    <w:basedOn w:val="Normal"/>
    <w:uiPriority w:val="99"/>
    <w:semiHidden/>
    <w:unhideWhenUsed/>
    <w:rsid w:val="00A23593"/>
    <w:pPr>
      <w:numPr>
        <w:numId w:val="4"/>
      </w:numPr>
      <w:contextualSpacing/>
    </w:pPr>
  </w:style>
  <w:style w:type="paragraph" w:styleId="ListNumber">
    <w:name w:val="List Number"/>
    <w:basedOn w:val="Normal"/>
    <w:uiPriority w:val="99"/>
    <w:semiHidden/>
    <w:unhideWhenUsed/>
    <w:rsid w:val="00A23593"/>
    <w:pPr>
      <w:numPr>
        <w:numId w:val="5"/>
      </w:numPr>
      <w:contextualSpacing/>
    </w:pPr>
  </w:style>
  <w:style w:type="paragraph" w:styleId="ListNumber2">
    <w:name w:val="List Number 2"/>
    <w:basedOn w:val="Normal"/>
    <w:uiPriority w:val="99"/>
    <w:semiHidden/>
    <w:unhideWhenUsed/>
    <w:rsid w:val="00A23593"/>
    <w:pPr>
      <w:numPr>
        <w:numId w:val="6"/>
      </w:numPr>
      <w:contextualSpacing/>
    </w:pPr>
  </w:style>
  <w:style w:type="paragraph" w:styleId="ListNumber3">
    <w:name w:val="List Number 3"/>
    <w:basedOn w:val="Normal"/>
    <w:uiPriority w:val="99"/>
    <w:semiHidden/>
    <w:unhideWhenUsed/>
    <w:rsid w:val="00A23593"/>
    <w:pPr>
      <w:numPr>
        <w:numId w:val="7"/>
      </w:numPr>
      <w:contextualSpacing/>
    </w:pPr>
  </w:style>
  <w:style w:type="paragraph" w:styleId="ListNumber4">
    <w:name w:val="List Number 4"/>
    <w:basedOn w:val="Normal"/>
    <w:uiPriority w:val="99"/>
    <w:semiHidden/>
    <w:unhideWhenUsed/>
    <w:rsid w:val="00A23593"/>
    <w:pPr>
      <w:numPr>
        <w:numId w:val="8"/>
      </w:numPr>
      <w:contextualSpacing/>
    </w:pPr>
  </w:style>
  <w:style w:type="character" w:styleId="CommentReference">
    <w:name w:val="annotation reference"/>
    <w:basedOn w:val="DefaultParagraphFont"/>
    <w:uiPriority w:val="99"/>
    <w:semiHidden/>
    <w:unhideWhenUsed/>
    <w:rsid w:val="00F96A53"/>
    <w:rPr>
      <w:sz w:val="16"/>
      <w:szCs w:val="16"/>
    </w:rPr>
  </w:style>
  <w:style w:type="paragraph" w:styleId="CommentText">
    <w:name w:val="annotation text"/>
    <w:basedOn w:val="Normal"/>
    <w:link w:val="CommentTextChar"/>
    <w:uiPriority w:val="99"/>
    <w:semiHidden/>
    <w:unhideWhenUsed/>
    <w:rsid w:val="00F96A53"/>
    <w:rPr>
      <w:sz w:val="20"/>
      <w:szCs w:val="20"/>
    </w:rPr>
  </w:style>
  <w:style w:type="character" w:customStyle="1" w:styleId="CommentTextChar">
    <w:name w:val="Comment Text Char"/>
    <w:basedOn w:val="DefaultParagraphFont"/>
    <w:link w:val="CommentText"/>
    <w:uiPriority w:val="99"/>
    <w:semiHidden/>
    <w:rsid w:val="00F96A53"/>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6A53"/>
    <w:rPr>
      <w:b/>
      <w:bCs/>
    </w:rPr>
  </w:style>
  <w:style w:type="character" w:customStyle="1" w:styleId="CommentSubjectChar">
    <w:name w:val="Comment Subject Char"/>
    <w:basedOn w:val="CommentTextChar"/>
    <w:link w:val="CommentSubject"/>
    <w:uiPriority w:val="99"/>
    <w:semiHidden/>
    <w:rsid w:val="00F96A53"/>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96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53"/>
    <w:rPr>
      <w:rFonts w:ascii="Segoe UI" w:hAnsi="Segoe UI" w:cs="Segoe UI"/>
      <w:sz w:val="18"/>
      <w:szCs w:val="18"/>
      <w:lang w:val="en-GB"/>
    </w:rPr>
  </w:style>
  <w:style w:type="character" w:styleId="Hyperlink">
    <w:name w:val="Hyperlink"/>
    <w:basedOn w:val="DefaultParagraphFont"/>
    <w:uiPriority w:val="99"/>
    <w:unhideWhenUsed/>
    <w:rsid w:val="00F96A53"/>
    <w:rPr>
      <w:color w:val="0000FF" w:themeColor="hyperlink"/>
      <w:u w:val="single"/>
    </w:rPr>
  </w:style>
  <w:style w:type="paragraph" w:styleId="Header">
    <w:name w:val="header"/>
    <w:basedOn w:val="Normal"/>
    <w:link w:val="HeaderChar"/>
    <w:uiPriority w:val="99"/>
    <w:unhideWhenUsed/>
    <w:rsid w:val="00FF421B"/>
    <w:pPr>
      <w:tabs>
        <w:tab w:val="center" w:pos="4535"/>
        <w:tab w:val="right" w:pos="9071"/>
      </w:tabs>
      <w:spacing w:before="0"/>
    </w:pPr>
  </w:style>
  <w:style w:type="character" w:customStyle="1" w:styleId="HeaderChar">
    <w:name w:val="Header Char"/>
    <w:basedOn w:val="DefaultParagraphFont"/>
    <w:link w:val="Header"/>
    <w:uiPriority w:val="99"/>
    <w:rsid w:val="00FF421B"/>
    <w:rPr>
      <w:rFonts w:ascii="Times New Roman" w:hAnsi="Times New Roman" w:cs="Times New Roman"/>
      <w:sz w:val="24"/>
      <w:lang w:val="en-GB"/>
    </w:rPr>
  </w:style>
  <w:style w:type="paragraph" w:styleId="Footer">
    <w:name w:val="footer"/>
    <w:basedOn w:val="Normal"/>
    <w:link w:val="FooterChar"/>
    <w:uiPriority w:val="99"/>
    <w:unhideWhenUsed/>
    <w:rsid w:val="00FF42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421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FF421B"/>
    <w:pPr>
      <w:tabs>
        <w:tab w:val="center" w:pos="7285"/>
        <w:tab w:val="right" w:pos="14003"/>
      </w:tabs>
      <w:spacing w:before="0"/>
    </w:pPr>
  </w:style>
  <w:style w:type="paragraph" w:customStyle="1" w:styleId="FooterLandscape">
    <w:name w:val="FooterLandscape"/>
    <w:basedOn w:val="Normal"/>
    <w:rsid w:val="00FF42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FF42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F421B"/>
    <w:pPr>
      <w:spacing w:before="0"/>
      <w:jc w:val="right"/>
    </w:pPr>
    <w:rPr>
      <w:sz w:val="28"/>
    </w:rPr>
  </w:style>
  <w:style w:type="paragraph" w:customStyle="1" w:styleId="FooterSensitivity">
    <w:name w:val="Footer Sensitivity"/>
    <w:basedOn w:val="Normal"/>
    <w:rsid w:val="00FF42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C44AA2"/>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C44AA2"/>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C44AA2"/>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C44AA2"/>
    <w:pPr>
      <w:keepNext/>
      <w:tabs>
        <w:tab w:val="left" w:pos="1417"/>
      </w:tabs>
      <w:ind w:left="1417" w:hanging="1417"/>
      <w:outlineLvl w:val="4"/>
    </w:pPr>
  </w:style>
  <w:style w:type="paragraph" w:customStyle="1" w:styleId="ManualHeading6">
    <w:name w:val="Manual Heading 6"/>
    <w:basedOn w:val="Normal"/>
    <w:next w:val="Text2"/>
    <w:rsid w:val="00C44AA2"/>
    <w:pPr>
      <w:keepNext/>
      <w:tabs>
        <w:tab w:val="left" w:pos="1417"/>
      </w:tabs>
      <w:ind w:left="1417" w:hanging="1417"/>
      <w:outlineLvl w:val="5"/>
    </w:pPr>
  </w:style>
  <w:style w:type="paragraph" w:customStyle="1" w:styleId="ManualHeading7">
    <w:name w:val="Manual Heading 7"/>
    <w:basedOn w:val="Normal"/>
    <w:next w:val="Text2"/>
    <w:rsid w:val="00C44AA2"/>
    <w:pPr>
      <w:keepNext/>
      <w:tabs>
        <w:tab w:val="left" w:pos="1417"/>
      </w:tabs>
      <w:ind w:left="1417" w:hanging="1417"/>
      <w:outlineLvl w:val="6"/>
    </w:pPr>
  </w:style>
  <w:style w:type="paragraph" w:customStyle="1" w:styleId="Text5">
    <w:name w:val="Text 5"/>
    <w:basedOn w:val="Normal"/>
    <w:rsid w:val="00C44AA2"/>
    <w:pPr>
      <w:ind w:left="3118"/>
    </w:pPr>
  </w:style>
  <w:style w:type="paragraph" w:customStyle="1" w:styleId="Text6">
    <w:name w:val="Text 6"/>
    <w:basedOn w:val="Normal"/>
    <w:rsid w:val="00C44AA2"/>
    <w:pPr>
      <w:ind w:left="3685"/>
    </w:pPr>
  </w:style>
  <w:style w:type="paragraph" w:customStyle="1" w:styleId="Point5">
    <w:name w:val="Point 5"/>
    <w:basedOn w:val="Normal"/>
    <w:rsid w:val="00C44AA2"/>
    <w:pPr>
      <w:ind w:left="3685" w:hanging="567"/>
    </w:pPr>
  </w:style>
  <w:style w:type="paragraph" w:customStyle="1" w:styleId="Tiret5">
    <w:name w:val="Tiret 5"/>
    <w:basedOn w:val="Point5"/>
    <w:rsid w:val="00C44AA2"/>
    <w:pPr>
      <w:numPr>
        <w:numId w:val="41"/>
      </w:numPr>
    </w:pPr>
  </w:style>
  <w:style w:type="paragraph" w:customStyle="1" w:styleId="NumPar5">
    <w:name w:val="NumPar 5"/>
    <w:basedOn w:val="Normal"/>
    <w:next w:val="Text2"/>
    <w:rsid w:val="00C44AA2"/>
    <w:pPr>
      <w:numPr>
        <w:ilvl w:val="4"/>
        <w:numId w:val="44"/>
      </w:numPr>
    </w:pPr>
  </w:style>
  <w:style w:type="paragraph" w:customStyle="1" w:styleId="NumPar6">
    <w:name w:val="NumPar 6"/>
    <w:basedOn w:val="Normal"/>
    <w:next w:val="Text2"/>
    <w:rsid w:val="00C44AA2"/>
    <w:pPr>
      <w:numPr>
        <w:ilvl w:val="5"/>
        <w:numId w:val="44"/>
      </w:numPr>
    </w:pPr>
  </w:style>
  <w:style w:type="paragraph" w:customStyle="1" w:styleId="NumPar7">
    <w:name w:val="NumPar 7"/>
    <w:basedOn w:val="Normal"/>
    <w:next w:val="Text2"/>
    <w:rsid w:val="00C44AA2"/>
    <w:pPr>
      <w:numPr>
        <w:ilvl w:val="6"/>
        <w:numId w:val="44"/>
      </w:numPr>
    </w:pPr>
  </w:style>
  <w:style w:type="paragraph" w:customStyle="1" w:styleId="ManualNumPar5">
    <w:name w:val="Manual NumPar 5"/>
    <w:basedOn w:val="Normal"/>
    <w:next w:val="Text2"/>
    <w:rsid w:val="00C44AA2"/>
    <w:pPr>
      <w:ind w:left="1417" w:hanging="1417"/>
    </w:pPr>
  </w:style>
  <w:style w:type="paragraph" w:customStyle="1" w:styleId="ManualNumPar6">
    <w:name w:val="Manual NumPar 6"/>
    <w:basedOn w:val="Normal"/>
    <w:next w:val="Text2"/>
    <w:rsid w:val="00C44AA2"/>
    <w:pPr>
      <w:ind w:left="1417" w:hanging="1417"/>
    </w:pPr>
  </w:style>
  <w:style w:type="paragraph" w:customStyle="1" w:styleId="ManualNumPar7">
    <w:name w:val="Manual NumPar 7"/>
    <w:basedOn w:val="Normal"/>
    <w:next w:val="Text2"/>
    <w:rsid w:val="00C44AA2"/>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1390</Words>
  <Characters>7910</Characters>
  <Application>Microsoft Office Word</Application>
  <DocSecurity>0</DocSecurity>
  <Lines>152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2022-02-04T16:46:00Z</dcterms:created>
  <dcterms:modified xsi:type="dcterms:W3CDTF">2022-05-04T15:32:00Z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