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A00" w:rsidRDefault="00E50FDE" w:rsidP="00E50FDE">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DDC9D685-F5A0-411A-848B-06894DF3BBC1" style="width:455.25pt;height:365.25pt">
            <v:imagedata r:id="rId11" o:title=""/>
          </v:shape>
        </w:pict>
      </w:r>
    </w:p>
    <w:bookmarkEnd w:id="0"/>
    <w:p w:rsidR="00F92A00" w:rsidRPr="00F92A00" w:rsidRDefault="00F92A00" w:rsidP="00F92A00">
      <w:pPr>
        <w:pStyle w:val="Pagedecouverture"/>
        <w:rPr>
          <w:noProof/>
          <w:lang w:val="en-GB"/>
        </w:rPr>
        <w:sectPr w:rsidR="00F92A00" w:rsidRPr="00F92A00" w:rsidSect="00E50FDE">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rsidR="00A33938" w:rsidRDefault="00814FE2" w:rsidP="00F92A00">
      <w:pPr>
        <w:spacing w:after="120"/>
        <w:rPr>
          <w:rFonts w:ascii="Times New Roman" w:hAnsi="Times New Roman" w:cs="Times New Roman"/>
          <w:b/>
          <w:noProof/>
          <w:sz w:val="24"/>
          <w:szCs w:val="24"/>
        </w:rPr>
      </w:pPr>
      <w:bookmarkStart w:id="1" w:name="_GoBack"/>
      <w:bookmarkEnd w:id="1"/>
      <w:r>
        <w:rPr>
          <w:rFonts w:ascii="Times New Roman" w:hAnsi="Times New Roman"/>
          <w:b/>
          <w:smallCaps/>
          <w:noProof/>
          <w:sz w:val="24"/>
          <w:szCs w:val="24"/>
        </w:rPr>
        <w:lastRenderedPageBreak/>
        <w:t>Εισαγωγή</w:t>
      </w:r>
      <w:r>
        <w:rPr>
          <w:rFonts w:ascii="Times New Roman" w:hAnsi="Times New Roman"/>
          <w:b/>
          <w:noProof/>
          <w:sz w:val="24"/>
          <w:szCs w:val="24"/>
        </w:rPr>
        <w:t xml:space="preserve"> </w:t>
      </w:r>
    </w:p>
    <w:p w:rsidR="00CF1953" w:rsidRDefault="00F87B19" w:rsidP="00623993">
      <w:pPr>
        <w:spacing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Πέντε εκατομμύρια πολίτες της ΕΕ ζουν στα πλέον απομακρυσμένα τμήματα της Ένωσης, τις εξόχως απόκεντρες περιοχές: Γουαδελούπη, Γαλλική Γουιάνα, Μαρτινίκα, Μαγιότ, Ρεϊνιόν και Άγιος Μαρτίνος (Γαλλία)· Αζόρες και Μαδέρα (Πορτογαλία)· και Κανάριες Νήσοι (Ισπανία). Αποτελούν αναπόσπαστο μέρος της ΕΕ και βρίσκονται σε στρατηγικά σημεία στον Ατλαντικό Ωκεανό, στη λεκάνη της Καραϊβικής, στη Νότια Αμερική και στον Ινδικό Ωκεανό.</w:t>
      </w:r>
    </w:p>
    <w:p w:rsidR="00CF1953" w:rsidRDefault="00CF1953" w:rsidP="00623993">
      <w:pPr>
        <w:spacing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Οι εξόχως απόκεντρες περιοχές αντιπροσωπεύουν σημαντικά πλεονεκτήματα: νεαρό πληθυσμό, εκτεταμένες θαλάσσιες οικονομικές ζώνες, μοναδική βιοποικιλότητα, πλούσιες ανανεώσιμες πηγές ενέργειας, τοποθεσία και κλίμα κατάλληλα για τις επιστήμες του διαστήματος και για δραστηριότητες αστροφυσικής, καθώς και σημαντικές διαστημικές υποδομές. </w:t>
      </w:r>
      <w:r>
        <w:rPr>
          <w:rFonts w:ascii="Times New Roman" w:hAnsi="Times New Roman"/>
          <w:iCs/>
          <w:noProof/>
          <w:sz w:val="24"/>
          <w:szCs w:val="24"/>
        </w:rPr>
        <w:t>Η αύξηση του πραγματικού κατά κεφαλήν ΑΕΠ σε ορισμένες από αυτές τις περιοχές υπερβαίνει τον μέσο όρο της ΕΕ</w:t>
      </w:r>
      <w:r>
        <w:rPr>
          <w:rStyle w:val="FootnoteReference"/>
          <w:rFonts w:ascii="Times New Roman" w:eastAsia="Times New Roman" w:hAnsi="Times New Roman" w:cs="Times New Roman"/>
          <w:noProof/>
          <w:color w:val="000000" w:themeColor="text1"/>
          <w:sz w:val="24"/>
          <w:szCs w:val="24"/>
        </w:rPr>
        <w:footnoteReference w:id="2"/>
      </w:r>
      <w:r>
        <w:rPr>
          <w:rFonts w:ascii="Times New Roman" w:hAnsi="Times New Roman"/>
          <w:iCs/>
          <w:noProof/>
          <w:sz w:val="24"/>
          <w:szCs w:val="24"/>
        </w:rPr>
        <w:t>. Συνεπώς, με τις κατάλληλες στρατηγικές ανάπτυξης, μεταρρυθμίσεις και επενδύσεις, το χάσμα με την υπόλοιπη ΕΕ μπορεί να μειωθεί στο μέλλον.</w:t>
      </w:r>
      <w:r>
        <w:rPr>
          <w:rFonts w:ascii="Times New Roman" w:hAnsi="Times New Roman"/>
          <w:noProof/>
          <w:color w:val="000000" w:themeColor="text1"/>
          <w:sz w:val="24"/>
          <w:szCs w:val="24"/>
        </w:rPr>
        <w:t xml:space="preserve"> Επιπλέον, οι περιοχές αυτές συνιστούν προπύργια της Ευρωπαϊκής Ένωσης σε ολόκληρο τον κόσμο με δυναμικό για την ενίσχυση της συνεργασίας και των σχέσεων με τις γειτονικές χώρες και τα εδάφη τους.</w:t>
      </w:r>
    </w:p>
    <w:p w:rsidR="00583715" w:rsidRPr="00530E78" w:rsidRDefault="009D0E48" w:rsidP="00623993">
      <w:pPr>
        <w:spacing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Ταυτόχρονα, οι εξόχως απόκεντρες περιοχές αντιμετωπίζουν </w:t>
      </w:r>
      <w:r>
        <w:rPr>
          <w:rFonts w:ascii="Times New Roman" w:hAnsi="Times New Roman"/>
          <w:bCs/>
          <w:noProof/>
          <w:color w:val="000000" w:themeColor="text1"/>
          <w:sz w:val="24"/>
          <w:szCs w:val="24"/>
        </w:rPr>
        <w:t>μόνιμους περιορισμούς στην ανάπτυξή τους, οι οποίοι αναγνωρίζονται</w:t>
      </w:r>
      <w:r>
        <w:rPr>
          <w:rFonts w:ascii="Times New Roman" w:hAnsi="Times New Roman"/>
          <w:noProof/>
          <w:color w:val="000000" w:themeColor="text1"/>
          <w:sz w:val="24"/>
          <w:szCs w:val="24"/>
        </w:rPr>
        <w:t xml:space="preserve"> στο άρθρο 349 της Συνθήκης για τη λειτουργία της Ευρωπαϊκής Ένωσης. Η Συνθήκη προβλέπει ειδικά μέτρα για τη στήριξη των εξόχως απόκεντρων περιοχών, συμπεριλαμβανομένης της προσαρμοσμένης εφαρμογής του δικαίου της ΕΕ στις εν λόγω περιοχές και της πρόσβασης στα προγράμματα της EΕ. </w:t>
      </w:r>
    </w:p>
    <w:p w:rsidR="00D56553" w:rsidRPr="00E24AB7" w:rsidRDefault="00F87B19" w:rsidP="00623993">
      <w:pPr>
        <w:spacing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Παρότι οι περιοχές αυτές </w:t>
      </w:r>
      <w:r>
        <w:rPr>
          <w:rFonts w:ascii="Times New Roman" w:hAnsi="Times New Roman"/>
          <w:bCs/>
          <w:noProof/>
          <w:color w:val="000000" w:themeColor="text1"/>
          <w:sz w:val="24"/>
          <w:szCs w:val="24"/>
        </w:rPr>
        <w:t>διαφέρουν αρκετά μεταξύ τους</w:t>
      </w:r>
      <w:r>
        <w:rPr>
          <w:rFonts w:ascii="Times New Roman" w:hAnsi="Times New Roman"/>
          <w:noProof/>
          <w:color w:val="000000" w:themeColor="text1"/>
          <w:sz w:val="24"/>
          <w:szCs w:val="24"/>
        </w:rPr>
        <w:t>, έχουν ορισμένες κοινές ιδιαιτερότητες, όπως ο εξόχως απόκεντρος χαρακτήρας, ο νησιωτικός χαρακτήρας</w:t>
      </w:r>
      <w:r>
        <w:rPr>
          <w:rFonts w:ascii="Times New Roman" w:eastAsia="Times New Roman" w:hAnsi="Times New Roman" w:cs="Times New Roman"/>
          <w:noProof/>
          <w:color w:val="000000" w:themeColor="text1"/>
          <w:sz w:val="24"/>
          <w:szCs w:val="24"/>
          <w:vertAlign w:val="superscript"/>
          <w:lang w:val="fr-BE"/>
        </w:rPr>
        <w:footnoteReference w:id="3"/>
      </w:r>
      <w:r>
        <w:rPr>
          <w:rFonts w:ascii="Times New Roman" w:hAnsi="Times New Roman"/>
          <w:noProof/>
          <w:color w:val="000000" w:themeColor="text1"/>
          <w:sz w:val="24"/>
          <w:szCs w:val="24"/>
        </w:rPr>
        <w:t>, κυρίως το μικρό μέγεθος, η ευπάθεια στην κλιματική αλλαγή, οι οικονομίες που εξαρτώνται από μικρό αριθμό τομέων, με υψηλά επίπεδα ανεργίας και το ακαθάριστο εγχώριο προϊόν (ΑΕΠ) να είναι σε σημαντικά χαμηλότερα επίπεδα από τους μέσους όρους της ΕΕ και των κρατών μελών</w:t>
      </w:r>
      <w:r>
        <w:rPr>
          <w:rFonts w:ascii="Times New Roman" w:eastAsia="Times New Roman" w:hAnsi="Times New Roman" w:cs="Times New Roman"/>
          <w:noProof/>
          <w:color w:val="000000" w:themeColor="text1"/>
          <w:sz w:val="24"/>
          <w:szCs w:val="24"/>
          <w:vertAlign w:val="superscript"/>
          <w:lang w:val="en-GB"/>
        </w:rPr>
        <w:footnoteReference w:id="4"/>
      </w:r>
      <w:r>
        <w:rPr>
          <w:rFonts w:ascii="Times New Roman" w:hAnsi="Times New Roman"/>
          <w:noProof/>
          <w:color w:val="000000" w:themeColor="text1"/>
          <w:sz w:val="24"/>
          <w:szCs w:val="24"/>
        </w:rPr>
        <w:t xml:space="preserve">. </w:t>
      </w:r>
      <w:r>
        <w:rPr>
          <w:rFonts w:ascii="Times New Roman" w:hAnsi="Times New Roman"/>
          <w:noProof/>
          <w:sz w:val="24"/>
          <w:szCs w:val="24"/>
        </w:rPr>
        <w:t>Το Μαγιότ έχει το χαμηλότερο κατά κεφαλήν ΑΕΠ της ΕΕ (30 %) και το υψηλότερο ποσοστό ανεργίας (27,8 %)</w:t>
      </w:r>
      <w:r>
        <w:rPr>
          <w:rStyle w:val="FootnoteReference"/>
          <w:rFonts w:ascii="Times New Roman" w:hAnsi="Times New Roman" w:cs="Times New Roman"/>
          <w:noProof/>
          <w:sz w:val="24"/>
          <w:szCs w:val="24"/>
          <w:lang w:val="en-GB"/>
        </w:rPr>
        <w:footnoteReference w:id="5"/>
      </w:r>
      <w:r>
        <w:rPr>
          <w:rFonts w:ascii="Times New Roman" w:hAnsi="Times New Roman"/>
          <w:noProof/>
          <w:sz w:val="24"/>
          <w:szCs w:val="24"/>
        </w:rPr>
        <w:t xml:space="preserve">. </w:t>
      </w:r>
      <w:r>
        <w:rPr>
          <w:rFonts w:ascii="Times New Roman" w:hAnsi="Times New Roman"/>
          <w:iCs/>
          <w:noProof/>
          <w:sz w:val="24"/>
          <w:szCs w:val="24"/>
        </w:rPr>
        <w:t>Σε αρκετές εξόχως απόκεντρες περιοχές παρατηρείται έλλειψη σύγκλισης με την υπόλοιπη ΕΕ</w:t>
      </w:r>
      <w:r>
        <w:rPr>
          <w:rStyle w:val="FootnoteReference"/>
          <w:rFonts w:ascii="Times New Roman" w:hAnsi="Times New Roman" w:cs="Times New Roman"/>
          <w:iCs/>
          <w:noProof/>
          <w:sz w:val="24"/>
          <w:szCs w:val="24"/>
        </w:rPr>
        <w:footnoteReference w:id="6"/>
      </w:r>
      <w:r>
        <w:rPr>
          <w:rFonts w:ascii="Times New Roman" w:hAnsi="Times New Roman"/>
          <w:iCs/>
          <w:noProof/>
          <w:sz w:val="24"/>
          <w:szCs w:val="24"/>
        </w:rPr>
        <w:t xml:space="preserve"> τις τελευταίες δύο δεκαετίες και είναι επί του παρόντος ιδιαίτερα εκτεθειμένες σε υψηλές τιμές ενέργειας σε συνδυασμό με τη διαφαινόμενη επισιτιστική κρίση που προκάλεσε η ρωσική εισβολή στην Ουκρανία.</w:t>
      </w:r>
    </w:p>
    <w:p w:rsidR="0037495C" w:rsidRPr="00530E78" w:rsidRDefault="000544C6" w:rsidP="00623993">
      <w:pPr>
        <w:spacing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Για να αξιοποιήσουν το δυναμικό τους, ορισμένες εξόχως απόκεντρες περιοχές πρέπει να αντιμετωπίσουν </w:t>
      </w:r>
      <w:r>
        <w:rPr>
          <w:rFonts w:ascii="Times New Roman" w:hAnsi="Times New Roman"/>
          <w:bCs/>
          <w:noProof/>
          <w:color w:val="000000" w:themeColor="text1"/>
          <w:sz w:val="24"/>
          <w:szCs w:val="24"/>
        </w:rPr>
        <w:t>βασικές ανάγκες που είναι καίριας σημασίας για την ποιότητα ζωής και για την επίτευξη των στόχων βιώσιμης ανάπτυξης</w:t>
      </w:r>
      <w:r>
        <w:rPr>
          <w:rStyle w:val="FootnoteReference"/>
          <w:rFonts w:ascii="Times New Roman" w:hAnsi="Times New Roman" w:cs="Times New Roman"/>
          <w:noProof/>
          <w:sz w:val="24"/>
          <w:szCs w:val="24"/>
        </w:rPr>
        <w:footnoteReference w:id="7"/>
      </w:r>
      <w:r>
        <w:rPr>
          <w:rFonts w:ascii="Times New Roman" w:hAnsi="Times New Roman"/>
          <w:noProof/>
          <w:color w:val="000000" w:themeColor="text1"/>
          <w:sz w:val="24"/>
          <w:szCs w:val="24"/>
        </w:rPr>
        <w:t>, όπως η πρόσβαση στο νερό, στην εκπαίδευση, την υγειονομική περίθαλψη ή στις μεταφορές</w:t>
      </w:r>
      <w:r>
        <w:rPr>
          <w:rFonts w:ascii="Times New Roman" w:hAnsi="Times New Roman"/>
          <w:bCs/>
          <w:noProof/>
          <w:color w:val="000000" w:themeColor="text1"/>
          <w:sz w:val="24"/>
          <w:szCs w:val="24"/>
        </w:rPr>
        <w:t>.</w:t>
      </w:r>
      <w:r>
        <w:rPr>
          <w:rFonts w:ascii="Times New Roman" w:hAnsi="Times New Roman"/>
          <w:noProof/>
          <w:color w:val="000000" w:themeColor="text1"/>
          <w:sz w:val="24"/>
          <w:szCs w:val="24"/>
        </w:rPr>
        <w:t xml:space="preserve"> Δημογραφικοί παράγοντες θα διαδραματίσουν επίσης καίριο ρόλο: δεδομένου ότι ο πληθυσμός αναμένεται να τριπλασιαστεί στο Μαγιότ και να διπλασιαστεί στη Γαλλική Γουιάνα έως το 2100, οι ανάγκες αυτές αναμένεται να αυξηθούν αναλόγως</w:t>
      </w:r>
      <w:r>
        <w:rPr>
          <w:rFonts w:ascii="Times New Roman" w:eastAsia="Times New Roman" w:hAnsi="Times New Roman" w:cs="Times New Roman"/>
          <w:noProof/>
          <w:color w:val="000000" w:themeColor="text1"/>
          <w:sz w:val="24"/>
          <w:szCs w:val="24"/>
          <w:vertAlign w:val="superscript"/>
          <w:lang w:val="fr-BE"/>
        </w:rPr>
        <w:footnoteReference w:id="8"/>
      </w:r>
      <w:r>
        <w:rPr>
          <w:rFonts w:ascii="Times New Roman" w:hAnsi="Times New Roman"/>
          <w:noProof/>
          <w:color w:val="000000" w:themeColor="text1"/>
          <w:sz w:val="24"/>
          <w:szCs w:val="24"/>
        </w:rPr>
        <w:t>. Ορισμένες περιοχές, όπως οι Κανάριες Νήσοι, η Γαλλική Γουιάνα, το Μαγιότ και ο Άγιος Μαρτίνος, υφίστανται επίσης σημαντική πίεση από την παράτυπη μετανάστευση. Από την άλλη πλευρά, κατά την ίδια περίοδο, ο πληθυσμός αναμένεται να συρρικνωθεί σημαντικά σε ορισμένες άλλες εξόχως απόκεντρες περιοχές</w:t>
      </w:r>
      <w:r>
        <w:rPr>
          <w:rStyle w:val="FootnoteReference"/>
          <w:rFonts w:ascii="Times New Roman" w:eastAsia="Times New Roman" w:hAnsi="Times New Roman" w:cs="Times New Roman"/>
          <w:noProof/>
          <w:color w:val="000000" w:themeColor="text1"/>
          <w:sz w:val="24"/>
          <w:szCs w:val="24"/>
        </w:rPr>
        <w:footnoteReference w:id="9"/>
      </w:r>
      <w:r>
        <w:rPr>
          <w:rFonts w:ascii="Times New Roman" w:hAnsi="Times New Roman"/>
          <w:noProof/>
          <w:color w:val="000000" w:themeColor="text1"/>
          <w:sz w:val="24"/>
          <w:szCs w:val="24"/>
        </w:rPr>
        <w:t xml:space="preserve"> λόγω της μετανάστευσης νέων προς αναζήτηση ευκαιριών. </w:t>
      </w:r>
    </w:p>
    <w:p w:rsidR="00583715" w:rsidRPr="00684F81" w:rsidRDefault="002E050C" w:rsidP="00623993">
      <w:pPr>
        <w:spacing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Η παρούσα ανακοίνωση παρουσιάζει τις προτεραιότητες της δράσης της ΕΕ σε συνεργασία με τις περιοχές αυτές και για τις περιοχές αυτές. Στον απόηχο της κρίσης λόγω της νόσου COVID-19, στόχος της είναι να θέσει καταρχάς τους πληθυσμούς αυτών των περιοχών σε πορεία προς τη </w:t>
      </w:r>
      <w:r>
        <w:rPr>
          <w:rFonts w:ascii="Times New Roman" w:hAnsi="Times New Roman"/>
          <w:bCs/>
          <w:noProof/>
          <w:color w:val="000000" w:themeColor="text1"/>
          <w:sz w:val="24"/>
          <w:szCs w:val="24"/>
        </w:rPr>
        <w:t xml:space="preserve">βιώσιμη ανάκαμψη και ανάπτυξη. </w:t>
      </w:r>
      <w:r>
        <w:rPr>
          <w:rFonts w:ascii="Times New Roman" w:hAnsi="Times New Roman"/>
          <w:noProof/>
          <w:color w:val="000000" w:themeColor="text1"/>
          <w:sz w:val="24"/>
          <w:szCs w:val="24"/>
        </w:rPr>
        <w:t xml:space="preserve">Η βιώσιμη ανάκαμψη και ανάπτυξη πρέπει να βασίζονται </w:t>
      </w:r>
      <w:r>
        <w:rPr>
          <w:rFonts w:ascii="Times New Roman" w:hAnsi="Times New Roman"/>
          <w:bCs/>
          <w:noProof/>
          <w:color w:val="000000" w:themeColor="text1"/>
          <w:sz w:val="24"/>
          <w:szCs w:val="24"/>
        </w:rPr>
        <w:t>στην πράσινη και την ψηφιακή μετάβαση</w:t>
      </w:r>
      <w:r>
        <w:rPr>
          <w:rFonts w:ascii="Times New Roman" w:hAnsi="Times New Roman"/>
          <w:noProof/>
          <w:color w:val="000000" w:themeColor="text1"/>
          <w:sz w:val="24"/>
          <w:szCs w:val="24"/>
        </w:rPr>
        <w:t xml:space="preserve"> ως παράγοντες για συνεκτικό, ανθεκτικό και συμπεριληπτικό κοινωνικό μετασχηματισμό, οικονομική διαφοροποίηση και δημιουργία θέσεων εργασίας, καθώς και για την αντιμετώπιση των </w:t>
      </w:r>
      <w:r>
        <w:rPr>
          <w:rFonts w:ascii="Times New Roman" w:hAnsi="Times New Roman"/>
          <w:bCs/>
          <w:noProof/>
          <w:color w:val="000000" w:themeColor="text1"/>
          <w:sz w:val="24"/>
          <w:szCs w:val="24"/>
        </w:rPr>
        <w:t>αναγκών</w:t>
      </w:r>
      <w:r>
        <w:rPr>
          <w:rFonts w:ascii="Times New Roman" w:hAnsi="Times New Roman"/>
          <w:noProof/>
          <w:color w:val="000000" w:themeColor="text1"/>
          <w:sz w:val="24"/>
          <w:szCs w:val="24"/>
        </w:rPr>
        <w:t xml:space="preserve"> των ανθρώπων. Η ανακοίνωση βασίζεται στην υλοποίηση της στρατηγικής εταιρικής σχέσης του 2017 με τις περιφέρειες αυτές</w:t>
      </w:r>
      <w:r>
        <w:rPr>
          <w:rStyle w:val="FootnoteReference"/>
          <w:rFonts w:ascii="Times New Roman" w:eastAsia="Times New Roman" w:hAnsi="Times New Roman" w:cs="Times New Roman"/>
          <w:noProof/>
          <w:color w:val="000000" w:themeColor="text1"/>
          <w:sz w:val="24"/>
          <w:szCs w:val="24"/>
          <w:lang w:eastAsia="en-IE"/>
        </w:rPr>
        <w:footnoteReference w:id="10"/>
      </w:r>
      <w:r>
        <w:rPr>
          <w:rFonts w:ascii="Times New Roman" w:hAnsi="Times New Roman"/>
          <w:noProof/>
          <w:color w:val="000000" w:themeColor="text1"/>
          <w:sz w:val="24"/>
          <w:szCs w:val="24"/>
        </w:rPr>
        <w:t>, η οποία παρουσιάστηκε σε έκθεση του 2020 προς το Ευρωπαϊκό Κοινοβούλιο και το Συμβούλιο</w:t>
      </w:r>
      <w:r>
        <w:rPr>
          <w:rStyle w:val="FootnoteReference"/>
          <w:rFonts w:ascii="Times New Roman" w:eastAsia="Times New Roman" w:hAnsi="Times New Roman" w:cs="Times New Roman"/>
          <w:noProof/>
          <w:color w:val="000000" w:themeColor="text1"/>
          <w:sz w:val="24"/>
          <w:szCs w:val="24"/>
          <w:lang w:eastAsia="en-IE"/>
        </w:rPr>
        <w:footnoteReference w:id="11"/>
      </w:r>
      <w:r>
        <w:rPr>
          <w:rFonts w:ascii="Times New Roman" w:hAnsi="Times New Roman"/>
          <w:noProof/>
          <w:color w:val="000000" w:themeColor="text1"/>
          <w:sz w:val="24"/>
          <w:szCs w:val="24"/>
        </w:rPr>
        <w:t xml:space="preserve">. </w:t>
      </w:r>
    </w:p>
    <w:p w:rsidR="00FD06C3" w:rsidRPr="000B22B8" w:rsidRDefault="00FD06C3" w:rsidP="00623993">
      <w:pPr>
        <w:spacing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Οι ιδιαιτερότητες των εξόχως απόκεντρων περιοχών λαμβάνονται υπόψη στην ειδική νομοθεσία, τα ταμεία και τα προγράμματα της ΕΕ. Η Επιτροπή </w:t>
      </w:r>
      <w:r>
        <w:rPr>
          <w:rFonts w:ascii="Times New Roman" w:hAnsi="Times New Roman"/>
          <w:bCs/>
          <w:noProof/>
          <w:color w:val="000000" w:themeColor="text1"/>
          <w:sz w:val="24"/>
          <w:szCs w:val="24"/>
        </w:rPr>
        <w:t>δεσμεύεται να συνεχίσει να ενσωματώνει τις ιδιαιτερότητες των περιοχών αυτών στη νομοθεσία και στις πολιτικές της ΕΕ</w:t>
      </w:r>
      <w:r>
        <w:rPr>
          <w:rFonts w:ascii="Times New Roman" w:hAnsi="Times New Roman"/>
          <w:noProof/>
          <w:color w:val="000000" w:themeColor="text1"/>
          <w:sz w:val="24"/>
          <w:szCs w:val="24"/>
        </w:rPr>
        <w:t xml:space="preserve"> για την προώθηση της ανάπτυξής τους μέσω εξατομικευμένων και τοποκεντρικών προσεγγίσεων. Η παρούσα ανακοίνωση παρουσιάζει τις προτεινόμενες πρωτοβουλίες της Επιτροπής, οι οποίες συμπληρώνουν και στηρίζουν την περιφερειακή και εθνική δράση. Πιο συγκεκριμένα, η Επιτροπή θα ενισχύσει τον διάλογο με τις περιοχές αυτές, θα παράσχει εξατομικευμένη στήριξη και θα συμβάλει στη βελτίωση της διοικητικής ικανότητας, ώστε οι περιοχές αυτές να μπορέσουν να επωφεληθούν πλήρως από τις πολιτικές της ΕΕ και να τις αξιοποιήσουν στο έπακρο.</w:t>
      </w:r>
    </w:p>
    <w:p w:rsidR="00FB2624" w:rsidRDefault="000F53AC" w:rsidP="00623993">
      <w:pPr>
        <w:spacing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Παρότι η ΕΕ διαδραματίζει καίριο ρόλο συμβάλλοντας στην απελευθέρωση του αναπτυξιακού δυναμικού των εξόχως απόκεντρων περιοχών, η ευημερία και η ανάπτυξή τους </w:t>
      </w:r>
      <w:r>
        <w:rPr>
          <w:rFonts w:ascii="Times New Roman" w:hAnsi="Times New Roman"/>
          <w:bCs/>
          <w:noProof/>
          <w:color w:val="000000" w:themeColor="text1"/>
          <w:sz w:val="24"/>
          <w:szCs w:val="24"/>
        </w:rPr>
        <w:t>βασίζονται ουσιαστικά σε επιλογές και δράσεις των ίδιων των περιοχών και των κρατών μελών τους. Εναπόκειται στα κράτη μέλη να διαμορφώσουν και να εφαρμόσουν αναπτυξιακές στρατηγικές</w:t>
      </w:r>
      <w:r>
        <w:rPr>
          <w:rFonts w:ascii="Times New Roman" w:hAnsi="Times New Roman"/>
          <w:noProof/>
          <w:color w:val="000000" w:themeColor="text1"/>
          <w:sz w:val="24"/>
          <w:szCs w:val="24"/>
        </w:rPr>
        <w:t xml:space="preserve"> προσαρμοσμένες σε κάθε περιοχή, θέτοντας τις κατάλληλες προτεραιότητες και αξιοποιώντας πλήρως τις δυνατότητες χρηματοδότησης που παρέχουν τα ευρωπαϊκά μέσα. </w:t>
      </w:r>
      <w:r>
        <w:rPr>
          <w:rFonts w:ascii="Times New Roman" w:hAnsi="Times New Roman"/>
          <w:bCs/>
          <w:noProof/>
          <w:color w:val="000000" w:themeColor="text1"/>
          <w:sz w:val="24"/>
          <w:szCs w:val="24"/>
        </w:rPr>
        <w:t>Οι στρατηγικές αυτές</w:t>
      </w:r>
      <w:r>
        <w:rPr>
          <w:rFonts w:ascii="Times New Roman" w:hAnsi="Times New Roman"/>
          <w:noProof/>
          <w:color w:val="000000" w:themeColor="text1"/>
          <w:sz w:val="24"/>
          <w:szCs w:val="24"/>
        </w:rPr>
        <w:t xml:space="preserve"> πρέπει να προβλέπουν και να ανταποκρίνονται στις ανάγκες των πολιτών, να αντιμετωπίζουν τα εμπόδια στην ανάπτυξη, να εκμεταλλεύονται τα πλεονεκτήματα, να διαφοροποιούν την οικονομία, να αυξάνουν την αυτάρκεια, να επεκτείνουν τους εμπορικούς δεσμούς, να αναπτύσσουν δεξιότητες και να δημιουργούν θέσεις εργασίας. </w:t>
      </w:r>
    </w:p>
    <w:p w:rsidR="00917AE9" w:rsidRPr="009E6A4E" w:rsidRDefault="00FD22AF" w:rsidP="00623993">
      <w:pPr>
        <w:spacing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szCs w:val="24"/>
        </w:rPr>
        <w:t xml:space="preserve">Συνεπώς, η ανακοίνωση, παρότι καθορίζει μια σειρά από πρωτοβουλίες προς ανάπτυξη σε επίπεδο ΕΕ, ενθαρρύνει την ανάληψη δράσης από αυτές τις περιοχές και τα κράτη μέλη τους, για παράδειγμα για την αντιμετώπιση των ιδιαιτεροτήτων τους σε οριζόντιες πολιτικές και μέσα, συμπεριλαμβανομένων του </w:t>
      </w:r>
      <w:r>
        <w:rPr>
          <w:rFonts w:ascii="Times New Roman" w:hAnsi="Times New Roman"/>
          <w:bCs/>
          <w:noProof/>
          <w:color w:val="000000" w:themeColor="text1"/>
          <w:sz w:val="24"/>
          <w:szCs w:val="24"/>
        </w:rPr>
        <w:t>μηχανισμού ανάκαμψης και ανθεκτικότητας (στο εξής: ΜΑΑ)</w:t>
      </w:r>
      <w:r>
        <w:rPr>
          <w:rStyle w:val="FootnoteReference"/>
          <w:rFonts w:ascii="Times New Roman" w:hAnsi="Times New Roman" w:cs="Times New Roman"/>
          <w:bCs/>
          <w:noProof/>
          <w:color w:val="000000" w:themeColor="text1"/>
          <w:sz w:val="24"/>
          <w:szCs w:val="24"/>
        </w:rPr>
        <w:footnoteReference w:id="12"/>
      </w:r>
      <w:r>
        <w:rPr>
          <w:rFonts w:ascii="Times New Roman" w:hAnsi="Times New Roman"/>
          <w:bCs/>
          <w:noProof/>
          <w:color w:val="000000" w:themeColor="text1"/>
          <w:sz w:val="24"/>
          <w:szCs w:val="24"/>
        </w:rPr>
        <w:t xml:space="preserve"> </w:t>
      </w:r>
      <w:r>
        <w:rPr>
          <w:rFonts w:ascii="Times New Roman" w:hAnsi="Times New Roman"/>
          <w:noProof/>
          <w:color w:val="000000" w:themeColor="text1"/>
          <w:sz w:val="24"/>
          <w:szCs w:val="24"/>
        </w:rPr>
        <w:t>και των ταμείων της πολιτικής συνοχής</w:t>
      </w:r>
      <w:r>
        <w:rPr>
          <w:rStyle w:val="FootnoteReference"/>
          <w:rFonts w:ascii="Times New Roman" w:hAnsi="Times New Roman" w:cs="Times New Roman"/>
          <w:noProof/>
          <w:color w:val="000000" w:themeColor="text1"/>
          <w:sz w:val="24"/>
          <w:szCs w:val="24"/>
        </w:rPr>
        <w:footnoteReference w:id="13"/>
      </w:r>
      <w:r>
        <w:rPr>
          <w:rFonts w:ascii="Times New Roman" w:hAnsi="Times New Roman"/>
          <w:noProof/>
          <w:color w:val="000000" w:themeColor="text1"/>
          <w:sz w:val="24"/>
          <w:szCs w:val="24"/>
        </w:rPr>
        <w:t>, καθώς και σε οριζόντια εργαλεία, όπως το μέσο τεχνικής υποστήριξης (TSI)</w:t>
      </w:r>
      <w:r>
        <w:rPr>
          <w:rStyle w:val="FootnoteReference"/>
          <w:rFonts w:ascii="Times New Roman" w:hAnsi="Times New Roman" w:cs="Times New Roman"/>
          <w:noProof/>
          <w:color w:val="000000" w:themeColor="text1"/>
          <w:sz w:val="24"/>
          <w:szCs w:val="24"/>
        </w:rPr>
        <w:footnoteReference w:id="14"/>
      </w:r>
      <w:r>
        <w:rPr>
          <w:rFonts w:ascii="Times New Roman" w:hAnsi="Times New Roman"/>
          <w:noProof/>
          <w:color w:val="000000" w:themeColor="text1"/>
          <w:sz w:val="24"/>
          <w:szCs w:val="24"/>
        </w:rPr>
        <w:t>. Η ανακοίνωση προτείνει επίσης να δοθεί ιδιαίτερη έμφαση στις περιοχές αυτές στο πλαίσιο σχετικών δράσεων για την επίτευξη των στόχων σε επίπεδο ΕΕ, π.χ. στο πλαίσιο του ευρωπαϊκού πυλώνα κοινωνικών δικαιωμάτων</w:t>
      </w:r>
      <w:r>
        <w:rPr>
          <w:rStyle w:val="FootnoteReference"/>
          <w:rFonts w:ascii="Times New Roman" w:hAnsi="Times New Roman" w:cs="Times New Roman"/>
          <w:noProof/>
          <w:color w:val="000000" w:themeColor="text1"/>
          <w:sz w:val="24"/>
          <w:szCs w:val="24"/>
        </w:rPr>
        <w:footnoteReference w:id="15"/>
      </w:r>
      <w:r>
        <w:rPr>
          <w:rFonts w:ascii="Times New Roman" w:hAnsi="Times New Roman"/>
          <w:noProof/>
          <w:color w:val="000000" w:themeColor="text1"/>
          <w:sz w:val="24"/>
          <w:szCs w:val="24"/>
        </w:rPr>
        <w:t xml:space="preserve"> και της δράσης για το κλίμα. </w:t>
      </w:r>
    </w:p>
    <w:p w:rsidR="004D2353" w:rsidRDefault="00C154BA" w:rsidP="004D2353">
      <w:pPr>
        <w:spacing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Η παρούσα ανακοίνωση λαμβάνει υπόψη παρατηρήσεις από</w:t>
      </w:r>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μια δημόσια διαβούλευση που πραγματοποιήθηκε από τον Ιούλιο έως τον Νοέμβριο του 2021</w:t>
      </w:r>
      <w:r>
        <w:rPr>
          <w:rStyle w:val="FootnoteReference"/>
          <w:rFonts w:ascii="Times New Roman" w:hAnsi="Times New Roman" w:cs="Times New Roman"/>
          <w:noProof/>
          <w:color w:val="000000" w:themeColor="text1"/>
          <w:sz w:val="24"/>
          <w:szCs w:val="24"/>
        </w:rPr>
        <w:footnoteReference w:id="16"/>
      </w:r>
      <w:r>
        <w:rPr>
          <w:rFonts w:ascii="Times New Roman" w:hAnsi="Times New Roman"/>
          <w:noProof/>
          <w:color w:val="000000" w:themeColor="text1"/>
          <w:sz w:val="24"/>
          <w:szCs w:val="24"/>
        </w:rPr>
        <w:t>, τέσσερις στοχευμένες συνεδριάσεις με τις εξόχως απόκεντρες περιοχές και τα κράτη μέλη τους, διμερείς συνεδριάσεις με διοικήσεις εξόχως απόκεντρων περιοχών, τη δήλωση της διάσκεψης των προέδρων των εξόχως απόκεντρων περιοχών (CPRUP) του Νοεμβρίου του 2021</w:t>
      </w:r>
      <w:r>
        <w:rPr>
          <w:rStyle w:val="FootnoteReference"/>
          <w:rFonts w:ascii="Times New Roman" w:hAnsi="Times New Roman" w:cs="Times New Roman"/>
          <w:noProof/>
          <w:color w:val="000000" w:themeColor="text1"/>
          <w:sz w:val="24"/>
          <w:szCs w:val="24"/>
        </w:rPr>
        <w:footnoteReference w:id="17"/>
      </w:r>
      <w:r>
        <w:rPr>
          <w:rFonts w:ascii="Times New Roman" w:hAnsi="Times New Roman"/>
          <w:noProof/>
          <w:color w:val="000000" w:themeColor="text1"/>
          <w:sz w:val="24"/>
          <w:szCs w:val="24"/>
        </w:rPr>
        <w:t>, το έγγραφο κοινής θέσης των κρατών μελών και των εξόχως απόκεντρων περιοχών του Ιανουαρίου του 2022</w:t>
      </w:r>
      <w:r>
        <w:rPr>
          <w:rStyle w:val="FootnoteReference"/>
          <w:rFonts w:ascii="Times New Roman" w:hAnsi="Times New Roman" w:cs="Times New Roman"/>
          <w:noProof/>
          <w:color w:val="000000" w:themeColor="text1"/>
          <w:sz w:val="24"/>
          <w:szCs w:val="24"/>
        </w:rPr>
        <w:footnoteReference w:id="18"/>
      </w:r>
      <w:r>
        <w:rPr>
          <w:rFonts w:ascii="Times New Roman" w:hAnsi="Times New Roman"/>
          <w:noProof/>
          <w:color w:val="000000" w:themeColor="text1"/>
          <w:sz w:val="24"/>
          <w:szCs w:val="24"/>
        </w:rPr>
        <w:t>, ένα ψήφισμα του Ευρωπαϊκού Κοινοβουλίου</w:t>
      </w:r>
      <w:r>
        <w:rPr>
          <w:rStyle w:val="FootnoteReference"/>
          <w:rFonts w:ascii="Times New Roman" w:hAnsi="Times New Roman" w:cs="Times New Roman"/>
          <w:noProof/>
          <w:color w:val="000000" w:themeColor="text1"/>
          <w:sz w:val="24"/>
          <w:szCs w:val="24"/>
        </w:rPr>
        <w:footnoteReference w:id="19"/>
      </w:r>
      <w:r>
        <w:rPr>
          <w:rFonts w:ascii="Times New Roman" w:hAnsi="Times New Roman"/>
          <w:noProof/>
          <w:color w:val="000000" w:themeColor="text1"/>
          <w:sz w:val="24"/>
          <w:szCs w:val="24"/>
        </w:rPr>
        <w:t>, μια μελέτη σχετικά με τον αντίκτυπο της πανδημίας στις εν λόγω περιοχές</w:t>
      </w:r>
      <w:r>
        <w:rPr>
          <w:rStyle w:val="FootnoteReference"/>
          <w:rFonts w:ascii="Times New Roman" w:eastAsia="Times New Roman" w:hAnsi="Times New Roman" w:cs="Times New Roman"/>
          <w:noProof/>
          <w:color w:val="000000" w:themeColor="text1"/>
          <w:sz w:val="24"/>
          <w:szCs w:val="24"/>
          <w:lang w:val="en-GB"/>
        </w:rPr>
        <w:footnoteReference w:id="20"/>
      </w:r>
      <w:r>
        <w:rPr>
          <w:rFonts w:ascii="Times New Roman" w:hAnsi="Times New Roman"/>
          <w:noProof/>
          <w:color w:val="000000" w:themeColor="text1"/>
          <w:sz w:val="24"/>
          <w:szCs w:val="24"/>
        </w:rPr>
        <w:t>, καθώς και τις γνωμοδοτήσεις της Επιτροπής των Περιφερειών (ΕτΠ) και της Ευρωπαϊκής Οικονομικής και Κοινωνικής Επιτροπής (ΕΟΚΕ)</w:t>
      </w:r>
      <w:r>
        <w:rPr>
          <w:rStyle w:val="FootnoteReference"/>
          <w:rFonts w:ascii="Times New Roman" w:hAnsi="Times New Roman" w:cs="Times New Roman"/>
          <w:noProof/>
          <w:color w:val="000000" w:themeColor="text1"/>
          <w:sz w:val="24"/>
          <w:szCs w:val="24"/>
        </w:rPr>
        <w:footnoteReference w:id="21"/>
      </w:r>
      <w:r>
        <w:rPr>
          <w:rFonts w:ascii="Times New Roman" w:hAnsi="Times New Roman"/>
          <w:noProof/>
          <w:color w:val="000000" w:themeColor="text1"/>
          <w:sz w:val="24"/>
          <w:szCs w:val="24"/>
        </w:rPr>
        <w:t>. Βασίζεται επίσης στις προτάσεις που προέκυψαν από τη Διάσκεψη για το Μέλλον της Ευρώπης.</w:t>
      </w:r>
    </w:p>
    <w:p w:rsidR="00B2797C" w:rsidRPr="00A97422" w:rsidRDefault="003577B3">
      <w:pPr>
        <w:spacing w:before="240" w:after="120" w:line="240" w:lineRule="auto"/>
        <w:jc w:val="both"/>
        <w:rPr>
          <w:rFonts w:ascii="Times New Roman" w:hAnsi="Times New Roman" w:cs="Times New Roman"/>
          <w:b/>
          <w:bCs/>
          <w:smallCaps/>
          <w:noProof/>
          <w:sz w:val="24"/>
          <w:szCs w:val="24"/>
        </w:rPr>
      </w:pPr>
      <w:r>
        <w:rPr>
          <w:rFonts w:ascii="Times New Roman" w:hAnsi="Times New Roman"/>
          <w:b/>
          <w:bCs/>
          <w:smallCaps/>
          <w:noProof/>
          <w:sz w:val="24"/>
          <w:szCs w:val="24"/>
        </w:rPr>
        <w:t xml:space="preserve">1. </w:t>
      </w:r>
      <w:r>
        <w:rPr>
          <w:rFonts w:ascii="Times New Roman" w:hAnsi="Times New Roman"/>
          <w:b/>
          <w:bCs/>
          <w:smallCaps/>
          <w:noProof/>
          <w:color w:val="000000" w:themeColor="text1"/>
          <w:sz w:val="24"/>
          <w:szCs w:val="24"/>
        </w:rPr>
        <w:t>Αντιμετώπιση της πανδημίας και της κρίσης λόγω της νόσου</w:t>
      </w:r>
      <w:r>
        <w:rPr>
          <w:rFonts w:ascii="Times New Roman" w:hAnsi="Times New Roman"/>
          <w:b/>
          <w:bCs/>
          <w:smallCaps/>
          <w:noProof/>
          <w:sz w:val="24"/>
          <w:szCs w:val="24"/>
        </w:rPr>
        <w:t xml:space="preserve"> COVID-19</w:t>
      </w:r>
      <w:r>
        <w:rPr>
          <w:rFonts w:ascii="Times New Roman" w:hAnsi="Times New Roman"/>
          <w:b/>
          <w:bCs/>
          <w:smallCaps/>
          <w:noProof/>
          <w:color w:val="000000" w:themeColor="text1"/>
          <w:sz w:val="24"/>
          <w:szCs w:val="24"/>
        </w:rPr>
        <w:t xml:space="preserve"> </w:t>
      </w:r>
    </w:p>
    <w:p w:rsidR="00E04DEA" w:rsidRPr="00D94A3A" w:rsidRDefault="00BE558D" w:rsidP="00F77E16">
      <w:pPr>
        <w:spacing w:before="120"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Οι εξόχως απόκεντρες περιοχές επλήγησαν ιδιαίτερα σοβαρά από την κρίση λόγω της νόσου COVID-19. Στις Κανάριες Νήσους, </w:t>
      </w:r>
      <w:r>
        <w:rPr>
          <w:rFonts w:ascii="Times New Roman" w:hAnsi="Times New Roman"/>
          <w:bCs/>
          <w:noProof/>
          <w:color w:val="000000" w:themeColor="text1"/>
          <w:sz w:val="24"/>
          <w:szCs w:val="24"/>
        </w:rPr>
        <w:t>η ανεργία των νέων</w:t>
      </w:r>
      <w:r>
        <w:rPr>
          <w:rFonts w:ascii="Times New Roman" w:hAnsi="Times New Roman"/>
          <w:noProof/>
          <w:color w:val="000000" w:themeColor="text1"/>
          <w:sz w:val="24"/>
          <w:szCs w:val="24"/>
        </w:rPr>
        <w:t xml:space="preserve"> αυξήθηκε απότομα από 35,4 % το 2019 σε 57,7 % το 2020</w:t>
      </w:r>
      <w:r>
        <w:rPr>
          <w:rStyle w:val="FootnoteReference"/>
          <w:rFonts w:ascii="Times New Roman" w:hAnsi="Times New Roman" w:cs="Times New Roman"/>
          <w:noProof/>
          <w:color w:val="000000" w:themeColor="text1"/>
          <w:sz w:val="24"/>
          <w:szCs w:val="24"/>
        </w:rPr>
        <w:footnoteReference w:id="22"/>
      </w:r>
      <w:r>
        <w:rPr>
          <w:rFonts w:ascii="Times New Roman" w:hAnsi="Times New Roman"/>
          <w:noProof/>
          <w:color w:val="000000" w:themeColor="text1"/>
          <w:sz w:val="24"/>
          <w:szCs w:val="24"/>
        </w:rPr>
        <w:t>. Στον Άγιο Μαρτίνο, τα άτομα που αναζητούν εργασία είχαν αυξηθεί κατά περισσότερο από 16 % έως το τέλος του 2020 σε σύγκριση με το προηγούμενο έτος. Από το 2019 έως το 2020 το ΑΕΠ μειώθηκε κατά 11 % στις Κανάριες Νήσους και κατά 7 % στη Μαδέρα, σε σύγκριση με μείωση κατά 7 % στην Ισπανία και κατά 3 % στην Πορτογαλία</w:t>
      </w:r>
      <w:r>
        <w:rPr>
          <w:rStyle w:val="FootnoteReference"/>
          <w:rFonts w:ascii="Times New Roman" w:hAnsi="Times New Roman" w:cs="Times New Roman"/>
          <w:noProof/>
          <w:color w:val="000000" w:themeColor="text1"/>
          <w:sz w:val="24"/>
          <w:szCs w:val="24"/>
        </w:rPr>
        <w:footnoteReference w:id="23"/>
      </w:r>
      <w:r>
        <w:rPr>
          <w:rFonts w:ascii="Times New Roman" w:hAnsi="Times New Roman"/>
          <w:noProof/>
          <w:color w:val="000000" w:themeColor="text1"/>
          <w:sz w:val="24"/>
          <w:szCs w:val="24"/>
        </w:rPr>
        <w:t>. Οι εξόχως απόκεντρες περιοχές επηρεάστηκαν επίσης από διαταραχές στην αλυσίδα εφοδιασμού. Στο πλαίσιο αυτό, στο πλαίσιο του Ευρωπαϊκού Εξαμήνου 2020, τα οικεία κράτη μέλη ενθαρρύνθηκαν να επιδιώξουν στοχευμένες μεταρρυθμίσεις πολιτικής στις εν λόγω περιοχές, ώστε να μειωθεί ο κίνδυνος διεύρυνσης των ανισοτήτων</w:t>
      </w:r>
      <w:r>
        <w:rPr>
          <w:rStyle w:val="FootnoteReference"/>
          <w:rFonts w:ascii="Times New Roman" w:hAnsi="Times New Roman" w:cs="Times New Roman"/>
          <w:noProof/>
          <w:color w:val="000000" w:themeColor="text1"/>
          <w:sz w:val="24"/>
          <w:szCs w:val="24"/>
        </w:rPr>
        <w:footnoteReference w:id="24"/>
      </w:r>
      <w:r>
        <w:rPr>
          <w:rFonts w:ascii="Times New Roman" w:hAnsi="Times New Roman"/>
          <w:noProof/>
          <w:color w:val="000000" w:themeColor="text1"/>
          <w:sz w:val="24"/>
          <w:szCs w:val="24"/>
        </w:rPr>
        <w:t xml:space="preserve">.  </w:t>
      </w:r>
    </w:p>
    <w:p w:rsidR="00965D1D" w:rsidRDefault="00902C0B">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Η Επιτροπή έχει θεσπίσει μέτρα για την άμβλυνση των επιπτώσεων της πανδημίας. Οι </w:t>
      </w:r>
      <w:r>
        <w:rPr>
          <w:rFonts w:ascii="Times New Roman" w:hAnsi="Times New Roman"/>
          <w:bCs/>
          <w:noProof/>
          <w:sz w:val="24"/>
          <w:szCs w:val="24"/>
        </w:rPr>
        <w:t>πρωτοβουλίες επενδύσεων για την αντιμετώπιση του κορονοϊού, CRII</w:t>
      </w:r>
      <w:r>
        <w:rPr>
          <w:rFonts w:ascii="Times New Roman" w:hAnsi="Times New Roman"/>
          <w:noProof/>
          <w:sz w:val="24"/>
          <w:szCs w:val="24"/>
        </w:rPr>
        <w:t xml:space="preserve"> και </w:t>
      </w:r>
      <w:r>
        <w:rPr>
          <w:rFonts w:ascii="Times New Roman" w:hAnsi="Times New Roman"/>
          <w:bCs/>
          <w:noProof/>
          <w:sz w:val="24"/>
          <w:szCs w:val="24"/>
        </w:rPr>
        <w:t>CRII+</w:t>
      </w:r>
      <w:r>
        <w:rPr>
          <w:rStyle w:val="FootnoteReference"/>
          <w:rFonts w:ascii="Times New Roman" w:hAnsi="Times New Roman" w:cs="Times New Roman"/>
          <w:bCs/>
          <w:noProof/>
          <w:sz w:val="24"/>
          <w:szCs w:val="24"/>
          <w:lang w:val="en-GB"/>
        </w:rPr>
        <w:footnoteReference w:id="25"/>
      </w:r>
      <w:r>
        <w:rPr>
          <w:rFonts w:ascii="Times New Roman" w:hAnsi="Times New Roman"/>
          <w:noProof/>
          <w:sz w:val="24"/>
          <w:szCs w:val="24"/>
        </w:rPr>
        <w:t>, διοχέτευσαν κονδύλια της πολιτικής συνοχής για τη στήριξη του τομέα της υγείας, της απασχόλησης, της τηλεργασίας και της εξ αποστάσεως διδασκαλίας. Το προσωρινό πλαίσιο για τις κρατικές ενισχύσεις σε σχέση με την πανδημία COVID-19</w:t>
      </w:r>
      <w:r>
        <w:rPr>
          <w:rStyle w:val="FootnoteReference"/>
          <w:rFonts w:ascii="Times New Roman" w:hAnsi="Times New Roman" w:cs="Times New Roman"/>
          <w:noProof/>
          <w:sz w:val="24"/>
          <w:szCs w:val="24"/>
          <w:lang w:val="en-GB"/>
        </w:rPr>
        <w:footnoteReference w:id="26"/>
      </w:r>
      <w:r>
        <w:rPr>
          <w:rFonts w:ascii="Times New Roman" w:hAnsi="Times New Roman"/>
          <w:noProof/>
          <w:sz w:val="24"/>
          <w:szCs w:val="24"/>
        </w:rPr>
        <w:t xml:space="preserve"> κατέστησε δυνατή τη λήψη μέτρων για τη στήριξη επιχειρήσεων (κυρίως μικρών και μεσαίων επιχειρήσεων) και για τη διατήρηση της απασχόλησης στις εξόχως απόκεντρες περιοχές, ορισμένα εκ των οποίων συγχρηματοδοτήθηκαν από τη </w:t>
      </w:r>
      <w:r>
        <w:rPr>
          <w:rFonts w:ascii="Times New Roman" w:hAnsi="Times New Roman"/>
          <w:bCs/>
          <w:noProof/>
          <w:sz w:val="24"/>
          <w:szCs w:val="24"/>
        </w:rPr>
        <w:t>Συνδρομή στην Ανάκαμψη για τη Συνοχή (</w:t>
      </w:r>
      <w:r>
        <w:rPr>
          <w:rFonts w:ascii="Times New Roman" w:hAnsi="Times New Roman"/>
          <w:noProof/>
          <w:sz w:val="24"/>
          <w:szCs w:val="24"/>
        </w:rPr>
        <w:t>REACT-EU)</w:t>
      </w:r>
      <w:r>
        <w:rPr>
          <w:rStyle w:val="FootnoteReference"/>
          <w:rFonts w:ascii="Times New Roman" w:hAnsi="Times New Roman" w:cs="Times New Roman"/>
          <w:noProof/>
          <w:sz w:val="24"/>
          <w:szCs w:val="24"/>
          <w:lang w:val="en-GB"/>
        </w:rPr>
        <w:footnoteReference w:id="27"/>
      </w:r>
      <w:r>
        <w:rPr>
          <w:rFonts w:ascii="Times New Roman" w:hAnsi="Times New Roman"/>
          <w:noProof/>
          <w:sz w:val="24"/>
          <w:szCs w:val="24"/>
        </w:rPr>
        <w:t>. Για παράδειγμα, η Επιτροπή ενέκρινε πάνω από 20 καθεστώτα ενισχύσεων για τη διασφάλιση των θέσεων εργασίας και της λειτουργίας των επιχειρήσεων στις Αζόρες και τη Μαδέρα. Επιπλέον, το REACT-EU παρέχει καθορισμένο ποσό ύψους 146 εκατ. EUR για τις εξόχως απόκεντρες περιοχές, επιπρόσθετα</w:t>
      </w:r>
      <w:r>
        <w:rPr>
          <w:rFonts w:ascii="Times New Roman" w:hAnsi="Times New Roman"/>
          <w:bCs/>
          <w:noProof/>
          <w:sz w:val="24"/>
          <w:szCs w:val="24"/>
        </w:rPr>
        <w:t xml:space="preserve"> </w:t>
      </w:r>
      <w:r>
        <w:rPr>
          <w:rFonts w:ascii="Times New Roman" w:hAnsi="Times New Roman"/>
          <w:noProof/>
          <w:sz w:val="24"/>
          <w:szCs w:val="24"/>
        </w:rPr>
        <w:t xml:space="preserve">σε ποσοστό του κονδυλίου των κρατών μελών τους. Για παράδειγμα, σχεδόν το ένα τρίτο του κονδυλίου του REACT-EU της Γαλλίας διατέθηκε στις εξόχως απόκεντρες περιοχές της (1,2 δισ. EUR από 3,9 δισ. EUR) για τη στήριξη της πράσινης και της ψηφιακής μετάβασης (π.χ. ασύρματη πρόσβαση στο διαδίκτυο στη Γουαδελούπη) και των υποδομών (π.χ. νέα σχολεία στη Γαλλική Γουιάνα). Ως κεντρικό στοιχείο του </w:t>
      </w:r>
      <w:r>
        <w:rPr>
          <w:rFonts w:ascii="Times New Roman" w:hAnsi="Times New Roman"/>
          <w:bCs/>
          <w:noProof/>
          <w:sz w:val="24"/>
          <w:szCs w:val="24"/>
        </w:rPr>
        <w:t>NextGenerationEU</w:t>
      </w:r>
      <w:r>
        <w:rPr>
          <w:rStyle w:val="FootnoteReference"/>
          <w:rFonts w:ascii="Times New Roman" w:hAnsi="Times New Roman" w:cs="Times New Roman"/>
          <w:bCs/>
          <w:noProof/>
          <w:sz w:val="24"/>
          <w:szCs w:val="24"/>
          <w:lang w:val="en-GB"/>
        </w:rPr>
        <w:footnoteReference w:id="28"/>
      </w:r>
      <w:r>
        <w:rPr>
          <w:rFonts w:ascii="Times New Roman" w:hAnsi="Times New Roman"/>
          <w:noProof/>
          <w:sz w:val="24"/>
          <w:szCs w:val="24"/>
        </w:rPr>
        <w:t xml:space="preserve">, ο </w:t>
      </w:r>
      <w:r>
        <w:rPr>
          <w:rFonts w:ascii="Times New Roman" w:hAnsi="Times New Roman"/>
          <w:bCs/>
          <w:noProof/>
          <w:sz w:val="24"/>
          <w:szCs w:val="24"/>
        </w:rPr>
        <w:t>ΜΑΑ</w:t>
      </w:r>
      <w:r>
        <w:rPr>
          <w:rFonts w:ascii="Times New Roman" w:hAnsi="Times New Roman"/>
          <w:noProof/>
          <w:sz w:val="24"/>
          <w:szCs w:val="24"/>
        </w:rPr>
        <w:t xml:space="preserve"> αποσκοπεί στην ενίσχυση της ανθεκτικότητας των κρατών μελών και στη στήριξη της πράσινης και ψηφιακής μετάβασης.  Τα σχετικά εθνικά σχέδια ανάκαμψης και ανθεκτικότητας περιλαμβάνουν επενδύσεις στις εξόχως απόκεντρες περιοχές τους στους τομείς της ευρυζωνικότητας, της καθαρής ενέργειας και των μεταφορών, της ανακαίνισης κτιρίων, της πρόσβασης στην αγορά εργασίας, της εκπαίδευσης και κατάρτισης, της ψηφιοποίησης, της κοινωνικής στέγασης, της προσαρμογής στην κλιματική αλλαγή και της πρόληψης καταστροφών και της ανθεκτικότητας. Το πορτογαλικό σχέδιο προβλέπει συγκεκριμένα χρηματοδότηση για την κλιματική και ψηφιακή μετάβαση στις Αζόρες και τη Μαδέρα. </w:t>
      </w:r>
    </w:p>
    <w:p w:rsidR="00D322A0" w:rsidRPr="00A70648" w:rsidRDefault="00D322A0" w:rsidP="00CB62BB">
      <w:pPr>
        <w:spacing w:before="120" w:after="0" w:line="240" w:lineRule="auto"/>
        <w:jc w:val="both"/>
        <w:rPr>
          <w:rFonts w:ascii="Times New Roman" w:hAnsi="Times New Roman" w:cs="Times New Roman"/>
          <w:noProof/>
          <w:sz w:val="10"/>
          <w:szCs w:val="10"/>
        </w:rPr>
      </w:pPr>
    </w:p>
    <w:p w:rsidR="00134802" w:rsidRDefault="00134802">
      <w:pPr>
        <w:rPr>
          <w:noProof/>
        </w:rPr>
      </w:pPr>
      <w:r>
        <w:rPr>
          <w:noProof/>
        </w:rPr>
        <w:br w:type="page"/>
      </w:r>
    </w:p>
    <w:tbl>
      <w:tblPr>
        <w:tblStyle w:val="TableGrid"/>
        <w:tblW w:w="0" w:type="auto"/>
        <w:shd w:val="clear" w:color="auto" w:fill="D9D9D9" w:themeFill="background1" w:themeFillShade="D9"/>
        <w:tblLook w:val="04A0" w:firstRow="1" w:lastRow="0" w:firstColumn="1" w:lastColumn="0" w:noHBand="0" w:noVBand="1"/>
      </w:tblPr>
      <w:tblGrid>
        <w:gridCol w:w="9576"/>
      </w:tblGrid>
      <w:tr w:rsidR="008F001B" w:rsidRPr="00D5783B" w:rsidTr="00C62324">
        <w:trPr>
          <w:trHeight w:val="274"/>
        </w:trPr>
        <w:tc>
          <w:tcPr>
            <w:tcW w:w="9576" w:type="dxa"/>
            <w:shd w:val="clear" w:color="auto" w:fill="D9D9D9" w:themeFill="background1" w:themeFillShade="D9"/>
          </w:tcPr>
          <w:p w:rsidR="00B13EDD" w:rsidRPr="0059242F" w:rsidRDefault="00B13EDD" w:rsidP="00B07E88">
            <w:pPr>
              <w:spacing w:after="60"/>
              <w:jc w:val="both"/>
              <w:rPr>
                <w:rFonts w:ascii="Times New Roman" w:hAnsi="Times New Roman" w:cs="Times New Roman"/>
                <w:b/>
                <w:noProof/>
              </w:rPr>
            </w:pPr>
            <w:r>
              <w:rPr>
                <w:rFonts w:ascii="Times New Roman" w:hAnsi="Times New Roman"/>
                <w:b/>
                <w:noProof/>
              </w:rPr>
              <w:t>Η Επιτροπή ενθαρρύνει τα οικεία κράτη μέλη και τις εξόχως απόκεντρες περιοχές:</w:t>
            </w:r>
          </w:p>
          <w:p w:rsidR="00AD03F2" w:rsidRPr="0059242F" w:rsidRDefault="00B67285" w:rsidP="00F71080">
            <w:pPr>
              <w:pStyle w:val="ListParagraph"/>
              <w:numPr>
                <w:ilvl w:val="0"/>
                <w:numId w:val="31"/>
              </w:numPr>
              <w:spacing w:after="60"/>
              <w:contextualSpacing w:val="0"/>
              <w:jc w:val="both"/>
              <w:rPr>
                <w:rFonts w:ascii="Times New Roman" w:hAnsi="Times New Roman" w:cs="Times New Roman"/>
                <w:noProof/>
              </w:rPr>
            </w:pPr>
            <w:r>
              <w:rPr>
                <w:rFonts w:ascii="Times New Roman" w:hAnsi="Times New Roman"/>
                <w:noProof/>
                <w:color w:val="000000" w:themeColor="text1"/>
              </w:rPr>
              <w:t>να αντιμετωπίσουν τις ανάγκες των εξόχως απόκεντρων περιοχών και να βελτιώσουν την ανθεκτικότητά τους σε όλους τους τομείς και τις αλυσίδες εφοδιασμού, ιδίως κατά την εφαρμογή των σχεδίων ανάκαμψης και ανθεκτικότητας</w:t>
            </w:r>
            <w:r>
              <w:rPr>
                <w:rFonts w:ascii="Times New Roman" w:hAnsi="Times New Roman"/>
                <w:noProof/>
              </w:rPr>
              <w:t xml:space="preserve"> και των προγραμμάτων της πολιτικής συνοχής·</w:t>
            </w:r>
            <w:r>
              <w:rPr>
                <w:rFonts w:ascii="Times New Roman" w:hAnsi="Times New Roman"/>
                <w:noProof/>
                <w:color w:val="000000" w:themeColor="text1"/>
              </w:rPr>
              <w:t xml:space="preserve"> να αξιοποιήσουν</w:t>
            </w:r>
            <w:r>
              <w:rPr>
                <w:rFonts w:ascii="Times New Roman" w:hAnsi="Times New Roman"/>
                <w:noProof/>
              </w:rPr>
              <w:t xml:space="preserve"> πλήρως το </w:t>
            </w:r>
            <w:r>
              <w:rPr>
                <w:rFonts w:ascii="Times New Roman" w:hAnsi="Times New Roman"/>
                <w:bCs/>
                <w:noProof/>
              </w:rPr>
              <w:t>REACT-EU</w:t>
            </w:r>
            <w:r>
              <w:rPr>
                <w:rFonts w:ascii="Times New Roman" w:hAnsi="Times New Roman"/>
                <w:noProof/>
                <w:color w:val="000000" w:themeColor="text1"/>
              </w:rPr>
              <w:t xml:space="preserve"> για τις εξόχως απόκεντρες περιοχές</w:t>
            </w:r>
            <w:r>
              <w:rPr>
                <w:rFonts w:ascii="Times New Roman" w:hAnsi="Times New Roman"/>
                <w:noProof/>
              </w:rPr>
              <w:t xml:space="preserve"> </w:t>
            </w:r>
            <w:r>
              <w:rPr>
                <w:rFonts w:ascii="Times New Roman" w:hAnsi="Times New Roman"/>
                <w:bCs/>
                <w:noProof/>
              </w:rPr>
              <w:t>και</w:t>
            </w:r>
            <w:r>
              <w:rPr>
                <w:rFonts w:ascii="Times New Roman" w:hAnsi="Times New Roman"/>
                <w:noProof/>
              </w:rPr>
              <w:t xml:space="preserve"> να επιταχύνουν την εφαρμογή του.</w:t>
            </w:r>
          </w:p>
          <w:p w:rsidR="008F001B" w:rsidRPr="0059242F" w:rsidRDefault="008F001B" w:rsidP="00EA67E8">
            <w:pPr>
              <w:keepNext/>
              <w:spacing w:before="120"/>
              <w:jc w:val="both"/>
              <w:rPr>
                <w:rFonts w:ascii="Times New Roman" w:hAnsi="Times New Roman" w:cs="Times New Roman"/>
                <w:noProof/>
              </w:rPr>
            </w:pPr>
            <w:r>
              <w:rPr>
                <w:rFonts w:ascii="Times New Roman" w:hAnsi="Times New Roman"/>
                <w:b/>
                <w:noProof/>
              </w:rPr>
              <w:t>Η Επιτροπή:</w:t>
            </w:r>
          </w:p>
          <w:p w:rsidR="00872961" w:rsidRPr="0059242F" w:rsidRDefault="00B67285" w:rsidP="00B07E88">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rPr>
              <w:t>θα δώσει ιδιαίτερη έμφαση στις εξόχως απόκεντρες περιοχές σε διάφορες πολιτικές στο πλαίσιο των σχετικών εκθέσεων ανά χώρα στο πλαίσιο της διαδικασίας του Ευρωπαϊκού Εξαμήνου·</w:t>
            </w:r>
          </w:p>
          <w:p w:rsidR="008F001B" w:rsidRPr="00E72331" w:rsidRDefault="00B67285" w:rsidP="002C6EE3">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rPr>
              <w:t>θα λάβει υπόψη την ανθεκτικότητα της αλυσίδας εφοδιασμού στις εξόχως απόκεντρες περιοχές</w:t>
            </w:r>
            <w:r>
              <w:rPr>
                <w:rStyle w:val="FootnoteReference"/>
                <w:rFonts w:ascii="Times New Roman" w:hAnsi="Times New Roman" w:cs="Times New Roman"/>
                <w:noProof/>
                <w:lang w:val="en-IE"/>
              </w:rPr>
              <w:footnoteReference w:id="29"/>
            </w:r>
            <w:r>
              <w:rPr>
                <w:rFonts w:ascii="Times New Roman" w:hAnsi="Times New Roman"/>
                <w:noProof/>
              </w:rPr>
              <w:t xml:space="preserve"> μέσω της κατάλληλης ετοιμότητας έναντι κρίσεων και της διαχείρισης κρίσεων στο πλαίσιο του μέσου έκτακτης ανάγκης για την ενιαία αγορά.</w:t>
            </w:r>
          </w:p>
        </w:tc>
      </w:tr>
    </w:tbl>
    <w:p w:rsidR="009C57D9" w:rsidRPr="001F657E" w:rsidRDefault="00B2797C" w:rsidP="00623993">
      <w:pPr>
        <w:keepNext/>
        <w:spacing w:before="360" w:after="120" w:line="240" w:lineRule="auto"/>
        <w:jc w:val="both"/>
        <w:rPr>
          <w:rFonts w:ascii="Times New Roman" w:hAnsi="Times New Roman" w:cs="Times New Roman"/>
          <w:b/>
          <w:bCs/>
          <w:smallCaps/>
          <w:noProof/>
          <w:sz w:val="24"/>
          <w:szCs w:val="24"/>
        </w:rPr>
      </w:pPr>
      <w:r>
        <w:rPr>
          <w:rFonts w:ascii="Times New Roman" w:hAnsi="Times New Roman"/>
          <w:b/>
          <w:bCs/>
          <w:noProof/>
          <w:sz w:val="24"/>
          <w:szCs w:val="24"/>
        </w:rPr>
        <w:t xml:space="preserve">2. </w:t>
      </w:r>
      <w:r>
        <w:rPr>
          <w:rFonts w:ascii="Times New Roman" w:hAnsi="Times New Roman"/>
          <w:b/>
          <w:smallCaps/>
          <w:noProof/>
          <w:sz w:val="24"/>
          <w:szCs w:val="24"/>
        </w:rPr>
        <w:t xml:space="preserve">Βιώσιμη και χωρίς αποκλεισμούς ανάκαμψη και ανάπτυξη </w:t>
      </w:r>
    </w:p>
    <w:p w:rsidR="00F639F9" w:rsidRDefault="00B8494A">
      <w:pPr>
        <w:spacing w:after="120" w:line="240" w:lineRule="auto"/>
        <w:jc w:val="both"/>
        <w:rPr>
          <w:rFonts w:ascii="Times New Roman" w:hAnsi="Times New Roman" w:cs="Times New Roman"/>
          <w:noProof/>
          <w:color w:val="000000" w:themeColor="text1"/>
          <w:sz w:val="24"/>
          <w:szCs w:val="24"/>
        </w:rPr>
      </w:pPr>
      <w:r>
        <w:rPr>
          <w:rFonts w:ascii="Times New Roman" w:hAnsi="Times New Roman"/>
          <w:noProof/>
          <w:sz w:val="24"/>
          <w:szCs w:val="24"/>
        </w:rPr>
        <w:t xml:space="preserve">Προκειμένου να συνεχιστεί η πορεία ανάκαμψης της Ευρώπης και εν μέσω της μεγάλης αβεβαιότητας που προκάλεσε η ρωσική εισβολή στην Ουκρανία στις αρχές του 2022, </w:t>
      </w:r>
      <w:r>
        <w:rPr>
          <w:rFonts w:ascii="Times New Roman" w:hAnsi="Times New Roman"/>
          <w:bCs/>
          <w:noProof/>
          <w:sz w:val="24"/>
          <w:szCs w:val="24"/>
        </w:rPr>
        <w:t>οι στρατηγικές ανάκαμψης και ανάπτυξης πρέπει να προσαρμοστούν σε καθεμία από τις εξόχως απόκεντρες περιοχές για την αντιμετώπιση των ειδικών αναγκών του πληθυσμού (κεφάλαιο 2.1.), τη στήριξη των πλέον επηρεαζόμενων τομέων και τη διαφοροποίηση και τον εκσυγχρονισμό της οικονομίας μέσω της αξιοποίησης των πλεονεκτημάτων (κεφάλαιο 2.2.), με την υποστήριξη της πράσινης και της ψηφιακής μετάβασης (κεφάλαιο 2.3).</w:t>
      </w:r>
      <w:r>
        <w:rPr>
          <w:rFonts w:ascii="Times New Roman" w:hAnsi="Times New Roman"/>
          <w:noProof/>
          <w:color w:val="000000" w:themeColor="text1"/>
          <w:sz w:val="24"/>
          <w:szCs w:val="24"/>
        </w:rPr>
        <w:t xml:space="preserve"> </w:t>
      </w:r>
    </w:p>
    <w:p w:rsidR="00566BE4" w:rsidRPr="001F657E" w:rsidRDefault="00566BE4">
      <w:pPr>
        <w:spacing w:before="24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2.1. </w:t>
      </w:r>
      <w:r>
        <w:rPr>
          <w:rFonts w:ascii="Times New Roman" w:hAnsi="Times New Roman"/>
          <w:b/>
          <w:bCs/>
          <w:smallCaps/>
          <w:noProof/>
          <w:sz w:val="24"/>
          <w:szCs w:val="24"/>
        </w:rPr>
        <w:t>Προτεραιότητα στους ανθρώπους: Δίκαιες και ίσες ευκαιρίες για όλους</w:t>
      </w:r>
      <w:r>
        <w:rPr>
          <w:rFonts w:ascii="Times New Roman" w:hAnsi="Times New Roman"/>
          <w:b/>
          <w:bCs/>
          <w:noProof/>
          <w:sz w:val="24"/>
          <w:szCs w:val="24"/>
        </w:rPr>
        <w:t xml:space="preserve"> </w:t>
      </w:r>
    </w:p>
    <w:p w:rsidR="00CC6B85" w:rsidRPr="00530E78" w:rsidRDefault="00F639F9" w:rsidP="00B000B8">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Οι εξόχως απόκεντρες περιοχές πλήττονται, κατά μέσο όρο, από τα υψηλότερα επίπεδα φτώχειας, αναλφαβητισμού, ανεργίας, νέων εκτός απασχόλησης, εκπαίδευσης ή κατάρτισης (ΕΑΕΚ) και παρουσιάζουν το χαμηλότερο μορφωτικό επίπεδο. Πολλοί άνθρωποι σε ορισμένες από αυτές τις </w:t>
      </w:r>
      <w:r>
        <w:rPr>
          <w:rFonts w:ascii="Times New Roman" w:hAnsi="Times New Roman"/>
          <w:noProof/>
          <w:color w:val="000000" w:themeColor="text1"/>
          <w:sz w:val="24"/>
          <w:szCs w:val="24"/>
        </w:rPr>
        <w:t>περιοχές δεν διαθέτουν καθαρό νερό, αξιοπρεπή στέγαση,</w:t>
      </w:r>
      <w:r>
        <w:rPr>
          <w:rFonts w:ascii="Times New Roman" w:hAnsi="Times New Roman"/>
          <w:noProof/>
          <w:sz w:val="24"/>
          <w:szCs w:val="24"/>
        </w:rPr>
        <w:t xml:space="preserve"> ηλεκτρική ενέργεια, </w:t>
      </w:r>
      <w:r>
        <w:rPr>
          <w:rFonts w:ascii="Times New Roman" w:hAnsi="Times New Roman"/>
          <w:noProof/>
          <w:color w:val="000000" w:themeColor="text1"/>
          <w:sz w:val="24"/>
          <w:szCs w:val="24"/>
        </w:rPr>
        <w:t>εκπαίδευση, υγειονομική περίθαλψη, δημόσιες μεταφορές και διαδίκτυο.</w:t>
      </w:r>
      <w:r>
        <w:rPr>
          <w:rFonts w:ascii="Times New Roman" w:hAnsi="Times New Roman"/>
          <w:noProof/>
          <w:sz w:val="24"/>
          <w:szCs w:val="24"/>
        </w:rPr>
        <w:t xml:space="preserve"> </w:t>
      </w:r>
    </w:p>
    <w:p w:rsidR="00A37D4C" w:rsidRPr="00E24AB7" w:rsidRDefault="00E158A5" w:rsidP="002F659A">
      <w:pPr>
        <w:spacing w:after="120" w:line="240" w:lineRule="auto"/>
        <w:jc w:val="both"/>
        <w:rPr>
          <w:rFonts w:ascii="Times New Roman" w:hAnsi="Times New Roman" w:cs="Times New Roman"/>
          <w:noProof/>
          <w:sz w:val="24"/>
          <w:szCs w:val="24"/>
        </w:rPr>
      </w:pPr>
      <w:r>
        <w:rPr>
          <w:rFonts w:ascii="Times New Roman" w:hAnsi="Times New Roman"/>
          <w:noProof/>
          <w:color w:val="000000" w:themeColor="text1"/>
          <w:sz w:val="24"/>
          <w:szCs w:val="24"/>
        </w:rPr>
        <w:t xml:space="preserve">Στο πλαίσιο της ανάκαμψης πρέπει να δοθεί </w:t>
      </w:r>
      <w:r>
        <w:rPr>
          <w:rFonts w:ascii="Times New Roman" w:hAnsi="Times New Roman"/>
          <w:bCs/>
          <w:noProof/>
          <w:color w:val="000000" w:themeColor="text1"/>
          <w:sz w:val="24"/>
          <w:szCs w:val="24"/>
        </w:rPr>
        <w:t>προτεραιότητα στους ανθρώπους, ώστε η ποιότητα ζωής των περιοχών αυτών να προσεγγίσει τους ενωσιακούς και εθνικούς μέσους όρους</w:t>
      </w:r>
      <w:r>
        <w:rPr>
          <w:rFonts w:ascii="Times New Roman" w:hAnsi="Times New Roman"/>
          <w:noProof/>
          <w:color w:val="000000" w:themeColor="text1"/>
          <w:sz w:val="24"/>
          <w:szCs w:val="24"/>
        </w:rPr>
        <w:t xml:space="preserve">. Κατά συνέπεια, οι προσπάθειες ανάκαμψης θα πρέπει να ξεκινήσουν από τη συμβολή στον μετριασμό της φτώχειας, στην αντιμετώπιση των βασικών αναγκών των ανθρώπων και, ιδίως, στη δημιουργία ευκαιριών για τα παιδιά και τους νέους μέσω μιας ολοκληρωμένης προσέγγισης, συμπεριλαμβανομένων των εθνικών πολιτικών, και επενδύσεων σε βασικές υποδομές, δημόσιες υπηρεσίες υψηλής ποιότητας και διοικητική ικανότητα, τα οποία θα συμπληρώνονται από </w:t>
      </w:r>
      <w:r>
        <w:rPr>
          <w:rFonts w:ascii="Times New Roman" w:hAnsi="Times New Roman"/>
          <w:bCs/>
          <w:noProof/>
          <w:color w:val="000000" w:themeColor="text1"/>
          <w:sz w:val="24"/>
          <w:szCs w:val="24"/>
        </w:rPr>
        <w:t>πολιτικές και κονδύλια της ΕΕ</w:t>
      </w:r>
      <w:r>
        <w:rPr>
          <w:rFonts w:ascii="Times New Roman" w:hAnsi="Times New Roman"/>
          <w:noProof/>
          <w:color w:val="000000" w:themeColor="text1"/>
          <w:sz w:val="24"/>
          <w:szCs w:val="24"/>
        </w:rPr>
        <w:t>.</w:t>
      </w:r>
      <w:r>
        <w:rPr>
          <w:rFonts w:ascii="Times New Roman" w:hAnsi="Times New Roman"/>
          <w:noProof/>
          <w:sz w:val="24"/>
          <w:szCs w:val="24"/>
        </w:rPr>
        <w:t xml:space="preserve"> Στο πλαίσιο αυτό, είναι σημαντικό να υποστηριχθούν οι εξόχως απόκεντρες περιοχές στην υλοποίηση του </w:t>
      </w:r>
      <w:r>
        <w:rPr>
          <w:rFonts w:ascii="Times New Roman" w:hAnsi="Times New Roman"/>
          <w:bCs/>
          <w:noProof/>
          <w:sz w:val="24"/>
          <w:szCs w:val="24"/>
        </w:rPr>
        <w:t>ευρωπαϊκού πυλώνα κοινωνικών δικαιωμάτων</w:t>
      </w:r>
      <w:r>
        <w:rPr>
          <w:rFonts w:ascii="Times New Roman" w:hAnsi="Times New Roman"/>
          <w:noProof/>
          <w:sz w:val="24"/>
          <w:szCs w:val="24"/>
        </w:rPr>
        <w:t xml:space="preserve"> και στην επίτευξη των στόχων της </w:t>
      </w:r>
      <w:r>
        <w:rPr>
          <w:rFonts w:ascii="Times New Roman" w:hAnsi="Times New Roman"/>
          <w:bCs/>
          <w:noProof/>
          <w:sz w:val="24"/>
          <w:szCs w:val="24"/>
        </w:rPr>
        <w:t>συνόδου κορυφής</w:t>
      </w:r>
      <w:r>
        <w:rPr>
          <w:rFonts w:ascii="Times New Roman" w:hAnsi="Times New Roman"/>
          <w:noProof/>
          <w:sz w:val="24"/>
          <w:szCs w:val="24"/>
        </w:rPr>
        <w:t xml:space="preserve"> του Πόρτο για το 2030 όσον αφορά τις θέσεις εργασίας, τις δεξιότητες και τη μείωση της φτώχειας</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xml:space="preserve">. </w:t>
      </w:r>
    </w:p>
    <w:p w:rsidR="00D44D92" w:rsidRPr="00E24AB7" w:rsidRDefault="00022E18" w:rsidP="002F659A">
      <w:pPr>
        <w:spacing w:after="120" w:line="240" w:lineRule="auto"/>
        <w:jc w:val="both"/>
        <w:rPr>
          <w:rFonts w:ascii="Times New Roman" w:hAnsi="Times New Roman" w:cs="Times New Roman"/>
          <w:noProof/>
          <w:sz w:val="24"/>
          <w:szCs w:val="24"/>
        </w:rPr>
      </w:pPr>
      <w:bookmarkStart w:id="2" w:name="_Hlk94256267"/>
      <w:r>
        <w:rPr>
          <w:rFonts w:ascii="Times New Roman" w:hAnsi="Times New Roman"/>
          <w:b/>
          <w:bCs/>
          <w:noProof/>
          <w:sz w:val="24"/>
          <w:szCs w:val="24"/>
        </w:rPr>
        <w:t xml:space="preserve">Αντιμετώπιση της φτώχειας, προώθηση της ισότητας και της ένταξης </w:t>
      </w:r>
    </w:p>
    <w:bookmarkEnd w:id="2"/>
    <w:p w:rsidR="00E72331" w:rsidRPr="00E24AB7" w:rsidRDefault="00220EC8" w:rsidP="00A02A8B">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Το 2019 το ποσοστό των ατόμων που αντιμετώπιζαν κίνδυνο φτώχειας ήταν 28,5 % στις Κανάριες Νήσους, 31,8 % στις Αζόρες και 27,8 % στη Μαδέρα, ποσοστό πολύ υψηλότερο από τους μέσους όρους της ΕΕ και των κρατών μελών</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Το ποσοστό φτώχειας στη Γουαδελούπη (34 %) είναι υπερδιπλάσιο του ποσοστού στην ηπειρωτική Γαλλία (14 %)</w:t>
      </w:r>
      <w:r>
        <w:rPr>
          <w:rStyle w:val="FootnoteReference"/>
          <w:rFonts w:ascii="Times New Roman" w:hAnsi="Times New Roman" w:cs="Times New Roman"/>
          <w:noProof/>
          <w:sz w:val="24"/>
          <w:szCs w:val="24"/>
        </w:rPr>
        <w:footnoteReference w:id="32"/>
      </w:r>
      <w:r>
        <w:rPr>
          <w:rFonts w:ascii="Times New Roman" w:hAnsi="Times New Roman"/>
          <w:noProof/>
          <w:sz w:val="24"/>
          <w:szCs w:val="24"/>
        </w:rPr>
        <w:t>. Στις αγροτικές κοινότητες της Ρεϊνιόν, ένας στους δύο ανθρώπους ζει κάτω από το όριο της φτώχειας</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xml:space="preserve">. Τα παιδιά και άλλες ευάλωτες ομάδες, όπως οι ηλικιωμένοι, αντιμετωπίζουν μεγαλύτερο κίνδυνο φτώχειας. Για παράδειγμα, </w:t>
      </w:r>
      <w:r>
        <w:rPr>
          <w:rFonts w:ascii="Times New Roman" w:hAnsi="Times New Roman"/>
          <w:noProof/>
          <w:color w:val="000000"/>
          <w:sz w:val="24"/>
          <w:szCs w:val="24"/>
        </w:rPr>
        <w:t>το 2017, 8 στα 10 παιδιά στο Μαγιότ και 6 στα 10 στη Γαλλική Γουιάνα ζούσαν σε</w:t>
      </w:r>
      <w:r>
        <w:rPr>
          <w:rFonts w:ascii="Times New Roman" w:hAnsi="Times New Roman"/>
          <w:noProof/>
          <w:sz w:val="24"/>
          <w:szCs w:val="24"/>
        </w:rPr>
        <w:t xml:space="preserve"> </w:t>
      </w:r>
      <w:r>
        <w:rPr>
          <w:rFonts w:ascii="Times New Roman" w:hAnsi="Times New Roman"/>
          <w:noProof/>
          <w:color w:val="000000"/>
          <w:sz w:val="24"/>
          <w:szCs w:val="24"/>
        </w:rPr>
        <w:t>νοικοκυριό που αντιμετώπιζε κίνδυνο φτώχειας</w:t>
      </w:r>
      <w:r>
        <w:rPr>
          <w:rStyle w:val="FootnoteReference"/>
          <w:rFonts w:ascii="Times New Roman" w:hAnsi="Times New Roman" w:cs="Times New Roman"/>
          <w:noProof/>
          <w:color w:val="000000" w:themeColor="text1"/>
          <w:sz w:val="24"/>
          <w:szCs w:val="24"/>
        </w:rPr>
        <w:footnoteReference w:id="34"/>
      </w:r>
      <w:r>
        <w:rPr>
          <w:rFonts w:ascii="Times New Roman" w:hAnsi="Times New Roman"/>
          <w:noProof/>
          <w:color w:val="000000"/>
          <w:sz w:val="24"/>
          <w:szCs w:val="24"/>
        </w:rPr>
        <w:t>.</w:t>
      </w:r>
      <w:r>
        <w:rPr>
          <w:rFonts w:ascii="Times New Roman" w:hAnsi="Times New Roman"/>
          <w:noProof/>
          <w:color w:val="000000" w:themeColor="text1"/>
          <w:sz w:val="24"/>
          <w:szCs w:val="24"/>
        </w:rPr>
        <w:t xml:space="preserve"> </w:t>
      </w:r>
    </w:p>
    <w:p w:rsidR="00453845" w:rsidRPr="00E24AB7" w:rsidRDefault="00E72331" w:rsidP="00D20D0F">
      <w:pPr>
        <w:spacing w:after="60" w:line="240" w:lineRule="auto"/>
        <w:jc w:val="both"/>
        <w:rPr>
          <w:rFonts w:ascii="Times New Roman" w:hAnsi="Times New Roman" w:cs="Times New Roman"/>
          <w:noProof/>
          <w:sz w:val="24"/>
          <w:szCs w:val="24"/>
        </w:rPr>
      </w:pPr>
      <w:r>
        <w:rPr>
          <w:rFonts w:ascii="Times New Roman" w:hAnsi="Times New Roman"/>
          <w:noProof/>
          <w:color w:val="000000" w:themeColor="text1"/>
          <w:sz w:val="24"/>
          <w:szCs w:val="24"/>
        </w:rPr>
        <w:t>Επιπλέον, το χάσμα μεταξύ των φύλων στην απασχόληση είναι πολύ υψηλότερο στις εξόχως απόκεντρες περιοχές από τον μέσο όρο της ΕΕ και είναι ιδιαίτερα έντονο στο Μαγιότ, όπου το ποσοστό των απασχολούμενων γυναικών είναι περίπου το ήμισυ του ποσοστού των ανδρών (23,9 % και 41,9 % αντίστοιχα</w:t>
      </w:r>
      <w:r>
        <w:rPr>
          <w:rStyle w:val="FootnoteReference"/>
          <w:rFonts w:ascii="Times New Roman" w:hAnsi="Times New Roman" w:cs="Times New Roman"/>
          <w:noProof/>
          <w:color w:val="000000" w:themeColor="text1"/>
          <w:sz w:val="24"/>
          <w:szCs w:val="24"/>
        </w:rPr>
        <w:footnoteReference w:id="35"/>
      </w:r>
      <w:r>
        <w:rPr>
          <w:rFonts w:ascii="Times New Roman" w:hAnsi="Times New Roman"/>
          <w:noProof/>
          <w:color w:val="000000" w:themeColor="text1"/>
          <w:sz w:val="24"/>
          <w:szCs w:val="24"/>
        </w:rPr>
        <w:t>). Η ανεργία των γυναικών είναι υψηλότερη από την ανεργία των ανδρών σε όλες τις εξόχως απόκεντρες περιοχές εκτός από τη Ρεϊνιόν</w:t>
      </w:r>
      <w:r>
        <w:rPr>
          <w:rStyle w:val="FootnoteReference"/>
          <w:rFonts w:ascii="Times New Roman" w:hAnsi="Times New Roman" w:cs="Times New Roman"/>
          <w:noProof/>
          <w:color w:val="000000" w:themeColor="text1"/>
          <w:sz w:val="24"/>
          <w:szCs w:val="24"/>
        </w:rPr>
        <w:footnoteReference w:id="36"/>
      </w:r>
      <w:r>
        <w:rPr>
          <w:rFonts w:ascii="Times New Roman" w:hAnsi="Times New Roman"/>
          <w:noProof/>
          <w:color w:val="000000" w:themeColor="text1"/>
          <w:sz w:val="24"/>
          <w:szCs w:val="24"/>
        </w:rPr>
        <w:t xml:space="preserve">. </w:t>
      </w:r>
      <w:r>
        <w:rPr>
          <w:rFonts w:ascii="Times New Roman" w:hAnsi="Times New Roman"/>
          <w:noProof/>
          <w:sz w:val="24"/>
          <w:szCs w:val="24"/>
        </w:rPr>
        <w:t>Η προώθηση της συμμετοχής των γυναικών στην αγορά εργασίας μπορεί να αυξήσει τα ποσοστά απασχόλησης, συμβάλλοντας κατ’ αυτόν τον τρόπο στον στόχο απασχόλησης του 78 % του ευρωπαϊκού πυλώνα έως το 2030</w:t>
      </w:r>
      <w:r>
        <w:rPr>
          <w:rFonts w:ascii="Times New Roman" w:hAnsi="Times New Roman"/>
          <w:noProof/>
          <w:color w:val="000000" w:themeColor="text1"/>
          <w:sz w:val="24"/>
          <w:szCs w:val="24"/>
        </w:rPr>
        <w:t xml:space="preserve">. </w:t>
      </w:r>
      <w:bookmarkStart w:id="3" w:name="_Hlk94255282"/>
      <w:r>
        <w:rPr>
          <w:rFonts w:ascii="Times New Roman" w:hAnsi="Times New Roman"/>
          <w:noProof/>
          <w:sz w:val="24"/>
          <w:szCs w:val="24"/>
        </w:rPr>
        <w:t>Αυτό απαιτεί επαρκή μέτρα για την εξασφάλιση ισορροπίας μεταξύ επαγγελματικής και προσωπικής ζωής, καθώς και καλής ποιότητας προσχολική εκπαίδευση και φροντίδα και μακροχρόνια φροντίδα.</w:t>
      </w:r>
      <w:r>
        <w:rPr>
          <w:rFonts w:ascii="Calibri" w:hAnsi="Calibri"/>
          <w:noProof/>
          <w:color w:val="1F497D"/>
        </w:rPr>
        <w:t xml:space="preserve"> </w:t>
      </w:r>
    </w:p>
    <w:p w:rsidR="00E72331" w:rsidRPr="000C3717" w:rsidRDefault="00453845" w:rsidP="00EA67E8">
      <w:pPr>
        <w:spacing w:after="120" w:line="240" w:lineRule="auto"/>
        <w:jc w:val="both"/>
        <w:rPr>
          <w:rFonts w:ascii="Times New Roman" w:hAnsi="Times New Roman" w:cs="Times New Roman"/>
          <w:noProof/>
          <w:sz w:val="24"/>
          <w:szCs w:val="24"/>
        </w:rPr>
      </w:pPr>
      <w:r>
        <w:rPr>
          <w:rFonts w:ascii="Times New Roman" w:hAnsi="Times New Roman"/>
          <w:noProof/>
          <w:color w:val="000000" w:themeColor="text1"/>
          <w:sz w:val="24"/>
          <w:szCs w:val="24"/>
        </w:rPr>
        <w:t>Στο πλαίσιο αυτό, οι δράσεις που αποσκοπούν στη γεφύρωση του χάσματος μεταξύ των φύλων στην απασχόληση, τη φροντίδα, τις αμοιβές και τη λήψη αποφάσεων, καθώς και στον τερματισμό της έμφυλης βίας</w:t>
      </w:r>
      <w:r>
        <w:rPr>
          <w:rStyle w:val="FootnoteReference"/>
          <w:rFonts w:ascii="Times New Roman" w:hAnsi="Times New Roman" w:cs="Times New Roman"/>
          <w:noProof/>
          <w:color w:val="000000" w:themeColor="text1"/>
          <w:sz w:val="24"/>
          <w:szCs w:val="24"/>
          <w:lang w:val="en-GB"/>
        </w:rPr>
        <w:footnoteReference w:id="37"/>
      </w:r>
      <w:r>
        <w:rPr>
          <w:rFonts w:ascii="Times New Roman" w:hAnsi="Times New Roman"/>
          <w:noProof/>
          <w:color w:val="000000" w:themeColor="text1"/>
          <w:sz w:val="24"/>
          <w:szCs w:val="24"/>
        </w:rPr>
        <w:t xml:space="preserve"> είναι απαραίτητες, όπως προσδιορίζεται στη στρατηγική της ΕΕ </w:t>
      </w:r>
      <w:r>
        <w:rPr>
          <w:rFonts w:ascii="Times New Roman" w:hAnsi="Times New Roman"/>
          <w:bCs/>
          <w:noProof/>
          <w:color w:val="000000" w:themeColor="text1"/>
          <w:sz w:val="24"/>
          <w:szCs w:val="24"/>
        </w:rPr>
        <w:t>για την ισότητα των φύλων</w:t>
      </w:r>
      <w:r>
        <w:rPr>
          <w:rStyle w:val="FootnoteReference"/>
          <w:rFonts w:ascii="Times New Roman" w:hAnsi="Times New Roman" w:cs="Times New Roman"/>
          <w:bCs/>
          <w:noProof/>
          <w:color w:val="000000" w:themeColor="text1"/>
          <w:sz w:val="24"/>
          <w:szCs w:val="24"/>
          <w:lang w:val="en-GB"/>
        </w:rPr>
        <w:footnoteReference w:id="38"/>
      </w:r>
      <w:r>
        <w:rPr>
          <w:rFonts w:ascii="Times New Roman" w:hAnsi="Times New Roman"/>
          <w:noProof/>
          <w:color w:val="000000" w:themeColor="text1"/>
          <w:sz w:val="24"/>
          <w:szCs w:val="24"/>
        </w:rPr>
        <w:t xml:space="preserve">. </w:t>
      </w:r>
      <w:r>
        <w:rPr>
          <w:rFonts w:ascii="Times New Roman" w:hAnsi="Times New Roman"/>
          <w:noProof/>
          <w:sz w:val="24"/>
          <w:szCs w:val="24"/>
        </w:rPr>
        <w:t xml:space="preserve">Η στρατηγική </w:t>
      </w:r>
      <w:r>
        <w:rPr>
          <w:rFonts w:ascii="Times New Roman" w:hAnsi="Times New Roman"/>
          <w:bCs/>
          <w:noProof/>
          <w:sz w:val="24"/>
          <w:szCs w:val="24"/>
        </w:rPr>
        <w:t>της ΕΕ για τα δικαιώματα του παιδιού</w:t>
      </w:r>
      <w:r>
        <w:rPr>
          <w:rStyle w:val="FootnoteReference"/>
          <w:rFonts w:ascii="Times New Roman" w:hAnsi="Times New Roman" w:cs="Times New Roman"/>
          <w:bCs/>
          <w:noProof/>
          <w:sz w:val="24"/>
          <w:szCs w:val="24"/>
          <w:lang w:val="en-GB"/>
        </w:rPr>
        <w:footnoteReference w:id="39"/>
      </w:r>
      <w:r>
        <w:rPr>
          <w:rFonts w:ascii="Times New Roman" w:hAnsi="Times New Roman"/>
          <w:noProof/>
          <w:sz w:val="24"/>
          <w:szCs w:val="24"/>
        </w:rPr>
        <w:t xml:space="preserve"> και η </w:t>
      </w:r>
      <w:r>
        <w:rPr>
          <w:rFonts w:ascii="Times New Roman" w:hAnsi="Times New Roman"/>
          <w:bCs/>
          <w:noProof/>
          <w:sz w:val="24"/>
          <w:szCs w:val="24"/>
        </w:rPr>
        <w:t>ευρωπαϊκή εγγύηση για τα παιδιά</w:t>
      </w:r>
      <w:r>
        <w:rPr>
          <w:rStyle w:val="FootnoteReference"/>
          <w:rFonts w:ascii="Times New Roman" w:hAnsi="Times New Roman" w:cs="Times New Roman"/>
          <w:bCs/>
          <w:noProof/>
          <w:sz w:val="24"/>
          <w:szCs w:val="24"/>
          <w:lang w:val="en-GB"/>
        </w:rPr>
        <w:footnoteReference w:id="40"/>
      </w:r>
      <w:r>
        <w:rPr>
          <w:rFonts w:ascii="Times New Roman" w:hAnsi="Times New Roman"/>
          <w:noProof/>
          <w:sz w:val="24"/>
          <w:szCs w:val="24"/>
        </w:rPr>
        <w:t xml:space="preserve"> μπορούν επίσης να χρησιμεύσουν ως χάρτες πορείας για πρωτοβουλίες με στόχο την προστασία των παιδιών στις εξόχως απόκεντρες περιοχές και την παροχή βοήθειας για την εκπλήρωση των δικαιωμάτων τους. Τα ταμεία της πολιτικής συνοχής της ΕΕ —συμπεριλαμβανομένων του Ευρωπαϊκού Ταμείου Περιφερειακής Ανάπτυξης (ΕΤΠΑ) και του Ευρωπαϊκού Κοινωνικού Ταμείου+ (ΕΚΤ+)— συμβάλλουν στην επίτευξη αυτών των στόχων. Για παράδειγμα, κατά την περίοδο 2014-2020, το ΕΤΠΑ χορήγησε 82 εκατ. EUR για τη στήριξη εγκαταστάσεων παιδικής μέριμνας και κοινωνικών εγκαταστάσεων στη Μαδέρα και στις Αζόρες. Οι επενδύσεις του ΕΚΤ+ στις εξόχως απόκεντρες περιοχές μπορούν να συμβάλουν στην αντιμετώπιση της φτώχειας και του κοινωνικού αποκλεισμού και στην παροχή επισιτιστικής και υλικής βοήθειας στους απόρους. </w:t>
      </w:r>
      <w:bookmarkEnd w:id="3"/>
    </w:p>
    <w:tbl>
      <w:tblPr>
        <w:tblStyle w:val="TableGrid"/>
        <w:tblW w:w="0" w:type="auto"/>
        <w:shd w:val="clear" w:color="auto" w:fill="D9D9D9" w:themeFill="background1" w:themeFillShade="D9"/>
        <w:tblLook w:val="04A0" w:firstRow="1" w:lastRow="0" w:firstColumn="1" w:lastColumn="0" w:noHBand="0" w:noVBand="1"/>
      </w:tblPr>
      <w:tblGrid>
        <w:gridCol w:w="9576"/>
      </w:tblGrid>
      <w:tr w:rsidR="00D44D92" w:rsidRPr="002B3BB8" w:rsidTr="00D75CDE">
        <w:trPr>
          <w:trHeight w:val="274"/>
        </w:trPr>
        <w:tc>
          <w:tcPr>
            <w:tcW w:w="9576" w:type="dxa"/>
            <w:shd w:val="clear" w:color="auto" w:fill="D9D9D9" w:themeFill="background1" w:themeFillShade="D9"/>
          </w:tcPr>
          <w:p w:rsidR="00794D90" w:rsidRPr="00D322A0" w:rsidRDefault="00D44D92" w:rsidP="00B07E88">
            <w:pPr>
              <w:spacing w:after="60"/>
              <w:jc w:val="both"/>
              <w:rPr>
                <w:rFonts w:ascii="Times New Roman" w:hAnsi="Times New Roman" w:cs="Times New Roman"/>
                <w:noProof/>
              </w:rPr>
            </w:pPr>
            <w:r>
              <w:rPr>
                <w:rFonts w:ascii="Times New Roman" w:hAnsi="Times New Roman"/>
                <w:b/>
                <w:bCs/>
                <w:noProof/>
              </w:rPr>
              <w:t>Η Επιτροπή ενθαρρύνει τα οικεία κράτη μέλη και τις εξόχως απόκεντρες περιοχές:</w:t>
            </w:r>
            <w:r>
              <w:rPr>
                <w:rFonts w:ascii="Times New Roman" w:hAnsi="Times New Roman"/>
                <w:noProof/>
              </w:rPr>
              <w:t xml:space="preserve"> </w:t>
            </w:r>
          </w:p>
          <w:p w:rsidR="000C1ED2" w:rsidRPr="00D322A0" w:rsidRDefault="00703DAF" w:rsidP="00CA1072">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rPr>
              <w:t xml:space="preserve">να θέσουν στόχους για την υλοποίηση του </w:t>
            </w:r>
            <w:r>
              <w:rPr>
                <w:rFonts w:ascii="Times New Roman" w:hAnsi="Times New Roman"/>
                <w:b/>
                <w:noProof/>
              </w:rPr>
              <w:t>ευρωπαϊκού πυλώνα κοινωνικών δικαιωμάτων</w:t>
            </w:r>
            <w:r>
              <w:rPr>
                <w:rFonts w:ascii="Times New Roman" w:hAnsi="Times New Roman"/>
                <w:noProof/>
              </w:rPr>
              <w:t xml:space="preserve"> στις εξόχως απόκεντρες περιοχές, συμβάλλοντας στην επίτευξη των συνολικών στόχων του·</w:t>
            </w:r>
            <w:r>
              <w:rPr>
                <w:rFonts w:ascii="Times New Roman" w:hAnsi="Times New Roman"/>
                <w:bCs/>
                <w:iCs/>
                <w:noProof/>
                <w:color w:val="000000"/>
              </w:rPr>
              <w:t xml:space="preserve"> να διασφαλίσουν ότι τα μέτρα στο πλαίσιο αυτό αντιμετωπίζουν τις ειδικές προκλήσεις των εν λόγω περιοχών· να αξιοποιήσουν πλήρως το ΕΤΠΑ και το ΕΚΤ+, συμπεριλαμβανομένων των ειδικών πρόσθετων κονδυλίων για τις εξόχως απόκεντρες περιοχές, για την επίτευξη των στόχων και των δράσεων του πυλώνα</w:t>
            </w:r>
            <w:r>
              <w:rPr>
                <w:rFonts w:ascii="Times New Roman" w:hAnsi="Times New Roman"/>
                <w:noProof/>
              </w:rPr>
              <w:t>·</w:t>
            </w:r>
          </w:p>
          <w:p w:rsidR="00660E35" w:rsidRPr="00D322A0" w:rsidRDefault="00703DAF">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rPr>
              <w:t xml:space="preserve">να αναπτύξουν μέτρα για τη </w:t>
            </w:r>
            <w:r>
              <w:rPr>
                <w:rFonts w:ascii="Times New Roman" w:hAnsi="Times New Roman"/>
                <w:b/>
                <w:noProof/>
              </w:rPr>
              <w:t>μείωση της φτώχειας</w:t>
            </w:r>
            <w:r>
              <w:rPr>
                <w:rFonts w:ascii="Times New Roman" w:hAnsi="Times New Roman"/>
                <w:noProof/>
              </w:rPr>
              <w:t xml:space="preserve"> στις περιοχές αυτές στο πλαίσιο των εθνικών πολιτικών, εστιάζοντας στις ευάλωτες ομάδες, συμπεριλαμβανομένων των ηλικιωμένων· να αξιολογήσουν τον αντίκτυπο των μεταρρυθμίσεων στη φτώχεια και στις ανισότητες·</w:t>
            </w:r>
          </w:p>
          <w:p w:rsidR="004C15BF" w:rsidRPr="00D322A0" w:rsidRDefault="00703DAF" w:rsidP="00CA1072">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rPr>
              <w:t xml:space="preserve">να δώσουν ιδιαίτερη έμφαση στις ιδιαιτερότητες των εξόχως απόκεντρων περιοχών κατά την υλοποίηση των </w:t>
            </w:r>
            <w:r>
              <w:rPr>
                <w:rFonts w:ascii="Times New Roman" w:hAnsi="Times New Roman"/>
                <w:b/>
                <w:noProof/>
              </w:rPr>
              <w:t xml:space="preserve">εγγυήσεων για τη νεολαία και της </w:t>
            </w:r>
            <w:r>
              <w:rPr>
                <w:rFonts w:ascii="Times New Roman" w:hAnsi="Times New Roman"/>
                <w:b/>
                <w:bCs/>
                <w:noProof/>
              </w:rPr>
              <w:t>εγγύησης για τα παιδιά</w:t>
            </w:r>
            <w:r>
              <w:rPr>
                <w:rFonts w:ascii="Times New Roman" w:hAnsi="Times New Roman"/>
                <w:noProof/>
              </w:rPr>
              <w:t xml:space="preserve"> σε αυτές τις περιοχές, και ιδίως των </w:t>
            </w:r>
            <w:r>
              <w:rPr>
                <w:rFonts w:ascii="Times New Roman" w:hAnsi="Times New Roman"/>
                <w:bCs/>
                <w:noProof/>
              </w:rPr>
              <w:t>σχεδίων δράσης της ευρωπαϊκής εγγύησης για τα παιδιά</w:t>
            </w:r>
            <w:r>
              <w:rPr>
                <w:rFonts w:ascii="Times New Roman" w:hAnsi="Times New Roman"/>
                <w:noProof/>
              </w:rPr>
              <w:t>·</w:t>
            </w:r>
          </w:p>
          <w:p w:rsidR="00660E35" w:rsidRPr="00D322A0" w:rsidRDefault="00703DAF" w:rsidP="0059242F">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rPr>
              <w:t>να χρησιμοποιήσουν τα εθνικά και ενωσιακά ταμεία, ιδίως το ΕΚΤ</w:t>
            </w:r>
            <w:r>
              <w:rPr>
                <w:rFonts w:ascii="Times New Roman" w:hAnsi="Times New Roman"/>
                <w:b/>
                <w:noProof/>
              </w:rPr>
              <w:t>+</w:t>
            </w:r>
            <w:r>
              <w:rPr>
                <w:rFonts w:ascii="Times New Roman" w:hAnsi="Times New Roman"/>
                <w:noProof/>
              </w:rPr>
              <w:t>, για τη στήριξη των ατόμων που αντιμετωπίζουν κίνδυνο φτώχειας ή κοινωνικού αποκλεισμού, της ισόρροπης συμμετοχής των φύλων στην αγορά εργασίας, της πρόσβασης των ατόμων με αναπηρία στην απασχόληση με την παράλληλη προώθηση της κοινωνικής τους ένταξης, των ίσων όρων εργασίας και της προστασίας των θυμάτων βίας.</w:t>
            </w:r>
          </w:p>
          <w:p w:rsidR="00D44D92" w:rsidRPr="00D322A0" w:rsidRDefault="00E93CA6" w:rsidP="00BE66A5">
            <w:pPr>
              <w:rPr>
                <w:rFonts w:ascii="Times New Roman" w:hAnsi="Times New Roman" w:cs="Times New Roman"/>
                <w:noProof/>
              </w:rPr>
            </w:pPr>
            <w:r>
              <w:rPr>
                <w:rFonts w:ascii="Times New Roman" w:hAnsi="Times New Roman"/>
                <w:b/>
                <w:noProof/>
              </w:rPr>
              <w:t>Η Επιτροπή:</w:t>
            </w:r>
          </w:p>
          <w:p w:rsidR="0059242F" w:rsidRPr="00D322A0" w:rsidRDefault="00703DAF" w:rsidP="0059242F">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rPr>
              <w:t xml:space="preserve">θα στηρίξει τις εξόχως απόκεντρες περιοχές στην υλοποίηση του </w:t>
            </w:r>
            <w:r>
              <w:rPr>
                <w:rFonts w:ascii="Times New Roman" w:hAnsi="Times New Roman"/>
                <w:b/>
                <w:noProof/>
              </w:rPr>
              <w:t>ευρωπαϊκού πυλώνα κοινωνικών δικαιωμάτων</w:t>
            </w:r>
            <w:r>
              <w:rPr>
                <w:rFonts w:ascii="Times New Roman" w:hAnsi="Times New Roman"/>
                <w:noProof/>
              </w:rPr>
              <w:t>· θα αποτυπώσει τις ιδιαιτερότητές τους σε πρωτοβουλίες στο πλαίσιο του σχεδίου δράσης της· θα παρακολουθεί την υλοποίηση μέσω της διαδικασίας του Ευρωπαϊκού Εξαμήνου· θα στηρίξει συζητήσεις υψηλού επιπέδου σχετικά με την υλοποίηση στις εν λόγω περιοχές·</w:t>
            </w:r>
          </w:p>
          <w:p w:rsidR="00660E35" w:rsidRPr="00D322A0" w:rsidRDefault="0009678D" w:rsidP="0059242F">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rPr>
              <w:t xml:space="preserve">θα αξιολογήσει τη διάσταση των εξόχως απόκεντρων περιοχών στα εθνικά σχέδια δράσης για την υλοποίηση της </w:t>
            </w:r>
            <w:r>
              <w:rPr>
                <w:rFonts w:ascii="Times New Roman" w:hAnsi="Times New Roman"/>
                <w:b/>
                <w:noProof/>
              </w:rPr>
              <w:t>ευρωπαϊκής εγγύησης για τα παιδιά</w:t>
            </w:r>
            <w:r>
              <w:rPr>
                <w:rFonts w:ascii="Times New Roman" w:hAnsi="Times New Roman"/>
                <w:noProof/>
              </w:rPr>
              <w:t xml:space="preserve"> προκειμένου να εξασφαλίσει ότι τα παιδιά σε αυτές τις περιοχές απολαμβάνουν τις ίδιες ευκαιρίες όπως και σε άλλες περιοχές της ΕΕ και να στηρίξει την ανταλλαγή βέλτιστων πρακτικών·</w:t>
            </w:r>
          </w:p>
          <w:p w:rsidR="007A4FED" w:rsidRPr="00D322A0" w:rsidRDefault="0009678D" w:rsidP="00623993">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rPr>
              <w:t xml:space="preserve">θα παρακολουθεί τις δράσεις των περιοχών αυτών για τη </w:t>
            </w:r>
            <w:r>
              <w:rPr>
                <w:rFonts w:ascii="Times New Roman" w:hAnsi="Times New Roman"/>
                <w:b/>
                <w:noProof/>
              </w:rPr>
              <w:t>μείωση της φτώχειας</w:t>
            </w:r>
            <w:r>
              <w:rPr>
                <w:rFonts w:ascii="Times New Roman" w:hAnsi="Times New Roman"/>
                <w:noProof/>
              </w:rPr>
              <w:t>, την ένταξη και την ισότητα, καθώς και για την πρόληψη και την καταπολέμηση της βίας κατά των γυναικών</w:t>
            </w:r>
            <w:r>
              <w:rPr>
                <w:rStyle w:val="FootnoteReference"/>
                <w:rFonts w:ascii="Times New Roman" w:hAnsi="Times New Roman" w:cs="Times New Roman"/>
                <w:noProof/>
                <w:color w:val="000000" w:themeColor="text1"/>
              </w:rPr>
              <w:footnoteReference w:id="41"/>
            </w:r>
            <w:r>
              <w:rPr>
                <w:rFonts w:ascii="Times New Roman" w:hAnsi="Times New Roman"/>
                <w:noProof/>
                <w:color w:val="000000" w:themeColor="text1"/>
              </w:rPr>
              <w:t>·</w:t>
            </w:r>
          </w:p>
          <w:p w:rsidR="006678F0" w:rsidRPr="00D322A0" w:rsidRDefault="0009678D" w:rsidP="0059242F">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rPr>
              <w:t xml:space="preserve">θα στηρίξει μέσω του ΕΚΤ+ δράσεις για τη μείωση του κοινωνικού αποκλεισμού· θα παρακολουθεί την εφαρμογή των στρατηγικών </w:t>
            </w:r>
            <w:r>
              <w:rPr>
                <w:rFonts w:ascii="Times New Roman" w:hAnsi="Times New Roman"/>
                <w:bCs/>
                <w:noProof/>
              </w:rPr>
              <w:t>κοινωνικής ένταξης</w:t>
            </w:r>
            <w:r>
              <w:rPr>
                <w:rFonts w:ascii="Times New Roman" w:hAnsi="Times New Roman"/>
                <w:noProof/>
              </w:rPr>
              <w:t xml:space="preserve"> (π.χ. πρόσβαση σε βασικές υπηρεσίες)</w:t>
            </w:r>
            <w:r>
              <w:rPr>
                <w:rFonts w:ascii="Times New Roman" w:hAnsi="Times New Roman"/>
                <w:bCs/>
                <w:noProof/>
              </w:rPr>
              <w:t>·</w:t>
            </w:r>
          </w:p>
          <w:p w:rsidR="00CA5F3C" w:rsidRPr="002B3BB8" w:rsidRDefault="00B143FE" w:rsidP="0059242F">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rPr>
              <w:t>θα στηρίξει τη συμμετοχή των εξόχως απόκεντρων περιοχών στο δίκτυο περιφερειών ευρωπαϊκής κοινωνικής οικονομίας και στο πρόγραμμα ευρωπαϊκών αποστολών κοινωνικής οικονομίας.</w:t>
            </w:r>
          </w:p>
        </w:tc>
      </w:tr>
    </w:tbl>
    <w:p w:rsidR="00A43ADA" w:rsidRPr="008B6D87" w:rsidRDefault="00A43ADA" w:rsidP="0059242F">
      <w:pPr>
        <w:keepNext/>
        <w:spacing w:before="360" w:after="120" w:line="240" w:lineRule="auto"/>
        <w:jc w:val="both"/>
        <w:rPr>
          <w:rFonts w:ascii="Times New Roman" w:hAnsi="Times New Roman" w:cs="Times New Roman"/>
          <w:b/>
          <w:bCs/>
          <w:noProof/>
          <w:color w:val="000000" w:themeColor="text1"/>
          <w:sz w:val="24"/>
          <w:szCs w:val="24"/>
        </w:rPr>
      </w:pPr>
      <w:r>
        <w:rPr>
          <w:rFonts w:ascii="Times New Roman" w:hAnsi="Times New Roman"/>
          <w:b/>
          <w:noProof/>
          <w:color w:val="000000" w:themeColor="text1"/>
          <w:sz w:val="24"/>
          <w:szCs w:val="24"/>
        </w:rPr>
        <w:t xml:space="preserve">Πρόσβαση σε κατάλληλη </w:t>
      </w:r>
      <w:r>
        <w:rPr>
          <w:rFonts w:ascii="Times New Roman" w:hAnsi="Times New Roman"/>
          <w:b/>
          <w:bCs/>
          <w:noProof/>
          <w:color w:val="000000" w:themeColor="text1"/>
          <w:sz w:val="24"/>
          <w:szCs w:val="24"/>
        </w:rPr>
        <w:t>στέγαση, νερό, διαδίκτυο και οικονομικά προσιτές μεταφορές και ενέργεια</w:t>
      </w:r>
    </w:p>
    <w:p w:rsidR="00AE0AA8" w:rsidRPr="009259C8" w:rsidRDefault="005E45CE" w:rsidP="00BE66A5">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Σε ορισμένες εξόχως απόκεντρες περιοχές, πολλοί άνθρωποι στερούνται κατάλληλων συνθηκών διαβίωσης και πρόσβασης σε βασικές υπηρεσίες. </w:t>
      </w:r>
      <w:r>
        <w:rPr>
          <w:rFonts w:ascii="Times New Roman" w:hAnsi="Times New Roman"/>
          <w:noProof/>
          <w:color w:val="000000"/>
          <w:sz w:val="24"/>
          <w:szCs w:val="24"/>
        </w:rPr>
        <w:t>Το 53 % των ατόμων στη Γαλλική Γουιάνα ζουν σε υπερπλήρη καταλύματα (8 % στην ηπειρωτική Γαλλία) και το 56 % των καταλυμάτων στο Μαγιότ είναι υπερπλήρη</w:t>
      </w:r>
      <w:r>
        <w:rPr>
          <w:rStyle w:val="FootnoteReference"/>
          <w:rFonts w:ascii="Times New Roman" w:hAnsi="Times New Roman" w:cs="Times New Roman"/>
          <w:noProof/>
          <w:color w:val="000000"/>
          <w:sz w:val="24"/>
          <w:szCs w:val="24"/>
        </w:rPr>
        <w:footnoteReference w:id="42"/>
      </w:r>
      <w:r>
        <w:rPr>
          <w:rFonts w:ascii="Times New Roman" w:hAnsi="Times New Roman"/>
          <w:noProof/>
          <w:color w:val="000000"/>
          <w:sz w:val="24"/>
          <w:szCs w:val="24"/>
        </w:rPr>
        <w:t>.</w:t>
      </w:r>
      <w:r>
        <w:rPr>
          <w:rFonts w:ascii="Times New Roman" w:hAnsi="Times New Roman"/>
          <w:noProof/>
          <w:sz w:val="24"/>
          <w:szCs w:val="24"/>
        </w:rPr>
        <w:t xml:space="preserve"> Η πρόσβαση σε </w:t>
      </w:r>
      <w:r>
        <w:rPr>
          <w:rFonts w:ascii="Times New Roman" w:hAnsi="Times New Roman"/>
          <w:bCs/>
          <w:noProof/>
          <w:sz w:val="24"/>
          <w:szCs w:val="24"/>
        </w:rPr>
        <w:t>νερό</w:t>
      </w:r>
      <w:r>
        <w:rPr>
          <w:rFonts w:ascii="Times New Roman" w:hAnsi="Times New Roman"/>
          <w:noProof/>
          <w:sz w:val="24"/>
          <w:szCs w:val="24"/>
        </w:rPr>
        <w:t xml:space="preserve"> είναι ανεπαρκής σε ορισμένες περιοχές: στο Μαγιότ, το ένα τρίτο των νοικοκυριών δεν έχει πρόσβαση σε τρεχούμενο νερό</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στη Γαλλική Γουιάνα, πάνω από το 30 % του πληθυσμού δεν έχει πρόσβαση σε ζεστό νερό</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xml:space="preserve">· </w:t>
      </w:r>
      <w:r>
        <w:rPr>
          <w:rFonts w:ascii="Times New Roman" w:hAnsi="Times New Roman"/>
          <w:noProof/>
          <w:color w:val="000000"/>
          <w:sz w:val="24"/>
        </w:rPr>
        <w:t>στη Γουαδελούπη, οι άνθρωποι δεν έχουν συνεχή πρόσβαση σε νερό λόγω διαρροών στο δίκτυο διανομής</w:t>
      </w:r>
      <w:r>
        <w:rPr>
          <w:rStyle w:val="FootnoteReference"/>
          <w:rFonts w:ascii="Times New Roman" w:hAnsi="Times New Roman" w:cs="Times New Roman"/>
          <w:noProof/>
          <w:color w:val="000000"/>
          <w:sz w:val="24"/>
        </w:rPr>
        <w:footnoteReference w:id="45"/>
      </w:r>
      <w:r>
        <w:rPr>
          <w:rFonts w:ascii="Times New Roman" w:hAnsi="Times New Roman"/>
          <w:noProof/>
          <w:color w:val="000000"/>
          <w:sz w:val="24"/>
        </w:rPr>
        <w:t>.</w:t>
      </w:r>
      <w:r>
        <w:rPr>
          <w:rFonts w:ascii="Times New Roman" w:hAnsi="Times New Roman"/>
          <w:noProof/>
          <w:sz w:val="24"/>
          <w:szCs w:val="24"/>
        </w:rPr>
        <w:t xml:space="preserve"> Οι υψηλές τιμές της ενέργειας που αυξήθηκαν περαιτέρω εξαιτίας της ρωσικής εισβολής στην Ουκρανία ενέχουν τον κίνδυνο να καταστήσουν την ηλεκτρική ενέργεια οικονομικά απρόσιτη</w:t>
      </w:r>
      <w:r>
        <w:rPr>
          <w:rFonts w:ascii="Times New Roman" w:hAnsi="Times New Roman"/>
          <w:b/>
          <w:noProof/>
          <w:sz w:val="24"/>
          <w:szCs w:val="24"/>
        </w:rPr>
        <w:t xml:space="preserve"> </w:t>
      </w:r>
      <w:r>
        <w:rPr>
          <w:rFonts w:ascii="Times New Roman" w:hAnsi="Times New Roman"/>
          <w:noProof/>
          <w:sz w:val="24"/>
          <w:szCs w:val="24"/>
        </w:rPr>
        <w:t xml:space="preserve">για πολλούς. Η έλλειψη </w:t>
      </w:r>
      <w:r>
        <w:rPr>
          <w:rFonts w:ascii="Times New Roman" w:hAnsi="Times New Roman"/>
          <w:bCs/>
          <w:noProof/>
          <w:sz w:val="24"/>
          <w:szCs w:val="24"/>
        </w:rPr>
        <w:t>δημόσιων μεταφορών</w:t>
      </w:r>
      <w:r>
        <w:rPr>
          <w:rFonts w:ascii="Times New Roman" w:hAnsi="Times New Roman"/>
          <w:noProof/>
          <w:sz w:val="24"/>
          <w:szCs w:val="24"/>
        </w:rPr>
        <w:t xml:space="preserve"> επηρεάζει την πρόσβαση σε υπηρεσίες, στην εκπαίδευση και σε ευκαιρίες απασχόλησης.</w:t>
      </w:r>
    </w:p>
    <w:p w:rsidR="00650E9B" w:rsidRPr="00B22803" w:rsidRDefault="00E36487" w:rsidP="00813242">
      <w:pPr>
        <w:spacing w:after="240" w:line="240" w:lineRule="auto"/>
        <w:jc w:val="both"/>
        <w:rPr>
          <w:rFonts w:ascii="Times New Roman" w:hAnsi="Times New Roman" w:cs="Times New Roman"/>
          <w:noProof/>
          <w:sz w:val="24"/>
          <w:szCs w:val="24"/>
          <w:highlight w:val="cyan"/>
        </w:rPr>
      </w:pPr>
      <w:r>
        <w:rPr>
          <w:rFonts w:ascii="Times New Roman" w:hAnsi="Times New Roman"/>
          <w:noProof/>
          <w:sz w:val="24"/>
          <w:szCs w:val="24"/>
        </w:rPr>
        <w:t>Τα ταμεία της πολιτικής συνοχής διαδραματίζουν σημαντικό ρόλο στην κάλυψη ορισμένων από αυτές τις βασικές ανάγκες. Για παράδειγμα, κατά την περίοδο 2014-2020, το ΕΤΠΑ και το Ταμείο Συνοχής (ΤΣ)</w:t>
      </w:r>
      <w:r>
        <w:rPr>
          <w:rStyle w:val="FootnoteReference"/>
          <w:rFonts w:ascii="Times New Roman" w:hAnsi="Times New Roman" w:cs="Times New Roman"/>
          <w:noProof/>
          <w:sz w:val="24"/>
          <w:szCs w:val="24"/>
        </w:rPr>
        <w:footnoteReference w:id="46"/>
      </w:r>
      <w:r>
        <w:rPr>
          <w:rFonts w:ascii="Times New Roman" w:hAnsi="Times New Roman"/>
          <w:noProof/>
          <w:sz w:val="24"/>
          <w:szCs w:val="24"/>
        </w:rPr>
        <w:t xml:space="preserve"> στήριξαν την ανάπτυξη βιώσιμων υποδομών αστικών μεταφορών, ύδρευσης και ενέργειας στη Μαδέρα και στις Αζόρες με 116 εκατ. EUR. Τα πορτογαλικά και γαλλικά σχέδια ανάκαμψης και ανθεκτικότητας προβλέπουν επενδύσεις στην κοινωνική στέγαση. Η αντιμετώπιση των βασικών αναγκών των ανθρώπων απαιτεί σημαντικές εθνικές επενδύσεις σε υποδομές, οι οποίες συμπληρώνονται από κονδύλια της ΕΕ. Αυτό πρέπει να αντικατοπτρίζεται στον προγραμματισμό των κονδυλίων της ΕΕ και στις αιτήσεις χρηματοδότησης στο πλαίσιο προγραμμάτων της ΕΕ, όπως ο μηχανισμός «Συνδέοντας την Ευρώπη» (ΜΣΕ)</w:t>
      </w:r>
      <w:r>
        <w:rPr>
          <w:rStyle w:val="FootnoteReference"/>
          <w:rFonts w:ascii="Times New Roman" w:hAnsi="Times New Roman" w:cs="Times New Roman"/>
          <w:noProof/>
          <w:sz w:val="24"/>
          <w:szCs w:val="24"/>
        </w:rPr>
        <w:footnoteReference w:id="47"/>
      </w:r>
      <w:r>
        <w:rPr>
          <w:rFonts w:ascii="Times New Roman" w:hAnsi="Times New Roman"/>
          <w:noProof/>
          <w:sz w:val="24"/>
          <w:szCs w:val="24"/>
        </w:rPr>
        <w:t>.</w:t>
      </w:r>
    </w:p>
    <w:tbl>
      <w:tblPr>
        <w:tblStyle w:val="TableGrid"/>
        <w:tblW w:w="0" w:type="auto"/>
        <w:shd w:val="clear" w:color="auto" w:fill="D9D9D9" w:themeFill="background1" w:themeFillShade="D9"/>
        <w:tblLook w:val="04A0" w:firstRow="1" w:lastRow="0" w:firstColumn="1" w:lastColumn="0" w:noHBand="0" w:noVBand="1"/>
      </w:tblPr>
      <w:tblGrid>
        <w:gridCol w:w="9576"/>
      </w:tblGrid>
      <w:tr w:rsidR="00794D90" w:rsidRPr="00D5783B" w:rsidTr="00C62324">
        <w:trPr>
          <w:trHeight w:val="554"/>
        </w:trPr>
        <w:tc>
          <w:tcPr>
            <w:tcW w:w="9576" w:type="dxa"/>
            <w:shd w:val="clear" w:color="auto" w:fill="D9D9D9" w:themeFill="background1" w:themeFillShade="D9"/>
          </w:tcPr>
          <w:p w:rsidR="00794D90" w:rsidRDefault="00794D90" w:rsidP="00B07E88">
            <w:pPr>
              <w:spacing w:after="60"/>
              <w:jc w:val="both"/>
              <w:rPr>
                <w:rFonts w:ascii="Times New Roman" w:hAnsi="Times New Roman" w:cs="Times New Roman"/>
                <w:b/>
                <w:noProof/>
              </w:rPr>
            </w:pPr>
            <w:r>
              <w:rPr>
                <w:rFonts w:ascii="Times New Roman" w:hAnsi="Times New Roman"/>
                <w:b/>
                <w:noProof/>
              </w:rPr>
              <w:t>Η Επιτροπή ενθαρρύνει τα οικεία κράτη μέλη και τις εξόχως απόκεντρες περιοχές:</w:t>
            </w:r>
          </w:p>
          <w:p w:rsidR="00794D90" w:rsidRPr="00C06493" w:rsidRDefault="0009678D" w:rsidP="00B07E88">
            <w:pPr>
              <w:pStyle w:val="ListParagraph"/>
              <w:numPr>
                <w:ilvl w:val="0"/>
                <w:numId w:val="32"/>
              </w:numPr>
              <w:spacing w:after="60"/>
              <w:contextualSpacing w:val="0"/>
              <w:jc w:val="both"/>
              <w:rPr>
                <w:rFonts w:ascii="Times New Roman" w:hAnsi="Times New Roman" w:cs="Times New Roman"/>
                <w:noProof/>
              </w:rPr>
            </w:pPr>
            <w:r>
              <w:rPr>
                <w:rFonts w:ascii="Times New Roman" w:hAnsi="Times New Roman"/>
                <w:noProof/>
                <w:color w:val="000000" w:themeColor="text1"/>
              </w:rPr>
              <w:t xml:space="preserve">να εξασφαλίσουν την πρόσβαση σε επαρκή και οικονομικά προσιτή στέγαση, νερό, ηλεκτρική ενέργεια, μεταφορές και </w:t>
            </w:r>
            <w:r>
              <w:rPr>
                <w:rFonts w:ascii="Times New Roman" w:hAnsi="Times New Roman"/>
                <w:bCs/>
                <w:noProof/>
                <w:color w:val="000000" w:themeColor="text1"/>
              </w:rPr>
              <w:t>διαδίκτυο</w:t>
            </w:r>
            <w:r>
              <w:rPr>
                <w:rFonts w:ascii="Times New Roman" w:hAnsi="Times New Roman"/>
                <w:noProof/>
                <w:color w:val="000000" w:themeColor="text1"/>
              </w:rPr>
              <w:t>·</w:t>
            </w:r>
            <w:r>
              <w:rPr>
                <w:rFonts w:ascii="Times New Roman" w:hAnsi="Times New Roman"/>
                <w:b/>
                <w:noProof/>
                <w:color w:val="000000" w:themeColor="text1"/>
              </w:rPr>
              <w:t xml:space="preserve"> </w:t>
            </w:r>
            <w:r>
              <w:rPr>
                <w:rFonts w:ascii="Times New Roman" w:hAnsi="Times New Roman"/>
                <w:noProof/>
                <w:color w:val="000000" w:themeColor="text1"/>
              </w:rPr>
              <w:t xml:space="preserve">να διερευνήσουν τη δυνατότητα ανάπτυξης συνεργειών μεταξύ των εθνικών προϋπολογισμών και των ταμείων και εργαλείων της ΕΕ, συμπεριλαμβανομένων των ταμείων της πολιτικής συνοχής· να καθορίσουν στόχους σε περιφερειακό επίπεδο για την κάλυψη βασικών αναγκών. </w:t>
            </w:r>
          </w:p>
          <w:p w:rsidR="00794D90" w:rsidRPr="005F740C" w:rsidRDefault="00794D90" w:rsidP="00B07E88">
            <w:pPr>
              <w:spacing w:after="60"/>
              <w:jc w:val="both"/>
              <w:rPr>
                <w:rFonts w:ascii="Times New Roman" w:hAnsi="Times New Roman" w:cs="Times New Roman"/>
                <w:noProof/>
              </w:rPr>
            </w:pPr>
            <w:r>
              <w:rPr>
                <w:rFonts w:ascii="Times New Roman" w:hAnsi="Times New Roman"/>
                <w:b/>
                <w:bCs/>
                <w:noProof/>
              </w:rPr>
              <w:t>Η Επιτροπή:</w:t>
            </w:r>
          </w:p>
          <w:p w:rsidR="005F740C" w:rsidRPr="00B22004" w:rsidRDefault="002E1307" w:rsidP="00F71080">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rPr>
              <w:t xml:space="preserve">θα στηρίξει τις εξόχως απόκεντρες περιοχές και τα κράτη μέλη τους για την επίτευξη συνεργειών μεταξύ των εθνικών προϋπολογισμών και των διαφόρων ταμείων και προγραμμάτων της ΕΕ —όπως το ΕΤΠΑ, το ΕΚΤ+, το ΤΣ και ο ΜΣΕ— για την αντιμετώπιση βασικών αναγκών των πολιτών. </w:t>
            </w:r>
          </w:p>
        </w:tc>
      </w:tr>
    </w:tbl>
    <w:p w:rsidR="007A6DE5" w:rsidRDefault="0048627C" w:rsidP="00134802">
      <w:pPr>
        <w:keepNext/>
        <w:spacing w:before="36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Πρόσβαση στην υγειονομική περίθαλψη</w:t>
      </w:r>
    </w:p>
    <w:p w:rsidR="0048627C" w:rsidRPr="00884EA7" w:rsidRDefault="00537431" w:rsidP="00BE66A5">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Παρότι τα συστήματα υγείας των εξόχως απόκεντρων περιοχών διαφέρουν σημαντικά, χαρακτηρίζονται από χαμηλότερη ικανότητα και μικρότερο αριθμό επαγγελματιών υγείας σε σχέση με τους μέσους όρους σε εθνικό και ενωσιακό επίπεδο</w:t>
      </w:r>
      <w:r>
        <w:rPr>
          <w:rFonts w:ascii="Times New Roman" w:hAnsi="Times New Roman" w:cs="Times New Roman"/>
          <w:noProof/>
          <w:sz w:val="24"/>
          <w:szCs w:val="24"/>
          <w:vertAlign w:val="superscript"/>
        </w:rPr>
        <w:footnoteReference w:id="48"/>
      </w:r>
      <w:r>
        <w:rPr>
          <w:rFonts w:ascii="Times New Roman" w:hAnsi="Times New Roman"/>
          <w:noProof/>
          <w:sz w:val="24"/>
          <w:szCs w:val="24"/>
        </w:rPr>
        <w:t>. Η πανδημία COVID-19 έχει καταδείξει την πολύ μεγάλη ευπάθεια και την απομόνωση των περιοχών αυτών. Οι περιοχές αυτές αντιμετωπίζουν επίσης χαμηλό προσδόκιμο ζωής</w:t>
      </w:r>
      <w:r>
        <w:rPr>
          <w:rStyle w:val="FootnoteReference"/>
          <w:rFonts w:ascii="Times New Roman" w:hAnsi="Times New Roman" w:cs="Times New Roman"/>
          <w:noProof/>
          <w:sz w:val="24"/>
          <w:szCs w:val="24"/>
          <w:lang w:val="en-GB"/>
        </w:rPr>
        <w:footnoteReference w:id="49"/>
      </w:r>
      <w:r>
        <w:rPr>
          <w:rFonts w:ascii="Times New Roman" w:hAnsi="Times New Roman"/>
          <w:noProof/>
          <w:sz w:val="24"/>
          <w:szCs w:val="24"/>
        </w:rPr>
        <w:t>, και ιδίως υψηλά ποσοστά βρεφικής θνησιμότητας</w:t>
      </w:r>
      <w:r>
        <w:rPr>
          <w:rStyle w:val="FootnoteReference"/>
          <w:rFonts w:ascii="Times New Roman" w:hAnsi="Times New Roman" w:cs="Times New Roman"/>
          <w:noProof/>
          <w:sz w:val="24"/>
          <w:szCs w:val="24"/>
        </w:rPr>
        <w:footnoteReference w:id="50"/>
      </w:r>
      <w:r>
        <w:rPr>
          <w:rFonts w:ascii="Times New Roman" w:hAnsi="Times New Roman"/>
          <w:noProof/>
          <w:sz w:val="24"/>
          <w:szCs w:val="24"/>
        </w:rPr>
        <w:t>, εξάρσεις τροπικών ασθενειών και ρύπανση</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 Είναι σημαντικό να ενισχυθεί η ιατρική ικανότητα, να βελτιωθεί η πρόσβαση στην υγειονομική περίθαλψη, η προαγωγή της υγείας και η πρόληψη των ασθενειών, καθώς και να ενισχυθεί η ετοιμότητα σε περίπτωση πανδημίας.</w:t>
      </w:r>
    </w:p>
    <w:p w:rsidR="0048627C" w:rsidRPr="00884EA7" w:rsidRDefault="0048627C" w:rsidP="00813242">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Τα ταμεία της πολιτικής συνοχής και ο ΜΑΑ μπορούν να παρέχουν στήριξη, π.χ. για υποδομές, εξοπλισμό, ιατρική κατάρτιση και ψηφιακές λύσεις υγείας. Για παράδειγμα, το γαλλικό σχέδιο ανάκαμψης και ανθεκτικότητας θα επενδύσει στον εκσυγχρονισμό των νοσοκομείων στις εξόχως απόκεντρες περιοχές. Το πρόγραμμα «</w:t>
      </w:r>
      <w:r>
        <w:rPr>
          <w:rFonts w:ascii="Times New Roman" w:hAnsi="Times New Roman"/>
          <w:bCs/>
          <w:noProof/>
          <w:sz w:val="24"/>
          <w:szCs w:val="24"/>
        </w:rPr>
        <w:t>Η ΕΕ για την υγεία</w:t>
      </w:r>
      <w:r>
        <w:rPr>
          <w:rFonts w:ascii="Times New Roman" w:hAnsi="Times New Roman"/>
          <w:noProof/>
          <w:sz w:val="24"/>
          <w:szCs w:val="24"/>
        </w:rPr>
        <w:t>» (EU4Health)</w:t>
      </w:r>
      <w:r>
        <w:rPr>
          <w:rStyle w:val="FootnoteReference"/>
          <w:rFonts w:ascii="Times New Roman" w:hAnsi="Times New Roman" w:cs="Times New Roman"/>
          <w:bCs/>
          <w:noProof/>
          <w:sz w:val="24"/>
          <w:szCs w:val="24"/>
        </w:rPr>
        <w:footnoteReference w:id="52"/>
      </w:r>
      <w:r>
        <w:rPr>
          <w:rFonts w:ascii="Times New Roman" w:hAnsi="Times New Roman"/>
          <w:noProof/>
          <w:sz w:val="24"/>
          <w:szCs w:val="24"/>
        </w:rPr>
        <w:t xml:space="preserve"> μπορεί να στηρίξει δράσεις για τη μείωση των ανισοτήτων όσον αφορά την πρόσβαση στην υγειονομική περίθαλψη και την ενίσχυση της ετοιμότητας για την αντιμετώπιση κρίσεων, την ηλεκτρονική υγεία, την προαγωγή της υγείας και την πρόληψη των ασθενειών. Το Interreg</w:t>
      </w:r>
      <w:r>
        <w:rPr>
          <w:rStyle w:val="FootnoteReference"/>
          <w:rFonts w:ascii="Times New Roman" w:hAnsi="Times New Roman" w:cs="Times New Roman"/>
          <w:noProof/>
          <w:sz w:val="24"/>
          <w:szCs w:val="24"/>
        </w:rPr>
        <w:footnoteReference w:id="53"/>
      </w:r>
      <w:r>
        <w:rPr>
          <w:rFonts w:ascii="Times New Roman" w:hAnsi="Times New Roman"/>
          <w:noProof/>
          <w:sz w:val="24"/>
          <w:szCs w:val="24"/>
        </w:rPr>
        <w:t xml:space="preserve">, </w:t>
      </w:r>
      <w:r>
        <w:rPr>
          <w:rFonts w:ascii="Times New Roman" w:hAnsi="Times New Roman"/>
          <w:noProof/>
          <w:color w:val="292B2C"/>
          <w:sz w:val="24"/>
          <w:szCs w:val="24"/>
          <w:shd w:val="clear" w:color="auto" w:fill="FFFFFF"/>
        </w:rPr>
        <w:t>ένα βασικό μέσο συνεργασίας μεταξύ των περιφερειών της ΕΕ και με γειτονικές χώρες εκτός ΕΕ</w:t>
      </w:r>
      <w:r>
        <w:rPr>
          <w:rFonts w:ascii="Times New Roman" w:hAnsi="Times New Roman"/>
          <w:noProof/>
          <w:sz w:val="24"/>
          <w:szCs w:val="24"/>
        </w:rPr>
        <w:t>, μπορεί να στηρίξει περαιτέρω τη συνεργασία στον τομέα της υγείας. Το πρόγραμμα «</w:t>
      </w:r>
      <w:r>
        <w:rPr>
          <w:rFonts w:ascii="Times New Roman" w:hAnsi="Times New Roman"/>
          <w:bCs/>
          <w:noProof/>
          <w:sz w:val="24"/>
          <w:szCs w:val="24"/>
        </w:rPr>
        <w:t>Ψηφιακή Ευρώπη</w:t>
      </w:r>
      <w:r>
        <w:rPr>
          <w:rFonts w:ascii="Times New Roman" w:hAnsi="Times New Roman"/>
          <w:noProof/>
          <w:sz w:val="24"/>
          <w:szCs w:val="24"/>
        </w:rPr>
        <w:t>» στηρίζει επίσης τις ψηφιακές υποδομές για την πρόσβαση σε απεικονιστικά και γονιδιωματικά δεδομένα για διάγνωση και περίθαλψη.</w:t>
      </w:r>
    </w:p>
    <w:tbl>
      <w:tblPr>
        <w:tblStyle w:val="TableGrid"/>
        <w:tblW w:w="0" w:type="auto"/>
        <w:shd w:val="clear" w:color="auto" w:fill="D9D9D9" w:themeFill="background1" w:themeFillShade="D9"/>
        <w:tblLook w:val="04A0" w:firstRow="1" w:lastRow="0" w:firstColumn="1" w:lastColumn="0" w:noHBand="0" w:noVBand="1"/>
      </w:tblPr>
      <w:tblGrid>
        <w:gridCol w:w="9576"/>
      </w:tblGrid>
      <w:tr w:rsidR="0048627C" w:rsidRPr="00D5783B" w:rsidTr="00C62324">
        <w:trPr>
          <w:trHeight w:val="413"/>
        </w:trPr>
        <w:tc>
          <w:tcPr>
            <w:tcW w:w="9576" w:type="dxa"/>
            <w:shd w:val="clear" w:color="auto" w:fill="D9D9D9" w:themeFill="background1" w:themeFillShade="D9"/>
          </w:tcPr>
          <w:p w:rsidR="0048627C" w:rsidRPr="001E36C9" w:rsidRDefault="0048627C" w:rsidP="00B07E88">
            <w:pPr>
              <w:spacing w:after="60"/>
              <w:jc w:val="both"/>
              <w:rPr>
                <w:rFonts w:ascii="Times New Roman" w:hAnsi="Times New Roman" w:cs="Times New Roman"/>
                <w:b/>
                <w:noProof/>
              </w:rPr>
            </w:pPr>
            <w:r>
              <w:rPr>
                <w:rFonts w:ascii="Times New Roman" w:hAnsi="Times New Roman"/>
                <w:b/>
                <w:noProof/>
              </w:rPr>
              <w:t>Η Επιτροπή ενθαρρύνει τα οικεία κράτη μέλη και τις εξόχως απόκεντρες περιοχές:</w:t>
            </w:r>
          </w:p>
          <w:p w:rsidR="003743CD" w:rsidRPr="00CA643A" w:rsidRDefault="008D5B9C" w:rsidP="00B07E88">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rPr>
              <w:t xml:space="preserve">να στηρίξουν την ανάπτυξη συστημάτων υγείας και την πρόσβαση στην περίθαλψη, να αναπτύξουν λύσεις ηλεκτρονικής υγείας για την αντιμετώπιση των ελλείψεων σε επαγγελματίες υγείας, καθώς και να στηρίξουν την ψηφιοποίηση του συστήματος υγείας· </w:t>
            </w:r>
          </w:p>
          <w:p w:rsidR="001C5E99" w:rsidRPr="00BE66A5" w:rsidRDefault="009A49B6">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rPr>
              <w:t xml:space="preserve">να συμμετάσχουν σε δράσεις στο πλαίσιο του </w:t>
            </w:r>
            <w:r>
              <w:rPr>
                <w:rFonts w:ascii="Times New Roman" w:hAnsi="Times New Roman"/>
                <w:bCs/>
                <w:noProof/>
              </w:rPr>
              <w:t>προγράμματος «Η ΕΕ για την υγεία»,</w:t>
            </w:r>
            <w:r>
              <w:rPr>
                <w:rFonts w:ascii="Times New Roman" w:hAnsi="Times New Roman"/>
                <w:noProof/>
              </w:rPr>
              <w:t xml:space="preserve"> ιδίως για τη γεφύρωση των ανισοτήτων στον τομέα της υγείας, την ετοιμότητα και την αντιμετώπιση κρίσεων, την </w:t>
            </w:r>
            <w:r>
              <w:rPr>
                <w:rFonts w:ascii="Times New Roman" w:hAnsi="Times New Roman"/>
                <w:noProof/>
                <w:color w:val="000000" w:themeColor="text1"/>
              </w:rPr>
              <w:t>ηλεκτρονική υγεία</w:t>
            </w:r>
            <w:r>
              <w:rPr>
                <w:rFonts w:ascii="Times New Roman" w:hAnsi="Times New Roman"/>
                <w:noProof/>
              </w:rPr>
              <w:t xml:space="preserve">, την προαγωγή της υγείας και την πρόληψη των ασθενειών, την πρόσβαση στην υγειονομική περίθαλψη και τις τροπικές ασθένειες· Τα κράτη μέλη να αντιμετωπίσουν τις ειδικές ανάγκες των εξόχως απόκεντρων περιοχών τους όσον αφορά τη συμμετοχή τους στις δράσεις του προγράμματος «Η ΕΕ για την υγεία»· </w:t>
            </w:r>
          </w:p>
          <w:p w:rsidR="0048627C" w:rsidRPr="00D5783B" w:rsidRDefault="008D5B9C" w:rsidP="00B07E88">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rPr>
              <w:t xml:space="preserve">να συνεργαστούν με την </w:t>
            </w:r>
            <w:r>
              <w:rPr>
                <w:rFonts w:ascii="Times New Roman" w:hAnsi="Times New Roman"/>
                <w:bCs/>
                <w:noProof/>
              </w:rPr>
              <w:t>Ευρωπαϊκή Αρχή Ετοιμότητας και Αντιμετώπισης Καταστάσεων Έκτακτης Υγειονομικής Ανάγκης</w:t>
            </w:r>
            <w:r>
              <w:rPr>
                <w:rFonts w:ascii="Times New Roman" w:hAnsi="Times New Roman"/>
                <w:noProof/>
              </w:rPr>
              <w:t xml:space="preserve"> για την εξασφάλιση της παροχής </w:t>
            </w:r>
            <w:r>
              <w:rPr>
                <w:rFonts w:ascii="Times New Roman" w:hAnsi="Times New Roman"/>
                <w:noProof/>
                <w:color w:val="000000" w:themeColor="text1"/>
              </w:rPr>
              <w:t>κρίσιμων ιατρικών προμηθειών</w:t>
            </w:r>
            <w:r>
              <w:rPr>
                <w:rFonts w:ascii="Times New Roman" w:hAnsi="Times New Roman"/>
                <w:noProof/>
              </w:rPr>
              <w:t xml:space="preserve"> κατά τη διάρκεια κρίσης, καθώς και με το </w:t>
            </w:r>
            <w:r>
              <w:rPr>
                <w:rFonts w:ascii="Times New Roman" w:hAnsi="Times New Roman"/>
                <w:noProof/>
                <w:color w:val="000000" w:themeColor="text1"/>
              </w:rPr>
              <w:t>Ευρωπαϊκό Κέντρο Πρόληψης και Ελέγχου Νόσων</w:t>
            </w:r>
            <w:r>
              <w:rPr>
                <w:rFonts w:ascii="Times New Roman" w:hAnsi="Times New Roman"/>
                <w:noProof/>
              </w:rPr>
              <w:t xml:space="preserve"> όσον αφορά την ετοιμότητα και την αντιμετώπιση απειλών κατά της υγείας·</w:t>
            </w:r>
          </w:p>
          <w:p w:rsidR="00E45781" w:rsidRPr="001A59DB" w:rsidRDefault="008D5B9C" w:rsidP="00B07E88">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rPr>
              <w:t>να χρησιμοποιήσουν τα προγράμματα Interreg για συνεργασία στον τομέα της υγείας στις περιφερειακές λεκάνες.</w:t>
            </w:r>
          </w:p>
          <w:p w:rsidR="0048627C" w:rsidRPr="001C5E99" w:rsidRDefault="0048627C" w:rsidP="00B07E88">
            <w:pPr>
              <w:spacing w:after="60"/>
              <w:jc w:val="both"/>
              <w:rPr>
                <w:rFonts w:ascii="Times New Roman" w:hAnsi="Times New Roman" w:cs="Times New Roman"/>
                <w:noProof/>
              </w:rPr>
            </w:pPr>
            <w:r>
              <w:rPr>
                <w:rFonts w:ascii="Times New Roman" w:hAnsi="Times New Roman"/>
                <w:b/>
                <w:noProof/>
              </w:rPr>
              <w:t>Η Επιτροπή:</w:t>
            </w:r>
          </w:p>
          <w:p w:rsidR="009A49B6" w:rsidRPr="009D288C" w:rsidRDefault="00B143FE" w:rsidP="009D288C">
            <w:pPr>
              <w:pStyle w:val="ListParagraph"/>
              <w:numPr>
                <w:ilvl w:val="0"/>
                <w:numId w:val="2"/>
              </w:numPr>
              <w:spacing w:after="60"/>
              <w:ind w:left="357" w:hanging="357"/>
              <w:contextualSpacing w:val="0"/>
              <w:jc w:val="both"/>
              <w:rPr>
                <w:rFonts w:ascii="Times New Roman" w:hAnsi="Times New Roman" w:cs="Times New Roman"/>
                <w:noProof/>
                <w:color w:val="000000"/>
              </w:rPr>
            </w:pPr>
            <w:r>
              <w:rPr>
                <w:rFonts w:ascii="Times New Roman" w:hAnsi="Times New Roman"/>
                <w:noProof/>
                <w:color w:val="000000"/>
              </w:rPr>
              <w:t xml:space="preserve">θα προσεγγίσει τα ενδιαφερόμενα μέρη των εξόχως απόκεντρων περιοχών ώστε να συμμετάσχουν στις προπαρασκευαστικές εργασίες των </w:t>
            </w:r>
            <w:r>
              <w:rPr>
                <w:rFonts w:ascii="Times New Roman" w:hAnsi="Times New Roman"/>
                <w:b/>
                <w:noProof/>
                <w:color w:val="000000"/>
              </w:rPr>
              <w:t>ετήσιων προγραμμάτων εργασίας του προγράμματος «Η ΕΕ για την υγεία»</w:t>
            </w:r>
            <w:r>
              <w:rPr>
                <w:rFonts w:ascii="Times New Roman" w:hAnsi="Times New Roman"/>
                <w:noProof/>
                <w:color w:val="000000"/>
              </w:rPr>
              <w:t xml:space="preserve"> και σε μεταγενέστερες ενημερωτικές εκδηλώσεις για τη διευκόλυνση της συμμετοχής τους σε συγκεκριμένες δράσεις· θα εξετάσει στοχευμένες δράσεις για τις εξόχως απόκεντρες περιοχές</w:t>
            </w:r>
            <w:r>
              <w:rPr>
                <w:rStyle w:val="FootnoteReference"/>
                <w:rFonts w:ascii="Times New Roman" w:hAnsi="Times New Roman" w:cs="Times New Roman"/>
                <w:noProof/>
                <w:color w:val="000000"/>
                <w:lang w:val="en-IE"/>
              </w:rPr>
              <w:footnoteReference w:id="54"/>
            </w:r>
            <w:r>
              <w:rPr>
                <w:rFonts w:ascii="Times New Roman" w:hAnsi="Times New Roman"/>
                <w:noProof/>
                <w:color w:val="000000"/>
              </w:rPr>
              <w:t>·</w:t>
            </w:r>
          </w:p>
          <w:p w:rsidR="0049486E" w:rsidRPr="00F02040" w:rsidRDefault="00B143FE" w:rsidP="00B07E88">
            <w:pPr>
              <w:pStyle w:val="ListParagraph"/>
              <w:numPr>
                <w:ilvl w:val="0"/>
                <w:numId w:val="2"/>
              </w:numPr>
              <w:spacing w:after="60"/>
              <w:contextualSpacing w:val="0"/>
              <w:jc w:val="both"/>
              <w:rPr>
                <w:rFonts w:ascii="Times New Roman" w:hAnsi="Times New Roman" w:cs="Times New Roman"/>
                <w:noProof/>
                <w:color w:val="000000" w:themeColor="text1"/>
              </w:rPr>
            </w:pPr>
            <w:r>
              <w:rPr>
                <w:rFonts w:ascii="Times New Roman" w:hAnsi="Times New Roman"/>
                <w:noProof/>
                <w:color w:val="000000"/>
              </w:rPr>
              <w:t xml:space="preserve">θα εξασφαλίσει τη συμμετοχή των εξόχως απόκεντρων περιοχών </w:t>
            </w:r>
            <w:r>
              <w:rPr>
                <w:rFonts w:ascii="Times New Roman" w:hAnsi="Times New Roman"/>
                <w:b/>
                <w:noProof/>
                <w:color w:val="000000"/>
              </w:rPr>
              <w:t>σε συζητήσεις</w:t>
            </w:r>
            <w:r>
              <w:rPr>
                <w:rFonts w:ascii="Times New Roman" w:hAnsi="Times New Roman"/>
                <w:noProof/>
                <w:color w:val="000000"/>
              </w:rPr>
              <w:t xml:space="preserve"> σχετικά με πρωτοβουλίες πολιτικής ειδικού ενδιαφέροντος, όπως ο εμβολιασμός, ο καρκίνος, η ψυχική υγεία· </w:t>
            </w:r>
          </w:p>
          <w:p w:rsidR="009A49B6" w:rsidRPr="00BE66A5" w:rsidRDefault="009A49B6" w:rsidP="00B07E88">
            <w:pPr>
              <w:pStyle w:val="ListParagraph"/>
              <w:numPr>
                <w:ilvl w:val="0"/>
                <w:numId w:val="2"/>
              </w:numPr>
              <w:spacing w:after="60"/>
              <w:contextualSpacing w:val="0"/>
              <w:jc w:val="both"/>
              <w:rPr>
                <w:rFonts w:ascii="Times New Roman" w:hAnsi="Times New Roman" w:cs="Times New Roman"/>
                <w:noProof/>
                <w:color w:val="000000" w:themeColor="text1"/>
              </w:rPr>
            </w:pPr>
            <w:r>
              <w:rPr>
                <w:rFonts w:ascii="Times New Roman" w:hAnsi="Times New Roman"/>
                <w:noProof/>
                <w:color w:val="000000"/>
              </w:rPr>
              <w:t xml:space="preserve">θα καλέσει τις μη κυβερνητικές οργανώσεις (ΜΚΟ) των εξόχως απόκεντρων περιοχών και άλλα ενδιαφερόμενα μέρη να συμμετάσχουν στην </w:t>
            </w:r>
            <w:r>
              <w:rPr>
                <w:rFonts w:ascii="Times New Roman" w:hAnsi="Times New Roman"/>
                <w:b/>
                <w:noProof/>
                <w:color w:val="000000"/>
              </w:rPr>
              <w:t>πλατφόρμα ενδιαφερόμενων μερών στον τομέα της πολιτικής για την υγεία</w:t>
            </w:r>
            <w:r>
              <w:rPr>
                <w:rFonts w:ascii="Times New Roman" w:hAnsi="Times New Roman"/>
                <w:noProof/>
                <w:color w:val="000000"/>
              </w:rPr>
              <w:t>·</w:t>
            </w:r>
          </w:p>
          <w:p w:rsidR="00660E35" w:rsidRDefault="0054412D" w:rsidP="00B07E88">
            <w:pPr>
              <w:pStyle w:val="ListParagraph"/>
              <w:numPr>
                <w:ilvl w:val="0"/>
                <w:numId w:val="2"/>
              </w:numPr>
              <w:spacing w:after="60"/>
              <w:contextualSpacing w:val="0"/>
              <w:jc w:val="both"/>
              <w:rPr>
                <w:rFonts w:ascii="Times New Roman" w:hAnsi="Times New Roman" w:cs="Times New Roman"/>
                <w:noProof/>
                <w:color w:val="000000" w:themeColor="text1"/>
              </w:rPr>
            </w:pPr>
            <w:r>
              <w:rPr>
                <w:rFonts w:ascii="Times New Roman" w:hAnsi="Times New Roman"/>
                <w:noProof/>
                <w:color w:val="000000"/>
              </w:rPr>
              <w:t>θα βελτιώσει την προσβασιμότητα, την ποιότητα και τη βιωσιμότητα της υγειονομικής περίθαλψης μέσω του ΕΚΤ+ και του ΕΤΠΑ·</w:t>
            </w:r>
          </w:p>
          <w:p w:rsidR="001C5E99" w:rsidRDefault="008D5B9C" w:rsidP="00B07E88">
            <w:pPr>
              <w:pStyle w:val="ListParagraph"/>
              <w:numPr>
                <w:ilvl w:val="0"/>
                <w:numId w:val="2"/>
              </w:numPr>
              <w:spacing w:after="60"/>
              <w:contextualSpacing w:val="0"/>
              <w:jc w:val="both"/>
              <w:rPr>
                <w:rFonts w:ascii="Times New Roman" w:hAnsi="Times New Roman" w:cs="Times New Roman"/>
                <w:noProof/>
                <w:color w:val="000000" w:themeColor="text1"/>
              </w:rPr>
            </w:pPr>
            <w:r>
              <w:rPr>
                <w:rFonts w:ascii="Times New Roman" w:hAnsi="Times New Roman"/>
                <w:noProof/>
                <w:color w:val="000000" w:themeColor="text1"/>
              </w:rPr>
              <w:t>θα αντιμετωπίσει συγκεκριμένα τρωτά σημεία των εξόχως απόκεντρων περιοχών στα προγράμματα εργασίας της Ευρωπαϊκής Αρχής Ετοιμότητας και Αντιμετώπισης Καταστάσεων Έκτακτης Υγειονομικής Ανάγκης</w:t>
            </w:r>
            <w:r>
              <w:rPr>
                <w:rStyle w:val="FootnoteReference"/>
                <w:rFonts w:ascii="Times New Roman" w:hAnsi="Times New Roman" w:cs="Times New Roman"/>
                <w:noProof/>
                <w:color w:val="000000" w:themeColor="text1"/>
                <w:lang w:val="en-IE"/>
              </w:rPr>
              <w:footnoteReference w:id="55"/>
            </w:r>
            <w:r>
              <w:rPr>
                <w:rFonts w:ascii="Times New Roman" w:hAnsi="Times New Roman"/>
                <w:noProof/>
                <w:color w:val="000000" w:themeColor="text1"/>
              </w:rPr>
              <w:t xml:space="preserve">· </w:t>
            </w:r>
          </w:p>
          <w:p w:rsidR="0048627C" w:rsidRPr="001679CD" w:rsidRDefault="00FF1292" w:rsidP="00FA1970">
            <w:pPr>
              <w:pStyle w:val="ListParagraph"/>
              <w:numPr>
                <w:ilvl w:val="0"/>
                <w:numId w:val="2"/>
              </w:numPr>
              <w:spacing w:after="60"/>
              <w:contextualSpacing w:val="0"/>
              <w:jc w:val="both"/>
              <w:rPr>
                <w:rFonts w:ascii="Times New Roman" w:hAnsi="Times New Roman" w:cs="Times New Roman"/>
                <w:noProof/>
                <w:color w:val="000000" w:themeColor="text1"/>
              </w:rPr>
            </w:pPr>
            <w:r>
              <w:rPr>
                <w:rFonts w:ascii="Times New Roman" w:hAnsi="Times New Roman"/>
                <w:noProof/>
                <w:color w:val="000000" w:themeColor="text1"/>
              </w:rPr>
              <w:t>θα στηρίξει την υλοποίηση δράσεων στο πλαίσιο του ευρωπαϊκού σχεδίου για την καταπολέμηση του καρκίνου, το οποίο αντιμετωπίζει την άνιση πρόσβαση στην πρόληψη, τον προσυμπτωματικό έλεγχο, τη διάγνωση, τη θεραπεία και την περίθαλψη.</w:t>
            </w:r>
          </w:p>
        </w:tc>
      </w:tr>
    </w:tbl>
    <w:p w:rsidR="00566BE4" w:rsidRPr="001305D3" w:rsidRDefault="00751241" w:rsidP="0059242F">
      <w:pPr>
        <w:keepNext/>
        <w:spacing w:before="240" w:after="0" w:line="240" w:lineRule="auto"/>
        <w:jc w:val="both"/>
        <w:rPr>
          <w:rFonts w:ascii="Times New Roman" w:hAnsi="Times New Roman" w:cs="Times New Roman"/>
          <w:b/>
          <w:bCs/>
          <w:noProof/>
          <w:sz w:val="24"/>
          <w:szCs w:val="24"/>
        </w:rPr>
      </w:pPr>
      <w:bookmarkStart w:id="4" w:name="_Hlk94256319"/>
      <w:r>
        <w:rPr>
          <w:rFonts w:ascii="Times New Roman" w:hAnsi="Times New Roman"/>
          <w:b/>
          <w:noProof/>
          <w:sz w:val="24"/>
          <w:szCs w:val="24"/>
        </w:rPr>
        <w:t>Ευκαιρίες για τους νέους</w:t>
      </w:r>
      <w:r>
        <w:rPr>
          <w:rFonts w:ascii="Times New Roman" w:hAnsi="Times New Roman"/>
          <w:b/>
          <w:bCs/>
          <w:noProof/>
          <w:sz w:val="24"/>
          <w:szCs w:val="24"/>
        </w:rPr>
        <w:t>: εκπαίδευση, κατάρτιση, στήριξη της απασχόλησης και επιχειρηματικότητα</w:t>
      </w:r>
    </w:p>
    <w:bookmarkEnd w:id="4"/>
    <w:p w:rsidR="002C6EE3" w:rsidRDefault="00566BE4" w:rsidP="00BE66A5">
      <w:pPr>
        <w:spacing w:before="120" w:line="240" w:lineRule="auto"/>
        <w:jc w:val="both"/>
        <w:rPr>
          <w:rFonts w:ascii="Times New Roman" w:hAnsi="Times New Roman" w:cs="Times New Roman"/>
          <w:noProof/>
          <w:sz w:val="24"/>
          <w:szCs w:val="24"/>
        </w:rPr>
      </w:pPr>
      <w:r>
        <w:rPr>
          <w:rFonts w:ascii="Times New Roman" w:hAnsi="Times New Roman"/>
          <w:noProof/>
          <w:sz w:val="24"/>
          <w:szCs w:val="24"/>
        </w:rPr>
        <w:t xml:space="preserve">Οι εξόχως απόκεντρες περιοχές πλήττονται από </w:t>
      </w:r>
      <w:r>
        <w:rPr>
          <w:rFonts w:ascii="Times New Roman" w:hAnsi="Times New Roman"/>
          <w:bCs/>
          <w:noProof/>
          <w:sz w:val="24"/>
          <w:szCs w:val="24"/>
        </w:rPr>
        <w:t>υψηλή ανεργία των νέων και διαρροή εγκεφάλων</w:t>
      </w:r>
      <w:r>
        <w:rPr>
          <w:rFonts w:ascii="Times New Roman" w:hAnsi="Times New Roman"/>
          <w:noProof/>
          <w:sz w:val="24"/>
          <w:szCs w:val="24"/>
        </w:rPr>
        <w:t>. Η ανεργία των νέων υπερβαίνει το 50 % στις Κανάριες Νήσους και στο Μαγιότ, και περίπου το 40 % στη Γουαδελούπη, τη Μαρτινίκα και τη Ρεϊνιόν, ποσοστό πολύ υψηλότερο από τον μέσο όρο της ΕΕ που είναι 16 %. Οι περιοχές αυτές έχουν ιδιαίτερα υψηλά επίπεδα ΕΑΕΚ (33,6 % στη Γαλλική Γουιάνα και 24,6 % στη Ρεϊνιόν, ποσοστό τριπλάσιο και διπλάσιο του μέσου όρου της Γαλλίας και της ΕΕ αντίστοιχα) και ατόμων που εγκαταλείπουν πρόωρα το σχολείο (</w:t>
      </w:r>
      <w:r>
        <w:rPr>
          <w:rFonts w:ascii="Times New Roman" w:hAnsi="Times New Roman"/>
          <w:noProof/>
          <w:color w:val="000000"/>
          <w:sz w:val="24"/>
          <w:szCs w:val="24"/>
        </w:rPr>
        <w:t>27 % στις Αζόρες, ποσοστό τριπλάσιο του μέσου όρου 8,9 % της Πορτογαλίας)</w:t>
      </w:r>
      <w:r>
        <w:rPr>
          <w:rStyle w:val="FootnoteReference"/>
          <w:rFonts w:ascii="Times New Roman" w:hAnsi="Times New Roman" w:cs="Times New Roman"/>
          <w:noProof/>
          <w:color w:val="000000"/>
          <w:sz w:val="24"/>
          <w:szCs w:val="24"/>
        </w:rPr>
        <w:footnoteReference w:id="56"/>
      </w:r>
      <w:r>
        <w:rPr>
          <w:rFonts w:ascii="Times New Roman" w:hAnsi="Times New Roman"/>
          <w:noProof/>
          <w:color w:val="000000"/>
          <w:sz w:val="24"/>
          <w:szCs w:val="24"/>
        </w:rPr>
        <w:t>.</w:t>
      </w:r>
      <w:r>
        <w:rPr>
          <w:rFonts w:ascii="Times New Roman" w:hAnsi="Times New Roman"/>
          <w:noProof/>
          <w:sz w:val="24"/>
          <w:szCs w:val="24"/>
        </w:rPr>
        <w:t xml:space="preserve"> </w:t>
      </w:r>
    </w:p>
    <w:p w:rsidR="00D413BC" w:rsidRDefault="00210508" w:rsidP="00BE66A5">
      <w:pPr>
        <w:spacing w:before="120" w:line="240" w:lineRule="auto"/>
        <w:jc w:val="both"/>
        <w:rPr>
          <w:rFonts w:ascii="Times New Roman" w:hAnsi="Times New Roman" w:cs="Times New Roman"/>
          <w:noProof/>
          <w:sz w:val="24"/>
          <w:szCs w:val="24"/>
        </w:rPr>
      </w:pPr>
      <w:r>
        <w:rPr>
          <w:rFonts w:ascii="Times New Roman" w:hAnsi="Times New Roman"/>
          <w:noProof/>
          <w:sz w:val="24"/>
          <w:szCs w:val="24"/>
        </w:rPr>
        <w:t xml:space="preserve">Το μορφωτικό επίπεδο είναι επίσης χαμηλότερο σε αυτές τις περιοχές. </w:t>
      </w:r>
      <w:r>
        <w:rPr>
          <w:rFonts w:ascii="Times New Roman" w:hAnsi="Times New Roman"/>
          <w:bCs/>
          <w:noProof/>
          <w:color w:val="000000"/>
          <w:sz w:val="24"/>
          <w:szCs w:val="24"/>
        </w:rPr>
        <w:t>Ο αναλφαβητισμός αποτελεί ευρέως διαδεδομένο φαινόμενο</w:t>
      </w:r>
      <w:r>
        <w:rPr>
          <w:rFonts w:ascii="Times New Roman" w:hAnsi="Times New Roman"/>
          <w:noProof/>
          <w:color w:val="000000"/>
          <w:sz w:val="24"/>
          <w:szCs w:val="24"/>
        </w:rPr>
        <w:t xml:space="preserve"> στις γαλλικές εξόχως απόκεντρες περιοχές: ανάλογα με την περιφέρεια, το 30 % έως 73 % των ατόμων ηλικίας 17 ετών αντιμετωπίζουν δυσκολίες στην ανάγνωση (ποσοστό πολύ υψηλότερο από τον εθνικό μέσο όρο του 9,6 %)</w:t>
      </w:r>
      <w:r>
        <w:rPr>
          <w:rStyle w:val="FootnoteReference"/>
          <w:rFonts w:ascii="Times New Roman" w:hAnsi="Times New Roman" w:cs="Times New Roman"/>
          <w:noProof/>
          <w:color w:val="000000"/>
          <w:sz w:val="24"/>
          <w:szCs w:val="24"/>
        </w:rPr>
        <w:footnoteReference w:id="57"/>
      </w:r>
      <w:r>
        <w:rPr>
          <w:rFonts w:ascii="Times New Roman" w:hAnsi="Times New Roman"/>
          <w:noProof/>
          <w:color w:val="000000"/>
          <w:sz w:val="24"/>
          <w:szCs w:val="24"/>
        </w:rPr>
        <w:t xml:space="preserve">. </w:t>
      </w:r>
      <w:r>
        <w:rPr>
          <w:rFonts w:ascii="Times New Roman" w:hAnsi="Times New Roman"/>
          <w:noProof/>
          <w:sz w:val="24"/>
          <w:szCs w:val="24"/>
        </w:rPr>
        <w:t>Στο πλαίσιο αυτό, η στήριξη της εκπαίδευσης, της κατάρτισης και της διά βίου μάθησης αποτελούν</w:t>
      </w:r>
      <w:r>
        <w:rPr>
          <w:rFonts w:ascii="Times New Roman" w:hAnsi="Times New Roman"/>
          <w:noProof/>
          <w:color w:val="000000" w:themeColor="text1"/>
          <w:sz w:val="24"/>
          <w:szCs w:val="24"/>
        </w:rPr>
        <w:t xml:space="preserve"> προτεραιότητες για τη στήριξη από την ΕΕ</w:t>
      </w:r>
      <w:r>
        <w:rPr>
          <w:rFonts w:ascii="Times New Roman" w:hAnsi="Times New Roman"/>
          <w:noProof/>
          <w:sz w:val="24"/>
          <w:szCs w:val="24"/>
        </w:rPr>
        <w:t>, σύμφωνα με τα αποτελέσματα της δημόσιας διαβούλευσης του 2021.</w:t>
      </w:r>
      <w:r>
        <w:rPr>
          <w:rFonts w:ascii="Times New Roman" w:hAnsi="Times New Roman"/>
          <w:noProof/>
          <w:color w:val="000000" w:themeColor="text1"/>
          <w:sz w:val="24"/>
          <w:szCs w:val="24"/>
        </w:rPr>
        <w:t xml:space="preserve"> </w:t>
      </w:r>
      <w:r>
        <w:rPr>
          <w:rFonts w:ascii="Times New Roman" w:hAnsi="Times New Roman"/>
          <w:noProof/>
          <w:sz w:val="24"/>
          <w:szCs w:val="24"/>
        </w:rPr>
        <w:t xml:space="preserve">Το σχέδιο δράσης για τον ευρωπαϊκό πυλώνα κοινωνικών δικαιωμάτων αποσκοπεί στη μείωση του ποσοστού των ΕΑΕΚ από 12,6 % (2019) σε 9 % έως το 2030, ιδίως μέσω της βελτίωσης των προοπτικών απασχόλησής τους. Στο πλαίσιο των </w:t>
      </w:r>
      <w:r>
        <w:rPr>
          <w:rFonts w:ascii="Times New Roman" w:hAnsi="Times New Roman"/>
          <w:bCs/>
          <w:noProof/>
          <w:sz w:val="24"/>
          <w:szCs w:val="24"/>
        </w:rPr>
        <w:t>εγγυήσεων για τη νεολαία</w:t>
      </w:r>
      <w:r>
        <w:rPr>
          <w:rFonts w:ascii="Times New Roman" w:hAnsi="Times New Roman"/>
          <w:noProof/>
          <w:sz w:val="24"/>
          <w:szCs w:val="24"/>
        </w:rPr>
        <w:t>, τα κράτη μέλη έχουν δεσμευτεί να διασφαλίζουν ότι οι νέοι λαμβάνουν προσφορά εργασίας, εκπαίδευσης, μαθητείας ή πρακτικής άσκησης εντός τεσσάρων μηνών από την αποχώρησή τους από το εκπαιδευτικό σύστημα ή από μια θέση εργασίας.</w:t>
      </w:r>
    </w:p>
    <w:p w:rsidR="00C12E8A" w:rsidRPr="000B22B8" w:rsidRDefault="00210950" w:rsidP="00BE66A5">
      <w:pPr>
        <w:spacing w:before="120" w:line="240" w:lineRule="auto"/>
        <w:jc w:val="both"/>
        <w:rPr>
          <w:rFonts w:ascii="Times New Roman" w:hAnsi="Times New Roman" w:cs="Times New Roman"/>
          <w:noProof/>
          <w:sz w:val="24"/>
          <w:szCs w:val="24"/>
        </w:rPr>
      </w:pPr>
      <w:r>
        <w:rPr>
          <w:rFonts w:ascii="Times New Roman" w:hAnsi="Times New Roman"/>
          <w:noProof/>
          <w:sz w:val="24"/>
          <w:szCs w:val="24"/>
        </w:rPr>
        <w:t xml:space="preserve">Στο πλαίσιο αυτό, η ΕΕ στηρίζει την ανάπτυξη δεξιοτήτων στις εξόχως απόκεντρες περιοχές μέσω μιας σειράς μέσων. Κατά την περίοδο 2021-2027 το ΕΚΤ+ θα στηρίξει περαιτέρω την κατάρτιση, την πρόληψη της εγκατάλειψης του σχολείου και τον επαγγελματικό προσανατολισμό, την απασχόληση των νέων, την επιχειρηματικότητα και τη δημιουργία επιχειρήσεων, διαθέτοντας τουλάχιστον το 12,5 % των κονδυλίων του προγράμματος για τη στήριξη των νέων. Τα σχέδια ανάκαμψης και ανθεκτικότητας μπορούν επίσης να διαδραματίσουν σημαντικό ρόλο —για παράδειγμα, το γαλλικό σχέδιο ανάκαμψης και ανθεκτικότητας στηρίζει ιδρύματα τριτοβάθμιας εκπαίδευσης στη Γουαδελούπη και τη Ρεϊνιόν. Κατά την περίοδο 2014-2020 σχεδόν 25 000 άτομα από τη Μαρτινίκα συμμετείχαν σε προγράμματα εκπαίδευσης και κατάρτισης που χρηματοδοτήθηκαν από το ΕΚΤ. Τα νέα πρόσθετα κονδύλια του ΕΚΤ+ για τις εξόχως απόκεντρες περιοχές θα στηρίξουν την επαγγελματική εκπαίδευση και κατάρτιση, τη μαθητεία, τη μετάβαση από το σχολείο στην εργασία, την απασχόληση των νέων και την κινητικότητα. </w:t>
      </w:r>
      <w:r>
        <w:rPr>
          <w:rFonts w:ascii="Times New Roman" w:hAnsi="Times New Roman"/>
          <w:bCs/>
          <w:noProof/>
          <w:sz w:val="24"/>
          <w:szCs w:val="24"/>
        </w:rPr>
        <w:t>Το σκέλος «Απασχόληση και Κοινωνική Καινοτομία» του ΕΚΤ+ μπορεί να</w:t>
      </w:r>
      <w:r>
        <w:rPr>
          <w:rFonts w:ascii="Times New Roman" w:hAnsi="Times New Roman"/>
          <w:noProof/>
          <w:sz w:val="24"/>
          <w:szCs w:val="24"/>
        </w:rPr>
        <w:t xml:space="preserve"> στηρίξει την πρόσβαση σε χρηματοδότηση</w:t>
      </w:r>
      <w:r>
        <w:rPr>
          <w:noProof/>
          <w:color w:val="FF0000"/>
        </w:rPr>
        <w:t xml:space="preserve"> </w:t>
      </w:r>
      <w:r>
        <w:rPr>
          <w:rFonts w:ascii="Times New Roman" w:hAnsi="Times New Roman"/>
          <w:noProof/>
          <w:sz w:val="24"/>
          <w:szCs w:val="24"/>
        </w:rPr>
        <w:t>για τις κοινωνικές επιχειρήσεις, την ενισχυμένη κινητικότητα του εργατικού δυναμικού και τον εκσυγχρονισμό των πολιτικών απασχόλησης. Η νέα πρωτοβουλία ALMA (Aim, Learn, Master, Achieve) που υποστηρίζεται από το εν λόγω ταμείο είναι μια πρωτοβουλία ενεργητικής ένταξης που στηρίζει τους μειονεκτούντες νέους ΕΕΑΚ να αποκτήσουν επαγγελματική πείρα στο εξωτερικό και πείρα για να εισέλθουν στην αγορά εργασίας και να συμμετάσχουν στην κοινωνία. Η πρωτοβουλία αποσκοπεί ειδικότερα να συμπεριλάβει νέους από αγροτικές, περιφερειακές και λιγότερο ανεπτυγμένες περιφέρειες, παρέχοντάς τους μια εργασιακή εμπειρία σε άλλο κράτος μέλος. Μπορεί επίσης να στηρίξει την κινητικότητα των νέων από τις εξόχως απόκεντρες περιοχές σε γειτονικές τρίτες χώρες και στην ηπειρωτική χώρα.</w:t>
      </w:r>
    </w:p>
    <w:p w:rsidR="005B29B3" w:rsidRPr="00530E78" w:rsidRDefault="00F71080" w:rsidP="00813242">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Διάφορες πρωτοβουλίες κατά τη διάρκεια του </w:t>
      </w:r>
      <w:r>
        <w:rPr>
          <w:rFonts w:ascii="Times New Roman" w:hAnsi="Times New Roman"/>
          <w:bCs/>
          <w:noProof/>
          <w:sz w:val="24"/>
          <w:szCs w:val="24"/>
        </w:rPr>
        <w:t>Ευρωπαϊκού Έτους Νεολαίας</w:t>
      </w:r>
      <w:r>
        <w:rPr>
          <w:rFonts w:ascii="Times New Roman" w:hAnsi="Times New Roman"/>
          <w:noProof/>
          <w:sz w:val="24"/>
          <w:szCs w:val="24"/>
        </w:rPr>
        <w:t xml:space="preserve"> 2022 θα ενδυναμώσουν τους νέους, συμπεριλαμβανομένης μιας νέας πρωτοβουλίας που απευθύνεται αποκλειστικά σε νέους από τις εξόχως απόκεντρες περιοχές. Το πρόγραμμα </w:t>
      </w:r>
      <w:r>
        <w:rPr>
          <w:rFonts w:ascii="Times New Roman" w:hAnsi="Times New Roman"/>
          <w:bCs/>
          <w:noProof/>
          <w:sz w:val="24"/>
          <w:szCs w:val="24"/>
        </w:rPr>
        <w:t>Erasmus+</w:t>
      </w:r>
      <w:r>
        <w:rPr>
          <w:rStyle w:val="FootnoteReference"/>
          <w:rFonts w:ascii="Times New Roman" w:hAnsi="Times New Roman" w:cs="Times New Roman"/>
          <w:bCs/>
          <w:noProof/>
          <w:sz w:val="24"/>
          <w:szCs w:val="24"/>
        </w:rPr>
        <w:footnoteReference w:id="58"/>
      </w:r>
      <w:r>
        <w:rPr>
          <w:rFonts w:ascii="Times New Roman" w:hAnsi="Times New Roman"/>
          <w:noProof/>
          <w:sz w:val="24"/>
          <w:szCs w:val="24"/>
        </w:rPr>
        <w:t xml:space="preserve"> παρέχει πρόσθετη στήριξη σε σπουδαστές από τις περιοχές αυτές για να σπουδάσουν στο εξωτερικό, συμπεριλαμβανομένης συνεργασίας με γειτονικές τρίτες χώρες. Κατά την περίοδο 2014-2020, 28 500 άτομα από όλες τις εξόχως απόκεντρες περιοχές συμμετείχαν σε έργα κινητικότητας του Erasmus+</w:t>
      </w:r>
      <w:r>
        <w:rPr>
          <w:rStyle w:val="FootnoteReference"/>
          <w:rFonts w:ascii="Times New Roman" w:hAnsi="Times New Roman" w:cs="Times New Roman"/>
          <w:noProof/>
          <w:sz w:val="24"/>
          <w:szCs w:val="24"/>
          <w:lang w:val="en-GB"/>
        </w:rPr>
        <w:footnoteReference w:id="59"/>
      </w:r>
      <w:r>
        <w:rPr>
          <w:rFonts w:ascii="Times New Roman" w:hAnsi="Times New Roman"/>
          <w:noProof/>
          <w:sz w:val="24"/>
          <w:szCs w:val="24"/>
        </w:rPr>
        <w:t xml:space="preserve">. Μέσω της στρατηγικής της για την </w:t>
      </w:r>
      <w:r>
        <w:rPr>
          <w:rFonts w:ascii="Times New Roman" w:hAnsi="Times New Roman"/>
          <w:bCs/>
          <w:noProof/>
          <w:sz w:val="24"/>
          <w:szCs w:val="24"/>
        </w:rPr>
        <w:t>ένταξη και την πολυμορφία</w:t>
      </w:r>
      <w:r>
        <w:rPr>
          <w:rFonts w:ascii="Times New Roman" w:hAnsi="Times New Roman"/>
          <w:noProof/>
          <w:sz w:val="24"/>
          <w:szCs w:val="24"/>
        </w:rPr>
        <w:t xml:space="preserve">, η Επιτροπή βοηθά νέους από αυτές τις περιοχές να συμμετάσχουν στο Erasmus+ και στο </w:t>
      </w:r>
      <w:r>
        <w:rPr>
          <w:rFonts w:ascii="Times New Roman" w:hAnsi="Times New Roman"/>
          <w:bCs/>
          <w:noProof/>
          <w:sz w:val="24"/>
          <w:szCs w:val="24"/>
        </w:rPr>
        <w:t>Ευρωπαϊκό Σώμα Αλληλεγγύης</w:t>
      </w:r>
      <w:r>
        <w:rPr>
          <w:rFonts w:ascii="Times New Roman" w:hAnsi="Times New Roman"/>
          <w:noProof/>
          <w:sz w:val="24"/>
          <w:szCs w:val="24"/>
        </w:rPr>
        <w:t>. Επιπλέον, είναι σημαντικό να προωθηθούν οι νέοι ερευνητές από αυτές τις περιοχές και να υποστηριχθεί η συμμετοχή τους στο πρόγραμμα-πλαίσιο «Ορίζων Ευρώπη», το πρόγραμμα έρευνας και καινοτομίας της ΕΕ</w:t>
      </w:r>
      <w:r>
        <w:rPr>
          <w:rStyle w:val="FootnoteReference"/>
          <w:rFonts w:ascii="Times New Roman" w:hAnsi="Times New Roman" w:cs="Times New Roman"/>
          <w:noProof/>
          <w:sz w:val="24"/>
          <w:szCs w:val="24"/>
          <w:lang w:val="en-US"/>
        </w:rPr>
        <w:footnoteReference w:id="60"/>
      </w:r>
      <w:r>
        <w:rPr>
          <w:rFonts w:ascii="Times New Roman" w:hAnsi="Times New Roman"/>
          <w:noProof/>
          <w:sz w:val="24"/>
          <w:szCs w:val="24"/>
        </w:rPr>
        <w:t xml:space="preserve"> και να δημιουργηθούν ελκυστικές ευκαιρίες απασχόλησης για τους νέους στην περιοχή τους. Η Επιτροπή διαμορφώνει επίσης πρωτοβουλία για τον μετριασμό των προκλήσεων που συνδέονται με τη διαρροή εγκεφάλων σε πληττόμενες περιοχές της ΕΕ, όπως οι εξόχως απόκεντρες περιοχές, και για τον εντοπισμό πιθανών λύσεων. </w:t>
      </w:r>
    </w:p>
    <w:tbl>
      <w:tblPr>
        <w:tblStyle w:val="TableGrid"/>
        <w:tblW w:w="0" w:type="auto"/>
        <w:shd w:val="clear" w:color="auto" w:fill="D9D9D9" w:themeFill="background1" w:themeFillShade="D9"/>
        <w:tblLook w:val="04A0" w:firstRow="1" w:lastRow="0" w:firstColumn="1" w:lastColumn="0" w:noHBand="0" w:noVBand="1"/>
      </w:tblPr>
      <w:tblGrid>
        <w:gridCol w:w="9576"/>
      </w:tblGrid>
      <w:tr w:rsidR="00566BE4" w:rsidRPr="00D5783B" w:rsidTr="00C62324">
        <w:trPr>
          <w:trHeight w:val="274"/>
        </w:trPr>
        <w:tc>
          <w:tcPr>
            <w:tcW w:w="9576" w:type="dxa"/>
            <w:shd w:val="clear" w:color="auto" w:fill="D9D9D9" w:themeFill="background1" w:themeFillShade="D9"/>
          </w:tcPr>
          <w:p w:rsidR="00566BE4" w:rsidRPr="003E7215" w:rsidRDefault="00566BE4" w:rsidP="00B07E88">
            <w:pPr>
              <w:spacing w:after="60"/>
              <w:jc w:val="both"/>
              <w:rPr>
                <w:rFonts w:ascii="Times New Roman" w:hAnsi="Times New Roman" w:cs="Times New Roman"/>
                <w:b/>
                <w:noProof/>
              </w:rPr>
            </w:pPr>
            <w:r>
              <w:rPr>
                <w:rFonts w:ascii="Times New Roman" w:hAnsi="Times New Roman"/>
                <w:b/>
                <w:noProof/>
              </w:rPr>
              <w:t>Η Επιτροπή ενθαρρύνει τα οικεία κράτη μέλη και τις εξόχως απόκεντρες περιοχές:</w:t>
            </w:r>
          </w:p>
          <w:p w:rsidR="0032541E" w:rsidRPr="00E24AB7" w:rsidRDefault="00332A14">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rPr>
              <w:t>να δημιουργήσουν προγράμματα μαθητείας, διατήρησης θέσεων εργασίας και πρόσληψης για νέους στις εξόχως απόκεντρες περιοχές στο πλαίσιο των εγγυήσεων για τη νεολαία, χρησιμοποιώντας κονδύλια της ΕΕ και ενσωματώνοντας τη διάσταση του φύλου· να συμπεριλάβουν την πρωτοβουλία ALMA στα προγράμματα του ΕΚΤ+· να εφαρμόσουν δοκιμαστικά ψηφιακά εκπαιδευτικά μοντέλα·</w:t>
            </w:r>
          </w:p>
          <w:p w:rsidR="007E739B" w:rsidRPr="00E24AB7" w:rsidRDefault="00B20F4D" w:rsidP="00BE66A5">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rPr>
              <w:t xml:space="preserve">να προσδιορίσουν τις ανάγκες σε δεξιότητες στις εξόχως απόκεντρες περιοχές· να χρησιμοποιήσουν το ΕΚΤ+, συμπεριλαμβανομένου του πρόσθετου κονδυλίου ύψους 370 εκατ. EUR για τη βελτίωση </w:t>
            </w:r>
            <w:r>
              <w:rPr>
                <w:rFonts w:ascii="Times New Roman" w:hAnsi="Times New Roman"/>
                <w:bCs/>
                <w:noProof/>
              </w:rPr>
              <w:t>της εκπαίδευσης, της κατάρτισης, της κινητικότητας και της απασχόλησης των νέων·</w:t>
            </w:r>
          </w:p>
          <w:p w:rsidR="00566BE4" w:rsidRPr="00E24AB7" w:rsidRDefault="00332A14" w:rsidP="00B07E88">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rPr>
              <w:t xml:space="preserve">να παράσχουν επαγγελματικό προσανατολισμό στους </w:t>
            </w:r>
            <w:r>
              <w:rPr>
                <w:rFonts w:ascii="Times New Roman" w:hAnsi="Times New Roman"/>
                <w:bCs/>
                <w:noProof/>
              </w:rPr>
              <w:t>νέους, λαμβάνοντας υπόψη τη διάσταση του φύλου·</w:t>
            </w:r>
            <w:r>
              <w:rPr>
                <w:rFonts w:ascii="Times New Roman" w:hAnsi="Times New Roman"/>
                <w:noProof/>
              </w:rPr>
              <w:t xml:space="preserve"> να συστήσουν υπηρεσίες μίας στάσης ώστε να βοηθήσουν στην εξασφάλιση μιας πρώτης θέσης εργασίας·</w:t>
            </w:r>
          </w:p>
          <w:p w:rsidR="00B40DDA" w:rsidRPr="00E24AB7" w:rsidRDefault="004967D7" w:rsidP="00B07E88">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rPr>
              <w:t>να χρησιμοποιήσουν το Interreg για την περαιτέρω ανάπτυξη περιφερειακών προγραμμάτων μαθησιακής κινητικότητας σε συνέργεια με το Erasmus+.</w:t>
            </w:r>
          </w:p>
          <w:p w:rsidR="00566BE4" w:rsidRPr="00E24AB7" w:rsidRDefault="00566BE4" w:rsidP="00813242">
            <w:pPr>
              <w:keepNext/>
              <w:spacing w:before="60" w:after="60"/>
              <w:jc w:val="both"/>
              <w:rPr>
                <w:rFonts w:ascii="Times New Roman" w:hAnsi="Times New Roman" w:cs="Times New Roman"/>
                <w:noProof/>
              </w:rPr>
            </w:pPr>
            <w:r>
              <w:rPr>
                <w:rFonts w:ascii="Times New Roman" w:hAnsi="Times New Roman"/>
                <w:b/>
                <w:noProof/>
              </w:rPr>
              <w:t>Η Επιτροπή:</w:t>
            </w:r>
          </w:p>
          <w:p w:rsidR="001F611F" w:rsidRPr="00452BD6" w:rsidRDefault="00BA7A98" w:rsidP="00D5336E">
            <w:pPr>
              <w:pStyle w:val="ListParagraph"/>
              <w:numPr>
                <w:ilvl w:val="0"/>
                <w:numId w:val="37"/>
              </w:numPr>
              <w:spacing w:after="60"/>
              <w:contextualSpacing w:val="0"/>
              <w:jc w:val="both"/>
              <w:rPr>
                <w:rFonts w:ascii="Times New Roman" w:hAnsi="Times New Roman" w:cs="Times New Roman"/>
                <w:noProof/>
              </w:rPr>
            </w:pPr>
            <w:r>
              <w:rPr>
                <w:rFonts w:ascii="Times New Roman" w:hAnsi="Times New Roman"/>
                <w:noProof/>
              </w:rPr>
              <w:t xml:space="preserve">θα δημιουργήσει ένα πρόγραμμα επιχορηγήσεων ύψους 1 εκατ. EUR που θα παρέχει στους νέους τη δυνατότητα να σχεδιάζουν και να υλοποιούν έργα σε τοπικό επίπεδο, με ιδιαίτερη έμφαση στην ισότητα και την ένταξη, στο πλαίσιο του Ευρωπαϊκού Έτους Νεολαίας 2022 με την τεχνική βοήθεια υπό την ηγεσία της Επιτροπής στο πλαίσιο του ΕΤΠΑ· </w:t>
            </w:r>
          </w:p>
          <w:p w:rsidR="00566BE4" w:rsidRPr="00E24AB7" w:rsidRDefault="004967D7" w:rsidP="00BE66A5">
            <w:pPr>
              <w:pStyle w:val="ListParagraph"/>
              <w:numPr>
                <w:ilvl w:val="0"/>
                <w:numId w:val="2"/>
              </w:numPr>
              <w:spacing w:after="60"/>
              <w:ind w:left="357" w:hanging="357"/>
              <w:contextualSpacing w:val="0"/>
              <w:rPr>
                <w:rFonts w:ascii="Times New Roman" w:hAnsi="Times New Roman" w:cs="Times New Roman"/>
                <w:noProof/>
              </w:rPr>
            </w:pPr>
            <w:r>
              <w:rPr>
                <w:rFonts w:ascii="Times New Roman" w:hAnsi="Times New Roman"/>
                <w:noProof/>
              </w:rPr>
              <w:t>θα λάβει υπόψη τις ιδιαιτερότητες αυτών των περιοχών στα ετήσια προγράμματα εργασίας στο πλαίσιο του ΕΚΤ+· θα στηρίξει τις περιφέρειες στη χρήση των νέων πρόσθετων κονδυλίων του ΕΚΤ+ και θα παρακολουθεί τη χρήση τους·</w:t>
            </w:r>
          </w:p>
          <w:p w:rsidR="004967D7" w:rsidRPr="00BE66A5" w:rsidRDefault="00C60A1D" w:rsidP="00B07E88">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rPr>
              <w:t xml:space="preserve">θα αναγνωρίσει τις ιδιαιτερότητες των εξόχως απόκεντρων περιοχών και θα στηρίξει τη συμμετοχή τους στα </w:t>
            </w:r>
            <w:r>
              <w:rPr>
                <w:rFonts w:ascii="Times New Roman" w:hAnsi="Times New Roman"/>
                <w:b/>
                <w:noProof/>
              </w:rPr>
              <w:t>προγράμματα εργασίας του</w:t>
            </w:r>
            <w:r>
              <w:rPr>
                <w:rFonts w:ascii="Times New Roman" w:hAnsi="Times New Roman"/>
                <w:noProof/>
              </w:rPr>
              <w:t xml:space="preserve"> </w:t>
            </w:r>
            <w:r>
              <w:rPr>
                <w:rFonts w:ascii="Times New Roman" w:hAnsi="Times New Roman"/>
                <w:b/>
                <w:noProof/>
              </w:rPr>
              <w:t>Erasmus+</w:t>
            </w:r>
            <w:r>
              <w:rPr>
                <w:rFonts w:ascii="Times New Roman" w:hAnsi="Times New Roman"/>
                <w:noProof/>
              </w:rPr>
              <w:t>, συμπεριλαμβανομένων ανταλλαγών με τρίτες χώρες</w:t>
            </w:r>
            <w:r>
              <w:rPr>
                <w:rStyle w:val="FootnoteReference"/>
                <w:rFonts w:ascii="Times New Roman" w:hAnsi="Times New Roman" w:cs="Times New Roman"/>
                <w:noProof/>
                <w:lang w:val="en-IE"/>
              </w:rPr>
              <w:footnoteReference w:id="61"/>
            </w:r>
            <w:r>
              <w:rPr>
                <w:rFonts w:ascii="Times New Roman" w:hAnsi="Times New Roman"/>
                <w:noProof/>
              </w:rPr>
              <w:t xml:space="preserve">, καθώς και στην </w:t>
            </w:r>
            <w:r>
              <w:rPr>
                <w:rFonts w:ascii="Times New Roman" w:hAnsi="Times New Roman"/>
                <w:b/>
                <w:bCs/>
                <w:noProof/>
              </w:rPr>
              <w:t>εμβληματική πρωτοβουλία για τα ευρωπαϊκά πανεπιστήμια</w:t>
            </w:r>
            <w:r>
              <w:rPr>
                <w:rFonts w:ascii="Times New Roman" w:hAnsi="Times New Roman"/>
                <w:bCs/>
                <w:noProof/>
              </w:rPr>
              <w:t xml:space="preserve"> και στα κέντρα επαγγελματικής αριστείας· </w:t>
            </w:r>
          </w:p>
          <w:p w:rsidR="00C60A1D" w:rsidRPr="00BE66A5" w:rsidRDefault="00C60A1D" w:rsidP="00B07E88">
            <w:pPr>
              <w:pStyle w:val="ListParagraph"/>
              <w:numPr>
                <w:ilvl w:val="0"/>
                <w:numId w:val="2"/>
              </w:numPr>
              <w:spacing w:after="60"/>
              <w:contextualSpacing w:val="0"/>
              <w:jc w:val="both"/>
              <w:rPr>
                <w:rFonts w:ascii="Times New Roman" w:hAnsi="Times New Roman" w:cs="Times New Roman"/>
                <w:b/>
                <w:bCs/>
                <w:noProof/>
              </w:rPr>
            </w:pPr>
            <w:r>
              <w:rPr>
                <w:rFonts w:ascii="Times New Roman" w:hAnsi="Times New Roman"/>
                <w:noProof/>
              </w:rPr>
              <w:t xml:space="preserve">θα συνεργαστεί με τους εθνικούς οργανισμούς για την περαιτέρω στήριξη της συμμετοχής των νέων των εξόχως απόκεντρων περιοχών στο </w:t>
            </w:r>
            <w:r>
              <w:rPr>
                <w:rFonts w:ascii="Times New Roman" w:hAnsi="Times New Roman"/>
                <w:b/>
                <w:noProof/>
              </w:rPr>
              <w:t>Erasmus+</w:t>
            </w:r>
            <w:r>
              <w:rPr>
                <w:rFonts w:ascii="Times New Roman" w:hAnsi="Times New Roman"/>
                <w:noProof/>
              </w:rPr>
              <w:t xml:space="preserve"> και στο </w:t>
            </w:r>
            <w:r>
              <w:rPr>
                <w:rFonts w:ascii="Times New Roman" w:hAnsi="Times New Roman"/>
                <w:b/>
                <w:bCs/>
                <w:noProof/>
              </w:rPr>
              <w:t>Ευρωπαϊκό Σώμα Αλληλεγγύης</w:t>
            </w:r>
            <w:r>
              <w:rPr>
                <w:rFonts w:ascii="Times New Roman" w:hAnsi="Times New Roman"/>
                <w:bCs/>
                <w:noProof/>
              </w:rPr>
              <w:t>·</w:t>
            </w:r>
            <w:r>
              <w:rPr>
                <w:rFonts w:ascii="Times New Roman" w:hAnsi="Times New Roman"/>
                <w:noProof/>
              </w:rPr>
              <w:t xml:space="preserve"> </w:t>
            </w:r>
          </w:p>
          <w:p w:rsidR="00075D2C" w:rsidRPr="004967D7" w:rsidRDefault="00C60A1D" w:rsidP="00B07E88">
            <w:pPr>
              <w:pStyle w:val="ListParagraph"/>
              <w:numPr>
                <w:ilvl w:val="0"/>
                <w:numId w:val="2"/>
              </w:numPr>
              <w:spacing w:after="60"/>
              <w:contextualSpacing w:val="0"/>
              <w:jc w:val="both"/>
              <w:rPr>
                <w:rFonts w:ascii="Times New Roman" w:hAnsi="Times New Roman" w:cs="Times New Roman"/>
                <w:b/>
                <w:bCs/>
                <w:noProof/>
              </w:rPr>
            </w:pPr>
            <w:r>
              <w:rPr>
                <w:rFonts w:ascii="Times New Roman" w:hAnsi="Times New Roman"/>
                <w:noProof/>
              </w:rPr>
              <w:t xml:space="preserve">θα παράσχει εξατομικευμένη ενημέρωση για τη στήριξη της συμμετοχής των νέων των εξόχως απόκεντρων περιοχών στην </w:t>
            </w:r>
            <w:r>
              <w:rPr>
                <w:rFonts w:ascii="Times New Roman" w:hAnsi="Times New Roman"/>
                <w:bCs/>
                <w:noProof/>
              </w:rPr>
              <w:t>πρωτοβουλία «Interreg Volunteer Youth»</w:t>
            </w:r>
            <w:r>
              <w:rPr>
                <w:rFonts w:ascii="Times New Roman" w:hAnsi="Times New Roman"/>
                <w:noProof/>
              </w:rPr>
              <w:t>, π.χ. σε γειτονικές χώρες·</w:t>
            </w:r>
          </w:p>
          <w:p w:rsidR="004D2353" w:rsidRPr="004D2353" w:rsidRDefault="00332A14" w:rsidP="00B07E88">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rPr>
              <w:t>θα αποτυπώσει τις ιδιαιτερότητες των εξόχως απόκεντρων περιοχών στην πρωτοβουλία «</w:t>
            </w:r>
            <w:r>
              <w:rPr>
                <w:rFonts w:ascii="Times New Roman" w:hAnsi="Times New Roman"/>
                <w:bCs/>
                <w:noProof/>
              </w:rPr>
              <w:t>Pathways to School Success</w:t>
            </w:r>
            <w:r>
              <w:rPr>
                <w:rFonts w:ascii="Times New Roman" w:hAnsi="Times New Roman"/>
                <w:noProof/>
              </w:rPr>
              <w:t>» (Διαδρομές προς τη σχολική επιτυχία) για τη μείωση της πρόωρης εγκατάλειψης της εκπαίδευσης και της κατάρτισης·</w:t>
            </w:r>
          </w:p>
          <w:p w:rsidR="0032541E" w:rsidRPr="00CA5F3C" w:rsidRDefault="004D2353" w:rsidP="00ED49F3">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rPr>
              <w:t xml:space="preserve">θα λάβει υπόψη τις ιδιαιτερότητες των εξόχως απόκεντρων περιοχών στην επικείμενη πρωτοβουλία για τον μετριασμό των προκλήσεων που συνδέονται με τη διαρροή εγκεφάλων. </w:t>
            </w:r>
          </w:p>
        </w:tc>
      </w:tr>
    </w:tbl>
    <w:p w:rsidR="001C7A4F" w:rsidRPr="00864D73" w:rsidRDefault="001C7A4F" w:rsidP="00295F84">
      <w:pPr>
        <w:spacing w:before="360" w:after="120" w:line="240" w:lineRule="auto"/>
        <w:jc w:val="both"/>
        <w:rPr>
          <w:rFonts w:ascii="Times New Roman" w:hAnsi="Times New Roman" w:cs="Times New Roman"/>
          <w:b/>
          <w:bCs/>
          <w:smallCaps/>
          <w:noProof/>
          <w:sz w:val="24"/>
          <w:szCs w:val="24"/>
        </w:rPr>
      </w:pPr>
      <w:r>
        <w:rPr>
          <w:rFonts w:ascii="Times New Roman" w:hAnsi="Times New Roman"/>
          <w:b/>
          <w:bCs/>
          <w:noProof/>
          <w:sz w:val="24"/>
          <w:szCs w:val="24"/>
        </w:rPr>
        <w:t xml:space="preserve">2.2. </w:t>
      </w:r>
      <w:r>
        <w:rPr>
          <w:rFonts w:ascii="Times New Roman" w:hAnsi="Times New Roman"/>
          <w:b/>
          <w:bCs/>
          <w:smallCaps/>
          <w:noProof/>
          <w:sz w:val="24"/>
          <w:szCs w:val="24"/>
        </w:rPr>
        <w:t>Αξιοποίηση των πλεονεκτημάτων, αντιμετώπιση των περιορισμών, εστίαση σε βασικούς τομείς</w:t>
      </w:r>
    </w:p>
    <w:p w:rsidR="006617B2" w:rsidRDefault="00473DE9" w:rsidP="001C7A4F">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Οι εξόχως απόκεντρες περιοχές διαφέρουν σημαντικά μεταξύ τους. </w:t>
      </w:r>
      <w:r>
        <w:rPr>
          <w:rFonts w:ascii="Times New Roman" w:hAnsi="Times New Roman"/>
          <w:noProof/>
          <w:color w:val="000000" w:themeColor="text1"/>
          <w:sz w:val="24"/>
          <w:szCs w:val="24"/>
        </w:rPr>
        <w:t>Κάθε περιοχή έχει το δικό της σύνολο περιορισμών και πλεονεκτημάτων, από τη γεωργία ή τον τουρισμό μέχρι τη γαλάζια οικονομία ή το διάστημα. Η οικονομική ανάπτυξη παρουσιάζει σημαντικές διαφοροποιήσεις από το Μαγιότ (30 % του ΑΕΠ της ΕΕ) και τη Γαλλική Γουιάνα (46 %) μέχρι τη Μαδέρα (69 %) και τη Μαρτινίκα (76 %). Αυτή η ισχυρή διαφοροποίηση</w:t>
      </w:r>
      <w:r>
        <w:rPr>
          <w:rFonts w:ascii="Times New Roman" w:hAnsi="Times New Roman"/>
          <w:noProof/>
          <w:sz w:val="24"/>
          <w:szCs w:val="24"/>
        </w:rPr>
        <w:t xml:space="preserve"> απαιτεί προσαρμοσμένες στρατηγικές περιφερειακής ανάπτυξης. Η διαφοροποίηση των οικονομιών τους μέσω της εστίασης στην προστιθέμενη αξία τους, σύμφωνα με τις στρατηγικές έξυπνης εξειδίκευσής τους, είναι καίριας σημασίας για την ανάκαμψη και την ανάπτυξη. </w:t>
      </w:r>
    </w:p>
    <w:p w:rsidR="0096328C" w:rsidRPr="00BE66A5" w:rsidRDefault="006F1DEB" w:rsidP="001C7A4F">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Η κρίση λόγω της νόσου COVID-19 καθώς και οι αυξήσεις των τιμών της ενέργειας και των τροφίμων λόγω της ρωσικής εισβολής στην Ουκρανία κατέστησε προφανή την ανάγκη οι εν λόγω εξόχως απόκεντρες περιοχές να αναπτύξουν ορισμένο επίπεδο αυτονομίας στη γεωργία και τον ενεργειακό εφοδιασμό και να διαφοροποιήσουν τις πηγές. Η ικανότητα παραγωγής φιλικών προς το περιβάλλον τροφίμων αποτελεί ευκαιρία διαφοροποίησης και οικολογικού προσανατολισμού του τομέα και δημιουργίας ποιοτικών θέσεων εργασίας. Στο ίδιο πνεύμα, η χρήση εγκαταστάσεων καθαρής ενέργειας που βασίζονται, για παράδειγμα, στην ηλιακή και την αιολική ενέργεια μπορεί να συμβάλει στην αντιμετώπιση των ελλείψεων και στην απαλλαγή του ενεργειακού μείγματός τους από τις ανθρακούχες εκπομπές. </w:t>
      </w:r>
    </w:p>
    <w:p w:rsidR="001C7A4F" w:rsidRPr="001305D3" w:rsidRDefault="006412DE" w:rsidP="0059242F">
      <w:pPr>
        <w:keepNext/>
        <w:spacing w:before="24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Έρευνα, καινοτομία και έξυπνη εξειδίκευση</w:t>
      </w:r>
    </w:p>
    <w:p w:rsidR="006617B2" w:rsidRDefault="005B353A" w:rsidP="005730BD">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Οι εξόχως απόκεντρες περιοχές επικαιροποιούν τις </w:t>
      </w:r>
      <w:r>
        <w:rPr>
          <w:rFonts w:ascii="Times New Roman" w:hAnsi="Times New Roman"/>
          <w:bCs/>
          <w:noProof/>
          <w:sz w:val="24"/>
          <w:szCs w:val="24"/>
        </w:rPr>
        <w:t>στρατηγικές έξυπνης εξειδίκευσής</w:t>
      </w:r>
      <w:r>
        <w:rPr>
          <w:rStyle w:val="FootnoteReference"/>
          <w:rFonts w:ascii="Times New Roman" w:hAnsi="Times New Roman" w:cs="Times New Roman"/>
          <w:bCs/>
          <w:noProof/>
          <w:sz w:val="24"/>
          <w:szCs w:val="24"/>
        </w:rPr>
        <w:footnoteReference w:id="62"/>
      </w:r>
      <w:r>
        <w:rPr>
          <w:rFonts w:ascii="Times New Roman" w:hAnsi="Times New Roman"/>
          <w:noProof/>
          <w:sz w:val="24"/>
          <w:szCs w:val="24"/>
        </w:rPr>
        <w:t xml:space="preserve"> τους ώστε να προωθήσουν την καινοτομία στους πλέον υποσχόμενους τομείς, κυρίως στον </w:t>
      </w:r>
      <w:r>
        <w:rPr>
          <w:rFonts w:ascii="Times New Roman" w:hAnsi="Times New Roman"/>
          <w:bCs/>
          <w:noProof/>
          <w:sz w:val="24"/>
          <w:szCs w:val="24"/>
        </w:rPr>
        <w:t>αγροδιατροφικό τομέα και στους τομείς της βιοοικονομίας, της βιώσιμης γαλάζιας οικονομίας, της κατάρτισης και της έρευνας στην τροπική ιατρική, του τουρισμού</w:t>
      </w:r>
      <w:r>
        <w:rPr>
          <w:rFonts w:ascii="Times New Roman" w:hAnsi="Times New Roman"/>
          <w:noProof/>
          <w:sz w:val="24"/>
          <w:szCs w:val="24"/>
        </w:rPr>
        <w:t>, καθώς</w:t>
      </w:r>
      <w:r>
        <w:rPr>
          <w:rFonts w:ascii="Times New Roman" w:hAnsi="Times New Roman"/>
          <w:bCs/>
          <w:noProof/>
          <w:sz w:val="24"/>
          <w:szCs w:val="24"/>
        </w:rPr>
        <w:t xml:space="preserve"> και στους δημιουργικούς κλάδους. </w:t>
      </w:r>
      <w:r>
        <w:rPr>
          <w:rFonts w:ascii="Times New Roman" w:hAnsi="Times New Roman"/>
          <w:noProof/>
          <w:sz w:val="24"/>
          <w:szCs w:val="24"/>
        </w:rPr>
        <w:t>Η ενίσχυση της έρευνας και της καινοτομίας (Ε&amp;Κ) μπορεί να βοηθήσει τις περιοχές αυτές να αξιοποιήσουν τα πλεονεκτήματά τους και να ενταχθούν στον Ευρωπαϊκό Χώρο Έρευνας. Η Επιτροπή θα προσπαθήσει να βελτιώσει την πρόσβαση στην αριστεία και να συμβάλει στην υπέρβαση του χάσματος καινοτομίας</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 xml:space="preserve">. </w:t>
      </w:r>
      <w:r>
        <w:rPr>
          <w:rFonts w:ascii="Times New Roman" w:hAnsi="Times New Roman"/>
          <w:noProof/>
        </w:rPr>
        <w:t>Το προηγούμενο πρόγραμμα-πλαίσιο έρευνας και καινοτομίας «Ορίζων 2020»</w:t>
      </w:r>
      <w:r>
        <w:rPr>
          <w:rFonts w:ascii="Times New Roman" w:hAnsi="Times New Roman"/>
          <w:bCs/>
          <w:noProof/>
        </w:rPr>
        <w:t xml:space="preserve"> </w:t>
      </w:r>
      <w:r>
        <w:rPr>
          <w:rFonts w:ascii="Times New Roman" w:hAnsi="Times New Roman"/>
          <w:noProof/>
        </w:rPr>
        <w:t>βοήθησε τις εξόχως απόκεντρες περιοχές να ενισχύσουν την ερευνητική τους ικανότητα μέσω του έργου FORWARD</w:t>
      </w:r>
      <w:r>
        <w:rPr>
          <w:rStyle w:val="FootnoteReference"/>
          <w:rFonts w:ascii="Times New Roman" w:hAnsi="Times New Roman" w:cs="Times New Roman"/>
          <w:noProof/>
          <w:color w:val="000000"/>
        </w:rPr>
        <w:footnoteReference w:id="64"/>
      </w:r>
      <w:r>
        <w:rPr>
          <w:rFonts w:ascii="Times New Roman" w:hAnsi="Times New Roman"/>
          <w:noProof/>
        </w:rPr>
        <w:t>.</w:t>
      </w:r>
      <w:r>
        <w:rPr>
          <w:rFonts w:ascii="Times New Roman" w:hAnsi="Times New Roman"/>
          <w:noProof/>
          <w:sz w:val="24"/>
          <w:szCs w:val="24"/>
        </w:rPr>
        <w:t xml:space="preserve"> </w:t>
      </w:r>
      <w:r>
        <w:rPr>
          <w:rFonts w:ascii="Times New Roman" w:hAnsi="Times New Roman"/>
          <w:bCs/>
          <w:noProof/>
          <w:sz w:val="24"/>
          <w:szCs w:val="24"/>
        </w:rPr>
        <w:t>Το σκέλος «Διεύρυνση της συμμετοχής και διάδοση της αριστείας» του προγράμματος-πλαισίου «Ορίζων Ευρώπη»</w:t>
      </w:r>
      <w:r>
        <w:rPr>
          <w:rFonts w:ascii="Times New Roman" w:hAnsi="Times New Roman"/>
          <w:noProof/>
          <w:sz w:val="24"/>
          <w:szCs w:val="24"/>
        </w:rPr>
        <w:t xml:space="preserve"> για τη στήριξη των χωρών που υστερούν στην έρευνα επεκτάθηκε σε όλες τις εξόχως απόκεντρες περιοχές. Πρόσφατες προσκλήσεις υποβολής προτάσεων για έργα του προγράμματος-πλαισίου «Ορίζων Ευρώπη», π.χ. σχετικά με τη θαλάσσια βιοποικιλότητα ή την αποκατάσταση οικοσυστημάτων, αντικατοπτρίζουν τις ιδιαιτερότητες των εξόχως απόκεντρων περιοχών. Θα πρέπει να διερευνηθεί η δυνατότητα ανάπτυξης συνεργειών μεταξύ του ΕΤΠΑ και του προγράμματος-πλαισίου «Ορίζων Ευρώπη», π.χ. σωρευτική χρηματοδότηση και στήριξη έργων στα οποία έχει απονεμηθεί το σήμα ποιότητας «Σφραγίδα Αριστείας». Το πρόγραμμα-πλαίσιο «Ορίζων Ευρώπη» προωθεί περαιτέρω τη συνεργασία μεταξύ των εθνικών προγραμμάτων Ε&amp;Κ, παρέχοντας στα κράτη τη δυνατότητα να προσδιορίζουν κοινές προτεραιότητες για τις εξόχως απόκεντρες περιοχές τους και να υποβάλλουν κοινές προτάσεις. Η αποστολή του «Ορίζων Ευρώπη» «Αποκατάσταση των ωκεανών και των υδάτων μας έως το 2030» παρέχει πρόσθετες ευκαιρίες για την ενίσχυση της τοπικής Ε&amp;Κ. </w:t>
      </w:r>
    </w:p>
    <w:p w:rsidR="001C7A4F" w:rsidRPr="00530E78" w:rsidRDefault="001C7A4F" w:rsidP="00295F84">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Το ΕΤΠΑ θα στηρίξει την καινοτομία μέσω των κύριων προγραμμάτων του, των προγραμμάτων Interreg και της </w:t>
      </w:r>
      <w:r>
        <w:rPr>
          <w:rFonts w:ascii="Times New Roman" w:hAnsi="Times New Roman"/>
          <w:bCs/>
          <w:noProof/>
          <w:sz w:val="24"/>
          <w:szCs w:val="24"/>
        </w:rPr>
        <w:t>πρωτοβουλίας για τις διαπεριφερειακές επενδύσεις στην καινοτομία, η οποία</w:t>
      </w:r>
      <w:r>
        <w:rPr>
          <w:rFonts w:ascii="Times New Roman" w:hAnsi="Times New Roman"/>
          <w:noProof/>
          <w:sz w:val="24"/>
          <w:szCs w:val="24"/>
        </w:rPr>
        <w:t xml:space="preserve"> επεκτείνει τα διαπεριφερειακά έργα σε τομείς έξυπνης εξειδίκευσης. Το </w:t>
      </w:r>
      <w:r>
        <w:rPr>
          <w:rFonts w:ascii="Times New Roman" w:hAnsi="Times New Roman"/>
          <w:noProof/>
          <w:color w:val="000000" w:themeColor="text1"/>
          <w:sz w:val="24"/>
          <w:szCs w:val="24"/>
        </w:rPr>
        <w:t>Ευρωπαϊκό Ταμείο Θάλασσας, Αλιείας και Υδατοκαλλιέργειας (</w:t>
      </w:r>
      <w:r>
        <w:rPr>
          <w:rFonts w:ascii="Times New Roman" w:hAnsi="Times New Roman"/>
          <w:noProof/>
          <w:sz w:val="24"/>
          <w:szCs w:val="24"/>
        </w:rPr>
        <w:t>ΕΤΘΑΥ)</w:t>
      </w:r>
      <w:r>
        <w:rPr>
          <w:rStyle w:val="FootnoteReference"/>
          <w:rFonts w:ascii="Times New Roman" w:hAnsi="Times New Roman" w:cs="Times New Roman"/>
          <w:noProof/>
          <w:sz w:val="24"/>
          <w:szCs w:val="24"/>
        </w:rPr>
        <w:footnoteReference w:id="65"/>
      </w:r>
      <w:r>
        <w:rPr>
          <w:rFonts w:ascii="Times New Roman" w:hAnsi="Times New Roman"/>
          <w:noProof/>
          <w:sz w:val="24"/>
          <w:szCs w:val="24"/>
        </w:rPr>
        <w:t xml:space="preserve"> ενισχύει επίσης την αξιοποίηση της έρευνας, της καινοτομίας και της τεχνολογίας στη γαλάζια οικονομία, ενώ η πλατφόρμα</w:t>
      </w:r>
      <w:r>
        <w:rPr>
          <w:rStyle w:val="FootnoteReference"/>
          <w:rFonts w:ascii="Times New Roman" w:hAnsi="Times New Roman" w:cs="Times New Roman"/>
          <w:noProof/>
          <w:sz w:val="24"/>
          <w:szCs w:val="24"/>
        </w:rPr>
        <w:footnoteReference w:id="66"/>
      </w:r>
      <w:r>
        <w:rPr>
          <w:rFonts w:ascii="Times New Roman" w:hAnsi="Times New Roman"/>
          <w:noProof/>
          <w:sz w:val="24"/>
          <w:szCs w:val="24"/>
        </w:rPr>
        <w:t xml:space="preserve"> και το ταμείο BlueInvest παρέχουν υπηρεσίες επενδυτικής ετοιμότητας. </w:t>
      </w:r>
    </w:p>
    <w:tbl>
      <w:tblPr>
        <w:tblStyle w:val="TableGrid"/>
        <w:tblW w:w="0" w:type="auto"/>
        <w:shd w:val="clear" w:color="auto" w:fill="D9D9D9" w:themeFill="background1" w:themeFillShade="D9"/>
        <w:tblLook w:val="04A0" w:firstRow="1" w:lastRow="0" w:firstColumn="1" w:lastColumn="0" w:noHBand="0" w:noVBand="1"/>
      </w:tblPr>
      <w:tblGrid>
        <w:gridCol w:w="9576"/>
      </w:tblGrid>
      <w:tr w:rsidR="001C7A4F" w:rsidRPr="00D5783B" w:rsidTr="0059242F">
        <w:trPr>
          <w:trHeight w:val="350"/>
        </w:trPr>
        <w:tc>
          <w:tcPr>
            <w:tcW w:w="9576" w:type="dxa"/>
            <w:shd w:val="clear" w:color="auto" w:fill="D9D9D9" w:themeFill="background1" w:themeFillShade="D9"/>
          </w:tcPr>
          <w:p w:rsidR="001C7A4F" w:rsidRPr="00C544CF" w:rsidRDefault="001C7A4F" w:rsidP="00B07E88">
            <w:pPr>
              <w:spacing w:after="60"/>
              <w:jc w:val="both"/>
              <w:rPr>
                <w:rFonts w:ascii="Times New Roman" w:hAnsi="Times New Roman" w:cs="Times New Roman"/>
                <w:b/>
                <w:noProof/>
              </w:rPr>
            </w:pPr>
            <w:r>
              <w:rPr>
                <w:rFonts w:ascii="Times New Roman" w:hAnsi="Times New Roman"/>
                <w:b/>
                <w:noProof/>
              </w:rPr>
              <w:t>Η Επιτροπή ενθαρρύνει τα οικεία κράτη μέλη και τις εξόχως απόκεντρες περιοχές:</w:t>
            </w:r>
          </w:p>
          <w:p w:rsidR="009A49B6" w:rsidRPr="00C544CF" w:rsidRDefault="00EB6652" w:rsidP="00B07E88">
            <w:pPr>
              <w:pStyle w:val="ListParagraph"/>
              <w:numPr>
                <w:ilvl w:val="0"/>
                <w:numId w:val="2"/>
              </w:numPr>
              <w:spacing w:after="60"/>
              <w:contextualSpacing w:val="0"/>
              <w:jc w:val="both"/>
              <w:rPr>
                <w:rFonts w:ascii="Times New Roman" w:hAnsi="Times New Roman" w:cs="Times New Roman"/>
                <w:b/>
                <w:bCs/>
                <w:noProof/>
              </w:rPr>
            </w:pPr>
            <w:r>
              <w:rPr>
                <w:rFonts w:ascii="Times New Roman" w:hAnsi="Times New Roman"/>
                <w:noProof/>
                <w:color w:val="000000"/>
              </w:rPr>
              <w:t>να συμμετάσχουν σε ευκαιρίες στο πλαίσιο του σκέλους «διεύρυνσης»</w:t>
            </w:r>
            <w:r>
              <w:rPr>
                <w:rFonts w:ascii="Times New Roman" w:hAnsi="Times New Roman"/>
                <w:noProof/>
              </w:rPr>
              <w:t xml:space="preserve"> του προγράμματος-πλαισίου «Ορίζων Ευρώπη» και στις προσκλήσεις υποβολής προτάσεων για έργα σε βασικά θέματα για τις εξόχως απόκεντρες περιοχές· </w:t>
            </w:r>
          </w:p>
          <w:p w:rsidR="001C7A4F" w:rsidRPr="00C544CF" w:rsidRDefault="00B143FE" w:rsidP="00B07E88">
            <w:pPr>
              <w:pStyle w:val="ListParagraph"/>
              <w:numPr>
                <w:ilvl w:val="0"/>
                <w:numId w:val="2"/>
              </w:numPr>
              <w:spacing w:after="60"/>
              <w:contextualSpacing w:val="0"/>
              <w:jc w:val="both"/>
              <w:rPr>
                <w:rFonts w:ascii="Times New Roman" w:hAnsi="Times New Roman" w:cs="Times New Roman"/>
                <w:b/>
                <w:bCs/>
                <w:noProof/>
              </w:rPr>
            </w:pPr>
            <w:r>
              <w:rPr>
                <w:rFonts w:ascii="Times New Roman" w:hAnsi="Times New Roman"/>
                <w:noProof/>
              </w:rPr>
              <w:t>να δρομολογήσουν μια διαδικασία για τον προσδιορισμό κοινών προτεραιοτήτων ενόψει της συνεργασίας σε επίπεδο προγράμματος μεταξύ των χρηματοδοτών της έρευνας, στο πλαίσιο του προγράμματος-πλαισίου «Ορίζων Ευρώπη»·</w:t>
            </w:r>
          </w:p>
          <w:p w:rsidR="00D676A9" w:rsidRPr="00C544CF" w:rsidRDefault="00EB6652" w:rsidP="00B07E88">
            <w:pPr>
              <w:pStyle w:val="ListParagraph"/>
              <w:numPr>
                <w:ilvl w:val="0"/>
                <w:numId w:val="2"/>
              </w:numPr>
              <w:spacing w:after="60"/>
              <w:contextualSpacing w:val="0"/>
              <w:jc w:val="both"/>
              <w:rPr>
                <w:rFonts w:ascii="Times New Roman" w:hAnsi="Times New Roman" w:cs="Times New Roman"/>
                <w:b/>
                <w:noProof/>
              </w:rPr>
            </w:pPr>
            <w:r>
              <w:rPr>
                <w:rFonts w:ascii="Times New Roman" w:hAnsi="Times New Roman"/>
                <w:noProof/>
              </w:rPr>
              <w:t>να επανεξετάσουν και να εφαρμόσουν στρατηγικές έξυπνης εξειδίκευσης· να επωφεληθούν από τις ευκαιρίες που προσφέρουν οι διαπεριφερειακές συμπράξεις και αλυσίδες αξίας έξυπνης εξειδίκευσης.</w:t>
            </w:r>
          </w:p>
          <w:p w:rsidR="001C7A4F" w:rsidRPr="00C544CF" w:rsidRDefault="001C7A4F" w:rsidP="00B07E88">
            <w:pPr>
              <w:spacing w:after="60"/>
              <w:rPr>
                <w:rFonts w:ascii="Times New Roman" w:hAnsi="Times New Roman" w:cs="Times New Roman"/>
                <w:b/>
                <w:noProof/>
              </w:rPr>
            </w:pPr>
            <w:r>
              <w:rPr>
                <w:rFonts w:ascii="Times New Roman" w:hAnsi="Times New Roman"/>
                <w:b/>
                <w:noProof/>
              </w:rPr>
              <w:t>Η Επιτροπή:</w:t>
            </w:r>
          </w:p>
          <w:p w:rsidR="001F611F" w:rsidRPr="00C544CF" w:rsidRDefault="006F49A7" w:rsidP="00B07E88">
            <w:pPr>
              <w:pStyle w:val="ListParagraph"/>
              <w:numPr>
                <w:ilvl w:val="0"/>
                <w:numId w:val="2"/>
              </w:numPr>
              <w:spacing w:after="60"/>
              <w:contextualSpacing w:val="0"/>
              <w:jc w:val="both"/>
              <w:rPr>
                <w:rFonts w:ascii="Times New Roman" w:hAnsi="Times New Roman" w:cs="Times New Roman"/>
                <w:b/>
                <w:noProof/>
              </w:rPr>
            </w:pPr>
            <w:r>
              <w:rPr>
                <w:rFonts w:ascii="Times New Roman" w:hAnsi="Times New Roman"/>
                <w:noProof/>
              </w:rPr>
              <w:t xml:space="preserve">θα σχεδιάσει μια πρόσκληση υποβολής προτάσεων προσαρμοσμένη στις εξόχως απόκεντρες περιοχές στο πλαίσιο του </w:t>
            </w:r>
            <w:r>
              <w:rPr>
                <w:rFonts w:ascii="Times New Roman" w:hAnsi="Times New Roman"/>
                <w:b/>
                <w:noProof/>
              </w:rPr>
              <w:t xml:space="preserve">προγράμματος εργασίας 2023-2024 της πρωτοβουλίας </w:t>
            </w:r>
            <w:r>
              <w:rPr>
                <w:rFonts w:ascii="Times New Roman" w:hAnsi="Times New Roman"/>
                <w:b/>
                <w:bCs/>
                <w:noProof/>
              </w:rPr>
              <w:t>για τις διαπεριφερειακές επενδύσεις στην καινοτομία</w:t>
            </w:r>
            <w:r>
              <w:rPr>
                <w:rFonts w:ascii="Times New Roman" w:hAnsi="Times New Roman"/>
                <w:noProof/>
              </w:rPr>
              <w:t>·</w:t>
            </w:r>
            <w:r>
              <w:rPr>
                <w:rFonts w:ascii="Times New Roman" w:hAnsi="Times New Roman"/>
                <w:b/>
                <w:noProof/>
              </w:rPr>
              <w:t xml:space="preserve"> </w:t>
            </w:r>
          </w:p>
          <w:p w:rsidR="00B4452F" w:rsidRPr="00B32DA8" w:rsidRDefault="00B143FE" w:rsidP="00B07E88">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color w:val="000000"/>
              </w:rPr>
              <w:t>με την επιφύλαξη των αποτελεσμάτων του έργου FORWARD,</w:t>
            </w:r>
            <w:r>
              <w:rPr>
                <w:rFonts w:ascii="Times New Roman" w:hAnsi="Times New Roman"/>
                <w:b/>
                <w:noProof/>
              </w:rPr>
              <w:t xml:space="preserve"> </w:t>
            </w:r>
            <w:r>
              <w:rPr>
                <w:rFonts w:ascii="Times New Roman" w:hAnsi="Times New Roman"/>
                <w:b/>
                <w:noProof/>
                <w:color w:val="000000"/>
              </w:rPr>
              <w:t xml:space="preserve">θα προτείνει μια ειδική δράση συντονισμού και στήριξης στο πλαίσιο του σκέλους διεύρυνσης του προγράμματος </w:t>
            </w:r>
            <w:r>
              <w:rPr>
                <w:rFonts w:ascii="Times New Roman" w:hAnsi="Times New Roman"/>
                <w:b/>
                <w:noProof/>
              </w:rPr>
              <w:t>«Ορίζων Ευρώπη»</w:t>
            </w:r>
            <w:r>
              <w:rPr>
                <w:rFonts w:ascii="Times New Roman" w:hAnsi="Times New Roman"/>
                <w:noProof/>
                <w:color w:val="000000"/>
              </w:rPr>
              <w:t>, όπως προτείνεται από τις εξόχως απόκεντρες περιοχές, για την περαιτέρω ενεργοποίηση των τοπικών κοινοτήτων έρευνας και καινοτομίας, π.χ. μέσω έργων τοπικών ερευνητών σχετικά με κοινωνικοοικονομικά θέματα που αφορούν ειδικά τις εν λόγω περιοχές·</w:t>
            </w:r>
          </w:p>
          <w:p w:rsidR="00B4452F" w:rsidRPr="00B32DA8" w:rsidRDefault="00B143FE" w:rsidP="00B07E88">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rPr>
              <w:t xml:space="preserve">θα στηρίξει τις εξόχως απόκεντρες περιοχές στη διαμόρφωση και την εφαρμογή στρατηγικών έξυπνης εξειδίκευσης και θα παράσχει προσαρμοσμένη στήριξη μέσω της </w:t>
            </w:r>
            <w:r>
              <w:rPr>
                <w:rFonts w:ascii="Times New Roman" w:hAnsi="Times New Roman"/>
                <w:b/>
                <w:noProof/>
              </w:rPr>
              <w:t>κοινότητας πρακτικής</w:t>
            </w:r>
            <w:r>
              <w:rPr>
                <w:rFonts w:ascii="Times New Roman" w:hAnsi="Times New Roman"/>
                <w:noProof/>
              </w:rPr>
              <w:t xml:space="preserve"> που θα δρομολογηθεί έως το τέλος του 2022· </w:t>
            </w:r>
          </w:p>
          <w:p w:rsidR="001C7A4F" w:rsidRPr="00FC40ED" w:rsidRDefault="00B143FE" w:rsidP="00B07E88">
            <w:pPr>
              <w:pStyle w:val="ListParagraph"/>
              <w:numPr>
                <w:ilvl w:val="0"/>
                <w:numId w:val="2"/>
              </w:numPr>
              <w:spacing w:after="60"/>
              <w:contextualSpacing w:val="0"/>
              <w:jc w:val="both"/>
              <w:rPr>
                <w:noProof/>
              </w:rPr>
            </w:pPr>
            <w:r>
              <w:rPr>
                <w:rFonts w:ascii="Times New Roman" w:hAnsi="Times New Roman"/>
                <w:noProof/>
              </w:rPr>
              <w:t>θα εξασφαλίσει ότι τα επόμενα προγράμματα εργασίας του προγράμματος-πλαισίου «Ορίζων Ευρώπη» περιλαμβάνουν θέματα σχετικά με τις εξόχως απόκεντρες περιοχές.</w:t>
            </w:r>
            <w:r>
              <w:rPr>
                <w:rFonts w:ascii="Times New Roman" w:hAnsi="Times New Roman"/>
                <w:noProof/>
                <w:sz w:val="22"/>
              </w:rPr>
              <w:t xml:space="preserve"> </w:t>
            </w:r>
            <w:r>
              <w:rPr>
                <w:noProof/>
                <w:color w:val="000000"/>
                <w:sz w:val="22"/>
              </w:rPr>
              <w:t xml:space="preserve"> </w:t>
            </w:r>
          </w:p>
        </w:tc>
      </w:tr>
    </w:tbl>
    <w:p w:rsidR="001C7A4F" w:rsidRPr="00EA084B" w:rsidRDefault="001C7A4F" w:rsidP="00252F21">
      <w:pPr>
        <w:keepNext/>
        <w:spacing w:before="240" w:after="120" w:line="240" w:lineRule="auto"/>
        <w:rPr>
          <w:rFonts w:ascii="Times New Roman" w:hAnsi="Times New Roman" w:cs="Times New Roman"/>
          <w:b/>
          <w:bCs/>
          <w:noProof/>
          <w:sz w:val="24"/>
          <w:szCs w:val="24"/>
        </w:rPr>
      </w:pPr>
      <w:r>
        <w:rPr>
          <w:rFonts w:ascii="Times New Roman" w:hAnsi="Times New Roman"/>
          <w:b/>
          <w:bCs/>
          <w:noProof/>
          <w:sz w:val="24"/>
          <w:szCs w:val="24"/>
        </w:rPr>
        <w:t>Κινητικότητα, μεταφορές, τουρισμός, πολιτισμός</w:t>
      </w:r>
    </w:p>
    <w:p w:rsidR="001C7A4F" w:rsidRPr="00D82C52" w:rsidRDefault="00EC1539" w:rsidP="00C62324">
      <w:pPr>
        <w:spacing w:before="120" w:after="0" w:line="240" w:lineRule="auto"/>
        <w:jc w:val="both"/>
        <w:rPr>
          <w:rFonts w:ascii="Times New Roman" w:hAnsi="Times New Roman" w:cs="Times New Roman"/>
          <w:noProof/>
          <w:color w:val="000000" w:themeColor="text1"/>
          <w:sz w:val="24"/>
          <w:szCs w:val="24"/>
        </w:rPr>
      </w:pPr>
      <w:r>
        <w:rPr>
          <w:rFonts w:ascii="Times New Roman" w:hAnsi="Times New Roman"/>
          <w:noProof/>
          <w:sz w:val="24"/>
          <w:szCs w:val="24"/>
        </w:rPr>
        <w:t>Οι εξόχως απόκεντρες περιοχές βασίζονται στις αεροπορικές και θαλάσσιες συνδέσεις για τις μεταφορές και την προμήθεια αγαθών. Οι μεταφορικές συνδέσεις εντός των περιοχών και με την ηπειρωτική Ευρώπη είναι απαραίτητες για την πρόσβαση των πολιτών στην εκπαίδευση, την κατάρτιση και την απασχόληση, καθώς και για τις επιχειρήσεις, το εμπόριο και τον τουρισμό. Ο τουρισμός συμβάλλει σε σημαντικό ποσοστό της οικονομίας τους —35 % του ΑΕΠ των Κανάριων Νήσων</w:t>
      </w:r>
      <w:r>
        <w:rPr>
          <w:rStyle w:val="FootnoteReference"/>
          <w:rFonts w:ascii="Times New Roman" w:hAnsi="Times New Roman" w:cs="Times New Roman"/>
          <w:noProof/>
          <w:sz w:val="24"/>
          <w:szCs w:val="24"/>
        </w:rPr>
        <w:footnoteReference w:id="67"/>
      </w:r>
      <w:r>
        <w:rPr>
          <w:rFonts w:ascii="Times New Roman" w:hAnsi="Times New Roman"/>
          <w:noProof/>
          <w:color w:val="000000" w:themeColor="text1"/>
          <w:sz w:val="24"/>
          <w:szCs w:val="24"/>
        </w:rPr>
        <w:t xml:space="preserve"> και ένα τέταρτο του ΑΕΠ της Μαδέρας— και ο τομέας</w:t>
      </w:r>
      <w:r>
        <w:rPr>
          <w:rFonts w:ascii="Times New Roman" w:hAnsi="Times New Roman"/>
          <w:noProof/>
          <w:sz w:val="24"/>
          <w:szCs w:val="24"/>
        </w:rPr>
        <w:t xml:space="preserve"> επλήγη</w:t>
      </w:r>
      <w:r>
        <w:rPr>
          <w:rFonts w:ascii="Times New Roman" w:hAnsi="Times New Roman"/>
          <w:noProof/>
          <w:color w:val="000000" w:themeColor="text1"/>
          <w:sz w:val="24"/>
          <w:szCs w:val="24"/>
        </w:rPr>
        <w:t xml:space="preserve">πολύ σοβαρά </w:t>
      </w:r>
      <w:r>
        <w:rPr>
          <w:rFonts w:ascii="Times New Roman" w:hAnsi="Times New Roman"/>
          <w:noProof/>
          <w:sz w:val="24"/>
          <w:szCs w:val="24"/>
        </w:rPr>
        <w:t>από την κρίση λόγω της νόσου COVID-19</w:t>
      </w:r>
      <w:r>
        <w:rPr>
          <w:rStyle w:val="FootnoteReference"/>
          <w:rFonts w:ascii="Times New Roman" w:hAnsi="Times New Roman" w:cs="Times New Roman"/>
          <w:noProof/>
          <w:color w:val="000000" w:themeColor="text1"/>
          <w:sz w:val="24"/>
          <w:szCs w:val="24"/>
        </w:rPr>
        <w:footnoteReference w:id="68"/>
      </w:r>
      <w:r>
        <w:rPr>
          <w:rFonts w:ascii="Times New Roman" w:hAnsi="Times New Roman"/>
          <w:noProof/>
          <w:color w:val="000000" w:themeColor="text1"/>
          <w:sz w:val="24"/>
          <w:szCs w:val="24"/>
        </w:rPr>
        <w:t>. Στη Μαδέρα υπήρχαν 61 % λιγότεροι επισκέπτες σε τουριστικές εγκαταστάσεις και σημειώθηκε σχετική μείωση του εισοδήματος κατά 64 % το 2020 σε σύγκριση με το 2019</w:t>
      </w:r>
      <w:r>
        <w:rPr>
          <w:rStyle w:val="FootnoteReference"/>
          <w:rFonts w:ascii="Times New Roman" w:hAnsi="Times New Roman" w:cs="Times New Roman"/>
          <w:noProof/>
          <w:color w:val="000000" w:themeColor="text1"/>
          <w:sz w:val="24"/>
          <w:szCs w:val="24"/>
        </w:rPr>
        <w:footnoteReference w:id="69"/>
      </w:r>
      <w:r>
        <w:rPr>
          <w:rFonts w:ascii="Times New Roman" w:hAnsi="Times New Roman"/>
          <w:noProof/>
          <w:color w:val="000000" w:themeColor="text1"/>
          <w:sz w:val="24"/>
          <w:szCs w:val="24"/>
        </w:rPr>
        <w:t xml:space="preserve">. </w:t>
      </w:r>
    </w:p>
    <w:p w:rsidR="00493041" w:rsidRDefault="00493041">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Διάφορα ταμεία της ΕΕ μπορούν να στηρίξουν την κινητικότητα, τις μεταφορές και τον τουρισμό. Ο ΜΣΕ μπορεί να συγχρηματοδοτήσει υποδομές μεταφορών, και το πρόγραμμα εργασίας του στηρίζει ειδικά τους θαλάσσιους </w:t>
      </w:r>
      <w:r>
        <w:rPr>
          <w:rFonts w:ascii="Times New Roman" w:hAnsi="Times New Roman"/>
          <w:bCs/>
          <w:noProof/>
          <w:sz w:val="24"/>
          <w:szCs w:val="24"/>
        </w:rPr>
        <w:t>λιμένες για τη βελτίωση της συνδεσιμότητας των εξόχως απόκεντρων περιοχών.</w:t>
      </w:r>
      <w:r>
        <w:rPr>
          <w:rFonts w:ascii="Times New Roman" w:hAnsi="Times New Roman"/>
          <w:noProof/>
          <w:sz w:val="24"/>
          <w:szCs w:val="24"/>
        </w:rPr>
        <w:t xml:space="preserve"> Η πρόταση της Επιτροπής για την αναθεώρηση του κανονισμού για το </w:t>
      </w:r>
      <w:r>
        <w:rPr>
          <w:rFonts w:ascii="Times New Roman" w:hAnsi="Times New Roman"/>
          <w:bCs/>
          <w:noProof/>
          <w:sz w:val="24"/>
          <w:szCs w:val="24"/>
        </w:rPr>
        <w:t>διευρωπαϊκό δίκτυο μεταφορών (ΔΕΔ-Μ)</w:t>
      </w:r>
      <w:r>
        <w:rPr>
          <w:rStyle w:val="FootnoteReference"/>
          <w:rFonts w:ascii="Times New Roman" w:hAnsi="Times New Roman" w:cs="Times New Roman"/>
          <w:noProof/>
          <w:sz w:val="24"/>
          <w:szCs w:val="24"/>
        </w:rPr>
        <w:footnoteReference w:id="70"/>
      </w:r>
      <w:r>
        <w:rPr>
          <w:rFonts w:ascii="Times New Roman" w:hAnsi="Times New Roman"/>
          <w:noProof/>
          <w:sz w:val="24"/>
          <w:szCs w:val="24"/>
        </w:rPr>
        <w:t xml:space="preserve"> αντικατοπτρίζει τις ανάγκες συνδεσιμότητας των εξόχως απόκεντρων περιοχών, προσθέτοντας τους λιμένες, τους αστικούς κόμβους και τις οδούς τους στους χάρτες του δικτύου ΔΕΔ-Μ και καθιστώντας τις επιλέξιμες για στήριξη από τον ΜΣΕ. Οι περιοχές αυτές μπορούν να χρησιμοποιούν το </w:t>
      </w:r>
      <w:r>
        <w:rPr>
          <w:rFonts w:ascii="Times New Roman" w:hAnsi="Times New Roman"/>
          <w:bCs/>
          <w:noProof/>
          <w:sz w:val="24"/>
          <w:szCs w:val="24"/>
        </w:rPr>
        <w:t>ΕΤΠΑ</w:t>
      </w:r>
      <w:r>
        <w:rPr>
          <w:rFonts w:ascii="Times New Roman" w:hAnsi="Times New Roman"/>
          <w:noProof/>
          <w:sz w:val="24"/>
          <w:szCs w:val="24"/>
        </w:rPr>
        <w:t xml:space="preserve"> και το ΤΣ</w:t>
      </w:r>
      <w:r>
        <w:rPr>
          <w:rStyle w:val="FootnoteReference"/>
          <w:rFonts w:ascii="Times New Roman" w:hAnsi="Times New Roman" w:cs="Times New Roman"/>
          <w:noProof/>
          <w:sz w:val="24"/>
          <w:szCs w:val="24"/>
        </w:rPr>
        <w:footnoteReference w:id="71"/>
      </w:r>
      <w:r>
        <w:rPr>
          <w:rFonts w:ascii="Times New Roman" w:hAnsi="Times New Roman"/>
          <w:noProof/>
          <w:sz w:val="24"/>
          <w:szCs w:val="24"/>
        </w:rPr>
        <w:t xml:space="preserve"> για αερολιμενικές υποδομές και για τη στήριξη του τουριστικού τομέα. Για παράδειγμα, το ισπανικό σχέδιο ανάκαμψης και ανθεκτικότητας στηρίζει την ανθεκτικότητα του τουρισμού, στοχεύοντας σε επενδύσεις στους τομείς των υποδομών και του μάρκετινγκ.</w:t>
      </w:r>
    </w:p>
    <w:p w:rsidR="007907EC" w:rsidRPr="000B22B8" w:rsidRDefault="00CA7CBF" w:rsidP="00295F84">
      <w:pPr>
        <w:spacing w:before="120" w:after="240" w:line="240" w:lineRule="auto"/>
        <w:jc w:val="both"/>
        <w:rPr>
          <w:rFonts w:ascii="Times New Roman" w:hAnsi="Times New Roman" w:cs="Times New Roman"/>
          <w:noProof/>
          <w:sz w:val="24"/>
          <w:szCs w:val="24"/>
        </w:rPr>
      </w:pPr>
      <w:r>
        <w:rPr>
          <w:rFonts w:ascii="Times New Roman" w:hAnsi="Times New Roman"/>
          <w:noProof/>
          <w:sz w:val="24"/>
          <w:szCs w:val="24"/>
        </w:rPr>
        <w:t>Λαμβανομένης υπόψη της μεγάλης εξάρτησής τους από τις αεροπορικές συνδέσεις, όλες οι πτήσεις από τις εξόχως απόκεντρες περιοχές προς τον Ευρωπαϊκό Οικονομικό Χώρο εξαιρούνται από το σύστημα εμπορίας εκπομπών (ΣΕΔΕ) έως το τέλος του 2023</w:t>
      </w:r>
      <w:r>
        <w:rPr>
          <w:rStyle w:val="FootnoteReference"/>
          <w:rFonts w:ascii="Times New Roman" w:hAnsi="Times New Roman" w:cs="Times New Roman"/>
          <w:noProof/>
          <w:sz w:val="24"/>
          <w:szCs w:val="24"/>
        </w:rPr>
        <w:footnoteReference w:id="72"/>
      </w:r>
      <w:r>
        <w:rPr>
          <w:rFonts w:ascii="Times New Roman" w:hAnsi="Times New Roman"/>
          <w:noProof/>
          <w:sz w:val="24"/>
          <w:szCs w:val="24"/>
        </w:rPr>
        <w:t>. Το 2021 η Επιτροπή πρότεινε να εξαιρεθούν από το ΣΕΔΕ οι πτήσεις μεταξύ των εν λόγω περιοχών και των κρατών μελών τους έως το 2030</w:t>
      </w:r>
      <w:r>
        <w:rPr>
          <w:rStyle w:val="FootnoteReference"/>
          <w:rFonts w:ascii="Times New Roman" w:hAnsi="Times New Roman" w:cs="Times New Roman"/>
          <w:noProof/>
          <w:sz w:val="24"/>
          <w:szCs w:val="24"/>
        </w:rPr>
        <w:footnoteReference w:id="73"/>
      </w:r>
      <w:r>
        <w:rPr>
          <w:rFonts w:ascii="Times New Roman" w:hAnsi="Times New Roman"/>
          <w:noProof/>
          <w:sz w:val="24"/>
          <w:szCs w:val="24"/>
        </w:rPr>
        <w:t>. Η πορεία μετάβασης για τον τουρισμό</w:t>
      </w:r>
      <w:r>
        <w:rPr>
          <w:rStyle w:val="FootnoteReference"/>
          <w:rFonts w:ascii="Times New Roman" w:hAnsi="Times New Roman" w:cs="Times New Roman"/>
          <w:noProof/>
          <w:sz w:val="24"/>
          <w:szCs w:val="24"/>
        </w:rPr>
        <w:footnoteReference w:id="74"/>
      </w:r>
      <w:r>
        <w:rPr>
          <w:rFonts w:ascii="Times New Roman" w:hAnsi="Times New Roman"/>
          <w:noProof/>
          <w:sz w:val="24"/>
          <w:szCs w:val="24"/>
        </w:rPr>
        <w:t xml:space="preserve"> θα κατευθύνει την πράσινη και την ψηφιακή μετάβαση και την ανθεκτικότητα του τομέα, με προτεινόμενες δράσεις τις οποίες μπορούν να υλοποιήσουν οι εξόχως απόκεντρες περιοχές. Τέλος, η Επιτροπή στήριξε τον πολιτιστικό τομέα με ένα πιλοτικό έργο για τον πολιτισμό το οποίο στόχευε στις εξόχως απόκεντρες περιοχές και τις υπερπόντιες χώρες και εδάφη (ΥΧΕ)</w:t>
      </w:r>
      <w:r>
        <w:rPr>
          <w:rStyle w:val="FootnoteReference"/>
          <w:rFonts w:ascii="Times New Roman" w:hAnsi="Times New Roman" w:cs="Times New Roman"/>
          <w:noProof/>
          <w:sz w:val="24"/>
          <w:szCs w:val="24"/>
        </w:rPr>
        <w:footnoteReference w:id="75"/>
      </w:r>
      <w:r>
        <w:rPr>
          <w:rFonts w:ascii="Times New Roman" w:hAnsi="Times New Roman"/>
          <w:noProof/>
          <w:sz w:val="24"/>
          <w:szCs w:val="24"/>
        </w:rPr>
        <w:t>, καθώς και με άλλες πρωτοβουλίες</w:t>
      </w:r>
      <w:r>
        <w:rPr>
          <w:rStyle w:val="FootnoteReference"/>
          <w:rFonts w:ascii="Times New Roman" w:hAnsi="Times New Roman" w:cs="Times New Roman"/>
          <w:noProof/>
          <w:sz w:val="24"/>
          <w:szCs w:val="24"/>
        </w:rPr>
        <w:footnoteReference w:id="76"/>
      </w:r>
      <w:r>
        <w:rPr>
          <w:rFonts w:ascii="Times New Roman" w:hAnsi="Times New Roman"/>
          <w:noProof/>
          <w:sz w:val="24"/>
          <w:szCs w:val="24"/>
        </w:rPr>
        <w:t>, συμπληρωματικά προς το πρόγραμμα «Δημιουργική Ευρώπη».</w:t>
      </w:r>
    </w:p>
    <w:tbl>
      <w:tblPr>
        <w:tblStyle w:val="TableGrid"/>
        <w:tblW w:w="0" w:type="auto"/>
        <w:shd w:val="clear" w:color="auto" w:fill="D9D9D9" w:themeFill="background1" w:themeFillShade="D9"/>
        <w:tblLook w:val="04A0" w:firstRow="1" w:lastRow="0" w:firstColumn="1" w:lastColumn="0" w:noHBand="0" w:noVBand="1"/>
      </w:tblPr>
      <w:tblGrid>
        <w:gridCol w:w="9576"/>
      </w:tblGrid>
      <w:tr w:rsidR="001C7A4F" w:rsidRPr="00D5783B" w:rsidTr="00CA5F3C">
        <w:trPr>
          <w:trHeight w:val="557"/>
        </w:trPr>
        <w:tc>
          <w:tcPr>
            <w:tcW w:w="9576" w:type="dxa"/>
            <w:shd w:val="clear" w:color="auto" w:fill="D9D9D9" w:themeFill="background1" w:themeFillShade="D9"/>
          </w:tcPr>
          <w:p w:rsidR="001C7A4F" w:rsidRPr="00E90CE5" w:rsidRDefault="001C7A4F" w:rsidP="00B07E88">
            <w:pPr>
              <w:spacing w:after="60"/>
              <w:jc w:val="both"/>
              <w:rPr>
                <w:rFonts w:ascii="Times New Roman" w:hAnsi="Times New Roman" w:cs="Times New Roman"/>
                <w:b/>
                <w:noProof/>
              </w:rPr>
            </w:pPr>
            <w:r>
              <w:rPr>
                <w:rFonts w:ascii="Times New Roman" w:hAnsi="Times New Roman"/>
                <w:b/>
                <w:noProof/>
              </w:rPr>
              <w:t>Η Επιτροπή ενθαρρύνει τα οικεία κράτη μέλη και τις εξόχως απόκεντρες περιοχές:</w:t>
            </w:r>
          </w:p>
          <w:p w:rsidR="0047534F" w:rsidRPr="00BE66A5" w:rsidRDefault="0047534F" w:rsidP="00B07E88">
            <w:pPr>
              <w:pStyle w:val="ListParagraph"/>
              <w:numPr>
                <w:ilvl w:val="0"/>
                <w:numId w:val="2"/>
              </w:numPr>
              <w:spacing w:after="60"/>
              <w:contextualSpacing w:val="0"/>
              <w:jc w:val="both"/>
              <w:rPr>
                <w:rFonts w:ascii="Times New Roman" w:hAnsi="Times New Roman" w:cs="Times New Roman"/>
                <w:b/>
                <w:bCs/>
                <w:noProof/>
              </w:rPr>
            </w:pPr>
            <w:r>
              <w:rPr>
                <w:rFonts w:ascii="Times New Roman" w:hAnsi="Times New Roman"/>
                <w:noProof/>
              </w:rPr>
              <w:t>να αξιοποιήσουν όλες τις ευκαιρίες για τη χρηματοδότηση βασικών υποδομών μεταφορών, μεταξύ άλλων όσον αφορά τα εναλλακτικά καύσιμα·</w:t>
            </w:r>
          </w:p>
          <w:p w:rsidR="00F5384F" w:rsidRPr="00AD7C83" w:rsidRDefault="00081093">
            <w:pPr>
              <w:pStyle w:val="ListParagraph"/>
              <w:numPr>
                <w:ilvl w:val="0"/>
                <w:numId w:val="2"/>
              </w:numPr>
              <w:spacing w:after="60"/>
              <w:contextualSpacing w:val="0"/>
              <w:jc w:val="both"/>
              <w:rPr>
                <w:noProof/>
              </w:rPr>
            </w:pPr>
            <w:r>
              <w:rPr>
                <w:rFonts w:ascii="Times New Roman" w:hAnsi="Times New Roman"/>
                <w:noProof/>
              </w:rPr>
              <w:t>να επενδύσουν σε έναν ανθεκτικό, ψηφιακά κατάλληλο και βιώσιμο τουρισμό, αξιοποιώντας τις ευκαιρίες χρηματοδότησης της ΕΕ, ιδίως στον προγραμματισμό των ταμείων της πολιτικής συνοχής·</w:t>
            </w:r>
            <w:r>
              <w:rPr>
                <w:rFonts w:ascii="Times New Roman" w:hAnsi="Times New Roman"/>
                <w:b/>
                <w:bCs/>
                <w:noProof/>
              </w:rPr>
              <w:t xml:space="preserve"> </w:t>
            </w:r>
            <w:r>
              <w:rPr>
                <w:rFonts w:ascii="Times New Roman" w:hAnsi="Times New Roman"/>
                <w:noProof/>
              </w:rPr>
              <w:t>και να συμμετάσχουν στην υλοποίηση της πορείας μετάβασης για τον τουρισμό και να ανταλλάξουν δεδομένα σχετικά με τον τουρισμό·</w:t>
            </w:r>
            <w:r>
              <w:rPr>
                <w:rFonts w:ascii="Times New Roman" w:hAnsi="Times New Roman"/>
                <w:noProof/>
                <w:highlight w:val="yellow"/>
              </w:rPr>
              <w:t xml:space="preserve"> </w:t>
            </w:r>
          </w:p>
          <w:p w:rsidR="00F5384F" w:rsidRPr="0071383A" w:rsidRDefault="006C210C" w:rsidP="00B07E88">
            <w:pPr>
              <w:pStyle w:val="ListParagraph"/>
              <w:numPr>
                <w:ilvl w:val="0"/>
                <w:numId w:val="2"/>
              </w:numPr>
              <w:spacing w:after="60"/>
              <w:contextualSpacing w:val="0"/>
              <w:jc w:val="both"/>
              <w:rPr>
                <w:rFonts w:ascii="Times New Roman" w:hAnsi="Times New Roman" w:cs="Times New Roman"/>
                <w:b/>
                <w:noProof/>
              </w:rPr>
            </w:pPr>
            <w:r>
              <w:rPr>
                <w:rFonts w:ascii="Times New Roman" w:hAnsi="Times New Roman"/>
                <w:noProof/>
              </w:rPr>
              <w:t xml:space="preserve">να αναβαθμίσουν τις δεξιότητες και να επανειδικεύσουν τους εργαζομένους στον τομέα του τουρισμού στο πλαίσιο της σύμπραξης του συμφώνου για τις δεξιότητες </w:t>
            </w:r>
            <w:r>
              <w:rPr>
                <w:rFonts w:ascii="Times New Roman" w:hAnsi="Times New Roman"/>
                <w:bCs/>
                <w:noProof/>
              </w:rPr>
              <w:t>για τον τουρισμό.</w:t>
            </w:r>
          </w:p>
          <w:p w:rsidR="001C7A4F" w:rsidRPr="00E24AB7" w:rsidRDefault="001C7A4F" w:rsidP="00B07E88">
            <w:pPr>
              <w:spacing w:after="60"/>
              <w:jc w:val="both"/>
              <w:rPr>
                <w:rFonts w:ascii="Times New Roman" w:hAnsi="Times New Roman" w:cs="Times New Roman"/>
                <w:noProof/>
              </w:rPr>
            </w:pPr>
            <w:r>
              <w:rPr>
                <w:rFonts w:ascii="Times New Roman" w:hAnsi="Times New Roman"/>
                <w:b/>
                <w:noProof/>
              </w:rPr>
              <w:t>Η Επιτροπή:</w:t>
            </w:r>
          </w:p>
          <w:p w:rsidR="00D73ECD" w:rsidRPr="00E24AB7" w:rsidRDefault="00D73ECD">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rPr>
              <w:t xml:space="preserve">θα λάβει υπόψη τις ιδιαιτερότητες των περιοχών κατά την αναθεώρηση του </w:t>
            </w:r>
            <w:r>
              <w:rPr>
                <w:rFonts w:ascii="Times New Roman" w:hAnsi="Times New Roman"/>
                <w:bCs/>
                <w:noProof/>
              </w:rPr>
              <w:t>κανονισμού για τις αεροπορικές γραμμές·</w:t>
            </w:r>
            <w:r>
              <w:rPr>
                <w:rFonts w:ascii="Times New Roman" w:hAnsi="Times New Roman"/>
                <w:noProof/>
              </w:rPr>
              <w:t xml:space="preserve"> </w:t>
            </w:r>
          </w:p>
          <w:p w:rsidR="007046CB" w:rsidRPr="00E24AB7" w:rsidRDefault="007046CB">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rPr>
              <w:t>θα ενθαρρύνει και θα διευκολύνει την αξιοποίηση από τις εξόχως απόκεντρες περιοχές των διαθέσιμων εργαλείων της ΕΕ για τη βελτίωση της συνδεσιμότητας και της κινητικότητας·</w:t>
            </w:r>
          </w:p>
          <w:p w:rsidR="00401241" w:rsidRDefault="006C210C" w:rsidP="00B07E88">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rPr>
              <w:t>θα στηρίξει τις επενδύσεις στον τομέα του τουρισμού· θα εξασφαλίσει ότι τα ταμεία της ΕΕ, π.χ. τα ταμεία της πολιτικής συνοχής, στηρίζουν την ανάκαμψη και τη βιώσιμη ανάπτυξη αυτού του τομέα·</w:t>
            </w:r>
          </w:p>
          <w:p w:rsidR="009F059B" w:rsidRDefault="006C210C" w:rsidP="00B07E88">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rPr>
              <w:t>θα παράσχει στον τουριστικό τομέα πληροφορίες σχετικά με τις ευκαιρίες χρηματοδότησης και θα στηρίξει την αξιοποίησή τους·</w:t>
            </w:r>
          </w:p>
          <w:p w:rsidR="00BC31FC" w:rsidRPr="0047534F" w:rsidRDefault="006C210C">
            <w:pPr>
              <w:pStyle w:val="ListParagraph"/>
              <w:numPr>
                <w:ilvl w:val="0"/>
                <w:numId w:val="2"/>
              </w:numPr>
              <w:spacing w:after="60"/>
              <w:contextualSpacing w:val="0"/>
              <w:jc w:val="both"/>
              <w:rPr>
                <w:noProof/>
              </w:rPr>
            </w:pPr>
            <w:r>
              <w:rPr>
                <w:rFonts w:ascii="Times New Roman" w:hAnsi="Times New Roman"/>
                <w:noProof/>
              </w:rPr>
              <w:t xml:space="preserve">θα αποτυπώσει τις ιδιαιτερότητες των περιοχών στα </w:t>
            </w:r>
            <w:r>
              <w:rPr>
                <w:rFonts w:ascii="Times New Roman" w:hAnsi="Times New Roman"/>
                <w:bCs/>
                <w:noProof/>
              </w:rPr>
              <w:t>κριτήρια απονομής του οικολογικού σήματος για τα τουριστικά καταλύματα στην ΕΕ</w:t>
            </w:r>
            <w:r>
              <w:rPr>
                <w:rFonts w:ascii="Times New Roman" w:hAnsi="Times New Roman"/>
                <w:noProof/>
              </w:rPr>
              <w:t xml:space="preserve">· θα προωθήσει την ανταλλαγή δεδομένων σχετικά με τον τουρισμό και την ανάπτυξη ενός χώρου δεδομένων για τον τουρισμό· </w:t>
            </w:r>
          </w:p>
          <w:p w:rsidR="00E97BAA" w:rsidRPr="009C455F" w:rsidRDefault="0047534F">
            <w:pPr>
              <w:pStyle w:val="ListParagraph"/>
              <w:numPr>
                <w:ilvl w:val="0"/>
                <w:numId w:val="2"/>
              </w:numPr>
              <w:spacing w:after="60"/>
              <w:contextualSpacing w:val="0"/>
              <w:jc w:val="both"/>
              <w:rPr>
                <w:noProof/>
              </w:rPr>
            </w:pPr>
            <w:r>
              <w:rPr>
                <w:rFonts w:ascii="Times New Roman" w:hAnsi="Times New Roman"/>
                <w:noProof/>
              </w:rPr>
              <w:t>θα αποτυπώσει τις ιδιαιτερότητες των εξόχως απόκεντρων περιοχών στα προγράμματα εργασίας MEDIA του προγράμματος «Δημιουργική Ευρώπη».</w:t>
            </w:r>
          </w:p>
        </w:tc>
      </w:tr>
    </w:tbl>
    <w:p w:rsidR="003050B8" w:rsidRPr="00273E57" w:rsidRDefault="003050B8" w:rsidP="00295F84">
      <w:pPr>
        <w:spacing w:before="24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Βιοποικιλότητα </w:t>
      </w:r>
    </w:p>
    <w:p w:rsidR="004F0F4F" w:rsidRPr="004F0F4F" w:rsidRDefault="003050B8">
      <w:pPr>
        <w:spacing w:after="120" w:line="240" w:lineRule="auto"/>
        <w:jc w:val="both"/>
        <w:rPr>
          <w:rFonts w:ascii="Times New Roman" w:hAnsi="Times New Roman" w:cs="Times New Roman"/>
          <w:noProof/>
          <w:sz w:val="24"/>
          <w:szCs w:val="24"/>
        </w:rPr>
      </w:pPr>
      <w:r>
        <w:rPr>
          <w:rFonts w:ascii="Times New Roman" w:hAnsi="Times New Roman"/>
          <w:noProof/>
          <w:color w:val="000000" w:themeColor="text1"/>
          <w:sz w:val="24"/>
          <w:szCs w:val="24"/>
        </w:rPr>
        <w:t>Οι εξόχως απόκεντρες περιοχές έχουν εξαιρετικά υψηλή αξία βιοποικιλότητας. Αυτό αναγνωρίζεται στη στρατηγική της ΕΕ για τη βιοποικιλότητα με ορίζοντα το 2030</w:t>
      </w:r>
      <w:r>
        <w:rPr>
          <w:rStyle w:val="FootnoteReference"/>
          <w:rFonts w:ascii="Times New Roman" w:hAnsi="Times New Roman" w:cs="Times New Roman"/>
          <w:noProof/>
          <w:color w:val="000000" w:themeColor="text1"/>
          <w:sz w:val="24"/>
          <w:szCs w:val="24"/>
        </w:rPr>
        <w:footnoteReference w:id="77"/>
      </w:r>
      <w:r>
        <w:rPr>
          <w:rFonts w:ascii="Times New Roman" w:hAnsi="Times New Roman"/>
          <w:noProof/>
          <w:color w:val="000000" w:themeColor="text1"/>
          <w:sz w:val="24"/>
          <w:szCs w:val="24"/>
        </w:rPr>
        <w:t xml:space="preserve">, στην οποία τονίζεται συγκεκριμένα η ανάγκη προστασίας και αποκατάστασης των οικοσυστημάτων τους. Πολλοί τομείς, συμπεριλαμβανομένων του τουρισμού, της αλιείας, της δασοκομίας και της γεωργίας, εξαρτώνται από αυτήν τη βιοποικιλότητα. Τα υγιή οικοσυστήματα παρέχουν επίσης καθαρό αέρα και νερό και μετριάζουν τις δυσμενείς επιπτώσεις της κλιματικής αλλαγής. </w:t>
      </w:r>
      <w:r>
        <w:rPr>
          <w:rFonts w:ascii="Times New Roman" w:hAnsi="Times New Roman"/>
          <w:noProof/>
          <w:sz w:val="24"/>
          <w:szCs w:val="24"/>
        </w:rPr>
        <w:t>Κατά συνέπεια, η προστασία και η αποκατάστασή τους είναι ουσιώδους σημασίας. Η</w:t>
      </w:r>
      <w:r>
        <w:rPr>
          <w:rFonts w:ascii="Times New Roman" w:hAnsi="Times New Roman"/>
          <w:noProof/>
          <w:color w:val="000000" w:themeColor="text1"/>
          <w:sz w:val="24"/>
          <w:szCs w:val="24"/>
        </w:rPr>
        <w:t xml:space="preserve"> </w:t>
      </w:r>
      <w:r>
        <w:rPr>
          <w:rFonts w:ascii="Times New Roman" w:hAnsi="Times New Roman"/>
          <w:noProof/>
          <w:sz w:val="24"/>
          <w:szCs w:val="24"/>
        </w:rPr>
        <w:t>Επιτροπή θα εξέφραζε την ικανοποίησή της για τη συμπερίληψη από τα κράτη μέλη όλων των εξόχως απόκεντρων περιοχών τους στο δίκτυο προστατευόμενων περιοχών Natura 2000 της ΕΕ</w:t>
      </w:r>
      <w:r>
        <w:rPr>
          <w:rStyle w:val="FootnoteReference"/>
          <w:rFonts w:ascii="Times New Roman" w:hAnsi="Times New Roman" w:cs="Times New Roman"/>
          <w:noProof/>
          <w:sz w:val="24"/>
          <w:szCs w:val="24"/>
          <w:lang w:val="en-US"/>
        </w:rPr>
        <w:footnoteReference w:id="78"/>
      </w:r>
      <w:r>
        <w:rPr>
          <w:rFonts w:ascii="Times New Roman" w:hAnsi="Times New Roman"/>
          <w:noProof/>
          <w:sz w:val="24"/>
          <w:szCs w:val="24"/>
        </w:rPr>
        <w:t>, στις περιπτώσεις που αυτό δεν συμβαίνει ακόμη.</w:t>
      </w:r>
    </w:p>
    <w:p w:rsidR="003050B8" w:rsidRPr="00255699" w:rsidRDefault="003050B8" w:rsidP="00295F84">
      <w:pPr>
        <w:spacing w:after="240" w:line="240" w:lineRule="auto"/>
        <w:jc w:val="both"/>
        <w:rPr>
          <w:rFonts w:ascii="Times New Roman" w:hAnsi="Times New Roman"/>
          <w:noProof/>
          <w:sz w:val="24"/>
        </w:rPr>
      </w:pPr>
      <w:r>
        <w:rPr>
          <w:rFonts w:ascii="Times New Roman" w:hAnsi="Times New Roman"/>
          <w:noProof/>
          <w:sz w:val="24"/>
          <w:szCs w:val="24"/>
        </w:rPr>
        <w:t>Οι επενδύσεις στο πλαίσιο του ΕΤΠΑ θα συμβάλουν στη διατήρηση και την αποκατάσταση των προστατευόμενων περιοχών, καθώς και των πράσινων υποδομών. Το ΕΤΘΑΥ στηρίζει τις θαλάσσιες προστατευόμενες περιοχές, τους έμβιους θαλάσσιους πόρους και τα οικοσυστήματα. Οι επενδύσεις στη βιοποικιλότητα μπορούν επίσης να κινητοποιηθούν μέσω του InvestEU</w:t>
      </w:r>
      <w:r>
        <w:rPr>
          <w:rStyle w:val="FootnoteReference"/>
          <w:rFonts w:ascii="Times New Roman" w:hAnsi="Times New Roman" w:cs="Times New Roman"/>
          <w:noProof/>
          <w:sz w:val="24"/>
          <w:szCs w:val="24"/>
        </w:rPr>
        <w:footnoteReference w:id="79"/>
      </w:r>
      <w:r>
        <w:rPr>
          <w:rFonts w:ascii="Times New Roman" w:hAnsi="Times New Roman"/>
          <w:noProof/>
          <w:sz w:val="24"/>
          <w:szCs w:val="24"/>
        </w:rPr>
        <w:t>. Επιπλέον, το πρόγραμμα για το περιβάλλον και τη δράση για το κλίμα (LIFE)</w:t>
      </w:r>
      <w:r>
        <w:rPr>
          <w:rStyle w:val="FootnoteReference"/>
          <w:rFonts w:ascii="Times New Roman" w:hAnsi="Times New Roman" w:cs="Times New Roman"/>
          <w:bCs/>
          <w:noProof/>
          <w:color w:val="000000" w:themeColor="text1"/>
        </w:rPr>
        <w:footnoteReference w:id="80"/>
      </w:r>
      <w:r>
        <w:rPr>
          <w:rFonts w:ascii="Times New Roman" w:hAnsi="Times New Roman"/>
          <w:noProof/>
          <w:color w:val="000000" w:themeColor="text1"/>
        </w:rPr>
        <w:t xml:space="preserve"> </w:t>
      </w:r>
      <w:r>
        <w:rPr>
          <w:rFonts w:ascii="Times New Roman" w:hAnsi="Times New Roman"/>
          <w:noProof/>
          <w:sz w:val="24"/>
          <w:szCs w:val="24"/>
        </w:rPr>
        <w:t xml:space="preserve">αντικατοπτρίζει τις ιδιαιτερότητες των εξόχως απόκεντρων περιοχών σε όλες τις συνιστώσες του (βιοποικιλότητα, οικοσυστημικές υπηρεσίες, κυκλική οικονομία, κλιματική αλλαγή και ενέργεια) και δίνει ιδιαίτερη προσοχή και μονάδες πριμοδότησης στις αιτήσεις από αυτές τις περιοχές. Το LIFE περιλαμβάνει επίσης ένα πρόγραμμα επιχορηγήσεων για μικρά έργα στις εξόχως απόκεντρες περιοχές που συγχρηματοδοτούνται κατά 95 %. Η Επιτροπή έχει επίσης δημιουργήσει την τεχνική βοήθεια «Green Assist» για τη στήριξη δημόσιων και ιδιωτικών επενδύσεων στο φυσικό κεφάλαιο, τη βιοποικιλότητα, την κυκλική οικονομία και τον οικολογικό προσανατολισμό άλλων επενδύσεων. Οι επενδύσεις αυτές, πέρα από τη διατήρηση του περιβάλλοντος, προσφέρουν επίσης μεγάλες δυνατότητες για βιώσιμο και φιλικό προς το περιβάλλον τουρισμό, καθώς και για οικονομική διαφοροποίηση, για παράδειγμα, στον τομέα της φαρμακευτικής έρευνας και ανάπτυξης.  </w:t>
      </w:r>
    </w:p>
    <w:tbl>
      <w:tblPr>
        <w:tblStyle w:val="TableGrid"/>
        <w:tblW w:w="0" w:type="auto"/>
        <w:shd w:val="clear" w:color="auto" w:fill="D9D9D9" w:themeFill="background1" w:themeFillShade="D9"/>
        <w:tblLook w:val="04A0" w:firstRow="1" w:lastRow="0" w:firstColumn="1" w:lastColumn="0" w:noHBand="0" w:noVBand="1"/>
      </w:tblPr>
      <w:tblGrid>
        <w:gridCol w:w="9576"/>
      </w:tblGrid>
      <w:tr w:rsidR="003050B8" w:rsidRPr="00D5783B" w:rsidTr="3412B97E">
        <w:trPr>
          <w:trHeight w:val="416"/>
        </w:trPr>
        <w:tc>
          <w:tcPr>
            <w:tcW w:w="9828" w:type="dxa"/>
            <w:shd w:val="clear" w:color="auto" w:fill="D9D9D9" w:themeFill="background1" w:themeFillShade="D9"/>
          </w:tcPr>
          <w:p w:rsidR="003050B8" w:rsidRDefault="003050B8" w:rsidP="00B07E88">
            <w:pPr>
              <w:spacing w:after="60"/>
              <w:jc w:val="both"/>
              <w:rPr>
                <w:rFonts w:ascii="Times New Roman" w:hAnsi="Times New Roman" w:cs="Times New Roman"/>
                <w:b/>
                <w:noProof/>
              </w:rPr>
            </w:pPr>
            <w:r>
              <w:rPr>
                <w:rFonts w:ascii="Times New Roman" w:hAnsi="Times New Roman"/>
                <w:b/>
                <w:noProof/>
              </w:rPr>
              <w:t>Η Επιτροπή ενθαρρύνει τα οικεία κράτη μέλη και τις εξόχως απόκεντρες περιοχές:</w:t>
            </w:r>
          </w:p>
          <w:p w:rsidR="00081275" w:rsidRPr="00813242" w:rsidRDefault="008540E7" w:rsidP="00B07E88">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color w:val="000000" w:themeColor="text1"/>
              </w:rPr>
              <w:t>να αδράξουν συγκεκριμένες ευκαιρίες στο πλαίσιο του προγράμματος LIFE, π.χ. τις επιχορηγήσεις για έργα βιοποικιλότητας· το πρόγραμμα «Ορίζων Ευρώπη», π.χ. για την έρευνα σχετικά με τη θαλάσσια βιοποικιλότητα</w:t>
            </w:r>
            <w:r>
              <w:rPr>
                <w:rStyle w:val="FootnoteReference"/>
                <w:rFonts w:ascii="Times New Roman" w:hAnsi="Times New Roman" w:cs="Times New Roman"/>
                <w:noProof/>
                <w:color w:val="000000" w:themeColor="text1"/>
              </w:rPr>
              <w:footnoteReference w:id="81"/>
            </w:r>
            <w:r>
              <w:rPr>
                <w:rFonts w:ascii="Times New Roman" w:hAnsi="Times New Roman"/>
                <w:noProof/>
                <w:color w:val="000000" w:themeColor="text1"/>
              </w:rPr>
              <w:t>· και την πρωτοβουλία για τις διαπεριφερειακές επενδύσεις στην καινοτομία με στόχο τη συνεργασία για την πράσινη μετάβαση·</w:t>
            </w:r>
          </w:p>
          <w:p w:rsidR="00802423" w:rsidRPr="00813242" w:rsidRDefault="008540E7" w:rsidP="00B07E88">
            <w:pPr>
              <w:pStyle w:val="ListParagraph"/>
              <w:numPr>
                <w:ilvl w:val="0"/>
                <w:numId w:val="2"/>
              </w:numPr>
              <w:spacing w:after="60"/>
              <w:contextualSpacing w:val="0"/>
              <w:jc w:val="both"/>
              <w:rPr>
                <w:rFonts w:ascii="Times New Roman" w:hAnsi="Times New Roman" w:cs="Times New Roman"/>
                <w:b/>
                <w:noProof/>
              </w:rPr>
            </w:pPr>
            <w:r>
              <w:rPr>
                <w:rFonts w:ascii="Times New Roman" w:hAnsi="Times New Roman"/>
                <w:noProof/>
                <w:color w:val="000000" w:themeColor="text1"/>
              </w:rPr>
              <w:t>να εφαρμόσουν στρατηγικές που ενσωματώνουν τη βιοποικιλότητα σε όλους τους τομείς· να αναπτύξουν μέτρα για την προστασία και την αποκατάσταση των οικοσυστημάτων των εξόχως απόκεντρων περιοχών στα εθνικά σχέδια αποκατάστασης</w:t>
            </w:r>
            <w:r>
              <w:rPr>
                <w:rFonts w:ascii="Times New Roman" w:hAnsi="Times New Roman"/>
                <w:bCs/>
                <w:noProof/>
                <w:color w:val="000000" w:themeColor="text1"/>
              </w:rPr>
              <w:t>·</w:t>
            </w:r>
          </w:p>
          <w:p w:rsidR="00D8007D" w:rsidRPr="00813242" w:rsidRDefault="008540E7" w:rsidP="00B07E88">
            <w:pPr>
              <w:pStyle w:val="ListParagraph"/>
              <w:numPr>
                <w:ilvl w:val="0"/>
                <w:numId w:val="2"/>
              </w:numPr>
              <w:overflowPunct w:val="0"/>
              <w:autoSpaceDE w:val="0"/>
              <w:autoSpaceDN w:val="0"/>
              <w:adjustRightInd w:val="0"/>
              <w:spacing w:after="60"/>
              <w:ind w:right="57"/>
              <w:contextualSpacing w:val="0"/>
              <w:jc w:val="both"/>
              <w:rPr>
                <w:noProof/>
              </w:rPr>
            </w:pPr>
            <w:r>
              <w:rPr>
                <w:rFonts w:ascii="Times New Roman" w:hAnsi="Times New Roman"/>
                <w:noProof/>
                <w:color w:val="000000" w:themeColor="text1"/>
              </w:rPr>
              <w:t>να προωθήσουν τις πράσινες δεξιότητες και θέσεις εργασίας</w:t>
            </w:r>
            <w:r>
              <w:rPr>
                <w:rFonts w:ascii="Times New Roman" w:hAnsi="Times New Roman"/>
                <w:noProof/>
              </w:rPr>
              <w:t xml:space="preserve"> </w:t>
            </w:r>
            <w:r>
              <w:rPr>
                <w:rFonts w:ascii="Times New Roman" w:hAnsi="Times New Roman"/>
                <w:noProof/>
                <w:color w:val="000000" w:themeColor="text1"/>
              </w:rPr>
              <w:t>κατά την εφαρμογή όλων των προγραμμάτων της ΕΕ</w:t>
            </w:r>
            <w:r>
              <w:rPr>
                <w:rStyle w:val="FootnoteReference"/>
                <w:rFonts w:ascii="Times New Roman" w:hAnsi="Times New Roman" w:cs="Times New Roman"/>
                <w:noProof/>
                <w:color w:val="000000" w:themeColor="text1"/>
              </w:rPr>
              <w:footnoteReference w:id="82"/>
            </w:r>
            <w:r>
              <w:rPr>
                <w:rFonts w:ascii="Times New Roman" w:hAnsi="Times New Roman"/>
                <w:noProof/>
                <w:color w:val="000000" w:themeColor="text1"/>
              </w:rPr>
              <w:t xml:space="preserve">· </w:t>
            </w:r>
            <w:r>
              <w:rPr>
                <w:rFonts w:ascii="Times New Roman" w:hAnsi="Times New Roman"/>
                <w:noProof/>
              </w:rPr>
              <w:t>να συνδυάσουν ταμεία με χρηματοδοτικά μέσα χρησιμοποιώντας την τεχνική βοήθεια «Green Assist».</w:t>
            </w:r>
          </w:p>
          <w:p w:rsidR="003050B8" w:rsidRPr="00813242" w:rsidRDefault="00B80C85" w:rsidP="00B07E88">
            <w:pPr>
              <w:spacing w:after="60"/>
              <w:rPr>
                <w:rFonts w:ascii="Times New Roman" w:hAnsi="Times New Roman" w:cs="Times New Roman"/>
                <w:noProof/>
              </w:rPr>
            </w:pPr>
            <w:r>
              <w:rPr>
                <w:rFonts w:ascii="Times New Roman" w:hAnsi="Times New Roman"/>
                <w:b/>
                <w:noProof/>
              </w:rPr>
              <w:t>Η Επιτροπή:</w:t>
            </w:r>
          </w:p>
          <w:p w:rsidR="003050B8" w:rsidRPr="00813242" w:rsidRDefault="008D1F38" w:rsidP="00B07E88">
            <w:pPr>
              <w:pStyle w:val="ListParagraph"/>
              <w:numPr>
                <w:ilvl w:val="0"/>
                <w:numId w:val="2"/>
              </w:numPr>
              <w:spacing w:after="60"/>
              <w:contextualSpacing w:val="0"/>
              <w:jc w:val="both"/>
              <w:rPr>
                <w:b/>
                <w:noProof/>
              </w:rPr>
            </w:pPr>
            <w:r>
              <w:rPr>
                <w:rFonts w:ascii="Times New Roman" w:hAnsi="Times New Roman"/>
                <w:noProof/>
              </w:rPr>
              <w:t>θα αυξήσει τη στήριξη σε έργα σχετικά με σημαντικά ή προσφάτως ανακαλυφθέντα είδη των εξόχως απόκεντρων περιοχών</w:t>
            </w:r>
            <w:r>
              <w:rPr>
                <w:rStyle w:val="FootnoteReference"/>
                <w:rFonts w:ascii="Times New Roman" w:hAnsi="Times New Roman" w:cs="Times New Roman"/>
                <w:noProof/>
                <w:lang w:val="en-IE"/>
              </w:rPr>
              <w:footnoteReference w:id="83"/>
            </w:r>
            <w:r>
              <w:rPr>
                <w:rFonts w:ascii="Times New Roman" w:hAnsi="Times New Roman"/>
                <w:noProof/>
              </w:rPr>
              <w:t xml:space="preserve"> στο πλαίσιο του </w:t>
            </w:r>
            <w:r>
              <w:rPr>
                <w:rFonts w:ascii="Times New Roman" w:hAnsi="Times New Roman"/>
                <w:b/>
                <w:bCs/>
                <w:noProof/>
              </w:rPr>
              <w:t>προγράμματος LIFE</w:t>
            </w:r>
            <w:r>
              <w:rPr>
                <w:rFonts w:ascii="Times New Roman" w:hAnsi="Times New Roman"/>
                <w:b/>
                <w:noProof/>
              </w:rPr>
              <w:t xml:space="preserve"> για την περίοδο 2025-2027</w:t>
            </w:r>
            <w:r>
              <w:rPr>
                <w:rFonts w:ascii="Times New Roman" w:hAnsi="Times New Roman"/>
                <w:noProof/>
              </w:rPr>
              <w:t>, με την επιφύλαξη αξιολόγησης</w:t>
            </w:r>
            <w:r>
              <w:rPr>
                <w:rStyle w:val="FootnoteReference"/>
                <w:rFonts w:ascii="Times New Roman" w:hAnsi="Times New Roman" w:cs="Times New Roman"/>
                <w:noProof/>
                <w:lang w:val="en-IE"/>
              </w:rPr>
              <w:footnoteReference w:id="84"/>
            </w:r>
            <w:r>
              <w:rPr>
                <w:rFonts w:ascii="Times New Roman" w:hAnsi="Times New Roman"/>
                <w:noProof/>
              </w:rPr>
              <w:t>·</w:t>
            </w:r>
          </w:p>
          <w:p w:rsidR="003050B8" w:rsidRPr="00813242" w:rsidRDefault="00987FC9" w:rsidP="00B07E88">
            <w:pPr>
              <w:pStyle w:val="ListParagraph"/>
              <w:numPr>
                <w:ilvl w:val="0"/>
                <w:numId w:val="2"/>
              </w:numPr>
              <w:spacing w:after="60"/>
              <w:contextualSpacing w:val="0"/>
              <w:jc w:val="both"/>
              <w:rPr>
                <w:rFonts w:ascii="Times New Roman" w:hAnsi="Times New Roman" w:cs="Times New Roman"/>
                <w:b/>
                <w:bCs/>
                <w:noProof/>
              </w:rPr>
            </w:pPr>
            <w:r>
              <w:rPr>
                <w:rFonts w:ascii="Times New Roman" w:hAnsi="Times New Roman"/>
                <w:noProof/>
              </w:rPr>
              <w:t xml:space="preserve">θα εγκρίνει πρόταση </w:t>
            </w:r>
            <w:r>
              <w:rPr>
                <w:rFonts w:ascii="Times New Roman" w:hAnsi="Times New Roman"/>
                <w:b/>
                <w:noProof/>
              </w:rPr>
              <w:t>κανονισμού για την αποκατάσταση της φύσης</w:t>
            </w:r>
            <w:r>
              <w:rPr>
                <w:rFonts w:ascii="Times New Roman" w:hAnsi="Times New Roman"/>
                <w:noProof/>
              </w:rPr>
              <w:t xml:space="preserve"> που να αντικατοπτρίζει τις ιδιαιτερότητες των εξόχως απόκεντρων περιοχών·</w:t>
            </w:r>
            <w:r>
              <w:rPr>
                <w:rFonts w:ascii="Times New Roman" w:hAnsi="Times New Roman"/>
                <w:bCs/>
                <w:noProof/>
              </w:rPr>
              <w:t xml:space="preserve"> </w:t>
            </w:r>
            <w:r>
              <w:rPr>
                <w:rFonts w:ascii="Times New Roman" w:hAnsi="Times New Roman"/>
                <w:noProof/>
              </w:rPr>
              <w:t xml:space="preserve">θα παρακολουθεί την υλοποίηση των μέτρων αποκατάστασης της φύσης για τις εν λόγω περιοχές· </w:t>
            </w:r>
          </w:p>
          <w:p w:rsidR="003050B8" w:rsidRPr="0059290F" w:rsidRDefault="00E81109" w:rsidP="00080981">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rPr>
              <w:t xml:space="preserve">θα συνεχίσει να στηρίζει τις αξιολογήσεις των οικοσυστημάτων στις εξόχως απόκεντρες περιοχές, π.χ. μέσω του </w:t>
            </w:r>
            <w:r>
              <w:rPr>
                <w:rFonts w:ascii="Times New Roman" w:hAnsi="Times New Roman"/>
                <w:bCs/>
                <w:noProof/>
              </w:rPr>
              <w:t>έργου MOVE-ON</w:t>
            </w:r>
            <w:r>
              <w:rPr>
                <w:rStyle w:val="FootnoteReference"/>
                <w:rFonts w:ascii="Times New Roman" w:hAnsi="Times New Roman" w:cs="Times New Roman"/>
                <w:bCs/>
                <w:noProof/>
              </w:rPr>
              <w:footnoteReference w:id="85"/>
            </w:r>
            <w:r>
              <w:rPr>
                <w:rFonts w:ascii="Times New Roman" w:hAnsi="Times New Roman"/>
                <w:noProof/>
              </w:rPr>
              <w:t xml:space="preserve">· και θα τις θέτει στη διάθεση του </w:t>
            </w:r>
            <w:r>
              <w:rPr>
                <w:rFonts w:ascii="Times New Roman" w:hAnsi="Times New Roman"/>
                <w:bCs/>
                <w:noProof/>
              </w:rPr>
              <w:t>κέντρου γνώσης για τη βιοποικιλότητα</w:t>
            </w:r>
            <w:r>
              <w:rPr>
                <w:rStyle w:val="FootnoteReference"/>
                <w:rFonts w:ascii="Times New Roman" w:hAnsi="Times New Roman" w:cs="Times New Roman"/>
                <w:bCs/>
                <w:noProof/>
              </w:rPr>
              <w:footnoteReference w:id="86"/>
            </w:r>
            <w:r>
              <w:rPr>
                <w:rFonts w:ascii="Times New Roman" w:hAnsi="Times New Roman"/>
                <w:bCs/>
                <w:noProof/>
              </w:rPr>
              <w:t>.</w:t>
            </w:r>
          </w:p>
        </w:tc>
      </w:tr>
    </w:tbl>
    <w:p w:rsidR="001C7A4F" w:rsidRPr="00ED72BA" w:rsidRDefault="001C7A4F" w:rsidP="00295F84">
      <w:pPr>
        <w:keepNext/>
        <w:spacing w:before="24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Γαλάζια οικονομία </w:t>
      </w:r>
    </w:p>
    <w:p w:rsidR="001C7A4F" w:rsidRPr="00CF56CD" w:rsidRDefault="001C7A4F" w:rsidP="001C7A4F">
      <w:pPr>
        <w:spacing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Οι εξόχως απόκεντρες περιοχές διαθέτουν μοναδικό δυναμικό γαλάζιας οικονομίας χάρη στις μεγάλες αποκλειστικές οικονομικές ζώνες (ΑΟΖ) τους, οι οποίες αντιπροσωπεύουν πάνω από το ήμισυ της ΑΟΖ της ΕΕ, καθώς και στην πλούσια θαλάσσια βιοποικιλότητα. Η αλιεία και οι θαλάσσιες μεταφορές εξακολουθούν να αποτελούν σημαντικό μέρος των οικονομιών τους. Είναι σημαντικό οι εξόχως απόκεντρες περιοχές να αναπτύξουν τις στρατηγικές τους για τη γαλάζια οικονομία με βιώσιμο τρόπο, μεταξύ άλλων, μέσω της προστασίας της θαλάσσιας βιοποικιλότητάς τους.</w:t>
      </w:r>
    </w:p>
    <w:p w:rsidR="001C7A4F" w:rsidRPr="00BE66A5" w:rsidRDefault="001C7A4F" w:rsidP="00295F84">
      <w:pPr>
        <w:spacing w:after="240" w:line="240" w:lineRule="auto"/>
        <w:jc w:val="both"/>
        <w:rPr>
          <w:rFonts w:ascii="Times New Roman" w:hAnsi="Times New Roman" w:cs="Times New Roman"/>
          <w:noProof/>
          <w:sz w:val="24"/>
          <w:szCs w:val="24"/>
        </w:rPr>
      </w:pPr>
      <w:r>
        <w:rPr>
          <w:rFonts w:ascii="Times New Roman" w:hAnsi="Times New Roman"/>
          <w:noProof/>
          <w:color w:val="000000" w:themeColor="text1"/>
          <w:sz w:val="24"/>
          <w:szCs w:val="24"/>
        </w:rPr>
        <w:t>Το ΕΤΘΑΥ και τα ταμεία της πολιτικής συνοχής στηρίζουν τον θαλάσσιο τομέα των εξόχως απόκεντρων περιοχών. Στο πλαίσιο του ΕΤΘΑΥ, οι εν λόγω περιοχές επωφελούνται από ειδικό προϋπολογισμό ύψους 315 εκατ. EUR για διαρθρωτικές επενδύσεις και την αντιστάθμιση του πρόσθετου κόστους, καθώς και από</w:t>
      </w:r>
      <w:r>
        <w:rPr>
          <w:rFonts w:ascii="Times New Roman" w:hAnsi="Times New Roman"/>
          <w:noProof/>
          <w:sz w:val="24"/>
          <w:szCs w:val="24"/>
        </w:rPr>
        <w:t xml:space="preserve"> ειδικές διατάξεις</w:t>
      </w:r>
      <w:r>
        <w:rPr>
          <w:rFonts w:ascii="Times New Roman" w:hAnsi="Times New Roman"/>
          <w:b/>
          <w:noProof/>
          <w:sz w:val="24"/>
          <w:szCs w:val="24"/>
        </w:rPr>
        <w:t xml:space="preserve"> </w:t>
      </w:r>
      <w:r>
        <w:rPr>
          <w:rFonts w:ascii="Times New Roman" w:hAnsi="Times New Roman"/>
          <w:noProof/>
          <w:sz w:val="24"/>
          <w:szCs w:val="24"/>
        </w:rPr>
        <w:t>περί κρατικών ενισχύσεων για την αλιεία και την υδατοκαλλιέργεια. Η Επιτροπή πρότεινε να συνεχίσουν να ισχύουν οι ειδικοί όροι για τις εν λόγω περιοχές στο πλαίσιο της υπό εξέλιξη αναθεώρησης των εν λόγω κανόνων</w:t>
      </w:r>
      <w:r>
        <w:rPr>
          <w:rStyle w:val="FootnoteReference"/>
          <w:rFonts w:ascii="Times New Roman" w:hAnsi="Times New Roman" w:cs="Times New Roman"/>
          <w:noProof/>
          <w:sz w:val="24"/>
          <w:szCs w:val="24"/>
        </w:rPr>
        <w:footnoteReference w:id="87"/>
      </w:r>
      <w:r>
        <w:rPr>
          <w:rFonts w:ascii="Times New Roman" w:hAnsi="Times New Roman"/>
          <w:noProof/>
          <w:sz w:val="24"/>
          <w:szCs w:val="24"/>
        </w:rPr>
        <w:t>.</w:t>
      </w:r>
      <w:r>
        <w:rPr>
          <w:rFonts w:ascii="Times New Roman" w:hAnsi="Times New Roman"/>
          <w:noProof/>
          <w:color w:val="000000" w:themeColor="text1"/>
          <w:sz w:val="24"/>
          <w:szCs w:val="24"/>
        </w:rPr>
        <w:t xml:space="preserve"> Οι</w:t>
      </w:r>
      <w:r>
        <w:rPr>
          <w:rFonts w:ascii="Times New Roman" w:hAnsi="Times New Roman"/>
          <w:noProof/>
          <w:sz w:val="24"/>
          <w:szCs w:val="24"/>
        </w:rPr>
        <w:t xml:space="preserve"> επενδύσεις </w:t>
      </w:r>
      <w:r>
        <w:rPr>
          <w:rFonts w:ascii="Times New Roman" w:hAnsi="Times New Roman"/>
          <w:noProof/>
          <w:color w:val="000000" w:themeColor="text1"/>
          <w:sz w:val="24"/>
          <w:szCs w:val="24"/>
        </w:rPr>
        <w:t>σε καινοτόμες θαλάσσιες ανανεώσιμες πηγές ενέργειας, στη γαλάζια βιοτεχνολογία, την υδατοκαλλιέργεια, την έρευνα, την προστασία και τη βιώσιμη εκμετάλλευση των πόρων βαθέων υδάτων και την κατάρτιση μπορούν να δημιουργήσουν νέα επιχειρηματικά μοντέλα και να δημιουργήσουν θέσεις εργασίας. Το πρόγραμμα «Ορίζων Ευρώπη» παρέχει επίσης ευκαιρίες</w:t>
      </w:r>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συντονισμού των μέτρων για την επίτευξη μιας κλιματικά ουδέτερης γαλάζιας οικονομίας και τη μείωση της ρύπανσης και των εκπομπών αερίων του θερμοκηπίου</w:t>
      </w:r>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στον θαλάσσιο τομέα,</w:t>
      </w:r>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μέσω της αποστολής του «Αποκατάσταση των ωκεανών και των υδάτων μας έως το 2030».</w:t>
      </w:r>
    </w:p>
    <w:tbl>
      <w:tblPr>
        <w:tblStyle w:val="TableGrid"/>
        <w:tblW w:w="0" w:type="auto"/>
        <w:shd w:val="clear" w:color="auto" w:fill="D9D9D9" w:themeFill="background1" w:themeFillShade="D9"/>
        <w:tblLook w:val="04A0" w:firstRow="1" w:lastRow="0" w:firstColumn="1" w:lastColumn="0" w:noHBand="0" w:noVBand="1"/>
      </w:tblPr>
      <w:tblGrid>
        <w:gridCol w:w="9576"/>
      </w:tblGrid>
      <w:tr w:rsidR="001C7A4F" w:rsidRPr="00CF56CD" w:rsidTr="00BE66A5">
        <w:trPr>
          <w:trHeight w:val="274"/>
        </w:trPr>
        <w:tc>
          <w:tcPr>
            <w:tcW w:w="9828" w:type="dxa"/>
            <w:shd w:val="clear" w:color="auto" w:fill="D9D9D9" w:themeFill="background1" w:themeFillShade="D9"/>
          </w:tcPr>
          <w:p w:rsidR="001C7A4F" w:rsidRPr="00CF56CD" w:rsidRDefault="001C7A4F" w:rsidP="00B07E88">
            <w:pPr>
              <w:spacing w:after="60"/>
              <w:jc w:val="both"/>
              <w:rPr>
                <w:rFonts w:ascii="Times New Roman" w:hAnsi="Times New Roman" w:cs="Times New Roman"/>
                <w:b/>
                <w:noProof/>
              </w:rPr>
            </w:pPr>
            <w:r>
              <w:rPr>
                <w:rFonts w:ascii="Times New Roman" w:hAnsi="Times New Roman"/>
                <w:b/>
                <w:noProof/>
              </w:rPr>
              <w:t>Η Επιτροπή ενθαρρύνει τα οικεία κράτη μέλη και τις εξόχως απόκεντρες περιοχές:</w:t>
            </w:r>
          </w:p>
          <w:p w:rsidR="003A523C" w:rsidRPr="00CB62BB" w:rsidRDefault="0049776F">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bCs/>
                <w:noProof/>
                <w:color w:val="000000"/>
              </w:rPr>
              <w:t>να εφαρμόσουν στρατηγικές γαλάζιας οικονομίας</w:t>
            </w:r>
            <w:r>
              <w:rPr>
                <w:rFonts w:ascii="Times New Roman" w:hAnsi="Times New Roman"/>
                <w:noProof/>
                <w:color w:val="000000"/>
              </w:rPr>
              <w:t>, αξιοποιώντας συνέργειες όσον αφορά τη στήριξη από την ΕΕ, συμπεριλαμβανομένου του ΕΤΘΑΥ για διαρθρωτικές επενδύσεις, του ΕΤΠΑ και του ΜΣΕ για τις υποδομές, του ΕΚΤ+ για την κατάρτιση, του LIFE και του ΕΤΘΑΥ για δράσεις για το κλίμα και τη βιοποικιλότητα, καθώς και του προγράμματος «Ορίζων Ευρώπη» για την καινοτομία·</w:t>
            </w:r>
            <w:r>
              <w:rPr>
                <w:rFonts w:ascii="Times New Roman" w:hAnsi="Times New Roman"/>
                <w:noProof/>
              </w:rPr>
              <w:t xml:space="preserve"> </w:t>
            </w:r>
          </w:p>
          <w:p w:rsidR="005C28A1" w:rsidRPr="00BE66A5" w:rsidRDefault="00C40034">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rPr>
              <w:t>να ενισχύσουν τις προσπάθειες για την καταπολέμηση της παράνομης αλιείας·</w:t>
            </w:r>
          </w:p>
          <w:p w:rsidR="001C7A4F" w:rsidRPr="00CF56CD" w:rsidRDefault="0049776F" w:rsidP="00B07E88">
            <w:pPr>
              <w:pStyle w:val="ListParagraph"/>
              <w:numPr>
                <w:ilvl w:val="0"/>
                <w:numId w:val="2"/>
              </w:numPr>
              <w:spacing w:after="60"/>
              <w:contextualSpacing w:val="0"/>
              <w:jc w:val="both"/>
              <w:rPr>
                <w:rFonts w:ascii="Times New Roman" w:hAnsi="Times New Roman" w:cs="Times New Roman"/>
                <w:noProof/>
                <w:color w:val="000000" w:themeColor="text1"/>
              </w:rPr>
            </w:pPr>
            <w:r>
              <w:rPr>
                <w:rFonts w:ascii="Times New Roman" w:hAnsi="Times New Roman"/>
                <w:noProof/>
                <w:color w:val="000000"/>
              </w:rPr>
              <w:t>να συμμετάσχουν σε βιώσιμες αλυσίδες αξίας της γαλάζιας οικονομίας (π.χ. γαλάζιος τουρισμός, θαλάσσιες ανανεώσιμες πηγές ενέργειας, βιώσιμη αλιεία και υδατοκαλλιέργεια, πρόληψη της ρύπανσης, διαχείριση κινδύνων)·</w:t>
            </w:r>
          </w:p>
          <w:p w:rsidR="00C35A20" w:rsidRPr="00813242" w:rsidRDefault="00447F72" w:rsidP="00B07E88">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rPr>
              <w:t>να εκπονήσουν μελέτες σχετικά με τη συλλογή δεδομένων και τα αποθέματα ιχθύων με τη στήριξη του ΕΤΘΑΥ, σύμφωνα με τις συστάσεις της μελέτης του 2022 σχετικά με τη συλλογή δεδομένων</w:t>
            </w:r>
            <w:r>
              <w:rPr>
                <w:rFonts w:ascii="Times New Roman" w:hAnsi="Times New Roman"/>
                <w:noProof/>
                <w:color w:val="000000"/>
              </w:rPr>
              <w:t xml:space="preserve"> και τις επιστημονικές γνωμοδοτήσεις</w:t>
            </w:r>
            <w:r>
              <w:rPr>
                <w:rFonts w:ascii="Times New Roman" w:hAnsi="Times New Roman"/>
                <w:noProof/>
              </w:rPr>
              <w:t xml:space="preserve"> στις εξόχως απόκεντρες περιοχές της ΕΕ</w:t>
            </w:r>
            <w:r>
              <w:rPr>
                <w:rStyle w:val="FootnoteReference"/>
                <w:rFonts w:ascii="Times New Roman" w:hAnsi="Times New Roman" w:cs="Times New Roman"/>
                <w:noProof/>
              </w:rPr>
              <w:footnoteReference w:id="88"/>
            </w:r>
            <w:r>
              <w:rPr>
                <w:rFonts w:ascii="Times New Roman" w:hAnsi="Times New Roman"/>
                <w:noProof/>
              </w:rPr>
              <w:t>· να βελτιώσουν την εκπλήρωση των υποχρεώσεων υποβολής εκθέσεων·</w:t>
            </w:r>
          </w:p>
          <w:p w:rsidR="001C7A4F" w:rsidRPr="00813242" w:rsidRDefault="002F280E" w:rsidP="00B32DA8">
            <w:pPr>
              <w:pStyle w:val="ListParagraph"/>
              <w:numPr>
                <w:ilvl w:val="0"/>
                <w:numId w:val="2"/>
              </w:numPr>
              <w:spacing w:after="120"/>
              <w:contextualSpacing w:val="0"/>
              <w:jc w:val="both"/>
              <w:rPr>
                <w:rFonts w:ascii="Times New Roman" w:hAnsi="Times New Roman" w:cs="Times New Roman"/>
                <w:noProof/>
              </w:rPr>
            </w:pPr>
            <w:r>
              <w:rPr>
                <w:rFonts w:ascii="Times New Roman" w:hAnsi="Times New Roman"/>
                <w:noProof/>
              </w:rPr>
              <w:t xml:space="preserve">να συμμετάσχουν στην </w:t>
            </w:r>
            <w:r>
              <w:rPr>
                <w:rFonts w:ascii="Times New Roman" w:hAnsi="Times New Roman"/>
                <w:bCs/>
                <w:noProof/>
              </w:rPr>
              <w:t>αποστολή</w:t>
            </w:r>
            <w:r>
              <w:rPr>
                <w:rFonts w:ascii="Times New Roman" w:hAnsi="Times New Roman"/>
                <w:noProof/>
              </w:rPr>
              <w:t xml:space="preserve"> </w:t>
            </w:r>
            <w:r>
              <w:rPr>
                <w:rFonts w:ascii="Times New Roman" w:hAnsi="Times New Roman"/>
                <w:bCs/>
                <w:noProof/>
              </w:rPr>
              <w:t>«Αποκατάσταση των ωκεανών και των υδάτων μας έως το 2030»</w:t>
            </w:r>
            <w:r>
              <w:rPr>
                <w:rFonts w:ascii="Times New Roman" w:hAnsi="Times New Roman"/>
                <w:noProof/>
              </w:rPr>
              <w:t>.</w:t>
            </w:r>
          </w:p>
          <w:p w:rsidR="001C7A4F" w:rsidRPr="00813242" w:rsidRDefault="001C7A4F" w:rsidP="00B07E88">
            <w:pPr>
              <w:spacing w:after="60"/>
              <w:jc w:val="both"/>
              <w:rPr>
                <w:rFonts w:ascii="Times New Roman" w:hAnsi="Times New Roman" w:cs="Times New Roman"/>
                <w:noProof/>
              </w:rPr>
            </w:pPr>
            <w:r>
              <w:rPr>
                <w:rFonts w:ascii="Times New Roman" w:hAnsi="Times New Roman"/>
                <w:b/>
                <w:noProof/>
              </w:rPr>
              <w:t>Η Επιτροπή:</w:t>
            </w:r>
          </w:p>
          <w:p w:rsidR="00965D1D" w:rsidRPr="00813242" w:rsidRDefault="008B3D56" w:rsidP="00CB62BB">
            <w:pPr>
              <w:pStyle w:val="ListParagraph"/>
              <w:numPr>
                <w:ilvl w:val="0"/>
                <w:numId w:val="2"/>
              </w:numPr>
              <w:ind w:left="357"/>
              <w:contextualSpacing w:val="0"/>
              <w:jc w:val="both"/>
              <w:rPr>
                <w:rFonts w:ascii="Times New Roman" w:hAnsi="Times New Roman" w:cs="Times New Roman"/>
                <w:noProof/>
                <w:color w:val="000000" w:themeColor="text1"/>
              </w:rPr>
            </w:pPr>
            <w:r>
              <w:rPr>
                <w:rFonts w:ascii="Times New Roman" w:hAnsi="Times New Roman"/>
                <w:noProof/>
                <w:color w:val="000000" w:themeColor="text1"/>
              </w:rPr>
              <w:t>θα δημοσιεύσει πρόσκληση υποβολής προτάσεων σχετικά</w:t>
            </w:r>
            <w:r>
              <w:rPr>
                <w:rFonts w:ascii="Times New Roman" w:hAnsi="Times New Roman"/>
                <w:noProof/>
              </w:rPr>
              <w:t xml:space="preserve"> με τις στρατηγικές για τη γαλάζια οικονομία στις εξόχως απόκεντρες περιοχές </w:t>
            </w:r>
            <w:r>
              <w:rPr>
                <w:rFonts w:ascii="Times New Roman" w:hAnsi="Times New Roman"/>
                <w:noProof/>
                <w:color w:val="000000" w:themeColor="text1"/>
              </w:rPr>
              <w:t>σύμφωνα με το πρόγραμμα εργασίας του ΕΤΘΑΥ</w:t>
            </w:r>
            <w:r>
              <w:rPr>
                <w:rFonts w:ascii="Times New Roman" w:hAnsi="Times New Roman"/>
                <w:noProof/>
              </w:rPr>
              <w:t xml:space="preserve"> για την</w:t>
            </w:r>
            <w:r>
              <w:rPr>
                <w:rFonts w:ascii="Times New Roman" w:hAnsi="Times New Roman"/>
                <w:noProof/>
                <w:color w:val="000000" w:themeColor="text1"/>
              </w:rPr>
              <w:t xml:space="preserve"> </w:t>
            </w:r>
            <w:r>
              <w:rPr>
                <w:rFonts w:ascii="Times New Roman" w:hAnsi="Times New Roman"/>
                <w:noProof/>
              </w:rPr>
              <w:t>περίοδο 2022-2023·</w:t>
            </w:r>
            <w:r>
              <w:rPr>
                <w:rFonts w:ascii="Times New Roman" w:hAnsi="Times New Roman"/>
                <w:b/>
                <w:noProof/>
              </w:rPr>
              <w:t xml:space="preserve"> </w:t>
            </w:r>
            <w:r>
              <w:rPr>
                <w:rFonts w:ascii="Times New Roman" w:hAnsi="Times New Roman"/>
                <w:noProof/>
                <w:color w:val="000000" w:themeColor="text1"/>
              </w:rPr>
              <w:t>θα στηρίξει τη γαλάζια οικονομία των εξόχως απόκεντρων περιοχών στο πλαίσιο του ΕΤΘΑΥ, όπως προτείνεται από το Ευρωπαϊκό Κοινοβούλιο, τις περιφέρειες και τα κράτη μέλη τους·</w:t>
            </w:r>
          </w:p>
          <w:p w:rsidR="001C7A4F" w:rsidRPr="00A70648" w:rsidRDefault="001C7A4F" w:rsidP="00CB62BB">
            <w:pPr>
              <w:pStyle w:val="ListParagraph"/>
              <w:ind w:left="360"/>
              <w:contextualSpacing w:val="0"/>
              <w:jc w:val="both"/>
              <w:rPr>
                <w:rFonts w:ascii="Times New Roman" w:hAnsi="Times New Roman" w:cs="Times New Roman"/>
                <w:noProof/>
                <w:color w:val="000000" w:themeColor="text1"/>
                <w:sz w:val="2"/>
                <w:szCs w:val="2"/>
              </w:rPr>
            </w:pPr>
          </w:p>
          <w:p w:rsidR="00423FF4" w:rsidRPr="00813242" w:rsidRDefault="0001026D" w:rsidP="00CB62BB">
            <w:pPr>
              <w:pStyle w:val="ListParagraph"/>
              <w:numPr>
                <w:ilvl w:val="0"/>
                <w:numId w:val="2"/>
              </w:numPr>
              <w:ind w:left="357" w:hanging="357"/>
              <w:contextualSpacing w:val="0"/>
              <w:jc w:val="both"/>
              <w:rPr>
                <w:rFonts w:ascii="Times New Roman" w:hAnsi="Times New Roman" w:cs="Times New Roman"/>
                <w:noProof/>
                <w:color w:val="000000" w:themeColor="text1"/>
              </w:rPr>
            </w:pPr>
            <w:r>
              <w:rPr>
                <w:rFonts w:ascii="Times New Roman" w:hAnsi="Times New Roman"/>
                <w:noProof/>
              </w:rPr>
              <w:t>θα συνεργαστεί με τα ενδιαφερόμενα κράτη μέλη προκειμένου να αντιμετωπιστεί το ζήτημα της συλλογής δεδομένων σχετικά με την αλιεία</w:t>
            </w:r>
            <w:r>
              <w:rPr>
                <w:rStyle w:val="FootnoteReference"/>
                <w:rFonts w:ascii="Times New Roman" w:hAnsi="Times New Roman" w:cs="Times New Roman"/>
                <w:noProof/>
              </w:rPr>
              <w:footnoteReference w:id="89"/>
            </w:r>
            <w:r>
              <w:rPr>
                <w:rFonts w:ascii="Times New Roman" w:hAnsi="Times New Roman"/>
                <w:noProof/>
              </w:rPr>
              <w:t xml:space="preserve"> στις εξόχως απόκεντρες περιοχές, όπως ορίζεται στη σχετική νομοθεσία της ΕΕ</w:t>
            </w:r>
            <w:r>
              <w:rPr>
                <w:rStyle w:val="FootnoteReference"/>
                <w:rFonts w:ascii="Times New Roman" w:hAnsi="Times New Roman" w:cs="Times New Roman"/>
                <w:noProof/>
              </w:rPr>
              <w:footnoteReference w:id="90"/>
            </w:r>
            <w:r>
              <w:rPr>
                <w:rFonts w:ascii="Times New Roman" w:hAnsi="Times New Roman"/>
                <w:noProof/>
              </w:rPr>
              <w:t>, λαμβάνοντας υπόψη τις ιδιαιτερότητες των εν λόγω περιοχών και με βάση τα αποτελέσματα της μελέτης του 2022 σχετικά με τη συλλογή δεδομένων και τις επιστημονικές γνωμοδοτήσεις για τις εξόχως απόκεντρες περιοχές της ΕΕ</w:t>
            </w:r>
            <w:r>
              <w:rPr>
                <w:rStyle w:val="FootnoteReference"/>
                <w:rFonts w:ascii="Times New Roman" w:hAnsi="Times New Roman" w:cs="Times New Roman"/>
                <w:noProof/>
              </w:rPr>
              <w:footnoteReference w:id="91"/>
            </w:r>
            <w:r>
              <w:rPr>
                <w:rFonts w:ascii="Times New Roman" w:hAnsi="Times New Roman"/>
                <w:noProof/>
              </w:rPr>
              <w:t xml:space="preserve">· </w:t>
            </w:r>
          </w:p>
          <w:p w:rsidR="001C7A4F" w:rsidRPr="00CF56CD" w:rsidRDefault="00872B53">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color w:val="000000" w:themeColor="text1"/>
              </w:rPr>
              <w:t xml:space="preserve">θα συνεχίσει να στηρίζει τις συμφωνίες σύμπραξης βιώσιμης αλιείας που είναι επωφελείς για την οικονομία των εξόχως απόκεντρων περιοχών, ιδίως με γειτονικές χώρες των εξόχως απόκεντρων περιοχών· </w:t>
            </w:r>
          </w:p>
          <w:p w:rsidR="001C7A4F" w:rsidRPr="00CF56CD" w:rsidRDefault="00872B53" w:rsidP="00B07E88">
            <w:pPr>
              <w:pStyle w:val="ListParagraph"/>
              <w:numPr>
                <w:ilvl w:val="0"/>
                <w:numId w:val="2"/>
              </w:numPr>
              <w:spacing w:after="60"/>
              <w:contextualSpacing w:val="0"/>
              <w:jc w:val="both"/>
              <w:rPr>
                <w:b/>
                <w:noProof/>
              </w:rPr>
            </w:pPr>
            <w:r>
              <w:rPr>
                <w:rFonts w:ascii="Times New Roman" w:hAnsi="Times New Roman"/>
                <w:noProof/>
                <w:color w:val="000000" w:themeColor="text1"/>
              </w:rPr>
              <w:t xml:space="preserve">θα διοργανώσει ανταλλαγές γνώσεων σχετικά με τον </w:t>
            </w:r>
            <w:r>
              <w:rPr>
                <w:rFonts w:ascii="Times New Roman" w:hAnsi="Times New Roman"/>
                <w:bCs/>
                <w:noProof/>
                <w:color w:val="000000" w:themeColor="text1"/>
              </w:rPr>
              <w:t>θαλάσσιο χωροταξικό σχεδιασμό και</w:t>
            </w:r>
            <w:r>
              <w:rPr>
                <w:rFonts w:ascii="Times New Roman" w:hAnsi="Times New Roman"/>
                <w:noProof/>
                <w:color w:val="000000" w:themeColor="text1"/>
              </w:rPr>
              <w:t xml:space="preserve"> τις ανανεώσιμες πηγές ενέργειας, ιδίως μέσω του έργου «Προώθηση του θαλάσσιου χωροταξικού σχεδιασμού στις εξόχως απόκεντρες περιοχές» που θα υλοποιηθεί την περίοδο 2021-2024.</w:t>
            </w:r>
          </w:p>
        </w:tc>
      </w:tr>
    </w:tbl>
    <w:p w:rsidR="001C7A4F" w:rsidRPr="00ED72BA" w:rsidRDefault="001C7A4F" w:rsidP="00295F84">
      <w:pPr>
        <w:spacing w:before="24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Γεωργία και αγροτική ανάπτυξη</w:t>
      </w:r>
    </w:p>
    <w:p w:rsidR="001C7A4F" w:rsidRPr="00CF56CD" w:rsidRDefault="001C7A4F" w:rsidP="00C62324">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Η γεωργία εξακολουθεί να αποτελεί βασικό τομέα στις περισσότερες εξόχως απόκεντρες περιοχές, συμβάλλοντας σε σημαντικό ποσοστό της προστιθέμενης αξίας και της απασχόλησης. Η καινοτομία μπορεί να συμβάλει στη βελτίωση της ποιότητας των τροφίμων και της αποδοτικής χρήσης των πόρων, καθώς και στη μείωση του αποτυπώματος της παραγωγής τροφίμων. Σύμφωνα με τη στρατηγική «</w:t>
      </w:r>
      <w:r>
        <w:rPr>
          <w:rFonts w:ascii="Times New Roman" w:hAnsi="Times New Roman"/>
          <w:bCs/>
          <w:noProof/>
          <w:sz w:val="24"/>
          <w:szCs w:val="24"/>
        </w:rPr>
        <w:t>Από το αγρόκτημα στο πιάτο</w:t>
      </w:r>
      <w:r>
        <w:rPr>
          <w:rFonts w:ascii="Times New Roman" w:hAnsi="Times New Roman"/>
          <w:noProof/>
          <w:sz w:val="24"/>
          <w:szCs w:val="24"/>
        </w:rPr>
        <w:t>», η αύξηση της βιολογικής γεωργίας στις περιοχές αυτές μπορεί να έχει τόσο περιβαλλοντικά όσο και οικονομικά οφέλη. Η ανάπτυξη και η θωράκιση της γεωργίας, η οποία χρησιμοποιεί λιγότερα χημικά φυτοφάρμακα και αντιβιοτικά και περισσότερες αγροοικολογικές προσεγγίσεις, είναι καίριας σημασίας για τη βελτίωση της ανταγωνιστικότητας.</w:t>
      </w:r>
    </w:p>
    <w:p w:rsidR="002B3BB8" w:rsidRPr="0010272F" w:rsidRDefault="001C7A4F">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Η ΕΕ θα συνεχίσει να στηρίζει σθεναρά τη γεωργία των εξόχως απόκεντρων περιοχών. Το πρόγραμμα ειδικών μέτρων λόγω του απομακρυσμένου και νησιωτικού χαρακτήρα (POSEI)</w:t>
      </w:r>
      <w:r>
        <w:rPr>
          <w:rStyle w:val="FootnoteReference"/>
          <w:rFonts w:ascii="Times New Roman" w:hAnsi="Times New Roman" w:cs="Times New Roman"/>
          <w:noProof/>
          <w:sz w:val="24"/>
          <w:szCs w:val="24"/>
        </w:rPr>
        <w:footnoteReference w:id="92"/>
      </w:r>
      <w:r>
        <w:rPr>
          <w:rFonts w:ascii="Times New Roman" w:hAnsi="Times New Roman"/>
          <w:noProof/>
          <w:sz w:val="24"/>
          <w:szCs w:val="24"/>
        </w:rPr>
        <w:t xml:space="preserve"> στηρίζει την τοπική παραγωγή μέσω της χορήγησης άμεσων ενισχύσεων στους γεωργούς, μέτρων της αγοράς και του εφοδιασμού με βασικά γεωργικά προϊόντα. Χάρη στη στενή διοργανική συνεργασία, ο προϋπολογισμός για το POSEI για την περίοδο 2021-2027 θα διατηρήσει τη χρηματοδοτική του ικανότητα. Επιπλέον, το </w:t>
      </w:r>
      <w:r>
        <w:rPr>
          <w:rFonts w:ascii="Times New Roman" w:hAnsi="Times New Roman"/>
          <w:bCs/>
          <w:noProof/>
          <w:sz w:val="24"/>
          <w:szCs w:val="24"/>
        </w:rPr>
        <w:t>Ευρωπαϊκό Γεωργικό Ταμείο Αγροτικής Ανάπτυξης</w:t>
      </w:r>
      <w:r>
        <w:rPr>
          <w:rFonts w:ascii="Times New Roman" w:hAnsi="Times New Roman"/>
          <w:noProof/>
          <w:sz w:val="24"/>
          <w:szCs w:val="24"/>
        </w:rPr>
        <w:t xml:space="preserve"> προβλέπει ειδικές προϋποθέσεις για τις εν λόγω περιοχές, συμπεριλαμβανομένης της υποχρέωσης των κρατών μελών να προσαρμόσουν τα στρατηγικά τους σχέδια για την κοινή γεωργική πολιτική (ΚΓΠ) στις ιδιαιτερότητες των εξόχως απόκεντρων περιοχών τους</w:t>
      </w:r>
      <w:r>
        <w:rPr>
          <w:rStyle w:val="FootnoteReference"/>
          <w:rFonts w:ascii="Times New Roman" w:hAnsi="Times New Roman" w:cs="Times New Roman"/>
          <w:noProof/>
          <w:sz w:val="24"/>
          <w:szCs w:val="24"/>
        </w:rPr>
        <w:footnoteReference w:id="93"/>
      </w:r>
      <w:r>
        <w:rPr>
          <w:rFonts w:ascii="Times New Roman" w:hAnsi="Times New Roman"/>
          <w:noProof/>
          <w:sz w:val="24"/>
          <w:szCs w:val="24"/>
        </w:rPr>
        <w:t>, όπως επισημαίνεται επίσης στις συστάσεις της Επιτροπής</w:t>
      </w:r>
      <w:r>
        <w:rPr>
          <w:rStyle w:val="FootnoteReference"/>
          <w:rFonts w:ascii="Times New Roman" w:hAnsi="Times New Roman" w:cs="Times New Roman"/>
          <w:noProof/>
          <w:sz w:val="24"/>
          <w:szCs w:val="24"/>
        </w:rPr>
        <w:footnoteReference w:id="94"/>
      </w:r>
      <w:r>
        <w:rPr>
          <w:rFonts w:ascii="Times New Roman" w:hAnsi="Times New Roman"/>
          <w:noProof/>
          <w:sz w:val="24"/>
          <w:szCs w:val="24"/>
        </w:rPr>
        <w:t xml:space="preserve">, και να επιτύχουν παράλληλα τον στόχο αυξημένης οικονομικής, περιβαλλοντικής και κοινωνικής βιωσιμότητας. </w:t>
      </w:r>
    </w:p>
    <w:p w:rsidR="00A16C04" w:rsidRDefault="00F1323D" w:rsidP="00CB62BB">
      <w:pPr>
        <w:spacing w:before="120" w:after="0" w:line="240" w:lineRule="auto"/>
        <w:jc w:val="both"/>
        <w:rPr>
          <w:rFonts w:ascii="Times New Roman" w:eastAsiaTheme="minorEastAsia" w:hAnsi="Times New Roman" w:cs="Times New Roman"/>
          <w:noProof/>
          <w:sz w:val="24"/>
        </w:rPr>
      </w:pPr>
      <w:r>
        <w:rPr>
          <w:rFonts w:ascii="Times New Roman" w:hAnsi="Times New Roman"/>
          <w:noProof/>
          <w:sz w:val="24"/>
          <w:szCs w:val="24"/>
        </w:rPr>
        <w:t>Επιπλέον, τα μέσα κρατικών ενισχύσεων για τις ενισχύσεις στη γεωργία, τη δασοκομία και τις αγροτικές περιοχές</w:t>
      </w:r>
      <w:r>
        <w:rPr>
          <w:rStyle w:val="FootnoteReference"/>
          <w:rFonts w:ascii="Times New Roman" w:hAnsi="Times New Roman" w:cs="Times New Roman"/>
          <w:noProof/>
          <w:sz w:val="24"/>
          <w:szCs w:val="24"/>
        </w:rPr>
        <w:footnoteReference w:id="95"/>
      </w:r>
      <w:r>
        <w:rPr>
          <w:rFonts w:ascii="Times New Roman" w:hAnsi="Times New Roman"/>
          <w:noProof/>
          <w:sz w:val="24"/>
          <w:szCs w:val="24"/>
        </w:rPr>
        <w:t xml:space="preserve"> επιτρέπουν υψηλότερα μέγιστα ποσοστά έντασης ενίσχυσης για επενδύσεις στις εν λόγω περιοχές και ενισχύσεις λειτουργίας. Η Επιτροπή πρότεινε να συνεχίσουν να προβλέπονται ειδικές προϋποθέσεις για τις εξόχως απόκεντρες περιοχές στο πλαίσιο της υπό εξέλιξη αναθεώρησης των εν λόγω μέσων</w:t>
      </w:r>
      <w:r>
        <w:rPr>
          <w:rStyle w:val="FootnoteReference"/>
          <w:rFonts w:ascii="Times New Roman" w:hAnsi="Times New Roman" w:cs="Times New Roman"/>
          <w:noProof/>
          <w:sz w:val="24"/>
          <w:szCs w:val="24"/>
        </w:rPr>
        <w:footnoteReference w:id="96"/>
      </w:r>
      <w:r>
        <w:rPr>
          <w:rFonts w:ascii="Times New Roman" w:hAnsi="Times New Roman"/>
          <w:noProof/>
          <w:sz w:val="24"/>
          <w:szCs w:val="24"/>
        </w:rPr>
        <w:t>. Η Επιτροπή, για να στηρίξει τη γεωργική και αγροτική ανάπτυξη των εξόχως απόκεντρων περιοχών, θα συνεργαστεί με τα κράτη μέλη προκειμένου να προσαρμόσει και να εκσυγχρονίσει τις υφιστάμενες δράσεις που χρηματοδοτούνται από το POSEI, με στόχο μια πιο ισορροπημένη ανάπτυξη μεταξύ των διάφορων γεωργικών τομέων (παραδοσιακοί εξαγωγικοί τομείς και τομείς ζωικής και φυτικής διαφοροποίησης). Στο πλαίσιο της ρωσικής εισβολής στην Ουκρανία, η Επιτροπή θέσπισε μέτρα για τη στήριξη των παραγωγών γεωργικών προϊόντων που έχουν πληγεί περισσότερο</w:t>
      </w:r>
      <w:r>
        <w:rPr>
          <w:rStyle w:val="FootnoteReference"/>
          <w:rFonts w:ascii="Times New Roman" w:hAnsi="Times New Roman" w:cs="Times New Roman"/>
          <w:noProof/>
          <w:sz w:val="24"/>
          <w:szCs w:val="24"/>
        </w:rPr>
        <w:footnoteReference w:id="97"/>
      </w:r>
      <w:r>
        <w:rPr>
          <w:rFonts w:ascii="Times New Roman" w:hAnsi="Times New Roman"/>
          <w:noProof/>
          <w:sz w:val="24"/>
          <w:szCs w:val="24"/>
        </w:rPr>
        <w:t xml:space="preserve">. </w:t>
      </w:r>
      <w:r>
        <w:rPr>
          <w:rFonts w:ascii="Times New Roman" w:hAnsi="Times New Roman"/>
          <w:noProof/>
          <w:sz w:val="24"/>
        </w:rPr>
        <w:t xml:space="preserve">Δεδομένης της σχετικής αύξησης των τιμών των τροφίμων και του κινδύνου διαταραχών στον εφοδιασμό και για να διασφαλιστεί η ασφάλεια των τροφίμων, στα μέτρα αυτά συμπεριλήφθηκαν προκαταβολές πληρωμών στους γεωργούς, προσωρινοί κανόνες που επιτρέπουν τη χορήγηση ενισχύσεων σε </w:t>
      </w:r>
      <w:r>
        <w:rPr>
          <w:rFonts w:ascii="Times New Roman" w:hAnsi="Times New Roman"/>
          <w:noProof/>
          <w:sz w:val="24"/>
          <w:szCs w:val="24"/>
        </w:rPr>
        <w:t>εταιρείες που πλήττονται από την κρίση και στον αγροδιατροφικό τομέα</w:t>
      </w:r>
      <w:r>
        <w:rPr>
          <w:rStyle w:val="FootnoteReference"/>
          <w:rFonts w:ascii="Times New Roman" w:eastAsiaTheme="minorEastAsia" w:hAnsi="Times New Roman" w:cs="Times New Roman"/>
          <w:bCs/>
          <w:noProof/>
          <w:sz w:val="24"/>
          <w:lang w:eastAsia="en-GB"/>
        </w:rPr>
        <w:footnoteReference w:id="98"/>
      </w:r>
      <w:r>
        <w:rPr>
          <w:rFonts w:ascii="Times New Roman" w:hAnsi="Times New Roman"/>
          <w:noProof/>
          <w:sz w:val="24"/>
        </w:rPr>
        <w:t xml:space="preserve">, καθώς και ευέλικτες ρυθμίσεις για την εισαγωγή ζωοτροφών. </w:t>
      </w:r>
    </w:p>
    <w:p w:rsidR="00A16C04" w:rsidRPr="00CB62BB" w:rsidRDefault="00A16C04" w:rsidP="00CB62BB">
      <w:pPr>
        <w:spacing w:before="120" w:after="0" w:line="240" w:lineRule="auto"/>
        <w:jc w:val="both"/>
        <w:rPr>
          <w:rFonts w:ascii="Times New Roman" w:eastAsiaTheme="minorEastAsia" w:hAnsi="Times New Roman" w:cs="Times New Roman"/>
          <w:noProof/>
          <w:sz w:val="4"/>
          <w:szCs w:val="4"/>
          <w:lang w:eastAsia="en-GB"/>
        </w:rPr>
      </w:pPr>
    </w:p>
    <w:tbl>
      <w:tblPr>
        <w:tblStyle w:val="TableGrid"/>
        <w:tblW w:w="0" w:type="auto"/>
        <w:shd w:val="clear" w:color="auto" w:fill="D9D9D9" w:themeFill="background1" w:themeFillShade="D9"/>
        <w:tblLook w:val="04A0" w:firstRow="1" w:lastRow="0" w:firstColumn="1" w:lastColumn="0" w:noHBand="0" w:noVBand="1"/>
      </w:tblPr>
      <w:tblGrid>
        <w:gridCol w:w="9576"/>
      </w:tblGrid>
      <w:tr w:rsidR="001C7A4F" w:rsidRPr="00CF56CD" w:rsidTr="00CB62BB">
        <w:trPr>
          <w:trHeight w:val="980"/>
        </w:trPr>
        <w:tc>
          <w:tcPr>
            <w:tcW w:w="9576" w:type="dxa"/>
            <w:shd w:val="clear" w:color="auto" w:fill="D9D9D9" w:themeFill="background1" w:themeFillShade="D9"/>
          </w:tcPr>
          <w:p w:rsidR="001C7A4F" w:rsidRDefault="00056AB1" w:rsidP="00B07E88">
            <w:pPr>
              <w:spacing w:after="60"/>
              <w:jc w:val="both"/>
              <w:rPr>
                <w:rFonts w:ascii="Times New Roman" w:hAnsi="Times New Roman" w:cs="Times New Roman"/>
                <w:b/>
                <w:noProof/>
              </w:rPr>
            </w:pPr>
            <w:r>
              <w:rPr>
                <w:rFonts w:ascii="Times New Roman" w:hAnsi="Times New Roman"/>
                <w:b/>
                <w:noProof/>
              </w:rPr>
              <w:t>Η Επιτροπή ενθαρρύνει τα οικεία κράτη μέλη και τις εξόχως απόκεντρες περιοχές:</w:t>
            </w:r>
          </w:p>
          <w:p w:rsidR="00284EFC" w:rsidRPr="00C62324" w:rsidRDefault="00284EFC" w:rsidP="00B07E88">
            <w:pPr>
              <w:pStyle w:val="ListParagraph"/>
              <w:numPr>
                <w:ilvl w:val="0"/>
                <w:numId w:val="2"/>
              </w:numPr>
              <w:spacing w:after="60"/>
              <w:ind w:left="357" w:hanging="357"/>
              <w:contextualSpacing w:val="0"/>
              <w:jc w:val="both"/>
              <w:rPr>
                <w:rFonts w:ascii="Times New Roman" w:hAnsi="Times New Roman" w:cs="Times New Roman"/>
                <w:b/>
                <w:noProof/>
              </w:rPr>
            </w:pPr>
            <w:r>
              <w:rPr>
                <w:rFonts w:ascii="Times New Roman" w:hAnsi="Times New Roman"/>
                <w:noProof/>
              </w:rPr>
              <w:t xml:space="preserve">να δώσουν ιδιαίτερη έμφαση </w:t>
            </w:r>
            <w:r>
              <w:rPr>
                <w:rFonts w:ascii="Times New Roman" w:hAnsi="Times New Roman"/>
                <w:noProof/>
                <w:szCs w:val="20"/>
              </w:rPr>
              <w:t>στον τομέα της γεωργίας και της αγροτικής ανάπτυξης</w:t>
            </w:r>
            <w:r>
              <w:rPr>
                <w:rFonts w:ascii="Times New Roman" w:hAnsi="Times New Roman"/>
                <w:noProof/>
              </w:rPr>
              <w:t xml:space="preserve"> των εξόχως απόκεντρων περιοχών για την προώθηση μιας πράσινης, ψηφιακής και δίκαιης μετάβασης, αξιοποιώντας τα πλεονεκτήματα και αντιμετωπίζοντας τους περιορισμούς·</w:t>
            </w:r>
          </w:p>
          <w:p w:rsidR="00284EFC" w:rsidRPr="00BE66A5" w:rsidRDefault="00284EFC">
            <w:pPr>
              <w:pStyle w:val="ListParagraph"/>
              <w:numPr>
                <w:ilvl w:val="0"/>
                <w:numId w:val="2"/>
              </w:numPr>
              <w:spacing w:after="60"/>
              <w:ind w:left="357" w:hanging="357"/>
              <w:contextualSpacing w:val="0"/>
              <w:jc w:val="both"/>
              <w:rPr>
                <w:rFonts w:ascii="Times New Roman" w:hAnsi="Times New Roman" w:cs="Times New Roman"/>
                <w:b/>
                <w:bCs/>
                <w:noProof/>
              </w:rPr>
            </w:pPr>
            <w:r>
              <w:rPr>
                <w:rFonts w:ascii="Times New Roman" w:hAnsi="Times New Roman"/>
                <w:noProof/>
              </w:rPr>
              <w:t xml:space="preserve">να προωθήσουν τη διαφοροποίηση, τον εκσυγχρονισμό της γεωργίας και την αυξημένη επισιτιστική αυτονομία, καθώς και τις επενδύσεις σε τεχνολογίες αποδοτικής χρήσης των πόρων· και </w:t>
            </w:r>
            <w:r>
              <w:rPr>
                <w:rFonts w:ascii="Times New Roman" w:hAnsi="Times New Roman"/>
                <w:bCs/>
                <w:noProof/>
              </w:rPr>
              <w:t>να αναβαθμίσουν τις δεξιότητες / να επανειδικεύσουν τους εργαζομένους στον γεωργικό τομέα.</w:t>
            </w:r>
          </w:p>
          <w:p w:rsidR="00BB772C" w:rsidRPr="00A2168B" w:rsidDel="00BB772C" w:rsidRDefault="001C7A4F" w:rsidP="00B07E88">
            <w:pPr>
              <w:spacing w:after="60"/>
              <w:rPr>
                <w:rFonts w:ascii="Times New Roman" w:hAnsi="Times New Roman" w:cs="Times New Roman"/>
                <w:b/>
                <w:noProof/>
              </w:rPr>
            </w:pPr>
            <w:r>
              <w:rPr>
                <w:rFonts w:ascii="Times New Roman" w:hAnsi="Times New Roman"/>
                <w:b/>
                <w:bCs/>
                <w:noProof/>
              </w:rPr>
              <w:t>Η</w:t>
            </w:r>
            <w:r>
              <w:rPr>
                <w:rFonts w:ascii="Times New Roman" w:hAnsi="Times New Roman"/>
                <w:b/>
                <w:noProof/>
              </w:rPr>
              <w:t xml:space="preserve"> Επιτροπή</w:t>
            </w:r>
            <w:r>
              <w:rPr>
                <w:rFonts w:ascii="Times New Roman" w:hAnsi="Times New Roman"/>
                <w:b/>
                <w:bCs/>
                <w:noProof/>
              </w:rPr>
              <w:t>:</w:t>
            </w:r>
          </w:p>
          <w:p w:rsidR="00284EFC" w:rsidRPr="00BE66A5" w:rsidRDefault="00284EFC" w:rsidP="00BE66A5">
            <w:pPr>
              <w:pStyle w:val="ListParagraph"/>
              <w:numPr>
                <w:ilvl w:val="0"/>
                <w:numId w:val="2"/>
              </w:numPr>
              <w:spacing w:after="60"/>
              <w:contextualSpacing w:val="0"/>
              <w:rPr>
                <w:rFonts w:ascii="Times New Roman" w:hAnsi="Times New Roman" w:cs="Times New Roman"/>
                <w:noProof/>
              </w:rPr>
            </w:pPr>
            <w:r>
              <w:rPr>
                <w:rFonts w:ascii="Times New Roman" w:hAnsi="Times New Roman"/>
                <w:noProof/>
              </w:rPr>
              <w:t xml:space="preserve">θα διασφαλίσει ότι τα </w:t>
            </w:r>
            <w:r>
              <w:rPr>
                <w:rFonts w:ascii="Times New Roman" w:hAnsi="Times New Roman"/>
                <w:bCs/>
                <w:noProof/>
              </w:rPr>
              <w:t>στρατηγικά σχέδια των κρατών μελών για την ΚΓΠ</w:t>
            </w:r>
            <w:r>
              <w:rPr>
                <w:rFonts w:ascii="Times New Roman" w:hAnsi="Times New Roman"/>
                <w:noProof/>
              </w:rPr>
              <w:t xml:space="preserve"> συμμορφώνονται με τις απαιτήσεις του κανονισμού για την ΚΓΠ και λαμβάνουν υπόψη τις ιδιαιτερότητες των εξόχως απόκεντρων περιοχών· και ότι οι προτεραιότητες της ΕΕ όσον αφορά την προώθηση μιας πράσινης, ψηφιακής και δίκαιης μετάβασης αντικατοπτρίζονται στα σχέδια·</w:t>
            </w:r>
          </w:p>
          <w:p w:rsidR="00C259B3" w:rsidRPr="00BE66A5" w:rsidRDefault="00A41865" w:rsidP="00B07E88">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rPr>
              <w:t xml:space="preserve">θα συνεργαστεί με τα οικεία κράτη μέλη για να βελτιώσει τον προγραμματισμό και τις ετήσιες εκθέσεις εφαρμογής του POSEI και θα εξασφαλίσει ότι οι δράσεις που χρηματοδοτούνται από το POSEI συνάδουν με τα στρατηγικά σχέδια για την ΚΓΠ, π.χ. συμμόρφωση με τους περιβαλλοντικούς και κοινωνικούς στόχους και διαφοροποίηση· </w:t>
            </w:r>
          </w:p>
          <w:p w:rsidR="0010272F" w:rsidRPr="00CB62BB" w:rsidRDefault="0010272F" w:rsidP="0010272F">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rPr>
              <w:t>θα παρακολουθήσει την εφαρμογή των συστάσεων της έκθεσης POSEI του 2021</w:t>
            </w:r>
            <w:r>
              <w:rPr>
                <w:rStyle w:val="FootnoteReference"/>
                <w:rFonts w:ascii="Times New Roman" w:hAnsi="Times New Roman" w:cs="Times New Roman"/>
                <w:noProof/>
              </w:rPr>
              <w:footnoteReference w:id="99"/>
            </w:r>
            <w:r>
              <w:rPr>
                <w:rFonts w:ascii="Times New Roman" w:hAnsi="Times New Roman"/>
                <w:noProof/>
              </w:rPr>
              <w:t>, ιδίως όσον αφορά την ανάγκη δίκαιης κατανομής της στήριξης, την προώθηση βιώσιμων γεωργικών πρακτικών, την ποιότητα των προϊόντων, τη διαφοροποίηση των προϊόντων και την ανταλλαγή ορθών πρακτικών·</w:t>
            </w:r>
          </w:p>
          <w:p w:rsidR="00545F24" w:rsidRDefault="00C259B3">
            <w:pPr>
              <w:pStyle w:val="ListParagraph"/>
              <w:numPr>
                <w:ilvl w:val="0"/>
                <w:numId w:val="2"/>
              </w:numPr>
              <w:spacing w:after="60"/>
              <w:ind w:left="357" w:hanging="357"/>
              <w:contextualSpacing w:val="0"/>
              <w:jc w:val="both"/>
              <w:rPr>
                <w:rFonts w:ascii="Times New Roman" w:hAnsi="Times New Roman" w:cs="Times New Roman"/>
                <w:noProof/>
              </w:rPr>
            </w:pPr>
            <w:r>
              <w:rPr>
                <w:rFonts w:ascii="Times New Roman" w:hAnsi="Times New Roman"/>
                <w:noProof/>
              </w:rPr>
              <w:t xml:space="preserve">στο πλαίσιο του μακροπρόθεσμου οράματος για τις αγροτικές περιοχές, θα αναλύσει τη γεωργία των εξόχως απόκεντρων περιοχών στο πλαίσιο του </w:t>
            </w:r>
            <w:r>
              <w:rPr>
                <w:rFonts w:ascii="Times New Roman" w:hAnsi="Times New Roman"/>
                <w:bCs/>
                <w:noProof/>
              </w:rPr>
              <w:t>παρατηρητηρίου της ΕΕ για τις αγροτικές περιοχές και στην πλατφόρμα αγροτικής αναζωογόνησης</w:t>
            </w:r>
            <w:r>
              <w:rPr>
                <w:rFonts w:ascii="Times New Roman" w:hAnsi="Times New Roman"/>
                <w:noProof/>
              </w:rPr>
              <w:t>· θα ανταλλάξει γνώσεις στο πλαίσιο του δικτύου της ΚΓΠ της ΕΕ και θα διερευνήσει ευκαιρίες συνεργασίας·</w:t>
            </w:r>
          </w:p>
          <w:p w:rsidR="00545F24" w:rsidRPr="00CB62BB" w:rsidRDefault="00545F24">
            <w:pPr>
              <w:pStyle w:val="ListParagraph"/>
              <w:numPr>
                <w:ilvl w:val="0"/>
                <w:numId w:val="2"/>
              </w:numPr>
              <w:spacing w:after="60"/>
              <w:ind w:left="357" w:hanging="357"/>
              <w:contextualSpacing w:val="0"/>
              <w:jc w:val="both"/>
              <w:rPr>
                <w:rFonts w:ascii="Times New Roman" w:hAnsi="Times New Roman" w:cs="Times New Roman"/>
                <w:noProof/>
              </w:rPr>
            </w:pPr>
            <w:r>
              <w:rPr>
                <w:rFonts w:ascii="Times New Roman" w:hAnsi="Times New Roman"/>
                <w:noProof/>
              </w:rPr>
              <w:t>στο πλαίσιο του LEADER, θα προωθήσει περαιτέρω την τοπική ανάπτυξη και θα στηρίξει την ανάπτυξη της καινοτομίας και της τεχνολογίας στη γεωργία, ιδίως μέσω της Ευρωπαϊκής Σύμπραξης Καινοτομίας για την παραγωγικότητα και τη βιωσιμότητα της γεωργίας·</w:t>
            </w:r>
          </w:p>
          <w:p w:rsidR="00993939" w:rsidRPr="00CA5F3C" w:rsidRDefault="009A7831">
            <w:pPr>
              <w:pStyle w:val="ListParagraph"/>
              <w:numPr>
                <w:ilvl w:val="0"/>
                <w:numId w:val="2"/>
              </w:numPr>
              <w:spacing w:after="60"/>
              <w:ind w:left="357" w:hanging="357"/>
              <w:contextualSpacing w:val="0"/>
              <w:jc w:val="both"/>
              <w:rPr>
                <w:noProof/>
              </w:rPr>
            </w:pPr>
            <w:r>
              <w:rPr>
                <w:rFonts w:ascii="Times New Roman" w:hAnsi="Times New Roman"/>
                <w:noProof/>
              </w:rPr>
              <w:t xml:space="preserve">θα προωθήσει τη μετάβαση προς ένα αυξημένο επίπεδο επισιτιστικής αυτονομίας στις εξόχως απόκεντρες περιοχές χρησιμοποιώντας αμφότερα τα μέσα της ΚΓΠ, διασφαλίζοντας παράλληλα την παραγωγή τροφίμων υψηλής ποιότητας με βιώσιμη γεωργία. </w:t>
            </w:r>
          </w:p>
        </w:tc>
      </w:tr>
    </w:tbl>
    <w:p w:rsidR="00620658" w:rsidRPr="008C0954" w:rsidRDefault="00B2797C" w:rsidP="00295F84">
      <w:pPr>
        <w:spacing w:before="360" w:after="120" w:line="240" w:lineRule="auto"/>
        <w:jc w:val="both"/>
        <w:rPr>
          <w:rFonts w:ascii="Times New Roman" w:hAnsi="Times New Roman" w:cs="Times New Roman"/>
          <w:b/>
          <w:smallCaps/>
          <w:noProof/>
          <w:sz w:val="24"/>
          <w:szCs w:val="24"/>
        </w:rPr>
      </w:pPr>
      <w:r>
        <w:rPr>
          <w:rFonts w:ascii="Times New Roman" w:hAnsi="Times New Roman"/>
          <w:b/>
          <w:bCs/>
          <w:noProof/>
          <w:sz w:val="24"/>
          <w:szCs w:val="24"/>
        </w:rPr>
        <w:t xml:space="preserve">2.3. </w:t>
      </w:r>
      <w:r>
        <w:rPr>
          <w:rFonts w:ascii="Times New Roman" w:hAnsi="Times New Roman"/>
          <w:b/>
          <w:noProof/>
          <w:sz w:val="24"/>
          <w:szCs w:val="24"/>
        </w:rPr>
        <w:t xml:space="preserve">ΠΡΑΤΤΟΝΤΑΣ ΣΩΣΤΑ: </w:t>
      </w:r>
      <w:r>
        <w:rPr>
          <w:rFonts w:ascii="Times New Roman" w:hAnsi="Times New Roman"/>
          <w:b/>
          <w:smallCaps/>
          <w:noProof/>
          <w:sz w:val="24"/>
          <w:szCs w:val="24"/>
        </w:rPr>
        <w:t xml:space="preserve">ΠΡΟΩΘΗΣΗ ΤΗΣ ΠΡΑΣΙΝΗΣ ΚΑΙ ΨΗΦΙΑΚΗΣ ΜΕΤΑΒΑΣΗΣ  </w:t>
      </w:r>
    </w:p>
    <w:p w:rsidR="00B2797C" w:rsidRPr="00FB65BA" w:rsidRDefault="001C7A4F">
      <w:pPr>
        <w:spacing w:after="120" w:line="240" w:lineRule="auto"/>
        <w:jc w:val="both"/>
        <w:rPr>
          <w:rFonts w:ascii="Times New Roman" w:hAnsi="Times New Roman" w:cs="Times New Roman"/>
          <w:b/>
          <w:bCs/>
          <w:noProof/>
          <w:sz w:val="24"/>
          <w:szCs w:val="24"/>
        </w:rPr>
      </w:pPr>
      <w:r>
        <w:rPr>
          <w:rFonts w:ascii="Times New Roman" w:hAnsi="Times New Roman"/>
          <w:b/>
          <w:bCs/>
          <w:smallCaps/>
          <w:noProof/>
          <w:sz w:val="24"/>
          <w:szCs w:val="24"/>
        </w:rPr>
        <w:t>2.3.1. Πράσινη μετάβαση: προς μια βιώσιμη οικονομία</w:t>
      </w:r>
      <w:r>
        <w:rPr>
          <w:rFonts w:ascii="Times New Roman" w:hAnsi="Times New Roman"/>
          <w:b/>
          <w:bCs/>
          <w:noProof/>
          <w:sz w:val="24"/>
          <w:szCs w:val="24"/>
        </w:rPr>
        <w:t xml:space="preserve"> </w:t>
      </w:r>
    </w:p>
    <w:p w:rsidR="0036796B" w:rsidRPr="007A5660" w:rsidRDefault="0036796B" w:rsidP="002F659A">
      <w:pPr>
        <w:spacing w:before="60" w:line="240" w:lineRule="auto"/>
        <w:jc w:val="both"/>
        <w:rPr>
          <w:rFonts w:ascii="Times New Roman" w:hAnsi="Times New Roman" w:cs="Times New Roman"/>
          <w:noProof/>
          <w:sz w:val="24"/>
          <w:szCs w:val="24"/>
        </w:rPr>
      </w:pPr>
      <w:r>
        <w:rPr>
          <w:rFonts w:ascii="Times New Roman" w:hAnsi="Times New Roman"/>
          <w:noProof/>
          <w:sz w:val="24"/>
          <w:szCs w:val="24"/>
        </w:rPr>
        <w:t>Η πράσινη μετάβαση αποσκοπεί στην επίτευξη του βιώσιμου, φιλικού προς το περιβάλλον και κλιματικά ουδέτερου μετασχηματισμού της κοινωνίας και της οικονομίας σε όλες τις πολιτικές. Στην ανακοίνωση για την Πράσινη Συμφωνία</w:t>
      </w:r>
      <w:r>
        <w:rPr>
          <w:rStyle w:val="FootnoteReference"/>
          <w:rFonts w:ascii="Times New Roman" w:hAnsi="Times New Roman" w:cs="Times New Roman"/>
          <w:noProof/>
          <w:sz w:val="24"/>
          <w:szCs w:val="24"/>
          <w:lang w:val="en-GB"/>
        </w:rPr>
        <w:footnoteReference w:id="100"/>
      </w:r>
      <w:r>
        <w:rPr>
          <w:rFonts w:ascii="Times New Roman" w:hAnsi="Times New Roman"/>
          <w:noProof/>
          <w:sz w:val="24"/>
          <w:szCs w:val="24"/>
        </w:rPr>
        <w:t xml:space="preserve">, η Επιτροπή έχει δεσμευτεί, να δώσει ιδιαίτερη έμφαση στις εξόχως απόκεντρες περιοχές, λαμβάνοντας υπόψη την ευπάθειά τους σε φυσικές καταστροφές και τη μοναδική βιοποικιλότητα και τις πλούσιες ανανεώσιμες πηγές ενέργειάς τους. Οι περιοχές αυτές βρίσκονται σε προνομιακή θέση για να καταστούν πρότυπα ανάπτυξης, με σεβασμό της κυκλικής οικονομίας και της κλιματικής ουδετερότητας, καθώς και για επενδύσεις και δημιουργία θέσεων εργασίας σε πράσινες και γαλάζιες λύσεις σε τομείς όπως ο τουρισμός, η γεωργία και η αλιεία. Οι συμμετέχοντες στη δημόσια διαβούλευση κατέταξαν το κλίμα, τη βιοποικιλότητα και το περιβάλλον στα πέντε κορυφαία θέματα για ανάληψη δράσης από την ΕΕ στις εν λόγω περιοχές. </w:t>
      </w:r>
    </w:p>
    <w:p w:rsidR="009469F5" w:rsidRPr="00FB65BA" w:rsidRDefault="009469F5">
      <w:pPr>
        <w:spacing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Δράση για το κλίμα </w:t>
      </w:r>
    </w:p>
    <w:p w:rsidR="00403870" w:rsidRPr="00C13B25" w:rsidRDefault="00D249C4" w:rsidP="00295F84">
      <w:pPr>
        <w:spacing w:after="240" w:line="240" w:lineRule="auto"/>
        <w:jc w:val="both"/>
        <w:rPr>
          <w:rFonts w:ascii="Times New Roman" w:hAnsi="Times New Roman" w:cs="Times New Roman"/>
          <w:noProof/>
          <w:sz w:val="24"/>
          <w:szCs w:val="24"/>
        </w:rPr>
      </w:pPr>
      <w:r>
        <w:rPr>
          <w:rFonts w:ascii="Times New Roman" w:hAnsi="Times New Roman"/>
          <w:noProof/>
          <w:color w:val="000000" w:themeColor="text1"/>
          <w:sz w:val="24"/>
          <w:szCs w:val="24"/>
        </w:rPr>
        <w:t xml:space="preserve">Η ΕΕ έχει δεσμευτεί να επιτύχει τους στόχους της συμφωνίας του Παρισιού, συμπεριλαμβανομένων των στόχων προσαρμογής που αποσκοπούν στην ενίσχυση της ανθεκτικότητας. </w:t>
      </w:r>
      <w:r>
        <w:rPr>
          <w:rFonts w:ascii="Times New Roman" w:hAnsi="Times New Roman"/>
          <w:noProof/>
          <w:sz w:val="24"/>
          <w:szCs w:val="24"/>
        </w:rPr>
        <w:t>Οι εξόχως απόκεντρες περιοχές είναι ιδιαίτερα εκτεθειμένες στις επιπτώσεις της κλιματικής αλλαγής, συμπεριλαμβανομένων των ακραίων καιρικών φαινομένων, και χρειάζονται ειδικά προσαρμοσμένα μέτρα προσαρμογής στην κλιματική αλλαγή. Στο πλαίσιο αυτό, η στρατηγική του 2021 για την προσαρμογή στην κλιματική αλλαγή προβλέπει ανταλλαγές μεταξύ των εν λόγω περιοχών και των γειτονικών τους χωρών σχετικά με λύσεις προσαρμογής στην κλιματική αλλαγή. Η πρόταση της Επιτροπής για τη σύσταση Κοινωνικού Ταμείου για το Κλίμα</w:t>
      </w:r>
      <w:r>
        <w:rPr>
          <w:rStyle w:val="FootnoteReference"/>
          <w:rFonts w:ascii="Times New Roman" w:hAnsi="Times New Roman" w:cs="Times New Roman"/>
          <w:noProof/>
          <w:sz w:val="24"/>
          <w:szCs w:val="24"/>
        </w:rPr>
        <w:footnoteReference w:id="101"/>
      </w:r>
      <w:r>
        <w:rPr>
          <w:rFonts w:ascii="Times New Roman" w:hAnsi="Times New Roman"/>
          <w:noProof/>
          <w:sz w:val="24"/>
          <w:szCs w:val="24"/>
        </w:rPr>
        <w:t xml:space="preserve"> προβλέπει ότι τα κοινωνικά σχέδια των κρατών μελών για το κλίμα θα αναλύουν τις επιπτώσεις του ΣΕΔΕ στις ευάλωτες ομάδες, λαμβάνοντας υπόψη τις ιδιαιτερότητες των απομακρυσμένων περιοχών. Επιπλέον, μπορεί να στηρίξει οικονομικά προσιτές μεταφορές χαμηλών εκπομπών σε νησιωτικές και απομακρυσμένες περιοχές.</w:t>
      </w:r>
    </w:p>
    <w:tbl>
      <w:tblPr>
        <w:tblStyle w:val="TableGrid"/>
        <w:tblW w:w="0" w:type="auto"/>
        <w:shd w:val="clear" w:color="auto" w:fill="D9D9D9" w:themeFill="background1" w:themeFillShade="D9"/>
        <w:tblLook w:val="04A0" w:firstRow="1" w:lastRow="0" w:firstColumn="1" w:lastColumn="0" w:noHBand="0" w:noVBand="1"/>
      </w:tblPr>
      <w:tblGrid>
        <w:gridCol w:w="9576"/>
      </w:tblGrid>
      <w:tr w:rsidR="00642D87" w:rsidRPr="00D5783B" w:rsidTr="6AEC7FDD">
        <w:trPr>
          <w:trHeight w:val="129"/>
        </w:trPr>
        <w:tc>
          <w:tcPr>
            <w:tcW w:w="9576" w:type="dxa"/>
            <w:shd w:val="clear" w:color="auto" w:fill="D9D9D9" w:themeFill="background1" w:themeFillShade="D9"/>
          </w:tcPr>
          <w:p w:rsidR="00642D87" w:rsidRPr="00231ABB" w:rsidRDefault="00642D87" w:rsidP="00B07E88">
            <w:pPr>
              <w:spacing w:after="60"/>
              <w:jc w:val="both"/>
              <w:rPr>
                <w:rFonts w:ascii="Times New Roman" w:hAnsi="Times New Roman" w:cs="Times New Roman"/>
                <w:b/>
                <w:noProof/>
              </w:rPr>
            </w:pPr>
            <w:r>
              <w:rPr>
                <w:rFonts w:ascii="Times New Roman" w:hAnsi="Times New Roman"/>
                <w:b/>
                <w:noProof/>
              </w:rPr>
              <w:t>Η Επιτροπή ενθαρρύνει τα οικεία κράτη μέλη και τις εξόχως απόκεντρες περιοχές:</w:t>
            </w:r>
          </w:p>
          <w:p w:rsidR="00403870" w:rsidRPr="00231ABB" w:rsidRDefault="0042149F" w:rsidP="00B07E88">
            <w:pPr>
              <w:pStyle w:val="ListParagraph"/>
              <w:numPr>
                <w:ilvl w:val="0"/>
                <w:numId w:val="2"/>
              </w:numPr>
              <w:spacing w:after="60"/>
              <w:contextualSpacing w:val="0"/>
              <w:jc w:val="both"/>
              <w:rPr>
                <w:rFonts w:ascii="Times New Roman" w:hAnsi="Times New Roman" w:cs="Times New Roman"/>
                <w:noProof/>
                <w:color w:val="000000" w:themeColor="text1"/>
              </w:rPr>
            </w:pPr>
            <w:r>
              <w:rPr>
                <w:rFonts w:ascii="Times New Roman" w:hAnsi="Times New Roman"/>
                <w:noProof/>
                <w:color w:val="000000" w:themeColor="text1"/>
              </w:rPr>
              <w:t>να προωθήσουν την έρευνα για την κλιματική αλλαγή, π.χ. να αναπτύξουν καινοτόμα εργαλεία για την πρόβλεψη των κλιματικών φαινομένων και για την ενίσχυση των γνώσεων σχετικά με τις επιπτώσεις της κλιματικής αλλαγής, αξιοποιώντας τις ευκαιρίες στο πλαίσιο των ταμείων της πολιτικής συνοχής και άλλων προγραμμάτων της ΕΕ, π.χ. το LIFE και το πρόγραμμα «Ορίζων Ευρώπη»·</w:t>
            </w:r>
          </w:p>
          <w:p w:rsidR="00157D83" w:rsidRPr="00C47252" w:rsidRDefault="0042149F" w:rsidP="00B07E88">
            <w:pPr>
              <w:pStyle w:val="ListParagraph"/>
              <w:numPr>
                <w:ilvl w:val="0"/>
                <w:numId w:val="2"/>
              </w:numPr>
              <w:spacing w:after="60"/>
              <w:contextualSpacing w:val="0"/>
              <w:rPr>
                <w:rFonts w:ascii="Times New Roman" w:hAnsi="Times New Roman" w:cs="Times New Roman"/>
                <w:noProof/>
              </w:rPr>
            </w:pPr>
            <w:r>
              <w:rPr>
                <w:rFonts w:ascii="Times New Roman" w:hAnsi="Times New Roman"/>
                <w:noProof/>
                <w:color w:val="000000" w:themeColor="text1"/>
              </w:rPr>
              <w:t>να ενισχύσουν τη συνεργασία με γειτονικές χώρες για την κλιματική αλλαγή, την πρόληψη των κινδύνων και την ανθεκτικότητα, μεταξύ άλλων, μέσω των προγραμμάτων Interreg·</w:t>
            </w:r>
          </w:p>
          <w:p w:rsidR="007E2EE1" w:rsidRPr="00C47252" w:rsidRDefault="00B143FE" w:rsidP="00B07E88">
            <w:pPr>
              <w:pStyle w:val="ListParagraph"/>
              <w:numPr>
                <w:ilvl w:val="0"/>
                <w:numId w:val="2"/>
              </w:numPr>
              <w:spacing w:after="60"/>
              <w:contextualSpacing w:val="0"/>
              <w:jc w:val="both"/>
              <w:rPr>
                <w:rFonts w:ascii="Times New Roman" w:hAnsi="Times New Roman" w:cs="Times New Roman"/>
                <w:noProof/>
                <w:color w:val="000000" w:themeColor="text1"/>
              </w:rPr>
            </w:pPr>
            <w:r>
              <w:rPr>
                <w:rFonts w:ascii="Times New Roman" w:hAnsi="Times New Roman"/>
                <w:bCs/>
                <w:iCs/>
                <w:noProof/>
                <w:color w:val="000000" w:themeColor="text1"/>
              </w:rPr>
              <w:t>να λάβουν υπόψη τις ιδιαιτερότητες των εξόχως απόκεντρων περιοχών στα</w:t>
            </w:r>
            <w:r>
              <w:rPr>
                <w:rFonts w:ascii="Times New Roman" w:hAnsi="Times New Roman"/>
                <w:noProof/>
                <w:color w:val="000000" w:themeColor="text1"/>
              </w:rPr>
              <w:t xml:space="preserve"> εθνικά σχέδια</w:t>
            </w:r>
            <w:r>
              <w:rPr>
                <w:rFonts w:ascii="Times New Roman" w:hAnsi="Times New Roman"/>
                <w:b/>
                <w:bCs/>
                <w:iCs/>
                <w:noProof/>
                <w:color w:val="000000" w:themeColor="text1"/>
              </w:rPr>
              <w:t xml:space="preserve"> </w:t>
            </w:r>
            <w:r>
              <w:rPr>
                <w:rFonts w:ascii="Times New Roman" w:hAnsi="Times New Roman"/>
                <w:noProof/>
                <w:color w:val="000000" w:themeColor="text1"/>
              </w:rPr>
              <w:t>στο πλαίσιο του Κοινωνικού Ταμείου για το Κλίμα της ΕΕ</w:t>
            </w:r>
            <w:r>
              <w:rPr>
                <w:rFonts w:ascii="Times New Roman" w:hAnsi="Times New Roman"/>
                <w:bCs/>
                <w:iCs/>
                <w:noProof/>
                <w:color w:val="000000" w:themeColor="text1"/>
              </w:rPr>
              <w:t>· και να υποβάλουν αίτηση για χρηματοδότηση στο πλαίσιο</w:t>
            </w:r>
            <w:r>
              <w:rPr>
                <w:rFonts w:ascii="Times New Roman" w:hAnsi="Times New Roman"/>
                <w:noProof/>
                <w:color w:val="000000" w:themeColor="text1"/>
              </w:rPr>
              <w:t xml:space="preserve"> του Ταμείου Καινοτομίας</w:t>
            </w:r>
            <w:r>
              <w:rPr>
                <w:rFonts w:ascii="Times New Roman" w:hAnsi="Times New Roman"/>
                <w:bCs/>
                <w:iCs/>
                <w:noProof/>
                <w:color w:val="000000" w:themeColor="text1"/>
              </w:rPr>
              <w:t>·</w:t>
            </w:r>
          </w:p>
          <w:p w:rsidR="00403870" w:rsidRPr="00C62324" w:rsidRDefault="00222B7C" w:rsidP="00B07E88">
            <w:pPr>
              <w:pStyle w:val="ListParagraph"/>
              <w:numPr>
                <w:ilvl w:val="0"/>
                <w:numId w:val="2"/>
              </w:numPr>
              <w:spacing w:after="60"/>
              <w:contextualSpacing w:val="0"/>
              <w:rPr>
                <w:rFonts w:ascii="Times New Roman" w:hAnsi="Times New Roman" w:cs="Times New Roman"/>
                <w:noProof/>
              </w:rPr>
            </w:pPr>
            <w:r>
              <w:rPr>
                <w:rFonts w:ascii="Times New Roman" w:hAnsi="Times New Roman"/>
                <w:noProof/>
              </w:rPr>
              <w:t>να συμμετάσχουν στην αποστολή της ΕΕ «Προσαρμογή στην κλιματική αλλαγή» και να αξιοποιήσουν τις ευκαιρίες της.</w:t>
            </w:r>
          </w:p>
          <w:p w:rsidR="00134802" w:rsidRDefault="00134802" w:rsidP="00B07E88">
            <w:pPr>
              <w:spacing w:after="60"/>
              <w:jc w:val="both"/>
              <w:rPr>
                <w:rFonts w:ascii="Times New Roman" w:hAnsi="Times New Roman" w:cs="Times New Roman"/>
                <w:b/>
                <w:noProof/>
              </w:rPr>
            </w:pPr>
          </w:p>
          <w:p w:rsidR="00134802" w:rsidRDefault="00134802" w:rsidP="00B07E88">
            <w:pPr>
              <w:spacing w:after="60"/>
              <w:jc w:val="both"/>
              <w:rPr>
                <w:rFonts w:ascii="Times New Roman" w:hAnsi="Times New Roman" w:cs="Times New Roman"/>
                <w:b/>
                <w:noProof/>
              </w:rPr>
            </w:pPr>
          </w:p>
          <w:p w:rsidR="00642D87" w:rsidRPr="00231ABB" w:rsidRDefault="00642D87" w:rsidP="00B07E88">
            <w:pPr>
              <w:spacing w:after="60"/>
              <w:jc w:val="both"/>
              <w:rPr>
                <w:rFonts w:ascii="Times New Roman" w:hAnsi="Times New Roman" w:cs="Times New Roman"/>
                <w:noProof/>
              </w:rPr>
            </w:pPr>
            <w:r>
              <w:rPr>
                <w:rFonts w:ascii="Times New Roman" w:hAnsi="Times New Roman"/>
                <w:b/>
                <w:noProof/>
              </w:rPr>
              <w:t>Η Επιτροπή:</w:t>
            </w:r>
          </w:p>
          <w:p w:rsidR="0010651D" w:rsidRDefault="00EF2C5A" w:rsidP="0010651D">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rPr>
              <w:t>θα προωθήσει τη συνεργασία και την έρευνα σχετικά με κοινές προκλήσεις στο πλαίσιο του προγράμματος «Ορίζων Ευρώπη», και θα στηρίξει τη δράση για το κλίμα στο πλαίσιο του προγράμματος LIFE· θα προωθήσει τις ανταλλαγές σχετικά με τη δράση για το κλίμα μεταξύ των εξόχως απόκεντρων περιοχών και των γειτόνων τους στο πλαίσιο του ΕΤΠΑ·</w:t>
            </w:r>
          </w:p>
          <w:p w:rsidR="0010651D" w:rsidRDefault="007434B9" w:rsidP="0010651D">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rPr>
              <w:t>θα στηρίξει δράσεις για την πρόληψη κινδύνων και την ανθεκτικότητα όσον αφορά τις φυσικές καταστροφές· θα προωθήσει την ανταλλαγή γνώσεων μεταξύ των εξόχως απόκεντρων περιοχών και των γειτονικών τους χωρών·</w:t>
            </w:r>
          </w:p>
          <w:p w:rsidR="00DC7A77" w:rsidRPr="00220655" w:rsidRDefault="00F57AF0" w:rsidP="00892593">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rPr>
              <w:t xml:space="preserve">θα συμβάλει στην εξεύρεση κατάλληλων λύσεων για τη φτώχεια στον τομέα της κινητικότητας που συνδέεται με την αύξηση των τιμών των μεταφορών· </w:t>
            </w:r>
          </w:p>
          <w:p w:rsidR="00A01AAD" w:rsidRPr="00CA0828" w:rsidRDefault="00134802" w:rsidP="00F87517">
            <w:pPr>
              <w:pStyle w:val="ListParagraph"/>
              <w:numPr>
                <w:ilvl w:val="0"/>
                <w:numId w:val="2"/>
              </w:numPr>
              <w:spacing w:after="60"/>
              <w:ind w:left="357"/>
              <w:contextualSpacing w:val="0"/>
              <w:jc w:val="both"/>
              <w:rPr>
                <w:i/>
                <w:noProof/>
              </w:rPr>
            </w:pPr>
            <w:r>
              <w:rPr>
                <w:rFonts w:ascii="Times New Roman" w:hAnsi="Times New Roman"/>
                <w:noProof/>
              </w:rPr>
              <w:t>θα εξακολουθεί να λαμβάνει δεόντως υπόψη τις εξόχως απόκεντρες περιοχές κατά τη χρήση των κονδυλίων του Ταμείου Αλληλεγγύης της ΕΕ</w:t>
            </w:r>
            <w:r>
              <w:rPr>
                <w:rStyle w:val="FootnoteReference"/>
                <w:rFonts w:ascii="Times New Roman" w:hAnsi="Times New Roman" w:cs="Times New Roman"/>
                <w:noProof/>
              </w:rPr>
              <w:footnoteReference w:id="102"/>
            </w:r>
            <w:r>
              <w:rPr>
                <w:rFonts w:ascii="Times New Roman" w:hAnsi="Times New Roman"/>
                <w:noProof/>
              </w:rPr>
              <w:t>.</w:t>
            </w:r>
          </w:p>
        </w:tc>
      </w:tr>
    </w:tbl>
    <w:p w:rsidR="00E03D14" w:rsidRPr="00FB65BA" w:rsidRDefault="00E03D14" w:rsidP="00295F84">
      <w:pPr>
        <w:spacing w:before="24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Ανανεώσιμες πηγές ενέργειας και ενεργειακή απόδοση </w:t>
      </w:r>
    </w:p>
    <w:p w:rsidR="00ED035A" w:rsidRDefault="00EF6A21" w:rsidP="002F659A">
      <w:pPr>
        <w:spacing w:before="80" w:after="0" w:line="240" w:lineRule="auto"/>
        <w:ind w:right="57"/>
        <w:jc w:val="both"/>
        <w:rPr>
          <w:rFonts w:ascii="Times New Roman" w:hAnsi="Times New Roman" w:cs="Times New Roman"/>
          <w:noProof/>
          <w:sz w:val="24"/>
          <w:szCs w:val="24"/>
        </w:rPr>
      </w:pPr>
      <w:r>
        <w:rPr>
          <w:rFonts w:ascii="Times New Roman" w:hAnsi="Times New Roman"/>
          <w:noProof/>
          <w:sz w:val="24"/>
          <w:szCs w:val="24"/>
        </w:rPr>
        <w:t>Με τις πλούσιες πηγές ανανεώσιμης ενέργειάς τους —ηλιακή, αιολική, θαλάσσια και γεωθερμική—, οι εξόχως απόκεντρες περιοχές μπορούν να πρωτοστατήσουν στη μετάβαση σε καθαρές μορφές ενέργειας, συμβάλλοντας στην επίτευξη του στόχου της ΕΕ για κλιματική ουδετερότητα έως το 2050. Ωστόσο, οι περιοχές αυτές εξακολουθούν να βασίζονται στις εισαγωγές ορυκτών καυσίμων για να καλύψουν το μεγαλύτερο μέρος των ενεργειακών τους αναγκών, κάτι που συνεπάγεται υψηλές εκπομπές και κόστος. Δεδομένων των υψηλών τιμών ενέργειας που αυξήθηκαν περαιτέρω εξαιτίας των τρεχουσών γεωπολιτικών εντάσεων, ο κίνδυνος ενεργειακής φτώχειας αυξάνεται. Η οδηγία για την ενεργειακή απόδοση</w:t>
      </w:r>
      <w:r>
        <w:rPr>
          <w:rStyle w:val="FootnoteReference"/>
          <w:rFonts w:ascii="Times New Roman" w:hAnsi="Times New Roman" w:cs="Times New Roman"/>
          <w:noProof/>
          <w:sz w:val="24"/>
          <w:szCs w:val="24"/>
        </w:rPr>
        <w:footnoteReference w:id="103"/>
      </w:r>
      <w:r>
        <w:rPr>
          <w:rFonts w:ascii="Times New Roman" w:hAnsi="Times New Roman"/>
          <w:noProof/>
          <w:sz w:val="24"/>
          <w:szCs w:val="24"/>
        </w:rPr>
        <w:t xml:space="preserve"> καλεί τα κράτη μέλη να μετριάσουν την ενεργειακή φτώχεια και να λάβουν υπόψη τις διακυμάνσεις της θερμοκρασίας σε περιφερειακό επίπεδο κατά τον καθορισμό στόχων για την εξοικονόμηση ενέργειας.</w:t>
      </w:r>
    </w:p>
    <w:p w:rsidR="00D94A3A" w:rsidRPr="00E24AB7" w:rsidRDefault="0010651D" w:rsidP="00930051">
      <w:pPr>
        <w:spacing w:before="80" w:after="0" w:line="240" w:lineRule="auto"/>
        <w:ind w:right="57"/>
        <w:jc w:val="both"/>
        <w:rPr>
          <w:rFonts w:ascii="Times New Roman" w:hAnsi="Times New Roman" w:cs="Times New Roman"/>
          <w:noProof/>
          <w:sz w:val="24"/>
          <w:szCs w:val="24"/>
        </w:rPr>
      </w:pPr>
      <w:r>
        <w:rPr>
          <w:rFonts w:ascii="Times New Roman" w:hAnsi="Times New Roman"/>
          <w:noProof/>
          <w:sz w:val="24"/>
          <w:szCs w:val="24"/>
        </w:rPr>
        <w:t>Αρκετές εξόχως απόκεντρες περιοχές (π.χ. Κανάριες Νήσοι, Αζόρες, Μαδέρα και Ρεϊνιόν) εφαρμόζουν καινοτόμες λύσεις για την παραγωγή ανανεώσιμης ενέργειας, ιδίως γεωθερμικής ενέργειας, η οποία σε ορισμένες εξόχως απόκεντρες περιοχές καλύπτει ήδη μεγάλο μέρος της ζήτησης ηλεκτρικής ενέργειας. Οι επενδύσεις στην παραγωγή και την αποθήκευση ενέργειας από ανανεώσιμες πηγές μπορούν να αυξήσουν την ενεργειακή αυτονομία των εξόχως απόκεντρων περιοχών και να συμβάλουν στην επίτευξη του στόχου της ΕΕ για κλιματική ουδετερότητα έως το 2050 και των στόχων μείωσης των εκπομπών και αύξησης της ενέργειας από ανανεώσιμες πηγές έως το 2030. Το κανονιστικό πλαίσιο της ΕΕ ενθαρρύνει τις επενδύσεις σε καθαρή ενέργεια και σε μικρά, αποκεντρωμένα συστήματα παραγωγής ενέργειας από ανανεώσιμες πηγές, μεταξύ άλλων, στον τομέα της θέρμανσης και της ψύξης</w:t>
      </w:r>
      <w:r>
        <w:rPr>
          <w:rStyle w:val="FootnoteReference"/>
          <w:rFonts w:ascii="Times New Roman" w:hAnsi="Times New Roman" w:cs="Times New Roman"/>
          <w:noProof/>
          <w:sz w:val="24"/>
          <w:szCs w:val="24"/>
        </w:rPr>
        <w:footnoteReference w:id="104"/>
      </w:r>
      <w:r>
        <w:rPr>
          <w:rFonts w:ascii="Times New Roman" w:hAnsi="Times New Roman"/>
          <w:noProof/>
          <w:sz w:val="24"/>
          <w:szCs w:val="24"/>
        </w:rPr>
        <w:t>. Η στρατηγική του 2020 για τις υπεράκτιες ανανεώσιμες πηγές ενέργειας</w:t>
      </w:r>
      <w:r>
        <w:rPr>
          <w:rStyle w:val="FootnoteReference"/>
          <w:rFonts w:ascii="Times New Roman" w:hAnsi="Times New Roman" w:cs="Times New Roman"/>
          <w:noProof/>
          <w:sz w:val="24"/>
          <w:szCs w:val="24"/>
        </w:rPr>
        <w:footnoteReference w:id="105"/>
      </w:r>
      <w:r>
        <w:rPr>
          <w:rFonts w:ascii="Times New Roman" w:hAnsi="Times New Roman"/>
          <w:noProof/>
          <w:sz w:val="24"/>
          <w:szCs w:val="24"/>
        </w:rPr>
        <w:t xml:space="preserve"> επισημαίνει το δυναμικό των εξόχως απόκεντρων περιοχών ως πρωτοπόρων στην απαλλαγή από τις ανθρακούχες εκπομπές. Τα ταμεία της πολιτικής συνοχής, η πρωτοβουλία «Καθαρή ενέργεια για τα νησιά της ΕΕ», ο μηχανισμός «Νέες ενεργειακές λύσεις βελτιστοποιημένες για τα νησιά (NESOI)» και ο ΜΑΑ μπορούν να στηρίξουν την ενεργειακή μετάβαση στις εξόχως απόκεντρες περιοχές. Το πρόγραμμα LIFE μπορεί να χρηματοδοτήσει την επέκταση της τεχνολογίας, νέα επιχειρηματικά μοντέλα και την ανάπτυξη συναφών δεξιοτήτων. </w:t>
      </w:r>
    </w:p>
    <w:p w:rsidR="00D5014F" w:rsidRDefault="00D94A3A" w:rsidP="00B32DA8">
      <w:pPr>
        <w:spacing w:before="80" w:after="240" w:line="240" w:lineRule="auto"/>
        <w:jc w:val="both"/>
        <w:rPr>
          <w:noProof/>
        </w:rPr>
      </w:pPr>
      <w:r>
        <w:rPr>
          <w:rFonts w:ascii="Times New Roman" w:hAnsi="Times New Roman"/>
          <w:noProof/>
          <w:sz w:val="24"/>
          <w:szCs w:val="24"/>
        </w:rPr>
        <w:t>Στο πλαίσιο της ρωσικής εισβολής στην Ουκρανία, η Επιτροπή πρότεινε το σχέδιο REPowerEU για την αντιμετώπιση της ενεργειακής εξάρτησης</w:t>
      </w:r>
      <w:r>
        <w:rPr>
          <w:rFonts w:ascii="Times New Roman" w:hAnsi="Times New Roman" w:cs="Times New Roman"/>
          <w:noProof/>
          <w:sz w:val="24"/>
          <w:szCs w:val="24"/>
          <w:vertAlign w:val="superscript"/>
          <w:lang w:val="en-GB"/>
        </w:rPr>
        <w:footnoteReference w:id="106"/>
      </w:r>
      <w:r>
        <w:rPr>
          <w:rFonts w:ascii="Times New Roman" w:hAnsi="Times New Roman"/>
          <w:noProof/>
          <w:sz w:val="24"/>
          <w:szCs w:val="24"/>
        </w:rPr>
        <w:t xml:space="preserve"> και </w:t>
      </w:r>
      <w:r>
        <w:rPr>
          <w:rFonts w:ascii="Times New Roman" w:hAnsi="Times New Roman"/>
          <w:bCs/>
          <w:noProof/>
          <w:sz w:val="24"/>
          <w:szCs w:val="24"/>
        </w:rPr>
        <w:t>ένα προσωρινό πλαίσιο κρίσης για τις κρατικές ενισχύσεις που επιτρέπει την παροχή στήριξης με σκοπό την κάλυψη του πρόσθετου κόστους λόγω των αυξήσεων των τιμών του φυσικού αερίου και της ηλεκτρικής ενέργειας</w:t>
      </w:r>
      <w:r>
        <w:rPr>
          <w:rFonts w:ascii="Times New Roman" w:hAnsi="Times New Roman" w:cs="Times New Roman"/>
          <w:noProof/>
          <w:sz w:val="24"/>
          <w:szCs w:val="24"/>
          <w:vertAlign w:val="superscript"/>
          <w:lang w:val="en-GB"/>
        </w:rPr>
        <w:footnoteReference w:id="107"/>
      </w:r>
      <w:r>
        <w:rPr>
          <w:rFonts w:ascii="Times New Roman" w:hAnsi="Times New Roman"/>
          <w:noProof/>
          <w:sz w:val="24"/>
          <w:szCs w:val="24"/>
        </w:rPr>
        <w:t xml:space="preserve">. </w:t>
      </w:r>
    </w:p>
    <w:p w:rsidR="00620658" w:rsidRPr="00620658" w:rsidRDefault="00620658" w:rsidP="00930051">
      <w:pPr>
        <w:spacing w:before="80" w:after="0" w:line="240" w:lineRule="auto"/>
        <w:ind w:right="57"/>
        <w:jc w:val="both"/>
        <w:rPr>
          <w:rFonts w:ascii="Times New Roman" w:hAnsi="Times New Roman" w:cs="Times New Roman"/>
          <w:noProof/>
          <w:sz w:val="6"/>
          <w:szCs w:val="6"/>
        </w:rPr>
      </w:pPr>
    </w:p>
    <w:tbl>
      <w:tblPr>
        <w:tblStyle w:val="TableGrid"/>
        <w:tblW w:w="0" w:type="auto"/>
        <w:shd w:val="clear" w:color="auto" w:fill="D9D9D9" w:themeFill="background1" w:themeFillShade="D9"/>
        <w:tblLook w:val="04A0" w:firstRow="1" w:lastRow="0" w:firstColumn="1" w:lastColumn="0" w:noHBand="0" w:noVBand="1"/>
      </w:tblPr>
      <w:tblGrid>
        <w:gridCol w:w="9576"/>
      </w:tblGrid>
      <w:tr w:rsidR="00E03D14" w:rsidTr="6AEC7FDD">
        <w:trPr>
          <w:trHeight w:val="274"/>
        </w:trPr>
        <w:tc>
          <w:tcPr>
            <w:tcW w:w="9576" w:type="dxa"/>
            <w:shd w:val="clear" w:color="auto" w:fill="D9D9D9" w:themeFill="background1" w:themeFillShade="D9"/>
          </w:tcPr>
          <w:p w:rsidR="00E03D14" w:rsidRPr="00FE28BE" w:rsidRDefault="00E03D14" w:rsidP="00B07E88">
            <w:pPr>
              <w:spacing w:after="60"/>
              <w:jc w:val="both"/>
              <w:rPr>
                <w:rFonts w:ascii="Times New Roman" w:hAnsi="Times New Roman" w:cs="Times New Roman"/>
                <w:b/>
                <w:noProof/>
              </w:rPr>
            </w:pPr>
            <w:r>
              <w:rPr>
                <w:rFonts w:ascii="Times New Roman" w:hAnsi="Times New Roman"/>
                <w:b/>
                <w:noProof/>
              </w:rPr>
              <w:t>Η Επιτροπή ενθαρρύνει τα οικεία κράτη μέλη και τις εξόχως απόκεντρες περιοχές:</w:t>
            </w:r>
          </w:p>
          <w:p w:rsidR="00802DDA" w:rsidRPr="00ED035A" w:rsidRDefault="00D615EB" w:rsidP="005738B6">
            <w:pPr>
              <w:pStyle w:val="ListParagraph"/>
              <w:numPr>
                <w:ilvl w:val="0"/>
                <w:numId w:val="2"/>
              </w:numPr>
              <w:spacing w:after="60"/>
              <w:ind w:right="57"/>
              <w:contextualSpacing w:val="0"/>
              <w:jc w:val="both"/>
              <w:rPr>
                <w:rFonts w:ascii="Times New Roman" w:hAnsi="Times New Roman" w:cs="Times New Roman"/>
                <w:noProof/>
              </w:rPr>
            </w:pPr>
            <w:r>
              <w:rPr>
                <w:rFonts w:ascii="Times New Roman" w:hAnsi="Times New Roman"/>
                <w:noProof/>
              </w:rPr>
              <w:t>να εξασφαλίσουν ότι η εθνική/περιφερειακή νομοθεσία ενθαρρύνει τη χρήση ενέργειας από ανανεώσιμες πηγές και την ενεργειακή απόδοση·</w:t>
            </w:r>
            <w:r>
              <w:rPr>
                <w:rFonts w:ascii="Times New Roman" w:hAnsi="Times New Roman"/>
                <w:noProof/>
                <w:color w:val="000000" w:themeColor="text1"/>
              </w:rPr>
              <w:t xml:space="preserve"> να αποτυπώσουν </w:t>
            </w:r>
            <w:r>
              <w:rPr>
                <w:rFonts w:ascii="Times New Roman" w:hAnsi="Times New Roman"/>
                <w:bCs/>
                <w:noProof/>
                <w:color w:val="000000" w:themeColor="text1"/>
              </w:rPr>
              <w:t>την κατάσταση των εξόχως απόκεντρων περιοχών στα εθνικά</w:t>
            </w:r>
            <w:r>
              <w:rPr>
                <w:rFonts w:ascii="Times New Roman" w:hAnsi="Times New Roman"/>
                <w:noProof/>
                <w:color w:val="000000" w:themeColor="text1"/>
              </w:rPr>
              <w:t xml:space="preserve"> σχέδια για την ενέργεια και το κλίμα</w:t>
            </w:r>
            <w:r>
              <w:rPr>
                <w:rFonts w:ascii="Times New Roman" w:hAnsi="Times New Roman"/>
                <w:bCs/>
                <w:noProof/>
                <w:color w:val="000000" w:themeColor="text1"/>
              </w:rPr>
              <w:t>·</w:t>
            </w:r>
          </w:p>
          <w:p w:rsidR="00ED035A" w:rsidRPr="00CA5F3C" w:rsidRDefault="00ED035A" w:rsidP="005738B6">
            <w:pPr>
              <w:pStyle w:val="ListParagraph"/>
              <w:numPr>
                <w:ilvl w:val="0"/>
                <w:numId w:val="2"/>
              </w:numPr>
              <w:spacing w:after="60"/>
              <w:ind w:right="57"/>
              <w:contextualSpacing w:val="0"/>
              <w:jc w:val="both"/>
              <w:rPr>
                <w:rFonts w:ascii="Times New Roman" w:hAnsi="Times New Roman" w:cs="Times New Roman"/>
                <w:noProof/>
              </w:rPr>
            </w:pPr>
            <w:r>
              <w:rPr>
                <w:rFonts w:ascii="Times New Roman" w:hAnsi="Times New Roman"/>
                <w:noProof/>
                <w:snapToGrid w:val="0"/>
              </w:rPr>
              <w:t>να παράσχουν στοχευμένη στήριξη</w:t>
            </w:r>
            <w:r>
              <w:rPr>
                <w:rFonts w:ascii="Times New Roman" w:hAnsi="Times New Roman"/>
                <w:noProof/>
              </w:rPr>
              <w:t xml:space="preserve"> </w:t>
            </w:r>
            <w:r>
              <w:rPr>
                <w:rFonts w:ascii="Times New Roman" w:hAnsi="Times New Roman"/>
                <w:noProof/>
                <w:snapToGrid w:val="0"/>
              </w:rPr>
              <w:t>σε νοικοκυριά που πλήττονται από ενεργειακή φτώχεια·</w:t>
            </w:r>
          </w:p>
          <w:p w:rsidR="003A0BAC" w:rsidRDefault="00D615EB" w:rsidP="005738B6">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rPr>
              <w:t xml:space="preserve">να επενδύσουν στην ενέργεια από ανανεώσιμες πηγές και στην ενεργειακή απόδοση διερευνώντας τα φυσικά πλεονεκτήματα· να στηρίξουν τις εξόχως απόκεντρες περιοχές στην εφαρμογή λύσεων ανανεώσιμων πηγών ενέργειας μικρής κλίμακας σε απομακρυσμένες περιοχές για την αντιμετώπιση των ελλείψεων ενεργειακών υποδομών· </w:t>
            </w:r>
          </w:p>
          <w:p w:rsidR="00321F60" w:rsidRPr="00E24AB7" w:rsidRDefault="00D615EB" w:rsidP="005738B6">
            <w:pPr>
              <w:pStyle w:val="ListParagraph"/>
              <w:numPr>
                <w:ilvl w:val="0"/>
                <w:numId w:val="2"/>
              </w:numPr>
              <w:spacing w:after="60"/>
              <w:ind w:right="57"/>
              <w:contextualSpacing w:val="0"/>
              <w:jc w:val="both"/>
              <w:rPr>
                <w:rFonts w:ascii="Times New Roman" w:hAnsi="Times New Roman" w:cs="Times New Roman"/>
                <w:noProof/>
              </w:rPr>
            </w:pPr>
            <w:r>
              <w:rPr>
                <w:rFonts w:ascii="Times New Roman" w:hAnsi="Times New Roman"/>
                <w:noProof/>
                <w:color w:val="000000"/>
                <w:shd w:val="clear" w:color="auto" w:fill="D9D9D9" w:themeFill="background1" w:themeFillShade="D9"/>
              </w:rPr>
              <w:t>να ενσωματώσουν την ανάπτυξη υπεράκτιων ανανεώσιμων πηγών ενέργειας στα θαλάσσια χωροταξικά σχέδια, όπως προβλέπεται στη στρατηγική</w:t>
            </w:r>
            <w:r>
              <w:rPr>
                <w:rFonts w:ascii="Times New Roman" w:hAnsi="Times New Roman"/>
                <w:noProof/>
                <w:shd w:val="clear" w:color="auto" w:fill="D9D9D9" w:themeFill="background1" w:themeFillShade="D9"/>
              </w:rPr>
              <w:t xml:space="preserve"> για τις υπεράκτιες ανανεώσιμες πηγές ενέργειας·</w:t>
            </w:r>
          </w:p>
          <w:p w:rsidR="00CC01F7" w:rsidRPr="00E24AB7" w:rsidRDefault="00CC01F7" w:rsidP="00E24AB7">
            <w:pPr>
              <w:numPr>
                <w:ilvl w:val="0"/>
                <w:numId w:val="2"/>
              </w:numPr>
              <w:spacing w:after="60"/>
              <w:jc w:val="both"/>
              <w:rPr>
                <w:rFonts w:ascii="Times New Roman" w:hAnsi="Times New Roman" w:cs="Times New Roman"/>
                <w:noProof/>
              </w:rPr>
            </w:pPr>
            <w:r>
              <w:rPr>
                <w:rFonts w:ascii="Times New Roman" w:hAnsi="Times New Roman"/>
                <w:noProof/>
              </w:rPr>
              <w:t xml:space="preserve">να εξασφαλίσουν ότι οι εξόχως απόκεντρες περιοχές λαμβάνονται υπόψη στα μέτρα στήριξης του σχεδίου REPowerEU. </w:t>
            </w:r>
            <w:r>
              <w:rPr>
                <w:rFonts w:ascii="Times New Roman" w:hAnsi="Times New Roman"/>
                <w:noProof/>
                <w:sz w:val="22"/>
                <w:szCs w:val="22"/>
              </w:rPr>
              <w:t xml:space="preserve"> </w:t>
            </w:r>
          </w:p>
          <w:p w:rsidR="00E03D14" w:rsidRPr="00CC01F7" w:rsidRDefault="00E03D14" w:rsidP="00E24AB7">
            <w:pPr>
              <w:spacing w:after="60"/>
              <w:jc w:val="both"/>
              <w:rPr>
                <w:rFonts w:ascii="Times New Roman" w:hAnsi="Times New Roman" w:cs="Times New Roman"/>
                <w:noProof/>
              </w:rPr>
            </w:pPr>
            <w:r>
              <w:rPr>
                <w:rFonts w:ascii="Times New Roman" w:hAnsi="Times New Roman"/>
                <w:b/>
                <w:noProof/>
              </w:rPr>
              <w:t>Η Επιτροπή:</w:t>
            </w:r>
          </w:p>
          <w:p w:rsidR="0005530A" w:rsidRPr="00D02317" w:rsidRDefault="00FB473D" w:rsidP="005738B6">
            <w:pPr>
              <w:pStyle w:val="ListParagraph"/>
              <w:numPr>
                <w:ilvl w:val="0"/>
                <w:numId w:val="2"/>
              </w:numPr>
              <w:spacing w:after="60"/>
              <w:ind w:right="57"/>
              <w:contextualSpacing w:val="0"/>
              <w:jc w:val="both"/>
              <w:rPr>
                <w:rFonts w:ascii="Times New Roman" w:hAnsi="Times New Roman" w:cs="Times New Roman"/>
                <w:noProof/>
              </w:rPr>
            </w:pPr>
            <w:r>
              <w:rPr>
                <w:rFonts w:ascii="Times New Roman" w:hAnsi="Times New Roman"/>
                <w:noProof/>
              </w:rPr>
              <w:t>θα προωθήσει την έρευνα σχετικά με τα ευφυή δίκτυα, την αποθήκευση ενέργειας, τη θαλάσσια ενέργεια, τις ανανεώσιμες πηγές ενέργειας·</w:t>
            </w:r>
          </w:p>
          <w:p w:rsidR="009976E8" w:rsidRPr="00CB62BB" w:rsidRDefault="00FB473D" w:rsidP="00BE66A5">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rPr>
              <w:t>θα λάβει υπόψη τις ιδιαιτερότητες των εξόχως απόκεντρων περιοχών στη στρατηγική της ΕΕ για την ηλιακή ενέργεια·</w:t>
            </w:r>
          </w:p>
          <w:p w:rsidR="00FE28BE" w:rsidRPr="00C100A4" w:rsidRDefault="004C47C4" w:rsidP="00BE66A5">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rPr>
              <w:t>θα προωθήσει την ανταλλαγή εμπειριών σχετικά με την καινοτόμο διαχείριση της ενέργειας, π.χ. στο πλαίσιο του Interreg·</w:t>
            </w:r>
          </w:p>
          <w:p w:rsidR="00E03D14" w:rsidRPr="00EF2C5A" w:rsidRDefault="005A5324" w:rsidP="005738B6">
            <w:pPr>
              <w:pStyle w:val="ListParagraph"/>
              <w:numPr>
                <w:ilvl w:val="0"/>
                <w:numId w:val="2"/>
              </w:numPr>
              <w:spacing w:after="60"/>
              <w:contextualSpacing w:val="0"/>
              <w:jc w:val="both"/>
              <w:rPr>
                <w:noProof/>
              </w:rPr>
            </w:pPr>
            <w:r>
              <w:rPr>
                <w:rFonts w:ascii="Times New Roman" w:hAnsi="Times New Roman"/>
                <w:noProof/>
              </w:rPr>
              <w:t>θα εκπονήσει μελέτη σχετικά με τη μετάβαση σε καθαρές μορφές ενέργειας στα νησιά της ΕΕ, συμπεριλαμβανομένων των εξόχως απόκεντρων περιοχών· θα στηρίξει την ενεργειακή τους μετάβαση μέσω της πρωτοβουλίας «Καθαρή ενέργεια για τα νησιά της ΕΕ» και του NESOI.</w:t>
            </w:r>
          </w:p>
        </w:tc>
      </w:tr>
    </w:tbl>
    <w:p w:rsidR="009469F5" w:rsidRPr="00FB65BA" w:rsidRDefault="009469F5" w:rsidP="00A67E18">
      <w:pPr>
        <w:spacing w:before="240" w:line="240" w:lineRule="auto"/>
        <w:rPr>
          <w:rFonts w:ascii="Times New Roman" w:hAnsi="Times New Roman" w:cs="Times New Roman"/>
          <w:b/>
          <w:bCs/>
          <w:noProof/>
          <w:sz w:val="24"/>
          <w:szCs w:val="24"/>
        </w:rPr>
      </w:pPr>
      <w:r>
        <w:rPr>
          <w:rFonts w:ascii="Times New Roman" w:hAnsi="Times New Roman"/>
          <w:b/>
          <w:bCs/>
          <w:noProof/>
          <w:sz w:val="24"/>
          <w:szCs w:val="24"/>
        </w:rPr>
        <w:t>Κυκλική οικονομία</w:t>
      </w:r>
    </w:p>
    <w:p w:rsidR="00982DA5" w:rsidRPr="00BE66A5" w:rsidRDefault="00B335AE" w:rsidP="00813242">
      <w:pPr>
        <w:spacing w:after="240" w:line="240" w:lineRule="auto"/>
        <w:jc w:val="both"/>
        <w:rPr>
          <w:noProof/>
        </w:rPr>
      </w:pPr>
      <w:r>
        <w:rPr>
          <w:rFonts w:ascii="Times New Roman" w:hAnsi="Times New Roman"/>
          <w:noProof/>
          <w:sz w:val="24"/>
          <w:szCs w:val="24"/>
        </w:rPr>
        <w:t>Λόγω της εξάρτησής τους από τις εισαγωγές πόρων, την υψηλή παραγωγή αποβλήτων που τροφοδοτείται από τον τουρισμό και τις εξαγωγές αποβλήτων, οι εξόχως απόκεντρες περιοχές μπορούν να επωφεληθούν σε μεγάλο βαθμό από λύσεις κυκλικής οικονομίας. Στο πλαίσιο αυτό, το σχέδιο δράσης για την κυκλική οικονομία του 2020</w:t>
      </w:r>
      <w:r>
        <w:rPr>
          <w:rStyle w:val="FootnoteReference"/>
          <w:rFonts w:ascii="Times New Roman" w:hAnsi="Times New Roman" w:cs="Times New Roman"/>
          <w:noProof/>
          <w:sz w:val="24"/>
          <w:szCs w:val="24"/>
          <w:lang w:val="en-GB"/>
        </w:rPr>
        <w:footnoteReference w:id="108"/>
      </w:r>
      <w:r>
        <w:rPr>
          <w:rFonts w:ascii="Times New Roman" w:hAnsi="Times New Roman"/>
          <w:noProof/>
          <w:sz w:val="24"/>
          <w:szCs w:val="24"/>
        </w:rPr>
        <w:t xml:space="preserve"> προωθεί λύσεις προσαρμοσμένες στις εν λόγω περιοχές. Οι περισσότερες εξόχως απόκεντρες περιοχές έχουν σχεδιάσει σχέδια δράσης για την κυκλική οικονομία που περιλαμβάνουν τη βιώσιμη παραγωγή και κατανάλωση και τη διαχείριση των αποβλήτων. Τα ταμεία της ΕΕ μπορούν να βοηθήσουν: το ΕΤΠΑ και το ΕΚΤ+ μπορούν να στηρίξουν τις υποδομές και την κατάρτιση· το πρόγραμμα LIFE μπορεί να χρηματοδοτήσει διάφορα έργα, π.χ. για τη διαχείριση των αποβλήτων, και το ΕΤΘΑΥ μπορεί να στηρίξει τη συλλογή και την επεξεργασία των θαλάσσιων απορριμμάτων. Κατά την περίοδο 2014-2020 το ΕΤΠΑ στήριξε έργα, π.χ. στις Αζόρες για την ανάκτηση αποβλήτων από χώρους υγειονομικής ταφής, την αύξηση της επαναχρησιμοποίησης των φυσικών πόρων και την απορρύπανση του εδάφους. </w:t>
      </w:r>
    </w:p>
    <w:tbl>
      <w:tblPr>
        <w:tblStyle w:val="TableGrid"/>
        <w:tblW w:w="0" w:type="auto"/>
        <w:shd w:val="clear" w:color="auto" w:fill="D9D9D9" w:themeFill="background1" w:themeFillShade="D9"/>
        <w:tblLook w:val="04A0" w:firstRow="1" w:lastRow="0" w:firstColumn="1" w:lastColumn="0" w:noHBand="0" w:noVBand="1"/>
      </w:tblPr>
      <w:tblGrid>
        <w:gridCol w:w="9576"/>
      </w:tblGrid>
      <w:tr w:rsidR="009469F5" w:rsidRPr="00D5783B" w:rsidTr="00C47252">
        <w:trPr>
          <w:trHeight w:val="416"/>
        </w:trPr>
        <w:tc>
          <w:tcPr>
            <w:tcW w:w="9828" w:type="dxa"/>
            <w:shd w:val="clear" w:color="auto" w:fill="D9D9D9" w:themeFill="background1" w:themeFillShade="D9"/>
          </w:tcPr>
          <w:p w:rsidR="009469F5" w:rsidRPr="00813242" w:rsidRDefault="009469F5" w:rsidP="00B07E88">
            <w:pPr>
              <w:spacing w:after="60"/>
              <w:jc w:val="both"/>
              <w:rPr>
                <w:rFonts w:ascii="Times New Roman" w:hAnsi="Times New Roman" w:cs="Times New Roman"/>
                <w:b/>
                <w:noProof/>
              </w:rPr>
            </w:pPr>
            <w:r>
              <w:rPr>
                <w:rFonts w:ascii="Times New Roman" w:hAnsi="Times New Roman"/>
                <w:b/>
                <w:noProof/>
              </w:rPr>
              <w:t>Η Επιτροπή ενθαρρύνει τα οικεία κράτη μέλη και τις εξόχως απόκεντρες περιοχές:</w:t>
            </w:r>
          </w:p>
          <w:p w:rsidR="006D3B9E" w:rsidRPr="00813242" w:rsidRDefault="00FB473D" w:rsidP="00B07E88">
            <w:pPr>
              <w:pStyle w:val="ListParagraph"/>
              <w:numPr>
                <w:ilvl w:val="0"/>
                <w:numId w:val="2"/>
              </w:numPr>
              <w:overflowPunct w:val="0"/>
              <w:autoSpaceDE w:val="0"/>
              <w:autoSpaceDN w:val="0"/>
              <w:adjustRightInd w:val="0"/>
              <w:spacing w:after="60"/>
              <w:ind w:right="57"/>
              <w:contextualSpacing w:val="0"/>
              <w:jc w:val="both"/>
              <w:rPr>
                <w:rFonts w:ascii="Times New Roman" w:hAnsi="Times New Roman" w:cs="Times New Roman"/>
                <w:noProof/>
              </w:rPr>
            </w:pPr>
            <w:r>
              <w:rPr>
                <w:rFonts w:ascii="Times New Roman" w:hAnsi="Times New Roman"/>
                <w:noProof/>
              </w:rPr>
              <w:t>να εντείνουν τις προσπάθειες για τη διαχείριση των αποβλήτων, ιδίως για τη βελτίωση της κυκλικότητας στη διαχείριση και την επεξεργασία των βιολογικών αποβλήτων και για τη μείωση των αποβλήτων μέσω της επαναχρησιμοποίησης ή της επισκευής· να αναμείξουν και να συνδυάσουν ταμεία με χρηματοδοτικά μέσα και να χρησιμοποιήσουν το μέσο «Green Assist»·</w:t>
            </w:r>
          </w:p>
          <w:p w:rsidR="00401715" w:rsidRPr="00813242" w:rsidRDefault="00FB473D" w:rsidP="00BE66A5">
            <w:pPr>
              <w:pStyle w:val="ListParagraph"/>
              <w:numPr>
                <w:ilvl w:val="0"/>
                <w:numId w:val="2"/>
              </w:numPr>
              <w:overflowPunct w:val="0"/>
              <w:autoSpaceDE w:val="0"/>
              <w:autoSpaceDN w:val="0"/>
              <w:adjustRightInd w:val="0"/>
              <w:spacing w:after="60"/>
              <w:ind w:right="57"/>
              <w:contextualSpacing w:val="0"/>
              <w:jc w:val="both"/>
              <w:rPr>
                <w:rFonts w:ascii="Times New Roman" w:hAnsi="Times New Roman" w:cs="Times New Roman"/>
                <w:noProof/>
              </w:rPr>
            </w:pPr>
            <w:r>
              <w:rPr>
                <w:rFonts w:ascii="Times New Roman" w:hAnsi="Times New Roman"/>
                <w:noProof/>
              </w:rPr>
              <w:t>να σχεδιάσουν και να εφαρμόσουν σχέδια δράσης για την κυκλική οικονομία και να χρησιμοποιήσουν το TAIEX-REGIO PEER 2 PEER για τη διευκόλυνση της κοινής μάθησης με άλλες περιφερειακές αρχές.</w:t>
            </w:r>
          </w:p>
          <w:p w:rsidR="009469F5" w:rsidRPr="00813242" w:rsidRDefault="009469F5" w:rsidP="00B07E88">
            <w:pPr>
              <w:spacing w:after="60"/>
              <w:rPr>
                <w:rFonts w:ascii="Times New Roman" w:hAnsi="Times New Roman" w:cs="Times New Roman"/>
                <w:noProof/>
              </w:rPr>
            </w:pPr>
            <w:r>
              <w:rPr>
                <w:rFonts w:ascii="Times New Roman" w:hAnsi="Times New Roman"/>
                <w:b/>
                <w:bCs/>
                <w:noProof/>
              </w:rPr>
              <w:t>Η Επιτροπή:</w:t>
            </w:r>
          </w:p>
          <w:p w:rsidR="00B224B2" w:rsidRPr="00813242" w:rsidRDefault="00FB473D" w:rsidP="00B07E88">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rPr>
              <w:t>θα λάβει υπόψη τις ιδιαιτερότητες των εξόχως απόκεντρων περιοχών όταν προτείνει την εναρμόνιση των συστημάτων χωριστής συλλογής αποβλήτων, όπως προβλέπεται στο σχέδιο δράσης για την κυκλική οικονομία·</w:t>
            </w:r>
          </w:p>
          <w:p w:rsidR="003A0BAC" w:rsidRPr="00813242" w:rsidRDefault="00FB473D" w:rsidP="00E55EC6">
            <w:pPr>
              <w:pStyle w:val="ListParagraph"/>
              <w:numPr>
                <w:ilvl w:val="0"/>
                <w:numId w:val="2"/>
              </w:numPr>
              <w:overflowPunct w:val="0"/>
              <w:autoSpaceDE w:val="0"/>
              <w:autoSpaceDN w:val="0"/>
              <w:adjustRightInd w:val="0"/>
              <w:spacing w:after="60"/>
              <w:ind w:right="57"/>
              <w:contextualSpacing w:val="0"/>
              <w:jc w:val="both"/>
              <w:rPr>
                <w:rFonts w:ascii="Times New Roman" w:hAnsi="Times New Roman" w:cs="Times New Roman"/>
                <w:noProof/>
              </w:rPr>
            </w:pPr>
            <w:r>
              <w:rPr>
                <w:rFonts w:ascii="Times New Roman" w:hAnsi="Times New Roman"/>
                <w:noProof/>
              </w:rPr>
              <w:t>θα στηρίξει την αποδοτική χρήση των πόρων και την κυκλικότητα σε αυτές τις περιοχές· θα προωθήσει τη ανταλλαγή ορθών πρακτικών μέσω της πλατφόρμας ενδιαφερόμενων μερών για την κυκλική οικονομία.</w:t>
            </w:r>
          </w:p>
        </w:tc>
      </w:tr>
    </w:tbl>
    <w:p w:rsidR="00134802" w:rsidRDefault="00134802" w:rsidP="00295F84">
      <w:pPr>
        <w:keepNext/>
        <w:spacing w:before="360" w:after="120" w:line="240" w:lineRule="auto"/>
        <w:jc w:val="both"/>
        <w:rPr>
          <w:rFonts w:ascii="Times New Roman" w:hAnsi="Times New Roman" w:cs="Times New Roman"/>
          <w:b/>
          <w:bCs/>
          <w:noProof/>
          <w:sz w:val="24"/>
          <w:szCs w:val="24"/>
        </w:rPr>
      </w:pPr>
    </w:p>
    <w:p w:rsidR="00134802" w:rsidRDefault="00134802" w:rsidP="00134802">
      <w:pPr>
        <w:rPr>
          <w:noProof/>
        </w:rPr>
      </w:pPr>
      <w:r>
        <w:rPr>
          <w:noProof/>
        </w:rPr>
        <w:br w:type="page"/>
      </w:r>
    </w:p>
    <w:p w:rsidR="00B2797C" w:rsidRPr="00FB65BA" w:rsidRDefault="00B2797C" w:rsidP="00295F84">
      <w:pPr>
        <w:keepNext/>
        <w:spacing w:before="36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2.3.2. </w:t>
      </w:r>
      <w:r>
        <w:rPr>
          <w:rFonts w:ascii="Times New Roman" w:hAnsi="Times New Roman"/>
          <w:b/>
          <w:bCs/>
          <w:smallCaps/>
          <w:noProof/>
          <w:sz w:val="24"/>
          <w:szCs w:val="24"/>
        </w:rPr>
        <w:t>Προώθηση της ψηφιακής μετάβασης: παροχή νέων ευκαιριών</w:t>
      </w:r>
      <w:r>
        <w:rPr>
          <w:rFonts w:ascii="Times New Roman" w:hAnsi="Times New Roman"/>
          <w:b/>
          <w:bCs/>
          <w:noProof/>
          <w:sz w:val="24"/>
          <w:szCs w:val="24"/>
        </w:rPr>
        <w:t xml:space="preserve"> </w:t>
      </w:r>
    </w:p>
    <w:p w:rsidR="003D27BF" w:rsidRDefault="00665B44" w:rsidP="00E24AB7">
      <w:pPr>
        <w:spacing w:after="120" w:line="240" w:lineRule="auto"/>
        <w:jc w:val="both"/>
        <w:rPr>
          <w:rFonts w:ascii="Times New Roman" w:hAnsi="Times New Roman"/>
          <w:noProof/>
          <w:sz w:val="24"/>
          <w:szCs w:val="24"/>
        </w:rPr>
      </w:pPr>
      <w:r>
        <w:rPr>
          <w:rFonts w:ascii="Times New Roman" w:hAnsi="Times New Roman"/>
          <w:noProof/>
          <w:sz w:val="24"/>
          <w:szCs w:val="24"/>
        </w:rPr>
        <w:t>Η ψηφιοποίηση μπορεί να φέρει σε επαφή ανθρώπους, υπηρεσίες και επιχειρήσεις ανεξάρτητα από την τοποθεσία τους και, συνακόλουθα, να βοηθήσει τις εξόχως απόκεντρες περιοχές να υπερκεράσουν τους περιορισμούς που συνεπάγεται ο εξόχως απόκεντρος χαρακτήρας. Το όραμα της ψηφιακής πυξίδας για το 2030</w:t>
      </w:r>
      <w:r>
        <w:rPr>
          <w:rStyle w:val="FootnoteReference"/>
          <w:rFonts w:ascii="Times New Roman" w:hAnsi="Times New Roman" w:cs="Times New Roman"/>
          <w:noProof/>
          <w:sz w:val="24"/>
          <w:szCs w:val="24"/>
        </w:rPr>
        <w:footnoteReference w:id="109"/>
      </w:r>
      <w:r>
        <w:rPr>
          <w:rFonts w:ascii="Times New Roman" w:hAnsi="Times New Roman"/>
          <w:noProof/>
          <w:sz w:val="24"/>
          <w:szCs w:val="24"/>
        </w:rPr>
        <w:t xml:space="preserve"> για τον ψηφιακό μετασχηματισμό μπορεί να κατευθύνει τη μετάβαση, συμπεριλαμβανομένης της ανάπτυξης ψηφιακών υποδομών και της ανάπτυξης ψηφιακών δεξιοτήτων. </w:t>
      </w:r>
    </w:p>
    <w:p w:rsidR="00023967" w:rsidRPr="00EA474A" w:rsidRDefault="0070247C" w:rsidP="00023967">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Διάφορα ταμεία της ΕΕ μπορούν να στηρίξουν τις επενδύσεις σε ψηφιακές υποδομές. Το πρόγραμμα «Ψηφιακή Ευρώπη»</w:t>
      </w:r>
      <w:r>
        <w:rPr>
          <w:rStyle w:val="FootnoteReference"/>
          <w:rFonts w:ascii="Times New Roman" w:hAnsi="Times New Roman"/>
          <w:noProof/>
          <w:sz w:val="24"/>
          <w:szCs w:val="24"/>
        </w:rPr>
        <w:footnoteReference w:id="110"/>
      </w:r>
      <w:r>
        <w:rPr>
          <w:rFonts w:ascii="Times New Roman" w:hAnsi="Times New Roman"/>
          <w:noProof/>
          <w:sz w:val="24"/>
          <w:szCs w:val="24"/>
        </w:rPr>
        <w:t xml:space="preserve"> </w:t>
      </w:r>
      <w:r>
        <w:rPr>
          <w:rFonts w:ascii="Times New Roman" w:hAnsi="Times New Roman"/>
          <w:noProof/>
          <w:color w:val="000000"/>
          <w:sz w:val="24"/>
          <w:szCs w:val="24"/>
        </w:rPr>
        <w:t>ενισχύει τις κρίσιμες ψηφιακές ικανότητες της ΕΕ και επιδιώκει να συμβάλει στη γεφύρωση του ψηφιακού χάσματος μεταξύ της Ευρώπης και των εξόχως απόκεντρων περιοχών. Το πρόγραμμα εργασίας για τους ευρωπαϊκούς κόμβους ψηφιακής καινοτομίας 2021-2023</w:t>
      </w:r>
      <w:r>
        <w:rPr>
          <w:rStyle w:val="FootnoteReference"/>
          <w:rFonts w:ascii="Times New Roman" w:hAnsi="Times New Roman"/>
          <w:noProof/>
          <w:color w:val="000000"/>
          <w:sz w:val="24"/>
          <w:szCs w:val="24"/>
        </w:rPr>
        <w:footnoteReference w:id="111"/>
      </w:r>
      <w:r>
        <w:rPr>
          <w:rFonts w:ascii="Times New Roman" w:hAnsi="Times New Roman"/>
          <w:noProof/>
          <w:color w:val="000000"/>
          <w:sz w:val="24"/>
          <w:szCs w:val="24"/>
        </w:rPr>
        <w:t xml:space="preserve"> ενθαρρύνει τα κράτη μέλη να καλύψουν τις ψηφιακές ανάγκες των εξόχως απόκεντρων περιοχών τους. </w:t>
      </w:r>
      <w:r>
        <w:rPr>
          <w:rFonts w:ascii="Times New Roman" w:hAnsi="Times New Roman"/>
          <w:noProof/>
          <w:sz w:val="24"/>
          <w:szCs w:val="24"/>
        </w:rPr>
        <w:t>Επιπλέον, το πρόγραμμα ΜΣΕ μπορεί να στηρίξει τη βιώσιμη ενσωμάτωση των υποδομών και των δικτύων: το ψηφιακό πρόγραμμα εργασίας της για την περίοδο 2021-2025</w:t>
      </w:r>
      <w:r>
        <w:rPr>
          <w:rStyle w:val="FootnoteReference"/>
          <w:rFonts w:ascii="Times New Roman" w:hAnsi="Times New Roman"/>
          <w:noProof/>
          <w:sz w:val="24"/>
          <w:szCs w:val="24"/>
        </w:rPr>
        <w:footnoteReference w:id="112"/>
      </w:r>
      <w:r>
        <w:rPr>
          <w:rFonts w:ascii="Times New Roman" w:hAnsi="Times New Roman"/>
          <w:b/>
          <w:bCs/>
          <w:noProof/>
          <w:sz w:val="24"/>
          <w:szCs w:val="24"/>
        </w:rPr>
        <w:t xml:space="preserve"> </w:t>
      </w:r>
      <w:r>
        <w:rPr>
          <w:rFonts w:ascii="Times New Roman" w:hAnsi="Times New Roman"/>
          <w:noProof/>
          <w:sz w:val="24"/>
          <w:szCs w:val="24"/>
        </w:rPr>
        <w:t>μπορεί να στηρίξει τα υποβρύχια καλώδια και τη δορυφορική συνδεσιμότητα. Το ΕΤΠΑ θα συμβάλει περαιτέρω σε μια ψηφιακή κοινωνία χωρίς αποκλεισμούς στις περιοχές αυτές. Όσον αφορά τις ψηφιακές δεξιότητες, με το σχέδιο δράσης για τον ευρωπαϊκό πυλώνα κοινωνικών δικαιωμάτων,</w:t>
      </w:r>
      <w:r>
        <w:rPr>
          <w:rFonts w:ascii="Times New Roman" w:hAnsi="Times New Roman"/>
          <w:b/>
          <w:noProof/>
          <w:sz w:val="24"/>
          <w:szCs w:val="24"/>
        </w:rPr>
        <w:t xml:space="preserve"> </w:t>
      </w:r>
      <w:r>
        <w:rPr>
          <w:rFonts w:ascii="Times New Roman" w:hAnsi="Times New Roman"/>
          <w:noProof/>
          <w:sz w:val="24"/>
          <w:szCs w:val="24"/>
        </w:rPr>
        <w:t>η ΕΕ έχει ως στόχο να εφοδιάσει τουλάχιστον το 80 % των ενηλίκων της ΕΕ με τέτοιου είδους βασικές δεξιότητες. Η ανακοίνωση σχετικά με τη διαμόρφωση του ψηφιακού μέλλοντος της Ευρώπης</w:t>
      </w:r>
      <w:r>
        <w:rPr>
          <w:rStyle w:val="FootnoteReference"/>
          <w:rFonts w:ascii="Times New Roman" w:hAnsi="Times New Roman" w:cs="Times New Roman"/>
          <w:noProof/>
          <w:sz w:val="24"/>
          <w:szCs w:val="24"/>
        </w:rPr>
        <w:footnoteReference w:id="113"/>
      </w:r>
      <w:r>
        <w:rPr>
          <w:rFonts w:ascii="Times New Roman" w:hAnsi="Times New Roman"/>
          <w:noProof/>
          <w:sz w:val="24"/>
          <w:szCs w:val="24"/>
        </w:rPr>
        <w:t xml:space="preserve"> και το σχέδιο δράσης για την ψηφιακή εκπαίδευση</w:t>
      </w:r>
      <w:r>
        <w:rPr>
          <w:rFonts w:ascii="Times New Roman" w:hAnsi="Times New Roman"/>
          <w:b/>
          <w:noProof/>
          <w:sz w:val="24"/>
          <w:szCs w:val="24"/>
        </w:rPr>
        <w:t xml:space="preserve"> </w:t>
      </w:r>
      <w:r>
        <w:rPr>
          <w:rFonts w:ascii="Times New Roman" w:hAnsi="Times New Roman"/>
          <w:noProof/>
          <w:sz w:val="24"/>
          <w:szCs w:val="24"/>
        </w:rPr>
        <w:t>αποσκοπούν στη στήριξη της ψηφιακής εκπαίδευσης και των ψηφιακών δεξιοτήτων. Το ΕΤΠΑ στηρίζει την ανάπτυξη δεξιοτήτων μέσω εκπαιδευτικών υποδομών.</w:t>
      </w:r>
    </w:p>
    <w:p w:rsidR="008B3015" w:rsidRPr="008B3015" w:rsidRDefault="002327B6" w:rsidP="00BB7388">
      <w:pPr>
        <w:spacing w:before="120" w:after="240" w:line="240" w:lineRule="auto"/>
        <w:jc w:val="both"/>
        <w:rPr>
          <w:rFonts w:ascii="Times New Roman" w:hAnsi="Times New Roman" w:cs="Times New Roman"/>
          <w:noProof/>
          <w:sz w:val="24"/>
          <w:szCs w:val="24"/>
        </w:rPr>
      </w:pPr>
      <w:r>
        <w:rPr>
          <w:rFonts w:ascii="Times New Roman" w:hAnsi="Times New Roman"/>
          <w:noProof/>
          <w:sz w:val="24"/>
          <w:szCs w:val="24"/>
        </w:rPr>
        <w:t>Επιπλέον, η πρόταση για τη θέσπιση ενωσιακού προγράμματος ασφαλούς συνδεσιμότητας</w:t>
      </w:r>
      <w:r>
        <w:rPr>
          <w:rStyle w:val="FootnoteReference"/>
          <w:rFonts w:ascii="Times New Roman" w:hAnsi="Times New Roman" w:cs="Times New Roman"/>
          <w:noProof/>
          <w:sz w:val="24"/>
          <w:szCs w:val="24"/>
        </w:rPr>
        <w:footnoteReference w:id="114"/>
      </w:r>
      <w:r>
        <w:rPr>
          <w:rFonts w:ascii="Times New Roman" w:hAnsi="Times New Roman"/>
          <w:noProof/>
          <w:sz w:val="24"/>
          <w:szCs w:val="24"/>
        </w:rPr>
        <w:t xml:space="preserve"> θεσπίζει ένα διαστημικό σύστημα συνδεσιμότητας για τη διασφάλιση της παγκόσμιας πρόσβασης σε ασφαλείς υπηρεσίες δορυφορικών επικοινωνιών για τους κυβερνητικούς χρήστες, το οποίο συνδέει τις διοικήσεις. Επιπροσθέτως, τα εμβληματικά διαστημικά προγράμματα της ΕΕ, Copernicus, Galileo και EGNOS</w:t>
      </w:r>
      <w:r>
        <w:rPr>
          <w:rStyle w:val="FootnoteReference"/>
          <w:rFonts w:ascii="Times New Roman" w:hAnsi="Times New Roman" w:cs="Times New Roman"/>
          <w:noProof/>
          <w:sz w:val="24"/>
          <w:szCs w:val="24"/>
        </w:rPr>
        <w:footnoteReference w:id="115"/>
      </w:r>
      <w:r>
        <w:rPr>
          <w:rFonts w:ascii="Times New Roman" w:hAnsi="Times New Roman"/>
          <w:noProof/>
          <w:sz w:val="24"/>
          <w:szCs w:val="24"/>
        </w:rPr>
        <w:t xml:space="preserve">, παρέχουν δεδομένα και υπηρεσίες υψηλής απόδοσης που επιτρέπουν την ψηφιακή μετάβαση ολόκληρων τομέων των οικονομιών των εξόχως απόκεντρων περιοχών, συμπεριλαμβανομένης της γεωργίας και των μεταφορών. Τα ενωσιακά διαστημικά δεδομένα είναι επίσης χρήσιμα για υπηρεσίες πολιτικής προστασίας και για την παρακολούθηση του περιβάλλοντος. Οι εξόχως απόκεντρες περιφέρειες μπορούν να επωφεληθούν από ενωσιακά και εθνικά εργαλεία, όπως τα διαρθρωτικά και επενδυτικά ταμεία και τα εθνικά σχέδια ανάκαμψης και ανθεκτικότητας, καθώς και από το πρόγραμμα «Ορίζων Ευρώπη», το InvestEU ή την πρωτοβουλία Cassini για τη διαστημική επιχειρηματικότητα. </w:t>
      </w:r>
    </w:p>
    <w:tbl>
      <w:tblPr>
        <w:tblStyle w:val="TableGrid"/>
        <w:tblW w:w="0" w:type="auto"/>
        <w:shd w:val="clear" w:color="auto" w:fill="D9D9D9" w:themeFill="background1" w:themeFillShade="D9"/>
        <w:tblLook w:val="04A0" w:firstRow="1" w:lastRow="0" w:firstColumn="1" w:lastColumn="0" w:noHBand="0" w:noVBand="1"/>
      </w:tblPr>
      <w:tblGrid>
        <w:gridCol w:w="9576"/>
      </w:tblGrid>
      <w:tr w:rsidR="005D24A1" w:rsidRPr="00D5783B" w:rsidTr="00CB62BB">
        <w:trPr>
          <w:trHeight w:val="413"/>
        </w:trPr>
        <w:tc>
          <w:tcPr>
            <w:tcW w:w="9828" w:type="dxa"/>
            <w:shd w:val="clear" w:color="auto" w:fill="D9D9D9" w:themeFill="background1" w:themeFillShade="D9"/>
          </w:tcPr>
          <w:p w:rsidR="00460D20" w:rsidRPr="003B1847" w:rsidRDefault="00460D20" w:rsidP="00B07E88">
            <w:pPr>
              <w:spacing w:after="60"/>
              <w:jc w:val="both"/>
              <w:rPr>
                <w:rFonts w:ascii="Times New Roman" w:hAnsi="Times New Roman" w:cs="Times New Roman"/>
                <w:b/>
                <w:noProof/>
              </w:rPr>
            </w:pPr>
            <w:r>
              <w:rPr>
                <w:rFonts w:ascii="Times New Roman" w:hAnsi="Times New Roman"/>
                <w:b/>
                <w:noProof/>
              </w:rPr>
              <w:t>Η Επιτροπή ενθαρρύνει τα οικεία κράτη μέλη και τις εξόχως απόκεντρες περιοχές:</w:t>
            </w:r>
          </w:p>
          <w:p w:rsidR="005D24A1" w:rsidRPr="003B1847" w:rsidRDefault="00C82B8C" w:rsidP="00B07E88">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rPr>
              <w:t>να συνυπολογίσουν τις ανάγκες των εξόχως απόκεντρων περιοχών κατά τον ορισμό υποψήφιων οντοτήτων για το αρχικό ευρωπαϊκό δίκτυο κόμβων ψηφιακής καινοτομίας, σύμφωνα με το πρόγραμμα «Ψηφιακή Ευρώπη»·</w:t>
            </w:r>
          </w:p>
          <w:p w:rsidR="00D00FB2" w:rsidRPr="003B1847" w:rsidRDefault="002327B6" w:rsidP="00B07E88">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rPr>
              <w:t>να αξιοποιήσουν τις ευκαιρίες για τη χρηματοδότηση ψηφιακών υποδομών και της συνδεσιμότητας στο πλαίσιο του προγράμματος ΜΣΕ (π.χ. υποβρύχια καλώδια και δορυφορικές συνδέσεις) και στο πλαίσιο του προγράμματος «Ψηφιακή Ευρώπη»·</w:t>
            </w:r>
          </w:p>
          <w:p w:rsidR="0070247C" w:rsidRPr="001C32B3" w:rsidRDefault="002327B6" w:rsidP="00B07E88">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rPr>
              <w:t>να στηρίξουν τις ψηφιακές δεξιότητες στην εκπαίδευση και την κατάρτιση, αξιοποιώντας όλες τις ευκαιρίες χρηματοδότησης της ΕΕ</w:t>
            </w:r>
            <w:r>
              <w:rPr>
                <w:rStyle w:val="FootnoteReference"/>
                <w:rFonts w:ascii="Times New Roman" w:hAnsi="Times New Roman" w:cs="Times New Roman"/>
                <w:noProof/>
              </w:rPr>
              <w:footnoteReference w:id="116"/>
            </w:r>
            <w:r>
              <w:rPr>
                <w:rFonts w:ascii="Times New Roman" w:hAnsi="Times New Roman"/>
                <w:noProof/>
              </w:rPr>
              <w:t>, μεταξύ άλλων, μέσω της προώθησης της ανάπτυξης συμπράξεων για τις δεξιότητες στο πλαίσιο του συμφώνου για τις δεξιότητες.</w:t>
            </w:r>
          </w:p>
          <w:p w:rsidR="005D24A1" w:rsidRPr="00DE29E9" w:rsidRDefault="005D24A1" w:rsidP="00B07E88">
            <w:pPr>
              <w:spacing w:after="60"/>
              <w:jc w:val="both"/>
              <w:rPr>
                <w:rFonts w:ascii="Times New Roman" w:hAnsi="Times New Roman" w:cs="Times New Roman"/>
                <w:noProof/>
              </w:rPr>
            </w:pPr>
            <w:r>
              <w:rPr>
                <w:rFonts w:ascii="Times New Roman" w:hAnsi="Times New Roman"/>
                <w:b/>
                <w:noProof/>
              </w:rPr>
              <w:t>Η Επιτροπή:</w:t>
            </w:r>
          </w:p>
          <w:p w:rsidR="006D3B9E" w:rsidRPr="00DE29E9" w:rsidRDefault="002327B6" w:rsidP="006D3B9E">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rPr>
              <w:t xml:space="preserve">θα αναλύσει την αξιοποίηση ψηφιακών λύσεων στις εξόχως απόκεντρες περιοχές και θα τις βοηθήσει να αξιοποιήσουν ευκαιρίες και στήριξη στο πλαίσιο προγραμμάτων της ΕΕ, όπως προτείνεται από τις εξόχως απόκεντρες περιοχές· θα διερευνήσει τις δυνατότητες στήριξης των δορυφορικών δικτύων για την εξασφάλιση συνδεσιμότητας σε όλες τις περιοχές· </w:t>
            </w:r>
          </w:p>
          <w:p w:rsidR="00D00FB2" w:rsidRPr="00DE29E9" w:rsidRDefault="002327B6" w:rsidP="00B07E88">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rPr>
              <w:t>θα προτείνει πρόσθετους κόμβους ή οντότητες για να καλυφθούν οι ανάγκες των εξόχως απόκεντρων περιοχών, σε συνεργασία με τα κράτη μέλη, εάν το αρχικό δίκτυο κόμβων ψηφιακής καινοτομίας δεν καλύπτει τις ψηφιακές τους ανάγκες·</w:t>
            </w:r>
          </w:p>
          <w:p w:rsidR="005F4789" w:rsidRPr="0070247C" w:rsidRDefault="002327B6" w:rsidP="00B07E88">
            <w:pPr>
              <w:pStyle w:val="ListParagraph"/>
              <w:numPr>
                <w:ilvl w:val="0"/>
                <w:numId w:val="2"/>
              </w:numPr>
              <w:spacing w:after="60"/>
              <w:contextualSpacing w:val="0"/>
              <w:jc w:val="both"/>
              <w:rPr>
                <w:noProof/>
              </w:rPr>
            </w:pPr>
            <w:r>
              <w:rPr>
                <w:rFonts w:ascii="Times New Roman" w:hAnsi="Times New Roman"/>
                <w:noProof/>
              </w:rPr>
              <w:t>θα προωθήσει την ανταλλαγή πληροφοριών και ορθών πρακτικών· θα συνεχίσει να διευκολύνει τη συμμετοχή των εξόχως απόκεντρων περιοχών στο δίκτυο αρμόδιων γραφείων ευρυζωνικότητας·</w:t>
            </w:r>
          </w:p>
          <w:p w:rsidR="00C87E07" w:rsidRPr="0050148D" w:rsidRDefault="002327B6" w:rsidP="00B664C8">
            <w:pPr>
              <w:pStyle w:val="ListParagraph"/>
              <w:numPr>
                <w:ilvl w:val="0"/>
                <w:numId w:val="2"/>
              </w:numPr>
              <w:spacing w:after="60"/>
              <w:contextualSpacing w:val="0"/>
              <w:jc w:val="both"/>
              <w:rPr>
                <w:noProof/>
              </w:rPr>
            </w:pPr>
            <w:r>
              <w:rPr>
                <w:rFonts w:ascii="Times New Roman" w:hAnsi="Times New Roman"/>
                <w:noProof/>
              </w:rPr>
              <w:t>θα προωθήσει τον βασικό ψηφιακό γραμματισμό μέσω κονδυλίων και προγραμμάτων της ΕΕ, όπως το Erasmus+ και το ΕΚΤ+, καθώς και την απόκτηση προηγμένων ψηφιακών δεξιοτήτων μέσω του προγράμματος «Ψηφιακή Ευρώπη»·</w:t>
            </w:r>
          </w:p>
          <w:p w:rsidR="0070247C" w:rsidRPr="001679CD" w:rsidRDefault="00CD1E77" w:rsidP="00B664C8">
            <w:pPr>
              <w:pStyle w:val="ListParagraph"/>
              <w:numPr>
                <w:ilvl w:val="0"/>
                <w:numId w:val="2"/>
              </w:numPr>
              <w:spacing w:after="60"/>
              <w:contextualSpacing w:val="0"/>
              <w:jc w:val="both"/>
              <w:rPr>
                <w:noProof/>
              </w:rPr>
            </w:pPr>
            <w:r>
              <w:rPr>
                <w:rFonts w:ascii="Times New Roman" w:hAnsi="Times New Roman"/>
                <w:noProof/>
              </w:rPr>
              <w:t xml:space="preserve">θα προωθήσει την αξιοποίηση ενωσιακών διαστημικών δεδομένων, υπηρεσιών και εφαρμογών για να καταστεί δυνατή η ψηφιοποίηση των οικονομιών των εξόχως απόκεντρων περιοχών. </w:t>
            </w:r>
          </w:p>
        </w:tc>
      </w:tr>
    </w:tbl>
    <w:p w:rsidR="00B2797C" w:rsidRPr="00FB65BA" w:rsidRDefault="009673BA" w:rsidP="00252F21">
      <w:pPr>
        <w:keepNext/>
        <w:spacing w:before="360" w:after="120" w:line="240" w:lineRule="auto"/>
        <w:jc w:val="both"/>
        <w:rPr>
          <w:rFonts w:ascii="Times New Roman" w:hAnsi="Times New Roman" w:cs="Times New Roman"/>
          <w:b/>
          <w:bCs/>
          <w:smallCaps/>
          <w:noProof/>
          <w:sz w:val="24"/>
          <w:szCs w:val="24"/>
        </w:rPr>
      </w:pPr>
      <w:r>
        <w:rPr>
          <w:rFonts w:ascii="Times New Roman" w:hAnsi="Times New Roman"/>
          <w:b/>
          <w:bCs/>
          <w:noProof/>
          <w:sz w:val="24"/>
          <w:szCs w:val="24"/>
        </w:rPr>
        <w:t xml:space="preserve">3. </w:t>
      </w:r>
      <w:r>
        <w:rPr>
          <w:rFonts w:ascii="Times New Roman" w:hAnsi="Times New Roman"/>
          <w:b/>
          <w:bCs/>
          <w:smallCaps/>
          <w:noProof/>
          <w:sz w:val="24"/>
          <w:szCs w:val="24"/>
        </w:rPr>
        <w:t>Συνεργασία με άλλες ευρωπαϊκές περιφέρειες, γειτονικές χώρες και πέραν αυτών</w:t>
      </w:r>
    </w:p>
    <w:p w:rsidR="00F92980" w:rsidRPr="00FB65BA" w:rsidRDefault="00F92980">
      <w:pPr>
        <w:spacing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Interreg και συνεργασία με τα χρηματοδοτικά μέσα «Global Europe» και </w:t>
      </w:r>
      <w:r>
        <w:rPr>
          <w:rFonts w:ascii="Times New Roman" w:hAnsi="Times New Roman"/>
          <w:b/>
          <w:noProof/>
          <w:color w:val="000000" w:themeColor="text1"/>
          <w:sz w:val="24"/>
          <w:szCs w:val="24"/>
        </w:rPr>
        <w:t>«Υπερπόντιες Χώρες και Εδάφη»</w:t>
      </w:r>
    </w:p>
    <w:p w:rsidR="00CB6B38" w:rsidRDefault="00B91A51" w:rsidP="0034709F">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Δεδομένης της τοποθεσίας τους, οι εξόχως απόκεντρες περιοχές αποτελούν ένα μοναδικό πλεονέκτημα για τις εξωτερικές σχέσεις της ΕΕ και για την προβολή των συμφερόντων και των αξιών μας. Καθιστούν την ΕΕ πραγματικά παγκόσμιο παράγοντα. Σύμφωνα με τη στρατηγική της ΕΕ για την παγκόσμια πύλη, η συνεργασία με τις γειτονικές χώρες και τα εδάφη είναι επίσης απαραίτητη για την οικονομική ανάπτυξη και την περιφερειακή ολοκλήρωση των περιοχών αυτών.</w:t>
      </w:r>
      <w:r>
        <w:rPr>
          <w:rFonts w:ascii="Times New Roman" w:hAnsi="Times New Roman"/>
          <w:b/>
          <w:bCs/>
          <w:noProof/>
          <w:color w:val="FF0000"/>
          <w:sz w:val="24"/>
          <w:szCs w:val="24"/>
        </w:rPr>
        <w:t xml:space="preserve"> </w:t>
      </w:r>
      <w:r>
        <w:rPr>
          <w:rFonts w:ascii="Times New Roman" w:hAnsi="Times New Roman"/>
          <w:noProof/>
          <w:sz w:val="24"/>
          <w:szCs w:val="24"/>
        </w:rPr>
        <w:t xml:space="preserve">Όσοι απάντησαν στη δημόσια διαβούλευση επέλεξαν τη συνεργασία αυτή ως μία από τις πέντε ύψιστες προτεραιότητες. Η συμφωνία εταιρικής σχέσης μεταξύ της ΕΕ και της Αφρικής, της Καραϊβικής και του Ειρηνικού (ΑΚΕ) που δρομολογήθηκε το 2021 ενθαρρύνει τη συνεργασία των κρατών ΑΚΕ με τις ΥΧΕ και τις εξόχως απόκεντρες περιοχές, π.χ. στους τομείς του εμπορίου, της ενέργειας, της ψηφιοποίησης, της κλιματικής αλλαγής, του περιβάλλοντος και του τουρισμού. </w:t>
      </w:r>
    </w:p>
    <w:p w:rsidR="00CB6B38" w:rsidRPr="00BE66A5" w:rsidRDefault="00BC4CD9" w:rsidP="00813242">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Όλες οι εξόχως απόκεντρες περιοχές συμμετέχουν σε προγράμματα ευρωπαϊκής εδαφικής συνεργασίας Interreg, τα οποία στηρίζουν τη συνεργασία μεταξύ των εξόχως απόκεντρων περιοχών και γειτονικών χωρών ή εδαφών. Ωστόσο, η συνεργασία παραμένει περιορισμένη λόγω κανονιστικών, διοικητικών, δημοσιονομικών και πολιτικών ζητημάτων</w:t>
      </w:r>
      <w:r>
        <w:rPr>
          <w:rStyle w:val="FootnoteReference"/>
          <w:rFonts w:ascii="Times New Roman" w:hAnsi="Times New Roman" w:cs="Times New Roman"/>
          <w:noProof/>
          <w:sz w:val="24"/>
          <w:szCs w:val="24"/>
        </w:rPr>
        <w:footnoteReference w:id="117"/>
      </w:r>
      <w:r>
        <w:rPr>
          <w:rFonts w:ascii="Times New Roman" w:hAnsi="Times New Roman"/>
          <w:noProof/>
          <w:sz w:val="24"/>
          <w:szCs w:val="24"/>
        </w:rPr>
        <w:t>. Η Επιτροπή έχει απλουστεύσει τις διαδικασίες προκειμένου να διευκολύνει τη συνεργασία: κατά την περίοδο 2021-2027, τα προγράμματα που χρηματοδοτούνται από κοινού από το ΕΤΠΑ (εξόχως απόκεντρες περιοχές), το πρόγραμμα Global Europe (τρίτες χώρες) ή την απόφαση για τη σύνδεση των υπερπόντιων χωρών και εδαφών (ΥΧΕ) ακολουθούν ένα ενιαίο σύνολο κανόνων.</w:t>
      </w:r>
      <w:r>
        <w:rPr>
          <w:rStyle w:val="FootnoteReference"/>
          <w:rFonts w:ascii="Times New Roman" w:hAnsi="Times New Roman"/>
          <w:noProof/>
          <w:sz w:val="24"/>
          <w:szCs w:val="24"/>
        </w:rPr>
        <w:t xml:space="preserve"> </w:t>
      </w:r>
      <w:r>
        <w:rPr>
          <w:rFonts w:ascii="Times New Roman" w:hAnsi="Times New Roman"/>
          <w:noProof/>
          <w:sz w:val="24"/>
          <w:szCs w:val="24"/>
        </w:rPr>
        <w:t xml:space="preserve">Εκτός από τη στήριξη της συνεργασίας με άλλες περιφέρειες της ΕΕ, μεταξύ άλλων μέσω του προγράμματος Interreg Europe, η ΕΕ έχει διαθέσει 281 εκατ. EUR στο πλαίσιο του ΕΤΠΑ για τη στήριξη της συνεργασίας μεταξύ των εξόχως απόκεντρων περιοχών και των γειτονικών τους χωρών, και 15 εκατ. EUR για τη στήριξη της συνεργασίας μεταξύ των ΥΧΕ και άλλων εταίρων, διευκολύνοντας την υλοποίηση κοινών έργων, όπως την παροχή πανεπιστημιακών κύκλων μαθημάτων, τη συνεργασία μεταξύ νοσοκομείων ή χρηματοδοτικές διευκολύνσεις. Το πρόγραμμα «Ορίζων Ευρώπη» ή το πρόγραμμα LIFE μπορούν επίσης να στηρίξουν τη συνεργασία. </w:t>
      </w:r>
    </w:p>
    <w:tbl>
      <w:tblPr>
        <w:tblStyle w:val="TableGrid"/>
        <w:tblW w:w="0" w:type="auto"/>
        <w:shd w:val="clear" w:color="auto" w:fill="D9D9D9" w:themeFill="background1" w:themeFillShade="D9"/>
        <w:tblLook w:val="04A0" w:firstRow="1" w:lastRow="0" w:firstColumn="1" w:lastColumn="0" w:noHBand="0" w:noVBand="1"/>
      </w:tblPr>
      <w:tblGrid>
        <w:gridCol w:w="9576"/>
      </w:tblGrid>
      <w:tr w:rsidR="00111A13" w:rsidRPr="00F81848" w:rsidTr="744D0810">
        <w:trPr>
          <w:trHeight w:val="427"/>
        </w:trPr>
        <w:tc>
          <w:tcPr>
            <w:tcW w:w="9828" w:type="dxa"/>
            <w:shd w:val="clear" w:color="auto" w:fill="D9D9D9" w:themeFill="background1" w:themeFillShade="D9"/>
          </w:tcPr>
          <w:p w:rsidR="00286076" w:rsidRPr="00F81848" w:rsidRDefault="00286076" w:rsidP="00B07E88">
            <w:pPr>
              <w:spacing w:after="60"/>
              <w:jc w:val="both"/>
              <w:rPr>
                <w:rFonts w:ascii="Times New Roman" w:hAnsi="Times New Roman" w:cs="Times New Roman"/>
                <w:b/>
                <w:noProof/>
              </w:rPr>
            </w:pPr>
            <w:r>
              <w:rPr>
                <w:rFonts w:ascii="Times New Roman" w:hAnsi="Times New Roman"/>
                <w:b/>
                <w:noProof/>
              </w:rPr>
              <w:t>Η Επιτροπή ενθαρρύνει τα οικεία κράτη μέλη και τις εξόχως απόκεντρες περιοχές:</w:t>
            </w:r>
          </w:p>
          <w:p w:rsidR="00286076" w:rsidRPr="00F81848" w:rsidRDefault="00943726" w:rsidP="00B07E88">
            <w:pPr>
              <w:pStyle w:val="ListParagraph"/>
              <w:numPr>
                <w:ilvl w:val="0"/>
                <w:numId w:val="2"/>
              </w:numPr>
              <w:spacing w:after="60"/>
              <w:contextualSpacing w:val="0"/>
              <w:jc w:val="both"/>
              <w:rPr>
                <w:rFonts w:ascii="Times New Roman" w:eastAsia="Times New Roman" w:hAnsi="Times New Roman" w:cs="Times New Roman"/>
                <w:noProof/>
              </w:rPr>
            </w:pPr>
            <w:r>
              <w:rPr>
                <w:rFonts w:ascii="Times New Roman" w:hAnsi="Times New Roman"/>
                <w:noProof/>
              </w:rPr>
              <w:t>να αναλύσουν τις ευκαιρίες και να υπερκεράσουν τα εμπόδια στην περιφερειακή συνεργασία στο πλαίσιο του νέου ειδικού στόχου του Interreg για τη βελτίωση της διακυβέρνησης στο πλαίσιο των προγραμμάτων Interreg που εφαρμόζουν·</w:t>
            </w:r>
          </w:p>
          <w:p w:rsidR="00286076" w:rsidRPr="00B571F6" w:rsidRDefault="00B571F6" w:rsidP="00B07E88">
            <w:pPr>
              <w:pStyle w:val="ListParagraph"/>
              <w:numPr>
                <w:ilvl w:val="0"/>
                <w:numId w:val="2"/>
              </w:numPr>
              <w:spacing w:after="60"/>
              <w:contextualSpacing w:val="0"/>
              <w:jc w:val="both"/>
              <w:rPr>
                <w:rFonts w:ascii="Times New Roman" w:eastAsia="Times New Roman" w:hAnsi="Times New Roman" w:cs="Times New Roman"/>
                <w:noProof/>
              </w:rPr>
            </w:pPr>
            <w:r>
              <w:rPr>
                <w:rFonts w:ascii="Times New Roman" w:hAnsi="Times New Roman"/>
                <w:noProof/>
              </w:rPr>
              <w:t>να χρησιμοποιήσουν το ΕΤΠΑ για συνεργασία με άλλα κράτη μέλη, τρίτες χώρες ή ΥΧΕ</w:t>
            </w:r>
            <w:r>
              <w:rPr>
                <w:rStyle w:val="FootnoteReference"/>
                <w:rFonts w:ascii="Times New Roman" w:eastAsia="Times New Roman" w:hAnsi="Times New Roman" w:cs="Times New Roman"/>
                <w:noProof/>
              </w:rPr>
              <w:footnoteReference w:id="118"/>
            </w:r>
            <w:r>
              <w:rPr>
                <w:rFonts w:ascii="Times New Roman" w:hAnsi="Times New Roman"/>
                <w:noProof/>
              </w:rPr>
              <w:t xml:space="preserve">. </w:t>
            </w:r>
          </w:p>
          <w:p w:rsidR="00111A13" w:rsidRPr="00F81848" w:rsidRDefault="00111A13" w:rsidP="00B07E88">
            <w:pPr>
              <w:spacing w:after="60"/>
              <w:jc w:val="both"/>
              <w:rPr>
                <w:rFonts w:ascii="Times New Roman" w:hAnsi="Times New Roman" w:cs="Times New Roman"/>
                <w:noProof/>
              </w:rPr>
            </w:pPr>
            <w:r>
              <w:rPr>
                <w:rFonts w:ascii="Times New Roman" w:hAnsi="Times New Roman"/>
                <w:b/>
                <w:noProof/>
              </w:rPr>
              <w:t>Η Επιτροπή:</w:t>
            </w:r>
          </w:p>
          <w:p w:rsidR="00111A13" w:rsidRPr="00E506C0" w:rsidRDefault="001F56B1" w:rsidP="00B07E88">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rPr>
              <w:t>θα διευκολύνει την υλοποίηση έργων που χρηματοδοτούνται από κοινού από το ΕΤΠΑ, το πρόγραμμα Global Europe και την απόφαση για τη σύνδεση των υπερπόντιων χωρών και εδαφών, σε συντονισμό με τους δικαιούχους·</w:t>
            </w:r>
          </w:p>
          <w:p w:rsidR="00CB6B38" w:rsidRPr="00BE66A5" w:rsidRDefault="005B3D3E">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color w:val="000000" w:themeColor="text1"/>
              </w:rPr>
              <w:t xml:space="preserve">θα χαρτογραφήσει τις ευκαιρίες και τις προκλήσεις περιφερειακής συνεργασίας ανά λεκάνη και θα προσδιορίσει τους βασικούς τομείς συνεργασίας· </w:t>
            </w:r>
            <w:r>
              <w:rPr>
                <w:rFonts w:ascii="Times New Roman" w:hAnsi="Times New Roman"/>
                <w:noProof/>
              </w:rPr>
              <w:t xml:space="preserve">θα δημιουργήσει ευκαιρίες και θα στηρίξει τη συνεργασία· θα προωθήσει τις ανταλλαγές ανά λεκάνη· </w:t>
            </w:r>
          </w:p>
          <w:p w:rsidR="00111A13" w:rsidRPr="001E6B64" w:rsidRDefault="005B3D3E">
            <w:pPr>
              <w:pStyle w:val="ListParagraph"/>
              <w:numPr>
                <w:ilvl w:val="0"/>
                <w:numId w:val="2"/>
              </w:numPr>
              <w:spacing w:after="60"/>
              <w:contextualSpacing w:val="0"/>
              <w:jc w:val="both"/>
              <w:rPr>
                <w:rFonts w:eastAsia="Times New Roman"/>
                <w:noProof/>
              </w:rPr>
            </w:pPr>
            <w:r>
              <w:rPr>
                <w:rFonts w:ascii="Times New Roman" w:hAnsi="Times New Roman"/>
                <w:noProof/>
              </w:rPr>
              <w:t>θα συνεκτιμήσει τον ρόλο και τις ιδιαιτερότητες των εξόχως απόκεντρων περιοχών κατά την επανεξέταση των γεωγραφικών στρατηγικών· θα συμπεριλάβει τις περιοχές αυτές σε μηχανισμούς διαβούλευσης, όπως προτείνεται από τις εξόχως απόκεντρες περιοχές.</w:t>
            </w:r>
          </w:p>
        </w:tc>
      </w:tr>
    </w:tbl>
    <w:p w:rsidR="00F92980" w:rsidRPr="00D57B51" w:rsidRDefault="00F92980" w:rsidP="00295F84">
      <w:pPr>
        <w:spacing w:before="24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Εμπόριο</w:t>
      </w:r>
    </w:p>
    <w:p w:rsidR="001F56B1" w:rsidRPr="00813242" w:rsidRDefault="00572132" w:rsidP="000C7FD0">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Η εγγύτητα των εξόχως απόκεντρων περιοχών με τρίτες χώρες προσφέρει ευκαιρίες για εμπόριο και συνεργασία. Ωστόσο, οι περιοχές αυτές αντιμετωπίζουν ανταγωνισμό από τις γειτονικές χώρες, οι οποίες παράγουν παρόμοια προϊόντα με χαμηλότερο κόστος και με χαμηλότερα πρότυπα υγείας και ασφάλειας και περιβαλλοντικά πρότυπα. </w:t>
      </w:r>
    </w:p>
    <w:p w:rsidR="009E689D" w:rsidRPr="00E24AB7" w:rsidRDefault="009E689D" w:rsidP="00813242">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Η Επιτροπή θα συνεχίσει να λαμβάνει υπόψη τα ευαίσθητα προϊόντα των εξόχως απόκεντρων περιοχών κατά τη διαπραγμάτευση συμφωνιών ελεύθερων συναλλαγών (ΣΕΣ), αξιολογώντας τις επιπτώσεις τους και λαμβάνοντας μέτρα σε περίπτωση πιθανών αρνητικών επιπτώσεων, συμπεριλαμβανομένων ρητρών διασφάλισης. Οι εκτιμήσεις αντικτύπου στη βιωσιμότητα που υποστήριξαν τις διαπραγματεύσεις για τη συμφωνία ελεύθερων συναλλαγών ΕΕ-Ινδονησίας και για την παγκόσμια συμφωνία με το Μεξικό αναλύουν ήδη τα συμφέροντα των εξόχως απόκεντρων περιοχών</w:t>
      </w:r>
      <w:r>
        <w:rPr>
          <w:rStyle w:val="FootnoteReference"/>
          <w:rFonts w:ascii="Times New Roman" w:hAnsi="Times New Roman" w:cs="Times New Roman"/>
          <w:noProof/>
          <w:sz w:val="24"/>
          <w:szCs w:val="24"/>
        </w:rPr>
        <w:footnoteReference w:id="119"/>
      </w:r>
      <w:r>
        <w:rPr>
          <w:rFonts w:ascii="Times New Roman" w:hAnsi="Times New Roman"/>
          <w:noProof/>
          <w:sz w:val="24"/>
          <w:szCs w:val="24"/>
        </w:rPr>
        <w:t>. Η συμφωνία ΕΕ-Mercosur του 2019 περιλαμβάνει διατάξεις για την πρόληψη διαταραχών στις αγορές των εν λόγω περιοχών που προκαλούνται από τις εισαγωγές από την Mercosur</w:t>
      </w:r>
      <w:r>
        <w:rPr>
          <w:rStyle w:val="FootnoteReference"/>
          <w:rFonts w:ascii="Times New Roman" w:hAnsi="Times New Roman" w:cs="Times New Roman"/>
          <w:noProof/>
          <w:sz w:val="24"/>
          <w:szCs w:val="24"/>
        </w:rPr>
        <w:footnoteReference w:id="120"/>
      </w:r>
      <w:r>
        <w:rPr>
          <w:rFonts w:ascii="Times New Roman" w:hAnsi="Times New Roman"/>
          <w:noProof/>
          <w:sz w:val="24"/>
          <w:szCs w:val="24"/>
        </w:rPr>
        <w:t>. Παράλληλα, οι εξόχως απόκεντρες περιοχές ενθαρρύνονται να αξιοποιήσουν τις ευκαιρίες των ΣΕΣ, ιδίως με τις χώρες της γεωγραφικής τους περιφέρειας, ενόψει της ένταξής τους σε παγκόσμιες και περιφερειακές αξιακές αλυσίδες</w:t>
      </w:r>
      <w:r>
        <w:rPr>
          <w:rFonts w:ascii="Times New Roman" w:eastAsia="Calibri" w:hAnsi="Times New Roman" w:cs="Times New Roman"/>
          <w:noProof/>
          <w:sz w:val="24"/>
          <w:szCs w:val="24"/>
          <w:vertAlign w:val="superscript"/>
        </w:rPr>
        <w:footnoteReference w:id="121"/>
      </w:r>
      <w:r>
        <w:rPr>
          <w:rFonts w:ascii="Times New Roman" w:hAnsi="Times New Roman"/>
          <w:noProof/>
          <w:sz w:val="24"/>
          <w:szCs w:val="24"/>
        </w:rPr>
        <w:t>. Επιπλέον, η Επιτροπή πρότεινε την παράταση και τη βελτίωση της νομοθεσίας της ΕΕ που προβλέπει αποκλειστικά ειδικούς φορολογικούς και τελωνειακούς</w:t>
      </w:r>
      <w:r>
        <w:rPr>
          <w:rFonts w:ascii="Times New Roman" w:hAnsi="Times New Roman"/>
          <w:b/>
          <w:bCs/>
          <w:noProof/>
          <w:sz w:val="24"/>
          <w:szCs w:val="24"/>
        </w:rPr>
        <w:t xml:space="preserve"> </w:t>
      </w:r>
      <w:r>
        <w:rPr>
          <w:rFonts w:ascii="Times New Roman" w:hAnsi="Times New Roman"/>
          <w:bCs/>
          <w:noProof/>
          <w:sz w:val="24"/>
          <w:szCs w:val="24"/>
        </w:rPr>
        <w:t>κανόνες</w:t>
      </w:r>
      <w:r>
        <w:rPr>
          <w:rFonts w:ascii="Times New Roman" w:hAnsi="Times New Roman"/>
          <w:noProof/>
          <w:sz w:val="24"/>
          <w:szCs w:val="24"/>
        </w:rPr>
        <w:t xml:space="preserve"> για τις εξόχως απόκεντρες περιοχές, </w:t>
      </w:r>
      <w:r>
        <w:rPr>
          <w:rFonts w:ascii="Times New Roman" w:hAnsi="Times New Roman"/>
          <w:bCs/>
          <w:noProof/>
          <w:sz w:val="24"/>
          <w:szCs w:val="24"/>
        </w:rPr>
        <w:t>πρόταση η οποία εγκρίθηκε από το Συμβούλιο</w:t>
      </w:r>
      <w:r>
        <w:rPr>
          <w:rStyle w:val="FootnoteReference"/>
          <w:rFonts w:ascii="Times New Roman" w:eastAsia="Calibri" w:hAnsi="Times New Roman" w:cs="Times New Roman"/>
          <w:noProof/>
          <w:sz w:val="24"/>
          <w:szCs w:val="24"/>
        </w:rPr>
        <w:footnoteReference w:id="122"/>
      </w:r>
      <w:r>
        <w:rPr>
          <w:rFonts w:ascii="Times New Roman" w:hAnsi="Times New Roman"/>
          <w:noProof/>
          <w:sz w:val="24"/>
          <w:szCs w:val="24"/>
        </w:rPr>
        <w:t xml:space="preserve">. </w:t>
      </w:r>
    </w:p>
    <w:tbl>
      <w:tblPr>
        <w:tblStyle w:val="TableGrid"/>
        <w:tblW w:w="0" w:type="auto"/>
        <w:shd w:val="clear" w:color="auto" w:fill="D9D9D9" w:themeFill="background1" w:themeFillShade="D9"/>
        <w:tblLook w:val="04A0" w:firstRow="1" w:lastRow="0" w:firstColumn="1" w:lastColumn="0" w:noHBand="0" w:noVBand="1"/>
      </w:tblPr>
      <w:tblGrid>
        <w:gridCol w:w="9576"/>
      </w:tblGrid>
      <w:tr w:rsidR="00605D22" w:rsidRPr="00F81848" w:rsidTr="0059242F">
        <w:trPr>
          <w:trHeight w:val="841"/>
        </w:trPr>
        <w:tc>
          <w:tcPr>
            <w:tcW w:w="9576" w:type="dxa"/>
            <w:shd w:val="clear" w:color="auto" w:fill="D9D9D9" w:themeFill="background1" w:themeFillShade="D9"/>
          </w:tcPr>
          <w:p w:rsidR="00D233DB" w:rsidRDefault="009E689D">
            <w:pPr>
              <w:spacing w:before="60" w:after="60"/>
              <w:jc w:val="both"/>
              <w:rPr>
                <w:rFonts w:ascii="Times New Roman" w:hAnsi="Times New Roman" w:cs="Times New Roman"/>
                <w:b/>
                <w:noProof/>
              </w:rPr>
            </w:pPr>
            <w:r>
              <w:rPr>
                <w:rFonts w:ascii="Times New Roman" w:hAnsi="Times New Roman"/>
                <w:b/>
                <w:noProof/>
              </w:rPr>
              <w:t>Η Επιτροπή ενθαρρύνει τα οικεία κράτη μέλη:</w:t>
            </w:r>
          </w:p>
          <w:p w:rsidR="00C55D9E" w:rsidRDefault="00C55D9E">
            <w:pPr>
              <w:pStyle w:val="ListParagraph"/>
              <w:numPr>
                <w:ilvl w:val="0"/>
                <w:numId w:val="2"/>
              </w:numPr>
              <w:spacing w:after="60"/>
              <w:ind w:left="357" w:hanging="357"/>
              <w:contextualSpacing w:val="0"/>
              <w:jc w:val="both"/>
              <w:rPr>
                <w:rFonts w:ascii="Times New Roman" w:hAnsi="Times New Roman" w:cs="Times New Roman"/>
                <w:noProof/>
              </w:rPr>
            </w:pPr>
            <w:r>
              <w:rPr>
                <w:rFonts w:ascii="Times New Roman" w:hAnsi="Times New Roman"/>
                <w:noProof/>
              </w:rPr>
              <w:t>να εξασφαλίσουν τη συμμετοχή των εξόχως απόκεντρων περιοχών στη διαμόρφωση της θέσης τους για εμπορικές συμφωνίες·</w:t>
            </w:r>
          </w:p>
          <w:p w:rsidR="00C55D9E" w:rsidRPr="00C55D9E" w:rsidRDefault="00C55D9E">
            <w:pPr>
              <w:pStyle w:val="ListParagraph"/>
              <w:numPr>
                <w:ilvl w:val="0"/>
                <w:numId w:val="2"/>
              </w:numPr>
              <w:spacing w:after="60"/>
              <w:ind w:left="357" w:hanging="357"/>
              <w:contextualSpacing w:val="0"/>
              <w:jc w:val="both"/>
              <w:rPr>
                <w:rFonts w:ascii="Times New Roman" w:hAnsi="Times New Roman" w:cs="Times New Roman"/>
                <w:noProof/>
              </w:rPr>
            </w:pPr>
            <w:r>
              <w:rPr>
                <w:rFonts w:ascii="Times New Roman" w:hAnsi="Times New Roman"/>
                <w:noProof/>
              </w:rPr>
              <w:t>να εντοπίσουν εμπορικές ευκαιρίες για τις εξόχως απόκεντρες περιοχές και να στηρίξουν την εμπορική τους ικανότητα και την ένταξή τους σε περιφερειακές και παγκόσμιες αξιακές αλυσίδες.</w:t>
            </w:r>
          </w:p>
          <w:p w:rsidR="00605D22" w:rsidRPr="00F81848" w:rsidRDefault="00605D22">
            <w:pPr>
              <w:spacing w:after="60"/>
              <w:jc w:val="both"/>
              <w:rPr>
                <w:rFonts w:ascii="Times New Roman" w:hAnsi="Times New Roman" w:cs="Times New Roman"/>
                <w:noProof/>
              </w:rPr>
            </w:pPr>
            <w:r>
              <w:rPr>
                <w:rFonts w:ascii="Times New Roman" w:hAnsi="Times New Roman"/>
                <w:b/>
                <w:noProof/>
              </w:rPr>
              <w:t>Η Επιτροπή:</w:t>
            </w:r>
          </w:p>
          <w:p w:rsidR="00D7240C" w:rsidRPr="00D7240C" w:rsidRDefault="00793BA3">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szCs w:val="22"/>
              </w:rPr>
              <w:t>θα συνεχίσει να λαμβάνει υπόψη τις ανησυχίες των εξόχως απόκεντρων περιοχών στις εκτιμήσεις αντικτύπου στη βιωσιμότητα, στο πλαίσιο των διαπραγματεύσεων για τη σύναψη εμπορικών συμφωνιών·</w:t>
            </w:r>
          </w:p>
          <w:p w:rsidR="00FF11D0" w:rsidRPr="00D7240C" w:rsidRDefault="007E11E6">
            <w:pPr>
              <w:pStyle w:val="ListParagraph"/>
              <w:numPr>
                <w:ilvl w:val="0"/>
                <w:numId w:val="2"/>
              </w:numPr>
              <w:spacing w:after="60"/>
              <w:contextualSpacing w:val="0"/>
              <w:jc w:val="both"/>
              <w:rPr>
                <w:rFonts w:ascii="Times New Roman" w:hAnsi="Times New Roman" w:cs="Times New Roman"/>
                <w:noProof/>
              </w:rPr>
            </w:pPr>
            <w:r>
              <w:rPr>
                <w:rFonts w:ascii="Times New Roman" w:hAnsi="Times New Roman"/>
                <w:noProof/>
              </w:rPr>
              <w:t>θα ενισχύσει περαιτέρω τη διαφάνεια στις διαπραγματεύσεις και την εφαρμογή των συμφωνιών ελεύθερων συναλλαγών στις εξόχως απόκεντρες περιοχές, εξασφαλίζοντας τη συμμετοχή των ενδιαφερόμενων μερών τους στους διαλόγους, τις διαβουλεύσεις και τις συμβουλευτικές ομάδες της κοινωνίας των πολιτών, όπως προτείνεται από τις εξόχως απόκεντρες περιοχές</w:t>
            </w:r>
            <w:r>
              <w:rPr>
                <w:rStyle w:val="FootnoteReference"/>
                <w:rFonts w:ascii="Times New Roman" w:hAnsi="Times New Roman" w:cs="Times New Roman"/>
                <w:noProof/>
              </w:rPr>
              <w:footnoteReference w:id="123"/>
            </w:r>
            <w:r>
              <w:rPr>
                <w:rFonts w:ascii="Times New Roman" w:hAnsi="Times New Roman"/>
                <w:noProof/>
              </w:rPr>
              <w:t>·</w:t>
            </w:r>
          </w:p>
          <w:p w:rsidR="00DD1B70" w:rsidRDefault="00C37026">
            <w:pPr>
              <w:pStyle w:val="ListParagraph"/>
              <w:numPr>
                <w:ilvl w:val="0"/>
                <w:numId w:val="2"/>
              </w:numPr>
              <w:spacing w:after="60"/>
              <w:ind w:left="357" w:hanging="357"/>
              <w:contextualSpacing w:val="0"/>
              <w:jc w:val="both"/>
              <w:rPr>
                <w:rFonts w:ascii="Times New Roman" w:hAnsi="Times New Roman" w:cs="Times New Roman"/>
                <w:noProof/>
              </w:rPr>
            </w:pPr>
            <w:r>
              <w:rPr>
                <w:rFonts w:ascii="Times New Roman" w:hAnsi="Times New Roman"/>
                <w:noProof/>
              </w:rPr>
              <w:t>θα ενημερώσει και θα ευαισθητοποιήσει τις εξόχως απόκεντρες περιοχές σχετικά με το δυναμικό της υφιστάμενης εμπορικής συμφωνίας μεταξύ της ΕΕ και τρίτων χωρών·</w:t>
            </w:r>
          </w:p>
          <w:p w:rsidR="0005589C" w:rsidRPr="00BE66A5" w:rsidRDefault="006144D9" w:rsidP="00BE66A5">
            <w:pPr>
              <w:pStyle w:val="ListParagraph"/>
              <w:numPr>
                <w:ilvl w:val="0"/>
                <w:numId w:val="2"/>
              </w:numPr>
              <w:spacing w:after="60"/>
              <w:ind w:left="357" w:hanging="357"/>
              <w:contextualSpacing w:val="0"/>
              <w:jc w:val="both"/>
              <w:rPr>
                <w:rFonts w:ascii="Times New Roman" w:hAnsi="Times New Roman" w:cs="Times New Roman"/>
                <w:noProof/>
              </w:rPr>
            </w:pPr>
            <w:r>
              <w:rPr>
                <w:rFonts w:ascii="Times New Roman" w:hAnsi="Times New Roman"/>
                <w:noProof/>
              </w:rPr>
              <w:t>θα προωθήσει την υπηρεσία «Access to Markets», τη νέα υπηρεσία υποστήριξης για το εμπόριο της ΕΕ στις εξόχως απόκεντρες περιοχές ώστε να τις βοηθήσει να επωφεληθούν από τις εμπορικές συμφωνίες και να εξάγουν σε αγορές εκτός της ΕΕ.</w:t>
            </w:r>
          </w:p>
        </w:tc>
      </w:tr>
    </w:tbl>
    <w:p w:rsidR="00F92980" w:rsidRPr="00D57B51" w:rsidRDefault="00F92980" w:rsidP="00295F84">
      <w:pPr>
        <w:spacing w:before="24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Μετανάστευση</w:t>
      </w:r>
    </w:p>
    <w:p w:rsidR="00E83F24" w:rsidRDefault="00976422" w:rsidP="009C1D0C">
      <w:pPr>
        <w:jc w:val="both"/>
        <w:rPr>
          <w:rFonts w:ascii="Times New Roman" w:hAnsi="Times New Roman"/>
          <w:noProof/>
          <w:sz w:val="24"/>
          <w:szCs w:val="24"/>
        </w:rPr>
      </w:pPr>
      <w:r>
        <w:rPr>
          <w:rFonts w:ascii="Times New Roman" w:hAnsi="Times New Roman"/>
          <w:noProof/>
          <w:color w:val="000000" w:themeColor="text1"/>
          <w:sz w:val="24"/>
          <w:szCs w:val="24"/>
        </w:rPr>
        <w:t>Ορισμένες εξόχως απόκεντρες περιοχές αντιμετωπίζουν έντονες μεταναστευτικές πιέσεις από γειτονικές χώρες, ιδίως από τις Κανάριες Νήσους, τη Γαλλική Γουιάνα, το Μαγιότ και τον Άγιο Μαρτίνο. Μόνο το 2019 πάνω από 27 000 άτομα επιχείρησαν να εισέλθουν στο Μαγιότ (αριθμός που ισοδυναμεί με το 10 % του πληθυσμού του)</w:t>
      </w:r>
      <w:r>
        <w:rPr>
          <w:rStyle w:val="FootnoteReference"/>
          <w:rFonts w:ascii="Times New Roman" w:hAnsi="Times New Roman" w:cs="Times New Roman"/>
          <w:noProof/>
          <w:color w:val="000000" w:themeColor="text1"/>
          <w:sz w:val="24"/>
          <w:szCs w:val="24"/>
        </w:rPr>
        <w:footnoteReference w:id="124"/>
      </w:r>
      <w:r>
        <w:rPr>
          <w:rFonts w:ascii="Times New Roman" w:hAnsi="Times New Roman"/>
          <w:noProof/>
          <w:color w:val="000000" w:themeColor="text1"/>
          <w:sz w:val="24"/>
          <w:szCs w:val="24"/>
        </w:rPr>
        <w:t xml:space="preserve"> και το 2021 πάνω από 23 000 άτομα έφτασαν στις Κανάριες Νήσους</w:t>
      </w:r>
      <w:r>
        <w:rPr>
          <w:rStyle w:val="FootnoteReference"/>
          <w:rFonts w:ascii="Times New Roman" w:hAnsi="Times New Roman" w:cs="Times New Roman"/>
          <w:noProof/>
          <w:color w:val="000000" w:themeColor="text1"/>
          <w:sz w:val="24"/>
          <w:szCs w:val="24"/>
        </w:rPr>
        <w:footnoteReference w:id="125"/>
      </w:r>
      <w:r>
        <w:rPr>
          <w:rFonts w:ascii="Times New Roman" w:hAnsi="Times New Roman"/>
          <w:noProof/>
          <w:color w:val="000000" w:themeColor="text1"/>
          <w:sz w:val="24"/>
          <w:szCs w:val="24"/>
        </w:rPr>
        <w:t>. Εκτιμάται ότι το 12 % του πληθυσμού της Γαλλικής Γουιάνας είναι παράτυποι μετανάστες. Χρειάζονται κατάλληλες και</w:t>
      </w:r>
      <w:r>
        <w:rPr>
          <w:rFonts w:ascii="Times New Roman" w:hAnsi="Times New Roman"/>
          <w:noProof/>
          <w:sz w:val="24"/>
          <w:szCs w:val="24"/>
        </w:rPr>
        <w:t xml:space="preserve"> </w:t>
      </w:r>
      <w:r>
        <w:rPr>
          <w:rFonts w:ascii="Times New Roman" w:hAnsi="Times New Roman"/>
          <w:b/>
          <w:noProof/>
          <w:sz w:val="24"/>
          <w:szCs w:val="24"/>
        </w:rPr>
        <w:t>προσαρμοσμένες δράσεις</w:t>
      </w:r>
      <w:r>
        <w:rPr>
          <w:rFonts w:ascii="Times New Roman" w:hAnsi="Times New Roman"/>
          <w:noProof/>
          <w:sz w:val="24"/>
          <w:szCs w:val="24"/>
        </w:rPr>
        <w:t xml:space="preserve"> για τη διαχείριση των ειδικών μεταναστευτικών προκλήσεων στις εξόχως απόκεντρες περιοχές όσον αφορά, για παράδειγμα, τις συνθήκες υποδοχής και τις διαδικασίες για τους αιτούντες άσυλο, τη διαχείριση και τον έλεγχο των συνόρων, την ένταξη των μεταναστών. Πρέπει να δοθεί ιδιαίτερη έμφαση στους ασυνόδευτους ανηλίκους. </w:t>
      </w:r>
    </w:p>
    <w:p w:rsidR="000D3CEA" w:rsidRPr="00D5783B" w:rsidRDefault="009C1D0C" w:rsidP="00813242">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sz w:val="24"/>
          <w:szCs w:val="24"/>
        </w:rPr>
        <w:t xml:space="preserve">Η χρηματοδότηση της ΕΕ μπορεί να στηρίξει και να συμπληρώσει την περιφερειακή και εθνική χρηματοδότηση σε αυτούς τους τομείς. </w:t>
      </w:r>
      <w:r>
        <w:rPr>
          <w:rFonts w:ascii="Times New Roman" w:hAnsi="Times New Roman"/>
          <w:noProof/>
          <w:color w:val="000000" w:themeColor="text1"/>
          <w:sz w:val="24"/>
          <w:szCs w:val="24"/>
        </w:rPr>
        <w:t xml:space="preserve">Σύμφωνα με τους κανονισμούς της ΕΕ για τη θέσπιση </w:t>
      </w:r>
      <w:r>
        <w:rPr>
          <w:rFonts w:ascii="Times New Roman" w:hAnsi="Times New Roman"/>
          <w:bCs/>
          <w:noProof/>
          <w:color w:val="000000" w:themeColor="text1"/>
          <w:sz w:val="24"/>
          <w:szCs w:val="24"/>
        </w:rPr>
        <w:t>του Ταμείου Ασύλου, Μετανάστευσης και Ένταξης (ΤΑΜΕ), του</w:t>
      </w:r>
      <w:r>
        <w:rPr>
          <w:noProof/>
        </w:rPr>
        <w:t xml:space="preserve"> </w:t>
      </w:r>
      <w:r>
        <w:rPr>
          <w:rFonts w:ascii="Times New Roman" w:hAnsi="Times New Roman"/>
          <w:bCs/>
          <w:noProof/>
          <w:color w:val="000000" w:themeColor="text1"/>
          <w:sz w:val="24"/>
          <w:szCs w:val="24"/>
        </w:rPr>
        <w:t xml:space="preserve">Μέσου για τη Χρηματοδοτική Στήριξη της Διαχείρισης των Συνόρων και την Πολιτική των Θεωρήσεων (ΜΔΣΘ) </w:t>
      </w:r>
      <w:r>
        <w:rPr>
          <w:rFonts w:ascii="Times New Roman" w:hAnsi="Times New Roman"/>
          <w:noProof/>
          <w:color w:val="000000" w:themeColor="text1"/>
          <w:sz w:val="24"/>
          <w:szCs w:val="24"/>
        </w:rPr>
        <w:t xml:space="preserve">και του </w:t>
      </w:r>
      <w:r>
        <w:rPr>
          <w:rFonts w:ascii="Times New Roman" w:hAnsi="Times New Roman"/>
          <w:bCs/>
          <w:noProof/>
          <w:color w:val="000000" w:themeColor="text1"/>
          <w:sz w:val="24"/>
          <w:szCs w:val="24"/>
        </w:rPr>
        <w:t>Ταμείου Εσωτερικής Ασφάλειας (ΤΕΑ)</w:t>
      </w:r>
      <w:r>
        <w:rPr>
          <w:rFonts w:ascii="Times New Roman" w:hAnsi="Times New Roman"/>
          <w:noProof/>
          <w:color w:val="000000" w:themeColor="text1"/>
          <w:sz w:val="24"/>
          <w:szCs w:val="24"/>
        </w:rPr>
        <w:t>, τα ενδιαφερόμενα κράτη μέλη θα πρέπει να διασφαλίζουν ότι οι εθνικές στρατηγικές και τα προγράμματά τους στο πλαίσιο των εν λόγω ταμείων αντιμετωπίζουν τις συγκεκριμένες προκλήσεις των εξόχως απόκεντρων περιοχών όσον αφορά τη διαχείριση της μετανάστευσης</w:t>
      </w:r>
      <w:r>
        <w:rPr>
          <w:rStyle w:val="FootnoteReference"/>
          <w:rFonts w:ascii="Times New Roman" w:hAnsi="Times New Roman" w:cs="Times New Roman"/>
          <w:noProof/>
          <w:color w:val="000000" w:themeColor="text1"/>
          <w:sz w:val="24"/>
          <w:szCs w:val="24"/>
        </w:rPr>
        <w:footnoteReference w:id="126"/>
      </w:r>
      <w:r>
        <w:rPr>
          <w:rFonts w:ascii="Times New Roman" w:hAnsi="Times New Roman"/>
          <w:noProof/>
          <w:color w:val="000000" w:themeColor="text1"/>
          <w:sz w:val="24"/>
          <w:szCs w:val="24"/>
        </w:rPr>
        <w:t>. Επιπλέον, το προτεινόμενο σύμφωνο για τη μετανάστευση και το άσυλο</w:t>
      </w:r>
      <w:r>
        <w:rPr>
          <w:rStyle w:val="FootnoteReference"/>
          <w:rFonts w:ascii="Times New Roman" w:hAnsi="Times New Roman" w:cs="Times New Roman"/>
          <w:noProof/>
          <w:color w:val="000000" w:themeColor="text1"/>
          <w:sz w:val="24"/>
          <w:szCs w:val="24"/>
        </w:rPr>
        <w:footnoteReference w:id="127"/>
      </w:r>
      <w:r>
        <w:rPr>
          <w:rFonts w:ascii="Times New Roman" w:hAnsi="Times New Roman"/>
          <w:noProof/>
          <w:color w:val="000000" w:themeColor="text1"/>
          <w:sz w:val="24"/>
          <w:szCs w:val="24"/>
        </w:rPr>
        <w:t xml:space="preserve"> αποσκοπεί στην πρόληψη της παράτυπης μετανάστευσης και στη διασφάλιση του ασύλου για όσους έχουν ανάγκη.  </w:t>
      </w:r>
    </w:p>
    <w:tbl>
      <w:tblPr>
        <w:tblStyle w:val="TableGrid"/>
        <w:tblW w:w="0" w:type="auto"/>
        <w:shd w:val="clear" w:color="auto" w:fill="D9D9D9" w:themeFill="background1" w:themeFillShade="D9"/>
        <w:tblLook w:val="04A0" w:firstRow="1" w:lastRow="0" w:firstColumn="1" w:lastColumn="0" w:noHBand="0" w:noVBand="1"/>
      </w:tblPr>
      <w:tblGrid>
        <w:gridCol w:w="9576"/>
      </w:tblGrid>
      <w:tr w:rsidR="003C5109" w:rsidRPr="00B5000F" w:rsidTr="00B91FC9">
        <w:trPr>
          <w:trHeight w:val="554"/>
        </w:trPr>
        <w:tc>
          <w:tcPr>
            <w:tcW w:w="9576" w:type="dxa"/>
            <w:shd w:val="clear" w:color="auto" w:fill="D9D9D9" w:themeFill="background1" w:themeFillShade="D9"/>
          </w:tcPr>
          <w:p w:rsidR="004D02AB" w:rsidRPr="00B5000F" w:rsidRDefault="004D02AB" w:rsidP="00B07E88">
            <w:pPr>
              <w:spacing w:after="60"/>
              <w:jc w:val="both"/>
              <w:rPr>
                <w:rFonts w:ascii="Times New Roman" w:hAnsi="Times New Roman" w:cs="Times New Roman"/>
                <w:b/>
                <w:noProof/>
              </w:rPr>
            </w:pPr>
            <w:r>
              <w:rPr>
                <w:rFonts w:ascii="Times New Roman" w:hAnsi="Times New Roman"/>
                <w:b/>
                <w:noProof/>
              </w:rPr>
              <w:t>Η Επιτροπή ενθαρρύνει τα οικεία κράτη μέλη και τις εξόχως απόκεντρες περιοχές:</w:t>
            </w:r>
          </w:p>
          <w:p w:rsidR="009C1D0C" w:rsidRPr="00BE66A5" w:rsidRDefault="00BD49E7" w:rsidP="00B07E88">
            <w:pPr>
              <w:pStyle w:val="ListParagraph"/>
              <w:numPr>
                <w:ilvl w:val="0"/>
                <w:numId w:val="2"/>
              </w:numPr>
              <w:spacing w:after="60"/>
              <w:contextualSpacing w:val="0"/>
              <w:jc w:val="both"/>
              <w:rPr>
                <w:rFonts w:ascii="Times New Roman" w:hAnsi="Times New Roman" w:cs="Times New Roman"/>
                <w:noProof/>
                <w:color w:val="000000" w:themeColor="text1"/>
              </w:rPr>
            </w:pPr>
            <w:r>
              <w:rPr>
                <w:rFonts w:ascii="Times New Roman" w:hAnsi="Times New Roman"/>
                <w:noProof/>
                <w:color w:val="000000" w:themeColor="text1"/>
              </w:rPr>
              <w:t>να εξασφαλίσουν ότι οι εθνικές στρατηγικές και τα προγράμματα στο πλαίσιο των ταμείων ΤΑΜΕ, ΜΔΣΘ και ΤΕΑ της ΕΕ αντιμετωπίζουν τις συγκεκριμένες προκλήσεις των εξόχως απόκεντρων περιοχών όσον αφορά τη διαχείριση της μετανάστευσης, όπως προβλέπεται στους κανονισμούς για τη δημιουργία των εν λόγω ταμείων· να εξασφαλίσουν συνεργασία για την εφαρμογή ενωσιακών, εθνικών και περιφερειακών στρατηγικών και προγραμμάτων που σχετίζονται με τη μετανάστευση στις εξόχως απόκεντρες περιοχές· να προβλέψουν κατάλληλες προϋποθέσεις για τους ασυνόδευτους ανηλίκους·</w:t>
            </w:r>
          </w:p>
          <w:p w:rsidR="006002E3" w:rsidRDefault="009C1D0C" w:rsidP="00B07E88">
            <w:pPr>
              <w:pStyle w:val="ListParagraph"/>
              <w:numPr>
                <w:ilvl w:val="0"/>
                <w:numId w:val="2"/>
              </w:numPr>
              <w:spacing w:after="60"/>
              <w:contextualSpacing w:val="0"/>
              <w:jc w:val="both"/>
              <w:rPr>
                <w:rFonts w:ascii="Times New Roman" w:hAnsi="Times New Roman" w:cs="Times New Roman"/>
                <w:noProof/>
                <w:color w:val="000000" w:themeColor="text1"/>
              </w:rPr>
            </w:pPr>
            <w:r>
              <w:rPr>
                <w:rFonts w:ascii="Times New Roman" w:hAnsi="Times New Roman"/>
                <w:noProof/>
                <w:color w:val="000000" w:themeColor="text1"/>
              </w:rPr>
              <w:t xml:space="preserve">να επιτύχουν συνέργειες όσον αφορά τη χρήση των ταμείων της ΕΕ για την αντιμετώπιση των προκλήσεων με τις οποίες έρχονται αντιμέτωπες οι εξόχως απόκεντρες περιοχές όσον αφορά τη διαχείριση της μετανάστευσης και τη διάθεση κατάλληλης χρηματοδότησης· </w:t>
            </w:r>
          </w:p>
          <w:p w:rsidR="004D02AB" w:rsidRPr="00026245" w:rsidRDefault="00BD49E7" w:rsidP="00B07E88">
            <w:pPr>
              <w:pStyle w:val="ListParagraph"/>
              <w:numPr>
                <w:ilvl w:val="0"/>
                <w:numId w:val="2"/>
              </w:numPr>
              <w:spacing w:after="60"/>
              <w:contextualSpacing w:val="0"/>
              <w:jc w:val="both"/>
              <w:rPr>
                <w:rFonts w:ascii="Times New Roman" w:hAnsi="Times New Roman" w:cs="Times New Roman"/>
                <w:noProof/>
                <w:color w:val="000000" w:themeColor="text1"/>
              </w:rPr>
            </w:pPr>
            <w:r>
              <w:rPr>
                <w:rFonts w:ascii="Times New Roman" w:hAnsi="Times New Roman"/>
                <w:noProof/>
                <w:color w:val="000000" w:themeColor="text1"/>
              </w:rPr>
              <w:t>να εξασφαλίσουν τη συμμετοχή των περιφερειακών αρχών και των ενδιαφερόμενων μερών στη διαμόρφωση και την εφαρμογή των εν λόγω προγραμμάτων.</w:t>
            </w:r>
          </w:p>
          <w:p w:rsidR="003C5109" w:rsidRPr="00F134B9" w:rsidRDefault="003C5109" w:rsidP="00B07E88">
            <w:pPr>
              <w:spacing w:after="60"/>
              <w:jc w:val="both"/>
              <w:rPr>
                <w:rFonts w:ascii="Times New Roman" w:hAnsi="Times New Roman" w:cs="Times New Roman"/>
                <w:noProof/>
              </w:rPr>
            </w:pPr>
            <w:r>
              <w:rPr>
                <w:rFonts w:ascii="Times New Roman" w:hAnsi="Times New Roman"/>
                <w:b/>
                <w:noProof/>
              </w:rPr>
              <w:t>Η Επιτροπή:</w:t>
            </w:r>
          </w:p>
          <w:p w:rsidR="00312B0E" w:rsidRPr="00813242" w:rsidRDefault="00312B0E" w:rsidP="00BE66A5">
            <w:pPr>
              <w:pStyle w:val="ListParagraph"/>
              <w:numPr>
                <w:ilvl w:val="0"/>
                <w:numId w:val="2"/>
              </w:numPr>
              <w:spacing w:before="80"/>
              <w:ind w:left="357" w:hanging="357"/>
              <w:contextualSpacing w:val="0"/>
              <w:jc w:val="both"/>
              <w:rPr>
                <w:rFonts w:ascii="Times New Roman" w:hAnsi="Times New Roman" w:cs="Times New Roman"/>
                <w:noProof/>
                <w:color w:val="000000" w:themeColor="text1"/>
              </w:rPr>
            </w:pPr>
            <w:r>
              <w:rPr>
                <w:rFonts w:ascii="Times New Roman" w:hAnsi="Times New Roman"/>
                <w:noProof/>
                <w:color w:val="000000" w:themeColor="text1"/>
              </w:rPr>
              <w:t>θα παρακολουθεί την εφαρμογή της εταιρικής προσέγγισης στον εθνικό προγραμματισμό και στην εφαρμογή στο πλαίσιο της επιμερισμένης διαχείρισης ώστε να εξασφαλίζει ότι τα εθνικά προγράμματα στο πλαίσιο του ΤΑΜΕ, του ΜΔΣΘ και του ΤΕΑ αντιμετωπίζουν τις συγκεκριμένες προκλήσεις της μετανάστευσης στις εξόχως απόκεντρες περιοχές και τις αναδυόμενες απειλές κατά των εν λόγω περιοχών·</w:t>
            </w:r>
          </w:p>
          <w:p w:rsidR="00312B0E" w:rsidRPr="00813242" w:rsidRDefault="00312B0E" w:rsidP="00BE66A5">
            <w:pPr>
              <w:pStyle w:val="ListParagraph"/>
              <w:numPr>
                <w:ilvl w:val="0"/>
                <w:numId w:val="2"/>
              </w:numPr>
              <w:spacing w:before="80"/>
              <w:ind w:left="357" w:hanging="357"/>
              <w:contextualSpacing w:val="0"/>
              <w:jc w:val="both"/>
              <w:rPr>
                <w:rFonts w:ascii="Times New Roman" w:hAnsi="Times New Roman" w:cs="Times New Roman"/>
                <w:noProof/>
                <w:color w:val="000000" w:themeColor="text1"/>
              </w:rPr>
            </w:pPr>
            <w:r>
              <w:rPr>
                <w:rFonts w:ascii="Times New Roman" w:hAnsi="Times New Roman"/>
                <w:noProof/>
                <w:color w:val="000000" w:themeColor="text1"/>
              </w:rPr>
              <w:t>θα στηρίξει τις δράσεις ευαισθητοποίησης σχετικά με τις εξόχως απόκεντρες περιοχές και θα ενθαρρύνει τις τοπικές και περιφερειακές αρχές να αξιοποιήσουν τις δυνατότητες που προσφέρουν τα ταμεία της ΕΕ για την αντιμετώπιση των κενών και των αναγκών σε τοπικό επίπεδο· θα προωθήσει τις συνέργειες μεταξύ των διαφόρων ταμείων της ΕΕ για την αντιμετώπιση των προκλήσεων στους τομείς της μετανάστευσης και της ασφάλειας·</w:t>
            </w:r>
          </w:p>
          <w:p w:rsidR="00FE0703" w:rsidRPr="00CB62BB" w:rsidRDefault="00312B0E" w:rsidP="002B3BB8">
            <w:pPr>
              <w:pStyle w:val="ListParagraph"/>
              <w:numPr>
                <w:ilvl w:val="0"/>
                <w:numId w:val="2"/>
              </w:numPr>
              <w:spacing w:before="80"/>
              <w:ind w:left="357" w:hanging="357"/>
              <w:contextualSpacing w:val="0"/>
              <w:jc w:val="both"/>
              <w:rPr>
                <w:rFonts w:ascii="Times New Roman" w:hAnsi="Times New Roman" w:cs="Times New Roman"/>
                <w:noProof/>
                <w:color w:val="000000" w:themeColor="text1"/>
              </w:rPr>
            </w:pPr>
            <w:r>
              <w:rPr>
                <w:rFonts w:ascii="Times New Roman" w:hAnsi="Times New Roman"/>
                <w:noProof/>
              </w:rPr>
              <w:t>θα παρακολουθεί την κατάσταση της μετανάστευσης στις εξόχως απόκεντρες περιοχές που είναι ιδιαίτερα εκτεθειμένες σε μεταναστευτικές εισροές και θα στηρίζει τα κράτη μέλη στη διαμόρφωση προσαρμοσμένων λύσεων, κατά περίπτωση·</w:t>
            </w:r>
          </w:p>
          <w:p w:rsidR="003C5109" w:rsidRPr="004546DA" w:rsidRDefault="00312B0E" w:rsidP="002B3BB8">
            <w:pPr>
              <w:pStyle w:val="ListParagraph"/>
              <w:numPr>
                <w:ilvl w:val="0"/>
                <w:numId w:val="2"/>
              </w:numPr>
              <w:spacing w:before="80"/>
              <w:ind w:left="357" w:hanging="357"/>
              <w:contextualSpacing w:val="0"/>
              <w:jc w:val="both"/>
              <w:rPr>
                <w:noProof/>
              </w:rPr>
            </w:pPr>
            <w:r>
              <w:rPr>
                <w:rFonts w:ascii="Times New Roman" w:hAnsi="Times New Roman"/>
                <w:noProof/>
                <w:color w:val="000000" w:themeColor="text1"/>
              </w:rPr>
              <w:t>θα χρησιμοποιήσει τα προγράμματα εργασίας για τα θεματικά μέσα στο πλαίσιο του ΤΑΜΕ, του ΜΔΣΘ και του ΤΕΑ ώστε να συμβάλει στην αντιμετώπιση των μεταναστευτικών προκλήσεων των εν λόγω περιοχών, καθώς και μέτρα στήριξης για τους ασυνόδευτους ανηλίκους.</w:t>
            </w:r>
          </w:p>
        </w:tc>
      </w:tr>
    </w:tbl>
    <w:p w:rsidR="001F7087" w:rsidRPr="00D57B51" w:rsidRDefault="009673BA" w:rsidP="00CB62BB">
      <w:pPr>
        <w:spacing w:before="240"/>
        <w:rPr>
          <w:rFonts w:ascii="Times New Roman" w:hAnsi="Times New Roman" w:cs="Times New Roman"/>
          <w:b/>
          <w:bCs/>
          <w:noProof/>
          <w:sz w:val="24"/>
          <w:szCs w:val="24"/>
        </w:rPr>
      </w:pPr>
      <w:bookmarkStart w:id="5" w:name="_Hlk94256183"/>
      <w:r>
        <w:rPr>
          <w:rFonts w:ascii="Times New Roman" w:hAnsi="Times New Roman"/>
          <w:b/>
          <w:bCs/>
          <w:noProof/>
          <w:sz w:val="24"/>
          <w:szCs w:val="24"/>
        </w:rPr>
        <w:t xml:space="preserve">4. </w:t>
      </w:r>
      <w:r>
        <w:rPr>
          <w:rFonts w:ascii="Times New Roman" w:hAnsi="Times New Roman"/>
          <w:b/>
          <w:bCs/>
          <w:smallCaps/>
          <w:noProof/>
          <w:sz w:val="24"/>
          <w:szCs w:val="24"/>
        </w:rPr>
        <w:t xml:space="preserve">Ενισχυμένη εταιρική σχέση, διάλογος και στήριξη </w:t>
      </w:r>
      <w:r>
        <w:rPr>
          <w:rFonts w:ascii="Times New Roman" w:hAnsi="Times New Roman"/>
          <w:b/>
          <w:bCs/>
          <w:noProof/>
          <w:sz w:val="24"/>
          <w:szCs w:val="24"/>
        </w:rPr>
        <w:t xml:space="preserve"> </w:t>
      </w:r>
    </w:p>
    <w:bookmarkEnd w:id="5"/>
    <w:p w:rsidR="002835DE" w:rsidRDefault="00AD7905" w:rsidP="00697B1C">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Η ενσωμάτωση των ιδιαιτεροτήτων των εξόχως απόκεντρων περιοχών εξακολουθεί να αποτελεί προτεραιότητα της Επιτροπής προκειμένου να εξασφαλιστεί ότι οι πολιτικές, η νομοθεσία, τα ταμεία και τα προγράμματα της ΕΕ προσαρμόζονται στις εν λόγω περιοχές, όπως ορίζεται στο άρθρο 349 της ΣΛΕΕ. Η Επιτροπή έχει λάβει συστηματικά υπόψη τις ανησυχίες των περιοχών αυτών κατά τη χάραξη πολιτικής της.</w:t>
      </w:r>
      <w:bookmarkStart w:id="6" w:name="_Hlk94256141"/>
      <w:r>
        <w:rPr>
          <w:rFonts w:ascii="Times New Roman" w:hAnsi="Times New Roman"/>
          <w:noProof/>
          <w:sz w:val="24"/>
          <w:szCs w:val="24"/>
        </w:rPr>
        <w:t xml:space="preserve"> Μόνο το 2021 η Επιτροπή αποτύπωσε τις ιδιαιτερότητες </w:t>
      </w:r>
      <w:r>
        <w:rPr>
          <w:rFonts w:ascii="Times New Roman" w:hAnsi="Times New Roman"/>
          <w:noProof/>
          <w:color w:val="000000"/>
          <w:sz w:val="24"/>
          <w:szCs w:val="24"/>
        </w:rPr>
        <w:t>αυτών των περιοχών σε σχεδόν 30</w:t>
      </w:r>
      <w:r>
        <w:rPr>
          <w:rFonts w:ascii="Times New Roman" w:hAnsi="Times New Roman"/>
          <w:b/>
          <w:bCs/>
          <w:noProof/>
          <w:color w:val="000000"/>
          <w:sz w:val="24"/>
          <w:szCs w:val="24"/>
        </w:rPr>
        <w:t xml:space="preserve"> </w:t>
      </w:r>
      <w:r>
        <w:rPr>
          <w:rFonts w:ascii="Times New Roman" w:hAnsi="Times New Roman"/>
          <w:noProof/>
          <w:color w:val="000000"/>
          <w:sz w:val="24"/>
          <w:szCs w:val="24"/>
        </w:rPr>
        <w:t>νομοθετικές προτάσεις, πρωτοβουλίες πολιτικής και προγράμματα εργασίας, π.χ. στο πλαίσιο του</w:t>
      </w:r>
      <w:r>
        <w:rPr>
          <w:rFonts w:ascii="Times New Roman" w:hAnsi="Times New Roman"/>
          <w:noProof/>
          <w:sz w:val="24"/>
          <w:szCs w:val="24"/>
        </w:rPr>
        <w:t xml:space="preserve"> προγράμματος-πλαισίου «Ορίζων Ευρώπη», </w:t>
      </w:r>
      <w:r>
        <w:rPr>
          <w:rFonts w:ascii="Times New Roman" w:hAnsi="Times New Roman"/>
          <w:noProof/>
          <w:color w:val="000000"/>
          <w:sz w:val="24"/>
          <w:szCs w:val="24"/>
        </w:rPr>
        <w:t>του ΜΣΕ, του LIFE, του ΕΤΘΑΥ, του Erasmus+ και του προγράμματος «Ψηφιακή Ευρώπη»</w:t>
      </w:r>
      <w:r>
        <w:rPr>
          <w:rFonts w:ascii="Times New Roman" w:hAnsi="Times New Roman"/>
          <w:noProof/>
          <w:sz w:val="24"/>
          <w:szCs w:val="24"/>
        </w:rPr>
        <w:t xml:space="preserve">. </w:t>
      </w:r>
      <w:bookmarkEnd w:id="6"/>
      <w:r>
        <w:rPr>
          <w:rFonts w:ascii="Times New Roman" w:hAnsi="Times New Roman"/>
          <w:noProof/>
          <w:sz w:val="24"/>
          <w:szCs w:val="24"/>
        </w:rPr>
        <w:t>Οι κατευθυντήριες γραμμές για τη βελτίωση της νομοθεσίας</w:t>
      </w:r>
      <w:r>
        <w:rPr>
          <w:rFonts w:ascii="Times New Roman" w:eastAsia="Calibri" w:hAnsi="Times New Roman" w:cs="Times New Roman"/>
          <w:noProof/>
          <w:sz w:val="24"/>
          <w:szCs w:val="24"/>
          <w:vertAlign w:val="superscript"/>
        </w:rPr>
        <w:footnoteReference w:id="128"/>
      </w:r>
      <w:r>
        <w:rPr>
          <w:rFonts w:ascii="Times New Roman" w:hAnsi="Times New Roman"/>
          <w:noProof/>
          <w:sz w:val="24"/>
          <w:szCs w:val="24"/>
        </w:rPr>
        <w:t xml:space="preserve"> ενισχύουν περαιτέρω τις εκτιμήσεις εδαφικών επιπτώσεων για την αξιολόγηση των επιπτώσεων των νομοθετικών προτάσεων σε συγκεκριμένες περιφέρειες, συμπεριλαμβανομένων των εξόχως απόκεντρων περιοχών. </w:t>
      </w:r>
    </w:p>
    <w:p w:rsidR="00080981" w:rsidRPr="00C11C2D" w:rsidRDefault="004563AA" w:rsidP="00813242">
      <w:pPr>
        <w:spacing w:after="240" w:line="240" w:lineRule="auto"/>
        <w:jc w:val="both"/>
        <w:rPr>
          <w:rFonts w:ascii="Times New Roman" w:eastAsia="Calibri" w:hAnsi="Times New Roman" w:cs="Times New Roman"/>
          <w:noProof/>
          <w:sz w:val="24"/>
          <w:szCs w:val="24"/>
        </w:rPr>
      </w:pPr>
      <w:r>
        <w:rPr>
          <w:rFonts w:ascii="Times New Roman" w:hAnsi="Times New Roman"/>
          <w:noProof/>
          <w:sz w:val="24"/>
          <w:szCs w:val="24"/>
        </w:rPr>
        <w:t>Οι εξόχως απόκεντρες περιοχές μπορούν να επωφεληθούν από πολλές νέες ευκαιρίες στήριξης στο πλαίσιο των πολιτικών της ΕΕ, οι οποίες θα τις βοηθήσουν να διαμορφώσουν, να εφαρμόσουν και να χρηματοδοτήσουν τις προσαρμοσμένες στρατηγικές περιφερειακής ανάπτυξης. Η Επιτροπή δεσμεύεται να βοηθήσει αυτές τις περιοχές να πραγματοποιήσουν τις απαραίτητες μεταρρυθμίσεις και επενδύσεις, να αδράξουν τις ευκαιρίες και τις συνέργειες στο πλαίσιο των προγραμμάτων της ΕΕ, να βελτιώσουν τη διοικητική ικανότητα και να αναπτύξουν ένα συμβουλευτικό εργαλείο προς τον σκοπό αυτόν. Η Επιτροπή πραγματοποιεί τακτικές συνεδριάσεις υψηλού επιπέδου και συνεδριάσεις ομάδων εργασίας με τις εξόχως απόκεντρες περιοχές και τα κράτη μέλη τους και δεσμεύεται να ενισχύσει</w:t>
      </w:r>
      <w:r>
        <w:rPr>
          <w:rFonts w:ascii="Times New Roman" w:hAnsi="Times New Roman"/>
          <w:b/>
          <w:bCs/>
          <w:noProof/>
          <w:sz w:val="24"/>
          <w:szCs w:val="24"/>
        </w:rPr>
        <w:t xml:space="preserve"> </w:t>
      </w:r>
      <w:r>
        <w:rPr>
          <w:rFonts w:ascii="Times New Roman" w:hAnsi="Times New Roman"/>
          <w:noProof/>
          <w:sz w:val="24"/>
          <w:szCs w:val="24"/>
        </w:rPr>
        <w:t xml:space="preserve">τον διάλογο για την καλύτερη κατανόηση των ανησυχιών των ανθρώπων που ζουν σε αυτές τις περιοχές, καθώς και για την ευαισθητοποίηση σχετικά με τις πολιτικές της ΕΕ. Προώθησε τους διαλόγους με τους πολίτες και τα κέντρα Europe Direct στις περιοχές αυτές. </w:t>
      </w:r>
    </w:p>
    <w:p w:rsidR="00D56D03" w:rsidRPr="00C11C2D" w:rsidRDefault="00D56D03" w:rsidP="00D56D03">
      <w:pPr>
        <w:pBdr>
          <w:top w:val="single" w:sz="4" w:space="1" w:color="auto"/>
          <w:left w:val="single" w:sz="4" w:space="4" w:color="auto"/>
          <w:bottom w:val="single" w:sz="4" w:space="1" w:color="auto"/>
          <w:right w:val="single" w:sz="4" w:space="4" w:color="auto"/>
        </w:pBdr>
        <w:shd w:val="clear" w:color="auto" w:fill="D9D9D9" w:themeFill="background1" w:themeFillShade="D9"/>
        <w:spacing w:after="60"/>
        <w:jc w:val="both"/>
        <w:rPr>
          <w:rFonts w:ascii="Times New Roman" w:hAnsi="Times New Roman" w:cs="Times New Roman"/>
          <w:b/>
          <w:noProof/>
        </w:rPr>
      </w:pPr>
      <w:r>
        <w:rPr>
          <w:rFonts w:ascii="Times New Roman" w:hAnsi="Times New Roman"/>
          <w:b/>
          <w:noProof/>
        </w:rPr>
        <w:t>Η Επιτροπή ενθαρρύνει τα οικεία κράτη μέλη και τις εξόχως απόκεντρες περιοχές:</w:t>
      </w:r>
    </w:p>
    <w:p w:rsidR="00D56D03" w:rsidRDefault="00D56D03" w:rsidP="00D56D03">
      <w:pPr>
        <w:numPr>
          <w:ilvl w:val="0"/>
          <w:numId w:val="25"/>
        </w:numPr>
        <w:pBdr>
          <w:top w:val="single" w:sz="4" w:space="1" w:color="auto"/>
          <w:left w:val="single" w:sz="4" w:space="4" w:color="auto"/>
          <w:bottom w:val="single" w:sz="4" w:space="1" w:color="auto"/>
          <w:right w:val="single" w:sz="4" w:space="4" w:color="auto"/>
        </w:pBdr>
        <w:shd w:val="clear" w:color="auto" w:fill="D9D9D9" w:themeFill="background1" w:themeFillShade="D9"/>
        <w:spacing w:after="60"/>
        <w:jc w:val="both"/>
        <w:rPr>
          <w:rFonts w:ascii="Times New Roman" w:hAnsi="Times New Roman" w:cs="Times New Roman"/>
          <w:noProof/>
        </w:rPr>
      </w:pPr>
      <w:r>
        <w:rPr>
          <w:rFonts w:ascii="Times New Roman" w:hAnsi="Times New Roman"/>
          <w:noProof/>
        </w:rPr>
        <w:t>να αναπτύξουν από κοινού σχέδια περιφερειακής ανάπτυξης ανά εξόχως απόκεντρη περιοχή που να αντιμετωπίζουν τις ανάγκες κάθε περιοχής· να εντοπίσουν σημεία συμφόρησης και τομείς που χρήζουν μεταρρύθμισης· να αναπτύξουν και να επενδύσουν σε συγκεκριμένα πλεονεκτήματα και συγκριτικά πλεονεκτήματα· να καθορίσουν προτεραιότητες· και να κατανείμουν τη χρηματοδότηση αναλόγως·</w:t>
      </w:r>
    </w:p>
    <w:p w:rsidR="00D56D03" w:rsidRPr="00C11C2D" w:rsidRDefault="00D56D03" w:rsidP="00D56D03">
      <w:pPr>
        <w:numPr>
          <w:ilvl w:val="0"/>
          <w:numId w:val="25"/>
        </w:numPr>
        <w:pBdr>
          <w:top w:val="single" w:sz="4" w:space="1" w:color="auto"/>
          <w:left w:val="single" w:sz="4" w:space="4" w:color="auto"/>
          <w:bottom w:val="single" w:sz="4" w:space="1" w:color="auto"/>
          <w:right w:val="single" w:sz="4" w:space="4" w:color="auto"/>
        </w:pBdr>
        <w:shd w:val="clear" w:color="auto" w:fill="D9D9D9" w:themeFill="background1" w:themeFillShade="D9"/>
        <w:spacing w:after="60"/>
        <w:jc w:val="both"/>
        <w:rPr>
          <w:rFonts w:ascii="Times New Roman" w:hAnsi="Times New Roman" w:cs="Times New Roman"/>
          <w:noProof/>
        </w:rPr>
      </w:pPr>
      <w:r>
        <w:rPr>
          <w:rFonts w:ascii="Times New Roman" w:hAnsi="Times New Roman"/>
          <w:noProof/>
        </w:rPr>
        <w:t>να αδράξουν όλες τις ειδικές ευκαιρίες για τις εξόχως απόκεντρες περιοχές στο πλαίσιο των πρωτοβουλιών πολιτικής και της νομοθεσίας, των προγραμμάτων και των ταμείων της ΕΕ·</w:t>
      </w:r>
    </w:p>
    <w:p w:rsidR="00D56D03" w:rsidRPr="00EE6A8E" w:rsidRDefault="00D56D03" w:rsidP="00D56D03">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D9D9D9" w:themeFill="background1" w:themeFillShade="D9"/>
        <w:spacing w:after="60"/>
        <w:contextualSpacing w:val="0"/>
        <w:jc w:val="both"/>
        <w:rPr>
          <w:rFonts w:ascii="Times New Roman" w:hAnsi="Times New Roman" w:cs="Times New Roman"/>
          <w:noProof/>
        </w:rPr>
      </w:pPr>
      <w:r>
        <w:rPr>
          <w:rFonts w:ascii="Times New Roman" w:hAnsi="Times New Roman"/>
          <w:noProof/>
        </w:rPr>
        <w:t xml:space="preserve">να αναπτύξουν τη συνολική διοικητική ικανότητα και </w:t>
      </w:r>
      <w:r>
        <w:rPr>
          <w:rFonts w:ascii="Times New Roman" w:hAnsi="Times New Roman"/>
          <w:noProof/>
          <w:color w:val="000000" w:themeColor="text1"/>
        </w:rPr>
        <w:t>να συμμετάσχουν στις πρωτοβουλίες ανάπτυξης της διοικητικής ικανότητας της Επιτροπής</w:t>
      </w:r>
      <w:r>
        <w:rPr>
          <w:rStyle w:val="FootnoteReference"/>
          <w:rFonts w:ascii="Times New Roman" w:hAnsi="Times New Roman" w:cs="Times New Roman"/>
          <w:noProof/>
          <w:color w:val="000000" w:themeColor="text1"/>
        </w:rPr>
        <w:footnoteReference w:id="129"/>
      </w:r>
      <w:r>
        <w:rPr>
          <w:rFonts w:ascii="Times New Roman" w:hAnsi="Times New Roman"/>
          <w:noProof/>
          <w:color w:val="000000" w:themeColor="text1"/>
        </w:rPr>
        <w:t>·</w:t>
      </w:r>
      <w:r>
        <w:rPr>
          <w:rFonts w:ascii="Times New Roman" w:hAnsi="Times New Roman"/>
          <w:noProof/>
        </w:rPr>
        <w:t xml:space="preserve"> να χρησιμοποιήσουν την τεχνική βοήθεια για την προετοιμασία μεγάλων έργων· να χρησιμοποιήσουν τα υφιστάμενα εργαλεία της ΕΕ, π.χ. τη σύμπραξη Jaspers</w:t>
      </w:r>
      <w:r>
        <w:rPr>
          <w:rStyle w:val="FootnoteReference"/>
          <w:rFonts w:ascii="Times New Roman" w:hAnsi="Times New Roman" w:cs="Times New Roman"/>
          <w:noProof/>
        </w:rPr>
        <w:footnoteReference w:id="130"/>
      </w:r>
      <w:r>
        <w:rPr>
          <w:rFonts w:ascii="Times New Roman" w:hAnsi="Times New Roman"/>
          <w:bCs/>
          <w:noProof/>
        </w:rPr>
        <w:t>·</w:t>
      </w:r>
      <w:r>
        <w:rPr>
          <w:rFonts w:ascii="Times New Roman" w:hAnsi="Times New Roman"/>
          <w:b/>
          <w:bCs/>
          <w:noProof/>
        </w:rPr>
        <w:t xml:space="preserve"> </w:t>
      </w:r>
      <w:r>
        <w:rPr>
          <w:rFonts w:ascii="Times New Roman" w:hAnsi="Times New Roman"/>
          <w:bCs/>
          <w:noProof/>
        </w:rPr>
        <w:t>να αναπτύξουν την ικανότητα συμμετοχής σε ανταγωνιστικά προγράμματα·</w:t>
      </w:r>
    </w:p>
    <w:p w:rsidR="00D56D03" w:rsidRPr="002A2BF6" w:rsidRDefault="00D56D03" w:rsidP="00D56D03">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D9D9D9" w:themeFill="background1" w:themeFillShade="D9"/>
        <w:spacing w:after="60"/>
        <w:contextualSpacing w:val="0"/>
        <w:jc w:val="both"/>
        <w:rPr>
          <w:rFonts w:ascii="Times New Roman" w:hAnsi="Times New Roman" w:cs="Times New Roman"/>
          <w:noProof/>
        </w:rPr>
      </w:pPr>
      <w:r>
        <w:rPr>
          <w:rFonts w:ascii="Times New Roman" w:hAnsi="Times New Roman"/>
          <w:noProof/>
        </w:rPr>
        <w:t xml:space="preserve">να κάνουν χρήση του μέσου τεχνικής υποστήριξης για να ζητήσουν υποστήριξη σε βασικές μεταρρυθμίσεις, ιδίως στους τομείς της παρούσας ανακοίνωσης· οι πολυπεριφερειακές εφαρμογές είναι ιδιαίτερα ευπρόσδεκτες, καθώς καθιστούν δυνατή την ανάπτυξη οικονομικών κλίμακας και την ανταλλαγή βέλτιστων πρακτικών· </w:t>
      </w:r>
    </w:p>
    <w:p w:rsidR="00D56D03" w:rsidRDefault="00D56D03" w:rsidP="00D56D03">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D9D9D9" w:themeFill="background1" w:themeFillShade="D9"/>
        <w:spacing w:after="60"/>
        <w:contextualSpacing w:val="0"/>
        <w:jc w:val="both"/>
        <w:rPr>
          <w:rFonts w:ascii="Times New Roman" w:hAnsi="Times New Roman" w:cs="Times New Roman"/>
          <w:noProof/>
        </w:rPr>
      </w:pPr>
      <w:r>
        <w:rPr>
          <w:rFonts w:ascii="Times New Roman" w:hAnsi="Times New Roman"/>
          <w:noProof/>
        </w:rPr>
        <w:t>να διαδώσουν σε τοπικό επίπεδο τις πληροφορίες που παρέχει η Επιτροπή σχετικά με τις ευκαιρίες χρηματοδότησης·</w:t>
      </w:r>
    </w:p>
    <w:p w:rsidR="00D56D03" w:rsidRPr="00F11EC4" w:rsidRDefault="00D56D03" w:rsidP="00D56D03">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D9D9D9" w:themeFill="background1" w:themeFillShade="D9"/>
        <w:spacing w:after="60"/>
        <w:contextualSpacing w:val="0"/>
        <w:jc w:val="both"/>
        <w:rPr>
          <w:rFonts w:ascii="Times New Roman" w:hAnsi="Times New Roman" w:cs="Times New Roman"/>
          <w:noProof/>
        </w:rPr>
      </w:pPr>
      <w:r>
        <w:rPr>
          <w:rFonts w:ascii="Times New Roman" w:hAnsi="Times New Roman"/>
          <w:noProof/>
        </w:rPr>
        <w:t>να επεκτείνουν τη συλλογή δεδομένων στις εξόχως απόκεντρες περιοχές ώστε να γεφυρωθούν τα υφιστάμενα κενά στις περιφερειακές στατιστικές.</w:t>
      </w:r>
    </w:p>
    <w:p w:rsidR="00C7465F" w:rsidRPr="00A70648" w:rsidRDefault="00C7465F" w:rsidP="00CB62BB">
      <w:pPr>
        <w:rPr>
          <w:rFonts w:ascii="Times New Roman" w:hAnsi="Times New Roman" w:cs="Times New Roman"/>
          <w:b/>
          <w:bCs/>
          <w:smallCaps/>
          <w:noProof/>
          <w:sz w:val="24"/>
          <w:szCs w:val="24"/>
        </w:rPr>
      </w:pPr>
    </w:p>
    <w:p w:rsidR="00D56D03" w:rsidRPr="00C11C2D" w:rsidRDefault="00D56D03" w:rsidP="00D56D03">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jc w:val="both"/>
        <w:rPr>
          <w:rFonts w:ascii="Times New Roman" w:hAnsi="Times New Roman" w:cs="Times New Roman"/>
          <w:noProof/>
        </w:rPr>
      </w:pPr>
      <w:r>
        <w:rPr>
          <w:rFonts w:ascii="Times New Roman" w:hAnsi="Times New Roman"/>
          <w:b/>
          <w:noProof/>
        </w:rPr>
        <w:t>Η Επιτροπή:</w:t>
      </w:r>
    </w:p>
    <w:p w:rsidR="00D56D03" w:rsidRPr="00E24AB7" w:rsidRDefault="00D56D03" w:rsidP="00D56D03">
      <w:pPr>
        <w:numPr>
          <w:ilvl w:val="0"/>
          <w:numId w:val="2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60"/>
        <w:jc w:val="both"/>
        <w:rPr>
          <w:rFonts w:ascii="Times New Roman" w:hAnsi="Times New Roman" w:cs="Times New Roman"/>
          <w:noProof/>
        </w:rPr>
      </w:pPr>
      <w:r>
        <w:rPr>
          <w:rFonts w:ascii="Times New Roman" w:hAnsi="Times New Roman"/>
          <w:noProof/>
        </w:rPr>
        <w:t>θα αναπτύξει συμβουλευτικά εργαλεία ώστε να βοηθήσει, κατόπιν αιτήματος, μεμονωμένες εξόχως απόκεντρες περιοχές να διαμορφώσουν σχέδια περιφερειακής ανάπτυξης, μεταρρυθμίσεις και επενδυτικά προγράμματα· θα καταστήσει δυνατή την ανάπτυξη συνεργειών μεταξύ των ευκαιριών στο πλαίσιο των ταμείων και των προγραμμάτων της ΕΕ·</w:t>
      </w:r>
    </w:p>
    <w:p w:rsidR="00D56D03" w:rsidRPr="00E24AB7" w:rsidRDefault="00D56D03" w:rsidP="00D56D03">
      <w:pPr>
        <w:numPr>
          <w:ilvl w:val="0"/>
          <w:numId w:val="2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60"/>
        <w:jc w:val="both"/>
        <w:rPr>
          <w:rFonts w:ascii="Times New Roman" w:hAnsi="Times New Roman" w:cs="Times New Roman"/>
          <w:noProof/>
        </w:rPr>
      </w:pPr>
      <w:r>
        <w:rPr>
          <w:rFonts w:ascii="Times New Roman" w:hAnsi="Times New Roman"/>
          <w:noProof/>
        </w:rPr>
        <w:t>θα ενθαρρύνει την υποβολή</w:t>
      </w:r>
      <w:r>
        <w:rPr>
          <w:rFonts w:ascii="Times New Roman" w:hAnsi="Times New Roman"/>
          <w:iCs/>
          <w:noProof/>
        </w:rPr>
        <w:t xml:space="preserve"> αιτημάτων από </w:t>
      </w:r>
      <w:r>
        <w:rPr>
          <w:rFonts w:ascii="Times New Roman" w:hAnsi="Times New Roman"/>
          <w:iCs/>
          <w:noProof/>
          <w:color w:val="000000"/>
        </w:rPr>
        <w:t>εξόχως απόκεντρες περιοχές</w:t>
      </w:r>
      <w:r>
        <w:rPr>
          <w:rFonts w:ascii="Times New Roman" w:hAnsi="Times New Roman"/>
          <w:iCs/>
          <w:noProof/>
        </w:rPr>
        <w:t xml:space="preserve"> για υποστήριξη από το μέσο τεχνικής υποστήριξης </w:t>
      </w:r>
      <w:r>
        <w:rPr>
          <w:rFonts w:ascii="Times New Roman" w:hAnsi="Times New Roman"/>
          <w:iCs/>
          <w:noProof/>
          <w:color w:val="000000"/>
        </w:rPr>
        <w:t>για</w:t>
      </w:r>
      <w:r>
        <w:rPr>
          <w:rFonts w:ascii="Times New Roman" w:hAnsi="Times New Roman"/>
          <w:noProof/>
        </w:rPr>
        <w:t xml:space="preserve"> προσαρμοσμένη τεχνική εμπειρογνωσία με σκοπό τον σχεδιασμό και την υλοποίηση μεταρρυθμίσεων </w:t>
      </w:r>
      <w:r>
        <w:rPr>
          <w:rFonts w:ascii="Times New Roman" w:hAnsi="Times New Roman"/>
          <w:noProof/>
          <w:color w:val="000000"/>
        </w:rPr>
        <w:t>σε ευρύ φάσμα τομέων πολιτικής·</w:t>
      </w:r>
      <w:r>
        <w:rPr>
          <w:rFonts w:ascii="Times New Roman" w:hAnsi="Times New Roman"/>
          <w:noProof/>
        </w:rPr>
        <w:t xml:space="preserve"> </w:t>
      </w:r>
      <w:r>
        <w:rPr>
          <w:rFonts w:ascii="Times New Roman" w:hAnsi="Times New Roman"/>
          <w:iCs/>
          <w:noProof/>
          <w:color w:val="000000" w:themeColor="text1"/>
        </w:rPr>
        <w:t>θα προσεγγίσει τις εξόχως απόκεντρες περιοχές στο πλαίσιο της ετήσιας εφαρμογής του μέσου τεχνικής υποστήριξης ανά χώρα, με τη βοήθεια των συντονιστικών αρχών·</w:t>
      </w:r>
    </w:p>
    <w:p w:rsidR="00D56D03" w:rsidRPr="00E24AB7" w:rsidRDefault="00D56D03" w:rsidP="00D56D03">
      <w:pPr>
        <w:numPr>
          <w:ilvl w:val="0"/>
          <w:numId w:val="2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60"/>
        <w:jc w:val="both"/>
        <w:rPr>
          <w:rFonts w:ascii="Times New Roman" w:hAnsi="Times New Roman" w:cs="Times New Roman"/>
          <w:noProof/>
        </w:rPr>
      </w:pPr>
      <w:r>
        <w:rPr>
          <w:rFonts w:ascii="Times New Roman" w:hAnsi="Times New Roman"/>
          <w:noProof/>
        </w:rPr>
        <w:t>θα δημιουργήσει μια διαδικτυακή πύλη</w:t>
      </w:r>
      <w:r>
        <w:rPr>
          <w:rFonts w:ascii="Times New Roman" w:hAnsi="Times New Roman"/>
          <w:b/>
          <w:noProof/>
        </w:rPr>
        <w:t xml:space="preserve"> </w:t>
      </w:r>
      <w:r>
        <w:rPr>
          <w:rFonts w:ascii="Times New Roman" w:hAnsi="Times New Roman"/>
          <w:noProof/>
        </w:rPr>
        <w:t>σχετικά με τις ευκαιρίες για τις εξόχως απόκεντρες περιοχές να επωφεληθούν από τα ταμεία, τα προγράμματα και τις πρωτοβουλίες πολιτικής της ΕΕ· θα δρομολογήσει μια σειρά ενημερωτικών συναντήσεων για τις περιοχές αυτές σχετικά με τα προγράμματα και τις εμβληματικές πρωτοβουλίες της ΕΕ, προσεγγίζοντας τις μικρές και μεσαίες επιχειρήσεις, τις ΜΚΟ και το κοινό·</w:t>
      </w:r>
    </w:p>
    <w:p w:rsidR="00D56D03" w:rsidRPr="00E24AB7" w:rsidRDefault="00D56D03" w:rsidP="00D56D03">
      <w:pPr>
        <w:numPr>
          <w:ilvl w:val="0"/>
          <w:numId w:val="2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60"/>
        <w:jc w:val="both"/>
        <w:rPr>
          <w:rFonts w:ascii="Times New Roman" w:hAnsi="Times New Roman" w:cs="Times New Roman"/>
          <w:b/>
          <w:noProof/>
        </w:rPr>
      </w:pPr>
      <w:r>
        <w:rPr>
          <w:rFonts w:ascii="Times New Roman" w:hAnsi="Times New Roman"/>
          <w:noProof/>
        </w:rPr>
        <w:t>θα αναλύσει και θα δώσει συνέχεια στις προτάσεις των εξόχως απόκεντρων περιοχών</w:t>
      </w:r>
      <w:r>
        <w:rPr>
          <w:rFonts w:ascii="Times New Roman" w:hAnsi="Times New Roman"/>
          <w:b/>
          <w:noProof/>
        </w:rPr>
        <w:t xml:space="preserve"> </w:t>
      </w:r>
      <w:r>
        <w:rPr>
          <w:rFonts w:ascii="Times New Roman" w:hAnsi="Times New Roman"/>
          <w:noProof/>
        </w:rPr>
        <w:t>και των κρατών μελών</w:t>
      </w:r>
      <w:r>
        <w:rPr>
          <w:rFonts w:ascii="Times New Roman" w:hAnsi="Times New Roman"/>
          <w:b/>
          <w:noProof/>
        </w:rPr>
        <w:t xml:space="preserve"> </w:t>
      </w:r>
      <w:r>
        <w:rPr>
          <w:rFonts w:ascii="Times New Roman" w:hAnsi="Times New Roman"/>
          <w:noProof/>
        </w:rPr>
        <w:t>τους (δήλωση της CPRUP του 2021, έγγραφο κοινής θέσης του 2022)</w:t>
      </w:r>
      <w:r>
        <w:rPr>
          <w:rFonts w:ascii="Times New Roman" w:hAnsi="Times New Roman"/>
          <w:b/>
          <w:noProof/>
        </w:rPr>
        <w:t xml:space="preserve"> </w:t>
      </w:r>
      <w:r>
        <w:rPr>
          <w:rFonts w:ascii="Times New Roman" w:hAnsi="Times New Roman"/>
          <w:noProof/>
        </w:rPr>
        <w:t>στην ομάδα εργασίας των εξόχως απόκεντρων περιοχών·</w:t>
      </w:r>
      <w:r>
        <w:rPr>
          <w:rFonts w:ascii="Times New Roman" w:hAnsi="Times New Roman"/>
          <w:b/>
          <w:noProof/>
        </w:rPr>
        <w:t xml:space="preserve"> </w:t>
      </w:r>
    </w:p>
    <w:p w:rsidR="00D56D03" w:rsidRPr="00CB62BB" w:rsidRDefault="00D56D03" w:rsidP="00D56D03">
      <w:pPr>
        <w:numPr>
          <w:ilvl w:val="0"/>
          <w:numId w:val="2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60"/>
        <w:jc w:val="both"/>
        <w:rPr>
          <w:rFonts w:ascii="Times New Roman" w:hAnsi="Times New Roman" w:cs="Times New Roman"/>
          <w:noProof/>
        </w:rPr>
      </w:pPr>
      <w:r>
        <w:rPr>
          <w:rFonts w:ascii="Times New Roman" w:hAnsi="Times New Roman"/>
          <w:noProof/>
        </w:rPr>
        <w:t>θα ενσωματώσει τις ιδιαιτερότητες των εξόχως απόκεντρων περιοχών σε πρωτοβουλίες, νομοθετικές προτάσεις και προγράμματα, μέσω εξατομικευμένων και τοποκεντρικών προσεγγίσεων, με εκτιμήσεις εδαφικών επιπτώσεων, κατά περίπτωση·</w:t>
      </w:r>
      <w:r>
        <w:rPr>
          <w:rFonts w:ascii="Times New Roman" w:hAnsi="Times New Roman"/>
          <w:iCs/>
          <w:noProof/>
          <w:color w:val="000000" w:themeColor="text1"/>
        </w:rPr>
        <w:t xml:space="preserve"> </w:t>
      </w:r>
    </w:p>
    <w:p w:rsidR="00D56D03" w:rsidRPr="00E24AB7" w:rsidRDefault="00D56D03" w:rsidP="00D56D03">
      <w:pPr>
        <w:numPr>
          <w:ilvl w:val="0"/>
          <w:numId w:val="2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60"/>
        <w:jc w:val="both"/>
        <w:rPr>
          <w:rFonts w:ascii="Times New Roman" w:hAnsi="Times New Roman" w:cs="Times New Roman"/>
          <w:noProof/>
        </w:rPr>
      </w:pPr>
      <w:r>
        <w:rPr>
          <w:rFonts w:ascii="Times New Roman" w:hAnsi="Times New Roman"/>
          <w:iCs/>
          <w:noProof/>
          <w:color w:val="000000" w:themeColor="text1"/>
        </w:rPr>
        <w:t>θα συνεχίσει να λαμβάνει υπόψη τις ιδιαιτερότητες αυτών των περιοχών κατά την</w:t>
      </w:r>
      <w:r>
        <w:rPr>
          <w:rFonts w:ascii="Times New Roman" w:hAnsi="Times New Roman"/>
          <w:noProof/>
          <w:color w:val="000000" w:themeColor="text1"/>
        </w:rPr>
        <w:t xml:space="preserve"> επανεξέταση των</w:t>
      </w:r>
      <w:r>
        <w:rPr>
          <w:rFonts w:ascii="Times New Roman" w:hAnsi="Times New Roman"/>
          <w:b/>
          <w:iCs/>
          <w:noProof/>
          <w:color w:val="000000" w:themeColor="text1"/>
        </w:rPr>
        <w:t xml:space="preserve"> </w:t>
      </w:r>
      <w:r>
        <w:rPr>
          <w:rFonts w:ascii="Times New Roman" w:hAnsi="Times New Roman"/>
          <w:noProof/>
          <w:color w:val="000000" w:themeColor="text1"/>
        </w:rPr>
        <w:t xml:space="preserve">κανονισμών και των κατευθυντήριων γραμμών για τις κρατικές ενισχύσεις σε όλους τους τομείς, </w:t>
      </w:r>
      <w:r>
        <w:rPr>
          <w:rFonts w:ascii="Times New Roman" w:hAnsi="Times New Roman"/>
          <w:iCs/>
          <w:noProof/>
          <w:color w:val="000000" w:themeColor="text1"/>
        </w:rPr>
        <w:t>με βάση τις ισχύουσες</w:t>
      </w:r>
      <w:r>
        <w:rPr>
          <w:rFonts w:ascii="Times New Roman" w:hAnsi="Times New Roman"/>
          <w:iCs/>
          <w:noProof/>
        </w:rPr>
        <w:t xml:space="preserve"> διατάξεις για τις εν λόγω περιοχές στη νομοθεσία της ΕΕ για τις κρατικές ενισχύσεις·</w:t>
      </w:r>
    </w:p>
    <w:p w:rsidR="00D56D03" w:rsidRPr="00E24AB7" w:rsidRDefault="00D56D03" w:rsidP="00D56D03">
      <w:pPr>
        <w:numPr>
          <w:ilvl w:val="0"/>
          <w:numId w:val="2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60"/>
        <w:jc w:val="both"/>
        <w:rPr>
          <w:rFonts w:ascii="Times New Roman" w:hAnsi="Times New Roman" w:cs="Times New Roman"/>
          <w:noProof/>
        </w:rPr>
      </w:pPr>
      <w:r>
        <w:rPr>
          <w:rFonts w:ascii="Times New Roman" w:hAnsi="Times New Roman"/>
          <w:noProof/>
        </w:rPr>
        <w:t>θα στηρίξει την ανάπτυξη της διοικητικής ικανότητας και την εφαρμογή</w:t>
      </w:r>
      <w:r>
        <w:rPr>
          <w:rFonts w:ascii="Times New Roman" w:hAnsi="Times New Roman"/>
          <w:b/>
          <w:bCs/>
          <w:noProof/>
        </w:rPr>
        <w:t xml:space="preserve"> </w:t>
      </w:r>
      <w:r>
        <w:rPr>
          <w:rFonts w:ascii="Times New Roman" w:hAnsi="Times New Roman"/>
          <w:noProof/>
        </w:rPr>
        <w:t>των σχετικών χαρτών πορείας και των συμφώνων ακεραιότητας, καθώς και την ανταλλαγή γνώσεων μεταξύ των διαχειριστικών αρχών μέσω υφιστάμενων εργαλείων</w:t>
      </w:r>
      <w:r>
        <w:rPr>
          <w:rStyle w:val="FootnoteReference"/>
          <w:rFonts w:ascii="Times New Roman" w:hAnsi="Times New Roman" w:cs="Times New Roman"/>
          <w:noProof/>
        </w:rPr>
        <w:footnoteReference w:id="131"/>
      </w:r>
      <w:r>
        <w:rPr>
          <w:rFonts w:ascii="Times New Roman" w:hAnsi="Times New Roman"/>
          <w:noProof/>
        </w:rPr>
        <w:t>· θα στηρίξει την ανάπτυξη της ικανότητας συμμετοχής σε ανταγωνιστικά προγράμματα·</w:t>
      </w:r>
    </w:p>
    <w:p w:rsidR="00D56D03" w:rsidRPr="00C11C2D" w:rsidRDefault="00D56D03" w:rsidP="00D56D03">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60"/>
        <w:contextualSpacing w:val="0"/>
        <w:jc w:val="both"/>
        <w:rPr>
          <w:rFonts w:ascii="Times New Roman" w:hAnsi="Times New Roman" w:cs="Times New Roman"/>
          <w:noProof/>
          <w:color w:val="000000" w:themeColor="text1"/>
        </w:rPr>
      </w:pPr>
      <w:r>
        <w:rPr>
          <w:rFonts w:ascii="Times New Roman" w:hAnsi="Times New Roman"/>
          <w:noProof/>
        </w:rPr>
        <w:t>θα ενισχύσει την επικοινωνία και τον διάλογο με τις τοπικές αρχές, την κοινωνία των πολιτών, τις επιχειρήσεις, το κοινό και τους νέους, με βάση τις υφιστάμενες δομές, συμπεριλαμβανομένου του διαλόγου με τους πολίτες·</w:t>
      </w:r>
    </w:p>
    <w:p w:rsidR="00D56D03" w:rsidRDefault="00D56D03" w:rsidP="00D56D03">
      <w:pPr>
        <w:pBdr>
          <w:top w:val="single" w:sz="4" w:space="1" w:color="auto"/>
          <w:left w:val="single" w:sz="4" w:space="4" w:color="auto"/>
          <w:bottom w:val="single" w:sz="4" w:space="1" w:color="auto"/>
          <w:right w:val="single" w:sz="4" w:space="4" w:color="auto"/>
        </w:pBdr>
        <w:shd w:val="clear" w:color="auto" w:fill="D9D9D9" w:themeFill="background1" w:themeFillShade="D9"/>
        <w:rPr>
          <w:noProof/>
        </w:rPr>
      </w:pPr>
      <w:r>
        <w:rPr>
          <w:rFonts w:ascii="Times New Roman" w:hAnsi="Times New Roman"/>
          <w:noProof/>
        </w:rPr>
        <w:t>θα αναπτύξει</w:t>
      </w:r>
      <w:r>
        <w:rPr>
          <w:rFonts w:ascii="Times New Roman" w:hAnsi="Times New Roman"/>
          <w:b/>
          <w:noProof/>
        </w:rPr>
        <w:t xml:space="preserve"> </w:t>
      </w:r>
      <w:r>
        <w:rPr>
          <w:rFonts w:ascii="Times New Roman" w:hAnsi="Times New Roman"/>
          <w:noProof/>
        </w:rPr>
        <w:t>στρατηγικές προβλέψεις σχετικά με τον τρόπο με τον οποίο οι βασικές τάσεις θα επηρεάσουν τις εξόχως απόκεντρες περιοχές ώστε να προσαρμόσει αναλόγως τις πολιτικές και να προωθήσει τη συλλογή δεδομένων για τεκμηριωμένη πολιτική.</w:t>
      </w:r>
    </w:p>
    <w:p w:rsidR="00134802" w:rsidRDefault="00134802">
      <w:pPr>
        <w:rPr>
          <w:rFonts w:ascii="Times New Roman" w:hAnsi="Times New Roman" w:cs="Times New Roman"/>
          <w:b/>
          <w:bCs/>
          <w:smallCaps/>
          <w:noProof/>
          <w:sz w:val="24"/>
          <w:szCs w:val="24"/>
        </w:rPr>
      </w:pPr>
      <w:r>
        <w:rPr>
          <w:noProof/>
        </w:rPr>
        <w:br w:type="page"/>
      </w:r>
    </w:p>
    <w:p w:rsidR="007A5660" w:rsidRPr="00D57B51" w:rsidRDefault="00B2797C" w:rsidP="00CB62BB">
      <w:pPr>
        <w:rPr>
          <w:rFonts w:ascii="Times New Roman" w:hAnsi="Times New Roman" w:cs="Times New Roman"/>
          <w:b/>
          <w:bCs/>
          <w:noProof/>
          <w:sz w:val="24"/>
          <w:szCs w:val="24"/>
        </w:rPr>
      </w:pPr>
      <w:r>
        <w:rPr>
          <w:rFonts w:ascii="Times New Roman" w:hAnsi="Times New Roman"/>
          <w:b/>
          <w:bCs/>
          <w:smallCaps/>
          <w:noProof/>
          <w:sz w:val="24"/>
          <w:szCs w:val="24"/>
        </w:rPr>
        <w:t>Συμπέρασμα</w:t>
      </w:r>
      <w:r>
        <w:rPr>
          <w:rFonts w:ascii="Times New Roman" w:hAnsi="Times New Roman"/>
          <w:b/>
          <w:bCs/>
          <w:noProof/>
          <w:sz w:val="24"/>
          <w:szCs w:val="24"/>
        </w:rPr>
        <w:t xml:space="preserve"> </w:t>
      </w:r>
    </w:p>
    <w:p w:rsidR="00AD6B38" w:rsidRDefault="00CF12C5" w:rsidP="00697B1C">
      <w:pPr>
        <w:spacing w:before="120"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Αυτή η ανανεωμένη και ενισχυμένη στρατηγική για τις εξόχως απόκεντρες περιοχές καταδεικνύει τη σταθερή δέσμευση της Επιτροπής όσον αφορά την ανάπτυξη και την ευημερία τους. Πρόκειται για μια θεσμική υποχρέωση, όπως ορίζεται στο άρθρο 349 της ΣΛΕΕ· μια πολιτική επιταγή, δεδομένων των 5 εκατομμυρίων Ευρωπαίων πολιτών που ζουν στις περιοχές αυτές· οικονομική αναγκαιότητα λόγω του ανεκμετάλλευτου δυναμικού αυτών των περιοχών, κυρίως για την πράσινη οικονομία· καθώς και για μια γεωστρατηγική επένδυση, η οποία ενισχύει τον ρόλο των περιοχών αυτών ως πυλών της Ευρωπαϊκής Ένωσης προς τον υπόλοιπο κόσμο. </w:t>
      </w:r>
    </w:p>
    <w:p w:rsidR="0022398E" w:rsidRDefault="006E1C98" w:rsidP="00697B1C">
      <w:pPr>
        <w:spacing w:before="120"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Η ανθρωποκεντρική προσέγγιση αυτής της στρατηγικής και των μελλοντικών δράσεων αφορά επίσης τη διασφάλιση της πρόσβασης όλων των πολιτών της ΕΕ, ανεξάρτητα από το πού γεννήθηκαν ή ζουν, στην εκπαίδευση, την κατάρτιση, τη στέγαση, την υγειονομική περίθαλψη και τις βασικές συνθήκες διαβίωσης. Πρόκειται για την παροχή ευκαιριών στους νέους ώστε να αξιοποιήσουν τις δυνατότητές τους. </w:t>
      </w:r>
    </w:p>
    <w:p w:rsidR="00604BDD" w:rsidRPr="00AF016B" w:rsidRDefault="00604BDD" w:rsidP="00697B1C">
      <w:pPr>
        <w:spacing w:before="120"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sz w:val="24"/>
          <w:szCs w:val="24"/>
        </w:rPr>
        <w:t>Σε αυτό ακριβώς το πνεύμα, η ανακοίνωση καθορίζει τις προτεραιότητες της δράσης της ΕΕ για τη στήριξη της βιώσιμης ανάκαμψης και ανάπτυξης στις εξόχως απόκεντρες περιοχές της</w:t>
      </w:r>
      <w:r>
        <w:rPr>
          <w:rFonts w:ascii="Times New Roman" w:hAnsi="Times New Roman"/>
          <w:bCs/>
          <w:noProof/>
          <w:color w:val="000000"/>
          <w:sz w:val="24"/>
          <w:szCs w:val="24"/>
        </w:rPr>
        <w:t>, απελευθερώνοντας το δυναμικό ανάπτυξής τους και συμβάλλοντας στη γεφύρωση του ευρέος χάσματος ποιότητας ζωής μεταξύ αυτών των περιοχών και της υπόλοιπης ΕΕ</w:t>
      </w:r>
      <w:r>
        <w:rPr>
          <w:rFonts w:ascii="Times New Roman" w:hAnsi="Times New Roman"/>
          <w:noProof/>
          <w:color w:val="000000"/>
          <w:sz w:val="24"/>
          <w:szCs w:val="24"/>
        </w:rPr>
        <w:t xml:space="preserve">. </w:t>
      </w:r>
    </w:p>
    <w:p w:rsidR="00023967" w:rsidRDefault="00023967" w:rsidP="00C62324">
      <w:pPr>
        <w:spacing w:before="120"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Παρότι μια τέτοιου είδους προσπάθεια απαιτεί ισχυρή δέσμευση σε επίπεδο ΕΕ, πρωτίστως </w:t>
      </w:r>
      <w:r>
        <w:rPr>
          <w:rFonts w:ascii="Times New Roman" w:hAnsi="Times New Roman"/>
          <w:bCs/>
          <w:noProof/>
          <w:color w:val="000000"/>
          <w:sz w:val="24"/>
          <w:szCs w:val="24"/>
        </w:rPr>
        <w:t>απαιτεί</w:t>
      </w:r>
      <w:r>
        <w:rPr>
          <w:rFonts w:ascii="Times New Roman" w:hAnsi="Times New Roman"/>
          <w:noProof/>
          <w:color w:val="000000"/>
          <w:sz w:val="24"/>
          <w:szCs w:val="24"/>
        </w:rPr>
        <w:t xml:space="preserve"> από </w:t>
      </w:r>
      <w:r>
        <w:rPr>
          <w:rFonts w:ascii="Times New Roman" w:hAnsi="Times New Roman"/>
          <w:bCs/>
          <w:noProof/>
          <w:color w:val="000000"/>
          <w:sz w:val="24"/>
          <w:szCs w:val="24"/>
        </w:rPr>
        <w:t>κάθε περιοχή να αναπτύξει το δικό της όραμα για την ανάκαμψη</w:t>
      </w:r>
      <w:r>
        <w:rPr>
          <w:rFonts w:ascii="Times New Roman" w:hAnsi="Times New Roman"/>
          <w:noProof/>
          <w:color w:val="000000"/>
          <w:sz w:val="24"/>
          <w:szCs w:val="24"/>
        </w:rPr>
        <w:t xml:space="preserve"> και την ανάπτυξη.</w:t>
      </w:r>
      <w:r>
        <w:rPr>
          <w:rFonts w:ascii="Times New Roman" w:hAnsi="Times New Roman"/>
          <w:noProof/>
          <w:sz w:val="24"/>
          <w:szCs w:val="24"/>
        </w:rPr>
        <w:t xml:space="preserve"> Παρά τις ομοιότητες, οι εξόχως απόκεντρες περιοχές της ΕΕ είναι ετερογενείς και τα οράματά τους όσον αφορά την ανάπτυξη πρέπει να είναι προσαρμοσμένα, να σχεδιάζονται σε στενή συνεργασία με τα κράτη μέλη, σύμφωνα με τις ευρωπαϊκές προτεραιότητες, να εφαρμόζουν την αρχή της σύμπραξης και να αποτελούν προϊόν διαβουλεύσεων σε όλους τους τομείς της κοινωνίας σε αυτά τα εδάφη</w:t>
      </w:r>
      <w:r>
        <w:rPr>
          <w:rFonts w:ascii="Times New Roman" w:hAnsi="Times New Roman"/>
          <w:noProof/>
          <w:color w:val="000000"/>
          <w:sz w:val="24"/>
          <w:szCs w:val="24"/>
        </w:rPr>
        <w:t xml:space="preserve">. Η βιώσιμη ανάκαμψη προϋποθέτει επίσης </w:t>
      </w:r>
      <w:r>
        <w:rPr>
          <w:rFonts w:ascii="Times New Roman" w:hAnsi="Times New Roman"/>
          <w:bCs/>
          <w:noProof/>
          <w:color w:val="000000"/>
          <w:sz w:val="24"/>
          <w:szCs w:val="24"/>
        </w:rPr>
        <w:t>ιεράρχηση</w:t>
      </w:r>
      <w:r>
        <w:rPr>
          <w:rFonts w:ascii="Times New Roman" w:hAnsi="Times New Roman"/>
          <w:noProof/>
          <w:color w:val="000000"/>
          <w:sz w:val="24"/>
          <w:szCs w:val="24"/>
        </w:rPr>
        <w:t xml:space="preserve"> τόσο σε εθνικό όσο και σε περιφερειακό επίπεδο, </w:t>
      </w:r>
      <w:r>
        <w:rPr>
          <w:rFonts w:ascii="Times New Roman" w:hAnsi="Times New Roman"/>
          <w:bCs/>
          <w:noProof/>
          <w:color w:val="000000"/>
          <w:sz w:val="24"/>
          <w:szCs w:val="24"/>
        </w:rPr>
        <w:t>πολιτική βούληση</w:t>
      </w:r>
      <w:r>
        <w:rPr>
          <w:rFonts w:ascii="Times New Roman" w:hAnsi="Times New Roman"/>
          <w:noProof/>
          <w:color w:val="000000"/>
          <w:sz w:val="24"/>
          <w:szCs w:val="24"/>
        </w:rPr>
        <w:t xml:space="preserve">, μεταρρυθμίσεις και διοικητική ικανότητα. </w:t>
      </w:r>
    </w:p>
    <w:p w:rsidR="002F659A" w:rsidRPr="00EE5EF6" w:rsidRDefault="00AD6B38" w:rsidP="00C62324">
      <w:pPr>
        <w:spacing w:before="120"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Η Επιτροπή </w:t>
      </w:r>
      <w:r>
        <w:rPr>
          <w:rFonts w:ascii="Times New Roman" w:hAnsi="Times New Roman"/>
          <w:bCs/>
          <w:noProof/>
          <w:color w:val="000000"/>
          <w:sz w:val="24"/>
          <w:szCs w:val="24"/>
        </w:rPr>
        <w:t>δεσμεύεται</w:t>
      </w:r>
      <w:r>
        <w:rPr>
          <w:rFonts w:ascii="Times New Roman" w:hAnsi="Times New Roman"/>
          <w:noProof/>
          <w:color w:val="000000"/>
          <w:sz w:val="24"/>
          <w:szCs w:val="24"/>
        </w:rPr>
        <w:t xml:space="preserve"> να </w:t>
      </w:r>
      <w:r>
        <w:rPr>
          <w:rFonts w:ascii="Times New Roman" w:hAnsi="Times New Roman"/>
          <w:bCs/>
          <w:noProof/>
          <w:color w:val="000000"/>
          <w:sz w:val="24"/>
          <w:szCs w:val="24"/>
        </w:rPr>
        <w:t>ενισχύσει τον διάλογο και να προωθήσει την εξατομικευμένη στήριξη για τον σκοπό αυτόν.</w:t>
      </w:r>
      <w:r>
        <w:rPr>
          <w:rFonts w:ascii="Times New Roman" w:hAnsi="Times New Roman"/>
          <w:noProof/>
          <w:color w:val="000000"/>
          <w:sz w:val="24"/>
          <w:szCs w:val="24"/>
        </w:rPr>
        <w:t xml:space="preserve"> Θα συνεχίσει να συνεργάζεται στενά με τις εξόχως απόκεντρες περιοχές και τα κράτη μέλη τους και τα υπόλοιπα θεσμικά όργανα, ιδίως με το Ευρωπαϊκό Κοινοβούλιο και το Συμβούλιο, όσον αφορά την </w:t>
      </w:r>
      <w:r>
        <w:rPr>
          <w:rFonts w:ascii="Times New Roman" w:hAnsi="Times New Roman"/>
          <w:bCs/>
          <w:noProof/>
          <w:color w:val="000000"/>
          <w:sz w:val="24"/>
          <w:szCs w:val="24"/>
        </w:rPr>
        <w:t>αποτύπωση των ιδιαιτεροτήτων αυτών των περιοχών σε όλες τις σχετικές πολιτικές της ΕΕ. Θα</w:t>
      </w:r>
      <w:r>
        <w:rPr>
          <w:rFonts w:ascii="Times New Roman" w:hAnsi="Times New Roman"/>
          <w:noProof/>
          <w:color w:val="000000"/>
          <w:sz w:val="24"/>
          <w:szCs w:val="24"/>
        </w:rPr>
        <w:t xml:space="preserve"> εντείνει τις προσπάθειες προκειμένου να βοηθήσει τις περιοχές αυτές να αξιοποιήσουν τα πλεονεκτήματά τους, </w:t>
      </w:r>
      <w:r>
        <w:rPr>
          <w:rFonts w:ascii="Times New Roman" w:hAnsi="Times New Roman"/>
          <w:bCs/>
          <w:noProof/>
          <w:color w:val="000000"/>
          <w:sz w:val="24"/>
          <w:szCs w:val="24"/>
        </w:rPr>
        <w:t>να αδράξουν τις πρωτοφανείς ευκαιρίες</w:t>
      </w:r>
      <w:r>
        <w:rPr>
          <w:rFonts w:ascii="Times New Roman" w:hAnsi="Times New Roman"/>
          <w:noProof/>
          <w:color w:val="000000"/>
          <w:sz w:val="24"/>
          <w:szCs w:val="24"/>
        </w:rPr>
        <w:t xml:space="preserve"> που παρέχουν οι πολιτικές της ΕΕ, η ενιαία αγορά και η χρηματοδοτική στήριξη για να </w:t>
      </w:r>
      <w:r>
        <w:rPr>
          <w:rFonts w:ascii="Times New Roman" w:hAnsi="Times New Roman"/>
          <w:bCs/>
          <w:noProof/>
          <w:color w:val="000000"/>
          <w:sz w:val="24"/>
          <w:szCs w:val="24"/>
        </w:rPr>
        <w:t>επενδύσουν στο μέλλον τους.</w:t>
      </w:r>
      <w:r>
        <w:rPr>
          <w:rFonts w:ascii="Times New Roman" w:hAnsi="Times New Roman"/>
          <w:b/>
          <w:bCs/>
          <w:noProof/>
          <w:color w:val="000000"/>
          <w:sz w:val="24"/>
          <w:szCs w:val="24"/>
        </w:rPr>
        <w:t xml:space="preserve"> </w:t>
      </w:r>
    </w:p>
    <w:sectPr w:rsidR="002F659A" w:rsidRPr="00EE5EF6" w:rsidSect="00BE66A5">
      <w:headerReference w:type="even" r:id="rId18"/>
      <w:headerReference w:type="default" r:id="rId19"/>
      <w:footerReference w:type="even" r:id="rId20"/>
      <w:footerReference w:type="default" r:id="rId21"/>
      <w:headerReference w:type="first" r:id="rId22"/>
      <w:footerReference w:type="first" r:id="rId23"/>
      <w:pgSz w:w="12240" w:h="15840"/>
      <w:pgMar w:top="1247" w:right="1440" w:bottom="1134" w:left="1440" w:header="0" w:footer="113" w:gutter="0"/>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6281E" w16cex:dateUtc="2022-04-28T17:58:00Z"/>
  <w16cex:commentExtensible w16cex:durableId="26162823" w16cex:dateUtc="2022-04-28T14:31:00Z"/>
  <w16cex:commentExtensible w16cex:durableId="26162826" w16cex:dateUtc="2022-04-28T17:02:00Z"/>
  <w16cex:commentExtensible w16cex:durableId="2616282A" w16cex:dateUtc="2022-04-28T15:06:00Z"/>
  <w16cex:commentExtensible w16cex:durableId="26169CE6" w16cex:dateUtc="2022-04-28T18:46:00Z"/>
  <w16cex:commentExtensible w16cex:durableId="2616282B" w16cex:dateUtc="2022-04-28T18:46:00Z"/>
  <w16cex:commentExtensible w16cex:durableId="2616282C" w16cex:dateUtc="2022-04-28T18:41:00Z"/>
  <w16cex:commentExtensible w16cex:durableId="2616282E" w16cex:dateUtc="2022-04-28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8914D0" w16cid:durableId="2616281E"/>
  <w16cid:commentId w16cid:paraId="4489346B" w16cid:durableId="26162823"/>
  <w16cid:commentId w16cid:paraId="0A0E58DB" w16cid:durableId="26162826"/>
  <w16cid:commentId w16cid:paraId="1E2EA76E" w16cid:durableId="2616282A"/>
  <w16cid:commentId w16cid:paraId="1C477FE3" w16cid:durableId="26169CE6"/>
  <w16cid:commentId w16cid:paraId="7ED9E11A" w16cid:durableId="2616282B"/>
  <w16cid:commentId w16cid:paraId="079DA0DA" w16cid:durableId="2616282C"/>
  <w16cid:commentId w16cid:paraId="72F0C1B4" w16cid:durableId="261628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AFC" w:rsidRDefault="001B6AFC" w:rsidP="00B2797C">
      <w:pPr>
        <w:spacing w:after="0" w:line="240" w:lineRule="auto"/>
      </w:pPr>
      <w:r>
        <w:separator/>
      </w:r>
    </w:p>
  </w:endnote>
  <w:endnote w:type="continuationSeparator" w:id="0">
    <w:p w:rsidR="001B6AFC" w:rsidRDefault="001B6AFC" w:rsidP="00B2797C">
      <w:pPr>
        <w:spacing w:after="0" w:line="240" w:lineRule="auto"/>
      </w:pPr>
      <w:r>
        <w:continuationSeparator/>
      </w:r>
    </w:p>
  </w:endnote>
  <w:endnote w:type="continuationNotice" w:id="1">
    <w:p w:rsidR="001B6AFC" w:rsidRDefault="001B6A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FDE" w:rsidRPr="00E50FDE" w:rsidRDefault="00E50FDE" w:rsidP="00E50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648" w:rsidRPr="00E50FDE" w:rsidRDefault="00E50FDE" w:rsidP="00E50FDE">
    <w:pPr>
      <w:pStyle w:val="FooterCoverPage"/>
      <w:rPr>
        <w:rFonts w:ascii="Arial" w:hAnsi="Arial" w:cs="Arial"/>
        <w:b/>
        <w:sz w:val="48"/>
      </w:rPr>
    </w:pPr>
    <w:r w:rsidRPr="00E50FDE">
      <w:rPr>
        <w:rFonts w:ascii="Arial" w:hAnsi="Arial" w:cs="Arial"/>
        <w:b/>
        <w:sz w:val="48"/>
      </w:rPr>
      <w:t>EL</w:t>
    </w:r>
    <w:r w:rsidRPr="00E50FDE">
      <w:rPr>
        <w:rFonts w:ascii="Arial" w:hAnsi="Arial" w:cs="Arial"/>
        <w:b/>
        <w:sz w:val="48"/>
      </w:rPr>
      <w:tab/>
    </w:r>
    <w:r w:rsidRPr="00E50FDE">
      <w:rPr>
        <w:rFonts w:ascii="Arial" w:hAnsi="Arial" w:cs="Arial"/>
        <w:b/>
        <w:sz w:val="48"/>
      </w:rPr>
      <w:tab/>
    </w:r>
    <w:r w:rsidRPr="00E50FDE">
      <w:tab/>
    </w:r>
    <w:r w:rsidRPr="00E50FDE">
      <w:rPr>
        <w:rFonts w:ascii="Arial" w:hAnsi="Arial" w:cs="Arial"/>
        <w:b/>
        <w:sz w:val="48"/>
      </w:rPr>
      <w:t>EL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FDE" w:rsidRPr="00E50FDE" w:rsidRDefault="00E50FDE" w:rsidP="00E50FD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AFC" w:rsidRDefault="001B6A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206064956"/>
      <w:docPartObj>
        <w:docPartGallery w:val="Page Numbers (Bottom of Page)"/>
        <w:docPartUnique/>
      </w:docPartObj>
    </w:sdtPr>
    <w:sdtEndPr>
      <w:rPr>
        <w:noProof/>
      </w:rPr>
    </w:sdtEndPr>
    <w:sdtContent>
      <w:p w:rsidR="001B6AFC" w:rsidRPr="00F97865" w:rsidRDefault="001B6AFC">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E50FDE">
          <w:rPr>
            <w:rFonts w:ascii="Times New Roman" w:hAnsi="Times New Roman" w:cs="Times New Roman"/>
            <w:noProof/>
          </w:rPr>
          <w:t>28</w:t>
        </w:r>
        <w:r>
          <w:rPr>
            <w:rFonts w:ascii="Times New Roman" w:hAnsi="Times New Roman" w:cs="Times New Roman"/>
          </w:rPr>
          <w:fldChar w:fldCharType="end"/>
        </w:r>
      </w:p>
    </w:sdtContent>
  </w:sdt>
  <w:p w:rsidR="001B6AFC" w:rsidRPr="00433E2B" w:rsidRDefault="001B6AFC">
    <w:pPr>
      <w:pStyle w:val="Footer"/>
      <w:rPr>
        <w:rFonts w:ascii="Times New Roman" w:hAnsi="Times New Roman" w:cs="Times New Roman"/>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262446"/>
      <w:docPartObj>
        <w:docPartGallery w:val="Page Numbers (Bottom of Page)"/>
        <w:docPartUnique/>
      </w:docPartObj>
    </w:sdtPr>
    <w:sdtEndPr>
      <w:rPr>
        <w:noProof/>
      </w:rPr>
    </w:sdtEndPr>
    <w:sdtContent>
      <w:p w:rsidR="001B6AFC" w:rsidRDefault="001B6AFC">
        <w:pPr>
          <w:pStyle w:val="Footer"/>
          <w:jc w:val="right"/>
        </w:pPr>
        <w:r>
          <w:fldChar w:fldCharType="begin"/>
        </w:r>
        <w:r>
          <w:instrText xml:space="preserve"> PAGE   \* MERGEFORMAT </w:instrText>
        </w:r>
        <w:r>
          <w:fldChar w:fldCharType="separate"/>
        </w:r>
        <w:r w:rsidR="00E50FDE">
          <w:rPr>
            <w:noProof/>
          </w:rPr>
          <w:t>1</w:t>
        </w:r>
        <w:r>
          <w:fldChar w:fldCharType="end"/>
        </w:r>
      </w:p>
    </w:sdtContent>
  </w:sdt>
  <w:p w:rsidR="001B6AFC" w:rsidRDefault="001B6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AFC" w:rsidRDefault="001B6AFC" w:rsidP="00B2797C">
      <w:pPr>
        <w:spacing w:after="0" w:line="240" w:lineRule="auto"/>
      </w:pPr>
      <w:r>
        <w:separator/>
      </w:r>
    </w:p>
  </w:footnote>
  <w:footnote w:type="continuationSeparator" w:id="0">
    <w:p w:rsidR="001B6AFC" w:rsidRDefault="001B6AFC" w:rsidP="00B2797C">
      <w:pPr>
        <w:spacing w:after="0" w:line="240" w:lineRule="auto"/>
      </w:pPr>
      <w:r>
        <w:continuationSeparator/>
      </w:r>
    </w:p>
  </w:footnote>
  <w:footnote w:type="continuationNotice" w:id="1">
    <w:p w:rsidR="001B6AFC" w:rsidRDefault="001B6AFC">
      <w:pPr>
        <w:spacing w:after="0" w:line="240" w:lineRule="auto"/>
      </w:pPr>
    </w:p>
  </w:footnote>
  <w:footnote w:id="2">
    <w:p w:rsidR="001B6AFC" w:rsidRPr="00E24AB7" w:rsidRDefault="001B6AFC" w:rsidP="00CF1953">
      <w:pPr>
        <w:pStyle w:val="FootnoteText"/>
        <w:ind w:left="720" w:hanging="720"/>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rPr>
        <w:footnoteRef/>
      </w:r>
      <w:r>
        <w:tab/>
      </w:r>
      <w:r>
        <w:rPr>
          <w:rFonts w:ascii="Times New Roman" w:hAnsi="Times New Roman"/>
          <w:color w:val="000000" w:themeColor="text1"/>
          <w:sz w:val="18"/>
          <w:szCs w:val="18"/>
        </w:rPr>
        <w:t>Σύμφωνα με υπολογισμούς της ΓΔ REGIO για την ανάπτυξη του πραγματικού κατά κεφαλήν ΑΕΠ την περίοδο 2000-2019</w:t>
      </w:r>
      <w:r>
        <w:rPr>
          <w:rFonts w:ascii="Times New Roman" w:hAnsi="Times New Roman"/>
          <w:iCs/>
          <w:color w:val="000000" w:themeColor="text1"/>
          <w:sz w:val="18"/>
          <w:szCs w:val="18"/>
        </w:rPr>
        <w:t>, η Γουαδελούπη, η Μαρτινίκα, η Ρεϊνιόν, το Μαγιότ και οι Αζόρες παρουσιάζουν ανάπτυξη του πραγματικού κατά κεφαλήν ΑΕΠ που υπερβαίνει τον μέσο όρο της ΕΕ κατά 1,2 % (</w:t>
      </w:r>
      <w:hyperlink r:id="rId1" w:history="1">
        <w:r>
          <w:rPr>
            <w:rStyle w:val="Hyperlink"/>
            <w:rFonts w:ascii="Times New Roman" w:hAnsi="Times New Roman"/>
            <w:sz w:val="18"/>
            <w:szCs w:val="18"/>
          </w:rPr>
          <w:t>Έκθεση για τη συνοχή 2022, ec.europa.eu</w:t>
        </w:r>
      </w:hyperlink>
      <w:r>
        <w:rPr>
          <w:rFonts w:ascii="Times New Roman" w:hAnsi="Times New Roman"/>
          <w:color w:val="000000" w:themeColor="text1"/>
          <w:sz w:val="18"/>
          <w:szCs w:val="18"/>
        </w:rPr>
        <w:t>).</w:t>
      </w:r>
    </w:p>
  </w:footnote>
  <w:footnote w:id="3">
    <w:p w:rsidR="001B6AFC" w:rsidRPr="00E24AB7" w:rsidRDefault="001B6AFC" w:rsidP="000544C6">
      <w:pPr>
        <w:pStyle w:val="FootnoteText"/>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lang w:val="en-IE"/>
        </w:rPr>
        <w:footnoteRef/>
      </w:r>
      <w:r>
        <w:rPr>
          <w:rFonts w:ascii="Times New Roman" w:hAnsi="Times New Roman"/>
          <w:color w:val="000000" w:themeColor="text1"/>
          <w:sz w:val="18"/>
          <w:szCs w:val="18"/>
        </w:rPr>
        <w:tab/>
        <w:t>Οι εξόχως απόκεντρες περιοχές είναι όλες νησιά ή αρχιπελάγη εκτός από τη Γαλλική Γουιάνα στη Νότια Αμερική.</w:t>
      </w:r>
    </w:p>
  </w:footnote>
  <w:footnote w:id="4">
    <w:p w:rsidR="001B6AFC" w:rsidRPr="00E24AB7" w:rsidRDefault="001B6AFC" w:rsidP="00CF67BF">
      <w:pPr>
        <w:pStyle w:val="FootnoteText"/>
        <w:ind w:left="720" w:hanging="720"/>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lang w:val="en-IE"/>
        </w:rPr>
        <w:footnoteRef/>
      </w:r>
      <w:r>
        <w:rPr>
          <w:rFonts w:ascii="Times New Roman" w:hAnsi="Times New Roman"/>
          <w:color w:val="000000" w:themeColor="text1"/>
          <w:sz w:val="18"/>
          <w:szCs w:val="18"/>
        </w:rPr>
        <w:tab/>
        <w:t xml:space="preserve">Eurostat, κωδικός: nama_10r2gdp, το 2020 το ΑΕΠ σε ισοτιμία αγοραστικής δύναμης σε σύγκριση με τον μέσο όρο της ΕΕ κυμαινόταν από 30 % του μέσου όρου της ΕΕ στο Μαγιότ (χαμηλότερο ποσοστό της ΕΕ) έως 76 %. Από το 2010 έως το 2020 το ΑΕΠ μειώθηκε σε σύγκριση με τον μέσο όρο της ΕΕ στις Κανάριες Νήσους από 83 % σε 62 %· στις Αζόρες από 75 % σε 67 %· και στη Μαδέρα από 81 % σε 69 %. </w:t>
      </w:r>
    </w:p>
  </w:footnote>
  <w:footnote w:id="5">
    <w:p w:rsidR="001B6AFC" w:rsidRPr="00E24AB7" w:rsidRDefault="001B6AFC" w:rsidP="00CF67BF">
      <w:pPr>
        <w:pStyle w:val="FootnoteText"/>
        <w:ind w:left="720" w:hanging="720"/>
        <w:jc w:val="both"/>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rPr>
          <w:rFonts w:ascii="Times New Roman" w:hAnsi="Times New Roman"/>
          <w:sz w:val="18"/>
          <w:szCs w:val="18"/>
        </w:rPr>
        <w:tab/>
        <w:t xml:space="preserve">Eurostat, κωδικός: </w:t>
      </w:r>
      <w:hyperlink r:id="rId2" w:history="1">
        <w:r>
          <w:rPr>
            <w:rStyle w:val="Hyperlink"/>
            <w:rFonts w:ascii="Times New Roman" w:hAnsi="Times New Roman"/>
            <w:sz w:val="18"/>
            <w:szCs w:val="18"/>
          </w:rPr>
          <w:t>LFST_R_LFU3RT</w:t>
        </w:r>
      </w:hyperlink>
      <w:r>
        <w:rPr>
          <w:rFonts w:ascii="Times New Roman" w:hAnsi="Times New Roman"/>
          <w:sz w:val="18"/>
          <w:szCs w:val="18"/>
        </w:rPr>
        <w:t xml:space="preserve">. </w:t>
      </w:r>
      <w:r>
        <w:rPr>
          <w:rFonts w:ascii="Times New Roman" w:hAnsi="Times New Roman"/>
          <w:color w:val="000000" w:themeColor="text1"/>
          <w:sz w:val="18"/>
          <w:szCs w:val="18"/>
        </w:rPr>
        <w:t>Επιπλέον, ορισμένα από τα υψηλότερα ποσοστά ανεργίας των νέων εντοπίζονται στη Γουαδελούπη (41,5 %), στο Μαγιότ (55,4 %) και στη Μαρτινίκα (38,3 %).</w:t>
      </w:r>
    </w:p>
  </w:footnote>
  <w:footnote w:id="6">
    <w:p w:rsidR="001B6AFC" w:rsidRPr="00E24AB7" w:rsidRDefault="001B6AFC">
      <w:pPr>
        <w:pStyle w:val="FootnoteText"/>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tab/>
      </w:r>
      <w:r>
        <w:rPr>
          <w:rFonts w:ascii="Times New Roman" w:hAnsi="Times New Roman"/>
          <w:sz w:val="18"/>
          <w:szCs w:val="18"/>
        </w:rPr>
        <w:t>Eurostat, κωδικός</w:t>
      </w:r>
      <w:r>
        <w:rPr>
          <w:rFonts w:ascii="Times New Roman" w:hAnsi="Times New Roman"/>
          <w:color w:val="000000" w:themeColor="text1"/>
          <w:sz w:val="18"/>
          <w:szCs w:val="18"/>
        </w:rPr>
        <w:t xml:space="preserve">: </w:t>
      </w:r>
      <w:hyperlink r:id="rId3" w:history="1">
        <w:r>
          <w:rPr>
            <w:rStyle w:val="Hyperlink"/>
            <w:rFonts w:ascii="Times New Roman" w:hAnsi="Times New Roman"/>
            <w:sz w:val="18"/>
            <w:szCs w:val="18"/>
          </w:rPr>
          <w:t>nama_10r_2gdp</w:t>
        </w:r>
      </w:hyperlink>
      <w:r>
        <w:rPr>
          <w:rFonts w:ascii="Times New Roman" w:hAnsi="Times New Roman"/>
          <w:color w:val="000000" w:themeColor="text1"/>
          <w:sz w:val="18"/>
          <w:szCs w:val="18"/>
        </w:rPr>
        <w:t>,</w:t>
      </w:r>
      <w:r>
        <w:rPr>
          <w:rFonts w:ascii="Times New Roman" w:hAnsi="Times New Roman"/>
          <w:sz w:val="18"/>
          <w:szCs w:val="18"/>
        </w:rPr>
        <w:t xml:space="preserve"> σύγκριση του ΑΕΠ το 2000 και το 2020. </w:t>
      </w:r>
    </w:p>
  </w:footnote>
  <w:footnote w:id="7">
    <w:p w:rsidR="001B6AFC" w:rsidRPr="00E24AB7" w:rsidRDefault="001B6AFC" w:rsidP="00CF67BF">
      <w:pPr>
        <w:pStyle w:val="FootnoteText"/>
        <w:ind w:left="720" w:hanging="720"/>
        <w:jc w:val="both"/>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rPr>
          <w:rFonts w:ascii="Times New Roman" w:hAnsi="Times New Roman"/>
          <w:sz w:val="18"/>
          <w:szCs w:val="18"/>
        </w:rPr>
        <w:tab/>
        <w:t>Ιδίως των στόχων «μηδενική φτώχεια», «καλή υγεία και ευημερία», «ποιοτική εκπαίδευση», «ισότητα των φύλων», «καθαρό νερό και αποχέτευση», «οικονομικά προσιτή και καθαρή ενέργεια», «αξιοπρεπής εργασία και οικονομική ανάπτυξη», «μείωση της ανισότητας», «δράση για το κλίμα».</w:t>
      </w:r>
    </w:p>
  </w:footnote>
  <w:footnote w:id="8">
    <w:p w:rsidR="001B6AFC" w:rsidRPr="00E24AB7" w:rsidRDefault="001B6AFC" w:rsidP="00CF67BF">
      <w:pPr>
        <w:pStyle w:val="FootnoteText"/>
        <w:ind w:left="720" w:hanging="720"/>
        <w:jc w:val="both"/>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rPr>
          <w:rFonts w:ascii="Times New Roman" w:hAnsi="Times New Roman"/>
          <w:sz w:val="18"/>
          <w:szCs w:val="18"/>
        </w:rPr>
        <w:tab/>
        <w:t xml:space="preserve">Eurostat, κωδικός: </w:t>
      </w:r>
      <w:hyperlink r:id="rId4" w:history="1">
        <w:r>
          <w:rPr>
            <w:rStyle w:val="Hyperlink"/>
            <w:rFonts w:ascii="Times New Roman" w:hAnsi="Times New Roman"/>
            <w:sz w:val="18"/>
            <w:szCs w:val="18"/>
          </w:rPr>
          <w:t>proj_19rp3</w:t>
        </w:r>
      </w:hyperlink>
      <w:r>
        <w:rPr>
          <w:rFonts w:ascii="Times New Roman" w:hAnsi="Times New Roman"/>
          <w:sz w:val="18"/>
          <w:szCs w:val="18"/>
        </w:rPr>
        <w:t>, ο πληθυσμός του Μαγιότ αναμένεται να αυξηθεί από 279 000 το 2020 σε 782 000 το 2100· ο πληθυσμός της Γουιάνας αναμένεται να αυξηθεί από 289 000 το 2020 σε 591 000 το 2100.</w:t>
      </w:r>
    </w:p>
  </w:footnote>
  <w:footnote w:id="9">
    <w:p w:rsidR="001B6AFC" w:rsidRPr="00E24AB7" w:rsidRDefault="001B6AFC" w:rsidP="007001E0">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rPr>
          <w:rFonts w:ascii="Times New Roman" w:hAnsi="Times New Roman"/>
          <w:sz w:val="18"/>
          <w:szCs w:val="18"/>
        </w:rPr>
        <w:tab/>
        <w:t xml:space="preserve">Eurostat, κωδικός: </w:t>
      </w:r>
      <w:hyperlink r:id="rId5" w:history="1">
        <w:r>
          <w:rPr>
            <w:rStyle w:val="Hyperlink"/>
            <w:rFonts w:ascii="Times New Roman" w:hAnsi="Times New Roman"/>
            <w:sz w:val="18"/>
            <w:szCs w:val="18"/>
          </w:rPr>
          <w:t>proj_19rp3</w:t>
        </w:r>
      </w:hyperlink>
      <w:r>
        <w:rPr>
          <w:rFonts w:ascii="Times New Roman" w:hAnsi="Times New Roman"/>
          <w:sz w:val="18"/>
          <w:szCs w:val="18"/>
        </w:rPr>
        <w:t xml:space="preserve">, </w:t>
      </w:r>
      <w:r>
        <w:rPr>
          <w:rFonts w:ascii="Times New Roman" w:hAnsi="Times New Roman"/>
          <w:color w:val="000000" w:themeColor="text1"/>
          <w:sz w:val="18"/>
          <w:szCs w:val="18"/>
        </w:rPr>
        <w:t>Μαδέρα, Αζόρες, Μαρτινίκα και Γουαδελούπη.</w:t>
      </w:r>
    </w:p>
  </w:footnote>
  <w:footnote w:id="10">
    <w:p w:rsidR="001B6AFC" w:rsidRPr="00E24AB7" w:rsidRDefault="001B6AFC" w:rsidP="002E050C">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rPr>
          <w:rFonts w:ascii="Times New Roman" w:hAnsi="Times New Roman"/>
          <w:sz w:val="18"/>
          <w:szCs w:val="18"/>
        </w:rPr>
        <w:tab/>
        <w:t xml:space="preserve">COM(2017) 623 final. </w:t>
      </w:r>
    </w:p>
  </w:footnote>
  <w:footnote w:id="11">
    <w:p w:rsidR="001B6AFC" w:rsidRPr="00E24AB7" w:rsidRDefault="001B6AFC" w:rsidP="002E050C">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rPr>
          <w:rFonts w:ascii="Times New Roman" w:hAnsi="Times New Roman"/>
          <w:sz w:val="18"/>
          <w:szCs w:val="18"/>
        </w:rPr>
        <w:tab/>
        <w:t>COM(2020) 104 final.</w:t>
      </w:r>
    </w:p>
  </w:footnote>
  <w:footnote w:id="12">
    <w:p w:rsidR="001B6AFC" w:rsidRPr="00E24AB7" w:rsidRDefault="001B6AFC">
      <w:pPr>
        <w:pStyle w:val="FootnoteText"/>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tab/>
      </w:r>
      <w:hyperlink r:id="rId6" w:history="1">
        <w:r>
          <w:rPr>
            <w:rStyle w:val="Hyperlink"/>
            <w:rFonts w:ascii="Times New Roman" w:hAnsi="Times New Roman"/>
            <w:sz w:val="18"/>
            <w:szCs w:val="18"/>
          </w:rPr>
          <w:t>Μηχανισμός ανάκαμψης και ανθεκτικότητας (ec.europa.eu)</w:t>
        </w:r>
      </w:hyperlink>
      <w:r>
        <w:rPr>
          <w:rFonts w:ascii="Times New Roman" w:hAnsi="Times New Roman"/>
          <w:sz w:val="18"/>
          <w:szCs w:val="18"/>
        </w:rPr>
        <w:t>· κανονισμός (ΕΕ) 2021/241.</w:t>
      </w:r>
    </w:p>
  </w:footnote>
  <w:footnote w:id="13">
    <w:p w:rsidR="001B6AFC" w:rsidRPr="00CB62BB" w:rsidRDefault="001B6AFC">
      <w:pPr>
        <w:pStyle w:val="FootnoteText"/>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rPr>
          <w:rFonts w:ascii="Times New Roman" w:hAnsi="Times New Roman"/>
          <w:sz w:val="18"/>
          <w:szCs w:val="18"/>
        </w:rPr>
        <w:tab/>
        <w:t xml:space="preserve">Κανονισμός (ΕΕ) 2021/1058· κανονισμός (ΕΕ) 2021/1057. </w:t>
      </w:r>
    </w:p>
  </w:footnote>
  <w:footnote w:id="14">
    <w:p w:rsidR="001B6AFC" w:rsidRPr="00CB62BB" w:rsidRDefault="001B6AFC">
      <w:pPr>
        <w:pStyle w:val="FootnoteText"/>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rPr>
          <w:rFonts w:ascii="Times New Roman" w:hAnsi="Times New Roman"/>
          <w:sz w:val="18"/>
          <w:szCs w:val="18"/>
        </w:rPr>
        <w:tab/>
        <w:t xml:space="preserve">Κανονισμός (ΕΕ) 2021/240. </w:t>
      </w:r>
    </w:p>
  </w:footnote>
  <w:footnote w:id="15">
    <w:p w:rsidR="001B6AFC" w:rsidRPr="00E24AB7" w:rsidRDefault="001B6AFC">
      <w:pPr>
        <w:pStyle w:val="FootnoteText"/>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tab/>
      </w:r>
      <w:hyperlink r:id="rId7" w:history="1">
        <w:r>
          <w:rPr>
            <w:rStyle w:val="Hyperlink"/>
            <w:rFonts w:ascii="Times New Roman" w:hAnsi="Times New Roman"/>
            <w:sz w:val="18"/>
            <w:szCs w:val="18"/>
          </w:rPr>
          <w:t>Ευρωπαϊκός πυλώνας κοινωνικών δικαιωμάτων (ec.europa.eu)</w:t>
        </w:r>
      </w:hyperlink>
      <w:r>
        <w:rPr>
          <w:rFonts w:ascii="Times New Roman" w:hAnsi="Times New Roman"/>
          <w:sz w:val="18"/>
          <w:szCs w:val="18"/>
        </w:rPr>
        <w:t>.</w:t>
      </w:r>
    </w:p>
  </w:footnote>
  <w:footnote w:id="16">
    <w:p w:rsidR="001B6AFC" w:rsidRPr="00E24AB7" w:rsidRDefault="001B6AFC" w:rsidP="00A70648">
      <w:pPr>
        <w:pStyle w:val="FootnoteText"/>
        <w:ind w:left="709" w:hanging="709"/>
        <w:jc w:val="both"/>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tab/>
      </w:r>
      <w:hyperlink r:id="rId8" w:history="1">
        <w:r>
          <w:rPr>
            <w:rStyle w:val="Hyperlink"/>
            <w:rFonts w:ascii="Times New Roman" w:hAnsi="Times New Roman"/>
            <w:sz w:val="18"/>
            <w:szCs w:val="18"/>
          </w:rPr>
          <w:t>Εξόχως απόκεντρες περιοχές — επικαιροποίηση της στρατηγικής εταιρικής σχέσης της Επιτροπής με τις εν λόγω περιοχές (ec.europa.eu)</w:t>
        </w:r>
      </w:hyperlink>
      <w:r>
        <w:rPr>
          <w:rStyle w:val="Hyperlink"/>
          <w:rFonts w:ascii="Times New Roman" w:hAnsi="Times New Roman"/>
          <w:sz w:val="18"/>
          <w:szCs w:val="18"/>
        </w:rPr>
        <w:t>.</w:t>
      </w:r>
      <w:r>
        <w:rPr>
          <w:rFonts w:ascii="Times New Roman" w:hAnsi="Times New Roman"/>
          <w:sz w:val="18"/>
          <w:szCs w:val="18"/>
        </w:rPr>
        <w:t xml:space="preserve"> </w:t>
      </w:r>
    </w:p>
  </w:footnote>
  <w:footnote w:id="17">
    <w:p w:rsidR="001B6AFC" w:rsidRPr="00E24AB7" w:rsidRDefault="001B6AFC" w:rsidP="00B407A6">
      <w:pPr>
        <w:pStyle w:val="FootnoteText"/>
        <w:ind w:left="720" w:hanging="720"/>
        <w:rPr>
          <w:rFonts w:ascii="Times New Roman" w:hAnsi="Times New Roman" w:cs="Times New Roman"/>
          <w:sz w:val="18"/>
          <w:szCs w:val="18"/>
        </w:rPr>
      </w:pPr>
      <w:r>
        <w:rPr>
          <w:rStyle w:val="FootnoteReference"/>
          <w:rFonts w:ascii="Times New Roman" w:hAnsi="Times New Roman" w:cs="Times New Roman"/>
          <w:sz w:val="18"/>
          <w:szCs w:val="18"/>
        </w:rPr>
        <w:footnoteRef/>
      </w:r>
      <w:r>
        <w:tab/>
      </w:r>
      <w:r>
        <w:rPr>
          <w:rFonts w:ascii="Times New Roman" w:hAnsi="Times New Roman"/>
          <w:sz w:val="18"/>
          <w:szCs w:val="18"/>
        </w:rPr>
        <w:t xml:space="preserve">CPRUP — Conférence des Présidents des Régions ultrapériphériques, </w:t>
      </w:r>
      <w:hyperlink r:id="rId9" w:history="1">
        <w:r>
          <w:rPr>
            <w:rStyle w:val="Hyperlink"/>
            <w:rFonts w:ascii="Times New Roman" w:hAnsi="Times New Roman"/>
            <w:sz w:val="18"/>
            <w:szCs w:val="18"/>
          </w:rPr>
          <w:t>Δήλωση της CPRUP του Νοεμβρίου του 2021 (ec.europa.eu)</w:t>
        </w:r>
      </w:hyperlink>
      <w:r>
        <w:rPr>
          <w:rFonts w:ascii="Times New Roman" w:hAnsi="Times New Roman"/>
          <w:sz w:val="18"/>
          <w:szCs w:val="18"/>
        </w:rPr>
        <w:t xml:space="preserve">· </w:t>
      </w:r>
      <w:hyperlink r:id="rId10" w:history="1">
        <w:r>
          <w:rPr>
            <w:rStyle w:val="Hyperlink"/>
            <w:rFonts w:ascii="Times New Roman" w:hAnsi="Times New Roman"/>
            <w:sz w:val="18"/>
            <w:szCs w:val="18"/>
          </w:rPr>
          <w:t>Παράρτημα της δήλωσης της CPRUP (ec.europa.eu)</w:t>
        </w:r>
      </w:hyperlink>
      <w:r>
        <w:t>.</w:t>
      </w:r>
    </w:p>
  </w:footnote>
  <w:footnote w:id="18">
    <w:p w:rsidR="001B6AFC" w:rsidRPr="00E24AB7" w:rsidRDefault="001B6AFC" w:rsidP="00A70648">
      <w:pPr>
        <w:pStyle w:val="FootnoteText"/>
        <w:ind w:left="709" w:hanging="709"/>
        <w:rPr>
          <w:rFonts w:ascii="Times New Roman" w:hAnsi="Times New Roman" w:cs="Times New Roman"/>
          <w:sz w:val="18"/>
          <w:szCs w:val="18"/>
        </w:rPr>
      </w:pPr>
      <w:r>
        <w:rPr>
          <w:rStyle w:val="FootnoteReference"/>
          <w:rFonts w:ascii="Times New Roman" w:hAnsi="Times New Roman" w:cs="Times New Roman"/>
          <w:sz w:val="18"/>
          <w:szCs w:val="18"/>
        </w:rPr>
        <w:footnoteRef/>
      </w:r>
      <w:r>
        <w:tab/>
      </w:r>
      <w:hyperlink r:id="rId11" w:history="1">
        <w:r>
          <w:rPr>
            <w:rStyle w:val="Hyperlink"/>
            <w:rFonts w:ascii="Times New Roman" w:hAnsi="Times New Roman"/>
            <w:sz w:val="18"/>
            <w:szCs w:val="18"/>
          </w:rPr>
          <w:t>Έγγραφο κοινής θέσης των κρατών μελών και των εξόχως απόκεντρων περιοχών του Ιανουαρίου του 2022 (outre-mer.gouv.fr)</w:t>
        </w:r>
      </w:hyperlink>
      <w:r>
        <w:rPr>
          <w:rFonts w:ascii="Times New Roman" w:hAnsi="Times New Roman"/>
          <w:sz w:val="18"/>
          <w:szCs w:val="18"/>
        </w:rPr>
        <w:t>.</w:t>
      </w:r>
    </w:p>
  </w:footnote>
  <w:footnote w:id="19">
    <w:p w:rsidR="001B6AFC" w:rsidRPr="00E24AB7" w:rsidRDefault="001B6AFC" w:rsidP="004936F9">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rPr>
          <w:rFonts w:ascii="Times New Roman" w:hAnsi="Times New Roman"/>
          <w:sz w:val="18"/>
          <w:szCs w:val="18"/>
        </w:rPr>
        <w:tab/>
        <w:t>Ψήφισμα του Ευρωπαϊκού Κοινοβουλίου (2020/2120(INI)).</w:t>
      </w:r>
    </w:p>
  </w:footnote>
  <w:footnote w:id="20">
    <w:p w:rsidR="001B6AFC" w:rsidRPr="00E24AB7" w:rsidRDefault="001B6AFC" w:rsidP="00A70648">
      <w:pPr>
        <w:pStyle w:val="FootnoteText"/>
        <w:ind w:left="709" w:hanging="709"/>
        <w:jc w:val="both"/>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tab/>
      </w:r>
      <w:hyperlink r:id="rId12" w:history="1">
        <w:r>
          <w:rPr>
            <w:rStyle w:val="Hyperlink"/>
            <w:rFonts w:ascii="Times New Roman" w:hAnsi="Times New Roman"/>
            <w:sz w:val="18"/>
            <w:szCs w:val="18"/>
          </w:rPr>
          <w:t>Μελέτη σχετικά με τον αντίκτυπο της νόσου COVID-19 στις εξόχως απόκεντρες περιοχές — Τελική έκθεση, Οκτώβριος 2021</w:t>
        </w:r>
      </w:hyperlink>
      <w:r>
        <w:rPr>
          <w:rStyle w:val="Hyperlink"/>
          <w:rFonts w:ascii="Times New Roman" w:hAnsi="Times New Roman"/>
          <w:sz w:val="18"/>
          <w:szCs w:val="18"/>
        </w:rPr>
        <w:t>.</w:t>
      </w:r>
    </w:p>
  </w:footnote>
  <w:footnote w:id="21">
    <w:p w:rsidR="001B6AFC" w:rsidRPr="00E24AB7" w:rsidRDefault="001B6AFC" w:rsidP="004936F9">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tab/>
      </w:r>
      <w:r>
        <w:rPr>
          <w:rFonts w:ascii="Times New Roman" w:hAnsi="Times New Roman"/>
          <w:sz w:val="18"/>
          <w:szCs w:val="18"/>
        </w:rPr>
        <w:t>Γνωμοδότηση της ΕτΠ αριθ. CDR 3319/2020· Γνωμοδότηση ECO/567 της ΕΟΚΕ.</w:t>
      </w:r>
    </w:p>
  </w:footnote>
  <w:footnote w:id="22">
    <w:p w:rsidR="001B6AFC" w:rsidRPr="00E24AB7" w:rsidRDefault="001B6AFC" w:rsidP="00A70648">
      <w:pPr>
        <w:pStyle w:val="FootnoteText"/>
        <w:ind w:left="709" w:hanging="709"/>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tab/>
      </w:r>
      <w:r>
        <w:rPr>
          <w:rFonts w:ascii="Times New Roman" w:hAnsi="Times New Roman"/>
          <w:sz w:val="18"/>
          <w:szCs w:val="18"/>
        </w:rPr>
        <w:t>Τα αριθμητικά στοιχεία αφορούν σύγκριση μεταξύ του τέταρτου τριμήνου του 2019 και του τέταρτου τριμήνου του 2020.</w:t>
      </w:r>
    </w:p>
  </w:footnote>
  <w:footnote w:id="23">
    <w:p w:rsidR="001B6AFC" w:rsidRPr="00E24AB7" w:rsidRDefault="001B6AFC" w:rsidP="00B407A6">
      <w:pPr>
        <w:pStyle w:val="FootnoteText"/>
        <w:ind w:left="720" w:hanging="720"/>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tab/>
      </w:r>
      <w:r>
        <w:rPr>
          <w:rFonts w:ascii="Times New Roman" w:hAnsi="Times New Roman"/>
          <w:sz w:val="18"/>
          <w:szCs w:val="18"/>
        </w:rPr>
        <w:t>Eurostat, κωδικός</w:t>
      </w:r>
      <w:r>
        <w:rPr>
          <w:rFonts w:ascii="Times New Roman" w:hAnsi="Times New Roman"/>
          <w:color w:val="000000" w:themeColor="text1"/>
          <w:sz w:val="18"/>
          <w:szCs w:val="18"/>
        </w:rPr>
        <w:t xml:space="preserve">: </w:t>
      </w:r>
      <w:hyperlink r:id="rId13" w:history="1">
        <w:r>
          <w:rPr>
            <w:rStyle w:val="Hyperlink"/>
            <w:rFonts w:ascii="Times New Roman" w:hAnsi="Times New Roman"/>
            <w:sz w:val="18"/>
            <w:szCs w:val="18"/>
          </w:rPr>
          <w:t>nama_10r_2gdp</w:t>
        </w:r>
      </w:hyperlink>
      <w:r>
        <w:rPr>
          <w:rFonts w:ascii="Times New Roman" w:hAnsi="Times New Roman"/>
          <w:color w:val="000000" w:themeColor="text1"/>
          <w:sz w:val="18"/>
          <w:szCs w:val="18"/>
        </w:rPr>
        <w:t xml:space="preserve">, </w:t>
      </w:r>
      <w:r>
        <w:rPr>
          <w:rFonts w:ascii="Times New Roman" w:hAnsi="Times New Roman"/>
          <w:sz w:val="18"/>
          <w:szCs w:val="18"/>
        </w:rPr>
        <w:t>Πρότυπο αγοραστικής δύναμης (PPS) ανά κάτοικο ως ποσοστό του μέσου όρου της ΕΕ-27 (από το 2020).</w:t>
      </w:r>
    </w:p>
  </w:footnote>
  <w:footnote w:id="24">
    <w:p w:rsidR="001B6AFC" w:rsidRPr="00E24AB7" w:rsidRDefault="001B6AFC" w:rsidP="00B407A6">
      <w:pPr>
        <w:pStyle w:val="FootnoteText"/>
        <w:ind w:left="720" w:hanging="720"/>
        <w:jc w:val="both"/>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tab/>
      </w:r>
      <w:r>
        <w:rPr>
          <w:rFonts w:ascii="Times New Roman" w:hAnsi="Times New Roman"/>
          <w:sz w:val="18"/>
          <w:szCs w:val="18"/>
        </w:rPr>
        <w:t>Συστάσεις του Συμβουλίου: Εθνικά προγράμματα μεταρρυθμίσεων της Γαλλίας (8429/20), της Ισπανίας (8428/20), της Πορτογαλίας (8441/20) για το 2020.</w:t>
      </w:r>
    </w:p>
  </w:footnote>
  <w:footnote w:id="25">
    <w:p w:rsidR="001B6AFC" w:rsidRPr="00E24AB7" w:rsidRDefault="001B6AFC">
      <w:pPr>
        <w:pStyle w:val="FootnoteText"/>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rPr>
          <w:rFonts w:ascii="Times New Roman" w:hAnsi="Times New Roman"/>
          <w:sz w:val="18"/>
          <w:szCs w:val="18"/>
        </w:rPr>
        <w:tab/>
        <w:t xml:space="preserve">Κανονισμός (ΕΕ) 2020/460· κανονισμός (ΕΕ) 2020/558. </w:t>
      </w:r>
    </w:p>
  </w:footnote>
  <w:footnote w:id="26">
    <w:p w:rsidR="001B6AFC" w:rsidRPr="00E24AB7" w:rsidRDefault="001B6AFC" w:rsidP="00EA67E8">
      <w:pPr>
        <w:pStyle w:val="FootnoteText"/>
        <w:ind w:left="709" w:hanging="709"/>
        <w:jc w:val="both"/>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tab/>
      </w:r>
      <w:hyperlink r:id="rId14" w:history="1">
        <w:r>
          <w:rPr>
            <w:rStyle w:val="Hyperlink"/>
            <w:rFonts w:ascii="Times New Roman" w:hAnsi="Times New Roman"/>
            <w:sz w:val="18"/>
            <w:szCs w:val="18"/>
          </w:rPr>
          <w:t>Πολιτική ανταγωνισμού — Προσωρινό πλαίσιο για τις κρατικές ενισχύσεις σε σχέση με την πανδημία COVID-19 (ec.europa.eu)</w:t>
        </w:r>
      </w:hyperlink>
      <w:r>
        <w:rPr>
          <w:rFonts w:ascii="Times New Roman" w:hAnsi="Times New Roman"/>
          <w:sz w:val="18"/>
          <w:szCs w:val="18"/>
        </w:rPr>
        <w:t>. Ανακοίνωση της Επιτροπής – «Προσωρινό πλαίσιο για τη λήψη μέτρων κρατικής ενίσχυσης με σκοπό να στηριχθεί η οικονομία κατά τη διάρκεια της τρέχουσας έξαρσης της νόσου COVID-19» (ΕΕ C 91Ι της 20.3.2020, σ. 1), όπως τροποποιήθηκε με τις ανακοινώσεις της Επιτροπής C(2020) 2215 (ΕΕ C 112Ι της 4.4.2020, σ. 1), C(2020) 3156 (ΕΕ C 164 της 13.5.2020, σ. 3), C(2020) 4509 (ΕΕ C 218 της 2.7.2020, σ. 3), C(2020) 7127 (ΕΕ C 340Ι της 13.10.2020, σ. 1), C(2021) 564 (ΕΕ C 34 της 1.2.2021, σ. 6) και C(2021) 8442 (ΕΕ C 473 της 24.11.2021, σ. 1).</w:t>
      </w:r>
    </w:p>
  </w:footnote>
  <w:footnote w:id="27">
    <w:p w:rsidR="001B6AFC" w:rsidRPr="001B6AFC" w:rsidRDefault="001B6AFC" w:rsidP="00261C1B">
      <w:pPr>
        <w:pStyle w:val="FootnoteText"/>
        <w:rPr>
          <w:rFonts w:ascii="Times New Roman" w:hAnsi="Times New Roman"/>
          <w:sz w:val="18"/>
        </w:rPr>
      </w:pPr>
      <w:r>
        <w:rPr>
          <w:rStyle w:val="FootnoteReference"/>
          <w:rFonts w:ascii="Times New Roman" w:hAnsi="Times New Roman" w:cs="Times New Roman"/>
          <w:sz w:val="18"/>
          <w:szCs w:val="18"/>
          <w:lang w:val="en-IE"/>
        </w:rPr>
        <w:footnoteRef/>
      </w:r>
      <w:r>
        <w:rPr>
          <w:rFonts w:ascii="Times New Roman" w:hAnsi="Times New Roman"/>
          <w:sz w:val="18"/>
        </w:rPr>
        <w:tab/>
        <w:t xml:space="preserve">Κανονισμός (ΕΕ) 2020/2221. </w:t>
      </w:r>
    </w:p>
  </w:footnote>
  <w:footnote w:id="28">
    <w:p w:rsidR="001B6AFC" w:rsidRPr="001B6AFC" w:rsidRDefault="001B6AFC">
      <w:pPr>
        <w:pStyle w:val="FootnoteText"/>
        <w:rPr>
          <w:rFonts w:ascii="Times New Roman" w:hAnsi="Times New Roman"/>
          <w:sz w:val="18"/>
        </w:rPr>
      </w:pPr>
      <w:r>
        <w:rPr>
          <w:rStyle w:val="FootnoteReference"/>
          <w:rFonts w:ascii="Times New Roman" w:hAnsi="Times New Roman" w:cs="Times New Roman"/>
          <w:sz w:val="18"/>
          <w:szCs w:val="18"/>
          <w:lang w:val="en-IE"/>
        </w:rPr>
        <w:footnoteRef/>
      </w:r>
      <w:r>
        <w:rPr>
          <w:rFonts w:ascii="Times New Roman" w:hAnsi="Times New Roman"/>
          <w:sz w:val="18"/>
        </w:rPr>
        <w:tab/>
        <w:t xml:space="preserve">Κανονισμός (ΕΕ) 2020/2094 του Συμβουλίου. </w:t>
      </w:r>
    </w:p>
  </w:footnote>
  <w:footnote w:id="29">
    <w:p w:rsidR="001B6AFC" w:rsidRPr="00E24AB7" w:rsidRDefault="001B6AFC" w:rsidP="00F43E17">
      <w:pPr>
        <w:pStyle w:val="FootnoteText"/>
        <w:ind w:left="720" w:hanging="720"/>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tab/>
      </w:r>
      <w:r>
        <w:rPr>
          <w:rFonts w:ascii="Times New Roman" w:hAnsi="Times New Roman"/>
          <w:sz w:val="18"/>
          <w:szCs w:val="18"/>
        </w:rPr>
        <w:t>Στη γνωμοδότηση της ΕτΠ αριθ. CDR 3319/2020 επισημαίνεται ότι η κρίση προκάλεσε σοβαρό πρόβλημα στη διανομή τροφίμων στις εξόχως απόκεντρες περιοχές.</w:t>
      </w:r>
    </w:p>
  </w:footnote>
  <w:footnote w:id="30">
    <w:p w:rsidR="001B6AFC" w:rsidRPr="00E24AB7" w:rsidRDefault="001B6AFC" w:rsidP="00B407A6">
      <w:pPr>
        <w:pStyle w:val="FootnoteText"/>
        <w:ind w:left="720" w:hanging="720"/>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tab/>
      </w:r>
      <w:hyperlink r:id="rId15" w:history="1">
        <w:r>
          <w:rPr>
            <w:rStyle w:val="Hyperlink"/>
            <w:rFonts w:ascii="Times New Roman" w:hAnsi="Times New Roman"/>
            <w:sz w:val="18"/>
            <w:szCs w:val="18"/>
          </w:rPr>
          <w:t>Κοινωνική σύνοδος κορυφής του Πόρτο — Κοινωνική δέσμευση του Πόρτο (2021portugal.eu)</w:t>
        </w:r>
      </w:hyperlink>
      <w:r>
        <w:rPr>
          <w:rFonts w:ascii="Times New Roman" w:hAnsi="Times New Roman"/>
          <w:sz w:val="18"/>
          <w:szCs w:val="18"/>
        </w:rPr>
        <w:t xml:space="preserve">: έως το 2030 τουλάχιστον το 78 % των ατόμων ηλικίας 20 έως 64 ετών θα πρέπει να εργάζεται· τουλάχιστον το 60 % των ενηλίκων θα πρέπει να συμμετέχει ετησίως σε κατάρτιση· τουλάχιστον 15 εκατομμύρια λιγότερα άτομα να αντιμετωπίζουν κίνδυνο φτώχειας. </w:t>
      </w:r>
    </w:p>
  </w:footnote>
  <w:footnote w:id="31">
    <w:p w:rsidR="001B6AFC" w:rsidRPr="00E24AB7" w:rsidRDefault="001B6AFC" w:rsidP="004936F9">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tab/>
      </w:r>
      <w:r>
        <w:rPr>
          <w:rFonts w:ascii="Times New Roman" w:hAnsi="Times New Roman"/>
          <w:sz w:val="18"/>
          <w:szCs w:val="18"/>
        </w:rPr>
        <w:t xml:space="preserve">Eurostat, κωδικός: </w:t>
      </w:r>
      <w:hyperlink r:id="rId16" w:history="1">
        <w:r>
          <w:rPr>
            <w:rStyle w:val="Hyperlink"/>
            <w:rFonts w:ascii="Times New Roman" w:hAnsi="Times New Roman"/>
            <w:sz w:val="18"/>
            <w:szCs w:val="18"/>
          </w:rPr>
          <w:t>ilc_peps11</w:t>
        </w:r>
      </w:hyperlink>
      <w:r>
        <w:rPr>
          <w:rFonts w:ascii="Times New Roman" w:hAnsi="Times New Roman"/>
          <w:sz w:val="18"/>
          <w:szCs w:val="18"/>
        </w:rPr>
        <w:t>, μέσοι όροι: Πορτογαλία 17,2 και Ισπανία 20,7.</w:t>
      </w:r>
    </w:p>
  </w:footnote>
  <w:footnote w:id="32">
    <w:p w:rsidR="001B6AFC" w:rsidRPr="00A70648" w:rsidRDefault="001B6AFC" w:rsidP="004936F9">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lang w:val="en-IE"/>
        </w:rPr>
        <w:footnoteRef/>
      </w:r>
      <w:r w:rsidRPr="00A70648">
        <w:rPr>
          <w:lang w:val="fr-BE"/>
        </w:rPr>
        <w:tab/>
      </w:r>
      <w:r w:rsidRPr="00A70648">
        <w:rPr>
          <w:rFonts w:ascii="Times New Roman" w:hAnsi="Times New Roman"/>
          <w:sz w:val="18"/>
          <w:szCs w:val="18"/>
          <w:lang w:val="fr-BE"/>
        </w:rPr>
        <w:t xml:space="preserve">INSEE </w:t>
      </w:r>
      <w:hyperlink r:id="rId17" w:anchor=":~:text=En%202017%2C%20134%20800%20Guadeloup%C3%A9ens,de%20moins%20de%20quatorze%20ans" w:history="1">
        <w:r w:rsidRPr="00A70648">
          <w:rPr>
            <w:rStyle w:val="Hyperlink"/>
            <w:rFonts w:ascii="Times New Roman" w:hAnsi="Times New Roman"/>
            <w:sz w:val="18"/>
            <w:szCs w:val="18"/>
            <w:lang w:val="fr-BE"/>
          </w:rPr>
          <w:t>Analyses Guadeloupe No 43</w:t>
        </w:r>
      </w:hyperlink>
      <w:r w:rsidRPr="00A70648">
        <w:rPr>
          <w:rFonts w:ascii="Times New Roman" w:hAnsi="Times New Roman"/>
          <w:sz w:val="18"/>
          <w:szCs w:val="18"/>
          <w:lang w:val="fr-BE"/>
        </w:rPr>
        <w:t>, 2020.</w:t>
      </w:r>
    </w:p>
  </w:footnote>
  <w:footnote w:id="33">
    <w:p w:rsidR="001B6AFC" w:rsidRPr="00A70648" w:rsidRDefault="001B6AFC" w:rsidP="004936F9">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lang w:val="en-IE"/>
        </w:rPr>
        <w:footnoteRef/>
      </w:r>
      <w:r w:rsidRPr="00A70648">
        <w:rPr>
          <w:lang w:val="fr-BE"/>
        </w:rPr>
        <w:tab/>
      </w:r>
      <w:r w:rsidRPr="00A70648">
        <w:rPr>
          <w:rFonts w:ascii="Times New Roman" w:hAnsi="Times New Roman"/>
          <w:sz w:val="18"/>
          <w:szCs w:val="18"/>
          <w:lang w:val="fr-BE"/>
        </w:rPr>
        <w:t xml:space="preserve">INSEE </w:t>
      </w:r>
      <w:hyperlink r:id="rId18" w:history="1">
        <w:r w:rsidRPr="00A70648">
          <w:rPr>
            <w:rStyle w:val="Hyperlink"/>
            <w:rFonts w:ascii="Times New Roman" w:hAnsi="Times New Roman"/>
            <w:sz w:val="18"/>
            <w:szCs w:val="18"/>
            <w:lang w:val="fr-BE"/>
          </w:rPr>
          <w:t>Niveaux de vie et pauvreté à La Réunion en 2017</w:t>
        </w:r>
      </w:hyperlink>
      <w:r w:rsidRPr="00A70648">
        <w:rPr>
          <w:rStyle w:val="Hyperlink"/>
          <w:rFonts w:ascii="Times New Roman" w:hAnsi="Times New Roman"/>
          <w:sz w:val="18"/>
          <w:szCs w:val="18"/>
          <w:lang w:val="fr-BE"/>
        </w:rPr>
        <w:t xml:space="preserve"> No 169</w:t>
      </w:r>
      <w:r w:rsidRPr="00A70648">
        <w:rPr>
          <w:rFonts w:ascii="Times New Roman" w:hAnsi="Times New Roman"/>
          <w:sz w:val="18"/>
          <w:szCs w:val="18"/>
          <w:lang w:val="fr-BE"/>
        </w:rPr>
        <w:t>, 2020.</w:t>
      </w:r>
    </w:p>
  </w:footnote>
  <w:footnote w:id="34">
    <w:p w:rsidR="001B6AFC" w:rsidRPr="00A70648" w:rsidRDefault="001B6AFC" w:rsidP="004936F9">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lang w:val="en-IE"/>
        </w:rPr>
        <w:footnoteRef/>
      </w:r>
      <w:r w:rsidRPr="00A70648">
        <w:rPr>
          <w:lang w:val="fr-BE"/>
        </w:rPr>
        <w:tab/>
      </w:r>
      <w:r w:rsidRPr="00A70648">
        <w:rPr>
          <w:rFonts w:ascii="Times New Roman" w:hAnsi="Times New Roman"/>
          <w:color w:val="000000"/>
          <w:sz w:val="18"/>
          <w:szCs w:val="18"/>
          <w:lang w:val="fr-BE"/>
        </w:rPr>
        <w:t xml:space="preserve">INSEE </w:t>
      </w:r>
      <w:hyperlink r:id="rId19" w:history="1">
        <w:r w:rsidRPr="00A70648">
          <w:rPr>
            <w:rStyle w:val="Hyperlink"/>
            <w:rFonts w:ascii="Times New Roman" w:hAnsi="Times New Roman"/>
            <w:sz w:val="18"/>
            <w:szCs w:val="18"/>
            <w:lang w:val="fr-BE"/>
          </w:rPr>
          <w:t>Première No 1804</w:t>
        </w:r>
      </w:hyperlink>
      <w:r w:rsidRPr="00A70648">
        <w:rPr>
          <w:rFonts w:ascii="Times New Roman" w:hAnsi="Times New Roman"/>
          <w:color w:val="000000"/>
          <w:sz w:val="18"/>
          <w:szCs w:val="18"/>
          <w:lang w:val="fr-BE"/>
        </w:rPr>
        <w:t>, 2020.</w:t>
      </w:r>
    </w:p>
  </w:footnote>
  <w:footnote w:id="35">
    <w:p w:rsidR="001B6AFC" w:rsidRPr="00A70648" w:rsidRDefault="001B6AFC">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lang w:val="en-IE"/>
        </w:rPr>
        <w:footnoteRef/>
      </w:r>
      <w:r w:rsidRPr="00A70648">
        <w:rPr>
          <w:rFonts w:ascii="Times New Roman" w:hAnsi="Times New Roman"/>
          <w:sz w:val="18"/>
          <w:szCs w:val="18"/>
          <w:lang w:val="fr-BE"/>
        </w:rPr>
        <w:tab/>
        <w:t xml:space="preserve">Eurostat, </w:t>
      </w:r>
      <w:r>
        <w:rPr>
          <w:rFonts w:ascii="Times New Roman" w:hAnsi="Times New Roman"/>
          <w:sz w:val="18"/>
          <w:szCs w:val="18"/>
        </w:rPr>
        <w:t>κωδικός</w:t>
      </w:r>
      <w:r w:rsidRPr="00A70648">
        <w:rPr>
          <w:rFonts w:ascii="Times New Roman" w:hAnsi="Times New Roman"/>
          <w:sz w:val="18"/>
          <w:szCs w:val="18"/>
          <w:lang w:val="fr-BE"/>
        </w:rPr>
        <w:t xml:space="preserve">: </w:t>
      </w:r>
      <w:hyperlink r:id="rId20" w:history="1">
        <w:r w:rsidRPr="00A70648">
          <w:rPr>
            <w:rStyle w:val="Hyperlink"/>
            <w:rFonts w:ascii="Times New Roman" w:hAnsi="Times New Roman"/>
            <w:sz w:val="18"/>
            <w:szCs w:val="18"/>
            <w:lang w:val="fr-BE"/>
          </w:rPr>
          <w:t>LFST_R_LFE2EMPRTN</w:t>
        </w:r>
      </w:hyperlink>
      <w:r w:rsidRPr="00A70648">
        <w:rPr>
          <w:rFonts w:ascii="Times New Roman" w:hAnsi="Times New Roman"/>
          <w:sz w:val="18"/>
          <w:szCs w:val="18"/>
          <w:lang w:val="fr-BE"/>
        </w:rPr>
        <w:t>.</w:t>
      </w:r>
    </w:p>
  </w:footnote>
  <w:footnote w:id="36">
    <w:p w:rsidR="001B6AFC" w:rsidRPr="00A70648" w:rsidRDefault="001B6AFC" w:rsidP="004936F9">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lang w:val="en-IE"/>
        </w:rPr>
        <w:footnoteRef/>
      </w:r>
      <w:r w:rsidRPr="00A70648">
        <w:rPr>
          <w:rFonts w:ascii="Times New Roman" w:hAnsi="Times New Roman"/>
          <w:sz w:val="18"/>
          <w:szCs w:val="18"/>
          <w:lang w:val="fr-BE"/>
        </w:rPr>
        <w:tab/>
        <w:t xml:space="preserve">Eurostat, </w:t>
      </w:r>
      <w:r>
        <w:rPr>
          <w:rFonts w:ascii="Times New Roman" w:hAnsi="Times New Roman"/>
          <w:sz w:val="18"/>
          <w:szCs w:val="18"/>
        </w:rPr>
        <w:t>κωδικός</w:t>
      </w:r>
      <w:r w:rsidRPr="00A70648">
        <w:rPr>
          <w:rFonts w:ascii="Times New Roman" w:hAnsi="Times New Roman"/>
          <w:sz w:val="18"/>
          <w:szCs w:val="18"/>
          <w:lang w:val="fr-BE"/>
        </w:rPr>
        <w:t xml:space="preserve">: </w:t>
      </w:r>
      <w:hyperlink r:id="rId21" w:history="1">
        <w:r w:rsidRPr="00A70648">
          <w:rPr>
            <w:rStyle w:val="Hyperlink"/>
            <w:rFonts w:ascii="Times New Roman" w:hAnsi="Times New Roman"/>
            <w:sz w:val="18"/>
            <w:szCs w:val="18"/>
            <w:lang w:val="fr-BE"/>
          </w:rPr>
          <w:t>LFST_R_LFU3RT</w:t>
        </w:r>
      </w:hyperlink>
      <w:r w:rsidRPr="00A70648">
        <w:rPr>
          <w:rFonts w:ascii="Times New Roman" w:hAnsi="Times New Roman"/>
          <w:sz w:val="18"/>
          <w:szCs w:val="18"/>
          <w:lang w:val="fr-BE"/>
        </w:rPr>
        <w:t>, 2020.</w:t>
      </w:r>
    </w:p>
  </w:footnote>
  <w:footnote w:id="37">
    <w:p w:rsidR="001B6AFC" w:rsidRPr="00A70648" w:rsidRDefault="001B6AFC">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lang w:val="en-IE"/>
        </w:rPr>
        <w:footnoteRef/>
      </w:r>
      <w:r w:rsidRPr="00A70648">
        <w:rPr>
          <w:lang w:val="en-US"/>
        </w:rPr>
        <w:tab/>
      </w:r>
      <w:r w:rsidRPr="00A70648">
        <w:rPr>
          <w:rFonts w:ascii="Times New Roman" w:hAnsi="Times New Roman"/>
          <w:sz w:val="18"/>
          <w:szCs w:val="18"/>
          <w:lang w:val="en-US"/>
        </w:rPr>
        <w:t>COM(2022) 105 final.</w:t>
      </w:r>
    </w:p>
  </w:footnote>
  <w:footnote w:id="38">
    <w:p w:rsidR="001B6AFC" w:rsidRPr="00A70648" w:rsidRDefault="001B6AFC" w:rsidP="00703DE1">
      <w:pPr>
        <w:pStyle w:val="FootnoteText"/>
        <w:jc w:val="both"/>
        <w:rPr>
          <w:rFonts w:ascii="Times New Roman" w:hAnsi="Times New Roman" w:cs="Times New Roman"/>
          <w:sz w:val="18"/>
          <w:szCs w:val="18"/>
          <w:lang w:val="en-US"/>
        </w:rPr>
      </w:pPr>
      <w:r>
        <w:rPr>
          <w:rStyle w:val="FootnoteReference"/>
          <w:rFonts w:ascii="Times New Roman" w:hAnsi="Times New Roman" w:cs="Times New Roman"/>
          <w:sz w:val="18"/>
          <w:szCs w:val="18"/>
          <w:lang w:val="en-IE"/>
        </w:rPr>
        <w:footnoteRef/>
      </w:r>
      <w:r w:rsidRPr="00A70648">
        <w:rPr>
          <w:lang w:val="en-US"/>
        </w:rPr>
        <w:tab/>
      </w:r>
      <w:r w:rsidRPr="00A70648">
        <w:rPr>
          <w:rFonts w:ascii="Times New Roman" w:hAnsi="Times New Roman"/>
          <w:sz w:val="18"/>
          <w:szCs w:val="18"/>
          <w:lang w:val="en-US"/>
        </w:rPr>
        <w:t>COM(2020) 152 final.</w:t>
      </w:r>
    </w:p>
  </w:footnote>
  <w:footnote w:id="39">
    <w:p w:rsidR="001B6AFC" w:rsidRPr="00A70648" w:rsidRDefault="001B6AFC">
      <w:pPr>
        <w:pStyle w:val="FootnoteText"/>
        <w:rPr>
          <w:rFonts w:ascii="Times New Roman" w:hAnsi="Times New Roman"/>
          <w:sz w:val="18"/>
          <w:lang w:val="en-US"/>
        </w:rPr>
      </w:pPr>
      <w:r>
        <w:rPr>
          <w:rStyle w:val="FootnoteReference"/>
          <w:rFonts w:ascii="Times New Roman" w:hAnsi="Times New Roman" w:cs="Times New Roman"/>
          <w:sz w:val="18"/>
          <w:szCs w:val="18"/>
          <w:lang w:val="en-IE"/>
        </w:rPr>
        <w:footnoteRef/>
      </w:r>
      <w:r w:rsidRPr="00A70648">
        <w:rPr>
          <w:rFonts w:ascii="Times New Roman" w:hAnsi="Times New Roman"/>
          <w:sz w:val="18"/>
          <w:lang w:val="en-US"/>
        </w:rPr>
        <w:tab/>
        <w:t>COM(2021) 142 final.</w:t>
      </w:r>
    </w:p>
  </w:footnote>
  <w:footnote w:id="40">
    <w:p w:rsidR="001B6AFC" w:rsidRPr="0097738E" w:rsidRDefault="001B6AFC">
      <w:pPr>
        <w:pStyle w:val="FootnoteText"/>
        <w:rPr>
          <w:rFonts w:ascii="Times New Roman" w:hAnsi="Times New Roman"/>
          <w:sz w:val="18"/>
        </w:rPr>
      </w:pPr>
      <w:r>
        <w:rPr>
          <w:rStyle w:val="FootnoteReference"/>
          <w:rFonts w:ascii="Times New Roman" w:hAnsi="Times New Roman" w:cs="Times New Roman"/>
          <w:sz w:val="18"/>
          <w:szCs w:val="18"/>
          <w:lang w:val="en-IE"/>
        </w:rPr>
        <w:footnoteRef/>
      </w:r>
      <w:r>
        <w:rPr>
          <w:rFonts w:ascii="Times New Roman" w:hAnsi="Times New Roman"/>
          <w:sz w:val="18"/>
        </w:rPr>
        <w:tab/>
        <w:t xml:space="preserve">Σύσταση (ΕΕ) 2021/1004 του Συμβουλίου. </w:t>
      </w:r>
    </w:p>
  </w:footnote>
  <w:footnote w:id="41">
    <w:p w:rsidR="001B6AFC" w:rsidRPr="0097738E" w:rsidRDefault="001B6AFC" w:rsidP="004C165B">
      <w:pPr>
        <w:pStyle w:val="FootnoteText"/>
        <w:jc w:val="both"/>
        <w:rPr>
          <w:rFonts w:ascii="Times New Roman" w:hAnsi="Times New Roman"/>
          <w:sz w:val="18"/>
        </w:rPr>
      </w:pPr>
      <w:r>
        <w:rPr>
          <w:rStyle w:val="FootnoteReference"/>
          <w:rFonts w:ascii="Times New Roman" w:hAnsi="Times New Roman" w:cs="Times New Roman"/>
          <w:sz w:val="18"/>
          <w:szCs w:val="18"/>
          <w:lang w:val="en-IE"/>
        </w:rPr>
        <w:footnoteRef/>
      </w:r>
      <w:r>
        <w:rPr>
          <w:rFonts w:ascii="Times New Roman" w:hAnsi="Times New Roman"/>
          <w:sz w:val="18"/>
        </w:rPr>
        <w:tab/>
        <w:t xml:space="preserve">COM(2022) 105 final.  </w:t>
      </w:r>
    </w:p>
  </w:footnote>
  <w:footnote w:id="42">
    <w:p w:rsidR="001B6AFC" w:rsidRPr="00E24AB7" w:rsidRDefault="001B6AFC" w:rsidP="007212BD">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tab/>
      </w:r>
      <w:hyperlink r:id="rId22" w:history="1">
        <w:r>
          <w:rPr>
            <w:rStyle w:val="Hyperlink"/>
            <w:rFonts w:ascii="Times New Roman" w:hAnsi="Times New Roman"/>
            <w:sz w:val="18"/>
            <w:szCs w:val="18"/>
          </w:rPr>
          <w:t>France Info με βάση στοιχεία του INSEE</w:t>
        </w:r>
      </w:hyperlink>
      <w:r>
        <w:t>.</w:t>
      </w:r>
      <w:r>
        <w:rPr>
          <w:rFonts w:ascii="Times New Roman" w:hAnsi="Times New Roman"/>
          <w:color w:val="000000"/>
          <w:sz w:val="18"/>
          <w:szCs w:val="18"/>
        </w:rPr>
        <w:t xml:space="preserve"> </w:t>
      </w:r>
    </w:p>
  </w:footnote>
  <w:footnote w:id="43">
    <w:p w:rsidR="001B6AFC" w:rsidRPr="00A70648" w:rsidRDefault="001B6AFC" w:rsidP="004936F9">
      <w:pPr>
        <w:pStyle w:val="FootnoteText"/>
        <w:jc w:val="both"/>
        <w:rPr>
          <w:rFonts w:ascii="Times New Roman" w:hAnsi="Times New Roman" w:cs="Times New Roman"/>
          <w:sz w:val="18"/>
          <w:szCs w:val="18"/>
          <w:lang w:val="en-US"/>
        </w:rPr>
      </w:pPr>
      <w:r>
        <w:rPr>
          <w:rStyle w:val="FootnoteReference"/>
          <w:rFonts w:ascii="Times New Roman" w:hAnsi="Times New Roman" w:cs="Times New Roman"/>
          <w:sz w:val="18"/>
          <w:szCs w:val="18"/>
          <w:lang w:val="en-IE"/>
        </w:rPr>
        <w:footnoteRef/>
      </w:r>
      <w:r w:rsidRPr="00A70648">
        <w:rPr>
          <w:lang w:val="en-US"/>
        </w:rPr>
        <w:tab/>
      </w:r>
      <w:r w:rsidRPr="00A70648">
        <w:rPr>
          <w:rFonts w:ascii="Times New Roman" w:hAnsi="Times New Roman"/>
          <w:sz w:val="18"/>
          <w:szCs w:val="18"/>
          <w:lang w:val="en-US"/>
        </w:rPr>
        <w:t xml:space="preserve">INSEE </w:t>
      </w:r>
      <w:hyperlink r:id="rId23" w:history="1">
        <w:r w:rsidRPr="00A70648">
          <w:rPr>
            <w:rStyle w:val="Hyperlink"/>
            <w:rFonts w:ascii="Times New Roman" w:hAnsi="Times New Roman"/>
            <w:sz w:val="18"/>
            <w:szCs w:val="18"/>
            <w:lang w:val="en-US"/>
          </w:rPr>
          <w:t>Analyses Mayotte No 18</w:t>
        </w:r>
      </w:hyperlink>
      <w:r w:rsidRPr="00A70648">
        <w:rPr>
          <w:rFonts w:ascii="Times New Roman" w:hAnsi="Times New Roman"/>
          <w:sz w:val="18"/>
          <w:szCs w:val="18"/>
          <w:lang w:val="en-US"/>
        </w:rPr>
        <w:t xml:space="preserve">, 2019. </w:t>
      </w:r>
    </w:p>
  </w:footnote>
  <w:footnote w:id="44">
    <w:p w:rsidR="001B6AFC" w:rsidRPr="00A70648" w:rsidRDefault="001B6AFC" w:rsidP="004936F9">
      <w:pPr>
        <w:pStyle w:val="FootnoteText"/>
        <w:jc w:val="both"/>
        <w:rPr>
          <w:rFonts w:ascii="Times New Roman" w:hAnsi="Times New Roman" w:cs="Times New Roman"/>
          <w:sz w:val="18"/>
          <w:szCs w:val="18"/>
          <w:lang w:val="en-US"/>
        </w:rPr>
      </w:pPr>
      <w:r>
        <w:rPr>
          <w:rStyle w:val="FootnoteReference"/>
          <w:rFonts w:ascii="Times New Roman" w:hAnsi="Times New Roman" w:cs="Times New Roman"/>
          <w:sz w:val="18"/>
          <w:szCs w:val="18"/>
          <w:lang w:val="en-IE"/>
        </w:rPr>
        <w:footnoteRef/>
      </w:r>
      <w:r w:rsidRPr="00A70648">
        <w:rPr>
          <w:lang w:val="en-US"/>
        </w:rPr>
        <w:tab/>
      </w:r>
      <w:r w:rsidRPr="00A70648">
        <w:rPr>
          <w:rFonts w:ascii="Times New Roman" w:hAnsi="Times New Roman"/>
          <w:sz w:val="18"/>
          <w:szCs w:val="18"/>
          <w:lang w:val="en-US"/>
        </w:rPr>
        <w:t xml:space="preserve">INSEE </w:t>
      </w:r>
      <w:hyperlink r:id="rId24" w:history="1">
        <w:r w:rsidRPr="00A70648">
          <w:rPr>
            <w:rStyle w:val="Hyperlink"/>
            <w:rFonts w:ascii="Times New Roman" w:hAnsi="Times New Roman"/>
            <w:sz w:val="18"/>
            <w:szCs w:val="18"/>
            <w:lang w:val="en-US"/>
          </w:rPr>
          <w:t>Dossier Guyane No 10</w:t>
        </w:r>
      </w:hyperlink>
      <w:r w:rsidRPr="00A70648">
        <w:rPr>
          <w:rFonts w:ascii="Times New Roman" w:hAnsi="Times New Roman"/>
          <w:sz w:val="18"/>
          <w:szCs w:val="18"/>
          <w:lang w:val="en-US"/>
        </w:rPr>
        <w:t>, 2020.</w:t>
      </w:r>
    </w:p>
  </w:footnote>
  <w:footnote w:id="45">
    <w:p w:rsidR="001B6AFC" w:rsidRPr="00A70648" w:rsidRDefault="001B6AFC" w:rsidP="00B407A6">
      <w:pPr>
        <w:pStyle w:val="FootnoteText"/>
        <w:ind w:left="720" w:hanging="720"/>
        <w:rPr>
          <w:rFonts w:ascii="Times New Roman" w:hAnsi="Times New Roman" w:cs="Times New Roman"/>
          <w:sz w:val="18"/>
          <w:szCs w:val="18"/>
          <w:lang w:val="fr-BE"/>
        </w:rPr>
      </w:pPr>
      <w:r>
        <w:rPr>
          <w:rStyle w:val="FootnoteReference"/>
          <w:rFonts w:ascii="Times New Roman" w:hAnsi="Times New Roman" w:cs="Times New Roman"/>
          <w:sz w:val="18"/>
          <w:szCs w:val="18"/>
          <w:lang w:val="en-IE"/>
        </w:rPr>
        <w:footnoteRef/>
      </w:r>
      <w:r>
        <w:tab/>
      </w:r>
      <w:r>
        <w:rPr>
          <w:rFonts w:ascii="Times New Roman" w:hAnsi="Times New Roman"/>
          <w:color w:val="000000"/>
          <w:sz w:val="18"/>
          <w:szCs w:val="18"/>
        </w:rPr>
        <w:t xml:space="preserve">Το 2019 το 63 % των μέσων απωλειών νερού στη Γουαδελούπη οφειλόταν σε προβλήματα υποδομών. Τα 2/3 των εγκαταστάσεων επεξεργασίας λυμάτων δεν βρίσκονται σε ικανοποιητική κατάσταση. </w:t>
      </w:r>
      <w:hyperlink r:id="rId25" w:history="1">
        <w:r w:rsidRPr="00A70648">
          <w:rPr>
            <w:rStyle w:val="Hyperlink"/>
            <w:rFonts w:ascii="Times New Roman" w:hAnsi="Times New Roman"/>
            <w:sz w:val="18"/>
            <w:szCs w:val="18"/>
            <w:lang w:val="fr-BE"/>
          </w:rPr>
          <w:t>Eau et assainissement - Rapport chiffres clés (guadeloupe.developpement-durable.gouv.fr)</w:t>
        </w:r>
      </w:hyperlink>
      <w:r w:rsidRPr="00A70648">
        <w:rPr>
          <w:rFonts w:ascii="Times New Roman" w:hAnsi="Times New Roman"/>
          <w:color w:val="000000"/>
          <w:sz w:val="18"/>
          <w:szCs w:val="18"/>
          <w:lang w:val="fr-BE"/>
        </w:rPr>
        <w:t>.</w:t>
      </w:r>
    </w:p>
  </w:footnote>
  <w:footnote w:id="46">
    <w:p w:rsidR="001B6AFC" w:rsidRPr="00E24AB7" w:rsidRDefault="001B6AFC">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tab/>
      </w:r>
      <w:r>
        <w:rPr>
          <w:rFonts w:ascii="Times New Roman" w:hAnsi="Times New Roman"/>
          <w:sz w:val="18"/>
          <w:szCs w:val="18"/>
        </w:rPr>
        <w:t>Το ΤΣ στηρίζει τις πορτογαλικές εξόχως απόκεντρες περιοχές</w:t>
      </w:r>
      <w:r>
        <w:t>.</w:t>
      </w:r>
    </w:p>
  </w:footnote>
  <w:footnote w:id="47">
    <w:p w:rsidR="001B6AFC" w:rsidRPr="00E24AB7" w:rsidRDefault="001B6AFC">
      <w:pPr>
        <w:pStyle w:val="FootnoteText"/>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rPr>
          <w:rFonts w:ascii="Times New Roman" w:hAnsi="Times New Roman"/>
          <w:sz w:val="18"/>
          <w:szCs w:val="18"/>
        </w:rPr>
        <w:tab/>
        <w:t>Κανονισμός (ΕΕ) 2021/1153.</w:t>
      </w:r>
    </w:p>
  </w:footnote>
  <w:footnote w:id="48">
    <w:p w:rsidR="001B6AFC" w:rsidRPr="00E24AB7" w:rsidRDefault="001B6AFC" w:rsidP="00B407A6">
      <w:pPr>
        <w:pStyle w:val="FootnoteText"/>
        <w:ind w:left="720" w:hanging="720"/>
        <w:jc w:val="both"/>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rPr>
          <w:rFonts w:ascii="Times New Roman" w:hAnsi="Times New Roman"/>
          <w:sz w:val="18"/>
          <w:szCs w:val="18"/>
        </w:rPr>
        <w:tab/>
        <w:t xml:space="preserve">Eurostat, κωδικός: </w:t>
      </w:r>
      <w:hyperlink r:id="rId26" w:history="1">
        <w:r>
          <w:rPr>
            <w:rStyle w:val="Hyperlink"/>
            <w:rFonts w:ascii="Times New Roman" w:hAnsi="Times New Roman"/>
            <w:sz w:val="18"/>
            <w:szCs w:val="18"/>
          </w:rPr>
          <w:t>HLTH_RS_PRSRG</w:t>
        </w:r>
      </w:hyperlink>
      <w:r>
        <w:rPr>
          <w:rFonts w:ascii="Times New Roman" w:hAnsi="Times New Roman"/>
          <w:sz w:val="18"/>
          <w:szCs w:val="18"/>
        </w:rPr>
        <w:t xml:space="preserve"> — Το Μαγιότ διαθέτει 81 ιατρούς ανά 100 000 άτομα, και η Γαλλική Γουιάνα 219, ενώ ο μέσος όρος της ΕΕ είναι 391. </w:t>
      </w:r>
    </w:p>
  </w:footnote>
  <w:footnote w:id="49">
    <w:p w:rsidR="001B6AFC" w:rsidRPr="00E24AB7" w:rsidRDefault="001B6AFC" w:rsidP="00B407A6">
      <w:pPr>
        <w:pStyle w:val="FootnoteText"/>
        <w:ind w:left="720" w:hanging="72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tab/>
      </w:r>
      <w:r>
        <w:rPr>
          <w:rFonts w:ascii="Times New Roman" w:hAnsi="Times New Roman"/>
          <w:sz w:val="18"/>
          <w:szCs w:val="18"/>
        </w:rPr>
        <w:t xml:space="preserve">Eurostat, κωδικός: </w:t>
      </w:r>
      <w:hyperlink r:id="rId27" w:history="1">
        <w:r>
          <w:rPr>
            <w:rStyle w:val="Hyperlink"/>
            <w:rFonts w:ascii="Times New Roman" w:hAnsi="Times New Roman"/>
            <w:sz w:val="18"/>
            <w:szCs w:val="18"/>
          </w:rPr>
          <w:t>DEMO_R_MLIFEXP</w:t>
        </w:r>
      </w:hyperlink>
      <w:r>
        <w:rPr>
          <w:rFonts w:ascii="Times New Roman" w:hAnsi="Times New Roman"/>
          <w:sz w:val="18"/>
          <w:szCs w:val="18"/>
        </w:rPr>
        <w:t>, Το προσδόκιμο ζωής στις Αζόρες και τη Μαδέρα είναι 78,8 έτη, ο μέσος όρος στην Πορτογαλία είναι 81,9.</w:t>
      </w:r>
    </w:p>
  </w:footnote>
  <w:footnote w:id="50">
    <w:p w:rsidR="001B6AFC" w:rsidRPr="00E24AB7" w:rsidRDefault="001B6AFC" w:rsidP="00B407A6">
      <w:pPr>
        <w:pStyle w:val="FootnoteText"/>
        <w:ind w:left="720" w:hanging="720"/>
        <w:jc w:val="both"/>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rPr>
          <w:rFonts w:ascii="Times New Roman" w:hAnsi="Times New Roman"/>
          <w:sz w:val="18"/>
          <w:szCs w:val="18"/>
        </w:rPr>
        <w:tab/>
        <w:t xml:space="preserve">Eurostat, κωδικός: </w:t>
      </w:r>
      <w:hyperlink r:id="rId28" w:history="1">
        <w:r>
          <w:rPr>
            <w:rStyle w:val="Hyperlink"/>
            <w:rFonts w:ascii="Times New Roman" w:hAnsi="Times New Roman"/>
            <w:sz w:val="18"/>
            <w:szCs w:val="18"/>
          </w:rPr>
          <w:t>DEMO_R_MINFIND</w:t>
        </w:r>
      </w:hyperlink>
      <w:r>
        <w:rPr>
          <w:rFonts w:ascii="Times New Roman" w:hAnsi="Times New Roman"/>
          <w:sz w:val="18"/>
          <w:szCs w:val="18"/>
        </w:rPr>
        <w:t xml:space="preserve">, Η βρεφική θνησιμότητα είναι σχεδόν τριπλάσια του μέσου όρου της ΕΕ στη Γαλλική Γουιάνα (9,7, μέσος όρος ΕΕ 3,4). </w:t>
      </w:r>
    </w:p>
  </w:footnote>
  <w:footnote w:id="51">
    <w:p w:rsidR="001B6AFC" w:rsidRPr="00E24AB7" w:rsidRDefault="001B6AFC" w:rsidP="00B407A6">
      <w:pPr>
        <w:pStyle w:val="FootnoteText"/>
        <w:ind w:left="720" w:hanging="720"/>
        <w:jc w:val="both"/>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tab/>
      </w:r>
      <w:r>
        <w:rPr>
          <w:rFonts w:ascii="Times New Roman" w:hAnsi="Times New Roman"/>
          <w:sz w:val="18"/>
          <w:szCs w:val="18"/>
        </w:rPr>
        <w:t>Η χλωρδεκόνη, ένα ζιζανιοκτόνο που έχει απαγορευτεί στην ΕΕ από το 2003, χρησιμοποιούνταν στην Καραϊβική στο παρελθόν και συνδέεται με αυξημένα ποσοστά καρκίνου.</w:t>
      </w:r>
    </w:p>
  </w:footnote>
  <w:footnote w:id="52">
    <w:p w:rsidR="001B6AFC" w:rsidRPr="00E24AB7" w:rsidRDefault="001B6AFC" w:rsidP="005D2730">
      <w:pPr>
        <w:pStyle w:val="FootnoteText"/>
        <w:jc w:val="both"/>
        <w:rPr>
          <w:rFonts w:ascii="Times New Roman" w:hAnsi="Times New Roman" w:cs="Times New Roman"/>
          <w:sz w:val="18"/>
          <w:szCs w:val="18"/>
        </w:rPr>
      </w:pPr>
      <w:r>
        <w:rPr>
          <w:rFonts w:ascii="Times New Roman" w:hAnsi="Times New Roman" w:cs="Times New Roman"/>
          <w:sz w:val="18"/>
          <w:szCs w:val="18"/>
          <w:vertAlign w:val="superscript"/>
          <w:lang w:val="en-IE"/>
        </w:rPr>
        <w:footnoteRef/>
      </w:r>
      <w:r>
        <w:rPr>
          <w:rFonts w:ascii="Times New Roman" w:hAnsi="Times New Roman"/>
          <w:sz w:val="18"/>
          <w:szCs w:val="18"/>
        </w:rPr>
        <w:tab/>
        <w:t xml:space="preserve">Κανονισμός (ΕΕ) 2021/522. </w:t>
      </w:r>
    </w:p>
  </w:footnote>
  <w:footnote w:id="53">
    <w:p w:rsidR="001B6AFC" w:rsidRPr="00E24AB7" w:rsidRDefault="001B6AFC">
      <w:pPr>
        <w:pStyle w:val="FootnoteText"/>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rPr>
          <w:rFonts w:ascii="Times New Roman" w:hAnsi="Times New Roman"/>
          <w:sz w:val="18"/>
          <w:szCs w:val="18"/>
        </w:rPr>
        <w:tab/>
        <w:t xml:space="preserve">Κανονισμός (ΕΕ) 2021/1059. </w:t>
      </w:r>
    </w:p>
  </w:footnote>
  <w:footnote w:id="54">
    <w:p w:rsidR="001B6AFC" w:rsidRPr="00E24AB7" w:rsidRDefault="001B6AFC" w:rsidP="00A70648">
      <w:pPr>
        <w:pStyle w:val="FootnoteText"/>
        <w:ind w:left="709" w:hanging="709"/>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tab/>
      </w:r>
      <w:hyperlink r:id="rId29" w:history="1">
        <w:r>
          <w:rPr>
            <w:rStyle w:val="Hyperlink"/>
            <w:rFonts w:ascii="Times New Roman" w:hAnsi="Times New Roman"/>
            <w:sz w:val="18"/>
            <w:szCs w:val="18"/>
          </w:rPr>
          <w:t>Έγγραφο κοινής θέσης των κρατών μελών και των εξόχως απόκεντρων περιοχών του Ιανουαρίου του 2022 (outre-mer.gouv.fr)</w:t>
        </w:r>
      </w:hyperlink>
      <w:r>
        <w:rPr>
          <w:rFonts w:ascii="Times New Roman" w:hAnsi="Times New Roman"/>
          <w:color w:val="000000" w:themeColor="text1"/>
          <w:sz w:val="18"/>
          <w:szCs w:val="18"/>
        </w:rPr>
        <w:t>.</w:t>
      </w:r>
    </w:p>
  </w:footnote>
  <w:footnote w:id="55">
    <w:p w:rsidR="001B6AFC" w:rsidRPr="00E24AB7" w:rsidRDefault="001B6AFC">
      <w:pPr>
        <w:pStyle w:val="FootnoteText"/>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tab/>
      </w:r>
      <w:r>
        <w:rPr>
          <w:rFonts w:ascii="Times New Roman" w:hAnsi="Times New Roman"/>
          <w:sz w:val="18"/>
          <w:szCs w:val="18"/>
        </w:rPr>
        <w:t>Όπως πρότειναν όσοι απάντησαν στη δημόσια διαβούλευση.</w:t>
      </w:r>
    </w:p>
  </w:footnote>
  <w:footnote w:id="56">
    <w:p w:rsidR="001B6AFC" w:rsidRPr="00A70648" w:rsidRDefault="001B6AFC" w:rsidP="007212BD">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sidRPr="00A70648">
        <w:rPr>
          <w:rFonts w:ascii="Times New Roman" w:hAnsi="Times New Roman"/>
          <w:color w:val="000000"/>
          <w:sz w:val="18"/>
          <w:szCs w:val="18"/>
          <w:lang w:val="fr-BE"/>
        </w:rPr>
        <w:tab/>
        <w:t xml:space="preserve">Eurostat, </w:t>
      </w:r>
      <w:r>
        <w:rPr>
          <w:rFonts w:ascii="Times New Roman" w:hAnsi="Times New Roman"/>
          <w:color w:val="000000"/>
          <w:sz w:val="18"/>
          <w:szCs w:val="18"/>
        </w:rPr>
        <w:t>κωδικός</w:t>
      </w:r>
      <w:r w:rsidRPr="00A70648">
        <w:rPr>
          <w:rFonts w:ascii="Times New Roman" w:hAnsi="Times New Roman"/>
          <w:color w:val="000000"/>
          <w:sz w:val="18"/>
          <w:szCs w:val="18"/>
          <w:lang w:val="fr-BE"/>
        </w:rPr>
        <w:t xml:space="preserve">: </w:t>
      </w:r>
      <w:hyperlink r:id="rId30" w:history="1">
        <w:r w:rsidRPr="00A70648">
          <w:rPr>
            <w:rStyle w:val="Hyperlink"/>
            <w:rFonts w:ascii="Times New Roman" w:hAnsi="Times New Roman"/>
            <w:sz w:val="18"/>
            <w:szCs w:val="18"/>
            <w:lang w:val="fr-BE"/>
          </w:rPr>
          <w:t>EDAT_LFSE_16</w:t>
        </w:r>
      </w:hyperlink>
      <w:r w:rsidRPr="00A70648">
        <w:rPr>
          <w:rStyle w:val="Hyperlink"/>
          <w:rFonts w:ascii="Times New Roman" w:hAnsi="Times New Roman"/>
          <w:sz w:val="18"/>
          <w:szCs w:val="18"/>
          <w:lang w:val="fr-BE"/>
        </w:rPr>
        <w:t>.</w:t>
      </w:r>
    </w:p>
  </w:footnote>
  <w:footnote w:id="57">
    <w:p w:rsidR="001B6AFC" w:rsidRPr="00A70648" w:rsidRDefault="001B6AFC" w:rsidP="00B407A6">
      <w:pPr>
        <w:pStyle w:val="FootnoteText"/>
        <w:ind w:left="720" w:hanging="720"/>
        <w:jc w:val="both"/>
        <w:rPr>
          <w:rFonts w:ascii="Times New Roman" w:hAnsi="Times New Roman" w:cs="Times New Roman"/>
          <w:sz w:val="18"/>
          <w:szCs w:val="18"/>
          <w:lang w:val="fr-BE"/>
        </w:rPr>
      </w:pPr>
      <w:r>
        <w:rPr>
          <w:rStyle w:val="FootnoteReference"/>
          <w:rFonts w:ascii="Times New Roman" w:hAnsi="Times New Roman" w:cs="Times New Roman"/>
          <w:sz w:val="18"/>
          <w:szCs w:val="18"/>
          <w:lang w:val="en-IE"/>
        </w:rPr>
        <w:footnoteRef/>
      </w:r>
      <w:r w:rsidRPr="00A70648">
        <w:rPr>
          <w:lang w:val="fr-BE"/>
        </w:rPr>
        <w:tab/>
      </w:r>
      <w:hyperlink r:id="rId31" w:history="1">
        <w:r w:rsidRPr="00A70648">
          <w:rPr>
            <w:rStyle w:val="Hyperlink"/>
            <w:rFonts w:ascii="Times New Roman" w:hAnsi="Times New Roman"/>
            <w:sz w:val="18"/>
            <w:szCs w:val="18"/>
            <w:lang w:val="fr-BE"/>
          </w:rPr>
          <w:t>Convention Nationale des Associations de Protection de l'Enfant, La protection de l’enfance en Outre-mer.</w:t>
        </w:r>
      </w:hyperlink>
      <w:hyperlink r:id="rId32" w:history="1">
        <w:r w:rsidRPr="00A70648">
          <w:rPr>
            <w:rStyle w:val="Hyperlink"/>
            <w:rFonts w:ascii="Times New Roman" w:hAnsi="Times New Roman"/>
            <w:sz w:val="18"/>
            <w:szCs w:val="18"/>
            <w:lang w:val="fr-BE"/>
          </w:rPr>
          <w:t xml:space="preserve"> Etat des lieux et phenomenes emergents (cnape.fr)</w:t>
        </w:r>
      </w:hyperlink>
      <w:r w:rsidRPr="00A70648">
        <w:rPr>
          <w:rFonts w:ascii="Times New Roman" w:hAnsi="Times New Roman"/>
          <w:sz w:val="18"/>
          <w:szCs w:val="18"/>
          <w:lang w:val="fr-BE"/>
        </w:rPr>
        <w:t>.</w:t>
      </w:r>
    </w:p>
  </w:footnote>
  <w:footnote w:id="58">
    <w:p w:rsidR="001B6AFC" w:rsidRPr="00A70648" w:rsidRDefault="001B6AFC">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lang w:val="en-IE"/>
        </w:rPr>
        <w:footnoteRef/>
      </w:r>
      <w:r w:rsidRPr="00A70648">
        <w:rPr>
          <w:rFonts w:ascii="Times New Roman" w:hAnsi="Times New Roman"/>
          <w:sz w:val="18"/>
          <w:szCs w:val="18"/>
          <w:lang w:val="fr-BE"/>
        </w:rPr>
        <w:tab/>
      </w:r>
      <w:r>
        <w:rPr>
          <w:rFonts w:ascii="Times New Roman" w:hAnsi="Times New Roman"/>
          <w:sz w:val="18"/>
          <w:szCs w:val="18"/>
        </w:rPr>
        <w:t>Κανονισμός</w:t>
      </w:r>
      <w:r w:rsidRPr="00A70648">
        <w:rPr>
          <w:rFonts w:ascii="Times New Roman" w:hAnsi="Times New Roman"/>
          <w:sz w:val="18"/>
          <w:szCs w:val="18"/>
          <w:lang w:val="fr-BE"/>
        </w:rPr>
        <w:t xml:space="preserve"> (</w:t>
      </w:r>
      <w:r>
        <w:rPr>
          <w:rFonts w:ascii="Times New Roman" w:hAnsi="Times New Roman"/>
          <w:sz w:val="18"/>
          <w:szCs w:val="18"/>
        </w:rPr>
        <w:t>ΕΕ</w:t>
      </w:r>
      <w:r w:rsidRPr="00A70648">
        <w:rPr>
          <w:rFonts w:ascii="Times New Roman" w:hAnsi="Times New Roman"/>
          <w:sz w:val="18"/>
          <w:szCs w:val="18"/>
          <w:lang w:val="fr-BE"/>
        </w:rPr>
        <w:t>) 2021/817.</w:t>
      </w:r>
    </w:p>
  </w:footnote>
  <w:footnote w:id="59">
    <w:p w:rsidR="001B6AFC" w:rsidRPr="00E24AB7" w:rsidRDefault="001B6AFC">
      <w:pPr>
        <w:pStyle w:val="FootnoteText"/>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tab/>
      </w:r>
      <w:r>
        <w:rPr>
          <w:rFonts w:ascii="Times New Roman" w:hAnsi="Times New Roman"/>
          <w:sz w:val="18"/>
          <w:szCs w:val="18"/>
        </w:rPr>
        <w:t>Πίνακας εργαλείων της ΓΔ EAC.</w:t>
      </w:r>
    </w:p>
  </w:footnote>
  <w:footnote w:id="60">
    <w:p w:rsidR="001B6AFC" w:rsidRPr="00E24AB7" w:rsidRDefault="001B6AFC" w:rsidP="00E46381">
      <w:pPr>
        <w:pStyle w:val="FootnoteText"/>
        <w:jc w:val="both"/>
      </w:pPr>
      <w:r>
        <w:rPr>
          <w:rFonts w:ascii="Times New Roman" w:hAnsi="Times New Roman" w:cs="Times New Roman"/>
          <w:sz w:val="18"/>
          <w:szCs w:val="18"/>
          <w:vertAlign w:val="superscript"/>
          <w:lang w:val="en-IE"/>
        </w:rPr>
        <w:footnoteRef/>
      </w:r>
      <w:r>
        <w:rPr>
          <w:rFonts w:ascii="Times New Roman" w:hAnsi="Times New Roman"/>
          <w:sz w:val="18"/>
          <w:szCs w:val="18"/>
        </w:rPr>
        <w:tab/>
        <w:t>Κανονισμός (ΕΕ) 2021/695.</w:t>
      </w:r>
    </w:p>
  </w:footnote>
  <w:footnote w:id="61">
    <w:p w:rsidR="001B6AFC" w:rsidRPr="00E24AB7" w:rsidRDefault="001B6AFC" w:rsidP="00660446">
      <w:pPr>
        <w:pStyle w:val="FootnoteText"/>
        <w:ind w:left="720" w:hanging="720"/>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tab/>
      </w:r>
      <w:r>
        <w:rPr>
          <w:rFonts w:ascii="Times New Roman" w:hAnsi="Times New Roman"/>
          <w:sz w:val="18"/>
          <w:szCs w:val="18"/>
        </w:rPr>
        <w:t>Το Ευρωπαϊκό Κοινοβούλιο, η ΕτΠ και η CPRUP ζητούν μέτρα για την αύξηση της συμμετοχής των εξόχως απόκεντρων περιοχών στο Erasmus+ και για την προώθηση των ανταλλαγών με τις γειτονικές χώρες.</w:t>
      </w:r>
    </w:p>
  </w:footnote>
  <w:footnote w:id="62">
    <w:p w:rsidR="001B6AFC" w:rsidRPr="00A70648" w:rsidRDefault="001B6AFC" w:rsidP="005C57D0">
      <w:pPr>
        <w:pStyle w:val="FootnoteText"/>
        <w:jc w:val="both"/>
        <w:rPr>
          <w:rFonts w:ascii="Times New Roman" w:hAnsi="Times New Roman"/>
          <w:sz w:val="18"/>
          <w:lang w:val="en-US"/>
        </w:rPr>
      </w:pPr>
      <w:r>
        <w:rPr>
          <w:rStyle w:val="FootnoteReference"/>
          <w:rFonts w:ascii="Times New Roman" w:hAnsi="Times New Roman" w:cs="Times New Roman"/>
          <w:sz w:val="18"/>
          <w:szCs w:val="18"/>
          <w:lang w:val="en-IE"/>
        </w:rPr>
        <w:footnoteRef/>
      </w:r>
      <w:r w:rsidRPr="00A70648">
        <w:rPr>
          <w:lang w:val="en-US"/>
        </w:rPr>
        <w:tab/>
      </w:r>
      <w:r>
        <w:fldChar w:fldCharType="begin"/>
      </w:r>
      <w:r w:rsidRPr="00A70648">
        <w:rPr>
          <w:lang w:val="en-US"/>
        </w:rPr>
        <w:instrText xml:space="preserve"> "https://s3platform.jrc.ec.europa.eu/eu-members" </w:instrText>
      </w:r>
      <w:r>
        <w:fldChar w:fldCharType="separate"/>
      </w:r>
      <w:r w:rsidRPr="00A70648">
        <w:rPr>
          <w:rStyle w:val="Hyperlink"/>
          <w:rFonts w:ascii="Times New Roman" w:hAnsi="Times New Roman" w:cs="Times New Roman"/>
          <w:sz w:val="18"/>
          <w:szCs w:val="18"/>
          <w:lang w:val="en-US"/>
        </w:rPr>
        <w:t>Smart Specialisation Platform (ec.europa.eu)</w:t>
      </w:r>
      <w:r>
        <w:rPr>
          <w:rStyle w:val="Hyperlink"/>
          <w:rFonts w:ascii="Times New Roman" w:hAnsi="Times New Roman" w:cs="Times New Roman"/>
          <w:sz w:val="18"/>
          <w:szCs w:val="18"/>
        </w:rPr>
        <w:fldChar w:fldCharType="end"/>
      </w:r>
      <w:r w:rsidRPr="00A70648">
        <w:rPr>
          <w:rFonts w:ascii="Times New Roman" w:hAnsi="Times New Roman"/>
          <w:sz w:val="18"/>
          <w:lang w:val="en-US"/>
        </w:rPr>
        <w:t xml:space="preserve">COM(2017) 376 final. </w:t>
      </w:r>
    </w:p>
  </w:footnote>
  <w:footnote w:id="63">
    <w:p w:rsidR="001B6AFC" w:rsidRPr="00A70648" w:rsidRDefault="001B6AFC" w:rsidP="005B353A">
      <w:pPr>
        <w:pStyle w:val="FootnoteText"/>
        <w:rPr>
          <w:rFonts w:ascii="Times New Roman" w:hAnsi="Times New Roman"/>
          <w:sz w:val="18"/>
          <w:lang w:val="en-US"/>
        </w:rPr>
      </w:pPr>
      <w:r>
        <w:rPr>
          <w:rStyle w:val="FootnoteReference"/>
          <w:rFonts w:ascii="Times New Roman" w:hAnsi="Times New Roman" w:cs="Times New Roman"/>
          <w:sz w:val="18"/>
          <w:szCs w:val="18"/>
          <w:lang w:val="en-IE"/>
        </w:rPr>
        <w:footnoteRef/>
      </w:r>
      <w:r w:rsidRPr="00A70648">
        <w:rPr>
          <w:rFonts w:ascii="Times New Roman" w:hAnsi="Times New Roman"/>
          <w:sz w:val="18"/>
          <w:lang w:val="en-US"/>
        </w:rPr>
        <w:tab/>
        <w:t>COM(2020) 628 final.</w:t>
      </w:r>
    </w:p>
  </w:footnote>
  <w:footnote w:id="64">
    <w:p w:rsidR="001B6AFC" w:rsidRPr="00A70648" w:rsidRDefault="00E50FDE" w:rsidP="00A934B6">
      <w:pPr>
        <w:pStyle w:val="FootnoteText"/>
        <w:rPr>
          <w:rFonts w:ascii="Times New Roman" w:hAnsi="Times New Roman" w:cs="Times New Roman"/>
          <w:sz w:val="18"/>
          <w:szCs w:val="18"/>
          <w:lang w:val="en-US"/>
        </w:rPr>
      </w:pPr>
      <w:hyperlink r:id="rId33" w:history="1">
        <w:r w:rsidR="00230E26">
          <w:rPr>
            <w:rStyle w:val="Hyperlink"/>
            <w:rFonts w:ascii="Times New Roman" w:hAnsi="Times New Roman" w:cs="Times New Roman"/>
            <w:color w:val="auto"/>
            <w:sz w:val="12"/>
            <w:szCs w:val="12"/>
            <w:u w:val="none"/>
          </w:rPr>
          <w:footnoteRef/>
        </w:r>
        <w:r w:rsidR="00230E26" w:rsidRPr="00A70648">
          <w:rPr>
            <w:rStyle w:val="Hyperlink"/>
            <w:u w:val="none"/>
            <w:lang w:val="en-US"/>
          </w:rPr>
          <w:tab/>
        </w:r>
        <w:r w:rsidR="00230E26" w:rsidRPr="00A70648">
          <w:rPr>
            <w:rStyle w:val="Hyperlink"/>
            <w:rFonts w:ascii="Times New Roman" w:hAnsi="Times New Roman"/>
            <w:sz w:val="18"/>
            <w:szCs w:val="18"/>
            <w:lang w:val="en-US"/>
          </w:rPr>
          <w:t>FORWARD Fostering research excellence in EU outermost regions (forward-h2020.eu)</w:t>
        </w:r>
      </w:hyperlink>
    </w:p>
  </w:footnote>
  <w:footnote w:id="65">
    <w:p w:rsidR="001B6AFC" w:rsidRPr="00A70648" w:rsidRDefault="001B6AFC">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lang w:val="en-IE"/>
        </w:rPr>
        <w:footnoteRef/>
      </w:r>
      <w:r w:rsidRPr="00A70648">
        <w:rPr>
          <w:rFonts w:ascii="Times New Roman" w:hAnsi="Times New Roman"/>
          <w:sz w:val="18"/>
          <w:szCs w:val="18"/>
          <w:lang w:val="en-US"/>
        </w:rPr>
        <w:tab/>
      </w:r>
      <w:r>
        <w:rPr>
          <w:rFonts w:ascii="Times New Roman" w:hAnsi="Times New Roman"/>
          <w:sz w:val="18"/>
          <w:szCs w:val="18"/>
        </w:rPr>
        <w:t>Κανονισμός</w:t>
      </w:r>
      <w:r w:rsidRPr="00A70648">
        <w:rPr>
          <w:rFonts w:ascii="Times New Roman" w:hAnsi="Times New Roman"/>
          <w:sz w:val="18"/>
          <w:szCs w:val="18"/>
          <w:lang w:val="en-US"/>
        </w:rPr>
        <w:t xml:space="preserve"> (</w:t>
      </w:r>
      <w:r>
        <w:rPr>
          <w:rFonts w:ascii="Times New Roman" w:hAnsi="Times New Roman"/>
          <w:sz w:val="18"/>
          <w:szCs w:val="18"/>
        </w:rPr>
        <w:t>ΕΕ</w:t>
      </w:r>
      <w:r w:rsidRPr="00A70648">
        <w:rPr>
          <w:rFonts w:ascii="Times New Roman" w:hAnsi="Times New Roman"/>
          <w:sz w:val="18"/>
          <w:szCs w:val="18"/>
          <w:lang w:val="en-US"/>
        </w:rPr>
        <w:t>) 2021/1139.</w:t>
      </w:r>
    </w:p>
  </w:footnote>
  <w:footnote w:id="66">
    <w:p w:rsidR="001B6AFC" w:rsidRPr="00A70648" w:rsidRDefault="001B6AFC">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sidRPr="00A70648">
        <w:rPr>
          <w:rFonts w:ascii="Times New Roman" w:hAnsi="Times New Roman"/>
          <w:sz w:val="18"/>
          <w:szCs w:val="18"/>
          <w:lang w:val="en-US"/>
        </w:rPr>
        <w:t xml:space="preserve"> </w:t>
      </w:r>
      <w:r w:rsidRPr="00A70648">
        <w:rPr>
          <w:lang w:val="en-US"/>
        </w:rPr>
        <w:tab/>
      </w:r>
      <w:hyperlink r:id="rId34" w:history="1">
        <w:r w:rsidRPr="00A70648">
          <w:rPr>
            <w:rStyle w:val="Hyperlink"/>
            <w:rFonts w:ascii="Times New Roman" w:hAnsi="Times New Roman"/>
            <w:sz w:val="18"/>
            <w:szCs w:val="18"/>
            <w:lang w:val="en-US"/>
          </w:rPr>
          <w:t>BlueInvest (ec.europa.eu)</w:t>
        </w:r>
      </w:hyperlink>
      <w:r w:rsidRPr="00A70648">
        <w:rPr>
          <w:lang w:val="en-US"/>
        </w:rPr>
        <w:t>.</w:t>
      </w:r>
    </w:p>
  </w:footnote>
  <w:footnote w:id="67">
    <w:p w:rsidR="001B6AFC" w:rsidRPr="00A70648" w:rsidRDefault="001B6AFC" w:rsidP="00A70648">
      <w:pPr>
        <w:pStyle w:val="FootnoteText"/>
        <w:ind w:left="709" w:hanging="709"/>
        <w:jc w:val="both"/>
        <w:rPr>
          <w:rFonts w:ascii="Times New Roman" w:hAnsi="Times New Roman" w:cs="Times New Roman"/>
          <w:sz w:val="18"/>
          <w:szCs w:val="18"/>
          <w:lang w:val="en-US"/>
        </w:rPr>
      </w:pPr>
      <w:r>
        <w:rPr>
          <w:rStyle w:val="FootnoteReference"/>
          <w:rFonts w:ascii="Times New Roman" w:hAnsi="Times New Roman" w:cs="Times New Roman"/>
          <w:sz w:val="18"/>
          <w:szCs w:val="18"/>
          <w:lang w:val="en-IE"/>
        </w:rPr>
        <w:footnoteRef/>
      </w:r>
      <w:r w:rsidRPr="00A70648">
        <w:rPr>
          <w:lang w:val="en-US"/>
        </w:rPr>
        <w:tab/>
      </w:r>
      <w:hyperlink r:id="rId35" w:history="1">
        <w:r w:rsidRPr="00A70648">
          <w:rPr>
            <w:rStyle w:val="Hyperlink"/>
            <w:rFonts w:ascii="Times New Roman" w:hAnsi="Times New Roman"/>
            <w:sz w:val="18"/>
            <w:szCs w:val="18"/>
            <w:lang w:val="en-US"/>
          </w:rPr>
          <w:t>Study on the impact of COVID-19 on the Outermost Regions – Final Report (</w:t>
        </w:r>
        <w:r>
          <w:rPr>
            <w:rStyle w:val="Hyperlink"/>
            <w:rFonts w:ascii="Times New Roman" w:hAnsi="Times New Roman"/>
            <w:sz w:val="18"/>
            <w:szCs w:val="18"/>
          </w:rPr>
          <w:t>Μελέτη</w:t>
        </w:r>
        <w:r w:rsidRPr="00A70648">
          <w:rPr>
            <w:rStyle w:val="Hyperlink"/>
            <w:rFonts w:ascii="Times New Roman" w:hAnsi="Times New Roman"/>
            <w:sz w:val="18"/>
            <w:szCs w:val="18"/>
            <w:lang w:val="en-US"/>
          </w:rPr>
          <w:t xml:space="preserve"> </w:t>
        </w:r>
        <w:r>
          <w:rPr>
            <w:rStyle w:val="Hyperlink"/>
            <w:rFonts w:ascii="Times New Roman" w:hAnsi="Times New Roman"/>
            <w:sz w:val="18"/>
            <w:szCs w:val="18"/>
          </w:rPr>
          <w:t>σχετικά</w:t>
        </w:r>
        <w:r w:rsidRPr="00A70648">
          <w:rPr>
            <w:rStyle w:val="Hyperlink"/>
            <w:rFonts w:ascii="Times New Roman" w:hAnsi="Times New Roman"/>
            <w:sz w:val="18"/>
            <w:szCs w:val="18"/>
            <w:lang w:val="en-US"/>
          </w:rPr>
          <w:t xml:space="preserve"> </w:t>
        </w:r>
        <w:r>
          <w:rPr>
            <w:rStyle w:val="Hyperlink"/>
            <w:rFonts w:ascii="Times New Roman" w:hAnsi="Times New Roman"/>
            <w:sz w:val="18"/>
            <w:szCs w:val="18"/>
          </w:rPr>
          <w:t>με</w:t>
        </w:r>
        <w:r w:rsidRPr="00A70648">
          <w:rPr>
            <w:rStyle w:val="Hyperlink"/>
            <w:rFonts w:ascii="Times New Roman" w:hAnsi="Times New Roman"/>
            <w:sz w:val="18"/>
            <w:szCs w:val="18"/>
            <w:lang w:val="en-US"/>
          </w:rPr>
          <w:t xml:space="preserve"> </w:t>
        </w:r>
        <w:r>
          <w:rPr>
            <w:rStyle w:val="Hyperlink"/>
            <w:rFonts w:ascii="Times New Roman" w:hAnsi="Times New Roman"/>
            <w:sz w:val="18"/>
            <w:szCs w:val="18"/>
          </w:rPr>
          <w:t>τον</w:t>
        </w:r>
        <w:r w:rsidRPr="00A70648">
          <w:rPr>
            <w:rStyle w:val="Hyperlink"/>
            <w:rFonts w:ascii="Times New Roman" w:hAnsi="Times New Roman"/>
            <w:sz w:val="18"/>
            <w:szCs w:val="18"/>
            <w:lang w:val="en-US"/>
          </w:rPr>
          <w:t xml:space="preserve"> </w:t>
        </w:r>
        <w:r>
          <w:rPr>
            <w:rStyle w:val="Hyperlink"/>
            <w:rFonts w:ascii="Times New Roman" w:hAnsi="Times New Roman"/>
            <w:sz w:val="18"/>
            <w:szCs w:val="18"/>
          </w:rPr>
          <w:t>αντίκτυπο</w:t>
        </w:r>
        <w:r w:rsidRPr="00A70648">
          <w:rPr>
            <w:rStyle w:val="Hyperlink"/>
            <w:rFonts w:ascii="Times New Roman" w:hAnsi="Times New Roman"/>
            <w:sz w:val="18"/>
            <w:szCs w:val="18"/>
            <w:lang w:val="en-US"/>
          </w:rPr>
          <w:t xml:space="preserve"> </w:t>
        </w:r>
        <w:r>
          <w:rPr>
            <w:rStyle w:val="Hyperlink"/>
            <w:rFonts w:ascii="Times New Roman" w:hAnsi="Times New Roman"/>
            <w:sz w:val="18"/>
            <w:szCs w:val="18"/>
          </w:rPr>
          <w:t>της</w:t>
        </w:r>
        <w:r w:rsidRPr="00A70648">
          <w:rPr>
            <w:rStyle w:val="Hyperlink"/>
            <w:rFonts w:ascii="Times New Roman" w:hAnsi="Times New Roman"/>
            <w:sz w:val="18"/>
            <w:szCs w:val="18"/>
            <w:lang w:val="en-US"/>
          </w:rPr>
          <w:t xml:space="preserve"> </w:t>
        </w:r>
        <w:r>
          <w:rPr>
            <w:rStyle w:val="Hyperlink"/>
            <w:rFonts w:ascii="Times New Roman" w:hAnsi="Times New Roman"/>
            <w:sz w:val="18"/>
            <w:szCs w:val="18"/>
          </w:rPr>
          <w:t>κρίσης</w:t>
        </w:r>
        <w:r w:rsidRPr="00A70648">
          <w:rPr>
            <w:rStyle w:val="Hyperlink"/>
            <w:rFonts w:ascii="Times New Roman" w:hAnsi="Times New Roman"/>
            <w:sz w:val="18"/>
            <w:szCs w:val="18"/>
            <w:lang w:val="en-US"/>
          </w:rPr>
          <w:t xml:space="preserve"> </w:t>
        </w:r>
        <w:r>
          <w:rPr>
            <w:rStyle w:val="Hyperlink"/>
            <w:rFonts w:ascii="Times New Roman" w:hAnsi="Times New Roman"/>
            <w:sz w:val="18"/>
            <w:szCs w:val="18"/>
          </w:rPr>
          <w:t>λόγω</w:t>
        </w:r>
        <w:r w:rsidRPr="00A70648">
          <w:rPr>
            <w:rStyle w:val="Hyperlink"/>
            <w:rFonts w:ascii="Times New Roman" w:hAnsi="Times New Roman"/>
            <w:sz w:val="18"/>
            <w:szCs w:val="18"/>
            <w:lang w:val="en-US"/>
          </w:rPr>
          <w:t xml:space="preserve"> </w:t>
        </w:r>
        <w:r>
          <w:rPr>
            <w:rStyle w:val="Hyperlink"/>
            <w:rFonts w:ascii="Times New Roman" w:hAnsi="Times New Roman"/>
            <w:sz w:val="18"/>
            <w:szCs w:val="18"/>
          </w:rPr>
          <w:t>της</w:t>
        </w:r>
        <w:r w:rsidRPr="00A70648">
          <w:rPr>
            <w:rStyle w:val="Hyperlink"/>
            <w:rFonts w:ascii="Times New Roman" w:hAnsi="Times New Roman"/>
            <w:sz w:val="18"/>
            <w:szCs w:val="18"/>
            <w:lang w:val="en-US"/>
          </w:rPr>
          <w:t xml:space="preserve"> </w:t>
        </w:r>
        <w:r>
          <w:rPr>
            <w:rStyle w:val="Hyperlink"/>
            <w:rFonts w:ascii="Times New Roman" w:hAnsi="Times New Roman"/>
            <w:sz w:val="18"/>
            <w:szCs w:val="18"/>
          </w:rPr>
          <w:t>νόσου</w:t>
        </w:r>
        <w:r w:rsidRPr="00A70648">
          <w:rPr>
            <w:rStyle w:val="Hyperlink"/>
            <w:rFonts w:ascii="Times New Roman" w:hAnsi="Times New Roman"/>
            <w:sz w:val="18"/>
            <w:szCs w:val="18"/>
            <w:lang w:val="en-US"/>
          </w:rPr>
          <w:t xml:space="preserve"> COVID-19 </w:t>
        </w:r>
        <w:r>
          <w:rPr>
            <w:rStyle w:val="Hyperlink"/>
            <w:rFonts w:ascii="Times New Roman" w:hAnsi="Times New Roman"/>
            <w:sz w:val="18"/>
            <w:szCs w:val="18"/>
          </w:rPr>
          <w:t>στις</w:t>
        </w:r>
        <w:r w:rsidRPr="00A70648">
          <w:rPr>
            <w:rStyle w:val="Hyperlink"/>
            <w:rFonts w:ascii="Times New Roman" w:hAnsi="Times New Roman"/>
            <w:sz w:val="18"/>
            <w:szCs w:val="18"/>
            <w:lang w:val="en-US"/>
          </w:rPr>
          <w:t xml:space="preserve"> </w:t>
        </w:r>
        <w:r>
          <w:rPr>
            <w:rStyle w:val="Hyperlink"/>
            <w:rFonts w:ascii="Times New Roman" w:hAnsi="Times New Roman"/>
            <w:sz w:val="18"/>
            <w:szCs w:val="18"/>
          </w:rPr>
          <w:t>εξόχως</w:t>
        </w:r>
        <w:r w:rsidRPr="00A70648">
          <w:rPr>
            <w:rStyle w:val="Hyperlink"/>
            <w:rFonts w:ascii="Times New Roman" w:hAnsi="Times New Roman"/>
            <w:sz w:val="18"/>
            <w:szCs w:val="18"/>
            <w:lang w:val="en-US"/>
          </w:rPr>
          <w:t xml:space="preserve"> </w:t>
        </w:r>
        <w:r>
          <w:rPr>
            <w:rStyle w:val="Hyperlink"/>
            <w:rFonts w:ascii="Times New Roman" w:hAnsi="Times New Roman"/>
            <w:sz w:val="18"/>
            <w:szCs w:val="18"/>
          </w:rPr>
          <w:t>απόκεντρες</w:t>
        </w:r>
        <w:r w:rsidRPr="00A70648">
          <w:rPr>
            <w:rStyle w:val="Hyperlink"/>
            <w:rFonts w:ascii="Times New Roman" w:hAnsi="Times New Roman"/>
            <w:sz w:val="18"/>
            <w:szCs w:val="18"/>
            <w:lang w:val="en-US"/>
          </w:rPr>
          <w:t xml:space="preserve"> </w:t>
        </w:r>
        <w:r>
          <w:rPr>
            <w:rStyle w:val="Hyperlink"/>
            <w:rFonts w:ascii="Times New Roman" w:hAnsi="Times New Roman"/>
            <w:sz w:val="18"/>
            <w:szCs w:val="18"/>
          </w:rPr>
          <w:t>περιοχές</w:t>
        </w:r>
        <w:r w:rsidRPr="00A70648">
          <w:rPr>
            <w:rStyle w:val="Hyperlink"/>
            <w:rFonts w:ascii="Times New Roman" w:hAnsi="Times New Roman"/>
            <w:sz w:val="18"/>
            <w:szCs w:val="18"/>
            <w:lang w:val="en-US"/>
          </w:rPr>
          <w:t xml:space="preserve"> — </w:t>
        </w:r>
        <w:r>
          <w:rPr>
            <w:rStyle w:val="Hyperlink"/>
            <w:rFonts w:ascii="Times New Roman" w:hAnsi="Times New Roman"/>
            <w:sz w:val="18"/>
            <w:szCs w:val="18"/>
          </w:rPr>
          <w:t>Τελική</w:t>
        </w:r>
        <w:r w:rsidRPr="00A70648">
          <w:rPr>
            <w:rStyle w:val="Hyperlink"/>
            <w:rFonts w:ascii="Times New Roman" w:hAnsi="Times New Roman"/>
            <w:sz w:val="18"/>
            <w:szCs w:val="18"/>
            <w:lang w:val="en-US"/>
          </w:rPr>
          <w:t xml:space="preserve"> </w:t>
        </w:r>
        <w:r>
          <w:rPr>
            <w:rStyle w:val="Hyperlink"/>
            <w:rFonts w:ascii="Times New Roman" w:hAnsi="Times New Roman"/>
            <w:sz w:val="18"/>
            <w:szCs w:val="18"/>
          </w:rPr>
          <w:t>έκθεση</w:t>
        </w:r>
        <w:r w:rsidRPr="00A70648">
          <w:rPr>
            <w:rStyle w:val="Hyperlink"/>
            <w:rFonts w:ascii="Times New Roman" w:hAnsi="Times New Roman"/>
            <w:sz w:val="18"/>
            <w:szCs w:val="18"/>
            <w:lang w:val="en-US"/>
          </w:rPr>
          <w:t xml:space="preserve">), </w:t>
        </w:r>
        <w:r>
          <w:rPr>
            <w:rStyle w:val="Hyperlink"/>
            <w:rFonts w:ascii="Times New Roman" w:hAnsi="Times New Roman"/>
            <w:sz w:val="18"/>
            <w:szCs w:val="18"/>
          </w:rPr>
          <w:t>Οκτώβριος</w:t>
        </w:r>
        <w:r w:rsidRPr="00A70648">
          <w:rPr>
            <w:rStyle w:val="Hyperlink"/>
            <w:rFonts w:ascii="Times New Roman" w:hAnsi="Times New Roman"/>
            <w:sz w:val="18"/>
            <w:szCs w:val="18"/>
            <w:lang w:val="en-US"/>
          </w:rPr>
          <w:t xml:space="preserve"> 2021 (ec.europa.eu)</w:t>
        </w:r>
      </w:hyperlink>
      <w:r w:rsidRPr="00A70648">
        <w:rPr>
          <w:rFonts w:ascii="Times New Roman" w:hAnsi="Times New Roman"/>
          <w:sz w:val="18"/>
          <w:szCs w:val="18"/>
          <w:lang w:val="en-US"/>
        </w:rPr>
        <w:t>.</w:t>
      </w:r>
    </w:p>
  </w:footnote>
  <w:footnote w:id="68">
    <w:p w:rsidR="001B6AFC" w:rsidRPr="00A70648" w:rsidRDefault="001B6AFC" w:rsidP="00A70648">
      <w:pPr>
        <w:pStyle w:val="FootnoteText"/>
        <w:ind w:left="709" w:hanging="709"/>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sidRPr="00A70648">
        <w:rPr>
          <w:lang w:val="en-US"/>
        </w:rPr>
        <w:tab/>
      </w:r>
      <w:hyperlink r:id="rId36" w:history="1">
        <w:r w:rsidRPr="00A70648">
          <w:rPr>
            <w:rStyle w:val="Hyperlink"/>
            <w:rFonts w:ascii="Times New Roman" w:hAnsi="Times New Roman"/>
            <w:sz w:val="18"/>
            <w:szCs w:val="18"/>
            <w:lang w:val="en-US"/>
          </w:rPr>
          <w:t>Regional impacts of the COVID-19 crisis on the tourist sector – Final Report (</w:t>
        </w:r>
        <w:r>
          <w:rPr>
            <w:rStyle w:val="Hyperlink"/>
            <w:rFonts w:ascii="Times New Roman" w:hAnsi="Times New Roman"/>
            <w:sz w:val="18"/>
            <w:szCs w:val="18"/>
          </w:rPr>
          <w:t>Περιφερειακές</w:t>
        </w:r>
        <w:r w:rsidRPr="00A70648">
          <w:rPr>
            <w:rStyle w:val="Hyperlink"/>
            <w:rFonts w:ascii="Times New Roman" w:hAnsi="Times New Roman"/>
            <w:sz w:val="18"/>
            <w:szCs w:val="18"/>
            <w:lang w:val="en-US"/>
          </w:rPr>
          <w:t xml:space="preserve"> </w:t>
        </w:r>
        <w:r>
          <w:rPr>
            <w:rStyle w:val="Hyperlink"/>
            <w:rFonts w:ascii="Times New Roman" w:hAnsi="Times New Roman"/>
            <w:sz w:val="18"/>
            <w:szCs w:val="18"/>
          </w:rPr>
          <w:t>επιπτώσεις</w:t>
        </w:r>
        <w:r w:rsidRPr="00A70648">
          <w:rPr>
            <w:rStyle w:val="Hyperlink"/>
            <w:rFonts w:ascii="Times New Roman" w:hAnsi="Times New Roman"/>
            <w:sz w:val="18"/>
            <w:szCs w:val="18"/>
            <w:lang w:val="en-US"/>
          </w:rPr>
          <w:t xml:space="preserve"> </w:t>
        </w:r>
        <w:r>
          <w:rPr>
            <w:rStyle w:val="Hyperlink"/>
            <w:rFonts w:ascii="Times New Roman" w:hAnsi="Times New Roman"/>
            <w:sz w:val="18"/>
            <w:szCs w:val="18"/>
          </w:rPr>
          <w:t>της</w:t>
        </w:r>
        <w:r w:rsidRPr="00A70648">
          <w:rPr>
            <w:rStyle w:val="Hyperlink"/>
            <w:rFonts w:ascii="Times New Roman" w:hAnsi="Times New Roman"/>
            <w:sz w:val="18"/>
            <w:szCs w:val="18"/>
            <w:lang w:val="en-US"/>
          </w:rPr>
          <w:t xml:space="preserve"> </w:t>
        </w:r>
        <w:r>
          <w:rPr>
            <w:rStyle w:val="Hyperlink"/>
            <w:rFonts w:ascii="Times New Roman" w:hAnsi="Times New Roman"/>
            <w:sz w:val="18"/>
            <w:szCs w:val="18"/>
          </w:rPr>
          <w:t>κρίσης</w:t>
        </w:r>
        <w:r w:rsidRPr="00A70648">
          <w:rPr>
            <w:rStyle w:val="Hyperlink"/>
            <w:rFonts w:ascii="Times New Roman" w:hAnsi="Times New Roman"/>
            <w:sz w:val="18"/>
            <w:szCs w:val="18"/>
            <w:lang w:val="en-US"/>
          </w:rPr>
          <w:t xml:space="preserve"> </w:t>
        </w:r>
        <w:r>
          <w:rPr>
            <w:rStyle w:val="Hyperlink"/>
            <w:rFonts w:ascii="Times New Roman" w:hAnsi="Times New Roman"/>
            <w:sz w:val="18"/>
            <w:szCs w:val="18"/>
          </w:rPr>
          <w:t>λόγω</w:t>
        </w:r>
        <w:r w:rsidRPr="00A70648">
          <w:rPr>
            <w:rStyle w:val="Hyperlink"/>
            <w:rFonts w:ascii="Times New Roman" w:hAnsi="Times New Roman"/>
            <w:sz w:val="18"/>
            <w:szCs w:val="18"/>
            <w:lang w:val="en-US"/>
          </w:rPr>
          <w:t xml:space="preserve"> </w:t>
        </w:r>
        <w:r>
          <w:rPr>
            <w:rStyle w:val="Hyperlink"/>
            <w:rFonts w:ascii="Times New Roman" w:hAnsi="Times New Roman"/>
            <w:sz w:val="18"/>
            <w:szCs w:val="18"/>
          </w:rPr>
          <w:t>της</w:t>
        </w:r>
        <w:r w:rsidRPr="00A70648">
          <w:rPr>
            <w:rStyle w:val="Hyperlink"/>
            <w:rFonts w:ascii="Times New Roman" w:hAnsi="Times New Roman"/>
            <w:sz w:val="18"/>
            <w:szCs w:val="18"/>
            <w:lang w:val="en-US"/>
          </w:rPr>
          <w:t xml:space="preserve"> </w:t>
        </w:r>
        <w:r>
          <w:rPr>
            <w:rStyle w:val="Hyperlink"/>
            <w:rFonts w:ascii="Times New Roman" w:hAnsi="Times New Roman"/>
            <w:sz w:val="18"/>
            <w:szCs w:val="18"/>
          </w:rPr>
          <w:t>νόσου</w:t>
        </w:r>
        <w:r w:rsidRPr="00A70648">
          <w:rPr>
            <w:rStyle w:val="Hyperlink"/>
            <w:rFonts w:ascii="Times New Roman" w:hAnsi="Times New Roman"/>
            <w:sz w:val="18"/>
            <w:szCs w:val="18"/>
            <w:lang w:val="en-US"/>
          </w:rPr>
          <w:t xml:space="preserve"> COVID-19 </w:t>
        </w:r>
        <w:r>
          <w:rPr>
            <w:rStyle w:val="Hyperlink"/>
            <w:rFonts w:ascii="Times New Roman" w:hAnsi="Times New Roman"/>
            <w:sz w:val="18"/>
            <w:szCs w:val="18"/>
          </w:rPr>
          <w:t>στον</w:t>
        </w:r>
        <w:r w:rsidRPr="00A70648">
          <w:rPr>
            <w:rStyle w:val="Hyperlink"/>
            <w:rFonts w:ascii="Times New Roman" w:hAnsi="Times New Roman"/>
            <w:sz w:val="18"/>
            <w:szCs w:val="18"/>
            <w:lang w:val="en-US"/>
          </w:rPr>
          <w:t xml:space="preserve"> </w:t>
        </w:r>
        <w:r>
          <w:rPr>
            <w:rStyle w:val="Hyperlink"/>
            <w:rFonts w:ascii="Times New Roman" w:hAnsi="Times New Roman"/>
            <w:sz w:val="18"/>
            <w:szCs w:val="18"/>
          </w:rPr>
          <w:t>τουριστικό</w:t>
        </w:r>
        <w:r w:rsidRPr="00A70648">
          <w:rPr>
            <w:rStyle w:val="Hyperlink"/>
            <w:rFonts w:ascii="Times New Roman" w:hAnsi="Times New Roman"/>
            <w:sz w:val="18"/>
            <w:szCs w:val="18"/>
            <w:lang w:val="en-US"/>
          </w:rPr>
          <w:t xml:space="preserve"> </w:t>
        </w:r>
        <w:r>
          <w:rPr>
            <w:rStyle w:val="Hyperlink"/>
            <w:rFonts w:ascii="Times New Roman" w:hAnsi="Times New Roman"/>
            <w:sz w:val="18"/>
            <w:szCs w:val="18"/>
          </w:rPr>
          <w:t>τομέα</w:t>
        </w:r>
        <w:r w:rsidRPr="00A70648">
          <w:rPr>
            <w:rStyle w:val="Hyperlink"/>
            <w:rFonts w:ascii="Times New Roman" w:hAnsi="Times New Roman"/>
            <w:sz w:val="18"/>
            <w:szCs w:val="18"/>
            <w:lang w:val="en-US"/>
          </w:rPr>
          <w:t xml:space="preserve"> — </w:t>
        </w:r>
        <w:r>
          <w:rPr>
            <w:rStyle w:val="Hyperlink"/>
            <w:rFonts w:ascii="Times New Roman" w:hAnsi="Times New Roman"/>
            <w:sz w:val="18"/>
            <w:szCs w:val="18"/>
          </w:rPr>
          <w:t>Τελική</w:t>
        </w:r>
        <w:r w:rsidRPr="00A70648">
          <w:rPr>
            <w:rStyle w:val="Hyperlink"/>
            <w:rFonts w:ascii="Times New Roman" w:hAnsi="Times New Roman"/>
            <w:sz w:val="18"/>
            <w:szCs w:val="18"/>
            <w:lang w:val="en-US"/>
          </w:rPr>
          <w:t xml:space="preserve"> </w:t>
        </w:r>
        <w:r>
          <w:rPr>
            <w:rStyle w:val="Hyperlink"/>
            <w:rFonts w:ascii="Times New Roman" w:hAnsi="Times New Roman"/>
            <w:sz w:val="18"/>
            <w:szCs w:val="18"/>
          </w:rPr>
          <w:t>έκθεση</w:t>
        </w:r>
        <w:r w:rsidRPr="00A70648">
          <w:rPr>
            <w:rStyle w:val="Hyperlink"/>
            <w:rFonts w:ascii="Times New Roman" w:hAnsi="Times New Roman"/>
            <w:sz w:val="18"/>
            <w:szCs w:val="18"/>
            <w:lang w:val="en-US"/>
          </w:rPr>
          <w:t xml:space="preserve">), </w:t>
        </w:r>
        <w:r>
          <w:rPr>
            <w:rStyle w:val="Hyperlink"/>
            <w:rFonts w:ascii="Times New Roman" w:hAnsi="Times New Roman"/>
            <w:sz w:val="18"/>
            <w:szCs w:val="18"/>
          </w:rPr>
          <w:t>Αύγουστος</w:t>
        </w:r>
        <w:r w:rsidRPr="00A70648">
          <w:rPr>
            <w:rStyle w:val="Hyperlink"/>
            <w:rFonts w:ascii="Times New Roman" w:hAnsi="Times New Roman"/>
            <w:sz w:val="18"/>
            <w:szCs w:val="18"/>
            <w:lang w:val="en-US"/>
          </w:rPr>
          <w:t xml:space="preserve"> 2021 (ec.europa.eu)</w:t>
        </w:r>
      </w:hyperlink>
      <w:r w:rsidRPr="00A70648">
        <w:rPr>
          <w:lang w:val="en-US"/>
        </w:rPr>
        <w:t>.</w:t>
      </w:r>
    </w:p>
  </w:footnote>
  <w:footnote w:id="69">
    <w:p w:rsidR="001B6AFC" w:rsidRPr="00A70648" w:rsidRDefault="001B6AFC" w:rsidP="00A70648">
      <w:pPr>
        <w:pStyle w:val="FootnoteText"/>
        <w:ind w:left="709" w:hanging="709"/>
        <w:jc w:val="both"/>
        <w:rPr>
          <w:rFonts w:ascii="Times New Roman" w:hAnsi="Times New Roman" w:cs="Times New Roman"/>
          <w:sz w:val="18"/>
          <w:szCs w:val="18"/>
          <w:lang w:val="en-US"/>
        </w:rPr>
      </w:pPr>
      <w:r>
        <w:rPr>
          <w:rStyle w:val="FootnoteReference"/>
          <w:rFonts w:ascii="Times New Roman" w:hAnsi="Times New Roman" w:cs="Times New Roman"/>
          <w:sz w:val="18"/>
          <w:szCs w:val="18"/>
          <w:lang w:val="en-IE"/>
        </w:rPr>
        <w:footnoteRef/>
      </w:r>
      <w:r w:rsidRPr="00A70648">
        <w:rPr>
          <w:lang w:val="en-US"/>
        </w:rPr>
        <w:tab/>
      </w:r>
      <w:hyperlink r:id="rId37" w:history="1">
        <w:r w:rsidRPr="00A70648">
          <w:rPr>
            <w:rStyle w:val="Hyperlink"/>
            <w:rFonts w:ascii="Times New Roman" w:hAnsi="Times New Roman"/>
            <w:sz w:val="18"/>
            <w:szCs w:val="18"/>
            <w:lang w:val="en-US"/>
          </w:rPr>
          <w:t>Study on the impact of COVID-19 on the Outermost Regions – Final Report (</w:t>
        </w:r>
        <w:r>
          <w:rPr>
            <w:rStyle w:val="Hyperlink"/>
            <w:rFonts w:ascii="Times New Roman" w:hAnsi="Times New Roman"/>
            <w:sz w:val="18"/>
            <w:szCs w:val="18"/>
          </w:rPr>
          <w:t>Μελέτη</w:t>
        </w:r>
        <w:r w:rsidRPr="00A70648">
          <w:rPr>
            <w:rStyle w:val="Hyperlink"/>
            <w:rFonts w:ascii="Times New Roman" w:hAnsi="Times New Roman"/>
            <w:sz w:val="18"/>
            <w:szCs w:val="18"/>
            <w:lang w:val="en-US"/>
          </w:rPr>
          <w:t xml:space="preserve"> </w:t>
        </w:r>
        <w:r>
          <w:rPr>
            <w:rStyle w:val="Hyperlink"/>
            <w:rFonts w:ascii="Times New Roman" w:hAnsi="Times New Roman"/>
            <w:sz w:val="18"/>
            <w:szCs w:val="18"/>
          </w:rPr>
          <w:t>σχετικά</w:t>
        </w:r>
        <w:r w:rsidRPr="00A70648">
          <w:rPr>
            <w:rStyle w:val="Hyperlink"/>
            <w:rFonts w:ascii="Times New Roman" w:hAnsi="Times New Roman"/>
            <w:sz w:val="18"/>
            <w:szCs w:val="18"/>
            <w:lang w:val="en-US"/>
          </w:rPr>
          <w:t xml:space="preserve"> </w:t>
        </w:r>
        <w:r>
          <w:rPr>
            <w:rStyle w:val="Hyperlink"/>
            <w:rFonts w:ascii="Times New Roman" w:hAnsi="Times New Roman"/>
            <w:sz w:val="18"/>
            <w:szCs w:val="18"/>
          </w:rPr>
          <w:t>με</w:t>
        </w:r>
        <w:r w:rsidRPr="00A70648">
          <w:rPr>
            <w:rStyle w:val="Hyperlink"/>
            <w:rFonts w:ascii="Times New Roman" w:hAnsi="Times New Roman"/>
            <w:sz w:val="18"/>
            <w:szCs w:val="18"/>
            <w:lang w:val="en-US"/>
          </w:rPr>
          <w:t xml:space="preserve"> </w:t>
        </w:r>
        <w:r>
          <w:rPr>
            <w:rStyle w:val="Hyperlink"/>
            <w:rFonts w:ascii="Times New Roman" w:hAnsi="Times New Roman"/>
            <w:sz w:val="18"/>
            <w:szCs w:val="18"/>
          </w:rPr>
          <w:t>τον</w:t>
        </w:r>
        <w:r w:rsidRPr="00A70648">
          <w:rPr>
            <w:rStyle w:val="Hyperlink"/>
            <w:rFonts w:ascii="Times New Roman" w:hAnsi="Times New Roman"/>
            <w:sz w:val="18"/>
            <w:szCs w:val="18"/>
            <w:lang w:val="en-US"/>
          </w:rPr>
          <w:t xml:space="preserve"> </w:t>
        </w:r>
        <w:r>
          <w:rPr>
            <w:rStyle w:val="Hyperlink"/>
            <w:rFonts w:ascii="Times New Roman" w:hAnsi="Times New Roman"/>
            <w:sz w:val="18"/>
            <w:szCs w:val="18"/>
          </w:rPr>
          <w:t>αντίκτυπο</w:t>
        </w:r>
        <w:r w:rsidRPr="00A70648">
          <w:rPr>
            <w:rStyle w:val="Hyperlink"/>
            <w:rFonts w:ascii="Times New Roman" w:hAnsi="Times New Roman"/>
            <w:sz w:val="18"/>
            <w:szCs w:val="18"/>
            <w:lang w:val="en-US"/>
          </w:rPr>
          <w:t xml:space="preserve"> </w:t>
        </w:r>
        <w:r>
          <w:rPr>
            <w:rStyle w:val="Hyperlink"/>
            <w:rFonts w:ascii="Times New Roman" w:hAnsi="Times New Roman"/>
            <w:sz w:val="18"/>
            <w:szCs w:val="18"/>
          </w:rPr>
          <w:t>της</w:t>
        </w:r>
        <w:r w:rsidRPr="00A70648">
          <w:rPr>
            <w:rStyle w:val="Hyperlink"/>
            <w:rFonts w:ascii="Times New Roman" w:hAnsi="Times New Roman"/>
            <w:sz w:val="18"/>
            <w:szCs w:val="18"/>
            <w:lang w:val="en-US"/>
          </w:rPr>
          <w:t xml:space="preserve"> </w:t>
        </w:r>
        <w:r>
          <w:rPr>
            <w:rStyle w:val="Hyperlink"/>
            <w:rFonts w:ascii="Times New Roman" w:hAnsi="Times New Roman"/>
            <w:sz w:val="18"/>
            <w:szCs w:val="18"/>
          </w:rPr>
          <w:t>κρίσης</w:t>
        </w:r>
        <w:r w:rsidRPr="00A70648">
          <w:rPr>
            <w:rStyle w:val="Hyperlink"/>
            <w:rFonts w:ascii="Times New Roman" w:hAnsi="Times New Roman"/>
            <w:sz w:val="18"/>
            <w:szCs w:val="18"/>
            <w:lang w:val="en-US"/>
          </w:rPr>
          <w:t xml:space="preserve"> </w:t>
        </w:r>
        <w:r>
          <w:rPr>
            <w:rStyle w:val="Hyperlink"/>
            <w:rFonts w:ascii="Times New Roman" w:hAnsi="Times New Roman"/>
            <w:sz w:val="18"/>
            <w:szCs w:val="18"/>
          </w:rPr>
          <w:t>λόγω</w:t>
        </w:r>
        <w:r w:rsidRPr="00A70648">
          <w:rPr>
            <w:rStyle w:val="Hyperlink"/>
            <w:rFonts w:ascii="Times New Roman" w:hAnsi="Times New Roman"/>
            <w:sz w:val="18"/>
            <w:szCs w:val="18"/>
            <w:lang w:val="en-US"/>
          </w:rPr>
          <w:t xml:space="preserve"> </w:t>
        </w:r>
        <w:r>
          <w:rPr>
            <w:rStyle w:val="Hyperlink"/>
            <w:rFonts w:ascii="Times New Roman" w:hAnsi="Times New Roman"/>
            <w:sz w:val="18"/>
            <w:szCs w:val="18"/>
          </w:rPr>
          <w:t>της</w:t>
        </w:r>
        <w:r w:rsidRPr="00A70648">
          <w:rPr>
            <w:rStyle w:val="Hyperlink"/>
            <w:rFonts w:ascii="Times New Roman" w:hAnsi="Times New Roman"/>
            <w:sz w:val="18"/>
            <w:szCs w:val="18"/>
            <w:lang w:val="en-US"/>
          </w:rPr>
          <w:t xml:space="preserve"> </w:t>
        </w:r>
        <w:r>
          <w:rPr>
            <w:rStyle w:val="Hyperlink"/>
            <w:rFonts w:ascii="Times New Roman" w:hAnsi="Times New Roman"/>
            <w:sz w:val="18"/>
            <w:szCs w:val="18"/>
          </w:rPr>
          <w:t>νόσου</w:t>
        </w:r>
        <w:r w:rsidRPr="00A70648">
          <w:rPr>
            <w:rStyle w:val="Hyperlink"/>
            <w:rFonts w:ascii="Times New Roman" w:hAnsi="Times New Roman"/>
            <w:sz w:val="18"/>
            <w:szCs w:val="18"/>
            <w:lang w:val="en-US"/>
          </w:rPr>
          <w:t xml:space="preserve"> COVID-19 </w:t>
        </w:r>
        <w:r>
          <w:rPr>
            <w:rStyle w:val="Hyperlink"/>
            <w:rFonts w:ascii="Times New Roman" w:hAnsi="Times New Roman"/>
            <w:sz w:val="18"/>
            <w:szCs w:val="18"/>
          </w:rPr>
          <w:t>στις</w:t>
        </w:r>
        <w:r w:rsidRPr="00A70648">
          <w:rPr>
            <w:rStyle w:val="Hyperlink"/>
            <w:rFonts w:ascii="Times New Roman" w:hAnsi="Times New Roman"/>
            <w:sz w:val="18"/>
            <w:szCs w:val="18"/>
            <w:lang w:val="en-US"/>
          </w:rPr>
          <w:t xml:space="preserve"> </w:t>
        </w:r>
        <w:r>
          <w:rPr>
            <w:rStyle w:val="Hyperlink"/>
            <w:rFonts w:ascii="Times New Roman" w:hAnsi="Times New Roman"/>
            <w:sz w:val="18"/>
            <w:szCs w:val="18"/>
          </w:rPr>
          <w:t>εξόχως</w:t>
        </w:r>
        <w:r w:rsidRPr="00A70648">
          <w:rPr>
            <w:rStyle w:val="Hyperlink"/>
            <w:rFonts w:ascii="Times New Roman" w:hAnsi="Times New Roman"/>
            <w:sz w:val="18"/>
            <w:szCs w:val="18"/>
            <w:lang w:val="en-US"/>
          </w:rPr>
          <w:t xml:space="preserve"> </w:t>
        </w:r>
        <w:r>
          <w:rPr>
            <w:rStyle w:val="Hyperlink"/>
            <w:rFonts w:ascii="Times New Roman" w:hAnsi="Times New Roman"/>
            <w:sz w:val="18"/>
            <w:szCs w:val="18"/>
          </w:rPr>
          <w:t>απόκεντρες</w:t>
        </w:r>
        <w:r w:rsidRPr="00A70648">
          <w:rPr>
            <w:rStyle w:val="Hyperlink"/>
            <w:rFonts w:ascii="Times New Roman" w:hAnsi="Times New Roman"/>
            <w:sz w:val="18"/>
            <w:szCs w:val="18"/>
            <w:lang w:val="en-US"/>
          </w:rPr>
          <w:t xml:space="preserve"> </w:t>
        </w:r>
        <w:r>
          <w:rPr>
            <w:rStyle w:val="Hyperlink"/>
            <w:rFonts w:ascii="Times New Roman" w:hAnsi="Times New Roman"/>
            <w:sz w:val="18"/>
            <w:szCs w:val="18"/>
          </w:rPr>
          <w:t>περιοχές</w:t>
        </w:r>
        <w:r w:rsidRPr="00A70648">
          <w:rPr>
            <w:rStyle w:val="Hyperlink"/>
            <w:rFonts w:ascii="Times New Roman" w:hAnsi="Times New Roman"/>
            <w:sz w:val="18"/>
            <w:szCs w:val="18"/>
            <w:lang w:val="en-US"/>
          </w:rPr>
          <w:t xml:space="preserve"> — </w:t>
        </w:r>
        <w:r>
          <w:rPr>
            <w:rStyle w:val="Hyperlink"/>
            <w:rFonts w:ascii="Times New Roman" w:hAnsi="Times New Roman"/>
            <w:sz w:val="18"/>
            <w:szCs w:val="18"/>
          </w:rPr>
          <w:t>Τελική</w:t>
        </w:r>
        <w:r w:rsidRPr="00A70648">
          <w:rPr>
            <w:rStyle w:val="Hyperlink"/>
            <w:rFonts w:ascii="Times New Roman" w:hAnsi="Times New Roman"/>
            <w:sz w:val="18"/>
            <w:szCs w:val="18"/>
            <w:lang w:val="en-US"/>
          </w:rPr>
          <w:t xml:space="preserve"> </w:t>
        </w:r>
        <w:r>
          <w:rPr>
            <w:rStyle w:val="Hyperlink"/>
            <w:rFonts w:ascii="Times New Roman" w:hAnsi="Times New Roman"/>
            <w:sz w:val="18"/>
            <w:szCs w:val="18"/>
          </w:rPr>
          <w:t>έκθεση</w:t>
        </w:r>
        <w:r w:rsidRPr="00A70648">
          <w:rPr>
            <w:rStyle w:val="Hyperlink"/>
            <w:rFonts w:ascii="Times New Roman" w:hAnsi="Times New Roman"/>
            <w:sz w:val="18"/>
            <w:szCs w:val="18"/>
            <w:lang w:val="en-US"/>
          </w:rPr>
          <w:t xml:space="preserve">), </w:t>
        </w:r>
        <w:r>
          <w:rPr>
            <w:rStyle w:val="Hyperlink"/>
            <w:rFonts w:ascii="Times New Roman" w:hAnsi="Times New Roman"/>
            <w:sz w:val="18"/>
            <w:szCs w:val="18"/>
          </w:rPr>
          <w:t>Οκτώβριος</w:t>
        </w:r>
        <w:r w:rsidRPr="00A70648">
          <w:rPr>
            <w:rStyle w:val="Hyperlink"/>
            <w:rFonts w:ascii="Times New Roman" w:hAnsi="Times New Roman"/>
            <w:sz w:val="18"/>
            <w:szCs w:val="18"/>
            <w:lang w:val="en-US"/>
          </w:rPr>
          <w:t xml:space="preserve"> 2021 (ec.europa.eu)</w:t>
        </w:r>
      </w:hyperlink>
      <w:r w:rsidRPr="00A70648">
        <w:rPr>
          <w:rFonts w:ascii="Times New Roman" w:hAnsi="Times New Roman"/>
          <w:sz w:val="18"/>
          <w:szCs w:val="18"/>
          <w:lang w:val="en-US"/>
        </w:rPr>
        <w:t>.</w:t>
      </w:r>
    </w:p>
  </w:footnote>
  <w:footnote w:id="70">
    <w:p w:rsidR="001B6AFC" w:rsidRPr="00C05772" w:rsidRDefault="001B6AFC" w:rsidP="007907EC">
      <w:pPr>
        <w:pStyle w:val="FootnoteText"/>
        <w:jc w:val="both"/>
        <w:rPr>
          <w:rFonts w:ascii="Times New Roman" w:hAnsi="Times New Roman"/>
          <w:sz w:val="18"/>
        </w:rPr>
      </w:pPr>
      <w:r>
        <w:rPr>
          <w:rStyle w:val="FootnoteReference"/>
          <w:rFonts w:ascii="Times New Roman" w:hAnsi="Times New Roman" w:cs="Times New Roman"/>
          <w:sz w:val="18"/>
          <w:szCs w:val="18"/>
          <w:lang w:val="en-IE"/>
        </w:rPr>
        <w:footnoteRef/>
      </w:r>
      <w:r>
        <w:rPr>
          <w:rFonts w:ascii="Times New Roman" w:hAnsi="Times New Roman"/>
          <w:sz w:val="18"/>
        </w:rPr>
        <w:tab/>
        <w:t xml:space="preserve">COM(2021) 812 final. </w:t>
      </w:r>
    </w:p>
  </w:footnote>
  <w:footnote w:id="71">
    <w:p w:rsidR="001B6AFC" w:rsidRPr="00B32DA8" w:rsidRDefault="001B6AFC">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tab/>
      </w:r>
      <w:r>
        <w:rPr>
          <w:rFonts w:ascii="Times New Roman" w:hAnsi="Times New Roman"/>
          <w:sz w:val="18"/>
          <w:szCs w:val="18"/>
        </w:rPr>
        <w:t xml:space="preserve">Το ΤΣ καλύπτει τις πορτογαλικές εξόχως απόκεντρες περιοχές. </w:t>
      </w:r>
    </w:p>
  </w:footnote>
  <w:footnote w:id="72">
    <w:p w:rsidR="001B6AFC" w:rsidRPr="00C05772" w:rsidRDefault="001B6AFC">
      <w:pPr>
        <w:pStyle w:val="FootnoteText"/>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rPr>
          <w:rFonts w:ascii="Times New Roman" w:hAnsi="Times New Roman"/>
          <w:sz w:val="18"/>
          <w:szCs w:val="18"/>
        </w:rPr>
        <w:tab/>
        <w:t xml:space="preserve">Κανονισμός (ΕΕ) 2017/2392. </w:t>
      </w:r>
    </w:p>
  </w:footnote>
  <w:footnote w:id="73">
    <w:p w:rsidR="001B6AFC" w:rsidRPr="00C05772" w:rsidRDefault="001B6AFC">
      <w:pPr>
        <w:pStyle w:val="FootnoteText"/>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tab/>
      </w:r>
      <w:r>
        <w:rPr>
          <w:rFonts w:ascii="Times New Roman" w:hAnsi="Times New Roman"/>
          <w:sz w:val="18"/>
          <w:szCs w:val="18"/>
        </w:rPr>
        <w:t>COM(2021) 552 final.</w:t>
      </w:r>
    </w:p>
  </w:footnote>
  <w:footnote w:id="74">
    <w:p w:rsidR="001B6AFC" w:rsidRPr="00E24AB7" w:rsidRDefault="001B6AFC">
      <w:pPr>
        <w:pStyle w:val="FootnoteText"/>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tab/>
      </w:r>
      <w:hyperlink r:id="rId38" w:history="1">
        <w:r>
          <w:rPr>
            <w:rStyle w:val="Hyperlink"/>
            <w:rFonts w:ascii="Times New Roman" w:hAnsi="Times New Roman"/>
            <w:sz w:val="18"/>
            <w:szCs w:val="18"/>
          </w:rPr>
          <w:t>Transition pathway for tourism (Πορεία μετάβασης για τον τουρισμό) (ec.europa.eu)</w:t>
        </w:r>
      </w:hyperlink>
      <w:r>
        <w:rPr>
          <w:rFonts w:ascii="Times New Roman" w:hAnsi="Times New Roman"/>
          <w:sz w:val="18"/>
          <w:szCs w:val="18"/>
        </w:rPr>
        <w:t>.</w:t>
      </w:r>
    </w:p>
  </w:footnote>
  <w:footnote w:id="75">
    <w:p w:rsidR="001B6AFC" w:rsidRPr="00E24AB7" w:rsidRDefault="001B6AFC" w:rsidP="00660446">
      <w:pPr>
        <w:pStyle w:val="FootnoteText"/>
        <w:ind w:left="720" w:hanging="720"/>
        <w:rPr>
          <w:rFonts w:ascii="Times New Roman" w:hAnsi="Times New Roman" w:cs="Times New Roman"/>
          <w:sz w:val="18"/>
          <w:szCs w:val="18"/>
        </w:rPr>
      </w:pPr>
      <w:r>
        <w:rPr>
          <w:rStyle w:val="FootnoteReference"/>
          <w:rFonts w:ascii="Times New Roman" w:hAnsi="Times New Roman" w:cs="Times New Roman"/>
          <w:sz w:val="18"/>
          <w:szCs w:val="18"/>
        </w:rPr>
        <w:footnoteRef/>
      </w:r>
      <w:r>
        <w:tab/>
      </w:r>
      <w:r>
        <w:rPr>
          <w:rFonts w:ascii="Times New Roman" w:hAnsi="Times New Roman"/>
          <w:sz w:val="18"/>
          <w:szCs w:val="18"/>
        </w:rPr>
        <w:t xml:space="preserve">Οι 13 ΥΧΕ είναι συνδεδεμένες με την ΕΕ: Αρούμπα (NL), Μπονέρ (NL), Κουρασάο (NL), Γαλλική Πολυνησία (FR), γαλλικές περιοχές του νοτίου ημισφαιρίου και της Ανταρκτικής (FR), Γροιλανδία (DK), Νέα Καληδονία (FR), Σάμπα (NL), Άγιος Βαρθολομαίος (FR), Άγιος Ευστάθιος (NL), Άγιος Μαρτίνος (NL), Σεν Πιερ και Μικελόν (FR) και Ουάλις και Φουτούνα (FR). </w:t>
      </w:r>
    </w:p>
  </w:footnote>
  <w:footnote w:id="76">
    <w:p w:rsidR="001B6AFC" w:rsidRPr="00E24AB7" w:rsidRDefault="001B6AFC" w:rsidP="00A70648">
      <w:pPr>
        <w:pStyle w:val="FootnoteText"/>
        <w:ind w:left="709" w:hanging="709"/>
        <w:rPr>
          <w:rFonts w:ascii="Times New Roman" w:hAnsi="Times New Roman" w:cs="Times New Roman"/>
          <w:sz w:val="18"/>
          <w:szCs w:val="18"/>
        </w:rPr>
      </w:pPr>
      <w:r>
        <w:rPr>
          <w:rStyle w:val="FootnoteReference"/>
          <w:rFonts w:ascii="Times New Roman" w:hAnsi="Times New Roman" w:cs="Times New Roman"/>
          <w:sz w:val="18"/>
          <w:szCs w:val="18"/>
        </w:rPr>
        <w:footnoteRef/>
      </w:r>
      <w:r>
        <w:tab/>
      </w:r>
      <w:r>
        <w:rPr>
          <w:rFonts w:ascii="Times New Roman" w:hAnsi="Times New Roman"/>
          <w:sz w:val="18"/>
          <w:szCs w:val="18"/>
        </w:rPr>
        <w:t>Για παράδειγμα, οι πρωτοβουλίες «Παρατηρητήριο Πολιτιστικών και Δημιουργικών Πόλεων» και «Πολιτιστικά Διαμάντια».</w:t>
      </w:r>
    </w:p>
  </w:footnote>
  <w:footnote w:id="77">
    <w:p w:rsidR="001B6AFC" w:rsidRPr="00E24AB7" w:rsidRDefault="001B6AFC" w:rsidP="00A70648">
      <w:pPr>
        <w:pStyle w:val="FootnoteText"/>
        <w:ind w:left="709" w:hanging="709"/>
        <w:jc w:val="both"/>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tab/>
      </w:r>
      <w:r>
        <w:rPr>
          <w:rFonts w:ascii="Times New Roman" w:hAnsi="Times New Roman"/>
          <w:sz w:val="18"/>
          <w:szCs w:val="18"/>
        </w:rPr>
        <w:t xml:space="preserve">COM(2020) 380, δέσμευση για την προστασία τουλάχιστον του 30 % της χερσαίας έκτασης της ΕΕ και του 30 % της θαλάσσιας περιοχής της ΕΕ. </w:t>
      </w:r>
    </w:p>
  </w:footnote>
  <w:footnote w:id="78">
    <w:p w:rsidR="001B6AFC" w:rsidRPr="0077641D" w:rsidRDefault="001B6AFC">
      <w:pPr>
        <w:pStyle w:val="FootnoteText"/>
        <w:rPr>
          <w:rFonts w:ascii="Times New Roman" w:hAnsi="Times New Roman"/>
          <w:sz w:val="18"/>
        </w:rPr>
      </w:pPr>
      <w:r>
        <w:rPr>
          <w:rStyle w:val="FootnoteReference"/>
          <w:rFonts w:ascii="Times New Roman" w:hAnsi="Times New Roman" w:cs="Times New Roman"/>
          <w:sz w:val="18"/>
          <w:szCs w:val="18"/>
          <w:lang w:val="en-IE"/>
        </w:rPr>
        <w:footnoteRef/>
      </w:r>
      <w:r>
        <w:tab/>
      </w:r>
      <w:hyperlink r:id="rId39" w:history="1">
        <w:r>
          <w:rPr>
            <w:rStyle w:val="Hyperlink"/>
            <w:rFonts w:ascii="Times New Roman" w:hAnsi="Times New Roman"/>
            <w:sz w:val="18"/>
          </w:rPr>
          <w:t>Natura 2000 (ec.europa.eu)</w:t>
        </w:r>
      </w:hyperlink>
      <w:r>
        <w:rPr>
          <w:rFonts w:ascii="Times New Roman" w:hAnsi="Times New Roman"/>
          <w:sz w:val="18"/>
        </w:rPr>
        <w:t>.</w:t>
      </w:r>
    </w:p>
  </w:footnote>
  <w:footnote w:id="79">
    <w:p w:rsidR="001B6AFC" w:rsidRPr="00E24AB7" w:rsidRDefault="001B6AFC" w:rsidP="00660446">
      <w:pPr>
        <w:pStyle w:val="FootnoteText"/>
        <w:ind w:left="720" w:hanging="720"/>
        <w:jc w:val="both"/>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tab/>
      </w:r>
      <w:r>
        <w:rPr>
          <w:rFonts w:ascii="Times New Roman" w:hAnsi="Times New Roman"/>
          <w:sz w:val="18"/>
          <w:szCs w:val="18"/>
        </w:rPr>
        <w:t>Το InvestEU είναι μια δημοσιονομική εγγύηση που αποσκοπεί στη μόχλευση ιδιωτικών και δημόσιων πόρων για τη στήριξη επενδύσεων σε: βιώσιμες υποδομές· έρευνα, καινοτομία και ψηφιοποίηση· μικρές επιχειρήσεις· καθώς και σε κοινωνικές επενδύσεις και δεξιότητες.</w:t>
      </w:r>
    </w:p>
  </w:footnote>
  <w:footnote w:id="80">
    <w:p w:rsidR="001B6AFC" w:rsidRPr="00E24AB7" w:rsidRDefault="001B6AFC" w:rsidP="004430AB">
      <w:pPr>
        <w:pStyle w:val="FootnoteText"/>
        <w:jc w:val="both"/>
        <w:rPr>
          <w:rFonts w:ascii="Times New Roman" w:hAnsi="Times New Roman" w:cs="Times New Roman"/>
          <w:sz w:val="18"/>
          <w:szCs w:val="18"/>
        </w:rPr>
      </w:pPr>
      <w:r>
        <w:rPr>
          <w:rFonts w:ascii="Times New Roman" w:hAnsi="Times New Roman" w:cs="Times New Roman"/>
          <w:sz w:val="18"/>
          <w:szCs w:val="18"/>
          <w:vertAlign w:val="superscript"/>
          <w:lang w:val="en-IE"/>
        </w:rPr>
        <w:footnoteRef/>
      </w:r>
      <w:r>
        <w:tab/>
      </w:r>
      <w:r>
        <w:rPr>
          <w:rFonts w:ascii="Times New Roman" w:hAnsi="Times New Roman"/>
          <w:sz w:val="18"/>
          <w:szCs w:val="18"/>
        </w:rPr>
        <w:t xml:space="preserve">Κανονισμός (ΕΕ) 2021/783· Πρόγραμμα εργασίας LIFE για την περίοδο 2021-2024 — C(2021) 4997 final. </w:t>
      </w:r>
    </w:p>
  </w:footnote>
  <w:footnote w:id="81">
    <w:p w:rsidR="001B6AFC" w:rsidRPr="00E24AB7" w:rsidRDefault="001B6AFC" w:rsidP="00A70648">
      <w:pPr>
        <w:pStyle w:val="FootnoteText"/>
        <w:ind w:left="709" w:hanging="709"/>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tab/>
      </w:r>
      <w:r>
        <w:rPr>
          <w:rFonts w:ascii="Times New Roman" w:hAnsi="Times New Roman"/>
          <w:sz w:val="18"/>
          <w:szCs w:val="18"/>
        </w:rPr>
        <w:t>Στη γνωμοδότηση ECO/567 της ΕΟΚΕ ζητείται να καταβληθούν προσπάθειες στον τομέα της έρευνας και της καινοτομίας που σχετίζεται με τους ωκεανούς.</w:t>
      </w:r>
    </w:p>
  </w:footnote>
  <w:footnote w:id="82">
    <w:p w:rsidR="001B6AFC" w:rsidRPr="00E24AB7" w:rsidRDefault="001B6AFC" w:rsidP="00660446">
      <w:pPr>
        <w:pStyle w:val="FootnoteText"/>
        <w:ind w:left="720" w:hanging="720"/>
        <w:jc w:val="both"/>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tab/>
      </w:r>
      <w:r>
        <w:rPr>
          <w:rFonts w:ascii="Times New Roman" w:hAnsi="Times New Roman"/>
          <w:sz w:val="18"/>
          <w:szCs w:val="18"/>
        </w:rPr>
        <w:t xml:space="preserve">Σύμφωνα με τη στρατηγική της </w:t>
      </w:r>
      <w:r>
        <w:rPr>
          <w:rStyle w:val="Hyperlink"/>
          <w:rFonts w:ascii="Times New Roman" w:hAnsi="Times New Roman"/>
          <w:color w:val="auto"/>
          <w:sz w:val="18"/>
          <w:szCs w:val="18"/>
          <w:u w:val="none"/>
        </w:rPr>
        <w:t>ΕΕ</w:t>
      </w:r>
      <w:r>
        <w:rPr>
          <w:rFonts w:ascii="Times New Roman" w:hAnsi="Times New Roman"/>
          <w:sz w:val="18"/>
          <w:szCs w:val="18"/>
        </w:rPr>
        <w:t xml:space="preserve"> για τη βιοποικιλότητα με ορίζοντα το 2030, η δράση για τη βιοποικιλότητα απαιτεί τουλάχιστον 20 δισ. EUR ετησίως, ενώ τα ταμεία και τα προγράμματα της ΕΕ πρέπει να ενσωματώσουν τη βιοποικιλότητα σε ποσοστό έως και 7,5 % των ετήσιων δαπανών το 2024 και 10 % την περίοδο 2026-2027. </w:t>
      </w:r>
    </w:p>
  </w:footnote>
  <w:footnote w:id="83">
    <w:p w:rsidR="001B6AFC" w:rsidRPr="00BB7388" w:rsidRDefault="001B6AFC">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tab/>
      </w:r>
      <w:r>
        <w:rPr>
          <w:rFonts w:ascii="Times New Roman" w:hAnsi="Times New Roman"/>
          <w:sz w:val="18"/>
          <w:szCs w:val="18"/>
        </w:rPr>
        <w:t>Αυτό αφορά είδη που δεν έχουν αξιολογηθεί ακόμη από τη Διεθνή Ένωση για τη Διατήρηση της Φύσης.</w:t>
      </w:r>
    </w:p>
  </w:footnote>
  <w:footnote w:id="84">
    <w:p w:rsidR="001B6AFC" w:rsidRPr="00E24AB7" w:rsidRDefault="001B6AFC">
      <w:pPr>
        <w:pStyle w:val="FootnoteText"/>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tab/>
      </w:r>
      <w:r>
        <w:rPr>
          <w:rFonts w:ascii="Times New Roman" w:hAnsi="Times New Roman"/>
          <w:sz w:val="18"/>
          <w:szCs w:val="18"/>
        </w:rPr>
        <w:t>Δήλωση της CPRUP του Νοεμβρίου του 2021.</w:t>
      </w:r>
    </w:p>
  </w:footnote>
  <w:footnote w:id="85">
    <w:p w:rsidR="001B6AFC" w:rsidRPr="00A70648" w:rsidRDefault="001B6AFC">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sidRPr="00A70648">
        <w:rPr>
          <w:rFonts w:ascii="Times New Roman" w:hAnsi="Times New Roman"/>
          <w:sz w:val="18"/>
          <w:szCs w:val="18"/>
          <w:lang w:val="en-US"/>
        </w:rPr>
        <w:t xml:space="preserve"> </w:t>
      </w:r>
      <w:r w:rsidRPr="00A70648">
        <w:rPr>
          <w:lang w:val="en-US"/>
        </w:rPr>
        <w:tab/>
      </w:r>
      <w:hyperlink r:id="rId40" w:history="1">
        <w:r>
          <w:rPr>
            <w:rStyle w:val="Hyperlink"/>
            <w:rFonts w:ascii="Times New Roman" w:hAnsi="Times New Roman"/>
            <w:sz w:val="18"/>
            <w:szCs w:val="18"/>
          </w:rPr>
          <w:t>Έργο</w:t>
        </w:r>
        <w:r w:rsidRPr="00A70648">
          <w:rPr>
            <w:rStyle w:val="Hyperlink"/>
            <w:rFonts w:ascii="Times New Roman" w:hAnsi="Times New Roman"/>
            <w:sz w:val="18"/>
            <w:szCs w:val="18"/>
            <w:lang w:val="en-US"/>
          </w:rPr>
          <w:t xml:space="preserve"> MOVE-ON (moveon-project.eu)</w:t>
        </w:r>
      </w:hyperlink>
      <w:r w:rsidRPr="00A70648">
        <w:rPr>
          <w:lang w:val="en-US"/>
        </w:rPr>
        <w:t>.</w:t>
      </w:r>
      <w:r w:rsidRPr="00A70648">
        <w:rPr>
          <w:rFonts w:ascii="Times New Roman" w:hAnsi="Times New Roman"/>
          <w:sz w:val="18"/>
          <w:szCs w:val="18"/>
          <w:lang w:val="en-US"/>
        </w:rPr>
        <w:t xml:space="preserve"> </w:t>
      </w:r>
    </w:p>
  </w:footnote>
  <w:footnote w:id="86">
    <w:p w:rsidR="001B6AFC" w:rsidRPr="00E24AB7" w:rsidRDefault="001B6AFC">
      <w:pPr>
        <w:pStyle w:val="FootnoteText"/>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tab/>
      </w:r>
      <w:r>
        <w:rPr>
          <w:rFonts w:ascii="Times New Roman" w:hAnsi="Times New Roman"/>
          <w:sz w:val="18"/>
          <w:szCs w:val="18"/>
        </w:rPr>
        <w:t>Όπως προτείνεται στο ψήφισμα του Ευρωπαϊκού Κοινοβουλίου (2020/2120(INI)).</w:t>
      </w:r>
    </w:p>
  </w:footnote>
  <w:footnote w:id="87">
    <w:p w:rsidR="001B6AFC" w:rsidRPr="00E24AB7" w:rsidRDefault="001B6AFC" w:rsidP="00A70648">
      <w:pPr>
        <w:pStyle w:val="FootnoteText"/>
        <w:ind w:left="709" w:hanging="709"/>
        <w:jc w:val="both"/>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tab/>
      </w:r>
      <w:hyperlink r:id="rId41" w:history="1">
        <w:r>
          <w:rPr>
            <w:rStyle w:val="Hyperlink"/>
            <w:rFonts w:ascii="Times New Roman" w:hAnsi="Times New Roman"/>
            <w:sz w:val="18"/>
            <w:szCs w:val="18"/>
          </w:rPr>
          <w:t>Δημόσια διαβούλευση σχετικά με τους αναθεωρημένους κανόνες για τις κρατικές ενισχύσεις στον τομέα της αλιείας και της υδατοκαλλιέργειας (ec.europa.eu)</w:t>
        </w:r>
      </w:hyperlink>
      <w:r>
        <w:rPr>
          <w:rFonts w:ascii="Times New Roman" w:hAnsi="Times New Roman"/>
          <w:sz w:val="18"/>
          <w:szCs w:val="18"/>
        </w:rPr>
        <w:t>.</w:t>
      </w:r>
    </w:p>
  </w:footnote>
  <w:footnote w:id="88">
    <w:p w:rsidR="001B6AFC" w:rsidRPr="00E24AB7" w:rsidRDefault="001B6AFC" w:rsidP="00121975">
      <w:pPr>
        <w:pStyle w:val="FootnoteText"/>
        <w:ind w:left="709" w:hanging="709"/>
        <w:rPr>
          <w:rFonts w:ascii="Times New Roman" w:hAnsi="Times New Roman" w:cs="Times New Roman"/>
          <w:sz w:val="18"/>
          <w:szCs w:val="18"/>
        </w:rPr>
      </w:pPr>
      <w:r>
        <w:rPr>
          <w:rStyle w:val="FootnoteReference"/>
          <w:rFonts w:ascii="Times New Roman" w:hAnsi="Times New Roman" w:cs="Times New Roman"/>
          <w:sz w:val="18"/>
          <w:szCs w:val="18"/>
        </w:rPr>
        <w:footnoteRef/>
      </w:r>
      <w:r>
        <w:tab/>
      </w:r>
      <w:hyperlink r:id="rId42" w:history="1">
        <w:r>
          <w:rPr>
            <w:rStyle w:val="Hyperlink"/>
            <w:rFonts w:ascii="Times New Roman" w:hAnsi="Times New Roman"/>
            <w:sz w:val="18"/>
            <w:szCs w:val="18"/>
          </w:rPr>
          <w:t>Overview of the state of data collection and scientific advice in the EU ORs, with case study on a roadmap towards regular stock assessment in French Guiana (Επισκόπηση της κατάστασης της συλλογής δεδομένων και των επιστημονικών γνωμοδοτήσεων στις ΕΑΠ της ΕΕ, με περιπτωσιολογική μελέτη σχετικά με χάρτη πορείας προς την τακτική αξιολόγηση των αποθεμάτων στη Γαλλική Γουιάνα) — Υπηρεσία Εκδόσεων της ΕΕ (ec.europa.eu)</w:t>
        </w:r>
      </w:hyperlink>
      <w:r>
        <w:rPr>
          <w:rFonts w:ascii="Times New Roman" w:hAnsi="Times New Roman"/>
          <w:sz w:val="18"/>
          <w:szCs w:val="18"/>
        </w:rPr>
        <w:t>.</w:t>
      </w:r>
    </w:p>
  </w:footnote>
  <w:footnote w:id="89">
    <w:p w:rsidR="001B6AFC" w:rsidRPr="00CB62BB" w:rsidRDefault="001B6AFC" w:rsidP="003F1601">
      <w:pPr>
        <w:pStyle w:val="FootnoteText"/>
        <w:ind w:left="709" w:hanging="709"/>
      </w:pPr>
      <w:r>
        <w:rPr>
          <w:rStyle w:val="FootnoteReference"/>
          <w:rFonts w:ascii="Times New Roman" w:hAnsi="Times New Roman" w:cs="Times New Roman"/>
          <w:sz w:val="18"/>
        </w:rPr>
        <w:footnoteRef/>
      </w:r>
      <w:r>
        <w:tab/>
      </w:r>
      <w:r>
        <w:rPr>
          <w:rFonts w:ascii="Times New Roman" w:hAnsi="Times New Roman"/>
          <w:color w:val="000000" w:themeColor="text1"/>
          <w:sz w:val="18"/>
          <w:szCs w:val="18"/>
        </w:rPr>
        <w:t>Ανακοίνωση σχετικά με τις κατευθυντήριες γραμμές για την ανάλυση της ισορροπίας μεταξύ της αλιευτικής ικανότητας και των αλιευτικών δυνατοτήτων [COM(2014) 545].</w:t>
      </w:r>
    </w:p>
  </w:footnote>
  <w:footnote w:id="90">
    <w:p w:rsidR="001B6AFC" w:rsidRPr="00CB62BB" w:rsidRDefault="001B6AFC" w:rsidP="00CB62BB">
      <w:pPr>
        <w:pStyle w:val="FootnoteText"/>
        <w:ind w:left="709" w:hanging="709"/>
        <w:rPr>
          <w:rFonts w:ascii="Times New Roman" w:hAnsi="Times New Roman" w:cs="Times New Roman"/>
          <w:sz w:val="18"/>
          <w:szCs w:val="18"/>
        </w:rPr>
      </w:pPr>
      <w:r>
        <w:rPr>
          <w:rStyle w:val="FootnoteReference"/>
          <w:rFonts w:ascii="Times New Roman" w:hAnsi="Times New Roman" w:cs="Times New Roman"/>
          <w:sz w:val="18"/>
        </w:rPr>
        <w:footnoteRef/>
      </w:r>
      <w:r>
        <w:tab/>
      </w:r>
      <w:r>
        <w:rPr>
          <w:rFonts w:ascii="Times New Roman" w:hAnsi="Times New Roman"/>
          <w:sz w:val="18"/>
          <w:szCs w:val="18"/>
        </w:rPr>
        <w:t xml:space="preserve">Κατευθυντήριες γραμμές για την εξέταση κρατικών ενισχύσεων στον τομέα της αλιείας και της υδατοκαλλιέργειας (ΕΕ C 217 της 2.7.2015, σ. 1), όπως τροποποιήθηκαν με την ανακοίνωση για την τροποποίηση των κατευθυντήριων γραμμών και τον κανονισμό της Επιτροπής </w:t>
      </w:r>
      <w:r>
        <w:rPr>
          <w:rFonts w:ascii="Times New Roman" w:hAnsi="Times New Roman"/>
          <w:iCs/>
          <w:color w:val="000000"/>
          <w:sz w:val="18"/>
          <w:szCs w:val="18"/>
        </w:rPr>
        <w:t>(ΕΕ C 422 της 22.11.2018, σ. 1).</w:t>
      </w:r>
    </w:p>
  </w:footnote>
  <w:footnote w:id="91">
    <w:p w:rsidR="001B6AFC" w:rsidRPr="00F20355" w:rsidRDefault="001B6AFC" w:rsidP="006617B2">
      <w:pPr>
        <w:pStyle w:val="FootnoteText"/>
        <w:ind w:left="709" w:hanging="709"/>
      </w:pPr>
      <w:r>
        <w:rPr>
          <w:rStyle w:val="FootnoteReference"/>
          <w:rFonts w:ascii="Times New Roman" w:hAnsi="Times New Roman" w:cs="Times New Roman"/>
          <w:sz w:val="18"/>
        </w:rPr>
        <w:footnoteRef/>
      </w:r>
      <w:r>
        <w:tab/>
      </w:r>
      <w:hyperlink r:id="rId43" w:history="1">
        <w:r>
          <w:rPr>
            <w:rStyle w:val="Hyperlink"/>
            <w:rFonts w:ascii="Times New Roman" w:hAnsi="Times New Roman"/>
            <w:sz w:val="18"/>
            <w:szCs w:val="18"/>
          </w:rPr>
          <w:t>Επισκόπηση της κατάστασης της συλλογής δεδομένων και των επιστημονικών γνωμοδοτήσεων για τις εξόχως απόκεντρες περιοχές της ΕΕ (ec.europa.eu)</w:t>
        </w:r>
      </w:hyperlink>
      <w:r>
        <w:rPr>
          <w:rFonts w:ascii="Times New Roman" w:hAnsi="Times New Roman"/>
          <w:sz w:val="18"/>
          <w:szCs w:val="18"/>
        </w:rPr>
        <w:t>.</w:t>
      </w:r>
    </w:p>
  </w:footnote>
  <w:footnote w:id="92">
    <w:p w:rsidR="001B6AFC" w:rsidRPr="00E24AB7" w:rsidRDefault="001B6AFC" w:rsidP="00A054C1">
      <w:pPr>
        <w:pStyle w:val="FootnoteText"/>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lang w:val="en-IE"/>
        </w:rPr>
        <w:footnoteRef/>
      </w:r>
      <w:r>
        <w:tab/>
      </w:r>
      <w:r>
        <w:rPr>
          <w:rStyle w:val="Emphasis"/>
          <w:rFonts w:ascii="Times New Roman" w:hAnsi="Times New Roman"/>
          <w:i w:val="0"/>
          <w:iCs w:val="0"/>
          <w:color w:val="000000" w:themeColor="text1"/>
          <w:sz w:val="18"/>
          <w:szCs w:val="18"/>
        </w:rPr>
        <w:t>Πρόγραμμα</w:t>
      </w:r>
      <w:r>
        <w:rPr>
          <w:rFonts w:ascii="Times New Roman" w:hAnsi="Times New Roman"/>
          <w:i/>
          <w:iCs/>
          <w:color w:val="000000" w:themeColor="text1"/>
          <w:sz w:val="18"/>
          <w:szCs w:val="18"/>
        </w:rPr>
        <w:t xml:space="preserve"> </w:t>
      </w:r>
      <w:r>
        <w:rPr>
          <w:rFonts w:ascii="Times New Roman" w:hAnsi="Times New Roman"/>
          <w:color w:val="000000" w:themeColor="text1"/>
          <w:sz w:val="18"/>
          <w:szCs w:val="18"/>
        </w:rPr>
        <w:t>ειδικών μέτρων λόγω του απομακρυσμένου και νησιωτικού χαρακτήρα· κανονισμός (ΕΕ) αριθ. 228/2013.</w:t>
      </w:r>
    </w:p>
  </w:footnote>
  <w:footnote w:id="93">
    <w:p w:rsidR="001B6AFC" w:rsidRPr="00E24AB7" w:rsidRDefault="001B6AFC">
      <w:pPr>
        <w:pStyle w:val="FootnoteText"/>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tab/>
      </w:r>
      <w:r>
        <w:rPr>
          <w:rFonts w:ascii="Times New Roman" w:hAnsi="Times New Roman"/>
          <w:sz w:val="18"/>
          <w:szCs w:val="18"/>
        </w:rPr>
        <w:t xml:space="preserve">Αιτιολογική σκέψη 99 του κανονισμού (ΕΕ) 2021/2115. </w:t>
      </w:r>
    </w:p>
  </w:footnote>
  <w:footnote w:id="94">
    <w:p w:rsidR="001B6AFC" w:rsidRPr="00E24AB7" w:rsidRDefault="001B6AFC">
      <w:pPr>
        <w:pStyle w:val="FootnoteText"/>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tab/>
      </w:r>
      <w:r>
        <w:rPr>
          <w:rFonts w:ascii="Times New Roman" w:hAnsi="Times New Roman"/>
          <w:sz w:val="18"/>
          <w:szCs w:val="18"/>
        </w:rPr>
        <w:t>COM(2020) 846 final· SWD(2020) 379· SWD(2020) 374· SWD(2020) 398.</w:t>
      </w:r>
    </w:p>
  </w:footnote>
  <w:footnote w:id="95">
    <w:p w:rsidR="001B6AFC" w:rsidRPr="00E24AB7" w:rsidRDefault="001B6AFC" w:rsidP="00B32DA8">
      <w:pPr>
        <w:pStyle w:val="FootnoteText"/>
        <w:ind w:left="720" w:hanging="720"/>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lang w:val="en-IE"/>
        </w:rPr>
        <w:footnoteRef/>
      </w:r>
      <w:r>
        <w:tab/>
      </w:r>
      <w:r>
        <w:rPr>
          <w:rFonts w:ascii="Times New Roman" w:hAnsi="Times New Roman"/>
          <w:color w:val="000000" w:themeColor="text1"/>
          <w:sz w:val="18"/>
          <w:szCs w:val="18"/>
        </w:rPr>
        <w:t xml:space="preserve">Κατευθυντήριες γραμμές της Ευρωπαϊκής Ένωσης σχετικά με τις κρατικές ενισχύσεις στον γεωργικό και τον δασοκομικό τομέα και στις αγροτικές περιοχές για την περίοδο 2014-2020 (ΕΕ C 201 της 1.7.2014, σ. 1), όπως παρατάθηκαν έως τις 31 Δεκεμβρίου 2022 (ΕΕ C 424 της 8.12.2020, σ. 30)· Κανονισμός (ΕΕ) </w:t>
      </w:r>
      <w:r>
        <w:rPr>
          <w:rFonts w:ascii="Times New Roman" w:hAnsi="Times New Roman"/>
          <w:bCs/>
          <w:color w:val="000000" w:themeColor="text1"/>
          <w:sz w:val="18"/>
          <w:szCs w:val="18"/>
        </w:rPr>
        <w:t>αριθ. 702/2014</w:t>
      </w:r>
      <w:r>
        <w:rPr>
          <w:rFonts w:ascii="Times New Roman" w:hAnsi="Times New Roman"/>
          <w:color w:val="000000" w:themeColor="text1"/>
          <w:sz w:val="18"/>
          <w:szCs w:val="18"/>
        </w:rPr>
        <w:t xml:space="preserve"> της Επιτροπής.</w:t>
      </w:r>
      <w:r>
        <w:rPr>
          <w:rFonts w:ascii="Times New Roman" w:hAnsi="Times New Roman"/>
          <w:bCs/>
          <w:color w:val="000000" w:themeColor="text1"/>
          <w:sz w:val="18"/>
          <w:szCs w:val="18"/>
        </w:rPr>
        <w:t xml:space="preserve"> </w:t>
      </w:r>
    </w:p>
  </w:footnote>
  <w:footnote w:id="96">
    <w:p w:rsidR="001B6AFC" w:rsidRPr="00E24AB7" w:rsidRDefault="001B6AFC" w:rsidP="00A70648">
      <w:pPr>
        <w:pStyle w:val="FootnoteText"/>
        <w:ind w:left="709" w:hanging="709"/>
        <w:jc w:val="both"/>
        <w:rPr>
          <w:rFonts w:ascii="Times New Roman" w:hAnsi="Times New Roman" w:cs="Times New Roman"/>
          <w:color w:val="000000" w:themeColor="text1"/>
          <w:sz w:val="18"/>
          <w:szCs w:val="18"/>
        </w:rPr>
      </w:pPr>
      <w:r>
        <w:rPr>
          <w:rStyle w:val="FootnoteReference"/>
          <w:rFonts w:ascii="Times New Roman" w:hAnsi="Times New Roman" w:cs="Times New Roman"/>
          <w:color w:val="000000" w:themeColor="text1"/>
          <w:sz w:val="18"/>
          <w:szCs w:val="18"/>
          <w:lang w:val="en-IE"/>
        </w:rPr>
        <w:footnoteRef/>
      </w:r>
      <w:r>
        <w:tab/>
      </w:r>
      <w:hyperlink r:id="rId44" w:history="1">
        <w:r>
          <w:rPr>
            <w:rStyle w:val="Hyperlink"/>
            <w:rFonts w:ascii="Times New Roman" w:hAnsi="Times New Roman"/>
            <w:sz w:val="18"/>
            <w:szCs w:val="18"/>
          </w:rPr>
          <w:t>Δημόσια διαβούλευση για τους αναθεωρημένους κανόνες για τις κρατικές ενισχύσεις στους τομείς της γεωργίας και δασοκομίας και σε αγροτικές περιοχές (ec.europa.eu)</w:t>
        </w:r>
      </w:hyperlink>
      <w:r>
        <w:rPr>
          <w:rFonts w:ascii="Times New Roman" w:hAnsi="Times New Roman"/>
          <w:color w:val="000000" w:themeColor="text1"/>
          <w:sz w:val="18"/>
          <w:szCs w:val="18"/>
        </w:rPr>
        <w:t>.</w:t>
      </w:r>
    </w:p>
  </w:footnote>
  <w:footnote w:id="97">
    <w:p w:rsidR="001B6AFC" w:rsidRPr="00A70648" w:rsidRDefault="001B6AFC" w:rsidP="00EA5A92">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lang w:val="en-IE"/>
        </w:rPr>
        <w:footnoteRef/>
      </w:r>
      <w:r w:rsidRPr="00A70648">
        <w:rPr>
          <w:lang w:val="en-US"/>
        </w:rPr>
        <w:tab/>
      </w:r>
      <w:r w:rsidRPr="00A70648">
        <w:rPr>
          <w:rFonts w:ascii="Times New Roman" w:hAnsi="Times New Roman"/>
          <w:sz w:val="18"/>
          <w:szCs w:val="18"/>
          <w:lang w:val="en-US"/>
        </w:rPr>
        <w:t xml:space="preserve">COM(2022) 133 final. </w:t>
      </w:r>
    </w:p>
  </w:footnote>
  <w:footnote w:id="98">
    <w:p w:rsidR="001B6AFC" w:rsidRPr="00A70648" w:rsidRDefault="001B6AFC">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sidRPr="00A70648">
        <w:rPr>
          <w:lang w:val="en-US"/>
        </w:rPr>
        <w:tab/>
      </w:r>
      <w:r w:rsidRPr="00A70648">
        <w:rPr>
          <w:rFonts w:ascii="Times New Roman" w:hAnsi="Times New Roman"/>
          <w:sz w:val="18"/>
          <w:szCs w:val="18"/>
          <w:lang w:val="en-US"/>
        </w:rPr>
        <w:t>C(2022) 1890.</w:t>
      </w:r>
    </w:p>
  </w:footnote>
  <w:footnote w:id="99">
    <w:p w:rsidR="001B6AFC" w:rsidRPr="00A70648" w:rsidRDefault="001B6AFC" w:rsidP="0010272F">
      <w:pPr>
        <w:pStyle w:val="FootnoteText"/>
        <w:rPr>
          <w:lang w:val="en-US"/>
        </w:rPr>
      </w:pPr>
      <w:r>
        <w:rPr>
          <w:rStyle w:val="FootnoteReference"/>
          <w:rFonts w:ascii="Times New Roman" w:hAnsi="Times New Roman" w:cs="Times New Roman"/>
          <w:sz w:val="18"/>
        </w:rPr>
        <w:footnoteRef/>
      </w:r>
      <w:r w:rsidRPr="00A70648">
        <w:rPr>
          <w:lang w:val="en-US"/>
        </w:rPr>
        <w:tab/>
      </w:r>
      <w:r w:rsidRPr="00A70648">
        <w:rPr>
          <w:rFonts w:ascii="Times New Roman" w:hAnsi="Times New Roman"/>
          <w:sz w:val="18"/>
          <w:szCs w:val="18"/>
          <w:lang w:val="en-US"/>
        </w:rPr>
        <w:t>COM(2021) 765 final.</w:t>
      </w:r>
    </w:p>
  </w:footnote>
  <w:footnote w:id="100">
    <w:p w:rsidR="001B6AFC" w:rsidRPr="00E24AB7" w:rsidRDefault="001B6AFC" w:rsidP="006528B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tab/>
      </w:r>
      <w:r>
        <w:rPr>
          <w:rFonts w:ascii="Times New Roman" w:hAnsi="Times New Roman"/>
          <w:sz w:val="18"/>
          <w:szCs w:val="18"/>
        </w:rPr>
        <w:t xml:space="preserve">COM(2019) 640 final. </w:t>
      </w:r>
    </w:p>
  </w:footnote>
  <w:footnote w:id="101">
    <w:p w:rsidR="001B6AFC" w:rsidRPr="00C05772" w:rsidRDefault="001B6AFC" w:rsidP="00CC0215">
      <w:pPr>
        <w:pStyle w:val="FootnoteText"/>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tab/>
      </w:r>
      <w:r>
        <w:rPr>
          <w:rFonts w:ascii="Times New Roman" w:hAnsi="Times New Roman"/>
          <w:sz w:val="18"/>
          <w:szCs w:val="18"/>
        </w:rPr>
        <w:t xml:space="preserve">COM(2021) 568 final. </w:t>
      </w:r>
    </w:p>
  </w:footnote>
  <w:footnote w:id="102">
    <w:p w:rsidR="001B6AFC" w:rsidRPr="00E24AB7" w:rsidRDefault="001B6AFC" w:rsidP="00A70648">
      <w:pPr>
        <w:pStyle w:val="FootnoteText"/>
        <w:spacing w:before="40"/>
        <w:ind w:left="709" w:hanging="709"/>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tab/>
      </w:r>
      <w:r>
        <w:rPr>
          <w:rFonts w:ascii="Times New Roman" w:hAnsi="Times New Roman"/>
          <w:sz w:val="18"/>
          <w:szCs w:val="18"/>
        </w:rPr>
        <w:t>Δήλωση της CPRUP του Νοεμβρίου 2021, Κοινή θέση των κρατών μελών και των εξόχως απόκεντρων περιοχών του Ιανουαρίου 2022.</w:t>
      </w:r>
    </w:p>
  </w:footnote>
  <w:footnote w:id="103">
    <w:p w:rsidR="001B6AFC" w:rsidRPr="00A70648" w:rsidRDefault="001B6AFC" w:rsidP="00ED035A">
      <w:pPr>
        <w:pStyle w:val="FootnoteText"/>
        <w:jc w:val="both"/>
        <w:rPr>
          <w:rFonts w:ascii="Times New Roman" w:hAnsi="Times New Roman" w:cs="Times New Roman"/>
          <w:sz w:val="18"/>
          <w:szCs w:val="18"/>
          <w:lang w:val="en-US"/>
        </w:rPr>
      </w:pPr>
      <w:r>
        <w:rPr>
          <w:rStyle w:val="FootnoteReference"/>
          <w:rFonts w:ascii="Times New Roman" w:hAnsi="Times New Roman" w:cs="Times New Roman"/>
          <w:sz w:val="18"/>
          <w:szCs w:val="18"/>
          <w:lang w:val="en-IE"/>
        </w:rPr>
        <w:footnoteRef/>
      </w:r>
      <w:r w:rsidRPr="00A70648">
        <w:rPr>
          <w:lang w:val="en-US"/>
        </w:rPr>
        <w:tab/>
      </w:r>
      <w:r>
        <w:rPr>
          <w:rFonts w:ascii="Times New Roman" w:hAnsi="Times New Roman"/>
          <w:sz w:val="18"/>
          <w:szCs w:val="18"/>
        </w:rPr>
        <w:t>Οδηγία</w:t>
      </w:r>
      <w:r w:rsidRPr="00A70648">
        <w:rPr>
          <w:rFonts w:ascii="Times New Roman" w:hAnsi="Times New Roman"/>
          <w:sz w:val="18"/>
          <w:szCs w:val="18"/>
          <w:lang w:val="en-US"/>
        </w:rPr>
        <w:t xml:space="preserve"> 2012/27/</w:t>
      </w:r>
      <w:r>
        <w:rPr>
          <w:rFonts w:ascii="Times New Roman" w:hAnsi="Times New Roman"/>
          <w:sz w:val="18"/>
          <w:szCs w:val="18"/>
        </w:rPr>
        <w:t>ΕΕ</w:t>
      </w:r>
      <w:r w:rsidRPr="00A70648">
        <w:rPr>
          <w:rFonts w:ascii="Times New Roman" w:hAnsi="Times New Roman"/>
          <w:sz w:val="18"/>
          <w:szCs w:val="18"/>
          <w:lang w:val="en-US"/>
        </w:rPr>
        <w:t xml:space="preserve">. </w:t>
      </w:r>
    </w:p>
  </w:footnote>
  <w:footnote w:id="104">
    <w:p w:rsidR="001B6AFC" w:rsidRPr="00A70648" w:rsidRDefault="001B6AFC" w:rsidP="004936F9">
      <w:pPr>
        <w:pStyle w:val="FootnoteText"/>
        <w:jc w:val="both"/>
        <w:rPr>
          <w:rFonts w:ascii="Times New Roman" w:hAnsi="Times New Roman" w:cs="Times New Roman"/>
          <w:sz w:val="18"/>
          <w:szCs w:val="18"/>
          <w:lang w:val="en-US"/>
        </w:rPr>
      </w:pPr>
      <w:r>
        <w:rPr>
          <w:rStyle w:val="FootnoteReference"/>
          <w:rFonts w:ascii="Times New Roman" w:hAnsi="Times New Roman" w:cs="Times New Roman"/>
          <w:sz w:val="18"/>
          <w:szCs w:val="18"/>
          <w:lang w:val="en-IE"/>
        </w:rPr>
        <w:footnoteRef/>
      </w:r>
      <w:r w:rsidRPr="00A70648">
        <w:rPr>
          <w:lang w:val="en-US"/>
        </w:rPr>
        <w:tab/>
      </w:r>
      <w:r w:rsidRPr="00A70648">
        <w:rPr>
          <w:rFonts w:ascii="Times New Roman" w:hAnsi="Times New Roman"/>
          <w:sz w:val="18"/>
          <w:szCs w:val="18"/>
          <w:lang w:val="en-US"/>
        </w:rPr>
        <w:t>COM(2021) 557 final.</w:t>
      </w:r>
    </w:p>
  </w:footnote>
  <w:footnote w:id="105">
    <w:p w:rsidR="001B6AFC" w:rsidRPr="00A70648" w:rsidRDefault="001B6AFC" w:rsidP="00043ECD">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lang w:val="en-IE"/>
        </w:rPr>
        <w:footnoteRef/>
      </w:r>
      <w:r w:rsidRPr="00A70648">
        <w:rPr>
          <w:lang w:val="en-US"/>
        </w:rPr>
        <w:tab/>
      </w:r>
      <w:r w:rsidRPr="00A70648">
        <w:rPr>
          <w:rFonts w:ascii="Times New Roman" w:hAnsi="Times New Roman"/>
          <w:sz w:val="18"/>
          <w:szCs w:val="18"/>
          <w:lang w:val="en-US"/>
        </w:rPr>
        <w:t>COM(2021) 741 final.</w:t>
      </w:r>
    </w:p>
  </w:footnote>
  <w:footnote w:id="106">
    <w:p w:rsidR="001B6AFC" w:rsidRPr="00A70648" w:rsidRDefault="001B6AFC" w:rsidP="00D94A3A">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lang w:val="en-IE"/>
        </w:rPr>
        <w:footnoteRef/>
      </w:r>
      <w:r w:rsidRPr="00A70648">
        <w:rPr>
          <w:lang w:val="en-US"/>
        </w:rPr>
        <w:tab/>
      </w:r>
      <w:r w:rsidRPr="00A70648">
        <w:rPr>
          <w:rFonts w:ascii="Times New Roman" w:hAnsi="Times New Roman"/>
          <w:sz w:val="18"/>
          <w:szCs w:val="18"/>
          <w:lang w:val="en-US"/>
        </w:rPr>
        <w:t xml:space="preserve">COM(2022) 108 final. </w:t>
      </w:r>
    </w:p>
  </w:footnote>
  <w:footnote w:id="107">
    <w:p w:rsidR="001B6AFC" w:rsidRPr="00A70648" w:rsidRDefault="001B6AFC" w:rsidP="00D94A3A">
      <w:pPr>
        <w:pStyle w:val="FootnoteText"/>
        <w:rPr>
          <w:lang w:val="en-US"/>
        </w:rPr>
      </w:pPr>
      <w:r>
        <w:rPr>
          <w:rStyle w:val="FootnoteReference"/>
          <w:rFonts w:ascii="Times New Roman" w:hAnsi="Times New Roman" w:cs="Times New Roman"/>
          <w:sz w:val="18"/>
          <w:szCs w:val="18"/>
          <w:lang w:val="en-IE"/>
        </w:rPr>
        <w:footnoteRef/>
      </w:r>
      <w:r w:rsidRPr="00A70648">
        <w:rPr>
          <w:lang w:val="en-US"/>
        </w:rPr>
        <w:tab/>
      </w:r>
      <w:r w:rsidRPr="00A70648">
        <w:rPr>
          <w:rFonts w:ascii="Times New Roman" w:hAnsi="Times New Roman"/>
          <w:sz w:val="18"/>
          <w:szCs w:val="18"/>
          <w:lang w:val="en-US"/>
        </w:rPr>
        <w:t>C(2022) 1890 final.</w:t>
      </w:r>
    </w:p>
  </w:footnote>
  <w:footnote w:id="108">
    <w:p w:rsidR="001B6AFC" w:rsidRPr="00A70648" w:rsidRDefault="001B6AFC" w:rsidP="004936F9">
      <w:pPr>
        <w:pStyle w:val="FootnoteText"/>
        <w:jc w:val="both"/>
        <w:rPr>
          <w:rFonts w:ascii="Times New Roman" w:hAnsi="Times New Roman" w:cs="Times New Roman"/>
          <w:sz w:val="18"/>
          <w:szCs w:val="18"/>
          <w:lang w:val="en-US"/>
        </w:rPr>
      </w:pPr>
      <w:r>
        <w:rPr>
          <w:rStyle w:val="FootnoteReference"/>
          <w:rFonts w:ascii="Times New Roman" w:hAnsi="Times New Roman" w:cs="Times New Roman"/>
          <w:sz w:val="18"/>
          <w:szCs w:val="18"/>
          <w:lang w:val="en-IE"/>
        </w:rPr>
        <w:footnoteRef/>
      </w:r>
      <w:r w:rsidRPr="00A70648">
        <w:rPr>
          <w:lang w:val="en-US"/>
        </w:rPr>
        <w:tab/>
      </w:r>
      <w:r w:rsidRPr="00A70648">
        <w:rPr>
          <w:rFonts w:ascii="Times New Roman" w:hAnsi="Times New Roman"/>
          <w:sz w:val="18"/>
          <w:szCs w:val="18"/>
          <w:lang w:val="en-US"/>
        </w:rPr>
        <w:t xml:space="preserve">COM(2020) 98 final. </w:t>
      </w:r>
    </w:p>
  </w:footnote>
  <w:footnote w:id="109">
    <w:p w:rsidR="001B6AFC" w:rsidRPr="00E24AB7" w:rsidRDefault="001B6AFC" w:rsidP="004936F9">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tab/>
      </w:r>
      <w:r>
        <w:rPr>
          <w:rFonts w:ascii="Times New Roman" w:hAnsi="Times New Roman"/>
          <w:sz w:val="18"/>
          <w:szCs w:val="18"/>
        </w:rPr>
        <w:t>COM(2021) 118 final.</w:t>
      </w:r>
    </w:p>
  </w:footnote>
  <w:footnote w:id="110">
    <w:p w:rsidR="001B6AFC" w:rsidRPr="00E24AB7" w:rsidRDefault="001B6AFC" w:rsidP="004936F9">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rPr>
          <w:rFonts w:ascii="Times New Roman" w:hAnsi="Times New Roman"/>
          <w:sz w:val="18"/>
          <w:szCs w:val="18"/>
        </w:rPr>
        <w:tab/>
        <w:t>Κανονισμός (ΕΕ) 2021/694.</w:t>
      </w:r>
    </w:p>
  </w:footnote>
  <w:footnote w:id="111">
    <w:p w:rsidR="001B6AFC" w:rsidRPr="004562A0" w:rsidRDefault="001B6AFC" w:rsidP="004936F9">
      <w:pPr>
        <w:pStyle w:val="FootnoteText"/>
        <w:jc w:val="both"/>
        <w:rPr>
          <w:rFonts w:ascii="Times New Roman" w:hAnsi="Times New Roman"/>
          <w:sz w:val="18"/>
        </w:rPr>
      </w:pPr>
      <w:r>
        <w:rPr>
          <w:rStyle w:val="FootnoteReference"/>
          <w:rFonts w:ascii="Times New Roman" w:hAnsi="Times New Roman" w:cs="Times New Roman"/>
          <w:sz w:val="18"/>
          <w:szCs w:val="18"/>
          <w:lang w:val="en-IE"/>
        </w:rPr>
        <w:footnoteRef/>
      </w:r>
      <w:r>
        <w:tab/>
      </w:r>
      <w:r>
        <w:rPr>
          <w:rFonts w:ascii="Times New Roman" w:hAnsi="Times New Roman"/>
          <w:sz w:val="18"/>
        </w:rPr>
        <w:t>C(2021) 7911 final.</w:t>
      </w:r>
    </w:p>
  </w:footnote>
  <w:footnote w:id="112">
    <w:p w:rsidR="001B6AFC" w:rsidRPr="00A70648" w:rsidRDefault="001B6AFC">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sidRPr="00A70648">
        <w:rPr>
          <w:rFonts w:ascii="Times New Roman" w:hAnsi="Times New Roman"/>
          <w:sz w:val="18"/>
          <w:szCs w:val="18"/>
          <w:lang w:val="en-US"/>
        </w:rPr>
        <w:t xml:space="preserve"> </w:t>
      </w:r>
      <w:r w:rsidRPr="00A70648">
        <w:rPr>
          <w:lang w:val="en-US"/>
        </w:rPr>
        <w:tab/>
      </w:r>
      <w:r w:rsidRPr="00A70648">
        <w:rPr>
          <w:rFonts w:ascii="Times New Roman" w:hAnsi="Times New Roman"/>
          <w:sz w:val="18"/>
          <w:szCs w:val="18"/>
          <w:lang w:val="en-US"/>
        </w:rPr>
        <w:t xml:space="preserve">C(2021) 9463 </w:t>
      </w:r>
      <w:r>
        <w:rPr>
          <w:rFonts w:ascii="Times New Roman" w:hAnsi="Times New Roman"/>
          <w:sz w:val="18"/>
          <w:szCs w:val="18"/>
        </w:rPr>
        <w:t>τελικό</w:t>
      </w:r>
      <w:r w:rsidRPr="00A70648">
        <w:rPr>
          <w:rFonts w:ascii="Times New Roman" w:hAnsi="Times New Roman"/>
          <w:sz w:val="18"/>
          <w:szCs w:val="18"/>
          <w:lang w:val="en-US"/>
        </w:rPr>
        <w:t>.</w:t>
      </w:r>
    </w:p>
  </w:footnote>
  <w:footnote w:id="113">
    <w:p w:rsidR="001B6AFC" w:rsidRPr="00A70648" w:rsidRDefault="001B6AFC" w:rsidP="00C4021F">
      <w:pPr>
        <w:pStyle w:val="FootnoteText"/>
        <w:jc w:val="both"/>
        <w:rPr>
          <w:rFonts w:ascii="Times New Roman" w:hAnsi="Times New Roman" w:cs="Times New Roman"/>
          <w:sz w:val="18"/>
          <w:szCs w:val="18"/>
          <w:lang w:val="en-US"/>
        </w:rPr>
      </w:pPr>
      <w:r>
        <w:rPr>
          <w:rStyle w:val="FootnoteReference"/>
          <w:rFonts w:ascii="Times New Roman" w:hAnsi="Times New Roman" w:cs="Times New Roman"/>
          <w:sz w:val="18"/>
          <w:szCs w:val="18"/>
          <w:lang w:val="en-IE"/>
        </w:rPr>
        <w:footnoteRef/>
      </w:r>
      <w:r w:rsidRPr="00A70648">
        <w:rPr>
          <w:lang w:val="en-US"/>
        </w:rPr>
        <w:tab/>
      </w:r>
      <w:r w:rsidRPr="00A70648">
        <w:rPr>
          <w:rFonts w:ascii="Times New Roman" w:hAnsi="Times New Roman"/>
          <w:sz w:val="18"/>
          <w:szCs w:val="18"/>
          <w:lang w:val="en-US"/>
        </w:rPr>
        <w:t xml:space="preserve">COM(2020) 67 final. </w:t>
      </w:r>
    </w:p>
  </w:footnote>
  <w:footnote w:id="114">
    <w:p w:rsidR="001B6AFC" w:rsidRPr="00A70648" w:rsidRDefault="001B6AFC">
      <w:pPr>
        <w:pStyle w:val="FootnoteText"/>
        <w:rPr>
          <w:lang w:val="en-US"/>
        </w:rPr>
      </w:pPr>
      <w:r>
        <w:rPr>
          <w:rStyle w:val="FootnoteReference"/>
        </w:rPr>
        <w:footnoteRef/>
      </w:r>
      <w:r w:rsidRPr="00A70648">
        <w:rPr>
          <w:lang w:val="en-US"/>
        </w:rPr>
        <w:tab/>
      </w:r>
      <w:r w:rsidRPr="00A70648">
        <w:rPr>
          <w:rFonts w:ascii="Times New Roman" w:hAnsi="Times New Roman"/>
          <w:sz w:val="18"/>
          <w:szCs w:val="18"/>
          <w:lang w:val="en-US"/>
        </w:rPr>
        <w:t>COM(2022) 57 final.</w:t>
      </w:r>
    </w:p>
  </w:footnote>
  <w:footnote w:id="115">
    <w:p w:rsidR="001B6AFC" w:rsidRPr="00CD1E77" w:rsidRDefault="001B6AFC" w:rsidP="00EE5EF6">
      <w:pPr>
        <w:pStyle w:val="FootnoteText"/>
        <w:ind w:left="720" w:hanging="720"/>
        <w:jc w:val="both"/>
        <w:rPr>
          <w:rFonts w:ascii="Times New Roman" w:hAnsi="Times New Roman" w:cs="Times New Roman"/>
          <w:sz w:val="18"/>
          <w:szCs w:val="18"/>
        </w:rPr>
      </w:pPr>
      <w:r>
        <w:rPr>
          <w:rStyle w:val="FootnoteReference"/>
        </w:rPr>
        <w:footnoteRef/>
      </w:r>
      <w:r>
        <w:tab/>
      </w:r>
      <w:r>
        <w:rPr>
          <w:rFonts w:ascii="Times New Roman" w:hAnsi="Times New Roman"/>
          <w:sz w:val="18"/>
          <w:szCs w:val="18"/>
        </w:rPr>
        <w:t>Οι υπηρεσίες που παρέχει το EGNOS θα πρέπει να καλύπτουν τα εδάφη των κρατών μελών που βρίσκονται γεωγραφικώς στην Ευρώπη στα οποία περιλαμβάνονται οι νήσοι Αζόρες, οι Κανάριοι και η Μαδέιρα, το αργότερο μέχρι τα τέλη του 2026 [Κανονισμός (ΕΕ) 2021/696 για τη θέσπιση του ενωσιακού διαστημικού προγράμματος και του Οργανισμού της Ευρωπαϊκής Ένωσης για το διαστημικό πρόγραμμα].</w:t>
      </w:r>
    </w:p>
  </w:footnote>
  <w:footnote w:id="116">
    <w:p w:rsidR="001B6AFC" w:rsidRPr="00E24AB7" w:rsidRDefault="001B6AFC" w:rsidP="00A70648">
      <w:pPr>
        <w:pStyle w:val="FootnoteText"/>
        <w:ind w:left="709" w:hanging="709"/>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tab/>
      </w:r>
      <w:r>
        <w:rPr>
          <w:rFonts w:ascii="Times New Roman" w:hAnsi="Times New Roman"/>
          <w:sz w:val="18"/>
          <w:szCs w:val="18"/>
        </w:rPr>
        <w:t xml:space="preserve">Στη γνωμοδότηση ECO/567 της ΕΟΚΕ ζητείται η λήψη μέτρων για τη διασφάλιση της ψηφιακής πρόσβασης στις εξόχως απόκεντρες περιοχές. </w:t>
      </w:r>
    </w:p>
  </w:footnote>
  <w:footnote w:id="117">
    <w:p w:rsidR="001B6AFC" w:rsidRPr="00E24AB7" w:rsidRDefault="001B6AFC" w:rsidP="00020BAB">
      <w:pPr>
        <w:pStyle w:val="FootnoteText"/>
        <w:ind w:left="720" w:hanging="720"/>
        <w:jc w:val="both"/>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tab/>
      </w:r>
      <w:r>
        <w:rPr>
          <w:rFonts w:ascii="Times New Roman" w:hAnsi="Times New Roman"/>
          <w:sz w:val="18"/>
          <w:szCs w:val="18"/>
        </w:rPr>
        <w:t>Ορισμένες χώρες-εταίροι του προγράμματος Interreg για τον Ινδικό Ωκεανό δεν αναγνωρίζουν το Μαγιότ ως γαλλική εξόχως απόκεντρη περιοχή.</w:t>
      </w:r>
    </w:p>
  </w:footnote>
  <w:footnote w:id="118">
    <w:p w:rsidR="001B6AFC" w:rsidRPr="00E24AB7" w:rsidRDefault="001B6AFC" w:rsidP="004936F9">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tab/>
      </w:r>
      <w:r>
        <w:rPr>
          <w:rFonts w:ascii="Times New Roman" w:hAnsi="Times New Roman"/>
          <w:sz w:val="18"/>
          <w:szCs w:val="18"/>
        </w:rPr>
        <w:t>Δυνάμει του άρθρου 63 παράγραφος 4 του κανονισμού (ΕΕ) 2021/1060.</w:t>
      </w:r>
    </w:p>
  </w:footnote>
  <w:footnote w:id="119">
    <w:p w:rsidR="001B6AFC" w:rsidRPr="00E51F97" w:rsidRDefault="001B6AFC" w:rsidP="00E51F97">
      <w:pPr>
        <w:pStyle w:val="FootnoteText"/>
        <w:ind w:left="720" w:hanging="72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tab/>
      </w:r>
      <w:hyperlink r:id="rId45" w:history="1">
        <w:r>
          <w:rPr>
            <w:rFonts w:ascii="Times New Roman" w:hAnsi="Times New Roman"/>
            <w:color w:val="0000FF"/>
            <w:sz w:val="18"/>
            <w:szCs w:val="18"/>
            <w:u w:val="single"/>
          </w:rPr>
          <w:t>Sustainability impact assessment (SIA) in support of Free Trade Agreement (FTA) negotiations between the European Union and the Republic of Indonesia: Final Report [Εκτίμηση αντικτύπου στη βιωσιμότητα (SIA) προς υποστήριξη των διαπραγματεύσεων για τη σύναψη συμφωνίας ελεύθερων συναλλαγών (ΣΕΣ) μεταξύ της Ευρωπαϊκής Ένωσης και της Δημοκρατίας της Ινδονησίας:</w:t>
        </w:r>
      </w:hyperlink>
      <w:hyperlink r:id="rId46" w:history="1">
        <w:r>
          <w:rPr>
            <w:rFonts w:ascii="Times New Roman" w:hAnsi="Times New Roman"/>
            <w:color w:val="0000FF"/>
            <w:sz w:val="18"/>
            <w:szCs w:val="18"/>
            <w:u w:val="single"/>
          </w:rPr>
          <w:t xml:space="preserve"> Τελική έκθεση] (ec.europa.eu)</w:t>
        </w:r>
      </w:hyperlink>
      <w:r>
        <w:rPr>
          <w:rFonts w:ascii="Times New Roman" w:hAnsi="Times New Roman"/>
          <w:sz w:val="18"/>
          <w:szCs w:val="18"/>
        </w:rPr>
        <w:t xml:space="preserve">;  </w:t>
      </w:r>
      <w:hyperlink r:id="rId47" w:history="1">
        <w:r>
          <w:rPr>
            <w:rStyle w:val="Hyperlink"/>
            <w:rFonts w:ascii="Times New Roman" w:hAnsi="Times New Roman"/>
            <w:sz w:val="18"/>
            <w:szCs w:val="18"/>
          </w:rPr>
          <w:t>Sustainability Impact Assessment (SIA) in support of the negotiations for the modernisation of the trade part of the Global Agreement with Mexico [Εκτίμηση αντικτύπου στη βιωσιμότητα (SIA) προς υποστήριξη των διαπραγματεύσεων για τον εκσυγχρονισμό του εμπορικού σκέλους της παγκόσμιας συμφωνίας με το Μεξικό] (ec.europa.eu)</w:t>
        </w:r>
      </w:hyperlink>
    </w:p>
  </w:footnote>
  <w:footnote w:id="120">
    <w:p w:rsidR="001B6AFC" w:rsidRPr="00E24AB7" w:rsidRDefault="001B6AFC" w:rsidP="00A70648">
      <w:pPr>
        <w:pStyle w:val="FootnoteText"/>
        <w:ind w:left="709" w:hanging="709"/>
        <w:jc w:val="both"/>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tab/>
      </w:r>
      <w:hyperlink r:id="rId48" w:history="1">
        <w:r>
          <w:rPr>
            <w:rFonts w:ascii="Times New Roman" w:hAnsi="Times New Roman"/>
            <w:color w:val="0000FF"/>
            <w:sz w:val="18"/>
            <w:szCs w:val="18"/>
            <w:u w:val="single"/>
          </w:rPr>
          <w:t>EU-Mercosur trade agreement: the agreement in principle (Εμπορική συμφωνία ΕΕ-Mercosur:</w:t>
        </w:r>
      </w:hyperlink>
      <w:hyperlink r:id="rId49" w:history="1">
        <w:r>
          <w:rPr>
            <w:rFonts w:ascii="Times New Roman" w:hAnsi="Times New Roman"/>
            <w:color w:val="0000FF"/>
            <w:sz w:val="18"/>
            <w:szCs w:val="18"/>
            <w:u w:val="single"/>
          </w:rPr>
          <w:t xml:space="preserve"> η καταρχήν συμφωνία) (ec.europa.eu)</w:t>
        </w:r>
      </w:hyperlink>
    </w:p>
  </w:footnote>
  <w:footnote w:id="121">
    <w:p w:rsidR="001B6AFC" w:rsidRPr="00E24AB7" w:rsidRDefault="001B6AFC" w:rsidP="007212BD">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tab/>
      </w:r>
      <w:r>
        <w:rPr>
          <w:rFonts w:ascii="Times New Roman" w:hAnsi="Times New Roman"/>
          <w:sz w:val="18"/>
          <w:szCs w:val="18"/>
        </w:rPr>
        <w:t xml:space="preserve">Βλ. επίσης </w:t>
      </w:r>
      <w:hyperlink r:id="rId50" w:history="1">
        <w:r>
          <w:rPr>
            <w:rStyle w:val="Hyperlink"/>
            <w:rFonts w:ascii="Times New Roman" w:hAnsi="Times New Roman"/>
            <w:sz w:val="18"/>
            <w:szCs w:val="18"/>
          </w:rPr>
          <w:t>ανακοίνωση σχετικά με την επανεξέταση της εμπορικής πολιτικής (ec.europa.eu)</w:t>
        </w:r>
      </w:hyperlink>
      <w:r>
        <w:t>.</w:t>
      </w:r>
      <w:r>
        <w:rPr>
          <w:rFonts w:ascii="Times New Roman" w:hAnsi="Times New Roman"/>
          <w:color w:val="000000"/>
          <w:sz w:val="18"/>
          <w:szCs w:val="18"/>
        </w:rPr>
        <w:t xml:space="preserve"> </w:t>
      </w:r>
    </w:p>
  </w:footnote>
  <w:footnote w:id="122">
    <w:p w:rsidR="001B6AFC" w:rsidRPr="00CB62BB" w:rsidRDefault="001B6AFC" w:rsidP="00020BAB">
      <w:pPr>
        <w:pStyle w:val="FootnoteText"/>
        <w:ind w:left="720" w:hanging="720"/>
        <w:jc w:val="both"/>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tab/>
      </w:r>
      <w:r>
        <w:rPr>
          <w:rFonts w:ascii="Times New Roman" w:hAnsi="Times New Roman"/>
          <w:sz w:val="18"/>
          <w:szCs w:val="18"/>
        </w:rPr>
        <w:t>Αποφάσεις (ΕΕ) 2020/1790, (ΕΕ) 2020/1791, (ΕΕ) 2020/1792, (ΕΕ) 2021/991 του Συμβουλίου· κανονισμός (ΕΕ) 2021/2048 του Συμβουλίου.</w:t>
      </w:r>
    </w:p>
  </w:footnote>
  <w:footnote w:id="123">
    <w:p w:rsidR="001B6AFC" w:rsidRPr="00E24AB7" w:rsidRDefault="001B6AFC" w:rsidP="00A70648">
      <w:pPr>
        <w:pStyle w:val="FootnoteText"/>
        <w:ind w:left="709" w:hanging="709"/>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tab/>
      </w:r>
      <w:r>
        <w:rPr>
          <w:rFonts w:ascii="Times New Roman" w:hAnsi="Times New Roman"/>
          <w:sz w:val="18"/>
          <w:szCs w:val="18"/>
        </w:rPr>
        <w:t>Δήλωση της CPRUP του Νοεμβρίου του 2021, καθώς και όπως ζητήθηκε από όσους απάντησαν στη δημόσια διαβούλευση.</w:t>
      </w:r>
    </w:p>
  </w:footnote>
  <w:footnote w:id="124">
    <w:p w:rsidR="001B6AFC" w:rsidRPr="00E24AB7" w:rsidRDefault="001B6AFC" w:rsidP="00C96EB7">
      <w:pPr>
        <w:pStyle w:val="FootnoteText"/>
        <w:ind w:left="720" w:hanging="720"/>
        <w:jc w:val="both"/>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tab/>
      </w:r>
      <w:r>
        <w:rPr>
          <w:rFonts w:ascii="Times New Roman" w:hAnsi="Times New Roman"/>
          <w:sz w:val="18"/>
          <w:szCs w:val="18"/>
        </w:rPr>
        <w:t>Ανακοίνωση Τύπου του Υπουργείου Εσωτερικών και του Υπουργού Υπερπόντιων Εδαφών της Γαλλίας στις 11 Φεβρουαρίου 2021.</w:t>
      </w:r>
    </w:p>
  </w:footnote>
  <w:footnote w:id="125">
    <w:p w:rsidR="001B6AFC" w:rsidRPr="00A70648" w:rsidRDefault="001B6AFC">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lang w:val="en-IE"/>
        </w:rPr>
        <w:footnoteRef/>
      </w:r>
      <w:r w:rsidRPr="00A70648">
        <w:rPr>
          <w:lang w:val="en-US"/>
        </w:rPr>
        <w:tab/>
      </w:r>
      <w:r>
        <w:rPr>
          <w:rFonts w:ascii="Times New Roman" w:hAnsi="Times New Roman"/>
          <w:color w:val="000000"/>
          <w:sz w:val="18"/>
          <w:szCs w:val="18"/>
        </w:rPr>
        <w:t>Πηγή</w:t>
      </w:r>
      <w:r w:rsidRPr="00A70648">
        <w:rPr>
          <w:rFonts w:ascii="Times New Roman" w:hAnsi="Times New Roman"/>
          <w:color w:val="000000"/>
          <w:sz w:val="18"/>
          <w:szCs w:val="18"/>
          <w:lang w:val="en-US"/>
        </w:rPr>
        <w:t xml:space="preserve">: Euromed Rights </w:t>
      </w:r>
      <w:r>
        <w:rPr>
          <w:rFonts w:ascii="Times New Roman" w:hAnsi="Times New Roman"/>
          <w:color w:val="000000"/>
          <w:sz w:val="18"/>
          <w:szCs w:val="18"/>
        </w:rPr>
        <w:t>και</w:t>
      </w:r>
      <w:r w:rsidRPr="00A70648">
        <w:rPr>
          <w:rFonts w:ascii="Times New Roman" w:hAnsi="Times New Roman"/>
          <w:color w:val="000000"/>
          <w:sz w:val="18"/>
          <w:szCs w:val="18"/>
          <w:lang w:val="en-US"/>
        </w:rPr>
        <w:t xml:space="preserve"> UNHCR.</w:t>
      </w:r>
    </w:p>
  </w:footnote>
  <w:footnote w:id="126">
    <w:p w:rsidR="001B6AFC" w:rsidRPr="00E24AB7" w:rsidRDefault="001B6AFC" w:rsidP="00C11F5A">
      <w:pPr>
        <w:pStyle w:val="FootnoteText"/>
        <w:ind w:left="720" w:hanging="720"/>
        <w:jc w:val="both"/>
        <w:rPr>
          <w:rFonts w:ascii="Times New Roman" w:hAnsi="Times New Roman" w:cs="Times New Roman"/>
          <w:color w:val="000000"/>
          <w:sz w:val="18"/>
          <w:szCs w:val="18"/>
        </w:rPr>
      </w:pPr>
      <w:r>
        <w:rPr>
          <w:rStyle w:val="FootnoteReference"/>
          <w:rFonts w:ascii="Times New Roman" w:hAnsi="Times New Roman" w:cs="Times New Roman"/>
          <w:sz w:val="18"/>
          <w:szCs w:val="18"/>
          <w:lang w:val="en-IE"/>
        </w:rPr>
        <w:footnoteRef/>
      </w:r>
      <w:r>
        <w:tab/>
      </w:r>
      <w:hyperlink r:id="rId51" w:history="1">
        <w:r>
          <w:rPr>
            <w:rFonts w:ascii="Times New Roman" w:hAnsi="Times New Roman"/>
            <w:color w:val="000000"/>
            <w:sz w:val="18"/>
            <w:szCs w:val="18"/>
          </w:rPr>
          <w:t>Κανονισμός (ΕΕ) 2021/1147</w:t>
        </w:r>
      </w:hyperlink>
      <w:r>
        <w:rPr>
          <w:rFonts w:ascii="Times New Roman" w:hAnsi="Times New Roman"/>
          <w:color w:val="000000"/>
          <w:sz w:val="18"/>
          <w:szCs w:val="18"/>
        </w:rPr>
        <w:t xml:space="preserve">, αιτιολογική σκέψη 64· </w:t>
      </w:r>
      <w:hyperlink r:id="rId52" w:history="1">
        <w:r>
          <w:rPr>
            <w:rFonts w:ascii="Times New Roman" w:hAnsi="Times New Roman"/>
            <w:color w:val="000000"/>
            <w:sz w:val="18"/>
            <w:szCs w:val="18"/>
          </w:rPr>
          <w:t>κανονισμός (ΕΕ) 2021/1148</w:t>
        </w:r>
      </w:hyperlink>
      <w:r>
        <w:rPr>
          <w:rFonts w:ascii="Times New Roman" w:hAnsi="Times New Roman"/>
          <w:color w:val="000000"/>
          <w:sz w:val="18"/>
          <w:szCs w:val="18"/>
        </w:rPr>
        <w:t xml:space="preserve">, αιτιολογική σκέψη 63· </w:t>
      </w:r>
      <w:hyperlink r:id="rId53" w:history="1">
        <w:r>
          <w:rPr>
            <w:rFonts w:ascii="Times New Roman" w:hAnsi="Times New Roman"/>
            <w:color w:val="000000"/>
            <w:sz w:val="18"/>
            <w:szCs w:val="18"/>
          </w:rPr>
          <w:t>κανονισμός (ΕΕ) 2021/1149</w:t>
        </w:r>
      </w:hyperlink>
      <w:r>
        <w:rPr>
          <w:rFonts w:ascii="Times New Roman" w:hAnsi="Times New Roman"/>
          <w:color w:val="000000" w:themeColor="text1"/>
          <w:sz w:val="18"/>
          <w:szCs w:val="18"/>
        </w:rPr>
        <w:t>, αιτιολογική σκέψη 58:</w:t>
      </w:r>
      <w:r>
        <w:rPr>
          <w:rFonts w:ascii="Times New Roman" w:hAnsi="Times New Roman"/>
          <w:color w:val="000000"/>
          <w:sz w:val="18"/>
          <w:szCs w:val="18"/>
        </w:rPr>
        <w:t xml:space="preserve"> όλα αναφέρουν ότι τα οικεία κράτη μέλη θα πρέπει να διασφαλίζουν ότι τα εθνικά τους προγράμματα απαντούν στις ειδικές προκλήσεις που αντιμετωπίζουν οι εξόχως απόκεντρες περιφέρειες όσον αφορά τη διαχείριση της μετανάστευσης.</w:t>
      </w:r>
      <w:r>
        <w:rPr>
          <w:sz w:val="18"/>
          <w:szCs w:val="18"/>
        </w:rPr>
        <w:t xml:space="preserve"> </w:t>
      </w:r>
    </w:p>
  </w:footnote>
  <w:footnote w:id="127">
    <w:p w:rsidR="001B6AFC" w:rsidRPr="00E24AB7" w:rsidRDefault="001B6AFC">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tab/>
      </w:r>
      <w:r>
        <w:rPr>
          <w:rFonts w:ascii="Times New Roman" w:hAnsi="Times New Roman"/>
          <w:sz w:val="18"/>
          <w:szCs w:val="18"/>
        </w:rPr>
        <w:t>COM(2020) 609 final.</w:t>
      </w:r>
    </w:p>
  </w:footnote>
  <w:footnote w:id="128">
    <w:p w:rsidR="001B6AFC" w:rsidRPr="00E24AB7" w:rsidRDefault="001B6AFC" w:rsidP="004936F9">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tab/>
      </w:r>
      <w:r>
        <w:rPr>
          <w:rFonts w:ascii="Times New Roman" w:hAnsi="Times New Roman"/>
          <w:sz w:val="18"/>
          <w:szCs w:val="18"/>
        </w:rPr>
        <w:t xml:space="preserve">COM(2021) 219 final. </w:t>
      </w:r>
    </w:p>
  </w:footnote>
  <w:footnote w:id="129">
    <w:p w:rsidR="00D56D03" w:rsidRPr="00E24AB7" w:rsidRDefault="00D56D03" w:rsidP="00D56D03">
      <w:pPr>
        <w:pStyle w:val="FootnoteText"/>
        <w:ind w:left="720" w:hanging="720"/>
        <w:jc w:val="both"/>
        <w:rPr>
          <w:rFonts w:ascii="Times New Roman" w:hAnsi="Times New Roman" w:cs="Times New Roman"/>
          <w:sz w:val="18"/>
          <w:szCs w:val="18"/>
        </w:rPr>
      </w:pPr>
      <w:r>
        <w:rPr>
          <w:rStyle w:val="FootnoteReference"/>
          <w:rFonts w:ascii="Times New Roman" w:hAnsi="Times New Roman" w:cs="Times New Roman"/>
          <w:sz w:val="18"/>
          <w:szCs w:val="18"/>
          <w:lang w:val="en-IE"/>
        </w:rPr>
        <w:footnoteRef/>
      </w:r>
      <w:r>
        <w:tab/>
      </w:r>
      <w:r>
        <w:rPr>
          <w:rFonts w:ascii="Times New Roman" w:hAnsi="Times New Roman"/>
          <w:sz w:val="18"/>
          <w:szCs w:val="18"/>
        </w:rPr>
        <w:t>Για παράδειγμα, στην πιλοτική δράση με τον ΟΟΣΑ «Frontloading administrative capacity building» (ενίσχυση της διοικητικής ικανότητας), το TAIEX-REGIO PEER 2 PEER, τις περιφερειακές κοινότητες επαγγελματιών, το πλαίσιο ικανοτήτων, τα σύμφωνα ακεραιότητας, το πρόγραμμα κατάρτισης για εμπειρογνώμονες.</w:t>
      </w:r>
    </w:p>
  </w:footnote>
  <w:footnote w:id="130">
    <w:p w:rsidR="00D56D03" w:rsidRPr="00E24AB7" w:rsidRDefault="00D56D03" w:rsidP="00D56D03">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tab/>
      </w:r>
      <w:hyperlink r:id="rId54" w:history="1">
        <w:r>
          <w:rPr>
            <w:rStyle w:val="Hyperlink"/>
            <w:rFonts w:ascii="Times New Roman" w:hAnsi="Times New Roman"/>
            <w:sz w:val="18"/>
            <w:szCs w:val="18"/>
          </w:rPr>
          <w:t>Κοινή βοήθεια για τη στήριξη έργων σε ευρωπαϊκές περιφέρειες (JASPERS) (ec.europa.eu)</w:t>
        </w:r>
      </w:hyperlink>
      <w:r>
        <w:rPr>
          <w:rFonts w:ascii="Times New Roman" w:hAnsi="Times New Roman"/>
          <w:sz w:val="18"/>
          <w:szCs w:val="18"/>
        </w:rPr>
        <w:t>.</w:t>
      </w:r>
    </w:p>
  </w:footnote>
  <w:footnote w:id="131">
    <w:p w:rsidR="00D56D03" w:rsidRPr="005C57D0" w:rsidRDefault="00D56D03" w:rsidP="00D56D03">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tab/>
      </w:r>
      <w:hyperlink r:id="rId55" w:history="1">
        <w:r>
          <w:rPr>
            <w:rStyle w:val="Hyperlink"/>
            <w:rFonts w:ascii="Times New Roman" w:hAnsi="Times New Roman"/>
            <w:sz w:val="18"/>
            <w:szCs w:val="18"/>
          </w:rPr>
          <w:t>TAIEX-REGIO PEER 2 PEER (ec.europa.eu)</w:t>
        </w:r>
      </w:hyperlink>
      <w:r>
        <w:rPr>
          <w:rFonts w:ascii="Times New Roman" w:hAnsi="Times New Roman"/>
          <w:sz w:val="18"/>
          <w:szCs w:val="18"/>
        </w:rPr>
        <w:t xml:space="preserve"> και </w:t>
      </w:r>
      <w:r>
        <w:rPr>
          <w:rFonts w:ascii="Times New Roman" w:hAnsi="Times New Roman"/>
          <w:sz w:val="18"/>
        </w:rPr>
        <w:t>κοινότητες επαγγελματιών</w:t>
      </w:r>
      <w:r>
        <w:rPr>
          <w:rFonts w:ascii="Times New Roman" w:hAnsi="Times New Roman"/>
          <w:sz w:val="16"/>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FDE" w:rsidRPr="00E50FDE" w:rsidRDefault="00E50FDE" w:rsidP="00E50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FDE" w:rsidRPr="00E50FDE" w:rsidRDefault="00E50FDE" w:rsidP="00E50FD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FDE" w:rsidRPr="00E50FDE" w:rsidRDefault="00E50FDE" w:rsidP="00E50FD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AFC" w:rsidRDefault="001B6A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AFC" w:rsidRDefault="001B6AF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AFC" w:rsidRDefault="001B6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4049CDE"/>
    <w:lvl w:ilvl="0">
      <w:start w:val="1"/>
      <w:numFmt w:val="decimal"/>
      <w:pStyle w:val="Heading1"/>
      <w:lvlText w:val="%1."/>
      <w:legacy w:legacy="1" w:legacySpace="0" w:legacyIndent="0"/>
      <w:lvlJc w:val="left"/>
      <w:rPr>
        <w:rFonts w:cs="Times New Roman"/>
        <w:b w:val="0"/>
        <w:color w:val="auto"/>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08A54302"/>
    <w:multiLevelType w:val="hybridMultilevel"/>
    <w:tmpl w:val="A7482766"/>
    <w:lvl w:ilvl="0" w:tplc="75049EF4">
      <w:start w:val="11"/>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E94174"/>
    <w:multiLevelType w:val="hybridMultilevel"/>
    <w:tmpl w:val="69C63C0C"/>
    <w:lvl w:ilvl="0" w:tplc="13A61FA8">
      <w:start w:val="2"/>
      <w:numFmt w:val="bullet"/>
      <w:lvlText w:val="-"/>
      <w:lvlJc w:val="left"/>
      <w:pPr>
        <w:ind w:left="720" w:hanging="360"/>
      </w:pPr>
      <w:rPr>
        <w:rFonts w:ascii="Arial" w:hAnsi="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411B5"/>
    <w:multiLevelType w:val="hybridMultilevel"/>
    <w:tmpl w:val="0BF2978E"/>
    <w:lvl w:ilvl="0" w:tplc="FFFFFFFF">
      <w:start w:val="1"/>
      <w:numFmt w:val="bullet"/>
      <w:lvlText w:val="-"/>
      <w:lvlJc w:val="left"/>
      <w:pPr>
        <w:ind w:left="360" w:hanging="360"/>
      </w:pPr>
      <w:rPr>
        <w:rFonts w:ascii="Symbol" w:hAnsi="Symbol" w:hint="default"/>
      </w:rPr>
    </w:lvl>
    <w:lvl w:ilvl="1" w:tplc="EFE853F6">
      <w:numFmt w:val="bullet"/>
      <w:lvlText w:val="-"/>
      <w:lvlJc w:val="left"/>
      <w:pPr>
        <w:ind w:left="1080" w:hanging="360"/>
      </w:pPr>
      <w:rPr>
        <w:rFonts w:ascii="Calibri" w:eastAsia="Times New Roman" w:hAnsi="Calibri" w:cs="Calibri"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E8219D3"/>
    <w:multiLevelType w:val="hybridMultilevel"/>
    <w:tmpl w:val="9F26E2F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9C406D0"/>
    <w:multiLevelType w:val="hybridMultilevel"/>
    <w:tmpl w:val="1F3499D6"/>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675BF3"/>
    <w:multiLevelType w:val="hybridMultilevel"/>
    <w:tmpl w:val="7C44B1AC"/>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D76C87"/>
    <w:multiLevelType w:val="hybridMultilevel"/>
    <w:tmpl w:val="6C101370"/>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8" w15:restartNumberingAfterBreak="0">
    <w:nsid w:val="33B013A0"/>
    <w:multiLevelType w:val="hybridMultilevel"/>
    <w:tmpl w:val="241EF9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7CC5775"/>
    <w:multiLevelType w:val="hybridMultilevel"/>
    <w:tmpl w:val="C3CA992E"/>
    <w:lvl w:ilvl="0" w:tplc="E582289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C780366"/>
    <w:multiLevelType w:val="hybridMultilevel"/>
    <w:tmpl w:val="2318A3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414515"/>
    <w:multiLevelType w:val="hybridMultilevel"/>
    <w:tmpl w:val="DA9E84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0721EE9"/>
    <w:multiLevelType w:val="hybridMultilevel"/>
    <w:tmpl w:val="1C182976"/>
    <w:lvl w:ilvl="0" w:tplc="C2A00446">
      <w:start w:val="1"/>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B47C52"/>
    <w:multiLevelType w:val="hybridMultilevel"/>
    <w:tmpl w:val="5BCABEA0"/>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7728E4"/>
    <w:multiLevelType w:val="hybridMultilevel"/>
    <w:tmpl w:val="19E82A8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448D1679"/>
    <w:multiLevelType w:val="hybridMultilevel"/>
    <w:tmpl w:val="69D20724"/>
    <w:lvl w:ilvl="0" w:tplc="C2A00446">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02365D"/>
    <w:multiLevelType w:val="hybridMultilevel"/>
    <w:tmpl w:val="23EEEA44"/>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155F1E"/>
    <w:multiLevelType w:val="hybridMultilevel"/>
    <w:tmpl w:val="0BC287E6"/>
    <w:lvl w:ilvl="0" w:tplc="A7D2BF7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921684"/>
    <w:multiLevelType w:val="hybridMultilevel"/>
    <w:tmpl w:val="F154C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CD12449"/>
    <w:multiLevelType w:val="hybridMultilevel"/>
    <w:tmpl w:val="5AE8E08A"/>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545D37"/>
    <w:multiLevelType w:val="hybridMultilevel"/>
    <w:tmpl w:val="BB449F8E"/>
    <w:lvl w:ilvl="0" w:tplc="FFFFFFFF">
      <w:start w:val="1"/>
      <w:numFmt w:val="bullet"/>
      <w:lvlText w:val="-"/>
      <w:lvlJc w:val="left"/>
      <w:pPr>
        <w:ind w:left="360" w:hanging="360"/>
      </w:pPr>
      <w:rPr>
        <w:rFonts w:ascii="Symbol" w:hAnsi="Symbol" w:hint="default"/>
      </w:rPr>
    </w:lvl>
    <w:lvl w:ilvl="1" w:tplc="EFE853F6">
      <w:numFmt w:val="bullet"/>
      <w:lvlText w:val="-"/>
      <w:lvlJc w:val="left"/>
      <w:pPr>
        <w:ind w:left="1080" w:hanging="360"/>
      </w:pPr>
      <w:rPr>
        <w:rFonts w:ascii="Calibri" w:eastAsia="Times New Roman" w:hAnsi="Calibri" w:cs="Calibri"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54A503E2"/>
    <w:multiLevelType w:val="hybridMultilevel"/>
    <w:tmpl w:val="3CF4B28E"/>
    <w:lvl w:ilvl="0" w:tplc="D2A454A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6107AB4"/>
    <w:multiLevelType w:val="hybridMultilevel"/>
    <w:tmpl w:val="5F5CDC50"/>
    <w:lvl w:ilvl="0" w:tplc="EFE853F6">
      <w:numFmt w:val="bullet"/>
      <w:lvlText w:val="-"/>
      <w:lvlJc w:val="left"/>
      <w:pPr>
        <w:ind w:left="360" w:hanging="360"/>
      </w:pPr>
      <w:rPr>
        <w:rFonts w:ascii="Calibri" w:eastAsia="Times New Roman" w:hAnsi="Calibri" w:cs="Calibri" w:hint="default"/>
      </w:rPr>
    </w:lvl>
    <w:lvl w:ilvl="1" w:tplc="EFE853F6">
      <w:numFmt w:val="bullet"/>
      <w:lvlText w:val="-"/>
      <w:lvlJc w:val="left"/>
      <w:pPr>
        <w:ind w:left="1080" w:hanging="360"/>
      </w:pPr>
      <w:rPr>
        <w:rFonts w:ascii="Calibri" w:eastAsia="Times New Roman" w:hAnsi="Calibri" w:cs="Calibri"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566E7AAC"/>
    <w:multiLevelType w:val="hybridMultilevel"/>
    <w:tmpl w:val="BBB805A4"/>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82715C0"/>
    <w:multiLevelType w:val="hybridMultilevel"/>
    <w:tmpl w:val="5A142CD4"/>
    <w:lvl w:ilvl="0" w:tplc="44747FEE">
      <w:start w:val="1"/>
      <w:numFmt w:val="bullet"/>
      <w:lvlText w:val=""/>
      <w:lvlJc w:val="left"/>
      <w:pPr>
        <w:ind w:left="720" w:hanging="360"/>
      </w:pPr>
      <w:rPr>
        <w:rFonts w:ascii="Symbol" w:hAnsi="Symbol" w:hint="default"/>
      </w:rPr>
    </w:lvl>
    <w:lvl w:ilvl="1" w:tplc="2F7ACFF0">
      <w:start w:val="1"/>
      <w:numFmt w:val="bullet"/>
      <w:lvlText w:val="o"/>
      <w:lvlJc w:val="left"/>
      <w:pPr>
        <w:ind w:left="1440" w:hanging="360"/>
      </w:pPr>
      <w:rPr>
        <w:rFonts w:ascii="Courier New" w:hAnsi="Courier New" w:hint="default"/>
      </w:rPr>
    </w:lvl>
    <w:lvl w:ilvl="2" w:tplc="A45250B8">
      <w:start w:val="1"/>
      <w:numFmt w:val="bullet"/>
      <w:lvlText w:val=""/>
      <w:lvlJc w:val="left"/>
      <w:pPr>
        <w:ind w:left="2160" w:hanging="360"/>
      </w:pPr>
      <w:rPr>
        <w:rFonts w:ascii="Wingdings" w:hAnsi="Wingdings" w:hint="default"/>
      </w:rPr>
    </w:lvl>
    <w:lvl w:ilvl="3" w:tplc="0164DA7C">
      <w:start w:val="1"/>
      <w:numFmt w:val="bullet"/>
      <w:lvlText w:val=""/>
      <w:lvlJc w:val="left"/>
      <w:pPr>
        <w:ind w:left="2880" w:hanging="360"/>
      </w:pPr>
      <w:rPr>
        <w:rFonts w:ascii="Symbol" w:hAnsi="Symbol" w:hint="default"/>
      </w:rPr>
    </w:lvl>
    <w:lvl w:ilvl="4" w:tplc="6C209272">
      <w:start w:val="1"/>
      <w:numFmt w:val="bullet"/>
      <w:lvlText w:val="o"/>
      <w:lvlJc w:val="left"/>
      <w:pPr>
        <w:ind w:left="3600" w:hanging="360"/>
      </w:pPr>
      <w:rPr>
        <w:rFonts w:ascii="Courier New" w:hAnsi="Courier New" w:hint="default"/>
      </w:rPr>
    </w:lvl>
    <w:lvl w:ilvl="5" w:tplc="8E34C86C">
      <w:start w:val="1"/>
      <w:numFmt w:val="bullet"/>
      <w:lvlText w:val=""/>
      <w:lvlJc w:val="left"/>
      <w:pPr>
        <w:ind w:left="4320" w:hanging="360"/>
      </w:pPr>
      <w:rPr>
        <w:rFonts w:ascii="Wingdings" w:hAnsi="Wingdings" w:hint="default"/>
      </w:rPr>
    </w:lvl>
    <w:lvl w:ilvl="6" w:tplc="715C4552">
      <w:start w:val="1"/>
      <w:numFmt w:val="bullet"/>
      <w:lvlText w:val=""/>
      <w:lvlJc w:val="left"/>
      <w:pPr>
        <w:ind w:left="5040" w:hanging="360"/>
      </w:pPr>
      <w:rPr>
        <w:rFonts w:ascii="Symbol" w:hAnsi="Symbol" w:hint="default"/>
      </w:rPr>
    </w:lvl>
    <w:lvl w:ilvl="7" w:tplc="CDA6166E">
      <w:start w:val="1"/>
      <w:numFmt w:val="bullet"/>
      <w:lvlText w:val="o"/>
      <w:lvlJc w:val="left"/>
      <w:pPr>
        <w:ind w:left="5760" w:hanging="360"/>
      </w:pPr>
      <w:rPr>
        <w:rFonts w:ascii="Courier New" w:hAnsi="Courier New" w:hint="default"/>
      </w:rPr>
    </w:lvl>
    <w:lvl w:ilvl="8" w:tplc="E0C2133C">
      <w:start w:val="1"/>
      <w:numFmt w:val="bullet"/>
      <w:lvlText w:val=""/>
      <w:lvlJc w:val="left"/>
      <w:pPr>
        <w:ind w:left="6480" w:hanging="360"/>
      </w:pPr>
      <w:rPr>
        <w:rFonts w:ascii="Wingdings" w:hAnsi="Wingdings" w:hint="default"/>
      </w:rPr>
    </w:lvl>
  </w:abstractNum>
  <w:abstractNum w:abstractNumId="25" w15:restartNumberingAfterBreak="0">
    <w:nsid w:val="5E0110B7"/>
    <w:multiLevelType w:val="hybridMultilevel"/>
    <w:tmpl w:val="EC3A2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4001881"/>
    <w:multiLevelType w:val="hybridMultilevel"/>
    <w:tmpl w:val="ADE6004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6BA20227"/>
    <w:multiLevelType w:val="hybridMultilevel"/>
    <w:tmpl w:val="A04E4ABE"/>
    <w:lvl w:ilvl="0" w:tplc="B77EE64C">
      <w:numFmt w:val="bullet"/>
      <w:lvlText w:val=""/>
      <w:lvlJc w:val="left"/>
      <w:pPr>
        <w:ind w:left="820" w:hanging="360"/>
      </w:pPr>
      <w:rPr>
        <w:rFonts w:ascii="Symbol" w:eastAsia="Symbol" w:hAnsi="Symbol" w:cs="Symbol" w:hint="default"/>
        <w:w w:val="100"/>
        <w:sz w:val="24"/>
        <w:szCs w:val="24"/>
        <w:lang w:val="en-US" w:eastAsia="en-US" w:bidi="en-US"/>
      </w:rPr>
    </w:lvl>
    <w:lvl w:ilvl="1" w:tplc="ADD2CDCE">
      <w:numFmt w:val="bullet"/>
      <w:lvlText w:val="•"/>
      <w:lvlJc w:val="left"/>
      <w:pPr>
        <w:ind w:left="1696" w:hanging="360"/>
      </w:pPr>
      <w:rPr>
        <w:rFonts w:hint="default"/>
        <w:lang w:val="en-US" w:eastAsia="en-US" w:bidi="en-US"/>
      </w:rPr>
    </w:lvl>
    <w:lvl w:ilvl="2" w:tplc="11CC0874">
      <w:numFmt w:val="bullet"/>
      <w:lvlText w:val="•"/>
      <w:lvlJc w:val="left"/>
      <w:pPr>
        <w:ind w:left="2572" w:hanging="360"/>
      </w:pPr>
      <w:rPr>
        <w:rFonts w:hint="default"/>
        <w:lang w:val="en-US" w:eastAsia="en-US" w:bidi="en-US"/>
      </w:rPr>
    </w:lvl>
    <w:lvl w:ilvl="3" w:tplc="A33840A4">
      <w:numFmt w:val="bullet"/>
      <w:lvlText w:val="•"/>
      <w:lvlJc w:val="left"/>
      <w:pPr>
        <w:ind w:left="3448" w:hanging="360"/>
      </w:pPr>
      <w:rPr>
        <w:rFonts w:hint="default"/>
        <w:lang w:val="en-US" w:eastAsia="en-US" w:bidi="en-US"/>
      </w:rPr>
    </w:lvl>
    <w:lvl w:ilvl="4" w:tplc="66263E1E">
      <w:numFmt w:val="bullet"/>
      <w:lvlText w:val="•"/>
      <w:lvlJc w:val="left"/>
      <w:pPr>
        <w:ind w:left="4324" w:hanging="360"/>
      </w:pPr>
      <w:rPr>
        <w:rFonts w:hint="default"/>
        <w:lang w:val="en-US" w:eastAsia="en-US" w:bidi="en-US"/>
      </w:rPr>
    </w:lvl>
    <w:lvl w:ilvl="5" w:tplc="99921486">
      <w:numFmt w:val="bullet"/>
      <w:lvlText w:val="•"/>
      <w:lvlJc w:val="left"/>
      <w:pPr>
        <w:ind w:left="5200" w:hanging="360"/>
      </w:pPr>
      <w:rPr>
        <w:rFonts w:hint="default"/>
        <w:lang w:val="en-US" w:eastAsia="en-US" w:bidi="en-US"/>
      </w:rPr>
    </w:lvl>
    <w:lvl w:ilvl="6" w:tplc="D8EA05D2">
      <w:numFmt w:val="bullet"/>
      <w:lvlText w:val="•"/>
      <w:lvlJc w:val="left"/>
      <w:pPr>
        <w:ind w:left="6076" w:hanging="360"/>
      </w:pPr>
      <w:rPr>
        <w:rFonts w:hint="default"/>
        <w:lang w:val="en-US" w:eastAsia="en-US" w:bidi="en-US"/>
      </w:rPr>
    </w:lvl>
    <w:lvl w:ilvl="7" w:tplc="B35EB018">
      <w:numFmt w:val="bullet"/>
      <w:lvlText w:val="•"/>
      <w:lvlJc w:val="left"/>
      <w:pPr>
        <w:ind w:left="6952" w:hanging="360"/>
      </w:pPr>
      <w:rPr>
        <w:rFonts w:hint="default"/>
        <w:lang w:val="en-US" w:eastAsia="en-US" w:bidi="en-US"/>
      </w:rPr>
    </w:lvl>
    <w:lvl w:ilvl="8" w:tplc="F69EBBCA">
      <w:numFmt w:val="bullet"/>
      <w:lvlText w:val="•"/>
      <w:lvlJc w:val="left"/>
      <w:pPr>
        <w:ind w:left="7828" w:hanging="360"/>
      </w:pPr>
      <w:rPr>
        <w:rFonts w:hint="default"/>
        <w:lang w:val="en-US" w:eastAsia="en-US" w:bidi="en-US"/>
      </w:rPr>
    </w:lvl>
  </w:abstractNum>
  <w:abstractNum w:abstractNumId="28" w15:restartNumberingAfterBreak="0">
    <w:nsid w:val="6C9A2BFA"/>
    <w:multiLevelType w:val="hybridMultilevel"/>
    <w:tmpl w:val="C742C6AA"/>
    <w:lvl w:ilvl="0" w:tplc="DDDE2E6A">
      <w:start w:val="1"/>
      <w:numFmt w:val="bullet"/>
      <w:lvlText w:val=""/>
      <w:lvlJc w:val="left"/>
      <w:pPr>
        <w:ind w:left="720" w:hanging="360"/>
      </w:pPr>
      <w:rPr>
        <w:rFonts w:ascii="Symbol" w:hAnsi="Symbol" w:hint="default"/>
      </w:rPr>
    </w:lvl>
    <w:lvl w:ilvl="1" w:tplc="1268784C">
      <w:start w:val="1"/>
      <w:numFmt w:val="bullet"/>
      <w:lvlText w:val="o"/>
      <w:lvlJc w:val="left"/>
      <w:pPr>
        <w:ind w:left="1440" w:hanging="360"/>
      </w:pPr>
      <w:rPr>
        <w:rFonts w:ascii="Courier New" w:hAnsi="Courier New" w:hint="default"/>
      </w:rPr>
    </w:lvl>
    <w:lvl w:ilvl="2" w:tplc="8A08C3E6">
      <w:start w:val="1"/>
      <w:numFmt w:val="bullet"/>
      <w:lvlText w:val=""/>
      <w:lvlJc w:val="left"/>
      <w:pPr>
        <w:ind w:left="2160" w:hanging="360"/>
      </w:pPr>
      <w:rPr>
        <w:rFonts w:ascii="Wingdings" w:hAnsi="Wingdings" w:hint="default"/>
      </w:rPr>
    </w:lvl>
    <w:lvl w:ilvl="3" w:tplc="E12AC174">
      <w:start w:val="1"/>
      <w:numFmt w:val="bullet"/>
      <w:lvlText w:val=""/>
      <w:lvlJc w:val="left"/>
      <w:pPr>
        <w:ind w:left="2880" w:hanging="360"/>
      </w:pPr>
      <w:rPr>
        <w:rFonts w:ascii="Symbol" w:hAnsi="Symbol" w:hint="default"/>
      </w:rPr>
    </w:lvl>
    <w:lvl w:ilvl="4" w:tplc="0DB68586">
      <w:start w:val="1"/>
      <w:numFmt w:val="bullet"/>
      <w:lvlText w:val="o"/>
      <w:lvlJc w:val="left"/>
      <w:pPr>
        <w:ind w:left="3600" w:hanging="360"/>
      </w:pPr>
      <w:rPr>
        <w:rFonts w:ascii="Courier New" w:hAnsi="Courier New" w:hint="default"/>
      </w:rPr>
    </w:lvl>
    <w:lvl w:ilvl="5" w:tplc="F2E0131E">
      <w:start w:val="1"/>
      <w:numFmt w:val="bullet"/>
      <w:lvlText w:val=""/>
      <w:lvlJc w:val="left"/>
      <w:pPr>
        <w:ind w:left="4320" w:hanging="360"/>
      </w:pPr>
      <w:rPr>
        <w:rFonts w:ascii="Wingdings" w:hAnsi="Wingdings" w:hint="default"/>
      </w:rPr>
    </w:lvl>
    <w:lvl w:ilvl="6" w:tplc="B0C06158">
      <w:start w:val="1"/>
      <w:numFmt w:val="bullet"/>
      <w:lvlText w:val=""/>
      <w:lvlJc w:val="left"/>
      <w:pPr>
        <w:ind w:left="5040" w:hanging="360"/>
      </w:pPr>
      <w:rPr>
        <w:rFonts w:ascii="Symbol" w:hAnsi="Symbol" w:hint="default"/>
      </w:rPr>
    </w:lvl>
    <w:lvl w:ilvl="7" w:tplc="DAC6999A">
      <w:start w:val="1"/>
      <w:numFmt w:val="bullet"/>
      <w:lvlText w:val="o"/>
      <w:lvlJc w:val="left"/>
      <w:pPr>
        <w:ind w:left="5760" w:hanging="360"/>
      </w:pPr>
      <w:rPr>
        <w:rFonts w:ascii="Courier New" w:hAnsi="Courier New" w:hint="default"/>
      </w:rPr>
    </w:lvl>
    <w:lvl w:ilvl="8" w:tplc="2CA40AC0">
      <w:start w:val="1"/>
      <w:numFmt w:val="bullet"/>
      <w:lvlText w:val=""/>
      <w:lvlJc w:val="left"/>
      <w:pPr>
        <w:ind w:left="6480" w:hanging="360"/>
      </w:pPr>
      <w:rPr>
        <w:rFonts w:ascii="Wingdings" w:hAnsi="Wingdings" w:hint="default"/>
      </w:rPr>
    </w:lvl>
  </w:abstractNum>
  <w:abstractNum w:abstractNumId="29" w15:restartNumberingAfterBreak="0">
    <w:nsid w:val="70FE1D5E"/>
    <w:multiLevelType w:val="hybridMultilevel"/>
    <w:tmpl w:val="4ED48648"/>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0" w15:restartNumberingAfterBreak="0">
    <w:nsid w:val="732F1238"/>
    <w:multiLevelType w:val="hybridMultilevel"/>
    <w:tmpl w:val="EF701DEC"/>
    <w:lvl w:ilvl="0" w:tplc="9F343336">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AE34D0"/>
    <w:multiLevelType w:val="hybridMultilevel"/>
    <w:tmpl w:val="88FA83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9524D7"/>
    <w:multiLevelType w:val="hybridMultilevel"/>
    <w:tmpl w:val="0366A3E0"/>
    <w:lvl w:ilvl="0" w:tplc="C2A00446">
      <w:start w:val="1"/>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8"/>
  </w:num>
  <w:num w:numId="2">
    <w:abstractNumId w:val="16"/>
  </w:num>
  <w:num w:numId="3">
    <w:abstractNumId w:val="22"/>
  </w:num>
  <w:num w:numId="4">
    <w:abstractNumId w:val="0"/>
  </w:num>
  <w:num w:numId="5">
    <w:abstractNumId w:val="30"/>
  </w:num>
  <w:num w:numId="6">
    <w:abstractNumId w:val="15"/>
  </w:num>
  <w:num w:numId="7">
    <w:abstractNumId w:val="21"/>
  </w:num>
  <w:num w:numId="8">
    <w:abstractNumId w:val="10"/>
  </w:num>
  <w:num w:numId="9">
    <w:abstractNumId w:val="24"/>
  </w:num>
  <w:num w:numId="10">
    <w:abstractNumId w:val="9"/>
  </w:num>
  <w:num w:numId="11">
    <w:abstractNumId w:val="18"/>
  </w:num>
  <w:num w:numId="12">
    <w:abstractNumId w:val="32"/>
  </w:num>
  <w:num w:numId="13">
    <w:abstractNumId w:val="8"/>
  </w:num>
  <w:num w:numId="14">
    <w:abstractNumId w:val="11"/>
  </w:num>
  <w:num w:numId="15">
    <w:abstractNumId w:val="31"/>
  </w:num>
  <w:num w:numId="16">
    <w:abstractNumId w:val="4"/>
  </w:num>
  <w:num w:numId="17">
    <w:abstractNumId w:val="26"/>
  </w:num>
  <w:num w:numId="18">
    <w:abstractNumId w:val="14"/>
  </w:num>
  <w:num w:numId="19">
    <w:abstractNumId w:val="17"/>
  </w:num>
  <w:num w:numId="20">
    <w:abstractNumId w:val="16"/>
  </w:num>
  <w:num w:numId="21">
    <w:abstractNumId w:val="7"/>
  </w:num>
  <w:num w:numId="22">
    <w:abstractNumId w:val="5"/>
  </w:num>
  <w:num w:numId="23">
    <w:abstractNumId w:val="13"/>
  </w:num>
  <w:num w:numId="24">
    <w:abstractNumId w:val="12"/>
  </w:num>
  <w:num w:numId="25">
    <w:abstractNumId w:val="3"/>
  </w:num>
  <w:num w:numId="26">
    <w:abstractNumId w:val="20"/>
  </w:num>
  <w:num w:numId="27">
    <w:abstractNumId w:val="16"/>
  </w:num>
  <w:num w:numId="28">
    <w:abstractNumId w:val="25"/>
  </w:num>
  <w:num w:numId="29">
    <w:abstractNumId w:val="1"/>
  </w:num>
  <w:num w:numId="30">
    <w:abstractNumId w:val="27"/>
  </w:num>
  <w:num w:numId="31">
    <w:abstractNumId w:val="6"/>
  </w:num>
  <w:num w:numId="32">
    <w:abstractNumId w:val="23"/>
  </w:num>
  <w:num w:numId="33">
    <w:abstractNumId w:val="16"/>
  </w:num>
  <w:num w:numId="34">
    <w:abstractNumId w:val="2"/>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pt-PT" w:vendorID="64" w:dllVersion="6" w:nlCheck="1" w:checkStyle="0"/>
  <w:activeWritingStyle w:appName="MSWord" w:lang="en-IE" w:vendorID="64" w:dllVersion="6" w:nlCheck="1" w:checkStyle="1"/>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s-ES" w:vendorID="64" w:dllVersion="6" w:nlCheck="1" w:checkStyle="0"/>
  <w:activeWritingStyle w:appName="MSWord" w:lang="de-DE" w:vendorID="64" w:dllVersion="6" w:nlCheck="1" w:checkStyle="0"/>
  <w:activeWritingStyle w:appName="MSWord" w:lang="nl-BE" w:vendorID="64" w:dllVersion="6" w:nlCheck="1" w:checkStyle="0"/>
  <w:activeWritingStyle w:appName="MSWord" w:lang="it-IT" w:vendorID="64" w:dllVersion="6" w:nlCheck="1" w:checkStyle="0"/>
  <w:activeWritingStyle w:appName="MSWord" w:lang="fi-FI" w:vendorID="64" w:dllVersion="6" w:nlCheck="1" w:checkStyle="0"/>
  <w:activeWritingStyle w:appName="MSWord" w:lang="fr-FR" w:vendorID="64" w:dllVersion="6" w:nlCheck="1" w:checkStyle="0"/>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fr-BE" w:vendorID="64" w:dllVersion="131078" w:nlCheck="1" w:checkStyle="0"/>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DDC9D685-F5A0-411A-848B-06894DF3BBC1"/>
    <w:docVar w:name="LW_COVERPAGE_TYPE" w:val="1"/>
    <w:docVar w:name="LW_CROSSREFERENCE" w:val="{SWD(2022) 133 final} - {SWD(2022) 134 final}"/>
    <w:docVar w:name="LW_DocType" w:val="NORMAL"/>
    <w:docVar w:name="LW_EMISSION" w:val="3.5.2022"/>
    <w:docVar w:name="LW_EMISSION_ISODATE" w:val="2022-05-03"/>
    <w:docVar w:name="LW_EMISSION_LOCATION" w:val="STR"/>
    <w:docVar w:name="LW_EMISSION_PREFIX" w:val="\u931?\u964?\u961?\u945?\u963?\u946?\u959?\u973?\u961?\u947?\u959?, "/>
    <w:docVar w:name="LW_EMISSION_SUFFIX" w:val=" "/>
    <w:docVar w:name="LW_ID_DOCTYPE_NONLW" w:val="CP-014"/>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NST.NEW" w:val="COM"/>
    <w:docVar w:name="LW_REF.INST.NEW_ADOPTED" w:val="final"/>
    <w:docVar w:name="LW_REF.INST.NEW_TEXT" w:val="(2022) 1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Προτεραιότητα στον άνθρωπο, διασφάλιση βιώσιμης και χωρίς αποκλεισμούς ανάπτυξης, και απελευθέρωση του δυναμικού των εξόχως απόκεντρων περιοχών της ΕΕ_x000d__x000d__x000d__x000d__x000d__x000d__x000d__x000d__x000d__x000d__x000d__x000d__x000b_"/>
    <w:docVar w:name="LW_TYPE.DOC.CP" w:val="ΑΝΑΚΟΙΝΩΣΗ ΤΗΣ ΕΠΙΤΡΟΠΗΣ ΠΡΟΣ ΤΟ ΕΥΡΩΠΑΪΚΟ ΚΟΙΝΟΒΟΥΛΙΟ, ΤΟ ΣΥΜΒΟΥΛΙΟ, ΤΗΝ ΕΥΡΩΠΑΪΚΗ ΟΙΚΟΝΟΜΙΚΗ ΚΑΙ ΚΟΙΝΩΝΙΚΗ ΕΠΙΤΡΟΠΗ ΚΑΙ ΤΗΝ ΕΠΙΤΡΟΠΗ ΤΩΝ ΠΕΡΙΦΕΡΕΙΩΝ"/>
    <w:docVar w:name="LW_TYPE.DOC.CP.USERTEXT" w:val="&lt;EMPTY&gt;"/>
    <w:docVar w:name="LwApiVersions" w:val="LW4CoDe 1.23.2.0; LW 8.0, Build 20211117"/>
  </w:docVars>
  <w:rsids>
    <w:rsidRoot w:val="00B2797C"/>
    <w:rsid w:val="000001EB"/>
    <w:rsid w:val="00000D19"/>
    <w:rsid w:val="000020FD"/>
    <w:rsid w:val="000021AC"/>
    <w:rsid w:val="0000314C"/>
    <w:rsid w:val="0000439C"/>
    <w:rsid w:val="00006088"/>
    <w:rsid w:val="0001026D"/>
    <w:rsid w:val="000102B9"/>
    <w:rsid w:val="0001122B"/>
    <w:rsid w:val="0001157B"/>
    <w:rsid w:val="00012A1E"/>
    <w:rsid w:val="00012B6B"/>
    <w:rsid w:val="00014380"/>
    <w:rsid w:val="000148DF"/>
    <w:rsid w:val="00014C57"/>
    <w:rsid w:val="0001673A"/>
    <w:rsid w:val="00017894"/>
    <w:rsid w:val="00020BAB"/>
    <w:rsid w:val="0002162C"/>
    <w:rsid w:val="0002172E"/>
    <w:rsid w:val="00022E18"/>
    <w:rsid w:val="00023611"/>
    <w:rsid w:val="00023967"/>
    <w:rsid w:val="000250E3"/>
    <w:rsid w:val="00026245"/>
    <w:rsid w:val="00026FB0"/>
    <w:rsid w:val="000275F5"/>
    <w:rsid w:val="0002768D"/>
    <w:rsid w:val="00027C81"/>
    <w:rsid w:val="0003035E"/>
    <w:rsid w:val="000303C0"/>
    <w:rsid w:val="000308BB"/>
    <w:rsid w:val="0003094E"/>
    <w:rsid w:val="00030B41"/>
    <w:rsid w:val="00030B61"/>
    <w:rsid w:val="00030D8F"/>
    <w:rsid w:val="0003115B"/>
    <w:rsid w:val="000316F8"/>
    <w:rsid w:val="000317C7"/>
    <w:rsid w:val="00031B41"/>
    <w:rsid w:val="000369B1"/>
    <w:rsid w:val="00036BD7"/>
    <w:rsid w:val="00037101"/>
    <w:rsid w:val="0003722C"/>
    <w:rsid w:val="000403DC"/>
    <w:rsid w:val="000404B3"/>
    <w:rsid w:val="000404F1"/>
    <w:rsid w:val="00040677"/>
    <w:rsid w:val="00041300"/>
    <w:rsid w:val="00041686"/>
    <w:rsid w:val="00042731"/>
    <w:rsid w:val="00043ECD"/>
    <w:rsid w:val="000443E5"/>
    <w:rsid w:val="000446F3"/>
    <w:rsid w:val="00044D05"/>
    <w:rsid w:val="000450ED"/>
    <w:rsid w:val="00045907"/>
    <w:rsid w:val="00046509"/>
    <w:rsid w:val="000469CB"/>
    <w:rsid w:val="00050063"/>
    <w:rsid w:val="0005103D"/>
    <w:rsid w:val="0005203F"/>
    <w:rsid w:val="0005306A"/>
    <w:rsid w:val="00053363"/>
    <w:rsid w:val="000536DA"/>
    <w:rsid w:val="000544C6"/>
    <w:rsid w:val="00054990"/>
    <w:rsid w:val="0005530A"/>
    <w:rsid w:val="000554E3"/>
    <w:rsid w:val="0005589C"/>
    <w:rsid w:val="000569EB"/>
    <w:rsid w:val="00056AB1"/>
    <w:rsid w:val="0005713E"/>
    <w:rsid w:val="00060DBA"/>
    <w:rsid w:val="000612F8"/>
    <w:rsid w:val="000617C0"/>
    <w:rsid w:val="000617F8"/>
    <w:rsid w:val="00061928"/>
    <w:rsid w:val="00063F64"/>
    <w:rsid w:val="00065991"/>
    <w:rsid w:val="00065FF1"/>
    <w:rsid w:val="00070C54"/>
    <w:rsid w:val="00070FF3"/>
    <w:rsid w:val="0007150F"/>
    <w:rsid w:val="00071C76"/>
    <w:rsid w:val="00072E72"/>
    <w:rsid w:val="00073535"/>
    <w:rsid w:val="00073F52"/>
    <w:rsid w:val="00074D4D"/>
    <w:rsid w:val="0007541B"/>
    <w:rsid w:val="000758A8"/>
    <w:rsid w:val="00075D2C"/>
    <w:rsid w:val="000761E2"/>
    <w:rsid w:val="000771CE"/>
    <w:rsid w:val="00077B9B"/>
    <w:rsid w:val="0008042D"/>
    <w:rsid w:val="000808BC"/>
    <w:rsid w:val="00080981"/>
    <w:rsid w:val="00080F7D"/>
    <w:rsid w:val="00081093"/>
    <w:rsid w:val="00081275"/>
    <w:rsid w:val="00081774"/>
    <w:rsid w:val="0008295D"/>
    <w:rsid w:val="000829C4"/>
    <w:rsid w:val="00083184"/>
    <w:rsid w:val="00084FB1"/>
    <w:rsid w:val="00086DEB"/>
    <w:rsid w:val="00090C31"/>
    <w:rsid w:val="000913E6"/>
    <w:rsid w:val="00093F4E"/>
    <w:rsid w:val="00094933"/>
    <w:rsid w:val="0009678D"/>
    <w:rsid w:val="0009790B"/>
    <w:rsid w:val="000A1F29"/>
    <w:rsid w:val="000A2723"/>
    <w:rsid w:val="000A3D3C"/>
    <w:rsid w:val="000A3FC7"/>
    <w:rsid w:val="000A419E"/>
    <w:rsid w:val="000A5A3B"/>
    <w:rsid w:val="000A618E"/>
    <w:rsid w:val="000A6615"/>
    <w:rsid w:val="000B0176"/>
    <w:rsid w:val="000B071A"/>
    <w:rsid w:val="000B0AC2"/>
    <w:rsid w:val="000B11D9"/>
    <w:rsid w:val="000B14ED"/>
    <w:rsid w:val="000B190C"/>
    <w:rsid w:val="000B1F5A"/>
    <w:rsid w:val="000B22B8"/>
    <w:rsid w:val="000B3C05"/>
    <w:rsid w:val="000B44C5"/>
    <w:rsid w:val="000B44CF"/>
    <w:rsid w:val="000B4CC2"/>
    <w:rsid w:val="000B5035"/>
    <w:rsid w:val="000B5283"/>
    <w:rsid w:val="000B6560"/>
    <w:rsid w:val="000B65C8"/>
    <w:rsid w:val="000C04E7"/>
    <w:rsid w:val="000C1CA1"/>
    <w:rsid w:val="000C1ED2"/>
    <w:rsid w:val="000C2765"/>
    <w:rsid w:val="000C29D7"/>
    <w:rsid w:val="000C3717"/>
    <w:rsid w:val="000C3855"/>
    <w:rsid w:val="000C3919"/>
    <w:rsid w:val="000C3B4A"/>
    <w:rsid w:val="000C43BE"/>
    <w:rsid w:val="000C479D"/>
    <w:rsid w:val="000C4B38"/>
    <w:rsid w:val="000C5361"/>
    <w:rsid w:val="000C676F"/>
    <w:rsid w:val="000C72BB"/>
    <w:rsid w:val="000C7EBC"/>
    <w:rsid w:val="000C7FD0"/>
    <w:rsid w:val="000D10A4"/>
    <w:rsid w:val="000D121B"/>
    <w:rsid w:val="000D2663"/>
    <w:rsid w:val="000D376E"/>
    <w:rsid w:val="000D3CEA"/>
    <w:rsid w:val="000D4473"/>
    <w:rsid w:val="000D4D80"/>
    <w:rsid w:val="000D507F"/>
    <w:rsid w:val="000D5F60"/>
    <w:rsid w:val="000D5FC3"/>
    <w:rsid w:val="000D62D2"/>
    <w:rsid w:val="000D6C97"/>
    <w:rsid w:val="000D6CDC"/>
    <w:rsid w:val="000D7D46"/>
    <w:rsid w:val="000E045C"/>
    <w:rsid w:val="000E0CA5"/>
    <w:rsid w:val="000E0D6D"/>
    <w:rsid w:val="000E1F08"/>
    <w:rsid w:val="000E3E44"/>
    <w:rsid w:val="000E4D14"/>
    <w:rsid w:val="000E5D80"/>
    <w:rsid w:val="000E62B3"/>
    <w:rsid w:val="000E6FF1"/>
    <w:rsid w:val="000E7E55"/>
    <w:rsid w:val="000F195F"/>
    <w:rsid w:val="000F1A03"/>
    <w:rsid w:val="000F434F"/>
    <w:rsid w:val="000F4941"/>
    <w:rsid w:val="000F4B5F"/>
    <w:rsid w:val="000F5337"/>
    <w:rsid w:val="000F53AC"/>
    <w:rsid w:val="000F55DA"/>
    <w:rsid w:val="000F613A"/>
    <w:rsid w:val="000F71F4"/>
    <w:rsid w:val="000F7DAC"/>
    <w:rsid w:val="0010272F"/>
    <w:rsid w:val="00102AFD"/>
    <w:rsid w:val="00103266"/>
    <w:rsid w:val="001043B4"/>
    <w:rsid w:val="0010651D"/>
    <w:rsid w:val="001068D5"/>
    <w:rsid w:val="001106D5"/>
    <w:rsid w:val="001114D3"/>
    <w:rsid w:val="00111738"/>
    <w:rsid w:val="001118AF"/>
    <w:rsid w:val="00111A13"/>
    <w:rsid w:val="001139DB"/>
    <w:rsid w:val="0011572F"/>
    <w:rsid w:val="001172F8"/>
    <w:rsid w:val="00117528"/>
    <w:rsid w:val="00120073"/>
    <w:rsid w:val="001201AB"/>
    <w:rsid w:val="001206B5"/>
    <w:rsid w:val="00121494"/>
    <w:rsid w:val="00121682"/>
    <w:rsid w:val="00121975"/>
    <w:rsid w:val="00122C1C"/>
    <w:rsid w:val="00122C48"/>
    <w:rsid w:val="00122D3C"/>
    <w:rsid w:val="00123018"/>
    <w:rsid w:val="00124AB2"/>
    <w:rsid w:val="00124BAA"/>
    <w:rsid w:val="00126AF3"/>
    <w:rsid w:val="00127407"/>
    <w:rsid w:val="0012777B"/>
    <w:rsid w:val="001305D3"/>
    <w:rsid w:val="00130F16"/>
    <w:rsid w:val="00131B68"/>
    <w:rsid w:val="001336C5"/>
    <w:rsid w:val="00133768"/>
    <w:rsid w:val="0013442F"/>
    <w:rsid w:val="00134802"/>
    <w:rsid w:val="00135620"/>
    <w:rsid w:val="00136894"/>
    <w:rsid w:val="00137CF2"/>
    <w:rsid w:val="00140972"/>
    <w:rsid w:val="00140C99"/>
    <w:rsid w:val="00141010"/>
    <w:rsid w:val="0014175C"/>
    <w:rsid w:val="001440AA"/>
    <w:rsid w:val="001443AA"/>
    <w:rsid w:val="001448AC"/>
    <w:rsid w:val="00144977"/>
    <w:rsid w:val="0014571B"/>
    <w:rsid w:val="0014607F"/>
    <w:rsid w:val="0014620D"/>
    <w:rsid w:val="00147D62"/>
    <w:rsid w:val="00150EDB"/>
    <w:rsid w:val="001516E5"/>
    <w:rsid w:val="00151AFA"/>
    <w:rsid w:val="00151B79"/>
    <w:rsid w:val="001520BE"/>
    <w:rsid w:val="00152BFF"/>
    <w:rsid w:val="00154849"/>
    <w:rsid w:val="00154A0E"/>
    <w:rsid w:val="0015640B"/>
    <w:rsid w:val="00156F83"/>
    <w:rsid w:val="0015700F"/>
    <w:rsid w:val="00157D83"/>
    <w:rsid w:val="001601AE"/>
    <w:rsid w:val="001607A2"/>
    <w:rsid w:val="00160B2A"/>
    <w:rsid w:val="001615D6"/>
    <w:rsid w:val="00163823"/>
    <w:rsid w:val="00165FC9"/>
    <w:rsid w:val="00166418"/>
    <w:rsid w:val="00166602"/>
    <w:rsid w:val="001668BD"/>
    <w:rsid w:val="00166E26"/>
    <w:rsid w:val="00167335"/>
    <w:rsid w:val="001679CD"/>
    <w:rsid w:val="00170D7F"/>
    <w:rsid w:val="00171E07"/>
    <w:rsid w:val="00172CA3"/>
    <w:rsid w:val="00172CA6"/>
    <w:rsid w:val="00173042"/>
    <w:rsid w:val="001736B3"/>
    <w:rsid w:val="001737DF"/>
    <w:rsid w:val="00173FCE"/>
    <w:rsid w:val="001743A5"/>
    <w:rsid w:val="00174475"/>
    <w:rsid w:val="00174631"/>
    <w:rsid w:val="00175A52"/>
    <w:rsid w:val="00175B67"/>
    <w:rsid w:val="00175CD7"/>
    <w:rsid w:val="00180CD3"/>
    <w:rsid w:val="001815C8"/>
    <w:rsid w:val="001815DC"/>
    <w:rsid w:val="00184E3D"/>
    <w:rsid w:val="00186166"/>
    <w:rsid w:val="00186CC4"/>
    <w:rsid w:val="00187A98"/>
    <w:rsid w:val="00187D9E"/>
    <w:rsid w:val="00187DC6"/>
    <w:rsid w:val="00191848"/>
    <w:rsid w:val="00191B09"/>
    <w:rsid w:val="00192C71"/>
    <w:rsid w:val="00192CC7"/>
    <w:rsid w:val="00194030"/>
    <w:rsid w:val="00194CE9"/>
    <w:rsid w:val="00195721"/>
    <w:rsid w:val="001961CD"/>
    <w:rsid w:val="00197028"/>
    <w:rsid w:val="00197CA7"/>
    <w:rsid w:val="001A135B"/>
    <w:rsid w:val="001A151F"/>
    <w:rsid w:val="001A22EB"/>
    <w:rsid w:val="001A36CA"/>
    <w:rsid w:val="001A3B38"/>
    <w:rsid w:val="001A40F3"/>
    <w:rsid w:val="001A5042"/>
    <w:rsid w:val="001A56A1"/>
    <w:rsid w:val="001A5986"/>
    <w:rsid w:val="001A59DB"/>
    <w:rsid w:val="001A5D1E"/>
    <w:rsid w:val="001A6F87"/>
    <w:rsid w:val="001A7E59"/>
    <w:rsid w:val="001B0468"/>
    <w:rsid w:val="001B0846"/>
    <w:rsid w:val="001B0AD9"/>
    <w:rsid w:val="001B0CBF"/>
    <w:rsid w:val="001B0FE0"/>
    <w:rsid w:val="001B104E"/>
    <w:rsid w:val="001B31FD"/>
    <w:rsid w:val="001B49BA"/>
    <w:rsid w:val="001B555A"/>
    <w:rsid w:val="001B5BB2"/>
    <w:rsid w:val="001B6AFC"/>
    <w:rsid w:val="001B7F7F"/>
    <w:rsid w:val="001C013D"/>
    <w:rsid w:val="001C2563"/>
    <w:rsid w:val="001C26A3"/>
    <w:rsid w:val="001C32B3"/>
    <w:rsid w:val="001C32E5"/>
    <w:rsid w:val="001C42EB"/>
    <w:rsid w:val="001C5E99"/>
    <w:rsid w:val="001C6AB8"/>
    <w:rsid w:val="001C7877"/>
    <w:rsid w:val="001C7A4F"/>
    <w:rsid w:val="001D04CB"/>
    <w:rsid w:val="001D0FA1"/>
    <w:rsid w:val="001D14BB"/>
    <w:rsid w:val="001D14E8"/>
    <w:rsid w:val="001D2C90"/>
    <w:rsid w:val="001D3470"/>
    <w:rsid w:val="001D47A1"/>
    <w:rsid w:val="001D4F4F"/>
    <w:rsid w:val="001D579C"/>
    <w:rsid w:val="001D7482"/>
    <w:rsid w:val="001D77A7"/>
    <w:rsid w:val="001D7C86"/>
    <w:rsid w:val="001E1DA9"/>
    <w:rsid w:val="001E21E3"/>
    <w:rsid w:val="001E2EA7"/>
    <w:rsid w:val="001E3273"/>
    <w:rsid w:val="001E36C9"/>
    <w:rsid w:val="001E3C5A"/>
    <w:rsid w:val="001E3E11"/>
    <w:rsid w:val="001E56CF"/>
    <w:rsid w:val="001E585D"/>
    <w:rsid w:val="001E5CBA"/>
    <w:rsid w:val="001E67B9"/>
    <w:rsid w:val="001E68ED"/>
    <w:rsid w:val="001E6AF4"/>
    <w:rsid w:val="001E6B64"/>
    <w:rsid w:val="001E7D3C"/>
    <w:rsid w:val="001E7E6C"/>
    <w:rsid w:val="001F0AC8"/>
    <w:rsid w:val="001F2597"/>
    <w:rsid w:val="001F260B"/>
    <w:rsid w:val="001F2714"/>
    <w:rsid w:val="001F2B90"/>
    <w:rsid w:val="001F45AD"/>
    <w:rsid w:val="001F4E52"/>
    <w:rsid w:val="001F56B1"/>
    <w:rsid w:val="001F611F"/>
    <w:rsid w:val="001F657E"/>
    <w:rsid w:val="001F7087"/>
    <w:rsid w:val="001F7177"/>
    <w:rsid w:val="002000C9"/>
    <w:rsid w:val="0020046B"/>
    <w:rsid w:val="00201F8E"/>
    <w:rsid w:val="002020CD"/>
    <w:rsid w:val="0020269B"/>
    <w:rsid w:val="00203A6B"/>
    <w:rsid w:val="002041CF"/>
    <w:rsid w:val="00204961"/>
    <w:rsid w:val="002054C3"/>
    <w:rsid w:val="00205886"/>
    <w:rsid w:val="00205D20"/>
    <w:rsid w:val="0021020F"/>
    <w:rsid w:val="00210508"/>
    <w:rsid w:val="0021082F"/>
    <w:rsid w:val="00210950"/>
    <w:rsid w:val="00213467"/>
    <w:rsid w:val="0021350F"/>
    <w:rsid w:val="0021363D"/>
    <w:rsid w:val="00213FFB"/>
    <w:rsid w:val="00214037"/>
    <w:rsid w:val="002142C6"/>
    <w:rsid w:val="00214421"/>
    <w:rsid w:val="00214659"/>
    <w:rsid w:val="00214A29"/>
    <w:rsid w:val="00214BEF"/>
    <w:rsid w:val="002157B6"/>
    <w:rsid w:val="00215A80"/>
    <w:rsid w:val="00216C37"/>
    <w:rsid w:val="00217403"/>
    <w:rsid w:val="00217514"/>
    <w:rsid w:val="00220655"/>
    <w:rsid w:val="002207C8"/>
    <w:rsid w:val="00220EC8"/>
    <w:rsid w:val="00221135"/>
    <w:rsid w:val="00221D7B"/>
    <w:rsid w:val="00221EF7"/>
    <w:rsid w:val="0022263F"/>
    <w:rsid w:val="00222B7C"/>
    <w:rsid w:val="00223143"/>
    <w:rsid w:val="00223237"/>
    <w:rsid w:val="0022398E"/>
    <w:rsid w:val="00223DCB"/>
    <w:rsid w:val="002240CD"/>
    <w:rsid w:val="00225AE0"/>
    <w:rsid w:val="002261FA"/>
    <w:rsid w:val="00226FF1"/>
    <w:rsid w:val="0022761B"/>
    <w:rsid w:val="00227712"/>
    <w:rsid w:val="00230521"/>
    <w:rsid w:val="00230E26"/>
    <w:rsid w:val="00231AAC"/>
    <w:rsid w:val="00231ABB"/>
    <w:rsid w:val="002327B6"/>
    <w:rsid w:val="0023286D"/>
    <w:rsid w:val="00232CD8"/>
    <w:rsid w:val="00232E36"/>
    <w:rsid w:val="00233869"/>
    <w:rsid w:val="00234033"/>
    <w:rsid w:val="0023446F"/>
    <w:rsid w:val="00234653"/>
    <w:rsid w:val="00235942"/>
    <w:rsid w:val="00236293"/>
    <w:rsid w:val="00236DAF"/>
    <w:rsid w:val="00237A2B"/>
    <w:rsid w:val="0024004F"/>
    <w:rsid w:val="00240C7E"/>
    <w:rsid w:val="00240D72"/>
    <w:rsid w:val="00241111"/>
    <w:rsid w:val="00241C2A"/>
    <w:rsid w:val="00241F34"/>
    <w:rsid w:val="00242194"/>
    <w:rsid w:val="0024251A"/>
    <w:rsid w:val="002425AD"/>
    <w:rsid w:val="0024280E"/>
    <w:rsid w:val="00242C8F"/>
    <w:rsid w:val="00244CE2"/>
    <w:rsid w:val="00245D10"/>
    <w:rsid w:val="002463E2"/>
    <w:rsid w:val="002477C9"/>
    <w:rsid w:val="00247C29"/>
    <w:rsid w:val="00247C3C"/>
    <w:rsid w:val="002527A0"/>
    <w:rsid w:val="00252F21"/>
    <w:rsid w:val="00252FC0"/>
    <w:rsid w:val="002542D3"/>
    <w:rsid w:val="00254790"/>
    <w:rsid w:val="00255699"/>
    <w:rsid w:val="00256C83"/>
    <w:rsid w:val="00261510"/>
    <w:rsid w:val="00261520"/>
    <w:rsid w:val="00261C1B"/>
    <w:rsid w:val="0026313B"/>
    <w:rsid w:val="00263F40"/>
    <w:rsid w:val="002640FB"/>
    <w:rsid w:val="00264F2E"/>
    <w:rsid w:val="00265234"/>
    <w:rsid w:val="002668B5"/>
    <w:rsid w:val="002668CD"/>
    <w:rsid w:val="00266DEF"/>
    <w:rsid w:val="00266E24"/>
    <w:rsid w:val="00267D95"/>
    <w:rsid w:val="002700E6"/>
    <w:rsid w:val="00270CAE"/>
    <w:rsid w:val="00272A01"/>
    <w:rsid w:val="00272ABF"/>
    <w:rsid w:val="00273E57"/>
    <w:rsid w:val="002751ED"/>
    <w:rsid w:val="00275850"/>
    <w:rsid w:val="002764E6"/>
    <w:rsid w:val="002805F8"/>
    <w:rsid w:val="0028201D"/>
    <w:rsid w:val="00282EEB"/>
    <w:rsid w:val="00282EFB"/>
    <w:rsid w:val="002835DE"/>
    <w:rsid w:val="00283D21"/>
    <w:rsid w:val="00283DEB"/>
    <w:rsid w:val="002841EB"/>
    <w:rsid w:val="00284752"/>
    <w:rsid w:val="00284777"/>
    <w:rsid w:val="002847A2"/>
    <w:rsid w:val="00284EFC"/>
    <w:rsid w:val="00284F62"/>
    <w:rsid w:val="002854E1"/>
    <w:rsid w:val="00285F30"/>
    <w:rsid w:val="00286076"/>
    <w:rsid w:val="0028741E"/>
    <w:rsid w:val="00287458"/>
    <w:rsid w:val="0028754C"/>
    <w:rsid w:val="0029043A"/>
    <w:rsid w:val="00291F2B"/>
    <w:rsid w:val="00292162"/>
    <w:rsid w:val="00292666"/>
    <w:rsid w:val="00292760"/>
    <w:rsid w:val="002929FE"/>
    <w:rsid w:val="00292E0D"/>
    <w:rsid w:val="00292F18"/>
    <w:rsid w:val="002930DF"/>
    <w:rsid w:val="00293894"/>
    <w:rsid w:val="0029398D"/>
    <w:rsid w:val="00295F84"/>
    <w:rsid w:val="00296C8B"/>
    <w:rsid w:val="00297499"/>
    <w:rsid w:val="00297D9D"/>
    <w:rsid w:val="002A0723"/>
    <w:rsid w:val="002A0A5B"/>
    <w:rsid w:val="002A1BF6"/>
    <w:rsid w:val="002A2BF6"/>
    <w:rsid w:val="002A38E2"/>
    <w:rsid w:val="002A3BDC"/>
    <w:rsid w:val="002A3E12"/>
    <w:rsid w:val="002A4B05"/>
    <w:rsid w:val="002A62BB"/>
    <w:rsid w:val="002A6E33"/>
    <w:rsid w:val="002A7240"/>
    <w:rsid w:val="002B0DEC"/>
    <w:rsid w:val="002B0EF3"/>
    <w:rsid w:val="002B27D9"/>
    <w:rsid w:val="002B31DB"/>
    <w:rsid w:val="002B3694"/>
    <w:rsid w:val="002B3BB8"/>
    <w:rsid w:val="002B4774"/>
    <w:rsid w:val="002B6081"/>
    <w:rsid w:val="002B6ADF"/>
    <w:rsid w:val="002B6D9B"/>
    <w:rsid w:val="002B6FFE"/>
    <w:rsid w:val="002C0303"/>
    <w:rsid w:val="002C04BF"/>
    <w:rsid w:val="002C0A5D"/>
    <w:rsid w:val="002C2173"/>
    <w:rsid w:val="002C2FCC"/>
    <w:rsid w:val="002C325F"/>
    <w:rsid w:val="002C42D2"/>
    <w:rsid w:val="002C4383"/>
    <w:rsid w:val="002C55D7"/>
    <w:rsid w:val="002C6A73"/>
    <w:rsid w:val="002C6EA5"/>
    <w:rsid w:val="002C6EE3"/>
    <w:rsid w:val="002D01EA"/>
    <w:rsid w:val="002D1796"/>
    <w:rsid w:val="002D2CF4"/>
    <w:rsid w:val="002D4765"/>
    <w:rsid w:val="002D5FFF"/>
    <w:rsid w:val="002D6296"/>
    <w:rsid w:val="002D67E9"/>
    <w:rsid w:val="002D6C29"/>
    <w:rsid w:val="002D6D1E"/>
    <w:rsid w:val="002D7167"/>
    <w:rsid w:val="002E0071"/>
    <w:rsid w:val="002E050C"/>
    <w:rsid w:val="002E0BEC"/>
    <w:rsid w:val="002E0FBD"/>
    <w:rsid w:val="002E1307"/>
    <w:rsid w:val="002E1983"/>
    <w:rsid w:val="002E22D1"/>
    <w:rsid w:val="002E26E2"/>
    <w:rsid w:val="002E39CF"/>
    <w:rsid w:val="002E47ED"/>
    <w:rsid w:val="002E5194"/>
    <w:rsid w:val="002E5478"/>
    <w:rsid w:val="002E60E1"/>
    <w:rsid w:val="002E6C12"/>
    <w:rsid w:val="002F0B09"/>
    <w:rsid w:val="002F0B21"/>
    <w:rsid w:val="002F1275"/>
    <w:rsid w:val="002F1B80"/>
    <w:rsid w:val="002F280E"/>
    <w:rsid w:val="002F3135"/>
    <w:rsid w:val="002F320A"/>
    <w:rsid w:val="002F326B"/>
    <w:rsid w:val="002F5092"/>
    <w:rsid w:val="002F5732"/>
    <w:rsid w:val="002F5A66"/>
    <w:rsid w:val="002F5AD5"/>
    <w:rsid w:val="002F659A"/>
    <w:rsid w:val="002F7223"/>
    <w:rsid w:val="002F775E"/>
    <w:rsid w:val="002F794D"/>
    <w:rsid w:val="002F7A63"/>
    <w:rsid w:val="003001FB"/>
    <w:rsid w:val="00300703"/>
    <w:rsid w:val="00301DE6"/>
    <w:rsid w:val="00303331"/>
    <w:rsid w:val="003039EE"/>
    <w:rsid w:val="003046FC"/>
    <w:rsid w:val="00304868"/>
    <w:rsid w:val="003050B8"/>
    <w:rsid w:val="00305491"/>
    <w:rsid w:val="00306674"/>
    <w:rsid w:val="003066BC"/>
    <w:rsid w:val="00307238"/>
    <w:rsid w:val="00307692"/>
    <w:rsid w:val="0031042B"/>
    <w:rsid w:val="00310598"/>
    <w:rsid w:val="0031075C"/>
    <w:rsid w:val="00311A38"/>
    <w:rsid w:val="00312B0E"/>
    <w:rsid w:val="00312D9F"/>
    <w:rsid w:val="00313263"/>
    <w:rsid w:val="00313C39"/>
    <w:rsid w:val="00314098"/>
    <w:rsid w:val="0031517C"/>
    <w:rsid w:val="0031525F"/>
    <w:rsid w:val="003155E2"/>
    <w:rsid w:val="00316ADA"/>
    <w:rsid w:val="00321F60"/>
    <w:rsid w:val="00322341"/>
    <w:rsid w:val="0032328D"/>
    <w:rsid w:val="00324674"/>
    <w:rsid w:val="0032541E"/>
    <w:rsid w:val="00325626"/>
    <w:rsid w:val="003309D7"/>
    <w:rsid w:val="00330A33"/>
    <w:rsid w:val="00330E09"/>
    <w:rsid w:val="0033112B"/>
    <w:rsid w:val="003311AA"/>
    <w:rsid w:val="003312B6"/>
    <w:rsid w:val="00331B16"/>
    <w:rsid w:val="00332A14"/>
    <w:rsid w:val="00335A88"/>
    <w:rsid w:val="00335E3E"/>
    <w:rsid w:val="00337DCC"/>
    <w:rsid w:val="00340C5E"/>
    <w:rsid w:val="0034132C"/>
    <w:rsid w:val="00341930"/>
    <w:rsid w:val="00342082"/>
    <w:rsid w:val="003425AF"/>
    <w:rsid w:val="0034389E"/>
    <w:rsid w:val="00343AFE"/>
    <w:rsid w:val="00343E14"/>
    <w:rsid w:val="0034412F"/>
    <w:rsid w:val="003441AA"/>
    <w:rsid w:val="00344902"/>
    <w:rsid w:val="00345549"/>
    <w:rsid w:val="00345667"/>
    <w:rsid w:val="0034709F"/>
    <w:rsid w:val="00347BA2"/>
    <w:rsid w:val="003507B3"/>
    <w:rsid w:val="003509D8"/>
    <w:rsid w:val="003511E5"/>
    <w:rsid w:val="00351C3D"/>
    <w:rsid w:val="00352325"/>
    <w:rsid w:val="0035390B"/>
    <w:rsid w:val="00353EB8"/>
    <w:rsid w:val="00354C6A"/>
    <w:rsid w:val="0035503A"/>
    <w:rsid w:val="00355B0E"/>
    <w:rsid w:val="00356100"/>
    <w:rsid w:val="003577B3"/>
    <w:rsid w:val="00357C13"/>
    <w:rsid w:val="0036021D"/>
    <w:rsid w:val="00360384"/>
    <w:rsid w:val="00360873"/>
    <w:rsid w:val="00360EB7"/>
    <w:rsid w:val="0036149A"/>
    <w:rsid w:val="003616D5"/>
    <w:rsid w:val="003622DE"/>
    <w:rsid w:val="003645A7"/>
    <w:rsid w:val="00365D64"/>
    <w:rsid w:val="0036796B"/>
    <w:rsid w:val="00367976"/>
    <w:rsid w:val="00367D77"/>
    <w:rsid w:val="00367FC2"/>
    <w:rsid w:val="0037032A"/>
    <w:rsid w:val="00371147"/>
    <w:rsid w:val="003724DB"/>
    <w:rsid w:val="00373B72"/>
    <w:rsid w:val="0037414A"/>
    <w:rsid w:val="003743CD"/>
    <w:rsid w:val="0037495C"/>
    <w:rsid w:val="00375798"/>
    <w:rsid w:val="00375D9E"/>
    <w:rsid w:val="00376985"/>
    <w:rsid w:val="00380E7B"/>
    <w:rsid w:val="0038128B"/>
    <w:rsid w:val="00381A4D"/>
    <w:rsid w:val="00383302"/>
    <w:rsid w:val="00383751"/>
    <w:rsid w:val="00384151"/>
    <w:rsid w:val="00384844"/>
    <w:rsid w:val="00385A24"/>
    <w:rsid w:val="003864F8"/>
    <w:rsid w:val="00386AC6"/>
    <w:rsid w:val="00390241"/>
    <w:rsid w:val="00391317"/>
    <w:rsid w:val="003915F7"/>
    <w:rsid w:val="0039741A"/>
    <w:rsid w:val="003A0355"/>
    <w:rsid w:val="003A0BAC"/>
    <w:rsid w:val="003A11BB"/>
    <w:rsid w:val="003A2175"/>
    <w:rsid w:val="003A280B"/>
    <w:rsid w:val="003A523C"/>
    <w:rsid w:val="003A7BAA"/>
    <w:rsid w:val="003B1847"/>
    <w:rsid w:val="003B2268"/>
    <w:rsid w:val="003B22F6"/>
    <w:rsid w:val="003B3924"/>
    <w:rsid w:val="003B595B"/>
    <w:rsid w:val="003B5E11"/>
    <w:rsid w:val="003B6208"/>
    <w:rsid w:val="003B63EE"/>
    <w:rsid w:val="003C070D"/>
    <w:rsid w:val="003C1098"/>
    <w:rsid w:val="003C1A49"/>
    <w:rsid w:val="003C1C41"/>
    <w:rsid w:val="003C2AD2"/>
    <w:rsid w:val="003C2CCC"/>
    <w:rsid w:val="003C3781"/>
    <w:rsid w:val="003C4CAB"/>
    <w:rsid w:val="003C5109"/>
    <w:rsid w:val="003C7308"/>
    <w:rsid w:val="003C7847"/>
    <w:rsid w:val="003C7D82"/>
    <w:rsid w:val="003D197F"/>
    <w:rsid w:val="003D1B8D"/>
    <w:rsid w:val="003D272F"/>
    <w:rsid w:val="003D27BF"/>
    <w:rsid w:val="003D2979"/>
    <w:rsid w:val="003D3781"/>
    <w:rsid w:val="003D476A"/>
    <w:rsid w:val="003D484F"/>
    <w:rsid w:val="003D6485"/>
    <w:rsid w:val="003D67CD"/>
    <w:rsid w:val="003D7427"/>
    <w:rsid w:val="003E059C"/>
    <w:rsid w:val="003E09B1"/>
    <w:rsid w:val="003E0B86"/>
    <w:rsid w:val="003E0FCA"/>
    <w:rsid w:val="003E27EB"/>
    <w:rsid w:val="003E38DB"/>
    <w:rsid w:val="003E49B4"/>
    <w:rsid w:val="003E529D"/>
    <w:rsid w:val="003E5629"/>
    <w:rsid w:val="003E5D40"/>
    <w:rsid w:val="003E65DA"/>
    <w:rsid w:val="003E7215"/>
    <w:rsid w:val="003E7B35"/>
    <w:rsid w:val="003E7C29"/>
    <w:rsid w:val="003E7DE9"/>
    <w:rsid w:val="003F0CD1"/>
    <w:rsid w:val="003F1601"/>
    <w:rsid w:val="003F314F"/>
    <w:rsid w:val="003F4F21"/>
    <w:rsid w:val="003F6DA7"/>
    <w:rsid w:val="003F72FE"/>
    <w:rsid w:val="003F783C"/>
    <w:rsid w:val="00401241"/>
    <w:rsid w:val="0040158A"/>
    <w:rsid w:val="00401715"/>
    <w:rsid w:val="0040299C"/>
    <w:rsid w:val="004035BC"/>
    <w:rsid w:val="00403870"/>
    <w:rsid w:val="004039DE"/>
    <w:rsid w:val="00403A3E"/>
    <w:rsid w:val="004046D8"/>
    <w:rsid w:val="0040492D"/>
    <w:rsid w:val="00405C6E"/>
    <w:rsid w:val="004065E2"/>
    <w:rsid w:val="00407569"/>
    <w:rsid w:val="0040769A"/>
    <w:rsid w:val="004105D7"/>
    <w:rsid w:val="00412106"/>
    <w:rsid w:val="00415757"/>
    <w:rsid w:val="004200BD"/>
    <w:rsid w:val="00420707"/>
    <w:rsid w:val="0042149F"/>
    <w:rsid w:val="004223F0"/>
    <w:rsid w:val="00423BDD"/>
    <w:rsid w:val="00423FF4"/>
    <w:rsid w:val="004301DE"/>
    <w:rsid w:val="0043076D"/>
    <w:rsid w:val="00430BC9"/>
    <w:rsid w:val="004317A7"/>
    <w:rsid w:val="00433058"/>
    <w:rsid w:val="004339BF"/>
    <w:rsid w:val="00433E2B"/>
    <w:rsid w:val="00433F19"/>
    <w:rsid w:val="004342C8"/>
    <w:rsid w:val="0043666E"/>
    <w:rsid w:val="00436B94"/>
    <w:rsid w:val="00436EAE"/>
    <w:rsid w:val="004379A2"/>
    <w:rsid w:val="004430AB"/>
    <w:rsid w:val="004438AB"/>
    <w:rsid w:val="00443B3D"/>
    <w:rsid w:val="004441B6"/>
    <w:rsid w:val="00445395"/>
    <w:rsid w:val="00447B70"/>
    <w:rsid w:val="00447F72"/>
    <w:rsid w:val="004515FA"/>
    <w:rsid w:val="00452BD6"/>
    <w:rsid w:val="00452D4D"/>
    <w:rsid w:val="00453634"/>
    <w:rsid w:val="00453845"/>
    <w:rsid w:val="004539CD"/>
    <w:rsid w:val="00453D87"/>
    <w:rsid w:val="0045421A"/>
    <w:rsid w:val="0045437B"/>
    <w:rsid w:val="004546DA"/>
    <w:rsid w:val="00454B04"/>
    <w:rsid w:val="00455E75"/>
    <w:rsid w:val="004562A0"/>
    <w:rsid w:val="004563AA"/>
    <w:rsid w:val="004564F7"/>
    <w:rsid w:val="004570B5"/>
    <w:rsid w:val="004570E7"/>
    <w:rsid w:val="004576C3"/>
    <w:rsid w:val="004579D7"/>
    <w:rsid w:val="004600BF"/>
    <w:rsid w:val="004608C6"/>
    <w:rsid w:val="00460D20"/>
    <w:rsid w:val="00461326"/>
    <w:rsid w:val="00461719"/>
    <w:rsid w:val="004639FA"/>
    <w:rsid w:val="004642DD"/>
    <w:rsid w:val="00465223"/>
    <w:rsid w:val="0046599F"/>
    <w:rsid w:val="00465A5A"/>
    <w:rsid w:val="004662F3"/>
    <w:rsid w:val="0046663C"/>
    <w:rsid w:val="004674D5"/>
    <w:rsid w:val="00467B2E"/>
    <w:rsid w:val="00467D4A"/>
    <w:rsid w:val="0047064E"/>
    <w:rsid w:val="0047095F"/>
    <w:rsid w:val="00470FE7"/>
    <w:rsid w:val="00473315"/>
    <w:rsid w:val="00473DE9"/>
    <w:rsid w:val="0047534F"/>
    <w:rsid w:val="00475477"/>
    <w:rsid w:val="00475637"/>
    <w:rsid w:val="004769BE"/>
    <w:rsid w:val="004818D2"/>
    <w:rsid w:val="00481BD6"/>
    <w:rsid w:val="00481E9B"/>
    <w:rsid w:val="00481EB4"/>
    <w:rsid w:val="00482936"/>
    <w:rsid w:val="00482CF8"/>
    <w:rsid w:val="00483637"/>
    <w:rsid w:val="0048627C"/>
    <w:rsid w:val="004862DF"/>
    <w:rsid w:val="00486F97"/>
    <w:rsid w:val="004902DF"/>
    <w:rsid w:val="004908A0"/>
    <w:rsid w:val="00491946"/>
    <w:rsid w:val="00492A27"/>
    <w:rsid w:val="00493041"/>
    <w:rsid w:val="004936F9"/>
    <w:rsid w:val="0049432F"/>
    <w:rsid w:val="0049486E"/>
    <w:rsid w:val="004950EF"/>
    <w:rsid w:val="00495EF2"/>
    <w:rsid w:val="004967D7"/>
    <w:rsid w:val="00496FDC"/>
    <w:rsid w:val="0049760F"/>
    <w:rsid w:val="0049776F"/>
    <w:rsid w:val="004A0BAC"/>
    <w:rsid w:val="004A220A"/>
    <w:rsid w:val="004A25B9"/>
    <w:rsid w:val="004A2803"/>
    <w:rsid w:val="004A2E7C"/>
    <w:rsid w:val="004A3328"/>
    <w:rsid w:val="004A3635"/>
    <w:rsid w:val="004A4225"/>
    <w:rsid w:val="004A45FE"/>
    <w:rsid w:val="004A59F3"/>
    <w:rsid w:val="004A5FE6"/>
    <w:rsid w:val="004A68D6"/>
    <w:rsid w:val="004A6ADB"/>
    <w:rsid w:val="004A6C86"/>
    <w:rsid w:val="004A6E82"/>
    <w:rsid w:val="004B17AD"/>
    <w:rsid w:val="004B270B"/>
    <w:rsid w:val="004B3A89"/>
    <w:rsid w:val="004B3BA4"/>
    <w:rsid w:val="004B4265"/>
    <w:rsid w:val="004B68B6"/>
    <w:rsid w:val="004B7577"/>
    <w:rsid w:val="004B7A51"/>
    <w:rsid w:val="004B7B40"/>
    <w:rsid w:val="004C00AA"/>
    <w:rsid w:val="004C144C"/>
    <w:rsid w:val="004C15BF"/>
    <w:rsid w:val="004C165B"/>
    <w:rsid w:val="004C1C57"/>
    <w:rsid w:val="004C27B7"/>
    <w:rsid w:val="004C29B0"/>
    <w:rsid w:val="004C2CA9"/>
    <w:rsid w:val="004C47C4"/>
    <w:rsid w:val="004C73D5"/>
    <w:rsid w:val="004C7704"/>
    <w:rsid w:val="004C791D"/>
    <w:rsid w:val="004D02AB"/>
    <w:rsid w:val="004D05C2"/>
    <w:rsid w:val="004D0A5F"/>
    <w:rsid w:val="004D1E85"/>
    <w:rsid w:val="004D1F28"/>
    <w:rsid w:val="004D2353"/>
    <w:rsid w:val="004D2D71"/>
    <w:rsid w:val="004D39E3"/>
    <w:rsid w:val="004D53AD"/>
    <w:rsid w:val="004D5F9F"/>
    <w:rsid w:val="004D636B"/>
    <w:rsid w:val="004D67D5"/>
    <w:rsid w:val="004D6ED2"/>
    <w:rsid w:val="004D7996"/>
    <w:rsid w:val="004D7BE3"/>
    <w:rsid w:val="004D7FCA"/>
    <w:rsid w:val="004E05CE"/>
    <w:rsid w:val="004E0650"/>
    <w:rsid w:val="004E0721"/>
    <w:rsid w:val="004E0E3E"/>
    <w:rsid w:val="004E166C"/>
    <w:rsid w:val="004E2A47"/>
    <w:rsid w:val="004E2BE6"/>
    <w:rsid w:val="004E3AB2"/>
    <w:rsid w:val="004E4425"/>
    <w:rsid w:val="004E5F90"/>
    <w:rsid w:val="004E6981"/>
    <w:rsid w:val="004E6F27"/>
    <w:rsid w:val="004E7208"/>
    <w:rsid w:val="004E74F9"/>
    <w:rsid w:val="004E76C7"/>
    <w:rsid w:val="004F034E"/>
    <w:rsid w:val="004F0BE0"/>
    <w:rsid w:val="004F0F4F"/>
    <w:rsid w:val="004F1E93"/>
    <w:rsid w:val="004F2019"/>
    <w:rsid w:val="004F3892"/>
    <w:rsid w:val="004F4B59"/>
    <w:rsid w:val="004F4DF4"/>
    <w:rsid w:val="004F4FA5"/>
    <w:rsid w:val="004F5FAD"/>
    <w:rsid w:val="0050148D"/>
    <w:rsid w:val="00502743"/>
    <w:rsid w:val="00502A49"/>
    <w:rsid w:val="0050398F"/>
    <w:rsid w:val="005039E8"/>
    <w:rsid w:val="00504122"/>
    <w:rsid w:val="00504A10"/>
    <w:rsid w:val="00507E10"/>
    <w:rsid w:val="005104E5"/>
    <w:rsid w:val="00510FC2"/>
    <w:rsid w:val="00511377"/>
    <w:rsid w:val="00511591"/>
    <w:rsid w:val="00511693"/>
    <w:rsid w:val="00511FC1"/>
    <w:rsid w:val="00512AD4"/>
    <w:rsid w:val="0051448E"/>
    <w:rsid w:val="005144CD"/>
    <w:rsid w:val="00514654"/>
    <w:rsid w:val="005159CC"/>
    <w:rsid w:val="00516B35"/>
    <w:rsid w:val="00516EA7"/>
    <w:rsid w:val="005179B5"/>
    <w:rsid w:val="00517E9A"/>
    <w:rsid w:val="00517EB4"/>
    <w:rsid w:val="0052055C"/>
    <w:rsid w:val="00520CC0"/>
    <w:rsid w:val="00520CCF"/>
    <w:rsid w:val="0052439E"/>
    <w:rsid w:val="00524DAB"/>
    <w:rsid w:val="0052606E"/>
    <w:rsid w:val="00526809"/>
    <w:rsid w:val="0052711F"/>
    <w:rsid w:val="005301CB"/>
    <w:rsid w:val="00530C65"/>
    <w:rsid w:val="00530E78"/>
    <w:rsid w:val="005310D9"/>
    <w:rsid w:val="00531D03"/>
    <w:rsid w:val="00531E56"/>
    <w:rsid w:val="0053581C"/>
    <w:rsid w:val="00535832"/>
    <w:rsid w:val="005358A5"/>
    <w:rsid w:val="00536335"/>
    <w:rsid w:val="00536B36"/>
    <w:rsid w:val="00536C35"/>
    <w:rsid w:val="00537431"/>
    <w:rsid w:val="00537A6A"/>
    <w:rsid w:val="00540A6D"/>
    <w:rsid w:val="0054157F"/>
    <w:rsid w:val="00542892"/>
    <w:rsid w:val="00542E74"/>
    <w:rsid w:val="0054412D"/>
    <w:rsid w:val="0054431E"/>
    <w:rsid w:val="00544B41"/>
    <w:rsid w:val="00545AE6"/>
    <w:rsid w:val="00545F24"/>
    <w:rsid w:val="0055126B"/>
    <w:rsid w:val="005532AC"/>
    <w:rsid w:val="0055379C"/>
    <w:rsid w:val="005539C2"/>
    <w:rsid w:val="00554C5D"/>
    <w:rsid w:val="00555232"/>
    <w:rsid w:val="00555745"/>
    <w:rsid w:val="005574AD"/>
    <w:rsid w:val="00557717"/>
    <w:rsid w:val="00560842"/>
    <w:rsid w:val="00560913"/>
    <w:rsid w:val="005610FF"/>
    <w:rsid w:val="0056215A"/>
    <w:rsid w:val="00562C1A"/>
    <w:rsid w:val="005649BF"/>
    <w:rsid w:val="00564C3A"/>
    <w:rsid w:val="00565018"/>
    <w:rsid w:val="005654F7"/>
    <w:rsid w:val="00565DA2"/>
    <w:rsid w:val="0056603C"/>
    <w:rsid w:val="005665A0"/>
    <w:rsid w:val="0056664F"/>
    <w:rsid w:val="00566A0E"/>
    <w:rsid w:val="00566BE4"/>
    <w:rsid w:val="00571936"/>
    <w:rsid w:val="00572132"/>
    <w:rsid w:val="005730BD"/>
    <w:rsid w:val="005732A3"/>
    <w:rsid w:val="005738B6"/>
    <w:rsid w:val="0057410A"/>
    <w:rsid w:val="005744E6"/>
    <w:rsid w:val="00574519"/>
    <w:rsid w:val="00575F1D"/>
    <w:rsid w:val="0057627B"/>
    <w:rsid w:val="00576ABB"/>
    <w:rsid w:val="00577D26"/>
    <w:rsid w:val="00577D67"/>
    <w:rsid w:val="005800D1"/>
    <w:rsid w:val="00580B25"/>
    <w:rsid w:val="0058197B"/>
    <w:rsid w:val="0058279F"/>
    <w:rsid w:val="00583715"/>
    <w:rsid w:val="005838A1"/>
    <w:rsid w:val="00585411"/>
    <w:rsid w:val="005857E5"/>
    <w:rsid w:val="0058595D"/>
    <w:rsid w:val="00585DEE"/>
    <w:rsid w:val="00585F2E"/>
    <w:rsid w:val="00590B58"/>
    <w:rsid w:val="00590F8F"/>
    <w:rsid w:val="00592279"/>
    <w:rsid w:val="005922D8"/>
    <w:rsid w:val="0059242F"/>
    <w:rsid w:val="0059290F"/>
    <w:rsid w:val="00592BD6"/>
    <w:rsid w:val="00593F1C"/>
    <w:rsid w:val="0059502D"/>
    <w:rsid w:val="00595D89"/>
    <w:rsid w:val="005967C0"/>
    <w:rsid w:val="00596EC7"/>
    <w:rsid w:val="005A0170"/>
    <w:rsid w:val="005A0189"/>
    <w:rsid w:val="005A0516"/>
    <w:rsid w:val="005A0AF2"/>
    <w:rsid w:val="005A27BD"/>
    <w:rsid w:val="005A38AB"/>
    <w:rsid w:val="005A5324"/>
    <w:rsid w:val="005A5ADB"/>
    <w:rsid w:val="005A6FA0"/>
    <w:rsid w:val="005A740E"/>
    <w:rsid w:val="005B29B3"/>
    <w:rsid w:val="005B29FF"/>
    <w:rsid w:val="005B2C4F"/>
    <w:rsid w:val="005B331D"/>
    <w:rsid w:val="005B353A"/>
    <w:rsid w:val="005B3CEC"/>
    <w:rsid w:val="005B3D3E"/>
    <w:rsid w:val="005B40D0"/>
    <w:rsid w:val="005B41A4"/>
    <w:rsid w:val="005B4994"/>
    <w:rsid w:val="005B4B34"/>
    <w:rsid w:val="005B4BB5"/>
    <w:rsid w:val="005B5F8A"/>
    <w:rsid w:val="005C04BD"/>
    <w:rsid w:val="005C11BD"/>
    <w:rsid w:val="005C28A1"/>
    <w:rsid w:val="005C28C2"/>
    <w:rsid w:val="005C5410"/>
    <w:rsid w:val="005C54E8"/>
    <w:rsid w:val="005C57D0"/>
    <w:rsid w:val="005C5FC7"/>
    <w:rsid w:val="005C716E"/>
    <w:rsid w:val="005C76FE"/>
    <w:rsid w:val="005D0D45"/>
    <w:rsid w:val="005D1A09"/>
    <w:rsid w:val="005D24A1"/>
    <w:rsid w:val="005D2730"/>
    <w:rsid w:val="005D2A3B"/>
    <w:rsid w:val="005D2AF7"/>
    <w:rsid w:val="005D2DBF"/>
    <w:rsid w:val="005D3051"/>
    <w:rsid w:val="005D4E5B"/>
    <w:rsid w:val="005D5C86"/>
    <w:rsid w:val="005D63E0"/>
    <w:rsid w:val="005E0A30"/>
    <w:rsid w:val="005E1C72"/>
    <w:rsid w:val="005E27EA"/>
    <w:rsid w:val="005E292F"/>
    <w:rsid w:val="005E30C1"/>
    <w:rsid w:val="005E3888"/>
    <w:rsid w:val="005E3FED"/>
    <w:rsid w:val="005E45CE"/>
    <w:rsid w:val="005E4E2B"/>
    <w:rsid w:val="005E5092"/>
    <w:rsid w:val="005E771C"/>
    <w:rsid w:val="005F0A72"/>
    <w:rsid w:val="005F221D"/>
    <w:rsid w:val="005F29BE"/>
    <w:rsid w:val="005F2EA5"/>
    <w:rsid w:val="005F404E"/>
    <w:rsid w:val="005F4789"/>
    <w:rsid w:val="005F4ABF"/>
    <w:rsid w:val="005F5559"/>
    <w:rsid w:val="005F605A"/>
    <w:rsid w:val="005F6FFA"/>
    <w:rsid w:val="005F740C"/>
    <w:rsid w:val="005F7E2E"/>
    <w:rsid w:val="006002E3"/>
    <w:rsid w:val="00600B41"/>
    <w:rsid w:val="00600D95"/>
    <w:rsid w:val="00601CD8"/>
    <w:rsid w:val="00603C9F"/>
    <w:rsid w:val="00604065"/>
    <w:rsid w:val="006047BA"/>
    <w:rsid w:val="00604A08"/>
    <w:rsid w:val="00604BDD"/>
    <w:rsid w:val="00605D22"/>
    <w:rsid w:val="00611F02"/>
    <w:rsid w:val="00611FF2"/>
    <w:rsid w:val="00612290"/>
    <w:rsid w:val="006123C6"/>
    <w:rsid w:val="006126EA"/>
    <w:rsid w:val="006143B8"/>
    <w:rsid w:val="006144D9"/>
    <w:rsid w:val="0061525D"/>
    <w:rsid w:val="00615E71"/>
    <w:rsid w:val="00616132"/>
    <w:rsid w:val="00616441"/>
    <w:rsid w:val="00616544"/>
    <w:rsid w:val="00616C8C"/>
    <w:rsid w:val="00616CEB"/>
    <w:rsid w:val="00617BB9"/>
    <w:rsid w:val="00620658"/>
    <w:rsid w:val="00620893"/>
    <w:rsid w:val="00620FD1"/>
    <w:rsid w:val="006210B1"/>
    <w:rsid w:val="006215A3"/>
    <w:rsid w:val="00622539"/>
    <w:rsid w:val="00623993"/>
    <w:rsid w:val="00625D7F"/>
    <w:rsid w:val="00625DF1"/>
    <w:rsid w:val="0062601B"/>
    <w:rsid w:val="006268E9"/>
    <w:rsid w:val="00627671"/>
    <w:rsid w:val="00630764"/>
    <w:rsid w:val="00630D22"/>
    <w:rsid w:val="00631168"/>
    <w:rsid w:val="00631E38"/>
    <w:rsid w:val="006325FC"/>
    <w:rsid w:val="00633C17"/>
    <w:rsid w:val="00637523"/>
    <w:rsid w:val="00637B74"/>
    <w:rsid w:val="00637CA8"/>
    <w:rsid w:val="00640D53"/>
    <w:rsid w:val="00641241"/>
    <w:rsid w:val="006412DE"/>
    <w:rsid w:val="0064250E"/>
    <w:rsid w:val="0064275F"/>
    <w:rsid w:val="00642A3E"/>
    <w:rsid w:val="00642D87"/>
    <w:rsid w:val="00642E44"/>
    <w:rsid w:val="00643699"/>
    <w:rsid w:val="0064487C"/>
    <w:rsid w:val="00644C60"/>
    <w:rsid w:val="00644D50"/>
    <w:rsid w:val="00645136"/>
    <w:rsid w:val="00645706"/>
    <w:rsid w:val="00645B36"/>
    <w:rsid w:val="00647962"/>
    <w:rsid w:val="00650784"/>
    <w:rsid w:val="00650DDF"/>
    <w:rsid w:val="00650E9B"/>
    <w:rsid w:val="0065140F"/>
    <w:rsid w:val="00651D6B"/>
    <w:rsid w:val="00651DCF"/>
    <w:rsid w:val="006528B5"/>
    <w:rsid w:val="00652C54"/>
    <w:rsid w:val="0065314F"/>
    <w:rsid w:val="006547A7"/>
    <w:rsid w:val="00654EBF"/>
    <w:rsid w:val="00656042"/>
    <w:rsid w:val="00660446"/>
    <w:rsid w:val="00660E0F"/>
    <w:rsid w:val="00660E35"/>
    <w:rsid w:val="006617B2"/>
    <w:rsid w:val="006638BC"/>
    <w:rsid w:val="00663EE3"/>
    <w:rsid w:val="00664B3E"/>
    <w:rsid w:val="00665B44"/>
    <w:rsid w:val="00665B96"/>
    <w:rsid w:val="00665DE5"/>
    <w:rsid w:val="00666133"/>
    <w:rsid w:val="00666CCE"/>
    <w:rsid w:val="006678F0"/>
    <w:rsid w:val="00667BE1"/>
    <w:rsid w:val="00667DEF"/>
    <w:rsid w:val="00667E74"/>
    <w:rsid w:val="00667FC7"/>
    <w:rsid w:val="00671064"/>
    <w:rsid w:val="00671E06"/>
    <w:rsid w:val="00671F13"/>
    <w:rsid w:val="00672755"/>
    <w:rsid w:val="00672A3A"/>
    <w:rsid w:val="006734E3"/>
    <w:rsid w:val="0067446E"/>
    <w:rsid w:val="0067728D"/>
    <w:rsid w:val="00680807"/>
    <w:rsid w:val="006808AD"/>
    <w:rsid w:val="00681CD1"/>
    <w:rsid w:val="006831A7"/>
    <w:rsid w:val="006834BF"/>
    <w:rsid w:val="00683A08"/>
    <w:rsid w:val="00683CE7"/>
    <w:rsid w:val="00684A6A"/>
    <w:rsid w:val="00684F81"/>
    <w:rsid w:val="0068545E"/>
    <w:rsid w:val="006867AD"/>
    <w:rsid w:val="00687835"/>
    <w:rsid w:val="00690239"/>
    <w:rsid w:val="00690863"/>
    <w:rsid w:val="00690BDC"/>
    <w:rsid w:val="00691D33"/>
    <w:rsid w:val="006922D5"/>
    <w:rsid w:val="0069480B"/>
    <w:rsid w:val="006953EE"/>
    <w:rsid w:val="00695668"/>
    <w:rsid w:val="00695BC1"/>
    <w:rsid w:val="00695DA8"/>
    <w:rsid w:val="00697476"/>
    <w:rsid w:val="00697B1C"/>
    <w:rsid w:val="006A166D"/>
    <w:rsid w:val="006A170D"/>
    <w:rsid w:val="006A366D"/>
    <w:rsid w:val="006A528B"/>
    <w:rsid w:val="006A52B7"/>
    <w:rsid w:val="006A63E9"/>
    <w:rsid w:val="006A66BA"/>
    <w:rsid w:val="006A6991"/>
    <w:rsid w:val="006A6A9C"/>
    <w:rsid w:val="006A6EC8"/>
    <w:rsid w:val="006B097D"/>
    <w:rsid w:val="006B6899"/>
    <w:rsid w:val="006B71CA"/>
    <w:rsid w:val="006C028D"/>
    <w:rsid w:val="006C18CC"/>
    <w:rsid w:val="006C210C"/>
    <w:rsid w:val="006C2195"/>
    <w:rsid w:val="006C241B"/>
    <w:rsid w:val="006C47A7"/>
    <w:rsid w:val="006C51DC"/>
    <w:rsid w:val="006C5272"/>
    <w:rsid w:val="006C58D2"/>
    <w:rsid w:val="006C5BB2"/>
    <w:rsid w:val="006C5E83"/>
    <w:rsid w:val="006C714F"/>
    <w:rsid w:val="006C7F6A"/>
    <w:rsid w:val="006D13AC"/>
    <w:rsid w:val="006D1659"/>
    <w:rsid w:val="006D3B9E"/>
    <w:rsid w:val="006D4552"/>
    <w:rsid w:val="006D507D"/>
    <w:rsid w:val="006D565E"/>
    <w:rsid w:val="006D5BF6"/>
    <w:rsid w:val="006E04D1"/>
    <w:rsid w:val="006E0799"/>
    <w:rsid w:val="006E0A1D"/>
    <w:rsid w:val="006E1C98"/>
    <w:rsid w:val="006E1CDE"/>
    <w:rsid w:val="006E1CE8"/>
    <w:rsid w:val="006E220A"/>
    <w:rsid w:val="006E2957"/>
    <w:rsid w:val="006E2A7A"/>
    <w:rsid w:val="006E2DE1"/>
    <w:rsid w:val="006E3368"/>
    <w:rsid w:val="006E3923"/>
    <w:rsid w:val="006E48AC"/>
    <w:rsid w:val="006E4936"/>
    <w:rsid w:val="006E6708"/>
    <w:rsid w:val="006E6AEA"/>
    <w:rsid w:val="006F0110"/>
    <w:rsid w:val="006F13AB"/>
    <w:rsid w:val="006F1BAD"/>
    <w:rsid w:val="006F1DEB"/>
    <w:rsid w:val="006F3035"/>
    <w:rsid w:val="006F3B21"/>
    <w:rsid w:val="006F49A7"/>
    <w:rsid w:val="006F4EAB"/>
    <w:rsid w:val="006F5F76"/>
    <w:rsid w:val="006F6009"/>
    <w:rsid w:val="006F741D"/>
    <w:rsid w:val="006F7674"/>
    <w:rsid w:val="006F7984"/>
    <w:rsid w:val="006F7A95"/>
    <w:rsid w:val="007001E0"/>
    <w:rsid w:val="00700501"/>
    <w:rsid w:val="00700835"/>
    <w:rsid w:val="007010EC"/>
    <w:rsid w:val="0070115D"/>
    <w:rsid w:val="00701EFF"/>
    <w:rsid w:val="0070247C"/>
    <w:rsid w:val="007026DA"/>
    <w:rsid w:val="00703817"/>
    <w:rsid w:val="00703B5B"/>
    <w:rsid w:val="00703C69"/>
    <w:rsid w:val="00703DAF"/>
    <w:rsid w:val="00703DE1"/>
    <w:rsid w:val="007046CB"/>
    <w:rsid w:val="00705658"/>
    <w:rsid w:val="00705EF7"/>
    <w:rsid w:val="007101D6"/>
    <w:rsid w:val="007106E0"/>
    <w:rsid w:val="007110C2"/>
    <w:rsid w:val="00711278"/>
    <w:rsid w:val="00711A0F"/>
    <w:rsid w:val="007141C8"/>
    <w:rsid w:val="0071432C"/>
    <w:rsid w:val="007147D8"/>
    <w:rsid w:val="007155B3"/>
    <w:rsid w:val="0071585E"/>
    <w:rsid w:val="00716A72"/>
    <w:rsid w:val="007178F8"/>
    <w:rsid w:val="00720C0A"/>
    <w:rsid w:val="007212BD"/>
    <w:rsid w:val="007216D6"/>
    <w:rsid w:val="007223FB"/>
    <w:rsid w:val="007238EA"/>
    <w:rsid w:val="00723C1F"/>
    <w:rsid w:val="007247EB"/>
    <w:rsid w:val="007255BA"/>
    <w:rsid w:val="00732790"/>
    <w:rsid w:val="00732A59"/>
    <w:rsid w:val="00732B5D"/>
    <w:rsid w:val="007331F4"/>
    <w:rsid w:val="007344D9"/>
    <w:rsid w:val="00735954"/>
    <w:rsid w:val="00737B21"/>
    <w:rsid w:val="00737D43"/>
    <w:rsid w:val="007404B8"/>
    <w:rsid w:val="00741217"/>
    <w:rsid w:val="0074121D"/>
    <w:rsid w:val="0074236E"/>
    <w:rsid w:val="007434B9"/>
    <w:rsid w:val="0074365F"/>
    <w:rsid w:val="00744FDC"/>
    <w:rsid w:val="0074551F"/>
    <w:rsid w:val="0074578E"/>
    <w:rsid w:val="007458A1"/>
    <w:rsid w:val="00745EEA"/>
    <w:rsid w:val="007475C5"/>
    <w:rsid w:val="007502E4"/>
    <w:rsid w:val="00751241"/>
    <w:rsid w:val="00751A2C"/>
    <w:rsid w:val="007526E7"/>
    <w:rsid w:val="00752C01"/>
    <w:rsid w:val="00753027"/>
    <w:rsid w:val="0075311D"/>
    <w:rsid w:val="00753B52"/>
    <w:rsid w:val="00754391"/>
    <w:rsid w:val="00756031"/>
    <w:rsid w:val="00757EC4"/>
    <w:rsid w:val="00762611"/>
    <w:rsid w:val="00762F13"/>
    <w:rsid w:val="00762F5E"/>
    <w:rsid w:val="0076311F"/>
    <w:rsid w:val="00763488"/>
    <w:rsid w:val="0076389A"/>
    <w:rsid w:val="00763D45"/>
    <w:rsid w:val="00767AF1"/>
    <w:rsid w:val="00767B12"/>
    <w:rsid w:val="007701C3"/>
    <w:rsid w:val="0077156B"/>
    <w:rsid w:val="00771CE5"/>
    <w:rsid w:val="00773922"/>
    <w:rsid w:val="0077638B"/>
    <w:rsid w:val="0077641D"/>
    <w:rsid w:val="00776476"/>
    <w:rsid w:val="00776F01"/>
    <w:rsid w:val="0078018B"/>
    <w:rsid w:val="007807A4"/>
    <w:rsid w:val="00780A4E"/>
    <w:rsid w:val="00782BC3"/>
    <w:rsid w:val="00782FEC"/>
    <w:rsid w:val="00783014"/>
    <w:rsid w:val="0078306F"/>
    <w:rsid w:val="00783386"/>
    <w:rsid w:val="00783DE1"/>
    <w:rsid w:val="00783F98"/>
    <w:rsid w:val="00784367"/>
    <w:rsid w:val="007844CA"/>
    <w:rsid w:val="00784A66"/>
    <w:rsid w:val="007855E1"/>
    <w:rsid w:val="00786BA2"/>
    <w:rsid w:val="00787403"/>
    <w:rsid w:val="007901CB"/>
    <w:rsid w:val="007906A4"/>
    <w:rsid w:val="007907EC"/>
    <w:rsid w:val="00791353"/>
    <w:rsid w:val="007916D3"/>
    <w:rsid w:val="0079209B"/>
    <w:rsid w:val="007929EE"/>
    <w:rsid w:val="00792F0D"/>
    <w:rsid w:val="00793BA3"/>
    <w:rsid w:val="00793DF3"/>
    <w:rsid w:val="00794D90"/>
    <w:rsid w:val="007950C0"/>
    <w:rsid w:val="00795237"/>
    <w:rsid w:val="00796EF3"/>
    <w:rsid w:val="007970C5"/>
    <w:rsid w:val="0079794C"/>
    <w:rsid w:val="007A0975"/>
    <w:rsid w:val="007A1570"/>
    <w:rsid w:val="007A161B"/>
    <w:rsid w:val="007A18DA"/>
    <w:rsid w:val="007A19CF"/>
    <w:rsid w:val="007A34B2"/>
    <w:rsid w:val="007A476F"/>
    <w:rsid w:val="007A499E"/>
    <w:rsid w:val="007A4C34"/>
    <w:rsid w:val="007A4FED"/>
    <w:rsid w:val="007A5660"/>
    <w:rsid w:val="007A592A"/>
    <w:rsid w:val="007A5AB2"/>
    <w:rsid w:val="007A5B96"/>
    <w:rsid w:val="007A5BDA"/>
    <w:rsid w:val="007A64F7"/>
    <w:rsid w:val="007A67B5"/>
    <w:rsid w:val="007A6A5E"/>
    <w:rsid w:val="007A6B73"/>
    <w:rsid w:val="007A6D80"/>
    <w:rsid w:val="007A6DE5"/>
    <w:rsid w:val="007A7734"/>
    <w:rsid w:val="007B1852"/>
    <w:rsid w:val="007B19C5"/>
    <w:rsid w:val="007B1E99"/>
    <w:rsid w:val="007B2586"/>
    <w:rsid w:val="007B357D"/>
    <w:rsid w:val="007B42A0"/>
    <w:rsid w:val="007B4FEA"/>
    <w:rsid w:val="007B543E"/>
    <w:rsid w:val="007B61A7"/>
    <w:rsid w:val="007B6729"/>
    <w:rsid w:val="007B76E0"/>
    <w:rsid w:val="007C016C"/>
    <w:rsid w:val="007C05AD"/>
    <w:rsid w:val="007C1961"/>
    <w:rsid w:val="007C1BCD"/>
    <w:rsid w:val="007C1F1D"/>
    <w:rsid w:val="007C222E"/>
    <w:rsid w:val="007C2322"/>
    <w:rsid w:val="007C4EE5"/>
    <w:rsid w:val="007C5295"/>
    <w:rsid w:val="007C6160"/>
    <w:rsid w:val="007C65FB"/>
    <w:rsid w:val="007D104C"/>
    <w:rsid w:val="007D41C9"/>
    <w:rsid w:val="007D6A94"/>
    <w:rsid w:val="007D729B"/>
    <w:rsid w:val="007D785E"/>
    <w:rsid w:val="007E0035"/>
    <w:rsid w:val="007E01D2"/>
    <w:rsid w:val="007E0CFC"/>
    <w:rsid w:val="007E11E6"/>
    <w:rsid w:val="007E2EE1"/>
    <w:rsid w:val="007E46BD"/>
    <w:rsid w:val="007E54B4"/>
    <w:rsid w:val="007E739B"/>
    <w:rsid w:val="007E7B27"/>
    <w:rsid w:val="007F39E7"/>
    <w:rsid w:val="007F48DD"/>
    <w:rsid w:val="007F5788"/>
    <w:rsid w:val="007F5C19"/>
    <w:rsid w:val="007F5E7D"/>
    <w:rsid w:val="007F61DD"/>
    <w:rsid w:val="007F6C71"/>
    <w:rsid w:val="008014F3"/>
    <w:rsid w:val="00801818"/>
    <w:rsid w:val="008019BA"/>
    <w:rsid w:val="00801F83"/>
    <w:rsid w:val="00802423"/>
    <w:rsid w:val="00802DDA"/>
    <w:rsid w:val="00803777"/>
    <w:rsid w:val="00803F69"/>
    <w:rsid w:val="00804306"/>
    <w:rsid w:val="008046CD"/>
    <w:rsid w:val="008070D4"/>
    <w:rsid w:val="008072B2"/>
    <w:rsid w:val="00807DA3"/>
    <w:rsid w:val="00807E19"/>
    <w:rsid w:val="00810837"/>
    <w:rsid w:val="00810982"/>
    <w:rsid w:val="00810F8E"/>
    <w:rsid w:val="00811FA0"/>
    <w:rsid w:val="00812505"/>
    <w:rsid w:val="00812EB6"/>
    <w:rsid w:val="00813132"/>
    <w:rsid w:val="00813242"/>
    <w:rsid w:val="00813ACB"/>
    <w:rsid w:val="00813BFF"/>
    <w:rsid w:val="00814178"/>
    <w:rsid w:val="00814FE2"/>
    <w:rsid w:val="00815691"/>
    <w:rsid w:val="00815785"/>
    <w:rsid w:val="00816ADB"/>
    <w:rsid w:val="00816B78"/>
    <w:rsid w:val="008171A0"/>
    <w:rsid w:val="00817649"/>
    <w:rsid w:val="00820B19"/>
    <w:rsid w:val="008211DD"/>
    <w:rsid w:val="00821EEF"/>
    <w:rsid w:val="0082382C"/>
    <w:rsid w:val="00823D7B"/>
    <w:rsid w:val="0082460A"/>
    <w:rsid w:val="00824A5F"/>
    <w:rsid w:val="00824EA6"/>
    <w:rsid w:val="008254E3"/>
    <w:rsid w:val="00825F45"/>
    <w:rsid w:val="008263CA"/>
    <w:rsid w:val="008271FD"/>
    <w:rsid w:val="008278F0"/>
    <w:rsid w:val="00830324"/>
    <w:rsid w:val="00833730"/>
    <w:rsid w:val="00833ED9"/>
    <w:rsid w:val="00834B1E"/>
    <w:rsid w:val="0083501A"/>
    <w:rsid w:val="008358BD"/>
    <w:rsid w:val="008409F5"/>
    <w:rsid w:val="008422F6"/>
    <w:rsid w:val="00843B49"/>
    <w:rsid w:val="00844C56"/>
    <w:rsid w:val="00845088"/>
    <w:rsid w:val="00846744"/>
    <w:rsid w:val="008473D4"/>
    <w:rsid w:val="008478A9"/>
    <w:rsid w:val="008505A6"/>
    <w:rsid w:val="00850876"/>
    <w:rsid w:val="008513EC"/>
    <w:rsid w:val="00851430"/>
    <w:rsid w:val="00852379"/>
    <w:rsid w:val="008540E7"/>
    <w:rsid w:val="00854D8F"/>
    <w:rsid w:val="00855B17"/>
    <w:rsid w:val="00857940"/>
    <w:rsid w:val="00860491"/>
    <w:rsid w:val="00860C12"/>
    <w:rsid w:val="0086108F"/>
    <w:rsid w:val="0086357B"/>
    <w:rsid w:val="00864D73"/>
    <w:rsid w:val="00864ED0"/>
    <w:rsid w:val="00865DFA"/>
    <w:rsid w:val="008664D4"/>
    <w:rsid w:val="00866BFB"/>
    <w:rsid w:val="008675CF"/>
    <w:rsid w:val="00871BB6"/>
    <w:rsid w:val="00871DC2"/>
    <w:rsid w:val="00872458"/>
    <w:rsid w:val="00872961"/>
    <w:rsid w:val="00872B53"/>
    <w:rsid w:val="00872BE0"/>
    <w:rsid w:val="0087355A"/>
    <w:rsid w:val="00873568"/>
    <w:rsid w:val="008739EC"/>
    <w:rsid w:val="0087460F"/>
    <w:rsid w:val="00875745"/>
    <w:rsid w:val="00876013"/>
    <w:rsid w:val="008764EE"/>
    <w:rsid w:val="00876562"/>
    <w:rsid w:val="00876935"/>
    <w:rsid w:val="00877C20"/>
    <w:rsid w:val="00881461"/>
    <w:rsid w:val="00881AE1"/>
    <w:rsid w:val="0088299A"/>
    <w:rsid w:val="008829B7"/>
    <w:rsid w:val="00883989"/>
    <w:rsid w:val="00883DBE"/>
    <w:rsid w:val="008848B9"/>
    <w:rsid w:val="00884EA7"/>
    <w:rsid w:val="00885DC4"/>
    <w:rsid w:val="00887909"/>
    <w:rsid w:val="008906F5"/>
    <w:rsid w:val="00890872"/>
    <w:rsid w:val="00890AEC"/>
    <w:rsid w:val="00890DAB"/>
    <w:rsid w:val="0089112C"/>
    <w:rsid w:val="00891B7F"/>
    <w:rsid w:val="00892593"/>
    <w:rsid w:val="00892FEC"/>
    <w:rsid w:val="008949B0"/>
    <w:rsid w:val="008967B7"/>
    <w:rsid w:val="008967BE"/>
    <w:rsid w:val="00896B34"/>
    <w:rsid w:val="008A0954"/>
    <w:rsid w:val="008A214B"/>
    <w:rsid w:val="008A3901"/>
    <w:rsid w:val="008A4FEE"/>
    <w:rsid w:val="008A65EA"/>
    <w:rsid w:val="008A672B"/>
    <w:rsid w:val="008A6B10"/>
    <w:rsid w:val="008A7160"/>
    <w:rsid w:val="008A7429"/>
    <w:rsid w:val="008B17F8"/>
    <w:rsid w:val="008B18CA"/>
    <w:rsid w:val="008B1BF5"/>
    <w:rsid w:val="008B1D4B"/>
    <w:rsid w:val="008B1DC9"/>
    <w:rsid w:val="008B28CD"/>
    <w:rsid w:val="008B2AD1"/>
    <w:rsid w:val="008B3015"/>
    <w:rsid w:val="008B3D56"/>
    <w:rsid w:val="008B5080"/>
    <w:rsid w:val="008B53D8"/>
    <w:rsid w:val="008B552E"/>
    <w:rsid w:val="008B6A04"/>
    <w:rsid w:val="008B6D87"/>
    <w:rsid w:val="008B6EF1"/>
    <w:rsid w:val="008B76CB"/>
    <w:rsid w:val="008C0954"/>
    <w:rsid w:val="008C2BFC"/>
    <w:rsid w:val="008C4CB3"/>
    <w:rsid w:val="008C4E93"/>
    <w:rsid w:val="008C50E7"/>
    <w:rsid w:val="008C60D2"/>
    <w:rsid w:val="008C7E92"/>
    <w:rsid w:val="008D0683"/>
    <w:rsid w:val="008D0EB4"/>
    <w:rsid w:val="008D0FD7"/>
    <w:rsid w:val="008D175A"/>
    <w:rsid w:val="008D1F38"/>
    <w:rsid w:val="008D2864"/>
    <w:rsid w:val="008D34D6"/>
    <w:rsid w:val="008D3883"/>
    <w:rsid w:val="008D3CE2"/>
    <w:rsid w:val="008D40EF"/>
    <w:rsid w:val="008D43A4"/>
    <w:rsid w:val="008D4B8F"/>
    <w:rsid w:val="008D4C49"/>
    <w:rsid w:val="008D5B9C"/>
    <w:rsid w:val="008D5C62"/>
    <w:rsid w:val="008D7138"/>
    <w:rsid w:val="008D7AAD"/>
    <w:rsid w:val="008E0264"/>
    <w:rsid w:val="008E119A"/>
    <w:rsid w:val="008E1899"/>
    <w:rsid w:val="008E18DA"/>
    <w:rsid w:val="008E1B97"/>
    <w:rsid w:val="008E21D5"/>
    <w:rsid w:val="008E34F7"/>
    <w:rsid w:val="008E3860"/>
    <w:rsid w:val="008E3FD1"/>
    <w:rsid w:val="008E4173"/>
    <w:rsid w:val="008E43DA"/>
    <w:rsid w:val="008E464D"/>
    <w:rsid w:val="008E5302"/>
    <w:rsid w:val="008E5676"/>
    <w:rsid w:val="008E5D5B"/>
    <w:rsid w:val="008E5F28"/>
    <w:rsid w:val="008E5F6A"/>
    <w:rsid w:val="008E76AC"/>
    <w:rsid w:val="008F001B"/>
    <w:rsid w:val="008F017B"/>
    <w:rsid w:val="008F35CB"/>
    <w:rsid w:val="008F437C"/>
    <w:rsid w:val="008F5AFB"/>
    <w:rsid w:val="008F6DF9"/>
    <w:rsid w:val="008F6E15"/>
    <w:rsid w:val="008F772F"/>
    <w:rsid w:val="00900381"/>
    <w:rsid w:val="009003EB"/>
    <w:rsid w:val="00902631"/>
    <w:rsid w:val="00902C0B"/>
    <w:rsid w:val="00903A14"/>
    <w:rsid w:val="00904230"/>
    <w:rsid w:val="0090483F"/>
    <w:rsid w:val="0090599C"/>
    <w:rsid w:val="00906D95"/>
    <w:rsid w:val="00906E9B"/>
    <w:rsid w:val="00907368"/>
    <w:rsid w:val="009079FF"/>
    <w:rsid w:val="00907E55"/>
    <w:rsid w:val="00910F2B"/>
    <w:rsid w:val="00910F8E"/>
    <w:rsid w:val="00912DC0"/>
    <w:rsid w:val="00915094"/>
    <w:rsid w:val="00916EB7"/>
    <w:rsid w:val="00917AE9"/>
    <w:rsid w:val="00920D89"/>
    <w:rsid w:val="00921C5F"/>
    <w:rsid w:val="00921CD7"/>
    <w:rsid w:val="00921F64"/>
    <w:rsid w:val="00923356"/>
    <w:rsid w:val="00924485"/>
    <w:rsid w:val="009258AB"/>
    <w:rsid w:val="009259C8"/>
    <w:rsid w:val="00926669"/>
    <w:rsid w:val="0092668B"/>
    <w:rsid w:val="00927949"/>
    <w:rsid w:val="00930051"/>
    <w:rsid w:val="00930893"/>
    <w:rsid w:val="00930CBE"/>
    <w:rsid w:val="009313DB"/>
    <w:rsid w:val="00931996"/>
    <w:rsid w:val="00931DF8"/>
    <w:rsid w:val="00932DE3"/>
    <w:rsid w:val="009337A7"/>
    <w:rsid w:val="00933E9D"/>
    <w:rsid w:val="0093426C"/>
    <w:rsid w:val="00934722"/>
    <w:rsid w:val="0093542B"/>
    <w:rsid w:val="00935579"/>
    <w:rsid w:val="009371DD"/>
    <w:rsid w:val="00937E07"/>
    <w:rsid w:val="009402D1"/>
    <w:rsid w:val="00941463"/>
    <w:rsid w:val="009436E3"/>
    <w:rsid w:val="00943726"/>
    <w:rsid w:val="00943A32"/>
    <w:rsid w:val="00943A47"/>
    <w:rsid w:val="0094401D"/>
    <w:rsid w:val="00944049"/>
    <w:rsid w:val="009442F4"/>
    <w:rsid w:val="00944448"/>
    <w:rsid w:val="0094457C"/>
    <w:rsid w:val="00945604"/>
    <w:rsid w:val="009459B5"/>
    <w:rsid w:val="00945A94"/>
    <w:rsid w:val="009465A1"/>
    <w:rsid w:val="009469F5"/>
    <w:rsid w:val="009478F8"/>
    <w:rsid w:val="009509D5"/>
    <w:rsid w:val="00950C69"/>
    <w:rsid w:val="00952253"/>
    <w:rsid w:val="0095280D"/>
    <w:rsid w:val="00954F33"/>
    <w:rsid w:val="00955C45"/>
    <w:rsid w:val="009576AC"/>
    <w:rsid w:val="00957B72"/>
    <w:rsid w:val="0096020A"/>
    <w:rsid w:val="00960DB7"/>
    <w:rsid w:val="00960FAB"/>
    <w:rsid w:val="0096328C"/>
    <w:rsid w:val="00964C37"/>
    <w:rsid w:val="00965D1D"/>
    <w:rsid w:val="009669A6"/>
    <w:rsid w:val="009673BA"/>
    <w:rsid w:val="00970BA7"/>
    <w:rsid w:val="00973395"/>
    <w:rsid w:val="009736B4"/>
    <w:rsid w:val="00973A12"/>
    <w:rsid w:val="00973BA5"/>
    <w:rsid w:val="00974469"/>
    <w:rsid w:val="00974AA9"/>
    <w:rsid w:val="009754D7"/>
    <w:rsid w:val="009756DF"/>
    <w:rsid w:val="00975822"/>
    <w:rsid w:val="00976422"/>
    <w:rsid w:val="009770FB"/>
    <w:rsid w:val="0097738E"/>
    <w:rsid w:val="0097765C"/>
    <w:rsid w:val="00982447"/>
    <w:rsid w:val="009824FA"/>
    <w:rsid w:val="00982D4D"/>
    <w:rsid w:val="00982DA5"/>
    <w:rsid w:val="00983C11"/>
    <w:rsid w:val="00986856"/>
    <w:rsid w:val="00986B7B"/>
    <w:rsid w:val="00987371"/>
    <w:rsid w:val="00987FC9"/>
    <w:rsid w:val="00991BFD"/>
    <w:rsid w:val="00991D62"/>
    <w:rsid w:val="00992312"/>
    <w:rsid w:val="00992FDB"/>
    <w:rsid w:val="00993939"/>
    <w:rsid w:val="00994780"/>
    <w:rsid w:val="0099656D"/>
    <w:rsid w:val="009976E8"/>
    <w:rsid w:val="00997953"/>
    <w:rsid w:val="009A1DCE"/>
    <w:rsid w:val="009A3C14"/>
    <w:rsid w:val="009A3C74"/>
    <w:rsid w:val="009A3F42"/>
    <w:rsid w:val="009A4157"/>
    <w:rsid w:val="009A49B6"/>
    <w:rsid w:val="009A50E7"/>
    <w:rsid w:val="009A53C8"/>
    <w:rsid w:val="009A67B4"/>
    <w:rsid w:val="009A7831"/>
    <w:rsid w:val="009B13B5"/>
    <w:rsid w:val="009B1E0E"/>
    <w:rsid w:val="009B1FFD"/>
    <w:rsid w:val="009B201D"/>
    <w:rsid w:val="009B20EA"/>
    <w:rsid w:val="009B24B7"/>
    <w:rsid w:val="009B2EFD"/>
    <w:rsid w:val="009B3E61"/>
    <w:rsid w:val="009B40C0"/>
    <w:rsid w:val="009B421F"/>
    <w:rsid w:val="009B439A"/>
    <w:rsid w:val="009B4E1D"/>
    <w:rsid w:val="009B5C27"/>
    <w:rsid w:val="009B5CC0"/>
    <w:rsid w:val="009B619F"/>
    <w:rsid w:val="009C0B4B"/>
    <w:rsid w:val="009C12CA"/>
    <w:rsid w:val="009C1A1B"/>
    <w:rsid w:val="009C1D0C"/>
    <w:rsid w:val="009C2B34"/>
    <w:rsid w:val="009C3059"/>
    <w:rsid w:val="009C3AD6"/>
    <w:rsid w:val="009C455F"/>
    <w:rsid w:val="009C4F10"/>
    <w:rsid w:val="009C57D9"/>
    <w:rsid w:val="009C57FE"/>
    <w:rsid w:val="009D012E"/>
    <w:rsid w:val="009D023B"/>
    <w:rsid w:val="009D03E1"/>
    <w:rsid w:val="009D0408"/>
    <w:rsid w:val="009D0450"/>
    <w:rsid w:val="009D0E48"/>
    <w:rsid w:val="009D2061"/>
    <w:rsid w:val="009D2280"/>
    <w:rsid w:val="009D288C"/>
    <w:rsid w:val="009D38EB"/>
    <w:rsid w:val="009D3A5C"/>
    <w:rsid w:val="009D42B9"/>
    <w:rsid w:val="009D515F"/>
    <w:rsid w:val="009D5315"/>
    <w:rsid w:val="009D5A8E"/>
    <w:rsid w:val="009D6291"/>
    <w:rsid w:val="009D72D5"/>
    <w:rsid w:val="009D76D2"/>
    <w:rsid w:val="009E0B85"/>
    <w:rsid w:val="009E114E"/>
    <w:rsid w:val="009E1351"/>
    <w:rsid w:val="009E243A"/>
    <w:rsid w:val="009E25A3"/>
    <w:rsid w:val="009E2D17"/>
    <w:rsid w:val="009E2D2E"/>
    <w:rsid w:val="009E334A"/>
    <w:rsid w:val="009E3C44"/>
    <w:rsid w:val="009E689D"/>
    <w:rsid w:val="009E6A4E"/>
    <w:rsid w:val="009E716F"/>
    <w:rsid w:val="009E758A"/>
    <w:rsid w:val="009E7A80"/>
    <w:rsid w:val="009F00F8"/>
    <w:rsid w:val="009F059B"/>
    <w:rsid w:val="009F3484"/>
    <w:rsid w:val="009F37BA"/>
    <w:rsid w:val="009F4DAC"/>
    <w:rsid w:val="009F6EC1"/>
    <w:rsid w:val="00A0050E"/>
    <w:rsid w:val="00A00EA5"/>
    <w:rsid w:val="00A01AAD"/>
    <w:rsid w:val="00A01C09"/>
    <w:rsid w:val="00A02076"/>
    <w:rsid w:val="00A02A8B"/>
    <w:rsid w:val="00A031F4"/>
    <w:rsid w:val="00A0422D"/>
    <w:rsid w:val="00A044EC"/>
    <w:rsid w:val="00A04E0E"/>
    <w:rsid w:val="00A054C1"/>
    <w:rsid w:val="00A05F4A"/>
    <w:rsid w:val="00A06AFA"/>
    <w:rsid w:val="00A07AF3"/>
    <w:rsid w:val="00A07DFD"/>
    <w:rsid w:val="00A10FD9"/>
    <w:rsid w:val="00A1210A"/>
    <w:rsid w:val="00A124AC"/>
    <w:rsid w:val="00A1312E"/>
    <w:rsid w:val="00A13514"/>
    <w:rsid w:val="00A13DE1"/>
    <w:rsid w:val="00A13F47"/>
    <w:rsid w:val="00A14960"/>
    <w:rsid w:val="00A14F06"/>
    <w:rsid w:val="00A152DE"/>
    <w:rsid w:val="00A1571B"/>
    <w:rsid w:val="00A15A50"/>
    <w:rsid w:val="00A16C04"/>
    <w:rsid w:val="00A16DD6"/>
    <w:rsid w:val="00A20C49"/>
    <w:rsid w:val="00A20DAB"/>
    <w:rsid w:val="00A20E71"/>
    <w:rsid w:val="00A21643"/>
    <w:rsid w:val="00A2168B"/>
    <w:rsid w:val="00A21E4B"/>
    <w:rsid w:val="00A21F57"/>
    <w:rsid w:val="00A22805"/>
    <w:rsid w:val="00A23764"/>
    <w:rsid w:val="00A24A61"/>
    <w:rsid w:val="00A25AF7"/>
    <w:rsid w:val="00A25C87"/>
    <w:rsid w:val="00A272B4"/>
    <w:rsid w:val="00A27A8F"/>
    <w:rsid w:val="00A32A98"/>
    <w:rsid w:val="00A33424"/>
    <w:rsid w:val="00A336D2"/>
    <w:rsid w:val="00A33938"/>
    <w:rsid w:val="00A33D48"/>
    <w:rsid w:val="00A33E5A"/>
    <w:rsid w:val="00A34395"/>
    <w:rsid w:val="00A34A75"/>
    <w:rsid w:val="00A35209"/>
    <w:rsid w:val="00A361B9"/>
    <w:rsid w:val="00A36796"/>
    <w:rsid w:val="00A3769F"/>
    <w:rsid w:val="00A37D4C"/>
    <w:rsid w:val="00A40819"/>
    <w:rsid w:val="00A40B8A"/>
    <w:rsid w:val="00A4134D"/>
    <w:rsid w:val="00A41865"/>
    <w:rsid w:val="00A42466"/>
    <w:rsid w:val="00A4331B"/>
    <w:rsid w:val="00A43788"/>
    <w:rsid w:val="00A437CC"/>
    <w:rsid w:val="00A43ADA"/>
    <w:rsid w:val="00A43C7E"/>
    <w:rsid w:val="00A453B5"/>
    <w:rsid w:val="00A46684"/>
    <w:rsid w:val="00A47A41"/>
    <w:rsid w:val="00A51185"/>
    <w:rsid w:val="00A518B4"/>
    <w:rsid w:val="00A51EF3"/>
    <w:rsid w:val="00A52468"/>
    <w:rsid w:val="00A530C8"/>
    <w:rsid w:val="00A53A1D"/>
    <w:rsid w:val="00A54CA4"/>
    <w:rsid w:val="00A55676"/>
    <w:rsid w:val="00A55F65"/>
    <w:rsid w:val="00A57D15"/>
    <w:rsid w:val="00A604F6"/>
    <w:rsid w:val="00A613E9"/>
    <w:rsid w:val="00A62250"/>
    <w:rsid w:val="00A6228F"/>
    <w:rsid w:val="00A62E09"/>
    <w:rsid w:val="00A65146"/>
    <w:rsid w:val="00A65F23"/>
    <w:rsid w:val="00A65F73"/>
    <w:rsid w:val="00A6614F"/>
    <w:rsid w:val="00A6676F"/>
    <w:rsid w:val="00A67009"/>
    <w:rsid w:val="00A673DD"/>
    <w:rsid w:val="00A676E9"/>
    <w:rsid w:val="00A67E18"/>
    <w:rsid w:val="00A70648"/>
    <w:rsid w:val="00A71A9B"/>
    <w:rsid w:val="00A71D09"/>
    <w:rsid w:val="00A71E99"/>
    <w:rsid w:val="00A71F8F"/>
    <w:rsid w:val="00A730CD"/>
    <w:rsid w:val="00A73C95"/>
    <w:rsid w:val="00A75EEC"/>
    <w:rsid w:val="00A7623E"/>
    <w:rsid w:val="00A76776"/>
    <w:rsid w:val="00A76A6A"/>
    <w:rsid w:val="00A801F1"/>
    <w:rsid w:val="00A80DD6"/>
    <w:rsid w:val="00A815E4"/>
    <w:rsid w:val="00A81B00"/>
    <w:rsid w:val="00A824B9"/>
    <w:rsid w:val="00A825F4"/>
    <w:rsid w:val="00A82E62"/>
    <w:rsid w:val="00A84744"/>
    <w:rsid w:val="00A84847"/>
    <w:rsid w:val="00A85AA8"/>
    <w:rsid w:val="00A85F07"/>
    <w:rsid w:val="00A85FD1"/>
    <w:rsid w:val="00A86518"/>
    <w:rsid w:val="00A86547"/>
    <w:rsid w:val="00A86B53"/>
    <w:rsid w:val="00A901E9"/>
    <w:rsid w:val="00A9058E"/>
    <w:rsid w:val="00A90D94"/>
    <w:rsid w:val="00A9122D"/>
    <w:rsid w:val="00A92334"/>
    <w:rsid w:val="00A93051"/>
    <w:rsid w:val="00A93462"/>
    <w:rsid w:val="00A934B6"/>
    <w:rsid w:val="00A9371A"/>
    <w:rsid w:val="00A941AB"/>
    <w:rsid w:val="00A94F43"/>
    <w:rsid w:val="00A9526F"/>
    <w:rsid w:val="00A95612"/>
    <w:rsid w:val="00A97422"/>
    <w:rsid w:val="00A97519"/>
    <w:rsid w:val="00AA0687"/>
    <w:rsid w:val="00AA08A6"/>
    <w:rsid w:val="00AA28DE"/>
    <w:rsid w:val="00AA6D44"/>
    <w:rsid w:val="00AA7E50"/>
    <w:rsid w:val="00AA7FEC"/>
    <w:rsid w:val="00AB02BB"/>
    <w:rsid w:val="00AB25C6"/>
    <w:rsid w:val="00AB3568"/>
    <w:rsid w:val="00AB5DA0"/>
    <w:rsid w:val="00AB5DE2"/>
    <w:rsid w:val="00AB6849"/>
    <w:rsid w:val="00AB68AF"/>
    <w:rsid w:val="00AB7033"/>
    <w:rsid w:val="00AB7FAE"/>
    <w:rsid w:val="00AC1893"/>
    <w:rsid w:val="00AC23B9"/>
    <w:rsid w:val="00AC243B"/>
    <w:rsid w:val="00AC329A"/>
    <w:rsid w:val="00AC4931"/>
    <w:rsid w:val="00AC4A14"/>
    <w:rsid w:val="00AC4B9E"/>
    <w:rsid w:val="00AC4EC6"/>
    <w:rsid w:val="00AC4FC0"/>
    <w:rsid w:val="00AC6737"/>
    <w:rsid w:val="00AC7492"/>
    <w:rsid w:val="00AD03F2"/>
    <w:rsid w:val="00AD0BE7"/>
    <w:rsid w:val="00AD1CA0"/>
    <w:rsid w:val="00AD463B"/>
    <w:rsid w:val="00AD4E09"/>
    <w:rsid w:val="00AD5865"/>
    <w:rsid w:val="00AD625E"/>
    <w:rsid w:val="00AD6B38"/>
    <w:rsid w:val="00AD70E1"/>
    <w:rsid w:val="00AD7162"/>
    <w:rsid w:val="00AD7545"/>
    <w:rsid w:val="00AD758D"/>
    <w:rsid w:val="00AD7905"/>
    <w:rsid w:val="00AD7C83"/>
    <w:rsid w:val="00AE0AA8"/>
    <w:rsid w:val="00AE1594"/>
    <w:rsid w:val="00AE192C"/>
    <w:rsid w:val="00AE2729"/>
    <w:rsid w:val="00AE2864"/>
    <w:rsid w:val="00AE382D"/>
    <w:rsid w:val="00AE44CE"/>
    <w:rsid w:val="00AE4F7C"/>
    <w:rsid w:val="00AE77F9"/>
    <w:rsid w:val="00AF016B"/>
    <w:rsid w:val="00AF14CA"/>
    <w:rsid w:val="00AF5604"/>
    <w:rsid w:val="00AF587D"/>
    <w:rsid w:val="00AF66C8"/>
    <w:rsid w:val="00AF7B45"/>
    <w:rsid w:val="00B000B8"/>
    <w:rsid w:val="00B00D82"/>
    <w:rsid w:val="00B01E54"/>
    <w:rsid w:val="00B02CA5"/>
    <w:rsid w:val="00B04892"/>
    <w:rsid w:val="00B04C73"/>
    <w:rsid w:val="00B055C6"/>
    <w:rsid w:val="00B05EAC"/>
    <w:rsid w:val="00B06F8C"/>
    <w:rsid w:val="00B07BBC"/>
    <w:rsid w:val="00B07E88"/>
    <w:rsid w:val="00B121B4"/>
    <w:rsid w:val="00B121DE"/>
    <w:rsid w:val="00B1357D"/>
    <w:rsid w:val="00B13EDD"/>
    <w:rsid w:val="00B143FE"/>
    <w:rsid w:val="00B14801"/>
    <w:rsid w:val="00B17F9C"/>
    <w:rsid w:val="00B2019F"/>
    <w:rsid w:val="00B20F4D"/>
    <w:rsid w:val="00B213CE"/>
    <w:rsid w:val="00B213E0"/>
    <w:rsid w:val="00B218BD"/>
    <w:rsid w:val="00B22004"/>
    <w:rsid w:val="00B221C3"/>
    <w:rsid w:val="00B224B2"/>
    <w:rsid w:val="00B226F6"/>
    <w:rsid w:val="00B22803"/>
    <w:rsid w:val="00B22BDC"/>
    <w:rsid w:val="00B232DB"/>
    <w:rsid w:val="00B2332D"/>
    <w:rsid w:val="00B236FB"/>
    <w:rsid w:val="00B23C31"/>
    <w:rsid w:val="00B259F2"/>
    <w:rsid w:val="00B2797C"/>
    <w:rsid w:val="00B31FB3"/>
    <w:rsid w:val="00B32983"/>
    <w:rsid w:val="00B32DA8"/>
    <w:rsid w:val="00B32E1C"/>
    <w:rsid w:val="00B33379"/>
    <w:rsid w:val="00B335AE"/>
    <w:rsid w:val="00B33948"/>
    <w:rsid w:val="00B33F45"/>
    <w:rsid w:val="00B34AF3"/>
    <w:rsid w:val="00B35237"/>
    <w:rsid w:val="00B358C8"/>
    <w:rsid w:val="00B36129"/>
    <w:rsid w:val="00B37562"/>
    <w:rsid w:val="00B407A6"/>
    <w:rsid w:val="00B40DDA"/>
    <w:rsid w:val="00B40FFE"/>
    <w:rsid w:val="00B41208"/>
    <w:rsid w:val="00B42190"/>
    <w:rsid w:val="00B431D6"/>
    <w:rsid w:val="00B4329D"/>
    <w:rsid w:val="00B4452F"/>
    <w:rsid w:val="00B44E2C"/>
    <w:rsid w:val="00B4529C"/>
    <w:rsid w:val="00B47351"/>
    <w:rsid w:val="00B47AC6"/>
    <w:rsid w:val="00B47EDE"/>
    <w:rsid w:val="00B5000F"/>
    <w:rsid w:val="00B5036D"/>
    <w:rsid w:val="00B5166C"/>
    <w:rsid w:val="00B519C7"/>
    <w:rsid w:val="00B52074"/>
    <w:rsid w:val="00B522F3"/>
    <w:rsid w:val="00B540A4"/>
    <w:rsid w:val="00B54767"/>
    <w:rsid w:val="00B55BEE"/>
    <w:rsid w:val="00B571F6"/>
    <w:rsid w:val="00B572FB"/>
    <w:rsid w:val="00B578C5"/>
    <w:rsid w:val="00B60779"/>
    <w:rsid w:val="00B61DED"/>
    <w:rsid w:val="00B62671"/>
    <w:rsid w:val="00B6290D"/>
    <w:rsid w:val="00B63A58"/>
    <w:rsid w:val="00B63B31"/>
    <w:rsid w:val="00B66211"/>
    <w:rsid w:val="00B664C8"/>
    <w:rsid w:val="00B667E5"/>
    <w:rsid w:val="00B668B6"/>
    <w:rsid w:val="00B66BD4"/>
    <w:rsid w:val="00B67285"/>
    <w:rsid w:val="00B674F3"/>
    <w:rsid w:val="00B70FF6"/>
    <w:rsid w:val="00B71682"/>
    <w:rsid w:val="00B720FD"/>
    <w:rsid w:val="00B73D27"/>
    <w:rsid w:val="00B74FA3"/>
    <w:rsid w:val="00B75B5C"/>
    <w:rsid w:val="00B75F91"/>
    <w:rsid w:val="00B761D9"/>
    <w:rsid w:val="00B80C85"/>
    <w:rsid w:val="00B818D8"/>
    <w:rsid w:val="00B82305"/>
    <w:rsid w:val="00B8299F"/>
    <w:rsid w:val="00B82FDB"/>
    <w:rsid w:val="00B834F4"/>
    <w:rsid w:val="00B846C1"/>
    <w:rsid w:val="00B8494A"/>
    <w:rsid w:val="00B84957"/>
    <w:rsid w:val="00B852D1"/>
    <w:rsid w:val="00B85515"/>
    <w:rsid w:val="00B86F07"/>
    <w:rsid w:val="00B87434"/>
    <w:rsid w:val="00B90318"/>
    <w:rsid w:val="00B9060E"/>
    <w:rsid w:val="00B90D36"/>
    <w:rsid w:val="00B91A51"/>
    <w:rsid w:val="00B91C47"/>
    <w:rsid w:val="00B91FC9"/>
    <w:rsid w:val="00B94254"/>
    <w:rsid w:val="00B94A46"/>
    <w:rsid w:val="00B94F0D"/>
    <w:rsid w:val="00B955EB"/>
    <w:rsid w:val="00B95766"/>
    <w:rsid w:val="00B95E5E"/>
    <w:rsid w:val="00B960A1"/>
    <w:rsid w:val="00B97B12"/>
    <w:rsid w:val="00BA1301"/>
    <w:rsid w:val="00BA13A9"/>
    <w:rsid w:val="00BA200A"/>
    <w:rsid w:val="00BA2A52"/>
    <w:rsid w:val="00BA42B7"/>
    <w:rsid w:val="00BA4836"/>
    <w:rsid w:val="00BA62D1"/>
    <w:rsid w:val="00BA68BE"/>
    <w:rsid w:val="00BA7A98"/>
    <w:rsid w:val="00BB0459"/>
    <w:rsid w:val="00BB35EA"/>
    <w:rsid w:val="00BB4F71"/>
    <w:rsid w:val="00BB506E"/>
    <w:rsid w:val="00BB597D"/>
    <w:rsid w:val="00BB7388"/>
    <w:rsid w:val="00BB772C"/>
    <w:rsid w:val="00BB77A9"/>
    <w:rsid w:val="00BB7BB5"/>
    <w:rsid w:val="00BC0C2A"/>
    <w:rsid w:val="00BC1568"/>
    <w:rsid w:val="00BC1C31"/>
    <w:rsid w:val="00BC1FC4"/>
    <w:rsid w:val="00BC205B"/>
    <w:rsid w:val="00BC20B0"/>
    <w:rsid w:val="00BC28BE"/>
    <w:rsid w:val="00BC31FC"/>
    <w:rsid w:val="00BC3393"/>
    <w:rsid w:val="00BC344A"/>
    <w:rsid w:val="00BC4CD9"/>
    <w:rsid w:val="00BC55AC"/>
    <w:rsid w:val="00BC5A73"/>
    <w:rsid w:val="00BC6DB4"/>
    <w:rsid w:val="00BC6DFD"/>
    <w:rsid w:val="00BC7517"/>
    <w:rsid w:val="00BC7721"/>
    <w:rsid w:val="00BC7887"/>
    <w:rsid w:val="00BD07EE"/>
    <w:rsid w:val="00BD10C4"/>
    <w:rsid w:val="00BD2215"/>
    <w:rsid w:val="00BD28F9"/>
    <w:rsid w:val="00BD3D09"/>
    <w:rsid w:val="00BD47BC"/>
    <w:rsid w:val="00BD49E7"/>
    <w:rsid w:val="00BD4A93"/>
    <w:rsid w:val="00BD51E5"/>
    <w:rsid w:val="00BD5275"/>
    <w:rsid w:val="00BD6698"/>
    <w:rsid w:val="00BD6CB3"/>
    <w:rsid w:val="00BD75A6"/>
    <w:rsid w:val="00BE0DC9"/>
    <w:rsid w:val="00BE1D7A"/>
    <w:rsid w:val="00BE25BC"/>
    <w:rsid w:val="00BE26B0"/>
    <w:rsid w:val="00BE558D"/>
    <w:rsid w:val="00BE66A5"/>
    <w:rsid w:val="00BE6D9C"/>
    <w:rsid w:val="00BE7346"/>
    <w:rsid w:val="00BE7609"/>
    <w:rsid w:val="00BF0E78"/>
    <w:rsid w:val="00BF11CA"/>
    <w:rsid w:val="00BF1884"/>
    <w:rsid w:val="00BF250E"/>
    <w:rsid w:val="00BF3263"/>
    <w:rsid w:val="00BF36AE"/>
    <w:rsid w:val="00BF3B38"/>
    <w:rsid w:val="00BF448F"/>
    <w:rsid w:val="00BF46E0"/>
    <w:rsid w:val="00C01382"/>
    <w:rsid w:val="00C01B92"/>
    <w:rsid w:val="00C02470"/>
    <w:rsid w:val="00C0498C"/>
    <w:rsid w:val="00C05112"/>
    <w:rsid w:val="00C05772"/>
    <w:rsid w:val="00C06493"/>
    <w:rsid w:val="00C100A4"/>
    <w:rsid w:val="00C11C2D"/>
    <w:rsid w:val="00C11F5A"/>
    <w:rsid w:val="00C12D50"/>
    <w:rsid w:val="00C12E8A"/>
    <w:rsid w:val="00C13242"/>
    <w:rsid w:val="00C138F6"/>
    <w:rsid w:val="00C13B25"/>
    <w:rsid w:val="00C14326"/>
    <w:rsid w:val="00C14407"/>
    <w:rsid w:val="00C154BA"/>
    <w:rsid w:val="00C172EA"/>
    <w:rsid w:val="00C21554"/>
    <w:rsid w:val="00C21AED"/>
    <w:rsid w:val="00C21C19"/>
    <w:rsid w:val="00C220E7"/>
    <w:rsid w:val="00C2339A"/>
    <w:rsid w:val="00C237D9"/>
    <w:rsid w:val="00C23B3C"/>
    <w:rsid w:val="00C24D5F"/>
    <w:rsid w:val="00C251C5"/>
    <w:rsid w:val="00C259B3"/>
    <w:rsid w:val="00C26D18"/>
    <w:rsid w:val="00C306C7"/>
    <w:rsid w:val="00C30C81"/>
    <w:rsid w:val="00C30ED6"/>
    <w:rsid w:val="00C31DED"/>
    <w:rsid w:val="00C32242"/>
    <w:rsid w:val="00C32D96"/>
    <w:rsid w:val="00C33FB7"/>
    <w:rsid w:val="00C35A20"/>
    <w:rsid w:val="00C35B29"/>
    <w:rsid w:val="00C35C60"/>
    <w:rsid w:val="00C36278"/>
    <w:rsid w:val="00C369E2"/>
    <w:rsid w:val="00C37026"/>
    <w:rsid w:val="00C37C2B"/>
    <w:rsid w:val="00C37ED6"/>
    <w:rsid w:val="00C40034"/>
    <w:rsid w:val="00C4021F"/>
    <w:rsid w:val="00C4028E"/>
    <w:rsid w:val="00C40FC8"/>
    <w:rsid w:val="00C428EB"/>
    <w:rsid w:val="00C42CFB"/>
    <w:rsid w:val="00C43098"/>
    <w:rsid w:val="00C43AC0"/>
    <w:rsid w:val="00C4476A"/>
    <w:rsid w:val="00C44CDE"/>
    <w:rsid w:val="00C45C06"/>
    <w:rsid w:val="00C45F5F"/>
    <w:rsid w:val="00C45FA8"/>
    <w:rsid w:val="00C47252"/>
    <w:rsid w:val="00C50685"/>
    <w:rsid w:val="00C50DEF"/>
    <w:rsid w:val="00C51BCC"/>
    <w:rsid w:val="00C52E12"/>
    <w:rsid w:val="00C53412"/>
    <w:rsid w:val="00C544CF"/>
    <w:rsid w:val="00C548C7"/>
    <w:rsid w:val="00C549B9"/>
    <w:rsid w:val="00C550CC"/>
    <w:rsid w:val="00C551B0"/>
    <w:rsid w:val="00C55338"/>
    <w:rsid w:val="00C55D9E"/>
    <w:rsid w:val="00C55EE9"/>
    <w:rsid w:val="00C57016"/>
    <w:rsid w:val="00C6088B"/>
    <w:rsid w:val="00C60A1D"/>
    <w:rsid w:val="00C60F1B"/>
    <w:rsid w:val="00C62324"/>
    <w:rsid w:val="00C63615"/>
    <w:rsid w:val="00C639FB"/>
    <w:rsid w:val="00C6483F"/>
    <w:rsid w:val="00C649BE"/>
    <w:rsid w:val="00C64D4F"/>
    <w:rsid w:val="00C65F38"/>
    <w:rsid w:val="00C705FE"/>
    <w:rsid w:val="00C706E5"/>
    <w:rsid w:val="00C70F65"/>
    <w:rsid w:val="00C711BC"/>
    <w:rsid w:val="00C71728"/>
    <w:rsid w:val="00C71FFE"/>
    <w:rsid w:val="00C721FD"/>
    <w:rsid w:val="00C7465F"/>
    <w:rsid w:val="00C74BA7"/>
    <w:rsid w:val="00C75176"/>
    <w:rsid w:val="00C760C5"/>
    <w:rsid w:val="00C76978"/>
    <w:rsid w:val="00C81FB2"/>
    <w:rsid w:val="00C82275"/>
    <w:rsid w:val="00C82370"/>
    <w:rsid w:val="00C82B8C"/>
    <w:rsid w:val="00C82C33"/>
    <w:rsid w:val="00C83248"/>
    <w:rsid w:val="00C838EE"/>
    <w:rsid w:val="00C83F3B"/>
    <w:rsid w:val="00C84B16"/>
    <w:rsid w:val="00C84C71"/>
    <w:rsid w:val="00C85D70"/>
    <w:rsid w:val="00C87E07"/>
    <w:rsid w:val="00C9099D"/>
    <w:rsid w:val="00C90BC7"/>
    <w:rsid w:val="00C90BE7"/>
    <w:rsid w:val="00C91A52"/>
    <w:rsid w:val="00C91D64"/>
    <w:rsid w:val="00C92983"/>
    <w:rsid w:val="00C92DB2"/>
    <w:rsid w:val="00C93900"/>
    <w:rsid w:val="00C96349"/>
    <w:rsid w:val="00C96EB7"/>
    <w:rsid w:val="00C972AF"/>
    <w:rsid w:val="00CA033F"/>
    <w:rsid w:val="00CA0828"/>
    <w:rsid w:val="00CA1072"/>
    <w:rsid w:val="00CA15B4"/>
    <w:rsid w:val="00CA15F1"/>
    <w:rsid w:val="00CA1CA7"/>
    <w:rsid w:val="00CA28F1"/>
    <w:rsid w:val="00CA3017"/>
    <w:rsid w:val="00CA5410"/>
    <w:rsid w:val="00CA59AF"/>
    <w:rsid w:val="00CA5F3C"/>
    <w:rsid w:val="00CA61DE"/>
    <w:rsid w:val="00CA63D6"/>
    <w:rsid w:val="00CA643A"/>
    <w:rsid w:val="00CA769A"/>
    <w:rsid w:val="00CA7C1F"/>
    <w:rsid w:val="00CA7CBF"/>
    <w:rsid w:val="00CB0831"/>
    <w:rsid w:val="00CB132F"/>
    <w:rsid w:val="00CB141F"/>
    <w:rsid w:val="00CB22F5"/>
    <w:rsid w:val="00CB3A40"/>
    <w:rsid w:val="00CB4B60"/>
    <w:rsid w:val="00CB6131"/>
    <w:rsid w:val="00CB62BB"/>
    <w:rsid w:val="00CB6995"/>
    <w:rsid w:val="00CB6A0F"/>
    <w:rsid w:val="00CB6B38"/>
    <w:rsid w:val="00CC01F7"/>
    <w:rsid w:val="00CC0215"/>
    <w:rsid w:val="00CC04DC"/>
    <w:rsid w:val="00CC0A45"/>
    <w:rsid w:val="00CC3869"/>
    <w:rsid w:val="00CC4A05"/>
    <w:rsid w:val="00CC570D"/>
    <w:rsid w:val="00CC5C64"/>
    <w:rsid w:val="00CC683D"/>
    <w:rsid w:val="00CC6B85"/>
    <w:rsid w:val="00CC6B9D"/>
    <w:rsid w:val="00CC7FE2"/>
    <w:rsid w:val="00CD1E77"/>
    <w:rsid w:val="00CD31BF"/>
    <w:rsid w:val="00CD3612"/>
    <w:rsid w:val="00CD3B30"/>
    <w:rsid w:val="00CD595A"/>
    <w:rsid w:val="00CD5A1C"/>
    <w:rsid w:val="00CD64D1"/>
    <w:rsid w:val="00CD7CA6"/>
    <w:rsid w:val="00CD7F9B"/>
    <w:rsid w:val="00CE0248"/>
    <w:rsid w:val="00CE02AB"/>
    <w:rsid w:val="00CE0517"/>
    <w:rsid w:val="00CE0E12"/>
    <w:rsid w:val="00CE1279"/>
    <w:rsid w:val="00CE1499"/>
    <w:rsid w:val="00CE38ED"/>
    <w:rsid w:val="00CE39DC"/>
    <w:rsid w:val="00CE40DA"/>
    <w:rsid w:val="00CE4876"/>
    <w:rsid w:val="00CE4EDB"/>
    <w:rsid w:val="00CE5074"/>
    <w:rsid w:val="00CE5457"/>
    <w:rsid w:val="00CE5D11"/>
    <w:rsid w:val="00CE6151"/>
    <w:rsid w:val="00CE6537"/>
    <w:rsid w:val="00CE6DD6"/>
    <w:rsid w:val="00CE79DA"/>
    <w:rsid w:val="00CF002B"/>
    <w:rsid w:val="00CF0A26"/>
    <w:rsid w:val="00CF0E03"/>
    <w:rsid w:val="00CF12C5"/>
    <w:rsid w:val="00CF1953"/>
    <w:rsid w:val="00CF2601"/>
    <w:rsid w:val="00CF2B21"/>
    <w:rsid w:val="00CF31ED"/>
    <w:rsid w:val="00CF47A9"/>
    <w:rsid w:val="00CF4F23"/>
    <w:rsid w:val="00CF56CD"/>
    <w:rsid w:val="00CF67BF"/>
    <w:rsid w:val="00CF68E0"/>
    <w:rsid w:val="00CF6FF2"/>
    <w:rsid w:val="00D00742"/>
    <w:rsid w:val="00D00FB2"/>
    <w:rsid w:val="00D02065"/>
    <w:rsid w:val="00D02317"/>
    <w:rsid w:val="00D028D8"/>
    <w:rsid w:val="00D0371E"/>
    <w:rsid w:val="00D04261"/>
    <w:rsid w:val="00D04F9C"/>
    <w:rsid w:val="00D05D69"/>
    <w:rsid w:val="00D065CD"/>
    <w:rsid w:val="00D07336"/>
    <w:rsid w:val="00D079C1"/>
    <w:rsid w:val="00D07D4D"/>
    <w:rsid w:val="00D115C8"/>
    <w:rsid w:val="00D11849"/>
    <w:rsid w:val="00D12165"/>
    <w:rsid w:val="00D12293"/>
    <w:rsid w:val="00D12961"/>
    <w:rsid w:val="00D1349A"/>
    <w:rsid w:val="00D13638"/>
    <w:rsid w:val="00D138BB"/>
    <w:rsid w:val="00D13E6B"/>
    <w:rsid w:val="00D15796"/>
    <w:rsid w:val="00D15AAC"/>
    <w:rsid w:val="00D15C51"/>
    <w:rsid w:val="00D20D0F"/>
    <w:rsid w:val="00D212A3"/>
    <w:rsid w:val="00D22C9E"/>
    <w:rsid w:val="00D22CC4"/>
    <w:rsid w:val="00D233CD"/>
    <w:rsid w:val="00D233DB"/>
    <w:rsid w:val="00D23752"/>
    <w:rsid w:val="00D23880"/>
    <w:rsid w:val="00D2426D"/>
    <w:rsid w:val="00D249C4"/>
    <w:rsid w:val="00D25FB7"/>
    <w:rsid w:val="00D26885"/>
    <w:rsid w:val="00D26A77"/>
    <w:rsid w:val="00D26E84"/>
    <w:rsid w:val="00D2740D"/>
    <w:rsid w:val="00D30D25"/>
    <w:rsid w:val="00D318E8"/>
    <w:rsid w:val="00D31E44"/>
    <w:rsid w:val="00D322A0"/>
    <w:rsid w:val="00D34D6D"/>
    <w:rsid w:val="00D3694A"/>
    <w:rsid w:val="00D413BC"/>
    <w:rsid w:val="00D41A61"/>
    <w:rsid w:val="00D422C9"/>
    <w:rsid w:val="00D427A9"/>
    <w:rsid w:val="00D42879"/>
    <w:rsid w:val="00D42B78"/>
    <w:rsid w:val="00D42C4B"/>
    <w:rsid w:val="00D42EF4"/>
    <w:rsid w:val="00D43007"/>
    <w:rsid w:val="00D437CB"/>
    <w:rsid w:val="00D44B89"/>
    <w:rsid w:val="00D44D92"/>
    <w:rsid w:val="00D45512"/>
    <w:rsid w:val="00D45C71"/>
    <w:rsid w:val="00D4650C"/>
    <w:rsid w:val="00D46D57"/>
    <w:rsid w:val="00D47353"/>
    <w:rsid w:val="00D47762"/>
    <w:rsid w:val="00D477E6"/>
    <w:rsid w:val="00D47D25"/>
    <w:rsid w:val="00D5014F"/>
    <w:rsid w:val="00D50B36"/>
    <w:rsid w:val="00D516C3"/>
    <w:rsid w:val="00D51E7E"/>
    <w:rsid w:val="00D53165"/>
    <w:rsid w:val="00D5336E"/>
    <w:rsid w:val="00D5362F"/>
    <w:rsid w:val="00D53860"/>
    <w:rsid w:val="00D545E8"/>
    <w:rsid w:val="00D54676"/>
    <w:rsid w:val="00D549C2"/>
    <w:rsid w:val="00D55C1F"/>
    <w:rsid w:val="00D55DC0"/>
    <w:rsid w:val="00D56284"/>
    <w:rsid w:val="00D56553"/>
    <w:rsid w:val="00D56624"/>
    <w:rsid w:val="00D56D03"/>
    <w:rsid w:val="00D56D05"/>
    <w:rsid w:val="00D5783B"/>
    <w:rsid w:val="00D57B51"/>
    <w:rsid w:val="00D60455"/>
    <w:rsid w:val="00D6049E"/>
    <w:rsid w:val="00D606B9"/>
    <w:rsid w:val="00D615EB"/>
    <w:rsid w:val="00D6298A"/>
    <w:rsid w:val="00D63B6D"/>
    <w:rsid w:val="00D655BD"/>
    <w:rsid w:val="00D655BE"/>
    <w:rsid w:val="00D65A02"/>
    <w:rsid w:val="00D65B7C"/>
    <w:rsid w:val="00D65F07"/>
    <w:rsid w:val="00D670A8"/>
    <w:rsid w:val="00D676A9"/>
    <w:rsid w:val="00D7036C"/>
    <w:rsid w:val="00D7093A"/>
    <w:rsid w:val="00D709B4"/>
    <w:rsid w:val="00D71224"/>
    <w:rsid w:val="00D71551"/>
    <w:rsid w:val="00D7240C"/>
    <w:rsid w:val="00D73861"/>
    <w:rsid w:val="00D73ECD"/>
    <w:rsid w:val="00D744DD"/>
    <w:rsid w:val="00D75CDE"/>
    <w:rsid w:val="00D75DC0"/>
    <w:rsid w:val="00D75E05"/>
    <w:rsid w:val="00D775E7"/>
    <w:rsid w:val="00D77A4E"/>
    <w:rsid w:val="00D77DDA"/>
    <w:rsid w:val="00D8007D"/>
    <w:rsid w:val="00D805D8"/>
    <w:rsid w:val="00D81994"/>
    <w:rsid w:val="00D826A7"/>
    <w:rsid w:val="00D82A40"/>
    <w:rsid w:val="00D82C52"/>
    <w:rsid w:val="00D82CD1"/>
    <w:rsid w:val="00D85B57"/>
    <w:rsid w:val="00D85F32"/>
    <w:rsid w:val="00D861C8"/>
    <w:rsid w:val="00D92449"/>
    <w:rsid w:val="00D928C5"/>
    <w:rsid w:val="00D92E47"/>
    <w:rsid w:val="00D93D86"/>
    <w:rsid w:val="00D94078"/>
    <w:rsid w:val="00D94889"/>
    <w:rsid w:val="00D94A3A"/>
    <w:rsid w:val="00D94EC0"/>
    <w:rsid w:val="00D951DA"/>
    <w:rsid w:val="00D95893"/>
    <w:rsid w:val="00D95A7A"/>
    <w:rsid w:val="00D95DD6"/>
    <w:rsid w:val="00D966D0"/>
    <w:rsid w:val="00D9767C"/>
    <w:rsid w:val="00D97CC0"/>
    <w:rsid w:val="00DA0FB2"/>
    <w:rsid w:val="00DA19D6"/>
    <w:rsid w:val="00DA21A9"/>
    <w:rsid w:val="00DA2B05"/>
    <w:rsid w:val="00DA3AF9"/>
    <w:rsid w:val="00DA4615"/>
    <w:rsid w:val="00DA5530"/>
    <w:rsid w:val="00DA7265"/>
    <w:rsid w:val="00DA7571"/>
    <w:rsid w:val="00DA7D21"/>
    <w:rsid w:val="00DB0901"/>
    <w:rsid w:val="00DB1B0D"/>
    <w:rsid w:val="00DB3448"/>
    <w:rsid w:val="00DB3714"/>
    <w:rsid w:val="00DB432A"/>
    <w:rsid w:val="00DB5ADF"/>
    <w:rsid w:val="00DB65FD"/>
    <w:rsid w:val="00DC1604"/>
    <w:rsid w:val="00DC234D"/>
    <w:rsid w:val="00DC2531"/>
    <w:rsid w:val="00DC2923"/>
    <w:rsid w:val="00DC470C"/>
    <w:rsid w:val="00DC471D"/>
    <w:rsid w:val="00DC52B8"/>
    <w:rsid w:val="00DC5B30"/>
    <w:rsid w:val="00DC5F9D"/>
    <w:rsid w:val="00DC7A77"/>
    <w:rsid w:val="00DD02E7"/>
    <w:rsid w:val="00DD068B"/>
    <w:rsid w:val="00DD0A55"/>
    <w:rsid w:val="00DD11D2"/>
    <w:rsid w:val="00DD15CF"/>
    <w:rsid w:val="00DD17AD"/>
    <w:rsid w:val="00DD1B70"/>
    <w:rsid w:val="00DD1DA1"/>
    <w:rsid w:val="00DD27C4"/>
    <w:rsid w:val="00DD3250"/>
    <w:rsid w:val="00DD3A66"/>
    <w:rsid w:val="00DD3FC6"/>
    <w:rsid w:val="00DD414A"/>
    <w:rsid w:val="00DD670C"/>
    <w:rsid w:val="00DD73ED"/>
    <w:rsid w:val="00DD7663"/>
    <w:rsid w:val="00DD77C9"/>
    <w:rsid w:val="00DE0978"/>
    <w:rsid w:val="00DE131E"/>
    <w:rsid w:val="00DE178F"/>
    <w:rsid w:val="00DE1EA4"/>
    <w:rsid w:val="00DE21D9"/>
    <w:rsid w:val="00DE29E9"/>
    <w:rsid w:val="00DE2F3A"/>
    <w:rsid w:val="00DE32C3"/>
    <w:rsid w:val="00DE492F"/>
    <w:rsid w:val="00DE4FF1"/>
    <w:rsid w:val="00DE6733"/>
    <w:rsid w:val="00DE7217"/>
    <w:rsid w:val="00DE77F8"/>
    <w:rsid w:val="00DF0E2D"/>
    <w:rsid w:val="00DF1C3C"/>
    <w:rsid w:val="00DF1CCA"/>
    <w:rsid w:val="00DF2A11"/>
    <w:rsid w:val="00DF38EB"/>
    <w:rsid w:val="00DF3FBD"/>
    <w:rsid w:val="00DF4BE7"/>
    <w:rsid w:val="00DF4EFE"/>
    <w:rsid w:val="00DF5526"/>
    <w:rsid w:val="00DF6132"/>
    <w:rsid w:val="00DF6884"/>
    <w:rsid w:val="00DF6ADD"/>
    <w:rsid w:val="00DF6EBC"/>
    <w:rsid w:val="00DF7658"/>
    <w:rsid w:val="00E00463"/>
    <w:rsid w:val="00E0050D"/>
    <w:rsid w:val="00E00C41"/>
    <w:rsid w:val="00E027BD"/>
    <w:rsid w:val="00E0298E"/>
    <w:rsid w:val="00E0311B"/>
    <w:rsid w:val="00E03360"/>
    <w:rsid w:val="00E03782"/>
    <w:rsid w:val="00E03D14"/>
    <w:rsid w:val="00E040AE"/>
    <w:rsid w:val="00E04682"/>
    <w:rsid w:val="00E04DEA"/>
    <w:rsid w:val="00E05164"/>
    <w:rsid w:val="00E05222"/>
    <w:rsid w:val="00E05AB9"/>
    <w:rsid w:val="00E05EFF"/>
    <w:rsid w:val="00E06685"/>
    <w:rsid w:val="00E075B5"/>
    <w:rsid w:val="00E12161"/>
    <w:rsid w:val="00E130F7"/>
    <w:rsid w:val="00E1311B"/>
    <w:rsid w:val="00E13161"/>
    <w:rsid w:val="00E14D05"/>
    <w:rsid w:val="00E158A5"/>
    <w:rsid w:val="00E15D5B"/>
    <w:rsid w:val="00E16804"/>
    <w:rsid w:val="00E16D8A"/>
    <w:rsid w:val="00E176F9"/>
    <w:rsid w:val="00E1777E"/>
    <w:rsid w:val="00E17819"/>
    <w:rsid w:val="00E178FA"/>
    <w:rsid w:val="00E21D59"/>
    <w:rsid w:val="00E223B5"/>
    <w:rsid w:val="00E2287D"/>
    <w:rsid w:val="00E22986"/>
    <w:rsid w:val="00E241AB"/>
    <w:rsid w:val="00E24481"/>
    <w:rsid w:val="00E24628"/>
    <w:rsid w:val="00E24641"/>
    <w:rsid w:val="00E24AB7"/>
    <w:rsid w:val="00E24BB0"/>
    <w:rsid w:val="00E24E6B"/>
    <w:rsid w:val="00E2617E"/>
    <w:rsid w:val="00E26EFA"/>
    <w:rsid w:val="00E300D9"/>
    <w:rsid w:val="00E30320"/>
    <w:rsid w:val="00E304B1"/>
    <w:rsid w:val="00E32E4E"/>
    <w:rsid w:val="00E33229"/>
    <w:rsid w:val="00E333F5"/>
    <w:rsid w:val="00E33AD1"/>
    <w:rsid w:val="00E352FD"/>
    <w:rsid w:val="00E358E4"/>
    <w:rsid w:val="00E36487"/>
    <w:rsid w:val="00E36522"/>
    <w:rsid w:val="00E427C8"/>
    <w:rsid w:val="00E45037"/>
    <w:rsid w:val="00E4520E"/>
    <w:rsid w:val="00E45781"/>
    <w:rsid w:val="00E45D93"/>
    <w:rsid w:val="00E46381"/>
    <w:rsid w:val="00E46A2C"/>
    <w:rsid w:val="00E46CEE"/>
    <w:rsid w:val="00E46D20"/>
    <w:rsid w:val="00E46E46"/>
    <w:rsid w:val="00E46FA3"/>
    <w:rsid w:val="00E479BD"/>
    <w:rsid w:val="00E47BDA"/>
    <w:rsid w:val="00E506C0"/>
    <w:rsid w:val="00E50FDE"/>
    <w:rsid w:val="00E5197E"/>
    <w:rsid w:val="00E51CA9"/>
    <w:rsid w:val="00E51F97"/>
    <w:rsid w:val="00E5216C"/>
    <w:rsid w:val="00E5263F"/>
    <w:rsid w:val="00E52FDC"/>
    <w:rsid w:val="00E53C60"/>
    <w:rsid w:val="00E54B0B"/>
    <w:rsid w:val="00E54B5E"/>
    <w:rsid w:val="00E555A7"/>
    <w:rsid w:val="00E55EC6"/>
    <w:rsid w:val="00E56A3A"/>
    <w:rsid w:val="00E57177"/>
    <w:rsid w:val="00E57323"/>
    <w:rsid w:val="00E61140"/>
    <w:rsid w:val="00E6120F"/>
    <w:rsid w:val="00E618A3"/>
    <w:rsid w:val="00E623D2"/>
    <w:rsid w:val="00E6246F"/>
    <w:rsid w:val="00E625FB"/>
    <w:rsid w:val="00E62E72"/>
    <w:rsid w:val="00E643C3"/>
    <w:rsid w:val="00E64655"/>
    <w:rsid w:val="00E65942"/>
    <w:rsid w:val="00E659A2"/>
    <w:rsid w:val="00E659F6"/>
    <w:rsid w:val="00E65F88"/>
    <w:rsid w:val="00E66816"/>
    <w:rsid w:val="00E66876"/>
    <w:rsid w:val="00E66B36"/>
    <w:rsid w:val="00E67301"/>
    <w:rsid w:val="00E67AB4"/>
    <w:rsid w:val="00E704F8"/>
    <w:rsid w:val="00E70529"/>
    <w:rsid w:val="00E70591"/>
    <w:rsid w:val="00E70BAA"/>
    <w:rsid w:val="00E70C44"/>
    <w:rsid w:val="00E70CFF"/>
    <w:rsid w:val="00E71758"/>
    <w:rsid w:val="00E71CB9"/>
    <w:rsid w:val="00E72331"/>
    <w:rsid w:val="00E732B1"/>
    <w:rsid w:val="00E7437C"/>
    <w:rsid w:val="00E752B1"/>
    <w:rsid w:val="00E76D35"/>
    <w:rsid w:val="00E772AE"/>
    <w:rsid w:val="00E7786F"/>
    <w:rsid w:val="00E77F48"/>
    <w:rsid w:val="00E800C0"/>
    <w:rsid w:val="00E808F7"/>
    <w:rsid w:val="00E81109"/>
    <w:rsid w:val="00E823C7"/>
    <w:rsid w:val="00E8349F"/>
    <w:rsid w:val="00E8361C"/>
    <w:rsid w:val="00E83B14"/>
    <w:rsid w:val="00E83F24"/>
    <w:rsid w:val="00E84EFE"/>
    <w:rsid w:val="00E84F47"/>
    <w:rsid w:val="00E85CBC"/>
    <w:rsid w:val="00E86234"/>
    <w:rsid w:val="00E866D9"/>
    <w:rsid w:val="00E8689B"/>
    <w:rsid w:val="00E87B54"/>
    <w:rsid w:val="00E90247"/>
    <w:rsid w:val="00E90250"/>
    <w:rsid w:val="00E90AB2"/>
    <w:rsid w:val="00E90CA5"/>
    <w:rsid w:val="00E90CE5"/>
    <w:rsid w:val="00E911D4"/>
    <w:rsid w:val="00E91385"/>
    <w:rsid w:val="00E9195E"/>
    <w:rsid w:val="00E92A98"/>
    <w:rsid w:val="00E933DB"/>
    <w:rsid w:val="00E93523"/>
    <w:rsid w:val="00E938F6"/>
    <w:rsid w:val="00E93CA6"/>
    <w:rsid w:val="00E947EC"/>
    <w:rsid w:val="00E9556D"/>
    <w:rsid w:val="00E964E9"/>
    <w:rsid w:val="00E96F18"/>
    <w:rsid w:val="00E97BAA"/>
    <w:rsid w:val="00EA0032"/>
    <w:rsid w:val="00EA084B"/>
    <w:rsid w:val="00EA140B"/>
    <w:rsid w:val="00EA1870"/>
    <w:rsid w:val="00EA2024"/>
    <w:rsid w:val="00EA203D"/>
    <w:rsid w:val="00EA3DF0"/>
    <w:rsid w:val="00EA42A7"/>
    <w:rsid w:val="00EA474A"/>
    <w:rsid w:val="00EA4975"/>
    <w:rsid w:val="00EA5A92"/>
    <w:rsid w:val="00EA67E8"/>
    <w:rsid w:val="00EB1EFC"/>
    <w:rsid w:val="00EB295D"/>
    <w:rsid w:val="00EB3791"/>
    <w:rsid w:val="00EB3804"/>
    <w:rsid w:val="00EB4CA8"/>
    <w:rsid w:val="00EB4FEF"/>
    <w:rsid w:val="00EB5F81"/>
    <w:rsid w:val="00EB60CE"/>
    <w:rsid w:val="00EB6652"/>
    <w:rsid w:val="00EB6A3B"/>
    <w:rsid w:val="00EB6EB9"/>
    <w:rsid w:val="00EB767C"/>
    <w:rsid w:val="00EB7ECA"/>
    <w:rsid w:val="00EB7F86"/>
    <w:rsid w:val="00EC0A9D"/>
    <w:rsid w:val="00EC1539"/>
    <w:rsid w:val="00EC3059"/>
    <w:rsid w:val="00EC30B7"/>
    <w:rsid w:val="00EC33A6"/>
    <w:rsid w:val="00EC468A"/>
    <w:rsid w:val="00EC503B"/>
    <w:rsid w:val="00EC6416"/>
    <w:rsid w:val="00EC6696"/>
    <w:rsid w:val="00EC7058"/>
    <w:rsid w:val="00EC70D7"/>
    <w:rsid w:val="00EC71D3"/>
    <w:rsid w:val="00EC7E0C"/>
    <w:rsid w:val="00ED035A"/>
    <w:rsid w:val="00ED0ACB"/>
    <w:rsid w:val="00ED0F5A"/>
    <w:rsid w:val="00ED22BB"/>
    <w:rsid w:val="00ED2A0D"/>
    <w:rsid w:val="00ED34A7"/>
    <w:rsid w:val="00ED495C"/>
    <w:rsid w:val="00ED49F3"/>
    <w:rsid w:val="00ED5B11"/>
    <w:rsid w:val="00ED72BA"/>
    <w:rsid w:val="00EE1A11"/>
    <w:rsid w:val="00EE1E0C"/>
    <w:rsid w:val="00EE2294"/>
    <w:rsid w:val="00EE25A0"/>
    <w:rsid w:val="00EE3039"/>
    <w:rsid w:val="00EE36C9"/>
    <w:rsid w:val="00EE3C09"/>
    <w:rsid w:val="00EE5303"/>
    <w:rsid w:val="00EE5A1B"/>
    <w:rsid w:val="00EE5EF6"/>
    <w:rsid w:val="00EE604A"/>
    <w:rsid w:val="00EE615D"/>
    <w:rsid w:val="00EE699C"/>
    <w:rsid w:val="00EE6A8E"/>
    <w:rsid w:val="00EE6F2E"/>
    <w:rsid w:val="00EE7E18"/>
    <w:rsid w:val="00EF050A"/>
    <w:rsid w:val="00EF1701"/>
    <w:rsid w:val="00EF1B0E"/>
    <w:rsid w:val="00EF1CF8"/>
    <w:rsid w:val="00EF2C5A"/>
    <w:rsid w:val="00EF3A87"/>
    <w:rsid w:val="00EF3E88"/>
    <w:rsid w:val="00EF3E8A"/>
    <w:rsid w:val="00EF3FF2"/>
    <w:rsid w:val="00EF4C35"/>
    <w:rsid w:val="00EF5004"/>
    <w:rsid w:val="00EF5148"/>
    <w:rsid w:val="00EF5890"/>
    <w:rsid w:val="00EF5A38"/>
    <w:rsid w:val="00EF6A21"/>
    <w:rsid w:val="00EF6E07"/>
    <w:rsid w:val="00EF7878"/>
    <w:rsid w:val="00F00BA0"/>
    <w:rsid w:val="00F02040"/>
    <w:rsid w:val="00F02E62"/>
    <w:rsid w:val="00F046F9"/>
    <w:rsid w:val="00F04C56"/>
    <w:rsid w:val="00F06E5C"/>
    <w:rsid w:val="00F078CB"/>
    <w:rsid w:val="00F07C65"/>
    <w:rsid w:val="00F10E70"/>
    <w:rsid w:val="00F117AD"/>
    <w:rsid w:val="00F11DDC"/>
    <w:rsid w:val="00F11F85"/>
    <w:rsid w:val="00F12438"/>
    <w:rsid w:val="00F127DA"/>
    <w:rsid w:val="00F12FF9"/>
    <w:rsid w:val="00F1323D"/>
    <w:rsid w:val="00F134B9"/>
    <w:rsid w:val="00F13815"/>
    <w:rsid w:val="00F138DB"/>
    <w:rsid w:val="00F13A88"/>
    <w:rsid w:val="00F140FF"/>
    <w:rsid w:val="00F1425D"/>
    <w:rsid w:val="00F14539"/>
    <w:rsid w:val="00F14642"/>
    <w:rsid w:val="00F14955"/>
    <w:rsid w:val="00F152A5"/>
    <w:rsid w:val="00F156A7"/>
    <w:rsid w:val="00F15F30"/>
    <w:rsid w:val="00F1601D"/>
    <w:rsid w:val="00F1665C"/>
    <w:rsid w:val="00F16775"/>
    <w:rsid w:val="00F17159"/>
    <w:rsid w:val="00F178E5"/>
    <w:rsid w:val="00F17C98"/>
    <w:rsid w:val="00F20F25"/>
    <w:rsid w:val="00F21831"/>
    <w:rsid w:val="00F2246B"/>
    <w:rsid w:val="00F23FC4"/>
    <w:rsid w:val="00F246E4"/>
    <w:rsid w:val="00F25050"/>
    <w:rsid w:val="00F25245"/>
    <w:rsid w:val="00F266C6"/>
    <w:rsid w:val="00F2677A"/>
    <w:rsid w:val="00F31720"/>
    <w:rsid w:val="00F32AC3"/>
    <w:rsid w:val="00F33CDF"/>
    <w:rsid w:val="00F34945"/>
    <w:rsid w:val="00F35118"/>
    <w:rsid w:val="00F35610"/>
    <w:rsid w:val="00F358F8"/>
    <w:rsid w:val="00F36BAC"/>
    <w:rsid w:val="00F3700A"/>
    <w:rsid w:val="00F378D0"/>
    <w:rsid w:val="00F37C24"/>
    <w:rsid w:val="00F40160"/>
    <w:rsid w:val="00F428F1"/>
    <w:rsid w:val="00F42EC0"/>
    <w:rsid w:val="00F43E17"/>
    <w:rsid w:val="00F44449"/>
    <w:rsid w:val="00F44EED"/>
    <w:rsid w:val="00F44F79"/>
    <w:rsid w:val="00F45102"/>
    <w:rsid w:val="00F455BB"/>
    <w:rsid w:val="00F459E8"/>
    <w:rsid w:val="00F45E9C"/>
    <w:rsid w:val="00F467B2"/>
    <w:rsid w:val="00F474CE"/>
    <w:rsid w:val="00F47E67"/>
    <w:rsid w:val="00F5010F"/>
    <w:rsid w:val="00F502C8"/>
    <w:rsid w:val="00F50715"/>
    <w:rsid w:val="00F5208C"/>
    <w:rsid w:val="00F53159"/>
    <w:rsid w:val="00F5384F"/>
    <w:rsid w:val="00F54608"/>
    <w:rsid w:val="00F54B73"/>
    <w:rsid w:val="00F559DD"/>
    <w:rsid w:val="00F55E43"/>
    <w:rsid w:val="00F56004"/>
    <w:rsid w:val="00F56800"/>
    <w:rsid w:val="00F569FB"/>
    <w:rsid w:val="00F57AF0"/>
    <w:rsid w:val="00F60DF6"/>
    <w:rsid w:val="00F61935"/>
    <w:rsid w:val="00F61CA0"/>
    <w:rsid w:val="00F629F4"/>
    <w:rsid w:val="00F639F9"/>
    <w:rsid w:val="00F64B05"/>
    <w:rsid w:val="00F65080"/>
    <w:rsid w:val="00F65232"/>
    <w:rsid w:val="00F66205"/>
    <w:rsid w:val="00F6683A"/>
    <w:rsid w:val="00F66896"/>
    <w:rsid w:val="00F71080"/>
    <w:rsid w:val="00F71140"/>
    <w:rsid w:val="00F722D3"/>
    <w:rsid w:val="00F7250E"/>
    <w:rsid w:val="00F7290A"/>
    <w:rsid w:val="00F73FEC"/>
    <w:rsid w:val="00F746C1"/>
    <w:rsid w:val="00F75638"/>
    <w:rsid w:val="00F75724"/>
    <w:rsid w:val="00F758C4"/>
    <w:rsid w:val="00F76BAC"/>
    <w:rsid w:val="00F77305"/>
    <w:rsid w:val="00F774BE"/>
    <w:rsid w:val="00F77E16"/>
    <w:rsid w:val="00F80AD8"/>
    <w:rsid w:val="00F81006"/>
    <w:rsid w:val="00F81848"/>
    <w:rsid w:val="00F8194B"/>
    <w:rsid w:val="00F8554D"/>
    <w:rsid w:val="00F85AC2"/>
    <w:rsid w:val="00F85AE7"/>
    <w:rsid w:val="00F86528"/>
    <w:rsid w:val="00F867EA"/>
    <w:rsid w:val="00F86AB3"/>
    <w:rsid w:val="00F871D8"/>
    <w:rsid w:val="00F8726D"/>
    <w:rsid w:val="00F87517"/>
    <w:rsid w:val="00F87B19"/>
    <w:rsid w:val="00F901BF"/>
    <w:rsid w:val="00F90479"/>
    <w:rsid w:val="00F92371"/>
    <w:rsid w:val="00F923BD"/>
    <w:rsid w:val="00F92980"/>
    <w:rsid w:val="00F92A00"/>
    <w:rsid w:val="00F93D5E"/>
    <w:rsid w:val="00F94BD3"/>
    <w:rsid w:val="00F95EF7"/>
    <w:rsid w:val="00F97865"/>
    <w:rsid w:val="00F97DBA"/>
    <w:rsid w:val="00FA0370"/>
    <w:rsid w:val="00FA0961"/>
    <w:rsid w:val="00FA1970"/>
    <w:rsid w:val="00FA1A56"/>
    <w:rsid w:val="00FA281B"/>
    <w:rsid w:val="00FA4816"/>
    <w:rsid w:val="00FA4C5F"/>
    <w:rsid w:val="00FA4DBC"/>
    <w:rsid w:val="00FA5563"/>
    <w:rsid w:val="00FA67AA"/>
    <w:rsid w:val="00FA7BF3"/>
    <w:rsid w:val="00FB0435"/>
    <w:rsid w:val="00FB045F"/>
    <w:rsid w:val="00FB0BAD"/>
    <w:rsid w:val="00FB0CB5"/>
    <w:rsid w:val="00FB0D0E"/>
    <w:rsid w:val="00FB15AA"/>
    <w:rsid w:val="00FB1BE4"/>
    <w:rsid w:val="00FB2111"/>
    <w:rsid w:val="00FB2624"/>
    <w:rsid w:val="00FB41FB"/>
    <w:rsid w:val="00FB473D"/>
    <w:rsid w:val="00FB47BC"/>
    <w:rsid w:val="00FB5829"/>
    <w:rsid w:val="00FB60EE"/>
    <w:rsid w:val="00FB65BA"/>
    <w:rsid w:val="00FB6DBC"/>
    <w:rsid w:val="00FC007F"/>
    <w:rsid w:val="00FC1975"/>
    <w:rsid w:val="00FC1D10"/>
    <w:rsid w:val="00FC1E80"/>
    <w:rsid w:val="00FC21CA"/>
    <w:rsid w:val="00FC2ECC"/>
    <w:rsid w:val="00FC4052"/>
    <w:rsid w:val="00FC40ED"/>
    <w:rsid w:val="00FC4B18"/>
    <w:rsid w:val="00FC5447"/>
    <w:rsid w:val="00FC59D9"/>
    <w:rsid w:val="00FC6495"/>
    <w:rsid w:val="00FC65AC"/>
    <w:rsid w:val="00FC66A8"/>
    <w:rsid w:val="00FC7BBD"/>
    <w:rsid w:val="00FC7BF4"/>
    <w:rsid w:val="00FD0398"/>
    <w:rsid w:val="00FD06C3"/>
    <w:rsid w:val="00FD0886"/>
    <w:rsid w:val="00FD16CC"/>
    <w:rsid w:val="00FD22AF"/>
    <w:rsid w:val="00FD24D6"/>
    <w:rsid w:val="00FD3C7F"/>
    <w:rsid w:val="00FD479C"/>
    <w:rsid w:val="00FD48C1"/>
    <w:rsid w:val="00FD5A0B"/>
    <w:rsid w:val="00FD5E0A"/>
    <w:rsid w:val="00FD5F79"/>
    <w:rsid w:val="00FD6DDC"/>
    <w:rsid w:val="00FD7014"/>
    <w:rsid w:val="00FD7333"/>
    <w:rsid w:val="00FD73F5"/>
    <w:rsid w:val="00FD751D"/>
    <w:rsid w:val="00FD7EDC"/>
    <w:rsid w:val="00FE03A1"/>
    <w:rsid w:val="00FE05BF"/>
    <w:rsid w:val="00FE0703"/>
    <w:rsid w:val="00FE1391"/>
    <w:rsid w:val="00FE14D2"/>
    <w:rsid w:val="00FE1D02"/>
    <w:rsid w:val="00FE28BE"/>
    <w:rsid w:val="00FE4CC5"/>
    <w:rsid w:val="00FE557D"/>
    <w:rsid w:val="00FE599F"/>
    <w:rsid w:val="00FE5BB8"/>
    <w:rsid w:val="00FF0F68"/>
    <w:rsid w:val="00FF11D0"/>
    <w:rsid w:val="00FF1292"/>
    <w:rsid w:val="00FF422B"/>
    <w:rsid w:val="00FF496E"/>
    <w:rsid w:val="00FF5AF6"/>
    <w:rsid w:val="00FF5D91"/>
    <w:rsid w:val="00FF61E3"/>
    <w:rsid w:val="00FF692B"/>
    <w:rsid w:val="00FF7300"/>
    <w:rsid w:val="00FF7893"/>
    <w:rsid w:val="00FF7EC3"/>
    <w:rsid w:val="01929B1F"/>
    <w:rsid w:val="02D3651A"/>
    <w:rsid w:val="03EA437B"/>
    <w:rsid w:val="042C6320"/>
    <w:rsid w:val="05156AA5"/>
    <w:rsid w:val="05F80CC6"/>
    <w:rsid w:val="0661D605"/>
    <w:rsid w:val="07293A4B"/>
    <w:rsid w:val="073A1561"/>
    <w:rsid w:val="07D01D42"/>
    <w:rsid w:val="0BC38490"/>
    <w:rsid w:val="0C2DFB5E"/>
    <w:rsid w:val="0C5346C1"/>
    <w:rsid w:val="0C8581A7"/>
    <w:rsid w:val="0C93D5B6"/>
    <w:rsid w:val="0D3E4A4A"/>
    <w:rsid w:val="0D69206D"/>
    <w:rsid w:val="0DE20C4B"/>
    <w:rsid w:val="0ED6FAAB"/>
    <w:rsid w:val="0EF467B7"/>
    <w:rsid w:val="0F6929B4"/>
    <w:rsid w:val="0FC7F1E7"/>
    <w:rsid w:val="0FEA187A"/>
    <w:rsid w:val="111836FE"/>
    <w:rsid w:val="11920080"/>
    <w:rsid w:val="12405036"/>
    <w:rsid w:val="12789644"/>
    <w:rsid w:val="13A9482E"/>
    <w:rsid w:val="13B96B22"/>
    <w:rsid w:val="13DF5F6C"/>
    <w:rsid w:val="145801B4"/>
    <w:rsid w:val="1565632E"/>
    <w:rsid w:val="162E49C6"/>
    <w:rsid w:val="1654C135"/>
    <w:rsid w:val="165B7D6D"/>
    <w:rsid w:val="176CE51E"/>
    <w:rsid w:val="18B2BAEA"/>
    <w:rsid w:val="18B72436"/>
    <w:rsid w:val="1A15B3FD"/>
    <w:rsid w:val="1BEBF429"/>
    <w:rsid w:val="1D954A4C"/>
    <w:rsid w:val="1E7947F1"/>
    <w:rsid w:val="227D3CCF"/>
    <w:rsid w:val="22D123CF"/>
    <w:rsid w:val="23B5DD08"/>
    <w:rsid w:val="257427FD"/>
    <w:rsid w:val="26E1FBD9"/>
    <w:rsid w:val="29396632"/>
    <w:rsid w:val="293F7428"/>
    <w:rsid w:val="2ACD166E"/>
    <w:rsid w:val="2D73E02A"/>
    <w:rsid w:val="2DA9D917"/>
    <w:rsid w:val="2F37C077"/>
    <w:rsid w:val="301AE8A1"/>
    <w:rsid w:val="3166CD02"/>
    <w:rsid w:val="32C2D078"/>
    <w:rsid w:val="32E01FD2"/>
    <w:rsid w:val="334195C4"/>
    <w:rsid w:val="33B73729"/>
    <w:rsid w:val="33D99FE1"/>
    <w:rsid w:val="34032086"/>
    <w:rsid w:val="3412B97E"/>
    <w:rsid w:val="36A6DB73"/>
    <w:rsid w:val="379BF0A1"/>
    <w:rsid w:val="386D626A"/>
    <w:rsid w:val="38B37CCF"/>
    <w:rsid w:val="38F91466"/>
    <w:rsid w:val="3B3F2D7A"/>
    <w:rsid w:val="3D49A0E3"/>
    <w:rsid w:val="3EB9B421"/>
    <w:rsid w:val="3EDBBDFA"/>
    <w:rsid w:val="3F8161A1"/>
    <w:rsid w:val="40367EA2"/>
    <w:rsid w:val="4083DF4C"/>
    <w:rsid w:val="40DC9C68"/>
    <w:rsid w:val="41FFCFED"/>
    <w:rsid w:val="42C8B58A"/>
    <w:rsid w:val="43142C57"/>
    <w:rsid w:val="44462747"/>
    <w:rsid w:val="4450B678"/>
    <w:rsid w:val="46301655"/>
    <w:rsid w:val="464ECE58"/>
    <w:rsid w:val="4672F361"/>
    <w:rsid w:val="46843863"/>
    <w:rsid w:val="4688191B"/>
    <w:rsid w:val="4715F28F"/>
    <w:rsid w:val="471ACA13"/>
    <w:rsid w:val="476E03CC"/>
    <w:rsid w:val="49220522"/>
    <w:rsid w:val="49718A04"/>
    <w:rsid w:val="4B6E024D"/>
    <w:rsid w:val="4B7D9B45"/>
    <w:rsid w:val="4C6ED718"/>
    <w:rsid w:val="4C7FCD42"/>
    <w:rsid w:val="4CED3E1F"/>
    <w:rsid w:val="4D22F275"/>
    <w:rsid w:val="4FED245C"/>
    <w:rsid w:val="50C5894B"/>
    <w:rsid w:val="5253D201"/>
    <w:rsid w:val="5275C80D"/>
    <w:rsid w:val="52A5ECBD"/>
    <w:rsid w:val="53A0551E"/>
    <w:rsid w:val="53FF7A71"/>
    <w:rsid w:val="552F582A"/>
    <w:rsid w:val="56814C45"/>
    <w:rsid w:val="5A80D62C"/>
    <w:rsid w:val="5E0BC72E"/>
    <w:rsid w:val="5E417B84"/>
    <w:rsid w:val="5F22ABC7"/>
    <w:rsid w:val="6087C480"/>
    <w:rsid w:val="60ABFFE3"/>
    <w:rsid w:val="630D43A4"/>
    <w:rsid w:val="6312FD56"/>
    <w:rsid w:val="6372C84D"/>
    <w:rsid w:val="63CA154F"/>
    <w:rsid w:val="642CC377"/>
    <w:rsid w:val="64E17B32"/>
    <w:rsid w:val="64FADDFB"/>
    <w:rsid w:val="67A9F2A0"/>
    <w:rsid w:val="68767312"/>
    <w:rsid w:val="6887DEF6"/>
    <w:rsid w:val="68A96AEF"/>
    <w:rsid w:val="69CE1C4D"/>
    <w:rsid w:val="69E5A87D"/>
    <w:rsid w:val="6A2F0022"/>
    <w:rsid w:val="6AEC7FDD"/>
    <w:rsid w:val="6AF1D41C"/>
    <w:rsid w:val="6CC65976"/>
    <w:rsid w:val="6DAC3166"/>
    <w:rsid w:val="6DC2F9C8"/>
    <w:rsid w:val="6DD4D4AD"/>
    <w:rsid w:val="71C5BFB6"/>
    <w:rsid w:val="72000F79"/>
    <w:rsid w:val="7257A665"/>
    <w:rsid w:val="72CC3BE7"/>
    <w:rsid w:val="72CCC87F"/>
    <w:rsid w:val="744D0810"/>
    <w:rsid w:val="7568D1BA"/>
    <w:rsid w:val="76747B43"/>
    <w:rsid w:val="76A5CEE3"/>
    <w:rsid w:val="79B2D205"/>
    <w:rsid w:val="79F0D888"/>
    <w:rsid w:val="7A09D975"/>
    <w:rsid w:val="7A8BB424"/>
    <w:rsid w:val="7A96D654"/>
    <w:rsid w:val="7ADE4A22"/>
    <w:rsid w:val="7B19B859"/>
    <w:rsid w:val="7B3D1874"/>
    <w:rsid w:val="7BED69C7"/>
    <w:rsid w:val="7DA5B445"/>
    <w:rsid w:val="7E2676DF"/>
    <w:rsid w:val="7F89E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A9A0119D-E186-408A-B194-2E090A83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3DB"/>
  </w:style>
  <w:style w:type="paragraph" w:styleId="Heading1">
    <w:name w:val="heading 1"/>
    <w:basedOn w:val="Normal"/>
    <w:next w:val="Normal"/>
    <w:link w:val="Heading1Char"/>
    <w:uiPriority w:val="9"/>
    <w:qFormat/>
    <w:rsid w:val="00F85AE7"/>
    <w:pPr>
      <w:numPr>
        <w:numId w:val="4"/>
      </w:numPr>
      <w:overflowPunct w:val="0"/>
      <w:autoSpaceDE w:val="0"/>
      <w:autoSpaceDN w:val="0"/>
      <w:adjustRightInd w:val="0"/>
      <w:spacing w:after="0" w:line="288" w:lineRule="auto"/>
      <w:jc w:val="both"/>
      <w:textAlignment w:val="baseline"/>
      <w:outlineLvl w:val="0"/>
    </w:pPr>
    <w:rPr>
      <w:rFonts w:ascii="Times New Roman" w:eastAsia="Times New Roman" w:hAnsi="Times New Roman" w:cs="Times New Roman"/>
      <w:kern w:val="28"/>
      <w:szCs w:val="20"/>
    </w:rPr>
  </w:style>
  <w:style w:type="paragraph" w:styleId="Heading2">
    <w:name w:val="heading 2"/>
    <w:basedOn w:val="Normal"/>
    <w:next w:val="Normal"/>
    <w:link w:val="Heading2Char"/>
    <w:uiPriority w:val="9"/>
    <w:qFormat/>
    <w:rsid w:val="00F85AE7"/>
    <w:pPr>
      <w:numPr>
        <w:ilvl w:val="1"/>
        <w:numId w:val="4"/>
      </w:numPr>
      <w:overflowPunct w:val="0"/>
      <w:autoSpaceDE w:val="0"/>
      <w:autoSpaceDN w:val="0"/>
      <w:adjustRightInd w:val="0"/>
      <w:spacing w:after="0" w:line="288" w:lineRule="auto"/>
      <w:ind w:left="720" w:hanging="720"/>
      <w:jc w:val="both"/>
      <w:textAlignment w:val="baseline"/>
      <w:outlineLvl w:val="1"/>
    </w:pPr>
    <w:rPr>
      <w:rFonts w:ascii="Times New Roman" w:eastAsia="Times New Roman" w:hAnsi="Times New Roman" w:cs="Times New Roman"/>
      <w:szCs w:val="20"/>
    </w:rPr>
  </w:style>
  <w:style w:type="paragraph" w:styleId="Heading3">
    <w:name w:val="heading 3"/>
    <w:basedOn w:val="Normal"/>
    <w:next w:val="Normal"/>
    <w:link w:val="Heading3Char"/>
    <w:uiPriority w:val="9"/>
    <w:qFormat/>
    <w:rsid w:val="00F85AE7"/>
    <w:pPr>
      <w:numPr>
        <w:ilvl w:val="2"/>
        <w:numId w:val="4"/>
      </w:numPr>
      <w:overflowPunct w:val="0"/>
      <w:autoSpaceDE w:val="0"/>
      <w:autoSpaceDN w:val="0"/>
      <w:adjustRightInd w:val="0"/>
      <w:spacing w:after="0" w:line="288" w:lineRule="auto"/>
      <w:ind w:left="720" w:hanging="720"/>
      <w:jc w:val="both"/>
      <w:textAlignment w:val="baseline"/>
      <w:outlineLvl w:val="2"/>
    </w:pPr>
    <w:rPr>
      <w:rFonts w:ascii="Times New Roman" w:eastAsia="Times New Roman" w:hAnsi="Times New Roman" w:cs="Times New Roman"/>
      <w:szCs w:val="20"/>
    </w:rPr>
  </w:style>
  <w:style w:type="paragraph" w:styleId="Heading4">
    <w:name w:val="heading 4"/>
    <w:basedOn w:val="Normal"/>
    <w:next w:val="Normal"/>
    <w:link w:val="Heading4Char"/>
    <w:uiPriority w:val="9"/>
    <w:qFormat/>
    <w:rsid w:val="00F85AE7"/>
    <w:pPr>
      <w:numPr>
        <w:ilvl w:val="3"/>
        <w:numId w:val="4"/>
      </w:numPr>
      <w:overflowPunct w:val="0"/>
      <w:autoSpaceDE w:val="0"/>
      <w:autoSpaceDN w:val="0"/>
      <w:adjustRightInd w:val="0"/>
      <w:spacing w:after="0" w:line="288" w:lineRule="auto"/>
      <w:ind w:left="720" w:hanging="720"/>
      <w:jc w:val="both"/>
      <w:textAlignment w:val="baseline"/>
      <w:outlineLvl w:val="3"/>
    </w:pPr>
    <w:rPr>
      <w:rFonts w:ascii="Times New Roman" w:eastAsia="Times New Roman" w:hAnsi="Times New Roman" w:cs="Times New Roman"/>
      <w:szCs w:val="20"/>
    </w:rPr>
  </w:style>
  <w:style w:type="paragraph" w:styleId="Heading5">
    <w:name w:val="heading 5"/>
    <w:basedOn w:val="Normal"/>
    <w:next w:val="Normal"/>
    <w:link w:val="Heading5Char"/>
    <w:uiPriority w:val="9"/>
    <w:qFormat/>
    <w:rsid w:val="00F85AE7"/>
    <w:pPr>
      <w:numPr>
        <w:ilvl w:val="4"/>
        <w:numId w:val="4"/>
      </w:numPr>
      <w:overflowPunct w:val="0"/>
      <w:autoSpaceDE w:val="0"/>
      <w:autoSpaceDN w:val="0"/>
      <w:adjustRightInd w:val="0"/>
      <w:spacing w:after="0" w:line="288" w:lineRule="auto"/>
      <w:ind w:left="720" w:hanging="720"/>
      <w:jc w:val="both"/>
      <w:textAlignment w:val="baseline"/>
      <w:outlineLvl w:val="4"/>
    </w:pPr>
    <w:rPr>
      <w:rFonts w:ascii="Times New Roman" w:eastAsia="Times New Roman" w:hAnsi="Times New Roman" w:cs="Times New Roman"/>
      <w:szCs w:val="20"/>
    </w:rPr>
  </w:style>
  <w:style w:type="paragraph" w:styleId="Heading6">
    <w:name w:val="heading 6"/>
    <w:basedOn w:val="Normal"/>
    <w:next w:val="Normal"/>
    <w:link w:val="Heading6Char"/>
    <w:uiPriority w:val="9"/>
    <w:qFormat/>
    <w:rsid w:val="00F85AE7"/>
    <w:pPr>
      <w:numPr>
        <w:ilvl w:val="5"/>
        <w:numId w:val="4"/>
      </w:numPr>
      <w:overflowPunct w:val="0"/>
      <w:autoSpaceDE w:val="0"/>
      <w:autoSpaceDN w:val="0"/>
      <w:adjustRightInd w:val="0"/>
      <w:spacing w:after="0" w:line="288" w:lineRule="auto"/>
      <w:ind w:left="720" w:hanging="720"/>
      <w:jc w:val="both"/>
      <w:textAlignment w:val="baseline"/>
      <w:outlineLvl w:val="5"/>
    </w:pPr>
    <w:rPr>
      <w:rFonts w:ascii="Times New Roman" w:eastAsia="Times New Roman" w:hAnsi="Times New Roman" w:cs="Times New Roman"/>
      <w:szCs w:val="20"/>
    </w:rPr>
  </w:style>
  <w:style w:type="paragraph" w:styleId="Heading7">
    <w:name w:val="heading 7"/>
    <w:basedOn w:val="Normal"/>
    <w:next w:val="Normal"/>
    <w:link w:val="Heading7Char"/>
    <w:uiPriority w:val="9"/>
    <w:qFormat/>
    <w:rsid w:val="00F85AE7"/>
    <w:pPr>
      <w:numPr>
        <w:ilvl w:val="6"/>
        <w:numId w:val="4"/>
      </w:numPr>
      <w:overflowPunct w:val="0"/>
      <w:autoSpaceDE w:val="0"/>
      <w:autoSpaceDN w:val="0"/>
      <w:adjustRightInd w:val="0"/>
      <w:spacing w:after="0" w:line="288" w:lineRule="auto"/>
      <w:ind w:left="720" w:hanging="720"/>
      <w:jc w:val="both"/>
      <w:textAlignment w:val="baseline"/>
      <w:outlineLvl w:val="6"/>
    </w:pPr>
    <w:rPr>
      <w:rFonts w:ascii="Times New Roman" w:eastAsia="Times New Roman" w:hAnsi="Times New Roman" w:cs="Times New Roman"/>
      <w:szCs w:val="20"/>
    </w:rPr>
  </w:style>
  <w:style w:type="paragraph" w:styleId="Heading8">
    <w:name w:val="heading 8"/>
    <w:basedOn w:val="Normal"/>
    <w:next w:val="Normal"/>
    <w:link w:val="Heading8Char"/>
    <w:uiPriority w:val="9"/>
    <w:qFormat/>
    <w:rsid w:val="00F85AE7"/>
    <w:pPr>
      <w:numPr>
        <w:ilvl w:val="7"/>
        <w:numId w:val="4"/>
      </w:numPr>
      <w:overflowPunct w:val="0"/>
      <w:autoSpaceDE w:val="0"/>
      <w:autoSpaceDN w:val="0"/>
      <w:adjustRightInd w:val="0"/>
      <w:spacing w:after="0" w:line="288" w:lineRule="auto"/>
      <w:ind w:left="720" w:hanging="720"/>
      <w:jc w:val="both"/>
      <w:textAlignment w:val="baseline"/>
      <w:outlineLvl w:val="7"/>
    </w:pPr>
    <w:rPr>
      <w:rFonts w:ascii="Times New Roman" w:eastAsia="Times New Roman" w:hAnsi="Times New Roman" w:cs="Times New Roman"/>
      <w:szCs w:val="20"/>
    </w:rPr>
  </w:style>
  <w:style w:type="paragraph" w:styleId="Heading9">
    <w:name w:val="heading 9"/>
    <w:basedOn w:val="Normal"/>
    <w:next w:val="Normal"/>
    <w:link w:val="Heading9Char"/>
    <w:uiPriority w:val="9"/>
    <w:qFormat/>
    <w:rsid w:val="00F85AE7"/>
    <w:pPr>
      <w:numPr>
        <w:ilvl w:val="8"/>
        <w:numId w:val="4"/>
      </w:numPr>
      <w:overflowPunct w:val="0"/>
      <w:autoSpaceDE w:val="0"/>
      <w:autoSpaceDN w:val="0"/>
      <w:adjustRightInd w:val="0"/>
      <w:spacing w:after="0" w:line="288" w:lineRule="auto"/>
      <w:ind w:left="720" w:hanging="720"/>
      <w:jc w:val="both"/>
      <w:textAlignment w:val="baseline"/>
      <w:outlineLvl w:val="8"/>
    </w:pPr>
    <w:rPr>
      <w:rFonts w:ascii="Times New Roman" w:eastAsia="Times New Roman" w:hAnsi="Times New Roman"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ypedudocumentcp">
    <w:name w:val="typedudocument_cp"/>
    <w:basedOn w:val="Normal"/>
    <w:rsid w:val="00B2797C"/>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titreobjetcp">
    <w:name w:val="titreobjet_cp"/>
    <w:basedOn w:val="Normal"/>
    <w:rsid w:val="00B2797C"/>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crossreferencecp">
    <w:name w:val="crossreference_cp"/>
    <w:basedOn w:val="Normal"/>
    <w:rsid w:val="00B2797C"/>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emission">
    <w:name w:val="emission"/>
    <w:basedOn w:val="Normal"/>
    <w:rsid w:val="00B2797C"/>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frenceinstitutionnelle">
    <w:name w:val="rfrenceinstitutionnelle"/>
    <w:basedOn w:val="Normal"/>
    <w:rsid w:val="00B2797C"/>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B279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97C"/>
    <w:rPr>
      <w:lang w:val="el-GR"/>
    </w:rPr>
  </w:style>
  <w:style w:type="paragraph" w:styleId="Footer">
    <w:name w:val="footer"/>
    <w:basedOn w:val="Normal"/>
    <w:link w:val="FooterChar"/>
    <w:uiPriority w:val="99"/>
    <w:unhideWhenUsed/>
    <w:rsid w:val="00B279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97C"/>
    <w:rPr>
      <w:lang w:val="el-GR"/>
    </w:rPr>
  </w:style>
  <w:style w:type="paragraph" w:customStyle="1" w:styleId="FooterCoverPage">
    <w:name w:val="Footer Cover Page"/>
    <w:basedOn w:val="Normal"/>
    <w:link w:val="FooterCoverPageChar"/>
    <w:rsid w:val="00B2797C"/>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B2797C"/>
    <w:rPr>
      <w:rFonts w:ascii="Times New Roman" w:hAnsi="Times New Roman" w:cs="Times New Roman"/>
      <w:sz w:val="24"/>
    </w:rPr>
  </w:style>
  <w:style w:type="paragraph" w:styleId="FootnoteText">
    <w:name w:val="footnote text"/>
    <w:basedOn w:val="Normal"/>
    <w:link w:val="FootnoteTextChar"/>
    <w:uiPriority w:val="99"/>
    <w:unhideWhenUsed/>
    <w:rsid w:val="00B2797C"/>
    <w:pPr>
      <w:spacing w:after="0" w:line="240" w:lineRule="auto"/>
    </w:pPr>
    <w:rPr>
      <w:sz w:val="20"/>
      <w:szCs w:val="20"/>
    </w:rPr>
  </w:style>
  <w:style w:type="character" w:customStyle="1" w:styleId="FootnoteTextChar">
    <w:name w:val="Footnote Text Char"/>
    <w:basedOn w:val="DefaultParagraphFont"/>
    <w:link w:val="FootnoteText"/>
    <w:uiPriority w:val="99"/>
    <w:rsid w:val="00B2797C"/>
    <w:rPr>
      <w:sz w:val="20"/>
      <w:szCs w:val="20"/>
      <w:lang w:val="el-GR"/>
    </w:rPr>
  </w:style>
  <w:style w:type="character" w:styleId="FootnoteReference">
    <w:name w:val="footnote reference"/>
    <w:basedOn w:val="DefaultParagraphFont"/>
    <w:uiPriority w:val="99"/>
    <w:semiHidden/>
    <w:unhideWhenUsed/>
    <w:rsid w:val="00B2797C"/>
    <w:rPr>
      <w:vertAlign w:val="superscript"/>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rsid w:val="00433E2B"/>
    <w:pPr>
      <w:spacing w:after="0" w:line="240" w:lineRule="auto"/>
      <w:ind w:left="720"/>
      <w:contextualSpacing/>
    </w:pPr>
    <w:rPr>
      <w:rFonts w:eastAsiaTheme="minorEastAsia"/>
      <w:sz w:val="24"/>
      <w:szCs w:val="24"/>
      <w:lang w:eastAsia="fr-FR"/>
    </w:rPr>
  </w:style>
  <w:style w:type="table" w:styleId="TableGrid">
    <w:name w:val="Table Grid"/>
    <w:basedOn w:val="TableNormal"/>
    <w:uiPriority w:val="39"/>
    <w:rsid w:val="00433E2B"/>
    <w:pPr>
      <w:spacing w:after="0" w:line="240" w:lineRule="auto"/>
    </w:pPr>
    <w:rPr>
      <w:rFonts w:eastAsiaTheme="minorEastAsia"/>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locked/>
    <w:rsid w:val="00CC5C64"/>
    <w:rPr>
      <w:rFonts w:eastAsiaTheme="minorEastAsia"/>
      <w:sz w:val="24"/>
      <w:szCs w:val="24"/>
      <w:lang w:val="el-GR" w:eastAsia="fr-FR"/>
    </w:rPr>
  </w:style>
  <w:style w:type="character" w:styleId="Hyperlink">
    <w:name w:val="Hyperlink"/>
    <w:basedOn w:val="DefaultParagraphFont"/>
    <w:uiPriority w:val="99"/>
    <w:unhideWhenUsed/>
    <w:rsid w:val="008171A0"/>
    <w:rPr>
      <w:color w:val="0563C1" w:themeColor="hyperlink"/>
      <w:u w:val="single"/>
    </w:rPr>
  </w:style>
  <w:style w:type="character" w:styleId="CommentReference">
    <w:name w:val="annotation reference"/>
    <w:basedOn w:val="DefaultParagraphFont"/>
    <w:uiPriority w:val="99"/>
    <w:semiHidden/>
    <w:unhideWhenUsed/>
    <w:rsid w:val="008171A0"/>
    <w:rPr>
      <w:sz w:val="16"/>
      <w:szCs w:val="16"/>
    </w:rPr>
  </w:style>
  <w:style w:type="paragraph" w:styleId="CommentText">
    <w:name w:val="annotation text"/>
    <w:basedOn w:val="Normal"/>
    <w:link w:val="CommentTextChar"/>
    <w:uiPriority w:val="99"/>
    <w:unhideWhenUsed/>
    <w:rsid w:val="008171A0"/>
    <w:pPr>
      <w:spacing w:after="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8171A0"/>
    <w:rPr>
      <w:rFonts w:ascii="Calibri" w:eastAsia="Calibri" w:hAnsi="Calibri" w:cs="Calibri"/>
      <w:sz w:val="20"/>
      <w:szCs w:val="20"/>
      <w:lang w:val="el-GR"/>
    </w:rPr>
  </w:style>
  <w:style w:type="paragraph" w:styleId="BalloonText">
    <w:name w:val="Balloon Text"/>
    <w:basedOn w:val="Normal"/>
    <w:link w:val="BalloonTextChar"/>
    <w:uiPriority w:val="99"/>
    <w:semiHidden/>
    <w:unhideWhenUsed/>
    <w:rsid w:val="008171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1A0"/>
    <w:rPr>
      <w:rFonts w:ascii="Segoe UI" w:hAnsi="Segoe UI" w:cs="Segoe UI"/>
      <w:sz w:val="18"/>
      <w:szCs w:val="18"/>
      <w:lang w:val="el-GR"/>
    </w:rPr>
  </w:style>
  <w:style w:type="character" w:styleId="Emphasis">
    <w:name w:val="Emphasis"/>
    <w:basedOn w:val="DefaultParagraphFont"/>
    <w:uiPriority w:val="20"/>
    <w:qFormat/>
    <w:rsid w:val="005F404E"/>
    <w:rPr>
      <w:i/>
      <w:iCs/>
    </w:rPr>
  </w:style>
  <w:style w:type="paragraph" w:styleId="CommentSubject">
    <w:name w:val="annotation subject"/>
    <w:basedOn w:val="CommentText"/>
    <w:next w:val="CommentText"/>
    <w:link w:val="CommentSubjectChar"/>
    <w:uiPriority w:val="99"/>
    <w:semiHidden/>
    <w:unhideWhenUsed/>
    <w:rsid w:val="00B86F0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86F07"/>
    <w:rPr>
      <w:rFonts w:ascii="Calibri" w:eastAsia="Calibri" w:hAnsi="Calibri" w:cs="Calibri"/>
      <w:b/>
      <w:bCs/>
      <w:sz w:val="20"/>
      <w:szCs w:val="20"/>
      <w:lang w:val="el-GR"/>
    </w:rPr>
  </w:style>
  <w:style w:type="paragraph" w:styleId="Revision">
    <w:name w:val="Revision"/>
    <w:hidden/>
    <w:uiPriority w:val="99"/>
    <w:semiHidden/>
    <w:rsid w:val="00D12293"/>
    <w:pPr>
      <w:spacing w:after="0" w:line="240" w:lineRule="auto"/>
    </w:pPr>
  </w:style>
  <w:style w:type="table" w:customStyle="1" w:styleId="TableGrid1">
    <w:name w:val="Table Grid1"/>
    <w:basedOn w:val="TableNormal"/>
    <w:next w:val="TableGrid"/>
    <w:uiPriority w:val="59"/>
    <w:rsid w:val="00AD7905"/>
    <w:pPr>
      <w:spacing w:after="0" w:line="240" w:lineRule="auto"/>
    </w:pPr>
    <w:rPr>
      <w:rFonts w:eastAsia="Times New Roman"/>
      <w:sz w:val="24"/>
      <w:szCs w:val="24"/>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85AE7"/>
    <w:rPr>
      <w:rFonts w:ascii="Times New Roman" w:eastAsia="Times New Roman" w:hAnsi="Times New Roman" w:cs="Times New Roman"/>
      <w:kern w:val="28"/>
      <w:szCs w:val="20"/>
      <w:lang w:val="el-GR"/>
    </w:rPr>
  </w:style>
  <w:style w:type="character" w:customStyle="1" w:styleId="Heading2Char">
    <w:name w:val="Heading 2 Char"/>
    <w:basedOn w:val="DefaultParagraphFont"/>
    <w:link w:val="Heading2"/>
    <w:uiPriority w:val="9"/>
    <w:rsid w:val="00F85AE7"/>
    <w:rPr>
      <w:rFonts w:ascii="Times New Roman" w:eastAsia="Times New Roman" w:hAnsi="Times New Roman" w:cs="Times New Roman"/>
      <w:szCs w:val="20"/>
      <w:lang w:val="el-GR"/>
    </w:rPr>
  </w:style>
  <w:style w:type="character" w:customStyle="1" w:styleId="Heading3Char">
    <w:name w:val="Heading 3 Char"/>
    <w:basedOn w:val="DefaultParagraphFont"/>
    <w:link w:val="Heading3"/>
    <w:uiPriority w:val="9"/>
    <w:rsid w:val="00F85AE7"/>
    <w:rPr>
      <w:rFonts w:ascii="Times New Roman" w:eastAsia="Times New Roman" w:hAnsi="Times New Roman" w:cs="Times New Roman"/>
      <w:szCs w:val="20"/>
      <w:lang w:val="el-GR"/>
    </w:rPr>
  </w:style>
  <w:style w:type="character" w:customStyle="1" w:styleId="Heading4Char">
    <w:name w:val="Heading 4 Char"/>
    <w:basedOn w:val="DefaultParagraphFont"/>
    <w:link w:val="Heading4"/>
    <w:uiPriority w:val="9"/>
    <w:rsid w:val="00F85AE7"/>
    <w:rPr>
      <w:rFonts w:ascii="Times New Roman" w:eastAsia="Times New Roman" w:hAnsi="Times New Roman" w:cs="Times New Roman"/>
      <w:szCs w:val="20"/>
      <w:lang w:val="el-GR"/>
    </w:rPr>
  </w:style>
  <w:style w:type="character" w:customStyle="1" w:styleId="Heading5Char">
    <w:name w:val="Heading 5 Char"/>
    <w:basedOn w:val="DefaultParagraphFont"/>
    <w:link w:val="Heading5"/>
    <w:uiPriority w:val="9"/>
    <w:rsid w:val="00F85AE7"/>
    <w:rPr>
      <w:rFonts w:ascii="Times New Roman" w:eastAsia="Times New Roman" w:hAnsi="Times New Roman" w:cs="Times New Roman"/>
      <w:szCs w:val="20"/>
      <w:lang w:val="el-GR"/>
    </w:rPr>
  </w:style>
  <w:style w:type="character" w:customStyle="1" w:styleId="Heading6Char">
    <w:name w:val="Heading 6 Char"/>
    <w:basedOn w:val="DefaultParagraphFont"/>
    <w:link w:val="Heading6"/>
    <w:uiPriority w:val="9"/>
    <w:rsid w:val="00F85AE7"/>
    <w:rPr>
      <w:rFonts w:ascii="Times New Roman" w:eastAsia="Times New Roman" w:hAnsi="Times New Roman" w:cs="Times New Roman"/>
      <w:szCs w:val="20"/>
      <w:lang w:val="el-GR"/>
    </w:rPr>
  </w:style>
  <w:style w:type="character" w:customStyle="1" w:styleId="Heading7Char">
    <w:name w:val="Heading 7 Char"/>
    <w:basedOn w:val="DefaultParagraphFont"/>
    <w:link w:val="Heading7"/>
    <w:uiPriority w:val="9"/>
    <w:rsid w:val="00F85AE7"/>
    <w:rPr>
      <w:rFonts w:ascii="Times New Roman" w:eastAsia="Times New Roman" w:hAnsi="Times New Roman" w:cs="Times New Roman"/>
      <w:szCs w:val="20"/>
      <w:lang w:val="el-GR"/>
    </w:rPr>
  </w:style>
  <w:style w:type="character" w:customStyle="1" w:styleId="Heading8Char">
    <w:name w:val="Heading 8 Char"/>
    <w:basedOn w:val="DefaultParagraphFont"/>
    <w:link w:val="Heading8"/>
    <w:uiPriority w:val="9"/>
    <w:rsid w:val="00F85AE7"/>
    <w:rPr>
      <w:rFonts w:ascii="Times New Roman" w:eastAsia="Times New Roman" w:hAnsi="Times New Roman" w:cs="Times New Roman"/>
      <w:szCs w:val="20"/>
      <w:lang w:val="el-GR"/>
    </w:rPr>
  </w:style>
  <w:style w:type="character" w:customStyle="1" w:styleId="Heading9Char">
    <w:name w:val="Heading 9 Char"/>
    <w:basedOn w:val="DefaultParagraphFont"/>
    <w:link w:val="Heading9"/>
    <w:uiPriority w:val="9"/>
    <w:rsid w:val="00F85AE7"/>
    <w:rPr>
      <w:rFonts w:ascii="Times New Roman" w:eastAsia="Times New Roman" w:hAnsi="Times New Roman" w:cs="Times New Roman"/>
      <w:szCs w:val="20"/>
      <w:lang w:val="el-GR"/>
    </w:rPr>
  </w:style>
  <w:style w:type="paragraph" w:customStyle="1" w:styleId="Footnote">
    <w:name w:val="Footnote"/>
    <w:basedOn w:val="Footer"/>
    <w:rsid w:val="00270CAE"/>
  </w:style>
  <w:style w:type="paragraph" w:customStyle="1" w:styleId="Normaltext">
    <w:name w:val="Normal_text"/>
    <w:basedOn w:val="Normal"/>
    <w:link w:val="NormaltextChar"/>
    <w:qFormat/>
    <w:rsid w:val="00A32A98"/>
    <w:pPr>
      <w:spacing w:before="120" w:after="0" w:line="240" w:lineRule="auto"/>
      <w:jc w:val="both"/>
    </w:pPr>
    <w:rPr>
      <w:rFonts w:ascii="Calibri" w:eastAsia="Calibri" w:hAnsi="Calibri" w:cs="Times New Roman"/>
    </w:rPr>
  </w:style>
  <w:style w:type="character" w:customStyle="1" w:styleId="NormaltextChar">
    <w:name w:val="Normal_text Char"/>
    <w:link w:val="Normaltext"/>
    <w:rsid w:val="00A32A98"/>
    <w:rPr>
      <w:rFonts w:ascii="Calibri" w:eastAsia="Calibri" w:hAnsi="Calibri" w:cs="Times New Roman"/>
      <w:lang w:val="el-GR"/>
    </w:rPr>
  </w:style>
  <w:style w:type="paragraph" w:customStyle="1" w:styleId="Default">
    <w:name w:val="Default"/>
    <w:rsid w:val="00D85F32"/>
    <w:pPr>
      <w:autoSpaceDE w:val="0"/>
      <w:autoSpaceDN w:val="0"/>
      <w:adjustRightInd w:val="0"/>
      <w:spacing w:after="0" w:line="240" w:lineRule="auto"/>
    </w:pPr>
    <w:rPr>
      <w:rFonts w:ascii="EUAlbertina" w:hAnsi="EUAlbertina" w:cs="EUAlbertina"/>
      <w:color w:val="000000"/>
      <w:sz w:val="24"/>
      <w:szCs w:val="24"/>
    </w:rPr>
  </w:style>
  <w:style w:type="character" w:styleId="FollowedHyperlink">
    <w:name w:val="FollowedHyperlink"/>
    <w:basedOn w:val="DefaultParagraphFont"/>
    <w:uiPriority w:val="99"/>
    <w:semiHidden/>
    <w:unhideWhenUsed/>
    <w:rsid w:val="006867AD"/>
    <w:rPr>
      <w:color w:val="954F72" w:themeColor="followedHyperlink"/>
      <w:u w:val="single"/>
    </w:rPr>
  </w:style>
  <w:style w:type="character" w:styleId="Strong">
    <w:name w:val="Strong"/>
    <w:basedOn w:val="DefaultParagraphFont"/>
    <w:uiPriority w:val="22"/>
    <w:qFormat/>
    <w:rsid w:val="00F61935"/>
    <w:rPr>
      <w:b/>
      <w:bCs/>
    </w:rPr>
  </w:style>
  <w:style w:type="paragraph" w:styleId="NormalWeb">
    <w:name w:val="Normal (Web)"/>
    <w:basedOn w:val="Normal"/>
    <w:uiPriority w:val="99"/>
    <w:unhideWhenUsed/>
    <w:rsid w:val="005D27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er">
    <w:name w:val="Marker"/>
    <w:basedOn w:val="DefaultParagraphFont"/>
    <w:rsid w:val="00F92A00"/>
    <w:rPr>
      <w:color w:val="0000FF"/>
      <w:shd w:val="clear" w:color="auto" w:fill="auto"/>
    </w:rPr>
  </w:style>
  <w:style w:type="paragraph" w:customStyle="1" w:styleId="Pagedecouverture">
    <w:name w:val="Page de couverture"/>
    <w:basedOn w:val="Normal"/>
    <w:next w:val="Normal"/>
    <w:rsid w:val="00F92A00"/>
    <w:pPr>
      <w:spacing w:after="0" w:line="240" w:lineRule="auto"/>
      <w:jc w:val="both"/>
    </w:pPr>
    <w:rPr>
      <w:rFonts w:ascii="Times New Roman" w:hAnsi="Times New Roman" w:cs="Times New Roman"/>
      <w:sz w:val="24"/>
    </w:rPr>
  </w:style>
  <w:style w:type="paragraph" w:customStyle="1" w:styleId="FooterSensitivity">
    <w:name w:val="Footer Sensitivity"/>
    <w:basedOn w:val="Normal"/>
    <w:link w:val="FooterSensitivityChar"/>
    <w:rsid w:val="00F92A00"/>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F92A00"/>
    <w:rPr>
      <w:rFonts w:ascii="Times New Roman" w:hAnsi="Times New Roman" w:cs="Times New Roman"/>
      <w:b/>
      <w:sz w:val="32"/>
    </w:rPr>
  </w:style>
  <w:style w:type="paragraph" w:customStyle="1" w:styleId="HeaderCoverPage">
    <w:name w:val="Header Cover Page"/>
    <w:basedOn w:val="Normal"/>
    <w:link w:val="HeaderCoverPageChar"/>
    <w:rsid w:val="00F92A00"/>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F92A00"/>
    <w:rPr>
      <w:rFonts w:ascii="Times New Roman" w:hAnsi="Times New Roman" w:cs="Times New Roman"/>
      <w:sz w:val="24"/>
    </w:rPr>
  </w:style>
  <w:style w:type="paragraph" w:customStyle="1" w:styleId="HeaderSensitivity">
    <w:name w:val="Header Sensitivity"/>
    <w:basedOn w:val="Normal"/>
    <w:link w:val="HeaderSensitivityChar"/>
    <w:rsid w:val="00F92A00"/>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F92A00"/>
    <w:rPr>
      <w:rFonts w:ascii="Times New Roman" w:hAnsi="Times New Roman" w:cs="Times New Roman"/>
      <w:b/>
      <w:sz w:val="32"/>
    </w:rPr>
  </w:style>
  <w:style w:type="paragraph" w:customStyle="1" w:styleId="HeaderSensitivityRight">
    <w:name w:val="Header Sensitivity Right"/>
    <w:basedOn w:val="Normal"/>
    <w:link w:val="HeaderSensitivityRightChar"/>
    <w:rsid w:val="00F92A00"/>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F92A00"/>
    <w:rPr>
      <w:rFonts w:ascii="Times New Roman" w:hAnsi="Times New Roman" w:cs="Times New Roman"/>
      <w:sz w:val="28"/>
    </w:rPr>
  </w:style>
  <w:style w:type="paragraph" w:styleId="ListBullet">
    <w:name w:val="List Bullet"/>
    <w:basedOn w:val="Normal"/>
    <w:autoRedefine/>
    <w:rsid w:val="00813242"/>
    <w:pPr>
      <w:spacing w:after="240" w:line="240" w:lineRule="auto"/>
      <w:jc w:val="both"/>
    </w:pPr>
    <w:rPr>
      <w:rFonts w:ascii="Times New Roman" w:eastAsia="Times New Roman" w:hAnsi="Times New Roman" w:cs="Times New Roman"/>
      <w:sz w:val="24"/>
      <w:szCs w:val="24"/>
    </w:rPr>
  </w:style>
  <w:style w:type="paragraph" w:customStyle="1" w:styleId="default0">
    <w:name w:val="default"/>
    <w:basedOn w:val="Normal"/>
    <w:uiPriority w:val="99"/>
    <w:rsid w:val="008B3015"/>
    <w:pPr>
      <w:autoSpaceDE w:val="0"/>
      <w:autoSpaceDN w:val="0"/>
      <w:spacing w:after="0" w:line="240" w:lineRule="auto"/>
    </w:pPr>
    <w:rPr>
      <w:rFonts w:ascii="EUAlbertina" w:hAnsi="EUAlbertina" w:cs="Calibri"/>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4791">
      <w:bodyDiv w:val="1"/>
      <w:marLeft w:val="0"/>
      <w:marRight w:val="0"/>
      <w:marTop w:val="0"/>
      <w:marBottom w:val="0"/>
      <w:divBdr>
        <w:top w:val="none" w:sz="0" w:space="0" w:color="auto"/>
        <w:left w:val="none" w:sz="0" w:space="0" w:color="auto"/>
        <w:bottom w:val="none" w:sz="0" w:space="0" w:color="auto"/>
        <w:right w:val="none" w:sz="0" w:space="0" w:color="auto"/>
      </w:divBdr>
    </w:div>
    <w:div w:id="57824676">
      <w:bodyDiv w:val="1"/>
      <w:marLeft w:val="0"/>
      <w:marRight w:val="0"/>
      <w:marTop w:val="0"/>
      <w:marBottom w:val="0"/>
      <w:divBdr>
        <w:top w:val="none" w:sz="0" w:space="0" w:color="auto"/>
        <w:left w:val="none" w:sz="0" w:space="0" w:color="auto"/>
        <w:bottom w:val="none" w:sz="0" w:space="0" w:color="auto"/>
        <w:right w:val="none" w:sz="0" w:space="0" w:color="auto"/>
      </w:divBdr>
    </w:div>
    <w:div w:id="67506217">
      <w:bodyDiv w:val="1"/>
      <w:marLeft w:val="0"/>
      <w:marRight w:val="0"/>
      <w:marTop w:val="0"/>
      <w:marBottom w:val="0"/>
      <w:divBdr>
        <w:top w:val="none" w:sz="0" w:space="0" w:color="auto"/>
        <w:left w:val="none" w:sz="0" w:space="0" w:color="auto"/>
        <w:bottom w:val="none" w:sz="0" w:space="0" w:color="auto"/>
        <w:right w:val="none" w:sz="0" w:space="0" w:color="auto"/>
      </w:divBdr>
    </w:div>
    <w:div w:id="68358004">
      <w:bodyDiv w:val="1"/>
      <w:marLeft w:val="0"/>
      <w:marRight w:val="0"/>
      <w:marTop w:val="0"/>
      <w:marBottom w:val="0"/>
      <w:divBdr>
        <w:top w:val="none" w:sz="0" w:space="0" w:color="auto"/>
        <w:left w:val="none" w:sz="0" w:space="0" w:color="auto"/>
        <w:bottom w:val="none" w:sz="0" w:space="0" w:color="auto"/>
        <w:right w:val="none" w:sz="0" w:space="0" w:color="auto"/>
      </w:divBdr>
    </w:div>
    <w:div w:id="76445965">
      <w:bodyDiv w:val="1"/>
      <w:marLeft w:val="0"/>
      <w:marRight w:val="0"/>
      <w:marTop w:val="0"/>
      <w:marBottom w:val="0"/>
      <w:divBdr>
        <w:top w:val="none" w:sz="0" w:space="0" w:color="auto"/>
        <w:left w:val="none" w:sz="0" w:space="0" w:color="auto"/>
        <w:bottom w:val="none" w:sz="0" w:space="0" w:color="auto"/>
        <w:right w:val="none" w:sz="0" w:space="0" w:color="auto"/>
      </w:divBdr>
    </w:div>
    <w:div w:id="177432994">
      <w:bodyDiv w:val="1"/>
      <w:marLeft w:val="0"/>
      <w:marRight w:val="0"/>
      <w:marTop w:val="0"/>
      <w:marBottom w:val="0"/>
      <w:divBdr>
        <w:top w:val="none" w:sz="0" w:space="0" w:color="auto"/>
        <w:left w:val="none" w:sz="0" w:space="0" w:color="auto"/>
        <w:bottom w:val="none" w:sz="0" w:space="0" w:color="auto"/>
        <w:right w:val="none" w:sz="0" w:space="0" w:color="auto"/>
      </w:divBdr>
    </w:div>
    <w:div w:id="202907235">
      <w:bodyDiv w:val="1"/>
      <w:marLeft w:val="0"/>
      <w:marRight w:val="0"/>
      <w:marTop w:val="0"/>
      <w:marBottom w:val="0"/>
      <w:divBdr>
        <w:top w:val="none" w:sz="0" w:space="0" w:color="auto"/>
        <w:left w:val="none" w:sz="0" w:space="0" w:color="auto"/>
        <w:bottom w:val="none" w:sz="0" w:space="0" w:color="auto"/>
        <w:right w:val="none" w:sz="0" w:space="0" w:color="auto"/>
      </w:divBdr>
    </w:div>
    <w:div w:id="210465016">
      <w:bodyDiv w:val="1"/>
      <w:marLeft w:val="0"/>
      <w:marRight w:val="0"/>
      <w:marTop w:val="0"/>
      <w:marBottom w:val="0"/>
      <w:divBdr>
        <w:top w:val="none" w:sz="0" w:space="0" w:color="auto"/>
        <w:left w:val="none" w:sz="0" w:space="0" w:color="auto"/>
        <w:bottom w:val="none" w:sz="0" w:space="0" w:color="auto"/>
        <w:right w:val="none" w:sz="0" w:space="0" w:color="auto"/>
      </w:divBdr>
    </w:div>
    <w:div w:id="240911624">
      <w:bodyDiv w:val="1"/>
      <w:marLeft w:val="0"/>
      <w:marRight w:val="0"/>
      <w:marTop w:val="0"/>
      <w:marBottom w:val="0"/>
      <w:divBdr>
        <w:top w:val="none" w:sz="0" w:space="0" w:color="auto"/>
        <w:left w:val="none" w:sz="0" w:space="0" w:color="auto"/>
        <w:bottom w:val="none" w:sz="0" w:space="0" w:color="auto"/>
        <w:right w:val="none" w:sz="0" w:space="0" w:color="auto"/>
      </w:divBdr>
    </w:div>
    <w:div w:id="274751117">
      <w:bodyDiv w:val="1"/>
      <w:marLeft w:val="0"/>
      <w:marRight w:val="0"/>
      <w:marTop w:val="0"/>
      <w:marBottom w:val="0"/>
      <w:divBdr>
        <w:top w:val="none" w:sz="0" w:space="0" w:color="auto"/>
        <w:left w:val="none" w:sz="0" w:space="0" w:color="auto"/>
        <w:bottom w:val="none" w:sz="0" w:space="0" w:color="auto"/>
        <w:right w:val="none" w:sz="0" w:space="0" w:color="auto"/>
      </w:divBdr>
    </w:div>
    <w:div w:id="275720447">
      <w:bodyDiv w:val="1"/>
      <w:marLeft w:val="0"/>
      <w:marRight w:val="0"/>
      <w:marTop w:val="0"/>
      <w:marBottom w:val="0"/>
      <w:divBdr>
        <w:top w:val="none" w:sz="0" w:space="0" w:color="auto"/>
        <w:left w:val="none" w:sz="0" w:space="0" w:color="auto"/>
        <w:bottom w:val="none" w:sz="0" w:space="0" w:color="auto"/>
        <w:right w:val="none" w:sz="0" w:space="0" w:color="auto"/>
      </w:divBdr>
    </w:div>
    <w:div w:id="277218509">
      <w:bodyDiv w:val="1"/>
      <w:marLeft w:val="0"/>
      <w:marRight w:val="0"/>
      <w:marTop w:val="0"/>
      <w:marBottom w:val="0"/>
      <w:divBdr>
        <w:top w:val="none" w:sz="0" w:space="0" w:color="auto"/>
        <w:left w:val="none" w:sz="0" w:space="0" w:color="auto"/>
        <w:bottom w:val="none" w:sz="0" w:space="0" w:color="auto"/>
        <w:right w:val="none" w:sz="0" w:space="0" w:color="auto"/>
      </w:divBdr>
    </w:div>
    <w:div w:id="306863840">
      <w:bodyDiv w:val="1"/>
      <w:marLeft w:val="0"/>
      <w:marRight w:val="0"/>
      <w:marTop w:val="0"/>
      <w:marBottom w:val="0"/>
      <w:divBdr>
        <w:top w:val="none" w:sz="0" w:space="0" w:color="auto"/>
        <w:left w:val="none" w:sz="0" w:space="0" w:color="auto"/>
        <w:bottom w:val="none" w:sz="0" w:space="0" w:color="auto"/>
        <w:right w:val="none" w:sz="0" w:space="0" w:color="auto"/>
      </w:divBdr>
    </w:div>
    <w:div w:id="308292170">
      <w:bodyDiv w:val="1"/>
      <w:marLeft w:val="0"/>
      <w:marRight w:val="0"/>
      <w:marTop w:val="0"/>
      <w:marBottom w:val="0"/>
      <w:divBdr>
        <w:top w:val="none" w:sz="0" w:space="0" w:color="auto"/>
        <w:left w:val="none" w:sz="0" w:space="0" w:color="auto"/>
        <w:bottom w:val="none" w:sz="0" w:space="0" w:color="auto"/>
        <w:right w:val="none" w:sz="0" w:space="0" w:color="auto"/>
      </w:divBdr>
    </w:div>
    <w:div w:id="311258825">
      <w:bodyDiv w:val="1"/>
      <w:marLeft w:val="0"/>
      <w:marRight w:val="0"/>
      <w:marTop w:val="0"/>
      <w:marBottom w:val="0"/>
      <w:divBdr>
        <w:top w:val="none" w:sz="0" w:space="0" w:color="auto"/>
        <w:left w:val="none" w:sz="0" w:space="0" w:color="auto"/>
        <w:bottom w:val="none" w:sz="0" w:space="0" w:color="auto"/>
        <w:right w:val="none" w:sz="0" w:space="0" w:color="auto"/>
      </w:divBdr>
    </w:div>
    <w:div w:id="350644326">
      <w:bodyDiv w:val="1"/>
      <w:marLeft w:val="0"/>
      <w:marRight w:val="0"/>
      <w:marTop w:val="0"/>
      <w:marBottom w:val="0"/>
      <w:divBdr>
        <w:top w:val="none" w:sz="0" w:space="0" w:color="auto"/>
        <w:left w:val="none" w:sz="0" w:space="0" w:color="auto"/>
        <w:bottom w:val="none" w:sz="0" w:space="0" w:color="auto"/>
        <w:right w:val="none" w:sz="0" w:space="0" w:color="auto"/>
      </w:divBdr>
    </w:div>
    <w:div w:id="365183058">
      <w:bodyDiv w:val="1"/>
      <w:marLeft w:val="0"/>
      <w:marRight w:val="0"/>
      <w:marTop w:val="0"/>
      <w:marBottom w:val="0"/>
      <w:divBdr>
        <w:top w:val="none" w:sz="0" w:space="0" w:color="auto"/>
        <w:left w:val="none" w:sz="0" w:space="0" w:color="auto"/>
        <w:bottom w:val="none" w:sz="0" w:space="0" w:color="auto"/>
        <w:right w:val="none" w:sz="0" w:space="0" w:color="auto"/>
      </w:divBdr>
    </w:div>
    <w:div w:id="381176971">
      <w:bodyDiv w:val="1"/>
      <w:marLeft w:val="0"/>
      <w:marRight w:val="0"/>
      <w:marTop w:val="0"/>
      <w:marBottom w:val="0"/>
      <w:divBdr>
        <w:top w:val="none" w:sz="0" w:space="0" w:color="auto"/>
        <w:left w:val="none" w:sz="0" w:space="0" w:color="auto"/>
        <w:bottom w:val="none" w:sz="0" w:space="0" w:color="auto"/>
        <w:right w:val="none" w:sz="0" w:space="0" w:color="auto"/>
      </w:divBdr>
    </w:div>
    <w:div w:id="385102056">
      <w:bodyDiv w:val="1"/>
      <w:marLeft w:val="0"/>
      <w:marRight w:val="0"/>
      <w:marTop w:val="0"/>
      <w:marBottom w:val="0"/>
      <w:divBdr>
        <w:top w:val="none" w:sz="0" w:space="0" w:color="auto"/>
        <w:left w:val="none" w:sz="0" w:space="0" w:color="auto"/>
        <w:bottom w:val="none" w:sz="0" w:space="0" w:color="auto"/>
        <w:right w:val="none" w:sz="0" w:space="0" w:color="auto"/>
      </w:divBdr>
    </w:div>
    <w:div w:id="418598884">
      <w:bodyDiv w:val="1"/>
      <w:marLeft w:val="0"/>
      <w:marRight w:val="0"/>
      <w:marTop w:val="0"/>
      <w:marBottom w:val="0"/>
      <w:divBdr>
        <w:top w:val="none" w:sz="0" w:space="0" w:color="auto"/>
        <w:left w:val="none" w:sz="0" w:space="0" w:color="auto"/>
        <w:bottom w:val="none" w:sz="0" w:space="0" w:color="auto"/>
        <w:right w:val="none" w:sz="0" w:space="0" w:color="auto"/>
      </w:divBdr>
    </w:div>
    <w:div w:id="449738346">
      <w:bodyDiv w:val="1"/>
      <w:marLeft w:val="0"/>
      <w:marRight w:val="0"/>
      <w:marTop w:val="0"/>
      <w:marBottom w:val="0"/>
      <w:divBdr>
        <w:top w:val="none" w:sz="0" w:space="0" w:color="auto"/>
        <w:left w:val="none" w:sz="0" w:space="0" w:color="auto"/>
        <w:bottom w:val="none" w:sz="0" w:space="0" w:color="auto"/>
        <w:right w:val="none" w:sz="0" w:space="0" w:color="auto"/>
      </w:divBdr>
    </w:div>
    <w:div w:id="543758374">
      <w:bodyDiv w:val="1"/>
      <w:marLeft w:val="0"/>
      <w:marRight w:val="0"/>
      <w:marTop w:val="0"/>
      <w:marBottom w:val="0"/>
      <w:divBdr>
        <w:top w:val="none" w:sz="0" w:space="0" w:color="auto"/>
        <w:left w:val="none" w:sz="0" w:space="0" w:color="auto"/>
        <w:bottom w:val="none" w:sz="0" w:space="0" w:color="auto"/>
        <w:right w:val="none" w:sz="0" w:space="0" w:color="auto"/>
      </w:divBdr>
    </w:div>
    <w:div w:id="547687571">
      <w:bodyDiv w:val="1"/>
      <w:marLeft w:val="0"/>
      <w:marRight w:val="0"/>
      <w:marTop w:val="0"/>
      <w:marBottom w:val="0"/>
      <w:divBdr>
        <w:top w:val="none" w:sz="0" w:space="0" w:color="auto"/>
        <w:left w:val="none" w:sz="0" w:space="0" w:color="auto"/>
        <w:bottom w:val="none" w:sz="0" w:space="0" w:color="auto"/>
        <w:right w:val="none" w:sz="0" w:space="0" w:color="auto"/>
      </w:divBdr>
    </w:div>
    <w:div w:id="564532293">
      <w:bodyDiv w:val="1"/>
      <w:marLeft w:val="0"/>
      <w:marRight w:val="0"/>
      <w:marTop w:val="0"/>
      <w:marBottom w:val="0"/>
      <w:divBdr>
        <w:top w:val="none" w:sz="0" w:space="0" w:color="auto"/>
        <w:left w:val="none" w:sz="0" w:space="0" w:color="auto"/>
        <w:bottom w:val="none" w:sz="0" w:space="0" w:color="auto"/>
        <w:right w:val="none" w:sz="0" w:space="0" w:color="auto"/>
      </w:divBdr>
    </w:div>
    <w:div w:id="567500970">
      <w:bodyDiv w:val="1"/>
      <w:marLeft w:val="0"/>
      <w:marRight w:val="0"/>
      <w:marTop w:val="0"/>
      <w:marBottom w:val="0"/>
      <w:divBdr>
        <w:top w:val="none" w:sz="0" w:space="0" w:color="auto"/>
        <w:left w:val="none" w:sz="0" w:space="0" w:color="auto"/>
        <w:bottom w:val="none" w:sz="0" w:space="0" w:color="auto"/>
        <w:right w:val="none" w:sz="0" w:space="0" w:color="auto"/>
      </w:divBdr>
    </w:div>
    <w:div w:id="570509044">
      <w:bodyDiv w:val="1"/>
      <w:marLeft w:val="0"/>
      <w:marRight w:val="0"/>
      <w:marTop w:val="0"/>
      <w:marBottom w:val="0"/>
      <w:divBdr>
        <w:top w:val="none" w:sz="0" w:space="0" w:color="auto"/>
        <w:left w:val="none" w:sz="0" w:space="0" w:color="auto"/>
        <w:bottom w:val="none" w:sz="0" w:space="0" w:color="auto"/>
        <w:right w:val="none" w:sz="0" w:space="0" w:color="auto"/>
      </w:divBdr>
    </w:div>
    <w:div w:id="607004444">
      <w:bodyDiv w:val="1"/>
      <w:marLeft w:val="0"/>
      <w:marRight w:val="0"/>
      <w:marTop w:val="0"/>
      <w:marBottom w:val="0"/>
      <w:divBdr>
        <w:top w:val="none" w:sz="0" w:space="0" w:color="auto"/>
        <w:left w:val="none" w:sz="0" w:space="0" w:color="auto"/>
        <w:bottom w:val="none" w:sz="0" w:space="0" w:color="auto"/>
        <w:right w:val="none" w:sz="0" w:space="0" w:color="auto"/>
      </w:divBdr>
    </w:div>
    <w:div w:id="653222040">
      <w:bodyDiv w:val="1"/>
      <w:marLeft w:val="0"/>
      <w:marRight w:val="0"/>
      <w:marTop w:val="0"/>
      <w:marBottom w:val="0"/>
      <w:divBdr>
        <w:top w:val="none" w:sz="0" w:space="0" w:color="auto"/>
        <w:left w:val="none" w:sz="0" w:space="0" w:color="auto"/>
        <w:bottom w:val="none" w:sz="0" w:space="0" w:color="auto"/>
        <w:right w:val="none" w:sz="0" w:space="0" w:color="auto"/>
      </w:divBdr>
    </w:div>
    <w:div w:id="655182779">
      <w:bodyDiv w:val="1"/>
      <w:marLeft w:val="0"/>
      <w:marRight w:val="0"/>
      <w:marTop w:val="0"/>
      <w:marBottom w:val="0"/>
      <w:divBdr>
        <w:top w:val="none" w:sz="0" w:space="0" w:color="auto"/>
        <w:left w:val="none" w:sz="0" w:space="0" w:color="auto"/>
        <w:bottom w:val="none" w:sz="0" w:space="0" w:color="auto"/>
        <w:right w:val="none" w:sz="0" w:space="0" w:color="auto"/>
      </w:divBdr>
    </w:div>
    <w:div w:id="657925798">
      <w:bodyDiv w:val="1"/>
      <w:marLeft w:val="0"/>
      <w:marRight w:val="0"/>
      <w:marTop w:val="0"/>
      <w:marBottom w:val="0"/>
      <w:divBdr>
        <w:top w:val="none" w:sz="0" w:space="0" w:color="auto"/>
        <w:left w:val="none" w:sz="0" w:space="0" w:color="auto"/>
        <w:bottom w:val="none" w:sz="0" w:space="0" w:color="auto"/>
        <w:right w:val="none" w:sz="0" w:space="0" w:color="auto"/>
      </w:divBdr>
    </w:div>
    <w:div w:id="670257489">
      <w:bodyDiv w:val="1"/>
      <w:marLeft w:val="0"/>
      <w:marRight w:val="0"/>
      <w:marTop w:val="0"/>
      <w:marBottom w:val="0"/>
      <w:divBdr>
        <w:top w:val="none" w:sz="0" w:space="0" w:color="auto"/>
        <w:left w:val="none" w:sz="0" w:space="0" w:color="auto"/>
        <w:bottom w:val="none" w:sz="0" w:space="0" w:color="auto"/>
        <w:right w:val="none" w:sz="0" w:space="0" w:color="auto"/>
      </w:divBdr>
    </w:div>
    <w:div w:id="723022520">
      <w:bodyDiv w:val="1"/>
      <w:marLeft w:val="0"/>
      <w:marRight w:val="0"/>
      <w:marTop w:val="0"/>
      <w:marBottom w:val="0"/>
      <w:divBdr>
        <w:top w:val="none" w:sz="0" w:space="0" w:color="auto"/>
        <w:left w:val="none" w:sz="0" w:space="0" w:color="auto"/>
        <w:bottom w:val="none" w:sz="0" w:space="0" w:color="auto"/>
        <w:right w:val="none" w:sz="0" w:space="0" w:color="auto"/>
      </w:divBdr>
    </w:div>
    <w:div w:id="730424589">
      <w:bodyDiv w:val="1"/>
      <w:marLeft w:val="0"/>
      <w:marRight w:val="0"/>
      <w:marTop w:val="0"/>
      <w:marBottom w:val="0"/>
      <w:divBdr>
        <w:top w:val="none" w:sz="0" w:space="0" w:color="auto"/>
        <w:left w:val="none" w:sz="0" w:space="0" w:color="auto"/>
        <w:bottom w:val="none" w:sz="0" w:space="0" w:color="auto"/>
        <w:right w:val="none" w:sz="0" w:space="0" w:color="auto"/>
      </w:divBdr>
    </w:div>
    <w:div w:id="765923653">
      <w:bodyDiv w:val="1"/>
      <w:marLeft w:val="0"/>
      <w:marRight w:val="0"/>
      <w:marTop w:val="0"/>
      <w:marBottom w:val="0"/>
      <w:divBdr>
        <w:top w:val="none" w:sz="0" w:space="0" w:color="auto"/>
        <w:left w:val="none" w:sz="0" w:space="0" w:color="auto"/>
        <w:bottom w:val="none" w:sz="0" w:space="0" w:color="auto"/>
        <w:right w:val="none" w:sz="0" w:space="0" w:color="auto"/>
      </w:divBdr>
    </w:div>
    <w:div w:id="908228606">
      <w:bodyDiv w:val="1"/>
      <w:marLeft w:val="0"/>
      <w:marRight w:val="0"/>
      <w:marTop w:val="0"/>
      <w:marBottom w:val="0"/>
      <w:divBdr>
        <w:top w:val="none" w:sz="0" w:space="0" w:color="auto"/>
        <w:left w:val="none" w:sz="0" w:space="0" w:color="auto"/>
        <w:bottom w:val="none" w:sz="0" w:space="0" w:color="auto"/>
        <w:right w:val="none" w:sz="0" w:space="0" w:color="auto"/>
      </w:divBdr>
    </w:div>
    <w:div w:id="923345028">
      <w:bodyDiv w:val="1"/>
      <w:marLeft w:val="0"/>
      <w:marRight w:val="0"/>
      <w:marTop w:val="0"/>
      <w:marBottom w:val="0"/>
      <w:divBdr>
        <w:top w:val="none" w:sz="0" w:space="0" w:color="auto"/>
        <w:left w:val="none" w:sz="0" w:space="0" w:color="auto"/>
        <w:bottom w:val="none" w:sz="0" w:space="0" w:color="auto"/>
        <w:right w:val="none" w:sz="0" w:space="0" w:color="auto"/>
      </w:divBdr>
    </w:div>
    <w:div w:id="952252822">
      <w:bodyDiv w:val="1"/>
      <w:marLeft w:val="0"/>
      <w:marRight w:val="0"/>
      <w:marTop w:val="0"/>
      <w:marBottom w:val="0"/>
      <w:divBdr>
        <w:top w:val="none" w:sz="0" w:space="0" w:color="auto"/>
        <w:left w:val="none" w:sz="0" w:space="0" w:color="auto"/>
        <w:bottom w:val="none" w:sz="0" w:space="0" w:color="auto"/>
        <w:right w:val="none" w:sz="0" w:space="0" w:color="auto"/>
      </w:divBdr>
    </w:div>
    <w:div w:id="959922345">
      <w:bodyDiv w:val="1"/>
      <w:marLeft w:val="0"/>
      <w:marRight w:val="0"/>
      <w:marTop w:val="0"/>
      <w:marBottom w:val="0"/>
      <w:divBdr>
        <w:top w:val="none" w:sz="0" w:space="0" w:color="auto"/>
        <w:left w:val="none" w:sz="0" w:space="0" w:color="auto"/>
        <w:bottom w:val="none" w:sz="0" w:space="0" w:color="auto"/>
        <w:right w:val="none" w:sz="0" w:space="0" w:color="auto"/>
      </w:divBdr>
    </w:div>
    <w:div w:id="1026519723">
      <w:bodyDiv w:val="1"/>
      <w:marLeft w:val="0"/>
      <w:marRight w:val="0"/>
      <w:marTop w:val="0"/>
      <w:marBottom w:val="0"/>
      <w:divBdr>
        <w:top w:val="none" w:sz="0" w:space="0" w:color="auto"/>
        <w:left w:val="none" w:sz="0" w:space="0" w:color="auto"/>
        <w:bottom w:val="none" w:sz="0" w:space="0" w:color="auto"/>
        <w:right w:val="none" w:sz="0" w:space="0" w:color="auto"/>
      </w:divBdr>
    </w:div>
    <w:div w:id="1035500766">
      <w:bodyDiv w:val="1"/>
      <w:marLeft w:val="0"/>
      <w:marRight w:val="0"/>
      <w:marTop w:val="0"/>
      <w:marBottom w:val="0"/>
      <w:divBdr>
        <w:top w:val="none" w:sz="0" w:space="0" w:color="auto"/>
        <w:left w:val="none" w:sz="0" w:space="0" w:color="auto"/>
        <w:bottom w:val="none" w:sz="0" w:space="0" w:color="auto"/>
        <w:right w:val="none" w:sz="0" w:space="0" w:color="auto"/>
      </w:divBdr>
    </w:div>
    <w:div w:id="1080709862">
      <w:bodyDiv w:val="1"/>
      <w:marLeft w:val="0"/>
      <w:marRight w:val="0"/>
      <w:marTop w:val="0"/>
      <w:marBottom w:val="0"/>
      <w:divBdr>
        <w:top w:val="none" w:sz="0" w:space="0" w:color="auto"/>
        <w:left w:val="none" w:sz="0" w:space="0" w:color="auto"/>
        <w:bottom w:val="none" w:sz="0" w:space="0" w:color="auto"/>
        <w:right w:val="none" w:sz="0" w:space="0" w:color="auto"/>
      </w:divBdr>
    </w:div>
    <w:div w:id="1083063201">
      <w:bodyDiv w:val="1"/>
      <w:marLeft w:val="0"/>
      <w:marRight w:val="0"/>
      <w:marTop w:val="0"/>
      <w:marBottom w:val="0"/>
      <w:divBdr>
        <w:top w:val="none" w:sz="0" w:space="0" w:color="auto"/>
        <w:left w:val="none" w:sz="0" w:space="0" w:color="auto"/>
        <w:bottom w:val="none" w:sz="0" w:space="0" w:color="auto"/>
        <w:right w:val="none" w:sz="0" w:space="0" w:color="auto"/>
      </w:divBdr>
    </w:div>
    <w:div w:id="1083382238">
      <w:bodyDiv w:val="1"/>
      <w:marLeft w:val="0"/>
      <w:marRight w:val="0"/>
      <w:marTop w:val="0"/>
      <w:marBottom w:val="0"/>
      <w:divBdr>
        <w:top w:val="none" w:sz="0" w:space="0" w:color="auto"/>
        <w:left w:val="none" w:sz="0" w:space="0" w:color="auto"/>
        <w:bottom w:val="none" w:sz="0" w:space="0" w:color="auto"/>
        <w:right w:val="none" w:sz="0" w:space="0" w:color="auto"/>
      </w:divBdr>
    </w:div>
    <w:div w:id="1136534921">
      <w:bodyDiv w:val="1"/>
      <w:marLeft w:val="0"/>
      <w:marRight w:val="0"/>
      <w:marTop w:val="0"/>
      <w:marBottom w:val="0"/>
      <w:divBdr>
        <w:top w:val="none" w:sz="0" w:space="0" w:color="auto"/>
        <w:left w:val="none" w:sz="0" w:space="0" w:color="auto"/>
        <w:bottom w:val="none" w:sz="0" w:space="0" w:color="auto"/>
        <w:right w:val="none" w:sz="0" w:space="0" w:color="auto"/>
      </w:divBdr>
    </w:div>
    <w:div w:id="1177813331">
      <w:bodyDiv w:val="1"/>
      <w:marLeft w:val="0"/>
      <w:marRight w:val="0"/>
      <w:marTop w:val="0"/>
      <w:marBottom w:val="0"/>
      <w:divBdr>
        <w:top w:val="none" w:sz="0" w:space="0" w:color="auto"/>
        <w:left w:val="none" w:sz="0" w:space="0" w:color="auto"/>
        <w:bottom w:val="none" w:sz="0" w:space="0" w:color="auto"/>
        <w:right w:val="none" w:sz="0" w:space="0" w:color="auto"/>
      </w:divBdr>
    </w:div>
    <w:div w:id="1222131882">
      <w:bodyDiv w:val="1"/>
      <w:marLeft w:val="0"/>
      <w:marRight w:val="0"/>
      <w:marTop w:val="0"/>
      <w:marBottom w:val="0"/>
      <w:divBdr>
        <w:top w:val="none" w:sz="0" w:space="0" w:color="auto"/>
        <w:left w:val="none" w:sz="0" w:space="0" w:color="auto"/>
        <w:bottom w:val="none" w:sz="0" w:space="0" w:color="auto"/>
        <w:right w:val="none" w:sz="0" w:space="0" w:color="auto"/>
      </w:divBdr>
    </w:div>
    <w:div w:id="1258562768">
      <w:bodyDiv w:val="1"/>
      <w:marLeft w:val="0"/>
      <w:marRight w:val="0"/>
      <w:marTop w:val="0"/>
      <w:marBottom w:val="0"/>
      <w:divBdr>
        <w:top w:val="none" w:sz="0" w:space="0" w:color="auto"/>
        <w:left w:val="none" w:sz="0" w:space="0" w:color="auto"/>
        <w:bottom w:val="none" w:sz="0" w:space="0" w:color="auto"/>
        <w:right w:val="none" w:sz="0" w:space="0" w:color="auto"/>
      </w:divBdr>
    </w:div>
    <w:div w:id="1294598572">
      <w:bodyDiv w:val="1"/>
      <w:marLeft w:val="0"/>
      <w:marRight w:val="0"/>
      <w:marTop w:val="0"/>
      <w:marBottom w:val="0"/>
      <w:divBdr>
        <w:top w:val="none" w:sz="0" w:space="0" w:color="auto"/>
        <w:left w:val="none" w:sz="0" w:space="0" w:color="auto"/>
        <w:bottom w:val="none" w:sz="0" w:space="0" w:color="auto"/>
        <w:right w:val="none" w:sz="0" w:space="0" w:color="auto"/>
      </w:divBdr>
    </w:div>
    <w:div w:id="1299535454">
      <w:bodyDiv w:val="1"/>
      <w:marLeft w:val="0"/>
      <w:marRight w:val="0"/>
      <w:marTop w:val="0"/>
      <w:marBottom w:val="0"/>
      <w:divBdr>
        <w:top w:val="none" w:sz="0" w:space="0" w:color="auto"/>
        <w:left w:val="none" w:sz="0" w:space="0" w:color="auto"/>
        <w:bottom w:val="none" w:sz="0" w:space="0" w:color="auto"/>
        <w:right w:val="none" w:sz="0" w:space="0" w:color="auto"/>
      </w:divBdr>
    </w:div>
    <w:div w:id="1302034779">
      <w:bodyDiv w:val="1"/>
      <w:marLeft w:val="0"/>
      <w:marRight w:val="0"/>
      <w:marTop w:val="0"/>
      <w:marBottom w:val="0"/>
      <w:divBdr>
        <w:top w:val="none" w:sz="0" w:space="0" w:color="auto"/>
        <w:left w:val="none" w:sz="0" w:space="0" w:color="auto"/>
        <w:bottom w:val="none" w:sz="0" w:space="0" w:color="auto"/>
        <w:right w:val="none" w:sz="0" w:space="0" w:color="auto"/>
      </w:divBdr>
    </w:div>
    <w:div w:id="1309479624">
      <w:bodyDiv w:val="1"/>
      <w:marLeft w:val="0"/>
      <w:marRight w:val="0"/>
      <w:marTop w:val="0"/>
      <w:marBottom w:val="0"/>
      <w:divBdr>
        <w:top w:val="none" w:sz="0" w:space="0" w:color="auto"/>
        <w:left w:val="none" w:sz="0" w:space="0" w:color="auto"/>
        <w:bottom w:val="none" w:sz="0" w:space="0" w:color="auto"/>
        <w:right w:val="none" w:sz="0" w:space="0" w:color="auto"/>
      </w:divBdr>
    </w:div>
    <w:div w:id="1347899448">
      <w:bodyDiv w:val="1"/>
      <w:marLeft w:val="0"/>
      <w:marRight w:val="0"/>
      <w:marTop w:val="0"/>
      <w:marBottom w:val="0"/>
      <w:divBdr>
        <w:top w:val="none" w:sz="0" w:space="0" w:color="auto"/>
        <w:left w:val="none" w:sz="0" w:space="0" w:color="auto"/>
        <w:bottom w:val="none" w:sz="0" w:space="0" w:color="auto"/>
        <w:right w:val="none" w:sz="0" w:space="0" w:color="auto"/>
      </w:divBdr>
    </w:div>
    <w:div w:id="1351569160">
      <w:bodyDiv w:val="1"/>
      <w:marLeft w:val="0"/>
      <w:marRight w:val="0"/>
      <w:marTop w:val="0"/>
      <w:marBottom w:val="0"/>
      <w:divBdr>
        <w:top w:val="none" w:sz="0" w:space="0" w:color="auto"/>
        <w:left w:val="none" w:sz="0" w:space="0" w:color="auto"/>
        <w:bottom w:val="none" w:sz="0" w:space="0" w:color="auto"/>
        <w:right w:val="none" w:sz="0" w:space="0" w:color="auto"/>
      </w:divBdr>
    </w:div>
    <w:div w:id="1375958745">
      <w:bodyDiv w:val="1"/>
      <w:marLeft w:val="0"/>
      <w:marRight w:val="0"/>
      <w:marTop w:val="0"/>
      <w:marBottom w:val="0"/>
      <w:divBdr>
        <w:top w:val="none" w:sz="0" w:space="0" w:color="auto"/>
        <w:left w:val="none" w:sz="0" w:space="0" w:color="auto"/>
        <w:bottom w:val="none" w:sz="0" w:space="0" w:color="auto"/>
        <w:right w:val="none" w:sz="0" w:space="0" w:color="auto"/>
      </w:divBdr>
    </w:div>
    <w:div w:id="1420366288">
      <w:bodyDiv w:val="1"/>
      <w:marLeft w:val="0"/>
      <w:marRight w:val="0"/>
      <w:marTop w:val="0"/>
      <w:marBottom w:val="0"/>
      <w:divBdr>
        <w:top w:val="none" w:sz="0" w:space="0" w:color="auto"/>
        <w:left w:val="none" w:sz="0" w:space="0" w:color="auto"/>
        <w:bottom w:val="none" w:sz="0" w:space="0" w:color="auto"/>
        <w:right w:val="none" w:sz="0" w:space="0" w:color="auto"/>
      </w:divBdr>
    </w:div>
    <w:div w:id="1425420601">
      <w:bodyDiv w:val="1"/>
      <w:marLeft w:val="0"/>
      <w:marRight w:val="0"/>
      <w:marTop w:val="0"/>
      <w:marBottom w:val="0"/>
      <w:divBdr>
        <w:top w:val="none" w:sz="0" w:space="0" w:color="auto"/>
        <w:left w:val="none" w:sz="0" w:space="0" w:color="auto"/>
        <w:bottom w:val="none" w:sz="0" w:space="0" w:color="auto"/>
        <w:right w:val="none" w:sz="0" w:space="0" w:color="auto"/>
      </w:divBdr>
    </w:div>
    <w:div w:id="1458646203">
      <w:bodyDiv w:val="1"/>
      <w:marLeft w:val="0"/>
      <w:marRight w:val="0"/>
      <w:marTop w:val="0"/>
      <w:marBottom w:val="0"/>
      <w:divBdr>
        <w:top w:val="none" w:sz="0" w:space="0" w:color="auto"/>
        <w:left w:val="none" w:sz="0" w:space="0" w:color="auto"/>
        <w:bottom w:val="none" w:sz="0" w:space="0" w:color="auto"/>
        <w:right w:val="none" w:sz="0" w:space="0" w:color="auto"/>
      </w:divBdr>
    </w:div>
    <w:div w:id="1472291435">
      <w:bodyDiv w:val="1"/>
      <w:marLeft w:val="0"/>
      <w:marRight w:val="0"/>
      <w:marTop w:val="0"/>
      <w:marBottom w:val="0"/>
      <w:divBdr>
        <w:top w:val="none" w:sz="0" w:space="0" w:color="auto"/>
        <w:left w:val="none" w:sz="0" w:space="0" w:color="auto"/>
        <w:bottom w:val="none" w:sz="0" w:space="0" w:color="auto"/>
        <w:right w:val="none" w:sz="0" w:space="0" w:color="auto"/>
      </w:divBdr>
    </w:div>
    <w:div w:id="1476071841">
      <w:bodyDiv w:val="1"/>
      <w:marLeft w:val="0"/>
      <w:marRight w:val="0"/>
      <w:marTop w:val="0"/>
      <w:marBottom w:val="0"/>
      <w:divBdr>
        <w:top w:val="none" w:sz="0" w:space="0" w:color="auto"/>
        <w:left w:val="none" w:sz="0" w:space="0" w:color="auto"/>
        <w:bottom w:val="none" w:sz="0" w:space="0" w:color="auto"/>
        <w:right w:val="none" w:sz="0" w:space="0" w:color="auto"/>
      </w:divBdr>
    </w:div>
    <w:div w:id="1502617444">
      <w:bodyDiv w:val="1"/>
      <w:marLeft w:val="0"/>
      <w:marRight w:val="0"/>
      <w:marTop w:val="0"/>
      <w:marBottom w:val="0"/>
      <w:divBdr>
        <w:top w:val="none" w:sz="0" w:space="0" w:color="auto"/>
        <w:left w:val="none" w:sz="0" w:space="0" w:color="auto"/>
        <w:bottom w:val="none" w:sz="0" w:space="0" w:color="auto"/>
        <w:right w:val="none" w:sz="0" w:space="0" w:color="auto"/>
      </w:divBdr>
    </w:div>
    <w:div w:id="1514371285">
      <w:bodyDiv w:val="1"/>
      <w:marLeft w:val="0"/>
      <w:marRight w:val="0"/>
      <w:marTop w:val="0"/>
      <w:marBottom w:val="0"/>
      <w:divBdr>
        <w:top w:val="none" w:sz="0" w:space="0" w:color="auto"/>
        <w:left w:val="none" w:sz="0" w:space="0" w:color="auto"/>
        <w:bottom w:val="none" w:sz="0" w:space="0" w:color="auto"/>
        <w:right w:val="none" w:sz="0" w:space="0" w:color="auto"/>
      </w:divBdr>
    </w:div>
    <w:div w:id="1522428722">
      <w:bodyDiv w:val="1"/>
      <w:marLeft w:val="0"/>
      <w:marRight w:val="0"/>
      <w:marTop w:val="0"/>
      <w:marBottom w:val="0"/>
      <w:divBdr>
        <w:top w:val="none" w:sz="0" w:space="0" w:color="auto"/>
        <w:left w:val="none" w:sz="0" w:space="0" w:color="auto"/>
        <w:bottom w:val="none" w:sz="0" w:space="0" w:color="auto"/>
        <w:right w:val="none" w:sz="0" w:space="0" w:color="auto"/>
      </w:divBdr>
    </w:div>
    <w:div w:id="1556698336">
      <w:bodyDiv w:val="1"/>
      <w:marLeft w:val="0"/>
      <w:marRight w:val="0"/>
      <w:marTop w:val="0"/>
      <w:marBottom w:val="0"/>
      <w:divBdr>
        <w:top w:val="none" w:sz="0" w:space="0" w:color="auto"/>
        <w:left w:val="none" w:sz="0" w:space="0" w:color="auto"/>
        <w:bottom w:val="none" w:sz="0" w:space="0" w:color="auto"/>
        <w:right w:val="none" w:sz="0" w:space="0" w:color="auto"/>
      </w:divBdr>
    </w:div>
    <w:div w:id="1590583807">
      <w:bodyDiv w:val="1"/>
      <w:marLeft w:val="0"/>
      <w:marRight w:val="0"/>
      <w:marTop w:val="0"/>
      <w:marBottom w:val="0"/>
      <w:divBdr>
        <w:top w:val="none" w:sz="0" w:space="0" w:color="auto"/>
        <w:left w:val="none" w:sz="0" w:space="0" w:color="auto"/>
        <w:bottom w:val="none" w:sz="0" w:space="0" w:color="auto"/>
        <w:right w:val="none" w:sz="0" w:space="0" w:color="auto"/>
      </w:divBdr>
    </w:div>
    <w:div w:id="1616212223">
      <w:bodyDiv w:val="1"/>
      <w:marLeft w:val="0"/>
      <w:marRight w:val="0"/>
      <w:marTop w:val="0"/>
      <w:marBottom w:val="0"/>
      <w:divBdr>
        <w:top w:val="none" w:sz="0" w:space="0" w:color="auto"/>
        <w:left w:val="none" w:sz="0" w:space="0" w:color="auto"/>
        <w:bottom w:val="none" w:sz="0" w:space="0" w:color="auto"/>
        <w:right w:val="none" w:sz="0" w:space="0" w:color="auto"/>
      </w:divBdr>
    </w:div>
    <w:div w:id="1660496030">
      <w:bodyDiv w:val="1"/>
      <w:marLeft w:val="0"/>
      <w:marRight w:val="0"/>
      <w:marTop w:val="0"/>
      <w:marBottom w:val="0"/>
      <w:divBdr>
        <w:top w:val="none" w:sz="0" w:space="0" w:color="auto"/>
        <w:left w:val="none" w:sz="0" w:space="0" w:color="auto"/>
        <w:bottom w:val="none" w:sz="0" w:space="0" w:color="auto"/>
        <w:right w:val="none" w:sz="0" w:space="0" w:color="auto"/>
      </w:divBdr>
    </w:div>
    <w:div w:id="1689061626">
      <w:bodyDiv w:val="1"/>
      <w:marLeft w:val="0"/>
      <w:marRight w:val="0"/>
      <w:marTop w:val="0"/>
      <w:marBottom w:val="0"/>
      <w:divBdr>
        <w:top w:val="none" w:sz="0" w:space="0" w:color="auto"/>
        <w:left w:val="none" w:sz="0" w:space="0" w:color="auto"/>
        <w:bottom w:val="none" w:sz="0" w:space="0" w:color="auto"/>
        <w:right w:val="none" w:sz="0" w:space="0" w:color="auto"/>
      </w:divBdr>
    </w:div>
    <w:div w:id="1733044460">
      <w:bodyDiv w:val="1"/>
      <w:marLeft w:val="0"/>
      <w:marRight w:val="0"/>
      <w:marTop w:val="0"/>
      <w:marBottom w:val="0"/>
      <w:divBdr>
        <w:top w:val="none" w:sz="0" w:space="0" w:color="auto"/>
        <w:left w:val="none" w:sz="0" w:space="0" w:color="auto"/>
        <w:bottom w:val="none" w:sz="0" w:space="0" w:color="auto"/>
        <w:right w:val="none" w:sz="0" w:space="0" w:color="auto"/>
      </w:divBdr>
    </w:div>
    <w:div w:id="1805345099">
      <w:bodyDiv w:val="1"/>
      <w:marLeft w:val="0"/>
      <w:marRight w:val="0"/>
      <w:marTop w:val="0"/>
      <w:marBottom w:val="0"/>
      <w:divBdr>
        <w:top w:val="none" w:sz="0" w:space="0" w:color="auto"/>
        <w:left w:val="none" w:sz="0" w:space="0" w:color="auto"/>
        <w:bottom w:val="none" w:sz="0" w:space="0" w:color="auto"/>
        <w:right w:val="none" w:sz="0" w:space="0" w:color="auto"/>
      </w:divBdr>
    </w:div>
    <w:div w:id="1825395357">
      <w:bodyDiv w:val="1"/>
      <w:marLeft w:val="0"/>
      <w:marRight w:val="0"/>
      <w:marTop w:val="0"/>
      <w:marBottom w:val="0"/>
      <w:divBdr>
        <w:top w:val="none" w:sz="0" w:space="0" w:color="auto"/>
        <w:left w:val="none" w:sz="0" w:space="0" w:color="auto"/>
        <w:bottom w:val="none" w:sz="0" w:space="0" w:color="auto"/>
        <w:right w:val="none" w:sz="0" w:space="0" w:color="auto"/>
      </w:divBdr>
    </w:div>
    <w:div w:id="1876655064">
      <w:bodyDiv w:val="1"/>
      <w:marLeft w:val="0"/>
      <w:marRight w:val="0"/>
      <w:marTop w:val="0"/>
      <w:marBottom w:val="0"/>
      <w:divBdr>
        <w:top w:val="none" w:sz="0" w:space="0" w:color="auto"/>
        <w:left w:val="none" w:sz="0" w:space="0" w:color="auto"/>
        <w:bottom w:val="none" w:sz="0" w:space="0" w:color="auto"/>
        <w:right w:val="none" w:sz="0" w:space="0" w:color="auto"/>
      </w:divBdr>
    </w:div>
    <w:div w:id="1900168344">
      <w:bodyDiv w:val="1"/>
      <w:marLeft w:val="0"/>
      <w:marRight w:val="0"/>
      <w:marTop w:val="0"/>
      <w:marBottom w:val="0"/>
      <w:divBdr>
        <w:top w:val="none" w:sz="0" w:space="0" w:color="auto"/>
        <w:left w:val="none" w:sz="0" w:space="0" w:color="auto"/>
        <w:bottom w:val="none" w:sz="0" w:space="0" w:color="auto"/>
        <w:right w:val="none" w:sz="0" w:space="0" w:color="auto"/>
      </w:divBdr>
    </w:div>
    <w:div w:id="1904833987">
      <w:bodyDiv w:val="1"/>
      <w:marLeft w:val="0"/>
      <w:marRight w:val="0"/>
      <w:marTop w:val="0"/>
      <w:marBottom w:val="0"/>
      <w:divBdr>
        <w:top w:val="none" w:sz="0" w:space="0" w:color="auto"/>
        <w:left w:val="none" w:sz="0" w:space="0" w:color="auto"/>
        <w:bottom w:val="none" w:sz="0" w:space="0" w:color="auto"/>
        <w:right w:val="none" w:sz="0" w:space="0" w:color="auto"/>
      </w:divBdr>
    </w:div>
    <w:div w:id="1914461618">
      <w:bodyDiv w:val="1"/>
      <w:marLeft w:val="0"/>
      <w:marRight w:val="0"/>
      <w:marTop w:val="0"/>
      <w:marBottom w:val="0"/>
      <w:divBdr>
        <w:top w:val="none" w:sz="0" w:space="0" w:color="auto"/>
        <w:left w:val="none" w:sz="0" w:space="0" w:color="auto"/>
        <w:bottom w:val="none" w:sz="0" w:space="0" w:color="auto"/>
        <w:right w:val="none" w:sz="0" w:space="0" w:color="auto"/>
      </w:divBdr>
    </w:div>
    <w:div w:id="1918510778">
      <w:bodyDiv w:val="1"/>
      <w:marLeft w:val="0"/>
      <w:marRight w:val="0"/>
      <w:marTop w:val="0"/>
      <w:marBottom w:val="0"/>
      <w:divBdr>
        <w:top w:val="none" w:sz="0" w:space="0" w:color="auto"/>
        <w:left w:val="none" w:sz="0" w:space="0" w:color="auto"/>
        <w:bottom w:val="none" w:sz="0" w:space="0" w:color="auto"/>
        <w:right w:val="none" w:sz="0" w:space="0" w:color="auto"/>
      </w:divBdr>
    </w:div>
    <w:div w:id="1940065723">
      <w:bodyDiv w:val="1"/>
      <w:marLeft w:val="0"/>
      <w:marRight w:val="0"/>
      <w:marTop w:val="0"/>
      <w:marBottom w:val="0"/>
      <w:divBdr>
        <w:top w:val="none" w:sz="0" w:space="0" w:color="auto"/>
        <w:left w:val="none" w:sz="0" w:space="0" w:color="auto"/>
        <w:bottom w:val="none" w:sz="0" w:space="0" w:color="auto"/>
        <w:right w:val="none" w:sz="0" w:space="0" w:color="auto"/>
      </w:divBdr>
    </w:div>
    <w:div w:id="1992561015">
      <w:bodyDiv w:val="1"/>
      <w:marLeft w:val="0"/>
      <w:marRight w:val="0"/>
      <w:marTop w:val="0"/>
      <w:marBottom w:val="0"/>
      <w:divBdr>
        <w:top w:val="none" w:sz="0" w:space="0" w:color="auto"/>
        <w:left w:val="none" w:sz="0" w:space="0" w:color="auto"/>
        <w:bottom w:val="none" w:sz="0" w:space="0" w:color="auto"/>
        <w:right w:val="none" w:sz="0" w:space="0" w:color="auto"/>
      </w:divBdr>
    </w:div>
    <w:div w:id="1996300940">
      <w:bodyDiv w:val="1"/>
      <w:marLeft w:val="0"/>
      <w:marRight w:val="0"/>
      <w:marTop w:val="0"/>
      <w:marBottom w:val="0"/>
      <w:divBdr>
        <w:top w:val="none" w:sz="0" w:space="0" w:color="auto"/>
        <w:left w:val="none" w:sz="0" w:space="0" w:color="auto"/>
        <w:bottom w:val="none" w:sz="0" w:space="0" w:color="auto"/>
        <w:right w:val="none" w:sz="0" w:space="0" w:color="auto"/>
      </w:divBdr>
    </w:div>
    <w:div w:id="2002812295">
      <w:bodyDiv w:val="1"/>
      <w:marLeft w:val="0"/>
      <w:marRight w:val="0"/>
      <w:marTop w:val="0"/>
      <w:marBottom w:val="0"/>
      <w:divBdr>
        <w:top w:val="none" w:sz="0" w:space="0" w:color="auto"/>
        <w:left w:val="none" w:sz="0" w:space="0" w:color="auto"/>
        <w:bottom w:val="none" w:sz="0" w:space="0" w:color="auto"/>
        <w:right w:val="none" w:sz="0" w:space="0" w:color="auto"/>
      </w:divBdr>
    </w:div>
    <w:div w:id="2033216549">
      <w:bodyDiv w:val="1"/>
      <w:marLeft w:val="0"/>
      <w:marRight w:val="0"/>
      <w:marTop w:val="0"/>
      <w:marBottom w:val="0"/>
      <w:divBdr>
        <w:top w:val="none" w:sz="0" w:space="0" w:color="auto"/>
        <w:left w:val="none" w:sz="0" w:space="0" w:color="auto"/>
        <w:bottom w:val="none" w:sz="0" w:space="0" w:color="auto"/>
        <w:right w:val="none" w:sz="0" w:space="0" w:color="auto"/>
      </w:divBdr>
    </w:div>
    <w:div w:id="2035492157">
      <w:bodyDiv w:val="1"/>
      <w:marLeft w:val="0"/>
      <w:marRight w:val="0"/>
      <w:marTop w:val="0"/>
      <w:marBottom w:val="0"/>
      <w:divBdr>
        <w:top w:val="none" w:sz="0" w:space="0" w:color="auto"/>
        <w:left w:val="none" w:sz="0" w:space="0" w:color="auto"/>
        <w:bottom w:val="none" w:sz="0" w:space="0" w:color="auto"/>
        <w:right w:val="none" w:sz="0" w:space="0" w:color="auto"/>
      </w:divBdr>
    </w:div>
    <w:div w:id="2077581687">
      <w:bodyDiv w:val="1"/>
      <w:marLeft w:val="0"/>
      <w:marRight w:val="0"/>
      <w:marTop w:val="0"/>
      <w:marBottom w:val="0"/>
      <w:divBdr>
        <w:top w:val="none" w:sz="0" w:space="0" w:color="auto"/>
        <w:left w:val="none" w:sz="0" w:space="0" w:color="auto"/>
        <w:bottom w:val="none" w:sz="0" w:space="0" w:color="auto"/>
        <w:right w:val="none" w:sz="0" w:space="0" w:color="auto"/>
      </w:divBdr>
    </w:div>
    <w:div w:id="2083790492">
      <w:bodyDiv w:val="1"/>
      <w:marLeft w:val="0"/>
      <w:marRight w:val="0"/>
      <w:marTop w:val="0"/>
      <w:marBottom w:val="0"/>
      <w:divBdr>
        <w:top w:val="none" w:sz="0" w:space="0" w:color="auto"/>
        <w:left w:val="none" w:sz="0" w:space="0" w:color="auto"/>
        <w:bottom w:val="none" w:sz="0" w:space="0" w:color="auto"/>
        <w:right w:val="none" w:sz="0" w:space="0" w:color="auto"/>
      </w:divBdr>
    </w:div>
    <w:div w:id="212830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3" Type="http://schemas.openxmlformats.org/officeDocument/2006/relationships/hyperlink" Target="http://appsso.eurostat.ec.europa.eu/nui/show.do?lang=en&amp;dataset=nama_10r_2gdp" TargetMode="External"/><Relationship Id="rId18" Type="http://schemas.openxmlformats.org/officeDocument/2006/relationships/hyperlink" Target="https://www.insee.fr/fr/statistiques/4292701" TargetMode="External"/><Relationship Id="rId26" Type="http://schemas.openxmlformats.org/officeDocument/2006/relationships/hyperlink" Target="https://appsso.eurostat.ec.europa.eu/nui/show.do?dataset=hlth_rs_prsrg&amp;lang=en" TargetMode="External"/><Relationship Id="rId39" Type="http://schemas.openxmlformats.org/officeDocument/2006/relationships/hyperlink" Target="https://ec.europa.eu/environment/nature/natura2000/index_en.htm" TargetMode="External"/><Relationship Id="rId21" Type="http://schemas.openxmlformats.org/officeDocument/2006/relationships/hyperlink" Target="http://appsso.eurostat.ec.europa.eu/nui/show.do?lang=en&amp;dataset=lfst_r_lfu3rt" TargetMode="External"/><Relationship Id="rId34" Type="http://schemas.openxmlformats.org/officeDocument/2006/relationships/hyperlink" Target="https://webgate.ec.europa.eu/maritimeforum/en/frontpage/1451" TargetMode="External"/><Relationship Id="rId42" Type="http://schemas.openxmlformats.org/officeDocument/2006/relationships/hyperlink" Target="https://op.europa.eu/en/publication-detail/-/publication/53a25430-a8ca-11ec-83e1-01aa75ed71a1/language-en" TargetMode="External"/><Relationship Id="rId47" Type="http://schemas.openxmlformats.org/officeDocument/2006/relationships/hyperlink" Target="https://trade.ec.europa.eu/doclib/docs/2020/january/tradoc_158558.pdf" TargetMode="External"/><Relationship Id="rId50" Type="http://schemas.openxmlformats.org/officeDocument/2006/relationships/hyperlink" Target="https://trade.ec.europa.eu/doclib/docs/2021/february/tradoc_159438.pdf" TargetMode="External"/><Relationship Id="rId55" Type="http://schemas.openxmlformats.org/officeDocument/2006/relationships/hyperlink" Target="https://ec.europa.eu/regional_policy/en/policy/how/improving-investment/taiex-regio-peer-2-peer/" TargetMode="External"/><Relationship Id="rId7" Type="http://schemas.openxmlformats.org/officeDocument/2006/relationships/hyperlink" Target="https://ec.europa.eu/info/strategy/priorities-2019-2024/economy-works-people/jobs-growth-and-investment/european-pillar-social-rights_el" TargetMode="External"/><Relationship Id="rId12" Type="http://schemas.openxmlformats.org/officeDocument/2006/relationships/hyperlink" Target="https://ec.europa.eu/regional_policy/en/information/publications/studies/2021/study-on-the-impact-of-covid-19-on-the-outermost-regions" TargetMode="External"/><Relationship Id="rId17" Type="http://schemas.openxmlformats.org/officeDocument/2006/relationships/hyperlink" Target="https://www.insee.fr/fr/statistiques/4623253" TargetMode="External"/><Relationship Id="rId25" Type="http://schemas.openxmlformats.org/officeDocument/2006/relationships/hyperlink" Target="https://www.guadeloupe.developpement-durable.gouv.fr/eau-et-assainissement-rapport-chiffres-cles-a3846.html" TargetMode="External"/><Relationship Id="rId33" Type="http://schemas.openxmlformats.org/officeDocument/2006/relationships/hyperlink" Target="https://forward-h2020.eu/" TargetMode="External"/><Relationship Id="rId38" Type="http://schemas.openxmlformats.org/officeDocument/2006/relationships/hyperlink" Target="https://op.europa.eu/en/publication-detail/-/publication/404a8144-8892-11ec-8c40-01aa75ed71a1" TargetMode="External"/><Relationship Id="rId46" Type="http://schemas.openxmlformats.org/officeDocument/2006/relationships/hyperlink" Target="https://trade.ec.europa.eu/doclib/docs/2020/july/tradoc_158901.pdf" TargetMode="External"/><Relationship Id="rId2" Type="http://schemas.openxmlformats.org/officeDocument/2006/relationships/hyperlink" Target="http://appsso.eurostat.ec.europa.eu/nui/show.do?lang=en&amp;dataset=lfst_r_lfu3rt" TargetMode="External"/><Relationship Id="rId16" Type="http://schemas.openxmlformats.org/officeDocument/2006/relationships/hyperlink" Target="https://appsso.eurostat.ec.europa.eu/nui/show.do?dataset=ilc_peps11&amp;lang=en" TargetMode="External"/><Relationship Id="rId20" Type="http://schemas.openxmlformats.org/officeDocument/2006/relationships/hyperlink" Target="https://appsso.eurostat.ec.europa.eu/nui/show.do?dataset=lfst_r_lfe2emprtn&amp;lang=en" TargetMode="External"/><Relationship Id="rId29" Type="http://schemas.openxmlformats.org/officeDocument/2006/relationships/hyperlink" Target="https://www.outre-mer.gouv.fr/pfue2022-outremer-document-de-position-commune-aux-3-etats-membres-et-aux-9-regions" TargetMode="External"/><Relationship Id="rId41" Type="http://schemas.openxmlformats.org/officeDocument/2006/relationships/hyperlink" Target="https://ec.europa.eu/competition-policy/public-consultations/2022-fish_en" TargetMode="External"/><Relationship Id="rId54" Type="http://schemas.openxmlformats.org/officeDocument/2006/relationships/hyperlink" Target="https://ec.europa.eu/regional_policy/en/newsroom/news/2021/06/06-08-2021-jaspers-helping-to-improve-people-s-lives" TargetMode="External"/><Relationship Id="rId1" Type="http://schemas.openxmlformats.org/officeDocument/2006/relationships/hyperlink" Target="https://ec.europa.eu/regional_policy/en/information/cohesion-report/" TargetMode="External"/><Relationship Id="rId6" Type="http://schemas.openxmlformats.org/officeDocument/2006/relationships/hyperlink" Target="https://ec.europa.eu/info/business-economy-euro/recovery-coronavirus/recovery-and-resilience-facility_el" TargetMode="External"/><Relationship Id="rId11" Type="http://schemas.openxmlformats.org/officeDocument/2006/relationships/hyperlink" Target="https://www.outre-mer.gouv.fr/pfue2022-outremer-document-de-position-commune-aux-3-etats-membres-et-aux-9-regions" TargetMode="External"/><Relationship Id="rId24" Type="http://schemas.openxmlformats.org/officeDocument/2006/relationships/hyperlink" Target="https://www.alisse2.insee.fr/fr/statistiques/fichier/4994697/gy_dossier_10_complet.pdf" TargetMode="External"/><Relationship Id="rId32" Type="http://schemas.openxmlformats.org/officeDocument/2006/relationships/hyperlink" Target="https://www.cnape.fr/documents/cnape_rapport_outre-mer_novembre-2020/" TargetMode="External"/><Relationship Id="rId37" Type="http://schemas.openxmlformats.org/officeDocument/2006/relationships/hyperlink" Target="https://ec.europa.eu/regional_policy/en/information/publications/studies/2021/study-on-the-impact-of-covid-19-on-the-outermost-regions" TargetMode="External"/><Relationship Id="rId40" Type="http://schemas.openxmlformats.org/officeDocument/2006/relationships/hyperlink" Target="https://moveon-project.eu/" TargetMode="External"/><Relationship Id="rId45" Type="http://schemas.openxmlformats.org/officeDocument/2006/relationships/hyperlink" Target="https://trade.ec.europa.eu/doclib/docs/2020/july/tradoc_158901.pdf" TargetMode="External"/><Relationship Id="rId53" Type="http://schemas.openxmlformats.org/officeDocument/2006/relationships/hyperlink" Target="https://eur-lex.europa.eu/legal-content/EL/TXT/PDF/?uri=OJ:L:2021:251:FULL" TargetMode="External"/><Relationship Id="rId5" Type="http://schemas.openxmlformats.org/officeDocument/2006/relationships/hyperlink" Target="https://appsso.eurostat.ec.europa.eu/nui/show.do?dataset=proj_19rp3" TargetMode="External"/><Relationship Id="rId15" Type="http://schemas.openxmlformats.org/officeDocument/2006/relationships/hyperlink" Target="https://www.2021portugal.eu/media/icfksbgy/porto-social-commitment.pdf" TargetMode="External"/><Relationship Id="rId23" Type="http://schemas.openxmlformats.org/officeDocument/2006/relationships/hyperlink" Target="https://www.insee.fr/fr/statistiques/4202864" TargetMode="External"/><Relationship Id="rId28" Type="http://schemas.openxmlformats.org/officeDocument/2006/relationships/hyperlink" Target="https://appsso.eurostat.ec.europa.eu/nui/show.do?dataset=demo_r_minfind&amp;lang=en" TargetMode="External"/><Relationship Id="rId36" Type="http://schemas.openxmlformats.org/officeDocument/2006/relationships/hyperlink" Target="https://ec.europa.eu/regional_policy/en/information/publications/studies/2021/regional-impacts-of-the-covid-19-crisis-on-the-tourist-sector" TargetMode="External"/><Relationship Id="rId49" Type="http://schemas.openxmlformats.org/officeDocument/2006/relationships/hyperlink" Target="https://trade.ec.europa.eu/doclib/docs/2019/june/tradoc_157964.pdf" TargetMode="External"/><Relationship Id="rId10" Type="http://schemas.openxmlformats.org/officeDocument/2006/relationships/hyperlink" Target="https://ec.europa.eu/regional_policy/sources/policy/themes/outermost-regions/pdf/declaration_rup_presidents_nov2021_annex_fr.pdf" TargetMode="External"/><Relationship Id="rId19" Type="http://schemas.openxmlformats.org/officeDocument/2006/relationships/hyperlink" Target="https://www.insee.fr/fr/statistiques/4622377" TargetMode="External"/><Relationship Id="rId31" Type="http://schemas.openxmlformats.org/officeDocument/2006/relationships/hyperlink" Target="https://www.cnape.fr/documents/cnape_rapport_outre-mer_novembre-2020/" TargetMode="External"/><Relationship Id="rId44" Type="http://schemas.openxmlformats.org/officeDocument/2006/relationships/hyperlink" Target="https://ec.europa.eu/competition-policy/public-consultations/2022-agri_en" TargetMode="External"/><Relationship Id="rId52" Type="http://schemas.openxmlformats.org/officeDocument/2006/relationships/hyperlink" Target="https://eur-lex.europa.eu/legal-content/EL/TXT/PDF/?uri=OJ:L:2021:251:FULL" TargetMode="External"/><Relationship Id="rId4" Type="http://schemas.openxmlformats.org/officeDocument/2006/relationships/hyperlink" Target="https://appsso.eurostat.ec.europa.eu/nui/show.do?dataset=proj_19rp3" TargetMode="External"/><Relationship Id="rId9" Type="http://schemas.openxmlformats.org/officeDocument/2006/relationships/hyperlink" Target="https://ec.europa.eu/regional_policy/sources/policy/themes/outermost-regions/pdf/declaration_rup_presidents_nov2021_fr.pdf" TargetMode="External"/><Relationship Id="rId14" Type="http://schemas.openxmlformats.org/officeDocument/2006/relationships/hyperlink" Target="https://ec.europa.eu/competition-policy/state-aid/coronavirus/temporary-framework_en" TargetMode="External"/><Relationship Id="rId22" Type="http://schemas.openxmlformats.org/officeDocument/2006/relationships/hyperlink" Target="https://la1ere.francetvinfo.fr/quelles-sont-les-conditions-de-vie-des-menages-ultra-marins-en-periode-de-confinement-825192.html" TargetMode="External"/><Relationship Id="rId27" Type="http://schemas.openxmlformats.org/officeDocument/2006/relationships/hyperlink" Target="https://appsso.eurostat.ec.europa.eu/nui/show.do?dataset=demo_r_mlifexp&amp;lang=en" TargetMode="External"/><Relationship Id="rId30" Type="http://schemas.openxmlformats.org/officeDocument/2006/relationships/hyperlink" Target="https://ec.europa.eu/eurostat/databrowser/view/edat_lfse_16/default/table?lang=en" TargetMode="External"/><Relationship Id="rId35" Type="http://schemas.openxmlformats.org/officeDocument/2006/relationships/hyperlink" Target="https://ec.europa.eu/regional_policy/en/information/publications/studies/2021/study-on-the-impact-of-covid-19-on-the-outermost-regions" TargetMode="External"/><Relationship Id="rId43" Type="http://schemas.openxmlformats.org/officeDocument/2006/relationships/hyperlink" Target="https://op.europa.eu/en/publication-detail/-/publication/53a25430-a8ca-11ec-83e1-01aa75ed71a1/language-en" TargetMode="External"/><Relationship Id="rId48" Type="http://schemas.openxmlformats.org/officeDocument/2006/relationships/hyperlink" Target="https://trade.ec.europa.eu/doclib/docs/2019/june/tradoc_157964.pdf" TargetMode="External"/><Relationship Id="rId8" Type="http://schemas.openxmlformats.org/officeDocument/2006/relationships/hyperlink" Target="https://ec.europa.eu/info/law/better-regulation/have-your-say/initiatives/13018-Outermost-regions-update-of-Commission&#8217;s-strategic-partnership-with-these-regions_el" TargetMode="External"/><Relationship Id="rId51" Type="http://schemas.openxmlformats.org/officeDocument/2006/relationships/hyperlink" Target="https://eur-lex.europa.eu/legal-content/EL/TXT/PDF/?uri=OJ:L:2021:251:FULL" TargetMode="External"/><Relationship Id="rId3" Type="http://schemas.openxmlformats.org/officeDocument/2006/relationships/hyperlink" Target="http://appsso.eurostat.ec.europa.eu/nui/show.do?lang=en&amp;dataset=nama_10r_2gd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49252DB641C1814EA88C2BA66C078CD9" ma:contentTypeVersion="2" ma:contentTypeDescription="Create a new document in this library." ma:contentTypeScope="" ma:versionID="bd151f7aadca48ccb229207852faebc7">
  <xsd:schema xmlns:xsd="http://www.w3.org/2001/XMLSchema" xmlns:xs="http://www.w3.org/2001/XMLSchema" xmlns:p="http://schemas.microsoft.com/office/2006/metadata/properties" xmlns:ns2="http://schemas.microsoft.com/sharepoint/v3/fields" xmlns:ns3="6b963b55-664c-4df9-9384-48ffbb749435" targetNamespace="http://schemas.microsoft.com/office/2006/metadata/properties" ma:root="true" ma:fieldsID="7d2ddf95bd19223e14f3ec53b45951c6" ns2:_="" ns3:_="">
    <xsd:import namespace="http://schemas.microsoft.com/sharepoint/v3/fields"/>
    <xsd:import namespace="6b963b55-664c-4df9-9384-48ffbb749435"/>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see_x0020_als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b963b55-664c-4df9-9384-48ffbb74943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ee_x0020_also" ma:index="16" nillable="true" ma:displayName="see also" ma:format="Hyperlink" ma:internalName="see_x0020_als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Reference xmlns="6b963b55-664c-4df9-9384-48ffbb749435" xsi:nil="true"/>
    <EC_Collab_DocumentLanguage xmlns="6b963b55-664c-4df9-9384-48ffbb749435">EN</EC_Collab_DocumentLanguage>
    <EC_Collab_Status xmlns="6b963b55-664c-4df9-9384-48ffbb749435">Not Started</EC_Collab_Status>
    <see_x0020_also xmlns="6b963b55-664c-4df9-9384-48ffbb749435">
      <Url xsi:nil="true"/>
      <Description xsi:nil="true"/>
    </see_x0020_also>
    <_Status xmlns="http://schemas.microsoft.com/sharepoint/v3/fields">Not Started</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3D732-3374-4419-9A3D-79C34ED46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b963b55-664c-4df9-9384-48ffbb749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49FF2C-9FCA-4949-8056-458F5D9B4EB2}">
  <ds:schemaRefs>
    <ds:schemaRef ds:uri="http://schemas.microsoft.com/office/infopath/2007/PartnerControls"/>
    <ds:schemaRef ds:uri="http://purl.org/dc/elements/1.1/"/>
    <ds:schemaRef ds:uri="http://schemas.microsoft.com/office/2006/metadata/properties"/>
    <ds:schemaRef ds:uri="6b963b55-664c-4df9-9384-48ffbb749435"/>
    <ds:schemaRef ds:uri="http://purl.org/dc/terms/"/>
    <ds:schemaRef ds:uri="http://schemas.openxmlformats.org/package/2006/metadata/core-properties"/>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FE7206F9-A576-463A-8584-F31D93741AD4}">
  <ds:schemaRefs>
    <ds:schemaRef ds:uri="http://schemas.microsoft.com/sharepoint/v3/contenttype/forms"/>
  </ds:schemaRefs>
</ds:datastoreItem>
</file>

<file path=customXml/itemProps4.xml><?xml version="1.0" encoding="utf-8"?>
<ds:datastoreItem xmlns:ds="http://schemas.openxmlformats.org/officeDocument/2006/customXml" ds:itemID="{E8B2F777-1647-4F6A-8B6F-60940B632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30</Pages>
  <Words>12920</Words>
  <Characters>76748</Characters>
  <Application>Microsoft Office Word</Application>
  <DocSecurity>0</DocSecurity>
  <Lines>1199</Lines>
  <Paragraphs>302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36</cp:revision>
  <cp:lastPrinted>2022-03-30T08:06:00Z</cp:lastPrinted>
  <dcterms:created xsi:type="dcterms:W3CDTF">2022-05-02T14:18:00Z</dcterms:created>
  <dcterms:modified xsi:type="dcterms:W3CDTF">2022-05-12T06:23:00Z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246771565</vt:i4>
  </property>
  <property fmtid="{D5CDD505-2E9C-101B-9397-08002B2CF9AE}" pid="3" name="TitusGUID">
    <vt:lpwstr>53ef1652-2e24-414a-b3a9-cf73c4590017</vt:lpwstr>
  </property>
  <property fmtid="{D5CDD505-2E9C-101B-9397-08002B2CF9AE}" pid="4" name="MSIP_Label_6bd9ddd1-4d20-43f6-abfa-fc3c07406f94_Enabled">
    <vt:lpwstr>true</vt:lpwstr>
  </property>
  <property fmtid="{D5CDD505-2E9C-101B-9397-08002B2CF9AE}" pid="5" name="MSIP_Label_6bd9ddd1-4d20-43f6-abfa-fc3c07406f94_SetDate">
    <vt:lpwstr>2022-01-28T08:40:14Z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1dec2abf-efe0-4827-86ec-050087f085c0</vt:lpwstr>
  </property>
  <property fmtid="{D5CDD505-2E9C-101B-9397-08002B2CF9AE}" pid="10" name="MSIP_Label_6bd9ddd1-4d20-43f6-abfa-fc3c07406f94_ContentBits">
    <vt:lpwstr>0</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DocStatus">
    <vt:lpwstr>Green</vt:lpwstr>
  </property>
  <property fmtid="{D5CDD505-2E9C-101B-9397-08002B2CF9AE}" pid="15" name="CPTemplateID">
    <vt:lpwstr>CP-014</vt:lpwstr>
  </property>
  <property fmtid="{D5CDD505-2E9C-101B-9397-08002B2CF9AE}" pid="16" name="Last edited using">
    <vt:lpwstr>LW 8.0, Build 20220128</vt:lpwstr>
  </property>
  <property fmtid="{D5CDD505-2E9C-101B-9397-08002B2CF9AE}" pid="17" name="Created using">
    <vt:lpwstr>LW 7.0.1, Build 20200226</vt:lpwstr>
  </property>
  <property fmtid="{D5CDD505-2E9C-101B-9397-08002B2CF9AE}" pid="18" name="_LW_INVALIDATED__LW_INVALIDATED__LW_INVALIDATED_ContentTypeId">
    <vt:lpwstr>0x010100258AA79CEB83498886A3A0868112325000523EC39876A3DF46B02CCCD00BBBC9E4</vt:lpwstr>
  </property>
  <property fmtid="{D5CDD505-2E9C-101B-9397-08002B2CF9AE}" pid="19" name="ContentTypeId">
    <vt:lpwstr>0x010100258AA79CEB83498886A3A086811232500049252DB641C1814EA88C2BA66C078CD9</vt:lpwstr>
  </property>
</Properties>
</file>