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80DA" w14:textId="3AAD44F6" w:rsidR="003A5BF1" w:rsidRDefault="00B4422A" w:rsidP="00B4422A">
      <w:pPr>
        <w:pStyle w:val="Pagedecouverture"/>
        <w:rPr>
          <w:noProof/>
          <w:lang w:val="en-IE"/>
        </w:rPr>
      </w:pPr>
      <w:bookmarkStart w:id="0" w:name="LW_BM_COVERPAGE"/>
      <w:r>
        <w:rPr>
          <w:noProof/>
          <w:lang w:val="en-IE"/>
        </w:rPr>
        <w:pict w14:anchorId="4B8AC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2895C9-4EC1-407E-A536-D1BF1DED6881" style="width:455.25pt;height:336.75pt">
            <v:imagedata r:id="rId13" o:title=""/>
          </v:shape>
        </w:pict>
      </w:r>
    </w:p>
    <w:bookmarkEnd w:id="0"/>
    <w:p w14:paraId="7E231762" w14:textId="77777777" w:rsidR="003A5BF1" w:rsidRDefault="003A5BF1" w:rsidP="003A5BF1">
      <w:pPr>
        <w:rPr>
          <w:noProof/>
          <w:lang w:val="en-IE"/>
        </w:rPr>
        <w:sectPr w:rsidR="003A5BF1" w:rsidSect="00B4422A">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14:paraId="0D776287" w14:textId="7FB60AD3" w:rsidR="00C76B82" w:rsidRPr="00B8512B" w:rsidRDefault="00A52CBD" w:rsidP="007509DC">
      <w:pPr>
        <w:keepNext/>
        <w:keepLines/>
        <w:spacing w:before="240" w:after="0"/>
        <w:outlineLvl w:val="0"/>
        <w:rPr>
          <w:rFonts w:ascii="Times New Roman" w:eastAsiaTheme="majorEastAsia" w:hAnsi="Times New Roman" w:cs="Times New Roman"/>
          <w:b/>
          <w:noProof/>
          <w:szCs w:val="32"/>
          <w:lang w:val="en-IE"/>
        </w:rPr>
      </w:pPr>
      <w:bookmarkStart w:id="1" w:name="_GoBack"/>
      <w:bookmarkEnd w:id="1"/>
      <w:r w:rsidRPr="00B8512B">
        <w:rPr>
          <w:rFonts w:ascii="Times New Roman" w:eastAsiaTheme="majorEastAsia" w:hAnsi="Times New Roman" w:cs="Times New Roman"/>
          <w:b/>
          <w:noProof/>
          <w:szCs w:val="32"/>
          <w:lang w:val="en-IE"/>
        </w:rPr>
        <w:lastRenderedPageBreak/>
        <w:t>Introduction</w:t>
      </w:r>
    </w:p>
    <w:p w14:paraId="05CA3FE2" w14:textId="77777777" w:rsidR="007509DC" w:rsidRPr="00B8512B" w:rsidRDefault="007509DC" w:rsidP="007509DC">
      <w:pPr>
        <w:rPr>
          <w:rFonts w:ascii="Times New Roman" w:hAnsi="Times New Roman" w:cs="Times New Roman"/>
          <w:noProof/>
          <w:lang w:val="en-IE"/>
        </w:rPr>
      </w:pPr>
    </w:p>
    <w:p w14:paraId="380B915C" w14:textId="5CBE23CC" w:rsidR="00C76B82" w:rsidRPr="00B8512B" w:rsidRDefault="00C76B82">
      <w:pPr>
        <w:rPr>
          <w:rFonts w:ascii="Times New Roman" w:hAnsi="Times New Roman" w:cs="Times New Roman"/>
          <w:noProof/>
          <w:lang w:val="en-IE"/>
        </w:rPr>
      </w:pPr>
      <w:r w:rsidRPr="00B8512B">
        <w:rPr>
          <w:rFonts w:ascii="Times New Roman" w:hAnsi="Times New Roman" w:cs="Times New Roman"/>
          <w:noProof/>
          <w:lang w:val="en-IE"/>
        </w:rPr>
        <w:t xml:space="preserve">The general objective of </w:t>
      </w:r>
      <w:r w:rsidRPr="008B1722">
        <w:rPr>
          <w:rFonts w:ascii="Times New Roman" w:hAnsi="Times New Roman" w:cs="Times New Roman"/>
          <w:noProof/>
          <w:lang w:val="en-IE"/>
        </w:rPr>
        <w:t>Directive 2011/24/EU on</w:t>
      </w:r>
      <w:r w:rsidR="00A33965" w:rsidRPr="008B1722">
        <w:rPr>
          <w:rFonts w:ascii="Times New Roman" w:hAnsi="Times New Roman" w:cs="Times New Roman"/>
          <w:noProof/>
          <w:lang w:val="en-IE"/>
        </w:rPr>
        <w:t xml:space="preserve"> the application of</w:t>
      </w:r>
      <w:r w:rsidRPr="008B1722">
        <w:rPr>
          <w:rFonts w:ascii="Times New Roman" w:hAnsi="Times New Roman" w:cs="Times New Roman"/>
          <w:noProof/>
          <w:lang w:val="en-IE"/>
        </w:rPr>
        <w:t xml:space="preserve"> patients' rights in cross-border healthcare</w:t>
      </w:r>
      <w:r w:rsidR="0007585E" w:rsidRPr="00B8512B">
        <w:rPr>
          <w:rStyle w:val="FootnoteReference"/>
          <w:rFonts w:ascii="Times New Roman" w:hAnsi="Times New Roman" w:cs="Times New Roman"/>
          <w:noProof/>
          <w:lang w:val="en-IE"/>
        </w:rPr>
        <w:footnoteReference w:id="2"/>
      </w:r>
      <w:r w:rsidRPr="00B8512B">
        <w:rPr>
          <w:rFonts w:ascii="Times New Roman" w:hAnsi="Times New Roman" w:cs="Times New Roman"/>
          <w:noProof/>
          <w:lang w:val="en-IE"/>
        </w:rPr>
        <w:t xml:space="preserve"> </w:t>
      </w:r>
      <w:r w:rsidR="00A33965" w:rsidRPr="00B8512B">
        <w:rPr>
          <w:rFonts w:ascii="Times New Roman" w:hAnsi="Times New Roman" w:cs="Times New Roman"/>
          <w:noProof/>
          <w:lang w:val="en-IE"/>
        </w:rPr>
        <w:t xml:space="preserve">('the Directive') </w:t>
      </w:r>
      <w:r w:rsidRPr="00B8512B">
        <w:rPr>
          <w:rFonts w:ascii="Times New Roman" w:hAnsi="Times New Roman" w:cs="Times New Roman"/>
          <w:noProof/>
          <w:lang w:val="en-IE"/>
        </w:rPr>
        <w:t>is to facilitate access to safe and high-quality healthcare in another Member State</w:t>
      </w:r>
      <w:r w:rsidR="0007585E" w:rsidRPr="00B8512B">
        <w:rPr>
          <w:rFonts w:ascii="Times New Roman" w:hAnsi="Times New Roman" w:cs="Times New Roman"/>
          <w:noProof/>
          <w:lang w:val="en-IE"/>
        </w:rPr>
        <w:t xml:space="preserve"> and to ensure patient mobility in accordance with the </w:t>
      </w:r>
      <w:r w:rsidR="004C4DF8">
        <w:rPr>
          <w:rFonts w:ascii="Times New Roman" w:hAnsi="Times New Roman" w:cs="Times New Roman"/>
          <w:noProof/>
          <w:lang w:val="en-IE"/>
        </w:rPr>
        <w:t>case law of</w:t>
      </w:r>
      <w:r w:rsidR="0007585E" w:rsidRPr="00B8512B">
        <w:rPr>
          <w:rFonts w:ascii="Times New Roman" w:hAnsi="Times New Roman" w:cs="Times New Roman"/>
          <w:noProof/>
          <w:lang w:val="en-IE"/>
        </w:rPr>
        <w:t xml:space="preserve"> the Court of Justice </w:t>
      </w:r>
      <w:r w:rsidRPr="00B8512B">
        <w:rPr>
          <w:rFonts w:ascii="Times New Roman" w:hAnsi="Times New Roman" w:cs="Times New Roman"/>
          <w:noProof/>
          <w:lang w:val="en-IE"/>
        </w:rPr>
        <w:t xml:space="preserve">of the European Union </w:t>
      </w:r>
      <w:r w:rsidR="006A756C" w:rsidRPr="00B8512B">
        <w:rPr>
          <w:rFonts w:ascii="Times New Roman" w:hAnsi="Times New Roman" w:cs="Times New Roman"/>
          <w:noProof/>
          <w:lang w:val="en-IE"/>
        </w:rPr>
        <w:t>(‘the Court of Justice’)</w:t>
      </w:r>
      <w:r w:rsidRPr="00B8512B">
        <w:rPr>
          <w:rFonts w:ascii="Times New Roman" w:hAnsi="Times New Roman" w:cs="Times New Roman"/>
          <w:noProof/>
          <w:lang w:val="en-IE"/>
        </w:rPr>
        <w:t xml:space="preserve">. Member States </w:t>
      </w:r>
      <w:r w:rsidR="00DB645A" w:rsidRPr="00B8512B">
        <w:rPr>
          <w:rFonts w:ascii="Times New Roman" w:hAnsi="Times New Roman" w:cs="Times New Roman"/>
          <w:noProof/>
          <w:lang w:val="en-IE"/>
        </w:rPr>
        <w:t>remain</w:t>
      </w:r>
      <w:r w:rsidRPr="00B8512B">
        <w:rPr>
          <w:rFonts w:ascii="Times New Roman" w:hAnsi="Times New Roman" w:cs="Times New Roman"/>
          <w:noProof/>
          <w:lang w:val="en-IE"/>
        </w:rPr>
        <w:t xml:space="preserve"> responsible for </w:t>
      </w:r>
      <w:r w:rsidR="00E97B81" w:rsidRPr="00B8512B">
        <w:rPr>
          <w:rFonts w:ascii="Times New Roman" w:hAnsi="Times New Roman" w:cs="Times New Roman"/>
          <w:noProof/>
          <w:lang w:val="en-IE"/>
        </w:rPr>
        <w:t>the organisation and delivery of</w:t>
      </w:r>
      <w:r w:rsidRPr="00B8512B">
        <w:rPr>
          <w:rFonts w:ascii="Times New Roman" w:hAnsi="Times New Roman" w:cs="Times New Roman"/>
          <w:noProof/>
          <w:lang w:val="en-IE"/>
        </w:rPr>
        <w:t xml:space="preserve"> </w:t>
      </w:r>
      <w:r w:rsidR="004C4DF8">
        <w:rPr>
          <w:rFonts w:ascii="Times New Roman" w:hAnsi="Times New Roman" w:cs="Times New Roman"/>
          <w:noProof/>
          <w:lang w:val="en-IE"/>
        </w:rPr>
        <w:t>health services and medical care o</w:t>
      </w:r>
      <w:r w:rsidR="004C4DF8" w:rsidRPr="00B8512B">
        <w:rPr>
          <w:rFonts w:ascii="Times New Roman" w:hAnsi="Times New Roman" w:cs="Times New Roman"/>
          <w:noProof/>
          <w:lang w:val="en-IE"/>
        </w:rPr>
        <w:t xml:space="preserve">n </w:t>
      </w:r>
      <w:r w:rsidRPr="00B8512B">
        <w:rPr>
          <w:rFonts w:ascii="Times New Roman" w:hAnsi="Times New Roman" w:cs="Times New Roman"/>
          <w:noProof/>
          <w:lang w:val="en-IE"/>
        </w:rPr>
        <w:t xml:space="preserve">their territory. </w:t>
      </w:r>
      <w:r w:rsidR="00A52CBD" w:rsidRPr="00B8512B">
        <w:rPr>
          <w:rFonts w:ascii="Times New Roman" w:hAnsi="Times New Roman" w:cs="Times New Roman"/>
          <w:noProof/>
          <w:lang w:val="en-IE"/>
        </w:rPr>
        <w:t>Secondly</w:t>
      </w:r>
      <w:r w:rsidRPr="00B8512B">
        <w:rPr>
          <w:rFonts w:ascii="Times New Roman" w:hAnsi="Times New Roman" w:cs="Times New Roman"/>
          <w:noProof/>
          <w:lang w:val="en-IE"/>
        </w:rPr>
        <w:t xml:space="preserve">, the Directive promotes cooperation </w:t>
      </w:r>
      <w:r w:rsidR="009C358E" w:rsidRPr="00B8512B">
        <w:rPr>
          <w:rFonts w:ascii="Times New Roman" w:hAnsi="Times New Roman" w:cs="Times New Roman"/>
          <w:noProof/>
          <w:lang w:val="en-IE"/>
        </w:rPr>
        <w:t>on</w:t>
      </w:r>
      <w:r w:rsidRPr="00B8512B">
        <w:rPr>
          <w:rFonts w:ascii="Times New Roman" w:hAnsi="Times New Roman" w:cs="Times New Roman"/>
          <w:noProof/>
          <w:lang w:val="en-IE"/>
        </w:rPr>
        <w:t xml:space="preserve"> healthcare between Member States for the benefit of EU cit</w:t>
      </w:r>
      <w:r w:rsidR="00E11FFB" w:rsidRPr="00B8512B">
        <w:rPr>
          <w:rFonts w:ascii="Times New Roman" w:hAnsi="Times New Roman" w:cs="Times New Roman"/>
          <w:noProof/>
          <w:lang w:val="en-IE"/>
        </w:rPr>
        <w:t xml:space="preserve">izens, regarding prescriptions, </w:t>
      </w:r>
      <w:r w:rsidRPr="00B8512B">
        <w:rPr>
          <w:rFonts w:ascii="Times New Roman" w:hAnsi="Times New Roman" w:cs="Times New Roman"/>
          <w:noProof/>
          <w:lang w:val="en-IE"/>
        </w:rPr>
        <w:t>rare diseases</w:t>
      </w:r>
      <w:r w:rsidR="00E11FFB" w:rsidRPr="00B8512B">
        <w:rPr>
          <w:rFonts w:ascii="Times New Roman" w:hAnsi="Times New Roman" w:cs="Times New Roman"/>
          <w:noProof/>
          <w:lang w:val="en-IE"/>
        </w:rPr>
        <w:t>,</w:t>
      </w:r>
      <w:r w:rsidRPr="00B8512B">
        <w:rPr>
          <w:rFonts w:ascii="Times New Roman" w:hAnsi="Times New Roman" w:cs="Times New Roman"/>
          <w:noProof/>
          <w:lang w:val="en-IE"/>
        </w:rPr>
        <w:t xml:space="preserve"> </w:t>
      </w:r>
      <w:r w:rsidR="008505E2" w:rsidRPr="00B8512B">
        <w:rPr>
          <w:rFonts w:ascii="Times New Roman" w:hAnsi="Times New Roman" w:cs="Times New Roman"/>
          <w:noProof/>
          <w:lang w:val="en-IE"/>
        </w:rPr>
        <w:t>eHealth,</w:t>
      </w:r>
      <w:r w:rsidR="00E11FFB"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and health technology assessment. The Directive </w:t>
      </w:r>
      <w:r w:rsidR="000B3012" w:rsidRPr="00B8512B">
        <w:rPr>
          <w:rFonts w:ascii="Times New Roman" w:hAnsi="Times New Roman" w:cs="Times New Roman"/>
          <w:noProof/>
          <w:lang w:val="en-IE"/>
        </w:rPr>
        <w:t xml:space="preserve">also aims at clarifying its relationship with the existing </w:t>
      </w:r>
      <w:r w:rsidR="00E97B81" w:rsidRPr="00B8512B">
        <w:rPr>
          <w:rFonts w:ascii="Times New Roman" w:hAnsi="Times New Roman" w:cs="Times New Roman"/>
          <w:noProof/>
          <w:lang w:val="en-IE"/>
        </w:rPr>
        <w:t xml:space="preserve">framework on the coordination of social security systems </w:t>
      </w:r>
      <w:r w:rsidRPr="00B8512B">
        <w:rPr>
          <w:rFonts w:ascii="Times New Roman" w:hAnsi="Times New Roman" w:cs="Times New Roman"/>
          <w:noProof/>
          <w:lang w:val="en-IE"/>
        </w:rPr>
        <w:t>provided by Regulation</w:t>
      </w:r>
      <w:r w:rsidR="00E97B81" w:rsidRPr="00B8512B">
        <w:rPr>
          <w:rFonts w:ascii="Times New Roman" w:hAnsi="Times New Roman" w:cs="Times New Roman"/>
          <w:noProof/>
          <w:lang w:val="en-IE"/>
        </w:rPr>
        <w:t xml:space="preserve"> (EC) No 883/2004</w:t>
      </w:r>
      <w:r w:rsidRPr="00B8512B">
        <w:rPr>
          <w:rStyle w:val="FootnoteReference"/>
          <w:rFonts w:ascii="Times New Roman" w:hAnsi="Times New Roman" w:cs="Times New Roman"/>
          <w:noProof/>
          <w:lang w:val="en-IE"/>
        </w:rPr>
        <w:footnoteReference w:id="3"/>
      </w:r>
      <w:r w:rsidR="000B3012" w:rsidRPr="00B8512B">
        <w:rPr>
          <w:rFonts w:ascii="Times New Roman" w:hAnsi="Times New Roman" w:cs="Times New Roman"/>
          <w:noProof/>
          <w:lang w:val="en-IE"/>
        </w:rPr>
        <w:t xml:space="preserve"> </w:t>
      </w:r>
      <w:r w:rsidR="00A52CBD" w:rsidRPr="00B8512B">
        <w:rPr>
          <w:rFonts w:ascii="Times New Roman" w:hAnsi="Times New Roman" w:cs="Times New Roman"/>
          <w:noProof/>
          <w:lang w:val="en-IE"/>
        </w:rPr>
        <w:t xml:space="preserve">(‘the Regulation’) </w:t>
      </w:r>
      <w:r w:rsidR="000B3012" w:rsidRPr="00B8512B">
        <w:rPr>
          <w:rFonts w:ascii="Times New Roman" w:hAnsi="Times New Roman" w:cs="Times New Roman"/>
          <w:noProof/>
          <w:lang w:val="en-IE"/>
        </w:rPr>
        <w:t>and applies without prejudice to this framework.</w:t>
      </w:r>
    </w:p>
    <w:p w14:paraId="235CBD66" w14:textId="4827CE3C" w:rsidR="007C58E9" w:rsidRPr="004C4DF8" w:rsidRDefault="00C76B82">
      <w:pPr>
        <w:rPr>
          <w:rFonts w:ascii="Times New Roman" w:hAnsi="Times New Roman" w:cs="Times New Roman"/>
          <w:noProof/>
        </w:rPr>
      </w:pPr>
      <w:r w:rsidRPr="00B8512B">
        <w:rPr>
          <w:rFonts w:ascii="Times New Roman" w:hAnsi="Times New Roman" w:cs="Times New Roman"/>
          <w:noProof/>
          <w:lang w:val="en-IE"/>
        </w:rPr>
        <w:t>The Directive was due to be transposed by Member States by 25</w:t>
      </w:r>
      <w:r w:rsidR="00F02566">
        <w:rPr>
          <w:rFonts w:ascii="Times New Roman" w:hAnsi="Times New Roman" w:cs="Times New Roman"/>
          <w:noProof/>
          <w:lang w:val="en-IE"/>
        </w:rPr>
        <w:t> </w:t>
      </w:r>
      <w:r w:rsidRPr="00B8512B">
        <w:rPr>
          <w:rFonts w:ascii="Times New Roman" w:hAnsi="Times New Roman" w:cs="Times New Roman"/>
          <w:noProof/>
          <w:lang w:val="en-IE"/>
        </w:rPr>
        <w:t>October</w:t>
      </w:r>
      <w:r w:rsidR="00F02566">
        <w:rPr>
          <w:rFonts w:ascii="Times New Roman" w:hAnsi="Times New Roman" w:cs="Times New Roman"/>
          <w:noProof/>
          <w:lang w:val="en-IE"/>
        </w:rPr>
        <w:t> </w:t>
      </w:r>
      <w:r w:rsidRPr="00B8512B">
        <w:rPr>
          <w:rFonts w:ascii="Times New Roman" w:hAnsi="Times New Roman" w:cs="Times New Roman"/>
          <w:noProof/>
          <w:lang w:val="en-IE"/>
        </w:rPr>
        <w:t>2013</w:t>
      </w:r>
      <w:r w:rsidR="009148F3" w:rsidRPr="00B8512B">
        <w:rPr>
          <w:rFonts w:ascii="Times New Roman" w:hAnsi="Times New Roman" w:cs="Times New Roman"/>
          <w:noProof/>
          <w:lang w:val="en-IE"/>
        </w:rPr>
        <w:t>.</w:t>
      </w:r>
      <w:r w:rsidR="00A52CBD" w:rsidRPr="00B8512B">
        <w:rPr>
          <w:rFonts w:ascii="Times New Roman" w:hAnsi="Times New Roman" w:cs="Times New Roman"/>
          <w:noProof/>
          <w:lang w:val="en-IE"/>
        </w:rPr>
        <w:t xml:space="preserve"> </w:t>
      </w:r>
      <w:r w:rsidR="00274408" w:rsidRPr="00B8512B">
        <w:rPr>
          <w:rFonts w:ascii="Times New Roman" w:hAnsi="Times New Roman" w:cs="Times New Roman"/>
          <w:noProof/>
          <w:lang w:val="en-IE"/>
        </w:rPr>
        <w:t xml:space="preserve">However, </w:t>
      </w:r>
      <w:r w:rsidR="006D0951">
        <w:rPr>
          <w:rFonts w:ascii="Times New Roman" w:hAnsi="Times New Roman" w:cs="Times New Roman"/>
          <w:noProof/>
          <w:lang w:val="en-IE"/>
        </w:rPr>
        <w:t>for</w:t>
      </w:r>
      <w:r w:rsidR="006D0951" w:rsidRPr="00B8512B">
        <w:rPr>
          <w:rFonts w:ascii="Times New Roman" w:hAnsi="Times New Roman" w:cs="Times New Roman"/>
          <w:noProof/>
          <w:lang w:val="en-IE"/>
        </w:rPr>
        <w:t xml:space="preserve"> </w:t>
      </w:r>
      <w:r w:rsidR="00C859B9" w:rsidRPr="00B8512B">
        <w:rPr>
          <w:rFonts w:ascii="Times New Roman" w:hAnsi="Times New Roman" w:cs="Times New Roman"/>
          <w:noProof/>
          <w:lang w:val="en-IE"/>
        </w:rPr>
        <w:t xml:space="preserve">most Member States, </w:t>
      </w:r>
      <w:r w:rsidR="00274408" w:rsidRPr="00B8512B">
        <w:rPr>
          <w:rFonts w:ascii="Times New Roman" w:hAnsi="Times New Roman" w:cs="Times New Roman"/>
          <w:noProof/>
          <w:lang w:val="en-IE"/>
        </w:rPr>
        <w:t xml:space="preserve">transposition was not completed until 2015. </w:t>
      </w:r>
      <w:r w:rsidR="00A52CBD" w:rsidRPr="00B8512B">
        <w:rPr>
          <w:rFonts w:ascii="Times New Roman" w:hAnsi="Times New Roman" w:cs="Times New Roman"/>
          <w:noProof/>
          <w:lang w:val="en-IE"/>
        </w:rPr>
        <w:t>This is the Commission’s third triennial report as required by Article 20(1) of the Directive</w:t>
      </w:r>
      <w:r w:rsidR="0071160F" w:rsidRPr="00B8512B">
        <w:rPr>
          <w:rStyle w:val="FootnoteReference"/>
          <w:rFonts w:ascii="Times New Roman" w:hAnsi="Times New Roman" w:cs="Times New Roman"/>
          <w:noProof/>
          <w:lang w:val="en-IE"/>
        </w:rPr>
        <w:footnoteReference w:id="4"/>
      </w:r>
      <w:r w:rsidR="00A52CBD" w:rsidRPr="00B8512B">
        <w:rPr>
          <w:rFonts w:ascii="Times New Roman" w:hAnsi="Times New Roman" w:cs="Times New Roman"/>
          <w:noProof/>
          <w:lang w:val="en-IE"/>
        </w:rPr>
        <w:t>. It covers</w:t>
      </w:r>
      <w:r w:rsidR="00540330" w:rsidRPr="00B8512B">
        <w:rPr>
          <w:rFonts w:ascii="Times New Roman" w:hAnsi="Times New Roman" w:cs="Times New Roman"/>
          <w:noProof/>
          <w:lang w:val="en-IE"/>
        </w:rPr>
        <w:t xml:space="preserve">, in particular, </w:t>
      </w:r>
      <w:r w:rsidRPr="00B8512B">
        <w:rPr>
          <w:rFonts w:ascii="Times New Roman" w:hAnsi="Times New Roman" w:cs="Times New Roman"/>
          <w:noProof/>
          <w:lang w:val="en-IE"/>
        </w:rPr>
        <w:t xml:space="preserve">information on patient flows, financial dimensions of patient mobility, the implementation of </w:t>
      </w:r>
      <w:r w:rsidR="00DB1BFC">
        <w:rPr>
          <w:rFonts w:ascii="Times New Roman" w:hAnsi="Times New Roman" w:cs="Times New Roman"/>
          <w:noProof/>
          <w:lang w:val="en-IE"/>
        </w:rPr>
        <w:t xml:space="preserve">both </w:t>
      </w:r>
      <w:r w:rsidRPr="00B8512B">
        <w:rPr>
          <w:rFonts w:ascii="Times New Roman" w:hAnsi="Times New Roman" w:cs="Times New Roman"/>
          <w:noProof/>
          <w:lang w:val="en-IE"/>
        </w:rPr>
        <w:t xml:space="preserve">Article 7(9) </w:t>
      </w:r>
      <w:r w:rsidR="00A77137">
        <w:rPr>
          <w:rFonts w:ascii="Times New Roman" w:hAnsi="Times New Roman" w:cs="Times New Roman"/>
          <w:noProof/>
          <w:lang w:val="en-IE"/>
        </w:rPr>
        <w:t>on</w:t>
      </w:r>
      <w:r w:rsidR="00A77137" w:rsidRPr="00B8512B">
        <w:rPr>
          <w:rFonts w:ascii="Times New Roman" w:hAnsi="Times New Roman" w:cs="Times New Roman"/>
          <w:noProof/>
          <w:lang w:val="en-IE"/>
        </w:rPr>
        <w:t xml:space="preserve"> </w:t>
      </w:r>
      <w:r w:rsidR="00015C5F" w:rsidRPr="00B8512B">
        <w:rPr>
          <w:rFonts w:ascii="Times New Roman" w:hAnsi="Times New Roman" w:cs="Times New Roman"/>
          <w:noProof/>
          <w:lang w:val="en-IE"/>
        </w:rPr>
        <w:t xml:space="preserve">Member State limitations on the rules of reimbursement </w:t>
      </w:r>
      <w:r w:rsidRPr="00B8512B">
        <w:rPr>
          <w:rFonts w:ascii="Times New Roman" w:hAnsi="Times New Roman" w:cs="Times New Roman"/>
          <w:noProof/>
          <w:lang w:val="en-IE"/>
        </w:rPr>
        <w:t>and Article 8</w:t>
      </w:r>
      <w:r w:rsidR="00015C5F" w:rsidRPr="00B8512B">
        <w:rPr>
          <w:rFonts w:ascii="Times New Roman" w:hAnsi="Times New Roman" w:cs="Times New Roman"/>
          <w:noProof/>
          <w:lang w:val="en-IE"/>
        </w:rPr>
        <w:t xml:space="preserve"> on healthcare that may be subject to prior authorisation</w:t>
      </w:r>
      <w:r w:rsidRPr="00B8512B">
        <w:rPr>
          <w:rFonts w:ascii="Times New Roman" w:hAnsi="Times New Roman" w:cs="Times New Roman"/>
          <w:noProof/>
          <w:lang w:val="en-IE"/>
        </w:rPr>
        <w:t xml:space="preserve">, and on the functioning of the European </w:t>
      </w:r>
      <w:r w:rsidR="00EF2848">
        <w:rPr>
          <w:rFonts w:ascii="Times New Roman" w:hAnsi="Times New Roman" w:cs="Times New Roman"/>
          <w:noProof/>
          <w:lang w:val="en-IE"/>
        </w:rPr>
        <w:t>r</w:t>
      </w:r>
      <w:r w:rsidR="00622004" w:rsidRPr="00B8512B">
        <w:rPr>
          <w:rFonts w:ascii="Times New Roman" w:hAnsi="Times New Roman" w:cs="Times New Roman"/>
          <w:noProof/>
          <w:lang w:val="en-IE"/>
        </w:rPr>
        <w:t xml:space="preserve">eference </w:t>
      </w:r>
      <w:r w:rsidR="00EF2848">
        <w:rPr>
          <w:rFonts w:ascii="Times New Roman" w:hAnsi="Times New Roman" w:cs="Times New Roman"/>
          <w:noProof/>
          <w:lang w:val="en-IE"/>
        </w:rPr>
        <w:t>n</w:t>
      </w:r>
      <w:r w:rsidR="00622004" w:rsidRPr="00B8512B">
        <w:rPr>
          <w:rFonts w:ascii="Times New Roman" w:hAnsi="Times New Roman" w:cs="Times New Roman"/>
          <w:noProof/>
          <w:lang w:val="en-IE"/>
        </w:rPr>
        <w:t xml:space="preserve">etworks </w:t>
      </w:r>
      <w:r w:rsidRPr="00B8512B">
        <w:rPr>
          <w:rFonts w:ascii="Times New Roman" w:hAnsi="Times New Roman" w:cs="Times New Roman"/>
          <w:noProof/>
          <w:lang w:val="en-IE"/>
        </w:rPr>
        <w:t xml:space="preserve">and </w:t>
      </w:r>
      <w:r w:rsidR="00EF2848">
        <w:rPr>
          <w:rFonts w:ascii="Times New Roman" w:hAnsi="Times New Roman" w:cs="Times New Roman"/>
          <w:noProof/>
          <w:lang w:val="en-IE"/>
        </w:rPr>
        <w:t>n</w:t>
      </w:r>
      <w:r w:rsidR="008A7595" w:rsidRPr="00B8512B">
        <w:rPr>
          <w:rFonts w:ascii="Times New Roman" w:hAnsi="Times New Roman" w:cs="Times New Roman"/>
          <w:noProof/>
          <w:lang w:val="en-IE"/>
        </w:rPr>
        <w:t xml:space="preserve">ational </w:t>
      </w:r>
      <w:r w:rsidR="00EF2848">
        <w:rPr>
          <w:rFonts w:ascii="Times New Roman" w:hAnsi="Times New Roman" w:cs="Times New Roman"/>
          <w:noProof/>
          <w:lang w:val="en-IE"/>
        </w:rPr>
        <w:t>c</w:t>
      </w:r>
      <w:r w:rsidR="008A7595" w:rsidRPr="00B8512B">
        <w:rPr>
          <w:rFonts w:ascii="Times New Roman" w:hAnsi="Times New Roman" w:cs="Times New Roman"/>
          <w:noProof/>
          <w:lang w:val="en-IE"/>
        </w:rPr>
        <w:t xml:space="preserve">ontact </w:t>
      </w:r>
      <w:r w:rsidR="00EF2848">
        <w:rPr>
          <w:rFonts w:ascii="Times New Roman" w:hAnsi="Times New Roman" w:cs="Times New Roman"/>
          <w:noProof/>
          <w:lang w:val="en-IE"/>
        </w:rPr>
        <w:t>p</w:t>
      </w:r>
      <w:r w:rsidR="008A7595" w:rsidRPr="00B8512B">
        <w:rPr>
          <w:rFonts w:ascii="Times New Roman" w:hAnsi="Times New Roman" w:cs="Times New Roman"/>
          <w:noProof/>
          <w:lang w:val="en-IE"/>
        </w:rPr>
        <w:t>oints</w:t>
      </w:r>
      <w:r w:rsidR="00A33965" w:rsidRPr="00B8512B">
        <w:rPr>
          <w:rFonts w:ascii="Times New Roman" w:hAnsi="Times New Roman" w:cs="Times New Roman"/>
          <w:noProof/>
          <w:lang w:val="en-IE"/>
        </w:rPr>
        <w:t>.</w:t>
      </w:r>
    </w:p>
    <w:p w14:paraId="4BA58CCF" w14:textId="220D72C8" w:rsidR="0007585E" w:rsidRPr="00B8512B" w:rsidRDefault="00526894">
      <w:pPr>
        <w:rPr>
          <w:rFonts w:ascii="Times New Roman" w:hAnsi="Times New Roman" w:cs="Times New Roman"/>
          <w:noProof/>
          <w:lang w:val="en-IE"/>
        </w:rPr>
      </w:pPr>
      <w:r w:rsidRPr="00B8512B">
        <w:rPr>
          <w:rFonts w:ascii="Times New Roman" w:hAnsi="Times New Roman" w:cs="Times New Roman"/>
          <w:noProof/>
          <w:lang w:val="en-IE"/>
        </w:rPr>
        <w:t>Th</w:t>
      </w:r>
      <w:r w:rsidR="00A52CBD" w:rsidRPr="00B8512B">
        <w:rPr>
          <w:rFonts w:ascii="Times New Roman" w:hAnsi="Times New Roman" w:cs="Times New Roman"/>
          <w:noProof/>
          <w:lang w:val="en-IE"/>
        </w:rPr>
        <w:t xml:space="preserve">is </w:t>
      </w:r>
      <w:r w:rsidRPr="00B8512B">
        <w:rPr>
          <w:rFonts w:ascii="Times New Roman" w:hAnsi="Times New Roman" w:cs="Times New Roman"/>
          <w:noProof/>
          <w:lang w:val="en-IE"/>
        </w:rPr>
        <w:t>report</w:t>
      </w:r>
      <w:r w:rsidR="0007585E" w:rsidRPr="00B8512B">
        <w:rPr>
          <w:rFonts w:ascii="Times New Roman" w:hAnsi="Times New Roman" w:cs="Times New Roman"/>
          <w:noProof/>
          <w:lang w:val="en-IE"/>
        </w:rPr>
        <w:t xml:space="preserve"> takes into account </w:t>
      </w:r>
      <w:r w:rsidR="006D261C" w:rsidRPr="00B8512B">
        <w:rPr>
          <w:rFonts w:ascii="Times New Roman" w:hAnsi="Times New Roman" w:cs="Times New Roman"/>
          <w:noProof/>
          <w:lang w:val="en-IE"/>
        </w:rPr>
        <w:t>assessment</w:t>
      </w:r>
      <w:r w:rsidR="00DB1BFC">
        <w:rPr>
          <w:rFonts w:ascii="Times New Roman" w:hAnsi="Times New Roman" w:cs="Times New Roman"/>
          <w:noProof/>
          <w:lang w:val="en-IE"/>
        </w:rPr>
        <w:t>s</w:t>
      </w:r>
      <w:r w:rsidR="006D261C" w:rsidRPr="00B8512B">
        <w:rPr>
          <w:rFonts w:ascii="Times New Roman" w:hAnsi="Times New Roman" w:cs="Times New Roman"/>
          <w:noProof/>
          <w:lang w:val="en-IE"/>
        </w:rPr>
        <w:t xml:space="preserve"> of</w:t>
      </w:r>
      <w:r w:rsidR="0071160F" w:rsidRPr="00B8512B">
        <w:rPr>
          <w:rFonts w:ascii="Times New Roman" w:hAnsi="Times New Roman" w:cs="Times New Roman"/>
          <w:noProof/>
          <w:lang w:val="en-IE"/>
        </w:rPr>
        <w:t xml:space="preserve"> the </w:t>
      </w:r>
      <w:r w:rsidR="00DA619C" w:rsidRPr="00B8512B">
        <w:rPr>
          <w:rFonts w:ascii="Times New Roman" w:hAnsi="Times New Roman" w:cs="Times New Roman"/>
          <w:noProof/>
          <w:lang w:val="en-IE"/>
        </w:rPr>
        <w:t>Directive by the European Parliament, the Council, the European Committee of the Regions</w:t>
      </w:r>
      <w:r w:rsidR="006F1FAA" w:rsidRPr="00B8512B">
        <w:rPr>
          <w:rFonts w:ascii="Times New Roman" w:hAnsi="Times New Roman" w:cs="Times New Roman"/>
          <w:noProof/>
          <w:lang w:val="en-IE"/>
        </w:rPr>
        <w:t xml:space="preserve"> and the European Court of Auditors</w:t>
      </w:r>
      <w:r w:rsidR="00DA619C" w:rsidRPr="00B8512B">
        <w:rPr>
          <w:rFonts w:ascii="Times New Roman" w:hAnsi="Times New Roman" w:cs="Times New Roman"/>
          <w:noProof/>
          <w:lang w:val="en-IE"/>
        </w:rPr>
        <w:t xml:space="preserve">, </w:t>
      </w:r>
      <w:r w:rsidR="00EF2848">
        <w:rPr>
          <w:rFonts w:ascii="Times New Roman" w:hAnsi="Times New Roman" w:cs="Times New Roman"/>
          <w:noProof/>
          <w:lang w:val="en-IE"/>
        </w:rPr>
        <w:t>and</w:t>
      </w:r>
      <w:r w:rsidR="00DA619C" w:rsidRPr="00B8512B">
        <w:rPr>
          <w:rFonts w:ascii="Times New Roman" w:hAnsi="Times New Roman" w:cs="Times New Roman"/>
          <w:noProof/>
          <w:lang w:val="en-IE"/>
        </w:rPr>
        <w:t xml:space="preserve"> Court of Justice </w:t>
      </w:r>
      <w:r w:rsidR="00EF2848" w:rsidRPr="00B8512B">
        <w:rPr>
          <w:rFonts w:ascii="Times New Roman" w:hAnsi="Times New Roman" w:cs="Times New Roman"/>
          <w:noProof/>
          <w:lang w:val="en-IE"/>
        </w:rPr>
        <w:t xml:space="preserve">case law </w:t>
      </w:r>
      <w:r w:rsidR="00DA619C" w:rsidRPr="00B8512B">
        <w:rPr>
          <w:rFonts w:ascii="Times New Roman" w:hAnsi="Times New Roman" w:cs="Times New Roman"/>
          <w:noProof/>
          <w:lang w:val="en-IE"/>
        </w:rPr>
        <w:t>interpreting certain provisions of the Directive.</w:t>
      </w:r>
      <w:r w:rsidR="00DB3451">
        <w:rPr>
          <w:rFonts w:ascii="Times New Roman" w:hAnsi="Times New Roman" w:cs="Times New Roman"/>
          <w:noProof/>
          <w:lang w:val="en-IE"/>
        </w:rPr>
        <w:t xml:space="preserve"> I</w:t>
      </w:r>
      <w:r w:rsidR="008617A3">
        <w:rPr>
          <w:rFonts w:ascii="Times New Roman" w:hAnsi="Times New Roman" w:cs="Times New Roman"/>
          <w:noProof/>
          <w:lang w:val="en-IE"/>
        </w:rPr>
        <w:t xml:space="preserve">t takes </w:t>
      </w:r>
      <w:r w:rsidR="00051B3F">
        <w:rPr>
          <w:rFonts w:ascii="Times New Roman" w:hAnsi="Times New Roman" w:cs="Times New Roman"/>
          <w:noProof/>
          <w:lang w:val="en-IE"/>
        </w:rPr>
        <w:t xml:space="preserve">the Fit For </w:t>
      </w:r>
      <w:r w:rsidR="008617A3">
        <w:rPr>
          <w:rFonts w:ascii="Times New Roman" w:hAnsi="Times New Roman" w:cs="Times New Roman"/>
          <w:noProof/>
          <w:lang w:val="en-IE"/>
        </w:rPr>
        <w:t>Future Platform opinion on patients’ rights</w:t>
      </w:r>
      <w:bookmarkStart w:id="2" w:name="_Ref98417859"/>
      <w:r w:rsidR="00EA55E2">
        <w:rPr>
          <w:rStyle w:val="FootnoteReference"/>
          <w:rFonts w:ascii="Times New Roman" w:hAnsi="Times New Roman" w:cs="Times New Roman"/>
          <w:noProof/>
          <w:lang w:val="en-IE"/>
        </w:rPr>
        <w:footnoteReference w:id="5"/>
      </w:r>
      <w:bookmarkEnd w:id="2"/>
      <w:r w:rsidR="008617A3">
        <w:rPr>
          <w:rFonts w:ascii="Times New Roman" w:hAnsi="Times New Roman" w:cs="Times New Roman"/>
          <w:noProof/>
          <w:lang w:val="en-IE"/>
        </w:rPr>
        <w:t xml:space="preserve"> into consideration. </w:t>
      </w:r>
    </w:p>
    <w:p w14:paraId="42CF99DF" w14:textId="12FFFAFC" w:rsidR="0028394F" w:rsidRPr="00B8512B" w:rsidRDefault="0071160F" w:rsidP="0028394F">
      <w:pPr>
        <w:rPr>
          <w:rFonts w:ascii="Times New Roman" w:hAnsi="Times New Roman" w:cs="Times New Roman"/>
          <w:noProof/>
          <w:lang w:val="en-IE"/>
        </w:rPr>
      </w:pPr>
      <w:r w:rsidRPr="00B8512B">
        <w:rPr>
          <w:rFonts w:ascii="Times New Roman" w:hAnsi="Times New Roman" w:cs="Times New Roman"/>
          <w:noProof/>
          <w:lang w:val="en-IE"/>
        </w:rPr>
        <w:t xml:space="preserve">A decade after the Directive’s adoption in 2011, the Commission </w:t>
      </w:r>
      <w:r w:rsidR="00C21036" w:rsidRPr="00B8512B">
        <w:rPr>
          <w:rFonts w:ascii="Times New Roman" w:hAnsi="Times New Roman" w:cs="Times New Roman"/>
          <w:noProof/>
          <w:lang w:val="en-IE"/>
        </w:rPr>
        <w:t>evaluat</w:t>
      </w:r>
      <w:r w:rsidR="00F02566">
        <w:rPr>
          <w:rFonts w:ascii="Times New Roman" w:hAnsi="Times New Roman" w:cs="Times New Roman"/>
          <w:noProof/>
          <w:lang w:val="en-IE"/>
        </w:rPr>
        <w:t>ed</w:t>
      </w:r>
      <w:r w:rsidR="00C21036" w:rsidRPr="00B8512B">
        <w:rPr>
          <w:rFonts w:ascii="Times New Roman" w:hAnsi="Times New Roman" w:cs="Times New Roman"/>
          <w:noProof/>
          <w:lang w:val="en-IE"/>
        </w:rPr>
        <w:t xml:space="preserve"> the Directive in 2021</w:t>
      </w:r>
      <w:r w:rsidRPr="00B8512B">
        <w:rPr>
          <w:rFonts w:ascii="Times New Roman" w:hAnsi="Times New Roman" w:cs="Times New Roman"/>
          <w:noProof/>
          <w:lang w:val="en-IE"/>
        </w:rPr>
        <w:t xml:space="preserve">. </w:t>
      </w:r>
      <w:r w:rsidR="00EF2848">
        <w:rPr>
          <w:rFonts w:ascii="Times New Roman" w:hAnsi="Times New Roman" w:cs="Times New Roman"/>
          <w:noProof/>
          <w:lang w:val="en-IE"/>
        </w:rPr>
        <w:t>T</w:t>
      </w:r>
      <w:r w:rsidR="00EF2848" w:rsidRPr="00B8512B">
        <w:rPr>
          <w:rFonts w:ascii="Times New Roman" w:hAnsi="Times New Roman" w:cs="Times New Roman"/>
          <w:noProof/>
          <w:lang w:val="en-IE"/>
        </w:rPr>
        <w:t>his report include</w:t>
      </w:r>
      <w:r w:rsidR="001D6491">
        <w:rPr>
          <w:rFonts w:ascii="Times New Roman" w:hAnsi="Times New Roman" w:cs="Times New Roman"/>
          <w:noProof/>
          <w:lang w:val="en-IE"/>
        </w:rPr>
        <w:t xml:space="preserve">s a summary of its </w:t>
      </w:r>
      <w:r w:rsidRPr="00B8512B">
        <w:rPr>
          <w:rFonts w:ascii="Times New Roman" w:hAnsi="Times New Roman" w:cs="Times New Roman"/>
          <w:noProof/>
          <w:lang w:val="en-IE"/>
        </w:rPr>
        <w:t>conclusions</w:t>
      </w:r>
      <w:r w:rsidR="00EF2848">
        <w:rPr>
          <w:rFonts w:ascii="Times New Roman" w:hAnsi="Times New Roman" w:cs="Times New Roman"/>
          <w:noProof/>
          <w:lang w:val="en-IE"/>
        </w:rPr>
        <w:t>,</w:t>
      </w:r>
      <w:r w:rsidRPr="00B8512B">
        <w:rPr>
          <w:rFonts w:ascii="Times New Roman" w:hAnsi="Times New Roman" w:cs="Times New Roman"/>
          <w:noProof/>
          <w:lang w:val="en-IE"/>
        </w:rPr>
        <w:t xml:space="preserve"> </w:t>
      </w:r>
      <w:r w:rsidR="001D6491">
        <w:rPr>
          <w:rFonts w:ascii="Times New Roman" w:hAnsi="Times New Roman" w:cs="Times New Roman"/>
          <w:noProof/>
          <w:lang w:val="en-IE"/>
        </w:rPr>
        <w:t xml:space="preserve">a table of follow-up actions </w:t>
      </w:r>
      <w:r w:rsidR="00EF2848">
        <w:rPr>
          <w:rFonts w:ascii="Times New Roman" w:hAnsi="Times New Roman" w:cs="Times New Roman"/>
          <w:noProof/>
          <w:lang w:val="en-IE"/>
        </w:rPr>
        <w:t>and</w:t>
      </w:r>
      <w:r w:rsidR="00CF394B" w:rsidRPr="00B8512B">
        <w:rPr>
          <w:rFonts w:ascii="Times New Roman" w:hAnsi="Times New Roman" w:cs="Times New Roman"/>
          <w:noProof/>
          <w:lang w:val="en-IE"/>
        </w:rPr>
        <w:t xml:space="preserve"> a technical analysis in the attache</w:t>
      </w:r>
      <w:r w:rsidR="0028394F" w:rsidRPr="00B8512B">
        <w:rPr>
          <w:rFonts w:ascii="Times New Roman" w:hAnsi="Times New Roman" w:cs="Times New Roman"/>
          <w:noProof/>
          <w:lang w:val="en-IE"/>
        </w:rPr>
        <w:t>d</w:t>
      </w:r>
      <w:r w:rsidR="00CF394B" w:rsidRPr="00B8512B">
        <w:rPr>
          <w:rFonts w:ascii="Times New Roman" w:hAnsi="Times New Roman" w:cs="Times New Roman"/>
          <w:noProof/>
          <w:lang w:val="en-IE"/>
        </w:rPr>
        <w:t xml:space="preserve"> </w:t>
      </w:r>
      <w:r w:rsidR="00EF2848">
        <w:rPr>
          <w:rFonts w:ascii="Times New Roman" w:hAnsi="Times New Roman" w:cs="Times New Roman"/>
          <w:noProof/>
          <w:lang w:val="en-IE"/>
        </w:rPr>
        <w:t>s</w:t>
      </w:r>
      <w:r w:rsidR="00CF394B" w:rsidRPr="00B8512B">
        <w:rPr>
          <w:rFonts w:ascii="Times New Roman" w:hAnsi="Times New Roman" w:cs="Times New Roman"/>
          <w:noProof/>
          <w:lang w:val="en-IE"/>
        </w:rPr>
        <w:t xml:space="preserve">taff </w:t>
      </w:r>
      <w:r w:rsidR="00EF2848">
        <w:rPr>
          <w:rFonts w:ascii="Times New Roman" w:hAnsi="Times New Roman" w:cs="Times New Roman"/>
          <w:noProof/>
          <w:lang w:val="en-IE"/>
        </w:rPr>
        <w:t>w</w:t>
      </w:r>
      <w:r w:rsidR="00CF394B" w:rsidRPr="00B8512B">
        <w:rPr>
          <w:rFonts w:ascii="Times New Roman" w:hAnsi="Times New Roman" w:cs="Times New Roman"/>
          <w:noProof/>
          <w:lang w:val="en-IE"/>
        </w:rPr>
        <w:t xml:space="preserve">orking </w:t>
      </w:r>
      <w:r w:rsidR="00EF2848">
        <w:rPr>
          <w:rFonts w:ascii="Times New Roman" w:hAnsi="Times New Roman" w:cs="Times New Roman"/>
          <w:noProof/>
          <w:lang w:val="en-IE"/>
        </w:rPr>
        <w:t>d</w:t>
      </w:r>
      <w:r w:rsidR="00CF394B" w:rsidRPr="00B8512B">
        <w:rPr>
          <w:rFonts w:ascii="Times New Roman" w:hAnsi="Times New Roman" w:cs="Times New Roman"/>
          <w:noProof/>
          <w:lang w:val="en-IE"/>
        </w:rPr>
        <w:t>ocument</w:t>
      </w:r>
      <w:r w:rsidR="00EA55E2">
        <w:rPr>
          <w:rFonts w:ascii="Times New Roman" w:hAnsi="Times New Roman" w:cs="Times New Roman"/>
          <w:noProof/>
          <w:lang w:val="en-IE"/>
        </w:rPr>
        <w:t>.</w:t>
      </w:r>
    </w:p>
    <w:p w14:paraId="0E6F741E" w14:textId="77777777" w:rsidR="0028394F" w:rsidRPr="00B8512B" w:rsidRDefault="0028394F" w:rsidP="0028394F">
      <w:pPr>
        <w:rPr>
          <w:rFonts w:ascii="Times New Roman" w:hAnsi="Times New Roman" w:cs="Times New Roman"/>
          <w:noProof/>
          <w:lang w:val="en-IE"/>
        </w:rPr>
      </w:pPr>
      <w:bookmarkStart w:id="3" w:name="_Toc81927252"/>
    </w:p>
    <w:p w14:paraId="6D03CD21" w14:textId="36F7A63B" w:rsidR="00EF0378" w:rsidRPr="00B8512B" w:rsidRDefault="00EF0378" w:rsidP="004F5919">
      <w:pPr>
        <w:pStyle w:val="Heading1"/>
        <w:rPr>
          <w:rFonts w:ascii="Times New Roman" w:hAnsi="Times New Roman" w:cs="Times New Roman"/>
          <w:noProof/>
          <w:lang w:val="en-IE"/>
        </w:rPr>
      </w:pPr>
      <w:r w:rsidRPr="00B8512B">
        <w:rPr>
          <w:rFonts w:ascii="Times New Roman" w:hAnsi="Times New Roman" w:cs="Times New Roman"/>
          <w:noProof/>
          <w:lang w:val="en-IE"/>
        </w:rPr>
        <w:t>Implementation</w:t>
      </w:r>
      <w:bookmarkEnd w:id="3"/>
    </w:p>
    <w:p w14:paraId="45E16D4A" w14:textId="77777777" w:rsidR="00EF0378" w:rsidRPr="00B8512B" w:rsidDel="00CF394B" w:rsidRDefault="00EF0378" w:rsidP="00EF0378">
      <w:pPr>
        <w:rPr>
          <w:rFonts w:ascii="Times New Roman" w:hAnsi="Times New Roman" w:cs="Times New Roman"/>
          <w:noProof/>
          <w:lang w:val="en-IE"/>
        </w:rPr>
      </w:pPr>
    </w:p>
    <w:p w14:paraId="01A85CC1" w14:textId="1A978DDC" w:rsidR="00C902C0" w:rsidRPr="00C902C0" w:rsidRDefault="00C21036" w:rsidP="00EF0378">
      <w:pPr>
        <w:rPr>
          <w:rFonts w:ascii="Times New Roman" w:hAnsi="Times New Roman" w:cs="Times New Roman"/>
          <w:iCs/>
          <w:noProof/>
          <w:sz w:val="22"/>
        </w:rPr>
      </w:pPr>
      <w:r w:rsidRPr="00B8512B">
        <w:rPr>
          <w:rFonts w:ascii="Times New Roman" w:hAnsi="Times New Roman" w:cs="Times New Roman"/>
          <w:noProof/>
          <w:lang w:val="en-IE"/>
        </w:rPr>
        <w:t>T</w:t>
      </w:r>
      <w:r w:rsidR="00EF0378" w:rsidRPr="00B8512B">
        <w:rPr>
          <w:rFonts w:ascii="Times New Roman" w:hAnsi="Times New Roman" w:cs="Times New Roman"/>
          <w:noProof/>
          <w:lang w:val="en-IE"/>
        </w:rPr>
        <w:t xml:space="preserve">he Commission </w:t>
      </w:r>
      <w:r w:rsidRPr="00B8512B">
        <w:rPr>
          <w:rFonts w:ascii="Times New Roman" w:hAnsi="Times New Roman" w:cs="Times New Roman"/>
          <w:noProof/>
          <w:lang w:val="en-IE"/>
        </w:rPr>
        <w:t xml:space="preserve">has </w:t>
      </w:r>
      <w:r w:rsidR="00EF0378" w:rsidRPr="00B8512B">
        <w:rPr>
          <w:rFonts w:ascii="Times New Roman" w:hAnsi="Times New Roman" w:cs="Times New Roman"/>
          <w:noProof/>
          <w:lang w:val="en-IE"/>
        </w:rPr>
        <w:t>systematic</w:t>
      </w:r>
      <w:r w:rsidR="00763AC9" w:rsidRPr="00B8512B">
        <w:rPr>
          <w:rFonts w:ascii="Times New Roman" w:hAnsi="Times New Roman" w:cs="Times New Roman"/>
          <w:noProof/>
          <w:lang w:val="en-IE"/>
        </w:rPr>
        <w:t>ally</w:t>
      </w:r>
      <w:r w:rsidR="00EF0378" w:rsidRPr="00B8512B">
        <w:rPr>
          <w:rFonts w:ascii="Times New Roman" w:hAnsi="Times New Roman" w:cs="Times New Roman"/>
          <w:noProof/>
          <w:lang w:val="en-IE"/>
        </w:rPr>
        <w:t xml:space="preserve"> check</w:t>
      </w:r>
      <w:r w:rsidR="00F43535">
        <w:rPr>
          <w:rFonts w:ascii="Times New Roman" w:hAnsi="Times New Roman" w:cs="Times New Roman"/>
          <w:noProof/>
          <w:lang w:val="en-IE"/>
        </w:rPr>
        <w:t>ed</w:t>
      </w:r>
      <w:r w:rsidR="00EF0378" w:rsidRPr="00B8512B">
        <w:rPr>
          <w:rFonts w:ascii="Times New Roman" w:hAnsi="Times New Roman" w:cs="Times New Roman"/>
          <w:noProof/>
          <w:lang w:val="en-IE"/>
        </w:rPr>
        <w:t xml:space="preserve"> </w:t>
      </w:r>
      <w:r w:rsidR="006B29BC" w:rsidRPr="00B8512B">
        <w:rPr>
          <w:rFonts w:ascii="Times New Roman" w:hAnsi="Times New Roman" w:cs="Times New Roman"/>
          <w:noProof/>
          <w:lang w:val="en-IE"/>
        </w:rPr>
        <w:t xml:space="preserve">compliance </w:t>
      </w:r>
      <w:r w:rsidR="00EF0378" w:rsidRPr="00B8512B">
        <w:rPr>
          <w:rFonts w:ascii="Times New Roman" w:hAnsi="Times New Roman" w:cs="Times New Roman"/>
          <w:noProof/>
          <w:lang w:val="en-IE"/>
        </w:rPr>
        <w:t xml:space="preserve">of national </w:t>
      </w:r>
      <w:r w:rsidR="00DF0F06" w:rsidRPr="00B8512B">
        <w:rPr>
          <w:rFonts w:ascii="Times New Roman" w:hAnsi="Times New Roman" w:cs="Times New Roman"/>
          <w:noProof/>
          <w:lang w:val="en-IE"/>
        </w:rPr>
        <w:t xml:space="preserve">transposition measures </w:t>
      </w:r>
      <w:r w:rsidR="00EF0378" w:rsidRPr="00B8512B">
        <w:rPr>
          <w:rFonts w:ascii="Times New Roman" w:hAnsi="Times New Roman" w:cs="Times New Roman"/>
          <w:noProof/>
          <w:lang w:val="en-IE"/>
        </w:rPr>
        <w:t>with the Directive’s provisions</w:t>
      </w:r>
      <w:r w:rsidR="00F43535">
        <w:rPr>
          <w:rFonts w:ascii="Times New Roman" w:hAnsi="Times New Roman" w:cs="Times New Roman"/>
          <w:noProof/>
          <w:lang w:val="en-IE"/>
        </w:rPr>
        <w:t>,</w:t>
      </w:r>
      <w:r w:rsidR="006B29BC" w:rsidRPr="00B8512B">
        <w:rPr>
          <w:rFonts w:ascii="Times New Roman" w:hAnsi="Times New Roman" w:cs="Times New Roman"/>
          <w:noProof/>
          <w:lang w:val="en-IE"/>
        </w:rPr>
        <w:t xml:space="preserve"> </w:t>
      </w:r>
      <w:r w:rsidR="00AE79ED" w:rsidRPr="00B8512B">
        <w:rPr>
          <w:rFonts w:ascii="Times New Roman" w:hAnsi="Times New Roman" w:cs="Times New Roman"/>
          <w:noProof/>
          <w:lang w:val="en-IE"/>
        </w:rPr>
        <w:t xml:space="preserve">focusing on </w:t>
      </w:r>
      <w:r w:rsidR="00F43535">
        <w:rPr>
          <w:rFonts w:ascii="Times New Roman" w:hAnsi="Times New Roman" w:cs="Times New Roman"/>
          <w:noProof/>
          <w:lang w:val="en-IE"/>
        </w:rPr>
        <w:t xml:space="preserve">the </w:t>
      </w:r>
      <w:r w:rsidR="00EF0378" w:rsidRPr="00B8512B">
        <w:rPr>
          <w:rFonts w:ascii="Times New Roman" w:hAnsi="Times New Roman" w:cs="Times New Roman"/>
          <w:noProof/>
          <w:lang w:val="en-IE"/>
        </w:rPr>
        <w:t>four priority areas</w:t>
      </w:r>
      <w:r w:rsidR="007B0E7D" w:rsidRPr="00B8512B">
        <w:rPr>
          <w:rFonts w:ascii="Times New Roman" w:hAnsi="Times New Roman" w:cs="Times New Roman"/>
          <w:noProof/>
          <w:lang w:val="en-IE"/>
        </w:rPr>
        <w:t xml:space="preserve"> </w:t>
      </w:r>
      <w:r w:rsidR="00F43535">
        <w:rPr>
          <w:rFonts w:ascii="Times New Roman" w:hAnsi="Times New Roman" w:cs="Times New Roman"/>
          <w:noProof/>
          <w:lang w:val="en-IE"/>
        </w:rPr>
        <w:t xml:space="preserve">that </w:t>
      </w:r>
      <w:r w:rsidR="00EF0378" w:rsidRPr="00B8512B">
        <w:rPr>
          <w:rFonts w:ascii="Times New Roman" w:hAnsi="Times New Roman" w:cs="Times New Roman"/>
          <w:noProof/>
          <w:lang w:val="en-IE"/>
        </w:rPr>
        <w:t xml:space="preserve">have the greatest potential to act as barriers to patients if left unaddressed: systems of reimbursement, prior authorisation, administrative </w:t>
      </w:r>
      <w:r w:rsidR="003A40D0" w:rsidRPr="00B8512B">
        <w:rPr>
          <w:rFonts w:ascii="Times New Roman" w:hAnsi="Times New Roman" w:cs="Times New Roman"/>
          <w:noProof/>
          <w:lang w:val="en-IE"/>
        </w:rPr>
        <w:t>procedures</w:t>
      </w:r>
      <w:r w:rsidR="00DB1BFC">
        <w:rPr>
          <w:rFonts w:ascii="Times New Roman" w:hAnsi="Times New Roman" w:cs="Times New Roman"/>
          <w:noProof/>
          <w:lang w:val="en-IE"/>
        </w:rPr>
        <w:t>,</w:t>
      </w:r>
      <w:r w:rsidR="003A40D0"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and charging of incoming patients. </w:t>
      </w:r>
      <w:r w:rsidR="00C902C0">
        <w:rPr>
          <w:rFonts w:ascii="Times New Roman" w:hAnsi="Times New Roman" w:cs="Times New Roman"/>
          <w:noProof/>
          <w:lang w:val="en-IE"/>
        </w:rPr>
        <w:t xml:space="preserve">The Commission is continuing its </w:t>
      </w:r>
      <w:r w:rsidR="00C902C0" w:rsidRPr="00C902C0">
        <w:rPr>
          <w:rFonts w:ascii="Times New Roman" w:hAnsi="Times New Roman" w:cs="Times New Roman"/>
          <w:iCs/>
          <w:noProof/>
        </w:rPr>
        <w:t>structured dialogues with the Member States to achieve the best possible implementation of the Directive</w:t>
      </w:r>
      <w:r w:rsidR="00C902C0">
        <w:rPr>
          <w:rFonts w:ascii="Times New Roman" w:hAnsi="Times New Roman" w:cs="Times New Roman"/>
          <w:iCs/>
          <w:noProof/>
        </w:rPr>
        <w:t>. This intensive work has led to changes</w:t>
      </w:r>
      <w:r w:rsidR="00D702AD">
        <w:rPr>
          <w:rFonts w:ascii="Times New Roman" w:hAnsi="Times New Roman" w:cs="Times New Roman"/>
          <w:iCs/>
          <w:noProof/>
        </w:rPr>
        <w:t xml:space="preserve"> </w:t>
      </w:r>
      <w:r w:rsidR="00C902C0" w:rsidRPr="00C902C0">
        <w:rPr>
          <w:rFonts w:ascii="Times New Roman" w:hAnsi="Times New Roman" w:cs="Times New Roman"/>
          <w:iCs/>
          <w:noProof/>
        </w:rPr>
        <w:t>in national legislation for the benefit of patients. However, as this report and the evaluation findings demonstrate, furthe</w:t>
      </w:r>
      <w:r w:rsidR="00D702AD">
        <w:rPr>
          <w:rFonts w:ascii="Times New Roman" w:hAnsi="Times New Roman" w:cs="Times New Roman"/>
          <w:iCs/>
          <w:noProof/>
        </w:rPr>
        <w:t>r efforts are necessary.</w:t>
      </w:r>
    </w:p>
    <w:p w14:paraId="1E3A5828" w14:textId="3C2C1181" w:rsidR="00EF0378" w:rsidRPr="00B8512B" w:rsidRDefault="006F1FAA" w:rsidP="00EF0378">
      <w:pPr>
        <w:rPr>
          <w:rFonts w:ascii="Times New Roman" w:hAnsi="Times New Roman" w:cs="Times New Roman"/>
          <w:noProof/>
          <w:lang w:val="en-IE"/>
        </w:rPr>
      </w:pPr>
      <w:r w:rsidRPr="00B8512B">
        <w:rPr>
          <w:rFonts w:ascii="Times New Roman" w:hAnsi="Times New Roman" w:cs="Times New Roman"/>
          <w:noProof/>
          <w:lang w:val="en-IE"/>
        </w:rPr>
        <w:t>T</w:t>
      </w:r>
      <w:r w:rsidR="00B1102E" w:rsidRPr="00B8512B">
        <w:rPr>
          <w:rFonts w:ascii="Times New Roman" w:hAnsi="Times New Roman" w:cs="Times New Roman"/>
          <w:noProof/>
          <w:lang w:val="en-IE"/>
        </w:rPr>
        <w:t xml:space="preserve">o </w:t>
      </w:r>
      <w:r w:rsidR="00C21036" w:rsidRPr="00B8512B">
        <w:rPr>
          <w:rFonts w:ascii="Times New Roman" w:hAnsi="Times New Roman" w:cs="Times New Roman"/>
          <w:noProof/>
          <w:lang w:val="en-IE"/>
        </w:rPr>
        <w:t xml:space="preserve">support </w:t>
      </w:r>
      <w:r w:rsidR="006B29BC" w:rsidRPr="00B8512B">
        <w:rPr>
          <w:rFonts w:ascii="Times New Roman" w:hAnsi="Times New Roman" w:cs="Times New Roman"/>
          <w:noProof/>
          <w:lang w:val="en-IE"/>
        </w:rPr>
        <w:t xml:space="preserve">its assessment of the practical </w:t>
      </w:r>
      <w:r w:rsidR="00B1102E" w:rsidRPr="00B8512B">
        <w:rPr>
          <w:rFonts w:ascii="Times New Roman" w:hAnsi="Times New Roman" w:cs="Times New Roman"/>
          <w:noProof/>
          <w:lang w:val="en-IE"/>
        </w:rPr>
        <w:t>implementation of the Directive</w:t>
      </w:r>
      <w:r w:rsidR="00EF0378" w:rsidRPr="00B8512B">
        <w:rPr>
          <w:rFonts w:ascii="Times New Roman" w:hAnsi="Times New Roman" w:cs="Times New Roman"/>
          <w:noProof/>
          <w:lang w:val="en-IE"/>
        </w:rPr>
        <w:t xml:space="preserve">, the Commission </w:t>
      </w:r>
      <w:r w:rsidR="00C21036" w:rsidRPr="00B8512B">
        <w:rPr>
          <w:rFonts w:ascii="Times New Roman" w:hAnsi="Times New Roman" w:cs="Times New Roman"/>
          <w:noProof/>
          <w:lang w:val="en-IE"/>
        </w:rPr>
        <w:t xml:space="preserve">carried out </w:t>
      </w:r>
      <w:r w:rsidR="00EF0378" w:rsidRPr="00B8512B">
        <w:rPr>
          <w:rFonts w:ascii="Times New Roman" w:hAnsi="Times New Roman" w:cs="Times New Roman"/>
          <w:noProof/>
          <w:lang w:val="en-IE"/>
        </w:rPr>
        <w:t xml:space="preserve">a study </w:t>
      </w:r>
      <w:r w:rsidR="00B1102E" w:rsidRPr="00B8512B">
        <w:rPr>
          <w:rFonts w:ascii="Times New Roman" w:hAnsi="Times New Roman" w:cs="Times New Roman"/>
          <w:noProof/>
          <w:lang w:val="en-IE"/>
        </w:rPr>
        <w:t>that</w:t>
      </w:r>
      <w:r w:rsidR="007B0E7D" w:rsidRPr="00B8512B">
        <w:rPr>
          <w:rFonts w:ascii="Times New Roman" w:hAnsi="Times New Roman" w:cs="Times New Roman"/>
          <w:noProof/>
          <w:lang w:val="en-IE"/>
        </w:rPr>
        <w:t xml:space="preserve">, </w:t>
      </w:r>
      <w:r w:rsidR="00DB1BFC">
        <w:rPr>
          <w:rFonts w:ascii="Times New Roman" w:hAnsi="Times New Roman" w:cs="Times New Roman"/>
          <w:iCs/>
          <w:noProof/>
          <w:lang w:val="en-IE"/>
        </w:rPr>
        <w:t>among other issues</w:t>
      </w:r>
      <w:r w:rsidR="007B0E7D" w:rsidRPr="00B8512B">
        <w:rPr>
          <w:rFonts w:ascii="Times New Roman" w:hAnsi="Times New Roman" w:cs="Times New Roman"/>
          <w:noProof/>
          <w:lang w:val="en-IE"/>
        </w:rPr>
        <w:t>,</w:t>
      </w:r>
      <w:r w:rsidR="00EF0378" w:rsidRPr="00B8512B">
        <w:rPr>
          <w:rFonts w:ascii="Times New Roman" w:hAnsi="Times New Roman" w:cs="Times New Roman"/>
          <w:noProof/>
          <w:lang w:val="en-IE"/>
        </w:rPr>
        <w:t xml:space="preserve"> mapp</w:t>
      </w:r>
      <w:r w:rsidR="00B1102E" w:rsidRPr="00B8512B">
        <w:rPr>
          <w:rFonts w:ascii="Times New Roman" w:hAnsi="Times New Roman" w:cs="Times New Roman"/>
          <w:noProof/>
          <w:lang w:val="en-IE"/>
        </w:rPr>
        <w:t>ed</w:t>
      </w:r>
      <w:r w:rsidR="00EF0378" w:rsidRPr="00B8512B">
        <w:rPr>
          <w:rFonts w:ascii="Times New Roman" w:hAnsi="Times New Roman" w:cs="Times New Roman"/>
          <w:noProof/>
          <w:lang w:val="en-IE"/>
        </w:rPr>
        <w:t xml:space="preserve"> </w:t>
      </w:r>
      <w:r w:rsidR="00AF4988" w:rsidRPr="00B8512B">
        <w:rPr>
          <w:rFonts w:ascii="Times New Roman" w:hAnsi="Times New Roman" w:cs="Times New Roman"/>
          <w:noProof/>
          <w:lang w:val="en-IE"/>
        </w:rPr>
        <w:t>healthcare made subject to prior authorisation</w:t>
      </w:r>
      <w:r w:rsidR="00E12B67" w:rsidRPr="00B8512B">
        <w:rPr>
          <w:rFonts w:ascii="Times New Roman" w:hAnsi="Times New Roman" w:cs="Times New Roman"/>
          <w:noProof/>
          <w:lang w:val="en-IE"/>
        </w:rPr>
        <w:t xml:space="preserve"> and</w:t>
      </w:r>
      <w:r w:rsidR="00EF0378" w:rsidRPr="00B8512B">
        <w:rPr>
          <w:rFonts w:ascii="Times New Roman" w:hAnsi="Times New Roman" w:cs="Times New Roman"/>
          <w:noProof/>
          <w:lang w:val="en-IE"/>
        </w:rPr>
        <w:t xml:space="preserve"> </w:t>
      </w:r>
      <w:r w:rsidR="006B29BC" w:rsidRPr="00B8512B">
        <w:rPr>
          <w:rFonts w:ascii="Times New Roman" w:hAnsi="Times New Roman" w:cs="Times New Roman"/>
          <w:noProof/>
          <w:lang w:val="en-IE"/>
        </w:rPr>
        <w:t xml:space="preserve">the </w:t>
      </w:r>
      <w:r w:rsidR="00EF0378" w:rsidRPr="00B8512B">
        <w:rPr>
          <w:rFonts w:ascii="Times New Roman" w:hAnsi="Times New Roman" w:cs="Times New Roman"/>
          <w:noProof/>
          <w:lang w:val="en-IE"/>
        </w:rPr>
        <w:t>administrative requirements for cross-border healthcare</w:t>
      </w:r>
      <w:r w:rsidR="00E12B67" w:rsidRPr="00B8512B">
        <w:rPr>
          <w:rFonts w:ascii="Times New Roman" w:hAnsi="Times New Roman" w:cs="Times New Roman"/>
          <w:noProof/>
          <w:lang w:val="en-IE"/>
        </w:rPr>
        <w:t xml:space="preserve"> in EU and EEA EFTA States</w:t>
      </w:r>
      <w:bookmarkStart w:id="4" w:name="_Ref98417826"/>
      <w:r w:rsidR="00274408" w:rsidRPr="00B8512B">
        <w:rPr>
          <w:rStyle w:val="FootnoteReference"/>
          <w:rFonts w:ascii="Times New Roman" w:hAnsi="Times New Roman" w:cs="Times New Roman"/>
          <w:noProof/>
          <w:lang w:val="en-IE"/>
        </w:rPr>
        <w:footnoteReference w:id="6"/>
      </w:r>
      <w:bookmarkEnd w:id="4"/>
      <w:r w:rsidR="00EF0378" w:rsidRPr="00B8512B">
        <w:rPr>
          <w:rFonts w:ascii="Times New Roman" w:hAnsi="Times New Roman" w:cs="Times New Roman"/>
          <w:noProof/>
          <w:lang w:val="en-IE"/>
        </w:rPr>
        <w:t>.</w:t>
      </w:r>
    </w:p>
    <w:p w14:paraId="25DBF0DA" w14:textId="77777777" w:rsidR="00BF5ACB" w:rsidRPr="00B8512B" w:rsidRDefault="00BF5ACB" w:rsidP="00EF0378">
      <w:pPr>
        <w:rPr>
          <w:rFonts w:ascii="Times New Roman" w:hAnsi="Times New Roman" w:cs="Times New Roman"/>
          <w:noProof/>
          <w:lang w:val="en-IE"/>
        </w:rPr>
      </w:pPr>
    </w:p>
    <w:p w14:paraId="3F54CB47" w14:textId="698E8F30" w:rsidR="00EF0378" w:rsidRPr="00B8512B" w:rsidRDefault="003B2BD4">
      <w:pPr>
        <w:pStyle w:val="Heading2"/>
        <w:rPr>
          <w:rFonts w:ascii="Times New Roman" w:hAnsi="Times New Roman" w:cs="Times New Roman"/>
          <w:noProof/>
          <w:lang w:val="en-IE"/>
        </w:rPr>
      </w:pPr>
      <w:bookmarkStart w:id="5" w:name="_Toc81927253"/>
      <w:r>
        <w:rPr>
          <w:rFonts w:ascii="Times New Roman" w:hAnsi="Times New Roman" w:cs="Times New Roman"/>
          <w:noProof/>
          <w:lang w:val="en-IE"/>
        </w:rPr>
        <w:t xml:space="preserve"> </w:t>
      </w:r>
      <w:r w:rsidR="00DC7DD6" w:rsidRPr="00B8512B">
        <w:rPr>
          <w:rFonts w:ascii="Times New Roman" w:hAnsi="Times New Roman" w:cs="Times New Roman"/>
          <w:noProof/>
          <w:lang w:val="en-IE"/>
        </w:rPr>
        <w:t>Systems of reimbursement</w:t>
      </w:r>
      <w:bookmarkEnd w:id="5"/>
    </w:p>
    <w:p w14:paraId="330726FB" w14:textId="4388EDAF" w:rsidR="00EF0378" w:rsidRPr="00B8512B" w:rsidRDefault="003B2BD4">
      <w:pPr>
        <w:rPr>
          <w:rFonts w:ascii="Times New Roman" w:hAnsi="Times New Roman" w:cs="Times New Roman"/>
          <w:noProof/>
          <w:lang w:val="en-IE"/>
        </w:rPr>
      </w:pPr>
      <w:r>
        <w:rPr>
          <w:rFonts w:ascii="Times New Roman" w:hAnsi="Times New Roman" w:cs="Times New Roman"/>
          <w:noProof/>
          <w:lang w:val="en-IE"/>
        </w:rPr>
        <w:t>Under</w:t>
      </w:r>
      <w:r w:rsidR="00EF0378" w:rsidRPr="00B8512B">
        <w:rPr>
          <w:rFonts w:ascii="Times New Roman" w:hAnsi="Times New Roman" w:cs="Times New Roman"/>
          <w:noProof/>
          <w:lang w:val="en-IE"/>
        </w:rPr>
        <w:t xml:space="preserve"> Article 7(4) of the Directive, the </w:t>
      </w:r>
      <w:r>
        <w:rPr>
          <w:rFonts w:ascii="Times New Roman" w:hAnsi="Times New Roman" w:cs="Times New Roman"/>
          <w:noProof/>
          <w:lang w:val="en-IE"/>
        </w:rPr>
        <w:t>‘</w:t>
      </w:r>
      <w:r w:rsidR="00EF0378" w:rsidRPr="00B8512B">
        <w:rPr>
          <w:rFonts w:ascii="Times New Roman" w:hAnsi="Times New Roman" w:cs="Times New Roman"/>
          <w:noProof/>
          <w:lang w:val="en-IE"/>
        </w:rPr>
        <w:t>costs of cross-border healthcare shall be reimbursed or paid</w:t>
      </w:r>
      <w:r>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 up to the level of costs that would have been assumed by the Member State of affiliation, had this healthcare been provided in its territory without exceeding the actual cost of the healthcare received.</w:t>
      </w:r>
      <w:r>
        <w:rPr>
          <w:rFonts w:ascii="Times New Roman" w:hAnsi="Times New Roman" w:cs="Times New Roman"/>
          <w:noProof/>
          <w:lang w:val="en-IE"/>
        </w:rPr>
        <w:t>’</w:t>
      </w:r>
      <w:r w:rsidR="00EF0378" w:rsidRPr="00B8512B">
        <w:rPr>
          <w:rFonts w:ascii="Times New Roman" w:hAnsi="Times New Roman" w:cs="Times New Roman"/>
          <w:noProof/>
          <w:lang w:val="en-IE"/>
        </w:rPr>
        <w:t xml:space="preserve"> Article 7(9) permits Member States to limit application of the rules on reimbursement of cross-border healthcare for overriding reasons of general interest. </w:t>
      </w:r>
      <w:r w:rsidR="00AF4988" w:rsidRPr="00B8512B">
        <w:rPr>
          <w:rFonts w:ascii="Times New Roman" w:hAnsi="Times New Roman" w:cs="Times New Roman"/>
          <w:noProof/>
          <w:lang w:val="en-IE"/>
        </w:rPr>
        <w:t xml:space="preserve">Under </w:t>
      </w:r>
      <w:r w:rsidR="00EF0378" w:rsidRPr="00B8512B">
        <w:rPr>
          <w:rFonts w:ascii="Times New Roman" w:hAnsi="Times New Roman" w:cs="Times New Roman"/>
          <w:noProof/>
          <w:lang w:val="en-IE"/>
        </w:rPr>
        <w:t>Article 7(11)</w:t>
      </w:r>
      <w:r w:rsidR="00AF4988" w:rsidRPr="00B8512B">
        <w:rPr>
          <w:rFonts w:ascii="Times New Roman" w:hAnsi="Times New Roman" w:cs="Times New Roman"/>
          <w:noProof/>
          <w:lang w:val="en-IE"/>
        </w:rPr>
        <w:t>,</w:t>
      </w:r>
      <w:r w:rsidR="00EF0378" w:rsidRPr="00B8512B">
        <w:rPr>
          <w:rFonts w:ascii="Times New Roman" w:hAnsi="Times New Roman" w:cs="Times New Roman"/>
          <w:noProof/>
          <w:lang w:val="en-IE"/>
        </w:rPr>
        <w:t xml:space="preserve"> such limitations </w:t>
      </w:r>
      <w:r w:rsidR="00776CC2">
        <w:rPr>
          <w:rFonts w:ascii="Times New Roman" w:hAnsi="Times New Roman" w:cs="Times New Roman"/>
          <w:noProof/>
          <w:lang w:val="en-IE"/>
        </w:rPr>
        <w:t>must</w:t>
      </w:r>
      <w:r w:rsidR="00776CC2"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be </w:t>
      </w:r>
      <w:r>
        <w:rPr>
          <w:rFonts w:ascii="Times New Roman" w:hAnsi="Times New Roman" w:cs="Times New Roman"/>
          <w:noProof/>
          <w:lang w:val="en-IE"/>
        </w:rPr>
        <w:t>‘</w:t>
      </w:r>
      <w:r w:rsidR="00EF0378" w:rsidRPr="00B8512B">
        <w:rPr>
          <w:rFonts w:ascii="Times New Roman" w:hAnsi="Times New Roman" w:cs="Times New Roman"/>
          <w:noProof/>
          <w:lang w:val="en-IE"/>
        </w:rPr>
        <w:t xml:space="preserve">necessary and proportionate, and </w:t>
      </w:r>
      <w:r>
        <w:rPr>
          <w:rFonts w:ascii="Times New Roman" w:hAnsi="Times New Roman" w:cs="Times New Roman"/>
          <w:noProof/>
          <w:lang w:val="en-IE"/>
        </w:rPr>
        <w:t xml:space="preserve">may </w:t>
      </w:r>
      <w:r w:rsidR="00EF0378" w:rsidRPr="00B8512B">
        <w:rPr>
          <w:rFonts w:ascii="Times New Roman" w:hAnsi="Times New Roman" w:cs="Times New Roman"/>
          <w:noProof/>
          <w:lang w:val="en-IE"/>
        </w:rPr>
        <w:t xml:space="preserve">not constitute a means of arbitrary discrimination or an unjustified obstacle to </w:t>
      </w:r>
      <w:r w:rsidR="00ED076F" w:rsidRPr="00B8512B">
        <w:rPr>
          <w:rFonts w:ascii="Times New Roman" w:hAnsi="Times New Roman" w:cs="Times New Roman"/>
          <w:noProof/>
          <w:lang w:val="en-IE"/>
        </w:rPr>
        <w:t xml:space="preserve">the </w:t>
      </w:r>
      <w:r w:rsidR="00EF0378" w:rsidRPr="00B8512B">
        <w:rPr>
          <w:rFonts w:ascii="Times New Roman" w:hAnsi="Times New Roman" w:cs="Times New Roman"/>
          <w:noProof/>
          <w:lang w:val="en-IE"/>
        </w:rPr>
        <w:t>free movement</w:t>
      </w:r>
      <w:r w:rsidR="00ED076F" w:rsidRPr="00B8512B">
        <w:rPr>
          <w:rFonts w:ascii="Times New Roman" w:hAnsi="Times New Roman" w:cs="Times New Roman"/>
          <w:noProof/>
          <w:lang w:val="en-IE"/>
        </w:rPr>
        <w:t xml:space="preserve"> of goods, persons or services</w:t>
      </w:r>
      <w:r w:rsidR="00EF0378" w:rsidRPr="00B8512B">
        <w:rPr>
          <w:rFonts w:ascii="Times New Roman" w:hAnsi="Times New Roman" w:cs="Times New Roman"/>
          <w:noProof/>
          <w:lang w:val="en-IE"/>
        </w:rPr>
        <w:t>.</w:t>
      </w:r>
      <w:r>
        <w:rPr>
          <w:rFonts w:ascii="Times New Roman" w:hAnsi="Times New Roman" w:cs="Times New Roman"/>
          <w:noProof/>
          <w:lang w:val="en-IE"/>
        </w:rPr>
        <w:t>’</w:t>
      </w:r>
      <w:r w:rsidR="00EF0378" w:rsidRPr="00B8512B">
        <w:rPr>
          <w:rFonts w:ascii="Times New Roman" w:hAnsi="Times New Roman" w:cs="Times New Roman"/>
          <w:noProof/>
          <w:lang w:val="en-IE"/>
        </w:rPr>
        <w:t xml:space="preserve"> Furthermore, Member States are required to notify the Commission of any decision to </w:t>
      </w:r>
      <w:r w:rsidR="00DB1BFC">
        <w:rPr>
          <w:rFonts w:ascii="Times New Roman" w:hAnsi="Times New Roman" w:cs="Times New Roman"/>
          <w:noProof/>
          <w:lang w:val="en-IE"/>
        </w:rPr>
        <w:t>apply</w:t>
      </w:r>
      <w:r w:rsidR="00DB1BFC"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limitations under Article 7(9).</w:t>
      </w:r>
    </w:p>
    <w:p w14:paraId="550F702A" w14:textId="5FD51255" w:rsidR="00EF0378" w:rsidRDefault="006B29BC">
      <w:pPr>
        <w:rPr>
          <w:rFonts w:ascii="Times New Roman" w:hAnsi="Times New Roman" w:cs="Times New Roman"/>
          <w:noProof/>
          <w:lang w:val="en-IE"/>
        </w:rPr>
      </w:pPr>
      <w:r w:rsidRPr="00B8512B">
        <w:rPr>
          <w:rFonts w:ascii="Times New Roman" w:hAnsi="Times New Roman" w:cs="Times New Roman"/>
          <w:noProof/>
          <w:lang w:val="en-IE"/>
        </w:rPr>
        <w:t>T</w:t>
      </w:r>
      <w:r w:rsidR="00EF0378" w:rsidRPr="00B8512B">
        <w:rPr>
          <w:rFonts w:ascii="Times New Roman" w:hAnsi="Times New Roman" w:cs="Times New Roman"/>
          <w:noProof/>
          <w:lang w:val="en-IE"/>
        </w:rPr>
        <w:t>he Commission has received no specific notifications under Article 7(9). However, certain transposition measures could be questioned as limiting the level of reimbursement for cross-border healthcare</w:t>
      </w:r>
      <w:r w:rsidRPr="00B8512B">
        <w:rPr>
          <w:rFonts w:ascii="Times New Roman" w:hAnsi="Times New Roman" w:cs="Times New Roman"/>
          <w:noProof/>
          <w:lang w:val="en-IE"/>
        </w:rPr>
        <w:t xml:space="preserve"> and undermining patients’ rights</w:t>
      </w:r>
      <w:r w:rsidR="00EF0378" w:rsidRPr="00B8512B">
        <w:rPr>
          <w:rFonts w:ascii="Times New Roman" w:hAnsi="Times New Roman" w:cs="Times New Roman"/>
          <w:noProof/>
          <w:lang w:val="en-IE"/>
        </w:rPr>
        <w:t xml:space="preserve">. </w:t>
      </w:r>
      <w:r w:rsidR="00062D38">
        <w:rPr>
          <w:rFonts w:ascii="Times New Roman" w:hAnsi="Times New Roman" w:cs="Times New Roman"/>
          <w:noProof/>
          <w:lang w:val="en-IE"/>
        </w:rPr>
        <w:t xml:space="preserve">Concerning </w:t>
      </w:r>
      <w:r w:rsidR="00062D38" w:rsidRPr="00B8512B">
        <w:rPr>
          <w:rFonts w:ascii="Times New Roman" w:hAnsi="Times New Roman" w:cs="Times New Roman"/>
          <w:noProof/>
          <w:lang w:val="en-IE"/>
        </w:rPr>
        <w:t>the reference point for reimbursement of cross-border healthcare costs under the Directive</w:t>
      </w:r>
      <w:r w:rsidR="00062D38">
        <w:rPr>
          <w:rFonts w:ascii="Times New Roman" w:hAnsi="Times New Roman" w:cs="Times New Roman"/>
          <w:noProof/>
          <w:lang w:val="en-IE"/>
        </w:rPr>
        <w:t>,</w:t>
      </w:r>
      <w:r w:rsidR="00062D38" w:rsidRPr="00B8512B">
        <w:rPr>
          <w:rFonts w:ascii="Times New Roman" w:hAnsi="Times New Roman" w:cs="Times New Roman"/>
          <w:noProof/>
          <w:lang w:val="en-IE"/>
        </w:rPr>
        <w:t xml:space="preserve"> </w:t>
      </w:r>
      <w:r w:rsidR="00062D38">
        <w:rPr>
          <w:rFonts w:ascii="Times New Roman" w:hAnsi="Times New Roman" w:cs="Times New Roman"/>
          <w:noProof/>
          <w:lang w:val="en-IE"/>
        </w:rPr>
        <w:t>t</w:t>
      </w:r>
      <w:r w:rsidR="00EF0378" w:rsidRPr="00B8512B">
        <w:rPr>
          <w:rFonts w:ascii="Times New Roman" w:hAnsi="Times New Roman" w:cs="Times New Roman"/>
          <w:noProof/>
          <w:lang w:val="en-IE"/>
        </w:rPr>
        <w:t>hree Member States</w:t>
      </w:r>
      <w:r w:rsidR="00EF0378" w:rsidRPr="00B8512B">
        <w:rPr>
          <w:rStyle w:val="FootnoteReference"/>
          <w:rFonts w:ascii="Times New Roman" w:hAnsi="Times New Roman" w:cs="Times New Roman"/>
          <w:noProof/>
          <w:lang w:val="en-IE"/>
        </w:rPr>
        <w:footnoteReference w:id="7"/>
      </w:r>
      <w:r w:rsidR="00EF0378" w:rsidRPr="00B8512B">
        <w:rPr>
          <w:rFonts w:ascii="Times New Roman" w:hAnsi="Times New Roman" w:cs="Times New Roman"/>
          <w:noProof/>
          <w:lang w:val="en-IE"/>
        </w:rPr>
        <w:t xml:space="preserve">, with varying conditions and </w:t>
      </w:r>
      <w:r w:rsidR="00DB1BFC">
        <w:rPr>
          <w:rFonts w:ascii="Times New Roman" w:hAnsi="Times New Roman" w:cs="Times New Roman"/>
          <w:noProof/>
          <w:lang w:val="en-IE"/>
        </w:rPr>
        <w:t xml:space="preserve">to varying </w:t>
      </w:r>
      <w:r w:rsidR="00EF0378" w:rsidRPr="00B8512B">
        <w:rPr>
          <w:rFonts w:ascii="Times New Roman" w:hAnsi="Times New Roman" w:cs="Times New Roman"/>
          <w:noProof/>
          <w:lang w:val="en-IE"/>
        </w:rPr>
        <w:t xml:space="preserve">extent, use the lower reimbursement level </w:t>
      </w:r>
      <w:r w:rsidR="00217C0B" w:rsidRPr="00B8512B">
        <w:rPr>
          <w:rFonts w:ascii="Times New Roman" w:hAnsi="Times New Roman" w:cs="Times New Roman"/>
          <w:noProof/>
          <w:lang w:val="en-IE"/>
        </w:rPr>
        <w:t>applicable to healthcare received from private/non</w:t>
      </w:r>
      <w:r w:rsidR="00974701">
        <w:rPr>
          <w:rFonts w:ascii="Times New Roman" w:hAnsi="Times New Roman" w:cs="Times New Roman"/>
          <w:noProof/>
          <w:lang w:val="en-IE"/>
        </w:rPr>
        <w:t>-</w:t>
      </w:r>
      <w:r w:rsidR="00217C0B" w:rsidRPr="00B8512B">
        <w:rPr>
          <w:rFonts w:ascii="Times New Roman" w:hAnsi="Times New Roman" w:cs="Times New Roman"/>
          <w:noProof/>
          <w:lang w:val="en-IE"/>
        </w:rPr>
        <w:t xml:space="preserve">contracted healthcare providers compared </w:t>
      </w:r>
      <w:r w:rsidR="00062D38">
        <w:rPr>
          <w:rFonts w:ascii="Times New Roman" w:hAnsi="Times New Roman" w:cs="Times New Roman"/>
          <w:noProof/>
          <w:lang w:val="en-IE"/>
        </w:rPr>
        <w:t>with</w:t>
      </w:r>
      <w:r w:rsidR="00062D38" w:rsidRPr="00B8512B">
        <w:rPr>
          <w:rFonts w:ascii="Times New Roman" w:hAnsi="Times New Roman" w:cs="Times New Roman"/>
          <w:noProof/>
          <w:lang w:val="en-IE"/>
        </w:rPr>
        <w:t xml:space="preserve"> </w:t>
      </w:r>
      <w:r w:rsidR="00217C0B" w:rsidRPr="00B8512B">
        <w:rPr>
          <w:rFonts w:ascii="Times New Roman" w:hAnsi="Times New Roman" w:cs="Times New Roman"/>
          <w:noProof/>
          <w:lang w:val="en-IE"/>
        </w:rPr>
        <w:t>the public healthcare system</w:t>
      </w:r>
      <w:r w:rsidR="00EF0378" w:rsidRPr="00B8512B">
        <w:rPr>
          <w:rFonts w:ascii="Times New Roman" w:hAnsi="Times New Roman" w:cs="Times New Roman"/>
          <w:noProof/>
          <w:lang w:val="en-IE"/>
        </w:rPr>
        <w:t xml:space="preserve">. As a result, the Commission initiated proceedings </w:t>
      </w:r>
      <w:r w:rsidR="00062D38" w:rsidRPr="00B8512B">
        <w:rPr>
          <w:rFonts w:ascii="Times New Roman" w:hAnsi="Times New Roman" w:cs="Times New Roman"/>
          <w:noProof/>
          <w:lang w:val="en-IE"/>
        </w:rPr>
        <w:t xml:space="preserve">against those Member States </w:t>
      </w:r>
      <w:r w:rsidR="00EF0378" w:rsidRPr="00B8512B">
        <w:rPr>
          <w:rFonts w:ascii="Times New Roman" w:hAnsi="Times New Roman" w:cs="Times New Roman"/>
          <w:noProof/>
          <w:lang w:val="en-IE"/>
        </w:rPr>
        <w:t>for fail</w:t>
      </w:r>
      <w:r w:rsidR="00F7041B" w:rsidRPr="00B8512B">
        <w:rPr>
          <w:rFonts w:ascii="Times New Roman" w:hAnsi="Times New Roman" w:cs="Times New Roman"/>
          <w:noProof/>
          <w:lang w:val="en-IE"/>
        </w:rPr>
        <w:t>ing</w:t>
      </w:r>
      <w:r w:rsidR="00EF0378" w:rsidRPr="00B8512B">
        <w:rPr>
          <w:rFonts w:ascii="Times New Roman" w:hAnsi="Times New Roman" w:cs="Times New Roman"/>
          <w:noProof/>
          <w:lang w:val="en-IE"/>
        </w:rPr>
        <w:t xml:space="preserve"> </w:t>
      </w:r>
      <w:r w:rsidR="00301FAF" w:rsidRPr="00B8512B">
        <w:rPr>
          <w:rFonts w:ascii="Times New Roman" w:hAnsi="Times New Roman" w:cs="Times New Roman"/>
          <w:noProof/>
          <w:lang w:val="en-IE"/>
        </w:rPr>
        <w:t xml:space="preserve">to </w:t>
      </w:r>
      <w:r w:rsidR="00A42763" w:rsidRPr="00B8512B">
        <w:rPr>
          <w:rFonts w:ascii="Times New Roman" w:hAnsi="Times New Roman" w:cs="Times New Roman"/>
          <w:noProof/>
          <w:lang w:val="en-IE"/>
        </w:rPr>
        <w:t>fulfil</w:t>
      </w:r>
      <w:r w:rsidR="00EF0378" w:rsidRPr="00B8512B">
        <w:rPr>
          <w:rFonts w:ascii="Times New Roman" w:hAnsi="Times New Roman" w:cs="Times New Roman"/>
          <w:noProof/>
          <w:lang w:val="en-IE"/>
        </w:rPr>
        <w:t xml:space="preserve"> obligations under the Directive</w:t>
      </w:r>
      <w:r w:rsidR="006F1FAA" w:rsidRPr="00B8512B">
        <w:rPr>
          <w:rStyle w:val="FootnoteReference"/>
          <w:rFonts w:ascii="Times New Roman" w:hAnsi="Times New Roman" w:cs="Times New Roman"/>
          <w:noProof/>
          <w:lang w:val="en-IE"/>
        </w:rPr>
        <w:footnoteReference w:id="8"/>
      </w:r>
      <w:r w:rsidR="00EF0378" w:rsidRPr="00B8512B">
        <w:rPr>
          <w:rFonts w:ascii="Times New Roman" w:hAnsi="Times New Roman" w:cs="Times New Roman"/>
          <w:noProof/>
          <w:lang w:val="en-IE"/>
        </w:rPr>
        <w:t>.</w:t>
      </w:r>
    </w:p>
    <w:p w14:paraId="0C2D41B1" w14:textId="77777777" w:rsidR="003A33FB" w:rsidRPr="00B8512B" w:rsidRDefault="003A33FB">
      <w:pPr>
        <w:rPr>
          <w:rFonts w:ascii="Times New Roman" w:hAnsi="Times New Roman" w:cs="Times New Roman"/>
          <w:noProof/>
          <w:lang w:val="en-IE"/>
        </w:rPr>
      </w:pPr>
    </w:p>
    <w:p w14:paraId="0E050F54" w14:textId="77777777" w:rsidR="00BF5ACB" w:rsidRPr="00B8512B" w:rsidRDefault="00BF5ACB">
      <w:pPr>
        <w:rPr>
          <w:rFonts w:ascii="Times New Roman" w:hAnsi="Times New Roman" w:cs="Times New Roman"/>
          <w:noProof/>
          <w:lang w:val="en-IE"/>
        </w:rPr>
      </w:pPr>
    </w:p>
    <w:p w14:paraId="4C4EDB51" w14:textId="4E455F0C" w:rsidR="00EF0378" w:rsidRPr="00B8512B" w:rsidRDefault="00062D38">
      <w:pPr>
        <w:pStyle w:val="Heading2"/>
        <w:rPr>
          <w:rFonts w:ascii="Times New Roman" w:hAnsi="Times New Roman" w:cs="Times New Roman"/>
          <w:noProof/>
          <w:lang w:val="en-IE"/>
        </w:rPr>
      </w:pPr>
      <w:bookmarkStart w:id="6" w:name="_Toc81927254"/>
      <w:r>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Prior </w:t>
      </w:r>
      <w:r w:rsidR="00DC7DD6" w:rsidRPr="00B8512B">
        <w:rPr>
          <w:rFonts w:ascii="Times New Roman" w:hAnsi="Times New Roman" w:cs="Times New Roman"/>
          <w:noProof/>
          <w:lang w:val="en-IE"/>
        </w:rPr>
        <w:t>a</w:t>
      </w:r>
      <w:r w:rsidR="00EF0378" w:rsidRPr="00B8512B">
        <w:rPr>
          <w:rFonts w:ascii="Times New Roman" w:hAnsi="Times New Roman" w:cs="Times New Roman"/>
          <w:noProof/>
          <w:lang w:val="en-IE"/>
        </w:rPr>
        <w:t>uthorisation</w:t>
      </w:r>
      <w:bookmarkEnd w:id="6"/>
    </w:p>
    <w:p w14:paraId="34DD18A4" w14:textId="2816CA33" w:rsidR="00624849" w:rsidRPr="00B8512B" w:rsidRDefault="00DC7DD6">
      <w:pPr>
        <w:rPr>
          <w:rFonts w:ascii="Times New Roman" w:hAnsi="Times New Roman" w:cs="Times New Roman"/>
          <w:noProof/>
          <w:lang w:val="en-IE"/>
        </w:rPr>
      </w:pPr>
      <w:r w:rsidRPr="00B8512B">
        <w:rPr>
          <w:rFonts w:ascii="Times New Roman" w:hAnsi="Times New Roman" w:cs="Times New Roman"/>
          <w:noProof/>
          <w:lang w:val="en-IE"/>
        </w:rPr>
        <w:t xml:space="preserve">Under </w:t>
      </w:r>
      <w:r w:rsidR="00EF0378" w:rsidRPr="00B8512B">
        <w:rPr>
          <w:rFonts w:ascii="Times New Roman" w:hAnsi="Times New Roman" w:cs="Times New Roman"/>
          <w:noProof/>
          <w:lang w:val="en-IE"/>
        </w:rPr>
        <w:t>Article 8</w:t>
      </w:r>
      <w:r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Member States </w:t>
      </w:r>
      <w:r w:rsidRPr="00B8512B">
        <w:rPr>
          <w:rFonts w:ascii="Times New Roman" w:hAnsi="Times New Roman" w:cs="Times New Roman"/>
          <w:noProof/>
          <w:lang w:val="en-IE"/>
        </w:rPr>
        <w:t>may</w:t>
      </w:r>
      <w:r w:rsidR="00EF0378" w:rsidRPr="00B8512B">
        <w:rPr>
          <w:rFonts w:ascii="Times New Roman" w:hAnsi="Times New Roman" w:cs="Times New Roman"/>
          <w:noProof/>
          <w:lang w:val="en-IE"/>
        </w:rPr>
        <w:t xml:space="preserve"> make </w:t>
      </w:r>
      <w:r w:rsidR="001A26BC" w:rsidRPr="00B8512B">
        <w:rPr>
          <w:rFonts w:ascii="Times New Roman" w:hAnsi="Times New Roman" w:cs="Times New Roman"/>
          <w:noProof/>
          <w:lang w:val="en-IE"/>
        </w:rPr>
        <w:t>the</w:t>
      </w:r>
      <w:r w:rsidR="00EF0378" w:rsidRPr="00B8512B">
        <w:rPr>
          <w:rFonts w:ascii="Times New Roman" w:hAnsi="Times New Roman" w:cs="Times New Roman"/>
          <w:noProof/>
          <w:lang w:val="en-IE"/>
        </w:rPr>
        <w:t xml:space="preserve"> reimbursement of costs for healthcare received in another Member State subject to prior authorisation. In light of Court of Justice</w:t>
      </w:r>
      <w:r w:rsidR="00A317B1" w:rsidRPr="00A317B1">
        <w:rPr>
          <w:rFonts w:ascii="Times New Roman" w:hAnsi="Times New Roman" w:cs="Times New Roman"/>
          <w:noProof/>
          <w:lang w:val="en-IE"/>
        </w:rPr>
        <w:t xml:space="preserve"> </w:t>
      </w:r>
      <w:r w:rsidR="00A317B1" w:rsidRPr="00B8512B">
        <w:rPr>
          <w:rFonts w:ascii="Times New Roman" w:hAnsi="Times New Roman" w:cs="Times New Roman"/>
          <w:noProof/>
          <w:lang w:val="en-IE"/>
        </w:rPr>
        <w:t>case law</w:t>
      </w:r>
      <w:r w:rsidR="00EF0378" w:rsidRPr="00B8512B">
        <w:rPr>
          <w:rFonts w:ascii="Times New Roman" w:hAnsi="Times New Roman" w:cs="Times New Roman"/>
          <w:noProof/>
          <w:lang w:val="en-IE"/>
        </w:rPr>
        <w:t>, such a requirement is a restriction to the free movement of services</w:t>
      </w:r>
      <w:bookmarkStart w:id="7" w:name="_Ref98417792"/>
      <w:r w:rsidR="007B0E7D" w:rsidRPr="00B8512B">
        <w:rPr>
          <w:rStyle w:val="FootnoteReference"/>
          <w:rFonts w:ascii="Times New Roman" w:hAnsi="Times New Roman" w:cs="Times New Roman"/>
          <w:noProof/>
          <w:lang w:val="en-IE"/>
        </w:rPr>
        <w:footnoteReference w:id="9"/>
      </w:r>
      <w:bookmarkEnd w:id="7"/>
      <w:r w:rsidR="00EF0378" w:rsidRPr="00B8512B">
        <w:rPr>
          <w:rFonts w:ascii="Times New Roman" w:hAnsi="Times New Roman" w:cs="Times New Roman"/>
          <w:noProof/>
          <w:lang w:val="en-IE"/>
        </w:rPr>
        <w:t xml:space="preserve">. Therefore, </w:t>
      </w:r>
      <w:r w:rsidR="00BA48A0" w:rsidRPr="00B8512B">
        <w:rPr>
          <w:rFonts w:ascii="Times New Roman" w:hAnsi="Times New Roman" w:cs="Times New Roman"/>
          <w:noProof/>
          <w:lang w:val="en-IE"/>
        </w:rPr>
        <w:t>as a rule</w:t>
      </w:r>
      <w:r w:rsidR="00BA48A0">
        <w:rPr>
          <w:rFonts w:ascii="Times New Roman" w:hAnsi="Times New Roman" w:cs="Times New Roman"/>
          <w:noProof/>
          <w:lang w:val="en-IE"/>
        </w:rPr>
        <w:t>,</w:t>
      </w:r>
      <w:r w:rsidR="00BA48A0" w:rsidRPr="00B8512B" w:rsidDel="00A317B1">
        <w:rPr>
          <w:rFonts w:ascii="Times New Roman" w:hAnsi="Times New Roman" w:cs="Times New Roman"/>
          <w:noProof/>
          <w:lang w:val="en-IE"/>
        </w:rPr>
        <w:t xml:space="preserve"> </w:t>
      </w:r>
      <w:r w:rsidR="00EF0378" w:rsidRPr="00B8512B">
        <w:rPr>
          <w:rFonts w:ascii="Times New Roman" w:hAnsi="Times New Roman" w:cs="Times New Roman"/>
          <w:noProof/>
          <w:lang w:val="en-IE"/>
        </w:rPr>
        <w:t>Member State</w:t>
      </w:r>
      <w:r w:rsidR="005923B0" w:rsidRPr="00B8512B">
        <w:rPr>
          <w:rFonts w:ascii="Times New Roman" w:hAnsi="Times New Roman" w:cs="Times New Roman"/>
          <w:noProof/>
          <w:lang w:val="en-IE"/>
        </w:rPr>
        <w:t>s</w:t>
      </w:r>
      <w:r w:rsidR="00EF0378" w:rsidRPr="00B8512B">
        <w:rPr>
          <w:rFonts w:ascii="Times New Roman" w:hAnsi="Times New Roman" w:cs="Times New Roman"/>
          <w:noProof/>
          <w:lang w:val="en-IE"/>
        </w:rPr>
        <w:t xml:space="preserve"> should not make </w:t>
      </w:r>
      <w:r w:rsidR="00A317B1" w:rsidRPr="00A317B1">
        <w:rPr>
          <w:rFonts w:ascii="Times New Roman" w:hAnsi="Times New Roman" w:cs="Times New Roman"/>
          <w:noProof/>
          <w:lang w:val="en-IE"/>
        </w:rPr>
        <w:t xml:space="preserve">reimbursement </w:t>
      </w:r>
      <w:r w:rsidR="00EF0378" w:rsidRPr="00B8512B">
        <w:rPr>
          <w:rFonts w:ascii="Times New Roman" w:hAnsi="Times New Roman" w:cs="Times New Roman"/>
          <w:noProof/>
          <w:lang w:val="en-IE"/>
        </w:rPr>
        <w:t xml:space="preserve">of cross-border healthcare </w:t>
      </w:r>
      <w:r w:rsidR="005923B0" w:rsidRPr="00B8512B">
        <w:rPr>
          <w:rFonts w:ascii="Times New Roman" w:hAnsi="Times New Roman" w:cs="Times New Roman"/>
          <w:noProof/>
          <w:lang w:val="en-IE"/>
        </w:rPr>
        <w:t xml:space="preserve">costs </w:t>
      </w:r>
      <w:r w:rsidR="00EF0378" w:rsidRPr="00B8512B">
        <w:rPr>
          <w:rFonts w:ascii="Times New Roman" w:hAnsi="Times New Roman" w:cs="Times New Roman"/>
          <w:noProof/>
          <w:lang w:val="en-IE"/>
        </w:rPr>
        <w:t>subject to prior authorisation</w:t>
      </w:r>
      <w:r w:rsidR="00EF0378" w:rsidRPr="00B8512B">
        <w:rPr>
          <w:rStyle w:val="FootnoteReference"/>
          <w:rFonts w:ascii="Times New Roman" w:hAnsi="Times New Roman" w:cs="Times New Roman"/>
          <w:noProof/>
          <w:lang w:val="en-IE"/>
        </w:rPr>
        <w:footnoteReference w:id="10"/>
      </w:r>
      <w:r w:rsidR="00EF0378" w:rsidRPr="00B8512B">
        <w:rPr>
          <w:rFonts w:ascii="Times New Roman" w:hAnsi="Times New Roman" w:cs="Times New Roman"/>
          <w:noProof/>
          <w:lang w:val="en-IE"/>
        </w:rPr>
        <w:t xml:space="preserve">. </w:t>
      </w:r>
      <w:r w:rsidR="00C53BB2" w:rsidRPr="00B8512B">
        <w:rPr>
          <w:rFonts w:ascii="Times New Roman" w:hAnsi="Times New Roman" w:cs="Times New Roman"/>
          <w:noProof/>
          <w:lang w:val="en-IE"/>
        </w:rPr>
        <w:t xml:space="preserve">However, </w:t>
      </w:r>
      <w:r w:rsidR="00624849" w:rsidRPr="00B8512B">
        <w:rPr>
          <w:rFonts w:ascii="Times New Roman" w:hAnsi="Times New Roman" w:cs="Times New Roman"/>
          <w:noProof/>
          <w:lang w:val="en-IE"/>
        </w:rPr>
        <w:t>Article 8(2)(a) allows Member States to use a system of prior authorisation for healthcare that is subject to planning requirements</w:t>
      </w:r>
      <w:r w:rsidR="00312DB0" w:rsidRPr="00B8512B">
        <w:rPr>
          <w:rFonts w:ascii="Times New Roman" w:hAnsi="Times New Roman" w:cs="Times New Roman"/>
          <w:noProof/>
          <w:lang w:val="en-IE"/>
        </w:rPr>
        <w:t xml:space="preserve"> to ensure access to high-quality treatment or to control costs</w:t>
      </w:r>
      <w:r w:rsidR="002E73E1" w:rsidRPr="00B8512B">
        <w:rPr>
          <w:rFonts w:ascii="Times New Roman" w:hAnsi="Times New Roman" w:cs="Times New Roman"/>
          <w:noProof/>
          <w:lang w:val="en-IE"/>
        </w:rPr>
        <w:t xml:space="preserve">, </w:t>
      </w:r>
      <w:r w:rsidR="006F1FAA" w:rsidRPr="00B8512B">
        <w:rPr>
          <w:rFonts w:ascii="Times New Roman" w:hAnsi="Times New Roman" w:cs="Times New Roman"/>
          <w:noProof/>
          <w:lang w:val="en-IE"/>
        </w:rPr>
        <w:t xml:space="preserve">and </w:t>
      </w:r>
      <w:r w:rsidR="00624849" w:rsidRPr="00B8512B">
        <w:rPr>
          <w:rFonts w:ascii="Times New Roman" w:hAnsi="Times New Roman" w:cs="Times New Roman"/>
          <w:noProof/>
          <w:lang w:val="en-IE"/>
        </w:rPr>
        <w:t xml:space="preserve">if </w:t>
      </w:r>
      <w:r w:rsidR="00E12B67" w:rsidRPr="00B8512B">
        <w:rPr>
          <w:rFonts w:ascii="Times New Roman" w:hAnsi="Times New Roman" w:cs="Times New Roman"/>
          <w:noProof/>
          <w:lang w:val="en-IE"/>
        </w:rPr>
        <w:t>this healthcare</w:t>
      </w:r>
      <w:r w:rsidR="00363BDC" w:rsidRPr="00B8512B">
        <w:rPr>
          <w:rFonts w:ascii="Times New Roman" w:hAnsi="Times New Roman" w:cs="Times New Roman"/>
          <w:noProof/>
          <w:lang w:val="en-IE"/>
        </w:rPr>
        <w:t>: (1)</w:t>
      </w:r>
      <w:r w:rsidR="00624849" w:rsidRPr="00B8512B">
        <w:rPr>
          <w:rFonts w:ascii="Times New Roman" w:hAnsi="Times New Roman" w:cs="Times New Roman"/>
          <w:noProof/>
          <w:lang w:val="en-IE"/>
        </w:rPr>
        <w:t xml:space="preserve"> involves overnight hospital </w:t>
      </w:r>
      <w:r w:rsidR="00C53BB2" w:rsidRPr="00B8512B">
        <w:rPr>
          <w:rFonts w:ascii="Times New Roman" w:hAnsi="Times New Roman" w:cs="Times New Roman"/>
          <w:noProof/>
          <w:lang w:val="en-IE"/>
        </w:rPr>
        <w:t>stay</w:t>
      </w:r>
      <w:r w:rsidR="005C7ED4" w:rsidRPr="00B8512B">
        <w:rPr>
          <w:rFonts w:ascii="Times New Roman" w:hAnsi="Times New Roman" w:cs="Times New Roman"/>
          <w:noProof/>
          <w:lang w:val="en-IE"/>
        </w:rPr>
        <w:t xml:space="preserve"> for at least one night</w:t>
      </w:r>
      <w:r w:rsidR="00A317B1">
        <w:rPr>
          <w:rFonts w:ascii="Times New Roman" w:hAnsi="Times New Roman" w:cs="Times New Roman"/>
          <w:noProof/>
          <w:lang w:val="en-IE"/>
        </w:rPr>
        <w:t>;</w:t>
      </w:r>
      <w:r w:rsidR="00C53BB2" w:rsidRPr="00B8512B">
        <w:rPr>
          <w:rFonts w:ascii="Times New Roman" w:hAnsi="Times New Roman" w:cs="Times New Roman"/>
          <w:noProof/>
          <w:lang w:val="en-IE"/>
        </w:rPr>
        <w:t xml:space="preserve"> </w:t>
      </w:r>
      <w:r w:rsidR="00624849" w:rsidRPr="00B8512B">
        <w:rPr>
          <w:rFonts w:ascii="Times New Roman" w:hAnsi="Times New Roman" w:cs="Times New Roman"/>
          <w:noProof/>
          <w:lang w:val="en-IE"/>
        </w:rPr>
        <w:t xml:space="preserve">or </w:t>
      </w:r>
      <w:r w:rsidR="00363BDC" w:rsidRPr="00B8512B">
        <w:rPr>
          <w:rFonts w:ascii="Times New Roman" w:hAnsi="Times New Roman" w:cs="Times New Roman"/>
          <w:noProof/>
          <w:lang w:val="en-IE"/>
        </w:rPr>
        <w:t xml:space="preserve">(2) </w:t>
      </w:r>
      <w:r w:rsidR="00624849" w:rsidRPr="00B8512B">
        <w:rPr>
          <w:rFonts w:ascii="Times New Roman" w:hAnsi="Times New Roman" w:cs="Times New Roman"/>
          <w:noProof/>
          <w:lang w:val="en-IE"/>
        </w:rPr>
        <w:t>requires use of highly specialised and cost-intensive medical infrastructure</w:t>
      </w:r>
      <w:r w:rsidR="00A317B1">
        <w:rPr>
          <w:rFonts w:ascii="Times New Roman" w:hAnsi="Times New Roman" w:cs="Times New Roman"/>
          <w:noProof/>
          <w:lang w:val="en-IE"/>
        </w:rPr>
        <w:t xml:space="preserve"> or </w:t>
      </w:r>
      <w:r w:rsidR="00624849" w:rsidRPr="00B8512B">
        <w:rPr>
          <w:rFonts w:ascii="Times New Roman" w:hAnsi="Times New Roman" w:cs="Times New Roman"/>
          <w:noProof/>
          <w:lang w:val="en-IE"/>
        </w:rPr>
        <w:t>equipment. Th</w:t>
      </w:r>
      <w:r w:rsidR="006F1FAA" w:rsidRPr="00B8512B">
        <w:rPr>
          <w:rFonts w:ascii="Times New Roman" w:hAnsi="Times New Roman" w:cs="Times New Roman"/>
          <w:noProof/>
          <w:lang w:val="en-IE"/>
        </w:rPr>
        <w:t>erefore</w:t>
      </w:r>
      <w:r w:rsidR="00E20329" w:rsidRPr="00B8512B">
        <w:rPr>
          <w:rFonts w:ascii="Times New Roman" w:hAnsi="Times New Roman" w:cs="Times New Roman"/>
          <w:noProof/>
          <w:lang w:val="en-IE"/>
        </w:rPr>
        <w:t>,</w:t>
      </w:r>
      <w:r w:rsidR="006F1FAA" w:rsidRPr="00B8512B">
        <w:rPr>
          <w:rFonts w:ascii="Times New Roman" w:hAnsi="Times New Roman" w:cs="Times New Roman"/>
          <w:noProof/>
          <w:lang w:val="en-IE"/>
        </w:rPr>
        <w:t xml:space="preserve"> </w:t>
      </w:r>
      <w:r w:rsidR="00624849" w:rsidRPr="00B8512B">
        <w:rPr>
          <w:rFonts w:ascii="Times New Roman" w:hAnsi="Times New Roman" w:cs="Times New Roman"/>
          <w:noProof/>
          <w:lang w:val="en-IE"/>
        </w:rPr>
        <w:t xml:space="preserve">no prior authorisation could be required for </w:t>
      </w:r>
      <w:r w:rsidR="001172E1" w:rsidRPr="00B8512B">
        <w:rPr>
          <w:rFonts w:ascii="Times New Roman" w:hAnsi="Times New Roman" w:cs="Times New Roman"/>
          <w:noProof/>
          <w:lang w:val="en-IE"/>
        </w:rPr>
        <w:t xml:space="preserve">a </w:t>
      </w:r>
      <w:r w:rsidR="00624849" w:rsidRPr="00B8512B">
        <w:rPr>
          <w:rFonts w:ascii="Times New Roman" w:hAnsi="Times New Roman" w:cs="Times New Roman"/>
          <w:noProof/>
          <w:lang w:val="en-IE"/>
        </w:rPr>
        <w:t>medical consultation in another Member State</w:t>
      </w:r>
      <w:r w:rsidR="00624849" w:rsidRPr="00B8512B">
        <w:rPr>
          <w:rStyle w:val="FootnoteReference"/>
          <w:rFonts w:ascii="Times New Roman" w:hAnsi="Times New Roman" w:cs="Times New Roman"/>
          <w:noProof/>
          <w:lang w:val="en-IE"/>
        </w:rPr>
        <w:footnoteReference w:id="11"/>
      </w:r>
      <w:r w:rsidR="00624849" w:rsidRPr="00B8512B">
        <w:rPr>
          <w:rFonts w:ascii="Times New Roman" w:hAnsi="Times New Roman" w:cs="Times New Roman"/>
          <w:noProof/>
          <w:lang w:val="en-IE"/>
        </w:rPr>
        <w:t>.</w:t>
      </w:r>
      <w:r w:rsidR="00296550" w:rsidRPr="00B8512B">
        <w:rPr>
          <w:rFonts w:ascii="Times New Roman" w:hAnsi="Times New Roman" w:cs="Times New Roman"/>
          <w:noProof/>
          <w:lang w:val="en-IE"/>
        </w:rPr>
        <w:t xml:space="preserve"> Under Article 8(7), </w:t>
      </w:r>
      <w:r w:rsidR="00624849" w:rsidRPr="00B8512B">
        <w:rPr>
          <w:rFonts w:ascii="Times New Roman" w:hAnsi="Times New Roman" w:cs="Times New Roman"/>
          <w:noProof/>
          <w:lang w:val="en-IE"/>
        </w:rPr>
        <w:t xml:space="preserve">Member States </w:t>
      </w:r>
      <w:r w:rsidR="005A49EE">
        <w:rPr>
          <w:rFonts w:ascii="Times New Roman" w:hAnsi="Times New Roman" w:cs="Times New Roman"/>
          <w:noProof/>
          <w:lang w:val="en-IE"/>
        </w:rPr>
        <w:t>‘</w:t>
      </w:r>
      <w:r w:rsidR="00296550" w:rsidRPr="00B8512B">
        <w:rPr>
          <w:rFonts w:ascii="Times New Roman" w:hAnsi="Times New Roman" w:cs="Times New Roman"/>
          <w:noProof/>
          <w:lang w:val="en-IE"/>
        </w:rPr>
        <w:t xml:space="preserve">shall </w:t>
      </w:r>
      <w:r w:rsidR="00624849" w:rsidRPr="00B8512B">
        <w:rPr>
          <w:rFonts w:ascii="Times New Roman" w:hAnsi="Times New Roman" w:cs="Times New Roman"/>
          <w:noProof/>
          <w:lang w:val="en-IE"/>
        </w:rPr>
        <w:t>make publicly available which healthcare is subject to prior authorisation.</w:t>
      </w:r>
      <w:r w:rsidR="005A49EE">
        <w:rPr>
          <w:rFonts w:ascii="Times New Roman" w:hAnsi="Times New Roman" w:cs="Times New Roman"/>
          <w:noProof/>
          <w:lang w:val="en-IE"/>
        </w:rPr>
        <w:t>’</w:t>
      </w:r>
    </w:p>
    <w:p w14:paraId="41FC1CB3" w14:textId="252A2BD9" w:rsidR="00256957" w:rsidRPr="00B8512B" w:rsidRDefault="001172E1">
      <w:pPr>
        <w:rPr>
          <w:rFonts w:ascii="Times New Roman" w:hAnsi="Times New Roman" w:cs="Times New Roman"/>
          <w:noProof/>
          <w:lang w:val="en-IE"/>
        </w:rPr>
      </w:pPr>
      <w:r w:rsidRPr="00B8512B">
        <w:rPr>
          <w:rFonts w:ascii="Times New Roman" w:hAnsi="Times New Roman" w:cs="Times New Roman"/>
          <w:noProof/>
          <w:lang w:val="en-IE"/>
        </w:rPr>
        <w:t xml:space="preserve">The Court of Justice </w:t>
      </w:r>
      <w:r w:rsidR="00ED5946" w:rsidRPr="00B8512B">
        <w:rPr>
          <w:rFonts w:ascii="Times New Roman" w:hAnsi="Times New Roman" w:cs="Times New Roman"/>
          <w:noProof/>
          <w:lang w:val="en-IE"/>
        </w:rPr>
        <w:t xml:space="preserve">has </w:t>
      </w:r>
      <w:r w:rsidRPr="00B8512B">
        <w:rPr>
          <w:rFonts w:ascii="Times New Roman" w:hAnsi="Times New Roman" w:cs="Times New Roman"/>
          <w:noProof/>
          <w:lang w:val="en-IE"/>
        </w:rPr>
        <w:t xml:space="preserve">clarified that </w:t>
      </w:r>
      <w:r w:rsidR="005D319F" w:rsidRPr="00B8512B">
        <w:rPr>
          <w:rFonts w:ascii="Times New Roman" w:hAnsi="Times New Roman" w:cs="Times New Roman"/>
          <w:noProof/>
          <w:lang w:val="en-IE"/>
        </w:rPr>
        <w:t>application</w:t>
      </w:r>
      <w:r w:rsidR="005A49EE">
        <w:rPr>
          <w:rFonts w:ascii="Times New Roman" w:hAnsi="Times New Roman" w:cs="Times New Roman"/>
          <w:noProof/>
          <w:lang w:val="en-IE"/>
        </w:rPr>
        <w:t>s</w:t>
      </w:r>
      <w:r w:rsidR="005D319F" w:rsidRPr="00B8512B">
        <w:rPr>
          <w:rFonts w:ascii="Times New Roman" w:hAnsi="Times New Roman" w:cs="Times New Roman"/>
          <w:noProof/>
          <w:lang w:val="en-IE"/>
        </w:rPr>
        <w:t xml:space="preserve"> for prior authorisation </w:t>
      </w:r>
      <w:r w:rsidR="005A49EE">
        <w:rPr>
          <w:rFonts w:ascii="Times New Roman" w:hAnsi="Times New Roman" w:cs="Times New Roman"/>
          <w:noProof/>
          <w:lang w:val="en-IE"/>
        </w:rPr>
        <w:t>have</w:t>
      </w:r>
      <w:r w:rsidR="005A49EE" w:rsidRPr="00B8512B">
        <w:rPr>
          <w:rFonts w:ascii="Times New Roman" w:hAnsi="Times New Roman" w:cs="Times New Roman"/>
          <w:noProof/>
          <w:lang w:val="en-IE"/>
        </w:rPr>
        <w:t xml:space="preserve"> </w:t>
      </w:r>
      <w:r w:rsidR="005D319F" w:rsidRPr="00B8512B">
        <w:rPr>
          <w:rFonts w:ascii="Times New Roman" w:hAnsi="Times New Roman" w:cs="Times New Roman"/>
          <w:noProof/>
          <w:lang w:val="en-IE"/>
        </w:rPr>
        <w:t>to be assessed in line with the Charter of Fundamental Rights</w:t>
      </w:r>
      <w:r w:rsidR="005D319F" w:rsidRPr="00B8512B">
        <w:rPr>
          <w:rStyle w:val="FootnoteReference"/>
          <w:rFonts w:ascii="Times New Roman" w:hAnsi="Times New Roman" w:cs="Times New Roman"/>
          <w:noProof/>
          <w:lang w:val="en-IE"/>
        </w:rPr>
        <w:footnoteReference w:id="12"/>
      </w:r>
      <w:r w:rsidR="005D319F" w:rsidRPr="00B8512B">
        <w:rPr>
          <w:rFonts w:ascii="Times New Roman" w:hAnsi="Times New Roman" w:cs="Times New Roman"/>
          <w:noProof/>
          <w:lang w:val="en-IE"/>
        </w:rPr>
        <w:t xml:space="preserve">. </w:t>
      </w:r>
      <w:r w:rsidR="00C673EC" w:rsidRPr="00B8512B">
        <w:rPr>
          <w:rFonts w:ascii="Times New Roman" w:hAnsi="Times New Roman" w:cs="Times New Roman"/>
          <w:noProof/>
          <w:lang w:val="en-IE"/>
        </w:rPr>
        <w:t>Therefore, a</w:t>
      </w:r>
      <w:r w:rsidR="005D319F" w:rsidRPr="00B8512B">
        <w:rPr>
          <w:rFonts w:ascii="Times New Roman" w:hAnsi="Times New Roman" w:cs="Times New Roman"/>
          <w:noProof/>
          <w:lang w:val="en-IE"/>
        </w:rPr>
        <w:t xml:space="preserve"> Member State may refuse to grant </w:t>
      </w:r>
      <w:r w:rsidR="00477FBC" w:rsidRPr="00B8512B">
        <w:rPr>
          <w:rFonts w:ascii="Times New Roman" w:hAnsi="Times New Roman" w:cs="Times New Roman"/>
          <w:noProof/>
          <w:lang w:val="en-IE"/>
        </w:rPr>
        <w:t xml:space="preserve">the patient an authorisation for </w:t>
      </w:r>
      <w:r w:rsidR="005D319F" w:rsidRPr="00B8512B">
        <w:rPr>
          <w:rFonts w:ascii="Times New Roman" w:hAnsi="Times New Roman" w:cs="Times New Roman"/>
          <w:noProof/>
          <w:lang w:val="en-IE"/>
        </w:rPr>
        <w:t xml:space="preserve">medical treatment in another </w:t>
      </w:r>
      <w:r w:rsidR="00E15869" w:rsidRPr="00B8512B">
        <w:rPr>
          <w:rFonts w:ascii="Times New Roman" w:hAnsi="Times New Roman" w:cs="Times New Roman"/>
          <w:noProof/>
          <w:lang w:val="en-IE"/>
        </w:rPr>
        <w:t>EU country</w:t>
      </w:r>
      <w:r w:rsidR="00C673EC" w:rsidRPr="00B8512B">
        <w:rPr>
          <w:rFonts w:ascii="Times New Roman" w:hAnsi="Times New Roman" w:cs="Times New Roman"/>
          <w:noProof/>
          <w:lang w:val="en-IE"/>
        </w:rPr>
        <w:t>,</w:t>
      </w:r>
      <w:r w:rsidR="005D319F" w:rsidRPr="00B8512B">
        <w:rPr>
          <w:rFonts w:ascii="Times New Roman" w:hAnsi="Times New Roman" w:cs="Times New Roman"/>
          <w:noProof/>
          <w:lang w:val="en-IE"/>
        </w:rPr>
        <w:t xml:space="preserve"> </w:t>
      </w:r>
      <w:r w:rsidR="005A49EE">
        <w:rPr>
          <w:rFonts w:ascii="Times New Roman" w:hAnsi="Times New Roman" w:cs="Times New Roman"/>
          <w:noProof/>
          <w:lang w:val="en-IE"/>
        </w:rPr>
        <w:t xml:space="preserve">but </w:t>
      </w:r>
      <w:r w:rsidR="005D319F" w:rsidRPr="00B8512B">
        <w:rPr>
          <w:rFonts w:ascii="Times New Roman" w:hAnsi="Times New Roman" w:cs="Times New Roman"/>
          <w:noProof/>
          <w:lang w:val="en-IE"/>
        </w:rPr>
        <w:t xml:space="preserve">only if such refusal is necessary and proportionate to the objective to be achieved, </w:t>
      </w:r>
      <w:r w:rsidR="00477FBC" w:rsidRPr="00B8512B">
        <w:rPr>
          <w:rFonts w:ascii="Times New Roman" w:hAnsi="Times New Roman" w:cs="Times New Roman"/>
          <w:noProof/>
          <w:lang w:val="en-IE"/>
        </w:rPr>
        <w:t>such as maintaining treatment capacity or medical competence</w:t>
      </w:r>
      <w:r w:rsidR="00477FBC" w:rsidRPr="00B8512B">
        <w:rPr>
          <w:rStyle w:val="FootnoteReference"/>
          <w:rFonts w:ascii="Times New Roman" w:hAnsi="Times New Roman" w:cs="Times New Roman"/>
          <w:noProof/>
          <w:lang w:val="en-IE"/>
        </w:rPr>
        <w:footnoteReference w:id="13"/>
      </w:r>
      <w:r w:rsidR="005D319F" w:rsidRPr="00B8512B">
        <w:rPr>
          <w:rFonts w:ascii="Times New Roman" w:hAnsi="Times New Roman" w:cs="Times New Roman"/>
          <w:noProof/>
          <w:lang w:val="en-IE"/>
        </w:rPr>
        <w:t xml:space="preserve">. </w:t>
      </w:r>
      <w:r w:rsidR="00256957" w:rsidRPr="00B8512B">
        <w:rPr>
          <w:rFonts w:ascii="Times New Roman" w:hAnsi="Times New Roman" w:cs="Times New Roman"/>
          <w:noProof/>
          <w:lang w:val="en-IE"/>
        </w:rPr>
        <w:t xml:space="preserve">Moreover, </w:t>
      </w:r>
      <w:r w:rsidR="00296550" w:rsidRPr="00B8512B">
        <w:rPr>
          <w:rFonts w:ascii="Times New Roman" w:hAnsi="Times New Roman" w:cs="Times New Roman"/>
          <w:noProof/>
          <w:lang w:val="en-IE"/>
        </w:rPr>
        <w:t xml:space="preserve">the Court of Justice has </w:t>
      </w:r>
      <w:r w:rsidR="004C4DF8">
        <w:rPr>
          <w:rFonts w:ascii="Times New Roman" w:hAnsi="Times New Roman" w:cs="Times New Roman"/>
          <w:noProof/>
          <w:lang w:val="en-IE"/>
        </w:rPr>
        <w:t>clarified</w:t>
      </w:r>
      <w:r w:rsidR="004C4DF8" w:rsidRPr="00B8512B">
        <w:rPr>
          <w:rFonts w:ascii="Times New Roman" w:hAnsi="Times New Roman" w:cs="Times New Roman"/>
          <w:noProof/>
          <w:lang w:val="en-IE"/>
        </w:rPr>
        <w:t xml:space="preserve"> </w:t>
      </w:r>
      <w:r w:rsidR="00296550" w:rsidRPr="00B8512B">
        <w:rPr>
          <w:rFonts w:ascii="Times New Roman" w:hAnsi="Times New Roman" w:cs="Times New Roman"/>
          <w:noProof/>
          <w:lang w:val="en-IE"/>
        </w:rPr>
        <w:t xml:space="preserve">that </w:t>
      </w:r>
      <w:r w:rsidR="00256957" w:rsidRPr="00B8512B">
        <w:rPr>
          <w:rFonts w:ascii="Times New Roman" w:hAnsi="Times New Roman" w:cs="Times New Roman"/>
          <w:noProof/>
          <w:lang w:val="en-IE"/>
        </w:rPr>
        <w:t xml:space="preserve">national legislation that excludes reimbursement without prior authorisation of costs connected to </w:t>
      </w:r>
      <w:r w:rsidR="008139A7" w:rsidRPr="00B8512B">
        <w:rPr>
          <w:rFonts w:ascii="Times New Roman" w:hAnsi="Times New Roman" w:cs="Times New Roman"/>
          <w:noProof/>
          <w:lang w:val="en-IE"/>
        </w:rPr>
        <w:t>urgent treatment</w:t>
      </w:r>
      <w:r w:rsidR="00256957" w:rsidRPr="00B8512B">
        <w:rPr>
          <w:rFonts w:ascii="Times New Roman" w:hAnsi="Times New Roman" w:cs="Times New Roman"/>
          <w:noProof/>
          <w:lang w:val="en-IE"/>
        </w:rPr>
        <w:t xml:space="preserve"> undergone by an insured person in another Member </w:t>
      </w:r>
      <w:r w:rsidR="00296550" w:rsidRPr="00B8512B">
        <w:rPr>
          <w:rFonts w:ascii="Times New Roman" w:hAnsi="Times New Roman" w:cs="Times New Roman"/>
          <w:noProof/>
          <w:lang w:val="en-IE"/>
        </w:rPr>
        <w:t>State</w:t>
      </w:r>
      <w:r w:rsidR="00256957" w:rsidRPr="00B8512B">
        <w:rPr>
          <w:rFonts w:ascii="Times New Roman" w:hAnsi="Times New Roman" w:cs="Times New Roman"/>
          <w:noProof/>
          <w:lang w:val="en-IE"/>
        </w:rPr>
        <w:t xml:space="preserve"> is not consistent with the free</w:t>
      </w:r>
      <w:r w:rsidR="00296550" w:rsidRPr="00B8512B">
        <w:rPr>
          <w:rFonts w:ascii="Times New Roman" w:hAnsi="Times New Roman" w:cs="Times New Roman"/>
          <w:noProof/>
          <w:lang w:val="en-IE"/>
        </w:rPr>
        <w:t xml:space="preserve"> movement of </w:t>
      </w:r>
      <w:r w:rsidR="00256957" w:rsidRPr="00B8512B">
        <w:rPr>
          <w:rFonts w:ascii="Times New Roman" w:hAnsi="Times New Roman" w:cs="Times New Roman"/>
          <w:noProof/>
          <w:lang w:val="en-IE"/>
        </w:rPr>
        <w:t xml:space="preserve">services </w:t>
      </w:r>
      <w:r w:rsidR="004C4DF8">
        <w:rPr>
          <w:rFonts w:ascii="Times New Roman" w:hAnsi="Times New Roman" w:cs="Times New Roman"/>
          <w:noProof/>
          <w:lang w:val="en-IE"/>
        </w:rPr>
        <w:t xml:space="preserve">principle </w:t>
      </w:r>
      <w:r w:rsidR="00256957" w:rsidRPr="00B8512B">
        <w:rPr>
          <w:rFonts w:ascii="Times New Roman" w:hAnsi="Times New Roman" w:cs="Times New Roman"/>
          <w:noProof/>
          <w:lang w:val="en-IE"/>
        </w:rPr>
        <w:t>and the Directive</w:t>
      </w:r>
      <w:r w:rsidR="00256957" w:rsidRPr="00B8512B">
        <w:rPr>
          <w:rStyle w:val="FootnoteReference"/>
          <w:rFonts w:ascii="Times New Roman" w:hAnsi="Times New Roman" w:cs="Times New Roman"/>
          <w:noProof/>
          <w:lang w:val="en-IE"/>
        </w:rPr>
        <w:footnoteReference w:id="14"/>
      </w:r>
      <w:r w:rsidR="00256957" w:rsidRPr="00B8512B">
        <w:rPr>
          <w:rFonts w:ascii="Times New Roman" w:hAnsi="Times New Roman" w:cs="Times New Roman"/>
          <w:noProof/>
          <w:lang w:val="en-IE"/>
        </w:rPr>
        <w:t>.</w:t>
      </w:r>
    </w:p>
    <w:p w14:paraId="08408706" w14:textId="588BD82B" w:rsidR="00EF0378" w:rsidRPr="00B8512B" w:rsidRDefault="006F1FAA">
      <w:pPr>
        <w:rPr>
          <w:rFonts w:ascii="Times New Roman" w:hAnsi="Times New Roman" w:cs="Times New Roman"/>
          <w:noProof/>
          <w:lang w:val="en-IE"/>
        </w:rPr>
      </w:pPr>
      <w:r w:rsidRPr="00B8512B">
        <w:rPr>
          <w:rFonts w:ascii="Times New Roman" w:hAnsi="Times New Roman" w:cs="Times New Roman"/>
          <w:noProof/>
          <w:lang w:val="en-IE"/>
        </w:rPr>
        <w:t>O</w:t>
      </w:r>
      <w:r w:rsidR="00CB24C6" w:rsidRPr="00B8512B">
        <w:rPr>
          <w:rFonts w:ascii="Times New Roman" w:hAnsi="Times New Roman" w:cs="Times New Roman"/>
          <w:noProof/>
          <w:lang w:val="en-IE"/>
        </w:rPr>
        <w:t xml:space="preserve">nly </w:t>
      </w:r>
      <w:r w:rsidR="004E3503" w:rsidRPr="00B8512B">
        <w:rPr>
          <w:rFonts w:ascii="Times New Roman" w:hAnsi="Times New Roman" w:cs="Times New Roman"/>
          <w:noProof/>
          <w:lang w:val="en-IE"/>
        </w:rPr>
        <w:t>seven</w:t>
      </w:r>
      <w:r w:rsidR="00EF0378" w:rsidRPr="00B8512B">
        <w:rPr>
          <w:rFonts w:ascii="Times New Roman" w:hAnsi="Times New Roman" w:cs="Times New Roman"/>
          <w:noProof/>
          <w:lang w:val="en-IE"/>
        </w:rPr>
        <w:t xml:space="preserve"> Member States and one EEA EFTA State</w:t>
      </w:r>
      <w:r w:rsidR="00EF0378" w:rsidRPr="00B8512B">
        <w:rPr>
          <w:rStyle w:val="FootnoteReference"/>
          <w:rFonts w:ascii="Times New Roman" w:hAnsi="Times New Roman" w:cs="Times New Roman"/>
          <w:noProof/>
          <w:lang w:val="en-IE"/>
        </w:rPr>
        <w:footnoteReference w:id="15"/>
      </w:r>
      <w:r w:rsidR="00EF0378" w:rsidRPr="00B8512B">
        <w:rPr>
          <w:rFonts w:ascii="Times New Roman" w:hAnsi="Times New Roman" w:cs="Times New Roman"/>
          <w:noProof/>
          <w:lang w:val="en-IE"/>
        </w:rPr>
        <w:t xml:space="preserve"> have no prior authorisation system in place</w:t>
      </w:r>
      <w:r w:rsidR="00D4016E">
        <w:rPr>
          <w:rFonts w:ascii="Times New Roman" w:hAnsi="Times New Roman" w:cs="Times New Roman"/>
          <w:noProof/>
          <w:lang w:val="en-IE"/>
        </w:rPr>
        <w:t>, thus</w:t>
      </w:r>
      <w:r w:rsidR="00801E66">
        <w:rPr>
          <w:rFonts w:ascii="Times New Roman" w:hAnsi="Times New Roman" w:cs="Times New Roman"/>
          <w:noProof/>
          <w:lang w:val="en-IE"/>
        </w:rPr>
        <w:t xml:space="preserve"> </w:t>
      </w:r>
      <w:r w:rsidR="00D4016E" w:rsidRPr="00B8512B">
        <w:rPr>
          <w:rFonts w:ascii="Times New Roman" w:hAnsi="Times New Roman" w:cs="Times New Roman"/>
          <w:noProof/>
          <w:lang w:val="en-IE"/>
        </w:rPr>
        <w:t>giv</w:t>
      </w:r>
      <w:r w:rsidR="00D4016E">
        <w:rPr>
          <w:rFonts w:ascii="Times New Roman" w:hAnsi="Times New Roman" w:cs="Times New Roman"/>
          <w:noProof/>
          <w:lang w:val="en-IE"/>
        </w:rPr>
        <w:t>ing</w:t>
      </w:r>
      <w:r w:rsidR="00D4016E"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patients </w:t>
      </w:r>
      <w:r w:rsidR="00401904" w:rsidRPr="00B8512B">
        <w:rPr>
          <w:rFonts w:ascii="Times New Roman" w:hAnsi="Times New Roman" w:cs="Times New Roman"/>
          <w:noProof/>
          <w:lang w:val="en-IE"/>
        </w:rPr>
        <w:t xml:space="preserve">the </w:t>
      </w:r>
      <w:r w:rsidR="00EF0378" w:rsidRPr="00B8512B">
        <w:rPr>
          <w:rFonts w:ascii="Times New Roman" w:hAnsi="Times New Roman" w:cs="Times New Roman"/>
          <w:noProof/>
          <w:lang w:val="en-IE"/>
        </w:rPr>
        <w:t xml:space="preserve">freedom to choose a healthcare provider abroad and </w:t>
      </w:r>
      <w:r w:rsidR="00801E66" w:rsidRPr="00B8512B">
        <w:rPr>
          <w:rFonts w:ascii="Times New Roman" w:hAnsi="Times New Roman" w:cs="Times New Roman"/>
          <w:noProof/>
          <w:lang w:val="en-IE"/>
        </w:rPr>
        <w:t>reduc</w:t>
      </w:r>
      <w:r w:rsidR="00801E66">
        <w:rPr>
          <w:rFonts w:ascii="Times New Roman" w:hAnsi="Times New Roman" w:cs="Times New Roman"/>
          <w:noProof/>
          <w:lang w:val="en-IE"/>
        </w:rPr>
        <w:t>es</w:t>
      </w:r>
      <w:r w:rsidR="00801E66"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administrative burden.</w:t>
      </w:r>
    </w:p>
    <w:p w14:paraId="766F92DE" w14:textId="25D38D1E" w:rsidR="00381ED3" w:rsidRPr="00B8512B" w:rsidRDefault="005A0004">
      <w:pPr>
        <w:rPr>
          <w:rFonts w:ascii="Times New Roman" w:hAnsi="Times New Roman" w:cs="Times New Roman"/>
          <w:noProof/>
          <w:lang w:val="en-IE"/>
        </w:rPr>
      </w:pPr>
      <w:r w:rsidRPr="00B8512B">
        <w:rPr>
          <w:rFonts w:ascii="Times New Roman" w:hAnsi="Times New Roman" w:cs="Times New Roman"/>
          <w:noProof/>
          <w:lang w:val="en-IE"/>
        </w:rPr>
        <w:t xml:space="preserve">All </w:t>
      </w:r>
      <w:r w:rsidR="00745123" w:rsidRPr="00B8512B">
        <w:rPr>
          <w:rFonts w:ascii="Times New Roman" w:hAnsi="Times New Roman" w:cs="Times New Roman"/>
          <w:noProof/>
          <w:lang w:val="en-IE"/>
        </w:rPr>
        <w:t xml:space="preserve">other </w:t>
      </w:r>
      <w:r w:rsidR="00296550" w:rsidRPr="00B8512B">
        <w:rPr>
          <w:rFonts w:ascii="Times New Roman" w:hAnsi="Times New Roman" w:cs="Times New Roman"/>
          <w:noProof/>
          <w:lang w:val="en-IE"/>
        </w:rPr>
        <w:t>countries</w:t>
      </w:r>
      <w:r w:rsidR="00381ED3" w:rsidRPr="00B8512B">
        <w:rPr>
          <w:rFonts w:ascii="Times New Roman" w:hAnsi="Times New Roman" w:cs="Times New Roman"/>
          <w:noProof/>
          <w:lang w:val="en-IE"/>
        </w:rPr>
        <w:t xml:space="preserve"> have </w:t>
      </w:r>
      <w:r w:rsidR="0023039D" w:rsidRPr="00B8512B">
        <w:rPr>
          <w:rFonts w:ascii="Times New Roman" w:hAnsi="Times New Roman" w:cs="Times New Roman"/>
          <w:noProof/>
          <w:lang w:val="en-IE"/>
        </w:rPr>
        <w:t xml:space="preserve">a </w:t>
      </w:r>
      <w:r w:rsidR="00381ED3" w:rsidRPr="00B8512B">
        <w:rPr>
          <w:rFonts w:ascii="Times New Roman" w:hAnsi="Times New Roman" w:cs="Times New Roman"/>
          <w:noProof/>
          <w:lang w:val="en-IE"/>
        </w:rPr>
        <w:t xml:space="preserve">prior authorisation </w:t>
      </w:r>
      <w:r w:rsidR="006D261C" w:rsidRPr="00B8512B">
        <w:rPr>
          <w:rFonts w:ascii="Times New Roman" w:hAnsi="Times New Roman" w:cs="Times New Roman"/>
          <w:noProof/>
          <w:lang w:val="en-IE"/>
        </w:rPr>
        <w:t>system</w:t>
      </w:r>
      <w:r w:rsidR="00801E66">
        <w:rPr>
          <w:rFonts w:ascii="Times New Roman" w:hAnsi="Times New Roman" w:cs="Times New Roman"/>
          <w:noProof/>
          <w:lang w:val="en-IE"/>
        </w:rPr>
        <w:t>,</w:t>
      </w:r>
      <w:r w:rsidR="006D261C" w:rsidRPr="00B8512B">
        <w:rPr>
          <w:rFonts w:ascii="Times New Roman" w:hAnsi="Times New Roman" w:cs="Times New Roman"/>
          <w:noProof/>
          <w:lang w:val="en-IE"/>
        </w:rPr>
        <w:t xml:space="preserve"> primarily</w:t>
      </w:r>
      <w:r w:rsidR="00401904" w:rsidRPr="00B8512B">
        <w:rPr>
          <w:rFonts w:ascii="Times New Roman" w:hAnsi="Times New Roman" w:cs="Times New Roman"/>
          <w:noProof/>
          <w:lang w:val="en-IE"/>
        </w:rPr>
        <w:t xml:space="preserve"> for </w:t>
      </w:r>
      <w:r w:rsidR="00292267" w:rsidRPr="00B8512B">
        <w:rPr>
          <w:rFonts w:ascii="Times New Roman" w:hAnsi="Times New Roman" w:cs="Times New Roman"/>
          <w:noProof/>
          <w:lang w:val="en-IE"/>
        </w:rPr>
        <w:t>the protection of their healthcare systems</w:t>
      </w:r>
      <w:r w:rsidR="00801E66">
        <w:rPr>
          <w:rFonts w:ascii="Times New Roman" w:hAnsi="Times New Roman" w:cs="Times New Roman"/>
          <w:noProof/>
          <w:lang w:val="en-IE"/>
        </w:rPr>
        <w:t>.</w:t>
      </w:r>
      <w:r w:rsidRPr="00B8512B">
        <w:rPr>
          <w:rFonts w:ascii="Times New Roman" w:hAnsi="Times New Roman" w:cs="Times New Roman"/>
          <w:noProof/>
          <w:lang w:val="en-IE"/>
        </w:rPr>
        <w:t xml:space="preserve"> </w:t>
      </w:r>
      <w:r w:rsidR="00801E66">
        <w:rPr>
          <w:rFonts w:ascii="Times New Roman" w:hAnsi="Times New Roman" w:cs="Times New Roman"/>
          <w:noProof/>
          <w:lang w:val="en-IE"/>
        </w:rPr>
        <w:t>T</w:t>
      </w:r>
      <w:r w:rsidR="00292267" w:rsidRPr="00B8512B">
        <w:rPr>
          <w:rFonts w:ascii="Times New Roman" w:hAnsi="Times New Roman" w:cs="Times New Roman"/>
          <w:noProof/>
          <w:lang w:val="en-IE"/>
        </w:rPr>
        <w:t>he Directive</w:t>
      </w:r>
      <w:r w:rsidR="00401904" w:rsidRPr="00B8512B">
        <w:rPr>
          <w:rFonts w:ascii="Times New Roman" w:hAnsi="Times New Roman" w:cs="Times New Roman"/>
          <w:noProof/>
          <w:lang w:val="en-IE"/>
        </w:rPr>
        <w:t xml:space="preserve">’s </w:t>
      </w:r>
      <w:r w:rsidR="006D261C" w:rsidRPr="00B8512B">
        <w:rPr>
          <w:rFonts w:ascii="Times New Roman" w:hAnsi="Times New Roman" w:cs="Times New Roman"/>
          <w:noProof/>
          <w:lang w:val="en-IE"/>
        </w:rPr>
        <w:t>effect on</w:t>
      </w:r>
      <w:r w:rsidR="00AE79ED" w:rsidRPr="00B8512B">
        <w:rPr>
          <w:rFonts w:ascii="Times New Roman" w:hAnsi="Times New Roman" w:cs="Times New Roman"/>
          <w:noProof/>
          <w:lang w:val="en-IE"/>
        </w:rPr>
        <w:t xml:space="preserve"> the </w:t>
      </w:r>
      <w:r w:rsidR="00292267" w:rsidRPr="00B8512B">
        <w:rPr>
          <w:rFonts w:ascii="Times New Roman" w:hAnsi="Times New Roman" w:cs="Times New Roman"/>
          <w:noProof/>
          <w:lang w:val="en-IE"/>
        </w:rPr>
        <w:t xml:space="preserve">systems was uncertain </w:t>
      </w:r>
      <w:r w:rsidR="001A26BC" w:rsidRPr="00B8512B">
        <w:rPr>
          <w:rFonts w:ascii="Times New Roman" w:hAnsi="Times New Roman" w:cs="Times New Roman"/>
          <w:noProof/>
          <w:lang w:val="en-IE"/>
        </w:rPr>
        <w:t xml:space="preserve">at the time of transposition </w:t>
      </w:r>
      <w:r w:rsidR="00292267" w:rsidRPr="00B8512B">
        <w:rPr>
          <w:rFonts w:ascii="Times New Roman" w:hAnsi="Times New Roman" w:cs="Times New Roman"/>
          <w:noProof/>
          <w:lang w:val="en-IE"/>
        </w:rPr>
        <w:t xml:space="preserve">and </w:t>
      </w:r>
      <w:r w:rsidRPr="00B8512B">
        <w:rPr>
          <w:rFonts w:ascii="Times New Roman" w:hAnsi="Times New Roman" w:cs="Times New Roman"/>
          <w:noProof/>
          <w:lang w:val="en-IE"/>
        </w:rPr>
        <w:t xml:space="preserve">the use of prior authorisation </w:t>
      </w:r>
      <w:r w:rsidR="00292267" w:rsidRPr="00B8512B">
        <w:rPr>
          <w:rFonts w:ascii="Times New Roman" w:hAnsi="Times New Roman" w:cs="Times New Roman"/>
          <w:noProof/>
          <w:lang w:val="en-IE"/>
        </w:rPr>
        <w:t>was a means to monitor this effect</w:t>
      </w:r>
      <w:r w:rsidR="00292267" w:rsidRPr="00B8512B">
        <w:rPr>
          <w:rStyle w:val="FootnoteReference"/>
          <w:rFonts w:ascii="Times New Roman" w:hAnsi="Times New Roman" w:cs="Times New Roman"/>
          <w:noProof/>
          <w:lang w:val="en-IE"/>
        </w:rPr>
        <w:footnoteReference w:id="16"/>
      </w:r>
      <w:r w:rsidR="00292267" w:rsidRPr="00B8512B">
        <w:rPr>
          <w:rFonts w:ascii="Times New Roman" w:hAnsi="Times New Roman" w:cs="Times New Roman"/>
          <w:noProof/>
          <w:lang w:val="en-IE"/>
        </w:rPr>
        <w:t>.</w:t>
      </w:r>
    </w:p>
    <w:p w14:paraId="407D7BF6" w14:textId="6D8FE296" w:rsidR="00D92973" w:rsidRPr="00B8512B" w:rsidRDefault="009B0BBB">
      <w:pPr>
        <w:rPr>
          <w:rFonts w:ascii="Times New Roman" w:hAnsi="Times New Roman" w:cs="Times New Roman"/>
          <w:noProof/>
          <w:lang w:val="en-IE"/>
        </w:rPr>
      </w:pPr>
      <w:r w:rsidRPr="00B8512B">
        <w:rPr>
          <w:rFonts w:ascii="Times New Roman" w:hAnsi="Times New Roman" w:cs="Times New Roman"/>
          <w:noProof/>
          <w:lang w:val="en-IE"/>
        </w:rPr>
        <w:t xml:space="preserve">The Commission </w:t>
      </w:r>
      <w:r w:rsidR="005A0004" w:rsidRPr="00B8512B">
        <w:rPr>
          <w:rFonts w:ascii="Times New Roman" w:hAnsi="Times New Roman" w:cs="Times New Roman"/>
          <w:noProof/>
          <w:lang w:val="en-IE"/>
        </w:rPr>
        <w:t xml:space="preserve">remains </w:t>
      </w:r>
      <w:r w:rsidR="00274408" w:rsidRPr="00B8512B">
        <w:rPr>
          <w:rFonts w:ascii="Times New Roman" w:hAnsi="Times New Roman" w:cs="Times New Roman"/>
          <w:noProof/>
          <w:lang w:val="en-IE"/>
        </w:rPr>
        <w:t xml:space="preserve">highly </w:t>
      </w:r>
      <w:r w:rsidR="005A0004" w:rsidRPr="00B8512B">
        <w:rPr>
          <w:rFonts w:ascii="Times New Roman" w:hAnsi="Times New Roman" w:cs="Times New Roman"/>
          <w:noProof/>
          <w:lang w:val="en-IE"/>
        </w:rPr>
        <w:t xml:space="preserve">concerned that national </w:t>
      </w:r>
      <w:r w:rsidRPr="00B8512B">
        <w:rPr>
          <w:rFonts w:ascii="Times New Roman" w:hAnsi="Times New Roman" w:cs="Times New Roman"/>
          <w:noProof/>
          <w:lang w:val="en-IE"/>
        </w:rPr>
        <w:t xml:space="preserve">systems of prior authorisation </w:t>
      </w:r>
      <w:r w:rsidR="00801E66">
        <w:rPr>
          <w:rFonts w:ascii="Times New Roman" w:hAnsi="Times New Roman" w:cs="Times New Roman"/>
          <w:noProof/>
          <w:lang w:val="en-IE"/>
        </w:rPr>
        <w:t>must meet</w:t>
      </w:r>
      <w:r w:rsidR="00801E66" w:rsidRPr="00B8512B">
        <w:rPr>
          <w:rFonts w:ascii="Times New Roman" w:hAnsi="Times New Roman" w:cs="Times New Roman"/>
          <w:noProof/>
          <w:lang w:val="en-IE"/>
        </w:rPr>
        <w:t xml:space="preserve"> </w:t>
      </w:r>
      <w:r w:rsidR="00907B45" w:rsidRPr="00B8512B">
        <w:rPr>
          <w:rFonts w:ascii="Times New Roman" w:hAnsi="Times New Roman" w:cs="Times New Roman"/>
          <w:noProof/>
          <w:lang w:val="en-IE"/>
        </w:rPr>
        <w:t xml:space="preserve">the criteria of </w:t>
      </w:r>
      <w:r w:rsidR="00ED076F" w:rsidRPr="00B8512B">
        <w:rPr>
          <w:rFonts w:ascii="Times New Roman" w:hAnsi="Times New Roman" w:cs="Times New Roman"/>
          <w:noProof/>
          <w:lang w:val="en-IE"/>
        </w:rPr>
        <w:t>Article 8(2) of the Directive</w:t>
      </w:r>
      <w:r w:rsidR="00907B45" w:rsidRPr="00B8512B">
        <w:rPr>
          <w:rFonts w:ascii="Times New Roman" w:hAnsi="Times New Roman" w:cs="Times New Roman"/>
          <w:noProof/>
          <w:lang w:val="en-IE"/>
        </w:rPr>
        <w:t xml:space="preserve"> and </w:t>
      </w:r>
      <w:r w:rsidR="00D92973" w:rsidRPr="00B8512B">
        <w:rPr>
          <w:rFonts w:ascii="Times New Roman" w:hAnsi="Times New Roman" w:cs="Times New Roman"/>
          <w:noProof/>
          <w:lang w:val="en-IE"/>
        </w:rPr>
        <w:t xml:space="preserve">comply with the </w:t>
      </w:r>
      <w:r w:rsidR="00416ACD" w:rsidRPr="00B8512B">
        <w:rPr>
          <w:rFonts w:ascii="Times New Roman" w:hAnsi="Times New Roman" w:cs="Times New Roman"/>
          <w:noProof/>
          <w:lang w:val="en-IE"/>
        </w:rPr>
        <w:t xml:space="preserve">principle of proportionality. </w:t>
      </w:r>
      <w:r w:rsidR="008838BD" w:rsidRPr="00B8512B">
        <w:rPr>
          <w:rFonts w:ascii="Times New Roman" w:hAnsi="Times New Roman" w:cs="Times New Roman"/>
          <w:noProof/>
          <w:lang w:val="en-IE"/>
        </w:rPr>
        <w:t xml:space="preserve">As described in </w:t>
      </w:r>
      <w:r w:rsidR="00801E66">
        <w:rPr>
          <w:rFonts w:ascii="Times New Roman" w:hAnsi="Times New Roman" w:cs="Times New Roman"/>
          <w:noProof/>
          <w:lang w:val="en-IE"/>
        </w:rPr>
        <w:t>Section</w:t>
      </w:r>
      <w:r w:rsidR="00801E66" w:rsidRPr="00B8512B">
        <w:rPr>
          <w:rFonts w:ascii="Times New Roman" w:hAnsi="Times New Roman" w:cs="Times New Roman"/>
          <w:noProof/>
          <w:lang w:val="en-IE"/>
        </w:rPr>
        <w:t xml:space="preserve"> </w:t>
      </w:r>
      <w:r w:rsidR="008838BD" w:rsidRPr="00B8512B">
        <w:rPr>
          <w:rFonts w:ascii="Times New Roman" w:hAnsi="Times New Roman" w:cs="Times New Roman"/>
          <w:noProof/>
          <w:lang w:val="en-IE"/>
        </w:rPr>
        <w:t>3</w:t>
      </w:r>
      <w:r w:rsidR="00BA48A0">
        <w:rPr>
          <w:rFonts w:ascii="Times New Roman" w:hAnsi="Times New Roman" w:cs="Times New Roman"/>
          <w:noProof/>
          <w:lang w:val="en-IE"/>
        </w:rPr>
        <w:t xml:space="preserve"> below</w:t>
      </w:r>
      <w:r w:rsidR="005A0004" w:rsidRPr="00B8512B">
        <w:rPr>
          <w:rFonts w:ascii="Times New Roman" w:hAnsi="Times New Roman" w:cs="Times New Roman"/>
          <w:noProof/>
          <w:lang w:val="en-IE"/>
        </w:rPr>
        <w:t>, patient mobility remains very low</w:t>
      </w:r>
      <w:r w:rsidR="008838BD" w:rsidRPr="00B8512B">
        <w:rPr>
          <w:rFonts w:ascii="Times New Roman" w:hAnsi="Times New Roman" w:cs="Times New Roman"/>
          <w:noProof/>
          <w:lang w:val="en-IE"/>
        </w:rPr>
        <w:t xml:space="preserve"> </w:t>
      </w:r>
      <w:r w:rsidR="005A0004" w:rsidRPr="00B8512B">
        <w:rPr>
          <w:rFonts w:ascii="Times New Roman" w:hAnsi="Times New Roman" w:cs="Times New Roman"/>
          <w:noProof/>
          <w:lang w:val="en-IE"/>
        </w:rPr>
        <w:t xml:space="preserve">and its </w:t>
      </w:r>
      <w:r w:rsidR="00416ACD" w:rsidRPr="00B8512B">
        <w:rPr>
          <w:rFonts w:ascii="Times New Roman" w:hAnsi="Times New Roman" w:cs="Times New Roman"/>
          <w:noProof/>
          <w:lang w:val="en-IE"/>
        </w:rPr>
        <w:t>impact on national healthcare budgets</w:t>
      </w:r>
      <w:r w:rsidR="005A0004" w:rsidRPr="00B8512B">
        <w:rPr>
          <w:rFonts w:ascii="Times New Roman" w:hAnsi="Times New Roman" w:cs="Times New Roman"/>
          <w:noProof/>
          <w:lang w:val="en-IE"/>
        </w:rPr>
        <w:t xml:space="preserve"> marginal</w:t>
      </w:r>
      <w:r w:rsidR="00E4219D" w:rsidRPr="00B8512B">
        <w:rPr>
          <w:rFonts w:ascii="Times New Roman" w:hAnsi="Times New Roman" w:cs="Times New Roman"/>
          <w:noProof/>
          <w:lang w:val="en-IE"/>
        </w:rPr>
        <w:t>,</w:t>
      </w:r>
      <w:r w:rsidR="00416ACD" w:rsidRPr="00B8512B">
        <w:rPr>
          <w:rFonts w:ascii="Times New Roman" w:hAnsi="Times New Roman" w:cs="Times New Roman"/>
          <w:noProof/>
          <w:lang w:val="en-IE"/>
        </w:rPr>
        <w:t xml:space="preserve"> </w:t>
      </w:r>
      <w:r w:rsidR="005A0004" w:rsidRPr="00B8512B">
        <w:rPr>
          <w:rFonts w:ascii="Times New Roman" w:hAnsi="Times New Roman" w:cs="Times New Roman"/>
          <w:noProof/>
          <w:lang w:val="en-IE"/>
        </w:rPr>
        <w:t xml:space="preserve">which </w:t>
      </w:r>
      <w:r w:rsidR="00416ACD" w:rsidRPr="00B8512B">
        <w:rPr>
          <w:rFonts w:ascii="Times New Roman" w:hAnsi="Times New Roman" w:cs="Times New Roman"/>
          <w:noProof/>
          <w:lang w:val="en-IE"/>
        </w:rPr>
        <w:t>do</w:t>
      </w:r>
      <w:r w:rsidR="005A0004" w:rsidRPr="00B8512B">
        <w:rPr>
          <w:rFonts w:ascii="Times New Roman" w:hAnsi="Times New Roman" w:cs="Times New Roman"/>
          <w:noProof/>
          <w:lang w:val="en-IE"/>
        </w:rPr>
        <w:t>es</w:t>
      </w:r>
      <w:r w:rsidR="00416ACD" w:rsidRPr="00B8512B">
        <w:rPr>
          <w:rFonts w:ascii="Times New Roman" w:hAnsi="Times New Roman" w:cs="Times New Roman"/>
          <w:noProof/>
          <w:lang w:val="en-IE"/>
        </w:rPr>
        <w:t xml:space="preserve"> not generally point to a need </w:t>
      </w:r>
      <w:r w:rsidR="00BA48A0">
        <w:rPr>
          <w:rFonts w:ascii="Times New Roman" w:hAnsi="Times New Roman" w:cs="Times New Roman"/>
          <w:noProof/>
          <w:lang w:val="en-IE"/>
        </w:rPr>
        <w:t>for</w:t>
      </w:r>
      <w:r w:rsidR="00BA48A0" w:rsidRPr="00B8512B">
        <w:rPr>
          <w:rFonts w:ascii="Times New Roman" w:hAnsi="Times New Roman" w:cs="Times New Roman"/>
          <w:noProof/>
          <w:lang w:val="en-IE"/>
        </w:rPr>
        <w:t xml:space="preserve"> </w:t>
      </w:r>
      <w:r w:rsidR="00416ACD" w:rsidRPr="00B8512B">
        <w:rPr>
          <w:rFonts w:ascii="Times New Roman" w:hAnsi="Times New Roman" w:cs="Times New Roman"/>
          <w:noProof/>
          <w:lang w:val="en-IE"/>
        </w:rPr>
        <w:t xml:space="preserve">extensive prior authorisation systems </w:t>
      </w:r>
      <w:r w:rsidR="008838BD" w:rsidRPr="00B8512B">
        <w:rPr>
          <w:rFonts w:ascii="Times New Roman" w:hAnsi="Times New Roman" w:cs="Times New Roman"/>
          <w:noProof/>
          <w:lang w:val="en-IE"/>
        </w:rPr>
        <w:t>to protect healthcare planning</w:t>
      </w:r>
      <w:r w:rsidR="00416ACD" w:rsidRPr="00B8512B">
        <w:rPr>
          <w:rFonts w:ascii="Times New Roman" w:hAnsi="Times New Roman" w:cs="Times New Roman"/>
          <w:noProof/>
          <w:lang w:val="en-IE"/>
        </w:rPr>
        <w:t>.</w:t>
      </w:r>
      <w:r w:rsidR="003733E3" w:rsidRPr="00B8512B">
        <w:rPr>
          <w:rFonts w:ascii="Times New Roman" w:hAnsi="Times New Roman" w:cs="Times New Roman"/>
          <w:noProof/>
          <w:lang w:val="en-IE"/>
        </w:rPr>
        <w:t xml:space="preserve"> </w:t>
      </w:r>
      <w:r w:rsidR="003A40D0" w:rsidRPr="00B8512B">
        <w:rPr>
          <w:rFonts w:ascii="Times New Roman" w:hAnsi="Times New Roman" w:cs="Times New Roman"/>
          <w:noProof/>
          <w:lang w:val="en-IE"/>
        </w:rPr>
        <w:t>Two</w:t>
      </w:r>
      <w:r w:rsidR="003733E3" w:rsidRPr="00B8512B">
        <w:rPr>
          <w:rFonts w:ascii="Times New Roman" w:hAnsi="Times New Roman" w:cs="Times New Roman"/>
          <w:noProof/>
          <w:lang w:val="en-IE"/>
        </w:rPr>
        <w:t xml:space="preserve"> M</w:t>
      </w:r>
      <w:r w:rsidR="003A40D0" w:rsidRPr="00B8512B">
        <w:rPr>
          <w:rFonts w:ascii="Times New Roman" w:hAnsi="Times New Roman" w:cs="Times New Roman"/>
          <w:noProof/>
          <w:lang w:val="en-IE"/>
        </w:rPr>
        <w:t xml:space="preserve">ember </w:t>
      </w:r>
      <w:r w:rsidR="003733E3" w:rsidRPr="00B8512B">
        <w:rPr>
          <w:rFonts w:ascii="Times New Roman" w:hAnsi="Times New Roman" w:cs="Times New Roman"/>
          <w:noProof/>
          <w:lang w:val="en-IE"/>
        </w:rPr>
        <w:t>S</w:t>
      </w:r>
      <w:r w:rsidR="003A40D0" w:rsidRPr="00B8512B">
        <w:rPr>
          <w:rFonts w:ascii="Times New Roman" w:hAnsi="Times New Roman" w:cs="Times New Roman"/>
          <w:noProof/>
          <w:lang w:val="en-IE"/>
        </w:rPr>
        <w:t>tates</w:t>
      </w:r>
      <w:r w:rsidR="003733E3" w:rsidRPr="00B8512B">
        <w:rPr>
          <w:rFonts w:ascii="Times New Roman" w:hAnsi="Times New Roman" w:cs="Times New Roman"/>
          <w:noProof/>
          <w:lang w:val="en-IE"/>
        </w:rPr>
        <w:t xml:space="preserve"> therefore decided to remove prior authorisation</w:t>
      </w:r>
      <w:r w:rsidR="003A40D0" w:rsidRPr="00B8512B">
        <w:rPr>
          <w:rStyle w:val="FootnoteReference"/>
          <w:rFonts w:ascii="Times New Roman" w:hAnsi="Times New Roman" w:cs="Times New Roman"/>
          <w:noProof/>
          <w:lang w:val="en-IE"/>
        </w:rPr>
        <w:footnoteReference w:id="17"/>
      </w:r>
      <w:r w:rsidR="003A40D0" w:rsidRPr="00B8512B">
        <w:rPr>
          <w:rFonts w:ascii="Times New Roman" w:hAnsi="Times New Roman" w:cs="Times New Roman"/>
          <w:noProof/>
          <w:lang w:val="en-IE"/>
        </w:rPr>
        <w:t>.</w:t>
      </w:r>
    </w:p>
    <w:p w14:paraId="5CECEE6A" w14:textId="414379CD" w:rsidR="005A0004" w:rsidRPr="00B8512B" w:rsidRDefault="008838BD" w:rsidP="005A0004">
      <w:pPr>
        <w:rPr>
          <w:rFonts w:ascii="Times New Roman" w:hAnsi="Times New Roman" w:cs="Times New Roman"/>
          <w:noProof/>
          <w:lang w:val="en-IE"/>
        </w:rPr>
      </w:pPr>
      <w:r w:rsidRPr="00B8512B">
        <w:rPr>
          <w:rFonts w:ascii="Times New Roman" w:hAnsi="Times New Roman" w:cs="Times New Roman"/>
          <w:noProof/>
          <w:lang w:val="en-IE"/>
        </w:rPr>
        <w:t>Where</w:t>
      </w:r>
      <w:r w:rsidR="00AA0687" w:rsidRPr="00B8512B">
        <w:rPr>
          <w:rFonts w:ascii="Times New Roman" w:hAnsi="Times New Roman" w:cs="Times New Roman"/>
          <w:noProof/>
          <w:lang w:val="en-IE"/>
        </w:rPr>
        <w:t xml:space="preserve"> </w:t>
      </w:r>
      <w:r w:rsidR="00907B45" w:rsidRPr="00B8512B">
        <w:rPr>
          <w:rFonts w:ascii="Times New Roman" w:hAnsi="Times New Roman" w:cs="Times New Roman"/>
          <w:noProof/>
          <w:lang w:val="en-IE"/>
        </w:rPr>
        <w:t xml:space="preserve">prior authorisation is considered </w:t>
      </w:r>
      <w:r w:rsidR="003A40D0" w:rsidRPr="00B8512B">
        <w:rPr>
          <w:rFonts w:ascii="Times New Roman" w:hAnsi="Times New Roman" w:cs="Times New Roman"/>
          <w:noProof/>
          <w:lang w:val="en-IE"/>
        </w:rPr>
        <w:t>justified</w:t>
      </w:r>
      <w:r w:rsidR="00907B45" w:rsidRPr="00B8512B">
        <w:rPr>
          <w:rFonts w:ascii="Times New Roman" w:hAnsi="Times New Roman" w:cs="Times New Roman"/>
          <w:noProof/>
          <w:lang w:val="en-IE"/>
        </w:rPr>
        <w:t xml:space="preserve">, patients </w:t>
      </w:r>
      <w:r w:rsidR="00A75942" w:rsidRPr="00B8512B">
        <w:rPr>
          <w:rFonts w:ascii="Times New Roman" w:hAnsi="Times New Roman" w:cs="Times New Roman"/>
          <w:noProof/>
          <w:lang w:val="en-IE"/>
        </w:rPr>
        <w:t xml:space="preserve">have the right to know </w:t>
      </w:r>
      <w:r w:rsidR="00EF0378" w:rsidRPr="00B8512B">
        <w:rPr>
          <w:rFonts w:ascii="Times New Roman" w:hAnsi="Times New Roman" w:cs="Times New Roman"/>
          <w:noProof/>
          <w:lang w:val="en-IE"/>
        </w:rPr>
        <w:t xml:space="preserve">which treatments are </w:t>
      </w:r>
      <w:r w:rsidR="00CB24C6" w:rsidRPr="00B8512B">
        <w:rPr>
          <w:rFonts w:ascii="Times New Roman" w:hAnsi="Times New Roman" w:cs="Times New Roman"/>
          <w:noProof/>
          <w:lang w:val="en-IE"/>
        </w:rPr>
        <w:t xml:space="preserve">subject to </w:t>
      </w:r>
      <w:r w:rsidR="00EF0378" w:rsidRPr="00B8512B">
        <w:rPr>
          <w:rFonts w:ascii="Times New Roman" w:hAnsi="Times New Roman" w:cs="Times New Roman"/>
          <w:noProof/>
          <w:lang w:val="en-IE"/>
        </w:rPr>
        <w:t>prior authorisation</w:t>
      </w:r>
      <w:bookmarkStart w:id="8" w:name="_Ref98417912"/>
      <w:r w:rsidR="00EE574C" w:rsidRPr="00B8512B">
        <w:rPr>
          <w:rStyle w:val="FootnoteReference"/>
          <w:rFonts w:ascii="Times New Roman" w:hAnsi="Times New Roman" w:cs="Times New Roman"/>
          <w:noProof/>
          <w:lang w:val="en-IE"/>
        </w:rPr>
        <w:footnoteReference w:id="18"/>
      </w:r>
      <w:bookmarkEnd w:id="8"/>
      <w:r w:rsidR="00EF0378" w:rsidRPr="00B8512B">
        <w:rPr>
          <w:rFonts w:ascii="Times New Roman" w:hAnsi="Times New Roman" w:cs="Times New Roman"/>
          <w:noProof/>
          <w:lang w:val="en-IE"/>
        </w:rPr>
        <w:t xml:space="preserve">. </w:t>
      </w:r>
      <w:r w:rsidR="00907B45" w:rsidRPr="00B8512B">
        <w:rPr>
          <w:rFonts w:ascii="Times New Roman" w:hAnsi="Times New Roman" w:cs="Times New Roman"/>
          <w:noProof/>
          <w:lang w:val="en-IE"/>
        </w:rPr>
        <w:t>For this purpose</w:t>
      </w:r>
      <w:r w:rsidR="007405E0">
        <w:rPr>
          <w:rFonts w:ascii="Times New Roman" w:hAnsi="Times New Roman" w:cs="Times New Roman"/>
          <w:noProof/>
          <w:lang w:val="en-IE"/>
        </w:rPr>
        <w:t>,</w:t>
      </w:r>
      <w:r w:rsidR="003A40D0" w:rsidRPr="00B8512B">
        <w:rPr>
          <w:rFonts w:ascii="Times New Roman" w:hAnsi="Times New Roman" w:cs="Times New Roman"/>
          <w:noProof/>
          <w:lang w:val="en-IE"/>
        </w:rPr>
        <w:t xml:space="preserve"> </w:t>
      </w:r>
      <w:r w:rsidR="007B669A" w:rsidRPr="00B8512B">
        <w:rPr>
          <w:rFonts w:ascii="Times New Roman" w:hAnsi="Times New Roman" w:cs="Times New Roman"/>
          <w:noProof/>
          <w:lang w:val="en-IE"/>
        </w:rPr>
        <w:t>exhaustive</w:t>
      </w:r>
      <w:r w:rsidR="00EF0378" w:rsidRPr="00B8512B">
        <w:rPr>
          <w:rFonts w:ascii="Times New Roman" w:hAnsi="Times New Roman" w:cs="Times New Roman"/>
          <w:noProof/>
          <w:lang w:val="en-IE"/>
        </w:rPr>
        <w:t xml:space="preserve"> and </w:t>
      </w:r>
      <w:r w:rsidR="007405E0">
        <w:rPr>
          <w:rFonts w:ascii="Times New Roman" w:hAnsi="Times New Roman" w:cs="Times New Roman"/>
          <w:noProof/>
          <w:lang w:val="en-IE"/>
        </w:rPr>
        <w:t>well-</w:t>
      </w:r>
      <w:r w:rsidR="00EF0378" w:rsidRPr="00B8512B">
        <w:rPr>
          <w:rFonts w:ascii="Times New Roman" w:hAnsi="Times New Roman" w:cs="Times New Roman"/>
          <w:noProof/>
          <w:lang w:val="en-IE"/>
        </w:rPr>
        <w:t>defined shortlist</w:t>
      </w:r>
      <w:r w:rsidR="007B669A" w:rsidRPr="00B8512B">
        <w:rPr>
          <w:rFonts w:ascii="Times New Roman" w:hAnsi="Times New Roman" w:cs="Times New Roman"/>
          <w:noProof/>
          <w:lang w:val="en-IE"/>
        </w:rPr>
        <w:t>s</w:t>
      </w:r>
      <w:r w:rsidR="00EF0378" w:rsidRPr="00B8512B">
        <w:rPr>
          <w:rFonts w:ascii="Times New Roman" w:hAnsi="Times New Roman" w:cs="Times New Roman"/>
          <w:noProof/>
          <w:lang w:val="en-IE"/>
        </w:rPr>
        <w:t xml:space="preserve"> of treatments should be </w:t>
      </w:r>
      <w:r w:rsidR="007405E0">
        <w:rPr>
          <w:rFonts w:ascii="Times New Roman" w:hAnsi="Times New Roman" w:cs="Times New Roman"/>
          <w:noProof/>
          <w:lang w:val="en-IE"/>
        </w:rPr>
        <w:t>prepared</w:t>
      </w:r>
      <w:r w:rsidR="007405E0" w:rsidRPr="00B8512B">
        <w:rPr>
          <w:rFonts w:ascii="Times New Roman" w:hAnsi="Times New Roman" w:cs="Times New Roman"/>
          <w:noProof/>
          <w:lang w:val="en-IE"/>
        </w:rPr>
        <w:t xml:space="preserve"> </w:t>
      </w:r>
      <w:r w:rsidR="00851431" w:rsidRPr="00B8512B">
        <w:rPr>
          <w:rFonts w:ascii="Times New Roman" w:hAnsi="Times New Roman" w:cs="Times New Roman"/>
          <w:noProof/>
          <w:lang w:val="en-IE"/>
        </w:rPr>
        <w:t xml:space="preserve">and made </w:t>
      </w:r>
      <w:r w:rsidR="00EF0378" w:rsidRPr="00B8512B">
        <w:rPr>
          <w:rFonts w:ascii="Times New Roman" w:hAnsi="Times New Roman" w:cs="Times New Roman"/>
          <w:noProof/>
          <w:lang w:val="en-IE"/>
        </w:rPr>
        <w:t xml:space="preserve">publicly available, so that patients are able to identify </w:t>
      </w:r>
      <w:r w:rsidR="00EA5EBA" w:rsidRPr="00B8512B">
        <w:rPr>
          <w:rFonts w:ascii="Times New Roman" w:hAnsi="Times New Roman" w:cs="Times New Roman"/>
          <w:noProof/>
          <w:lang w:val="en-IE"/>
        </w:rPr>
        <w:t xml:space="preserve">easily </w:t>
      </w:r>
      <w:r w:rsidR="00EF0378" w:rsidRPr="00B8512B">
        <w:rPr>
          <w:rFonts w:ascii="Times New Roman" w:hAnsi="Times New Roman" w:cs="Times New Roman"/>
          <w:noProof/>
          <w:lang w:val="en-IE"/>
        </w:rPr>
        <w:t>the applicable rules.</w:t>
      </w:r>
      <w:r w:rsidR="0043277A" w:rsidRPr="00B8512B">
        <w:rPr>
          <w:rFonts w:ascii="Times New Roman" w:hAnsi="Times New Roman" w:cs="Times New Roman"/>
          <w:noProof/>
          <w:lang w:val="en-IE"/>
        </w:rPr>
        <w:t xml:space="preserve"> </w:t>
      </w:r>
      <w:r w:rsidR="005A0004" w:rsidRPr="00B8512B">
        <w:rPr>
          <w:rFonts w:ascii="Times New Roman" w:hAnsi="Times New Roman" w:cs="Times New Roman"/>
          <w:noProof/>
          <w:lang w:val="en-IE"/>
        </w:rPr>
        <w:t xml:space="preserve">However, </w:t>
      </w:r>
      <w:r w:rsidR="00745123" w:rsidRPr="00B8512B">
        <w:rPr>
          <w:rFonts w:ascii="Times New Roman" w:hAnsi="Times New Roman" w:cs="Times New Roman"/>
          <w:noProof/>
          <w:lang w:val="en-IE"/>
        </w:rPr>
        <w:t>t</w:t>
      </w:r>
      <w:r w:rsidR="005A0004" w:rsidRPr="00B8512B">
        <w:rPr>
          <w:rFonts w:ascii="Times New Roman" w:hAnsi="Times New Roman" w:cs="Times New Roman"/>
          <w:noProof/>
          <w:lang w:val="en-IE"/>
        </w:rPr>
        <w:t xml:space="preserve">he lists of healthcare subject to prior authorisation differ significantly </w:t>
      </w:r>
      <w:r w:rsidR="007405E0">
        <w:rPr>
          <w:rFonts w:ascii="Times New Roman" w:hAnsi="Times New Roman" w:cs="Times New Roman"/>
          <w:noProof/>
          <w:lang w:val="en-IE"/>
        </w:rPr>
        <w:t xml:space="preserve">across </w:t>
      </w:r>
      <w:r w:rsidR="007405E0" w:rsidRPr="00B8512B">
        <w:rPr>
          <w:rFonts w:ascii="Times New Roman" w:hAnsi="Times New Roman" w:cs="Times New Roman"/>
          <w:noProof/>
          <w:lang w:val="en-IE"/>
        </w:rPr>
        <w:t xml:space="preserve">Member States </w:t>
      </w:r>
      <w:r w:rsidR="005A0004" w:rsidRPr="00B8512B">
        <w:rPr>
          <w:rFonts w:ascii="Times New Roman" w:hAnsi="Times New Roman" w:cs="Times New Roman"/>
          <w:noProof/>
          <w:lang w:val="en-IE"/>
        </w:rPr>
        <w:t>in the extent to which healthcare is specified.</w:t>
      </w:r>
    </w:p>
    <w:p w14:paraId="79516EBD" w14:textId="03CBDC69" w:rsidR="008838BD" w:rsidRPr="00B8512B" w:rsidRDefault="008838BD">
      <w:pPr>
        <w:rPr>
          <w:rFonts w:ascii="Times New Roman" w:hAnsi="Times New Roman" w:cs="Times New Roman"/>
          <w:noProof/>
          <w:lang w:val="en-IE"/>
        </w:rPr>
      </w:pPr>
      <w:r w:rsidRPr="00B8512B">
        <w:rPr>
          <w:rFonts w:ascii="Times New Roman" w:hAnsi="Times New Roman" w:cs="Times New Roman"/>
          <w:noProof/>
          <w:lang w:val="en-IE"/>
        </w:rPr>
        <w:t xml:space="preserve">The evaluation findings confirm that </w:t>
      </w:r>
      <w:r w:rsidR="00EF3DF4" w:rsidRPr="00B8512B">
        <w:rPr>
          <w:rFonts w:ascii="Times New Roman" w:hAnsi="Times New Roman" w:cs="Times New Roman"/>
          <w:noProof/>
          <w:lang w:val="en-IE"/>
        </w:rPr>
        <w:t xml:space="preserve">extensive use </w:t>
      </w:r>
      <w:r w:rsidRPr="00B8512B">
        <w:rPr>
          <w:rFonts w:ascii="Times New Roman" w:hAnsi="Times New Roman" w:cs="Times New Roman"/>
          <w:noProof/>
          <w:lang w:val="en-IE"/>
        </w:rPr>
        <w:t xml:space="preserve">of prior authorisation </w:t>
      </w:r>
      <w:r w:rsidR="00F45821" w:rsidRPr="00B8512B">
        <w:rPr>
          <w:rFonts w:ascii="Times New Roman" w:hAnsi="Times New Roman" w:cs="Times New Roman"/>
          <w:noProof/>
          <w:lang w:val="en-IE"/>
        </w:rPr>
        <w:t xml:space="preserve">and the lack of transparency over </w:t>
      </w:r>
      <w:r w:rsidR="007405E0">
        <w:rPr>
          <w:rFonts w:ascii="Times New Roman" w:hAnsi="Times New Roman" w:cs="Times New Roman"/>
          <w:noProof/>
          <w:lang w:val="en-IE"/>
        </w:rPr>
        <w:t>its</w:t>
      </w:r>
      <w:r w:rsidR="007405E0" w:rsidRPr="00B8512B">
        <w:rPr>
          <w:rFonts w:ascii="Times New Roman" w:hAnsi="Times New Roman" w:cs="Times New Roman"/>
          <w:noProof/>
          <w:lang w:val="en-IE"/>
        </w:rPr>
        <w:t xml:space="preserve"> </w:t>
      </w:r>
      <w:r w:rsidR="00F45821" w:rsidRPr="00B8512B">
        <w:rPr>
          <w:rFonts w:ascii="Times New Roman" w:hAnsi="Times New Roman" w:cs="Times New Roman"/>
          <w:noProof/>
          <w:lang w:val="en-IE"/>
        </w:rPr>
        <w:t xml:space="preserve">application </w:t>
      </w:r>
      <w:r w:rsidRPr="00B8512B">
        <w:rPr>
          <w:rFonts w:ascii="Times New Roman" w:hAnsi="Times New Roman" w:cs="Times New Roman"/>
          <w:noProof/>
          <w:lang w:val="en-IE"/>
        </w:rPr>
        <w:t xml:space="preserve">is a major barrier to cross-border healthcare, hampering the </w:t>
      </w:r>
      <w:r w:rsidR="007405E0" w:rsidRPr="00B8512B">
        <w:rPr>
          <w:rFonts w:ascii="Times New Roman" w:hAnsi="Times New Roman" w:cs="Times New Roman"/>
          <w:noProof/>
          <w:lang w:val="en-IE"/>
        </w:rPr>
        <w:t>Directive</w:t>
      </w:r>
      <w:r w:rsidR="007405E0">
        <w:rPr>
          <w:rFonts w:ascii="Times New Roman" w:hAnsi="Times New Roman" w:cs="Times New Roman"/>
          <w:noProof/>
          <w:lang w:val="en-IE"/>
        </w:rPr>
        <w:t>’s</w:t>
      </w:r>
      <w:r w:rsidR="007405E0"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effectiveness </w:t>
      </w:r>
      <w:r w:rsidR="001A26BC" w:rsidRPr="00B8512B">
        <w:rPr>
          <w:rFonts w:ascii="Times New Roman" w:hAnsi="Times New Roman" w:cs="Times New Roman"/>
          <w:noProof/>
          <w:lang w:val="en-IE"/>
        </w:rPr>
        <w:t>for the benefit of patients</w:t>
      </w:r>
      <w:r w:rsidRPr="00B8512B">
        <w:rPr>
          <w:rFonts w:ascii="Times New Roman" w:hAnsi="Times New Roman" w:cs="Times New Roman"/>
          <w:noProof/>
          <w:lang w:val="en-IE"/>
        </w:rPr>
        <w:t>.</w:t>
      </w:r>
    </w:p>
    <w:p w14:paraId="7A80BE34" w14:textId="31173A3A" w:rsidR="00381C62" w:rsidRPr="00B8512B" w:rsidRDefault="00381C62">
      <w:pPr>
        <w:rPr>
          <w:rFonts w:ascii="Times New Roman" w:hAnsi="Times New Roman" w:cs="Times New Roman"/>
          <w:noProof/>
          <w:lang w:val="en-IE"/>
        </w:rPr>
      </w:pPr>
      <w:r w:rsidRPr="00B8512B">
        <w:rPr>
          <w:rFonts w:ascii="Times New Roman" w:hAnsi="Times New Roman" w:cs="Times New Roman"/>
          <w:noProof/>
          <w:lang w:val="en-IE"/>
        </w:rPr>
        <w:t xml:space="preserve">The Commission </w:t>
      </w:r>
      <w:r w:rsidR="008838BD" w:rsidRPr="00B8512B">
        <w:rPr>
          <w:rFonts w:ascii="Times New Roman" w:hAnsi="Times New Roman" w:cs="Times New Roman"/>
          <w:noProof/>
          <w:lang w:val="en-IE"/>
        </w:rPr>
        <w:t xml:space="preserve">therefore </w:t>
      </w:r>
      <w:r w:rsidR="00D4016E">
        <w:rPr>
          <w:rFonts w:ascii="Times New Roman" w:hAnsi="Times New Roman" w:cs="Times New Roman"/>
          <w:noProof/>
          <w:lang w:val="en-IE"/>
        </w:rPr>
        <w:t>urges</w:t>
      </w:r>
      <w:r w:rsidR="00D4016E" w:rsidRPr="00B8512B">
        <w:rPr>
          <w:rFonts w:ascii="Times New Roman" w:hAnsi="Times New Roman" w:cs="Times New Roman"/>
          <w:noProof/>
          <w:lang w:val="en-IE"/>
        </w:rPr>
        <w:t xml:space="preserve"> </w:t>
      </w:r>
      <w:r w:rsidRPr="00B8512B">
        <w:rPr>
          <w:rFonts w:ascii="Times New Roman" w:hAnsi="Times New Roman" w:cs="Times New Roman"/>
          <w:noProof/>
          <w:lang w:val="en-IE"/>
        </w:rPr>
        <w:t>Member States</w:t>
      </w:r>
      <w:r w:rsidR="002C2AE2" w:rsidRPr="00B8512B">
        <w:rPr>
          <w:rFonts w:ascii="Times New Roman" w:hAnsi="Times New Roman" w:cs="Times New Roman"/>
          <w:noProof/>
          <w:lang w:val="en-IE"/>
        </w:rPr>
        <w:t xml:space="preserve"> to assess whether</w:t>
      </w:r>
      <w:r w:rsidR="007405E0">
        <w:rPr>
          <w:rFonts w:ascii="Times New Roman" w:hAnsi="Times New Roman" w:cs="Times New Roman"/>
          <w:noProof/>
          <w:lang w:val="en-IE"/>
        </w:rPr>
        <w:t>,</w:t>
      </w:r>
      <w:r w:rsidR="002C2AE2" w:rsidRPr="00B8512B">
        <w:rPr>
          <w:rFonts w:ascii="Times New Roman" w:hAnsi="Times New Roman" w:cs="Times New Roman"/>
          <w:noProof/>
          <w:lang w:val="en-IE"/>
        </w:rPr>
        <w:t xml:space="preserve"> </w:t>
      </w:r>
      <w:r w:rsidR="007405E0">
        <w:rPr>
          <w:rFonts w:ascii="Times New Roman" w:hAnsi="Times New Roman" w:cs="Times New Roman"/>
          <w:noProof/>
          <w:lang w:val="en-IE"/>
        </w:rPr>
        <w:t>10</w:t>
      </w:r>
      <w:r w:rsidR="007405E0" w:rsidRPr="00B8512B">
        <w:rPr>
          <w:rFonts w:ascii="Times New Roman" w:hAnsi="Times New Roman" w:cs="Times New Roman"/>
          <w:noProof/>
          <w:lang w:val="en-IE"/>
        </w:rPr>
        <w:t xml:space="preserve"> </w:t>
      </w:r>
      <w:r w:rsidR="002C2AE2" w:rsidRPr="00B8512B">
        <w:rPr>
          <w:rFonts w:ascii="Times New Roman" w:hAnsi="Times New Roman" w:cs="Times New Roman"/>
          <w:noProof/>
          <w:lang w:val="en-IE"/>
        </w:rPr>
        <w:t xml:space="preserve">years after the adoption of the Directive, </w:t>
      </w:r>
      <w:r w:rsidR="008E006C" w:rsidRPr="00B8512B">
        <w:rPr>
          <w:rFonts w:ascii="Times New Roman" w:hAnsi="Times New Roman" w:cs="Times New Roman"/>
          <w:noProof/>
          <w:lang w:val="en-IE"/>
        </w:rPr>
        <w:t xml:space="preserve">prior authorisation remains </w:t>
      </w:r>
      <w:r w:rsidR="003A40D0" w:rsidRPr="00B8512B">
        <w:rPr>
          <w:rFonts w:ascii="Times New Roman" w:hAnsi="Times New Roman" w:cs="Times New Roman"/>
          <w:noProof/>
          <w:lang w:val="en-IE"/>
        </w:rPr>
        <w:t>justified</w:t>
      </w:r>
      <w:r w:rsidR="008E006C" w:rsidRPr="00B8512B">
        <w:rPr>
          <w:rFonts w:ascii="Times New Roman" w:hAnsi="Times New Roman" w:cs="Times New Roman"/>
          <w:noProof/>
          <w:lang w:val="en-IE"/>
        </w:rPr>
        <w:t xml:space="preserve"> for the purposes of the Directive</w:t>
      </w:r>
      <w:r w:rsidR="007405E0">
        <w:rPr>
          <w:rFonts w:ascii="Times New Roman" w:hAnsi="Times New Roman" w:cs="Times New Roman"/>
          <w:noProof/>
          <w:lang w:val="en-IE"/>
        </w:rPr>
        <w:t>,</w:t>
      </w:r>
      <w:r w:rsidR="008E006C" w:rsidRPr="00B8512B">
        <w:rPr>
          <w:rFonts w:ascii="Times New Roman" w:hAnsi="Times New Roman" w:cs="Times New Roman"/>
          <w:noProof/>
          <w:lang w:val="en-IE"/>
        </w:rPr>
        <w:t xml:space="preserve"> and whether </w:t>
      </w:r>
      <w:r w:rsidR="002C2AE2" w:rsidRPr="00B8512B">
        <w:rPr>
          <w:rFonts w:ascii="Times New Roman" w:hAnsi="Times New Roman" w:cs="Times New Roman"/>
          <w:noProof/>
          <w:lang w:val="en-IE"/>
        </w:rPr>
        <w:t>the</w:t>
      </w:r>
      <w:r w:rsidR="007B669A" w:rsidRPr="00B8512B">
        <w:rPr>
          <w:rFonts w:ascii="Times New Roman" w:hAnsi="Times New Roman" w:cs="Times New Roman"/>
          <w:noProof/>
          <w:lang w:val="en-IE"/>
        </w:rPr>
        <w:t>ir</w:t>
      </w:r>
      <w:r w:rsidR="002C2AE2" w:rsidRPr="00B8512B">
        <w:rPr>
          <w:rFonts w:ascii="Times New Roman" w:hAnsi="Times New Roman" w:cs="Times New Roman"/>
          <w:noProof/>
          <w:lang w:val="en-IE"/>
        </w:rPr>
        <w:t xml:space="preserve"> </w:t>
      </w:r>
      <w:r w:rsidR="007B669A" w:rsidRPr="00B8512B">
        <w:rPr>
          <w:rFonts w:ascii="Times New Roman" w:hAnsi="Times New Roman" w:cs="Times New Roman"/>
          <w:noProof/>
          <w:lang w:val="en-IE"/>
        </w:rPr>
        <w:t xml:space="preserve">lists of healthcare subject to </w:t>
      </w:r>
      <w:r w:rsidR="002C2AE2" w:rsidRPr="00B8512B">
        <w:rPr>
          <w:rFonts w:ascii="Times New Roman" w:hAnsi="Times New Roman" w:cs="Times New Roman"/>
          <w:noProof/>
          <w:lang w:val="en-IE"/>
        </w:rPr>
        <w:t>prior authorisation could be reduced</w:t>
      </w:r>
      <w:r w:rsidR="007B669A" w:rsidRPr="00B8512B">
        <w:rPr>
          <w:rFonts w:ascii="Times New Roman" w:hAnsi="Times New Roman" w:cs="Times New Roman"/>
          <w:noProof/>
          <w:lang w:val="en-IE"/>
        </w:rPr>
        <w:t xml:space="preserve">, </w:t>
      </w:r>
      <w:r w:rsidR="003B1CD4" w:rsidRPr="00B8512B">
        <w:rPr>
          <w:rFonts w:ascii="Times New Roman" w:hAnsi="Times New Roman" w:cs="Times New Roman"/>
          <w:noProof/>
          <w:lang w:val="en-IE"/>
        </w:rPr>
        <w:t>not least</w:t>
      </w:r>
      <w:r w:rsidR="007B669A" w:rsidRPr="00B8512B">
        <w:rPr>
          <w:rFonts w:ascii="Times New Roman" w:hAnsi="Times New Roman" w:cs="Times New Roman"/>
          <w:noProof/>
          <w:lang w:val="en-IE"/>
        </w:rPr>
        <w:t xml:space="preserve"> to </w:t>
      </w:r>
      <w:r w:rsidR="005C35F4" w:rsidRPr="00B8512B">
        <w:rPr>
          <w:rFonts w:ascii="Times New Roman" w:hAnsi="Times New Roman" w:cs="Times New Roman"/>
          <w:noProof/>
          <w:lang w:val="en-IE"/>
        </w:rPr>
        <w:t xml:space="preserve">ensure legal certainty </w:t>
      </w:r>
      <w:r w:rsidR="00EE574C" w:rsidRPr="00B8512B">
        <w:rPr>
          <w:rFonts w:ascii="Times New Roman" w:hAnsi="Times New Roman" w:cs="Times New Roman"/>
          <w:noProof/>
          <w:lang w:val="en-IE"/>
        </w:rPr>
        <w:t>for patients and transparency of the prior authorisation systems</w:t>
      </w:r>
      <w:r w:rsidR="001D5DBC" w:rsidRPr="00B8512B">
        <w:rPr>
          <w:rFonts w:ascii="Times New Roman" w:hAnsi="Times New Roman" w:cs="Times New Roman"/>
          <w:noProof/>
          <w:lang w:val="en-IE"/>
        </w:rPr>
        <w:t>.</w:t>
      </w:r>
    </w:p>
    <w:p w14:paraId="54037BC7" w14:textId="77777777" w:rsidR="00BF5ACB" w:rsidRPr="00B8512B" w:rsidRDefault="00BF5ACB">
      <w:pPr>
        <w:rPr>
          <w:rFonts w:ascii="Times New Roman" w:hAnsi="Times New Roman" w:cs="Times New Roman"/>
          <w:noProof/>
          <w:lang w:val="en-IE"/>
        </w:rPr>
      </w:pPr>
    </w:p>
    <w:p w14:paraId="6B398557" w14:textId="54B128A2" w:rsidR="00EF0378" w:rsidRPr="00B8512B" w:rsidRDefault="00540330">
      <w:pPr>
        <w:pStyle w:val="Heading2"/>
        <w:rPr>
          <w:rFonts w:ascii="Times New Roman" w:hAnsi="Times New Roman" w:cs="Times New Roman"/>
          <w:noProof/>
          <w:lang w:val="en-IE"/>
        </w:rPr>
      </w:pPr>
      <w:bookmarkStart w:id="9" w:name="_Toc81927255"/>
      <w:r w:rsidRPr="00B8512B">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Administrative </w:t>
      </w:r>
      <w:r w:rsidR="00E20C5A" w:rsidRPr="00B8512B">
        <w:rPr>
          <w:rFonts w:ascii="Times New Roman" w:hAnsi="Times New Roman" w:cs="Times New Roman"/>
          <w:noProof/>
          <w:lang w:val="en-IE"/>
        </w:rPr>
        <w:t>procedures</w:t>
      </w:r>
      <w:bookmarkEnd w:id="9"/>
    </w:p>
    <w:p w14:paraId="18BD48AE" w14:textId="2BCE2AC3" w:rsidR="00EF0378" w:rsidRPr="00B8512B" w:rsidRDefault="00EF0378">
      <w:pPr>
        <w:rPr>
          <w:rFonts w:ascii="Times New Roman" w:hAnsi="Times New Roman" w:cs="Times New Roman"/>
          <w:noProof/>
          <w:lang w:val="en-IE"/>
        </w:rPr>
      </w:pPr>
      <w:r w:rsidRPr="00B8512B">
        <w:rPr>
          <w:rFonts w:ascii="Times New Roman" w:hAnsi="Times New Roman" w:cs="Times New Roman"/>
          <w:noProof/>
          <w:lang w:val="en-IE"/>
        </w:rPr>
        <w:t>Under Article 7(7), the Member State may impose</w:t>
      </w:r>
      <w:r w:rsidR="0072005C">
        <w:rPr>
          <w:rFonts w:ascii="Times New Roman" w:hAnsi="Times New Roman" w:cs="Times New Roman"/>
          <w:noProof/>
          <w:lang w:val="en-IE"/>
        </w:rPr>
        <w:t>,</w:t>
      </w:r>
      <w:r w:rsidRPr="00B8512B">
        <w:rPr>
          <w:rFonts w:ascii="Times New Roman" w:hAnsi="Times New Roman" w:cs="Times New Roman"/>
          <w:noProof/>
          <w:lang w:val="en-IE"/>
        </w:rPr>
        <w:t xml:space="preserve"> on a </w:t>
      </w:r>
      <w:r w:rsidR="00E20C5A" w:rsidRPr="00B8512B">
        <w:rPr>
          <w:rFonts w:ascii="Times New Roman" w:hAnsi="Times New Roman" w:cs="Times New Roman"/>
          <w:noProof/>
          <w:lang w:val="en-IE"/>
        </w:rPr>
        <w:t>patient</w:t>
      </w:r>
      <w:r w:rsidRPr="00B8512B">
        <w:rPr>
          <w:rFonts w:ascii="Times New Roman" w:hAnsi="Times New Roman" w:cs="Times New Roman"/>
          <w:noProof/>
          <w:lang w:val="en-IE"/>
        </w:rPr>
        <w:t xml:space="preserve"> seeking reimbursement of costs of cross-border healthcare</w:t>
      </w:r>
      <w:r w:rsidR="0072005C">
        <w:rPr>
          <w:rFonts w:ascii="Times New Roman" w:hAnsi="Times New Roman" w:cs="Times New Roman"/>
          <w:noProof/>
          <w:lang w:val="en-IE"/>
        </w:rPr>
        <w:t>,</w:t>
      </w:r>
      <w:r w:rsidRPr="00B8512B">
        <w:rPr>
          <w:rFonts w:ascii="Times New Roman" w:hAnsi="Times New Roman" w:cs="Times New Roman"/>
          <w:noProof/>
          <w:lang w:val="en-IE"/>
        </w:rPr>
        <w:t xml:space="preserve"> the same conditions, </w:t>
      </w:r>
      <w:r w:rsidR="0072005C" w:rsidRPr="00B8512B">
        <w:rPr>
          <w:rFonts w:ascii="Times New Roman" w:hAnsi="Times New Roman" w:cs="Times New Roman"/>
          <w:noProof/>
          <w:lang w:val="en-IE"/>
        </w:rPr>
        <w:t xml:space="preserve">eligibility </w:t>
      </w:r>
      <w:r w:rsidRPr="00B8512B">
        <w:rPr>
          <w:rFonts w:ascii="Times New Roman" w:hAnsi="Times New Roman" w:cs="Times New Roman"/>
          <w:noProof/>
          <w:lang w:val="en-IE"/>
        </w:rPr>
        <w:t xml:space="preserve">criteria and regulatory and administrative formalities as it would impose if this healthcare were provided in its territory. However, no conditions, criteria </w:t>
      </w:r>
      <w:r w:rsidR="009D75BF">
        <w:rPr>
          <w:rFonts w:ascii="Times New Roman" w:hAnsi="Times New Roman" w:cs="Times New Roman"/>
          <w:noProof/>
          <w:lang w:val="en-IE"/>
        </w:rPr>
        <w:t>or</w:t>
      </w:r>
      <w:r w:rsidR="009D75BF"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formalities </w:t>
      </w:r>
      <w:r w:rsidR="009D75BF">
        <w:rPr>
          <w:rFonts w:ascii="Times New Roman" w:hAnsi="Times New Roman" w:cs="Times New Roman"/>
          <w:noProof/>
          <w:lang w:val="en-IE"/>
        </w:rPr>
        <w:t>can</w:t>
      </w:r>
      <w:r w:rsidR="009D75BF"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be discriminatory or constitute an obstacle to the free movement of patients, unless </w:t>
      </w:r>
      <w:r w:rsidR="00E20C5A" w:rsidRPr="00B8512B">
        <w:rPr>
          <w:rFonts w:ascii="Times New Roman" w:hAnsi="Times New Roman" w:cs="Times New Roman"/>
          <w:noProof/>
          <w:lang w:val="en-IE"/>
        </w:rPr>
        <w:t>they</w:t>
      </w:r>
      <w:r w:rsidRPr="00B8512B">
        <w:rPr>
          <w:rFonts w:ascii="Times New Roman" w:hAnsi="Times New Roman" w:cs="Times New Roman"/>
          <w:noProof/>
          <w:lang w:val="en-IE"/>
        </w:rPr>
        <w:t xml:space="preserve"> </w:t>
      </w:r>
      <w:r w:rsidR="00E20C5A" w:rsidRPr="00B8512B">
        <w:rPr>
          <w:rFonts w:ascii="Times New Roman" w:hAnsi="Times New Roman" w:cs="Times New Roman"/>
          <w:noProof/>
          <w:lang w:val="en-IE"/>
        </w:rPr>
        <w:t>are</w:t>
      </w:r>
      <w:r w:rsidRPr="00B8512B">
        <w:rPr>
          <w:rFonts w:ascii="Times New Roman" w:hAnsi="Times New Roman" w:cs="Times New Roman"/>
          <w:noProof/>
          <w:lang w:val="en-IE"/>
        </w:rPr>
        <w:t xml:space="preserve"> justified by planning requirements.</w:t>
      </w:r>
    </w:p>
    <w:p w14:paraId="3099E83E" w14:textId="7A5506D4" w:rsidR="00EF0378" w:rsidRPr="00B8512B" w:rsidRDefault="00EF0378">
      <w:pPr>
        <w:rPr>
          <w:rFonts w:ascii="Times New Roman" w:hAnsi="Times New Roman" w:cs="Times New Roman"/>
          <w:noProof/>
          <w:lang w:val="en-IE"/>
        </w:rPr>
      </w:pPr>
      <w:r w:rsidRPr="00B8512B">
        <w:rPr>
          <w:rFonts w:ascii="Times New Roman" w:hAnsi="Times New Roman" w:cs="Times New Roman"/>
          <w:noProof/>
          <w:lang w:val="en-IE"/>
        </w:rPr>
        <w:t xml:space="preserve">Likewise, Article 9(1) requires Member States to ensure that administrative procedures </w:t>
      </w:r>
      <w:r w:rsidR="00776CC2">
        <w:rPr>
          <w:rFonts w:ascii="Times New Roman" w:hAnsi="Times New Roman" w:cs="Times New Roman"/>
          <w:noProof/>
          <w:lang w:val="en-IE"/>
        </w:rPr>
        <w:t>for</w:t>
      </w:r>
      <w:r w:rsidR="00776CC2"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the use of cross-border healthcare are based on objective, non-discriminatory </w:t>
      </w:r>
      <w:r w:rsidR="00CB24C6" w:rsidRPr="00B8512B">
        <w:rPr>
          <w:rFonts w:ascii="Times New Roman" w:hAnsi="Times New Roman" w:cs="Times New Roman"/>
          <w:noProof/>
          <w:lang w:val="en-IE"/>
        </w:rPr>
        <w:t xml:space="preserve">criteria </w:t>
      </w:r>
      <w:r w:rsidR="009D75BF">
        <w:rPr>
          <w:rFonts w:ascii="Times New Roman" w:hAnsi="Times New Roman" w:cs="Times New Roman"/>
          <w:noProof/>
          <w:lang w:val="en-IE"/>
        </w:rPr>
        <w:t>that</w:t>
      </w:r>
      <w:r w:rsidR="009D75BF" w:rsidRPr="00B8512B">
        <w:rPr>
          <w:rFonts w:ascii="Times New Roman" w:hAnsi="Times New Roman" w:cs="Times New Roman"/>
          <w:noProof/>
          <w:lang w:val="en-IE"/>
        </w:rPr>
        <w:t xml:space="preserve"> </w:t>
      </w:r>
      <w:r w:rsidRPr="00B8512B">
        <w:rPr>
          <w:rFonts w:ascii="Times New Roman" w:hAnsi="Times New Roman" w:cs="Times New Roman"/>
          <w:noProof/>
          <w:lang w:val="en-IE"/>
        </w:rPr>
        <w:t>are necessary and proportionate to the objective to be achieved.</w:t>
      </w:r>
    </w:p>
    <w:p w14:paraId="040F8613" w14:textId="35D9B456" w:rsidR="008E006C" w:rsidRPr="00B8512B" w:rsidRDefault="009D75BF">
      <w:pPr>
        <w:rPr>
          <w:rFonts w:ascii="Times New Roman" w:hAnsi="Times New Roman" w:cs="Times New Roman"/>
          <w:noProof/>
          <w:lang w:val="en-IE"/>
        </w:rPr>
      </w:pPr>
      <w:r>
        <w:rPr>
          <w:rFonts w:ascii="Times New Roman" w:hAnsi="Times New Roman" w:cs="Times New Roman"/>
          <w:noProof/>
          <w:lang w:val="en-IE"/>
        </w:rPr>
        <w:t>Following</w:t>
      </w:r>
      <w:r w:rsidR="00971210" w:rsidRPr="00B8512B">
        <w:rPr>
          <w:rFonts w:ascii="Times New Roman" w:hAnsi="Times New Roman" w:cs="Times New Roman"/>
          <w:noProof/>
          <w:lang w:val="en-IE"/>
        </w:rPr>
        <w:t xml:space="preserve"> the</w:t>
      </w:r>
      <w:r w:rsidR="00CE2D2C" w:rsidRPr="00B8512B">
        <w:rPr>
          <w:rFonts w:ascii="Times New Roman" w:hAnsi="Times New Roman" w:cs="Times New Roman"/>
          <w:noProof/>
          <w:lang w:val="en-IE"/>
        </w:rPr>
        <w:t>se principles</w:t>
      </w:r>
      <w:r w:rsidR="00971210" w:rsidRPr="00B8512B">
        <w:rPr>
          <w:rFonts w:ascii="Times New Roman" w:hAnsi="Times New Roman" w:cs="Times New Roman"/>
          <w:noProof/>
          <w:lang w:val="en-IE"/>
        </w:rPr>
        <w:t xml:space="preserve">, the </w:t>
      </w:r>
      <w:r w:rsidR="00274408" w:rsidRPr="00B8512B">
        <w:rPr>
          <w:rFonts w:ascii="Times New Roman" w:hAnsi="Times New Roman" w:cs="Times New Roman"/>
          <w:noProof/>
          <w:lang w:val="en-IE"/>
        </w:rPr>
        <w:t xml:space="preserve">Commission urges </w:t>
      </w:r>
      <w:r w:rsidR="00971210" w:rsidRPr="00B8512B">
        <w:rPr>
          <w:rFonts w:ascii="Times New Roman" w:hAnsi="Times New Roman" w:cs="Times New Roman"/>
          <w:noProof/>
          <w:lang w:val="en-IE"/>
        </w:rPr>
        <w:t xml:space="preserve">Member States to </w:t>
      </w:r>
      <w:r w:rsidR="005923B0" w:rsidRPr="00B8512B">
        <w:rPr>
          <w:rFonts w:ascii="Times New Roman" w:hAnsi="Times New Roman" w:cs="Times New Roman"/>
          <w:noProof/>
          <w:lang w:val="en-IE"/>
        </w:rPr>
        <w:t xml:space="preserve">assess whether </w:t>
      </w:r>
      <w:r w:rsidR="00CE2D2C" w:rsidRPr="00B8512B">
        <w:rPr>
          <w:rFonts w:ascii="Times New Roman" w:hAnsi="Times New Roman" w:cs="Times New Roman"/>
          <w:noProof/>
          <w:lang w:val="en-IE"/>
        </w:rPr>
        <w:t xml:space="preserve">the procedures for prior authorisation and reimbursement of cross-border healthcare costs </w:t>
      </w:r>
      <w:r w:rsidR="005923B0" w:rsidRPr="00B8512B">
        <w:rPr>
          <w:rFonts w:ascii="Times New Roman" w:hAnsi="Times New Roman" w:cs="Times New Roman"/>
          <w:noProof/>
          <w:lang w:val="en-IE"/>
        </w:rPr>
        <w:t xml:space="preserve">could be made </w:t>
      </w:r>
      <w:r w:rsidR="00971210" w:rsidRPr="00B8512B">
        <w:rPr>
          <w:rFonts w:ascii="Times New Roman" w:hAnsi="Times New Roman" w:cs="Times New Roman"/>
          <w:noProof/>
          <w:lang w:val="en-IE"/>
        </w:rPr>
        <w:t>less burdensome</w:t>
      </w:r>
      <w:r w:rsidR="00D428CB" w:rsidRPr="00B8512B">
        <w:rPr>
          <w:rFonts w:ascii="Times New Roman" w:hAnsi="Times New Roman" w:cs="Times New Roman"/>
          <w:noProof/>
          <w:lang w:val="en-IE"/>
        </w:rPr>
        <w:t xml:space="preserve"> for patients</w:t>
      </w:r>
      <w:r w:rsidR="00272A08">
        <w:rPr>
          <w:rFonts w:ascii="Times New Roman" w:hAnsi="Times New Roman" w:cs="Times New Roman"/>
          <w:noProof/>
          <w:lang w:val="en-IE"/>
        </w:rPr>
        <w:t>,</w:t>
      </w:r>
      <w:r>
        <w:rPr>
          <w:rFonts w:ascii="Times New Roman" w:hAnsi="Times New Roman" w:cs="Times New Roman"/>
          <w:noProof/>
          <w:lang w:val="en-IE"/>
        </w:rPr>
        <w:t xml:space="preserve"> for them</w:t>
      </w:r>
      <w:r w:rsidR="00D428CB" w:rsidRPr="00B8512B">
        <w:rPr>
          <w:rFonts w:ascii="Times New Roman" w:hAnsi="Times New Roman" w:cs="Times New Roman"/>
          <w:noProof/>
          <w:lang w:val="en-IE"/>
        </w:rPr>
        <w:t xml:space="preserve"> to </w:t>
      </w:r>
      <w:r w:rsidR="004B25A5" w:rsidRPr="00B8512B">
        <w:rPr>
          <w:rFonts w:ascii="Times New Roman" w:hAnsi="Times New Roman" w:cs="Times New Roman"/>
          <w:noProof/>
          <w:lang w:val="en-IE"/>
        </w:rPr>
        <w:t xml:space="preserve">fully </w:t>
      </w:r>
      <w:r w:rsidR="00D428CB" w:rsidRPr="00B8512B">
        <w:rPr>
          <w:rFonts w:ascii="Times New Roman" w:hAnsi="Times New Roman" w:cs="Times New Roman"/>
          <w:noProof/>
          <w:lang w:val="en-IE"/>
        </w:rPr>
        <w:t xml:space="preserve">benefit from the </w:t>
      </w:r>
      <w:r w:rsidRPr="00B8512B">
        <w:rPr>
          <w:rFonts w:ascii="Times New Roman" w:hAnsi="Times New Roman" w:cs="Times New Roman"/>
          <w:noProof/>
          <w:lang w:val="en-IE"/>
        </w:rPr>
        <w:t>Directive</w:t>
      </w:r>
      <w:r>
        <w:rPr>
          <w:rFonts w:ascii="Times New Roman" w:hAnsi="Times New Roman" w:cs="Times New Roman"/>
          <w:noProof/>
          <w:lang w:val="en-IE"/>
        </w:rPr>
        <w:t>’s</w:t>
      </w:r>
      <w:r w:rsidRPr="00B8512B">
        <w:rPr>
          <w:rFonts w:ascii="Times New Roman" w:hAnsi="Times New Roman" w:cs="Times New Roman"/>
          <w:noProof/>
          <w:lang w:val="en-IE"/>
        </w:rPr>
        <w:t xml:space="preserve"> </w:t>
      </w:r>
      <w:r w:rsidR="006D6980" w:rsidRPr="00B8512B">
        <w:rPr>
          <w:rFonts w:ascii="Times New Roman" w:hAnsi="Times New Roman" w:cs="Times New Roman"/>
          <w:noProof/>
          <w:lang w:val="en-IE"/>
        </w:rPr>
        <w:t>rights</w:t>
      </w:r>
      <w:r w:rsidR="00D428CB" w:rsidRPr="00B8512B">
        <w:rPr>
          <w:rFonts w:ascii="Times New Roman" w:hAnsi="Times New Roman" w:cs="Times New Roman"/>
          <w:noProof/>
          <w:lang w:val="en-IE"/>
        </w:rPr>
        <w:t>.</w:t>
      </w:r>
    </w:p>
    <w:p w14:paraId="5B5FB888" w14:textId="13A0113F" w:rsidR="008B424E" w:rsidRPr="00B8512B" w:rsidRDefault="008E006C">
      <w:pPr>
        <w:rPr>
          <w:rFonts w:ascii="Times New Roman" w:hAnsi="Times New Roman" w:cs="Times New Roman"/>
          <w:noProof/>
          <w:lang w:val="en-IE"/>
        </w:rPr>
      </w:pPr>
      <w:r w:rsidRPr="00B8512B">
        <w:rPr>
          <w:rFonts w:ascii="Times New Roman" w:hAnsi="Times New Roman" w:cs="Times New Roman"/>
          <w:noProof/>
          <w:lang w:val="en-IE"/>
        </w:rPr>
        <w:t>E</w:t>
      </w:r>
      <w:r w:rsidR="00401984" w:rsidRPr="00B8512B">
        <w:rPr>
          <w:rFonts w:ascii="Times New Roman" w:hAnsi="Times New Roman" w:cs="Times New Roman"/>
          <w:noProof/>
          <w:lang w:val="en-IE"/>
        </w:rPr>
        <w:t xml:space="preserve">vidence gathered for </w:t>
      </w:r>
      <w:r w:rsidR="00C564D8" w:rsidRPr="00B8512B">
        <w:rPr>
          <w:rFonts w:ascii="Times New Roman" w:hAnsi="Times New Roman" w:cs="Times New Roman"/>
          <w:noProof/>
          <w:lang w:val="en-IE"/>
        </w:rPr>
        <w:t xml:space="preserve">the </w:t>
      </w:r>
      <w:r w:rsidR="00401984" w:rsidRPr="00B8512B">
        <w:rPr>
          <w:rFonts w:ascii="Times New Roman" w:hAnsi="Times New Roman" w:cs="Times New Roman"/>
          <w:noProof/>
          <w:lang w:val="en-IE"/>
        </w:rPr>
        <w:t>evaluation confirm</w:t>
      </w:r>
      <w:r w:rsidR="009D75BF">
        <w:rPr>
          <w:rFonts w:ascii="Times New Roman" w:hAnsi="Times New Roman" w:cs="Times New Roman"/>
          <w:noProof/>
          <w:lang w:val="en-IE"/>
        </w:rPr>
        <w:t>s</w:t>
      </w:r>
      <w:r w:rsidR="00401984" w:rsidRPr="00B8512B">
        <w:rPr>
          <w:rFonts w:ascii="Times New Roman" w:hAnsi="Times New Roman" w:cs="Times New Roman"/>
          <w:noProof/>
          <w:lang w:val="en-IE"/>
        </w:rPr>
        <w:t xml:space="preserve"> </w:t>
      </w:r>
      <w:r w:rsidR="00274408" w:rsidRPr="00B8512B">
        <w:rPr>
          <w:rFonts w:ascii="Times New Roman" w:hAnsi="Times New Roman" w:cs="Times New Roman"/>
          <w:noProof/>
          <w:lang w:val="en-IE"/>
        </w:rPr>
        <w:t xml:space="preserve">that </w:t>
      </w:r>
      <w:r w:rsidR="004B25A5" w:rsidRPr="00B8512B">
        <w:rPr>
          <w:rFonts w:ascii="Times New Roman" w:hAnsi="Times New Roman" w:cs="Times New Roman"/>
          <w:noProof/>
          <w:lang w:val="en-IE"/>
        </w:rPr>
        <w:t xml:space="preserve">cumbersome </w:t>
      </w:r>
      <w:r w:rsidRPr="00B8512B">
        <w:rPr>
          <w:rFonts w:ascii="Times New Roman" w:hAnsi="Times New Roman" w:cs="Times New Roman"/>
          <w:noProof/>
          <w:lang w:val="en-IE"/>
        </w:rPr>
        <w:t xml:space="preserve">and disproportionate </w:t>
      </w:r>
      <w:r w:rsidR="00401984" w:rsidRPr="00B8512B">
        <w:rPr>
          <w:rFonts w:ascii="Times New Roman" w:hAnsi="Times New Roman" w:cs="Times New Roman"/>
          <w:noProof/>
          <w:lang w:val="en-IE"/>
        </w:rPr>
        <w:t>administrative procedures undermin</w:t>
      </w:r>
      <w:r w:rsidR="00C673EC" w:rsidRPr="00B8512B">
        <w:rPr>
          <w:rFonts w:ascii="Times New Roman" w:hAnsi="Times New Roman" w:cs="Times New Roman"/>
          <w:noProof/>
          <w:lang w:val="en-IE"/>
        </w:rPr>
        <w:t>e</w:t>
      </w:r>
      <w:r w:rsidR="00401984" w:rsidRPr="00B8512B">
        <w:rPr>
          <w:rFonts w:ascii="Times New Roman" w:hAnsi="Times New Roman" w:cs="Times New Roman"/>
          <w:noProof/>
          <w:lang w:val="en-IE"/>
        </w:rPr>
        <w:t xml:space="preserve"> citizens’ rights to </w:t>
      </w:r>
      <w:r w:rsidR="006D6980" w:rsidRPr="00B8512B">
        <w:rPr>
          <w:rFonts w:ascii="Times New Roman" w:hAnsi="Times New Roman" w:cs="Times New Roman"/>
          <w:noProof/>
          <w:lang w:val="en-IE"/>
        </w:rPr>
        <w:t xml:space="preserve">cross-border </w:t>
      </w:r>
      <w:r w:rsidR="00401984" w:rsidRPr="00B8512B">
        <w:rPr>
          <w:rFonts w:ascii="Times New Roman" w:hAnsi="Times New Roman" w:cs="Times New Roman"/>
          <w:noProof/>
          <w:lang w:val="en-IE"/>
        </w:rPr>
        <w:t>healthcare</w:t>
      </w:r>
      <w:r w:rsidRPr="00B8512B">
        <w:rPr>
          <w:rFonts w:ascii="Times New Roman" w:hAnsi="Times New Roman" w:cs="Times New Roman"/>
          <w:noProof/>
          <w:lang w:val="en-IE"/>
        </w:rPr>
        <w:t xml:space="preserve"> in some Member States</w:t>
      </w:r>
      <w:r w:rsidR="008A329E" w:rsidRPr="00B8512B">
        <w:rPr>
          <w:rFonts w:ascii="Times New Roman" w:hAnsi="Times New Roman" w:cs="Times New Roman"/>
          <w:noProof/>
          <w:lang w:val="en-IE"/>
        </w:rPr>
        <w:t>.</w:t>
      </w:r>
      <w:r w:rsidR="00D428CB" w:rsidRPr="00B8512B">
        <w:rPr>
          <w:rFonts w:ascii="Times New Roman" w:hAnsi="Times New Roman" w:cs="Times New Roman"/>
          <w:noProof/>
          <w:lang w:val="en-IE"/>
        </w:rPr>
        <w:t xml:space="preserve"> </w:t>
      </w:r>
      <w:r w:rsidR="00CE2D2C" w:rsidRPr="00B8512B">
        <w:rPr>
          <w:rFonts w:ascii="Times New Roman" w:hAnsi="Times New Roman" w:cs="Times New Roman"/>
          <w:noProof/>
          <w:lang w:val="en-IE"/>
        </w:rPr>
        <w:t xml:space="preserve">Particular </w:t>
      </w:r>
      <w:r w:rsidR="008B3CB6" w:rsidRPr="00B8512B">
        <w:rPr>
          <w:rFonts w:ascii="Times New Roman" w:hAnsi="Times New Roman" w:cs="Times New Roman"/>
          <w:noProof/>
          <w:lang w:val="en-IE"/>
        </w:rPr>
        <w:t xml:space="preserve">attention </w:t>
      </w:r>
      <w:r w:rsidR="00CE2D2C" w:rsidRPr="00B8512B">
        <w:rPr>
          <w:rFonts w:ascii="Times New Roman" w:hAnsi="Times New Roman" w:cs="Times New Roman"/>
          <w:noProof/>
          <w:lang w:val="en-IE"/>
        </w:rPr>
        <w:t>should be</w:t>
      </w:r>
      <w:r w:rsidR="008B3CB6" w:rsidRPr="00B8512B">
        <w:rPr>
          <w:rFonts w:ascii="Times New Roman" w:hAnsi="Times New Roman" w:cs="Times New Roman"/>
          <w:noProof/>
          <w:lang w:val="en-IE"/>
        </w:rPr>
        <w:t xml:space="preserve"> </w:t>
      </w:r>
      <w:r w:rsidR="008428DE" w:rsidRPr="00B8512B">
        <w:rPr>
          <w:rFonts w:ascii="Times New Roman" w:hAnsi="Times New Roman" w:cs="Times New Roman"/>
          <w:noProof/>
          <w:lang w:val="en-IE"/>
        </w:rPr>
        <w:t xml:space="preserve">given </w:t>
      </w:r>
      <w:r w:rsidR="00CE2D2C" w:rsidRPr="00B8512B">
        <w:rPr>
          <w:rFonts w:ascii="Times New Roman" w:hAnsi="Times New Roman" w:cs="Times New Roman"/>
          <w:noProof/>
          <w:lang w:val="en-IE"/>
        </w:rPr>
        <w:t xml:space="preserve">to </w:t>
      </w:r>
      <w:r w:rsidR="008428DE" w:rsidRPr="00B8512B">
        <w:rPr>
          <w:rFonts w:ascii="Times New Roman" w:hAnsi="Times New Roman" w:cs="Times New Roman"/>
          <w:noProof/>
          <w:lang w:val="en-IE"/>
        </w:rPr>
        <w:t xml:space="preserve">ensuring </w:t>
      </w:r>
      <w:r w:rsidR="00CE2D2C" w:rsidRPr="00B8512B">
        <w:rPr>
          <w:rFonts w:ascii="Times New Roman" w:hAnsi="Times New Roman" w:cs="Times New Roman"/>
          <w:noProof/>
          <w:lang w:val="en-IE"/>
        </w:rPr>
        <w:t xml:space="preserve">that </w:t>
      </w:r>
      <w:r w:rsidR="00CE0812" w:rsidRPr="00B8512B">
        <w:rPr>
          <w:rFonts w:ascii="Times New Roman" w:hAnsi="Times New Roman" w:cs="Times New Roman"/>
          <w:noProof/>
          <w:lang w:val="en-IE"/>
        </w:rPr>
        <w:t>patients are only required to submit</w:t>
      </w:r>
      <w:r w:rsidR="00971210" w:rsidRPr="00B8512B">
        <w:rPr>
          <w:rFonts w:ascii="Times New Roman" w:hAnsi="Times New Roman" w:cs="Times New Roman"/>
          <w:noProof/>
          <w:lang w:val="en-IE"/>
        </w:rPr>
        <w:t xml:space="preserve"> </w:t>
      </w:r>
      <w:r w:rsidR="008428DE" w:rsidRPr="00B8512B">
        <w:rPr>
          <w:rFonts w:ascii="Times New Roman" w:hAnsi="Times New Roman" w:cs="Times New Roman"/>
          <w:noProof/>
          <w:lang w:val="en-IE"/>
        </w:rPr>
        <w:t xml:space="preserve">information </w:t>
      </w:r>
      <w:r w:rsidR="00401984" w:rsidRPr="00B8512B">
        <w:rPr>
          <w:rFonts w:ascii="Times New Roman" w:hAnsi="Times New Roman" w:cs="Times New Roman"/>
          <w:noProof/>
          <w:lang w:val="en-IE"/>
        </w:rPr>
        <w:t>they can easily access</w:t>
      </w:r>
      <w:r w:rsidR="00C564D8" w:rsidRPr="00B8512B">
        <w:rPr>
          <w:rFonts w:ascii="Times New Roman" w:hAnsi="Times New Roman" w:cs="Times New Roman"/>
          <w:noProof/>
          <w:lang w:val="en-IE"/>
        </w:rPr>
        <w:t>,</w:t>
      </w:r>
      <w:r w:rsidR="00401984" w:rsidRPr="00B8512B">
        <w:rPr>
          <w:rFonts w:ascii="Times New Roman" w:hAnsi="Times New Roman" w:cs="Times New Roman"/>
          <w:noProof/>
          <w:lang w:val="en-IE"/>
        </w:rPr>
        <w:t xml:space="preserve"> </w:t>
      </w:r>
      <w:r w:rsidR="00D12110" w:rsidRPr="00B8512B">
        <w:rPr>
          <w:rFonts w:ascii="Times New Roman" w:hAnsi="Times New Roman" w:cs="Times New Roman"/>
          <w:noProof/>
          <w:lang w:val="en-IE"/>
        </w:rPr>
        <w:t xml:space="preserve">and which </w:t>
      </w:r>
      <w:r w:rsidR="00470B44">
        <w:rPr>
          <w:rFonts w:ascii="Times New Roman" w:hAnsi="Times New Roman" w:cs="Times New Roman"/>
          <w:noProof/>
          <w:lang w:val="en-IE"/>
        </w:rPr>
        <w:t>is</w:t>
      </w:r>
      <w:r w:rsidR="00470B44" w:rsidRPr="00B8512B">
        <w:rPr>
          <w:rFonts w:ascii="Times New Roman" w:hAnsi="Times New Roman" w:cs="Times New Roman"/>
          <w:noProof/>
          <w:lang w:val="en-IE"/>
        </w:rPr>
        <w:t xml:space="preserve"> </w:t>
      </w:r>
      <w:r w:rsidR="003A40D0" w:rsidRPr="00B8512B">
        <w:rPr>
          <w:rFonts w:ascii="Times New Roman" w:hAnsi="Times New Roman" w:cs="Times New Roman"/>
          <w:noProof/>
          <w:lang w:val="en-IE"/>
        </w:rPr>
        <w:t xml:space="preserve">strictly necessary for handling </w:t>
      </w:r>
      <w:r w:rsidR="00CE0812" w:rsidRPr="00B8512B">
        <w:rPr>
          <w:rFonts w:ascii="Times New Roman" w:hAnsi="Times New Roman" w:cs="Times New Roman"/>
          <w:noProof/>
          <w:lang w:val="en-IE"/>
        </w:rPr>
        <w:t>prior authorisation or reimbursement requests</w:t>
      </w:r>
      <w:r w:rsidR="00971210" w:rsidRPr="00B8512B">
        <w:rPr>
          <w:rFonts w:ascii="Times New Roman" w:hAnsi="Times New Roman" w:cs="Times New Roman"/>
          <w:noProof/>
          <w:lang w:val="en-IE"/>
        </w:rPr>
        <w:t xml:space="preserve"> </w:t>
      </w:r>
      <w:r w:rsidR="00CE0812" w:rsidRPr="00B8512B">
        <w:rPr>
          <w:rFonts w:ascii="Times New Roman" w:hAnsi="Times New Roman" w:cs="Times New Roman"/>
          <w:noProof/>
          <w:lang w:val="en-IE"/>
        </w:rPr>
        <w:t>in line with the Directive.</w:t>
      </w:r>
      <w:r w:rsidR="008428DE" w:rsidRPr="00B8512B">
        <w:rPr>
          <w:rFonts w:ascii="Times New Roman" w:hAnsi="Times New Roman" w:cs="Times New Roman"/>
          <w:noProof/>
          <w:lang w:val="en-IE"/>
        </w:rPr>
        <w:t xml:space="preserve"> P</w:t>
      </w:r>
      <w:r w:rsidR="00F73B98" w:rsidRPr="00B8512B">
        <w:rPr>
          <w:rFonts w:ascii="Times New Roman" w:hAnsi="Times New Roman" w:cs="Times New Roman"/>
          <w:noProof/>
          <w:lang w:val="en-IE"/>
        </w:rPr>
        <w:t xml:space="preserve">atients </w:t>
      </w:r>
      <w:r w:rsidR="00872FFC" w:rsidRPr="00B8512B">
        <w:rPr>
          <w:rFonts w:ascii="Times New Roman" w:hAnsi="Times New Roman" w:cs="Times New Roman"/>
          <w:noProof/>
          <w:lang w:val="en-IE"/>
        </w:rPr>
        <w:t xml:space="preserve">should </w:t>
      </w:r>
      <w:r w:rsidR="00470B44">
        <w:rPr>
          <w:rFonts w:ascii="Times New Roman" w:hAnsi="Times New Roman" w:cs="Times New Roman"/>
          <w:noProof/>
          <w:lang w:val="en-IE"/>
        </w:rPr>
        <w:t>not</w:t>
      </w:r>
      <w:r w:rsidR="00470B44" w:rsidRPr="00B8512B">
        <w:rPr>
          <w:rFonts w:ascii="Times New Roman" w:hAnsi="Times New Roman" w:cs="Times New Roman"/>
          <w:noProof/>
          <w:lang w:val="en-IE"/>
        </w:rPr>
        <w:t xml:space="preserve"> </w:t>
      </w:r>
      <w:r w:rsidR="00872FFC" w:rsidRPr="00B8512B">
        <w:rPr>
          <w:rFonts w:ascii="Times New Roman" w:hAnsi="Times New Roman" w:cs="Times New Roman"/>
          <w:noProof/>
          <w:lang w:val="en-IE"/>
        </w:rPr>
        <w:t xml:space="preserve">be required </w:t>
      </w:r>
      <w:r w:rsidRPr="00B8512B">
        <w:rPr>
          <w:rFonts w:ascii="Times New Roman" w:hAnsi="Times New Roman" w:cs="Times New Roman"/>
          <w:noProof/>
          <w:lang w:val="en-IE"/>
        </w:rPr>
        <w:t xml:space="preserve">by health insurers </w:t>
      </w:r>
      <w:r w:rsidR="00872FFC" w:rsidRPr="00B8512B">
        <w:rPr>
          <w:rFonts w:ascii="Times New Roman" w:hAnsi="Times New Roman" w:cs="Times New Roman"/>
          <w:noProof/>
          <w:lang w:val="en-IE"/>
        </w:rPr>
        <w:t>to</w:t>
      </w:r>
      <w:r w:rsidR="00380F5C" w:rsidRPr="00B8512B">
        <w:rPr>
          <w:rFonts w:ascii="Times New Roman" w:hAnsi="Times New Roman" w:cs="Times New Roman"/>
          <w:noProof/>
          <w:lang w:val="en-IE"/>
        </w:rPr>
        <w:t xml:space="preserve"> </w:t>
      </w:r>
      <w:r w:rsidR="008428DE" w:rsidRPr="00B8512B">
        <w:rPr>
          <w:rFonts w:ascii="Times New Roman" w:hAnsi="Times New Roman" w:cs="Times New Roman"/>
          <w:noProof/>
          <w:lang w:val="en-IE"/>
        </w:rPr>
        <w:t xml:space="preserve">provide </w:t>
      </w:r>
      <w:r w:rsidR="00203B71" w:rsidRPr="00B8512B">
        <w:rPr>
          <w:rFonts w:ascii="Times New Roman" w:hAnsi="Times New Roman" w:cs="Times New Roman"/>
          <w:noProof/>
          <w:lang w:val="en-IE"/>
        </w:rPr>
        <w:t xml:space="preserve">the </w:t>
      </w:r>
      <w:r w:rsidR="00470B44">
        <w:rPr>
          <w:rFonts w:ascii="Times New Roman" w:hAnsi="Times New Roman" w:cs="Times New Roman"/>
          <w:noProof/>
          <w:lang w:val="en-IE"/>
        </w:rPr>
        <w:t>estimated</w:t>
      </w:r>
      <w:r w:rsidR="00470B44" w:rsidRPr="00B8512B">
        <w:rPr>
          <w:rFonts w:ascii="Times New Roman" w:hAnsi="Times New Roman" w:cs="Times New Roman"/>
          <w:noProof/>
          <w:lang w:val="en-IE"/>
        </w:rPr>
        <w:t xml:space="preserve"> cost </w:t>
      </w:r>
      <w:r w:rsidR="00CE0812" w:rsidRPr="00B8512B">
        <w:rPr>
          <w:rFonts w:ascii="Times New Roman" w:hAnsi="Times New Roman" w:cs="Times New Roman"/>
          <w:noProof/>
          <w:lang w:val="en-IE"/>
        </w:rPr>
        <w:t xml:space="preserve">of expected </w:t>
      </w:r>
      <w:r w:rsidRPr="00B8512B">
        <w:rPr>
          <w:rFonts w:ascii="Times New Roman" w:hAnsi="Times New Roman" w:cs="Times New Roman"/>
          <w:noProof/>
          <w:lang w:val="en-IE"/>
        </w:rPr>
        <w:t xml:space="preserve">healthcare </w:t>
      </w:r>
      <w:r w:rsidR="006D261C" w:rsidRPr="00B8512B">
        <w:rPr>
          <w:rFonts w:ascii="Times New Roman" w:hAnsi="Times New Roman" w:cs="Times New Roman"/>
          <w:noProof/>
          <w:lang w:val="en-IE"/>
        </w:rPr>
        <w:t>n</w:t>
      </w:r>
      <w:r w:rsidRPr="00B8512B">
        <w:rPr>
          <w:rFonts w:ascii="Times New Roman" w:hAnsi="Times New Roman" w:cs="Times New Roman"/>
          <w:noProof/>
          <w:lang w:val="en-IE"/>
        </w:rPr>
        <w:t xml:space="preserve">or a </w:t>
      </w:r>
      <w:r w:rsidR="00F73B98" w:rsidRPr="00B8512B">
        <w:rPr>
          <w:rFonts w:ascii="Times New Roman" w:hAnsi="Times New Roman" w:cs="Times New Roman"/>
          <w:noProof/>
          <w:lang w:val="en-IE"/>
        </w:rPr>
        <w:t>doctor</w:t>
      </w:r>
      <w:r w:rsidRPr="00B8512B">
        <w:rPr>
          <w:rFonts w:ascii="Times New Roman" w:hAnsi="Times New Roman" w:cs="Times New Roman"/>
          <w:noProof/>
          <w:lang w:val="en-IE"/>
        </w:rPr>
        <w:t>’s assessment</w:t>
      </w:r>
      <w:r w:rsidR="00F73B98" w:rsidRPr="00B8512B">
        <w:rPr>
          <w:rFonts w:ascii="Times New Roman" w:hAnsi="Times New Roman" w:cs="Times New Roman"/>
          <w:noProof/>
          <w:lang w:val="en-IE"/>
        </w:rPr>
        <w:t xml:space="preserve"> of the effectiveness of the </w:t>
      </w:r>
      <w:r w:rsidR="00470B44" w:rsidRPr="00B8512B">
        <w:rPr>
          <w:rFonts w:ascii="Times New Roman" w:hAnsi="Times New Roman" w:cs="Times New Roman"/>
          <w:noProof/>
          <w:lang w:val="en-IE"/>
        </w:rPr>
        <w:t xml:space="preserve">treatment </w:t>
      </w:r>
      <w:r w:rsidR="00F73B98" w:rsidRPr="00B8512B">
        <w:rPr>
          <w:rFonts w:ascii="Times New Roman" w:hAnsi="Times New Roman" w:cs="Times New Roman"/>
          <w:noProof/>
          <w:lang w:val="en-IE"/>
        </w:rPr>
        <w:t>received</w:t>
      </w:r>
      <w:r w:rsidR="00CE0812" w:rsidRPr="00B8512B">
        <w:rPr>
          <w:rFonts w:ascii="Times New Roman" w:hAnsi="Times New Roman" w:cs="Times New Roman"/>
          <w:noProof/>
          <w:lang w:val="en-IE"/>
        </w:rPr>
        <w:t>.</w:t>
      </w:r>
      <w:r w:rsidR="003A40D0" w:rsidRPr="00B8512B">
        <w:rPr>
          <w:rFonts w:ascii="Times New Roman" w:hAnsi="Times New Roman" w:cs="Times New Roman"/>
          <w:noProof/>
          <w:lang w:val="en-IE"/>
        </w:rPr>
        <w:t xml:space="preserve"> </w:t>
      </w:r>
      <w:r w:rsidR="00CE0812" w:rsidRPr="00B8512B">
        <w:rPr>
          <w:rFonts w:ascii="Times New Roman" w:hAnsi="Times New Roman" w:cs="Times New Roman"/>
          <w:noProof/>
          <w:lang w:val="en-IE"/>
        </w:rPr>
        <w:t>Moreover, Member States should</w:t>
      </w:r>
      <w:r w:rsidR="00971210" w:rsidRPr="00B8512B">
        <w:rPr>
          <w:rFonts w:ascii="Times New Roman" w:hAnsi="Times New Roman" w:cs="Times New Roman"/>
          <w:noProof/>
          <w:lang w:val="en-IE"/>
        </w:rPr>
        <w:t xml:space="preserve"> avoid requesting information </w:t>
      </w:r>
      <w:r w:rsidR="009952CC" w:rsidRPr="00B8512B">
        <w:rPr>
          <w:rFonts w:ascii="Times New Roman" w:hAnsi="Times New Roman" w:cs="Times New Roman"/>
          <w:noProof/>
          <w:lang w:val="en-IE"/>
        </w:rPr>
        <w:t xml:space="preserve">from patients </w:t>
      </w:r>
      <w:r w:rsidR="00971210" w:rsidRPr="00B8512B">
        <w:rPr>
          <w:rFonts w:ascii="Times New Roman" w:hAnsi="Times New Roman" w:cs="Times New Roman"/>
          <w:noProof/>
          <w:lang w:val="en-IE"/>
        </w:rPr>
        <w:t xml:space="preserve">that </w:t>
      </w:r>
      <w:r w:rsidR="009952CC" w:rsidRPr="00B8512B">
        <w:rPr>
          <w:rFonts w:ascii="Times New Roman" w:hAnsi="Times New Roman" w:cs="Times New Roman"/>
          <w:noProof/>
          <w:lang w:val="en-IE"/>
        </w:rPr>
        <w:t xml:space="preserve">is normally </w:t>
      </w:r>
      <w:r w:rsidR="00470B44">
        <w:rPr>
          <w:rFonts w:ascii="Times New Roman" w:hAnsi="Times New Roman" w:cs="Times New Roman"/>
          <w:noProof/>
          <w:lang w:val="en-IE"/>
        </w:rPr>
        <w:t>held by</w:t>
      </w:r>
      <w:r w:rsidR="00380F5C" w:rsidRPr="00B8512B">
        <w:rPr>
          <w:rFonts w:ascii="Times New Roman" w:hAnsi="Times New Roman" w:cs="Times New Roman"/>
          <w:noProof/>
          <w:lang w:val="en-IE"/>
        </w:rPr>
        <w:t xml:space="preserve"> </w:t>
      </w:r>
      <w:r w:rsidR="00971210" w:rsidRPr="00B8512B">
        <w:rPr>
          <w:rFonts w:ascii="Times New Roman" w:hAnsi="Times New Roman" w:cs="Times New Roman"/>
          <w:noProof/>
          <w:lang w:val="en-IE"/>
        </w:rPr>
        <w:t xml:space="preserve">the health insurance </w:t>
      </w:r>
      <w:r w:rsidR="00470B44">
        <w:rPr>
          <w:rFonts w:ascii="Times New Roman" w:hAnsi="Times New Roman" w:cs="Times New Roman"/>
          <w:noProof/>
          <w:lang w:val="en-IE"/>
        </w:rPr>
        <w:t>body</w:t>
      </w:r>
      <w:r w:rsidR="00470B44" w:rsidRPr="00B8512B">
        <w:rPr>
          <w:rFonts w:ascii="Times New Roman" w:hAnsi="Times New Roman" w:cs="Times New Roman"/>
          <w:noProof/>
          <w:lang w:val="en-IE"/>
        </w:rPr>
        <w:t xml:space="preserve"> </w:t>
      </w:r>
      <w:r w:rsidR="009952CC" w:rsidRPr="00B8512B">
        <w:rPr>
          <w:rFonts w:ascii="Times New Roman" w:hAnsi="Times New Roman" w:cs="Times New Roman"/>
          <w:noProof/>
          <w:lang w:val="en-IE"/>
        </w:rPr>
        <w:t>assessing the request</w:t>
      </w:r>
      <w:r w:rsidR="00F73B98" w:rsidRPr="00B8512B">
        <w:rPr>
          <w:rFonts w:ascii="Times New Roman" w:hAnsi="Times New Roman" w:cs="Times New Roman"/>
          <w:noProof/>
          <w:lang w:val="en-IE"/>
        </w:rPr>
        <w:t>, such as waiting times</w:t>
      </w:r>
      <w:r w:rsidRPr="00B8512B">
        <w:rPr>
          <w:rFonts w:ascii="Times New Roman" w:hAnsi="Times New Roman" w:cs="Times New Roman"/>
          <w:noProof/>
          <w:lang w:val="en-IE"/>
        </w:rPr>
        <w:t xml:space="preserve"> for a particular treatment</w:t>
      </w:r>
      <w:r w:rsidR="009952CC" w:rsidRPr="00B8512B">
        <w:rPr>
          <w:rFonts w:ascii="Times New Roman" w:hAnsi="Times New Roman" w:cs="Times New Roman"/>
          <w:noProof/>
          <w:lang w:val="en-IE"/>
        </w:rPr>
        <w:t xml:space="preserve">. Neither </w:t>
      </w:r>
      <w:r w:rsidR="00B80C7A">
        <w:rPr>
          <w:rFonts w:ascii="Times New Roman" w:hAnsi="Times New Roman" w:cs="Times New Roman"/>
          <w:noProof/>
          <w:lang w:val="en-IE"/>
        </w:rPr>
        <w:t xml:space="preserve">should </w:t>
      </w:r>
      <w:r w:rsidR="005857BC">
        <w:rPr>
          <w:rFonts w:ascii="Times New Roman" w:hAnsi="Times New Roman" w:cs="Times New Roman"/>
          <w:noProof/>
          <w:lang w:val="en-IE"/>
        </w:rPr>
        <w:t>t</w:t>
      </w:r>
      <w:r w:rsidR="005857BC" w:rsidRPr="005857BC">
        <w:rPr>
          <w:rFonts w:ascii="Times New Roman" w:hAnsi="Times New Roman" w:cs="Times New Roman"/>
          <w:noProof/>
          <w:lang w:val="en-IE"/>
        </w:rPr>
        <w:t xml:space="preserve">he patient </w:t>
      </w:r>
      <w:r w:rsidR="005857BC">
        <w:rPr>
          <w:rFonts w:ascii="Times New Roman" w:hAnsi="Times New Roman" w:cs="Times New Roman"/>
          <w:noProof/>
          <w:lang w:val="en-IE"/>
        </w:rPr>
        <w:t>be</w:t>
      </w:r>
      <w:r w:rsidR="005857BC" w:rsidRPr="005857BC">
        <w:rPr>
          <w:rFonts w:ascii="Times New Roman" w:hAnsi="Times New Roman" w:cs="Times New Roman"/>
          <w:noProof/>
          <w:lang w:val="en-IE"/>
        </w:rPr>
        <w:t xml:space="preserve"> responsible for proving that there is no reason </w:t>
      </w:r>
      <w:r w:rsidR="009952CC" w:rsidRPr="00B8512B">
        <w:rPr>
          <w:rFonts w:ascii="Times New Roman" w:hAnsi="Times New Roman" w:cs="Times New Roman"/>
          <w:noProof/>
          <w:lang w:val="en-IE"/>
        </w:rPr>
        <w:t>on which prior authorisation may be refused</w:t>
      </w:r>
      <w:r w:rsidR="00EA55E2">
        <w:rPr>
          <w:rFonts w:ascii="Times New Roman" w:hAnsi="Times New Roman" w:cs="Times New Roman"/>
          <w:noProof/>
          <w:lang w:val="en-IE"/>
        </w:rPr>
        <w:t>, f</w:t>
      </w:r>
      <w:r w:rsidR="00D4016E">
        <w:rPr>
          <w:rFonts w:ascii="Times New Roman" w:hAnsi="Times New Roman" w:cs="Times New Roman"/>
          <w:noProof/>
          <w:lang w:val="en-IE"/>
        </w:rPr>
        <w:t xml:space="preserve">or example, to provide evidence </w:t>
      </w:r>
      <w:r w:rsidR="009952CC" w:rsidRPr="00B8512B">
        <w:rPr>
          <w:rFonts w:ascii="Times New Roman" w:hAnsi="Times New Roman" w:cs="Times New Roman"/>
          <w:noProof/>
          <w:lang w:val="en-IE"/>
        </w:rPr>
        <w:t>that the healthcare provider abroad does not raise serious</w:t>
      </w:r>
      <w:r w:rsidR="00B14BD3">
        <w:rPr>
          <w:rFonts w:ascii="Times New Roman" w:hAnsi="Times New Roman" w:cs="Times New Roman"/>
          <w:noProof/>
          <w:lang w:val="en-IE"/>
        </w:rPr>
        <w:t>,</w:t>
      </w:r>
      <w:r w:rsidR="009952CC" w:rsidRPr="00B8512B">
        <w:rPr>
          <w:rFonts w:ascii="Times New Roman" w:hAnsi="Times New Roman" w:cs="Times New Roman"/>
          <w:noProof/>
          <w:lang w:val="en-IE"/>
        </w:rPr>
        <w:t xml:space="preserve"> specific concerns as regards quality of care and patient safety.</w:t>
      </w:r>
    </w:p>
    <w:p w14:paraId="6B157399" w14:textId="63219A83" w:rsidR="00EF0378" w:rsidRPr="00B8512B" w:rsidRDefault="00F73B98">
      <w:pPr>
        <w:rPr>
          <w:rFonts w:ascii="Times New Roman" w:hAnsi="Times New Roman" w:cs="Times New Roman"/>
          <w:noProof/>
          <w:lang w:val="en-IE"/>
        </w:rPr>
      </w:pPr>
      <w:r w:rsidRPr="00B8512B">
        <w:rPr>
          <w:rFonts w:ascii="Times New Roman" w:hAnsi="Times New Roman" w:cs="Times New Roman"/>
          <w:noProof/>
          <w:lang w:val="en-IE"/>
        </w:rPr>
        <w:t xml:space="preserve">Finally, </w:t>
      </w:r>
      <w:r w:rsidR="00C32A52" w:rsidRPr="00B8512B">
        <w:rPr>
          <w:rFonts w:ascii="Times New Roman" w:hAnsi="Times New Roman" w:cs="Times New Roman"/>
          <w:noProof/>
          <w:lang w:val="en-IE"/>
        </w:rPr>
        <w:t>in assessing the proportionality of the administrative requirements</w:t>
      </w:r>
      <w:r w:rsidR="00B14BD3">
        <w:rPr>
          <w:rFonts w:ascii="Times New Roman" w:hAnsi="Times New Roman" w:cs="Times New Roman"/>
          <w:noProof/>
          <w:lang w:val="en-IE"/>
        </w:rPr>
        <w:t>,</w:t>
      </w:r>
      <w:r w:rsidR="00C32A52" w:rsidRPr="00B8512B">
        <w:rPr>
          <w:rFonts w:ascii="Times New Roman" w:hAnsi="Times New Roman" w:cs="Times New Roman"/>
          <w:noProof/>
          <w:lang w:val="en-IE"/>
        </w:rPr>
        <w:t xml:space="preserve"> Member States should </w:t>
      </w:r>
      <w:r w:rsidR="00E4219D" w:rsidRPr="00B8512B">
        <w:rPr>
          <w:rFonts w:ascii="Times New Roman" w:hAnsi="Times New Roman" w:cs="Times New Roman"/>
          <w:noProof/>
          <w:lang w:val="en-IE"/>
        </w:rPr>
        <w:t>take into account</w:t>
      </w:r>
      <w:r w:rsidR="00C32A52" w:rsidRPr="00B8512B">
        <w:rPr>
          <w:rFonts w:ascii="Times New Roman" w:hAnsi="Times New Roman" w:cs="Times New Roman"/>
          <w:noProof/>
          <w:lang w:val="en-IE"/>
        </w:rPr>
        <w:t xml:space="preserve"> the costs associated with submitting requests for cross-border healthcare</w:t>
      </w:r>
      <w:r w:rsidR="006D6980" w:rsidRPr="00B8512B">
        <w:rPr>
          <w:rFonts w:ascii="Times New Roman" w:hAnsi="Times New Roman" w:cs="Times New Roman"/>
          <w:noProof/>
          <w:lang w:val="en-IE"/>
        </w:rPr>
        <w:t>. I</w:t>
      </w:r>
      <w:r w:rsidR="00D428CB" w:rsidRPr="00B8512B">
        <w:rPr>
          <w:rFonts w:ascii="Times New Roman" w:hAnsi="Times New Roman" w:cs="Times New Roman"/>
          <w:noProof/>
          <w:lang w:val="en-IE"/>
        </w:rPr>
        <w:t>n particular</w:t>
      </w:r>
      <w:r w:rsidR="00DD542A" w:rsidRPr="00B8512B">
        <w:rPr>
          <w:rFonts w:ascii="Times New Roman" w:hAnsi="Times New Roman" w:cs="Times New Roman"/>
          <w:noProof/>
          <w:lang w:val="en-IE"/>
        </w:rPr>
        <w:t>,</w:t>
      </w:r>
      <w:r w:rsidR="00C32A52" w:rsidRPr="00B8512B">
        <w:rPr>
          <w:rFonts w:ascii="Times New Roman" w:hAnsi="Times New Roman" w:cs="Times New Roman"/>
          <w:noProof/>
          <w:lang w:val="en-IE"/>
        </w:rPr>
        <w:t xml:space="preserve"> the requirement for patients t</w:t>
      </w:r>
      <w:r w:rsidRPr="00B8512B">
        <w:rPr>
          <w:rFonts w:ascii="Times New Roman" w:hAnsi="Times New Roman" w:cs="Times New Roman"/>
          <w:noProof/>
          <w:lang w:val="en-IE"/>
        </w:rPr>
        <w:t xml:space="preserve">o provide a certified translation of the documentation </w:t>
      </w:r>
      <w:r w:rsidR="00B5540C">
        <w:rPr>
          <w:rFonts w:ascii="Times New Roman" w:hAnsi="Times New Roman" w:cs="Times New Roman"/>
          <w:noProof/>
          <w:lang w:val="en-IE"/>
        </w:rPr>
        <w:t>may</w:t>
      </w:r>
      <w:r w:rsidR="00B5540C" w:rsidRPr="00B8512B">
        <w:rPr>
          <w:rFonts w:ascii="Times New Roman" w:hAnsi="Times New Roman" w:cs="Times New Roman"/>
          <w:noProof/>
          <w:lang w:val="en-IE"/>
        </w:rPr>
        <w:t xml:space="preserve"> </w:t>
      </w:r>
      <w:r w:rsidRPr="00B8512B">
        <w:rPr>
          <w:rFonts w:ascii="Times New Roman" w:hAnsi="Times New Roman" w:cs="Times New Roman"/>
          <w:noProof/>
          <w:lang w:val="en-IE"/>
        </w:rPr>
        <w:t>represent a disproportionate obstacle to free movement of services</w:t>
      </w:r>
      <w:r w:rsidR="00E41481" w:rsidRPr="00B8512B">
        <w:rPr>
          <w:rStyle w:val="FootnoteReference"/>
          <w:rFonts w:ascii="Times New Roman" w:hAnsi="Times New Roman" w:cs="Times New Roman"/>
          <w:noProof/>
          <w:lang w:val="en-IE"/>
        </w:rPr>
        <w:footnoteReference w:id="19"/>
      </w:r>
      <w:r w:rsidRPr="00B8512B">
        <w:rPr>
          <w:rFonts w:ascii="Times New Roman" w:hAnsi="Times New Roman" w:cs="Times New Roman"/>
          <w:noProof/>
          <w:lang w:val="en-IE"/>
        </w:rPr>
        <w:t>.</w:t>
      </w:r>
    </w:p>
    <w:p w14:paraId="55EE97EF" w14:textId="77777777" w:rsidR="00B958CF" w:rsidRPr="00B8512B" w:rsidRDefault="00B958CF" w:rsidP="00EF0378">
      <w:pPr>
        <w:rPr>
          <w:rFonts w:ascii="Times New Roman" w:hAnsi="Times New Roman" w:cs="Times New Roman"/>
          <w:noProof/>
          <w:szCs w:val="24"/>
          <w:lang w:val="en-IE"/>
        </w:rPr>
      </w:pPr>
    </w:p>
    <w:p w14:paraId="163B645A" w14:textId="658B12F0" w:rsidR="00EF0378" w:rsidRPr="00B8512B" w:rsidRDefault="00F75284">
      <w:pPr>
        <w:pStyle w:val="Heading2"/>
        <w:rPr>
          <w:rFonts w:ascii="Times New Roman" w:hAnsi="Times New Roman" w:cs="Times New Roman"/>
          <w:noProof/>
          <w:lang w:val="en-IE"/>
        </w:rPr>
      </w:pPr>
      <w:bookmarkStart w:id="10" w:name="_Toc81927256"/>
      <w:r>
        <w:rPr>
          <w:rFonts w:ascii="Times New Roman" w:hAnsi="Times New Roman" w:cs="Times New Roman"/>
          <w:noProof/>
          <w:lang w:val="en-IE"/>
        </w:rPr>
        <w:t xml:space="preserve"> </w:t>
      </w:r>
      <w:r w:rsidR="00EF0378" w:rsidRPr="00B8512B">
        <w:rPr>
          <w:rFonts w:ascii="Times New Roman" w:hAnsi="Times New Roman" w:cs="Times New Roman"/>
          <w:noProof/>
          <w:lang w:val="en-IE"/>
        </w:rPr>
        <w:t xml:space="preserve">Fees </w:t>
      </w:r>
      <w:r w:rsidR="00841398" w:rsidRPr="00B8512B">
        <w:rPr>
          <w:rFonts w:ascii="Times New Roman" w:hAnsi="Times New Roman" w:cs="Times New Roman"/>
          <w:noProof/>
          <w:lang w:val="en-IE"/>
        </w:rPr>
        <w:t>for patients from other Member States</w:t>
      </w:r>
      <w:bookmarkEnd w:id="10"/>
    </w:p>
    <w:p w14:paraId="7F858A29" w14:textId="484C8BEC" w:rsidR="00EF0378" w:rsidRPr="00B8512B" w:rsidRDefault="00EF0378">
      <w:pPr>
        <w:rPr>
          <w:rFonts w:ascii="Times New Roman" w:hAnsi="Times New Roman" w:cs="Times New Roman"/>
          <w:noProof/>
          <w:lang w:val="en-IE"/>
        </w:rPr>
      </w:pPr>
      <w:r w:rsidRPr="00B8512B">
        <w:rPr>
          <w:rFonts w:ascii="Times New Roman" w:hAnsi="Times New Roman" w:cs="Times New Roman"/>
          <w:noProof/>
          <w:lang w:val="en-IE"/>
        </w:rPr>
        <w:t xml:space="preserve">Article 4(3) requires Member States to observe the principle of non-discrimination with regard to patients from other </w:t>
      </w:r>
      <w:r w:rsidR="00E4219D" w:rsidRPr="00B8512B">
        <w:rPr>
          <w:rFonts w:ascii="Times New Roman" w:hAnsi="Times New Roman" w:cs="Times New Roman"/>
          <w:noProof/>
          <w:lang w:val="en-IE"/>
        </w:rPr>
        <w:t>EU countries</w:t>
      </w:r>
      <w:r w:rsidRPr="00B8512B">
        <w:rPr>
          <w:rFonts w:ascii="Times New Roman" w:hAnsi="Times New Roman" w:cs="Times New Roman"/>
          <w:noProof/>
          <w:lang w:val="en-IE"/>
        </w:rPr>
        <w:t>. It also notes that</w:t>
      </w:r>
      <w:r w:rsidR="00F75284">
        <w:rPr>
          <w:rFonts w:ascii="Times New Roman" w:hAnsi="Times New Roman" w:cs="Times New Roman"/>
          <w:noProof/>
          <w:lang w:val="en-IE"/>
        </w:rPr>
        <w:t>,</w:t>
      </w:r>
      <w:r w:rsidRPr="00B8512B">
        <w:rPr>
          <w:rFonts w:ascii="Times New Roman" w:hAnsi="Times New Roman" w:cs="Times New Roman"/>
          <w:noProof/>
          <w:lang w:val="en-IE"/>
        </w:rPr>
        <w:t xml:space="preserve"> </w:t>
      </w:r>
      <w:r w:rsidR="00E4219D" w:rsidRPr="00B8512B">
        <w:rPr>
          <w:rFonts w:ascii="Times New Roman" w:hAnsi="Times New Roman" w:cs="Times New Roman"/>
          <w:noProof/>
          <w:lang w:val="en-IE"/>
        </w:rPr>
        <w:t xml:space="preserve">under certain circumstances, </w:t>
      </w:r>
      <w:r w:rsidRPr="00B8512B">
        <w:rPr>
          <w:rFonts w:ascii="Times New Roman" w:hAnsi="Times New Roman" w:cs="Times New Roman"/>
          <w:noProof/>
          <w:lang w:val="en-IE"/>
        </w:rPr>
        <w:t xml:space="preserve">Member States may adopt measures </w:t>
      </w:r>
      <w:r w:rsidR="00776CC2">
        <w:rPr>
          <w:rFonts w:ascii="Times New Roman" w:hAnsi="Times New Roman" w:cs="Times New Roman"/>
          <w:noProof/>
          <w:lang w:val="en-IE"/>
        </w:rPr>
        <w:t>on</w:t>
      </w:r>
      <w:r w:rsidR="00776CC2" w:rsidRPr="00B8512B">
        <w:rPr>
          <w:rFonts w:ascii="Times New Roman" w:hAnsi="Times New Roman" w:cs="Times New Roman"/>
          <w:noProof/>
          <w:lang w:val="en-IE"/>
        </w:rPr>
        <w:t xml:space="preserve"> </w:t>
      </w:r>
      <w:r w:rsidRPr="00B8512B">
        <w:rPr>
          <w:rFonts w:ascii="Times New Roman" w:hAnsi="Times New Roman" w:cs="Times New Roman"/>
          <w:noProof/>
          <w:lang w:val="en-IE"/>
        </w:rPr>
        <w:t>access to treatment</w:t>
      </w:r>
      <w:r w:rsidR="00F75284">
        <w:rPr>
          <w:rFonts w:ascii="Times New Roman" w:hAnsi="Times New Roman" w:cs="Times New Roman"/>
          <w:noProof/>
          <w:lang w:val="en-IE"/>
        </w:rPr>
        <w:t>.</w:t>
      </w:r>
      <w:r w:rsidRPr="00B8512B">
        <w:rPr>
          <w:rFonts w:ascii="Times New Roman" w:hAnsi="Times New Roman" w:cs="Times New Roman"/>
          <w:noProof/>
          <w:lang w:val="en-IE"/>
        </w:rPr>
        <w:t xml:space="preserve"> </w:t>
      </w:r>
      <w:r w:rsidR="00F75284">
        <w:rPr>
          <w:rFonts w:ascii="Times New Roman" w:hAnsi="Times New Roman" w:cs="Times New Roman"/>
          <w:noProof/>
          <w:lang w:val="en-IE"/>
        </w:rPr>
        <w:t>H</w:t>
      </w:r>
      <w:r w:rsidRPr="00B8512B">
        <w:rPr>
          <w:rFonts w:ascii="Times New Roman" w:hAnsi="Times New Roman" w:cs="Times New Roman"/>
          <w:noProof/>
          <w:lang w:val="en-IE"/>
        </w:rPr>
        <w:t>owever, such measures must be justified, proportionate and necessary</w:t>
      </w:r>
      <w:r w:rsidR="00F75284">
        <w:rPr>
          <w:rFonts w:ascii="Times New Roman" w:hAnsi="Times New Roman" w:cs="Times New Roman"/>
          <w:noProof/>
          <w:lang w:val="en-IE"/>
        </w:rPr>
        <w:t xml:space="preserve"> and</w:t>
      </w:r>
      <w:r w:rsidRPr="00B8512B">
        <w:rPr>
          <w:rFonts w:ascii="Times New Roman" w:hAnsi="Times New Roman" w:cs="Times New Roman"/>
          <w:noProof/>
          <w:lang w:val="en-IE"/>
        </w:rPr>
        <w:t xml:space="preserve"> they must be </w:t>
      </w:r>
      <w:r w:rsidR="00381C62" w:rsidRPr="00B8512B">
        <w:rPr>
          <w:rFonts w:ascii="Times New Roman" w:hAnsi="Times New Roman" w:cs="Times New Roman"/>
          <w:noProof/>
          <w:lang w:val="en-IE"/>
        </w:rPr>
        <w:t>publicly</w:t>
      </w:r>
      <w:r w:rsidR="00F75284">
        <w:rPr>
          <w:rFonts w:ascii="Times New Roman" w:hAnsi="Times New Roman" w:cs="Times New Roman"/>
          <w:noProof/>
          <w:lang w:val="en-IE"/>
        </w:rPr>
        <w:t xml:space="preserve"> available</w:t>
      </w:r>
      <w:r w:rsidR="00381C62" w:rsidRPr="00B8512B">
        <w:rPr>
          <w:rFonts w:ascii="Times New Roman" w:hAnsi="Times New Roman" w:cs="Times New Roman"/>
          <w:noProof/>
          <w:lang w:val="en-IE"/>
        </w:rPr>
        <w:t xml:space="preserve"> in advance</w:t>
      </w:r>
      <w:r w:rsidR="00841398" w:rsidRPr="00B8512B">
        <w:rPr>
          <w:rStyle w:val="FootnoteReference"/>
          <w:rFonts w:ascii="Times New Roman" w:hAnsi="Times New Roman" w:cs="Times New Roman"/>
          <w:noProof/>
          <w:lang w:val="en-IE"/>
        </w:rPr>
        <w:footnoteReference w:id="20"/>
      </w:r>
      <w:r w:rsidR="00381C62" w:rsidRPr="00B8512B">
        <w:rPr>
          <w:rFonts w:ascii="Times New Roman" w:hAnsi="Times New Roman" w:cs="Times New Roman"/>
          <w:noProof/>
          <w:lang w:val="en-IE"/>
        </w:rPr>
        <w:t>.</w:t>
      </w:r>
    </w:p>
    <w:p w14:paraId="4112534F" w14:textId="6194BE92" w:rsidR="00EF0378" w:rsidRPr="00B8512B" w:rsidRDefault="00EF0378">
      <w:pPr>
        <w:rPr>
          <w:rFonts w:ascii="Times New Roman" w:hAnsi="Times New Roman" w:cs="Times New Roman"/>
          <w:noProof/>
          <w:lang w:val="en-IE"/>
        </w:rPr>
      </w:pPr>
      <w:r w:rsidRPr="00B8512B">
        <w:rPr>
          <w:rFonts w:ascii="Times New Roman" w:hAnsi="Times New Roman" w:cs="Times New Roman"/>
          <w:noProof/>
          <w:lang w:val="en-IE"/>
        </w:rPr>
        <w:t xml:space="preserve">Member States may </w:t>
      </w:r>
      <w:r w:rsidR="00A77137">
        <w:rPr>
          <w:rFonts w:ascii="Times New Roman" w:hAnsi="Times New Roman" w:cs="Times New Roman"/>
          <w:noProof/>
          <w:lang w:val="en-IE"/>
        </w:rPr>
        <w:t>set</w:t>
      </w:r>
      <w:r w:rsidR="00A77137"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fees for the delivery of healthcare in their territory. However, </w:t>
      </w:r>
      <w:r w:rsidR="00294CE8" w:rsidRPr="00B8512B">
        <w:rPr>
          <w:rFonts w:ascii="Times New Roman" w:hAnsi="Times New Roman" w:cs="Times New Roman"/>
          <w:noProof/>
          <w:lang w:val="en-IE"/>
        </w:rPr>
        <w:t xml:space="preserve">under </w:t>
      </w:r>
      <w:r w:rsidRPr="00B8512B">
        <w:rPr>
          <w:rFonts w:ascii="Times New Roman" w:hAnsi="Times New Roman" w:cs="Times New Roman"/>
          <w:noProof/>
          <w:lang w:val="en-IE"/>
        </w:rPr>
        <w:t>Article 4(4)</w:t>
      </w:r>
      <w:r w:rsidR="005923B0" w:rsidRPr="00B8512B">
        <w:rPr>
          <w:rFonts w:ascii="Times New Roman" w:hAnsi="Times New Roman" w:cs="Times New Roman"/>
          <w:noProof/>
          <w:lang w:val="en-IE"/>
        </w:rPr>
        <w:t>,</w:t>
      </w:r>
      <w:r w:rsidRPr="00B8512B">
        <w:rPr>
          <w:rFonts w:ascii="Times New Roman" w:hAnsi="Times New Roman" w:cs="Times New Roman"/>
          <w:noProof/>
          <w:lang w:val="en-IE"/>
        </w:rPr>
        <w:t xml:space="preserve"> </w:t>
      </w:r>
      <w:r w:rsidR="00294CE8" w:rsidRPr="00B8512B">
        <w:rPr>
          <w:rFonts w:ascii="Times New Roman" w:hAnsi="Times New Roman" w:cs="Times New Roman"/>
          <w:noProof/>
          <w:lang w:val="en-IE"/>
        </w:rPr>
        <w:t>they have to</w:t>
      </w:r>
      <w:r w:rsidRPr="00B8512B">
        <w:rPr>
          <w:rFonts w:ascii="Times New Roman" w:hAnsi="Times New Roman" w:cs="Times New Roman"/>
          <w:noProof/>
          <w:lang w:val="en-IE"/>
        </w:rPr>
        <w:t xml:space="preserve"> ensure that healthcare providers apply the same scale of fees to patients from other </w:t>
      </w:r>
      <w:r w:rsidR="00E4219D" w:rsidRPr="00B8512B">
        <w:rPr>
          <w:rFonts w:ascii="Times New Roman" w:hAnsi="Times New Roman" w:cs="Times New Roman"/>
          <w:noProof/>
          <w:lang w:val="en-IE"/>
        </w:rPr>
        <w:t>EU countries</w:t>
      </w:r>
      <w:r w:rsidRPr="00B8512B">
        <w:rPr>
          <w:rFonts w:ascii="Times New Roman" w:hAnsi="Times New Roman" w:cs="Times New Roman"/>
          <w:noProof/>
          <w:lang w:val="en-IE"/>
        </w:rPr>
        <w:t xml:space="preserve"> as they do for domestic patients in a comparable medical situation. If there is no comparable price for domestic patients</w:t>
      </w:r>
      <w:r w:rsidRPr="00B8512B">
        <w:rPr>
          <w:rStyle w:val="FootnoteReference"/>
          <w:rFonts w:ascii="Times New Roman" w:hAnsi="Times New Roman" w:cs="Times New Roman"/>
          <w:noProof/>
          <w:lang w:val="en-IE"/>
        </w:rPr>
        <w:footnoteReference w:id="21"/>
      </w:r>
      <w:r w:rsidRPr="00B8512B">
        <w:rPr>
          <w:rFonts w:ascii="Times New Roman" w:hAnsi="Times New Roman" w:cs="Times New Roman"/>
          <w:noProof/>
          <w:lang w:val="en-IE"/>
        </w:rPr>
        <w:t>, Article 4(4) oblig</w:t>
      </w:r>
      <w:r w:rsidR="00621DD3">
        <w:rPr>
          <w:rFonts w:ascii="Times New Roman" w:hAnsi="Times New Roman" w:cs="Times New Roman"/>
          <w:noProof/>
          <w:lang w:val="en-IE"/>
        </w:rPr>
        <w:t>es</w:t>
      </w:r>
      <w:r w:rsidRPr="00B8512B">
        <w:rPr>
          <w:rFonts w:ascii="Times New Roman" w:hAnsi="Times New Roman" w:cs="Times New Roman"/>
          <w:noProof/>
          <w:lang w:val="en-IE"/>
        </w:rPr>
        <w:t xml:space="preserve"> providers to charge a price calculated according to objective, non-discriminatory criteria. These requirements</w:t>
      </w:r>
      <w:r w:rsidR="00621DD3">
        <w:rPr>
          <w:rFonts w:ascii="Times New Roman" w:hAnsi="Times New Roman" w:cs="Times New Roman"/>
          <w:noProof/>
          <w:lang w:val="en-IE"/>
        </w:rPr>
        <w:t>,</w:t>
      </w:r>
      <w:r w:rsidRPr="00B8512B">
        <w:rPr>
          <w:rFonts w:ascii="Times New Roman" w:hAnsi="Times New Roman" w:cs="Times New Roman"/>
          <w:noProof/>
          <w:lang w:val="en-IE"/>
        </w:rPr>
        <w:t xml:space="preserve"> however</w:t>
      </w:r>
      <w:r w:rsidR="00621DD3">
        <w:rPr>
          <w:rFonts w:ascii="Times New Roman" w:hAnsi="Times New Roman" w:cs="Times New Roman"/>
          <w:noProof/>
          <w:lang w:val="en-IE"/>
        </w:rPr>
        <w:t>,</w:t>
      </w:r>
      <w:r w:rsidRPr="00B8512B">
        <w:rPr>
          <w:rFonts w:ascii="Times New Roman" w:hAnsi="Times New Roman" w:cs="Times New Roman"/>
          <w:noProof/>
          <w:lang w:val="en-IE"/>
        </w:rPr>
        <w:t xml:space="preserve"> </w:t>
      </w:r>
      <w:r w:rsidR="00621DD3">
        <w:rPr>
          <w:rFonts w:ascii="Times New Roman" w:hAnsi="Times New Roman" w:cs="Times New Roman"/>
          <w:noProof/>
          <w:lang w:val="en-IE"/>
        </w:rPr>
        <w:t>are</w:t>
      </w:r>
      <w:r w:rsidR="00621DD3"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without prejudice to national legislation </w:t>
      </w:r>
      <w:r w:rsidR="00621DD3">
        <w:rPr>
          <w:rFonts w:ascii="Times New Roman" w:hAnsi="Times New Roman" w:cs="Times New Roman"/>
          <w:noProof/>
          <w:lang w:val="en-IE"/>
        </w:rPr>
        <w:t>that</w:t>
      </w:r>
      <w:r w:rsidR="00621DD3"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allows healthcare providers to set their own prices, </w:t>
      </w:r>
      <w:r w:rsidR="00621DD3">
        <w:rPr>
          <w:rFonts w:ascii="Times New Roman" w:hAnsi="Times New Roman" w:cs="Times New Roman"/>
          <w:noProof/>
          <w:lang w:val="en-IE"/>
        </w:rPr>
        <w:t>so long as</w:t>
      </w:r>
      <w:r w:rsidR="00621DD3"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they do not discriminate against patients from other </w:t>
      </w:r>
      <w:r w:rsidR="00E4219D" w:rsidRPr="00B8512B">
        <w:rPr>
          <w:rFonts w:ascii="Times New Roman" w:hAnsi="Times New Roman" w:cs="Times New Roman"/>
          <w:noProof/>
          <w:lang w:val="en-IE"/>
        </w:rPr>
        <w:t>EU countries</w:t>
      </w:r>
      <w:r w:rsidRPr="00B8512B">
        <w:rPr>
          <w:rFonts w:ascii="Times New Roman" w:hAnsi="Times New Roman" w:cs="Times New Roman"/>
          <w:noProof/>
          <w:lang w:val="en-IE"/>
        </w:rPr>
        <w:t>.</w:t>
      </w:r>
    </w:p>
    <w:p w14:paraId="71C75568" w14:textId="433E5D08" w:rsidR="008617A3" w:rsidRPr="00B8512B" w:rsidRDefault="005923B0">
      <w:pPr>
        <w:rPr>
          <w:rFonts w:ascii="Times New Roman" w:hAnsi="Times New Roman" w:cs="Times New Roman"/>
          <w:noProof/>
          <w:lang w:val="en-IE"/>
        </w:rPr>
      </w:pPr>
      <w:r w:rsidRPr="00B8512B">
        <w:rPr>
          <w:rFonts w:ascii="Times New Roman" w:hAnsi="Times New Roman" w:cs="Times New Roman"/>
          <w:noProof/>
          <w:lang w:val="en-IE"/>
        </w:rPr>
        <w:t>During the conformity check, t</w:t>
      </w:r>
      <w:r w:rsidR="00EF0378" w:rsidRPr="00B8512B">
        <w:rPr>
          <w:rFonts w:ascii="Times New Roman" w:hAnsi="Times New Roman" w:cs="Times New Roman"/>
          <w:noProof/>
          <w:lang w:val="en-IE"/>
        </w:rPr>
        <w:t xml:space="preserve">he Commission </w:t>
      </w:r>
      <w:r w:rsidR="004306FE" w:rsidRPr="00B8512B">
        <w:rPr>
          <w:rFonts w:ascii="Times New Roman" w:hAnsi="Times New Roman" w:cs="Times New Roman"/>
          <w:noProof/>
          <w:lang w:val="en-IE"/>
        </w:rPr>
        <w:t xml:space="preserve">did </w:t>
      </w:r>
      <w:r w:rsidR="00EF0378" w:rsidRPr="00B8512B">
        <w:rPr>
          <w:rFonts w:ascii="Times New Roman" w:hAnsi="Times New Roman" w:cs="Times New Roman"/>
          <w:noProof/>
          <w:lang w:val="en-IE"/>
        </w:rPr>
        <w:t xml:space="preserve">not </w:t>
      </w:r>
      <w:r w:rsidR="00135DBF" w:rsidRPr="00B8512B">
        <w:rPr>
          <w:rFonts w:ascii="Times New Roman" w:hAnsi="Times New Roman" w:cs="Times New Roman"/>
          <w:noProof/>
          <w:lang w:val="en-IE"/>
        </w:rPr>
        <w:t xml:space="preserve">identify </w:t>
      </w:r>
      <w:r w:rsidR="000B543C" w:rsidRPr="00B8512B">
        <w:rPr>
          <w:rFonts w:ascii="Times New Roman" w:hAnsi="Times New Roman" w:cs="Times New Roman"/>
          <w:noProof/>
          <w:lang w:val="en-IE"/>
        </w:rPr>
        <w:t>that healthcare providers are setting, or are allowed to set, discriminatory prices for patients from other Member States</w:t>
      </w:r>
      <w:r w:rsidR="00872FFC" w:rsidRPr="00B8512B">
        <w:rPr>
          <w:rFonts w:ascii="Times New Roman" w:hAnsi="Times New Roman" w:cs="Times New Roman"/>
          <w:noProof/>
          <w:lang w:val="en-IE"/>
        </w:rPr>
        <w:t xml:space="preserve">, </w:t>
      </w:r>
      <w:r w:rsidR="00621DD3">
        <w:rPr>
          <w:rFonts w:ascii="Times New Roman" w:hAnsi="Times New Roman" w:cs="Times New Roman"/>
          <w:noProof/>
          <w:lang w:val="en-IE"/>
        </w:rPr>
        <w:t>which would</w:t>
      </w:r>
      <w:r w:rsidR="00621DD3" w:rsidRPr="00B8512B">
        <w:rPr>
          <w:rFonts w:ascii="Times New Roman" w:hAnsi="Times New Roman" w:cs="Times New Roman"/>
          <w:noProof/>
          <w:lang w:val="en-IE"/>
        </w:rPr>
        <w:t xml:space="preserve"> </w:t>
      </w:r>
      <w:r w:rsidR="00872FFC" w:rsidRPr="00B8512B">
        <w:rPr>
          <w:rFonts w:ascii="Times New Roman" w:hAnsi="Times New Roman" w:cs="Times New Roman"/>
          <w:noProof/>
          <w:lang w:val="en-IE"/>
        </w:rPr>
        <w:t xml:space="preserve">contradict the </w:t>
      </w:r>
      <w:r w:rsidR="008505E2" w:rsidRPr="00B8512B">
        <w:rPr>
          <w:rFonts w:ascii="Times New Roman" w:hAnsi="Times New Roman" w:cs="Times New Roman"/>
          <w:noProof/>
          <w:lang w:val="en-IE"/>
        </w:rPr>
        <w:t>above principles</w:t>
      </w:r>
      <w:r w:rsidR="00A16758" w:rsidRPr="00B8512B">
        <w:rPr>
          <w:rFonts w:ascii="Times New Roman" w:hAnsi="Times New Roman" w:cs="Times New Roman"/>
          <w:noProof/>
          <w:lang w:val="en-IE"/>
        </w:rPr>
        <w:t>.</w:t>
      </w:r>
      <w:r w:rsidR="00E0695D" w:rsidRPr="00B8512B">
        <w:rPr>
          <w:rFonts w:ascii="Times New Roman" w:hAnsi="Times New Roman" w:cs="Times New Roman"/>
          <w:noProof/>
          <w:lang w:val="en-IE"/>
        </w:rPr>
        <w:t xml:space="preserve"> </w:t>
      </w:r>
      <w:r w:rsidR="0029524A" w:rsidRPr="00B8512B">
        <w:rPr>
          <w:rFonts w:ascii="Times New Roman" w:hAnsi="Times New Roman" w:cs="Times New Roman"/>
          <w:noProof/>
          <w:lang w:val="en-IE"/>
        </w:rPr>
        <w:t>However, t</w:t>
      </w:r>
      <w:r w:rsidR="00E0695D" w:rsidRPr="00B8512B">
        <w:rPr>
          <w:rFonts w:ascii="Times New Roman" w:hAnsi="Times New Roman" w:cs="Times New Roman"/>
          <w:noProof/>
          <w:lang w:val="en-IE"/>
        </w:rPr>
        <w:t xml:space="preserve">he </w:t>
      </w:r>
      <w:r w:rsidR="00E0695D" w:rsidRPr="00EA55E2">
        <w:rPr>
          <w:rFonts w:ascii="Times New Roman" w:hAnsi="Times New Roman" w:cs="Times New Roman"/>
          <w:noProof/>
          <w:lang w:val="en-IE"/>
        </w:rPr>
        <w:t>Fit for Future Platform</w:t>
      </w:r>
      <w:r w:rsidR="004210DF" w:rsidRPr="00B8512B">
        <w:rPr>
          <w:rStyle w:val="FootnoteReference"/>
          <w:rFonts w:ascii="Times New Roman" w:hAnsi="Times New Roman" w:cs="Times New Roman"/>
          <w:noProof/>
          <w:lang w:val="en-IE"/>
        </w:rPr>
        <w:footnoteReference w:id="22"/>
      </w:r>
      <w:r w:rsidR="00E0695D" w:rsidRPr="00B8512B">
        <w:rPr>
          <w:rFonts w:ascii="Times New Roman" w:hAnsi="Times New Roman" w:cs="Times New Roman"/>
          <w:noProof/>
          <w:lang w:val="en-IE"/>
        </w:rPr>
        <w:t xml:space="preserve"> notes the findings </w:t>
      </w:r>
      <w:r w:rsidR="0029524A" w:rsidRPr="00B8512B">
        <w:rPr>
          <w:rFonts w:ascii="Times New Roman" w:hAnsi="Times New Roman" w:cs="Times New Roman"/>
          <w:noProof/>
          <w:lang w:val="en-IE"/>
        </w:rPr>
        <w:t xml:space="preserve">of the </w:t>
      </w:r>
      <w:r w:rsidR="0029524A" w:rsidRPr="00EA55E2">
        <w:rPr>
          <w:rFonts w:ascii="Times New Roman" w:hAnsi="Times New Roman" w:cs="Times New Roman"/>
          <w:noProof/>
          <w:lang w:val="en-IE"/>
        </w:rPr>
        <w:t>European Committee of</w:t>
      </w:r>
      <w:r w:rsidR="00410CB5" w:rsidRPr="00EA55E2">
        <w:rPr>
          <w:rFonts w:ascii="Times New Roman" w:hAnsi="Times New Roman" w:cs="Times New Roman"/>
          <w:noProof/>
          <w:lang w:val="en-IE"/>
        </w:rPr>
        <w:t xml:space="preserve"> the</w:t>
      </w:r>
      <w:r w:rsidR="0029524A" w:rsidRPr="00EA55E2">
        <w:rPr>
          <w:rFonts w:ascii="Times New Roman" w:hAnsi="Times New Roman" w:cs="Times New Roman"/>
          <w:noProof/>
          <w:lang w:val="en-IE"/>
        </w:rPr>
        <w:t xml:space="preserve"> Regions </w:t>
      </w:r>
      <w:r w:rsidR="00E0695D" w:rsidRPr="00EA55E2">
        <w:rPr>
          <w:rFonts w:ascii="Times New Roman" w:hAnsi="Times New Roman" w:cs="Times New Roman"/>
          <w:noProof/>
          <w:lang w:val="en-IE"/>
        </w:rPr>
        <w:t>report</w:t>
      </w:r>
      <w:r w:rsidR="0029524A" w:rsidRPr="00B8512B">
        <w:rPr>
          <w:rStyle w:val="FootnoteReference"/>
          <w:rFonts w:ascii="Times New Roman" w:hAnsi="Times New Roman" w:cs="Times New Roman"/>
          <w:noProof/>
          <w:lang w:val="en-IE"/>
        </w:rPr>
        <w:footnoteReference w:id="23"/>
      </w:r>
      <w:r w:rsidR="00E0695D" w:rsidRPr="00B8512B">
        <w:rPr>
          <w:rFonts w:ascii="Times New Roman" w:hAnsi="Times New Roman" w:cs="Times New Roman"/>
          <w:noProof/>
          <w:lang w:val="en-IE"/>
        </w:rPr>
        <w:t xml:space="preserve"> that a scale of medical fees </w:t>
      </w:r>
      <w:r w:rsidR="0029524A" w:rsidRPr="00B8512B">
        <w:rPr>
          <w:rFonts w:ascii="Times New Roman" w:hAnsi="Times New Roman" w:cs="Times New Roman"/>
          <w:noProof/>
          <w:lang w:val="en-IE"/>
        </w:rPr>
        <w:t xml:space="preserve">charged on patients </w:t>
      </w:r>
      <w:r w:rsidR="00E0695D" w:rsidRPr="00B8512B">
        <w:rPr>
          <w:rFonts w:ascii="Times New Roman" w:hAnsi="Times New Roman" w:cs="Times New Roman"/>
          <w:noProof/>
          <w:lang w:val="en-IE"/>
        </w:rPr>
        <w:t>is not readily available</w:t>
      </w:r>
      <w:r w:rsidR="00F62AFB" w:rsidRPr="00B8512B">
        <w:rPr>
          <w:rFonts w:ascii="Times New Roman" w:hAnsi="Times New Roman" w:cs="Times New Roman"/>
          <w:noProof/>
          <w:lang w:val="en-IE"/>
        </w:rPr>
        <w:t xml:space="preserve"> in all Member States</w:t>
      </w:r>
      <w:r w:rsidR="00E0695D" w:rsidRPr="00B8512B">
        <w:rPr>
          <w:rFonts w:ascii="Times New Roman" w:hAnsi="Times New Roman" w:cs="Times New Roman"/>
          <w:noProof/>
          <w:lang w:val="en-IE"/>
        </w:rPr>
        <w:t xml:space="preserve">. </w:t>
      </w:r>
      <w:r w:rsidR="00FA67E6">
        <w:rPr>
          <w:rFonts w:ascii="Times New Roman" w:hAnsi="Times New Roman" w:cs="Times New Roman"/>
          <w:noProof/>
          <w:lang w:val="en-IE"/>
        </w:rPr>
        <w:t xml:space="preserve">Its opinion therefore </w:t>
      </w:r>
      <w:r w:rsidR="004306FE" w:rsidRPr="00B8512B">
        <w:rPr>
          <w:rFonts w:ascii="Times New Roman" w:hAnsi="Times New Roman" w:cs="Times New Roman"/>
          <w:noProof/>
          <w:lang w:val="en-IE"/>
        </w:rPr>
        <w:t>calls for improving information on applicable fees for treatments in Member States.</w:t>
      </w:r>
    </w:p>
    <w:p w14:paraId="37405A14" w14:textId="77777777" w:rsidR="00231397" w:rsidRPr="00B8512B" w:rsidRDefault="00231397">
      <w:pPr>
        <w:rPr>
          <w:rFonts w:ascii="Times New Roman" w:hAnsi="Times New Roman" w:cs="Times New Roman"/>
          <w:noProof/>
          <w:lang w:val="en-IE"/>
        </w:rPr>
      </w:pPr>
    </w:p>
    <w:p w14:paraId="4EB56BFF" w14:textId="75406538" w:rsidR="00B60FB5" w:rsidRPr="00B8512B" w:rsidRDefault="00A87AFF">
      <w:pPr>
        <w:pStyle w:val="Heading1"/>
        <w:rPr>
          <w:rFonts w:ascii="Times New Roman" w:hAnsi="Times New Roman" w:cs="Times New Roman"/>
          <w:noProof/>
          <w:lang w:val="en-IE"/>
        </w:rPr>
      </w:pPr>
      <w:bookmarkStart w:id="11" w:name="_Toc81927258"/>
      <w:r w:rsidRPr="00B8512B">
        <w:rPr>
          <w:rFonts w:ascii="Times New Roman" w:hAnsi="Times New Roman" w:cs="Times New Roman"/>
          <w:noProof/>
          <w:lang w:val="en-IE"/>
        </w:rPr>
        <w:t xml:space="preserve">Reports </w:t>
      </w:r>
      <w:r w:rsidR="00186E9C" w:rsidRPr="00B8512B">
        <w:rPr>
          <w:rFonts w:ascii="Times New Roman" w:hAnsi="Times New Roman" w:cs="Times New Roman"/>
          <w:noProof/>
          <w:lang w:val="en-IE"/>
        </w:rPr>
        <w:t xml:space="preserve">by </w:t>
      </w:r>
      <w:r w:rsidRPr="00B8512B">
        <w:rPr>
          <w:rFonts w:ascii="Times New Roman" w:hAnsi="Times New Roman" w:cs="Times New Roman"/>
          <w:noProof/>
          <w:lang w:val="en-IE"/>
        </w:rPr>
        <w:t xml:space="preserve">other </w:t>
      </w:r>
      <w:r w:rsidR="00E201BA" w:rsidRPr="00B8512B">
        <w:rPr>
          <w:rFonts w:ascii="Times New Roman" w:hAnsi="Times New Roman" w:cs="Times New Roman"/>
          <w:noProof/>
          <w:lang w:val="en-IE"/>
        </w:rPr>
        <w:t xml:space="preserve">EU </w:t>
      </w:r>
      <w:r w:rsidR="005A2738" w:rsidRPr="00B8512B">
        <w:rPr>
          <w:rFonts w:ascii="Times New Roman" w:hAnsi="Times New Roman" w:cs="Times New Roman"/>
          <w:noProof/>
          <w:lang w:val="en-IE"/>
        </w:rPr>
        <w:t>i</w:t>
      </w:r>
      <w:r w:rsidR="00E201BA" w:rsidRPr="00B8512B">
        <w:rPr>
          <w:rFonts w:ascii="Times New Roman" w:hAnsi="Times New Roman" w:cs="Times New Roman"/>
          <w:noProof/>
          <w:lang w:val="en-IE"/>
        </w:rPr>
        <w:t>nstitutions</w:t>
      </w:r>
      <w:bookmarkEnd w:id="11"/>
      <w:r w:rsidR="00392438" w:rsidRPr="00B8512B">
        <w:rPr>
          <w:rFonts w:ascii="Times New Roman" w:hAnsi="Times New Roman" w:cs="Times New Roman"/>
          <w:noProof/>
          <w:lang w:val="en-IE"/>
        </w:rPr>
        <w:t xml:space="preserve"> and bodies</w:t>
      </w:r>
    </w:p>
    <w:p w14:paraId="41AFCB00" w14:textId="77777777" w:rsidR="00231397" w:rsidRDefault="00231397">
      <w:pPr>
        <w:rPr>
          <w:rFonts w:ascii="Times New Roman" w:hAnsi="Times New Roman" w:cs="Times New Roman"/>
          <w:b/>
          <w:bCs/>
          <w:noProof/>
          <w:lang w:val="en-IE"/>
        </w:rPr>
      </w:pPr>
    </w:p>
    <w:p w14:paraId="2F59769F" w14:textId="13C4805F" w:rsidR="00E45B79" w:rsidRPr="00B8512B" w:rsidRDefault="00E45B79">
      <w:pPr>
        <w:rPr>
          <w:rFonts w:ascii="Times New Roman" w:hAnsi="Times New Roman" w:cs="Times New Roman"/>
          <w:noProof/>
          <w:lang w:val="en-IE"/>
        </w:rPr>
      </w:pPr>
      <w:r w:rsidRPr="000854BB">
        <w:rPr>
          <w:rFonts w:ascii="Times New Roman" w:hAnsi="Times New Roman" w:cs="Times New Roman"/>
          <w:bCs/>
          <w:noProof/>
          <w:lang w:val="en-IE"/>
        </w:rPr>
        <w:t>The</w:t>
      </w:r>
      <w:r w:rsidRPr="00B8512B">
        <w:rPr>
          <w:rFonts w:ascii="Times New Roman" w:hAnsi="Times New Roman" w:cs="Times New Roman"/>
          <w:b/>
          <w:bCs/>
          <w:noProof/>
          <w:lang w:val="en-IE"/>
        </w:rPr>
        <w:t xml:space="preserve"> European Parliament</w:t>
      </w:r>
      <w:r w:rsidRPr="00B8512B">
        <w:rPr>
          <w:rFonts w:ascii="Times New Roman" w:hAnsi="Times New Roman" w:cs="Times New Roman"/>
          <w:bCs/>
          <w:noProof/>
          <w:lang w:val="en-IE"/>
        </w:rPr>
        <w:t xml:space="preserve"> </w:t>
      </w:r>
      <w:r w:rsidRPr="00B8512B">
        <w:rPr>
          <w:rFonts w:ascii="Times New Roman" w:hAnsi="Times New Roman" w:cs="Times New Roman"/>
          <w:noProof/>
          <w:lang w:val="en-IE"/>
        </w:rPr>
        <w:t>analysed</w:t>
      </w:r>
      <w:r w:rsidR="000B4B6A">
        <w:rPr>
          <w:rFonts w:ascii="Times New Roman" w:hAnsi="Times New Roman" w:cs="Times New Roman"/>
          <w:noProof/>
          <w:lang w:val="en-IE"/>
        </w:rPr>
        <w:t xml:space="preserve"> </w:t>
      </w:r>
      <w:r w:rsidRPr="00B8512B">
        <w:rPr>
          <w:rFonts w:ascii="Times New Roman" w:hAnsi="Times New Roman" w:cs="Times New Roman"/>
          <w:noProof/>
          <w:lang w:val="en-IE"/>
        </w:rPr>
        <w:t>shortcomings in the implementation of the Directive and conclu</w:t>
      </w:r>
      <w:r w:rsidR="00741F14" w:rsidRPr="00B8512B">
        <w:rPr>
          <w:rFonts w:ascii="Times New Roman" w:hAnsi="Times New Roman" w:cs="Times New Roman"/>
          <w:noProof/>
          <w:lang w:val="en-IE"/>
        </w:rPr>
        <w:t>ded</w:t>
      </w:r>
      <w:r w:rsidR="00E4219D" w:rsidRPr="00B8512B">
        <w:rPr>
          <w:rStyle w:val="FootnoteReference"/>
          <w:rFonts w:ascii="Times New Roman" w:hAnsi="Times New Roman" w:cs="Times New Roman"/>
          <w:noProof/>
          <w:lang w:val="en-IE"/>
        </w:rPr>
        <w:footnoteReference w:id="24"/>
      </w:r>
      <w:r w:rsidR="00E4219D" w:rsidRPr="00B8512B">
        <w:rPr>
          <w:rFonts w:ascii="Times New Roman" w:hAnsi="Times New Roman" w:cs="Times New Roman"/>
          <w:noProof/>
          <w:lang w:val="en-IE"/>
        </w:rPr>
        <w:t xml:space="preserve"> </w:t>
      </w:r>
      <w:r w:rsidR="00741F14" w:rsidRPr="00B8512B">
        <w:rPr>
          <w:rFonts w:ascii="Times New Roman" w:hAnsi="Times New Roman" w:cs="Times New Roman"/>
          <w:noProof/>
          <w:lang w:val="en-IE"/>
        </w:rPr>
        <w:t xml:space="preserve">that </w:t>
      </w:r>
      <w:r w:rsidRPr="00B8512B">
        <w:rPr>
          <w:rFonts w:ascii="Times New Roman" w:hAnsi="Times New Roman" w:cs="Times New Roman"/>
          <w:noProof/>
          <w:lang w:val="en-IE"/>
        </w:rPr>
        <w:t xml:space="preserve">action is needed, </w:t>
      </w:r>
      <w:r w:rsidR="00315FD3">
        <w:rPr>
          <w:rFonts w:ascii="Times New Roman" w:hAnsi="Times New Roman" w:cs="Times New Roman"/>
          <w:iCs/>
          <w:noProof/>
          <w:lang w:val="en-IE"/>
        </w:rPr>
        <w:t>for example</w:t>
      </w:r>
      <w:r w:rsidRPr="00B8512B">
        <w:rPr>
          <w:rFonts w:ascii="Times New Roman" w:hAnsi="Times New Roman" w:cs="Times New Roman"/>
          <w:noProof/>
          <w:lang w:val="en-IE"/>
        </w:rPr>
        <w:t>, to simplify administrative procedures and to improve information provi</w:t>
      </w:r>
      <w:r w:rsidR="00315FD3">
        <w:rPr>
          <w:rFonts w:ascii="Times New Roman" w:hAnsi="Times New Roman" w:cs="Times New Roman"/>
          <w:noProof/>
          <w:lang w:val="en-IE"/>
        </w:rPr>
        <w:t>ded</w:t>
      </w:r>
      <w:r w:rsidRPr="00B8512B">
        <w:rPr>
          <w:rFonts w:ascii="Times New Roman" w:hAnsi="Times New Roman" w:cs="Times New Roman"/>
          <w:noProof/>
          <w:lang w:val="en-IE"/>
        </w:rPr>
        <w:t xml:space="preserve"> by </w:t>
      </w:r>
      <w:r w:rsidR="000B4B6A">
        <w:rPr>
          <w:rFonts w:ascii="Times New Roman" w:hAnsi="Times New Roman" w:cs="Times New Roman"/>
          <w:noProof/>
          <w:lang w:val="en-IE"/>
        </w:rPr>
        <w:t>national contact points</w:t>
      </w:r>
      <w:r w:rsidR="000B4B6A" w:rsidRPr="00B8512B">
        <w:rPr>
          <w:rFonts w:ascii="Times New Roman" w:hAnsi="Times New Roman" w:cs="Times New Roman"/>
          <w:noProof/>
          <w:lang w:val="en-IE"/>
        </w:rPr>
        <w:t xml:space="preserve"> </w:t>
      </w:r>
      <w:r w:rsidR="000B4B6A">
        <w:rPr>
          <w:rFonts w:ascii="Times New Roman" w:hAnsi="Times New Roman" w:cs="Times New Roman"/>
          <w:noProof/>
          <w:lang w:val="en-IE"/>
        </w:rPr>
        <w:t>(</w:t>
      </w:r>
      <w:r w:rsidR="00741F14" w:rsidRPr="00B8512B">
        <w:rPr>
          <w:rFonts w:ascii="Times New Roman" w:hAnsi="Times New Roman" w:cs="Times New Roman"/>
          <w:noProof/>
          <w:lang w:val="en-IE"/>
        </w:rPr>
        <w:t>NCP</w:t>
      </w:r>
      <w:r w:rsidRPr="00B8512B">
        <w:rPr>
          <w:rFonts w:ascii="Times New Roman" w:hAnsi="Times New Roman" w:cs="Times New Roman"/>
          <w:noProof/>
          <w:lang w:val="en-IE"/>
        </w:rPr>
        <w:t>s</w:t>
      </w:r>
      <w:r w:rsidR="000B4B6A">
        <w:rPr>
          <w:rFonts w:ascii="Times New Roman" w:hAnsi="Times New Roman" w:cs="Times New Roman"/>
          <w:noProof/>
          <w:lang w:val="en-IE"/>
        </w:rPr>
        <w:t>)</w:t>
      </w:r>
      <w:r w:rsidRPr="00B8512B">
        <w:rPr>
          <w:rFonts w:ascii="Times New Roman" w:hAnsi="Times New Roman" w:cs="Times New Roman"/>
          <w:noProof/>
          <w:lang w:val="en-IE"/>
        </w:rPr>
        <w:t xml:space="preserve"> set up specifically for the purpose.</w:t>
      </w:r>
    </w:p>
    <w:p w14:paraId="771BA6AF" w14:textId="3F758165" w:rsidR="00954278" w:rsidRPr="00B8512B" w:rsidRDefault="004B25A5">
      <w:pPr>
        <w:rPr>
          <w:rFonts w:ascii="Times New Roman" w:hAnsi="Times New Roman" w:cs="Times New Roman"/>
          <w:noProof/>
          <w:lang w:val="en-IE"/>
        </w:rPr>
      </w:pPr>
      <w:r w:rsidRPr="000854BB">
        <w:rPr>
          <w:rFonts w:ascii="Times New Roman" w:hAnsi="Times New Roman" w:cs="Times New Roman"/>
          <w:bCs/>
          <w:noProof/>
          <w:lang w:val="en-IE"/>
        </w:rPr>
        <w:t>T</w:t>
      </w:r>
      <w:r w:rsidR="00954278" w:rsidRPr="000854BB">
        <w:rPr>
          <w:rFonts w:ascii="Times New Roman" w:hAnsi="Times New Roman" w:cs="Times New Roman"/>
          <w:bCs/>
          <w:noProof/>
          <w:lang w:val="en-IE"/>
        </w:rPr>
        <w:t>he</w:t>
      </w:r>
      <w:r w:rsidR="00954278" w:rsidRPr="00B8512B">
        <w:rPr>
          <w:rFonts w:ascii="Times New Roman" w:hAnsi="Times New Roman" w:cs="Times New Roman"/>
          <w:b/>
          <w:bCs/>
          <w:noProof/>
          <w:lang w:val="en-IE"/>
        </w:rPr>
        <w:t xml:space="preserve"> European Court of Auditors</w:t>
      </w:r>
      <w:r w:rsidR="00954278" w:rsidRPr="00B8512B">
        <w:rPr>
          <w:rFonts w:ascii="Times New Roman" w:hAnsi="Times New Roman" w:cs="Times New Roman"/>
          <w:noProof/>
          <w:lang w:val="en-IE"/>
        </w:rPr>
        <w:t xml:space="preserve"> concluded</w:t>
      </w:r>
      <w:r w:rsidR="00277C62" w:rsidRPr="00B8512B">
        <w:rPr>
          <w:rStyle w:val="FootnoteReference"/>
          <w:rFonts w:ascii="Times New Roman" w:hAnsi="Times New Roman" w:cs="Times New Roman"/>
          <w:noProof/>
          <w:lang w:val="en-IE"/>
        </w:rPr>
        <w:footnoteReference w:id="25"/>
      </w:r>
      <w:r w:rsidR="00954278" w:rsidRPr="00B8512B">
        <w:rPr>
          <w:rFonts w:ascii="Times New Roman" w:hAnsi="Times New Roman" w:cs="Times New Roman"/>
          <w:noProof/>
          <w:lang w:val="en-IE"/>
        </w:rPr>
        <w:t xml:space="preserve"> that </w:t>
      </w:r>
      <w:r w:rsidR="00997102">
        <w:rPr>
          <w:rFonts w:ascii="Times New Roman" w:hAnsi="Times New Roman" w:cs="Times New Roman"/>
          <w:noProof/>
          <w:lang w:val="en-IE"/>
        </w:rPr>
        <w:t>the Commission had monitored the transposition of the Directive into national law and its implementation by the Member States well. W</w:t>
      </w:r>
      <w:r w:rsidR="00954278" w:rsidRPr="00B8512B">
        <w:rPr>
          <w:rFonts w:ascii="Times New Roman" w:hAnsi="Times New Roman" w:cs="Times New Roman"/>
          <w:noProof/>
          <w:lang w:val="en-IE"/>
        </w:rPr>
        <w:t xml:space="preserve">hile </w:t>
      </w:r>
      <w:r w:rsidR="00CB30BF" w:rsidRPr="00B8512B">
        <w:rPr>
          <w:rFonts w:ascii="Times New Roman" w:hAnsi="Times New Roman" w:cs="Times New Roman"/>
          <w:noProof/>
          <w:lang w:val="en-IE"/>
        </w:rPr>
        <w:t>EU</w:t>
      </w:r>
      <w:r w:rsidR="00954278" w:rsidRPr="00B8512B">
        <w:rPr>
          <w:rFonts w:ascii="Times New Roman" w:hAnsi="Times New Roman" w:cs="Times New Roman"/>
          <w:noProof/>
          <w:lang w:val="en-IE"/>
        </w:rPr>
        <w:t xml:space="preserve"> actions </w:t>
      </w:r>
      <w:r w:rsidR="00315FD3">
        <w:rPr>
          <w:rFonts w:ascii="Times New Roman" w:hAnsi="Times New Roman" w:cs="Times New Roman"/>
          <w:noProof/>
          <w:lang w:val="en-IE"/>
        </w:rPr>
        <w:t>improved</w:t>
      </w:r>
      <w:r w:rsidR="00315FD3" w:rsidRPr="00B8512B">
        <w:rPr>
          <w:rFonts w:ascii="Times New Roman" w:hAnsi="Times New Roman" w:cs="Times New Roman"/>
          <w:noProof/>
          <w:lang w:val="en-IE"/>
        </w:rPr>
        <w:t xml:space="preserve"> </w:t>
      </w:r>
      <w:r w:rsidR="00954278" w:rsidRPr="00B8512B">
        <w:rPr>
          <w:rFonts w:ascii="Times New Roman" w:hAnsi="Times New Roman" w:cs="Times New Roman"/>
          <w:noProof/>
          <w:lang w:val="en-IE"/>
        </w:rPr>
        <w:t>cooperation between Member States, the impact on patients was rather li</w:t>
      </w:r>
      <w:r w:rsidR="006D261C" w:rsidRPr="00B8512B">
        <w:rPr>
          <w:rFonts w:ascii="Times New Roman" w:hAnsi="Times New Roman" w:cs="Times New Roman"/>
          <w:noProof/>
          <w:lang w:val="en-IE"/>
        </w:rPr>
        <w:t>mited at the time of the audit.</w:t>
      </w:r>
      <w:r w:rsidR="00954278" w:rsidRPr="00B8512B">
        <w:rPr>
          <w:rFonts w:ascii="Times New Roman" w:hAnsi="Times New Roman" w:cs="Times New Roman"/>
          <w:noProof/>
          <w:lang w:val="en-IE"/>
        </w:rPr>
        <w:t xml:space="preserve"> </w:t>
      </w:r>
      <w:r w:rsidR="00A87AFF" w:rsidRPr="00B8512B">
        <w:rPr>
          <w:rFonts w:ascii="Times New Roman" w:hAnsi="Times New Roman" w:cs="Times New Roman"/>
          <w:noProof/>
          <w:lang w:val="en-IE"/>
        </w:rPr>
        <w:t>It</w:t>
      </w:r>
      <w:r w:rsidR="00672186" w:rsidRPr="00B8512B">
        <w:rPr>
          <w:rFonts w:ascii="Times New Roman" w:hAnsi="Times New Roman" w:cs="Times New Roman"/>
          <w:noProof/>
          <w:lang w:val="en-IE"/>
        </w:rPr>
        <w:t xml:space="preserve">s </w:t>
      </w:r>
      <w:r w:rsidR="00954278" w:rsidRPr="00B8512B">
        <w:rPr>
          <w:rFonts w:ascii="Times New Roman" w:hAnsi="Times New Roman" w:cs="Times New Roman"/>
          <w:noProof/>
          <w:lang w:val="en-IE"/>
        </w:rPr>
        <w:t xml:space="preserve">recommendations </w:t>
      </w:r>
      <w:r w:rsidR="006D261C" w:rsidRPr="00B8512B">
        <w:rPr>
          <w:rFonts w:ascii="Times New Roman" w:hAnsi="Times New Roman" w:cs="Times New Roman"/>
          <w:noProof/>
          <w:lang w:val="en-IE"/>
        </w:rPr>
        <w:t xml:space="preserve">call for </w:t>
      </w:r>
      <w:r w:rsidR="00672186" w:rsidRPr="00B8512B">
        <w:rPr>
          <w:rFonts w:ascii="Times New Roman" w:hAnsi="Times New Roman" w:cs="Times New Roman"/>
          <w:noProof/>
          <w:lang w:val="en-IE"/>
        </w:rPr>
        <w:t>greater</w:t>
      </w:r>
      <w:r w:rsidR="00954278" w:rsidRPr="00B8512B">
        <w:rPr>
          <w:rFonts w:ascii="Times New Roman" w:hAnsi="Times New Roman" w:cs="Times New Roman"/>
          <w:noProof/>
          <w:lang w:val="en-IE"/>
        </w:rPr>
        <w:t xml:space="preserve"> support for NCPs, the deployment of cross-border exchanges of health data, and</w:t>
      </w:r>
      <w:r w:rsidR="00672186" w:rsidRPr="00B8512B">
        <w:rPr>
          <w:rFonts w:ascii="Times New Roman" w:hAnsi="Times New Roman" w:cs="Times New Roman"/>
          <w:noProof/>
          <w:lang w:val="en-IE"/>
        </w:rPr>
        <w:t xml:space="preserve"> strengthening </w:t>
      </w:r>
      <w:r w:rsidR="00954278" w:rsidRPr="00B8512B">
        <w:rPr>
          <w:rFonts w:ascii="Times New Roman" w:hAnsi="Times New Roman" w:cs="Times New Roman"/>
          <w:noProof/>
          <w:lang w:val="en-IE"/>
        </w:rPr>
        <w:t>EU actions in the field of rare diseases</w:t>
      </w:r>
      <w:r w:rsidR="00A87510" w:rsidRPr="00B8512B">
        <w:rPr>
          <w:rFonts w:ascii="Times New Roman" w:hAnsi="Times New Roman" w:cs="Times New Roman"/>
          <w:noProof/>
          <w:lang w:val="en-IE"/>
        </w:rPr>
        <w:t xml:space="preserve"> and the </w:t>
      </w:r>
      <w:r w:rsidR="00A3572C">
        <w:rPr>
          <w:rFonts w:ascii="Times New Roman" w:hAnsi="Times New Roman" w:cs="Times New Roman"/>
          <w:noProof/>
          <w:lang w:val="en-IE"/>
        </w:rPr>
        <w:t>European reference networks</w:t>
      </w:r>
      <w:r w:rsidR="00954278" w:rsidRPr="00B8512B">
        <w:rPr>
          <w:rFonts w:ascii="Times New Roman" w:hAnsi="Times New Roman" w:cs="Times New Roman"/>
          <w:noProof/>
          <w:lang w:val="en-IE"/>
        </w:rPr>
        <w:t>.</w:t>
      </w:r>
      <w:r w:rsidR="00D420AF">
        <w:rPr>
          <w:rFonts w:ascii="Times New Roman" w:hAnsi="Times New Roman" w:cs="Times New Roman"/>
          <w:noProof/>
          <w:lang w:val="en-IE"/>
        </w:rPr>
        <w:t xml:space="preserve"> The Commission continues to follow up on these recommendations. </w:t>
      </w:r>
    </w:p>
    <w:p w14:paraId="144D49B8" w14:textId="20974FCE" w:rsidR="00954278" w:rsidRPr="00B8512B" w:rsidRDefault="00954278">
      <w:pPr>
        <w:rPr>
          <w:rFonts w:ascii="Times New Roman" w:hAnsi="Times New Roman" w:cs="Times New Roman"/>
          <w:noProof/>
          <w:lang w:val="en-IE"/>
        </w:rPr>
      </w:pPr>
      <w:r w:rsidRPr="00D702AD">
        <w:rPr>
          <w:rFonts w:ascii="Times New Roman" w:hAnsi="Times New Roman" w:cs="Times New Roman"/>
          <w:bCs/>
          <w:noProof/>
          <w:lang w:val="en-IE"/>
        </w:rPr>
        <w:t xml:space="preserve">The </w:t>
      </w:r>
      <w:r w:rsidRPr="00B8512B">
        <w:rPr>
          <w:rFonts w:ascii="Times New Roman" w:hAnsi="Times New Roman" w:cs="Times New Roman"/>
          <w:b/>
          <w:bCs/>
          <w:noProof/>
          <w:lang w:val="en-IE"/>
        </w:rPr>
        <w:t>Council</w:t>
      </w:r>
      <w:r w:rsidR="00C673EC" w:rsidRPr="00B8512B">
        <w:rPr>
          <w:rFonts w:ascii="Times New Roman" w:hAnsi="Times New Roman" w:cs="Times New Roman"/>
          <w:b/>
          <w:bCs/>
          <w:noProof/>
          <w:lang w:val="en-IE"/>
        </w:rPr>
        <w:t>’s</w:t>
      </w:r>
      <w:r w:rsidRPr="00B8512B">
        <w:rPr>
          <w:rFonts w:ascii="Times New Roman" w:hAnsi="Times New Roman" w:cs="Times New Roman"/>
          <w:noProof/>
          <w:lang w:val="en-IE"/>
        </w:rPr>
        <w:t xml:space="preserve"> </w:t>
      </w:r>
      <w:r w:rsidR="00CB30BF" w:rsidRPr="00B8512B">
        <w:rPr>
          <w:rFonts w:ascii="Times New Roman" w:hAnsi="Times New Roman" w:cs="Times New Roman"/>
          <w:noProof/>
          <w:lang w:val="en-IE"/>
        </w:rPr>
        <w:t>c</w:t>
      </w:r>
      <w:r w:rsidRPr="00B8512B">
        <w:rPr>
          <w:rFonts w:ascii="Times New Roman" w:hAnsi="Times New Roman" w:cs="Times New Roman"/>
          <w:noProof/>
          <w:lang w:val="en-IE"/>
        </w:rPr>
        <w:t>onclusions</w:t>
      </w:r>
      <w:r w:rsidR="00EB7D35" w:rsidRPr="00B8512B">
        <w:rPr>
          <w:rStyle w:val="FootnoteReference"/>
          <w:rFonts w:ascii="Times New Roman" w:hAnsi="Times New Roman" w:cs="Times New Roman"/>
          <w:noProof/>
          <w:lang w:val="en-IE"/>
        </w:rPr>
        <w:footnoteReference w:id="26"/>
      </w:r>
      <w:r w:rsidRPr="00B8512B">
        <w:rPr>
          <w:rFonts w:ascii="Times New Roman" w:hAnsi="Times New Roman" w:cs="Times New Roman"/>
          <w:noProof/>
          <w:lang w:val="en-IE"/>
        </w:rPr>
        <w:t xml:space="preserve"> </w:t>
      </w:r>
      <w:r w:rsidR="00672186" w:rsidRPr="00B8512B">
        <w:rPr>
          <w:rFonts w:ascii="Times New Roman" w:hAnsi="Times New Roman" w:cs="Times New Roman"/>
          <w:noProof/>
          <w:lang w:val="en-IE"/>
        </w:rPr>
        <w:t>echo</w:t>
      </w:r>
      <w:r w:rsidR="00EB7D35" w:rsidRPr="00B8512B">
        <w:rPr>
          <w:rFonts w:ascii="Times New Roman" w:hAnsi="Times New Roman" w:cs="Times New Roman"/>
          <w:noProof/>
          <w:lang w:val="en-IE"/>
        </w:rPr>
        <w:t>ed</w:t>
      </w:r>
      <w:r w:rsidR="00672186" w:rsidRPr="00B8512B">
        <w:rPr>
          <w:rFonts w:ascii="Times New Roman" w:hAnsi="Times New Roman" w:cs="Times New Roman"/>
          <w:noProof/>
          <w:lang w:val="en-IE"/>
        </w:rPr>
        <w:t xml:space="preserve"> the </w:t>
      </w:r>
      <w:r w:rsidR="00235CC9" w:rsidRPr="00235CC9">
        <w:rPr>
          <w:rFonts w:ascii="Times New Roman" w:hAnsi="Times New Roman" w:cs="Times New Roman"/>
          <w:noProof/>
          <w:lang w:val="en-IE"/>
        </w:rPr>
        <w:t xml:space="preserve">Court of Auditors </w:t>
      </w:r>
      <w:r w:rsidR="00CB30BF" w:rsidRPr="00B8512B">
        <w:rPr>
          <w:rFonts w:ascii="Times New Roman" w:hAnsi="Times New Roman" w:cs="Times New Roman"/>
          <w:noProof/>
          <w:lang w:val="en-IE"/>
        </w:rPr>
        <w:t>report</w:t>
      </w:r>
      <w:r w:rsidRPr="00B8512B">
        <w:rPr>
          <w:rFonts w:ascii="Times New Roman" w:hAnsi="Times New Roman" w:cs="Times New Roman"/>
          <w:noProof/>
          <w:lang w:val="en-IE"/>
        </w:rPr>
        <w:t xml:space="preserve"> </w:t>
      </w:r>
      <w:r w:rsidR="00672186" w:rsidRPr="00B8512B">
        <w:rPr>
          <w:rFonts w:ascii="Times New Roman" w:hAnsi="Times New Roman" w:cs="Times New Roman"/>
          <w:noProof/>
          <w:lang w:val="en-IE"/>
        </w:rPr>
        <w:t xml:space="preserve">and </w:t>
      </w:r>
      <w:r w:rsidRPr="00B8512B">
        <w:rPr>
          <w:rFonts w:ascii="Times New Roman" w:hAnsi="Times New Roman" w:cs="Times New Roman"/>
          <w:noProof/>
          <w:lang w:val="en-IE"/>
        </w:rPr>
        <w:t xml:space="preserve">encouraged the Commission to support NCPs to improve the information provided to patients </w:t>
      </w:r>
      <w:r w:rsidR="00CB30BF" w:rsidRPr="00B8512B">
        <w:rPr>
          <w:rFonts w:ascii="Times New Roman" w:hAnsi="Times New Roman" w:cs="Times New Roman"/>
          <w:noProof/>
          <w:lang w:val="en-IE"/>
        </w:rPr>
        <w:t>about</w:t>
      </w:r>
      <w:r w:rsidRPr="00B8512B">
        <w:rPr>
          <w:rFonts w:ascii="Times New Roman" w:hAnsi="Times New Roman" w:cs="Times New Roman"/>
          <w:noProof/>
          <w:lang w:val="en-IE"/>
        </w:rPr>
        <w:t xml:space="preserve"> their right</w:t>
      </w:r>
      <w:r w:rsidR="005A2738" w:rsidRPr="00B8512B">
        <w:rPr>
          <w:rFonts w:ascii="Times New Roman" w:hAnsi="Times New Roman" w:cs="Times New Roman"/>
          <w:noProof/>
          <w:lang w:val="en-IE"/>
        </w:rPr>
        <w:t>s</w:t>
      </w:r>
      <w:r w:rsidRPr="00B8512B">
        <w:rPr>
          <w:rFonts w:ascii="Times New Roman" w:hAnsi="Times New Roman" w:cs="Times New Roman"/>
          <w:noProof/>
          <w:lang w:val="en-IE"/>
        </w:rPr>
        <w:t xml:space="preserve"> to cross-border healthcare, including information on the </w:t>
      </w:r>
      <w:r w:rsidR="00A3572C" w:rsidRPr="00A3572C">
        <w:rPr>
          <w:rFonts w:ascii="Times New Roman" w:hAnsi="Times New Roman" w:cs="Times New Roman"/>
          <w:noProof/>
          <w:lang w:val="en-IE"/>
        </w:rPr>
        <w:t>European reference networks</w:t>
      </w:r>
      <w:r w:rsidRPr="00B8512B">
        <w:rPr>
          <w:rFonts w:ascii="Times New Roman" w:hAnsi="Times New Roman" w:cs="Times New Roman"/>
          <w:noProof/>
          <w:lang w:val="en-IE"/>
        </w:rPr>
        <w:t>.</w:t>
      </w:r>
    </w:p>
    <w:p w14:paraId="56B005E7" w14:textId="0733CFA6" w:rsidR="00082515" w:rsidRPr="00B8512B" w:rsidRDefault="0002598F">
      <w:pPr>
        <w:rPr>
          <w:rFonts w:ascii="Times New Roman" w:hAnsi="Times New Roman" w:cs="Times New Roman"/>
          <w:noProof/>
          <w:lang w:val="en-IE"/>
        </w:rPr>
      </w:pPr>
      <w:r w:rsidRPr="00D702AD">
        <w:rPr>
          <w:rFonts w:ascii="Times New Roman" w:hAnsi="Times New Roman" w:cs="Times New Roman"/>
          <w:noProof/>
          <w:lang w:val="en-IE"/>
        </w:rPr>
        <w:t>T</w:t>
      </w:r>
      <w:r w:rsidR="00E201BA" w:rsidRPr="00D702AD">
        <w:rPr>
          <w:rFonts w:ascii="Times New Roman" w:hAnsi="Times New Roman" w:cs="Times New Roman"/>
          <w:bCs/>
          <w:noProof/>
          <w:lang w:val="en-IE"/>
        </w:rPr>
        <w:t xml:space="preserve">he </w:t>
      </w:r>
      <w:r w:rsidR="00E201BA" w:rsidRPr="00B8512B">
        <w:rPr>
          <w:rFonts w:ascii="Times New Roman" w:hAnsi="Times New Roman" w:cs="Times New Roman"/>
          <w:b/>
          <w:bCs/>
          <w:noProof/>
          <w:lang w:val="en-IE"/>
        </w:rPr>
        <w:t>European Committee of the Regions</w:t>
      </w:r>
      <w:r w:rsidR="00410CB5" w:rsidRPr="00B8512B">
        <w:rPr>
          <w:rFonts w:ascii="Times New Roman" w:hAnsi="Times New Roman" w:cs="Times New Roman"/>
          <w:b/>
          <w:bCs/>
          <w:noProof/>
          <w:lang w:val="en-IE"/>
        </w:rPr>
        <w:t xml:space="preserve"> </w:t>
      </w:r>
      <w:r w:rsidR="00E45B79" w:rsidRPr="00B8512B">
        <w:rPr>
          <w:rFonts w:ascii="Times New Roman" w:hAnsi="Times New Roman" w:cs="Times New Roman"/>
          <w:noProof/>
          <w:lang w:val="en-IE"/>
        </w:rPr>
        <w:t>support</w:t>
      </w:r>
      <w:r w:rsidR="00FC2EBE" w:rsidRPr="00B8512B">
        <w:rPr>
          <w:rFonts w:ascii="Times New Roman" w:hAnsi="Times New Roman" w:cs="Times New Roman"/>
          <w:noProof/>
          <w:lang w:val="en-IE"/>
        </w:rPr>
        <w:t>ed</w:t>
      </w:r>
      <w:r w:rsidR="00277C62" w:rsidRPr="00B8512B">
        <w:rPr>
          <w:rStyle w:val="FootnoteReference"/>
          <w:rFonts w:ascii="Times New Roman" w:hAnsi="Times New Roman" w:cs="Times New Roman"/>
          <w:noProof/>
          <w:lang w:val="en-IE"/>
        </w:rPr>
        <w:footnoteReference w:id="27"/>
      </w:r>
      <w:r w:rsidR="00E45B79" w:rsidRPr="00B8512B">
        <w:rPr>
          <w:rFonts w:ascii="Times New Roman" w:hAnsi="Times New Roman" w:cs="Times New Roman"/>
          <w:noProof/>
          <w:lang w:val="en-IE"/>
        </w:rPr>
        <w:t xml:space="preserve"> the use of prior authorisation </w:t>
      </w:r>
      <w:r w:rsidR="00954278" w:rsidRPr="00B8512B">
        <w:rPr>
          <w:rFonts w:ascii="Times New Roman" w:hAnsi="Times New Roman" w:cs="Times New Roman"/>
          <w:noProof/>
          <w:lang w:val="en-IE"/>
        </w:rPr>
        <w:t xml:space="preserve">where necessary </w:t>
      </w:r>
      <w:r w:rsidR="00E45B79" w:rsidRPr="00B8512B">
        <w:rPr>
          <w:rFonts w:ascii="Times New Roman" w:hAnsi="Times New Roman" w:cs="Times New Roman"/>
          <w:noProof/>
          <w:lang w:val="en-IE"/>
        </w:rPr>
        <w:t>to protect health systems</w:t>
      </w:r>
      <w:r w:rsidR="00A3572C">
        <w:rPr>
          <w:rFonts w:ascii="Times New Roman" w:hAnsi="Times New Roman" w:cs="Times New Roman"/>
          <w:noProof/>
          <w:lang w:val="en-IE"/>
        </w:rPr>
        <w:t>,</w:t>
      </w:r>
      <w:r w:rsidR="00E45B79" w:rsidRPr="00B8512B">
        <w:rPr>
          <w:rFonts w:ascii="Times New Roman" w:hAnsi="Times New Roman" w:cs="Times New Roman"/>
          <w:noProof/>
          <w:lang w:val="en-IE"/>
        </w:rPr>
        <w:t xml:space="preserve"> and promote</w:t>
      </w:r>
      <w:r w:rsidR="00FC2EBE" w:rsidRPr="00B8512B">
        <w:rPr>
          <w:rFonts w:ascii="Times New Roman" w:hAnsi="Times New Roman" w:cs="Times New Roman"/>
          <w:noProof/>
          <w:lang w:val="en-IE"/>
        </w:rPr>
        <w:t>d</w:t>
      </w:r>
      <w:r w:rsidR="00E45B79" w:rsidRPr="00B8512B">
        <w:rPr>
          <w:rFonts w:ascii="Times New Roman" w:hAnsi="Times New Roman" w:cs="Times New Roman"/>
          <w:noProof/>
          <w:lang w:val="en-IE"/>
        </w:rPr>
        <w:t xml:space="preserve"> the use of prior notification </w:t>
      </w:r>
      <w:r w:rsidR="00954278" w:rsidRPr="00B8512B">
        <w:rPr>
          <w:rFonts w:ascii="Times New Roman" w:hAnsi="Times New Roman" w:cs="Times New Roman"/>
          <w:noProof/>
          <w:lang w:val="en-IE"/>
        </w:rPr>
        <w:t xml:space="preserve">to provide patients with clarity </w:t>
      </w:r>
      <w:r w:rsidR="00776CC2">
        <w:rPr>
          <w:rFonts w:ascii="Times New Roman" w:hAnsi="Times New Roman" w:cs="Times New Roman"/>
          <w:noProof/>
          <w:lang w:val="en-IE"/>
        </w:rPr>
        <w:t>on</w:t>
      </w:r>
      <w:r w:rsidR="00776CC2"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their healthcare costs </w:t>
      </w:r>
      <w:r w:rsidR="00954278" w:rsidRPr="00B8512B">
        <w:rPr>
          <w:rFonts w:ascii="Times New Roman" w:hAnsi="Times New Roman" w:cs="Times New Roman"/>
          <w:noProof/>
          <w:lang w:val="en-IE"/>
        </w:rPr>
        <w:t>and to support authorities in complying with their obligations</w:t>
      </w:r>
      <w:r w:rsidR="00FC2EBE" w:rsidRPr="00B8512B">
        <w:rPr>
          <w:rFonts w:ascii="Times New Roman" w:hAnsi="Times New Roman" w:cs="Times New Roman"/>
          <w:noProof/>
          <w:lang w:val="en-IE"/>
        </w:rPr>
        <w:t xml:space="preserve"> under the Directive</w:t>
      </w:r>
      <w:r w:rsidR="00E45B79" w:rsidRPr="00B8512B">
        <w:rPr>
          <w:rFonts w:ascii="Times New Roman" w:hAnsi="Times New Roman" w:cs="Times New Roman"/>
          <w:noProof/>
          <w:lang w:val="en-IE"/>
        </w:rPr>
        <w:t>.</w:t>
      </w:r>
    </w:p>
    <w:p w14:paraId="5958C983" w14:textId="77777777" w:rsidR="0028394F" w:rsidRPr="00B8512B" w:rsidRDefault="0028394F">
      <w:pPr>
        <w:rPr>
          <w:rFonts w:ascii="Times New Roman" w:hAnsi="Times New Roman" w:cs="Times New Roman"/>
          <w:noProof/>
          <w:lang w:val="en-IE"/>
        </w:rPr>
      </w:pPr>
    </w:p>
    <w:p w14:paraId="63B8225E" w14:textId="3E4C33DE" w:rsidR="00BA15EC" w:rsidRPr="00B8512B" w:rsidRDefault="00C76B82">
      <w:pPr>
        <w:pStyle w:val="Heading1"/>
        <w:rPr>
          <w:rFonts w:ascii="Times New Roman" w:hAnsi="Times New Roman" w:cs="Times New Roman"/>
          <w:noProof/>
          <w:lang w:val="en-IE"/>
        </w:rPr>
      </w:pPr>
      <w:bookmarkStart w:id="12" w:name="_Toc81927259"/>
      <w:r w:rsidRPr="00B8512B">
        <w:rPr>
          <w:rFonts w:ascii="Times New Roman" w:hAnsi="Times New Roman" w:cs="Times New Roman"/>
          <w:noProof/>
          <w:lang w:val="en-IE"/>
        </w:rPr>
        <w:t xml:space="preserve">Data on </w:t>
      </w:r>
      <w:r w:rsidR="005A2738" w:rsidRPr="00B8512B">
        <w:rPr>
          <w:rFonts w:ascii="Times New Roman" w:hAnsi="Times New Roman" w:cs="Times New Roman"/>
          <w:noProof/>
          <w:lang w:val="en-IE"/>
        </w:rPr>
        <w:t>patient mobility</w:t>
      </w:r>
      <w:bookmarkEnd w:id="12"/>
    </w:p>
    <w:p w14:paraId="2A0B6A5C" w14:textId="58815183" w:rsidR="00BA15EC" w:rsidRPr="00B8512B" w:rsidRDefault="00BA15EC" w:rsidP="00C76B82">
      <w:pPr>
        <w:rPr>
          <w:rFonts w:ascii="Times New Roman" w:hAnsi="Times New Roman" w:cs="Times New Roman"/>
          <w:noProof/>
          <w:szCs w:val="24"/>
          <w:lang w:val="en-IE"/>
        </w:rPr>
      </w:pPr>
    </w:p>
    <w:p w14:paraId="5D66C8B8" w14:textId="3CA9C634" w:rsidR="00BE5E43" w:rsidRPr="00B8512B" w:rsidRDefault="0076450C">
      <w:pPr>
        <w:rPr>
          <w:rFonts w:ascii="Times New Roman" w:hAnsi="Times New Roman" w:cs="Times New Roman"/>
          <w:noProof/>
          <w:lang w:val="en-IE"/>
        </w:rPr>
      </w:pPr>
      <w:r>
        <w:rPr>
          <w:rFonts w:ascii="Times New Roman" w:hAnsi="Times New Roman" w:cs="Times New Roman"/>
          <w:noProof/>
          <w:lang w:val="en-IE"/>
        </w:rPr>
        <w:t>Under</w:t>
      </w:r>
      <w:r w:rsidR="00BE5E43" w:rsidRPr="00B8512B">
        <w:rPr>
          <w:rFonts w:ascii="Times New Roman" w:hAnsi="Times New Roman" w:cs="Times New Roman"/>
          <w:noProof/>
          <w:lang w:val="en-IE"/>
        </w:rPr>
        <w:t xml:space="preserve"> Article 20</w:t>
      </w:r>
      <w:r w:rsidRPr="0076450C">
        <w:rPr>
          <w:rFonts w:ascii="Times New Roman" w:hAnsi="Times New Roman" w:cs="Times New Roman"/>
          <w:noProof/>
          <w:lang w:val="en-IE"/>
        </w:rPr>
        <w:t xml:space="preserve"> </w:t>
      </w:r>
      <w:r>
        <w:rPr>
          <w:rFonts w:ascii="Times New Roman" w:hAnsi="Times New Roman" w:cs="Times New Roman"/>
          <w:noProof/>
          <w:lang w:val="en-IE"/>
        </w:rPr>
        <w:t>of</w:t>
      </w:r>
      <w:r w:rsidRPr="00B8512B">
        <w:rPr>
          <w:rFonts w:ascii="Times New Roman" w:hAnsi="Times New Roman" w:cs="Times New Roman"/>
          <w:noProof/>
          <w:lang w:val="en-IE"/>
        </w:rPr>
        <w:t xml:space="preserve"> the Directive</w:t>
      </w:r>
      <w:r w:rsidR="00BE5E43" w:rsidRPr="00B8512B">
        <w:rPr>
          <w:rFonts w:ascii="Times New Roman" w:hAnsi="Times New Roman" w:cs="Times New Roman"/>
          <w:noProof/>
          <w:lang w:val="en-IE"/>
        </w:rPr>
        <w:t xml:space="preserve">, Member States </w:t>
      </w:r>
      <w:r>
        <w:rPr>
          <w:rFonts w:ascii="Times New Roman" w:hAnsi="Times New Roman" w:cs="Times New Roman"/>
          <w:noProof/>
          <w:lang w:val="en-IE"/>
        </w:rPr>
        <w:t xml:space="preserve">are asked to contribute to Commission </w:t>
      </w:r>
      <w:r w:rsidR="00BE5E43" w:rsidRPr="00B8512B">
        <w:rPr>
          <w:rFonts w:ascii="Times New Roman" w:hAnsi="Times New Roman" w:cs="Times New Roman"/>
          <w:noProof/>
          <w:lang w:val="en-IE"/>
        </w:rPr>
        <w:t>report</w:t>
      </w:r>
      <w:r>
        <w:rPr>
          <w:rFonts w:ascii="Times New Roman" w:hAnsi="Times New Roman" w:cs="Times New Roman"/>
          <w:noProof/>
          <w:lang w:val="en-IE"/>
        </w:rPr>
        <w:t>s</w:t>
      </w:r>
      <w:r w:rsidR="00BE5E43" w:rsidRPr="00B8512B">
        <w:rPr>
          <w:rFonts w:ascii="Times New Roman" w:hAnsi="Times New Roman" w:cs="Times New Roman"/>
          <w:noProof/>
          <w:lang w:val="en-IE"/>
        </w:rPr>
        <w:t xml:space="preserve"> on patient mobility</w:t>
      </w:r>
      <w:r>
        <w:rPr>
          <w:rFonts w:ascii="Times New Roman" w:hAnsi="Times New Roman" w:cs="Times New Roman"/>
          <w:noProof/>
          <w:lang w:val="en-IE"/>
        </w:rPr>
        <w:t xml:space="preserve"> by</w:t>
      </w:r>
      <w:r w:rsidR="00BE5E43" w:rsidRPr="00B8512B">
        <w:rPr>
          <w:rFonts w:ascii="Times New Roman" w:hAnsi="Times New Roman" w:cs="Times New Roman"/>
          <w:noProof/>
          <w:lang w:val="en-IE"/>
        </w:rPr>
        <w:t xml:space="preserve"> </w:t>
      </w:r>
      <w:r w:rsidR="00893696" w:rsidRPr="00B8512B">
        <w:rPr>
          <w:rFonts w:ascii="Times New Roman" w:hAnsi="Times New Roman" w:cs="Times New Roman"/>
          <w:noProof/>
          <w:lang w:val="en-IE"/>
        </w:rPr>
        <w:t>providing</w:t>
      </w:r>
      <w:r w:rsidR="00EB7D35" w:rsidRPr="00B8512B">
        <w:rPr>
          <w:rFonts w:ascii="Times New Roman" w:hAnsi="Times New Roman" w:cs="Times New Roman"/>
          <w:noProof/>
          <w:lang w:val="en-IE"/>
        </w:rPr>
        <w:t xml:space="preserve"> </w:t>
      </w:r>
      <w:r w:rsidR="00AB0D39" w:rsidRPr="00B8512B">
        <w:rPr>
          <w:rFonts w:ascii="Times New Roman" w:hAnsi="Times New Roman" w:cs="Times New Roman"/>
          <w:noProof/>
          <w:lang w:val="en-IE"/>
        </w:rPr>
        <w:t xml:space="preserve">information on </w:t>
      </w:r>
      <w:r w:rsidR="00015C5F" w:rsidRPr="00B8512B">
        <w:rPr>
          <w:rFonts w:ascii="Times New Roman" w:hAnsi="Times New Roman" w:cs="Times New Roman"/>
          <w:noProof/>
          <w:lang w:val="en-IE"/>
        </w:rPr>
        <w:t>NCP</w:t>
      </w:r>
      <w:r w:rsidR="00F511AB" w:rsidRPr="00B8512B">
        <w:rPr>
          <w:rFonts w:ascii="Times New Roman" w:hAnsi="Times New Roman" w:cs="Times New Roman"/>
          <w:noProof/>
          <w:lang w:val="en-IE"/>
        </w:rPr>
        <w:t>s</w:t>
      </w:r>
      <w:r w:rsidR="00AB0D39" w:rsidRPr="00B8512B">
        <w:rPr>
          <w:rFonts w:ascii="Times New Roman" w:hAnsi="Times New Roman" w:cs="Times New Roman"/>
          <w:noProof/>
          <w:lang w:val="en-IE"/>
        </w:rPr>
        <w:t>, limitations for patient flow</w:t>
      </w:r>
      <w:r>
        <w:rPr>
          <w:rFonts w:ascii="Times New Roman" w:hAnsi="Times New Roman" w:cs="Times New Roman"/>
          <w:noProof/>
          <w:lang w:val="en-IE"/>
        </w:rPr>
        <w:t>s</w:t>
      </w:r>
      <w:r w:rsidR="00AB0D39" w:rsidRPr="00B8512B">
        <w:rPr>
          <w:rFonts w:ascii="Times New Roman" w:hAnsi="Times New Roman" w:cs="Times New Roman"/>
          <w:noProof/>
          <w:lang w:val="en-IE"/>
        </w:rPr>
        <w:t>, healthcare with or without prior authorisation, requests for information about healthcare, reimbursements made and reasons for which healthcare was reimbursed or not.</w:t>
      </w:r>
    </w:p>
    <w:p w14:paraId="0A78C17C" w14:textId="09789256" w:rsidR="001D6491" w:rsidRPr="001D6491" w:rsidRDefault="00577BB1">
      <w:pPr>
        <w:rPr>
          <w:rFonts w:ascii="Times New Roman" w:hAnsi="Times New Roman" w:cs="Times New Roman"/>
          <w:noProof/>
          <w:color w:val="000000" w:themeColor="text1"/>
          <w:lang w:val="en-IE"/>
        </w:rPr>
      </w:pPr>
      <w:r w:rsidRPr="00B8512B">
        <w:rPr>
          <w:rFonts w:ascii="Times New Roman" w:hAnsi="Times New Roman" w:cs="Times New Roman"/>
          <w:noProof/>
          <w:lang w:val="en-IE"/>
        </w:rPr>
        <w:t>T</w:t>
      </w:r>
      <w:r w:rsidR="00BE5E43" w:rsidRPr="00B8512B">
        <w:rPr>
          <w:rFonts w:ascii="Times New Roman" w:hAnsi="Times New Roman" w:cs="Times New Roman"/>
          <w:noProof/>
          <w:lang w:val="en-IE"/>
        </w:rPr>
        <w:t>h</w:t>
      </w:r>
      <w:r w:rsidR="00820678" w:rsidRPr="00B8512B">
        <w:rPr>
          <w:rFonts w:ascii="Times New Roman" w:hAnsi="Times New Roman" w:cs="Times New Roman"/>
          <w:noProof/>
          <w:lang w:val="en-IE"/>
        </w:rPr>
        <w:t>is</w:t>
      </w:r>
      <w:r w:rsidR="00BE5E43" w:rsidRPr="00B8512B">
        <w:rPr>
          <w:rFonts w:ascii="Times New Roman" w:hAnsi="Times New Roman" w:cs="Times New Roman"/>
          <w:noProof/>
          <w:lang w:val="en-IE"/>
        </w:rPr>
        <w:t xml:space="preserve"> report gives a high-level overview of the data received for </w:t>
      </w:r>
      <w:r w:rsidR="00F511AB" w:rsidRPr="00B8512B">
        <w:rPr>
          <w:rFonts w:ascii="Times New Roman" w:hAnsi="Times New Roman" w:cs="Times New Roman"/>
          <w:noProof/>
          <w:lang w:val="en-IE"/>
        </w:rPr>
        <w:t xml:space="preserve">the </w:t>
      </w:r>
      <w:r w:rsidR="008A7595" w:rsidRPr="00B8512B">
        <w:rPr>
          <w:rFonts w:ascii="Times New Roman" w:hAnsi="Times New Roman" w:cs="Times New Roman"/>
          <w:noProof/>
          <w:lang w:val="en-IE"/>
        </w:rPr>
        <w:t>three-year</w:t>
      </w:r>
      <w:r w:rsidR="00F511AB" w:rsidRPr="00B8512B">
        <w:rPr>
          <w:rFonts w:ascii="Times New Roman" w:hAnsi="Times New Roman" w:cs="Times New Roman"/>
          <w:noProof/>
          <w:lang w:val="en-IE"/>
        </w:rPr>
        <w:t xml:space="preserve"> period </w:t>
      </w:r>
      <w:r w:rsidR="00BE5E43" w:rsidRPr="00B8512B">
        <w:rPr>
          <w:rFonts w:ascii="Times New Roman" w:hAnsi="Times New Roman" w:cs="Times New Roman"/>
          <w:noProof/>
          <w:lang w:val="en-IE"/>
        </w:rPr>
        <w:t>201</w:t>
      </w:r>
      <w:r w:rsidRPr="00B8512B">
        <w:rPr>
          <w:rFonts w:ascii="Times New Roman" w:hAnsi="Times New Roman" w:cs="Times New Roman"/>
          <w:noProof/>
          <w:lang w:val="en-IE"/>
        </w:rPr>
        <w:t>8</w:t>
      </w:r>
      <w:r w:rsidR="00BE5E43" w:rsidRPr="00B8512B">
        <w:rPr>
          <w:rFonts w:ascii="Times New Roman" w:hAnsi="Times New Roman" w:cs="Times New Roman"/>
          <w:noProof/>
          <w:lang w:val="en-IE"/>
        </w:rPr>
        <w:t>-2020</w:t>
      </w:r>
      <w:r w:rsidR="00820678" w:rsidRPr="00B8512B">
        <w:rPr>
          <w:rFonts w:ascii="Times New Roman" w:hAnsi="Times New Roman" w:cs="Times New Roman"/>
          <w:noProof/>
          <w:lang w:val="en-IE"/>
        </w:rPr>
        <w:t xml:space="preserve"> and includes</w:t>
      </w:r>
      <w:r w:rsidR="00EB7D35" w:rsidRPr="00B8512B">
        <w:rPr>
          <w:rFonts w:ascii="Times New Roman" w:hAnsi="Times New Roman" w:cs="Times New Roman"/>
          <w:noProof/>
          <w:lang w:val="en-IE"/>
        </w:rPr>
        <w:t xml:space="preserve"> </w:t>
      </w:r>
      <w:r w:rsidR="00C86529" w:rsidRPr="00B8512B">
        <w:rPr>
          <w:rFonts w:ascii="Times New Roman" w:hAnsi="Times New Roman" w:cs="Times New Roman"/>
          <w:noProof/>
          <w:lang w:val="en-IE"/>
        </w:rPr>
        <w:t xml:space="preserve">data </w:t>
      </w:r>
      <w:r w:rsidR="00B56847" w:rsidRPr="00B8512B">
        <w:rPr>
          <w:rFonts w:ascii="Times New Roman" w:hAnsi="Times New Roman" w:cs="Times New Roman"/>
          <w:noProof/>
          <w:lang w:val="en-IE"/>
        </w:rPr>
        <w:t xml:space="preserve">for </w:t>
      </w:r>
      <w:r w:rsidR="00C86529" w:rsidRPr="00B8512B">
        <w:rPr>
          <w:rFonts w:ascii="Times New Roman" w:hAnsi="Times New Roman" w:cs="Times New Roman"/>
          <w:noProof/>
          <w:lang w:val="en-IE"/>
        </w:rPr>
        <w:t>2016 and 2017</w:t>
      </w:r>
      <w:r w:rsidR="00AF1278" w:rsidRPr="00B8512B">
        <w:rPr>
          <w:rFonts w:ascii="Times New Roman" w:hAnsi="Times New Roman" w:cs="Times New Roman"/>
          <w:noProof/>
          <w:lang w:val="en-IE"/>
        </w:rPr>
        <w:t xml:space="preserve"> for comparison purposes</w:t>
      </w:r>
      <w:r w:rsidR="00C86529" w:rsidRPr="00B8512B">
        <w:rPr>
          <w:rFonts w:ascii="Times New Roman" w:hAnsi="Times New Roman" w:cs="Times New Roman"/>
          <w:noProof/>
          <w:lang w:val="en-IE"/>
        </w:rPr>
        <w:t xml:space="preserve">. </w:t>
      </w:r>
      <w:r w:rsidR="00820678" w:rsidRPr="00B8512B">
        <w:rPr>
          <w:rFonts w:ascii="Times New Roman" w:hAnsi="Times New Roman" w:cs="Times New Roman"/>
          <w:noProof/>
          <w:lang w:val="en-IE"/>
        </w:rPr>
        <w:t>T</w:t>
      </w:r>
      <w:r w:rsidR="009A7E04" w:rsidRPr="00B8512B">
        <w:rPr>
          <w:rFonts w:ascii="Times New Roman" w:hAnsi="Times New Roman" w:cs="Times New Roman"/>
          <w:noProof/>
          <w:lang w:val="en-IE"/>
        </w:rPr>
        <w:t>he number of Member States</w:t>
      </w:r>
      <w:r w:rsidR="009A7E04" w:rsidRPr="00B8512B">
        <w:rPr>
          <w:rStyle w:val="FootnoteReference"/>
          <w:rFonts w:ascii="Times New Roman" w:hAnsi="Times New Roman" w:cs="Times New Roman"/>
          <w:noProof/>
          <w:lang w:val="en-IE"/>
        </w:rPr>
        <w:footnoteReference w:id="28"/>
      </w:r>
      <w:r w:rsidR="009A7E04" w:rsidRPr="00B8512B">
        <w:rPr>
          <w:rFonts w:ascii="Times New Roman" w:hAnsi="Times New Roman" w:cs="Times New Roman"/>
          <w:noProof/>
          <w:lang w:val="en-IE"/>
        </w:rPr>
        <w:t xml:space="preserve"> and EEA EFTA States </w:t>
      </w:r>
      <w:r w:rsidR="00C835FF" w:rsidRPr="00B8512B">
        <w:rPr>
          <w:rFonts w:ascii="Times New Roman" w:hAnsi="Times New Roman" w:cs="Times New Roman"/>
          <w:noProof/>
          <w:lang w:val="en-IE"/>
        </w:rPr>
        <w:t>that</w:t>
      </w:r>
      <w:r w:rsidR="009A7E04" w:rsidRPr="00B8512B">
        <w:rPr>
          <w:rFonts w:ascii="Times New Roman" w:hAnsi="Times New Roman" w:cs="Times New Roman"/>
          <w:noProof/>
          <w:lang w:val="en-IE"/>
        </w:rPr>
        <w:t xml:space="preserve"> provided data </w:t>
      </w:r>
      <w:r w:rsidR="001843BC" w:rsidRPr="00B8512B">
        <w:rPr>
          <w:rFonts w:ascii="Times New Roman" w:hAnsi="Times New Roman" w:cs="Times New Roman"/>
          <w:noProof/>
          <w:lang w:val="en-IE"/>
        </w:rPr>
        <w:t>are</w:t>
      </w:r>
      <w:r w:rsidR="009A7E04" w:rsidRPr="00B8512B">
        <w:rPr>
          <w:rFonts w:ascii="Times New Roman" w:hAnsi="Times New Roman" w:cs="Times New Roman"/>
          <w:noProof/>
          <w:lang w:val="en-IE"/>
        </w:rPr>
        <w:t xml:space="preserve"> not </w:t>
      </w:r>
      <w:r w:rsidR="00884FDA">
        <w:rPr>
          <w:rFonts w:ascii="Times New Roman" w:hAnsi="Times New Roman" w:cs="Times New Roman"/>
          <w:noProof/>
          <w:lang w:val="en-IE"/>
        </w:rPr>
        <w:t>the same</w:t>
      </w:r>
      <w:r w:rsidR="00884FDA" w:rsidRPr="00B8512B">
        <w:rPr>
          <w:rFonts w:ascii="Times New Roman" w:hAnsi="Times New Roman" w:cs="Times New Roman"/>
          <w:noProof/>
          <w:lang w:val="en-IE"/>
        </w:rPr>
        <w:t xml:space="preserve"> </w:t>
      </w:r>
      <w:r w:rsidR="00BE5E43" w:rsidRPr="00B8512B">
        <w:rPr>
          <w:rFonts w:ascii="Times New Roman" w:hAnsi="Times New Roman" w:cs="Times New Roman"/>
          <w:noProof/>
          <w:lang w:val="en-IE"/>
        </w:rPr>
        <w:t xml:space="preserve">for </w:t>
      </w:r>
      <w:r w:rsidR="009A7E04" w:rsidRPr="00B8512B">
        <w:rPr>
          <w:rFonts w:ascii="Times New Roman" w:hAnsi="Times New Roman" w:cs="Times New Roman"/>
          <w:noProof/>
          <w:lang w:val="en-IE"/>
        </w:rPr>
        <w:t xml:space="preserve">each </w:t>
      </w:r>
      <w:r w:rsidR="00BE5E43" w:rsidRPr="00B8512B">
        <w:rPr>
          <w:rFonts w:ascii="Times New Roman" w:hAnsi="Times New Roman" w:cs="Times New Roman"/>
          <w:noProof/>
          <w:lang w:val="en-IE"/>
        </w:rPr>
        <w:t>reference yea</w:t>
      </w:r>
      <w:r w:rsidR="00716425" w:rsidRPr="00B8512B">
        <w:rPr>
          <w:rFonts w:ascii="Times New Roman" w:hAnsi="Times New Roman" w:cs="Times New Roman"/>
          <w:noProof/>
          <w:lang w:val="en-IE"/>
        </w:rPr>
        <w:t>r</w:t>
      </w:r>
      <w:r w:rsidR="00BE5E43" w:rsidRPr="00B8512B">
        <w:rPr>
          <w:rFonts w:ascii="Times New Roman" w:hAnsi="Times New Roman" w:cs="Times New Roman"/>
          <w:noProof/>
          <w:lang w:val="en-IE"/>
        </w:rPr>
        <w:t xml:space="preserve">. </w:t>
      </w:r>
      <w:r w:rsidR="009A7E04" w:rsidRPr="00B8512B">
        <w:rPr>
          <w:rFonts w:ascii="Times New Roman" w:hAnsi="Times New Roman" w:cs="Times New Roman"/>
          <w:noProof/>
          <w:lang w:val="en-IE"/>
        </w:rPr>
        <w:t>In addition, m</w:t>
      </w:r>
      <w:r w:rsidR="00BE5E43" w:rsidRPr="00B8512B">
        <w:rPr>
          <w:rFonts w:ascii="Times New Roman" w:hAnsi="Times New Roman" w:cs="Times New Roman"/>
          <w:noProof/>
          <w:lang w:val="en-IE"/>
        </w:rPr>
        <w:t xml:space="preserve">any countries have been able to provide </w:t>
      </w:r>
      <w:r w:rsidR="00DE2A0D" w:rsidRPr="00B8512B">
        <w:rPr>
          <w:rFonts w:ascii="Times New Roman" w:hAnsi="Times New Roman" w:cs="Times New Roman"/>
          <w:noProof/>
          <w:lang w:val="en-IE"/>
        </w:rPr>
        <w:t xml:space="preserve">only </w:t>
      </w:r>
      <w:r w:rsidR="00BE5E43" w:rsidRPr="00B8512B">
        <w:rPr>
          <w:rFonts w:ascii="Times New Roman" w:hAnsi="Times New Roman" w:cs="Times New Roman"/>
          <w:noProof/>
          <w:lang w:val="en-IE"/>
        </w:rPr>
        <w:t>limited information</w:t>
      </w:r>
      <w:r w:rsidR="00380F5C" w:rsidRPr="00B8512B">
        <w:rPr>
          <w:rFonts w:ascii="Times New Roman" w:hAnsi="Times New Roman" w:cs="Times New Roman"/>
          <w:noProof/>
          <w:lang w:val="en-IE"/>
        </w:rPr>
        <w:t>.</w:t>
      </w:r>
      <w:r w:rsidR="006B4770" w:rsidRPr="00B8512B">
        <w:rPr>
          <w:rFonts w:ascii="Times New Roman" w:hAnsi="Times New Roman" w:cs="Times New Roman"/>
          <w:noProof/>
          <w:lang w:val="en-IE"/>
        </w:rPr>
        <w:t xml:space="preserve"> Nor was it possible in some countries </w:t>
      </w:r>
      <w:r w:rsidR="00BE5E43" w:rsidRPr="00B8512B">
        <w:rPr>
          <w:rFonts w:ascii="Times New Roman" w:hAnsi="Times New Roman" w:cs="Times New Roman"/>
          <w:noProof/>
          <w:lang w:val="en-IE"/>
        </w:rPr>
        <w:t>to separat</w:t>
      </w:r>
      <w:r w:rsidR="006B4770" w:rsidRPr="00B8512B">
        <w:rPr>
          <w:rFonts w:ascii="Times New Roman" w:hAnsi="Times New Roman" w:cs="Times New Roman"/>
          <w:noProof/>
          <w:lang w:val="en-IE"/>
        </w:rPr>
        <w:t xml:space="preserve">e </w:t>
      </w:r>
      <w:r w:rsidR="00BE5E43" w:rsidRPr="00B8512B">
        <w:rPr>
          <w:rFonts w:ascii="Times New Roman" w:hAnsi="Times New Roman" w:cs="Times New Roman"/>
          <w:noProof/>
          <w:color w:val="000000" w:themeColor="text1"/>
          <w:lang w:val="en-IE"/>
        </w:rPr>
        <w:t xml:space="preserve">data for </w:t>
      </w:r>
      <w:r w:rsidR="00CB0A51" w:rsidRPr="00B8512B">
        <w:rPr>
          <w:rFonts w:ascii="Times New Roman" w:hAnsi="Times New Roman" w:cs="Times New Roman"/>
          <w:noProof/>
          <w:color w:val="000000" w:themeColor="text1"/>
          <w:lang w:val="en-IE"/>
        </w:rPr>
        <w:t xml:space="preserve">cross-border </w:t>
      </w:r>
      <w:r w:rsidR="00BE5E43" w:rsidRPr="00B8512B">
        <w:rPr>
          <w:rFonts w:ascii="Times New Roman" w:hAnsi="Times New Roman" w:cs="Times New Roman"/>
          <w:noProof/>
          <w:color w:val="000000" w:themeColor="text1"/>
          <w:lang w:val="en-IE"/>
        </w:rPr>
        <w:t xml:space="preserve">healthcare under the Directive and the Regulation </w:t>
      </w:r>
      <w:r w:rsidR="00884FDA">
        <w:rPr>
          <w:rFonts w:ascii="Times New Roman" w:hAnsi="Times New Roman" w:cs="Times New Roman"/>
          <w:noProof/>
          <w:color w:val="000000" w:themeColor="text1"/>
          <w:lang w:val="en-IE"/>
        </w:rPr>
        <w:t>from</w:t>
      </w:r>
      <w:r w:rsidR="00884FDA" w:rsidRPr="00B8512B">
        <w:rPr>
          <w:rFonts w:ascii="Times New Roman" w:hAnsi="Times New Roman" w:cs="Times New Roman"/>
          <w:noProof/>
          <w:color w:val="000000" w:themeColor="text1"/>
          <w:lang w:val="en-IE"/>
        </w:rPr>
        <w:t xml:space="preserve"> </w:t>
      </w:r>
      <w:r w:rsidR="00884FDA">
        <w:rPr>
          <w:rFonts w:ascii="Times New Roman" w:hAnsi="Times New Roman" w:cs="Times New Roman"/>
          <w:noProof/>
          <w:color w:val="000000" w:themeColor="text1"/>
          <w:lang w:val="en-IE"/>
        </w:rPr>
        <w:t>other</w:t>
      </w:r>
      <w:r w:rsidR="00884FDA" w:rsidRPr="00B8512B">
        <w:rPr>
          <w:rFonts w:ascii="Times New Roman" w:hAnsi="Times New Roman" w:cs="Times New Roman"/>
          <w:noProof/>
          <w:color w:val="000000" w:themeColor="text1"/>
          <w:lang w:val="en-IE"/>
        </w:rPr>
        <w:t xml:space="preserve"> </w:t>
      </w:r>
      <w:r w:rsidR="002C0438" w:rsidRPr="00B8512B">
        <w:rPr>
          <w:rFonts w:ascii="Times New Roman" w:hAnsi="Times New Roman" w:cs="Times New Roman"/>
          <w:noProof/>
          <w:color w:val="000000" w:themeColor="text1"/>
          <w:lang w:val="en-IE"/>
        </w:rPr>
        <w:t>parallel schemes</w:t>
      </w:r>
      <w:r w:rsidR="00A36419" w:rsidRPr="00B8512B">
        <w:rPr>
          <w:rStyle w:val="FootnoteReference"/>
          <w:rFonts w:ascii="Times New Roman" w:hAnsi="Times New Roman" w:cs="Times New Roman"/>
          <w:noProof/>
          <w:color w:val="000000" w:themeColor="text1"/>
          <w:lang w:val="en-IE"/>
        </w:rPr>
        <w:footnoteReference w:id="29"/>
      </w:r>
      <w:r w:rsidR="00BE5E43" w:rsidRPr="00B8512B">
        <w:rPr>
          <w:rFonts w:ascii="Times New Roman" w:hAnsi="Times New Roman" w:cs="Times New Roman"/>
          <w:noProof/>
          <w:color w:val="000000" w:themeColor="text1"/>
          <w:lang w:val="en-IE"/>
        </w:rPr>
        <w:t>.</w:t>
      </w:r>
    </w:p>
    <w:p w14:paraId="23DBF0A8" w14:textId="77777777" w:rsidR="00A6467A" w:rsidRPr="00B8512B" w:rsidRDefault="00A6467A" w:rsidP="00C76B82">
      <w:pPr>
        <w:rPr>
          <w:rFonts w:ascii="Times New Roman" w:hAnsi="Times New Roman" w:cs="Times New Roman"/>
          <w:noProof/>
          <w:szCs w:val="24"/>
          <w:lang w:val="en-IE"/>
        </w:rPr>
      </w:pPr>
    </w:p>
    <w:p w14:paraId="47AC27CF" w14:textId="54C6BF1C" w:rsidR="00A6467A" w:rsidRPr="00B8512B" w:rsidRDefault="00525BA6">
      <w:pPr>
        <w:pStyle w:val="Heading2"/>
        <w:rPr>
          <w:rFonts w:ascii="Times New Roman" w:hAnsi="Times New Roman" w:cs="Times New Roman"/>
          <w:noProof/>
          <w:lang w:val="en-IE"/>
        </w:rPr>
      </w:pPr>
      <w:bookmarkStart w:id="13" w:name="_Toc81927260"/>
      <w:r>
        <w:rPr>
          <w:rFonts w:ascii="Times New Roman" w:hAnsi="Times New Roman" w:cs="Times New Roman"/>
          <w:noProof/>
          <w:lang w:val="en-IE"/>
        </w:rPr>
        <w:t xml:space="preserve"> </w:t>
      </w:r>
      <w:r w:rsidR="00C76B82" w:rsidRPr="00B8512B">
        <w:rPr>
          <w:rFonts w:ascii="Times New Roman" w:hAnsi="Times New Roman" w:cs="Times New Roman"/>
          <w:noProof/>
          <w:lang w:val="en-IE"/>
        </w:rPr>
        <w:t xml:space="preserve">Patient </w:t>
      </w:r>
      <w:r w:rsidR="00EC43E7" w:rsidRPr="00B8512B">
        <w:rPr>
          <w:rFonts w:ascii="Times New Roman" w:hAnsi="Times New Roman" w:cs="Times New Roman"/>
          <w:noProof/>
          <w:lang w:val="en-IE"/>
        </w:rPr>
        <w:t xml:space="preserve">mobility </w:t>
      </w:r>
      <w:bookmarkEnd w:id="13"/>
      <w:r w:rsidR="003D34FA" w:rsidRPr="00B8512B">
        <w:rPr>
          <w:rFonts w:ascii="Times New Roman" w:hAnsi="Times New Roman" w:cs="Times New Roman"/>
          <w:noProof/>
          <w:lang w:val="en-IE"/>
        </w:rPr>
        <w:t>numbers</w:t>
      </w:r>
    </w:p>
    <w:p w14:paraId="328014AE" w14:textId="0DD6CF9E" w:rsidR="00C76B82" w:rsidRPr="00B8512B" w:rsidRDefault="00C76B82">
      <w:pPr>
        <w:rPr>
          <w:rFonts w:ascii="Times New Roman" w:hAnsi="Times New Roman" w:cs="Times New Roman"/>
          <w:noProof/>
          <w:lang w:val="en-IE"/>
        </w:rPr>
      </w:pPr>
      <w:r w:rsidRPr="00B8512B">
        <w:rPr>
          <w:rFonts w:ascii="Times New Roman" w:hAnsi="Times New Roman" w:cs="Times New Roman"/>
          <w:noProof/>
          <w:lang w:val="en-IE"/>
        </w:rPr>
        <w:t xml:space="preserve">The aggregated </w:t>
      </w:r>
      <w:r w:rsidR="00040656" w:rsidRPr="00B8512B">
        <w:rPr>
          <w:rFonts w:ascii="Times New Roman" w:hAnsi="Times New Roman" w:cs="Times New Roman"/>
          <w:noProof/>
          <w:lang w:val="en-IE"/>
        </w:rPr>
        <w:t>reported</w:t>
      </w:r>
      <w:r w:rsidRPr="00B8512B">
        <w:rPr>
          <w:rFonts w:ascii="Times New Roman" w:hAnsi="Times New Roman" w:cs="Times New Roman"/>
          <w:noProof/>
          <w:lang w:val="en-IE"/>
        </w:rPr>
        <w:t xml:space="preserve"> </w:t>
      </w:r>
      <w:r w:rsidR="00040656" w:rsidRPr="00B8512B">
        <w:rPr>
          <w:rFonts w:ascii="Times New Roman" w:hAnsi="Times New Roman" w:cs="Times New Roman"/>
          <w:noProof/>
          <w:lang w:val="en-IE"/>
        </w:rPr>
        <w:t>data</w:t>
      </w:r>
      <w:r w:rsidR="00525BA6">
        <w:rPr>
          <w:rFonts w:ascii="Times New Roman" w:hAnsi="Times New Roman" w:cs="Times New Roman"/>
          <w:noProof/>
          <w:lang w:val="en-IE"/>
        </w:rPr>
        <w:t>,</w:t>
      </w:r>
      <w:r w:rsidR="00040656"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on the number of requests for </w:t>
      </w:r>
      <w:r w:rsidR="00A36419" w:rsidRPr="00B8512B">
        <w:rPr>
          <w:rFonts w:ascii="Times New Roman" w:hAnsi="Times New Roman" w:cs="Times New Roman"/>
          <w:noProof/>
          <w:lang w:val="en-IE"/>
        </w:rPr>
        <w:t>prior authorisation</w:t>
      </w:r>
      <w:r w:rsidR="00F241B9" w:rsidRPr="00B8512B">
        <w:rPr>
          <w:rFonts w:ascii="Times New Roman" w:hAnsi="Times New Roman" w:cs="Times New Roman"/>
          <w:noProof/>
          <w:lang w:val="en-IE"/>
        </w:rPr>
        <w:t xml:space="preserve"> and </w:t>
      </w:r>
      <w:r w:rsidR="00525BA6">
        <w:rPr>
          <w:rFonts w:ascii="Times New Roman" w:hAnsi="Times New Roman" w:cs="Times New Roman"/>
          <w:noProof/>
          <w:lang w:val="en-IE"/>
        </w:rPr>
        <w:t xml:space="preserve">for </w:t>
      </w:r>
      <w:r w:rsidR="00F241B9" w:rsidRPr="00B8512B">
        <w:rPr>
          <w:rFonts w:ascii="Times New Roman" w:hAnsi="Times New Roman" w:cs="Times New Roman"/>
          <w:noProof/>
          <w:lang w:val="en-IE"/>
        </w:rPr>
        <w:t>reimbursement requests without prior authorisation</w:t>
      </w:r>
      <w:r w:rsidR="00525BA6">
        <w:rPr>
          <w:rFonts w:ascii="Times New Roman" w:hAnsi="Times New Roman" w:cs="Times New Roman"/>
          <w:noProof/>
          <w:lang w:val="en-IE"/>
        </w:rPr>
        <w:t>,</w:t>
      </w:r>
      <w:r w:rsidRPr="00B8512B">
        <w:rPr>
          <w:rFonts w:ascii="Times New Roman" w:hAnsi="Times New Roman" w:cs="Times New Roman"/>
          <w:noProof/>
          <w:lang w:val="en-IE"/>
        </w:rPr>
        <w:t xml:space="preserve"> show</w:t>
      </w:r>
      <w:r w:rsidR="003D34FA" w:rsidRPr="00B8512B">
        <w:rPr>
          <w:rFonts w:ascii="Times New Roman" w:hAnsi="Times New Roman" w:cs="Times New Roman"/>
          <w:noProof/>
          <w:lang w:val="en-IE"/>
        </w:rPr>
        <w:t xml:space="preserve"> that patient mobility under the Directive</w:t>
      </w:r>
      <w:r w:rsidRPr="00B8512B">
        <w:rPr>
          <w:rFonts w:ascii="Times New Roman" w:hAnsi="Times New Roman" w:cs="Times New Roman"/>
          <w:noProof/>
          <w:lang w:val="en-IE"/>
        </w:rPr>
        <w:t xml:space="preserve"> remain</w:t>
      </w:r>
      <w:r w:rsidR="003D34FA" w:rsidRPr="00B8512B">
        <w:rPr>
          <w:rFonts w:ascii="Times New Roman" w:hAnsi="Times New Roman" w:cs="Times New Roman"/>
          <w:noProof/>
          <w:lang w:val="en-IE"/>
        </w:rPr>
        <w:t>s</w:t>
      </w:r>
      <w:r w:rsidRPr="00B8512B">
        <w:rPr>
          <w:rFonts w:ascii="Times New Roman" w:hAnsi="Times New Roman" w:cs="Times New Roman"/>
          <w:noProof/>
          <w:lang w:val="en-IE"/>
        </w:rPr>
        <w:t xml:space="preserve"> </w:t>
      </w:r>
      <w:r w:rsidR="00747075" w:rsidRPr="00B8512B">
        <w:rPr>
          <w:rFonts w:ascii="Times New Roman" w:hAnsi="Times New Roman" w:cs="Times New Roman"/>
          <w:noProof/>
          <w:lang w:val="en-IE"/>
        </w:rPr>
        <w:t>very low</w:t>
      </w:r>
      <w:r w:rsidR="00DE2A0D">
        <w:rPr>
          <w:rFonts w:ascii="Times New Roman" w:hAnsi="Times New Roman" w:cs="Times New Roman"/>
          <w:noProof/>
          <w:lang w:val="en-IE"/>
        </w:rPr>
        <w:t>,</w:t>
      </w:r>
      <w:r w:rsidR="00820678" w:rsidRPr="00B8512B">
        <w:rPr>
          <w:rFonts w:ascii="Times New Roman" w:hAnsi="Times New Roman" w:cs="Times New Roman"/>
          <w:noProof/>
          <w:lang w:val="en-IE"/>
        </w:rPr>
        <w:t xml:space="preserve"> with a significant drop in </w:t>
      </w:r>
      <w:r w:rsidR="00C835FF" w:rsidRPr="00B8512B">
        <w:rPr>
          <w:rFonts w:ascii="Times New Roman" w:hAnsi="Times New Roman" w:cs="Times New Roman"/>
          <w:noProof/>
          <w:lang w:val="en-IE"/>
        </w:rPr>
        <w:t>2020</w:t>
      </w:r>
      <w:r w:rsidR="006B4770" w:rsidRPr="00B8512B">
        <w:rPr>
          <w:rFonts w:ascii="Times New Roman" w:hAnsi="Times New Roman" w:cs="Times New Roman"/>
          <w:noProof/>
          <w:lang w:val="en-IE"/>
        </w:rPr>
        <w:t xml:space="preserve"> due to</w:t>
      </w:r>
      <w:r w:rsidR="000F14EC" w:rsidRPr="00B8512B">
        <w:rPr>
          <w:rFonts w:ascii="Times New Roman" w:hAnsi="Times New Roman" w:cs="Times New Roman"/>
          <w:noProof/>
          <w:lang w:val="en-IE"/>
        </w:rPr>
        <w:t xml:space="preserve"> </w:t>
      </w:r>
      <w:r w:rsidR="00C835FF" w:rsidRPr="00B8512B">
        <w:rPr>
          <w:rFonts w:ascii="Times New Roman" w:hAnsi="Times New Roman" w:cs="Times New Roman"/>
          <w:noProof/>
          <w:lang w:val="en-IE"/>
        </w:rPr>
        <w:t xml:space="preserve">the </w:t>
      </w:r>
      <w:r w:rsidR="00525BA6" w:rsidRPr="00B8512B">
        <w:rPr>
          <w:rFonts w:ascii="Times New Roman" w:hAnsi="Times New Roman" w:cs="Times New Roman"/>
          <w:noProof/>
          <w:lang w:val="en-IE"/>
        </w:rPr>
        <w:t>C</w:t>
      </w:r>
      <w:r w:rsidR="00525BA6">
        <w:rPr>
          <w:rFonts w:ascii="Times New Roman" w:hAnsi="Times New Roman" w:cs="Times New Roman"/>
          <w:noProof/>
          <w:lang w:val="en-IE"/>
        </w:rPr>
        <w:t>OVID</w:t>
      </w:r>
      <w:r w:rsidR="00C835FF" w:rsidRPr="00B8512B">
        <w:rPr>
          <w:rFonts w:ascii="Times New Roman" w:hAnsi="Times New Roman" w:cs="Times New Roman"/>
          <w:noProof/>
          <w:lang w:val="en-IE"/>
        </w:rPr>
        <w:t xml:space="preserve">-19 pandemic </w:t>
      </w:r>
      <w:r w:rsidR="006B4770" w:rsidRPr="00B8512B">
        <w:rPr>
          <w:rFonts w:ascii="Times New Roman" w:hAnsi="Times New Roman" w:cs="Times New Roman"/>
          <w:noProof/>
          <w:lang w:val="en-IE"/>
        </w:rPr>
        <w:t xml:space="preserve">and restrictions </w:t>
      </w:r>
      <w:r w:rsidR="006D261C" w:rsidRPr="00B8512B">
        <w:rPr>
          <w:rFonts w:ascii="Times New Roman" w:hAnsi="Times New Roman" w:cs="Times New Roman"/>
          <w:noProof/>
          <w:lang w:val="en-IE"/>
        </w:rPr>
        <w:t>on free</w:t>
      </w:r>
      <w:r w:rsidR="00AF1278" w:rsidRPr="00B8512B">
        <w:rPr>
          <w:rFonts w:ascii="Times New Roman" w:hAnsi="Times New Roman" w:cs="Times New Roman"/>
          <w:noProof/>
          <w:lang w:val="en-IE"/>
        </w:rPr>
        <w:t xml:space="preserve"> </w:t>
      </w:r>
      <w:r w:rsidR="00C835FF" w:rsidRPr="00B8512B">
        <w:rPr>
          <w:rFonts w:ascii="Times New Roman" w:hAnsi="Times New Roman" w:cs="Times New Roman"/>
          <w:noProof/>
          <w:lang w:val="en-IE"/>
        </w:rPr>
        <w:t>movement</w:t>
      </w:r>
      <w:r w:rsidR="0029524A" w:rsidRPr="00B8512B">
        <w:rPr>
          <w:rFonts w:ascii="Times New Roman" w:hAnsi="Times New Roman" w:cs="Times New Roman"/>
          <w:noProof/>
          <w:lang w:val="en-IE"/>
        </w:rPr>
        <w:t xml:space="preserve"> (see Figure 1 for healthcare subject to prior authorisation)</w:t>
      </w:r>
      <w:r w:rsidR="00AF1278" w:rsidRPr="00B8512B">
        <w:rPr>
          <w:rFonts w:ascii="Times New Roman" w:hAnsi="Times New Roman" w:cs="Times New Roman"/>
          <w:noProof/>
          <w:lang w:val="en-IE"/>
        </w:rPr>
        <w:t>.</w:t>
      </w:r>
    </w:p>
    <w:p w14:paraId="735C28C4" w14:textId="36C2EA49" w:rsidR="00AD3A66" w:rsidRPr="00B8512B" w:rsidRDefault="00AD3A66" w:rsidP="00AD3A66">
      <w:pPr>
        <w:pStyle w:val="Caption"/>
        <w:rPr>
          <w:rFonts w:ascii="Times New Roman" w:hAnsi="Times New Roman"/>
          <w:noProof/>
          <w:sz w:val="22"/>
          <w:szCs w:val="22"/>
          <w:lang w:val="en-IE"/>
        </w:rPr>
      </w:pPr>
      <w:bookmarkStart w:id="14" w:name="_Ref85556968"/>
      <w:bookmarkStart w:id="15" w:name="_Toc85726774"/>
      <w:r w:rsidRPr="00B8512B">
        <w:rPr>
          <w:rFonts w:ascii="Times New Roman" w:hAnsi="Times New Roman"/>
          <w:noProof/>
          <w:sz w:val="22"/>
          <w:szCs w:val="22"/>
          <w:lang w:val="en-IE"/>
        </w:rPr>
        <w:t xml:space="preserve">Figure </w:t>
      </w:r>
      <w:r w:rsidRPr="00B8512B">
        <w:rPr>
          <w:rFonts w:ascii="Times New Roman" w:hAnsi="Times New Roman"/>
          <w:noProof/>
        </w:rPr>
        <w:fldChar w:fldCharType="begin"/>
      </w:r>
      <w:r w:rsidRPr="00B8512B">
        <w:rPr>
          <w:rFonts w:ascii="Times New Roman" w:hAnsi="Times New Roman"/>
          <w:noProof/>
          <w:sz w:val="22"/>
          <w:szCs w:val="22"/>
          <w:lang w:val="en-IE"/>
        </w:rPr>
        <w:instrText xml:space="preserve"> SEQ Figure \* ARABIC </w:instrText>
      </w:r>
      <w:r w:rsidRPr="00B8512B">
        <w:rPr>
          <w:rFonts w:ascii="Times New Roman" w:hAnsi="Times New Roman"/>
          <w:noProof/>
          <w:sz w:val="22"/>
          <w:szCs w:val="22"/>
          <w:lang w:val="en-IE"/>
        </w:rPr>
        <w:fldChar w:fldCharType="separate"/>
      </w:r>
      <w:r w:rsidR="001D6491">
        <w:rPr>
          <w:rFonts w:ascii="Times New Roman" w:hAnsi="Times New Roman"/>
          <w:noProof/>
          <w:sz w:val="22"/>
          <w:szCs w:val="22"/>
          <w:lang w:val="en-IE"/>
        </w:rPr>
        <w:t>1</w:t>
      </w:r>
      <w:r w:rsidRPr="00B8512B">
        <w:rPr>
          <w:rFonts w:ascii="Times New Roman" w:hAnsi="Times New Roman"/>
          <w:noProof/>
        </w:rPr>
        <w:fldChar w:fldCharType="end"/>
      </w:r>
      <w:bookmarkEnd w:id="14"/>
      <w:r w:rsidRPr="00B8512B">
        <w:rPr>
          <w:rFonts w:ascii="Times New Roman" w:hAnsi="Times New Roman"/>
          <w:noProof/>
          <w:sz w:val="22"/>
          <w:szCs w:val="22"/>
          <w:lang w:val="en-IE"/>
        </w:rPr>
        <w:t xml:space="preserve"> </w:t>
      </w:r>
      <w:r w:rsidRPr="00B8512B">
        <w:rPr>
          <w:rFonts w:ascii="Times New Roman" w:hAnsi="Times New Roman"/>
          <w:noProof/>
          <w:sz w:val="22"/>
          <w:szCs w:val="22"/>
          <w:lang w:val="en-IE"/>
        </w:rPr>
        <w:tab/>
        <w:t xml:space="preserve">Number of prior authorisation </w:t>
      </w:r>
      <w:r w:rsidR="000F72C4" w:rsidRPr="00B8512B">
        <w:rPr>
          <w:rFonts w:ascii="Times New Roman" w:hAnsi="Times New Roman"/>
          <w:noProof/>
          <w:sz w:val="22"/>
          <w:szCs w:val="22"/>
          <w:lang w:val="en-IE"/>
        </w:rPr>
        <w:t xml:space="preserve">requests </w:t>
      </w:r>
      <w:r w:rsidRPr="00B8512B">
        <w:rPr>
          <w:rFonts w:ascii="Times New Roman" w:hAnsi="Times New Roman"/>
          <w:noProof/>
          <w:sz w:val="22"/>
          <w:szCs w:val="22"/>
          <w:lang w:val="en-IE"/>
        </w:rPr>
        <w:t xml:space="preserve">received and granted for all </w:t>
      </w:r>
      <w:r w:rsidR="000F72C4" w:rsidRPr="00B8512B">
        <w:rPr>
          <w:rFonts w:ascii="Times New Roman" w:hAnsi="Times New Roman"/>
          <w:noProof/>
          <w:sz w:val="22"/>
          <w:szCs w:val="22"/>
          <w:lang w:val="en-IE"/>
        </w:rPr>
        <w:t>countries that</w:t>
      </w:r>
      <w:r w:rsidRPr="00B8512B">
        <w:rPr>
          <w:rFonts w:ascii="Times New Roman" w:hAnsi="Times New Roman"/>
          <w:noProof/>
          <w:sz w:val="22"/>
          <w:szCs w:val="22"/>
          <w:lang w:val="en-IE"/>
        </w:rPr>
        <w:t xml:space="preserve"> provided data, 2016-2020</w:t>
      </w:r>
      <w:bookmarkEnd w:id="15"/>
    </w:p>
    <w:p w14:paraId="38CBEF1D" w14:textId="48FFFA6E" w:rsidR="00AD3A66" w:rsidRPr="00B8512B" w:rsidRDefault="00374379" w:rsidP="002C0438">
      <w:pPr>
        <w:pStyle w:val="FiguurTabel-Opmerking"/>
        <w:spacing w:after="40"/>
        <w:ind w:left="425" w:firstLine="0"/>
        <w:jc w:val="both"/>
        <w:rPr>
          <w:rFonts w:ascii="Times New Roman" w:hAnsi="Times New Roman"/>
          <w:noProof/>
          <w:sz w:val="20"/>
          <w:szCs w:val="20"/>
          <w:lang w:val="en-IE"/>
        </w:rPr>
      </w:pPr>
      <w:r w:rsidRPr="00B8512B">
        <w:rPr>
          <w:rFonts w:ascii="Times New Roman" w:hAnsi="Times New Roman"/>
          <w:noProof/>
          <w:lang w:eastAsia="en-GB"/>
        </w:rPr>
        <w:drawing>
          <wp:inline distT="0" distB="0" distL="0" distR="0" wp14:anchorId="4BF07300" wp14:editId="62789B11">
            <wp:extent cx="5638800" cy="3225800"/>
            <wp:effectExtent l="0" t="0" r="0" b="12700"/>
            <wp:docPr id="1" name="Chart 1">
              <a:extLst xmlns:a="http://schemas.openxmlformats.org/drawingml/2006/main">
                <a:ext uri="{FF2B5EF4-FFF2-40B4-BE49-F238E27FC236}">
                  <a16:creationId xmlns:a16="http://schemas.microsoft.com/office/drawing/2014/main" id="{7ECA1FB1-C61B-42A5-B627-458DAB0580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D3A66" w:rsidRPr="00B8512B">
        <w:rPr>
          <w:rFonts w:ascii="Times New Roman" w:hAnsi="Times New Roman"/>
          <w:noProof/>
          <w:sz w:val="20"/>
          <w:szCs w:val="20"/>
          <w:lang w:val="en-IE"/>
        </w:rPr>
        <w:t xml:space="preserve">The totals </w:t>
      </w:r>
      <w:r w:rsidR="00B021F1">
        <w:rPr>
          <w:rFonts w:ascii="Times New Roman" w:hAnsi="Times New Roman"/>
          <w:noProof/>
          <w:sz w:val="20"/>
          <w:szCs w:val="20"/>
          <w:lang w:val="en-IE"/>
        </w:rPr>
        <w:t xml:space="preserve">for </w:t>
      </w:r>
      <w:r w:rsidR="00B021F1" w:rsidRPr="00B8512B">
        <w:rPr>
          <w:rFonts w:ascii="Times New Roman" w:hAnsi="Times New Roman"/>
          <w:noProof/>
          <w:sz w:val="20"/>
          <w:szCs w:val="20"/>
          <w:lang w:val="en-IE"/>
        </w:rPr>
        <w:t>prior authorisation</w:t>
      </w:r>
      <w:r w:rsidR="00B021F1">
        <w:rPr>
          <w:rFonts w:ascii="Times New Roman" w:hAnsi="Times New Roman"/>
          <w:noProof/>
          <w:sz w:val="20"/>
          <w:szCs w:val="20"/>
          <w:lang w:val="en-IE"/>
        </w:rPr>
        <w:t>s,</w:t>
      </w:r>
      <w:r w:rsidR="00B021F1" w:rsidRPr="00B8512B">
        <w:rPr>
          <w:rFonts w:ascii="Times New Roman" w:hAnsi="Times New Roman"/>
          <w:noProof/>
          <w:sz w:val="20"/>
          <w:szCs w:val="20"/>
          <w:lang w:val="en-IE"/>
        </w:rPr>
        <w:t xml:space="preserve"> </w:t>
      </w:r>
      <w:r w:rsidR="00E90623" w:rsidRPr="00B8512B">
        <w:rPr>
          <w:rFonts w:ascii="Times New Roman" w:hAnsi="Times New Roman"/>
          <w:noProof/>
          <w:sz w:val="20"/>
          <w:szCs w:val="20"/>
          <w:lang w:val="en-IE"/>
        </w:rPr>
        <w:t>excluding the UK</w:t>
      </w:r>
      <w:r w:rsidR="00B021F1">
        <w:rPr>
          <w:rFonts w:ascii="Times New Roman" w:hAnsi="Times New Roman"/>
          <w:noProof/>
          <w:sz w:val="20"/>
          <w:szCs w:val="20"/>
          <w:lang w:val="en-IE"/>
        </w:rPr>
        <w:t>,</w:t>
      </w:r>
      <w:r w:rsidR="00AD3A66" w:rsidRPr="00B8512B">
        <w:rPr>
          <w:rFonts w:ascii="Times New Roman" w:hAnsi="Times New Roman"/>
          <w:noProof/>
          <w:sz w:val="20"/>
          <w:szCs w:val="20"/>
          <w:lang w:val="en-IE"/>
        </w:rPr>
        <w:t xml:space="preserve"> are as follows: </w:t>
      </w:r>
      <w:r w:rsidR="002C0438" w:rsidRPr="00B8512B">
        <w:rPr>
          <w:rFonts w:ascii="Times New Roman" w:hAnsi="Times New Roman"/>
          <w:noProof/>
          <w:sz w:val="20"/>
          <w:szCs w:val="20"/>
          <w:lang w:val="en-IE"/>
        </w:rPr>
        <w:t xml:space="preserve">in reference year </w:t>
      </w:r>
      <w:r w:rsidR="002C0438" w:rsidRPr="00B8512B">
        <w:rPr>
          <w:rFonts w:ascii="Times New Roman" w:hAnsi="Times New Roman"/>
          <w:b/>
          <w:bCs/>
          <w:noProof/>
          <w:sz w:val="20"/>
          <w:szCs w:val="20"/>
          <w:lang w:val="en-IE"/>
        </w:rPr>
        <w:t>2016</w:t>
      </w:r>
      <w:r w:rsidR="00B021F1">
        <w:rPr>
          <w:rFonts w:ascii="Times New Roman" w:hAnsi="Times New Roman"/>
          <w:noProof/>
          <w:sz w:val="20"/>
          <w:szCs w:val="20"/>
          <w:lang w:val="en-IE"/>
        </w:rPr>
        <w:t>,</w:t>
      </w:r>
      <w:r w:rsidR="00B021F1" w:rsidRPr="00B8512B">
        <w:rPr>
          <w:rFonts w:ascii="Times New Roman" w:hAnsi="Times New Roman"/>
          <w:noProof/>
          <w:sz w:val="20"/>
          <w:szCs w:val="20"/>
          <w:lang w:val="en-IE"/>
        </w:rPr>
        <w:t xml:space="preserve"> </w:t>
      </w:r>
      <w:r w:rsidR="002C0438" w:rsidRPr="00B8512B">
        <w:rPr>
          <w:rFonts w:ascii="Times New Roman" w:hAnsi="Times New Roman"/>
          <w:noProof/>
          <w:sz w:val="20"/>
          <w:szCs w:val="20"/>
          <w:lang w:val="en-IE"/>
        </w:rPr>
        <w:t>6</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009 requests received and 3</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 xml:space="preserve">822 granted; in </w:t>
      </w:r>
      <w:r w:rsidR="002C0438" w:rsidRPr="00B8512B">
        <w:rPr>
          <w:rFonts w:ascii="Times New Roman" w:hAnsi="Times New Roman"/>
          <w:b/>
          <w:bCs/>
          <w:noProof/>
          <w:sz w:val="20"/>
          <w:szCs w:val="20"/>
          <w:lang w:val="en-IE"/>
        </w:rPr>
        <w:t>2017</w:t>
      </w:r>
      <w:r w:rsidR="00B021F1">
        <w:rPr>
          <w:rFonts w:ascii="Times New Roman" w:hAnsi="Times New Roman"/>
          <w:noProof/>
          <w:sz w:val="20"/>
          <w:szCs w:val="20"/>
          <w:lang w:val="en-IE"/>
        </w:rPr>
        <w:t>,</w:t>
      </w:r>
      <w:r w:rsidR="00B021F1" w:rsidRPr="00B8512B">
        <w:rPr>
          <w:rFonts w:ascii="Times New Roman" w:hAnsi="Times New Roman"/>
          <w:noProof/>
          <w:sz w:val="20"/>
          <w:szCs w:val="20"/>
          <w:lang w:val="en-IE"/>
        </w:rPr>
        <w:t xml:space="preserve"> </w:t>
      </w:r>
      <w:r w:rsidR="002C0438" w:rsidRPr="00B8512B">
        <w:rPr>
          <w:rFonts w:ascii="Times New Roman" w:hAnsi="Times New Roman"/>
          <w:noProof/>
          <w:sz w:val="20"/>
          <w:szCs w:val="20"/>
          <w:lang w:val="en-IE"/>
        </w:rPr>
        <w:t>5</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471 requests received</w:t>
      </w:r>
      <w:r w:rsidR="00B021F1">
        <w:rPr>
          <w:rFonts w:ascii="Times New Roman" w:hAnsi="Times New Roman"/>
          <w:noProof/>
          <w:sz w:val="20"/>
          <w:szCs w:val="20"/>
          <w:lang w:val="en-IE"/>
        </w:rPr>
        <w:t>,</w:t>
      </w:r>
      <w:r w:rsidR="002C0438" w:rsidRPr="00B8512B">
        <w:rPr>
          <w:rFonts w:ascii="Times New Roman" w:hAnsi="Times New Roman"/>
          <w:noProof/>
          <w:sz w:val="20"/>
          <w:szCs w:val="20"/>
          <w:lang w:val="en-IE"/>
        </w:rPr>
        <w:t xml:space="preserve"> 3</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 xml:space="preserve">727 granted; </w:t>
      </w:r>
      <w:r w:rsidR="00AD3A66" w:rsidRPr="00B8512B">
        <w:rPr>
          <w:rFonts w:ascii="Times New Roman" w:hAnsi="Times New Roman"/>
          <w:noProof/>
          <w:sz w:val="20"/>
          <w:szCs w:val="20"/>
          <w:lang w:val="en-IE"/>
        </w:rPr>
        <w:t xml:space="preserve">in </w:t>
      </w:r>
      <w:r w:rsidR="00AD3A66" w:rsidRPr="00B8512B">
        <w:rPr>
          <w:rFonts w:ascii="Times New Roman" w:hAnsi="Times New Roman"/>
          <w:b/>
          <w:bCs/>
          <w:noProof/>
          <w:sz w:val="20"/>
          <w:szCs w:val="20"/>
          <w:lang w:val="en-IE"/>
        </w:rPr>
        <w:t>2018</w:t>
      </w:r>
      <w:r w:rsidR="00B021F1">
        <w:rPr>
          <w:rFonts w:ascii="Times New Roman" w:hAnsi="Times New Roman"/>
          <w:noProof/>
          <w:sz w:val="20"/>
          <w:szCs w:val="20"/>
          <w:lang w:val="en-IE"/>
        </w:rPr>
        <w:t>,</w:t>
      </w:r>
      <w:r w:rsidR="00B021F1" w:rsidRPr="00B8512B">
        <w:rPr>
          <w:rFonts w:ascii="Times New Roman" w:hAnsi="Times New Roman"/>
          <w:noProof/>
          <w:sz w:val="20"/>
          <w:szCs w:val="20"/>
          <w:lang w:val="en-IE"/>
        </w:rPr>
        <w:t xml:space="preserve"> </w:t>
      </w:r>
      <w:r w:rsidR="00AD3A66" w:rsidRPr="00B8512B">
        <w:rPr>
          <w:rFonts w:ascii="Times New Roman" w:hAnsi="Times New Roman"/>
          <w:noProof/>
          <w:sz w:val="20"/>
          <w:szCs w:val="20"/>
          <w:lang w:val="en-IE"/>
        </w:rPr>
        <w:t>6</w:t>
      </w:r>
      <w:r w:rsidR="00B021F1">
        <w:rPr>
          <w:rFonts w:ascii="Times New Roman" w:hAnsi="Times New Roman"/>
          <w:noProof/>
          <w:sz w:val="20"/>
          <w:szCs w:val="20"/>
          <w:lang w:val="en-IE"/>
        </w:rPr>
        <w:t> </w:t>
      </w:r>
      <w:r w:rsidR="00AD3A66" w:rsidRPr="00B8512B">
        <w:rPr>
          <w:rFonts w:ascii="Times New Roman" w:hAnsi="Times New Roman"/>
          <w:noProof/>
          <w:sz w:val="20"/>
          <w:szCs w:val="20"/>
          <w:lang w:val="en-IE"/>
        </w:rPr>
        <w:t>301 received, 4</w:t>
      </w:r>
      <w:r w:rsidR="00B021F1">
        <w:rPr>
          <w:rFonts w:ascii="Times New Roman" w:hAnsi="Times New Roman"/>
          <w:noProof/>
          <w:sz w:val="20"/>
          <w:szCs w:val="20"/>
          <w:lang w:val="en-IE"/>
        </w:rPr>
        <w:t> </w:t>
      </w:r>
      <w:r w:rsidR="00AD3A66" w:rsidRPr="00B8512B">
        <w:rPr>
          <w:rFonts w:ascii="Times New Roman" w:hAnsi="Times New Roman"/>
          <w:noProof/>
          <w:sz w:val="20"/>
          <w:szCs w:val="20"/>
          <w:lang w:val="en-IE"/>
        </w:rPr>
        <w:t xml:space="preserve">447 granted; in </w:t>
      </w:r>
      <w:r w:rsidR="00AD3A66" w:rsidRPr="00B8512B">
        <w:rPr>
          <w:rFonts w:ascii="Times New Roman" w:hAnsi="Times New Roman"/>
          <w:b/>
          <w:bCs/>
          <w:noProof/>
          <w:sz w:val="20"/>
          <w:szCs w:val="20"/>
          <w:lang w:val="en-IE"/>
        </w:rPr>
        <w:t>2019</w:t>
      </w:r>
      <w:r w:rsidR="00B021F1">
        <w:rPr>
          <w:rFonts w:ascii="Times New Roman" w:hAnsi="Times New Roman"/>
          <w:noProof/>
          <w:sz w:val="20"/>
          <w:szCs w:val="20"/>
          <w:lang w:val="en-IE"/>
        </w:rPr>
        <w:t>,</w:t>
      </w:r>
      <w:r w:rsidR="00B021F1" w:rsidRPr="00B8512B">
        <w:rPr>
          <w:rFonts w:ascii="Times New Roman" w:hAnsi="Times New Roman"/>
          <w:noProof/>
          <w:sz w:val="20"/>
          <w:szCs w:val="20"/>
          <w:lang w:val="en-IE"/>
        </w:rPr>
        <w:t xml:space="preserve"> </w:t>
      </w:r>
      <w:r w:rsidR="002C0438" w:rsidRPr="00B8512B">
        <w:rPr>
          <w:rFonts w:ascii="Times New Roman" w:hAnsi="Times New Roman"/>
          <w:noProof/>
          <w:sz w:val="20"/>
          <w:szCs w:val="20"/>
          <w:lang w:val="en-IE"/>
        </w:rPr>
        <w:t>5</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 xml:space="preserve">352 </w:t>
      </w:r>
      <w:r w:rsidR="00AD3A66" w:rsidRPr="00B8512B">
        <w:rPr>
          <w:rFonts w:ascii="Times New Roman" w:hAnsi="Times New Roman"/>
          <w:noProof/>
          <w:sz w:val="20"/>
          <w:szCs w:val="20"/>
          <w:lang w:val="en-IE"/>
        </w:rPr>
        <w:t xml:space="preserve">received, </w:t>
      </w:r>
      <w:r w:rsidR="002C0438" w:rsidRPr="00B8512B">
        <w:rPr>
          <w:rFonts w:ascii="Times New Roman" w:hAnsi="Times New Roman"/>
          <w:noProof/>
          <w:sz w:val="20"/>
          <w:szCs w:val="20"/>
          <w:lang w:val="en-IE"/>
        </w:rPr>
        <w:t>3</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291</w:t>
      </w:r>
      <w:r w:rsidR="00AD3A66" w:rsidRPr="00B8512B">
        <w:rPr>
          <w:rFonts w:ascii="Times New Roman" w:hAnsi="Times New Roman"/>
          <w:noProof/>
          <w:sz w:val="20"/>
          <w:szCs w:val="20"/>
          <w:lang w:val="en-IE"/>
        </w:rPr>
        <w:t xml:space="preserve"> granted; and in </w:t>
      </w:r>
      <w:r w:rsidR="00AD3A66" w:rsidRPr="00B8512B">
        <w:rPr>
          <w:rFonts w:ascii="Times New Roman" w:hAnsi="Times New Roman"/>
          <w:b/>
          <w:bCs/>
          <w:noProof/>
          <w:sz w:val="20"/>
          <w:szCs w:val="20"/>
          <w:lang w:val="en-IE"/>
        </w:rPr>
        <w:t>2020</w:t>
      </w:r>
      <w:r w:rsidR="00B021F1">
        <w:rPr>
          <w:rFonts w:ascii="Times New Roman" w:hAnsi="Times New Roman"/>
          <w:noProof/>
          <w:sz w:val="20"/>
          <w:szCs w:val="20"/>
          <w:lang w:val="en-IE"/>
        </w:rPr>
        <w:t>,</w:t>
      </w:r>
      <w:r w:rsidR="00AD3A66" w:rsidRPr="00B8512B">
        <w:rPr>
          <w:rFonts w:ascii="Times New Roman" w:hAnsi="Times New Roman"/>
          <w:noProof/>
          <w:sz w:val="20"/>
          <w:szCs w:val="20"/>
          <w:lang w:val="en-IE"/>
        </w:rPr>
        <w:t xml:space="preserve"> </w:t>
      </w:r>
      <w:r w:rsidR="002C0438" w:rsidRPr="00B8512B">
        <w:rPr>
          <w:rFonts w:ascii="Times New Roman" w:hAnsi="Times New Roman"/>
          <w:noProof/>
          <w:sz w:val="20"/>
          <w:szCs w:val="20"/>
          <w:lang w:val="en-IE"/>
        </w:rPr>
        <w:t>5</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218 received, 3</w:t>
      </w:r>
      <w:r w:rsidR="00B021F1">
        <w:rPr>
          <w:rFonts w:ascii="Times New Roman" w:hAnsi="Times New Roman"/>
          <w:noProof/>
          <w:sz w:val="20"/>
          <w:szCs w:val="20"/>
          <w:lang w:val="en-IE"/>
        </w:rPr>
        <w:t> </w:t>
      </w:r>
      <w:r w:rsidR="002C0438" w:rsidRPr="00B8512B">
        <w:rPr>
          <w:rFonts w:ascii="Times New Roman" w:hAnsi="Times New Roman"/>
          <w:noProof/>
          <w:sz w:val="20"/>
          <w:szCs w:val="20"/>
          <w:lang w:val="en-IE"/>
        </w:rPr>
        <w:t>542 granted.</w:t>
      </w:r>
    </w:p>
    <w:p w14:paraId="7EE16492" w14:textId="173666EB" w:rsidR="00AD3A66" w:rsidRPr="00B8512B" w:rsidRDefault="00AD3A66" w:rsidP="00AD3A66">
      <w:pPr>
        <w:pStyle w:val="FiguurTabel-TekstBron"/>
        <w:ind w:left="284"/>
        <w:jc w:val="both"/>
        <w:rPr>
          <w:rFonts w:ascii="Times New Roman" w:hAnsi="Times New Roman"/>
          <w:noProof/>
          <w:sz w:val="20"/>
          <w:szCs w:val="20"/>
          <w:lang w:val="fr-BE"/>
        </w:rPr>
      </w:pPr>
      <w:r w:rsidRPr="00B8512B">
        <w:rPr>
          <w:rStyle w:val="Grijs"/>
          <w:rFonts w:ascii="Times New Roman" w:hAnsi="Times New Roman"/>
          <w:b/>
          <w:bCs/>
          <w:noProof/>
          <w:sz w:val="20"/>
          <w:szCs w:val="20"/>
          <w:lang w:val="fr-BE"/>
        </w:rPr>
        <w:t>Source</w:t>
      </w:r>
      <w:r w:rsidRPr="00B8512B">
        <w:rPr>
          <w:rFonts w:ascii="Times New Roman" w:hAnsi="Times New Roman"/>
          <w:noProof/>
          <w:sz w:val="20"/>
          <w:szCs w:val="20"/>
          <w:lang w:val="fr-BE"/>
        </w:rPr>
        <w:t xml:space="preserve"> </w:t>
      </w:r>
      <w:r w:rsidR="006B48E2" w:rsidRPr="00B8512B">
        <w:rPr>
          <w:rFonts w:ascii="Times New Roman" w:hAnsi="Times New Roman"/>
          <w:noProof/>
          <w:sz w:val="20"/>
          <w:szCs w:val="20"/>
          <w:lang w:val="fr-BE"/>
        </w:rPr>
        <w:t>Questionnaires on Directive 2011/24/EU</w:t>
      </w:r>
      <w:r w:rsidR="006B48E2" w:rsidRPr="000854BB">
        <w:rPr>
          <w:rFonts w:ascii="Times New Roman" w:hAnsi="Times New Roman"/>
          <w:noProof/>
          <w:sz w:val="20"/>
          <w:szCs w:val="20"/>
          <w:lang w:val="fr-BE"/>
        </w:rPr>
        <w:t xml:space="preserve"> reporting</w:t>
      </w:r>
      <w:r w:rsidR="006B48E2" w:rsidRPr="00B8512B">
        <w:rPr>
          <w:rFonts w:ascii="Times New Roman" w:hAnsi="Times New Roman"/>
          <w:noProof/>
          <w:sz w:val="20"/>
          <w:szCs w:val="20"/>
          <w:lang w:val="fr-BE"/>
        </w:rPr>
        <w:t xml:space="preserve"> on patient</w:t>
      </w:r>
      <w:r w:rsidR="006B48E2" w:rsidRPr="000854BB">
        <w:rPr>
          <w:rFonts w:ascii="Times New Roman" w:hAnsi="Times New Roman"/>
          <w:noProof/>
          <w:sz w:val="20"/>
          <w:szCs w:val="20"/>
          <w:lang w:val="fr-BE"/>
        </w:rPr>
        <w:t xml:space="preserve"> mobility</w:t>
      </w:r>
    </w:p>
    <w:p w14:paraId="3D5CEC78" w14:textId="77777777" w:rsidR="00257560" w:rsidRPr="00B8512B" w:rsidRDefault="00257560" w:rsidP="00C76B82">
      <w:pPr>
        <w:rPr>
          <w:rFonts w:ascii="Times New Roman" w:hAnsi="Times New Roman" w:cs="Times New Roman"/>
          <w:noProof/>
          <w:color w:val="000000" w:themeColor="text1"/>
          <w:szCs w:val="24"/>
          <w:lang w:val="fr-BE"/>
        </w:rPr>
      </w:pPr>
    </w:p>
    <w:p w14:paraId="304C33E8" w14:textId="2271AFF9" w:rsidR="00050638" w:rsidRPr="00B8512B" w:rsidRDefault="00C45DD2">
      <w:pPr>
        <w:rPr>
          <w:rFonts w:ascii="Times New Roman" w:hAnsi="Times New Roman" w:cs="Times New Roman"/>
          <w:noProof/>
          <w:lang w:val="en-IE"/>
        </w:rPr>
      </w:pPr>
      <w:r w:rsidRPr="00B8512B">
        <w:rPr>
          <w:rFonts w:ascii="Times New Roman" w:hAnsi="Times New Roman" w:cs="Times New Roman"/>
          <w:noProof/>
          <w:lang w:val="en-IE"/>
        </w:rPr>
        <w:t>I</w:t>
      </w:r>
      <w:r w:rsidR="00050638" w:rsidRPr="00B8512B">
        <w:rPr>
          <w:rFonts w:ascii="Times New Roman" w:hAnsi="Times New Roman" w:cs="Times New Roman"/>
          <w:noProof/>
          <w:lang w:val="en-IE"/>
        </w:rPr>
        <w:t>n the countries that provided data for all reference years 2016-2020</w:t>
      </w:r>
      <w:r w:rsidR="00A31D8C" w:rsidRPr="00B8512B">
        <w:rPr>
          <w:rStyle w:val="FootnoteReference"/>
          <w:rFonts w:ascii="Times New Roman" w:hAnsi="Times New Roman" w:cs="Times New Roman"/>
          <w:noProof/>
          <w:lang w:val="en-IE"/>
        </w:rPr>
        <w:footnoteReference w:id="30"/>
      </w:r>
      <w:r w:rsidRPr="00B8512B">
        <w:rPr>
          <w:rFonts w:ascii="Times New Roman" w:hAnsi="Times New Roman" w:cs="Times New Roman"/>
          <w:noProof/>
          <w:lang w:val="en-IE"/>
        </w:rPr>
        <w:t>,</w:t>
      </w:r>
      <w:r w:rsidR="00050638"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the number of prior authorisation requests received and </w:t>
      </w:r>
      <w:r w:rsidR="00BE3E09" w:rsidRPr="00B8512B">
        <w:rPr>
          <w:rFonts w:ascii="Times New Roman" w:hAnsi="Times New Roman" w:cs="Times New Roman"/>
          <w:noProof/>
          <w:lang w:val="en-IE"/>
        </w:rPr>
        <w:t>granted</w:t>
      </w:r>
      <w:r w:rsidRPr="00B8512B">
        <w:rPr>
          <w:rFonts w:ascii="Times New Roman" w:hAnsi="Times New Roman" w:cs="Times New Roman"/>
          <w:noProof/>
          <w:lang w:val="en-IE"/>
        </w:rPr>
        <w:t xml:space="preserve"> peak</w:t>
      </w:r>
      <w:r w:rsidR="001807E2" w:rsidRPr="00B8512B">
        <w:rPr>
          <w:rFonts w:ascii="Times New Roman" w:hAnsi="Times New Roman" w:cs="Times New Roman"/>
          <w:noProof/>
          <w:lang w:val="en-IE"/>
        </w:rPr>
        <w:t>ed</w:t>
      </w:r>
      <w:r w:rsidRPr="00B8512B">
        <w:rPr>
          <w:rFonts w:ascii="Times New Roman" w:hAnsi="Times New Roman" w:cs="Times New Roman"/>
          <w:noProof/>
          <w:lang w:val="en-IE"/>
        </w:rPr>
        <w:t xml:space="preserve"> in 2018</w:t>
      </w:r>
      <w:r w:rsidR="0034746A" w:rsidRPr="00B8512B">
        <w:rPr>
          <w:rFonts w:ascii="Times New Roman" w:hAnsi="Times New Roman" w:cs="Times New Roman"/>
          <w:noProof/>
          <w:lang w:val="en-IE"/>
        </w:rPr>
        <w:t>.</w:t>
      </w:r>
      <w:r w:rsidRPr="00B8512B">
        <w:rPr>
          <w:rFonts w:ascii="Times New Roman" w:hAnsi="Times New Roman" w:cs="Times New Roman"/>
          <w:noProof/>
          <w:lang w:val="en-IE"/>
        </w:rPr>
        <w:t xml:space="preserve"> </w:t>
      </w:r>
      <w:r w:rsidR="00AF1278" w:rsidRPr="00B8512B">
        <w:rPr>
          <w:rFonts w:ascii="Times New Roman" w:hAnsi="Times New Roman" w:cs="Times New Roman"/>
          <w:noProof/>
          <w:lang w:val="en-IE"/>
        </w:rPr>
        <w:t xml:space="preserve">There was an increase in </w:t>
      </w:r>
      <w:r w:rsidR="00050638" w:rsidRPr="00B8512B">
        <w:rPr>
          <w:rFonts w:ascii="Times New Roman" w:hAnsi="Times New Roman" w:cs="Times New Roman"/>
          <w:noProof/>
          <w:lang w:val="en-IE"/>
        </w:rPr>
        <w:t>the number of requests received during this period</w:t>
      </w:r>
      <w:r w:rsidR="00AF1278" w:rsidRPr="00B8512B">
        <w:rPr>
          <w:rFonts w:ascii="Times New Roman" w:hAnsi="Times New Roman" w:cs="Times New Roman"/>
          <w:noProof/>
          <w:lang w:val="en-IE"/>
        </w:rPr>
        <w:t xml:space="preserve">, </w:t>
      </w:r>
      <w:r w:rsidR="00D83E41" w:rsidRPr="00B8512B">
        <w:rPr>
          <w:rFonts w:ascii="Times New Roman" w:hAnsi="Times New Roman" w:cs="Times New Roman"/>
          <w:noProof/>
          <w:lang w:val="en-IE"/>
        </w:rPr>
        <w:t>notably</w:t>
      </w:r>
      <w:r w:rsidR="00050638" w:rsidRPr="00B8512B">
        <w:rPr>
          <w:rFonts w:ascii="Times New Roman" w:hAnsi="Times New Roman" w:cs="Times New Roman"/>
          <w:noProof/>
          <w:lang w:val="en-IE"/>
        </w:rPr>
        <w:t xml:space="preserve"> in </w:t>
      </w:r>
      <w:r w:rsidR="00B021F1" w:rsidRPr="00B8512B">
        <w:rPr>
          <w:rFonts w:ascii="Times New Roman" w:hAnsi="Times New Roman" w:cs="Times New Roman"/>
          <w:noProof/>
          <w:lang w:val="en-IE"/>
        </w:rPr>
        <w:t xml:space="preserve">Ireland, </w:t>
      </w:r>
      <w:r w:rsidR="00050638" w:rsidRPr="00B8512B">
        <w:rPr>
          <w:rFonts w:ascii="Times New Roman" w:hAnsi="Times New Roman" w:cs="Times New Roman"/>
          <w:noProof/>
          <w:lang w:val="en-IE"/>
        </w:rPr>
        <w:t>Luxembourg and Slovakia. However, for most countries, the number of requests received and granted has declined over the years</w:t>
      </w:r>
      <w:r w:rsidR="009D45E4" w:rsidRPr="00B8512B">
        <w:rPr>
          <w:rFonts w:ascii="Times New Roman" w:hAnsi="Times New Roman" w:cs="Times New Roman"/>
          <w:noProof/>
          <w:lang w:val="en-IE"/>
        </w:rPr>
        <w:t xml:space="preserve">. This </w:t>
      </w:r>
      <w:r w:rsidR="00E8447A" w:rsidRPr="00B8512B">
        <w:rPr>
          <w:rFonts w:ascii="Times New Roman" w:hAnsi="Times New Roman" w:cs="Times New Roman"/>
          <w:noProof/>
          <w:lang w:val="en-IE"/>
        </w:rPr>
        <w:t>wa</w:t>
      </w:r>
      <w:r w:rsidR="009D45E4" w:rsidRPr="00B8512B">
        <w:rPr>
          <w:rFonts w:ascii="Times New Roman" w:hAnsi="Times New Roman" w:cs="Times New Roman"/>
          <w:noProof/>
          <w:lang w:val="en-IE"/>
        </w:rPr>
        <w:t xml:space="preserve">s </w:t>
      </w:r>
      <w:r w:rsidR="00301FAF" w:rsidRPr="00B8512B">
        <w:rPr>
          <w:rFonts w:ascii="Times New Roman" w:hAnsi="Times New Roman" w:cs="Times New Roman"/>
          <w:noProof/>
          <w:lang w:val="en-IE"/>
        </w:rPr>
        <w:t>especially</w:t>
      </w:r>
      <w:r w:rsidR="00D83E41" w:rsidRPr="00B8512B">
        <w:rPr>
          <w:rFonts w:ascii="Times New Roman" w:hAnsi="Times New Roman" w:cs="Times New Roman"/>
          <w:noProof/>
          <w:lang w:val="en-IE"/>
        </w:rPr>
        <w:t xml:space="preserve"> </w:t>
      </w:r>
      <w:r w:rsidR="009D45E4" w:rsidRPr="00B8512B">
        <w:rPr>
          <w:rFonts w:ascii="Times New Roman" w:hAnsi="Times New Roman" w:cs="Times New Roman"/>
          <w:noProof/>
          <w:lang w:val="en-IE"/>
        </w:rPr>
        <w:t xml:space="preserve">the case in </w:t>
      </w:r>
      <w:r w:rsidR="00050638" w:rsidRPr="00B8512B">
        <w:rPr>
          <w:rFonts w:ascii="Times New Roman" w:hAnsi="Times New Roman" w:cs="Times New Roman"/>
          <w:noProof/>
          <w:lang w:val="en-IE"/>
        </w:rPr>
        <w:t>Belgium, Bulgaria, Italy and Poland</w:t>
      </w:r>
      <w:r w:rsidR="00F0008E" w:rsidRPr="00B8512B">
        <w:rPr>
          <w:rFonts w:ascii="Times New Roman" w:hAnsi="Times New Roman" w:cs="Times New Roman"/>
          <w:noProof/>
          <w:lang w:val="en-IE"/>
        </w:rPr>
        <w:t>.</w:t>
      </w:r>
    </w:p>
    <w:p w14:paraId="0413E22E" w14:textId="7E78B174" w:rsidR="00630909" w:rsidRPr="00B8512B" w:rsidRDefault="00630909">
      <w:pPr>
        <w:rPr>
          <w:rFonts w:ascii="Times New Roman" w:hAnsi="Times New Roman" w:cs="Times New Roman"/>
          <w:noProof/>
          <w:color w:val="000000" w:themeColor="text1"/>
          <w:lang w:val="en-IE"/>
        </w:rPr>
      </w:pPr>
      <w:r w:rsidRPr="00B8512B">
        <w:rPr>
          <w:rFonts w:ascii="Times New Roman" w:hAnsi="Times New Roman" w:cs="Times New Roman"/>
          <w:noProof/>
          <w:lang w:val="en-IE"/>
        </w:rPr>
        <w:t xml:space="preserve">The number of reimbursement requests without prior authorisation </w:t>
      </w:r>
      <w:r w:rsidR="00040656" w:rsidRPr="00B8512B">
        <w:rPr>
          <w:rFonts w:ascii="Times New Roman" w:hAnsi="Times New Roman" w:cs="Times New Roman"/>
          <w:noProof/>
          <w:lang w:val="en-IE"/>
        </w:rPr>
        <w:t>is</w:t>
      </w:r>
      <w:r w:rsidRPr="00B8512B">
        <w:rPr>
          <w:rFonts w:ascii="Times New Roman" w:hAnsi="Times New Roman" w:cs="Times New Roman"/>
          <w:noProof/>
          <w:lang w:val="en-IE"/>
        </w:rPr>
        <w:t xml:space="preserve"> notably higher than the number of prior authorisation requests (Figure 2).</w:t>
      </w:r>
    </w:p>
    <w:p w14:paraId="66088CDD" w14:textId="63B3BCEB" w:rsidR="00B17999" w:rsidRPr="00B8512B" w:rsidRDefault="00B17999" w:rsidP="00B17999">
      <w:pPr>
        <w:pStyle w:val="Caption"/>
        <w:rPr>
          <w:rFonts w:ascii="Times New Roman" w:hAnsi="Times New Roman"/>
          <w:noProof/>
          <w:sz w:val="22"/>
          <w:szCs w:val="22"/>
          <w:lang w:val="en-IE"/>
        </w:rPr>
      </w:pPr>
      <w:bookmarkStart w:id="16" w:name="_Ref85557034"/>
      <w:bookmarkStart w:id="17" w:name="_Toc85726775"/>
      <w:r w:rsidRPr="00B8512B">
        <w:rPr>
          <w:rFonts w:ascii="Times New Roman" w:hAnsi="Times New Roman"/>
          <w:noProof/>
          <w:sz w:val="22"/>
          <w:szCs w:val="22"/>
          <w:lang w:val="en-IE"/>
        </w:rPr>
        <w:t xml:space="preserve">Figure </w:t>
      </w:r>
      <w:r w:rsidRPr="00B8512B">
        <w:rPr>
          <w:rFonts w:ascii="Times New Roman" w:hAnsi="Times New Roman"/>
          <w:noProof/>
        </w:rPr>
        <w:fldChar w:fldCharType="begin"/>
      </w:r>
      <w:r w:rsidRPr="00B8512B">
        <w:rPr>
          <w:rFonts w:ascii="Times New Roman" w:hAnsi="Times New Roman"/>
          <w:noProof/>
          <w:sz w:val="22"/>
          <w:szCs w:val="22"/>
          <w:lang w:val="en-IE"/>
        </w:rPr>
        <w:instrText xml:space="preserve"> SEQ Figure \* ARABIC </w:instrText>
      </w:r>
      <w:r w:rsidRPr="00B8512B">
        <w:rPr>
          <w:rFonts w:ascii="Times New Roman" w:hAnsi="Times New Roman"/>
          <w:noProof/>
          <w:sz w:val="22"/>
          <w:szCs w:val="22"/>
          <w:lang w:val="en-IE"/>
        </w:rPr>
        <w:fldChar w:fldCharType="separate"/>
      </w:r>
      <w:r w:rsidR="001D6491">
        <w:rPr>
          <w:rFonts w:ascii="Times New Roman" w:hAnsi="Times New Roman"/>
          <w:noProof/>
          <w:sz w:val="22"/>
          <w:szCs w:val="22"/>
          <w:lang w:val="en-IE"/>
        </w:rPr>
        <w:t>2</w:t>
      </w:r>
      <w:r w:rsidRPr="00B8512B">
        <w:rPr>
          <w:rFonts w:ascii="Times New Roman" w:hAnsi="Times New Roman"/>
          <w:noProof/>
        </w:rPr>
        <w:fldChar w:fldCharType="end"/>
      </w:r>
      <w:bookmarkEnd w:id="16"/>
      <w:r w:rsidRPr="00B8512B">
        <w:rPr>
          <w:rFonts w:ascii="Times New Roman" w:hAnsi="Times New Roman"/>
          <w:noProof/>
          <w:sz w:val="22"/>
          <w:szCs w:val="22"/>
          <w:lang w:val="en-IE"/>
        </w:rPr>
        <w:tab/>
        <w:t>Number of requests for reimbursement without prior authorisation received and granted for all countries that provided data, 2016-2020</w:t>
      </w:r>
      <w:bookmarkEnd w:id="17"/>
    </w:p>
    <w:p w14:paraId="6E0E817D" w14:textId="2B140F1F" w:rsidR="00001340" w:rsidRPr="00B8512B" w:rsidRDefault="006B48E2" w:rsidP="00001340">
      <w:pPr>
        <w:pStyle w:val="FiguurTabel-Opmerking"/>
        <w:spacing w:after="40"/>
        <w:ind w:left="425" w:firstLine="0"/>
        <w:jc w:val="both"/>
        <w:rPr>
          <w:rFonts w:ascii="Times New Roman" w:hAnsi="Times New Roman"/>
          <w:noProof/>
          <w:sz w:val="20"/>
          <w:szCs w:val="20"/>
          <w:lang w:val="en-IE"/>
        </w:rPr>
      </w:pPr>
      <w:r w:rsidRPr="00B8512B">
        <w:rPr>
          <w:rFonts w:ascii="Times New Roman" w:hAnsi="Times New Roman"/>
          <w:noProof/>
          <w:lang w:eastAsia="en-GB"/>
        </w:rPr>
        <w:drawing>
          <wp:inline distT="0" distB="0" distL="0" distR="0" wp14:anchorId="0C37F053" wp14:editId="590B5A85">
            <wp:extent cx="5753100" cy="3263900"/>
            <wp:effectExtent l="0" t="0" r="0" b="12700"/>
            <wp:docPr id="3" name="Chart 3">
              <a:extLst xmlns:a="http://schemas.openxmlformats.org/drawingml/2006/main">
                <a:ext uri="{FF2B5EF4-FFF2-40B4-BE49-F238E27FC236}">
                  <a16:creationId xmlns:a16="http://schemas.microsoft.com/office/drawing/2014/main" id="{89AE667A-D298-4EEE-8B02-E9F25B896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17999" w:rsidRPr="00B8512B">
        <w:rPr>
          <w:rFonts w:ascii="Times New Roman" w:hAnsi="Times New Roman"/>
          <w:noProof/>
          <w:sz w:val="20"/>
          <w:szCs w:val="20"/>
          <w:lang w:val="en-IE"/>
        </w:rPr>
        <w:t xml:space="preserve">The totals </w:t>
      </w:r>
      <w:r w:rsidR="00E90623" w:rsidRPr="00B8512B">
        <w:rPr>
          <w:rFonts w:ascii="Times New Roman" w:hAnsi="Times New Roman"/>
          <w:noProof/>
          <w:sz w:val="20"/>
          <w:szCs w:val="20"/>
          <w:lang w:val="en-IE"/>
        </w:rPr>
        <w:t>excluding the UK</w:t>
      </w:r>
      <w:r w:rsidR="00B17999" w:rsidRPr="00B8512B">
        <w:rPr>
          <w:rFonts w:ascii="Times New Roman" w:hAnsi="Times New Roman"/>
          <w:noProof/>
          <w:sz w:val="20"/>
          <w:szCs w:val="20"/>
          <w:lang w:val="en-IE"/>
        </w:rPr>
        <w:t xml:space="preserve"> are as follows: </w:t>
      </w:r>
      <w:r w:rsidR="002C0438" w:rsidRPr="00B8512B">
        <w:rPr>
          <w:rFonts w:ascii="Times New Roman" w:hAnsi="Times New Roman"/>
          <w:noProof/>
          <w:sz w:val="20"/>
          <w:szCs w:val="20"/>
          <w:lang w:val="en-IE"/>
        </w:rPr>
        <w:t xml:space="preserve">in reference year </w:t>
      </w:r>
      <w:r w:rsidR="002C0438" w:rsidRPr="00B8512B">
        <w:rPr>
          <w:rFonts w:ascii="Times New Roman" w:hAnsi="Times New Roman"/>
          <w:b/>
          <w:bCs/>
          <w:noProof/>
          <w:sz w:val="20"/>
          <w:szCs w:val="20"/>
          <w:lang w:val="en-IE"/>
        </w:rPr>
        <w:t>2016</w:t>
      </w:r>
      <w:r w:rsidR="00253B6F">
        <w:rPr>
          <w:rFonts w:ascii="Times New Roman" w:hAnsi="Times New Roman"/>
          <w:noProof/>
          <w:sz w:val="20"/>
          <w:szCs w:val="20"/>
          <w:lang w:val="en-IE"/>
        </w:rPr>
        <w:t>,</w:t>
      </w:r>
      <w:r w:rsidR="00253B6F" w:rsidRPr="00B8512B">
        <w:rPr>
          <w:rFonts w:ascii="Times New Roman" w:hAnsi="Times New Roman"/>
          <w:noProof/>
          <w:sz w:val="20"/>
          <w:szCs w:val="20"/>
          <w:lang w:val="en-IE"/>
        </w:rPr>
        <w:t xml:space="preserve"> </w:t>
      </w:r>
      <w:r w:rsidR="00001340" w:rsidRPr="00B8512B">
        <w:rPr>
          <w:rFonts w:ascii="Times New Roman" w:hAnsi="Times New Roman"/>
          <w:noProof/>
          <w:sz w:val="20"/>
          <w:szCs w:val="20"/>
          <w:lang w:val="en-IE"/>
        </w:rPr>
        <w:t>238</w:t>
      </w:r>
      <w:r w:rsidR="00253B6F">
        <w:rPr>
          <w:rFonts w:ascii="Times New Roman" w:hAnsi="Times New Roman"/>
          <w:noProof/>
          <w:sz w:val="20"/>
          <w:szCs w:val="20"/>
          <w:lang w:val="en-IE"/>
        </w:rPr>
        <w:t> </w:t>
      </w:r>
      <w:r w:rsidR="00001340" w:rsidRPr="00B8512B">
        <w:rPr>
          <w:rFonts w:ascii="Times New Roman" w:hAnsi="Times New Roman"/>
          <w:noProof/>
          <w:sz w:val="20"/>
          <w:szCs w:val="20"/>
          <w:lang w:val="en-IE"/>
        </w:rPr>
        <w:t>680 reimbursement requests received and 197</w:t>
      </w:r>
      <w:r w:rsidR="00253B6F">
        <w:rPr>
          <w:rFonts w:ascii="Times New Roman" w:hAnsi="Times New Roman"/>
          <w:noProof/>
          <w:sz w:val="20"/>
          <w:szCs w:val="20"/>
          <w:lang w:val="en-IE"/>
        </w:rPr>
        <w:t> </w:t>
      </w:r>
      <w:r w:rsidR="00001340" w:rsidRPr="00B8512B">
        <w:rPr>
          <w:rFonts w:ascii="Times New Roman" w:hAnsi="Times New Roman"/>
          <w:noProof/>
          <w:sz w:val="20"/>
          <w:szCs w:val="20"/>
          <w:lang w:val="en-IE"/>
        </w:rPr>
        <w:t xml:space="preserve">152 granted; </w:t>
      </w:r>
      <w:r w:rsidR="002C0438" w:rsidRPr="00B8512B">
        <w:rPr>
          <w:rFonts w:ascii="Times New Roman" w:hAnsi="Times New Roman"/>
          <w:noProof/>
          <w:sz w:val="20"/>
          <w:szCs w:val="20"/>
          <w:lang w:val="en-IE"/>
        </w:rPr>
        <w:t xml:space="preserve">in </w:t>
      </w:r>
      <w:r w:rsidR="002C0438" w:rsidRPr="00B8512B">
        <w:rPr>
          <w:rFonts w:ascii="Times New Roman" w:hAnsi="Times New Roman"/>
          <w:b/>
          <w:bCs/>
          <w:noProof/>
          <w:sz w:val="20"/>
          <w:szCs w:val="20"/>
          <w:lang w:val="en-IE"/>
        </w:rPr>
        <w:t>2017</w:t>
      </w:r>
      <w:r w:rsidR="00253B6F">
        <w:rPr>
          <w:rFonts w:ascii="Times New Roman" w:hAnsi="Times New Roman"/>
          <w:noProof/>
          <w:sz w:val="20"/>
          <w:szCs w:val="20"/>
          <w:lang w:val="en-IE"/>
        </w:rPr>
        <w:t>,</w:t>
      </w:r>
      <w:r w:rsidR="00253B6F" w:rsidRPr="00B8512B">
        <w:rPr>
          <w:rFonts w:ascii="Times New Roman" w:hAnsi="Times New Roman"/>
          <w:noProof/>
          <w:sz w:val="20"/>
          <w:szCs w:val="20"/>
          <w:lang w:val="en-IE"/>
        </w:rPr>
        <w:t xml:space="preserve"> </w:t>
      </w:r>
      <w:r w:rsidR="00001340" w:rsidRPr="00B8512B">
        <w:rPr>
          <w:rFonts w:ascii="Times New Roman" w:hAnsi="Times New Roman"/>
          <w:noProof/>
          <w:sz w:val="20"/>
          <w:szCs w:val="20"/>
          <w:lang w:val="en-IE"/>
        </w:rPr>
        <w:t>233</w:t>
      </w:r>
      <w:r w:rsidR="00253B6F">
        <w:rPr>
          <w:rFonts w:ascii="Times New Roman" w:hAnsi="Times New Roman"/>
          <w:noProof/>
          <w:sz w:val="20"/>
          <w:szCs w:val="20"/>
          <w:lang w:val="en-IE"/>
        </w:rPr>
        <w:t> </w:t>
      </w:r>
      <w:r w:rsidR="00001340" w:rsidRPr="00B8512B">
        <w:rPr>
          <w:rFonts w:ascii="Times New Roman" w:hAnsi="Times New Roman"/>
          <w:noProof/>
          <w:sz w:val="20"/>
          <w:szCs w:val="20"/>
          <w:lang w:val="en-IE"/>
        </w:rPr>
        <w:t>508 requests received and 193</w:t>
      </w:r>
      <w:r w:rsidR="00253B6F">
        <w:rPr>
          <w:rFonts w:ascii="Times New Roman" w:hAnsi="Times New Roman"/>
          <w:noProof/>
          <w:sz w:val="20"/>
          <w:szCs w:val="20"/>
          <w:lang w:val="en-IE"/>
        </w:rPr>
        <w:t> </w:t>
      </w:r>
      <w:r w:rsidR="00001340" w:rsidRPr="00B8512B">
        <w:rPr>
          <w:rFonts w:ascii="Times New Roman" w:hAnsi="Times New Roman"/>
          <w:noProof/>
          <w:sz w:val="20"/>
          <w:szCs w:val="20"/>
          <w:lang w:val="en-IE"/>
        </w:rPr>
        <w:t xml:space="preserve">803 granted; </w:t>
      </w:r>
      <w:r w:rsidR="00B17999" w:rsidRPr="00B8512B">
        <w:rPr>
          <w:rFonts w:ascii="Times New Roman" w:hAnsi="Times New Roman"/>
          <w:noProof/>
          <w:sz w:val="20"/>
          <w:szCs w:val="20"/>
          <w:lang w:val="en-IE"/>
        </w:rPr>
        <w:t xml:space="preserve">in </w:t>
      </w:r>
      <w:r w:rsidR="00B17999" w:rsidRPr="00B8512B">
        <w:rPr>
          <w:rFonts w:ascii="Times New Roman" w:hAnsi="Times New Roman"/>
          <w:b/>
          <w:bCs/>
          <w:noProof/>
          <w:sz w:val="20"/>
          <w:szCs w:val="20"/>
          <w:lang w:val="en-IE"/>
        </w:rPr>
        <w:t>2018</w:t>
      </w:r>
      <w:r w:rsidR="00253B6F">
        <w:rPr>
          <w:rFonts w:ascii="Times New Roman" w:hAnsi="Times New Roman"/>
          <w:noProof/>
          <w:sz w:val="20"/>
          <w:szCs w:val="20"/>
          <w:lang w:val="en-IE"/>
        </w:rPr>
        <w:t>,</w:t>
      </w:r>
      <w:r w:rsidR="00253B6F" w:rsidRPr="00B8512B">
        <w:rPr>
          <w:rFonts w:ascii="Times New Roman" w:hAnsi="Times New Roman"/>
          <w:noProof/>
          <w:sz w:val="20"/>
          <w:szCs w:val="20"/>
          <w:lang w:val="en-IE"/>
        </w:rPr>
        <w:t xml:space="preserve"> </w:t>
      </w:r>
      <w:r w:rsidR="00B17999" w:rsidRPr="00B8512B">
        <w:rPr>
          <w:rFonts w:ascii="Times New Roman" w:hAnsi="Times New Roman"/>
          <w:noProof/>
          <w:sz w:val="20"/>
          <w:szCs w:val="20"/>
          <w:lang w:val="en-IE"/>
        </w:rPr>
        <w:t>269</w:t>
      </w:r>
      <w:r w:rsidR="00253B6F">
        <w:rPr>
          <w:rFonts w:ascii="Times New Roman" w:hAnsi="Times New Roman"/>
          <w:noProof/>
          <w:sz w:val="20"/>
          <w:szCs w:val="20"/>
          <w:lang w:val="en-IE"/>
        </w:rPr>
        <w:t> </w:t>
      </w:r>
      <w:r w:rsidR="00B17999" w:rsidRPr="00B8512B">
        <w:rPr>
          <w:rFonts w:ascii="Times New Roman" w:hAnsi="Times New Roman"/>
          <w:noProof/>
          <w:sz w:val="20"/>
          <w:szCs w:val="20"/>
          <w:lang w:val="en-IE"/>
        </w:rPr>
        <w:t>006 received, 225</w:t>
      </w:r>
      <w:r w:rsidR="00253B6F">
        <w:rPr>
          <w:rFonts w:ascii="Times New Roman" w:hAnsi="Times New Roman"/>
          <w:noProof/>
          <w:sz w:val="20"/>
          <w:szCs w:val="20"/>
          <w:lang w:val="en-IE"/>
        </w:rPr>
        <w:t> </w:t>
      </w:r>
      <w:r w:rsidR="00B17999" w:rsidRPr="00B8512B">
        <w:rPr>
          <w:rFonts w:ascii="Times New Roman" w:hAnsi="Times New Roman"/>
          <w:noProof/>
          <w:sz w:val="20"/>
          <w:szCs w:val="20"/>
          <w:lang w:val="en-IE"/>
        </w:rPr>
        <w:t xml:space="preserve">186 granted; in </w:t>
      </w:r>
      <w:r w:rsidR="00B17999" w:rsidRPr="00B8512B">
        <w:rPr>
          <w:rFonts w:ascii="Times New Roman" w:hAnsi="Times New Roman"/>
          <w:b/>
          <w:bCs/>
          <w:noProof/>
          <w:sz w:val="20"/>
          <w:szCs w:val="20"/>
          <w:lang w:val="en-IE"/>
        </w:rPr>
        <w:t>2019</w:t>
      </w:r>
      <w:r w:rsidR="00253B6F">
        <w:rPr>
          <w:rFonts w:ascii="Times New Roman" w:hAnsi="Times New Roman"/>
          <w:noProof/>
          <w:sz w:val="20"/>
          <w:szCs w:val="20"/>
          <w:lang w:val="en-IE"/>
        </w:rPr>
        <w:t>,</w:t>
      </w:r>
      <w:r w:rsidR="00253B6F" w:rsidRPr="00B8512B">
        <w:rPr>
          <w:rFonts w:ascii="Times New Roman" w:hAnsi="Times New Roman"/>
          <w:noProof/>
          <w:sz w:val="20"/>
          <w:szCs w:val="20"/>
          <w:lang w:val="en-IE"/>
        </w:rPr>
        <w:t xml:space="preserve"> </w:t>
      </w:r>
      <w:r w:rsidR="00B17999" w:rsidRPr="00B8512B">
        <w:rPr>
          <w:rFonts w:ascii="Times New Roman" w:hAnsi="Times New Roman"/>
          <w:noProof/>
          <w:sz w:val="20"/>
          <w:szCs w:val="20"/>
          <w:lang w:val="en-IE"/>
        </w:rPr>
        <w:t>280</w:t>
      </w:r>
      <w:r w:rsidR="00253B6F">
        <w:rPr>
          <w:rFonts w:ascii="Times New Roman" w:hAnsi="Times New Roman"/>
          <w:noProof/>
          <w:sz w:val="20"/>
          <w:szCs w:val="20"/>
          <w:lang w:val="en-IE"/>
        </w:rPr>
        <w:t> </w:t>
      </w:r>
      <w:r w:rsidR="00B17999" w:rsidRPr="00B8512B">
        <w:rPr>
          <w:rFonts w:ascii="Times New Roman" w:hAnsi="Times New Roman"/>
          <w:noProof/>
          <w:sz w:val="20"/>
          <w:szCs w:val="20"/>
          <w:lang w:val="en-IE"/>
        </w:rPr>
        <w:t>594 received, 236</w:t>
      </w:r>
      <w:r w:rsidR="00253B6F">
        <w:rPr>
          <w:rFonts w:ascii="Times New Roman" w:hAnsi="Times New Roman"/>
          <w:noProof/>
          <w:sz w:val="20"/>
          <w:szCs w:val="20"/>
          <w:lang w:val="en-IE"/>
        </w:rPr>
        <w:t> </w:t>
      </w:r>
      <w:r w:rsidR="00B17999" w:rsidRPr="00B8512B">
        <w:rPr>
          <w:rFonts w:ascii="Times New Roman" w:hAnsi="Times New Roman"/>
          <w:noProof/>
          <w:sz w:val="20"/>
          <w:szCs w:val="20"/>
          <w:lang w:val="en-IE"/>
        </w:rPr>
        <w:t xml:space="preserve">891 granted; and in </w:t>
      </w:r>
      <w:r w:rsidR="00B17999" w:rsidRPr="00B8512B">
        <w:rPr>
          <w:rFonts w:ascii="Times New Roman" w:hAnsi="Times New Roman"/>
          <w:b/>
          <w:bCs/>
          <w:noProof/>
          <w:sz w:val="20"/>
          <w:szCs w:val="20"/>
          <w:lang w:val="en-IE"/>
        </w:rPr>
        <w:t>2020</w:t>
      </w:r>
      <w:r w:rsidR="00253B6F">
        <w:rPr>
          <w:rFonts w:ascii="Times New Roman" w:hAnsi="Times New Roman"/>
          <w:noProof/>
          <w:sz w:val="20"/>
          <w:szCs w:val="20"/>
          <w:lang w:val="en-IE"/>
        </w:rPr>
        <w:t>,</w:t>
      </w:r>
      <w:r w:rsidR="00001340" w:rsidRPr="00B8512B">
        <w:rPr>
          <w:rFonts w:ascii="Times New Roman" w:hAnsi="Times New Roman"/>
          <w:noProof/>
          <w:sz w:val="20"/>
          <w:szCs w:val="20"/>
          <w:lang w:val="en-IE"/>
        </w:rPr>
        <w:t xml:space="preserve"> 188</w:t>
      </w:r>
      <w:r w:rsidR="00253B6F">
        <w:rPr>
          <w:rFonts w:ascii="Times New Roman" w:hAnsi="Times New Roman"/>
          <w:noProof/>
          <w:sz w:val="20"/>
          <w:szCs w:val="20"/>
          <w:lang w:val="en-IE"/>
        </w:rPr>
        <w:t> </w:t>
      </w:r>
      <w:r w:rsidR="00001340" w:rsidRPr="00B8512B">
        <w:rPr>
          <w:rFonts w:ascii="Times New Roman" w:hAnsi="Times New Roman"/>
          <w:noProof/>
          <w:sz w:val="20"/>
          <w:szCs w:val="20"/>
          <w:lang w:val="en-IE"/>
        </w:rPr>
        <w:t>013 received and 153</w:t>
      </w:r>
      <w:r w:rsidR="00253B6F">
        <w:rPr>
          <w:rFonts w:ascii="Times New Roman" w:hAnsi="Times New Roman"/>
          <w:noProof/>
          <w:sz w:val="20"/>
          <w:szCs w:val="20"/>
          <w:lang w:val="en-IE"/>
        </w:rPr>
        <w:t> </w:t>
      </w:r>
      <w:r w:rsidR="00001340" w:rsidRPr="00B8512B">
        <w:rPr>
          <w:rFonts w:ascii="Times New Roman" w:hAnsi="Times New Roman"/>
          <w:noProof/>
          <w:sz w:val="20"/>
          <w:szCs w:val="20"/>
          <w:lang w:val="en-IE"/>
        </w:rPr>
        <w:t>960 granted.</w:t>
      </w:r>
    </w:p>
    <w:p w14:paraId="7516AE90" w14:textId="648A9DE2" w:rsidR="00B17999" w:rsidRPr="00B8512B" w:rsidRDefault="00B17999">
      <w:pPr>
        <w:pStyle w:val="FiguurTabel-TekstBron"/>
        <w:ind w:left="284"/>
        <w:jc w:val="both"/>
        <w:rPr>
          <w:rStyle w:val="Grijs"/>
          <w:rFonts w:ascii="Times New Roman" w:hAnsi="Times New Roman"/>
          <w:b/>
          <w:noProof/>
          <w:sz w:val="20"/>
          <w:szCs w:val="20"/>
          <w:lang w:val="fr-BE"/>
        </w:rPr>
      </w:pPr>
      <w:r w:rsidRPr="00B8512B">
        <w:rPr>
          <w:rStyle w:val="Grijs"/>
          <w:rFonts w:ascii="Times New Roman" w:hAnsi="Times New Roman"/>
          <w:b/>
          <w:bCs/>
          <w:noProof/>
          <w:sz w:val="20"/>
          <w:szCs w:val="20"/>
          <w:lang w:val="fr-BE"/>
        </w:rPr>
        <w:t xml:space="preserve">Source </w:t>
      </w:r>
      <w:r w:rsidR="006B48E2" w:rsidRPr="00B8512B">
        <w:rPr>
          <w:rFonts w:ascii="Times New Roman" w:hAnsi="Times New Roman"/>
          <w:noProof/>
          <w:sz w:val="20"/>
          <w:szCs w:val="20"/>
          <w:lang w:val="fr-BE"/>
        </w:rPr>
        <w:t>Questionnaires on Directive 2011/24/EU</w:t>
      </w:r>
      <w:r w:rsidR="006B48E2" w:rsidRPr="000854BB">
        <w:rPr>
          <w:rFonts w:ascii="Times New Roman" w:hAnsi="Times New Roman"/>
          <w:noProof/>
          <w:sz w:val="20"/>
          <w:szCs w:val="20"/>
          <w:lang w:val="fr-BE"/>
        </w:rPr>
        <w:t xml:space="preserve"> reporting</w:t>
      </w:r>
      <w:r w:rsidR="006B48E2" w:rsidRPr="00B8512B">
        <w:rPr>
          <w:rFonts w:ascii="Times New Roman" w:hAnsi="Times New Roman"/>
          <w:noProof/>
          <w:sz w:val="20"/>
          <w:szCs w:val="20"/>
          <w:lang w:val="fr-BE"/>
        </w:rPr>
        <w:t xml:space="preserve"> on patient</w:t>
      </w:r>
      <w:r w:rsidR="006B48E2" w:rsidRPr="000854BB">
        <w:rPr>
          <w:rFonts w:ascii="Times New Roman" w:hAnsi="Times New Roman"/>
          <w:noProof/>
          <w:sz w:val="20"/>
          <w:szCs w:val="20"/>
          <w:lang w:val="fr-BE"/>
        </w:rPr>
        <w:t xml:space="preserve"> mobility</w:t>
      </w:r>
    </w:p>
    <w:p w14:paraId="1265FA91" w14:textId="1F208157" w:rsidR="000E25B6" w:rsidRPr="00B8512B" w:rsidRDefault="000E25B6" w:rsidP="00577BB1">
      <w:pPr>
        <w:rPr>
          <w:rFonts w:ascii="Times New Roman" w:hAnsi="Times New Roman" w:cs="Times New Roman"/>
          <w:noProof/>
          <w:szCs w:val="24"/>
          <w:lang w:val="fr-BE"/>
        </w:rPr>
      </w:pPr>
    </w:p>
    <w:p w14:paraId="2D9EA863" w14:textId="7621B37A" w:rsidR="004E3503" w:rsidRDefault="00050638" w:rsidP="00C76B82">
      <w:pPr>
        <w:rPr>
          <w:rFonts w:ascii="Times New Roman" w:hAnsi="Times New Roman" w:cs="Times New Roman"/>
          <w:noProof/>
          <w:lang w:val="en-IE" w:eastAsia="nl-NL"/>
        </w:rPr>
      </w:pPr>
      <w:r w:rsidRPr="00B8512B">
        <w:rPr>
          <w:rFonts w:ascii="Times New Roman" w:hAnsi="Times New Roman" w:cs="Times New Roman"/>
          <w:noProof/>
          <w:lang w:val="en-IE"/>
        </w:rPr>
        <w:t>In th</w:t>
      </w:r>
      <w:r w:rsidR="009D45E4" w:rsidRPr="00B8512B">
        <w:rPr>
          <w:rFonts w:ascii="Times New Roman" w:hAnsi="Times New Roman" w:cs="Times New Roman"/>
          <w:noProof/>
          <w:lang w:val="en-IE"/>
        </w:rPr>
        <w:t>ose</w:t>
      </w:r>
      <w:r w:rsidRPr="00B8512B">
        <w:rPr>
          <w:rFonts w:ascii="Times New Roman" w:hAnsi="Times New Roman" w:cs="Times New Roman"/>
          <w:noProof/>
          <w:lang w:val="en-IE"/>
        </w:rPr>
        <w:t xml:space="preserve"> countries that provided data for all reference years 2016-2020</w:t>
      </w:r>
      <w:r w:rsidR="0035775E" w:rsidRPr="00B8512B">
        <w:rPr>
          <w:rStyle w:val="FootnoteReference"/>
          <w:rFonts w:ascii="Times New Roman" w:hAnsi="Times New Roman" w:cs="Times New Roman"/>
          <w:noProof/>
          <w:lang w:val="en-IE" w:eastAsia="nl-NL"/>
        </w:rPr>
        <w:footnoteReference w:id="31"/>
      </w:r>
      <w:r w:rsidRPr="00B8512B">
        <w:rPr>
          <w:rFonts w:ascii="Times New Roman" w:hAnsi="Times New Roman" w:cs="Times New Roman"/>
          <w:noProof/>
          <w:lang w:val="en-IE"/>
        </w:rPr>
        <w:t xml:space="preserve">, the number of requests for reimbursement received and granted </w:t>
      </w:r>
      <w:r w:rsidR="009D45E4" w:rsidRPr="00B8512B">
        <w:rPr>
          <w:rFonts w:ascii="Times New Roman" w:hAnsi="Times New Roman" w:cs="Times New Roman"/>
          <w:noProof/>
          <w:lang w:val="en-IE"/>
        </w:rPr>
        <w:t xml:space="preserve">also </w:t>
      </w:r>
      <w:r w:rsidR="00AF1278" w:rsidRPr="00B8512B">
        <w:rPr>
          <w:rFonts w:ascii="Times New Roman" w:hAnsi="Times New Roman" w:cs="Times New Roman"/>
          <w:noProof/>
          <w:lang w:val="en-IE"/>
        </w:rPr>
        <w:t xml:space="preserve">peaked </w:t>
      </w:r>
      <w:r w:rsidR="00BE3E09" w:rsidRPr="00B8512B">
        <w:rPr>
          <w:rFonts w:ascii="Times New Roman" w:hAnsi="Times New Roman" w:cs="Times New Roman"/>
          <w:noProof/>
          <w:lang w:val="en-IE"/>
        </w:rPr>
        <w:t>in</w:t>
      </w:r>
      <w:r w:rsidRPr="00B8512B">
        <w:rPr>
          <w:rFonts w:ascii="Times New Roman" w:hAnsi="Times New Roman" w:cs="Times New Roman"/>
          <w:noProof/>
          <w:lang w:val="en-IE"/>
        </w:rPr>
        <w:t xml:space="preserve"> 2018 </w:t>
      </w:r>
      <w:r w:rsidR="00AF1278" w:rsidRPr="00B8512B">
        <w:rPr>
          <w:rFonts w:ascii="Times New Roman" w:hAnsi="Times New Roman" w:cs="Times New Roman"/>
          <w:noProof/>
          <w:lang w:val="en-IE"/>
        </w:rPr>
        <w:t xml:space="preserve">before declining </w:t>
      </w:r>
      <w:r w:rsidRPr="00B8512B">
        <w:rPr>
          <w:rFonts w:ascii="Times New Roman" w:hAnsi="Times New Roman" w:cs="Times New Roman"/>
          <w:noProof/>
          <w:lang w:val="en-IE"/>
        </w:rPr>
        <w:t>in 2019 and 2020.</w:t>
      </w:r>
      <w:r w:rsidR="00BE3E09" w:rsidRPr="00B8512B">
        <w:rPr>
          <w:rFonts w:ascii="Times New Roman" w:hAnsi="Times New Roman" w:cs="Times New Roman"/>
          <w:noProof/>
          <w:lang w:val="en-IE"/>
        </w:rPr>
        <w:t xml:space="preserve"> </w:t>
      </w:r>
      <w:r w:rsidR="00BE3E09" w:rsidRPr="00B8512B">
        <w:rPr>
          <w:rFonts w:ascii="Times New Roman" w:hAnsi="Times New Roman" w:cs="Times New Roman"/>
          <w:noProof/>
          <w:lang w:val="en-IE" w:eastAsia="nl-NL"/>
        </w:rPr>
        <w:t xml:space="preserve">In </w:t>
      </w:r>
      <w:r w:rsidR="00776CC2">
        <w:rPr>
          <w:rFonts w:ascii="Times New Roman" w:hAnsi="Times New Roman" w:cs="Times New Roman"/>
          <w:noProof/>
          <w:lang w:val="en-IE" w:eastAsia="nl-NL"/>
        </w:rPr>
        <w:t>most</w:t>
      </w:r>
      <w:r w:rsidR="00BE3E09" w:rsidRPr="00B8512B">
        <w:rPr>
          <w:rFonts w:ascii="Times New Roman" w:hAnsi="Times New Roman" w:cs="Times New Roman"/>
          <w:noProof/>
          <w:lang w:val="en-IE" w:eastAsia="nl-NL"/>
        </w:rPr>
        <w:t xml:space="preserve"> of </w:t>
      </w:r>
      <w:r w:rsidR="0035775E" w:rsidRPr="00B8512B">
        <w:rPr>
          <w:rFonts w:ascii="Times New Roman" w:hAnsi="Times New Roman" w:cs="Times New Roman"/>
          <w:noProof/>
          <w:lang w:val="en-IE" w:eastAsia="nl-NL"/>
        </w:rPr>
        <w:t xml:space="preserve">these </w:t>
      </w:r>
      <w:r w:rsidR="00BE3E09" w:rsidRPr="00B8512B">
        <w:rPr>
          <w:rFonts w:ascii="Times New Roman" w:hAnsi="Times New Roman" w:cs="Times New Roman"/>
          <w:noProof/>
          <w:lang w:val="en-IE" w:eastAsia="nl-NL"/>
        </w:rPr>
        <w:t>countries, the</w:t>
      </w:r>
      <w:r w:rsidR="001F112C" w:rsidRPr="00B8512B">
        <w:rPr>
          <w:rFonts w:ascii="Times New Roman" w:hAnsi="Times New Roman" w:cs="Times New Roman"/>
          <w:noProof/>
          <w:lang w:val="en-IE" w:eastAsia="nl-NL"/>
        </w:rPr>
        <w:t>re was a decrease</w:t>
      </w:r>
      <w:r w:rsidR="00BE3E09" w:rsidRPr="00B8512B">
        <w:rPr>
          <w:rFonts w:ascii="Times New Roman" w:hAnsi="Times New Roman" w:cs="Times New Roman"/>
          <w:noProof/>
          <w:lang w:val="en-IE" w:eastAsia="nl-NL"/>
        </w:rPr>
        <w:t xml:space="preserve"> </w:t>
      </w:r>
      <w:r w:rsidR="001F112C" w:rsidRPr="00B8512B">
        <w:rPr>
          <w:rFonts w:ascii="Times New Roman" w:hAnsi="Times New Roman" w:cs="Times New Roman"/>
          <w:noProof/>
          <w:lang w:val="en-IE" w:eastAsia="nl-NL"/>
        </w:rPr>
        <w:t xml:space="preserve">in patient mobility </w:t>
      </w:r>
      <w:r w:rsidR="0035775E" w:rsidRPr="00B8512B">
        <w:rPr>
          <w:rFonts w:ascii="Times New Roman" w:hAnsi="Times New Roman" w:cs="Times New Roman"/>
          <w:noProof/>
          <w:lang w:val="en-IE" w:eastAsia="nl-NL"/>
        </w:rPr>
        <w:t xml:space="preserve">in </w:t>
      </w:r>
      <w:r w:rsidR="009D45E4" w:rsidRPr="00B8512B">
        <w:rPr>
          <w:rFonts w:ascii="Times New Roman" w:hAnsi="Times New Roman" w:cs="Times New Roman"/>
          <w:noProof/>
          <w:lang w:val="en-IE"/>
        </w:rPr>
        <w:t>the period of 2016-2020</w:t>
      </w:r>
      <w:r w:rsidR="00BE3E09" w:rsidRPr="00B8512B">
        <w:rPr>
          <w:rFonts w:ascii="Times New Roman" w:hAnsi="Times New Roman" w:cs="Times New Roman"/>
          <w:noProof/>
          <w:lang w:val="en-IE" w:eastAsia="nl-NL"/>
        </w:rPr>
        <w:t xml:space="preserve">. However, some countries, </w:t>
      </w:r>
      <w:r w:rsidR="00D83E41" w:rsidRPr="00B8512B">
        <w:rPr>
          <w:rFonts w:ascii="Times New Roman" w:hAnsi="Times New Roman" w:cs="Times New Roman"/>
          <w:noProof/>
          <w:lang w:val="en-IE" w:eastAsia="nl-NL"/>
        </w:rPr>
        <w:t>notably</w:t>
      </w:r>
      <w:r w:rsidR="0034746A" w:rsidRPr="00B8512B">
        <w:rPr>
          <w:rFonts w:ascii="Times New Roman" w:hAnsi="Times New Roman" w:cs="Times New Roman"/>
          <w:noProof/>
          <w:lang w:val="en-IE" w:eastAsia="nl-NL"/>
        </w:rPr>
        <w:t xml:space="preserve"> </w:t>
      </w:r>
      <w:r w:rsidR="00253B6F" w:rsidRPr="00B8512B">
        <w:rPr>
          <w:rFonts w:ascii="Times New Roman" w:hAnsi="Times New Roman" w:cs="Times New Roman"/>
          <w:noProof/>
          <w:lang w:val="en-IE" w:eastAsia="nl-NL"/>
        </w:rPr>
        <w:t xml:space="preserve">Czechia, </w:t>
      </w:r>
      <w:r w:rsidR="00BE3E09" w:rsidRPr="00B8512B">
        <w:rPr>
          <w:rFonts w:ascii="Times New Roman" w:hAnsi="Times New Roman" w:cs="Times New Roman"/>
          <w:noProof/>
          <w:lang w:val="en-IE" w:eastAsia="nl-NL"/>
        </w:rPr>
        <w:t xml:space="preserve">Ireland, </w:t>
      </w:r>
      <w:r w:rsidR="00253B6F" w:rsidRPr="00B8512B">
        <w:rPr>
          <w:rFonts w:ascii="Times New Roman" w:hAnsi="Times New Roman" w:cs="Times New Roman"/>
          <w:noProof/>
          <w:lang w:val="en-IE" w:eastAsia="nl-NL"/>
        </w:rPr>
        <w:t xml:space="preserve">Slovakia and </w:t>
      </w:r>
      <w:r w:rsidR="00BE3E09" w:rsidRPr="00B8512B">
        <w:rPr>
          <w:rFonts w:ascii="Times New Roman" w:hAnsi="Times New Roman" w:cs="Times New Roman"/>
          <w:noProof/>
          <w:lang w:val="en-IE" w:eastAsia="nl-NL"/>
        </w:rPr>
        <w:t>the UK</w:t>
      </w:r>
      <w:r w:rsidR="009D45E4" w:rsidRPr="00B8512B">
        <w:rPr>
          <w:rFonts w:ascii="Times New Roman" w:hAnsi="Times New Roman" w:cs="Times New Roman"/>
          <w:noProof/>
          <w:lang w:val="en-IE" w:eastAsia="nl-NL"/>
        </w:rPr>
        <w:t>,</w:t>
      </w:r>
      <w:r w:rsidR="00BE3E09" w:rsidRPr="00B8512B">
        <w:rPr>
          <w:rFonts w:ascii="Times New Roman" w:hAnsi="Times New Roman" w:cs="Times New Roman"/>
          <w:noProof/>
          <w:lang w:val="en-IE" w:eastAsia="nl-NL"/>
        </w:rPr>
        <w:t xml:space="preserve"> </w:t>
      </w:r>
      <w:r w:rsidR="006D261C" w:rsidRPr="00B8512B">
        <w:rPr>
          <w:rFonts w:ascii="Times New Roman" w:hAnsi="Times New Roman" w:cs="Times New Roman"/>
          <w:noProof/>
          <w:lang w:val="en-IE" w:eastAsia="nl-NL"/>
        </w:rPr>
        <w:t xml:space="preserve">saw an increase in </w:t>
      </w:r>
      <w:r w:rsidR="00BE3E09" w:rsidRPr="00B8512B">
        <w:rPr>
          <w:rFonts w:ascii="Times New Roman" w:hAnsi="Times New Roman" w:cs="Times New Roman"/>
          <w:noProof/>
          <w:lang w:val="en-IE" w:eastAsia="nl-NL"/>
        </w:rPr>
        <w:t>the number of requests for reimbursement received.</w:t>
      </w:r>
    </w:p>
    <w:p w14:paraId="78BDDA32" w14:textId="39362206" w:rsidR="00135DBF" w:rsidRDefault="00135DBF" w:rsidP="00C76B82">
      <w:pPr>
        <w:rPr>
          <w:rFonts w:ascii="Times New Roman" w:hAnsi="Times New Roman" w:cs="Times New Roman"/>
          <w:noProof/>
          <w:lang w:val="en-IE"/>
        </w:rPr>
      </w:pPr>
    </w:p>
    <w:p w14:paraId="6CC40915" w14:textId="166C4F77" w:rsidR="003A33FB" w:rsidRDefault="003A33FB" w:rsidP="00C76B82">
      <w:pPr>
        <w:rPr>
          <w:rFonts w:ascii="Times New Roman" w:hAnsi="Times New Roman" w:cs="Times New Roman"/>
          <w:noProof/>
          <w:lang w:val="en-IE"/>
        </w:rPr>
      </w:pPr>
    </w:p>
    <w:p w14:paraId="543137CF" w14:textId="77777777" w:rsidR="003A33FB" w:rsidRPr="00B8512B" w:rsidRDefault="003A33FB" w:rsidP="00C76B82">
      <w:pPr>
        <w:rPr>
          <w:rFonts w:ascii="Times New Roman" w:hAnsi="Times New Roman" w:cs="Times New Roman"/>
          <w:noProof/>
          <w:lang w:val="en-IE"/>
        </w:rPr>
      </w:pPr>
    </w:p>
    <w:p w14:paraId="1A82C91A" w14:textId="217F359C" w:rsidR="00A6467A" w:rsidRPr="00B8512B" w:rsidRDefault="00B430DB">
      <w:pPr>
        <w:pStyle w:val="Heading2"/>
        <w:rPr>
          <w:rFonts w:ascii="Times New Roman" w:hAnsi="Times New Roman" w:cs="Times New Roman"/>
          <w:noProof/>
          <w:lang w:val="en-IE"/>
        </w:rPr>
      </w:pPr>
      <w:bookmarkStart w:id="18" w:name="_Toc81927262"/>
      <w:r>
        <w:rPr>
          <w:rFonts w:ascii="Times New Roman" w:hAnsi="Times New Roman" w:cs="Times New Roman"/>
          <w:noProof/>
          <w:lang w:val="en-IE"/>
        </w:rPr>
        <w:t xml:space="preserve"> </w:t>
      </w:r>
      <w:r w:rsidR="00C76B82" w:rsidRPr="00B8512B">
        <w:rPr>
          <w:rFonts w:ascii="Times New Roman" w:hAnsi="Times New Roman" w:cs="Times New Roman"/>
          <w:noProof/>
          <w:lang w:val="en-IE"/>
        </w:rPr>
        <w:t xml:space="preserve">Financial </w:t>
      </w:r>
      <w:r w:rsidR="00EC43E7" w:rsidRPr="00B8512B">
        <w:rPr>
          <w:rFonts w:ascii="Times New Roman" w:hAnsi="Times New Roman" w:cs="Times New Roman"/>
          <w:noProof/>
          <w:lang w:val="en-IE"/>
        </w:rPr>
        <w:t>implications of patient mobility</w:t>
      </w:r>
      <w:bookmarkEnd w:id="18"/>
    </w:p>
    <w:p w14:paraId="16313813" w14:textId="450CF51C" w:rsidR="00F27B54" w:rsidRPr="00B8512B" w:rsidRDefault="00F27B54" w:rsidP="00894612">
      <w:pPr>
        <w:rPr>
          <w:rFonts w:ascii="Times New Roman" w:hAnsi="Times New Roman" w:cs="Times New Roman"/>
          <w:noProof/>
          <w:lang w:val="en-IE"/>
        </w:rPr>
      </w:pPr>
      <w:r w:rsidRPr="00B8512B">
        <w:rPr>
          <w:rFonts w:ascii="Times New Roman" w:hAnsi="Times New Roman" w:cs="Times New Roman"/>
          <w:noProof/>
          <w:lang w:val="en-IE"/>
        </w:rPr>
        <w:t xml:space="preserve">In </w:t>
      </w:r>
      <w:r w:rsidR="00840B69" w:rsidRPr="00B8512B">
        <w:rPr>
          <w:rFonts w:ascii="Times New Roman" w:hAnsi="Times New Roman" w:cs="Times New Roman"/>
          <w:noProof/>
          <w:lang w:val="en-IE"/>
        </w:rPr>
        <w:t>201</w:t>
      </w:r>
      <w:r w:rsidR="006C78CA" w:rsidRPr="00B8512B">
        <w:rPr>
          <w:rFonts w:ascii="Times New Roman" w:hAnsi="Times New Roman" w:cs="Times New Roman"/>
          <w:noProof/>
          <w:lang w:val="en-IE"/>
        </w:rPr>
        <w:t>8</w:t>
      </w:r>
      <w:r w:rsidR="00840B69" w:rsidRPr="00B8512B">
        <w:rPr>
          <w:rFonts w:ascii="Times New Roman" w:hAnsi="Times New Roman" w:cs="Times New Roman"/>
          <w:noProof/>
          <w:lang w:val="en-IE"/>
        </w:rPr>
        <w:t xml:space="preserve">-2020, the total reimbursed amount reported </w:t>
      </w:r>
      <w:r w:rsidR="00380E3E" w:rsidRPr="00B8512B">
        <w:rPr>
          <w:rFonts w:ascii="Times New Roman" w:hAnsi="Times New Roman" w:cs="Times New Roman"/>
          <w:noProof/>
          <w:lang w:val="en-IE"/>
        </w:rPr>
        <w:t>was</w:t>
      </w:r>
      <w:r w:rsidR="00894612" w:rsidRPr="00B8512B">
        <w:rPr>
          <w:rFonts w:ascii="Times New Roman" w:hAnsi="Times New Roman" w:cs="Times New Roman"/>
          <w:noProof/>
          <w:lang w:val="en-IE"/>
        </w:rPr>
        <w:t xml:space="preserve"> </w:t>
      </w:r>
      <w:r w:rsidR="00B430DB">
        <w:rPr>
          <w:rFonts w:ascii="Times New Roman" w:hAnsi="Times New Roman" w:cs="Times New Roman"/>
          <w:noProof/>
          <w:color w:val="000000" w:themeColor="text1"/>
          <w:lang w:val="en-IE"/>
        </w:rPr>
        <w:t>EUR </w:t>
      </w:r>
      <w:r w:rsidR="00B430DB" w:rsidRPr="00B8512B">
        <w:rPr>
          <w:rFonts w:ascii="Times New Roman" w:hAnsi="Times New Roman" w:cs="Times New Roman"/>
          <w:noProof/>
          <w:lang w:val="en-IE"/>
        </w:rPr>
        <w:t>243</w:t>
      </w:r>
      <w:r w:rsidR="00B430DB">
        <w:rPr>
          <w:rFonts w:ascii="Times New Roman" w:hAnsi="Times New Roman" w:cs="Times New Roman"/>
          <w:noProof/>
          <w:lang w:val="en-IE"/>
        </w:rPr>
        <w:t> </w:t>
      </w:r>
      <w:r w:rsidR="00894612" w:rsidRPr="00B8512B">
        <w:rPr>
          <w:rFonts w:ascii="Times New Roman" w:hAnsi="Times New Roman" w:cs="Times New Roman"/>
          <w:noProof/>
          <w:lang w:val="en-IE"/>
        </w:rPr>
        <w:t xml:space="preserve">million </w:t>
      </w:r>
      <w:r w:rsidR="00B430DB" w:rsidRPr="00B8512B">
        <w:rPr>
          <w:rFonts w:ascii="Times New Roman" w:hAnsi="Times New Roman" w:cs="Times New Roman"/>
          <w:noProof/>
          <w:lang w:val="en-IE"/>
        </w:rPr>
        <w:t>(</w:t>
      </w:r>
      <w:r w:rsidR="00B430DB">
        <w:rPr>
          <w:rFonts w:ascii="Times New Roman" w:hAnsi="Times New Roman" w:cs="Times New Roman"/>
          <w:noProof/>
          <w:color w:val="000000" w:themeColor="text1"/>
          <w:lang w:val="en-IE"/>
        </w:rPr>
        <w:t>EUR</w:t>
      </w:r>
      <w:r w:rsidR="00B430DB" w:rsidRPr="00B8512B">
        <w:rPr>
          <w:rFonts w:ascii="Times New Roman" w:hAnsi="Times New Roman" w:cs="Times New Roman"/>
          <w:noProof/>
          <w:color w:val="000000" w:themeColor="text1"/>
          <w:lang w:val="en-IE"/>
        </w:rPr>
        <w:t> </w:t>
      </w:r>
      <w:r w:rsidR="00010BE2" w:rsidRPr="00B8512B">
        <w:rPr>
          <w:rFonts w:ascii="Times New Roman" w:hAnsi="Times New Roman" w:cs="Times New Roman"/>
          <w:noProof/>
          <w:color w:val="000000" w:themeColor="text1"/>
          <w:lang w:val="en-IE"/>
        </w:rPr>
        <w:t>73.</w:t>
      </w:r>
      <w:r w:rsidR="00B430DB" w:rsidRPr="00B8512B">
        <w:rPr>
          <w:rFonts w:ascii="Times New Roman" w:hAnsi="Times New Roman" w:cs="Times New Roman"/>
          <w:noProof/>
          <w:color w:val="000000" w:themeColor="text1"/>
          <w:lang w:val="en-IE"/>
        </w:rPr>
        <w:t>4</w:t>
      </w:r>
      <w:r w:rsidR="00B430DB">
        <w:rPr>
          <w:rFonts w:ascii="Times New Roman" w:hAnsi="Times New Roman" w:cs="Times New Roman"/>
          <w:noProof/>
          <w:color w:val="000000" w:themeColor="text1"/>
          <w:lang w:val="en-IE"/>
        </w:rPr>
        <w:t> </w:t>
      </w:r>
      <w:r w:rsidR="00010BE2" w:rsidRPr="00B8512B">
        <w:rPr>
          <w:rFonts w:ascii="Times New Roman" w:hAnsi="Times New Roman" w:cs="Times New Roman"/>
          <w:noProof/>
          <w:color w:val="000000" w:themeColor="text1"/>
          <w:lang w:val="en-IE"/>
        </w:rPr>
        <w:t>million</w:t>
      </w:r>
      <w:r w:rsidR="00010BE2" w:rsidRPr="00B8512B">
        <w:rPr>
          <w:rFonts w:ascii="Times New Roman" w:hAnsi="Times New Roman" w:cs="Times New Roman"/>
          <w:noProof/>
          <w:lang w:val="en-IE"/>
        </w:rPr>
        <w:t xml:space="preserve"> </w:t>
      </w:r>
      <w:r w:rsidR="00010BE2" w:rsidRPr="00B8512B">
        <w:rPr>
          <w:rFonts w:ascii="Times New Roman" w:hAnsi="Times New Roman" w:cs="Times New Roman"/>
          <w:noProof/>
          <w:color w:val="000000" w:themeColor="text1"/>
          <w:lang w:val="en-IE"/>
        </w:rPr>
        <w:t>in 2018</w:t>
      </w:r>
      <w:r w:rsidR="006C78CA" w:rsidRPr="00B8512B">
        <w:rPr>
          <w:rFonts w:ascii="Times New Roman" w:hAnsi="Times New Roman" w:cs="Times New Roman"/>
          <w:noProof/>
          <w:color w:val="000000" w:themeColor="text1"/>
          <w:lang w:val="en-IE"/>
        </w:rPr>
        <w:t>,</w:t>
      </w:r>
      <w:r w:rsidR="00010BE2" w:rsidRPr="00B8512B">
        <w:rPr>
          <w:rFonts w:ascii="Times New Roman" w:hAnsi="Times New Roman" w:cs="Times New Roman"/>
          <w:noProof/>
          <w:color w:val="000000" w:themeColor="text1"/>
          <w:lang w:val="en-IE"/>
        </w:rPr>
        <w:t xml:space="preserve"> </w:t>
      </w:r>
      <w:r w:rsidR="00B430DB">
        <w:rPr>
          <w:rFonts w:ascii="Times New Roman" w:hAnsi="Times New Roman" w:cs="Times New Roman"/>
          <w:noProof/>
          <w:lang w:val="en-IE"/>
        </w:rPr>
        <w:t>EUR</w:t>
      </w:r>
      <w:r w:rsidR="00B430DB" w:rsidRPr="00B8512B">
        <w:rPr>
          <w:rFonts w:ascii="Times New Roman" w:hAnsi="Times New Roman" w:cs="Times New Roman"/>
          <w:noProof/>
          <w:lang w:val="en-IE"/>
        </w:rPr>
        <w:t> </w:t>
      </w:r>
      <w:r w:rsidR="00840B69" w:rsidRPr="00B8512B">
        <w:rPr>
          <w:rFonts w:ascii="Times New Roman" w:hAnsi="Times New Roman" w:cs="Times New Roman"/>
          <w:noProof/>
          <w:lang w:val="en-IE"/>
        </w:rPr>
        <w:t>92.</w:t>
      </w:r>
      <w:r w:rsidR="00B430DB" w:rsidRPr="00B8512B">
        <w:rPr>
          <w:rFonts w:ascii="Times New Roman" w:hAnsi="Times New Roman" w:cs="Times New Roman"/>
          <w:noProof/>
          <w:lang w:val="en-IE"/>
        </w:rPr>
        <w:t>1</w:t>
      </w:r>
      <w:r w:rsidR="00B430DB">
        <w:rPr>
          <w:rFonts w:ascii="Times New Roman" w:hAnsi="Times New Roman" w:cs="Times New Roman"/>
          <w:noProof/>
          <w:lang w:val="en-IE"/>
        </w:rPr>
        <w:t> </w:t>
      </w:r>
      <w:r w:rsidR="00840B69" w:rsidRPr="00B8512B">
        <w:rPr>
          <w:rFonts w:ascii="Times New Roman" w:hAnsi="Times New Roman" w:cs="Times New Roman"/>
          <w:noProof/>
          <w:lang w:val="en-IE"/>
        </w:rPr>
        <w:t>million in 20</w:t>
      </w:r>
      <w:r w:rsidR="00825581" w:rsidRPr="00B8512B">
        <w:rPr>
          <w:rFonts w:ascii="Times New Roman" w:hAnsi="Times New Roman" w:cs="Times New Roman"/>
          <w:noProof/>
          <w:lang w:val="en-IE"/>
        </w:rPr>
        <w:t>19</w:t>
      </w:r>
      <w:r w:rsidR="006C78CA" w:rsidRPr="00B8512B">
        <w:rPr>
          <w:rFonts w:ascii="Times New Roman" w:hAnsi="Times New Roman" w:cs="Times New Roman"/>
          <w:noProof/>
          <w:lang w:val="en-IE"/>
        </w:rPr>
        <w:t xml:space="preserve"> and </w:t>
      </w:r>
      <w:r w:rsidR="00B430DB">
        <w:rPr>
          <w:rFonts w:ascii="Times New Roman" w:hAnsi="Times New Roman" w:cs="Times New Roman"/>
          <w:noProof/>
          <w:lang w:val="en-IE"/>
        </w:rPr>
        <w:t>EUR</w:t>
      </w:r>
      <w:r w:rsidR="00B430DB" w:rsidRPr="00B8512B">
        <w:rPr>
          <w:rFonts w:ascii="Times New Roman" w:hAnsi="Times New Roman" w:cs="Times New Roman"/>
          <w:noProof/>
          <w:lang w:val="en-IE"/>
        </w:rPr>
        <w:t> </w:t>
      </w:r>
      <w:r w:rsidR="00BA79C0" w:rsidRPr="00B8512B">
        <w:rPr>
          <w:rFonts w:ascii="Times New Roman" w:hAnsi="Times New Roman" w:cs="Times New Roman"/>
          <w:noProof/>
          <w:lang w:val="en-IE"/>
        </w:rPr>
        <w:t>77.</w:t>
      </w:r>
      <w:r w:rsidR="00B430DB" w:rsidRPr="00B8512B">
        <w:rPr>
          <w:rFonts w:ascii="Times New Roman" w:hAnsi="Times New Roman" w:cs="Times New Roman"/>
          <w:noProof/>
          <w:lang w:val="en-IE"/>
        </w:rPr>
        <w:t>5</w:t>
      </w:r>
      <w:r w:rsidR="00B430DB">
        <w:rPr>
          <w:rFonts w:ascii="Times New Roman" w:hAnsi="Times New Roman" w:cs="Times New Roman"/>
          <w:noProof/>
          <w:lang w:val="en-IE"/>
        </w:rPr>
        <w:t> </w:t>
      </w:r>
      <w:r w:rsidR="00B56847" w:rsidRPr="00B8512B">
        <w:rPr>
          <w:rFonts w:ascii="Times New Roman" w:hAnsi="Times New Roman" w:cs="Times New Roman"/>
          <w:noProof/>
          <w:lang w:val="en-IE"/>
        </w:rPr>
        <w:t xml:space="preserve">million </w:t>
      </w:r>
      <w:r w:rsidR="005D22BE" w:rsidRPr="00B8512B">
        <w:rPr>
          <w:rFonts w:ascii="Times New Roman" w:hAnsi="Times New Roman" w:cs="Times New Roman"/>
          <w:noProof/>
          <w:lang w:val="en-IE"/>
        </w:rPr>
        <w:t>in 2020</w:t>
      </w:r>
      <w:r w:rsidR="00840B69" w:rsidRPr="00B8512B">
        <w:rPr>
          <w:rStyle w:val="FootnoteReference"/>
          <w:rFonts w:ascii="Times New Roman" w:hAnsi="Times New Roman" w:cs="Times New Roman"/>
          <w:noProof/>
          <w:lang w:val="en-IE"/>
        </w:rPr>
        <w:footnoteReference w:id="32"/>
      </w:r>
      <w:r w:rsidR="00135DBF" w:rsidRPr="00B8512B">
        <w:rPr>
          <w:rFonts w:ascii="Times New Roman" w:hAnsi="Times New Roman" w:cs="Times New Roman"/>
          <w:noProof/>
          <w:lang w:val="en-IE"/>
        </w:rPr>
        <w:t>)</w:t>
      </w:r>
      <w:r w:rsidR="006C78CA" w:rsidRPr="00B8512B">
        <w:rPr>
          <w:rFonts w:ascii="Times New Roman" w:hAnsi="Times New Roman" w:cs="Times New Roman"/>
          <w:noProof/>
          <w:lang w:val="en-IE"/>
        </w:rPr>
        <w:t>.</w:t>
      </w:r>
    </w:p>
    <w:p w14:paraId="6B8F27B3" w14:textId="095F116C" w:rsidR="00BA79C0" w:rsidRPr="00B8512B" w:rsidRDefault="00BA79C0">
      <w:pPr>
        <w:rPr>
          <w:rFonts w:ascii="Times New Roman" w:hAnsi="Times New Roman" w:cs="Times New Roman"/>
          <w:noProof/>
          <w:lang w:val="en-IE"/>
        </w:rPr>
      </w:pPr>
      <w:r w:rsidRPr="00B8512B">
        <w:rPr>
          <w:rFonts w:ascii="Times New Roman" w:hAnsi="Times New Roman" w:cs="Times New Roman"/>
          <w:noProof/>
          <w:lang w:val="en-IE"/>
        </w:rPr>
        <w:t>In</w:t>
      </w:r>
      <w:r w:rsidR="00AB32D5" w:rsidRPr="00B8512B">
        <w:rPr>
          <w:rFonts w:ascii="Times New Roman" w:hAnsi="Times New Roman" w:cs="Times New Roman"/>
          <w:noProof/>
          <w:lang w:val="en-IE"/>
        </w:rPr>
        <w:t xml:space="preserve"> those </w:t>
      </w:r>
      <w:r w:rsidRPr="00B8512B">
        <w:rPr>
          <w:rFonts w:ascii="Times New Roman" w:hAnsi="Times New Roman" w:cs="Times New Roman"/>
          <w:noProof/>
          <w:lang w:val="en-IE"/>
        </w:rPr>
        <w:t>countries</w:t>
      </w:r>
      <w:r w:rsidR="00AB32D5" w:rsidRPr="00B8512B">
        <w:rPr>
          <w:rFonts w:ascii="Times New Roman" w:hAnsi="Times New Roman" w:cs="Times New Roman"/>
          <w:noProof/>
          <w:lang w:val="en-IE"/>
        </w:rPr>
        <w:t xml:space="preserve"> that were able to provide data in all relevant reference years</w:t>
      </w:r>
      <w:r w:rsidR="005D22BE" w:rsidRPr="00B8512B">
        <w:rPr>
          <w:rFonts w:ascii="Times New Roman" w:hAnsi="Times New Roman" w:cs="Times New Roman"/>
          <w:noProof/>
          <w:lang w:val="en-IE"/>
        </w:rPr>
        <w:t xml:space="preserve"> for healthcare with and without prior authorisation</w:t>
      </w:r>
      <w:r w:rsidR="00C66E0F" w:rsidRPr="00B8512B">
        <w:rPr>
          <w:rStyle w:val="FootnoteReference"/>
          <w:rFonts w:ascii="Times New Roman" w:hAnsi="Times New Roman" w:cs="Times New Roman"/>
          <w:noProof/>
          <w:lang w:val="en-IE"/>
        </w:rPr>
        <w:footnoteReference w:id="33"/>
      </w:r>
      <w:r w:rsidR="00AB32D5"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the total reimbursed amounts </w:t>
      </w:r>
      <w:r w:rsidR="0073483D" w:rsidRPr="00B8512B">
        <w:rPr>
          <w:rFonts w:ascii="Times New Roman" w:hAnsi="Times New Roman" w:cs="Times New Roman"/>
          <w:noProof/>
          <w:lang w:val="en-IE"/>
        </w:rPr>
        <w:t xml:space="preserve">increased </w:t>
      </w:r>
      <w:r w:rsidRPr="00B8512B">
        <w:rPr>
          <w:rFonts w:ascii="Times New Roman" w:hAnsi="Times New Roman" w:cs="Times New Roman"/>
          <w:noProof/>
          <w:lang w:val="en-IE"/>
        </w:rPr>
        <w:t>every year from 2016 to 2019</w:t>
      </w:r>
      <w:r w:rsidR="00DE2A0D">
        <w:rPr>
          <w:rFonts w:ascii="Times New Roman" w:hAnsi="Times New Roman" w:cs="Times New Roman"/>
          <w:noProof/>
          <w:lang w:val="en-IE"/>
        </w:rPr>
        <w:t>,</w:t>
      </w:r>
      <w:r w:rsidR="0073483D" w:rsidRPr="00B8512B">
        <w:rPr>
          <w:rFonts w:ascii="Times New Roman" w:hAnsi="Times New Roman" w:cs="Times New Roman"/>
          <w:noProof/>
          <w:lang w:val="en-IE"/>
        </w:rPr>
        <w:t xml:space="preserve"> </w:t>
      </w:r>
      <w:r w:rsidR="00DE2A0D">
        <w:rPr>
          <w:rFonts w:ascii="Times New Roman" w:hAnsi="Times New Roman" w:cs="Times New Roman"/>
          <w:noProof/>
          <w:lang w:val="en-IE"/>
        </w:rPr>
        <w:t>followed by</w:t>
      </w:r>
      <w:r w:rsidR="00DE2A0D" w:rsidRPr="00B8512B">
        <w:rPr>
          <w:rFonts w:ascii="Times New Roman" w:hAnsi="Times New Roman" w:cs="Times New Roman"/>
          <w:noProof/>
          <w:lang w:val="en-IE"/>
        </w:rPr>
        <w:t xml:space="preserve"> </w:t>
      </w:r>
      <w:r w:rsidR="0073483D" w:rsidRPr="00B8512B">
        <w:rPr>
          <w:rFonts w:ascii="Times New Roman" w:hAnsi="Times New Roman" w:cs="Times New Roman"/>
          <w:noProof/>
          <w:lang w:val="en-IE"/>
        </w:rPr>
        <w:t>a significant drop in 2020</w:t>
      </w:r>
      <w:r w:rsidR="00380E3E" w:rsidRPr="00B8512B">
        <w:rPr>
          <w:rFonts w:ascii="Times New Roman" w:hAnsi="Times New Roman" w:cs="Times New Roman"/>
          <w:noProof/>
          <w:lang w:val="en-IE"/>
        </w:rPr>
        <w:t>.</w:t>
      </w:r>
    </w:p>
    <w:p w14:paraId="50DE87D0" w14:textId="57A9500B" w:rsidR="00A1465B" w:rsidRPr="00B8512B" w:rsidRDefault="00217FA4">
      <w:pPr>
        <w:rPr>
          <w:rFonts w:ascii="Times New Roman" w:hAnsi="Times New Roman" w:cs="Times New Roman"/>
          <w:noProof/>
          <w:color w:val="000000" w:themeColor="text1"/>
          <w:lang w:val="en-IE"/>
        </w:rPr>
      </w:pPr>
      <w:r w:rsidRPr="00B8512B">
        <w:rPr>
          <w:rFonts w:ascii="Times New Roman" w:hAnsi="Times New Roman" w:cs="Times New Roman"/>
          <w:noProof/>
          <w:lang w:val="en-IE"/>
        </w:rPr>
        <w:t>In 2019</w:t>
      </w:r>
      <w:r w:rsidR="00E90623" w:rsidRPr="00B8512B">
        <w:rPr>
          <w:rStyle w:val="FootnoteReference"/>
          <w:rFonts w:ascii="Times New Roman" w:hAnsi="Times New Roman" w:cs="Times New Roman"/>
          <w:noProof/>
          <w:lang w:val="en-IE"/>
        </w:rPr>
        <w:footnoteReference w:id="34"/>
      </w:r>
      <w:r w:rsidR="00380E3E" w:rsidRPr="00B8512B">
        <w:rPr>
          <w:rFonts w:ascii="Times New Roman" w:hAnsi="Times New Roman" w:cs="Times New Roman"/>
          <w:noProof/>
          <w:lang w:val="en-IE"/>
        </w:rPr>
        <w:t>,</w:t>
      </w:r>
      <w:r w:rsidRPr="00B8512B">
        <w:rPr>
          <w:rFonts w:ascii="Times New Roman" w:hAnsi="Times New Roman" w:cs="Times New Roman"/>
          <w:noProof/>
          <w:lang w:val="en-IE"/>
        </w:rPr>
        <w:t xml:space="preserve"> for the EU</w:t>
      </w:r>
      <w:r w:rsidR="00194E44" w:rsidRPr="00B8512B">
        <w:rPr>
          <w:rFonts w:ascii="Times New Roman" w:hAnsi="Times New Roman" w:cs="Times New Roman"/>
          <w:noProof/>
          <w:lang w:val="en-IE"/>
        </w:rPr>
        <w:t>-28</w:t>
      </w:r>
      <w:r w:rsidRPr="00B8512B">
        <w:rPr>
          <w:rFonts w:ascii="Times New Roman" w:hAnsi="Times New Roman" w:cs="Times New Roman"/>
          <w:noProof/>
          <w:lang w:val="en-IE"/>
        </w:rPr>
        <w:t xml:space="preserve"> Member States, of the total government expenditure of </w:t>
      </w:r>
      <w:r w:rsidR="004F6746" w:rsidRPr="00F05886">
        <w:rPr>
          <w:rFonts w:ascii="Times New Roman" w:hAnsi="Times New Roman" w:cs="Times New Roman"/>
          <w:noProof/>
          <w:lang w:val="en-IE"/>
        </w:rPr>
        <w:t>EUR </w:t>
      </w:r>
      <w:r w:rsidRPr="00F05886">
        <w:rPr>
          <w:rFonts w:ascii="Times New Roman" w:hAnsi="Times New Roman" w:cs="Times New Roman"/>
          <w:noProof/>
          <w:lang w:val="en-IE"/>
        </w:rPr>
        <w:t>7</w:t>
      </w:r>
      <w:r w:rsidR="00DF7633" w:rsidRPr="00F05886">
        <w:rPr>
          <w:rFonts w:ascii="Times New Roman" w:hAnsi="Times New Roman" w:cs="Times New Roman"/>
          <w:noProof/>
          <w:lang w:val="en-IE"/>
        </w:rPr>
        <w:t>.</w:t>
      </w:r>
      <w:r w:rsidR="004F6746" w:rsidRPr="00F05886">
        <w:rPr>
          <w:rFonts w:ascii="Times New Roman" w:hAnsi="Times New Roman" w:cs="Times New Roman"/>
          <w:noProof/>
          <w:lang w:val="en-IE"/>
        </w:rPr>
        <w:t>5 </w:t>
      </w:r>
      <w:r w:rsidRPr="00F05886">
        <w:rPr>
          <w:rFonts w:ascii="Times New Roman" w:hAnsi="Times New Roman" w:cs="Times New Roman"/>
          <w:noProof/>
          <w:lang w:val="en-IE"/>
        </w:rPr>
        <w:t>trillion</w:t>
      </w:r>
      <w:r w:rsidRPr="00B8512B">
        <w:rPr>
          <w:rFonts w:ascii="Times New Roman" w:hAnsi="Times New Roman" w:cs="Times New Roman"/>
          <w:noProof/>
          <w:lang w:val="en-IE"/>
        </w:rPr>
        <w:t xml:space="preserve">, around </w:t>
      </w:r>
      <w:r w:rsidR="004F6746" w:rsidRPr="00F05886">
        <w:rPr>
          <w:rFonts w:ascii="Times New Roman" w:hAnsi="Times New Roman" w:cs="Times New Roman"/>
          <w:noProof/>
          <w:lang w:val="en-IE"/>
        </w:rPr>
        <w:t>EUR </w:t>
      </w:r>
      <w:r w:rsidRPr="00F05886">
        <w:rPr>
          <w:rFonts w:ascii="Times New Roman" w:hAnsi="Times New Roman" w:cs="Times New Roman"/>
          <w:noProof/>
          <w:lang w:val="en-IE"/>
        </w:rPr>
        <w:t>1.</w:t>
      </w:r>
      <w:r w:rsidR="004F6746" w:rsidRPr="00F05886">
        <w:rPr>
          <w:rFonts w:ascii="Times New Roman" w:hAnsi="Times New Roman" w:cs="Times New Roman"/>
          <w:noProof/>
          <w:lang w:val="en-IE"/>
        </w:rPr>
        <w:t>2 </w:t>
      </w:r>
      <w:r w:rsidRPr="00F05886">
        <w:rPr>
          <w:rFonts w:ascii="Times New Roman" w:hAnsi="Times New Roman" w:cs="Times New Roman"/>
          <w:noProof/>
          <w:lang w:val="en-IE"/>
        </w:rPr>
        <w:t>trillion</w:t>
      </w:r>
      <w:r w:rsidRPr="00B8512B">
        <w:rPr>
          <w:rFonts w:ascii="Times New Roman" w:hAnsi="Times New Roman" w:cs="Times New Roman"/>
          <w:noProof/>
          <w:lang w:val="en-IE"/>
        </w:rPr>
        <w:t xml:space="preserve"> went to health. </w:t>
      </w:r>
      <w:r w:rsidR="00B56847" w:rsidRPr="00B8512B">
        <w:rPr>
          <w:rFonts w:ascii="Times New Roman" w:hAnsi="Times New Roman" w:cs="Times New Roman"/>
          <w:noProof/>
          <w:lang w:val="en-IE"/>
        </w:rPr>
        <w:t>In</w:t>
      </w:r>
      <w:r w:rsidRPr="00B8512B">
        <w:rPr>
          <w:rFonts w:ascii="Times New Roman" w:hAnsi="Times New Roman" w:cs="Times New Roman"/>
          <w:noProof/>
          <w:lang w:val="en-IE"/>
        </w:rPr>
        <w:t xml:space="preserve"> those countries that were able to provide information </w:t>
      </w:r>
      <w:r w:rsidR="004F6746">
        <w:rPr>
          <w:rFonts w:ascii="Times New Roman" w:hAnsi="Times New Roman" w:cs="Times New Roman"/>
          <w:noProof/>
          <w:lang w:val="en-IE"/>
        </w:rPr>
        <w:t>on</w:t>
      </w:r>
      <w:r w:rsidR="004F6746"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the </w:t>
      </w:r>
      <w:r w:rsidR="00F1136C" w:rsidRPr="00B8512B">
        <w:rPr>
          <w:rFonts w:ascii="Times New Roman" w:hAnsi="Times New Roman" w:cs="Times New Roman"/>
          <w:noProof/>
          <w:lang w:val="en-IE"/>
        </w:rPr>
        <w:t xml:space="preserve">overall </w:t>
      </w:r>
      <w:r w:rsidRPr="00B8512B">
        <w:rPr>
          <w:rFonts w:ascii="Times New Roman" w:hAnsi="Times New Roman" w:cs="Times New Roman"/>
          <w:noProof/>
          <w:lang w:val="en-IE"/>
        </w:rPr>
        <w:t xml:space="preserve">amount reimbursed for healthcare </w:t>
      </w:r>
      <w:r w:rsidR="0035775E" w:rsidRPr="00B8512B">
        <w:rPr>
          <w:rFonts w:ascii="Times New Roman" w:hAnsi="Times New Roman" w:cs="Times New Roman"/>
          <w:noProof/>
          <w:lang w:val="en-IE"/>
        </w:rPr>
        <w:t>with and without</w:t>
      </w:r>
      <w:r w:rsidRPr="00B8512B">
        <w:rPr>
          <w:rFonts w:ascii="Times New Roman" w:hAnsi="Times New Roman" w:cs="Times New Roman"/>
          <w:noProof/>
          <w:lang w:val="en-IE"/>
        </w:rPr>
        <w:t xml:space="preserve"> prior authorisation in 2019, the total healthcare spending amounted to </w:t>
      </w:r>
      <w:r w:rsidR="004F6746" w:rsidRPr="00F05886">
        <w:rPr>
          <w:rFonts w:ascii="Times New Roman" w:hAnsi="Times New Roman" w:cs="Times New Roman"/>
          <w:noProof/>
          <w:lang w:val="en-IE"/>
        </w:rPr>
        <w:t>EUR 882 </w:t>
      </w:r>
      <w:r w:rsidRPr="00F05886">
        <w:rPr>
          <w:rFonts w:ascii="Times New Roman" w:hAnsi="Times New Roman" w:cs="Times New Roman"/>
          <w:noProof/>
          <w:lang w:val="en-IE"/>
        </w:rPr>
        <w:t>billion</w:t>
      </w:r>
      <w:r w:rsidRPr="00B8512B">
        <w:rPr>
          <w:rFonts w:ascii="Times New Roman" w:hAnsi="Times New Roman" w:cs="Times New Roman"/>
          <w:noProof/>
          <w:lang w:val="en-IE"/>
        </w:rPr>
        <w:t xml:space="preserve">. Therefore, the share of the amount reimbursed </w:t>
      </w:r>
      <w:r w:rsidR="00380E3E" w:rsidRPr="00B8512B">
        <w:rPr>
          <w:rFonts w:ascii="Times New Roman" w:hAnsi="Times New Roman" w:cs="Times New Roman"/>
          <w:noProof/>
          <w:lang w:val="en-IE"/>
        </w:rPr>
        <w:t>under</w:t>
      </w:r>
      <w:r w:rsidRPr="00B8512B">
        <w:rPr>
          <w:rFonts w:ascii="Times New Roman" w:hAnsi="Times New Roman" w:cs="Times New Roman"/>
          <w:noProof/>
          <w:lang w:val="en-IE"/>
        </w:rPr>
        <w:t xml:space="preserve"> the Directive </w:t>
      </w:r>
      <w:r w:rsidR="004F6746">
        <w:rPr>
          <w:rFonts w:ascii="Times New Roman" w:hAnsi="Times New Roman" w:cs="Times New Roman"/>
          <w:noProof/>
          <w:lang w:val="en-IE"/>
        </w:rPr>
        <w:t>of</w:t>
      </w:r>
      <w:r w:rsidRPr="00B8512B">
        <w:rPr>
          <w:rFonts w:ascii="Times New Roman" w:hAnsi="Times New Roman" w:cs="Times New Roman"/>
          <w:noProof/>
          <w:lang w:val="en-IE"/>
        </w:rPr>
        <w:t xml:space="preserve"> total government expenditure on healthcare amount</w:t>
      </w:r>
      <w:r w:rsidR="00380E3E" w:rsidRPr="00B8512B">
        <w:rPr>
          <w:rFonts w:ascii="Times New Roman" w:hAnsi="Times New Roman" w:cs="Times New Roman"/>
          <w:noProof/>
          <w:lang w:val="en-IE"/>
        </w:rPr>
        <w:t>ed</w:t>
      </w:r>
      <w:r w:rsidRPr="00B8512B">
        <w:rPr>
          <w:rFonts w:ascii="Times New Roman" w:hAnsi="Times New Roman" w:cs="Times New Roman"/>
          <w:noProof/>
          <w:lang w:val="en-IE"/>
        </w:rPr>
        <w:t xml:space="preserve"> to </w:t>
      </w:r>
      <w:r w:rsidRPr="00F05886">
        <w:rPr>
          <w:rFonts w:ascii="Times New Roman" w:hAnsi="Times New Roman" w:cs="Times New Roman"/>
          <w:noProof/>
          <w:lang w:val="en-IE"/>
        </w:rPr>
        <w:t>0.01%</w:t>
      </w:r>
      <w:r w:rsidRPr="00B8512B">
        <w:rPr>
          <w:rFonts w:ascii="Times New Roman" w:hAnsi="Times New Roman" w:cs="Times New Roman"/>
          <w:noProof/>
          <w:lang w:val="en-IE"/>
        </w:rPr>
        <w:t xml:space="preserve"> (= </w:t>
      </w:r>
      <w:r w:rsidR="004F6746">
        <w:rPr>
          <w:rFonts w:ascii="Times New Roman" w:hAnsi="Times New Roman" w:cs="Times New Roman"/>
          <w:noProof/>
          <w:lang w:val="en-IE"/>
        </w:rPr>
        <w:t>EUR</w:t>
      </w:r>
      <w:r w:rsidR="004F6746" w:rsidRPr="00B8512B">
        <w:rPr>
          <w:rFonts w:ascii="Times New Roman" w:hAnsi="Times New Roman" w:cs="Times New Roman"/>
          <w:noProof/>
          <w:lang w:val="en-IE"/>
        </w:rPr>
        <w:t> </w:t>
      </w:r>
      <w:r w:rsidRPr="00B8512B">
        <w:rPr>
          <w:rFonts w:ascii="Times New Roman" w:hAnsi="Times New Roman" w:cs="Times New Roman"/>
          <w:noProof/>
          <w:lang w:val="en-IE"/>
        </w:rPr>
        <w:t>92.</w:t>
      </w:r>
      <w:r w:rsidR="004F6746" w:rsidRPr="00B8512B">
        <w:rPr>
          <w:rFonts w:ascii="Times New Roman" w:hAnsi="Times New Roman" w:cs="Times New Roman"/>
          <w:noProof/>
          <w:lang w:val="en-IE"/>
        </w:rPr>
        <w:t>1</w:t>
      </w:r>
      <w:r w:rsidR="004F6746">
        <w:rPr>
          <w:rFonts w:ascii="Times New Roman" w:hAnsi="Times New Roman" w:cs="Times New Roman"/>
          <w:noProof/>
          <w:lang w:val="en-IE"/>
        </w:rPr>
        <w:t> </w:t>
      </w:r>
      <w:r w:rsidRPr="00B8512B">
        <w:rPr>
          <w:rFonts w:ascii="Times New Roman" w:hAnsi="Times New Roman" w:cs="Times New Roman"/>
          <w:noProof/>
          <w:lang w:val="en-IE"/>
        </w:rPr>
        <w:t>million</w:t>
      </w:r>
      <w:r w:rsidR="004F6746" w:rsidRPr="00B8512B">
        <w:rPr>
          <w:rFonts w:ascii="Times New Roman" w:hAnsi="Times New Roman" w:cs="Times New Roman"/>
          <w:noProof/>
          <w:lang w:val="en-IE"/>
        </w:rPr>
        <w:t>/</w:t>
      </w:r>
      <w:r w:rsidR="004F6746" w:rsidRPr="00F05886">
        <w:rPr>
          <w:rFonts w:ascii="Times New Roman" w:hAnsi="Times New Roman" w:cs="Times New Roman"/>
          <w:noProof/>
          <w:lang w:val="en-IE"/>
        </w:rPr>
        <w:t>EUR 882 </w:t>
      </w:r>
      <w:r w:rsidRPr="00F05886">
        <w:rPr>
          <w:rFonts w:ascii="Times New Roman" w:hAnsi="Times New Roman" w:cs="Times New Roman"/>
          <w:noProof/>
          <w:lang w:val="en-IE"/>
        </w:rPr>
        <w:t>billion</w:t>
      </w:r>
      <w:r w:rsidR="00194E44" w:rsidRPr="00B8512B">
        <w:rPr>
          <w:rFonts w:ascii="Times New Roman" w:hAnsi="Times New Roman" w:cs="Times New Roman"/>
          <w:noProof/>
          <w:lang w:val="en-IE"/>
        </w:rPr>
        <w:t>).</w:t>
      </w:r>
    </w:p>
    <w:p w14:paraId="615F78A3" w14:textId="00B24F0D" w:rsidR="00A1465B" w:rsidRPr="00B8512B" w:rsidRDefault="0079777A">
      <w:pPr>
        <w:rPr>
          <w:rFonts w:ascii="Times New Roman" w:hAnsi="Times New Roman" w:cs="Times New Roman"/>
          <w:noProof/>
          <w:color w:val="000000" w:themeColor="text1"/>
          <w:lang w:val="en-IE"/>
        </w:rPr>
      </w:pPr>
      <w:r w:rsidRPr="00B8512B">
        <w:rPr>
          <w:rFonts w:ascii="Times New Roman" w:hAnsi="Times New Roman" w:cs="Times New Roman"/>
          <w:noProof/>
          <w:color w:val="000000" w:themeColor="text1"/>
          <w:lang w:val="en-IE"/>
        </w:rPr>
        <w:t>C</w:t>
      </w:r>
      <w:r w:rsidR="00A1465B" w:rsidRPr="00B8512B">
        <w:rPr>
          <w:rFonts w:ascii="Times New Roman" w:hAnsi="Times New Roman" w:cs="Times New Roman"/>
          <w:noProof/>
          <w:color w:val="000000" w:themeColor="text1"/>
          <w:lang w:val="en-IE"/>
        </w:rPr>
        <w:t xml:space="preserve">ross-border healthcare </w:t>
      </w:r>
      <w:r w:rsidR="00F4545B" w:rsidRPr="00B8512B">
        <w:rPr>
          <w:rFonts w:ascii="Times New Roman" w:hAnsi="Times New Roman" w:cs="Times New Roman"/>
          <w:noProof/>
          <w:color w:val="000000" w:themeColor="text1"/>
          <w:lang w:val="en-IE"/>
        </w:rPr>
        <w:t xml:space="preserve">in general </w:t>
      </w:r>
      <w:r w:rsidR="00A1465B" w:rsidRPr="00B8512B">
        <w:rPr>
          <w:rFonts w:ascii="Times New Roman" w:hAnsi="Times New Roman" w:cs="Times New Roman"/>
          <w:noProof/>
          <w:color w:val="000000" w:themeColor="text1"/>
          <w:lang w:val="en-IE"/>
        </w:rPr>
        <w:t>remains very limited</w:t>
      </w:r>
      <w:r w:rsidR="0034746A" w:rsidRPr="00B8512B">
        <w:rPr>
          <w:rStyle w:val="FootnoteReference"/>
          <w:rFonts w:ascii="Times New Roman" w:hAnsi="Times New Roman" w:cs="Times New Roman"/>
          <w:noProof/>
          <w:color w:val="000000" w:themeColor="text1"/>
          <w:lang w:val="en-IE"/>
        </w:rPr>
        <w:footnoteReference w:id="35"/>
      </w:r>
      <w:r w:rsidR="006D261C" w:rsidRPr="00B8512B">
        <w:rPr>
          <w:rFonts w:ascii="Times New Roman" w:hAnsi="Times New Roman" w:cs="Times New Roman"/>
          <w:noProof/>
          <w:color w:val="000000" w:themeColor="text1"/>
          <w:lang w:val="en-IE"/>
        </w:rPr>
        <w:t xml:space="preserve"> and t</w:t>
      </w:r>
      <w:r w:rsidR="00C673EC" w:rsidRPr="00B8512B">
        <w:rPr>
          <w:rFonts w:ascii="Times New Roman" w:hAnsi="Times New Roman" w:cs="Times New Roman"/>
          <w:noProof/>
          <w:color w:val="000000" w:themeColor="text1"/>
          <w:lang w:val="en-IE"/>
        </w:rPr>
        <w:t>he impact</w:t>
      </w:r>
      <w:r w:rsidR="00A1465B" w:rsidRPr="00B8512B">
        <w:rPr>
          <w:rFonts w:ascii="Times New Roman" w:hAnsi="Times New Roman" w:cs="Times New Roman"/>
          <w:noProof/>
          <w:color w:val="000000" w:themeColor="text1"/>
          <w:lang w:val="en-IE"/>
        </w:rPr>
        <w:t xml:space="preserve"> on national health</w:t>
      </w:r>
      <w:r w:rsidR="00F4545B" w:rsidRPr="00B8512B">
        <w:rPr>
          <w:rFonts w:ascii="Times New Roman" w:hAnsi="Times New Roman" w:cs="Times New Roman"/>
          <w:noProof/>
          <w:color w:val="000000" w:themeColor="text1"/>
          <w:lang w:val="en-IE"/>
        </w:rPr>
        <w:t>care</w:t>
      </w:r>
      <w:r w:rsidR="00A1465B" w:rsidRPr="00B8512B">
        <w:rPr>
          <w:rFonts w:ascii="Times New Roman" w:hAnsi="Times New Roman" w:cs="Times New Roman"/>
          <w:noProof/>
          <w:color w:val="000000" w:themeColor="text1"/>
          <w:lang w:val="en-IE"/>
        </w:rPr>
        <w:t xml:space="preserve"> budgets arising from patients wishing to access cross-border healthcare </w:t>
      </w:r>
      <w:r w:rsidR="00F4545B" w:rsidRPr="00B8512B">
        <w:rPr>
          <w:rFonts w:ascii="Times New Roman" w:hAnsi="Times New Roman" w:cs="Times New Roman"/>
          <w:noProof/>
          <w:color w:val="000000" w:themeColor="text1"/>
          <w:lang w:val="en-IE"/>
        </w:rPr>
        <w:t xml:space="preserve">under the Directive </w:t>
      </w:r>
      <w:r w:rsidR="00A1465B" w:rsidRPr="00B8512B">
        <w:rPr>
          <w:rFonts w:ascii="Times New Roman" w:hAnsi="Times New Roman" w:cs="Times New Roman"/>
          <w:noProof/>
          <w:color w:val="000000" w:themeColor="text1"/>
          <w:lang w:val="en-IE"/>
        </w:rPr>
        <w:t xml:space="preserve">appears marginal. This is true for all </w:t>
      </w:r>
      <w:r w:rsidR="00F4545B" w:rsidRPr="00B8512B">
        <w:rPr>
          <w:rFonts w:ascii="Times New Roman" w:hAnsi="Times New Roman" w:cs="Times New Roman"/>
          <w:noProof/>
          <w:color w:val="000000" w:themeColor="text1"/>
          <w:lang w:val="en-IE"/>
        </w:rPr>
        <w:t>countries</w:t>
      </w:r>
      <w:r w:rsidR="00A1465B" w:rsidRPr="00B8512B">
        <w:rPr>
          <w:rFonts w:ascii="Times New Roman" w:hAnsi="Times New Roman" w:cs="Times New Roman"/>
          <w:noProof/>
          <w:color w:val="000000" w:themeColor="text1"/>
          <w:lang w:val="en-IE"/>
        </w:rPr>
        <w:t xml:space="preserve">, no matter whether they </w:t>
      </w:r>
      <w:r w:rsidR="00A77137">
        <w:rPr>
          <w:rFonts w:ascii="Times New Roman" w:hAnsi="Times New Roman" w:cs="Times New Roman"/>
          <w:noProof/>
          <w:color w:val="000000" w:themeColor="text1"/>
          <w:lang w:val="en-IE"/>
        </w:rPr>
        <w:t>set up</w:t>
      </w:r>
      <w:r w:rsidR="00A77137" w:rsidRPr="00B8512B">
        <w:rPr>
          <w:rFonts w:ascii="Times New Roman" w:hAnsi="Times New Roman" w:cs="Times New Roman"/>
          <w:noProof/>
          <w:color w:val="000000" w:themeColor="text1"/>
          <w:lang w:val="en-IE"/>
        </w:rPr>
        <w:t xml:space="preserve"> </w:t>
      </w:r>
      <w:r w:rsidR="00F4545B" w:rsidRPr="00B8512B">
        <w:rPr>
          <w:rFonts w:ascii="Times New Roman" w:hAnsi="Times New Roman" w:cs="Times New Roman"/>
          <w:noProof/>
          <w:color w:val="000000" w:themeColor="text1"/>
          <w:lang w:val="en-IE"/>
        </w:rPr>
        <w:t>a prior authorisation</w:t>
      </w:r>
      <w:r w:rsidR="00A1465B" w:rsidRPr="00B8512B">
        <w:rPr>
          <w:rFonts w:ascii="Times New Roman" w:hAnsi="Times New Roman" w:cs="Times New Roman"/>
          <w:noProof/>
          <w:color w:val="000000" w:themeColor="text1"/>
          <w:lang w:val="en-IE"/>
        </w:rPr>
        <w:t xml:space="preserve"> </w:t>
      </w:r>
      <w:r w:rsidR="00F4545B" w:rsidRPr="00B8512B">
        <w:rPr>
          <w:rFonts w:ascii="Times New Roman" w:hAnsi="Times New Roman" w:cs="Times New Roman"/>
          <w:noProof/>
          <w:color w:val="000000" w:themeColor="text1"/>
          <w:lang w:val="en-IE"/>
        </w:rPr>
        <w:t xml:space="preserve">system </w:t>
      </w:r>
      <w:r w:rsidR="00A1465B" w:rsidRPr="00B8512B">
        <w:rPr>
          <w:rFonts w:ascii="Times New Roman" w:hAnsi="Times New Roman" w:cs="Times New Roman"/>
          <w:noProof/>
          <w:color w:val="000000" w:themeColor="text1"/>
          <w:lang w:val="en-IE"/>
        </w:rPr>
        <w:t>or not.</w:t>
      </w:r>
    </w:p>
    <w:p w14:paraId="485DFF91" w14:textId="59222921" w:rsidR="00E75513" w:rsidRPr="00B8512B" w:rsidRDefault="00E75513" w:rsidP="00A1465B">
      <w:pPr>
        <w:rPr>
          <w:rFonts w:ascii="Times New Roman" w:hAnsi="Times New Roman" w:cs="Times New Roman"/>
          <w:noProof/>
          <w:color w:val="000000" w:themeColor="text1"/>
          <w:szCs w:val="24"/>
          <w:lang w:val="en-IE"/>
        </w:rPr>
      </w:pPr>
    </w:p>
    <w:p w14:paraId="5F5B2C81" w14:textId="673667C3" w:rsidR="00E75513" w:rsidRPr="00B8512B" w:rsidRDefault="00E75513">
      <w:pPr>
        <w:pStyle w:val="Heading2"/>
        <w:rPr>
          <w:rFonts w:ascii="Times New Roman" w:hAnsi="Times New Roman" w:cs="Times New Roman"/>
          <w:noProof/>
          <w:lang w:val="en-IE"/>
        </w:rPr>
      </w:pPr>
      <w:r w:rsidRPr="00B8512B">
        <w:rPr>
          <w:rFonts w:ascii="Times New Roman" w:hAnsi="Times New Roman" w:cs="Times New Roman"/>
          <w:noProof/>
          <w:lang w:val="en-IE"/>
        </w:rPr>
        <w:t>Direction of patient mobility</w:t>
      </w:r>
    </w:p>
    <w:p w14:paraId="169C38EB" w14:textId="3BEAFBE2" w:rsidR="002B3E58" w:rsidRPr="00B8512B" w:rsidRDefault="006334BA">
      <w:pPr>
        <w:rPr>
          <w:rFonts w:ascii="Times New Roman" w:hAnsi="Times New Roman" w:cs="Times New Roman"/>
          <w:noProof/>
          <w:lang w:val="en-IE"/>
        </w:rPr>
      </w:pPr>
      <w:r w:rsidRPr="00B8512B">
        <w:rPr>
          <w:rFonts w:ascii="Times New Roman" w:hAnsi="Times New Roman" w:cs="Times New Roman"/>
          <w:noProof/>
          <w:lang w:val="en-IE"/>
        </w:rPr>
        <w:t>Looking at flows of patients, the patterns have not changed significantly</w:t>
      </w:r>
      <w:r w:rsidR="00980BB2" w:rsidRPr="00B8512B">
        <w:rPr>
          <w:rFonts w:ascii="Times New Roman" w:hAnsi="Times New Roman" w:cs="Times New Roman"/>
          <w:noProof/>
          <w:lang w:val="en-IE"/>
        </w:rPr>
        <w:t xml:space="preserve"> </w:t>
      </w:r>
      <w:r w:rsidR="00194E44" w:rsidRPr="00B8512B">
        <w:rPr>
          <w:rFonts w:ascii="Times New Roman" w:hAnsi="Times New Roman" w:cs="Times New Roman"/>
          <w:noProof/>
          <w:lang w:val="en-IE"/>
        </w:rPr>
        <w:t>over</w:t>
      </w:r>
      <w:r w:rsidR="00980BB2" w:rsidRPr="00B8512B">
        <w:rPr>
          <w:rFonts w:ascii="Times New Roman" w:hAnsi="Times New Roman" w:cs="Times New Roman"/>
          <w:noProof/>
          <w:lang w:val="en-IE"/>
        </w:rPr>
        <w:t xml:space="preserve"> the period </w:t>
      </w:r>
      <w:r w:rsidRPr="00B8512B">
        <w:rPr>
          <w:rFonts w:ascii="Times New Roman" w:hAnsi="Times New Roman" w:cs="Times New Roman"/>
          <w:noProof/>
          <w:lang w:val="en-IE"/>
        </w:rPr>
        <w:t>2018-2020</w:t>
      </w:r>
      <w:r w:rsidR="00980BB2" w:rsidRPr="00B8512B">
        <w:rPr>
          <w:rFonts w:ascii="Times New Roman" w:hAnsi="Times New Roman" w:cs="Times New Roman"/>
          <w:noProof/>
          <w:lang w:val="en-IE"/>
        </w:rPr>
        <w:t>.</w:t>
      </w:r>
      <w:r w:rsidRPr="00B8512B">
        <w:rPr>
          <w:rFonts w:ascii="Times New Roman" w:hAnsi="Times New Roman" w:cs="Times New Roman"/>
          <w:noProof/>
          <w:lang w:val="en-IE"/>
        </w:rPr>
        <w:t xml:space="preserve"> </w:t>
      </w:r>
      <w:r w:rsidR="00776CC2">
        <w:rPr>
          <w:rFonts w:ascii="Times New Roman" w:hAnsi="Times New Roman" w:cs="Times New Roman"/>
          <w:noProof/>
          <w:lang w:val="en-IE"/>
        </w:rPr>
        <w:t>Most</w:t>
      </w:r>
      <w:r w:rsidR="002B3E58" w:rsidRPr="00B8512B">
        <w:rPr>
          <w:rFonts w:ascii="Times New Roman" w:hAnsi="Times New Roman" w:cs="Times New Roman"/>
          <w:noProof/>
          <w:lang w:val="en-IE"/>
        </w:rPr>
        <w:t xml:space="preserve"> patient mobility is still primarily taking place between neighbouring countries. </w:t>
      </w:r>
      <w:r w:rsidR="0029743E" w:rsidRPr="00B8512B">
        <w:rPr>
          <w:rFonts w:ascii="Times New Roman" w:hAnsi="Times New Roman" w:cs="Times New Roman"/>
          <w:noProof/>
          <w:lang w:val="en-IE"/>
        </w:rPr>
        <w:t>This would suggest that</w:t>
      </w:r>
      <w:r w:rsidR="006F71CC" w:rsidRPr="00B8512B">
        <w:rPr>
          <w:rFonts w:ascii="Times New Roman" w:hAnsi="Times New Roman" w:cs="Times New Roman"/>
          <w:noProof/>
          <w:lang w:val="en-IE"/>
        </w:rPr>
        <w:t xml:space="preserve"> </w:t>
      </w:r>
      <w:r w:rsidR="0029743E" w:rsidRPr="00B8512B">
        <w:rPr>
          <w:rFonts w:ascii="Times New Roman" w:hAnsi="Times New Roman" w:cs="Times New Roman"/>
          <w:noProof/>
          <w:lang w:val="en-IE"/>
        </w:rPr>
        <w:t xml:space="preserve">patients prefer to receive healthcare near their home </w:t>
      </w:r>
      <w:r w:rsidR="0086036A" w:rsidRPr="00B8512B">
        <w:rPr>
          <w:rFonts w:ascii="Times New Roman" w:hAnsi="Times New Roman" w:cs="Times New Roman"/>
          <w:noProof/>
          <w:lang w:val="en-IE"/>
        </w:rPr>
        <w:t xml:space="preserve">where </w:t>
      </w:r>
      <w:r w:rsidR="0029743E" w:rsidRPr="00B8512B">
        <w:rPr>
          <w:rFonts w:ascii="Times New Roman" w:hAnsi="Times New Roman" w:cs="Times New Roman"/>
          <w:noProof/>
          <w:lang w:val="en-IE"/>
        </w:rPr>
        <w:t>possible, and that if they do choose to travel, they prefer to travel to a neighbouring country. A similar conclusion was reached on cross-border healthcare under the Regulation</w:t>
      </w:r>
      <w:r w:rsidR="0029743E" w:rsidRPr="00B8512B">
        <w:rPr>
          <w:rStyle w:val="FootnoteReference"/>
          <w:rFonts w:ascii="Times New Roman" w:hAnsi="Times New Roman" w:cs="Times New Roman"/>
          <w:noProof/>
          <w:lang w:val="en-IE"/>
        </w:rPr>
        <w:footnoteReference w:id="36"/>
      </w:r>
      <w:r w:rsidR="0029743E" w:rsidRPr="00B8512B">
        <w:rPr>
          <w:rFonts w:ascii="Times New Roman" w:hAnsi="Times New Roman" w:cs="Times New Roman"/>
          <w:noProof/>
          <w:lang w:val="en-IE"/>
        </w:rPr>
        <w:t>.</w:t>
      </w:r>
    </w:p>
    <w:p w14:paraId="77934204" w14:textId="40CDEC7C" w:rsidR="002B3E58" w:rsidRPr="00B8512B" w:rsidRDefault="0086036A">
      <w:pPr>
        <w:rPr>
          <w:rFonts w:ascii="Times New Roman" w:hAnsi="Times New Roman" w:cs="Times New Roman"/>
          <w:noProof/>
          <w:lang w:val="en-IE"/>
        </w:rPr>
      </w:pPr>
      <w:r w:rsidRPr="00B8512B">
        <w:rPr>
          <w:rFonts w:ascii="Times New Roman" w:hAnsi="Times New Roman" w:cs="Times New Roman"/>
          <w:noProof/>
          <w:lang w:val="en-IE"/>
        </w:rPr>
        <w:t>T</w:t>
      </w:r>
      <w:r w:rsidR="005948EA" w:rsidRPr="00B8512B">
        <w:rPr>
          <w:rFonts w:ascii="Times New Roman" w:hAnsi="Times New Roman" w:cs="Times New Roman"/>
          <w:noProof/>
          <w:lang w:val="en-IE"/>
        </w:rPr>
        <w:t xml:space="preserve">he </w:t>
      </w:r>
      <w:r w:rsidR="006730ED">
        <w:rPr>
          <w:rFonts w:ascii="Times New Roman" w:hAnsi="Times New Roman" w:cs="Times New Roman"/>
          <w:noProof/>
          <w:lang w:val="en-IE"/>
        </w:rPr>
        <w:t>highest</w:t>
      </w:r>
      <w:r w:rsidR="005948EA" w:rsidRPr="00B8512B">
        <w:rPr>
          <w:rFonts w:ascii="Times New Roman" w:hAnsi="Times New Roman" w:cs="Times New Roman"/>
          <w:noProof/>
          <w:lang w:val="en-IE"/>
        </w:rPr>
        <w:t xml:space="preserve"> flows </w:t>
      </w:r>
      <w:r w:rsidR="007152F6" w:rsidRPr="00B8512B">
        <w:rPr>
          <w:rFonts w:ascii="Times New Roman" w:hAnsi="Times New Roman" w:cs="Times New Roman"/>
          <w:noProof/>
          <w:lang w:val="en-IE"/>
        </w:rPr>
        <w:t xml:space="preserve">of patients </w:t>
      </w:r>
      <w:r w:rsidRPr="00B8512B">
        <w:rPr>
          <w:rFonts w:ascii="Times New Roman" w:hAnsi="Times New Roman" w:cs="Times New Roman"/>
          <w:noProof/>
          <w:lang w:val="en-IE"/>
        </w:rPr>
        <w:t xml:space="preserve">travelling </w:t>
      </w:r>
      <w:r w:rsidR="00716425" w:rsidRPr="00B8512B">
        <w:rPr>
          <w:rFonts w:ascii="Times New Roman" w:hAnsi="Times New Roman" w:cs="Times New Roman"/>
          <w:noProof/>
          <w:lang w:val="en-IE"/>
        </w:rPr>
        <w:t xml:space="preserve">abroad </w:t>
      </w:r>
      <w:r w:rsidRPr="00B8512B">
        <w:rPr>
          <w:rFonts w:ascii="Times New Roman" w:hAnsi="Times New Roman" w:cs="Times New Roman"/>
          <w:noProof/>
          <w:lang w:val="en-IE"/>
        </w:rPr>
        <w:t xml:space="preserve">after receiving prior authorisation </w:t>
      </w:r>
      <w:r w:rsidR="00716425" w:rsidRPr="00B8512B">
        <w:rPr>
          <w:rFonts w:ascii="Times New Roman" w:hAnsi="Times New Roman" w:cs="Times New Roman"/>
          <w:noProof/>
          <w:lang w:val="en-IE"/>
        </w:rPr>
        <w:t>from their health insurer</w:t>
      </w:r>
      <w:r w:rsidRPr="00B8512B">
        <w:rPr>
          <w:rFonts w:ascii="Times New Roman" w:hAnsi="Times New Roman" w:cs="Times New Roman"/>
          <w:noProof/>
          <w:lang w:val="en-IE"/>
        </w:rPr>
        <w:t xml:space="preserve"> </w:t>
      </w:r>
      <w:r w:rsidR="00FE3746" w:rsidRPr="00B8512B">
        <w:rPr>
          <w:rFonts w:ascii="Times New Roman" w:hAnsi="Times New Roman" w:cs="Times New Roman"/>
          <w:noProof/>
          <w:lang w:val="en-IE"/>
        </w:rPr>
        <w:t xml:space="preserve">was </w:t>
      </w:r>
      <w:r w:rsidR="005948EA" w:rsidRPr="00B8512B">
        <w:rPr>
          <w:rFonts w:ascii="Times New Roman" w:hAnsi="Times New Roman" w:cs="Times New Roman"/>
          <w:noProof/>
          <w:lang w:val="en-IE"/>
        </w:rPr>
        <w:t>from Ireland to the UK, France to Germany, and France to Spain</w:t>
      </w:r>
      <w:r w:rsidR="00FE3746" w:rsidRPr="00B8512B">
        <w:rPr>
          <w:rFonts w:ascii="Times New Roman" w:hAnsi="Times New Roman" w:cs="Times New Roman"/>
          <w:noProof/>
          <w:lang w:val="en-IE"/>
        </w:rPr>
        <w:t xml:space="preserve"> in 2018</w:t>
      </w:r>
      <w:r w:rsidR="006F71CC" w:rsidRPr="00B8512B">
        <w:rPr>
          <w:rFonts w:ascii="Times New Roman" w:hAnsi="Times New Roman" w:cs="Times New Roman"/>
          <w:noProof/>
          <w:lang w:val="en-IE"/>
        </w:rPr>
        <w:t>,</w:t>
      </w:r>
      <w:r w:rsidR="00FE3746" w:rsidRPr="00B8512B">
        <w:rPr>
          <w:rFonts w:ascii="Times New Roman" w:hAnsi="Times New Roman" w:cs="Times New Roman"/>
          <w:noProof/>
          <w:lang w:val="en-IE"/>
        </w:rPr>
        <w:t xml:space="preserve"> </w:t>
      </w:r>
      <w:r w:rsidR="005948EA" w:rsidRPr="00B8512B">
        <w:rPr>
          <w:rFonts w:ascii="Times New Roman" w:hAnsi="Times New Roman" w:cs="Times New Roman"/>
          <w:noProof/>
          <w:lang w:val="en-IE"/>
        </w:rPr>
        <w:t>from Ireland to the UK, the UK to Ireland, and Luxembourg to Germany</w:t>
      </w:r>
      <w:r w:rsidR="00FE3746" w:rsidRPr="00B8512B">
        <w:rPr>
          <w:rFonts w:ascii="Times New Roman" w:hAnsi="Times New Roman" w:cs="Times New Roman"/>
          <w:noProof/>
          <w:lang w:val="en-IE"/>
        </w:rPr>
        <w:t xml:space="preserve"> </w:t>
      </w:r>
      <w:r w:rsidR="006F71CC" w:rsidRPr="00B8512B">
        <w:rPr>
          <w:rFonts w:ascii="Times New Roman" w:hAnsi="Times New Roman" w:cs="Times New Roman"/>
          <w:noProof/>
          <w:lang w:val="en-IE"/>
        </w:rPr>
        <w:t xml:space="preserve">in 2019 </w:t>
      </w:r>
      <w:r w:rsidR="00FE3746" w:rsidRPr="00B8512B">
        <w:rPr>
          <w:rFonts w:ascii="Times New Roman" w:hAnsi="Times New Roman" w:cs="Times New Roman"/>
          <w:noProof/>
          <w:lang w:val="en-IE"/>
        </w:rPr>
        <w:t xml:space="preserve">and, </w:t>
      </w:r>
      <w:r w:rsidR="005948EA" w:rsidRPr="00B8512B">
        <w:rPr>
          <w:rFonts w:ascii="Times New Roman" w:hAnsi="Times New Roman" w:cs="Times New Roman"/>
          <w:noProof/>
          <w:lang w:val="en-IE"/>
        </w:rPr>
        <w:t>in 2020, from Ireland to the UK, France t</w:t>
      </w:r>
      <w:r w:rsidR="004350A0" w:rsidRPr="00B8512B">
        <w:rPr>
          <w:rFonts w:ascii="Times New Roman" w:hAnsi="Times New Roman" w:cs="Times New Roman"/>
          <w:noProof/>
          <w:lang w:val="en-IE"/>
        </w:rPr>
        <w:t>o Spain, and France to Germany.</w:t>
      </w:r>
    </w:p>
    <w:p w14:paraId="71EC8945" w14:textId="397711C2" w:rsidR="0029743E" w:rsidRPr="00B8512B" w:rsidRDefault="000B099E">
      <w:pPr>
        <w:rPr>
          <w:rFonts w:ascii="Times New Roman" w:hAnsi="Times New Roman" w:cs="Times New Roman"/>
          <w:noProof/>
          <w:lang w:val="en-IE"/>
        </w:rPr>
      </w:pPr>
      <w:r w:rsidRPr="00B8512B">
        <w:rPr>
          <w:rFonts w:ascii="Times New Roman" w:hAnsi="Times New Roman" w:cs="Times New Roman"/>
          <w:noProof/>
          <w:lang w:val="en-IE"/>
        </w:rPr>
        <w:t>T</w:t>
      </w:r>
      <w:r w:rsidR="002B3E58" w:rsidRPr="00B8512B">
        <w:rPr>
          <w:rFonts w:ascii="Times New Roman" w:hAnsi="Times New Roman" w:cs="Times New Roman"/>
          <w:noProof/>
          <w:lang w:val="en-IE"/>
        </w:rPr>
        <w:t xml:space="preserve">he </w:t>
      </w:r>
      <w:r w:rsidR="00862403">
        <w:rPr>
          <w:rFonts w:ascii="Times New Roman" w:hAnsi="Times New Roman" w:cs="Times New Roman"/>
          <w:noProof/>
          <w:lang w:val="en-IE"/>
        </w:rPr>
        <w:t>highest</w:t>
      </w:r>
      <w:r w:rsidR="002B3E58" w:rsidRPr="00B8512B">
        <w:rPr>
          <w:rFonts w:ascii="Times New Roman" w:hAnsi="Times New Roman" w:cs="Times New Roman"/>
          <w:noProof/>
          <w:lang w:val="en-IE"/>
        </w:rPr>
        <w:t xml:space="preserve"> flows </w:t>
      </w:r>
      <w:r w:rsidR="007152F6" w:rsidRPr="00B8512B">
        <w:rPr>
          <w:rFonts w:ascii="Times New Roman" w:hAnsi="Times New Roman" w:cs="Times New Roman"/>
          <w:noProof/>
          <w:lang w:val="en-IE"/>
        </w:rPr>
        <w:t xml:space="preserve">of patients </w:t>
      </w:r>
      <w:r w:rsidRPr="00B8512B">
        <w:rPr>
          <w:rFonts w:ascii="Times New Roman" w:hAnsi="Times New Roman" w:cs="Times New Roman"/>
          <w:noProof/>
          <w:lang w:val="en-IE"/>
        </w:rPr>
        <w:t xml:space="preserve">seeking healthcare without prior authorisation were </w:t>
      </w:r>
      <w:r w:rsidR="002B3E58" w:rsidRPr="00B8512B">
        <w:rPr>
          <w:rFonts w:ascii="Times New Roman" w:hAnsi="Times New Roman" w:cs="Times New Roman"/>
          <w:noProof/>
          <w:lang w:val="en-IE"/>
        </w:rPr>
        <w:t xml:space="preserve">from France to Portugal, Belgium and Spain. </w:t>
      </w:r>
      <w:r w:rsidR="00A81A02" w:rsidRPr="00B8512B">
        <w:rPr>
          <w:rFonts w:ascii="Times New Roman" w:hAnsi="Times New Roman" w:cs="Times New Roman"/>
          <w:noProof/>
          <w:lang w:val="en-IE"/>
        </w:rPr>
        <w:t>T</w:t>
      </w:r>
      <w:r w:rsidR="002B3E58" w:rsidRPr="00B8512B">
        <w:rPr>
          <w:rFonts w:ascii="Times New Roman" w:hAnsi="Times New Roman" w:cs="Times New Roman"/>
          <w:noProof/>
          <w:lang w:val="en-IE"/>
        </w:rPr>
        <w:t xml:space="preserve">he </w:t>
      </w:r>
      <w:r w:rsidR="00862403">
        <w:rPr>
          <w:rFonts w:ascii="Times New Roman" w:hAnsi="Times New Roman" w:cs="Times New Roman"/>
          <w:noProof/>
          <w:lang w:val="en-IE"/>
        </w:rPr>
        <w:t>next highest</w:t>
      </w:r>
      <w:r w:rsidR="002B3E58" w:rsidRPr="00B8512B">
        <w:rPr>
          <w:rFonts w:ascii="Times New Roman" w:hAnsi="Times New Roman" w:cs="Times New Roman"/>
          <w:noProof/>
          <w:lang w:val="en-IE"/>
        </w:rPr>
        <w:t xml:space="preserve"> flows go from Denmark to Germany, Poland to Czechia, Sweden </w:t>
      </w:r>
      <w:r w:rsidR="00426F39" w:rsidRPr="00B8512B">
        <w:rPr>
          <w:rFonts w:ascii="Times New Roman" w:hAnsi="Times New Roman" w:cs="Times New Roman"/>
          <w:noProof/>
          <w:lang w:val="en-IE"/>
        </w:rPr>
        <w:t xml:space="preserve">and Norway </w:t>
      </w:r>
      <w:r w:rsidR="002B3E58" w:rsidRPr="00B8512B">
        <w:rPr>
          <w:rFonts w:ascii="Times New Roman" w:hAnsi="Times New Roman" w:cs="Times New Roman"/>
          <w:noProof/>
          <w:lang w:val="en-IE"/>
        </w:rPr>
        <w:t>to Spain.</w:t>
      </w:r>
      <w:r w:rsidR="00A81A02" w:rsidRPr="00B8512B">
        <w:rPr>
          <w:rFonts w:ascii="Times New Roman" w:hAnsi="Times New Roman" w:cs="Times New Roman"/>
          <w:noProof/>
          <w:lang w:val="en-IE"/>
        </w:rPr>
        <w:t xml:space="preserve"> </w:t>
      </w:r>
      <w:r w:rsidR="0029743E" w:rsidRPr="00B8512B">
        <w:rPr>
          <w:rFonts w:ascii="Times New Roman" w:hAnsi="Times New Roman" w:cs="Times New Roman"/>
          <w:noProof/>
          <w:lang w:val="en-IE"/>
        </w:rPr>
        <w:t xml:space="preserve">The latter </w:t>
      </w:r>
      <w:r w:rsidR="00E75513" w:rsidRPr="00B8512B">
        <w:rPr>
          <w:rFonts w:ascii="Times New Roman" w:hAnsi="Times New Roman" w:cs="Times New Roman"/>
          <w:noProof/>
          <w:lang w:val="en-IE"/>
        </w:rPr>
        <w:t xml:space="preserve">two </w:t>
      </w:r>
      <w:r w:rsidR="0029743E" w:rsidRPr="00B8512B">
        <w:rPr>
          <w:rFonts w:ascii="Times New Roman" w:hAnsi="Times New Roman" w:cs="Times New Roman"/>
          <w:noProof/>
          <w:lang w:val="en-IE"/>
        </w:rPr>
        <w:t xml:space="preserve">flows illustrate </w:t>
      </w:r>
      <w:r w:rsidR="00426F39" w:rsidRPr="00B8512B">
        <w:rPr>
          <w:rFonts w:ascii="Times New Roman" w:hAnsi="Times New Roman" w:cs="Times New Roman"/>
          <w:noProof/>
          <w:lang w:val="en-IE"/>
        </w:rPr>
        <w:t xml:space="preserve">a </w:t>
      </w:r>
      <w:r w:rsidR="00E75513" w:rsidRPr="00B8512B">
        <w:rPr>
          <w:rFonts w:ascii="Times New Roman" w:hAnsi="Times New Roman" w:cs="Times New Roman"/>
          <w:noProof/>
          <w:lang w:val="en-IE"/>
        </w:rPr>
        <w:t xml:space="preserve">visible </w:t>
      </w:r>
      <w:r w:rsidR="0029743E" w:rsidRPr="00B8512B">
        <w:rPr>
          <w:rFonts w:ascii="Times New Roman" w:hAnsi="Times New Roman" w:cs="Times New Roman"/>
          <w:noProof/>
          <w:lang w:val="en-IE"/>
        </w:rPr>
        <w:t xml:space="preserve">trend of patients from Nordic </w:t>
      </w:r>
      <w:r w:rsidR="00862403">
        <w:rPr>
          <w:rFonts w:ascii="Times New Roman" w:hAnsi="Times New Roman" w:cs="Times New Roman"/>
          <w:noProof/>
          <w:lang w:val="en-IE"/>
        </w:rPr>
        <w:t>s</w:t>
      </w:r>
      <w:r w:rsidR="0029743E" w:rsidRPr="00B8512B">
        <w:rPr>
          <w:rFonts w:ascii="Times New Roman" w:hAnsi="Times New Roman" w:cs="Times New Roman"/>
          <w:noProof/>
          <w:lang w:val="en-IE"/>
        </w:rPr>
        <w:t>tates using cross-border healthcare services in Spain.</w:t>
      </w:r>
    </w:p>
    <w:p w14:paraId="1092E280" w14:textId="79207A7B" w:rsidR="00082515" w:rsidRPr="00B8512B" w:rsidRDefault="006F71CC">
      <w:pPr>
        <w:rPr>
          <w:rFonts w:ascii="Times New Roman" w:hAnsi="Times New Roman" w:cs="Times New Roman"/>
          <w:noProof/>
          <w:lang w:val="en-IE"/>
        </w:rPr>
      </w:pPr>
      <w:r w:rsidRPr="00B8512B">
        <w:rPr>
          <w:rFonts w:ascii="Times New Roman" w:hAnsi="Times New Roman" w:cs="Times New Roman"/>
          <w:noProof/>
          <w:lang w:val="en-IE"/>
        </w:rPr>
        <w:t>I</w:t>
      </w:r>
      <w:r w:rsidR="00426F39" w:rsidRPr="00B8512B">
        <w:rPr>
          <w:rFonts w:ascii="Times New Roman" w:hAnsi="Times New Roman" w:cs="Times New Roman"/>
          <w:noProof/>
          <w:lang w:val="en-IE"/>
        </w:rPr>
        <w:t xml:space="preserve">t is interesting to note that </w:t>
      </w:r>
      <w:r w:rsidR="002B3E58" w:rsidRPr="00B8512B">
        <w:rPr>
          <w:rFonts w:ascii="Times New Roman" w:hAnsi="Times New Roman" w:cs="Times New Roman"/>
          <w:noProof/>
          <w:lang w:val="en-IE"/>
        </w:rPr>
        <w:t xml:space="preserve">some </w:t>
      </w:r>
      <w:r w:rsidR="00A81A02" w:rsidRPr="00B8512B">
        <w:rPr>
          <w:rFonts w:ascii="Times New Roman" w:hAnsi="Times New Roman" w:cs="Times New Roman"/>
          <w:noProof/>
          <w:lang w:val="en-IE"/>
        </w:rPr>
        <w:t>countries</w:t>
      </w:r>
      <w:r w:rsidR="002B3E58" w:rsidRPr="00B8512B">
        <w:rPr>
          <w:rFonts w:ascii="Times New Roman" w:hAnsi="Times New Roman" w:cs="Times New Roman"/>
          <w:noProof/>
          <w:lang w:val="en-IE"/>
        </w:rPr>
        <w:t xml:space="preserve"> authorise more than 90% of requests for prior authorisation for treatment in a specific </w:t>
      </w:r>
      <w:r w:rsidR="00A81A02" w:rsidRPr="00B8512B">
        <w:rPr>
          <w:rFonts w:ascii="Times New Roman" w:hAnsi="Times New Roman" w:cs="Times New Roman"/>
          <w:noProof/>
          <w:lang w:val="en-IE"/>
        </w:rPr>
        <w:t>country</w:t>
      </w:r>
      <w:r w:rsidR="002B3E58" w:rsidRPr="00B8512B">
        <w:rPr>
          <w:rFonts w:ascii="Times New Roman" w:hAnsi="Times New Roman" w:cs="Times New Roman"/>
          <w:noProof/>
          <w:lang w:val="en-IE"/>
        </w:rPr>
        <w:t>, e.g. Ireland for treatment in the UK, Slovakia for treatment in Czechia, Bulgaria</w:t>
      </w:r>
      <w:r w:rsidRPr="00B8512B">
        <w:rPr>
          <w:rFonts w:ascii="Times New Roman" w:hAnsi="Times New Roman" w:cs="Times New Roman"/>
          <w:noProof/>
          <w:lang w:val="en-IE"/>
        </w:rPr>
        <w:t xml:space="preserve"> </w:t>
      </w:r>
      <w:r w:rsidR="002B3E58" w:rsidRPr="00B8512B">
        <w:rPr>
          <w:rFonts w:ascii="Times New Roman" w:hAnsi="Times New Roman" w:cs="Times New Roman"/>
          <w:noProof/>
          <w:lang w:val="en-IE"/>
        </w:rPr>
        <w:t xml:space="preserve">for France, </w:t>
      </w:r>
      <w:r w:rsidR="00862403">
        <w:rPr>
          <w:rFonts w:ascii="Times New Roman" w:hAnsi="Times New Roman" w:cs="Times New Roman"/>
          <w:noProof/>
          <w:lang w:val="en-IE"/>
        </w:rPr>
        <w:t xml:space="preserve">and </w:t>
      </w:r>
      <w:r w:rsidR="002B3E58" w:rsidRPr="00B8512B">
        <w:rPr>
          <w:rFonts w:ascii="Times New Roman" w:hAnsi="Times New Roman" w:cs="Times New Roman"/>
          <w:noProof/>
          <w:lang w:val="en-IE"/>
        </w:rPr>
        <w:t xml:space="preserve">Austria </w:t>
      </w:r>
      <w:r w:rsidR="00862403">
        <w:rPr>
          <w:rFonts w:ascii="Times New Roman" w:hAnsi="Times New Roman" w:cs="Times New Roman"/>
          <w:noProof/>
          <w:lang w:val="en-IE"/>
        </w:rPr>
        <w:t>for</w:t>
      </w:r>
      <w:r w:rsidR="00862403" w:rsidRPr="00B8512B">
        <w:rPr>
          <w:rFonts w:ascii="Times New Roman" w:hAnsi="Times New Roman" w:cs="Times New Roman"/>
          <w:noProof/>
          <w:lang w:val="en-IE"/>
        </w:rPr>
        <w:t xml:space="preserve"> </w:t>
      </w:r>
      <w:r w:rsidR="002B3E58" w:rsidRPr="00B8512B">
        <w:rPr>
          <w:rFonts w:ascii="Times New Roman" w:hAnsi="Times New Roman" w:cs="Times New Roman"/>
          <w:noProof/>
          <w:lang w:val="en-IE"/>
        </w:rPr>
        <w:t xml:space="preserve">Germany. Similarly, for healthcare not subject to prior authorisation, a high share of </w:t>
      </w:r>
      <w:r w:rsidR="00426F39" w:rsidRPr="00B8512B">
        <w:rPr>
          <w:rFonts w:ascii="Times New Roman" w:hAnsi="Times New Roman" w:cs="Times New Roman"/>
          <w:noProof/>
          <w:lang w:val="en-IE"/>
        </w:rPr>
        <w:t xml:space="preserve">reimbursement </w:t>
      </w:r>
      <w:r w:rsidR="002B3E58" w:rsidRPr="00B8512B">
        <w:rPr>
          <w:rFonts w:ascii="Times New Roman" w:hAnsi="Times New Roman" w:cs="Times New Roman"/>
          <w:noProof/>
          <w:lang w:val="en-IE"/>
        </w:rPr>
        <w:t xml:space="preserve">requests </w:t>
      </w:r>
      <w:r w:rsidR="0029743E" w:rsidRPr="00B8512B">
        <w:rPr>
          <w:rFonts w:ascii="Times New Roman" w:hAnsi="Times New Roman" w:cs="Times New Roman"/>
          <w:noProof/>
          <w:lang w:val="en-IE"/>
        </w:rPr>
        <w:t>relate</w:t>
      </w:r>
      <w:r w:rsidR="00862403">
        <w:rPr>
          <w:rFonts w:ascii="Times New Roman" w:hAnsi="Times New Roman" w:cs="Times New Roman"/>
          <w:noProof/>
          <w:lang w:val="en-IE"/>
        </w:rPr>
        <w:t>s</w:t>
      </w:r>
      <w:r w:rsidR="0029743E" w:rsidRPr="00B8512B">
        <w:rPr>
          <w:rFonts w:ascii="Times New Roman" w:hAnsi="Times New Roman" w:cs="Times New Roman"/>
          <w:noProof/>
          <w:lang w:val="en-IE"/>
        </w:rPr>
        <w:t xml:space="preserve"> to</w:t>
      </w:r>
      <w:r w:rsidR="002B3E58" w:rsidRPr="00B8512B">
        <w:rPr>
          <w:rFonts w:ascii="Times New Roman" w:hAnsi="Times New Roman" w:cs="Times New Roman"/>
          <w:noProof/>
          <w:lang w:val="en-IE"/>
        </w:rPr>
        <w:t xml:space="preserve"> one specific </w:t>
      </w:r>
      <w:r w:rsidR="00A81A02" w:rsidRPr="00B8512B">
        <w:rPr>
          <w:rFonts w:ascii="Times New Roman" w:hAnsi="Times New Roman" w:cs="Times New Roman"/>
          <w:noProof/>
          <w:lang w:val="en-IE"/>
        </w:rPr>
        <w:t>country</w:t>
      </w:r>
      <w:r w:rsidR="002B3E58" w:rsidRPr="00B8512B">
        <w:rPr>
          <w:rFonts w:ascii="Times New Roman" w:hAnsi="Times New Roman" w:cs="Times New Roman"/>
          <w:noProof/>
          <w:lang w:val="en-IE"/>
        </w:rPr>
        <w:t xml:space="preserve"> of treatment, e.g. in Ireland</w:t>
      </w:r>
      <w:r w:rsidRPr="00B8512B">
        <w:rPr>
          <w:rFonts w:ascii="Times New Roman" w:hAnsi="Times New Roman" w:cs="Times New Roman"/>
          <w:noProof/>
          <w:lang w:val="en-IE"/>
        </w:rPr>
        <w:t xml:space="preserve"> </w:t>
      </w:r>
      <w:r w:rsidR="002B3E58" w:rsidRPr="00B8512B">
        <w:rPr>
          <w:rFonts w:ascii="Times New Roman" w:hAnsi="Times New Roman" w:cs="Times New Roman"/>
          <w:noProof/>
          <w:lang w:val="en-IE"/>
        </w:rPr>
        <w:t>for treatment in the UK, in Poland</w:t>
      </w:r>
      <w:r w:rsidRPr="00B8512B">
        <w:rPr>
          <w:rFonts w:ascii="Times New Roman" w:hAnsi="Times New Roman" w:cs="Times New Roman"/>
          <w:noProof/>
          <w:lang w:val="en-IE"/>
        </w:rPr>
        <w:t xml:space="preserve"> </w:t>
      </w:r>
      <w:r w:rsidR="002B3E58" w:rsidRPr="00B8512B">
        <w:rPr>
          <w:rFonts w:ascii="Times New Roman" w:hAnsi="Times New Roman" w:cs="Times New Roman"/>
          <w:noProof/>
          <w:lang w:val="en-IE"/>
        </w:rPr>
        <w:t>for treatment in Czechia</w:t>
      </w:r>
      <w:r w:rsidR="0029743E" w:rsidRPr="00B8512B">
        <w:rPr>
          <w:rFonts w:ascii="Times New Roman" w:hAnsi="Times New Roman" w:cs="Times New Roman"/>
          <w:noProof/>
          <w:lang w:val="en-IE"/>
        </w:rPr>
        <w:t xml:space="preserve">, </w:t>
      </w:r>
      <w:r w:rsidR="00862403">
        <w:rPr>
          <w:rFonts w:ascii="Times New Roman" w:hAnsi="Times New Roman" w:cs="Times New Roman"/>
          <w:noProof/>
          <w:lang w:val="en-IE"/>
        </w:rPr>
        <w:t xml:space="preserve">and </w:t>
      </w:r>
      <w:r w:rsidR="0029743E" w:rsidRPr="00B8512B">
        <w:rPr>
          <w:rFonts w:ascii="Times New Roman" w:hAnsi="Times New Roman" w:cs="Times New Roman"/>
          <w:noProof/>
          <w:lang w:val="en-IE"/>
        </w:rPr>
        <w:t>in</w:t>
      </w:r>
      <w:r w:rsidR="002B3E58" w:rsidRPr="00B8512B">
        <w:rPr>
          <w:rFonts w:ascii="Times New Roman" w:hAnsi="Times New Roman" w:cs="Times New Roman"/>
          <w:noProof/>
          <w:lang w:val="en-IE"/>
        </w:rPr>
        <w:t xml:space="preserve"> Finland</w:t>
      </w:r>
      <w:r w:rsidRPr="00B8512B">
        <w:rPr>
          <w:rFonts w:ascii="Times New Roman" w:hAnsi="Times New Roman" w:cs="Times New Roman"/>
          <w:noProof/>
          <w:lang w:val="en-IE"/>
        </w:rPr>
        <w:t xml:space="preserve"> </w:t>
      </w:r>
      <w:r w:rsidR="0029743E" w:rsidRPr="00B8512B">
        <w:rPr>
          <w:rFonts w:ascii="Times New Roman" w:hAnsi="Times New Roman" w:cs="Times New Roman"/>
          <w:noProof/>
          <w:lang w:val="en-IE"/>
        </w:rPr>
        <w:t>for treatment</w:t>
      </w:r>
      <w:r w:rsidR="002B3E58" w:rsidRPr="00B8512B">
        <w:rPr>
          <w:rFonts w:ascii="Times New Roman" w:hAnsi="Times New Roman" w:cs="Times New Roman"/>
          <w:noProof/>
          <w:lang w:val="en-IE"/>
        </w:rPr>
        <w:t xml:space="preserve"> in Estonia</w:t>
      </w:r>
      <w:r w:rsidR="0029743E" w:rsidRPr="00B8512B">
        <w:rPr>
          <w:rFonts w:ascii="Times New Roman" w:hAnsi="Times New Roman" w:cs="Times New Roman"/>
          <w:noProof/>
          <w:lang w:val="en-IE"/>
        </w:rPr>
        <w:t>.</w:t>
      </w:r>
    </w:p>
    <w:p w14:paraId="53F12062" w14:textId="77777777" w:rsidR="0028394F" w:rsidRPr="00B8512B" w:rsidRDefault="0028394F">
      <w:pPr>
        <w:rPr>
          <w:rFonts w:ascii="Times New Roman" w:hAnsi="Times New Roman" w:cs="Times New Roman"/>
          <w:noProof/>
          <w:lang w:val="en-IE"/>
        </w:rPr>
      </w:pPr>
    </w:p>
    <w:p w14:paraId="78C905F5" w14:textId="1DD3C82C" w:rsidR="00965550" w:rsidRPr="00B8512B" w:rsidRDefault="00C76B82">
      <w:pPr>
        <w:pStyle w:val="Heading1"/>
        <w:rPr>
          <w:rFonts w:ascii="Times New Roman" w:hAnsi="Times New Roman" w:cs="Times New Roman"/>
          <w:noProof/>
          <w:lang w:val="en-IE"/>
        </w:rPr>
      </w:pPr>
      <w:bookmarkStart w:id="19" w:name="_Toc81927264"/>
      <w:r w:rsidRPr="00B8512B">
        <w:rPr>
          <w:rFonts w:ascii="Times New Roman" w:hAnsi="Times New Roman" w:cs="Times New Roman"/>
          <w:noProof/>
          <w:lang w:val="en-IE"/>
        </w:rPr>
        <w:t xml:space="preserve">Information to </w:t>
      </w:r>
      <w:r w:rsidR="006F204D" w:rsidRPr="00B8512B">
        <w:rPr>
          <w:rFonts w:ascii="Times New Roman" w:hAnsi="Times New Roman" w:cs="Times New Roman"/>
          <w:noProof/>
          <w:lang w:val="en-IE"/>
        </w:rPr>
        <w:t>p</w:t>
      </w:r>
      <w:r w:rsidRPr="00B8512B">
        <w:rPr>
          <w:rFonts w:ascii="Times New Roman" w:hAnsi="Times New Roman" w:cs="Times New Roman"/>
          <w:noProof/>
          <w:lang w:val="en-IE"/>
        </w:rPr>
        <w:t>atients</w:t>
      </w:r>
      <w:bookmarkEnd w:id="19"/>
    </w:p>
    <w:p w14:paraId="52F6788C" w14:textId="77777777" w:rsidR="00965550" w:rsidRPr="00B8512B" w:rsidRDefault="00965550" w:rsidP="00C76B82">
      <w:pPr>
        <w:rPr>
          <w:rFonts w:ascii="Times New Roman" w:hAnsi="Times New Roman" w:cs="Times New Roman"/>
          <w:noProof/>
          <w:szCs w:val="24"/>
          <w:lang w:val="en-IE"/>
        </w:rPr>
      </w:pPr>
    </w:p>
    <w:p w14:paraId="4DA57FFE" w14:textId="28869479" w:rsidR="00492584" w:rsidRPr="00B8512B" w:rsidRDefault="000D5FEA">
      <w:pPr>
        <w:rPr>
          <w:rFonts w:ascii="Times New Roman" w:hAnsi="Times New Roman" w:cs="Times New Roman"/>
          <w:noProof/>
          <w:lang w:val="en-IE"/>
        </w:rPr>
      </w:pPr>
      <w:r>
        <w:rPr>
          <w:rFonts w:ascii="Times New Roman" w:hAnsi="Times New Roman" w:cs="Times New Roman"/>
          <w:noProof/>
          <w:lang w:val="en-IE"/>
        </w:rPr>
        <w:t>National contact points</w:t>
      </w:r>
      <w:r w:rsidRPr="00B8512B">
        <w:rPr>
          <w:rFonts w:ascii="Times New Roman" w:hAnsi="Times New Roman" w:cs="Times New Roman"/>
          <w:noProof/>
          <w:lang w:val="en-IE"/>
        </w:rPr>
        <w:t xml:space="preserve"> </w:t>
      </w:r>
      <w:r>
        <w:rPr>
          <w:rFonts w:ascii="Times New Roman" w:hAnsi="Times New Roman" w:cs="Times New Roman"/>
          <w:noProof/>
          <w:lang w:val="en-IE"/>
        </w:rPr>
        <w:t>(</w:t>
      </w:r>
      <w:r w:rsidR="00B678D6" w:rsidRPr="00B8512B">
        <w:rPr>
          <w:rFonts w:ascii="Times New Roman" w:hAnsi="Times New Roman" w:cs="Times New Roman"/>
          <w:noProof/>
          <w:lang w:val="en-IE"/>
        </w:rPr>
        <w:t>NCPs</w:t>
      </w:r>
      <w:r>
        <w:rPr>
          <w:rFonts w:ascii="Times New Roman" w:hAnsi="Times New Roman" w:cs="Times New Roman"/>
          <w:noProof/>
          <w:lang w:val="en-IE"/>
        </w:rPr>
        <w:t>)</w:t>
      </w:r>
      <w:r w:rsidR="00B678D6" w:rsidRPr="00B8512B">
        <w:rPr>
          <w:rFonts w:ascii="Times New Roman" w:hAnsi="Times New Roman" w:cs="Times New Roman"/>
          <w:noProof/>
          <w:lang w:val="en-IE"/>
        </w:rPr>
        <w:t xml:space="preserve"> </w:t>
      </w:r>
      <w:r w:rsidR="00652AC9">
        <w:rPr>
          <w:rFonts w:ascii="Times New Roman" w:hAnsi="Times New Roman" w:cs="Times New Roman"/>
          <w:noProof/>
          <w:lang w:val="en-IE"/>
        </w:rPr>
        <w:t xml:space="preserve">play </w:t>
      </w:r>
      <w:r w:rsidR="00B678D6" w:rsidRPr="00B8512B">
        <w:rPr>
          <w:rFonts w:ascii="Times New Roman" w:hAnsi="Times New Roman" w:cs="Times New Roman"/>
          <w:noProof/>
          <w:lang w:val="en-IE"/>
        </w:rPr>
        <w:t xml:space="preserve">an essential role </w:t>
      </w:r>
      <w:r>
        <w:rPr>
          <w:rFonts w:ascii="Times New Roman" w:hAnsi="Times New Roman" w:cs="Times New Roman"/>
          <w:noProof/>
          <w:lang w:val="en-IE"/>
        </w:rPr>
        <w:t>in</w:t>
      </w:r>
      <w:r w:rsidRPr="00B8512B">
        <w:rPr>
          <w:rFonts w:ascii="Times New Roman" w:hAnsi="Times New Roman" w:cs="Times New Roman"/>
          <w:noProof/>
          <w:lang w:val="en-IE"/>
        </w:rPr>
        <w:t xml:space="preserve"> </w:t>
      </w:r>
      <w:r w:rsidR="00B678D6" w:rsidRPr="00B8512B">
        <w:rPr>
          <w:rFonts w:ascii="Times New Roman" w:hAnsi="Times New Roman" w:cs="Times New Roman"/>
          <w:noProof/>
          <w:lang w:val="en-IE"/>
        </w:rPr>
        <w:t>enabl</w:t>
      </w:r>
      <w:r>
        <w:rPr>
          <w:rFonts w:ascii="Times New Roman" w:hAnsi="Times New Roman" w:cs="Times New Roman"/>
          <w:noProof/>
          <w:lang w:val="en-IE"/>
        </w:rPr>
        <w:t>ing</w:t>
      </w:r>
      <w:r w:rsidR="00B678D6" w:rsidRPr="00B8512B">
        <w:rPr>
          <w:rFonts w:ascii="Times New Roman" w:hAnsi="Times New Roman" w:cs="Times New Roman"/>
          <w:noProof/>
          <w:lang w:val="en-IE"/>
        </w:rPr>
        <w:t xml:space="preserve"> patients </w:t>
      </w:r>
      <w:r w:rsidR="00C673EC" w:rsidRPr="00B8512B">
        <w:rPr>
          <w:rFonts w:ascii="Times New Roman" w:hAnsi="Times New Roman" w:cs="Times New Roman"/>
          <w:noProof/>
          <w:lang w:val="en-IE"/>
        </w:rPr>
        <w:t xml:space="preserve">to make </w:t>
      </w:r>
      <w:r w:rsidR="00B678D6" w:rsidRPr="00B8512B">
        <w:rPr>
          <w:rFonts w:ascii="Times New Roman" w:hAnsi="Times New Roman" w:cs="Times New Roman"/>
          <w:noProof/>
          <w:lang w:val="en-IE"/>
        </w:rPr>
        <w:t>use of their rights to cross-border healthcare</w:t>
      </w:r>
      <w:r w:rsidR="005D22BE" w:rsidRPr="00B8512B">
        <w:rPr>
          <w:rFonts w:ascii="Times New Roman" w:hAnsi="Times New Roman" w:cs="Times New Roman"/>
          <w:noProof/>
          <w:lang w:val="en-IE"/>
        </w:rPr>
        <w:t xml:space="preserve"> under the Directive and the Regulation</w:t>
      </w:r>
      <w:r w:rsidR="005D22BE" w:rsidRPr="00B8512B">
        <w:rPr>
          <w:rFonts w:ascii="Times New Roman" w:hAnsi="Times New Roman" w:cs="Times New Roman"/>
          <w:noProof/>
          <w:color w:val="000000" w:themeColor="text1"/>
          <w:lang w:val="en-IE"/>
        </w:rPr>
        <w:t>.</w:t>
      </w:r>
      <w:r w:rsidR="005D22BE" w:rsidRPr="00B8512B">
        <w:rPr>
          <w:rFonts w:ascii="Times New Roman" w:hAnsi="Times New Roman" w:cs="Times New Roman"/>
          <w:noProof/>
          <w:lang w:val="en-IE"/>
        </w:rPr>
        <w:t xml:space="preserve"> </w:t>
      </w:r>
      <w:r w:rsidR="00716425" w:rsidRPr="00B8512B">
        <w:rPr>
          <w:rFonts w:ascii="Times New Roman" w:hAnsi="Times New Roman" w:cs="Times New Roman"/>
          <w:noProof/>
          <w:lang w:val="en-IE"/>
        </w:rPr>
        <w:t xml:space="preserve">As the evaluation showed, </w:t>
      </w:r>
      <w:r w:rsidR="00A77137">
        <w:rPr>
          <w:rFonts w:ascii="Times New Roman" w:hAnsi="Times New Roman" w:cs="Times New Roman"/>
          <w:noProof/>
          <w:lang w:val="en-IE"/>
        </w:rPr>
        <w:t>people</w:t>
      </w:r>
      <w:r w:rsidR="00A77137" w:rsidRPr="00B8512B">
        <w:rPr>
          <w:rFonts w:ascii="Times New Roman" w:hAnsi="Times New Roman" w:cs="Times New Roman"/>
          <w:noProof/>
          <w:lang w:val="en-IE"/>
        </w:rPr>
        <w:t xml:space="preserve"> </w:t>
      </w:r>
      <w:r w:rsidR="00ED5EF4" w:rsidRPr="00B8512B">
        <w:rPr>
          <w:rFonts w:ascii="Times New Roman" w:hAnsi="Times New Roman" w:cs="Times New Roman"/>
          <w:noProof/>
          <w:lang w:val="en-IE"/>
        </w:rPr>
        <w:t xml:space="preserve">often struggle where to find information and to understand the rules </w:t>
      </w:r>
      <w:r>
        <w:rPr>
          <w:rFonts w:ascii="Times New Roman" w:hAnsi="Times New Roman" w:cs="Times New Roman"/>
          <w:noProof/>
          <w:lang w:val="en-IE"/>
        </w:rPr>
        <w:t>that</w:t>
      </w:r>
      <w:r w:rsidRPr="00B8512B">
        <w:rPr>
          <w:rFonts w:ascii="Times New Roman" w:hAnsi="Times New Roman" w:cs="Times New Roman"/>
          <w:noProof/>
          <w:lang w:val="en-IE"/>
        </w:rPr>
        <w:t xml:space="preserve"> </w:t>
      </w:r>
      <w:r w:rsidR="00ED5EF4" w:rsidRPr="00B8512B">
        <w:rPr>
          <w:rFonts w:ascii="Times New Roman" w:hAnsi="Times New Roman" w:cs="Times New Roman"/>
          <w:noProof/>
          <w:lang w:val="en-IE"/>
        </w:rPr>
        <w:t xml:space="preserve">apply. </w:t>
      </w:r>
      <w:r w:rsidR="0011770E" w:rsidRPr="00B8512B">
        <w:rPr>
          <w:rFonts w:ascii="Times New Roman" w:hAnsi="Times New Roman" w:cs="Times New Roman"/>
          <w:noProof/>
          <w:lang w:val="en-IE"/>
        </w:rPr>
        <w:t>W</w:t>
      </w:r>
      <w:r w:rsidR="000F55FB" w:rsidRPr="00B8512B">
        <w:rPr>
          <w:rFonts w:ascii="Times New Roman" w:hAnsi="Times New Roman" w:cs="Times New Roman"/>
          <w:noProof/>
          <w:lang w:val="en-IE"/>
        </w:rPr>
        <w:t xml:space="preserve">hile there has been gradual improvement in information to patients, </w:t>
      </w:r>
      <w:r w:rsidR="002C4CFB">
        <w:rPr>
          <w:rFonts w:ascii="Times New Roman" w:hAnsi="Times New Roman" w:cs="Times New Roman"/>
          <w:noProof/>
          <w:lang w:val="en-IE"/>
        </w:rPr>
        <w:t>major</w:t>
      </w:r>
      <w:r w:rsidR="002C4CFB" w:rsidRPr="00B8512B">
        <w:rPr>
          <w:rFonts w:ascii="Times New Roman" w:hAnsi="Times New Roman" w:cs="Times New Roman"/>
          <w:noProof/>
          <w:lang w:val="en-IE"/>
        </w:rPr>
        <w:t xml:space="preserve"> </w:t>
      </w:r>
      <w:r w:rsidR="000F55FB" w:rsidRPr="00B8512B">
        <w:rPr>
          <w:rFonts w:ascii="Times New Roman" w:hAnsi="Times New Roman" w:cs="Times New Roman"/>
          <w:noProof/>
          <w:lang w:val="en-IE"/>
        </w:rPr>
        <w:t xml:space="preserve">gaps remain in terms of the availability, completeness and clarity of information and </w:t>
      </w:r>
      <w:r w:rsidR="00491019" w:rsidRPr="00B8512B">
        <w:rPr>
          <w:rFonts w:ascii="Times New Roman" w:hAnsi="Times New Roman" w:cs="Times New Roman"/>
          <w:noProof/>
          <w:lang w:val="en-IE"/>
        </w:rPr>
        <w:t xml:space="preserve">in terms of </w:t>
      </w:r>
      <w:r w:rsidR="000F55FB" w:rsidRPr="00B8512B">
        <w:rPr>
          <w:rFonts w:ascii="Times New Roman" w:hAnsi="Times New Roman" w:cs="Times New Roman"/>
          <w:noProof/>
          <w:lang w:val="en-IE"/>
        </w:rPr>
        <w:t>accessibility for people with disabilities</w:t>
      </w:r>
      <w:r w:rsidR="00716425" w:rsidRPr="00B8512B">
        <w:rPr>
          <w:rFonts w:ascii="Times New Roman" w:hAnsi="Times New Roman" w:cs="Times New Roman"/>
          <w:noProof/>
          <w:lang w:val="en-IE"/>
        </w:rPr>
        <w:t xml:space="preserve">. In addition, </w:t>
      </w:r>
      <w:r w:rsidR="006E3790" w:rsidRPr="00B8512B">
        <w:rPr>
          <w:rFonts w:ascii="Times New Roman" w:hAnsi="Times New Roman" w:cs="Times New Roman"/>
          <w:noProof/>
          <w:lang w:val="en-IE"/>
        </w:rPr>
        <w:t xml:space="preserve">information on the </w:t>
      </w:r>
      <w:r w:rsidR="002C4CFB">
        <w:rPr>
          <w:rFonts w:ascii="Times New Roman" w:hAnsi="Times New Roman" w:cs="Times New Roman"/>
          <w:noProof/>
          <w:lang w:val="en-IE"/>
        </w:rPr>
        <w:t>European reference networks (</w:t>
      </w:r>
      <w:r w:rsidR="00B53B0C" w:rsidRPr="00B8512B">
        <w:rPr>
          <w:rFonts w:ascii="Times New Roman" w:hAnsi="Times New Roman" w:cs="Times New Roman"/>
          <w:noProof/>
          <w:lang w:val="en-IE"/>
        </w:rPr>
        <w:t>ERN</w:t>
      </w:r>
      <w:r w:rsidR="006E3790" w:rsidRPr="00B8512B">
        <w:rPr>
          <w:rFonts w:ascii="Times New Roman" w:hAnsi="Times New Roman" w:cs="Times New Roman"/>
          <w:noProof/>
          <w:lang w:val="en-IE"/>
        </w:rPr>
        <w:t>s</w:t>
      </w:r>
      <w:r w:rsidR="002C4CFB">
        <w:rPr>
          <w:rFonts w:ascii="Times New Roman" w:hAnsi="Times New Roman" w:cs="Times New Roman"/>
          <w:noProof/>
          <w:lang w:val="en-IE"/>
        </w:rPr>
        <w:t>)</w:t>
      </w:r>
      <w:r w:rsidR="00652AC9">
        <w:rPr>
          <w:rFonts w:ascii="Times New Roman" w:hAnsi="Times New Roman" w:cs="Times New Roman"/>
          <w:noProof/>
          <w:lang w:val="en-IE"/>
        </w:rPr>
        <w:t xml:space="preserve"> and rare diseases</w:t>
      </w:r>
      <w:r w:rsidR="00716425" w:rsidRPr="00B8512B">
        <w:rPr>
          <w:rFonts w:ascii="Times New Roman" w:hAnsi="Times New Roman" w:cs="Times New Roman"/>
          <w:noProof/>
          <w:lang w:val="en-IE"/>
        </w:rPr>
        <w:t xml:space="preserve"> is only provided by 14 </w:t>
      </w:r>
      <w:r w:rsidR="00BB29FF" w:rsidRPr="00B8512B">
        <w:rPr>
          <w:rFonts w:ascii="Times New Roman" w:hAnsi="Times New Roman" w:cs="Times New Roman"/>
          <w:noProof/>
          <w:lang w:val="en-IE"/>
        </w:rPr>
        <w:t>NCP</w:t>
      </w:r>
      <w:r w:rsidR="00716425" w:rsidRPr="00B8512B">
        <w:rPr>
          <w:rFonts w:ascii="Times New Roman" w:hAnsi="Times New Roman" w:cs="Times New Roman"/>
          <w:noProof/>
          <w:lang w:val="en-IE"/>
        </w:rPr>
        <w:t>s</w:t>
      </w:r>
      <w:r w:rsidR="000F55FB" w:rsidRPr="00B8512B">
        <w:rPr>
          <w:rFonts w:ascii="Times New Roman" w:hAnsi="Times New Roman" w:cs="Times New Roman"/>
          <w:noProof/>
          <w:lang w:val="en-IE"/>
        </w:rPr>
        <w:t>.</w:t>
      </w:r>
      <w:r w:rsidR="0011770E" w:rsidRPr="00B8512B">
        <w:rPr>
          <w:rFonts w:ascii="Times New Roman" w:hAnsi="Times New Roman" w:cs="Times New Roman"/>
          <w:noProof/>
          <w:lang w:val="en-IE"/>
        </w:rPr>
        <w:t xml:space="preserve"> The evaluation revealed this as a key concern for patient organisations</w:t>
      </w:r>
      <w:r w:rsidR="00E305EC" w:rsidRPr="00B8512B">
        <w:rPr>
          <w:rFonts w:ascii="Times New Roman" w:hAnsi="Times New Roman" w:cs="Times New Roman"/>
          <w:noProof/>
          <w:lang w:val="en-IE"/>
        </w:rPr>
        <w:t xml:space="preserve">, </w:t>
      </w:r>
      <w:r w:rsidR="002C4CFB">
        <w:rPr>
          <w:rFonts w:ascii="Times New Roman" w:hAnsi="Times New Roman" w:cs="Times New Roman"/>
          <w:noProof/>
          <w:lang w:val="en-IE"/>
        </w:rPr>
        <w:t>and for</w:t>
      </w:r>
      <w:r w:rsidR="006E3790" w:rsidRPr="00B8512B">
        <w:rPr>
          <w:rFonts w:ascii="Times New Roman" w:hAnsi="Times New Roman" w:cs="Times New Roman"/>
          <w:noProof/>
          <w:lang w:val="en-IE"/>
        </w:rPr>
        <w:t xml:space="preserve"> </w:t>
      </w:r>
      <w:r w:rsidR="00ED5EF4" w:rsidRPr="00B8512B">
        <w:rPr>
          <w:rFonts w:ascii="Times New Roman" w:hAnsi="Times New Roman" w:cs="Times New Roman"/>
          <w:noProof/>
          <w:lang w:val="en-IE"/>
        </w:rPr>
        <w:t>the European Disability Forum</w:t>
      </w:r>
      <w:r w:rsidR="00492584" w:rsidRPr="00B8512B">
        <w:rPr>
          <w:rFonts w:ascii="Times New Roman" w:hAnsi="Times New Roman" w:cs="Times New Roman"/>
          <w:noProof/>
          <w:lang w:val="en-IE"/>
        </w:rPr>
        <w:t>.</w:t>
      </w:r>
    </w:p>
    <w:p w14:paraId="7CD21BA4" w14:textId="7EA7E864" w:rsidR="00492584" w:rsidRPr="00B8512B" w:rsidRDefault="002C4CFB">
      <w:pPr>
        <w:rPr>
          <w:rFonts w:ascii="Times New Roman" w:hAnsi="Times New Roman" w:cs="Times New Roman"/>
          <w:noProof/>
          <w:lang w:val="en-IE"/>
        </w:rPr>
      </w:pPr>
      <w:r>
        <w:rPr>
          <w:rFonts w:ascii="Times New Roman" w:hAnsi="Times New Roman" w:cs="Times New Roman"/>
          <w:noProof/>
          <w:lang w:val="en-IE"/>
        </w:rPr>
        <w:t>To address</w:t>
      </w:r>
      <w:r w:rsidRPr="00B8512B">
        <w:rPr>
          <w:rFonts w:ascii="Times New Roman" w:hAnsi="Times New Roman" w:cs="Times New Roman"/>
          <w:noProof/>
          <w:lang w:val="en-IE"/>
        </w:rPr>
        <w:t xml:space="preserve"> </w:t>
      </w:r>
      <w:r w:rsidR="00492584" w:rsidRPr="00B8512B">
        <w:rPr>
          <w:rFonts w:ascii="Times New Roman" w:hAnsi="Times New Roman" w:cs="Times New Roman"/>
          <w:noProof/>
          <w:lang w:val="en-IE"/>
        </w:rPr>
        <w:t xml:space="preserve">this, </w:t>
      </w:r>
      <w:r>
        <w:rPr>
          <w:rFonts w:ascii="Times New Roman" w:hAnsi="Times New Roman" w:cs="Times New Roman"/>
          <w:noProof/>
          <w:lang w:val="en-IE"/>
        </w:rPr>
        <w:t xml:space="preserve">and </w:t>
      </w:r>
      <w:r w:rsidRPr="00B8512B">
        <w:rPr>
          <w:rFonts w:ascii="Times New Roman" w:hAnsi="Times New Roman" w:cs="Times New Roman"/>
          <w:noProof/>
          <w:lang w:val="en-IE"/>
        </w:rPr>
        <w:t>in cooperation with Member States</w:t>
      </w:r>
      <w:r>
        <w:rPr>
          <w:rFonts w:ascii="Times New Roman" w:hAnsi="Times New Roman" w:cs="Times New Roman"/>
          <w:noProof/>
          <w:lang w:val="en-IE"/>
        </w:rPr>
        <w:t>,</w:t>
      </w:r>
      <w:r w:rsidRPr="00B8512B">
        <w:rPr>
          <w:rFonts w:ascii="Times New Roman" w:hAnsi="Times New Roman" w:cs="Times New Roman"/>
          <w:noProof/>
          <w:lang w:val="en-IE"/>
        </w:rPr>
        <w:t xml:space="preserve"> </w:t>
      </w:r>
      <w:r w:rsidR="00D77751">
        <w:rPr>
          <w:rFonts w:ascii="Times New Roman" w:hAnsi="Times New Roman" w:cs="Times New Roman"/>
          <w:noProof/>
          <w:lang w:val="en-IE"/>
        </w:rPr>
        <w:t xml:space="preserve">in 2018, </w:t>
      </w:r>
      <w:r w:rsidR="0011770E" w:rsidRPr="00B8512B">
        <w:rPr>
          <w:rFonts w:ascii="Times New Roman" w:hAnsi="Times New Roman" w:cs="Times New Roman"/>
          <w:noProof/>
          <w:lang w:val="en-IE"/>
        </w:rPr>
        <w:t xml:space="preserve">the Commission </w:t>
      </w:r>
      <w:r w:rsidR="006D261C" w:rsidRPr="00B8512B">
        <w:rPr>
          <w:rFonts w:ascii="Times New Roman" w:hAnsi="Times New Roman" w:cs="Times New Roman"/>
          <w:noProof/>
          <w:lang w:val="en-IE"/>
        </w:rPr>
        <w:t>produced</w:t>
      </w:r>
      <w:r w:rsidR="0011770E" w:rsidRPr="00B8512B">
        <w:rPr>
          <w:rFonts w:ascii="Times New Roman" w:hAnsi="Times New Roman" w:cs="Times New Roman"/>
          <w:noProof/>
          <w:lang w:val="en-IE"/>
        </w:rPr>
        <w:t xml:space="preserve"> </w:t>
      </w:r>
      <w:r w:rsidR="00492584" w:rsidRPr="00EA55E2">
        <w:rPr>
          <w:rFonts w:ascii="Times New Roman" w:hAnsi="Times New Roman" w:cs="Times New Roman"/>
          <w:noProof/>
          <w:lang w:val="en-IE"/>
        </w:rPr>
        <w:t>Guiding Principles for the practice of NCPs</w:t>
      </w:r>
      <w:r w:rsidR="00EA55E2">
        <w:rPr>
          <w:rStyle w:val="FootnoteReference"/>
          <w:rFonts w:ascii="Times New Roman" w:hAnsi="Times New Roman" w:cs="Times New Roman"/>
          <w:noProof/>
          <w:lang w:val="en-IE"/>
        </w:rPr>
        <w:footnoteReference w:id="37"/>
      </w:r>
      <w:r>
        <w:rPr>
          <w:rFonts w:ascii="Times New Roman" w:hAnsi="Times New Roman" w:cs="Times New Roman"/>
          <w:noProof/>
          <w:lang w:val="en-IE"/>
        </w:rPr>
        <w:t>.</w:t>
      </w:r>
      <w:r w:rsidR="006F71CC" w:rsidRPr="00B8512B">
        <w:rPr>
          <w:rFonts w:ascii="Times New Roman" w:hAnsi="Times New Roman" w:cs="Times New Roman"/>
          <w:noProof/>
          <w:lang w:val="en-IE"/>
        </w:rPr>
        <w:t xml:space="preserve"> </w:t>
      </w:r>
      <w:r>
        <w:rPr>
          <w:rFonts w:ascii="Times New Roman" w:hAnsi="Times New Roman" w:cs="Times New Roman"/>
          <w:noProof/>
          <w:lang w:val="en-IE"/>
        </w:rPr>
        <w:t>These</w:t>
      </w:r>
      <w:r w:rsidRPr="00B8512B">
        <w:rPr>
          <w:rFonts w:ascii="Times New Roman" w:hAnsi="Times New Roman" w:cs="Times New Roman"/>
          <w:noProof/>
          <w:lang w:val="en-IE"/>
        </w:rPr>
        <w:t xml:space="preserve"> </w:t>
      </w:r>
      <w:r w:rsidR="00492584" w:rsidRPr="00B8512B">
        <w:rPr>
          <w:rFonts w:ascii="Times New Roman" w:hAnsi="Times New Roman" w:cs="Times New Roman"/>
          <w:noProof/>
          <w:lang w:val="en-IE"/>
        </w:rPr>
        <w:t>are designed to assist NCPs in their daily task of providing clear</w:t>
      </w:r>
      <w:r w:rsidR="0011770E" w:rsidRPr="00B8512B">
        <w:rPr>
          <w:rFonts w:ascii="Times New Roman" w:hAnsi="Times New Roman" w:cs="Times New Roman"/>
          <w:noProof/>
          <w:lang w:val="en-IE"/>
        </w:rPr>
        <w:t>,</w:t>
      </w:r>
      <w:r w:rsidR="00492584" w:rsidRPr="00B8512B">
        <w:rPr>
          <w:rFonts w:ascii="Times New Roman" w:hAnsi="Times New Roman" w:cs="Times New Roman"/>
          <w:noProof/>
          <w:lang w:val="en-IE"/>
        </w:rPr>
        <w:t xml:space="preserve"> accurate </w:t>
      </w:r>
      <w:r w:rsidR="006F71CC" w:rsidRPr="00B8512B">
        <w:rPr>
          <w:rFonts w:ascii="Times New Roman" w:hAnsi="Times New Roman" w:cs="Times New Roman"/>
          <w:noProof/>
          <w:lang w:val="en-IE"/>
        </w:rPr>
        <w:t xml:space="preserve">and </w:t>
      </w:r>
      <w:r w:rsidR="0011770E" w:rsidRPr="00B8512B">
        <w:rPr>
          <w:rFonts w:ascii="Times New Roman" w:hAnsi="Times New Roman" w:cs="Times New Roman"/>
          <w:noProof/>
          <w:lang w:val="en-IE"/>
        </w:rPr>
        <w:t>high</w:t>
      </w:r>
      <w:r>
        <w:rPr>
          <w:rFonts w:ascii="Times New Roman" w:hAnsi="Times New Roman" w:cs="Times New Roman"/>
          <w:noProof/>
          <w:lang w:val="en-IE"/>
        </w:rPr>
        <w:t>-</w:t>
      </w:r>
      <w:r w:rsidR="0011770E" w:rsidRPr="00B8512B">
        <w:rPr>
          <w:rFonts w:ascii="Times New Roman" w:hAnsi="Times New Roman" w:cs="Times New Roman"/>
          <w:noProof/>
          <w:lang w:val="en-IE"/>
        </w:rPr>
        <w:t xml:space="preserve">quality </w:t>
      </w:r>
      <w:r w:rsidR="00492584" w:rsidRPr="00B8512B">
        <w:rPr>
          <w:rFonts w:ascii="Times New Roman" w:hAnsi="Times New Roman" w:cs="Times New Roman"/>
          <w:noProof/>
          <w:lang w:val="en-IE"/>
        </w:rPr>
        <w:t xml:space="preserve">information on the main aspects of cross-border healthcare. </w:t>
      </w:r>
      <w:r w:rsidR="0011770E" w:rsidRPr="00B8512B">
        <w:rPr>
          <w:rFonts w:ascii="Times New Roman" w:hAnsi="Times New Roman" w:cs="Times New Roman"/>
          <w:noProof/>
          <w:lang w:val="en-IE"/>
        </w:rPr>
        <w:t xml:space="preserve">Most importantly, the information must </w:t>
      </w:r>
      <w:r w:rsidRPr="00B8512B">
        <w:rPr>
          <w:rFonts w:ascii="Times New Roman" w:hAnsi="Times New Roman" w:cs="Times New Roman"/>
          <w:noProof/>
          <w:lang w:val="en-IE"/>
        </w:rPr>
        <w:t xml:space="preserve">always </w:t>
      </w:r>
      <w:r w:rsidR="0011770E" w:rsidRPr="00B8512B">
        <w:rPr>
          <w:rFonts w:ascii="Times New Roman" w:hAnsi="Times New Roman" w:cs="Times New Roman"/>
          <w:noProof/>
          <w:lang w:val="en-IE"/>
        </w:rPr>
        <w:t xml:space="preserve">be </w:t>
      </w:r>
      <w:r w:rsidR="00492584" w:rsidRPr="00B8512B">
        <w:rPr>
          <w:rFonts w:ascii="Times New Roman" w:hAnsi="Times New Roman" w:cs="Times New Roman"/>
          <w:noProof/>
          <w:lang w:val="en-IE"/>
        </w:rPr>
        <w:t xml:space="preserve">patient-oriented. </w:t>
      </w:r>
      <w:r w:rsidR="00491019" w:rsidRPr="00B8512B">
        <w:rPr>
          <w:rFonts w:ascii="Times New Roman" w:hAnsi="Times New Roman" w:cs="Times New Roman"/>
          <w:noProof/>
          <w:lang w:val="en-IE"/>
        </w:rPr>
        <w:t>T</w:t>
      </w:r>
      <w:r w:rsidR="00C56832" w:rsidRPr="00B8512B">
        <w:rPr>
          <w:rFonts w:ascii="Times New Roman" w:hAnsi="Times New Roman" w:cs="Times New Roman"/>
          <w:noProof/>
          <w:lang w:val="en-IE"/>
        </w:rPr>
        <w:t xml:space="preserve">he evaluation found that NCP </w:t>
      </w:r>
      <w:r w:rsidR="00DA32A2" w:rsidRPr="00B8512B">
        <w:rPr>
          <w:rFonts w:ascii="Times New Roman" w:hAnsi="Times New Roman" w:cs="Times New Roman"/>
          <w:noProof/>
          <w:lang w:val="en-IE"/>
        </w:rPr>
        <w:t xml:space="preserve">websites are not </w:t>
      </w:r>
      <w:r w:rsidR="000F55FB" w:rsidRPr="00B8512B">
        <w:rPr>
          <w:rFonts w:ascii="Times New Roman" w:hAnsi="Times New Roman" w:cs="Times New Roman"/>
          <w:noProof/>
          <w:lang w:val="en-IE"/>
        </w:rPr>
        <w:t xml:space="preserve">always </w:t>
      </w:r>
      <w:r w:rsidR="00380F5C" w:rsidRPr="00B8512B">
        <w:rPr>
          <w:rFonts w:ascii="Times New Roman" w:hAnsi="Times New Roman" w:cs="Times New Roman"/>
          <w:noProof/>
          <w:lang w:val="en-IE"/>
        </w:rPr>
        <w:t>digitally</w:t>
      </w:r>
      <w:r w:rsidR="00DA32A2" w:rsidRPr="00B8512B">
        <w:rPr>
          <w:rFonts w:ascii="Times New Roman" w:hAnsi="Times New Roman" w:cs="Times New Roman"/>
          <w:noProof/>
          <w:lang w:val="en-IE"/>
        </w:rPr>
        <w:t xml:space="preserve"> accessible to patients with disabilities</w:t>
      </w:r>
      <w:r w:rsidR="003C316E">
        <w:rPr>
          <w:rFonts w:ascii="Times New Roman" w:hAnsi="Times New Roman" w:cs="Times New Roman"/>
          <w:noProof/>
          <w:lang w:val="en-IE"/>
        </w:rPr>
        <w:t>,</w:t>
      </w:r>
      <w:r w:rsidR="00DA32A2" w:rsidRPr="00B8512B">
        <w:rPr>
          <w:rFonts w:ascii="Times New Roman" w:hAnsi="Times New Roman" w:cs="Times New Roman"/>
          <w:noProof/>
          <w:lang w:val="en-IE"/>
        </w:rPr>
        <w:t xml:space="preserve"> </w:t>
      </w:r>
      <w:r w:rsidR="003C316E">
        <w:rPr>
          <w:rFonts w:ascii="Times New Roman" w:hAnsi="Times New Roman" w:cs="Times New Roman"/>
          <w:noProof/>
          <w:lang w:val="en-IE"/>
        </w:rPr>
        <w:t>as required under</w:t>
      </w:r>
      <w:r w:rsidR="00C56832" w:rsidRPr="00B8512B">
        <w:rPr>
          <w:rFonts w:ascii="Times New Roman" w:hAnsi="Times New Roman" w:cs="Times New Roman"/>
          <w:noProof/>
          <w:lang w:val="en-IE"/>
        </w:rPr>
        <w:t xml:space="preserve"> the Web Accessibility Directive</w:t>
      </w:r>
      <w:r w:rsidR="00380F5C" w:rsidRPr="00B8512B">
        <w:rPr>
          <w:rStyle w:val="FootnoteReference"/>
          <w:rFonts w:ascii="Times New Roman" w:hAnsi="Times New Roman" w:cs="Times New Roman"/>
          <w:noProof/>
          <w:lang w:val="en-IE"/>
        </w:rPr>
        <w:footnoteReference w:id="38"/>
      </w:r>
      <w:r w:rsidR="003C316E">
        <w:rPr>
          <w:rFonts w:ascii="Times New Roman" w:hAnsi="Times New Roman" w:cs="Times New Roman"/>
          <w:noProof/>
          <w:lang w:val="en-IE"/>
        </w:rPr>
        <w:t>,</w:t>
      </w:r>
      <w:r w:rsidR="00C56832" w:rsidRPr="00B8512B">
        <w:rPr>
          <w:rFonts w:ascii="Times New Roman" w:hAnsi="Times New Roman" w:cs="Times New Roman"/>
          <w:noProof/>
          <w:lang w:val="en-IE"/>
        </w:rPr>
        <w:t xml:space="preserve"> </w:t>
      </w:r>
      <w:r w:rsidR="00DA32A2" w:rsidRPr="00B8512B">
        <w:rPr>
          <w:rFonts w:ascii="Times New Roman" w:hAnsi="Times New Roman" w:cs="Times New Roman"/>
          <w:noProof/>
          <w:lang w:val="en-IE"/>
        </w:rPr>
        <w:t xml:space="preserve">and </w:t>
      </w:r>
      <w:r w:rsidR="00491019" w:rsidRPr="00B8512B">
        <w:rPr>
          <w:rFonts w:ascii="Times New Roman" w:hAnsi="Times New Roman" w:cs="Times New Roman"/>
          <w:noProof/>
          <w:lang w:val="en-IE"/>
        </w:rPr>
        <w:t xml:space="preserve">that </w:t>
      </w:r>
      <w:r w:rsidR="00DA32A2" w:rsidRPr="00B8512B">
        <w:rPr>
          <w:rFonts w:ascii="Times New Roman" w:hAnsi="Times New Roman" w:cs="Times New Roman"/>
          <w:noProof/>
          <w:lang w:val="en-IE"/>
        </w:rPr>
        <w:t>only 30% of websites provide information on the physical accessibility of healthcare facilities</w:t>
      </w:r>
      <w:r w:rsidR="00C56832" w:rsidRPr="00B8512B">
        <w:rPr>
          <w:rStyle w:val="FootnoteReference"/>
          <w:rFonts w:ascii="Times New Roman" w:hAnsi="Times New Roman" w:cs="Times New Roman"/>
          <w:noProof/>
          <w:lang w:val="en-IE"/>
        </w:rPr>
        <w:footnoteReference w:id="39"/>
      </w:r>
      <w:r w:rsidR="00DA32A2" w:rsidRPr="00B8512B">
        <w:rPr>
          <w:rFonts w:ascii="Times New Roman" w:hAnsi="Times New Roman" w:cs="Times New Roman"/>
          <w:noProof/>
          <w:lang w:val="en-IE"/>
        </w:rPr>
        <w:t xml:space="preserve">. </w:t>
      </w:r>
      <w:r w:rsidR="00F679AF" w:rsidRPr="00B8512B">
        <w:rPr>
          <w:rFonts w:ascii="Times New Roman" w:hAnsi="Times New Roman" w:cs="Times New Roman"/>
          <w:noProof/>
          <w:lang w:val="en-IE"/>
        </w:rPr>
        <w:t>Under the principle of inclusion, NCPs are invited to recognise and support the right of people with disabilities to have equal access to information to healthcare in other EU countries, as required under Article 6(5) of the Directive.</w:t>
      </w:r>
    </w:p>
    <w:p w14:paraId="19BE5BC6" w14:textId="236B0B88" w:rsidR="0011770E" w:rsidRPr="00B8512B" w:rsidRDefault="0011770E" w:rsidP="0011770E">
      <w:pPr>
        <w:rPr>
          <w:rFonts w:ascii="Times New Roman" w:hAnsi="Times New Roman" w:cs="Times New Roman"/>
          <w:noProof/>
          <w:lang w:val="en-IE"/>
        </w:rPr>
      </w:pPr>
      <w:r w:rsidRPr="00B8512B">
        <w:rPr>
          <w:rFonts w:ascii="Times New Roman" w:hAnsi="Times New Roman" w:cs="Times New Roman"/>
          <w:noProof/>
          <w:lang w:val="en-IE"/>
        </w:rPr>
        <w:t xml:space="preserve">In 2021, Member States approved additional </w:t>
      </w:r>
      <w:r w:rsidRPr="00355B5C">
        <w:rPr>
          <w:rFonts w:ascii="Times New Roman" w:hAnsi="Times New Roman" w:cs="Times New Roman"/>
          <w:noProof/>
          <w:lang w:val="en-IE"/>
        </w:rPr>
        <w:t xml:space="preserve">Guiding </w:t>
      </w:r>
      <w:r w:rsidR="002C4CFB" w:rsidRPr="00355B5C">
        <w:rPr>
          <w:rFonts w:ascii="Times New Roman" w:hAnsi="Times New Roman" w:cs="Times New Roman"/>
          <w:noProof/>
          <w:lang w:val="en-IE"/>
        </w:rPr>
        <w:t>p</w:t>
      </w:r>
      <w:r w:rsidRPr="00355B5C">
        <w:rPr>
          <w:rFonts w:ascii="Times New Roman" w:hAnsi="Times New Roman" w:cs="Times New Roman"/>
          <w:noProof/>
          <w:lang w:val="en-IE"/>
        </w:rPr>
        <w:t>rinciples for information provision on prior authorisation systems</w:t>
      </w:r>
      <w:r w:rsidRPr="00B8512B">
        <w:rPr>
          <w:rStyle w:val="FootnoteReference"/>
          <w:rFonts w:ascii="Times New Roman" w:hAnsi="Times New Roman" w:cs="Times New Roman"/>
          <w:noProof/>
          <w:lang w:val="en-IE"/>
        </w:rPr>
        <w:footnoteReference w:id="40"/>
      </w:r>
      <w:r w:rsidR="00A44632">
        <w:rPr>
          <w:rFonts w:ascii="Times New Roman" w:hAnsi="Times New Roman" w:cs="Times New Roman"/>
          <w:noProof/>
          <w:lang w:val="en-IE"/>
        </w:rPr>
        <w:t>. This is</w:t>
      </w:r>
      <w:r w:rsidRPr="00B8512B">
        <w:rPr>
          <w:rFonts w:ascii="Times New Roman" w:hAnsi="Times New Roman" w:cs="Times New Roman"/>
          <w:noProof/>
          <w:lang w:val="en-IE"/>
        </w:rPr>
        <w:t xml:space="preserve"> intended, </w:t>
      </w:r>
      <w:r w:rsidR="003C316E">
        <w:rPr>
          <w:rFonts w:ascii="Times New Roman" w:hAnsi="Times New Roman" w:cs="Times New Roman"/>
          <w:iCs/>
          <w:noProof/>
          <w:lang w:val="en-IE"/>
        </w:rPr>
        <w:t>among other things</w:t>
      </w:r>
      <w:r w:rsidRPr="00B8512B">
        <w:rPr>
          <w:rFonts w:ascii="Times New Roman" w:hAnsi="Times New Roman" w:cs="Times New Roman"/>
          <w:noProof/>
          <w:lang w:val="en-IE"/>
        </w:rPr>
        <w:t>, to guarantee that patients are provided with clear and complete information about their rights to cross-border healthcare subject to prior authorisation.</w:t>
      </w:r>
    </w:p>
    <w:p w14:paraId="4FA02EDC" w14:textId="388C6B7F" w:rsidR="0006768A" w:rsidRPr="00B8512B" w:rsidRDefault="00C56832" w:rsidP="00324749">
      <w:pPr>
        <w:rPr>
          <w:rFonts w:ascii="Times New Roman" w:hAnsi="Times New Roman" w:cs="Times New Roman"/>
          <w:noProof/>
          <w:lang w:val="en-IE"/>
        </w:rPr>
      </w:pPr>
      <w:r w:rsidRPr="00B8512B">
        <w:rPr>
          <w:rFonts w:ascii="Times New Roman" w:hAnsi="Times New Roman" w:cs="Times New Roman"/>
          <w:noProof/>
          <w:lang w:val="en-IE"/>
        </w:rPr>
        <w:t xml:space="preserve">The Commission’s </w:t>
      </w:r>
      <w:r w:rsidR="0011770E" w:rsidRPr="00B8512B">
        <w:rPr>
          <w:rFonts w:ascii="Times New Roman" w:hAnsi="Times New Roman" w:cs="Times New Roman"/>
          <w:noProof/>
          <w:lang w:val="en-IE"/>
        </w:rPr>
        <w:t xml:space="preserve">multilingual </w:t>
      </w:r>
      <w:r w:rsidR="00492584" w:rsidRPr="00355B5C">
        <w:rPr>
          <w:rFonts w:ascii="Times New Roman" w:hAnsi="Times New Roman" w:cs="Times New Roman"/>
          <w:noProof/>
          <w:lang w:val="en-IE"/>
        </w:rPr>
        <w:t>Toolbox for Cross-Border Healthcare</w:t>
      </w:r>
      <w:r w:rsidR="00355B5C">
        <w:rPr>
          <w:rStyle w:val="FootnoteReference"/>
          <w:rFonts w:ascii="Times New Roman" w:hAnsi="Times New Roman" w:cs="Times New Roman"/>
          <w:noProof/>
          <w:lang w:val="en-IE"/>
        </w:rPr>
        <w:footnoteReference w:id="41"/>
      </w:r>
      <w:r w:rsidR="00355B5C">
        <w:rPr>
          <w:rFonts w:ascii="Times New Roman" w:hAnsi="Times New Roman" w:cs="Times New Roman"/>
          <w:noProof/>
          <w:lang w:val="en-IE"/>
        </w:rPr>
        <w:t>,</w:t>
      </w:r>
      <w:r w:rsidR="00492584" w:rsidRPr="00B8512B">
        <w:rPr>
          <w:rFonts w:ascii="Times New Roman" w:hAnsi="Times New Roman" w:cs="Times New Roman"/>
          <w:noProof/>
          <w:lang w:val="en-IE"/>
        </w:rPr>
        <w:t xml:space="preserve"> </w:t>
      </w:r>
      <w:r w:rsidR="003C316E">
        <w:rPr>
          <w:rFonts w:ascii="Times New Roman" w:hAnsi="Times New Roman" w:cs="Times New Roman"/>
          <w:noProof/>
          <w:lang w:val="en-IE"/>
        </w:rPr>
        <w:t xml:space="preserve">which </w:t>
      </w:r>
      <w:r w:rsidR="00AF734C" w:rsidRPr="00B8512B">
        <w:rPr>
          <w:rFonts w:ascii="Times New Roman" w:hAnsi="Times New Roman" w:cs="Times New Roman"/>
          <w:noProof/>
          <w:lang w:val="en-IE"/>
        </w:rPr>
        <w:t>includ</w:t>
      </w:r>
      <w:r w:rsidR="003C316E">
        <w:rPr>
          <w:rFonts w:ascii="Times New Roman" w:hAnsi="Times New Roman" w:cs="Times New Roman"/>
          <w:noProof/>
          <w:lang w:val="en-IE"/>
        </w:rPr>
        <w:t>es</w:t>
      </w:r>
      <w:r w:rsidR="00AF734C" w:rsidRPr="00B8512B">
        <w:rPr>
          <w:rFonts w:ascii="Times New Roman" w:hAnsi="Times New Roman" w:cs="Times New Roman"/>
          <w:noProof/>
          <w:lang w:val="en-IE"/>
        </w:rPr>
        <w:t xml:space="preserve"> a Manual for Patients</w:t>
      </w:r>
      <w:r w:rsidR="003C316E">
        <w:rPr>
          <w:rFonts w:ascii="Times New Roman" w:hAnsi="Times New Roman" w:cs="Times New Roman"/>
          <w:noProof/>
          <w:lang w:val="en-IE"/>
        </w:rPr>
        <w:t>,</w:t>
      </w:r>
      <w:r w:rsidR="000F55FB" w:rsidRPr="00B8512B">
        <w:rPr>
          <w:rFonts w:ascii="Times New Roman" w:hAnsi="Times New Roman" w:cs="Times New Roman"/>
          <w:noProof/>
          <w:lang w:val="en-IE"/>
        </w:rPr>
        <w:t xml:space="preserve"> </w:t>
      </w:r>
      <w:r w:rsidR="0011770E" w:rsidRPr="00B8512B">
        <w:rPr>
          <w:rFonts w:ascii="Times New Roman" w:hAnsi="Times New Roman" w:cs="Times New Roman"/>
          <w:noProof/>
          <w:lang w:val="en-IE"/>
        </w:rPr>
        <w:t xml:space="preserve">aims to help patients navigate the different pathways to </w:t>
      </w:r>
      <w:r w:rsidR="00492584" w:rsidRPr="00B8512B">
        <w:rPr>
          <w:rFonts w:ascii="Times New Roman" w:hAnsi="Times New Roman" w:cs="Times New Roman"/>
          <w:noProof/>
          <w:lang w:val="en-IE"/>
        </w:rPr>
        <w:t xml:space="preserve">cross-border healthcare. </w:t>
      </w:r>
      <w:r w:rsidR="00301FAF" w:rsidRPr="00B8512B">
        <w:rPr>
          <w:rFonts w:ascii="Times New Roman" w:hAnsi="Times New Roman" w:cs="Times New Roman"/>
          <w:noProof/>
          <w:lang w:val="en-IE"/>
        </w:rPr>
        <w:t xml:space="preserve">Most </w:t>
      </w:r>
      <w:r w:rsidR="00AF734C" w:rsidRPr="00B8512B">
        <w:rPr>
          <w:rFonts w:ascii="Times New Roman" w:hAnsi="Times New Roman" w:cs="Times New Roman"/>
          <w:noProof/>
          <w:lang w:val="en-IE"/>
        </w:rPr>
        <w:t>NCPs have posted the Manual for Patients on their websites</w:t>
      </w:r>
      <w:r w:rsidR="0011770E" w:rsidRPr="00B8512B">
        <w:rPr>
          <w:rFonts w:ascii="Times New Roman" w:hAnsi="Times New Roman" w:cs="Times New Roman"/>
          <w:noProof/>
          <w:lang w:val="en-IE"/>
        </w:rPr>
        <w:t xml:space="preserve"> and others are encouraged to do so</w:t>
      </w:r>
      <w:r w:rsidR="00AF734C" w:rsidRPr="00B8512B">
        <w:rPr>
          <w:rFonts w:ascii="Times New Roman" w:hAnsi="Times New Roman" w:cs="Times New Roman"/>
          <w:noProof/>
          <w:lang w:val="en-IE"/>
        </w:rPr>
        <w:t>.</w:t>
      </w:r>
      <w:r w:rsidR="00ED5EF4" w:rsidRPr="00B8512B">
        <w:rPr>
          <w:rFonts w:ascii="Times New Roman" w:hAnsi="Times New Roman" w:cs="Times New Roman"/>
          <w:noProof/>
          <w:lang w:val="en-IE"/>
        </w:rPr>
        <w:t xml:space="preserve"> </w:t>
      </w:r>
      <w:r w:rsidR="008826E5" w:rsidRPr="00B8512B">
        <w:rPr>
          <w:rFonts w:ascii="Times New Roman" w:hAnsi="Times New Roman" w:cs="Times New Roman"/>
          <w:noProof/>
          <w:lang w:val="en-IE"/>
        </w:rPr>
        <w:t xml:space="preserve">The EU’s Single Digital Gateway can help </w:t>
      </w:r>
      <w:r w:rsidR="00A77137">
        <w:rPr>
          <w:rFonts w:ascii="Times New Roman" w:hAnsi="Times New Roman" w:cs="Times New Roman"/>
          <w:noProof/>
          <w:lang w:val="en-IE"/>
        </w:rPr>
        <w:t>people</w:t>
      </w:r>
      <w:r w:rsidR="00A77137" w:rsidRPr="00B8512B">
        <w:rPr>
          <w:rFonts w:ascii="Times New Roman" w:hAnsi="Times New Roman" w:cs="Times New Roman"/>
          <w:noProof/>
          <w:lang w:val="en-IE"/>
        </w:rPr>
        <w:t xml:space="preserve"> </w:t>
      </w:r>
      <w:r w:rsidR="008826E5" w:rsidRPr="00B8512B">
        <w:rPr>
          <w:rFonts w:ascii="Times New Roman" w:hAnsi="Times New Roman" w:cs="Times New Roman"/>
          <w:noProof/>
          <w:lang w:val="en-IE"/>
        </w:rPr>
        <w:t xml:space="preserve">seeking medical assistance to connect with NCPs through the </w:t>
      </w:r>
      <w:r w:rsidR="008826E5" w:rsidRPr="00355B5C">
        <w:rPr>
          <w:rFonts w:ascii="Times New Roman" w:hAnsi="Times New Roman" w:cs="Times New Roman"/>
          <w:noProof/>
          <w:lang w:val="en-IE"/>
        </w:rPr>
        <w:t>Your Europe Portal</w:t>
      </w:r>
      <w:r w:rsidR="00355B5C">
        <w:rPr>
          <w:rStyle w:val="FootnoteReference"/>
          <w:rFonts w:ascii="Times New Roman" w:hAnsi="Times New Roman" w:cs="Times New Roman"/>
          <w:noProof/>
          <w:lang w:val="en-IE"/>
        </w:rPr>
        <w:footnoteReference w:id="42"/>
      </w:r>
      <w:r w:rsidR="008826E5" w:rsidRPr="00B8512B">
        <w:rPr>
          <w:rFonts w:ascii="Times New Roman" w:hAnsi="Times New Roman" w:cs="Times New Roman"/>
          <w:noProof/>
          <w:lang w:val="en-IE"/>
        </w:rPr>
        <w:t>.</w:t>
      </w:r>
    </w:p>
    <w:p w14:paraId="362F7F33" w14:textId="77777777" w:rsidR="00277C62" w:rsidRPr="00B8512B" w:rsidRDefault="00277C62" w:rsidP="00324749">
      <w:pPr>
        <w:rPr>
          <w:rFonts w:ascii="Times New Roman" w:hAnsi="Times New Roman" w:cs="Times New Roman"/>
          <w:noProof/>
          <w:lang w:val="en-IE"/>
        </w:rPr>
      </w:pPr>
    </w:p>
    <w:p w14:paraId="6054AABC" w14:textId="2DCC6B07" w:rsidR="00C76B82" w:rsidRPr="00B8512B" w:rsidRDefault="00C76B82">
      <w:pPr>
        <w:pStyle w:val="Heading1"/>
        <w:rPr>
          <w:rFonts w:ascii="Times New Roman" w:hAnsi="Times New Roman" w:cs="Times New Roman"/>
          <w:noProof/>
          <w:lang w:val="en-IE"/>
        </w:rPr>
      </w:pPr>
      <w:bookmarkStart w:id="20" w:name="_Toc81927267"/>
      <w:r w:rsidRPr="00B8512B">
        <w:rPr>
          <w:rFonts w:ascii="Times New Roman" w:hAnsi="Times New Roman" w:cs="Times New Roman"/>
          <w:noProof/>
          <w:lang w:val="en-IE"/>
        </w:rPr>
        <w:t xml:space="preserve">Cooperation between </w:t>
      </w:r>
      <w:r w:rsidR="00097836" w:rsidRPr="00B8512B">
        <w:rPr>
          <w:rFonts w:ascii="Times New Roman" w:hAnsi="Times New Roman" w:cs="Times New Roman"/>
          <w:noProof/>
          <w:lang w:val="en-IE"/>
        </w:rPr>
        <w:t>health systems</w:t>
      </w:r>
      <w:bookmarkEnd w:id="20"/>
    </w:p>
    <w:p w14:paraId="2B26D58D" w14:textId="77777777" w:rsidR="00965550" w:rsidRPr="00B8512B" w:rsidRDefault="00965550" w:rsidP="00C76B82">
      <w:pPr>
        <w:rPr>
          <w:rFonts w:ascii="Times New Roman" w:hAnsi="Times New Roman" w:cs="Times New Roman"/>
          <w:noProof/>
          <w:szCs w:val="24"/>
          <w:lang w:val="en-IE"/>
        </w:rPr>
      </w:pPr>
    </w:p>
    <w:p w14:paraId="0BDB413E" w14:textId="0FB90EA6" w:rsidR="00226ABB" w:rsidRPr="00B8512B" w:rsidRDefault="00A44632">
      <w:pPr>
        <w:pStyle w:val="Heading2"/>
        <w:rPr>
          <w:rFonts w:ascii="Times New Roman" w:hAnsi="Times New Roman" w:cs="Times New Roman"/>
          <w:noProof/>
          <w:lang w:val="en-IE"/>
        </w:rPr>
      </w:pPr>
      <w:bookmarkStart w:id="21" w:name="_Toc81927268"/>
      <w:r>
        <w:rPr>
          <w:rFonts w:ascii="Times New Roman" w:hAnsi="Times New Roman" w:cs="Times New Roman"/>
          <w:noProof/>
          <w:lang w:val="en-IE"/>
        </w:rPr>
        <w:t xml:space="preserve"> </w:t>
      </w:r>
      <w:r w:rsidR="00226ABB" w:rsidRPr="00B8512B">
        <w:rPr>
          <w:rFonts w:ascii="Times New Roman" w:hAnsi="Times New Roman" w:cs="Times New Roman"/>
          <w:noProof/>
          <w:lang w:val="en-IE"/>
        </w:rPr>
        <w:t xml:space="preserve">Recognition of </w:t>
      </w:r>
      <w:r w:rsidR="00E137F4" w:rsidRPr="00B8512B">
        <w:rPr>
          <w:rFonts w:ascii="Times New Roman" w:hAnsi="Times New Roman" w:cs="Times New Roman"/>
          <w:noProof/>
          <w:lang w:val="en-IE"/>
        </w:rPr>
        <w:t>p</w:t>
      </w:r>
      <w:r w:rsidR="00226ABB" w:rsidRPr="00B8512B">
        <w:rPr>
          <w:rFonts w:ascii="Times New Roman" w:hAnsi="Times New Roman" w:cs="Times New Roman"/>
          <w:noProof/>
          <w:lang w:val="en-IE"/>
        </w:rPr>
        <w:t>rescriptions</w:t>
      </w:r>
      <w:bookmarkEnd w:id="21"/>
    </w:p>
    <w:p w14:paraId="52D871D3" w14:textId="136B4833" w:rsidR="00347AD8" w:rsidRPr="00B8512B" w:rsidRDefault="00E137F4">
      <w:pPr>
        <w:rPr>
          <w:rFonts w:ascii="Times New Roman" w:hAnsi="Times New Roman" w:cs="Times New Roman"/>
          <w:noProof/>
          <w:lang w:val="en-IE"/>
        </w:rPr>
      </w:pPr>
      <w:r w:rsidRPr="00B8512B">
        <w:rPr>
          <w:rFonts w:ascii="Times New Roman" w:hAnsi="Times New Roman" w:cs="Times New Roman"/>
          <w:noProof/>
          <w:lang w:val="en-IE"/>
        </w:rPr>
        <w:t>Under Article 11(1) of the Directive, Member States</w:t>
      </w:r>
      <w:r w:rsidR="005C7ED4" w:rsidRPr="00B8512B">
        <w:rPr>
          <w:rFonts w:ascii="Times New Roman" w:hAnsi="Times New Roman" w:cs="Times New Roman"/>
          <w:noProof/>
          <w:lang w:val="en-IE"/>
        </w:rPr>
        <w:t xml:space="preserve">, under certain conditions, </w:t>
      </w:r>
      <w:r w:rsidR="00776CC2">
        <w:rPr>
          <w:rFonts w:ascii="Times New Roman" w:hAnsi="Times New Roman" w:cs="Times New Roman"/>
          <w:noProof/>
          <w:lang w:val="en-IE"/>
        </w:rPr>
        <w:t xml:space="preserve">must </w:t>
      </w:r>
      <w:r w:rsidRPr="00B8512B">
        <w:rPr>
          <w:rFonts w:ascii="Times New Roman" w:hAnsi="Times New Roman" w:cs="Times New Roman"/>
          <w:noProof/>
          <w:lang w:val="en-IE"/>
        </w:rPr>
        <w:t xml:space="preserve">make sure that prescriptions for medicinal products </w:t>
      </w:r>
      <w:r w:rsidR="00AA213C" w:rsidRPr="00B8512B">
        <w:rPr>
          <w:rFonts w:ascii="Times New Roman" w:hAnsi="Times New Roman" w:cs="Times New Roman"/>
          <w:noProof/>
          <w:lang w:val="en-IE"/>
        </w:rPr>
        <w:t xml:space="preserve">or medical devices </w:t>
      </w:r>
      <w:r w:rsidRPr="00B8512B">
        <w:rPr>
          <w:rFonts w:ascii="Times New Roman" w:hAnsi="Times New Roman" w:cs="Times New Roman"/>
          <w:noProof/>
          <w:lang w:val="en-IE"/>
        </w:rPr>
        <w:t xml:space="preserve">issued in another Member State for a named patient can be dispensed on their territory. </w:t>
      </w:r>
      <w:r w:rsidR="00226ABB" w:rsidRPr="00B8512B">
        <w:rPr>
          <w:rFonts w:ascii="Times New Roman" w:hAnsi="Times New Roman" w:cs="Times New Roman"/>
          <w:noProof/>
          <w:lang w:val="en-IE"/>
        </w:rPr>
        <w:t>Implementing Directive 2012/52/EU</w:t>
      </w:r>
      <w:r w:rsidR="00226ABB" w:rsidRPr="00B8512B">
        <w:rPr>
          <w:rStyle w:val="FootnoteReference"/>
          <w:rFonts w:ascii="Times New Roman" w:hAnsi="Times New Roman" w:cs="Times New Roman"/>
          <w:noProof/>
          <w:lang w:val="en-IE"/>
        </w:rPr>
        <w:footnoteReference w:id="43"/>
      </w:r>
      <w:r w:rsidR="00226ABB" w:rsidRPr="00B8512B">
        <w:rPr>
          <w:rFonts w:ascii="Times New Roman" w:hAnsi="Times New Roman" w:cs="Times New Roman"/>
          <w:noProof/>
          <w:lang w:val="en-IE"/>
        </w:rPr>
        <w:t xml:space="preserve"> give</w:t>
      </w:r>
      <w:r w:rsidRPr="00B8512B">
        <w:rPr>
          <w:rFonts w:ascii="Times New Roman" w:hAnsi="Times New Roman" w:cs="Times New Roman"/>
          <w:noProof/>
          <w:lang w:val="en-IE"/>
        </w:rPr>
        <w:t>s</w:t>
      </w:r>
      <w:r w:rsidR="00226ABB" w:rsidRPr="00B8512B">
        <w:rPr>
          <w:rFonts w:ascii="Times New Roman" w:hAnsi="Times New Roman" w:cs="Times New Roman"/>
          <w:noProof/>
          <w:lang w:val="en-IE"/>
        </w:rPr>
        <w:t xml:space="preserve"> effect to the principle of mutual recognition of prescriptions. </w:t>
      </w:r>
      <w:r w:rsidR="00AA213C" w:rsidRPr="00B8512B">
        <w:rPr>
          <w:rFonts w:ascii="Times New Roman" w:hAnsi="Times New Roman" w:cs="Times New Roman"/>
          <w:noProof/>
          <w:lang w:val="en-IE"/>
        </w:rPr>
        <w:t xml:space="preserve">The Court of Justice has clarified that the Directive </w:t>
      </w:r>
      <w:r w:rsidR="00EF2DAF">
        <w:rPr>
          <w:rFonts w:ascii="Times New Roman" w:hAnsi="Times New Roman" w:cs="Times New Roman"/>
          <w:noProof/>
          <w:lang w:val="en-IE"/>
        </w:rPr>
        <w:t xml:space="preserve">(2011/24/EU) </w:t>
      </w:r>
      <w:r w:rsidR="00AA213C" w:rsidRPr="00B8512B">
        <w:rPr>
          <w:rFonts w:ascii="Times New Roman" w:hAnsi="Times New Roman" w:cs="Times New Roman"/>
          <w:noProof/>
          <w:lang w:val="en-IE"/>
        </w:rPr>
        <w:t xml:space="preserve">does not require </w:t>
      </w:r>
      <w:r w:rsidR="00F26552" w:rsidRPr="00B8512B">
        <w:rPr>
          <w:rFonts w:ascii="Times New Roman" w:hAnsi="Times New Roman" w:cs="Times New Roman"/>
          <w:noProof/>
          <w:lang w:val="en-IE"/>
        </w:rPr>
        <w:t xml:space="preserve">a pharmacist </w:t>
      </w:r>
      <w:r w:rsidR="00AA213C" w:rsidRPr="00B8512B">
        <w:rPr>
          <w:rFonts w:ascii="Times New Roman" w:hAnsi="Times New Roman" w:cs="Times New Roman"/>
          <w:noProof/>
          <w:lang w:val="en-IE"/>
        </w:rPr>
        <w:t>to recognise order forms issued by a health professional in another Member State that do not contain the name of the patient concerned</w:t>
      </w:r>
      <w:r w:rsidR="00D478EA" w:rsidRPr="00B8512B">
        <w:rPr>
          <w:rStyle w:val="FootnoteReference"/>
          <w:rFonts w:ascii="Times New Roman" w:hAnsi="Times New Roman" w:cs="Times New Roman"/>
          <w:noProof/>
          <w:lang w:val="en-IE"/>
        </w:rPr>
        <w:footnoteReference w:id="44"/>
      </w:r>
      <w:r w:rsidR="00AA213C" w:rsidRPr="00B8512B">
        <w:rPr>
          <w:rFonts w:ascii="Times New Roman" w:hAnsi="Times New Roman" w:cs="Times New Roman"/>
          <w:noProof/>
          <w:lang w:val="en-IE"/>
        </w:rPr>
        <w:t>.</w:t>
      </w:r>
    </w:p>
    <w:p w14:paraId="37E4DC62" w14:textId="350E1B49" w:rsidR="00D478EA" w:rsidRPr="00B8512B" w:rsidRDefault="00347AD8">
      <w:pPr>
        <w:rPr>
          <w:rFonts w:ascii="Times New Roman" w:hAnsi="Times New Roman" w:cs="Times New Roman"/>
          <w:noProof/>
          <w:lang w:val="en-IE"/>
        </w:rPr>
      </w:pPr>
      <w:r w:rsidRPr="00B8512B">
        <w:rPr>
          <w:rFonts w:ascii="Times New Roman" w:hAnsi="Times New Roman" w:cs="Times New Roman"/>
          <w:noProof/>
          <w:lang w:val="en-IE"/>
        </w:rPr>
        <w:t>T</w:t>
      </w:r>
      <w:r w:rsidR="00F26552" w:rsidRPr="00B8512B">
        <w:rPr>
          <w:rFonts w:ascii="Times New Roman" w:hAnsi="Times New Roman" w:cs="Times New Roman"/>
          <w:noProof/>
          <w:lang w:val="en-IE"/>
        </w:rPr>
        <w:t xml:space="preserve">he evaluation found that, while the recognition of prescriptions has considerably improved, patients continue to experience issues in relation to the </w:t>
      </w:r>
      <w:r w:rsidR="009F4ADB">
        <w:rPr>
          <w:rFonts w:ascii="Times New Roman" w:hAnsi="Times New Roman" w:cs="Times New Roman"/>
          <w:noProof/>
          <w:lang w:val="en-IE"/>
        </w:rPr>
        <w:t xml:space="preserve">recognition </w:t>
      </w:r>
      <w:r w:rsidR="00F26552" w:rsidRPr="00B8512B">
        <w:rPr>
          <w:rFonts w:ascii="Times New Roman" w:hAnsi="Times New Roman" w:cs="Times New Roman"/>
          <w:noProof/>
          <w:lang w:val="en-IE"/>
        </w:rPr>
        <w:t>of prescription in another EU country</w:t>
      </w:r>
      <w:r w:rsidR="00475D5D">
        <w:rPr>
          <w:rFonts w:ascii="Times New Roman" w:hAnsi="Times New Roman" w:cs="Times New Roman"/>
          <w:noProof/>
          <w:lang w:val="en-IE"/>
        </w:rPr>
        <w:t>,</w:t>
      </w:r>
      <w:r w:rsidR="009F4ADB">
        <w:rPr>
          <w:rFonts w:ascii="Times New Roman" w:hAnsi="Times New Roman" w:cs="Times New Roman"/>
          <w:noProof/>
          <w:lang w:val="en-IE"/>
        </w:rPr>
        <w:t xml:space="preserve"> mainly due to problems with verification of authenticity and </w:t>
      </w:r>
      <w:r w:rsidR="0076026C">
        <w:rPr>
          <w:rFonts w:ascii="Times New Roman" w:hAnsi="Times New Roman" w:cs="Times New Roman"/>
          <w:noProof/>
          <w:lang w:val="en-IE"/>
        </w:rPr>
        <w:t>language</w:t>
      </w:r>
      <w:r w:rsidR="00F26552" w:rsidRPr="00B8512B">
        <w:rPr>
          <w:rFonts w:ascii="Times New Roman" w:hAnsi="Times New Roman" w:cs="Times New Roman"/>
          <w:noProof/>
          <w:lang w:val="en-IE"/>
        </w:rPr>
        <w:t>.</w:t>
      </w:r>
    </w:p>
    <w:p w14:paraId="617F9094" w14:textId="40D5241C" w:rsidR="00226ABB" w:rsidRPr="00B8512B" w:rsidRDefault="00226ABB" w:rsidP="00226ABB">
      <w:pPr>
        <w:rPr>
          <w:rFonts w:ascii="Times New Roman" w:hAnsi="Times New Roman" w:cs="Times New Roman"/>
          <w:noProof/>
          <w:szCs w:val="24"/>
          <w:lang w:val="en-IE"/>
        </w:rPr>
      </w:pPr>
    </w:p>
    <w:p w14:paraId="5E02D2DA" w14:textId="0049DE75" w:rsidR="00E33A1A" w:rsidRPr="00B8512B" w:rsidRDefault="00E63333">
      <w:pPr>
        <w:pStyle w:val="Heading2"/>
        <w:rPr>
          <w:rFonts w:ascii="Times New Roman" w:hAnsi="Times New Roman" w:cs="Times New Roman"/>
          <w:noProof/>
          <w:lang w:val="en-IE"/>
        </w:rPr>
      </w:pPr>
      <w:bookmarkStart w:id="22" w:name="_Toc81927269"/>
      <w:r w:rsidRPr="00B8512B">
        <w:rPr>
          <w:rFonts w:ascii="Times New Roman" w:hAnsi="Times New Roman" w:cs="Times New Roman"/>
          <w:noProof/>
          <w:lang w:val="en-IE"/>
        </w:rPr>
        <w:t xml:space="preserve"> </w:t>
      </w:r>
      <w:r w:rsidR="00E33A1A" w:rsidRPr="00B8512B">
        <w:rPr>
          <w:rFonts w:ascii="Times New Roman" w:hAnsi="Times New Roman" w:cs="Times New Roman"/>
          <w:noProof/>
          <w:lang w:val="en-IE"/>
        </w:rPr>
        <w:t>E</w:t>
      </w:r>
      <w:r w:rsidR="00A26C90" w:rsidRPr="00B8512B">
        <w:rPr>
          <w:rFonts w:ascii="Times New Roman" w:hAnsi="Times New Roman" w:cs="Times New Roman"/>
          <w:noProof/>
          <w:lang w:val="en-IE"/>
        </w:rPr>
        <w:t xml:space="preserve">uropean </w:t>
      </w:r>
      <w:r w:rsidR="00EF2DAF">
        <w:rPr>
          <w:rFonts w:ascii="Times New Roman" w:hAnsi="Times New Roman" w:cs="Times New Roman"/>
          <w:noProof/>
          <w:lang w:val="en-IE"/>
        </w:rPr>
        <w:t>r</w:t>
      </w:r>
      <w:r w:rsidR="00A26C90" w:rsidRPr="00B8512B">
        <w:rPr>
          <w:rFonts w:ascii="Times New Roman" w:hAnsi="Times New Roman" w:cs="Times New Roman"/>
          <w:noProof/>
          <w:lang w:val="en-IE"/>
        </w:rPr>
        <w:t xml:space="preserve">eference </w:t>
      </w:r>
      <w:r w:rsidR="00EF2DAF">
        <w:rPr>
          <w:rFonts w:ascii="Times New Roman" w:hAnsi="Times New Roman" w:cs="Times New Roman"/>
          <w:noProof/>
          <w:lang w:val="en-IE"/>
        </w:rPr>
        <w:t>n</w:t>
      </w:r>
      <w:r w:rsidR="00A26C90" w:rsidRPr="00B8512B">
        <w:rPr>
          <w:rFonts w:ascii="Times New Roman" w:hAnsi="Times New Roman" w:cs="Times New Roman"/>
          <w:noProof/>
          <w:lang w:val="en-IE"/>
        </w:rPr>
        <w:t>etwork</w:t>
      </w:r>
      <w:r w:rsidR="00E33A1A" w:rsidRPr="00B8512B">
        <w:rPr>
          <w:rFonts w:ascii="Times New Roman" w:hAnsi="Times New Roman" w:cs="Times New Roman"/>
          <w:noProof/>
          <w:lang w:val="en-IE"/>
        </w:rPr>
        <w:t>s</w:t>
      </w:r>
      <w:bookmarkEnd w:id="22"/>
    </w:p>
    <w:p w14:paraId="24405AC1" w14:textId="3871DE7D" w:rsidR="1AB367C5" w:rsidRPr="00B8512B" w:rsidRDefault="1AB367C5" w:rsidP="373BA9CC">
      <w:pPr>
        <w:rPr>
          <w:rFonts w:ascii="Times New Roman" w:hAnsi="Times New Roman" w:cs="Times New Roman"/>
          <w:noProof/>
        </w:rPr>
      </w:pPr>
      <w:r w:rsidRPr="00B8512B">
        <w:rPr>
          <w:rFonts w:ascii="Times New Roman" w:eastAsia="Times New Roman" w:hAnsi="Times New Roman" w:cs="Times New Roman"/>
          <w:noProof/>
          <w:szCs w:val="24"/>
          <w:lang w:val="en-IE"/>
        </w:rPr>
        <w:t xml:space="preserve">The </w:t>
      </w:r>
      <w:r w:rsidRPr="00355B5C">
        <w:rPr>
          <w:rFonts w:ascii="Times New Roman" w:eastAsia="Times New Roman" w:hAnsi="Times New Roman" w:cs="Times New Roman"/>
          <w:noProof/>
          <w:szCs w:val="24"/>
          <w:lang w:val="en-IE"/>
        </w:rPr>
        <w:t>ERNs</w:t>
      </w:r>
      <w:r w:rsidR="00355B5C">
        <w:rPr>
          <w:rStyle w:val="FootnoteReference"/>
          <w:rFonts w:ascii="Times New Roman" w:eastAsia="Times New Roman" w:hAnsi="Times New Roman" w:cs="Times New Roman"/>
          <w:noProof/>
          <w:szCs w:val="24"/>
          <w:lang w:val="en-IE"/>
        </w:rPr>
        <w:footnoteReference w:id="45"/>
      </w:r>
      <w:r w:rsidRPr="00B8512B">
        <w:rPr>
          <w:rFonts w:ascii="Times New Roman" w:eastAsia="Times New Roman" w:hAnsi="Times New Roman" w:cs="Times New Roman"/>
          <w:noProof/>
          <w:szCs w:val="24"/>
          <w:lang w:val="en-IE"/>
        </w:rPr>
        <w:t xml:space="preserve"> are virtual, voluntary cross-border networks, bringing together </w:t>
      </w:r>
      <w:r w:rsidR="0031787C" w:rsidRPr="00B8512B">
        <w:rPr>
          <w:rFonts w:ascii="Times New Roman" w:eastAsia="Times New Roman" w:hAnsi="Times New Roman" w:cs="Times New Roman"/>
          <w:noProof/>
          <w:szCs w:val="24"/>
          <w:lang w:val="en-IE"/>
        </w:rPr>
        <w:t xml:space="preserve">highly specialised </w:t>
      </w:r>
      <w:r w:rsidRPr="00B8512B">
        <w:rPr>
          <w:rFonts w:ascii="Times New Roman" w:eastAsia="Times New Roman" w:hAnsi="Times New Roman" w:cs="Times New Roman"/>
          <w:noProof/>
          <w:szCs w:val="24"/>
          <w:lang w:val="en-IE"/>
        </w:rPr>
        <w:t>healthcare providers across Europe to help diagnose and treat patients suffering from rare</w:t>
      </w:r>
      <w:r w:rsidR="00A078C9" w:rsidRPr="00B8512B">
        <w:rPr>
          <w:rFonts w:ascii="Times New Roman" w:eastAsia="Times New Roman" w:hAnsi="Times New Roman" w:cs="Times New Roman"/>
          <w:noProof/>
          <w:szCs w:val="24"/>
          <w:lang w:val="en-IE"/>
        </w:rPr>
        <w:t xml:space="preserve"> or</w:t>
      </w:r>
      <w:r w:rsidRPr="00B8512B">
        <w:rPr>
          <w:rFonts w:ascii="Times New Roman" w:eastAsia="Times New Roman" w:hAnsi="Times New Roman" w:cs="Times New Roman"/>
          <w:noProof/>
          <w:szCs w:val="24"/>
          <w:lang w:val="en-IE"/>
        </w:rPr>
        <w:t xml:space="preserve"> low prevalence </w:t>
      </w:r>
      <w:r w:rsidR="00625B81" w:rsidRPr="00B8512B">
        <w:rPr>
          <w:rFonts w:ascii="Times New Roman" w:eastAsia="Times New Roman" w:hAnsi="Times New Roman" w:cs="Times New Roman"/>
          <w:noProof/>
          <w:szCs w:val="24"/>
          <w:lang w:val="en-IE"/>
        </w:rPr>
        <w:t xml:space="preserve">complex </w:t>
      </w:r>
      <w:r w:rsidRPr="00B8512B">
        <w:rPr>
          <w:rFonts w:ascii="Times New Roman" w:eastAsia="Times New Roman" w:hAnsi="Times New Roman" w:cs="Times New Roman"/>
          <w:noProof/>
          <w:szCs w:val="24"/>
          <w:lang w:val="en-IE"/>
        </w:rPr>
        <w:t>diseases that require highly specialised healthcare and a concentration of knowledge and resources.</w:t>
      </w:r>
      <w:r w:rsidR="002544F8" w:rsidRPr="00B8512B">
        <w:rPr>
          <w:rFonts w:ascii="Times New Roman" w:eastAsia="Times New Roman" w:hAnsi="Times New Roman" w:cs="Times New Roman"/>
          <w:noProof/>
          <w:szCs w:val="24"/>
          <w:lang w:val="en-IE"/>
        </w:rPr>
        <w:t xml:space="preserve"> The</w:t>
      </w:r>
      <w:r w:rsidR="00EF2DAF">
        <w:rPr>
          <w:rFonts w:ascii="Times New Roman" w:eastAsia="Times New Roman" w:hAnsi="Times New Roman" w:cs="Times New Roman"/>
          <w:noProof/>
          <w:szCs w:val="24"/>
          <w:lang w:val="en-IE"/>
        </w:rPr>
        <w:t>y</w:t>
      </w:r>
      <w:r w:rsidR="002544F8" w:rsidRPr="00B8512B">
        <w:rPr>
          <w:rFonts w:ascii="Times New Roman" w:eastAsia="Times New Roman" w:hAnsi="Times New Roman" w:cs="Times New Roman"/>
          <w:noProof/>
          <w:szCs w:val="24"/>
          <w:lang w:val="en-IE"/>
        </w:rPr>
        <w:t xml:space="preserve"> </w:t>
      </w:r>
      <w:r w:rsidR="0031787C" w:rsidRPr="00B8512B">
        <w:rPr>
          <w:rFonts w:ascii="Times New Roman" w:eastAsia="Times New Roman" w:hAnsi="Times New Roman" w:cs="Times New Roman"/>
          <w:noProof/>
          <w:szCs w:val="24"/>
          <w:lang w:val="en-IE"/>
        </w:rPr>
        <w:t xml:space="preserve">act as key </w:t>
      </w:r>
      <w:r w:rsidR="002544F8" w:rsidRPr="00B8512B">
        <w:rPr>
          <w:rFonts w:ascii="Times New Roman" w:eastAsia="Times New Roman" w:hAnsi="Times New Roman" w:cs="Times New Roman"/>
          <w:noProof/>
          <w:szCs w:val="24"/>
          <w:lang w:val="en-IE"/>
        </w:rPr>
        <w:t xml:space="preserve">focal points for knowledge generation and dissemination, </w:t>
      </w:r>
      <w:r w:rsidR="0031787C" w:rsidRPr="00B8512B">
        <w:rPr>
          <w:rFonts w:ascii="Times New Roman" w:eastAsia="Times New Roman" w:hAnsi="Times New Roman" w:cs="Times New Roman"/>
          <w:noProof/>
          <w:szCs w:val="24"/>
          <w:lang w:val="en-IE"/>
        </w:rPr>
        <w:t xml:space="preserve">health </w:t>
      </w:r>
      <w:r w:rsidR="002544F8" w:rsidRPr="00B8512B">
        <w:rPr>
          <w:rFonts w:ascii="Times New Roman" w:eastAsia="Times New Roman" w:hAnsi="Times New Roman" w:cs="Times New Roman"/>
          <w:noProof/>
          <w:szCs w:val="24"/>
          <w:lang w:val="en-IE"/>
        </w:rPr>
        <w:t>professional training</w:t>
      </w:r>
      <w:r w:rsidR="0031787C" w:rsidRPr="00B8512B">
        <w:rPr>
          <w:rFonts w:ascii="Times New Roman" w:eastAsia="Times New Roman" w:hAnsi="Times New Roman" w:cs="Times New Roman"/>
          <w:noProof/>
          <w:szCs w:val="24"/>
          <w:lang w:val="en-IE"/>
        </w:rPr>
        <w:t>,</w:t>
      </w:r>
      <w:r w:rsidR="002544F8" w:rsidRPr="00B8512B">
        <w:rPr>
          <w:rFonts w:ascii="Times New Roman" w:eastAsia="Times New Roman" w:hAnsi="Times New Roman" w:cs="Times New Roman"/>
          <w:noProof/>
          <w:szCs w:val="24"/>
          <w:lang w:val="en-IE"/>
        </w:rPr>
        <w:t xml:space="preserve"> </w:t>
      </w:r>
      <w:r w:rsidR="009D03DC">
        <w:rPr>
          <w:rFonts w:ascii="Times New Roman" w:eastAsia="Times New Roman" w:hAnsi="Times New Roman" w:cs="Times New Roman"/>
          <w:noProof/>
          <w:szCs w:val="24"/>
          <w:lang w:val="en-IE"/>
        </w:rPr>
        <w:t xml:space="preserve">and </w:t>
      </w:r>
      <w:r w:rsidR="002544F8" w:rsidRPr="00B8512B">
        <w:rPr>
          <w:rFonts w:ascii="Times New Roman" w:eastAsia="Times New Roman" w:hAnsi="Times New Roman" w:cs="Times New Roman"/>
          <w:noProof/>
          <w:szCs w:val="24"/>
          <w:lang w:val="en-IE"/>
        </w:rPr>
        <w:t xml:space="preserve">education and research in the area of rare </w:t>
      </w:r>
      <w:r w:rsidR="00A078C9" w:rsidRPr="00B8512B">
        <w:rPr>
          <w:rFonts w:ascii="Times New Roman" w:eastAsia="Times New Roman" w:hAnsi="Times New Roman" w:cs="Times New Roman"/>
          <w:noProof/>
          <w:szCs w:val="24"/>
          <w:lang w:val="en-IE"/>
        </w:rPr>
        <w:t>or</w:t>
      </w:r>
      <w:r w:rsidR="002544F8" w:rsidRPr="00B8512B">
        <w:rPr>
          <w:rFonts w:ascii="Times New Roman" w:eastAsia="Times New Roman" w:hAnsi="Times New Roman" w:cs="Times New Roman"/>
          <w:noProof/>
          <w:szCs w:val="24"/>
          <w:lang w:val="en-IE"/>
        </w:rPr>
        <w:t xml:space="preserve"> low prevalence </w:t>
      </w:r>
      <w:r w:rsidR="00812148" w:rsidRPr="00B8512B">
        <w:rPr>
          <w:rFonts w:ascii="Times New Roman" w:eastAsia="Times New Roman" w:hAnsi="Times New Roman" w:cs="Times New Roman"/>
          <w:noProof/>
          <w:szCs w:val="24"/>
          <w:lang w:val="en-IE"/>
        </w:rPr>
        <w:t>complex</w:t>
      </w:r>
      <w:r w:rsidR="002544F8" w:rsidRPr="00B8512B">
        <w:rPr>
          <w:rFonts w:ascii="Times New Roman" w:eastAsia="Times New Roman" w:hAnsi="Times New Roman" w:cs="Times New Roman"/>
          <w:noProof/>
          <w:szCs w:val="24"/>
          <w:lang w:val="en-IE"/>
        </w:rPr>
        <w:t xml:space="preserve"> diseases.</w:t>
      </w:r>
    </w:p>
    <w:p w14:paraId="5FBE28E7" w14:textId="28F69815" w:rsidR="1AB367C5" w:rsidRPr="00B8512B" w:rsidRDefault="009F2D7E" w:rsidP="373BA9CC">
      <w:pPr>
        <w:rPr>
          <w:rFonts w:ascii="Times New Roman" w:hAnsi="Times New Roman" w:cs="Times New Roman"/>
          <w:noProof/>
        </w:rPr>
      </w:pPr>
      <w:r w:rsidRPr="00B8512B">
        <w:rPr>
          <w:rFonts w:ascii="Times New Roman" w:eastAsia="Times New Roman" w:hAnsi="Times New Roman" w:cs="Times New Roman"/>
          <w:noProof/>
          <w:szCs w:val="24"/>
        </w:rPr>
        <w:t xml:space="preserve">Launched in 2017, </w:t>
      </w:r>
      <w:r w:rsidR="002544F8" w:rsidRPr="00B8512B">
        <w:rPr>
          <w:rFonts w:ascii="Times New Roman" w:eastAsia="Times New Roman" w:hAnsi="Times New Roman" w:cs="Times New Roman"/>
          <w:noProof/>
          <w:szCs w:val="24"/>
          <w:lang w:val="en-IE"/>
        </w:rPr>
        <w:t>24 ERNs</w:t>
      </w:r>
      <w:r w:rsidR="1AB367C5" w:rsidRPr="00B8512B">
        <w:rPr>
          <w:rFonts w:ascii="Times New Roman" w:eastAsia="Times New Roman" w:hAnsi="Times New Roman" w:cs="Times New Roman"/>
          <w:noProof/>
          <w:szCs w:val="24"/>
          <w:lang w:val="en-IE"/>
        </w:rPr>
        <w:t xml:space="preserve"> </w:t>
      </w:r>
      <w:r w:rsidRPr="00B8512B">
        <w:rPr>
          <w:rFonts w:ascii="Times New Roman" w:eastAsia="Times New Roman" w:hAnsi="Times New Roman" w:cs="Times New Roman"/>
          <w:noProof/>
          <w:szCs w:val="24"/>
          <w:lang w:val="en-IE"/>
        </w:rPr>
        <w:t xml:space="preserve">are </w:t>
      </w:r>
      <w:r w:rsidR="00EF2DAF">
        <w:rPr>
          <w:rFonts w:ascii="Times New Roman" w:eastAsia="Times New Roman" w:hAnsi="Times New Roman" w:cs="Times New Roman"/>
          <w:noProof/>
          <w:szCs w:val="24"/>
          <w:lang w:val="en-IE"/>
        </w:rPr>
        <w:t xml:space="preserve">now </w:t>
      </w:r>
      <w:r w:rsidRPr="00B8512B">
        <w:rPr>
          <w:rFonts w:ascii="Times New Roman" w:eastAsia="Times New Roman" w:hAnsi="Times New Roman" w:cs="Times New Roman"/>
          <w:noProof/>
          <w:szCs w:val="24"/>
          <w:lang w:val="en-IE"/>
        </w:rPr>
        <w:t>working on a wide range of thematic issues including</w:t>
      </w:r>
      <w:r w:rsidR="00F73936" w:rsidRPr="00B8512B">
        <w:rPr>
          <w:rFonts w:ascii="Times New Roman" w:eastAsia="Times New Roman" w:hAnsi="Times New Roman" w:cs="Times New Roman"/>
          <w:noProof/>
          <w:szCs w:val="24"/>
          <w:lang w:val="en-IE"/>
        </w:rPr>
        <w:t xml:space="preserve"> rare </w:t>
      </w:r>
      <w:r w:rsidRPr="00B8512B">
        <w:rPr>
          <w:rFonts w:ascii="Times New Roman" w:eastAsia="Times New Roman" w:hAnsi="Times New Roman" w:cs="Times New Roman"/>
          <w:noProof/>
          <w:szCs w:val="24"/>
          <w:lang w:val="en-IE"/>
        </w:rPr>
        <w:t>cancer</w:t>
      </w:r>
      <w:r w:rsidR="00F73936" w:rsidRPr="00B8512B">
        <w:rPr>
          <w:rFonts w:ascii="Times New Roman" w:eastAsia="Times New Roman" w:hAnsi="Times New Roman" w:cs="Times New Roman"/>
          <w:noProof/>
          <w:szCs w:val="24"/>
          <w:lang w:val="en-IE"/>
        </w:rPr>
        <w:t>s</w:t>
      </w:r>
      <w:r w:rsidRPr="00B8512B">
        <w:rPr>
          <w:rFonts w:ascii="Times New Roman" w:eastAsia="Times New Roman" w:hAnsi="Times New Roman" w:cs="Times New Roman"/>
          <w:noProof/>
          <w:szCs w:val="24"/>
          <w:lang w:val="en-IE"/>
        </w:rPr>
        <w:t xml:space="preserve">. </w:t>
      </w:r>
      <w:r w:rsidR="00F73936" w:rsidRPr="00B8512B">
        <w:rPr>
          <w:rFonts w:ascii="Times New Roman" w:eastAsia="Times New Roman" w:hAnsi="Times New Roman" w:cs="Times New Roman"/>
          <w:noProof/>
          <w:szCs w:val="24"/>
          <w:lang w:val="en-IE"/>
        </w:rPr>
        <w:t>T</w:t>
      </w:r>
      <w:r w:rsidRPr="00B8512B">
        <w:rPr>
          <w:rFonts w:ascii="Times New Roman" w:eastAsia="Times New Roman" w:hAnsi="Times New Roman" w:cs="Times New Roman"/>
          <w:noProof/>
          <w:szCs w:val="24"/>
          <w:lang w:val="en-IE"/>
        </w:rPr>
        <w:t>he</w:t>
      </w:r>
      <w:r w:rsidR="00870B76">
        <w:rPr>
          <w:rFonts w:ascii="Times New Roman" w:eastAsia="Times New Roman" w:hAnsi="Times New Roman" w:cs="Times New Roman"/>
          <w:noProof/>
          <w:szCs w:val="24"/>
          <w:lang w:val="en-IE"/>
        </w:rPr>
        <w:t>y</w:t>
      </w:r>
      <w:r w:rsidRPr="00B8512B">
        <w:rPr>
          <w:rFonts w:ascii="Times New Roman" w:eastAsia="Times New Roman" w:hAnsi="Times New Roman" w:cs="Times New Roman"/>
          <w:noProof/>
          <w:szCs w:val="24"/>
          <w:lang w:val="en-IE"/>
        </w:rPr>
        <w:t xml:space="preserve"> ha</w:t>
      </w:r>
      <w:r w:rsidR="00D863D7" w:rsidRPr="00B8512B">
        <w:rPr>
          <w:rFonts w:ascii="Times New Roman" w:eastAsia="Times New Roman" w:hAnsi="Times New Roman" w:cs="Times New Roman"/>
          <w:noProof/>
          <w:szCs w:val="24"/>
          <w:lang w:val="en-IE"/>
        </w:rPr>
        <w:t xml:space="preserve">ve </w:t>
      </w:r>
      <w:r w:rsidRPr="00B8512B">
        <w:rPr>
          <w:rFonts w:ascii="Times New Roman" w:eastAsia="Times New Roman" w:hAnsi="Times New Roman" w:cs="Times New Roman"/>
          <w:noProof/>
          <w:szCs w:val="24"/>
          <w:lang w:val="en-IE"/>
        </w:rPr>
        <w:t xml:space="preserve">expanded significantly </w:t>
      </w:r>
      <w:r w:rsidR="00061719" w:rsidRPr="00B8512B">
        <w:rPr>
          <w:rFonts w:ascii="Times New Roman" w:eastAsia="Times New Roman" w:hAnsi="Times New Roman" w:cs="Times New Roman"/>
          <w:noProof/>
          <w:szCs w:val="24"/>
          <w:lang w:val="en-IE"/>
        </w:rPr>
        <w:t>since then</w:t>
      </w:r>
      <w:r w:rsidR="00870B76">
        <w:rPr>
          <w:rFonts w:ascii="Times New Roman" w:eastAsia="Times New Roman" w:hAnsi="Times New Roman" w:cs="Times New Roman"/>
          <w:noProof/>
          <w:szCs w:val="24"/>
          <w:lang w:val="en-IE"/>
        </w:rPr>
        <w:t>,</w:t>
      </w:r>
      <w:r w:rsidR="00061719" w:rsidRPr="00B8512B">
        <w:rPr>
          <w:rFonts w:ascii="Times New Roman" w:eastAsia="Times New Roman" w:hAnsi="Times New Roman" w:cs="Times New Roman"/>
          <w:noProof/>
          <w:szCs w:val="24"/>
          <w:lang w:val="en-IE"/>
        </w:rPr>
        <w:t xml:space="preserve"> </w:t>
      </w:r>
      <w:r w:rsidRPr="00B8512B">
        <w:rPr>
          <w:rFonts w:ascii="Times New Roman" w:eastAsia="Times New Roman" w:hAnsi="Times New Roman" w:cs="Times New Roman"/>
          <w:noProof/>
          <w:szCs w:val="24"/>
          <w:lang w:val="en-IE"/>
        </w:rPr>
        <w:t xml:space="preserve">reinforcing the </w:t>
      </w:r>
      <w:r w:rsidR="00FB528C" w:rsidRPr="00B8512B">
        <w:rPr>
          <w:rFonts w:ascii="Times New Roman" w:eastAsia="Times New Roman" w:hAnsi="Times New Roman" w:cs="Times New Roman"/>
          <w:noProof/>
          <w:szCs w:val="24"/>
          <w:lang w:val="en-IE"/>
        </w:rPr>
        <w:t xml:space="preserve">EU’s </w:t>
      </w:r>
      <w:r w:rsidRPr="00B8512B">
        <w:rPr>
          <w:rFonts w:ascii="Times New Roman" w:eastAsia="Times New Roman" w:hAnsi="Times New Roman" w:cs="Times New Roman"/>
          <w:noProof/>
          <w:szCs w:val="24"/>
          <w:lang w:val="en-IE"/>
        </w:rPr>
        <w:t xml:space="preserve">capacity to provide the best expertise and life-saving knowledge for patients with rare </w:t>
      </w:r>
      <w:r w:rsidR="00C26586" w:rsidRPr="00B8512B">
        <w:rPr>
          <w:rFonts w:ascii="Times New Roman" w:eastAsia="Times New Roman" w:hAnsi="Times New Roman" w:cs="Times New Roman"/>
          <w:noProof/>
          <w:szCs w:val="24"/>
          <w:lang w:val="en-IE"/>
        </w:rPr>
        <w:t xml:space="preserve">and low prevalence complex </w:t>
      </w:r>
      <w:r w:rsidR="00941E60" w:rsidRPr="00B8512B">
        <w:rPr>
          <w:rFonts w:ascii="Times New Roman" w:eastAsia="Times New Roman" w:hAnsi="Times New Roman" w:cs="Times New Roman"/>
          <w:noProof/>
          <w:szCs w:val="24"/>
          <w:lang w:val="en-IE"/>
        </w:rPr>
        <w:t>diseases</w:t>
      </w:r>
      <w:r w:rsidRPr="00B8512B">
        <w:rPr>
          <w:rFonts w:ascii="Times New Roman" w:eastAsia="Times New Roman" w:hAnsi="Times New Roman" w:cs="Times New Roman"/>
          <w:noProof/>
          <w:szCs w:val="24"/>
          <w:lang w:val="en-IE"/>
        </w:rPr>
        <w:t xml:space="preserve">. As </w:t>
      </w:r>
      <w:r w:rsidR="1AB367C5" w:rsidRPr="00B8512B">
        <w:rPr>
          <w:rFonts w:ascii="Times New Roman" w:eastAsia="Times New Roman" w:hAnsi="Times New Roman" w:cs="Times New Roman"/>
          <w:noProof/>
          <w:szCs w:val="24"/>
          <w:lang w:val="en-IE"/>
        </w:rPr>
        <w:t xml:space="preserve">of </w:t>
      </w:r>
      <w:r w:rsidR="00870B76" w:rsidRPr="00B8512B">
        <w:rPr>
          <w:rFonts w:ascii="Times New Roman" w:eastAsia="Times New Roman" w:hAnsi="Times New Roman" w:cs="Times New Roman"/>
          <w:noProof/>
          <w:szCs w:val="24"/>
          <w:lang w:val="en-IE"/>
        </w:rPr>
        <w:t>1</w:t>
      </w:r>
      <w:r w:rsidR="00870B76">
        <w:rPr>
          <w:rFonts w:ascii="Times New Roman" w:eastAsia="Times New Roman" w:hAnsi="Times New Roman" w:cs="Times New Roman"/>
          <w:noProof/>
          <w:szCs w:val="24"/>
          <w:lang w:val="en-IE"/>
        </w:rPr>
        <w:t> </w:t>
      </w:r>
      <w:r w:rsidR="00870B76" w:rsidRPr="00B8512B">
        <w:rPr>
          <w:rFonts w:ascii="Times New Roman" w:eastAsia="Times New Roman" w:hAnsi="Times New Roman" w:cs="Times New Roman"/>
          <w:noProof/>
          <w:szCs w:val="24"/>
          <w:lang w:val="en-IE"/>
        </w:rPr>
        <w:t>January</w:t>
      </w:r>
      <w:r w:rsidR="00870B76">
        <w:rPr>
          <w:rFonts w:ascii="Times New Roman" w:eastAsia="Times New Roman" w:hAnsi="Times New Roman" w:cs="Times New Roman"/>
          <w:noProof/>
          <w:szCs w:val="24"/>
          <w:lang w:val="en-IE"/>
        </w:rPr>
        <w:t> </w:t>
      </w:r>
      <w:r w:rsidR="1AB367C5" w:rsidRPr="00B8512B">
        <w:rPr>
          <w:rFonts w:ascii="Times New Roman" w:eastAsia="Times New Roman" w:hAnsi="Times New Roman" w:cs="Times New Roman"/>
          <w:noProof/>
          <w:szCs w:val="24"/>
          <w:lang w:val="en-IE"/>
        </w:rPr>
        <w:t xml:space="preserve">2022, 620 </w:t>
      </w:r>
      <w:r w:rsidR="004318BA" w:rsidRPr="00B8512B">
        <w:rPr>
          <w:rFonts w:ascii="Times New Roman" w:eastAsia="Times New Roman" w:hAnsi="Times New Roman" w:cs="Times New Roman"/>
          <w:noProof/>
          <w:szCs w:val="24"/>
          <w:lang w:val="en-IE"/>
        </w:rPr>
        <w:t>new members</w:t>
      </w:r>
      <w:r w:rsidR="1AB367C5" w:rsidRPr="00B8512B">
        <w:rPr>
          <w:rFonts w:ascii="Times New Roman" w:eastAsia="Times New Roman" w:hAnsi="Times New Roman" w:cs="Times New Roman"/>
          <w:noProof/>
          <w:szCs w:val="24"/>
          <w:lang w:val="en-IE"/>
        </w:rPr>
        <w:t xml:space="preserve"> join</w:t>
      </w:r>
      <w:r w:rsidR="000B4FA7" w:rsidRPr="00B8512B">
        <w:rPr>
          <w:rFonts w:ascii="Times New Roman" w:eastAsia="Times New Roman" w:hAnsi="Times New Roman" w:cs="Times New Roman"/>
          <w:noProof/>
          <w:szCs w:val="24"/>
          <w:lang w:val="en-IE"/>
        </w:rPr>
        <w:t>ed</w:t>
      </w:r>
      <w:r w:rsidR="004318BA" w:rsidRPr="00B8512B">
        <w:rPr>
          <w:rFonts w:ascii="Times New Roman" w:eastAsia="Times New Roman" w:hAnsi="Times New Roman" w:cs="Times New Roman"/>
          <w:noProof/>
          <w:szCs w:val="24"/>
          <w:lang w:val="en-IE"/>
        </w:rPr>
        <w:t xml:space="preserve"> the </w:t>
      </w:r>
      <w:r w:rsidR="00061719" w:rsidRPr="00B8512B">
        <w:rPr>
          <w:rFonts w:ascii="Times New Roman" w:eastAsia="Times New Roman" w:hAnsi="Times New Roman" w:cs="Times New Roman"/>
          <w:noProof/>
          <w:szCs w:val="24"/>
          <w:lang w:val="en-IE"/>
        </w:rPr>
        <w:t xml:space="preserve">network </w:t>
      </w:r>
      <w:r w:rsidR="004318BA" w:rsidRPr="00B8512B">
        <w:rPr>
          <w:rFonts w:ascii="Times New Roman" w:eastAsia="Times New Roman" w:hAnsi="Times New Roman" w:cs="Times New Roman"/>
          <w:noProof/>
          <w:szCs w:val="24"/>
          <w:lang w:val="en-IE"/>
        </w:rPr>
        <w:t>bringing the total number of ERN members to 1</w:t>
      </w:r>
      <w:r w:rsidR="00870B76">
        <w:rPr>
          <w:rFonts w:ascii="Times New Roman" w:eastAsia="Times New Roman" w:hAnsi="Times New Roman" w:cs="Times New Roman"/>
          <w:noProof/>
          <w:szCs w:val="24"/>
          <w:lang w:val="en-IE"/>
        </w:rPr>
        <w:t> </w:t>
      </w:r>
      <w:r w:rsidR="004318BA" w:rsidRPr="00B8512B">
        <w:rPr>
          <w:rFonts w:ascii="Times New Roman" w:eastAsia="Times New Roman" w:hAnsi="Times New Roman" w:cs="Times New Roman"/>
          <w:noProof/>
          <w:szCs w:val="24"/>
          <w:lang w:val="en-IE"/>
        </w:rPr>
        <w:t>466</w:t>
      </w:r>
      <w:r w:rsidR="00061719" w:rsidRPr="00B8512B">
        <w:rPr>
          <w:rFonts w:ascii="Times New Roman" w:eastAsia="Times New Roman" w:hAnsi="Times New Roman" w:cs="Times New Roman"/>
          <w:noProof/>
          <w:szCs w:val="24"/>
          <w:lang w:val="en-IE"/>
        </w:rPr>
        <w:t xml:space="preserve"> and extending its</w:t>
      </w:r>
      <w:r w:rsidR="1AB367C5" w:rsidRPr="00B8512B">
        <w:rPr>
          <w:rFonts w:ascii="Times New Roman" w:eastAsia="Times New Roman" w:hAnsi="Times New Roman" w:cs="Times New Roman"/>
          <w:noProof/>
          <w:szCs w:val="24"/>
          <w:lang w:val="en-IE"/>
        </w:rPr>
        <w:t xml:space="preserve"> geographical coverage </w:t>
      </w:r>
      <w:r w:rsidR="004318BA" w:rsidRPr="00B8512B">
        <w:rPr>
          <w:rFonts w:ascii="Times New Roman" w:eastAsia="Times New Roman" w:hAnsi="Times New Roman" w:cs="Times New Roman"/>
          <w:noProof/>
          <w:szCs w:val="24"/>
          <w:lang w:val="en-IE"/>
        </w:rPr>
        <w:t>to all 27 Member States and</w:t>
      </w:r>
      <w:r w:rsidR="1AB367C5" w:rsidRPr="00B8512B">
        <w:rPr>
          <w:rFonts w:ascii="Times New Roman" w:eastAsia="Times New Roman" w:hAnsi="Times New Roman" w:cs="Times New Roman"/>
          <w:noProof/>
          <w:szCs w:val="24"/>
          <w:lang w:val="en-IE"/>
        </w:rPr>
        <w:t xml:space="preserve"> Norway. </w:t>
      </w:r>
      <w:r w:rsidR="00061719" w:rsidRPr="00B8512B">
        <w:rPr>
          <w:rFonts w:ascii="Times New Roman" w:eastAsia="Times New Roman" w:hAnsi="Times New Roman" w:cs="Times New Roman"/>
          <w:noProof/>
          <w:szCs w:val="24"/>
          <w:lang w:val="en-IE"/>
        </w:rPr>
        <w:t xml:space="preserve">By </w:t>
      </w:r>
      <w:r w:rsidR="00F73936" w:rsidRPr="00B8512B">
        <w:rPr>
          <w:rFonts w:ascii="Times New Roman" w:eastAsia="Times New Roman" w:hAnsi="Times New Roman" w:cs="Times New Roman"/>
          <w:noProof/>
          <w:szCs w:val="24"/>
          <w:lang w:val="en-IE"/>
        </w:rPr>
        <w:t>the end of 2020</w:t>
      </w:r>
      <w:r w:rsidR="00061719" w:rsidRPr="00B8512B">
        <w:rPr>
          <w:rFonts w:ascii="Times New Roman" w:eastAsia="Times New Roman" w:hAnsi="Times New Roman" w:cs="Times New Roman"/>
          <w:noProof/>
          <w:szCs w:val="24"/>
          <w:lang w:val="en-IE"/>
        </w:rPr>
        <w:t>,</w:t>
      </w:r>
      <w:r w:rsidR="00F73936" w:rsidRPr="00B8512B">
        <w:rPr>
          <w:rFonts w:ascii="Times New Roman" w:eastAsia="Times New Roman" w:hAnsi="Times New Roman" w:cs="Times New Roman"/>
          <w:noProof/>
          <w:szCs w:val="24"/>
          <w:lang w:val="en-IE"/>
        </w:rPr>
        <w:t xml:space="preserve"> ERNs </w:t>
      </w:r>
      <w:r w:rsidR="00070317" w:rsidRPr="00B8512B">
        <w:rPr>
          <w:rFonts w:ascii="Times New Roman" w:eastAsia="Times New Roman" w:hAnsi="Times New Roman" w:cs="Times New Roman"/>
          <w:noProof/>
          <w:szCs w:val="24"/>
          <w:lang w:val="en-IE"/>
        </w:rPr>
        <w:t xml:space="preserve">also </w:t>
      </w:r>
      <w:r w:rsidR="00F73936" w:rsidRPr="00B8512B">
        <w:rPr>
          <w:rFonts w:ascii="Times New Roman" w:eastAsia="Times New Roman" w:hAnsi="Times New Roman" w:cs="Times New Roman"/>
          <w:noProof/>
          <w:szCs w:val="24"/>
          <w:lang w:val="en-IE"/>
        </w:rPr>
        <w:t>include</w:t>
      </w:r>
      <w:r w:rsidR="00061719" w:rsidRPr="00B8512B">
        <w:rPr>
          <w:rFonts w:ascii="Times New Roman" w:eastAsia="Times New Roman" w:hAnsi="Times New Roman" w:cs="Times New Roman"/>
          <w:noProof/>
          <w:szCs w:val="24"/>
          <w:lang w:val="en-IE"/>
        </w:rPr>
        <w:t>d</w:t>
      </w:r>
      <w:r w:rsidR="00F73936" w:rsidRPr="00B8512B">
        <w:rPr>
          <w:rFonts w:ascii="Times New Roman" w:eastAsia="Times New Roman" w:hAnsi="Times New Roman" w:cs="Times New Roman"/>
          <w:noProof/>
          <w:szCs w:val="24"/>
          <w:lang w:val="en-IE"/>
        </w:rPr>
        <w:t xml:space="preserve"> 289 </w:t>
      </w:r>
      <w:r w:rsidR="00870B76">
        <w:rPr>
          <w:rFonts w:ascii="Times New Roman" w:eastAsia="Times New Roman" w:hAnsi="Times New Roman" w:cs="Times New Roman"/>
          <w:noProof/>
          <w:szCs w:val="24"/>
          <w:lang w:val="en-IE"/>
        </w:rPr>
        <w:t>a</w:t>
      </w:r>
      <w:r w:rsidR="00F73936" w:rsidRPr="00B8512B">
        <w:rPr>
          <w:rFonts w:ascii="Times New Roman" w:eastAsia="Times New Roman" w:hAnsi="Times New Roman" w:cs="Times New Roman"/>
          <w:noProof/>
          <w:szCs w:val="24"/>
          <w:lang w:val="en-IE"/>
        </w:rPr>
        <w:t xml:space="preserve">ffiliated </w:t>
      </w:r>
      <w:r w:rsidR="00870B76">
        <w:rPr>
          <w:rFonts w:ascii="Times New Roman" w:eastAsia="Times New Roman" w:hAnsi="Times New Roman" w:cs="Times New Roman"/>
          <w:noProof/>
          <w:szCs w:val="24"/>
          <w:lang w:val="en-IE"/>
        </w:rPr>
        <w:t>p</w:t>
      </w:r>
      <w:r w:rsidR="00F73936" w:rsidRPr="00B8512B">
        <w:rPr>
          <w:rFonts w:ascii="Times New Roman" w:eastAsia="Times New Roman" w:hAnsi="Times New Roman" w:cs="Times New Roman"/>
          <w:noProof/>
          <w:szCs w:val="24"/>
          <w:lang w:val="en-IE"/>
        </w:rPr>
        <w:t xml:space="preserve">artners (228 </w:t>
      </w:r>
      <w:r w:rsidR="00870B76">
        <w:rPr>
          <w:rFonts w:ascii="Times New Roman" w:eastAsia="Times New Roman" w:hAnsi="Times New Roman" w:cs="Times New Roman"/>
          <w:noProof/>
          <w:szCs w:val="24"/>
          <w:lang w:val="en-IE"/>
        </w:rPr>
        <w:t>a</w:t>
      </w:r>
      <w:r w:rsidR="00F73936" w:rsidRPr="00B8512B">
        <w:rPr>
          <w:rFonts w:ascii="Times New Roman" w:eastAsia="Times New Roman" w:hAnsi="Times New Roman" w:cs="Times New Roman"/>
          <w:noProof/>
          <w:szCs w:val="24"/>
          <w:lang w:val="en-IE"/>
        </w:rPr>
        <w:t xml:space="preserve">ssociated </w:t>
      </w:r>
      <w:r w:rsidR="00870B76">
        <w:rPr>
          <w:rFonts w:ascii="Times New Roman" w:eastAsia="Times New Roman" w:hAnsi="Times New Roman" w:cs="Times New Roman"/>
          <w:noProof/>
          <w:szCs w:val="24"/>
          <w:lang w:val="en-IE"/>
        </w:rPr>
        <w:t>n</w:t>
      </w:r>
      <w:r w:rsidR="00F73936" w:rsidRPr="00B8512B">
        <w:rPr>
          <w:rFonts w:ascii="Times New Roman" w:eastAsia="Times New Roman" w:hAnsi="Times New Roman" w:cs="Times New Roman"/>
          <w:noProof/>
          <w:szCs w:val="24"/>
          <w:lang w:val="en-IE"/>
        </w:rPr>
        <w:t xml:space="preserve">ational </w:t>
      </w:r>
      <w:r w:rsidR="00870B76">
        <w:rPr>
          <w:rFonts w:ascii="Times New Roman" w:eastAsia="Times New Roman" w:hAnsi="Times New Roman" w:cs="Times New Roman"/>
          <w:noProof/>
          <w:szCs w:val="24"/>
          <w:lang w:val="en-IE"/>
        </w:rPr>
        <w:t>c</w:t>
      </w:r>
      <w:r w:rsidR="00F73936" w:rsidRPr="00B8512B">
        <w:rPr>
          <w:rFonts w:ascii="Times New Roman" w:eastAsia="Times New Roman" w:hAnsi="Times New Roman" w:cs="Times New Roman"/>
          <w:noProof/>
          <w:szCs w:val="24"/>
          <w:lang w:val="en-IE"/>
        </w:rPr>
        <w:t xml:space="preserve">entres plus 61 centres belonging to 4 </w:t>
      </w:r>
      <w:r w:rsidR="00870B76">
        <w:rPr>
          <w:rFonts w:ascii="Times New Roman" w:eastAsia="Times New Roman" w:hAnsi="Times New Roman" w:cs="Times New Roman"/>
          <w:noProof/>
          <w:szCs w:val="24"/>
          <w:lang w:val="en-IE"/>
        </w:rPr>
        <w:t>n</w:t>
      </w:r>
      <w:r w:rsidR="00F73936" w:rsidRPr="00B8512B">
        <w:rPr>
          <w:rFonts w:ascii="Times New Roman" w:eastAsia="Times New Roman" w:hAnsi="Times New Roman" w:cs="Times New Roman"/>
          <w:noProof/>
          <w:szCs w:val="24"/>
          <w:lang w:val="en-IE"/>
        </w:rPr>
        <w:t xml:space="preserve">ational </w:t>
      </w:r>
      <w:r w:rsidR="00870B76">
        <w:rPr>
          <w:rFonts w:ascii="Times New Roman" w:eastAsia="Times New Roman" w:hAnsi="Times New Roman" w:cs="Times New Roman"/>
          <w:noProof/>
          <w:szCs w:val="24"/>
          <w:lang w:val="en-IE"/>
        </w:rPr>
        <w:t>c</w:t>
      </w:r>
      <w:r w:rsidR="00F73936" w:rsidRPr="00B8512B">
        <w:rPr>
          <w:rFonts w:ascii="Times New Roman" w:eastAsia="Times New Roman" w:hAnsi="Times New Roman" w:cs="Times New Roman"/>
          <w:noProof/>
          <w:szCs w:val="24"/>
          <w:lang w:val="en-IE"/>
        </w:rPr>
        <w:t xml:space="preserve">oordination </w:t>
      </w:r>
      <w:r w:rsidR="00870B76">
        <w:rPr>
          <w:rFonts w:ascii="Times New Roman" w:eastAsia="Times New Roman" w:hAnsi="Times New Roman" w:cs="Times New Roman"/>
          <w:noProof/>
          <w:szCs w:val="24"/>
          <w:lang w:val="en-IE"/>
        </w:rPr>
        <w:t>h</w:t>
      </w:r>
      <w:r w:rsidR="00F73936" w:rsidRPr="00B8512B">
        <w:rPr>
          <w:rFonts w:ascii="Times New Roman" w:eastAsia="Times New Roman" w:hAnsi="Times New Roman" w:cs="Times New Roman"/>
          <w:noProof/>
          <w:szCs w:val="24"/>
          <w:lang w:val="en-IE"/>
        </w:rPr>
        <w:t>ubs).</w:t>
      </w:r>
      <w:r w:rsidR="00061719" w:rsidRPr="00B8512B">
        <w:rPr>
          <w:rFonts w:ascii="Times New Roman" w:eastAsia="Times New Roman" w:hAnsi="Times New Roman" w:cs="Times New Roman"/>
          <w:noProof/>
          <w:szCs w:val="24"/>
          <w:lang w:val="en-IE"/>
        </w:rPr>
        <w:t xml:space="preserve"> The four rare-cancer </w:t>
      </w:r>
      <w:r w:rsidR="00070317" w:rsidRPr="00B8512B">
        <w:rPr>
          <w:rFonts w:ascii="Times New Roman" w:eastAsia="Times New Roman" w:hAnsi="Times New Roman" w:cs="Times New Roman"/>
          <w:noProof/>
          <w:szCs w:val="24"/>
          <w:lang w:val="en-IE"/>
        </w:rPr>
        <w:t xml:space="preserve">ERNs will play an important </w:t>
      </w:r>
      <w:r w:rsidR="00A77137">
        <w:rPr>
          <w:rFonts w:ascii="Times New Roman" w:eastAsia="Times New Roman" w:hAnsi="Times New Roman" w:cs="Times New Roman"/>
          <w:noProof/>
          <w:szCs w:val="24"/>
          <w:lang w:val="en-IE"/>
        </w:rPr>
        <w:t>role</w:t>
      </w:r>
      <w:r w:rsidR="00A77137" w:rsidRPr="00B8512B">
        <w:rPr>
          <w:rFonts w:ascii="Times New Roman" w:eastAsia="Times New Roman" w:hAnsi="Times New Roman" w:cs="Times New Roman"/>
          <w:noProof/>
          <w:szCs w:val="24"/>
          <w:lang w:val="en-IE"/>
        </w:rPr>
        <w:t xml:space="preserve"> </w:t>
      </w:r>
      <w:r w:rsidR="00070317" w:rsidRPr="00B8512B">
        <w:rPr>
          <w:rFonts w:ascii="Times New Roman" w:eastAsia="Times New Roman" w:hAnsi="Times New Roman" w:cs="Times New Roman"/>
          <w:noProof/>
          <w:szCs w:val="24"/>
          <w:lang w:val="en-IE"/>
        </w:rPr>
        <w:t xml:space="preserve">in </w:t>
      </w:r>
      <w:r w:rsidR="00070317" w:rsidRPr="00355B5C">
        <w:rPr>
          <w:rFonts w:ascii="Times New Roman" w:eastAsia="Times New Roman" w:hAnsi="Times New Roman" w:cs="Times New Roman"/>
          <w:noProof/>
          <w:szCs w:val="24"/>
          <w:lang w:val="en-IE"/>
        </w:rPr>
        <w:t>Europe’s Beating Cancer Plan</w:t>
      </w:r>
      <w:r w:rsidR="00355B5C">
        <w:rPr>
          <w:rStyle w:val="FootnoteReference"/>
          <w:rFonts w:ascii="Times New Roman" w:eastAsia="Times New Roman" w:hAnsi="Times New Roman" w:cs="Times New Roman"/>
          <w:noProof/>
          <w:szCs w:val="24"/>
          <w:lang w:val="en-IE"/>
        </w:rPr>
        <w:footnoteReference w:id="46"/>
      </w:r>
      <w:r w:rsidR="00070317" w:rsidRPr="00B8512B">
        <w:rPr>
          <w:rFonts w:ascii="Times New Roman" w:eastAsia="Times New Roman" w:hAnsi="Times New Roman" w:cs="Times New Roman"/>
          <w:noProof/>
          <w:szCs w:val="24"/>
          <w:lang w:val="en-IE"/>
        </w:rPr>
        <w:t xml:space="preserve"> </w:t>
      </w:r>
      <w:r w:rsidR="00D77751">
        <w:rPr>
          <w:rFonts w:ascii="Times New Roman" w:eastAsia="Times New Roman" w:hAnsi="Times New Roman" w:cs="Times New Roman"/>
          <w:noProof/>
          <w:szCs w:val="24"/>
          <w:lang w:val="en-IE"/>
        </w:rPr>
        <w:t xml:space="preserve">and the </w:t>
      </w:r>
      <w:r w:rsidR="00D77751" w:rsidRPr="00355B5C">
        <w:rPr>
          <w:rFonts w:ascii="Times New Roman" w:eastAsia="Times New Roman" w:hAnsi="Times New Roman" w:cs="Times New Roman"/>
          <w:noProof/>
          <w:szCs w:val="24"/>
          <w:lang w:val="en-IE"/>
        </w:rPr>
        <w:t>EU Mission on Cancer</w:t>
      </w:r>
      <w:r w:rsidR="00355B5C">
        <w:rPr>
          <w:rStyle w:val="FootnoteReference"/>
          <w:rFonts w:ascii="Times New Roman" w:eastAsia="Times New Roman" w:hAnsi="Times New Roman" w:cs="Times New Roman"/>
          <w:noProof/>
          <w:szCs w:val="24"/>
          <w:lang w:val="en-IE"/>
        </w:rPr>
        <w:footnoteReference w:id="47"/>
      </w:r>
      <w:r w:rsidR="00D77751">
        <w:rPr>
          <w:rFonts w:ascii="Times New Roman" w:eastAsia="Times New Roman" w:hAnsi="Times New Roman" w:cs="Times New Roman"/>
          <w:noProof/>
          <w:szCs w:val="24"/>
          <w:lang w:val="en-IE"/>
        </w:rPr>
        <w:t xml:space="preserve"> </w:t>
      </w:r>
      <w:r w:rsidR="00070317" w:rsidRPr="00B8512B">
        <w:rPr>
          <w:rFonts w:ascii="Times New Roman" w:eastAsia="Times New Roman" w:hAnsi="Times New Roman" w:cs="Times New Roman"/>
          <w:noProof/>
          <w:szCs w:val="24"/>
          <w:lang w:val="en-IE"/>
        </w:rPr>
        <w:t>linking into the future Network of National Comprehensive Cancer Centres.</w:t>
      </w:r>
    </w:p>
    <w:p w14:paraId="13049A3A" w14:textId="389E8829" w:rsidR="1AB367C5" w:rsidRDefault="00FE28BE" w:rsidP="373BA9CC">
      <w:pPr>
        <w:rPr>
          <w:rFonts w:ascii="Times New Roman" w:eastAsia="Times New Roman" w:hAnsi="Times New Roman" w:cs="Times New Roman"/>
          <w:noProof/>
          <w:szCs w:val="24"/>
          <w:lang w:val="en-IE"/>
        </w:rPr>
      </w:pPr>
      <w:r w:rsidRPr="00B8512B">
        <w:rPr>
          <w:rFonts w:ascii="Times New Roman" w:eastAsia="Times New Roman" w:hAnsi="Times New Roman" w:cs="Times New Roman"/>
          <w:noProof/>
          <w:szCs w:val="24"/>
          <w:lang w:val="en-IE"/>
        </w:rPr>
        <w:t>In November 2017</w:t>
      </w:r>
      <w:r w:rsidR="00941E60" w:rsidRPr="00B8512B">
        <w:rPr>
          <w:rFonts w:ascii="Times New Roman" w:eastAsia="Times New Roman" w:hAnsi="Times New Roman" w:cs="Times New Roman"/>
          <w:noProof/>
          <w:szCs w:val="24"/>
          <w:lang w:val="en-IE"/>
        </w:rPr>
        <w:t>,</w:t>
      </w:r>
      <w:r w:rsidRPr="00B8512B">
        <w:rPr>
          <w:rFonts w:ascii="Times New Roman" w:eastAsia="Times New Roman" w:hAnsi="Times New Roman" w:cs="Times New Roman"/>
          <w:noProof/>
          <w:szCs w:val="24"/>
          <w:lang w:val="en-IE"/>
        </w:rPr>
        <w:t xml:space="preserve"> </w:t>
      </w:r>
      <w:r w:rsidR="1AB367C5" w:rsidRPr="00B8512B">
        <w:rPr>
          <w:rFonts w:ascii="Times New Roman" w:eastAsia="Times New Roman" w:hAnsi="Times New Roman" w:cs="Times New Roman"/>
          <w:noProof/>
          <w:szCs w:val="24"/>
          <w:lang w:val="en-IE"/>
        </w:rPr>
        <w:t xml:space="preserve">the </w:t>
      </w:r>
      <w:r w:rsidRPr="00B8512B">
        <w:rPr>
          <w:rFonts w:ascii="Times New Roman" w:eastAsia="Times New Roman" w:hAnsi="Times New Roman" w:cs="Times New Roman"/>
          <w:noProof/>
          <w:szCs w:val="24"/>
          <w:lang w:val="en-IE"/>
        </w:rPr>
        <w:t xml:space="preserve">Commission-funded </w:t>
      </w:r>
      <w:r w:rsidR="1AB367C5" w:rsidRPr="00B8512B">
        <w:rPr>
          <w:rFonts w:ascii="Times New Roman" w:eastAsia="Times New Roman" w:hAnsi="Times New Roman" w:cs="Times New Roman"/>
          <w:noProof/>
          <w:szCs w:val="24"/>
          <w:lang w:val="en-IE"/>
        </w:rPr>
        <w:t>Clinical Patient Management System</w:t>
      </w:r>
      <w:r w:rsidR="00227A36">
        <w:rPr>
          <w:rStyle w:val="FootnoteReference"/>
          <w:rFonts w:ascii="Times New Roman" w:eastAsia="Times New Roman" w:hAnsi="Times New Roman" w:cs="Times New Roman"/>
          <w:noProof/>
          <w:szCs w:val="24"/>
          <w:lang w:val="en-IE"/>
        </w:rPr>
        <w:footnoteReference w:id="48"/>
      </w:r>
      <w:r w:rsidR="1AB367C5" w:rsidRPr="00B8512B">
        <w:rPr>
          <w:rFonts w:ascii="Times New Roman" w:eastAsia="Times New Roman" w:hAnsi="Times New Roman" w:cs="Times New Roman"/>
          <w:noProof/>
          <w:szCs w:val="24"/>
          <w:lang w:val="en-IE"/>
        </w:rPr>
        <w:t xml:space="preserve"> became operational.</w:t>
      </w:r>
      <w:r w:rsidRPr="00B8512B">
        <w:rPr>
          <w:rFonts w:ascii="Times New Roman" w:eastAsia="Times New Roman" w:hAnsi="Times New Roman" w:cs="Times New Roman"/>
          <w:noProof/>
          <w:szCs w:val="24"/>
          <w:lang w:val="en-IE"/>
        </w:rPr>
        <w:t xml:space="preserve"> This dedicated IT platform</w:t>
      </w:r>
      <w:r w:rsidR="00941E60" w:rsidRPr="00B8512B">
        <w:rPr>
          <w:rFonts w:ascii="Times New Roman" w:eastAsia="Times New Roman" w:hAnsi="Times New Roman" w:cs="Times New Roman"/>
          <w:noProof/>
          <w:szCs w:val="24"/>
          <w:lang w:val="en-IE"/>
        </w:rPr>
        <w:t xml:space="preserve"> </w:t>
      </w:r>
      <w:r w:rsidRPr="00B8512B">
        <w:rPr>
          <w:rFonts w:ascii="Times New Roman" w:eastAsia="Times New Roman" w:hAnsi="Times New Roman" w:cs="Times New Roman"/>
          <w:noProof/>
          <w:szCs w:val="24"/>
          <w:lang w:val="en-IE"/>
        </w:rPr>
        <w:t>supports the v</w:t>
      </w:r>
      <w:r w:rsidR="1AB367C5" w:rsidRPr="00B8512B">
        <w:rPr>
          <w:rFonts w:ascii="Times New Roman" w:eastAsia="Times New Roman" w:hAnsi="Times New Roman" w:cs="Times New Roman"/>
          <w:noProof/>
          <w:szCs w:val="24"/>
          <w:lang w:val="en-IE"/>
        </w:rPr>
        <w:t xml:space="preserve">irtual </w:t>
      </w:r>
      <w:r w:rsidR="004318BA" w:rsidRPr="00B8512B">
        <w:rPr>
          <w:rFonts w:ascii="Times New Roman" w:eastAsia="Times New Roman" w:hAnsi="Times New Roman" w:cs="Times New Roman"/>
          <w:noProof/>
          <w:szCs w:val="24"/>
          <w:lang w:val="en-IE"/>
        </w:rPr>
        <w:t xml:space="preserve">expert </w:t>
      </w:r>
      <w:r w:rsidR="1AB367C5" w:rsidRPr="00B8512B">
        <w:rPr>
          <w:rFonts w:ascii="Times New Roman" w:eastAsia="Times New Roman" w:hAnsi="Times New Roman" w:cs="Times New Roman"/>
          <w:noProof/>
          <w:szCs w:val="24"/>
          <w:lang w:val="en-IE"/>
        </w:rPr>
        <w:t xml:space="preserve">panels </w:t>
      </w:r>
      <w:r w:rsidRPr="00B8512B">
        <w:rPr>
          <w:rFonts w:ascii="Times New Roman" w:eastAsia="Times New Roman" w:hAnsi="Times New Roman" w:cs="Times New Roman"/>
          <w:noProof/>
          <w:szCs w:val="24"/>
          <w:lang w:val="en-IE"/>
        </w:rPr>
        <w:t xml:space="preserve">of ERN </w:t>
      </w:r>
      <w:r w:rsidR="004D63D2" w:rsidRPr="00B8512B">
        <w:rPr>
          <w:rFonts w:ascii="Times New Roman" w:eastAsia="Times New Roman" w:hAnsi="Times New Roman" w:cs="Times New Roman"/>
          <w:noProof/>
          <w:szCs w:val="24"/>
          <w:lang w:val="en-IE"/>
        </w:rPr>
        <w:t>health professionals</w:t>
      </w:r>
      <w:r w:rsidR="002219E8">
        <w:rPr>
          <w:rFonts w:ascii="Times New Roman" w:eastAsia="Times New Roman" w:hAnsi="Times New Roman" w:cs="Times New Roman"/>
          <w:noProof/>
          <w:szCs w:val="24"/>
          <w:lang w:val="en-IE"/>
        </w:rPr>
        <w:t>,</w:t>
      </w:r>
      <w:r w:rsidR="1AB367C5" w:rsidRPr="00B8512B">
        <w:rPr>
          <w:rFonts w:ascii="Times New Roman" w:eastAsia="Times New Roman" w:hAnsi="Times New Roman" w:cs="Times New Roman"/>
          <w:noProof/>
          <w:szCs w:val="24"/>
          <w:lang w:val="en-IE"/>
        </w:rPr>
        <w:t xml:space="preserve"> from different centres of expertise across the EU</w:t>
      </w:r>
      <w:r w:rsidR="002219E8">
        <w:rPr>
          <w:rFonts w:ascii="Times New Roman" w:eastAsia="Times New Roman" w:hAnsi="Times New Roman" w:cs="Times New Roman"/>
          <w:noProof/>
          <w:szCs w:val="24"/>
          <w:lang w:val="en-IE"/>
        </w:rPr>
        <w:t>,</w:t>
      </w:r>
      <w:r w:rsidR="00061719" w:rsidRPr="00B8512B">
        <w:rPr>
          <w:rFonts w:ascii="Times New Roman" w:eastAsia="Times New Roman" w:hAnsi="Times New Roman" w:cs="Times New Roman"/>
          <w:noProof/>
          <w:szCs w:val="24"/>
          <w:lang w:val="en-IE"/>
        </w:rPr>
        <w:t xml:space="preserve"> </w:t>
      </w:r>
      <w:r w:rsidR="00716425" w:rsidRPr="00B8512B">
        <w:rPr>
          <w:rFonts w:ascii="Times New Roman" w:eastAsia="Times New Roman" w:hAnsi="Times New Roman" w:cs="Times New Roman"/>
          <w:noProof/>
          <w:szCs w:val="24"/>
          <w:lang w:val="en-IE"/>
        </w:rPr>
        <w:t xml:space="preserve">who convene </w:t>
      </w:r>
      <w:r w:rsidR="00070317" w:rsidRPr="00B8512B">
        <w:rPr>
          <w:rFonts w:ascii="Times New Roman" w:eastAsia="Times New Roman" w:hAnsi="Times New Roman" w:cs="Times New Roman"/>
          <w:noProof/>
          <w:szCs w:val="24"/>
          <w:lang w:val="en-IE"/>
        </w:rPr>
        <w:t xml:space="preserve">to share their expertise </w:t>
      </w:r>
      <w:r w:rsidR="00716425" w:rsidRPr="00B8512B">
        <w:rPr>
          <w:rFonts w:ascii="Times New Roman" w:eastAsia="Times New Roman" w:hAnsi="Times New Roman" w:cs="Times New Roman"/>
          <w:noProof/>
          <w:szCs w:val="24"/>
          <w:lang w:val="en-IE"/>
        </w:rPr>
        <w:t>for the</w:t>
      </w:r>
      <w:r w:rsidR="00070317" w:rsidRPr="00B8512B">
        <w:rPr>
          <w:rFonts w:ascii="Times New Roman" w:eastAsia="Times New Roman" w:hAnsi="Times New Roman" w:cs="Times New Roman"/>
          <w:noProof/>
          <w:szCs w:val="24"/>
          <w:lang w:val="en-IE"/>
        </w:rPr>
        <w:t xml:space="preserve"> diagnos</w:t>
      </w:r>
      <w:r w:rsidR="00716425" w:rsidRPr="00B8512B">
        <w:rPr>
          <w:rFonts w:ascii="Times New Roman" w:eastAsia="Times New Roman" w:hAnsi="Times New Roman" w:cs="Times New Roman"/>
          <w:noProof/>
          <w:szCs w:val="24"/>
          <w:lang w:val="en-IE"/>
        </w:rPr>
        <w:t>is</w:t>
      </w:r>
      <w:r w:rsidR="00070317" w:rsidRPr="00B8512B">
        <w:rPr>
          <w:rFonts w:ascii="Times New Roman" w:eastAsia="Times New Roman" w:hAnsi="Times New Roman" w:cs="Times New Roman"/>
          <w:noProof/>
          <w:szCs w:val="24"/>
          <w:lang w:val="en-IE"/>
        </w:rPr>
        <w:t xml:space="preserve"> and treat</w:t>
      </w:r>
      <w:r w:rsidR="00716425" w:rsidRPr="00B8512B">
        <w:rPr>
          <w:rFonts w:ascii="Times New Roman" w:eastAsia="Times New Roman" w:hAnsi="Times New Roman" w:cs="Times New Roman"/>
          <w:noProof/>
          <w:szCs w:val="24"/>
          <w:lang w:val="en-IE"/>
        </w:rPr>
        <w:t>ment of</w:t>
      </w:r>
      <w:r w:rsidR="00061719" w:rsidRPr="00B8512B">
        <w:rPr>
          <w:rFonts w:ascii="Times New Roman" w:eastAsia="Times New Roman" w:hAnsi="Times New Roman" w:cs="Times New Roman"/>
          <w:noProof/>
          <w:szCs w:val="24"/>
          <w:lang w:val="en-IE"/>
        </w:rPr>
        <w:t xml:space="preserve"> </w:t>
      </w:r>
      <w:r w:rsidR="009D03DC" w:rsidRPr="00B8512B">
        <w:rPr>
          <w:rFonts w:ascii="Times New Roman" w:eastAsia="Times New Roman" w:hAnsi="Times New Roman" w:cs="Times New Roman"/>
          <w:noProof/>
          <w:szCs w:val="24"/>
          <w:lang w:val="en-IE"/>
        </w:rPr>
        <w:t>patients</w:t>
      </w:r>
      <w:r w:rsidR="009D03DC">
        <w:rPr>
          <w:rFonts w:ascii="Times New Roman" w:eastAsia="Times New Roman" w:hAnsi="Times New Roman" w:cs="Times New Roman"/>
          <w:noProof/>
          <w:szCs w:val="24"/>
          <w:lang w:val="en-IE"/>
        </w:rPr>
        <w:t xml:space="preserve"> with</w:t>
      </w:r>
      <w:r w:rsidR="009D03DC" w:rsidRPr="00B8512B">
        <w:rPr>
          <w:rFonts w:ascii="Times New Roman" w:eastAsia="Times New Roman" w:hAnsi="Times New Roman" w:cs="Times New Roman"/>
          <w:noProof/>
          <w:szCs w:val="24"/>
          <w:lang w:val="en-IE"/>
        </w:rPr>
        <w:t xml:space="preserve"> </w:t>
      </w:r>
      <w:r w:rsidR="00061719" w:rsidRPr="00B8512B">
        <w:rPr>
          <w:rFonts w:ascii="Times New Roman" w:eastAsia="Times New Roman" w:hAnsi="Times New Roman" w:cs="Times New Roman"/>
          <w:noProof/>
          <w:szCs w:val="24"/>
          <w:lang w:val="en-IE"/>
        </w:rPr>
        <w:t xml:space="preserve">rare </w:t>
      </w:r>
      <w:r w:rsidR="00C26586" w:rsidRPr="00B8512B">
        <w:rPr>
          <w:rFonts w:ascii="Times New Roman" w:eastAsia="Times New Roman" w:hAnsi="Times New Roman" w:cs="Times New Roman"/>
          <w:noProof/>
          <w:szCs w:val="24"/>
          <w:lang w:val="en-IE"/>
        </w:rPr>
        <w:t xml:space="preserve">and low prevalence complex </w:t>
      </w:r>
      <w:r w:rsidR="00061719" w:rsidRPr="00B8512B">
        <w:rPr>
          <w:rFonts w:ascii="Times New Roman" w:eastAsia="Times New Roman" w:hAnsi="Times New Roman" w:cs="Times New Roman"/>
          <w:noProof/>
          <w:szCs w:val="24"/>
          <w:lang w:val="en-IE"/>
        </w:rPr>
        <w:t>disease</w:t>
      </w:r>
      <w:r w:rsidR="1AB367C5" w:rsidRPr="00B8512B">
        <w:rPr>
          <w:rFonts w:ascii="Times New Roman" w:eastAsia="Times New Roman" w:hAnsi="Times New Roman" w:cs="Times New Roman"/>
          <w:noProof/>
          <w:szCs w:val="24"/>
          <w:lang w:val="en-IE"/>
        </w:rPr>
        <w:t xml:space="preserve">. By June 2021, </w:t>
      </w:r>
      <w:r w:rsidR="00812148" w:rsidRPr="00B8512B">
        <w:rPr>
          <w:rFonts w:ascii="Times New Roman" w:eastAsia="Times New Roman" w:hAnsi="Times New Roman" w:cs="Times New Roman"/>
          <w:noProof/>
          <w:szCs w:val="24"/>
          <w:lang w:val="en-IE"/>
        </w:rPr>
        <w:t>almost</w:t>
      </w:r>
      <w:r w:rsidR="1AB367C5" w:rsidRPr="00B8512B">
        <w:rPr>
          <w:rFonts w:ascii="Times New Roman" w:eastAsia="Times New Roman" w:hAnsi="Times New Roman" w:cs="Times New Roman"/>
          <w:noProof/>
          <w:szCs w:val="24"/>
          <w:lang w:val="en-IE"/>
        </w:rPr>
        <w:t xml:space="preserve"> 2</w:t>
      </w:r>
      <w:r w:rsidR="002219E8">
        <w:rPr>
          <w:rFonts w:ascii="Times New Roman" w:eastAsia="Times New Roman" w:hAnsi="Times New Roman" w:cs="Times New Roman"/>
          <w:noProof/>
          <w:szCs w:val="24"/>
          <w:lang w:val="en-IE"/>
        </w:rPr>
        <w:t> </w:t>
      </w:r>
      <w:r w:rsidR="00812148" w:rsidRPr="00B8512B">
        <w:rPr>
          <w:rFonts w:ascii="Times New Roman" w:eastAsia="Times New Roman" w:hAnsi="Times New Roman" w:cs="Times New Roman"/>
          <w:noProof/>
          <w:szCs w:val="24"/>
          <w:lang w:val="en-IE"/>
        </w:rPr>
        <w:t>0</w:t>
      </w:r>
      <w:r w:rsidR="1AB367C5" w:rsidRPr="00B8512B">
        <w:rPr>
          <w:rFonts w:ascii="Times New Roman" w:eastAsia="Times New Roman" w:hAnsi="Times New Roman" w:cs="Times New Roman"/>
          <w:noProof/>
          <w:szCs w:val="24"/>
          <w:lang w:val="en-IE"/>
        </w:rPr>
        <w:t xml:space="preserve">00 </w:t>
      </w:r>
      <w:r w:rsidR="004318BA" w:rsidRPr="00B8512B">
        <w:rPr>
          <w:rFonts w:ascii="Times New Roman" w:eastAsia="Times New Roman" w:hAnsi="Times New Roman" w:cs="Times New Roman"/>
          <w:noProof/>
          <w:szCs w:val="24"/>
          <w:lang w:val="en-IE"/>
        </w:rPr>
        <w:t xml:space="preserve">expert </w:t>
      </w:r>
      <w:r w:rsidR="1AB367C5" w:rsidRPr="00B8512B">
        <w:rPr>
          <w:rFonts w:ascii="Times New Roman" w:eastAsia="Times New Roman" w:hAnsi="Times New Roman" w:cs="Times New Roman"/>
          <w:noProof/>
          <w:szCs w:val="24"/>
          <w:lang w:val="en-IE"/>
        </w:rPr>
        <w:t xml:space="preserve">panels had been opened, </w:t>
      </w:r>
      <w:r w:rsidR="00E9776D" w:rsidRPr="00B8512B">
        <w:rPr>
          <w:rFonts w:ascii="Times New Roman" w:eastAsia="Times New Roman" w:hAnsi="Times New Roman" w:cs="Times New Roman"/>
          <w:noProof/>
          <w:szCs w:val="24"/>
          <w:lang w:val="en-IE"/>
        </w:rPr>
        <w:t xml:space="preserve">with </w:t>
      </w:r>
      <w:r w:rsidR="1AB367C5" w:rsidRPr="00B8512B">
        <w:rPr>
          <w:rFonts w:ascii="Times New Roman" w:eastAsia="Times New Roman" w:hAnsi="Times New Roman" w:cs="Times New Roman"/>
          <w:noProof/>
          <w:szCs w:val="24"/>
          <w:lang w:val="en-IE"/>
        </w:rPr>
        <w:t xml:space="preserve">the number growing </w:t>
      </w:r>
      <w:r w:rsidR="004318BA" w:rsidRPr="00B8512B">
        <w:rPr>
          <w:rFonts w:ascii="Times New Roman" w:eastAsia="Times New Roman" w:hAnsi="Times New Roman" w:cs="Times New Roman"/>
          <w:noProof/>
          <w:szCs w:val="24"/>
          <w:lang w:val="en-IE"/>
        </w:rPr>
        <w:t>steadily</w:t>
      </w:r>
      <w:r w:rsidR="1AB367C5" w:rsidRPr="00B8512B">
        <w:rPr>
          <w:rFonts w:ascii="Times New Roman" w:eastAsia="Times New Roman" w:hAnsi="Times New Roman" w:cs="Times New Roman"/>
          <w:noProof/>
          <w:szCs w:val="24"/>
          <w:lang w:val="en-IE"/>
        </w:rPr>
        <w:t xml:space="preserve">. </w:t>
      </w:r>
      <w:r w:rsidRPr="00B8512B">
        <w:rPr>
          <w:rFonts w:ascii="Times New Roman" w:eastAsia="Times New Roman" w:hAnsi="Times New Roman" w:cs="Times New Roman"/>
          <w:noProof/>
          <w:szCs w:val="24"/>
          <w:lang w:val="en-IE"/>
        </w:rPr>
        <w:t>The Commission is working on a</w:t>
      </w:r>
      <w:r w:rsidR="004318BA" w:rsidRPr="00B8512B">
        <w:rPr>
          <w:rFonts w:ascii="Times New Roman" w:eastAsia="Times New Roman" w:hAnsi="Times New Roman" w:cs="Times New Roman"/>
          <w:noProof/>
          <w:szCs w:val="24"/>
          <w:lang w:val="en-IE"/>
        </w:rPr>
        <w:t xml:space="preserve">n improved version </w:t>
      </w:r>
      <w:r w:rsidRPr="00B8512B">
        <w:rPr>
          <w:rFonts w:ascii="Times New Roman" w:eastAsia="Times New Roman" w:hAnsi="Times New Roman" w:cs="Times New Roman"/>
          <w:noProof/>
          <w:szCs w:val="24"/>
          <w:lang w:val="en-IE"/>
        </w:rPr>
        <w:t xml:space="preserve">of the </w:t>
      </w:r>
      <w:r w:rsidR="002219E8">
        <w:rPr>
          <w:rFonts w:ascii="Times New Roman" w:eastAsia="Times New Roman" w:hAnsi="Times New Roman" w:cs="Times New Roman"/>
          <w:noProof/>
          <w:szCs w:val="24"/>
          <w:lang w:val="en-IE"/>
        </w:rPr>
        <w:t>s</w:t>
      </w:r>
      <w:r w:rsidR="002219E8" w:rsidRPr="002219E8">
        <w:rPr>
          <w:rFonts w:ascii="Times New Roman" w:eastAsia="Times New Roman" w:hAnsi="Times New Roman" w:cs="Times New Roman"/>
          <w:noProof/>
          <w:szCs w:val="24"/>
          <w:lang w:val="en-IE"/>
        </w:rPr>
        <w:t xml:space="preserve">ystem </w:t>
      </w:r>
      <w:r w:rsidRPr="00B8512B">
        <w:rPr>
          <w:rFonts w:ascii="Times New Roman" w:eastAsia="Times New Roman" w:hAnsi="Times New Roman" w:cs="Times New Roman"/>
          <w:noProof/>
          <w:szCs w:val="24"/>
          <w:lang w:val="en-IE"/>
        </w:rPr>
        <w:t>to enhance its functioning.</w:t>
      </w:r>
    </w:p>
    <w:p w14:paraId="5E0CE611" w14:textId="4A83DC7D" w:rsidR="00B44524" w:rsidRPr="00B8512B" w:rsidRDefault="0076026C" w:rsidP="373BA9CC">
      <w:pPr>
        <w:rPr>
          <w:rFonts w:ascii="Times New Roman" w:hAnsi="Times New Roman" w:cs="Times New Roman"/>
          <w:noProof/>
        </w:rPr>
      </w:pPr>
      <w:r>
        <w:rPr>
          <w:rFonts w:ascii="Times New Roman" w:hAnsi="Times New Roman" w:cs="Times New Roman"/>
          <w:noProof/>
        </w:rPr>
        <w:t xml:space="preserve">To </w:t>
      </w:r>
      <w:r w:rsidR="00B44524">
        <w:rPr>
          <w:rFonts w:ascii="Times New Roman" w:hAnsi="Times New Roman" w:cs="Times New Roman"/>
          <w:noProof/>
        </w:rPr>
        <w:t>facilitat</w:t>
      </w:r>
      <w:r>
        <w:rPr>
          <w:rFonts w:ascii="Times New Roman" w:hAnsi="Times New Roman" w:cs="Times New Roman"/>
          <w:noProof/>
        </w:rPr>
        <w:t>e</w:t>
      </w:r>
      <w:r w:rsidR="00B44524">
        <w:rPr>
          <w:rFonts w:ascii="Times New Roman" w:hAnsi="Times New Roman" w:cs="Times New Roman"/>
          <w:noProof/>
        </w:rPr>
        <w:t xml:space="preserve"> </w:t>
      </w:r>
      <w:r>
        <w:rPr>
          <w:rFonts w:ascii="Times New Roman" w:hAnsi="Times New Roman" w:cs="Times New Roman"/>
          <w:noProof/>
        </w:rPr>
        <w:t xml:space="preserve">the </w:t>
      </w:r>
      <w:r w:rsidR="00B44524">
        <w:rPr>
          <w:rFonts w:ascii="Times New Roman" w:hAnsi="Times New Roman" w:cs="Times New Roman"/>
          <w:noProof/>
        </w:rPr>
        <w:t xml:space="preserve">exchange </w:t>
      </w:r>
      <w:r>
        <w:rPr>
          <w:rFonts w:ascii="Times New Roman" w:hAnsi="Times New Roman" w:cs="Times New Roman"/>
          <w:noProof/>
        </w:rPr>
        <w:t xml:space="preserve">of information </w:t>
      </w:r>
      <w:r w:rsidR="00B44524">
        <w:rPr>
          <w:rFonts w:ascii="Times New Roman" w:hAnsi="Times New Roman" w:cs="Times New Roman"/>
          <w:noProof/>
        </w:rPr>
        <w:t xml:space="preserve">on rare disease patients and </w:t>
      </w:r>
      <w:r>
        <w:rPr>
          <w:rFonts w:ascii="Times New Roman" w:hAnsi="Times New Roman" w:cs="Times New Roman"/>
          <w:noProof/>
        </w:rPr>
        <w:t xml:space="preserve">to support </w:t>
      </w:r>
      <w:r w:rsidR="00B44524">
        <w:rPr>
          <w:rFonts w:ascii="Times New Roman" w:hAnsi="Times New Roman" w:cs="Times New Roman"/>
          <w:noProof/>
        </w:rPr>
        <w:t xml:space="preserve">the ERNs to collect and share information, the Commission also </w:t>
      </w:r>
      <w:r>
        <w:rPr>
          <w:rFonts w:ascii="Times New Roman" w:hAnsi="Times New Roman" w:cs="Times New Roman"/>
          <w:noProof/>
        </w:rPr>
        <w:t xml:space="preserve">set up </w:t>
      </w:r>
      <w:r w:rsidR="00B44524">
        <w:rPr>
          <w:rFonts w:ascii="Times New Roman" w:hAnsi="Times New Roman" w:cs="Times New Roman"/>
          <w:noProof/>
        </w:rPr>
        <w:t xml:space="preserve">the </w:t>
      </w:r>
      <w:r w:rsidR="00481BDB" w:rsidRPr="00481BDB">
        <w:rPr>
          <w:rFonts w:ascii="Times New Roman" w:hAnsi="Times New Roman" w:cs="Times New Roman"/>
          <w:noProof/>
        </w:rPr>
        <w:t>European Platform on Rare Disease Registration (EU RD Platform)</w:t>
      </w:r>
      <w:r w:rsidR="00481BDB">
        <w:rPr>
          <w:rStyle w:val="FootnoteReference"/>
          <w:rFonts w:ascii="Times New Roman" w:hAnsi="Times New Roman" w:cs="Times New Roman"/>
          <w:noProof/>
        </w:rPr>
        <w:footnoteReference w:id="49"/>
      </w:r>
      <w:r>
        <w:rPr>
          <w:rFonts w:ascii="Times New Roman" w:hAnsi="Times New Roman" w:cs="Times New Roman"/>
          <w:noProof/>
        </w:rPr>
        <w:t xml:space="preserve"> in 2019</w:t>
      </w:r>
      <w:r w:rsidR="00B44524">
        <w:rPr>
          <w:noProof/>
        </w:rPr>
        <w:t>.</w:t>
      </w:r>
      <w:r w:rsidRPr="0076026C">
        <w:rPr>
          <w:rFonts w:ascii="Times New Roman" w:hAnsi="Times New Roman" w:cs="Times New Roman"/>
          <w:noProof/>
        </w:rPr>
        <w:t xml:space="preserve"> </w:t>
      </w:r>
    </w:p>
    <w:p w14:paraId="7364DACE" w14:textId="5DE997FB" w:rsidR="00982BA7" w:rsidRPr="00B8512B" w:rsidRDefault="00FE28BE" w:rsidP="00625B81">
      <w:pPr>
        <w:rPr>
          <w:rFonts w:ascii="Times New Roman" w:eastAsia="Times New Roman" w:hAnsi="Times New Roman" w:cs="Times New Roman"/>
          <w:noProof/>
          <w:szCs w:val="24"/>
          <w:lang w:val="en-IE"/>
        </w:rPr>
      </w:pPr>
      <w:r w:rsidRPr="00B8512B">
        <w:rPr>
          <w:rFonts w:ascii="Times New Roman" w:eastAsia="Times New Roman" w:hAnsi="Times New Roman" w:cs="Times New Roman"/>
          <w:noProof/>
          <w:szCs w:val="24"/>
          <w:lang w:val="en-IE"/>
        </w:rPr>
        <w:t xml:space="preserve">The </w:t>
      </w:r>
      <w:r w:rsidR="1AB367C5" w:rsidRPr="00B8512B">
        <w:rPr>
          <w:rFonts w:ascii="Times New Roman" w:eastAsia="Times New Roman" w:hAnsi="Times New Roman" w:cs="Times New Roman"/>
          <w:noProof/>
          <w:szCs w:val="24"/>
          <w:lang w:val="en-IE"/>
        </w:rPr>
        <w:t xml:space="preserve">Commission </w:t>
      </w:r>
      <w:r w:rsidRPr="00B8512B">
        <w:rPr>
          <w:rFonts w:ascii="Times New Roman" w:eastAsia="Times New Roman" w:hAnsi="Times New Roman" w:cs="Times New Roman"/>
          <w:noProof/>
          <w:szCs w:val="24"/>
          <w:lang w:val="en-IE"/>
        </w:rPr>
        <w:t>provide</w:t>
      </w:r>
      <w:r w:rsidR="00381109" w:rsidRPr="00B8512B">
        <w:rPr>
          <w:rFonts w:ascii="Times New Roman" w:eastAsia="Times New Roman" w:hAnsi="Times New Roman" w:cs="Times New Roman"/>
          <w:noProof/>
          <w:szCs w:val="24"/>
          <w:lang w:val="en-IE"/>
        </w:rPr>
        <w:t>d</w:t>
      </w:r>
      <w:r w:rsidRPr="00B8512B">
        <w:rPr>
          <w:rFonts w:ascii="Times New Roman" w:eastAsia="Times New Roman" w:hAnsi="Times New Roman" w:cs="Times New Roman"/>
          <w:noProof/>
          <w:szCs w:val="24"/>
          <w:lang w:val="en-IE"/>
        </w:rPr>
        <w:t xml:space="preserve"> </w:t>
      </w:r>
      <w:r w:rsidR="00D11E01" w:rsidRPr="00B8512B">
        <w:rPr>
          <w:rFonts w:ascii="Times New Roman" w:eastAsia="Times New Roman" w:hAnsi="Times New Roman" w:cs="Times New Roman"/>
          <w:noProof/>
          <w:szCs w:val="24"/>
          <w:lang w:val="en-IE"/>
        </w:rPr>
        <w:t>the ERNs with</w:t>
      </w:r>
      <w:r w:rsidRPr="00B8512B">
        <w:rPr>
          <w:rFonts w:ascii="Times New Roman" w:eastAsia="Times New Roman" w:hAnsi="Times New Roman" w:cs="Times New Roman"/>
          <w:noProof/>
          <w:szCs w:val="24"/>
          <w:lang w:val="en-IE"/>
        </w:rPr>
        <w:t xml:space="preserve"> considerable support </w:t>
      </w:r>
      <w:r w:rsidR="00D11E01" w:rsidRPr="00B8512B">
        <w:rPr>
          <w:rFonts w:ascii="Times New Roman" w:eastAsia="Times New Roman" w:hAnsi="Times New Roman" w:cs="Times New Roman"/>
          <w:noProof/>
          <w:szCs w:val="24"/>
          <w:lang w:val="en-IE"/>
        </w:rPr>
        <w:t xml:space="preserve">through the EU’s Third Health Programme and, since 2021, the EU4Health </w:t>
      </w:r>
      <w:r w:rsidR="002219E8">
        <w:rPr>
          <w:rFonts w:ascii="Times New Roman" w:eastAsia="Times New Roman" w:hAnsi="Times New Roman" w:cs="Times New Roman"/>
          <w:noProof/>
          <w:szCs w:val="24"/>
          <w:lang w:val="en-IE"/>
        </w:rPr>
        <w:t>p</w:t>
      </w:r>
      <w:r w:rsidR="00D11E01" w:rsidRPr="00B8512B">
        <w:rPr>
          <w:rFonts w:ascii="Times New Roman" w:eastAsia="Times New Roman" w:hAnsi="Times New Roman" w:cs="Times New Roman"/>
          <w:noProof/>
          <w:szCs w:val="24"/>
          <w:lang w:val="en-IE"/>
        </w:rPr>
        <w:t xml:space="preserve">rogramme. These include </w:t>
      </w:r>
      <w:r w:rsidR="00381109" w:rsidRPr="00B8512B">
        <w:rPr>
          <w:rFonts w:ascii="Times New Roman" w:eastAsia="Times New Roman" w:hAnsi="Times New Roman" w:cs="Times New Roman"/>
          <w:noProof/>
          <w:szCs w:val="24"/>
          <w:lang w:val="en-IE"/>
        </w:rPr>
        <w:t>a wide range of activities</w:t>
      </w:r>
      <w:r w:rsidR="002219E8">
        <w:rPr>
          <w:rFonts w:ascii="Times New Roman" w:eastAsia="Times New Roman" w:hAnsi="Times New Roman" w:cs="Times New Roman"/>
          <w:noProof/>
          <w:szCs w:val="24"/>
          <w:lang w:val="en-IE"/>
        </w:rPr>
        <w:t>,</w:t>
      </w:r>
      <w:r w:rsidR="00381109" w:rsidRPr="00B8512B">
        <w:rPr>
          <w:rFonts w:ascii="Times New Roman" w:eastAsia="Times New Roman" w:hAnsi="Times New Roman" w:cs="Times New Roman"/>
          <w:noProof/>
          <w:szCs w:val="24"/>
          <w:lang w:val="en-IE"/>
        </w:rPr>
        <w:t xml:space="preserve"> such as </w:t>
      </w:r>
      <w:r w:rsidRPr="00B8512B">
        <w:rPr>
          <w:rFonts w:ascii="Times New Roman" w:eastAsia="Times New Roman" w:hAnsi="Times New Roman" w:cs="Times New Roman"/>
          <w:noProof/>
          <w:szCs w:val="24"/>
          <w:lang w:val="en-IE"/>
        </w:rPr>
        <w:t xml:space="preserve">the development </w:t>
      </w:r>
      <w:r w:rsidR="1AB367C5" w:rsidRPr="00B8512B">
        <w:rPr>
          <w:rFonts w:ascii="Times New Roman" w:eastAsia="Times New Roman" w:hAnsi="Times New Roman" w:cs="Times New Roman"/>
          <w:noProof/>
          <w:szCs w:val="24"/>
          <w:lang w:val="en-IE"/>
        </w:rPr>
        <w:t xml:space="preserve">of </w:t>
      </w:r>
      <w:r w:rsidR="00A078C9" w:rsidRPr="00B8512B">
        <w:rPr>
          <w:rFonts w:ascii="Times New Roman" w:eastAsia="Times New Roman" w:hAnsi="Times New Roman" w:cs="Times New Roman"/>
          <w:noProof/>
          <w:szCs w:val="24"/>
          <w:lang w:val="en-IE"/>
        </w:rPr>
        <w:t>ERN c</w:t>
      </w:r>
      <w:r w:rsidR="1AB367C5" w:rsidRPr="00B8512B">
        <w:rPr>
          <w:rFonts w:ascii="Times New Roman" w:eastAsia="Times New Roman" w:hAnsi="Times New Roman" w:cs="Times New Roman"/>
          <w:noProof/>
          <w:szCs w:val="24"/>
          <w:lang w:val="en-IE"/>
        </w:rPr>
        <w:t xml:space="preserve">linical </w:t>
      </w:r>
      <w:r w:rsidR="00A078C9" w:rsidRPr="00B8512B">
        <w:rPr>
          <w:rFonts w:ascii="Times New Roman" w:eastAsia="Times New Roman" w:hAnsi="Times New Roman" w:cs="Times New Roman"/>
          <w:noProof/>
          <w:szCs w:val="24"/>
          <w:lang w:val="en-IE"/>
        </w:rPr>
        <w:t>p</w:t>
      </w:r>
      <w:r w:rsidR="1AB367C5" w:rsidRPr="00B8512B">
        <w:rPr>
          <w:rFonts w:ascii="Times New Roman" w:eastAsia="Times New Roman" w:hAnsi="Times New Roman" w:cs="Times New Roman"/>
          <w:noProof/>
          <w:szCs w:val="24"/>
          <w:lang w:val="en-IE"/>
        </w:rPr>
        <w:t xml:space="preserve">ractice </w:t>
      </w:r>
      <w:r w:rsidR="00A078C9" w:rsidRPr="00B8512B">
        <w:rPr>
          <w:rFonts w:ascii="Times New Roman" w:eastAsia="Times New Roman" w:hAnsi="Times New Roman" w:cs="Times New Roman"/>
          <w:noProof/>
          <w:szCs w:val="24"/>
          <w:lang w:val="en-IE"/>
        </w:rPr>
        <w:t>g</w:t>
      </w:r>
      <w:r w:rsidR="1AB367C5" w:rsidRPr="00B8512B">
        <w:rPr>
          <w:rFonts w:ascii="Times New Roman" w:eastAsia="Times New Roman" w:hAnsi="Times New Roman" w:cs="Times New Roman"/>
          <w:noProof/>
          <w:szCs w:val="24"/>
          <w:lang w:val="en-IE"/>
        </w:rPr>
        <w:t xml:space="preserve">uidelines </w:t>
      </w:r>
      <w:r w:rsidR="00A078C9" w:rsidRPr="00B8512B">
        <w:rPr>
          <w:rFonts w:ascii="Times New Roman" w:eastAsia="Times New Roman" w:hAnsi="Times New Roman" w:cs="Times New Roman"/>
          <w:noProof/>
          <w:szCs w:val="24"/>
          <w:lang w:val="en-IE"/>
        </w:rPr>
        <w:t>and clinical decision support</w:t>
      </w:r>
      <w:r w:rsidR="00540330" w:rsidRPr="00B8512B">
        <w:rPr>
          <w:rFonts w:ascii="Times New Roman" w:eastAsia="Times New Roman" w:hAnsi="Times New Roman" w:cs="Times New Roman"/>
          <w:noProof/>
          <w:szCs w:val="24"/>
          <w:lang w:val="en-IE"/>
        </w:rPr>
        <w:t xml:space="preserve"> tools, </w:t>
      </w:r>
      <w:r w:rsidR="1AB367C5" w:rsidRPr="00B8512B">
        <w:rPr>
          <w:rFonts w:ascii="Times New Roman" w:eastAsia="Times New Roman" w:hAnsi="Times New Roman" w:cs="Times New Roman"/>
          <w:noProof/>
          <w:szCs w:val="24"/>
          <w:lang w:val="en-IE"/>
        </w:rPr>
        <w:t xml:space="preserve">the </w:t>
      </w:r>
      <w:r w:rsidR="0059298A" w:rsidRPr="00B8512B">
        <w:rPr>
          <w:rFonts w:ascii="Times New Roman" w:eastAsia="Times New Roman" w:hAnsi="Times New Roman" w:cs="Times New Roman"/>
          <w:noProof/>
          <w:szCs w:val="24"/>
          <w:lang w:val="en-IE"/>
        </w:rPr>
        <w:t>development and maint</w:t>
      </w:r>
      <w:r w:rsidR="00C46A50" w:rsidRPr="00B8512B">
        <w:rPr>
          <w:rFonts w:ascii="Times New Roman" w:eastAsia="Times New Roman" w:hAnsi="Times New Roman" w:cs="Times New Roman"/>
          <w:noProof/>
          <w:szCs w:val="24"/>
          <w:lang w:val="en-IE"/>
        </w:rPr>
        <w:t>e</w:t>
      </w:r>
      <w:r w:rsidR="00381109" w:rsidRPr="00B8512B">
        <w:rPr>
          <w:rFonts w:ascii="Times New Roman" w:eastAsia="Times New Roman" w:hAnsi="Times New Roman" w:cs="Times New Roman"/>
          <w:noProof/>
          <w:szCs w:val="24"/>
          <w:lang w:val="en-IE"/>
        </w:rPr>
        <w:t xml:space="preserve">nance of ERN patient registries to </w:t>
      </w:r>
      <w:r w:rsidR="00D831C0" w:rsidRPr="00B8512B">
        <w:rPr>
          <w:rFonts w:ascii="Times New Roman" w:eastAsia="Times New Roman" w:hAnsi="Times New Roman" w:cs="Times New Roman"/>
          <w:noProof/>
          <w:szCs w:val="24"/>
          <w:lang w:val="en-IE"/>
        </w:rPr>
        <w:t xml:space="preserve">facilitate the provision of care, </w:t>
      </w:r>
      <w:r w:rsidR="00381109" w:rsidRPr="00B8512B">
        <w:rPr>
          <w:rFonts w:ascii="Times New Roman" w:eastAsia="Times New Roman" w:hAnsi="Times New Roman" w:cs="Times New Roman"/>
          <w:noProof/>
          <w:szCs w:val="24"/>
          <w:lang w:val="en-IE"/>
        </w:rPr>
        <w:t>a short-term mobility and exchange programme for ERN health professionals</w:t>
      </w:r>
      <w:r w:rsidR="00444750">
        <w:rPr>
          <w:rFonts w:ascii="Times New Roman" w:eastAsia="Times New Roman" w:hAnsi="Times New Roman" w:cs="Times New Roman"/>
          <w:noProof/>
          <w:szCs w:val="24"/>
          <w:lang w:val="en-IE"/>
        </w:rPr>
        <w:t>,</w:t>
      </w:r>
      <w:r w:rsidR="00D831C0" w:rsidRPr="00B8512B">
        <w:rPr>
          <w:rFonts w:ascii="Times New Roman" w:eastAsia="Times New Roman" w:hAnsi="Times New Roman" w:cs="Times New Roman"/>
          <w:noProof/>
          <w:szCs w:val="24"/>
          <w:lang w:val="en-IE"/>
        </w:rPr>
        <w:t xml:space="preserve"> and </w:t>
      </w:r>
      <w:r w:rsidR="00CF1349" w:rsidRPr="00B8512B">
        <w:rPr>
          <w:rFonts w:ascii="Times New Roman" w:eastAsia="Times New Roman" w:hAnsi="Times New Roman" w:cs="Times New Roman"/>
          <w:noProof/>
          <w:szCs w:val="24"/>
          <w:lang w:val="en-IE"/>
        </w:rPr>
        <w:t xml:space="preserve">the </w:t>
      </w:r>
      <w:r w:rsidR="00CF1349" w:rsidRPr="00355B5C">
        <w:rPr>
          <w:rFonts w:ascii="Times New Roman" w:eastAsia="Times New Roman" w:hAnsi="Times New Roman" w:cs="Times New Roman"/>
          <w:noProof/>
          <w:szCs w:val="24"/>
          <w:lang w:val="en-IE"/>
        </w:rPr>
        <w:t>assessment, monitoring and evaluation of the ERNs</w:t>
      </w:r>
      <w:r w:rsidR="00355B5C">
        <w:rPr>
          <w:rStyle w:val="FootnoteReference"/>
          <w:rFonts w:ascii="Times New Roman" w:eastAsia="Times New Roman" w:hAnsi="Times New Roman" w:cs="Times New Roman"/>
          <w:noProof/>
          <w:szCs w:val="24"/>
          <w:lang w:val="en-IE"/>
        </w:rPr>
        <w:footnoteReference w:id="50"/>
      </w:r>
      <w:r w:rsidR="007A38DA" w:rsidRPr="00B8512B">
        <w:rPr>
          <w:rFonts w:ascii="Times New Roman" w:eastAsia="Times New Roman" w:hAnsi="Times New Roman" w:cs="Times New Roman"/>
          <w:noProof/>
          <w:szCs w:val="24"/>
          <w:lang w:val="en-IE"/>
        </w:rPr>
        <w:t>.</w:t>
      </w:r>
      <w:r w:rsidR="00D11E01" w:rsidRPr="00B8512B">
        <w:rPr>
          <w:rFonts w:ascii="Times New Roman" w:eastAsia="Times New Roman" w:hAnsi="Times New Roman" w:cs="Times New Roman"/>
          <w:noProof/>
          <w:szCs w:val="24"/>
          <w:lang w:val="en-IE"/>
        </w:rPr>
        <w:t xml:space="preserve"> </w:t>
      </w:r>
      <w:r w:rsidR="00381109" w:rsidRPr="00B8512B">
        <w:rPr>
          <w:rFonts w:ascii="Times New Roman" w:eastAsia="Times New Roman" w:hAnsi="Times New Roman" w:cs="Times New Roman"/>
          <w:noProof/>
          <w:szCs w:val="24"/>
          <w:lang w:val="en-IE"/>
        </w:rPr>
        <w:t>T</w:t>
      </w:r>
      <w:r w:rsidR="00D11E01" w:rsidRPr="00B8512B">
        <w:rPr>
          <w:rFonts w:ascii="Times New Roman" w:eastAsia="Times New Roman" w:hAnsi="Times New Roman" w:cs="Times New Roman"/>
          <w:noProof/>
          <w:szCs w:val="24"/>
          <w:lang w:val="en-IE"/>
        </w:rPr>
        <w:t xml:space="preserve">he </w:t>
      </w:r>
      <w:r w:rsidR="00F73936" w:rsidRPr="00B8512B">
        <w:rPr>
          <w:rFonts w:ascii="Times New Roman" w:eastAsia="Times New Roman" w:hAnsi="Times New Roman" w:cs="Times New Roman"/>
          <w:noProof/>
          <w:szCs w:val="24"/>
          <w:lang w:val="en-IE"/>
        </w:rPr>
        <w:t xml:space="preserve">ERN </w:t>
      </w:r>
      <w:r w:rsidR="0042685F" w:rsidRPr="00B8512B">
        <w:rPr>
          <w:rFonts w:ascii="Times New Roman" w:eastAsia="Times New Roman" w:hAnsi="Times New Roman" w:cs="Times New Roman"/>
          <w:noProof/>
          <w:szCs w:val="24"/>
          <w:lang w:val="en-IE"/>
        </w:rPr>
        <w:t xml:space="preserve">clinical </w:t>
      </w:r>
      <w:r w:rsidR="00F73936" w:rsidRPr="00B8512B">
        <w:rPr>
          <w:rFonts w:ascii="Times New Roman" w:eastAsia="Times New Roman" w:hAnsi="Times New Roman" w:cs="Times New Roman"/>
          <w:noProof/>
          <w:szCs w:val="24"/>
          <w:lang w:val="en-IE"/>
        </w:rPr>
        <w:t>research activities</w:t>
      </w:r>
      <w:r w:rsidR="0042685F" w:rsidRPr="00B8512B">
        <w:rPr>
          <w:rFonts w:ascii="Times New Roman" w:eastAsia="Times New Roman" w:hAnsi="Times New Roman" w:cs="Times New Roman"/>
          <w:noProof/>
          <w:szCs w:val="24"/>
          <w:lang w:val="en-IE"/>
        </w:rPr>
        <w:t xml:space="preserve"> </w:t>
      </w:r>
      <w:r w:rsidR="00D11E01" w:rsidRPr="00B8512B">
        <w:rPr>
          <w:rFonts w:ascii="Times New Roman" w:eastAsia="Times New Roman" w:hAnsi="Times New Roman" w:cs="Times New Roman"/>
          <w:noProof/>
          <w:szCs w:val="24"/>
          <w:lang w:val="en-IE"/>
        </w:rPr>
        <w:t xml:space="preserve">are co-financed </w:t>
      </w:r>
      <w:r w:rsidR="009D03DC">
        <w:rPr>
          <w:rFonts w:ascii="Times New Roman" w:eastAsia="Times New Roman" w:hAnsi="Times New Roman" w:cs="Times New Roman"/>
          <w:noProof/>
          <w:szCs w:val="24"/>
          <w:lang w:val="en-IE"/>
        </w:rPr>
        <w:t>under</w:t>
      </w:r>
      <w:r w:rsidR="009D03DC" w:rsidRPr="00B8512B">
        <w:rPr>
          <w:rFonts w:ascii="Times New Roman" w:eastAsia="Times New Roman" w:hAnsi="Times New Roman" w:cs="Times New Roman"/>
          <w:noProof/>
          <w:szCs w:val="24"/>
          <w:lang w:val="en-IE"/>
        </w:rPr>
        <w:t xml:space="preserve"> </w:t>
      </w:r>
      <w:r w:rsidR="0042685F" w:rsidRPr="00B8512B">
        <w:rPr>
          <w:rFonts w:ascii="Times New Roman" w:eastAsia="Times New Roman" w:hAnsi="Times New Roman" w:cs="Times New Roman"/>
          <w:noProof/>
          <w:szCs w:val="24"/>
          <w:lang w:val="en-IE"/>
        </w:rPr>
        <w:t xml:space="preserve">the EU’s research and innovation programmes. </w:t>
      </w:r>
      <w:r w:rsidR="00D34609" w:rsidRPr="00B8512B">
        <w:rPr>
          <w:rFonts w:ascii="Times New Roman" w:eastAsia="Times New Roman" w:hAnsi="Times New Roman" w:cs="Times New Roman"/>
          <w:noProof/>
          <w:szCs w:val="24"/>
          <w:lang w:val="en-IE"/>
        </w:rPr>
        <w:t>With funding from Horizon 2020, t</w:t>
      </w:r>
      <w:r w:rsidR="0042685F" w:rsidRPr="00B8512B">
        <w:rPr>
          <w:rFonts w:ascii="Times New Roman" w:eastAsia="Times New Roman" w:hAnsi="Times New Roman" w:cs="Times New Roman"/>
          <w:noProof/>
          <w:szCs w:val="24"/>
          <w:lang w:val="en-IE"/>
        </w:rPr>
        <w:t>he E</w:t>
      </w:r>
      <w:r w:rsidR="0006768A" w:rsidRPr="00B8512B">
        <w:rPr>
          <w:rFonts w:ascii="Times New Roman" w:eastAsia="Times New Roman" w:hAnsi="Times New Roman" w:cs="Times New Roman"/>
          <w:noProof/>
          <w:szCs w:val="24"/>
          <w:lang w:val="en-IE"/>
        </w:rPr>
        <w:t>RN</w:t>
      </w:r>
      <w:r w:rsidR="0042685F" w:rsidRPr="00B8512B">
        <w:rPr>
          <w:rFonts w:ascii="Times New Roman" w:eastAsia="Times New Roman" w:hAnsi="Times New Roman" w:cs="Times New Roman"/>
          <w:noProof/>
          <w:szCs w:val="24"/>
          <w:lang w:val="en-IE"/>
        </w:rPr>
        <w:t xml:space="preserve">s are </w:t>
      </w:r>
      <w:r w:rsidR="00A77137">
        <w:rPr>
          <w:rFonts w:ascii="Times New Roman" w:eastAsia="Times New Roman" w:hAnsi="Times New Roman" w:cs="Times New Roman"/>
          <w:noProof/>
          <w:szCs w:val="24"/>
          <w:lang w:val="en-IE"/>
        </w:rPr>
        <w:t>major</w:t>
      </w:r>
      <w:r w:rsidR="00A77137" w:rsidRPr="00B8512B">
        <w:rPr>
          <w:rFonts w:ascii="Times New Roman" w:eastAsia="Times New Roman" w:hAnsi="Times New Roman" w:cs="Times New Roman"/>
          <w:noProof/>
          <w:szCs w:val="24"/>
          <w:lang w:val="en-IE"/>
        </w:rPr>
        <w:t xml:space="preserve"> </w:t>
      </w:r>
      <w:r w:rsidR="0042685F" w:rsidRPr="00B8512B">
        <w:rPr>
          <w:rFonts w:ascii="Times New Roman" w:eastAsia="Times New Roman" w:hAnsi="Times New Roman" w:cs="Times New Roman"/>
          <w:noProof/>
          <w:szCs w:val="24"/>
          <w:lang w:val="en-IE"/>
        </w:rPr>
        <w:t xml:space="preserve">beneficiaries of </w:t>
      </w:r>
      <w:r w:rsidR="00CF1349" w:rsidRPr="00B8512B">
        <w:rPr>
          <w:rFonts w:ascii="Times New Roman" w:eastAsia="Times New Roman" w:hAnsi="Times New Roman" w:cs="Times New Roman"/>
          <w:noProof/>
          <w:szCs w:val="24"/>
          <w:lang w:val="en-IE"/>
        </w:rPr>
        <w:t xml:space="preserve">the </w:t>
      </w:r>
      <w:r w:rsidR="00CF1349" w:rsidRPr="00355B5C">
        <w:rPr>
          <w:rFonts w:ascii="Times New Roman" w:eastAsia="Times New Roman" w:hAnsi="Times New Roman" w:cs="Times New Roman"/>
          <w:noProof/>
          <w:szCs w:val="24"/>
          <w:lang w:val="en-IE"/>
        </w:rPr>
        <w:t>European Joint Programme on Rare Diseases</w:t>
      </w:r>
      <w:r w:rsidR="00355B5C">
        <w:rPr>
          <w:rStyle w:val="FootnoteReference"/>
          <w:rFonts w:ascii="Times New Roman" w:eastAsia="Times New Roman" w:hAnsi="Times New Roman" w:cs="Times New Roman"/>
          <w:noProof/>
          <w:szCs w:val="24"/>
          <w:lang w:val="en-IE"/>
        </w:rPr>
        <w:footnoteReference w:id="51"/>
      </w:r>
      <w:r w:rsidR="0042685F" w:rsidRPr="00B8512B">
        <w:rPr>
          <w:rFonts w:ascii="Times New Roman" w:eastAsia="Times New Roman" w:hAnsi="Times New Roman" w:cs="Times New Roman"/>
          <w:noProof/>
          <w:szCs w:val="24"/>
          <w:lang w:val="en-IE"/>
        </w:rPr>
        <w:t xml:space="preserve"> </w:t>
      </w:r>
      <w:r w:rsidR="00381109" w:rsidRPr="00B8512B">
        <w:rPr>
          <w:rFonts w:ascii="Times New Roman" w:eastAsia="Times New Roman" w:hAnsi="Times New Roman" w:cs="Times New Roman"/>
          <w:noProof/>
          <w:szCs w:val="24"/>
          <w:lang w:val="en-IE"/>
        </w:rPr>
        <w:t xml:space="preserve">and of the </w:t>
      </w:r>
      <w:r w:rsidR="00381109" w:rsidRPr="00355B5C">
        <w:rPr>
          <w:rFonts w:ascii="Times New Roman" w:eastAsia="Times New Roman" w:hAnsi="Times New Roman" w:cs="Times New Roman"/>
          <w:noProof/>
          <w:szCs w:val="24"/>
          <w:lang w:val="en-IE"/>
        </w:rPr>
        <w:t>ERICA</w:t>
      </w:r>
      <w:r w:rsidR="00355B5C">
        <w:rPr>
          <w:rStyle w:val="FootnoteReference"/>
          <w:rFonts w:ascii="Times New Roman" w:eastAsia="Times New Roman" w:hAnsi="Times New Roman" w:cs="Times New Roman"/>
          <w:noProof/>
          <w:szCs w:val="24"/>
          <w:lang w:val="en-IE"/>
        </w:rPr>
        <w:footnoteReference w:id="52"/>
      </w:r>
      <w:r w:rsidR="00381109" w:rsidRPr="00B8512B">
        <w:rPr>
          <w:rFonts w:ascii="Times New Roman" w:eastAsia="Times New Roman" w:hAnsi="Times New Roman" w:cs="Times New Roman"/>
          <w:noProof/>
          <w:szCs w:val="24"/>
          <w:lang w:val="en-IE"/>
        </w:rPr>
        <w:t xml:space="preserve"> project</w:t>
      </w:r>
      <w:r w:rsidR="00444750">
        <w:rPr>
          <w:rFonts w:ascii="Times New Roman" w:eastAsia="Times New Roman" w:hAnsi="Times New Roman" w:cs="Times New Roman"/>
          <w:noProof/>
          <w:szCs w:val="24"/>
          <w:lang w:val="en-IE"/>
        </w:rPr>
        <w:t>,</w:t>
      </w:r>
      <w:r w:rsidR="00381109" w:rsidRPr="00B8512B">
        <w:rPr>
          <w:rFonts w:ascii="Times New Roman" w:eastAsia="Times New Roman" w:hAnsi="Times New Roman" w:cs="Times New Roman"/>
          <w:noProof/>
          <w:szCs w:val="24"/>
          <w:lang w:val="en-IE"/>
        </w:rPr>
        <w:t xml:space="preserve"> </w:t>
      </w:r>
      <w:r w:rsidR="00D34609" w:rsidRPr="00B8512B">
        <w:rPr>
          <w:rFonts w:ascii="Times New Roman" w:eastAsia="Times New Roman" w:hAnsi="Times New Roman" w:cs="Times New Roman"/>
          <w:noProof/>
          <w:szCs w:val="24"/>
          <w:lang w:val="en-IE"/>
        </w:rPr>
        <w:t xml:space="preserve">which will create a platform that integrates all ERN research and innovation capacity </w:t>
      </w:r>
      <w:r w:rsidR="001E6BAE">
        <w:rPr>
          <w:rFonts w:ascii="Times New Roman" w:eastAsia="Times New Roman" w:hAnsi="Times New Roman" w:cs="Times New Roman"/>
          <w:noProof/>
          <w:szCs w:val="24"/>
          <w:lang w:val="en-IE"/>
        </w:rPr>
        <w:t>improving access to therapies</w:t>
      </w:r>
      <w:r w:rsidR="00982BA7">
        <w:rPr>
          <w:rFonts w:ascii="Times New Roman" w:eastAsia="Times New Roman" w:hAnsi="Times New Roman" w:cs="Times New Roman"/>
          <w:noProof/>
          <w:szCs w:val="24"/>
          <w:lang w:val="en-IE"/>
        </w:rPr>
        <w:t>.</w:t>
      </w:r>
    </w:p>
    <w:p w14:paraId="1A67BECA" w14:textId="26179A17" w:rsidR="00540330" w:rsidRDefault="00540330" w:rsidP="00625B81">
      <w:pPr>
        <w:rPr>
          <w:rFonts w:ascii="Times New Roman" w:eastAsia="Times New Roman" w:hAnsi="Times New Roman" w:cs="Times New Roman"/>
          <w:noProof/>
          <w:szCs w:val="24"/>
          <w:lang w:val="en-IE"/>
        </w:rPr>
      </w:pPr>
    </w:p>
    <w:p w14:paraId="727F2012" w14:textId="77777777" w:rsidR="003A33FB" w:rsidRPr="00B8512B" w:rsidRDefault="003A33FB" w:rsidP="00625B81">
      <w:pPr>
        <w:rPr>
          <w:rFonts w:ascii="Times New Roman" w:eastAsia="Times New Roman" w:hAnsi="Times New Roman" w:cs="Times New Roman"/>
          <w:noProof/>
          <w:szCs w:val="24"/>
          <w:lang w:val="en-IE"/>
        </w:rPr>
      </w:pPr>
    </w:p>
    <w:p w14:paraId="4449984C" w14:textId="3C628785" w:rsidR="00E33A1A" w:rsidRPr="00B8512B" w:rsidRDefault="00444750">
      <w:pPr>
        <w:pStyle w:val="Heading2"/>
        <w:rPr>
          <w:rFonts w:ascii="Times New Roman" w:hAnsi="Times New Roman" w:cs="Times New Roman"/>
          <w:noProof/>
          <w:lang w:val="en-IE"/>
        </w:rPr>
      </w:pPr>
      <w:bookmarkStart w:id="23" w:name="_Toc81927270"/>
      <w:r>
        <w:rPr>
          <w:rFonts w:ascii="Times New Roman" w:hAnsi="Times New Roman" w:cs="Times New Roman"/>
          <w:noProof/>
          <w:lang w:val="en-IE"/>
        </w:rPr>
        <w:t xml:space="preserve"> e</w:t>
      </w:r>
      <w:r w:rsidR="00E33A1A" w:rsidRPr="00B8512B">
        <w:rPr>
          <w:rFonts w:ascii="Times New Roman" w:hAnsi="Times New Roman" w:cs="Times New Roman"/>
          <w:noProof/>
          <w:lang w:val="en-IE"/>
        </w:rPr>
        <w:t>Health</w:t>
      </w:r>
      <w:bookmarkEnd w:id="23"/>
    </w:p>
    <w:p w14:paraId="1D1633A6" w14:textId="7D111D93" w:rsidR="006E635B" w:rsidRDefault="00BE2B09" w:rsidP="001F4869">
      <w:pPr>
        <w:rPr>
          <w:rFonts w:ascii="Times New Roman" w:hAnsi="Times New Roman" w:cs="Times New Roman"/>
          <w:noProof/>
          <w:szCs w:val="24"/>
        </w:rPr>
      </w:pPr>
      <w:bookmarkStart w:id="24" w:name="_Hlk102306555"/>
      <w:r w:rsidRPr="00B8512B">
        <w:rPr>
          <w:rFonts w:ascii="Times New Roman" w:hAnsi="Times New Roman" w:cs="Times New Roman"/>
          <w:noProof/>
          <w:szCs w:val="24"/>
        </w:rPr>
        <w:t>The eHealth Network</w:t>
      </w:r>
      <w:r w:rsidRPr="00B8512B">
        <w:rPr>
          <w:rFonts w:ascii="Times New Roman" w:hAnsi="Times New Roman" w:cs="Times New Roman"/>
          <w:noProof/>
          <w:lang w:val="en-IE"/>
        </w:rPr>
        <w:t>, set up under Article 14</w:t>
      </w:r>
      <w:r w:rsidR="002636D3" w:rsidRPr="00B8512B">
        <w:rPr>
          <w:rFonts w:ascii="Times New Roman" w:hAnsi="Times New Roman" w:cs="Times New Roman"/>
          <w:noProof/>
          <w:lang w:val="en-IE"/>
        </w:rPr>
        <w:t xml:space="preserve"> of the Directive</w:t>
      </w:r>
      <w:r w:rsidRPr="00B8512B">
        <w:rPr>
          <w:rFonts w:ascii="Times New Roman" w:hAnsi="Times New Roman" w:cs="Times New Roman"/>
          <w:noProof/>
          <w:lang w:val="en-IE"/>
        </w:rPr>
        <w:t>,</w:t>
      </w:r>
      <w:r w:rsidRPr="00B8512B">
        <w:rPr>
          <w:rFonts w:ascii="Times New Roman" w:hAnsi="Times New Roman" w:cs="Times New Roman"/>
          <w:noProof/>
        </w:rPr>
        <w:t xml:space="preserve"> </w:t>
      </w:r>
      <w:r w:rsidRPr="00B8512B">
        <w:rPr>
          <w:rFonts w:ascii="Times New Roman" w:hAnsi="Times New Roman" w:cs="Times New Roman"/>
          <w:noProof/>
          <w:szCs w:val="24"/>
        </w:rPr>
        <w:t>is a voluntary network composed of national authorities responsible for eHealth</w:t>
      </w:r>
      <w:r w:rsidR="004D2719">
        <w:rPr>
          <w:rFonts w:ascii="Times New Roman" w:hAnsi="Times New Roman" w:cs="Times New Roman"/>
          <w:noProof/>
          <w:szCs w:val="24"/>
        </w:rPr>
        <w:t>.</w:t>
      </w:r>
      <w:r w:rsidRPr="00B8512B">
        <w:rPr>
          <w:rFonts w:ascii="Times New Roman" w:hAnsi="Times New Roman" w:cs="Times New Roman"/>
          <w:noProof/>
          <w:szCs w:val="24"/>
        </w:rPr>
        <w:t xml:space="preserve"> </w:t>
      </w:r>
      <w:r w:rsidR="004D2719">
        <w:rPr>
          <w:rFonts w:ascii="Times New Roman" w:hAnsi="Times New Roman" w:cs="Times New Roman"/>
          <w:noProof/>
          <w:szCs w:val="24"/>
        </w:rPr>
        <w:t>It</w:t>
      </w:r>
      <w:r w:rsidR="004D2719" w:rsidRPr="00B8512B">
        <w:rPr>
          <w:rFonts w:ascii="Times New Roman" w:hAnsi="Times New Roman" w:cs="Times New Roman"/>
          <w:noProof/>
          <w:szCs w:val="24"/>
        </w:rPr>
        <w:t xml:space="preserve"> </w:t>
      </w:r>
      <w:r w:rsidRPr="00B8512B">
        <w:rPr>
          <w:rFonts w:ascii="Times New Roman" w:hAnsi="Times New Roman" w:cs="Times New Roman"/>
          <w:noProof/>
          <w:szCs w:val="24"/>
        </w:rPr>
        <w:t>works towards interoperable applications and enhanced continuity of</w:t>
      </w:r>
      <w:r w:rsidR="004D2719">
        <w:rPr>
          <w:rFonts w:ascii="Times New Roman" w:hAnsi="Times New Roman" w:cs="Times New Roman"/>
          <w:noProof/>
          <w:szCs w:val="24"/>
        </w:rPr>
        <w:t>,</w:t>
      </w:r>
      <w:r w:rsidRPr="00B8512B">
        <w:rPr>
          <w:rFonts w:ascii="Times New Roman" w:hAnsi="Times New Roman" w:cs="Times New Roman"/>
          <w:noProof/>
          <w:szCs w:val="24"/>
        </w:rPr>
        <w:t xml:space="preserve"> and access to</w:t>
      </w:r>
      <w:r w:rsidR="004D2719">
        <w:rPr>
          <w:rFonts w:ascii="Times New Roman" w:hAnsi="Times New Roman" w:cs="Times New Roman"/>
          <w:noProof/>
          <w:szCs w:val="24"/>
        </w:rPr>
        <w:t>,</w:t>
      </w:r>
      <w:r w:rsidRPr="00B8512B">
        <w:rPr>
          <w:rFonts w:ascii="Times New Roman" w:hAnsi="Times New Roman" w:cs="Times New Roman"/>
          <w:noProof/>
          <w:szCs w:val="24"/>
        </w:rPr>
        <w:t xml:space="preserve"> care.</w:t>
      </w:r>
    </w:p>
    <w:p w14:paraId="162AE307" w14:textId="6526A068" w:rsidR="003D5839" w:rsidRPr="00B8512B" w:rsidRDefault="00BE2B09" w:rsidP="001F4869">
      <w:pPr>
        <w:rPr>
          <w:rFonts w:ascii="Times New Roman" w:eastAsia="Times New Roman" w:hAnsi="Times New Roman" w:cs="Times New Roman"/>
          <w:noProof/>
          <w:szCs w:val="24"/>
          <w:lang w:val="en-IE"/>
        </w:rPr>
      </w:pPr>
      <w:r w:rsidRPr="00B8512B">
        <w:rPr>
          <w:rFonts w:ascii="Times New Roman" w:hAnsi="Times New Roman" w:cs="Times New Roman"/>
          <w:noProof/>
          <w:lang w:val="en-IE"/>
        </w:rPr>
        <w:t>The Commission</w:t>
      </w:r>
      <w:r w:rsidR="001C21E9">
        <w:rPr>
          <w:rFonts w:ascii="Times New Roman" w:hAnsi="Times New Roman" w:cs="Times New Roman"/>
          <w:noProof/>
          <w:lang w:val="en-IE"/>
        </w:rPr>
        <w:t xml:space="preserve"> adopted </w:t>
      </w:r>
      <w:r w:rsidRPr="00B8512B">
        <w:rPr>
          <w:rFonts w:ascii="Times New Roman" w:hAnsi="Times New Roman" w:cs="Times New Roman"/>
          <w:noProof/>
          <w:lang w:val="en-IE"/>
        </w:rPr>
        <w:t xml:space="preserve"> a legislative proposal</w:t>
      </w:r>
      <w:r w:rsidR="004D2719"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 on </w:t>
      </w:r>
      <w:r w:rsidR="00CF1349" w:rsidRPr="00B8512B">
        <w:rPr>
          <w:rFonts w:ascii="Times New Roman" w:hAnsi="Times New Roman" w:cs="Times New Roman"/>
          <w:noProof/>
          <w:lang w:val="en-IE"/>
        </w:rPr>
        <w:t xml:space="preserve">the </w:t>
      </w:r>
      <w:r w:rsidR="00CF1349" w:rsidRPr="00355B5C">
        <w:rPr>
          <w:rFonts w:ascii="Times New Roman" w:hAnsi="Times New Roman" w:cs="Times New Roman"/>
          <w:noProof/>
          <w:lang w:val="en-IE"/>
        </w:rPr>
        <w:t>European Health Data Space</w:t>
      </w:r>
      <w:r w:rsidR="00355B5C">
        <w:rPr>
          <w:rStyle w:val="FootnoteReference"/>
          <w:rFonts w:ascii="Times New Roman" w:hAnsi="Times New Roman" w:cs="Times New Roman"/>
          <w:noProof/>
          <w:lang w:val="en-IE"/>
        </w:rPr>
        <w:footnoteReference w:id="53"/>
      </w:r>
      <w:r w:rsidR="00355B5C">
        <w:rPr>
          <w:rFonts w:ascii="Times New Roman" w:hAnsi="Times New Roman" w:cs="Times New Roman"/>
          <w:noProof/>
          <w:lang w:val="en-IE"/>
        </w:rPr>
        <w:t>,</w:t>
      </w:r>
      <w:r w:rsidRPr="00B8512B">
        <w:rPr>
          <w:rFonts w:ascii="Times New Roman" w:hAnsi="Times New Roman" w:cs="Times New Roman"/>
          <w:noProof/>
          <w:lang w:val="en-IE"/>
        </w:rPr>
        <w:t xml:space="preserve"> drawing on a separate evaluation of Article 14.</w:t>
      </w:r>
      <w:r w:rsidR="00297002" w:rsidRPr="00B8512B">
        <w:rPr>
          <w:rFonts w:ascii="Times New Roman" w:hAnsi="Times New Roman" w:cs="Times New Roman"/>
          <w:noProof/>
          <w:lang w:val="en-IE"/>
        </w:rPr>
        <w:t xml:space="preserve"> </w:t>
      </w:r>
      <w:r w:rsidR="006E635B">
        <w:rPr>
          <w:rFonts w:ascii="Times New Roman" w:hAnsi="Times New Roman" w:cs="Times New Roman"/>
          <w:noProof/>
          <w:lang w:val="en-IE"/>
        </w:rPr>
        <w:t>T</w:t>
      </w:r>
      <w:r w:rsidRPr="00B8512B">
        <w:rPr>
          <w:rFonts w:ascii="Times New Roman" w:hAnsi="Times New Roman" w:cs="Times New Roman"/>
          <w:noProof/>
          <w:lang w:val="en-IE"/>
        </w:rPr>
        <w:t>h</w:t>
      </w:r>
      <w:r w:rsidR="0006768A" w:rsidRPr="00B8512B">
        <w:rPr>
          <w:rFonts w:ascii="Times New Roman" w:hAnsi="Times New Roman" w:cs="Times New Roman"/>
          <w:noProof/>
          <w:lang w:val="en-IE"/>
        </w:rPr>
        <w:t>e</w:t>
      </w:r>
      <w:r w:rsidRPr="00B8512B">
        <w:rPr>
          <w:rFonts w:ascii="Times New Roman" w:hAnsi="Times New Roman" w:cs="Times New Roman"/>
          <w:noProof/>
          <w:lang w:val="en-IE"/>
        </w:rPr>
        <w:t xml:space="preserve"> evaluation</w:t>
      </w:r>
      <w:r w:rsidR="006E635B">
        <w:rPr>
          <w:rFonts w:ascii="Times New Roman" w:hAnsi="Times New Roman" w:cs="Times New Roman"/>
          <w:noProof/>
          <w:lang w:val="en-IE"/>
        </w:rPr>
        <w:t xml:space="preserve"> concludes that </w:t>
      </w:r>
      <w:r w:rsidRPr="00B8512B">
        <w:rPr>
          <w:rFonts w:ascii="Times New Roman" w:hAnsi="Times New Roman" w:cs="Times New Roman"/>
          <w:noProof/>
          <w:lang w:val="en-IE"/>
        </w:rPr>
        <w:t>t</w:t>
      </w:r>
      <w:r w:rsidR="001F4869" w:rsidRPr="00B8512B">
        <w:rPr>
          <w:rFonts w:ascii="Times New Roman" w:hAnsi="Times New Roman" w:cs="Times New Roman"/>
          <w:noProof/>
          <w:lang w:val="en-IE"/>
        </w:rPr>
        <w:t>he effectiveness and efficiency of the eHealth Network</w:t>
      </w:r>
      <w:r w:rsidR="006160EC" w:rsidRPr="00B8512B">
        <w:rPr>
          <w:rFonts w:ascii="Times New Roman" w:hAnsi="Times New Roman" w:cs="Times New Roman"/>
          <w:noProof/>
          <w:lang w:val="en-IE"/>
        </w:rPr>
        <w:t xml:space="preserve"> </w:t>
      </w:r>
      <w:r w:rsidR="001F4869" w:rsidRPr="00B8512B">
        <w:rPr>
          <w:rFonts w:ascii="Times New Roman" w:hAnsi="Times New Roman" w:cs="Times New Roman"/>
          <w:noProof/>
          <w:lang w:val="en-IE"/>
        </w:rPr>
        <w:t>has been limited</w:t>
      </w:r>
      <w:r w:rsidR="003D5839" w:rsidRPr="00B8512B">
        <w:rPr>
          <w:rFonts w:ascii="Times New Roman" w:hAnsi="Times New Roman" w:cs="Times New Roman"/>
          <w:noProof/>
          <w:lang w:val="en-IE"/>
        </w:rPr>
        <w:t xml:space="preserve">, </w:t>
      </w:r>
      <w:r w:rsidR="00227A36">
        <w:rPr>
          <w:rFonts w:ascii="Times New Roman" w:hAnsi="Times New Roman" w:cs="Times New Roman"/>
          <w:noProof/>
          <w:lang w:val="en-IE"/>
        </w:rPr>
        <w:t>mainly</w:t>
      </w:r>
      <w:r w:rsidR="00CA3F60" w:rsidRPr="00B8512B">
        <w:rPr>
          <w:rFonts w:ascii="Times New Roman" w:hAnsi="Times New Roman" w:cs="Times New Roman"/>
          <w:noProof/>
          <w:lang w:val="en-IE"/>
        </w:rPr>
        <w:t xml:space="preserve"> </w:t>
      </w:r>
      <w:r w:rsidR="003D5839" w:rsidRPr="00B8512B">
        <w:rPr>
          <w:rFonts w:ascii="Times New Roman" w:hAnsi="Times New Roman" w:cs="Times New Roman"/>
          <w:noProof/>
          <w:lang w:val="en-IE"/>
        </w:rPr>
        <w:t xml:space="preserve">due to the voluntary nature of the collaboration. </w:t>
      </w:r>
      <w:r w:rsidRPr="00B8512B">
        <w:rPr>
          <w:rFonts w:ascii="Times New Roman" w:hAnsi="Times New Roman" w:cs="Times New Roman"/>
          <w:noProof/>
          <w:lang w:val="en-IE"/>
        </w:rPr>
        <w:t>Since 2018, i</w:t>
      </w:r>
      <w:r w:rsidR="00CA3F60" w:rsidRPr="00B8512B">
        <w:rPr>
          <w:rFonts w:ascii="Times New Roman" w:hAnsi="Times New Roman" w:cs="Times New Roman"/>
          <w:noProof/>
          <w:lang w:val="en-IE"/>
        </w:rPr>
        <w:t xml:space="preserve">ts </w:t>
      </w:r>
      <w:r w:rsidR="003D5839" w:rsidRPr="00B8512B">
        <w:rPr>
          <w:rFonts w:ascii="Times New Roman" w:hAnsi="Times New Roman" w:cs="Times New Roman"/>
          <w:noProof/>
          <w:lang w:val="en-IE"/>
        </w:rPr>
        <w:t xml:space="preserve">activities </w:t>
      </w:r>
      <w:r w:rsidR="006D261C" w:rsidRPr="00B8512B">
        <w:rPr>
          <w:rFonts w:ascii="Times New Roman" w:hAnsi="Times New Roman" w:cs="Times New Roman"/>
          <w:noProof/>
          <w:lang w:val="en-IE"/>
        </w:rPr>
        <w:t xml:space="preserve">focused </w:t>
      </w:r>
      <w:r w:rsidR="00CA3F60" w:rsidRPr="00B8512B">
        <w:rPr>
          <w:rFonts w:ascii="Times New Roman" w:hAnsi="Times New Roman" w:cs="Times New Roman"/>
          <w:noProof/>
          <w:lang w:val="en-IE"/>
        </w:rPr>
        <w:t xml:space="preserve">on </w:t>
      </w:r>
      <w:r w:rsidR="00E51F07">
        <w:rPr>
          <w:rFonts w:ascii="Times New Roman" w:hAnsi="Times New Roman" w:cs="Times New Roman"/>
          <w:noProof/>
          <w:lang w:val="en-IE"/>
        </w:rPr>
        <w:t>increasing</w:t>
      </w:r>
      <w:r w:rsidR="00E51F07" w:rsidRPr="00B8512B">
        <w:rPr>
          <w:rFonts w:ascii="Times New Roman" w:hAnsi="Times New Roman" w:cs="Times New Roman"/>
          <w:noProof/>
          <w:lang w:val="en-IE"/>
        </w:rPr>
        <w:t xml:space="preserve"> </w:t>
      </w:r>
      <w:r w:rsidR="003D5839" w:rsidRPr="00B8512B">
        <w:rPr>
          <w:rFonts w:ascii="Times New Roman" w:hAnsi="Times New Roman" w:cs="Times New Roman"/>
          <w:noProof/>
          <w:lang w:val="en-IE"/>
        </w:rPr>
        <w:t xml:space="preserve">the use </w:t>
      </w:r>
      <w:r w:rsidR="00F33CE4" w:rsidRPr="00B8512B">
        <w:rPr>
          <w:rFonts w:ascii="Times New Roman" w:hAnsi="Times New Roman" w:cs="Times New Roman"/>
          <w:noProof/>
          <w:szCs w:val="24"/>
        </w:rPr>
        <w:t xml:space="preserve">and exchange </w:t>
      </w:r>
      <w:r w:rsidR="003D5839" w:rsidRPr="00B8512B">
        <w:rPr>
          <w:rFonts w:ascii="Times New Roman" w:hAnsi="Times New Roman" w:cs="Times New Roman"/>
          <w:noProof/>
          <w:lang w:val="en-IE"/>
        </w:rPr>
        <w:t xml:space="preserve">of health data for </w:t>
      </w:r>
      <w:r w:rsidR="006160EC" w:rsidRPr="00B8512B">
        <w:rPr>
          <w:rFonts w:ascii="Times New Roman" w:hAnsi="Times New Roman" w:cs="Times New Roman"/>
          <w:noProof/>
          <w:lang w:val="en-IE"/>
        </w:rPr>
        <w:t xml:space="preserve">the </w:t>
      </w:r>
      <w:r w:rsidR="005477CE" w:rsidRPr="00B8512B">
        <w:rPr>
          <w:rFonts w:ascii="Times New Roman" w:hAnsi="Times New Roman" w:cs="Times New Roman"/>
          <w:noProof/>
          <w:lang w:val="en-IE"/>
        </w:rPr>
        <w:t xml:space="preserve">provision </w:t>
      </w:r>
      <w:r w:rsidR="006160EC" w:rsidRPr="00B8512B">
        <w:rPr>
          <w:rFonts w:ascii="Times New Roman" w:hAnsi="Times New Roman" w:cs="Times New Roman"/>
          <w:noProof/>
          <w:lang w:val="en-IE"/>
        </w:rPr>
        <w:t xml:space="preserve">and continuity </w:t>
      </w:r>
      <w:r w:rsidR="005477CE" w:rsidRPr="00B8512B">
        <w:rPr>
          <w:rFonts w:ascii="Times New Roman" w:hAnsi="Times New Roman" w:cs="Times New Roman"/>
          <w:noProof/>
          <w:lang w:val="en-IE"/>
        </w:rPr>
        <w:t>of care</w:t>
      </w:r>
      <w:r w:rsidR="006160EC" w:rsidRPr="00B8512B">
        <w:rPr>
          <w:rFonts w:ascii="Times New Roman" w:hAnsi="Times New Roman" w:cs="Times New Roman"/>
          <w:noProof/>
          <w:lang w:val="en-IE"/>
        </w:rPr>
        <w:t xml:space="preserve"> and</w:t>
      </w:r>
      <w:r w:rsidR="003D5839" w:rsidRPr="00B8512B">
        <w:rPr>
          <w:rFonts w:ascii="Times New Roman" w:hAnsi="Times New Roman" w:cs="Times New Roman"/>
          <w:noProof/>
          <w:lang w:val="en-IE"/>
        </w:rPr>
        <w:t xml:space="preserve"> </w:t>
      </w:r>
      <w:r w:rsidR="00CA3F60" w:rsidRPr="00B8512B">
        <w:rPr>
          <w:rFonts w:ascii="Times New Roman" w:hAnsi="Times New Roman" w:cs="Times New Roman"/>
          <w:noProof/>
          <w:lang w:val="en-IE"/>
        </w:rPr>
        <w:t>set</w:t>
      </w:r>
      <w:r w:rsidR="005E4321" w:rsidRPr="00B8512B">
        <w:rPr>
          <w:rFonts w:ascii="Times New Roman" w:hAnsi="Times New Roman" w:cs="Times New Roman"/>
          <w:noProof/>
          <w:lang w:val="en-IE"/>
        </w:rPr>
        <w:t>ting</w:t>
      </w:r>
      <w:r w:rsidR="00CA3F60" w:rsidRPr="00B8512B">
        <w:rPr>
          <w:rFonts w:ascii="Times New Roman" w:hAnsi="Times New Roman" w:cs="Times New Roman"/>
          <w:noProof/>
          <w:lang w:val="en-IE"/>
        </w:rPr>
        <w:t xml:space="preserve"> up </w:t>
      </w:r>
      <w:r w:rsidR="003D5839" w:rsidRPr="00B8512B">
        <w:rPr>
          <w:rFonts w:ascii="Times New Roman" w:hAnsi="Times New Roman" w:cs="Times New Roman"/>
          <w:noProof/>
          <w:lang w:val="en-IE"/>
        </w:rPr>
        <w:t>the MyHealth@EU infrastructure</w:t>
      </w:r>
      <w:r w:rsidR="006160EC" w:rsidRPr="00B8512B">
        <w:rPr>
          <w:rFonts w:ascii="Times New Roman" w:hAnsi="Times New Roman" w:cs="Times New Roman"/>
          <w:noProof/>
          <w:lang w:val="en-IE"/>
        </w:rPr>
        <w:t xml:space="preserve">. </w:t>
      </w:r>
      <w:r w:rsidR="003D5839" w:rsidRPr="00B8512B">
        <w:rPr>
          <w:rFonts w:ascii="Times New Roman" w:hAnsi="Times New Roman" w:cs="Times New Roman"/>
          <w:noProof/>
          <w:lang w:val="en-IE"/>
        </w:rPr>
        <w:t>The number of Member States connected</w:t>
      </w:r>
      <w:r w:rsidR="00F73936" w:rsidRPr="00B8512B">
        <w:rPr>
          <w:rFonts w:ascii="Times New Roman" w:hAnsi="Times New Roman" w:cs="Times New Roman"/>
          <w:noProof/>
          <w:lang w:val="en-IE"/>
        </w:rPr>
        <w:t xml:space="preserve"> to MyHealth@EU</w:t>
      </w:r>
      <w:r w:rsidR="001E6BAE">
        <w:rPr>
          <w:rFonts w:ascii="Times New Roman" w:hAnsi="Times New Roman" w:cs="Times New Roman"/>
          <w:noProof/>
          <w:lang w:val="en-IE"/>
        </w:rPr>
        <w:t xml:space="preserve"> is expanding</w:t>
      </w:r>
      <w:r w:rsidR="001E6BAE" w:rsidRPr="001E6BAE">
        <w:rPr>
          <w:rFonts w:ascii="Times New Roman" w:hAnsi="Times New Roman" w:cs="Times New Roman"/>
          <w:noProof/>
          <w:lang w:val="en-IE"/>
        </w:rPr>
        <w:t xml:space="preserve"> </w:t>
      </w:r>
      <w:r w:rsidR="001E6BAE">
        <w:rPr>
          <w:rFonts w:ascii="Times New Roman" w:hAnsi="Times New Roman" w:cs="Times New Roman"/>
          <w:noProof/>
          <w:lang w:val="en-IE"/>
        </w:rPr>
        <w:t xml:space="preserve">and most Member States are expected to implement </w:t>
      </w:r>
      <w:r w:rsidR="001E6BAE" w:rsidRPr="00B8512B">
        <w:rPr>
          <w:rFonts w:ascii="Times New Roman" w:hAnsi="Times New Roman" w:cs="Times New Roman"/>
          <w:noProof/>
          <w:lang w:val="en-IE"/>
        </w:rPr>
        <w:t>MyHealth@EU platform by 2025</w:t>
      </w:r>
      <w:r w:rsidR="001E6BAE">
        <w:rPr>
          <w:rFonts w:ascii="Times New Roman" w:hAnsi="Times New Roman" w:cs="Times New Roman"/>
          <w:noProof/>
          <w:lang w:val="en-IE"/>
        </w:rPr>
        <w:t xml:space="preserve">. </w:t>
      </w:r>
      <w:r w:rsidR="00F73936" w:rsidRPr="00B8512B">
        <w:rPr>
          <w:rFonts w:ascii="Times New Roman" w:hAnsi="Times New Roman" w:cs="Times New Roman"/>
          <w:noProof/>
          <w:lang w:val="en-IE"/>
        </w:rPr>
        <w:t>So far</w:t>
      </w:r>
      <w:r w:rsidR="00E51F07">
        <w:rPr>
          <w:rFonts w:ascii="Times New Roman" w:hAnsi="Times New Roman" w:cs="Times New Roman"/>
          <w:noProof/>
          <w:lang w:val="en-IE"/>
        </w:rPr>
        <w:t>,</w:t>
      </w:r>
      <w:r w:rsidR="00F73936" w:rsidRPr="00B8512B">
        <w:rPr>
          <w:rFonts w:ascii="Times New Roman" w:hAnsi="Times New Roman" w:cs="Times New Roman"/>
          <w:noProof/>
          <w:lang w:val="en-IE"/>
        </w:rPr>
        <w:t xml:space="preserve"> </w:t>
      </w:r>
      <w:r w:rsidR="00136510">
        <w:rPr>
          <w:rFonts w:ascii="Times New Roman" w:hAnsi="Times New Roman" w:cs="Times New Roman"/>
          <w:noProof/>
          <w:lang w:val="en-IE"/>
        </w:rPr>
        <w:t>ten</w:t>
      </w:r>
      <w:r w:rsidR="00136510" w:rsidRPr="00B8512B">
        <w:rPr>
          <w:rFonts w:ascii="Times New Roman" w:hAnsi="Times New Roman" w:cs="Times New Roman"/>
          <w:noProof/>
          <w:lang w:val="en-IE"/>
        </w:rPr>
        <w:t xml:space="preserve"> </w:t>
      </w:r>
      <w:r w:rsidR="00F73936" w:rsidRPr="00B8512B">
        <w:rPr>
          <w:rFonts w:ascii="Times New Roman" w:hAnsi="Times New Roman" w:cs="Times New Roman"/>
          <w:noProof/>
          <w:lang w:val="en-IE"/>
        </w:rPr>
        <w:t xml:space="preserve">Member States are connected through </w:t>
      </w:r>
      <w:r w:rsidR="00E51F07">
        <w:rPr>
          <w:rFonts w:ascii="Times New Roman" w:hAnsi="Times New Roman" w:cs="Times New Roman"/>
          <w:noProof/>
          <w:lang w:val="en-IE"/>
        </w:rPr>
        <w:t>n</w:t>
      </w:r>
      <w:r w:rsidR="00F73936" w:rsidRPr="00B8512B">
        <w:rPr>
          <w:rFonts w:ascii="Times New Roman" w:hAnsi="Times New Roman" w:cs="Times New Roman"/>
          <w:noProof/>
          <w:lang w:val="en-IE"/>
        </w:rPr>
        <w:t xml:space="preserve">ational </w:t>
      </w:r>
      <w:r w:rsidR="00E51F07">
        <w:rPr>
          <w:rFonts w:ascii="Times New Roman" w:hAnsi="Times New Roman" w:cs="Times New Roman"/>
          <w:noProof/>
          <w:lang w:val="en-IE"/>
        </w:rPr>
        <w:t>c</w:t>
      </w:r>
      <w:r w:rsidR="00F73936" w:rsidRPr="00B8512B">
        <w:rPr>
          <w:rFonts w:ascii="Times New Roman" w:hAnsi="Times New Roman" w:cs="Times New Roman"/>
          <w:noProof/>
          <w:lang w:val="en-IE"/>
        </w:rPr>
        <w:t xml:space="preserve">ontact </w:t>
      </w:r>
      <w:r w:rsidR="00E51F07">
        <w:rPr>
          <w:rFonts w:ascii="Times New Roman" w:hAnsi="Times New Roman" w:cs="Times New Roman"/>
          <w:noProof/>
          <w:lang w:val="en-IE"/>
        </w:rPr>
        <w:t>p</w:t>
      </w:r>
      <w:r w:rsidR="00F73936" w:rsidRPr="00B8512B">
        <w:rPr>
          <w:rFonts w:ascii="Times New Roman" w:hAnsi="Times New Roman" w:cs="Times New Roman"/>
          <w:noProof/>
          <w:lang w:val="en-IE"/>
        </w:rPr>
        <w:t xml:space="preserve">oints for eHealth and have started to exchange patient summaries and ePrescriptions </w:t>
      </w:r>
      <w:r w:rsidR="00F73936" w:rsidRPr="00B8512B">
        <w:rPr>
          <w:rFonts w:ascii="Times New Roman" w:hAnsi="Times New Roman" w:cs="Times New Roman"/>
          <w:noProof/>
          <w:szCs w:val="24"/>
        </w:rPr>
        <w:t xml:space="preserve">to ensure continuity of care </w:t>
      </w:r>
      <w:r w:rsidR="004D2719">
        <w:rPr>
          <w:rFonts w:ascii="Times New Roman" w:hAnsi="Times New Roman" w:cs="Times New Roman"/>
          <w:noProof/>
          <w:szCs w:val="24"/>
        </w:rPr>
        <w:t>for</w:t>
      </w:r>
      <w:r w:rsidR="004D2719" w:rsidRPr="00B8512B">
        <w:rPr>
          <w:rFonts w:ascii="Times New Roman" w:hAnsi="Times New Roman" w:cs="Times New Roman"/>
          <w:noProof/>
          <w:szCs w:val="24"/>
        </w:rPr>
        <w:t xml:space="preserve"> </w:t>
      </w:r>
      <w:r w:rsidR="00F73936" w:rsidRPr="00B8512B">
        <w:rPr>
          <w:rFonts w:ascii="Times New Roman" w:hAnsi="Times New Roman" w:cs="Times New Roman"/>
          <w:noProof/>
          <w:szCs w:val="24"/>
        </w:rPr>
        <w:t>cross-border patients</w:t>
      </w:r>
      <w:r w:rsidR="00F73936" w:rsidRPr="00B8512B">
        <w:rPr>
          <w:rFonts w:ascii="Times New Roman" w:hAnsi="Times New Roman" w:cs="Times New Roman"/>
          <w:noProof/>
          <w:lang w:val="en-IE"/>
        </w:rPr>
        <w:t>.</w:t>
      </w:r>
      <w:r w:rsidR="001E6BAE">
        <w:rPr>
          <w:rFonts w:ascii="Times New Roman" w:hAnsi="Times New Roman" w:cs="Times New Roman"/>
          <w:noProof/>
          <w:lang w:val="en-IE"/>
        </w:rPr>
        <w:t xml:space="preserve"> </w:t>
      </w:r>
      <w:r w:rsidR="352CA1FA" w:rsidRPr="00B8512B">
        <w:rPr>
          <w:rFonts w:ascii="Times New Roman" w:eastAsia="Times New Roman" w:hAnsi="Times New Roman" w:cs="Times New Roman"/>
          <w:noProof/>
          <w:szCs w:val="24"/>
          <w:lang w:val="en-IE"/>
        </w:rPr>
        <w:t>Support for additional data contents is being added</w:t>
      </w:r>
      <w:r w:rsidR="00CA3F60" w:rsidRPr="00B8512B">
        <w:rPr>
          <w:rFonts w:ascii="Times New Roman" w:eastAsia="Times New Roman" w:hAnsi="Times New Roman" w:cs="Times New Roman"/>
          <w:noProof/>
          <w:szCs w:val="24"/>
          <w:lang w:val="en-IE"/>
        </w:rPr>
        <w:t xml:space="preserve"> to the MyHealth</w:t>
      </w:r>
      <w:r w:rsidR="008F2BD3" w:rsidRPr="00B8512B">
        <w:rPr>
          <w:rFonts w:ascii="Times New Roman" w:eastAsia="Times New Roman" w:hAnsi="Times New Roman" w:cs="Times New Roman"/>
          <w:noProof/>
          <w:szCs w:val="24"/>
          <w:lang w:val="en-IE"/>
        </w:rPr>
        <w:t>@</w:t>
      </w:r>
      <w:r w:rsidR="00CA3F60" w:rsidRPr="00B8512B">
        <w:rPr>
          <w:rFonts w:ascii="Times New Roman" w:eastAsia="Times New Roman" w:hAnsi="Times New Roman" w:cs="Times New Roman"/>
          <w:noProof/>
          <w:szCs w:val="24"/>
          <w:lang w:val="en-IE"/>
        </w:rPr>
        <w:t>EU infrastructure</w:t>
      </w:r>
      <w:r w:rsidR="352CA1FA" w:rsidRPr="00B8512B">
        <w:rPr>
          <w:rFonts w:ascii="Times New Roman" w:eastAsia="Times New Roman" w:hAnsi="Times New Roman" w:cs="Times New Roman"/>
          <w:noProof/>
          <w:szCs w:val="24"/>
          <w:lang w:val="en-IE"/>
        </w:rPr>
        <w:t>, including laboratory test results, hospital discharge reports</w:t>
      </w:r>
      <w:r w:rsidR="006E635B">
        <w:rPr>
          <w:rFonts w:ascii="Times New Roman" w:eastAsia="Times New Roman" w:hAnsi="Times New Roman" w:cs="Times New Roman"/>
          <w:noProof/>
          <w:szCs w:val="24"/>
          <w:lang w:val="en-IE"/>
        </w:rPr>
        <w:t xml:space="preserve"> and</w:t>
      </w:r>
      <w:r w:rsidR="352CA1FA" w:rsidRPr="00B8512B">
        <w:rPr>
          <w:rFonts w:ascii="Times New Roman" w:eastAsia="Times New Roman" w:hAnsi="Times New Roman" w:cs="Times New Roman"/>
          <w:noProof/>
          <w:szCs w:val="24"/>
          <w:lang w:val="en-IE"/>
        </w:rPr>
        <w:t xml:space="preserve"> medical images.</w:t>
      </w:r>
    </w:p>
    <w:p w14:paraId="50D3BA22" w14:textId="46686B8B" w:rsidR="003D5839" w:rsidRPr="00B8512B" w:rsidRDefault="003D5839">
      <w:pPr>
        <w:rPr>
          <w:rFonts w:ascii="Times New Roman" w:hAnsi="Times New Roman" w:cs="Times New Roman"/>
          <w:noProof/>
          <w:lang w:val="en-IE"/>
        </w:rPr>
      </w:pPr>
      <w:r w:rsidRPr="00B8512B">
        <w:rPr>
          <w:rFonts w:ascii="Times New Roman" w:hAnsi="Times New Roman" w:cs="Times New Roman"/>
          <w:noProof/>
          <w:lang w:val="en-IE"/>
        </w:rPr>
        <w:t xml:space="preserve">Following the outbreak of </w:t>
      </w:r>
      <w:r w:rsidR="00CA3F60" w:rsidRPr="00B8512B">
        <w:rPr>
          <w:rFonts w:ascii="Times New Roman" w:hAnsi="Times New Roman" w:cs="Times New Roman"/>
          <w:noProof/>
          <w:lang w:val="en-IE"/>
        </w:rPr>
        <w:t xml:space="preserve">the </w:t>
      </w:r>
      <w:r w:rsidR="00E51F07" w:rsidRPr="00B8512B">
        <w:rPr>
          <w:rFonts w:ascii="Times New Roman" w:hAnsi="Times New Roman" w:cs="Times New Roman"/>
          <w:noProof/>
          <w:lang w:val="en-IE"/>
        </w:rPr>
        <w:t>C</w:t>
      </w:r>
      <w:r w:rsidR="00E51F07">
        <w:rPr>
          <w:rFonts w:ascii="Times New Roman" w:hAnsi="Times New Roman" w:cs="Times New Roman"/>
          <w:noProof/>
          <w:lang w:val="en-IE"/>
        </w:rPr>
        <w:t>OVID</w:t>
      </w:r>
      <w:r w:rsidRPr="00B8512B">
        <w:rPr>
          <w:rFonts w:ascii="Times New Roman" w:hAnsi="Times New Roman" w:cs="Times New Roman"/>
          <w:noProof/>
          <w:lang w:val="en-IE"/>
        </w:rPr>
        <w:t>-19</w:t>
      </w:r>
      <w:r w:rsidR="00CA3F60" w:rsidRPr="00B8512B">
        <w:rPr>
          <w:rFonts w:ascii="Times New Roman" w:hAnsi="Times New Roman" w:cs="Times New Roman"/>
          <w:noProof/>
          <w:lang w:val="en-IE"/>
        </w:rPr>
        <w:t xml:space="preserve"> pandemic in 2020</w:t>
      </w:r>
      <w:r w:rsidRPr="00B8512B">
        <w:rPr>
          <w:rFonts w:ascii="Times New Roman" w:hAnsi="Times New Roman" w:cs="Times New Roman"/>
          <w:noProof/>
          <w:lang w:val="en-IE"/>
        </w:rPr>
        <w:t xml:space="preserve">, the eHealth Network </w:t>
      </w:r>
      <w:r w:rsidR="00A26C90" w:rsidRPr="00B8512B">
        <w:rPr>
          <w:rFonts w:ascii="Times New Roman" w:hAnsi="Times New Roman" w:cs="Times New Roman"/>
          <w:noProof/>
          <w:lang w:val="en-IE"/>
        </w:rPr>
        <w:t>gave priority to the public health crisis</w:t>
      </w:r>
      <w:r w:rsidR="00E51F07">
        <w:rPr>
          <w:rFonts w:ascii="Times New Roman" w:hAnsi="Times New Roman" w:cs="Times New Roman"/>
          <w:noProof/>
          <w:lang w:val="en-IE"/>
        </w:rPr>
        <w:t>.</w:t>
      </w:r>
      <w:r w:rsidR="00A26C90" w:rsidRPr="00B8512B">
        <w:rPr>
          <w:rFonts w:ascii="Times New Roman" w:hAnsi="Times New Roman" w:cs="Times New Roman"/>
          <w:noProof/>
          <w:lang w:val="en-IE"/>
        </w:rPr>
        <w:t xml:space="preserve"> </w:t>
      </w:r>
      <w:r w:rsidR="00E51F07">
        <w:rPr>
          <w:rFonts w:ascii="Times New Roman" w:hAnsi="Times New Roman" w:cs="Times New Roman"/>
          <w:noProof/>
          <w:lang w:val="en-IE"/>
        </w:rPr>
        <w:t>It</w:t>
      </w:r>
      <w:r w:rsidR="00E51F07" w:rsidRPr="00B8512B">
        <w:rPr>
          <w:rFonts w:ascii="Times New Roman" w:hAnsi="Times New Roman" w:cs="Times New Roman"/>
          <w:noProof/>
          <w:lang w:val="en-IE"/>
        </w:rPr>
        <w:t xml:space="preserve"> </w:t>
      </w:r>
      <w:r w:rsidR="001E2B7B" w:rsidRPr="00B8512B">
        <w:rPr>
          <w:rFonts w:ascii="Times New Roman" w:hAnsi="Times New Roman" w:cs="Times New Roman"/>
          <w:noProof/>
          <w:lang w:val="en-IE"/>
        </w:rPr>
        <w:t xml:space="preserve">helped to quickly </w:t>
      </w:r>
      <w:r w:rsidRPr="00B8512B">
        <w:rPr>
          <w:rFonts w:ascii="Times New Roman" w:hAnsi="Times New Roman" w:cs="Times New Roman"/>
          <w:noProof/>
          <w:lang w:val="en-IE"/>
        </w:rPr>
        <w:t>develop and implement two important initiatives</w:t>
      </w:r>
      <w:r w:rsidR="001E2B7B" w:rsidRPr="00B8512B">
        <w:rPr>
          <w:rFonts w:ascii="Times New Roman" w:hAnsi="Times New Roman" w:cs="Times New Roman"/>
          <w:noProof/>
          <w:lang w:val="en-IE"/>
        </w:rPr>
        <w:t xml:space="preserve"> to protect public health and ensure the free movement of </w:t>
      </w:r>
      <w:r w:rsidR="00E51F07">
        <w:rPr>
          <w:rFonts w:ascii="Times New Roman" w:hAnsi="Times New Roman" w:cs="Times New Roman"/>
          <w:noProof/>
          <w:lang w:val="en-IE"/>
        </w:rPr>
        <w:t>people</w:t>
      </w:r>
      <w:r w:rsidRPr="00B8512B">
        <w:rPr>
          <w:rFonts w:ascii="Times New Roman" w:hAnsi="Times New Roman" w:cs="Times New Roman"/>
          <w:noProof/>
          <w:lang w:val="en-IE"/>
        </w:rPr>
        <w:t xml:space="preserve">: the </w:t>
      </w:r>
      <w:r w:rsidR="00E51F07" w:rsidRPr="00B8512B">
        <w:rPr>
          <w:rFonts w:ascii="Times New Roman" w:hAnsi="Times New Roman" w:cs="Times New Roman"/>
          <w:noProof/>
          <w:lang w:val="en-IE"/>
        </w:rPr>
        <w:t xml:space="preserve">interoperability at EU level </w:t>
      </w:r>
      <w:r w:rsidR="00E51F07">
        <w:rPr>
          <w:rFonts w:ascii="Times New Roman" w:hAnsi="Times New Roman" w:cs="Times New Roman"/>
          <w:noProof/>
          <w:lang w:val="en-IE"/>
        </w:rPr>
        <w:t xml:space="preserve">of </w:t>
      </w:r>
      <w:r w:rsidRPr="00B8512B">
        <w:rPr>
          <w:rFonts w:ascii="Times New Roman" w:hAnsi="Times New Roman" w:cs="Times New Roman"/>
          <w:noProof/>
          <w:lang w:val="en-IE"/>
        </w:rPr>
        <w:t>contact tracing a</w:t>
      </w:r>
      <w:r w:rsidR="352CA1FA" w:rsidRPr="00B8512B">
        <w:rPr>
          <w:rFonts w:ascii="Times New Roman" w:hAnsi="Times New Roman" w:cs="Times New Roman"/>
          <w:noProof/>
          <w:lang w:val="en-IE"/>
        </w:rPr>
        <w:t>nd warning a</w:t>
      </w:r>
      <w:r w:rsidRPr="00B8512B">
        <w:rPr>
          <w:rFonts w:ascii="Times New Roman" w:hAnsi="Times New Roman" w:cs="Times New Roman"/>
          <w:noProof/>
          <w:lang w:val="en-IE"/>
        </w:rPr>
        <w:t>pps</w:t>
      </w:r>
      <w:r w:rsidR="00E51F07">
        <w:rPr>
          <w:rFonts w:ascii="Times New Roman" w:hAnsi="Times New Roman" w:cs="Times New Roman"/>
          <w:noProof/>
          <w:lang w:val="en-IE"/>
        </w:rPr>
        <w:t>,</w:t>
      </w:r>
      <w:r w:rsidRPr="00B8512B">
        <w:rPr>
          <w:rFonts w:ascii="Times New Roman" w:hAnsi="Times New Roman" w:cs="Times New Roman"/>
          <w:noProof/>
          <w:lang w:val="en-IE"/>
        </w:rPr>
        <w:t xml:space="preserve"> and the EU Digital C</w:t>
      </w:r>
      <w:r w:rsidR="352CA1FA" w:rsidRPr="00B8512B">
        <w:rPr>
          <w:rFonts w:ascii="Times New Roman" w:hAnsi="Times New Roman" w:cs="Times New Roman"/>
          <w:noProof/>
          <w:lang w:val="en-IE"/>
        </w:rPr>
        <w:t>OVID</w:t>
      </w:r>
      <w:r w:rsidRPr="00B8512B">
        <w:rPr>
          <w:rFonts w:ascii="Times New Roman" w:hAnsi="Times New Roman" w:cs="Times New Roman"/>
          <w:noProof/>
          <w:lang w:val="en-IE"/>
        </w:rPr>
        <w:t xml:space="preserve"> Certificate</w:t>
      </w:r>
      <w:r w:rsidR="00802F8E">
        <w:rPr>
          <w:rStyle w:val="FootnoteReference"/>
          <w:rFonts w:ascii="Times New Roman" w:hAnsi="Times New Roman" w:cs="Times New Roman"/>
          <w:noProof/>
          <w:lang w:val="en-IE"/>
        </w:rPr>
        <w:footnoteReference w:id="54"/>
      </w:r>
      <w:r w:rsidRPr="00B8512B">
        <w:rPr>
          <w:rFonts w:ascii="Times New Roman" w:hAnsi="Times New Roman" w:cs="Times New Roman"/>
          <w:noProof/>
          <w:lang w:val="en-IE"/>
        </w:rPr>
        <w:t>.</w:t>
      </w:r>
    </w:p>
    <w:bookmarkEnd w:id="24"/>
    <w:p w14:paraId="6F6FBDC3" w14:textId="77777777" w:rsidR="00A46701" w:rsidRPr="00B8512B" w:rsidRDefault="00A46701" w:rsidP="00E33A1A">
      <w:pPr>
        <w:rPr>
          <w:rFonts w:ascii="Times New Roman" w:hAnsi="Times New Roman" w:cs="Times New Roman"/>
          <w:noProof/>
          <w:lang w:val="en-IE"/>
        </w:rPr>
      </w:pPr>
    </w:p>
    <w:p w14:paraId="6A7F427A" w14:textId="0E29CABD" w:rsidR="00E33A1A" w:rsidRPr="00B8512B" w:rsidRDefault="00E51F07">
      <w:pPr>
        <w:pStyle w:val="Heading2"/>
        <w:rPr>
          <w:rFonts w:ascii="Times New Roman" w:hAnsi="Times New Roman" w:cs="Times New Roman"/>
          <w:noProof/>
          <w:lang w:val="en-IE"/>
        </w:rPr>
      </w:pPr>
      <w:bookmarkStart w:id="25" w:name="_Toc81927271"/>
      <w:r>
        <w:rPr>
          <w:rFonts w:ascii="Times New Roman" w:hAnsi="Times New Roman" w:cs="Times New Roman"/>
          <w:noProof/>
          <w:lang w:val="en-IE"/>
        </w:rPr>
        <w:t xml:space="preserve"> </w:t>
      </w:r>
      <w:r w:rsidR="00E33A1A" w:rsidRPr="00B8512B">
        <w:rPr>
          <w:rFonts w:ascii="Times New Roman" w:hAnsi="Times New Roman" w:cs="Times New Roman"/>
          <w:noProof/>
          <w:lang w:val="en-IE"/>
        </w:rPr>
        <w:t>H</w:t>
      </w:r>
      <w:r w:rsidR="00A26C90" w:rsidRPr="00B8512B">
        <w:rPr>
          <w:rFonts w:ascii="Times New Roman" w:hAnsi="Times New Roman" w:cs="Times New Roman"/>
          <w:noProof/>
          <w:lang w:val="en-IE"/>
        </w:rPr>
        <w:t xml:space="preserve">ealth </w:t>
      </w:r>
      <w:r>
        <w:rPr>
          <w:rFonts w:ascii="Times New Roman" w:hAnsi="Times New Roman" w:cs="Times New Roman"/>
          <w:noProof/>
          <w:lang w:val="en-IE"/>
        </w:rPr>
        <w:t>t</w:t>
      </w:r>
      <w:r w:rsidR="00A26C90" w:rsidRPr="00B8512B">
        <w:rPr>
          <w:rFonts w:ascii="Times New Roman" w:hAnsi="Times New Roman" w:cs="Times New Roman"/>
          <w:noProof/>
          <w:lang w:val="en-IE"/>
        </w:rPr>
        <w:t xml:space="preserve">echnology </w:t>
      </w:r>
      <w:r>
        <w:rPr>
          <w:rFonts w:ascii="Times New Roman" w:hAnsi="Times New Roman" w:cs="Times New Roman"/>
          <w:noProof/>
          <w:lang w:val="en-IE"/>
        </w:rPr>
        <w:t>a</w:t>
      </w:r>
      <w:bookmarkEnd w:id="25"/>
      <w:r w:rsidR="00A26C90" w:rsidRPr="00B8512B">
        <w:rPr>
          <w:rFonts w:ascii="Times New Roman" w:hAnsi="Times New Roman" w:cs="Times New Roman"/>
          <w:noProof/>
          <w:lang w:val="en-IE"/>
        </w:rPr>
        <w:t>ssessment</w:t>
      </w:r>
    </w:p>
    <w:p w14:paraId="7425BA27" w14:textId="6F1BCD74" w:rsidR="00540330" w:rsidRPr="00B8512B" w:rsidRDefault="002636D3" w:rsidP="00C76B82">
      <w:pPr>
        <w:rPr>
          <w:rFonts w:ascii="Times New Roman" w:hAnsi="Times New Roman" w:cs="Times New Roman"/>
          <w:noProof/>
          <w:lang w:val="en-IE"/>
        </w:rPr>
      </w:pPr>
      <w:r w:rsidRPr="00B8512B">
        <w:rPr>
          <w:rFonts w:ascii="Times New Roman" w:hAnsi="Times New Roman" w:cs="Times New Roman"/>
          <w:noProof/>
          <w:lang w:val="en-IE"/>
        </w:rPr>
        <w:t>A</w:t>
      </w:r>
      <w:r w:rsidR="00A26C90" w:rsidRPr="00B8512B">
        <w:rPr>
          <w:rFonts w:ascii="Times New Roman" w:hAnsi="Times New Roman" w:cs="Times New Roman"/>
          <w:noProof/>
          <w:lang w:val="en-IE"/>
        </w:rPr>
        <w:t>rticle 15 provided a legal basis for promoting European cooperation</w:t>
      </w:r>
      <w:r w:rsidR="006E635B">
        <w:rPr>
          <w:rFonts w:ascii="Times New Roman" w:hAnsi="Times New Roman" w:cs="Times New Roman"/>
          <w:noProof/>
          <w:lang w:val="en-IE"/>
        </w:rPr>
        <w:t xml:space="preserve"> in </w:t>
      </w:r>
      <w:r w:rsidR="00E51F07" w:rsidRPr="00B8512B">
        <w:rPr>
          <w:rFonts w:ascii="Times New Roman" w:hAnsi="Times New Roman" w:cs="Times New Roman"/>
          <w:noProof/>
          <w:lang w:val="en-IE"/>
        </w:rPr>
        <w:t xml:space="preserve">health technology assessment </w:t>
      </w:r>
      <w:r w:rsidR="00E51F07">
        <w:rPr>
          <w:rFonts w:ascii="Times New Roman" w:hAnsi="Times New Roman" w:cs="Times New Roman"/>
          <w:noProof/>
          <w:lang w:val="en-IE"/>
        </w:rPr>
        <w:t>(</w:t>
      </w:r>
      <w:r w:rsidR="006E635B">
        <w:rPr>
          <w:rFonts w:ascii="Times New Roman" w:hAnsi="Times New Roman" w:cs="Times New Roman"/>
          <w:noProof/>
          <w:lang w:val="en-IE"/>
        </w:rPr>
        <w:t>HTA</w:t>
      </w:r>
      <w:r w:rsidR="00E51F07">
        <w:rPr>
          <w:rFonts w:ascii="Times New Roman" w:hAnsi="Times New Roman" w:cs="Times New Roman"/>
          <w:noProof/>
          <w:lang w:val="en-IE"/>
        </w:rPr>
        <w:t>)</w:t>
      </w:r>
      <w:r w:rsidR="006E635B">
        <w:rPr>
          <w:rFonts w:ascii="Times New Roman" w:hAnsi="Times New Roman" w:cs="Times New Roman"/>
          <w:noProof/>
          <w:lang w:val="en-IE"/>
        </w:rPr>
        <w:t xml:space="preserve">, </w:t>
      </w:r>
      <w:r w:rsidR="006E635B" w:rsidRPr="00B8512B">
        <w:rPr>
          <w:rFonts w:ascii="Times New Roman" w:hAnsi="Times New Roman" w:cs="Times New Roman"/>
          <w:noProof/>
          <w:lang w:val="en-IE"/>
        </w:rPr>
        <w:t>an important part of evidence-based decision-making on health</w:t>
      </w:r>
      <w:r w:rsidR="00F477CD" w:rsidRPr="00B8512B">
        <w:rPr>
          <w:rFonts w:ascii="Times New Roman" w:hAnsi="Times New Roman" w:cs="Times New Roman"/>
          <w:noProof/>
          <w:lang w:val="en-IE"/>
        </w:rPr>
        <w:t xml:space="preserve">. On </w:t>
      </w:r>
      <w:r w:rsidR="00E51F07" w:rsidRPr="00B8512B">
        <w:rPr>
          <w:rFonts w:ascii="Times New Roman" w:hAnsi="Times New Roman" w:cs="Times New Roman"/>
          <w:noProof/>
          <w:lang w:val="en-IE"/>
        </w:rPr>
        <w:t>31</w:t>
      </w:r>
      <w:r w:rsidR="00E51F07">
        <w:rPr>
          <w:rFonts w:ascii="Times New Roman" w:hAnsi="Times New Roman" w:cs="Times New Roman"/>
          <w:noProof/>
          <w:lang w:val="en-IE"/>
        </w:rPr>
        <w:t> </w:t>
      </w:r>
      <w:r w:rsidR="00E51F07" w:rsidRPr="00B8512B">
        <w:rPr>
          <w:rFonts w:ascii="Times New Roman" w:hAnsi="Times New Roman" w:cs="Times New Roman"/>
          <w:noProof/>
          <w:lang w:val="en-IE"/>
        </w:rPr>
        <w:t>January</w:t>
      </w:r>
      <w:r w:rsidR="00E51F07">
        <w:rPr>
          <w:rFonts w:ascii="Times New Roman" w:hAnsi="Times New Roman" w:cs="Times New Roman"/>
          <w:noProof/>
          <w:lang w:val="en-IE"/>
        </w:rPr>
        <w:t> </w:t>
      </w:r>
      <w:r w:rsidR="00F477CD" w:rsidRPr="00B8512B">
        <w:rPr>
          <w:rFonts w:ascii="Times New Roman" w:hAnsi="Times New Roman" w:cs="Times New Roman"/>
          <w:noProof/>
          <w:lang w:val="en-IE"/>
        </w:rPr>
        <w:t xml:space="preserve">2018, the Commission adopted </w:t>
      </w:r>
      <w:r w:rsidR="003D5563" w:rsidRPr="00B8512B">
        <w:rPr>
          <w:rFonts w:ascii="Times New Roman" w:hAnsi="Times New Roman" w:cs="Times New Roman"/>
          <w:noProof/>
          <w:lang w:val="en-IE"/>
        </w:rPr>
        <w:t xml:space="preserve">a proposal for a </w:t>
      </w:r>
      <w:r w:rsidR="005255B4" w:rsidRPr="00B8512B">
        <w:rPr>
          <w:rFonts w:ascii="Times New Roman" w:hAnsi="Times New Roman" w:cs="Times New Roman"/>
          <w:noProof/>
          <w:lang w:val="en-IE"/>
        </w:rPr>
        <w:t>R</w:t>
      </w:r>
      <w:r w:rsidR="003D5563" w:rsidRPr="00B8512B">
        <w:rPr>
          <w:rFonts w:ascii="Times New Roman" w:hAnsi="Times New Roman" w:cs="Times New Roman"/>
          <w:noProof/>
          <w:lang w:val="en-IE"/>
        </w:rPr>
        <w:t xml:space="preserve">egulation on </w:t>
      </w:r>
      <w:r w:rsidR="00F477CD" w:rsidRPr="00B8512B">
        <w:rPr>
          <w:rFonts w:ascii="Times New Roman" w:hAnsi="Times New Roman" w:cs="Times New Roman"/>
          <w:noProof/>
          <w:lang w:val="en-IE"/>
        </w:rPr>
        <w:t>HTA</w:t>
      </w:r>
      <w:r w:rsidR="00BB597E" w:rsidRPr="00B8512B">
        <w:rPr>
          <w:rFonts w:ascii="Times New Roman" w:hAnsi="Times New Roman" w:cs="Times New Roman"/>
          <w:noProof/>
          <w:lang w:val="en-IE"/>
        </w:rPr>
        <w:t xml:space="preserve"> aimed </w:t>
      </w:r>
      <w:r w:rsidR="00E51F07">
        <w:rPr>
          <w:rFonts w:ascii="Times New Roman" w:hAnsi="Times New Roman" w:cs="Times New Roman"/>
          <w:noProof/>
          <w:lang w:val="en-IE"/>
        </w:rPr>
        <w:t>at</w:t>
      </w:r>
      <w:r w:rsidR="00E51F07" w:rsidRPr="00B8512B">
        <w:rPr>
          <w:rFonts w:ascii="Times New Roman" w:hAnsi="Times New Roman" w:cs="Times New Roman"/>
          <w:noProof/>
          <w:lang w:val="en-IE"/>
        </w:rPr>
        <w:t xml:space="preserve"> </w:t>
      </w:r>
      <w:r w:rsidR="00BB597E" w:rsidRPr="00B8512B">
        <w:rPr>
          <w:rFonts w:ascii="Times New Roman" w:hAnsi="Times New Roman" w:cs="Times New Roman"/>
          <w:noProof/>
          <w:lang w:val="en-IE"/>
        </w:rPr>
        <w:t>strengthen</w:t>
      </w:r>
      <w:r w:rsidR="00E51F07">
        <w:rPr>
          <w:rFonts w:ascii="Times New Roman" w:hAnsi="Times New Roman" w:cs="Times New Roman"/>
          <w:noProof/>
          <w:lang w:val="en-IE"/>
        </w:rPr>
        <w:t>ing</w:t>
      </w:r>
      <w:r w:rsidR="00BB597E" w:rsidRPr="00B8512B">
        <w:rPr>
          <w:rFonts w:ascii="Times New Roman" w:hAnsi="Times New Roman" w:cs="Times New Roman"/>
          <w:noProof/>
          <w:lang w:val="en-IE"/>
        </w:rPr>
        <w:t xml:space="preserve"> and mak</w:t>
      </w:r>
      <w:r w:rsidR="00E51F07">
        <w:rPr>
          <w:rFonts w:ascii="Times New Roman" w:hAnsi="Times New Roman" w:cs="Times New Roman"/>
          <w:noProof/>
          <w:lang w:val="en-IE"/>
        </w:rPr>
        <w:t>ing</w:t>
      </w:r>
      <w:r w:rsidR="00BB597E" w:rsidRPr="00B8512B">
        <w:rPr>
          <w:rFonts w:ascii="Times New Roman" w:hAnsi="Times New Roman" w:cs="Times New Roman"/>
          <w:noProof/>
          <w:lang w:val="en-IE"/>
        </w:rPr>
        <w:t xml:space="preserve"> sustainable European cooperation in this area</w:t>
      </w:r>
      <w:r w:rsidR="00F477CD" w:rsidRPr="00B8512B">
        <w:rPr>
          <w:rStyle w:val="FootnoteReference"/>
          <w:rFonts w:ascii="Times New Roman" w:hAnsi="Times New Roman" w:cs="Times New Roman"/>
          <w:noProof/>
          <w:lang w:val="en-IE"/>
        </w:rPr>
        <w:footnoteReference w:id="55"/>
      </w:r>
      <w:r w:rsidR="00BB597E" w:rsidRPr="00B8512B">
        <w:rPr>
          <w:rFonts w:ascii="Times New Roman" w:hAnsi="Times New Roman" w:cs="Times New Roman"/>
          <w:noProof/>
          <w:lang w:val="en-IE"/>
        </w:rPr>
        <w:t xml:space="preserve">. </w:t>
      </w:r>
      <w:r w:rsidR="00A46701" w:rsidRPr="00B8512B">
        <w:rPr>
          <w:rFonts w:ascii="Times New Roman" w:hAnsi="Times New Roman" w:cs="Times New Roman"/>
          <w:noProof/>
          <w:lang w:val="en-IE"/>
        </w:rPr>
        <w:t xml:space="preserve">The new Regulation was adopted on </w:t>
      </w:r>
      <w:r w:rsidR="00E51F07">
        <w:rPr>
          <w:rFonts w:ascii="Times New Roman" w:hAnsi="Times New Roman" w:cs="Times New Roman"/>
          <w:noProof/>
          <w:lang w:val="en-IE"/>
        </w:rPr>
        <w:t>15</w:t>
      </w:r>
      <w:r w:rsidR="00641FCC">
        <w:rPr>
          <w:rStyle w:val="CommentReference"/>
          <w:noProof/>
        </w:rPr>
        <w:t> </w:t>
      </w:r>
      <w:r w:rsidR="00641FCC" w:rsidRPr="00B8512B">
        <w:rPr>
          <w:rFonts w:ascii="Times New Roman" w:hAnsi="Times New Roman" w:cs="Times New Roman"/>
          <w:noProof/>
          <w:lang w:val="en-IE"/>
        </w:rPr>
        <w:t>December</w:t>
      </w:r>
      <w:r w:rsidR="00641FCC">
        <w:rPr>
          <w:rFonts w:ascii="Times New Roman" w:hAnsi="Times New Roman" w:cs="Times New Roman"/>
          <w:noProof/>
          <w:lang w:val="en-IE"/>
        </w:rPr>
        <w:t> </w:t>
      </w:r>
      <w:r w:rsidR="00A46701" w:rsidRPr="00B8512B">
        <w:rPr>
          <w:rFonts w:ascii="Times New Roman" w:hAnsi="Times New Roman" w:cs="Times New Roman"/>
          <w:noProof/>
          <w:lang w:val="en-IE"/>
        </w:rPr>
        <w:t xml:space="preserve">2021 and entered into force on </w:t>
      </w:r>
      <w:r w:rsidR="00641FCC" w:rsidRPr="00B8512B">
        <w:rPr>
          <w:rFonts w:ascii="Times New Roman" w:hAnsi="Times New Roman" w:cs="Times New Roman"/>
          <w:noProof/>
          <w:lang w:val="en-IE"/>
        </w:rPr>
        <w:t>12</w:t>
      </w:r>
      <w:r w:rsidR="00641FCC">
        <w:rPr>
          <w:rFonts w:ascii="Times New Roman" w:hAnsi="Times New Roman" w:cs="Times New Roman"/>
          <w:noProof/>
          <w:lang w:val="en-IE"/>
        </w:rPr>
        <w:t> </w:t>
      </w:r>
      <w:r w:rsidR="00641FCC" w:rsidRPr="00B8512B">
        <w:rPr>
          <w:rFonts w:ascii="Times New Roman" w:hAnsi="Times New Roman" w:cs="Times New Roman"/>
          <w:noProof/>
          <w:lang w:val="en-IE"/>
        </w:rPr>
        <w:t>January</w:t>
      </w:r>
      <w:r w:rsidR="00641FCC">
        <w:rPr>
          <w:rFonts w:ascii="Times New Roman" w:hAnsi="Times New Roman" w:cs="Times New Roman"/>
          <w:noProof/>
          <w:lang w:val="en-IE"/>
        </w:rPr>
        <w:t> </w:t>
      </w:r>
      <w:r w:rsidR="00A46701" w:rsidRPr="00B8512B">
        <w:rPr>
          <w:rFonts w:ascii="Times New Roman" w:hAnsi="Times New Roman" w:cs="Times New Roman"/>
          <w:noProof/>
          <w:lang w:val="en-IE"/>
        </w:rPr>
        <w:t>2022</w:t>
      </w:r>
      <w:r w:rsidRPr="00B8512B">
        <w:rPr>
          <w:rStyle w:val="FootnoteReference"/>
          <w:rFonts w:ascii="Times New Roman" w:hAnsi="Times New Roman" w:cs="Times New Roman"/>
          <w:noProof/>
          <w:lang w:val="en-IE"/>
        </w:rPr>
        <w:footnoteReference w:id="56"/>
      </w:r>
      <w:r w:rsidR="00A46701" w:rsidRPr="00B8512B">
        <w:rPr>
          <w:rFonts w:ascii="Times New Roman" w:hAnsi="Times New Roman" w:cs="Times New Roman"/>
          <w:noProof/>
          <w:lang w:val="en-IE"/>
        </w:rPr>
        <w:t xml:space="preserve">. It </w:t>
      </w:r>
      <w:r w:rsidRPr="00B8512B">
        <w:rPr>
          <w:rFonts w:ascii="Times New Roman" w:hAnsi="Times New Roman" w:cs="Times New Roman"/>
          <w:noProof/>
          <w:lang w:val="en-IE"/>
        </w:rPr>
        <w:t>deleted</w:t>
      </w:r>
      <w:r w:rsidR="00A46701" w:rsidRPr="00B8512B">
        <w:rPr>
          <w:rFonts w:ascii="Times New Roman" w:hAnsi="Times New Roman" w:cs="Times New Roman"/>
          <w:noProof/>
          <w:lang w:val="en-IE"/>
        </w:rPr>
        <w:t xml:space="preserve"> Article 15 of the Directive. </w:t>
      </w:r>
      <w:r w:rsidR="00BB597E" w:rsidRPr="00B8512B">
        <w:rPr>
          <w:rFonts w:ascii="Times New Roman" w:hAnsi="Times New Roman" w:cs="Times New Roman"/>
          <w:noProof/>
          <w:lang w:val="en-IE"/>
        </w:rPr>
        <w:t xml:space="preserve">In parallel with the negotiation on the Commission’s proposal, the HTA network activities continued and were complemented by the technical work of </w:t>
      </w:r>
      <w:r w:rsidR="00CF1349" w:rsidRPr="00B8512B">
        <w:rPr>
          <w:rFonts w:ascii="Times New Roman" w:hAnsi="Times New Roman" w:cs="Times New Roman"/>
          <w:noProof/>
          <w:lang w:val="en-IE"/>
        </w:rPr>
        <w:t xml:space="preserve">the </w:t>
      </w:r>
      <w:r w:rsidR="00CF1349" w:rsidRPr="00465DA7">
        <w:rPr>
          <w:rFonts w:ascii="Times New Roman" w:hAnsi="Times New Roman" w:cs="Times New Roman"/>
          <w:noProof/>
          <w:lang w:val="en-IE"/>
        </w:rPr>
        <w:t>EUnetHTA Joint Action 3</w:t>
      </w:r>
      <w:r w:rsidR="00465DA7">
        <w:rPr>
          <w:rStyle w:val="FootnoteReference"/>
          <w:rFonts w:ascii="Times New Roman" w:hAnsi="Times New Roman" w:cs="Times New Roman"/>
          <w:noProof/>
          <w:lang w:val="en-IE"/>
        </w:rPr>
        <w:footnoteReference w:id="57"/>
      </w:r>
      <w:r w:rsidR="00BB597E" w:rsidRPr="00B8512B">
        <w:rPr>
          <w:rFonts w:ascii="Times New Roman" w:hAnsi="Times New Roman" w:cs="Times New Roman"/>
          <w:noProof/>
          <w:lang w:val="en-IE"/>
        </w:rPr>
        <w:t xml:space="preserve">. </w:t>
      </w:r>
      <w:r w:rsidR="00BF5C15" w:rsidRPr="00B8512B">
        <w:rPr>
          <w:rFonts w:ascii="Times New Roman" w:hAnsi="Times New Roman" w:cs="Times New Roman"/>
          <w:noProof/>
          <w:lang w:val="en-IE"/>
        </w:rPr>
        <w:t xml:space="preserve">At the onset of the </w:t>
      </w:r>
      <w:r w:rsidR="00641FCC" w:rsidRPr="00B8512B">
        <w:rPr>
          <w:rFonts w:ascii="Times New Roman" w:hAnsi="Times New Roman" w:cs="Times New Roman"/>
          <w:noProof/>
          <w:lang w:val="en-IE"/>
        </w:rPr>
        <w:t>C</w:t>
      </w:r>
      <w:r w:rsidR="00641FCC">
        <w:rPr>
          <w:rFonts w:ascii="Times New Roman" w:hAnsi="Times New Roman" w:cs="Times New Roman"/>
          <w:noProof/>
          <w:lang w:val="en-IE"/>
        </w:rPr>
        <w:t>OVID</w:t>
      </w:r>
      <w:r w:rsidR="00BF5C15" w:rsidRPr="00B8512B">
        <w:rPr>
          <w:rFonts w:ascii="Times New Roman" w:hAnsi="Times New Roman" w:cs="Times New Roman"/>
          <w:noProof/>
          <w:lang w:val="en-IE"/>
        </w:rPr>
        <w:t xml:space="preserve">-19 pandemic in 2020, the EUnetHTA Joint Action 3 developed and published its </w:t>
      </w:r>
      <w:r w:rsidR="00641FCC">
        <w:rPr>
          <w:rFonts w:ascii="Times New Roman" w:hAnsi="Times New Roman" w:cs="Times New Roman"/>
          <w:noProof/>
          <w:lang w:val="en-IE"/>
        </w:rPr>
        <w:t>‘</w:t>
      </w:r>
      <w:r w:rsidR="00BF5C15" w:rsidRPr="00B8512B">
        <w:rPr>
          <w:rFonts w:ascii="Times New Roman" w:hAnsi="Times New Roman" w:cs="Times New Roman"/>
          <w:noProof/>
          <w:lang w:val="en-IE"/>
        </w:rPr>
        <w:t>rolling collaborative reviews</w:t>
      </w:r>
      <w:r w:rsidR="00641FCC">
        <w:rPr>
          <w:rFonts w:ascii="Times New Roman" w:hAnsi="Times New Roman" w:cs="Times New Roman"/>
          <w:noProof/>
          <w:lang w:val="en-IE"/>
        </w:rPr>
        <w:t>’</w:t>
      </w:r>
      <w:r w:rsidR="00BF5C15" w:rsidRPr="00B8512B">
        <w:rPr>
          <w:rFonts w:ascii="Times New Roman" w:hAnsi="Times New Roman" w:cs="Times New Roman"/>
          <w:noProof/>
          <w:lang w:val="en-IE"/>
        </w:rPr>
        <w:t xml:space="preserve"> for several pharmaceutical and non-pharmaceutical therapies for </w:t>
      </w:r>
      <w:r w:rsidR="00641FCC" w:rsidRPr="00B8512B">
        <w:rPr>
          <w:rFonts w:ascii="Times New Roman" w:hAnsi="Times New Roman" w:cs="Times New Roman"/>
          <w:noProof/>
          <w:lang w:val="en-IE"/>
        </w:rPr>
        <w:t>C</w:t>
      </w:r>
      <w:r w:rsidR="00641FCC">
        <w:rPr>
          <w:rFonts w:ascii="Times New Roman" w:hAnsi="Times New Roman" w:cs="Times New Roman"/>
          <w:noProof/>
          <w:lang w:val="en-IE"/>
        </w:rPr>
        <w:t>OVID</w:t>
      </w:r>
      <w:r w:rsidR="00BF5C15" w:rsidRPr="00B8512B">
        <w:rPr>
          <w:rFonts w:ascii="Times New Roman" w:hAnsi="Times New Roman" w:cs="Times New Roman"/>
          <w:noProof/>
          <w:lang w:val="en-IE"/>
        </w:rPr>
        <w:t>-19.</w:t>
      </w:r>
    </w:p>
    <w:p w14:paraId="3BD22EE0" w14:textId="77777777" w:rsidR="0006768A" w:rsidRPr="00B8512B" w:rsidRDefault="0006768A" w:rsidP="00C76B82">
      <w:pPr>
        <w:rPr>
          <w:rFonts w:ascii="Times New Roman" w:hAnsi="Times New Roman" w:cs="Times New Roman"/>
          <w:noProof/>
          <w:lang w:val="en-IE"/>
        </w:rPr>
      </w:pPr>
    </w:p>
    <w:p w14:paraId="118FEDC1" w14:textId="7DE430B3" w:rsidR="00C82DA6" w:rsidRPr="00B8512B" w:rsidRDefault="00641FCC">
      <w:pPr>
        <w:pStyle w:val="Heading2"/>
        <w:rPr>
          <w:rFonts w:ascii="Times New Roman" w:hAnsi="Times New Roman" w:cs="Times New Roman"/>
          <w:noProof/>
          <w:lang w:val="en-IE"/>
        </w:rPr>
      </w:pPr>
      <w:bookmarkStart w:id="26" w:name="_Toc81927272"/>
      <w:r>
        <w:rPr>
          <w:rFonts w:ascii="Times New Roman" w:hAnsi="Times New Roman" w:cs="Times New Roman"/>
          <w:noProof/>
          <w:lang w:val="en-IE"/>
        </w:rPr>
        <w:t xml:space="preserve"> </w:t>
      </w:r>
      <w:r w:rsidR="00C82DA6" w:rsidRPr="00B8512B">
        <w:rPr>
          <w:rFonts w:ascii="Times New Roman" w:hAnsi="Times New Roman" w:cs="Times New Roman"/>
          <w:noProof/>
          <w:lang w:val="en-IE"/>
        </w:rPr>
        <w:t>C</w:t>
      </w:r>
      <w:r w:rsidR="006B459C" w:rsidRPr="00B8512B">
        <w:rPr>
          <w:rFonts w:ascii="Times New Roman" w:hAnsi="Times New Roman" w:cs="Times New Roman"/>
          <w:noProof/>
          <w:lang w:val="en-IE"/>
        </w:rPr>
        <w:t>ross-border and regional cooperation</w:t>
      </w:r>
      <w:bookmarkEnd w:id="26"/>
    </w:p>
    <w:p w14:paraId="6F184E5B" w14:textId="38F05491" w:rsidR="0028394F" w:rsidRPr="00B8512B" w:rsidRDefault="00961A57">
      <w:pPr>
        <w:rPr>
          <w:rFonts w:ascii="Times New Roman" w:hAnsi="Times New Roman" w:cs="Times New Roman"/>
          <w:noProof/>
          <w:lang w:val="en-IE"/>
        </w:rPr>
      </w:pPr>
      <w:r w:rsidRPr="00B8512B">
        <w:rPr>
          <w:rFonts w:ascii="Times New Roman" w:hAnsi="Times New Roman" w:cs="Times New Roman"/>
          <w:noProof/>
          <w:lang w:val="en-IE"/>
        </w:rPr>
        <w:t>The Directive requires Member States to provide mutual assistance and to facilitate cooperation in cross-</w:t>
      </w:r>
      <w:r w:rsidR="00115502" w:rsidRPr="00B8512B">
        <w:rPr>
          <w:rFonts w:ascii="Times New Roman" w:hAnsi="Times New Roman" w:cs="Times New Roman"/>
          <w:noProof/>
          <w:lang w:val="en-IE"/>
        </w:rPr>
        <w:t xml:space="preserve">border </w:t>
      </w:r>
      <w:r w:rsidRPr="00B8512B">
        <w:rPr>
          <w:rFonts w:ascii="Times New Roman" w:hAnsi="Times New Roman" w:cs="Times New Roman"/>
          <w:noProof/>
          <w:lang w:val="en-IE"/>
        </w:rPr>
        <w:t xml:space="preserve">healthcare </w:t>
      </w:r>
      <w:r w:rsidR="00F12080" w:rsidRPr="00B8512B">
        <w:rPr>
          <w:rFonts w:ascii="Times New Roman" w:hAnsi="Times New Roman" w:cs="Times New Roman"/>
          <w:noProof/>
          <w:lang w:val="en-IE"/>
        </w:rPr>
        <w:t>between neighbouring countries</w:t>
      </w:r>
      <w:r w:rsidR="000D2C5E">
        <w:rPr>
          <w:rFonts w:ascii="Times New Roman" w:hAnsi="Times New Roman" w:cs="Times New Roman"/>
          <w:noProof/>
          <w:lang w:val="en-IE"/>
        </w:rPr>
        <w:t xml:space="preserve"> and that</w:t>
      </w:r>
      <w:r w:rsidR="00475D5D">
        <w:rPr>
          <w:rFonts w:ascii="Times New Roman" w:hAnsi="Times New Roman" w:cs="Times New Roman"/>
          <w:noProof/>
          <w:lang w:val="en-IE"/>
        </w:rPr>
        <w:t xml:space="preserve"> </w:t>
      </w:r>
      <w:r w:rsidR="000D2C5E">
        <w:rPr>
          <w:rFonts w:ascii="Times New Roman" w:hAnsi="Times New Roman" w:cs="Times New Roman"/>
          <w:noProof/>
          <w:lang w:val="en-IE"/>
        </w:rPr>
        <w:t>t</w:t>
      </w:r>
      <w:r w:rsidR="00747E48" w:rsidRPr="00B8512B">
        <w:rPr>
          <w:rFonts w:ascii="Times New Roman" w:hAnsi="Times New Roman" w:cs="Times New Roman"/>
          <w:noProof/>
          <w:lang w:val="en-IE"/>
        </w:rPr>
        <w:t xml:space="preserve">he Commission should encourage Member States </w:t>
      </w:r>
      <w:r w:rsidR="00965132" w:rsidRPr="00B8512B">
        <w:rPr>
          <w:rFonts w:ascii="Times New Roman" w:hAnsi="Times New Roman" w:cs="Times New Roman"/>
          <w:noProof/>
          <w:lang w:val="en-IE"/>
        </w:rPr>
        <w:t xml:space="preserve">in </w:t>
      </w:r>
      <w:r w:rsidR="00F12080" w:rsidRPr="00B8512B">
        <w:rPr>
          <w:rFonts w:ascii="Times New Roman" w:hAnsi="Times New Roman" w:cs="Times New Roman"/>
          <w:noProof/>
          <w:lang w:val="en-IE"/>
        </w:rPr>
        <w:t>this cooperation.</w:t>
      </w:r>
    </w:p>
    <w:p w14:paraId="659E19C4" w14:textId="5314433C" w:rsidR="00451802" w:rsidRPr="00B8512B" w:rsidRDefault="00F12080">
      <w:pPr>
        <w:rPr>
          <w:rFonts w:ascii="Times New Roman" w:hAnsi="Times New Roman" w:cs="Times New Roman"/>
          <w:noProof/>
          <w:lang w:val="en-IE"/>
        </w:rPr>
      </w:pPr>
      <w:r w:rsidRPr="00B8512B">
        <w:rPr>
          <w:rFonts w:ascii="Times New Roman" w:hAnsi="Times New Roman" w:cs="Times New Roman"/>
          <w:noProof/>
          <w:color w:val="000000"/>
          <w:lang w:val="en-IE"/>
        </w:rPr>
        <w:t xml:space="preserve">The EU supports cooperation and integration of health systems in border regions </w:t>
      </w:r>
      <w:r w:rsidR="00D13F4B">
        <w:rPr>
          <w:rFonts w:ascii="Times New Roman" w:hAnsi="Times New Roman" w:cs="Times New Roman"/>
          <w:noProof/>
          <w:color w:val="000000"/>
          <w:lang w:val="en-IE"/>
        </w:rPr>
        <w:t>through</w:t>
      </w:r>
      <w:r w:rsidR="00D13F4B" w:rsidRPr="00B8512B">
        <w:rPr>
          <w:rFonts w:ascii="Times New Roman" w:hAnsi="Times New Roman" w:cs="Times New Roman"/>
          <w:noProof/>
          <w:color w:val="000000"/>
          <w:lang w:val="en-IE"/>
        </w:rPr>
        <w:t xml:space="preserve"> </w:t>
      </w:r>
      <w:r w:rsidRPr="00B8512B">
        <w:rPr>
          <w:rFonts w:ascii="Times New Roman" w:hAnsi="Times New Roman" w:cs="Times New Roman"/>
          <w:noProof/>
          <w:color w:val="000000"/>
          <w:lang w:val="en-IE"/>
        </w:rPr>
        <w:t>its Inte</w:t>
      </w:r>
      <w:r w:rsidR="0099555F" w:rsidRPr="00B8512B">
        <w:rPr>
          <w:rFonts w:ascii="Times New Roman" w:hAnsi="Times New Roman" w:cs="Times New Roman"/>
          <w:noProof/>
          <w:color w:val="000000"/>
          <w:lang w:val="en-IE"/>
        </w:rPr>
        <w:t>rreg programme</w:t>
      </w:r>
      <w:r w:rsidR="00D13F4B">
        <w:rPr>
          <w:rFonts w:ascii="Times New Roman" w:hAnsi="Times New Roman" w:cs="Times New Roman"/>
          <w:noProof/>
          <w:color w:val="000000"/>
          <w:lang w:val="en-IE"/>
        </w:rPr>
        <w:t>.</w:t>
      </w:r>
      <w:r w:rsidR="0099555F" w:rsidRPr="00B8512B">
        <w:rPr>
          <w:rFonts w:ascii="Times New Roman" w:hAnsi="Times New Roman" w:cs="Times New Roman"/>
          <w:noProof/>
          <w:color w:val="000000"/>
          <w:lang w:val="en-IE"/>
        </w:rPr>
        <w:t xml:space="preserve"> </w:t>
      </w:r>
      <w:r w:rsidR="000D2C5E">
        <w:rPr>
          <w:rFonts w:ascii="Times New Roman" w:hAnsi="Times New Roman" w:cs="Times New Roman"/>
          <w:noProof/>
          <w:color w:val="000000"/>
          <w:lang w:val="en-IE"/>
        </w:rPr>
        <w:t xml:space="preserve">This </w:t>
      </w:r>
      <w:r w:rsidR="003172BA">
        <w:rPr>
          <w:rFonts w:ascii="Times New Roman" w:hAnsi="Times New Roman" w:cs="Times New Roman"/>
          <w:noProof/>
          <w:color w:val="000000"/>
          <w:lang w:val="en-IE"/>
        </w:rPr>
        <w:t xml:space="preserve">acted as a catalyst for </w:t>
      </w:r>
      <w:r w:rsidR="0099555F" w:rsidRPr="00B8512B">
        <w:rPr>
          <w:rFonts w:ascii="Times New Roman" w:hAnsi="Times New Roman" w:cs="Times New Roman"/>
          <w:noProof/>
          <w:color w:val="000000"/>
          <w:lang w:val="en-IE"/>
        </w:rPr>
        <w:t>a number of r</w:t>
      </w:r>
      <w:r w:rsidRPr="00B8512B">
        <w:rPr>
          <w:rFonts w:ascii="Times New Roman" w:hAnsi="Times New Roman" w:cs="Times New Roman"/>
          <w:noProof/>
          <w:color w:val="000000"/>
          <w:lang w:val="en-IE"/>
        </w:rPr>
        <w:t xml:space="preserve">egional partnerships </w:t>
      </w:r>
      <w:r w:rsidR="00BB4154" w:rsidRPr="00B8512B">
        <w:rPr>
          <w:rFonts w:ascii="Times New Roman" w:hAnsi="Times New Roman" w:cs="Times New Roman"/>
          <w:noProof/>
          <w:color w:val="000000"/>
          <w:lang w:val="en-IE"/>
        </w:rPr>
        <w:t>in healthcare</w:t>
      </w:r>
      <w:r w:rsidR="001E6BAE">
        <w:rPr>
          <w:rFonts w:ascii="Times New Roman" w:hAnsi="Times New Roman" w:cs="Times New Roman"/>
          <w:noProof/>
          <w:color w:val="000000"/>
          <w:lang w:val="en-IE"/>
        </w:rPr>
        <w:t xml:space="preserve"> to improve</w:t>
      </w:r>
      <w:r w:rsidR="00E0695D" w:rsidRPr="00B8512B">
        <w:rPr>
          <w:rFonts w:ascii="Times New Roman" w:hAnsi="Times New Roman" w:cs="Times New Roman"/>
          <w:noProof/>
          <w:color w:val="000000"/>
          <w:lang w:val="en-IE"/>
        </w:rPr>
        <w:t xml:space="preserve"> local access to care</w:t>
      </w:r>
      <w:r w:rsidR="00CD55AD" w:rsidRPr="00B8512B">
        <w:rPr>
          <w:rFonts w:ascii="Times New Roman" w:hAnsi="Times New Roman" w:cs="Times New Roman"/>
          <w:noProof/>
          <w:lang w:val="en-IE"/>
        </w:rPr>
        <w:t xml:space="preserve"> </w:t>
      </w:r>
      <w:r w:rsidR="00E0695D" w:rsidRPr="00B8512B">
        <w:rPr>
          <w:rFonts w:ascii="Times New Roman" w:hAnsi="Times New Roman" w:cs="Times New Roman"/>
          <w:noProof/>
          <w:lang w:val="en-IE"/>
        </w:rPr>
        <w:t>as well as joint facilities and services. However, c</w:t>
      </w:r>
      <w:r w:rsidR="00540330" w:rsidRPr="00B8512B">
        <w:rPr>
          <w:rFonts w:ascii="Times New Roman" w:hAnsi="Times New Roman" w:cs="Times New Roman"/>
          <w:noProof/>
          <w:lang w:val="en-IE"/>
        </w:rPr>
        <w:t xml:space="preserve">omplex </w:t>
      </w:r>
      <w:r w:rsidR="0065051E" w:rsidRPr="00B8512B">
        <w:rPr>
          <w:rFonts w:ascii="Times New Roman" w:hAnsi="Times New Roman" w:cs="Times New Roman"/>
          <w:noProof/>
          <w:color w:val="000000" w:themeColor="text1"/>
          <w:lang w:val="en-IE"/>
        </w:rPr>
        <w:t>invoicing and</w:t>
      </w:r>
      <w:r w:rsidR="005E4321" w:rsidRPr="00B8512B">
        <w:rPr>
          <w:rFonts w:ascii="Times New Roman" w:hAnsi="Times New Roman" w:cs="Times New Roman"/>
          <w:noProof/>
          <w:color w:val="000000" w:themeColor="text1"/>
          <w:lang w:val="en-IE"/>
        </w:rPr>
        <w:t xml:space="preserve"> </w:t>
      </w:r>
      <w:r w:rsidR="008F2BD3" w:rsidRPr="00B8512B">
        <w:rPr>
          <w:rFonts w:ascii="Times New Roman" w:hAnsi="Times New Roman" w:cs="Times New Roman"/>
          <w:noProof/>
          <w:color w:val="000000" w:themeColor="text1"/>
          <w:lang w:val="en-IE"/>
        </w:rPr>
        <w:t>reimbursement</w:t>
      </w:r>
      <w:r w:rsidR="00BD5D81" w:rsidRPr="00B8512B">
        <w:rPr>
          <w:rFonts w:ascii="Times New Roman" w:hAnsi="Times New Roman" w:cs="Times New Roman"/>
          <w:noProof/>
          <w:lang w:val="en-IE"/>
        </w:rPr>
        <w:t xml:space="preserve"> procedures </w:t>
      </w:r>
      <w:r w:rsidR="00301FAF" w:rsidRPr="00B8512B">
        <w:rPr>
          <w:rFonts w:ascii="Times New Roman" w:hAnsi="Times New Roman" w:cs="Times New Roman"/>
          <w:noProof/>
          <w:lang w:val="en-IE"/>
        </w:rPr>
        <w:t xml:space="preserve">for healthcare services </w:t>
      </w:r>
      <w:r w:rsidR="00BD5D81" w:rsidRPr="00B8512B">
        <w:rPr>
          <w:rFonts w:ascii="Times New Roman" w:hAnsi="Times New Roman" w:cs="Times New Roman"/>
          <w:noProof/>
          <w:lang w:val="en-IE"/>
        </w:rPr>
        <w:t>across different health systems remain a problem</w:t>
      </w:r>
      <w:r w:rsidR="00D13F4B">
        <w:rPr>
          <w:rFonts w:ascii="Times New Roman" w:hAnsi="Times New Roman" w:cs="Times New Roman"/>
          <w:noProof/>
          <w:lang w:val="en-IE"/>
        </w:rPr>
        <w:t>.</w:t>
      </w:r>
      <w:r w:rsidR="00BD5D81" w:rsidRPr="00B8512B">
        <w:rPr>
          <w:rFonts w:ascii="Times New Roman" w:hAnsi="Times New Roman" w:cs="Times New Roman"/>
          <w:noProof/>
          <w:lang w:val="en-IE"/>
        </w:rPr>
        <w:t xml:space="preserve"> </w:t>
      </w:r>
      <w:r w:rsidR="00D13F4B">
        <w:rPr>
          <w:rFonts w:ascii="Times New Roman" w:hAnsi="Times New Roman" w:cs="Times New Roman"/>
          <w:noProof/>
          <w:lang w:val="en-IE"/>
        </w:rPr>
        <w:t>This</w:t>
      </w:r>
      <w:r w:rsidR="00D13F4B" w:rsidRPr="00B8512B">
        <w:rPr>
          <w:rFonts w:ascii="Times New Roman" w:hAnsi="Times New Roman" w:cs="Times New Roman"/>
          <w:noProof/>
          <w:lang w:val="en-IE"/>
        </w:rPr>
        <w:t xml:space="preserve"> </w:t>
      </w:r>
      <w:r w:rsidR="00BD5D81" w:rsidRPr="00B8512B">
        <w:rPr>
          <w:rFonts w:ascii="Times New Roman" w:hAnsi="Times New Roman" w:cs="Times New Roman"/>
          <w:noProof/>
          <w:lang w:val="en-IE"/>
        </w:rPr>
        <w:t>can significantly affect the well-being of people living in border regions</w:t>
      </w:r>
      <w:r w:rsidR="008F2BD3" w:rsidRPr="00B8512B">
        <w:rPr>
          <w:rFonts w:ascii="Times New Roman" w:hAnsi="Times New Roman" w:cs="Times New Roman"/>
          <w:noProof/>
          <w:lang w:val="en-IE"/>
        </w:rPr>
        <w:t xml:space="preserve"> </w:t>
      </w:r>
      <w:r w:rsidR="007F6629" w:rsidRPr="00B8512B">
        <w:rPr>
          <w:rFonts w:ascii="Times New Roman" w:hAnsi="Times New Roman" w:cs="Times New Roman"/>
          <w:noProof/>
          <w:lang w:val="en-IE"/>
        </w:rPr>
        <w:t xml:space="preserve">where </w:t>
      </w:r>
      <w:r w:rsidRPr="00B8512B">
        <w:rPr>
          <w:rFonts w:ascii="Times New Roman" w:hAnsi="Times New Roman" w:cs="Times New Roman"/>
          <w:noProof/>
          <w:lang w:val="en-IE"/>
        </w:rPr>
        <w:t xml:space="preserve">over 40% of the EU population </w:t>
      </w:r>
      <w:r w:rsidR="002636D3" w:rsidRPr="00B8512B">
        <w:rPr>
          <w:rFonts w:ascii="Times New Roman" w:hAnsi="Times New Roman" w:cs="Times New Roman"/>
          <w:noProof/>
          <w:lang w:val="en-IE"/>
        </w:rPr>
        <w:t>reside</w:t>
      </w:r>
      <w:r w:rsidR="00D13F4B">
        <w:rPr>
          <w:rFonts w:ascii="Times New Roman" w:hAnsi="Times New Roman" w:cs="Times New Roman"/>
          <w:noProof/>
          <w:lang w:val="en-IE"/>
        </w:rPr>
        <w:t>s</w:t>
      </w:r>
      <w:r w:rsidRPr="00B8512B">
        <w:rPr>
          <w:rFonts w:ascii="Times New Roman" w:hAnsi="Times New Roman" w:cs="Times New Roman"/>
          <w:noProof/>
          <w:lang w:val="en-IE"/>
        </w:rPr>
        <w:t xml:space="preserve">. </w:t>
      </w:r>
      <w:r w:rsidR="00FA0C0F" w:rsidRPr="00B8512B">
        <w:rPr>
          <w:rFonts w:ascii="Times New Roman" w:hAnsi="Times New Roman" w:cs="Times New Roman"/>
          <w:noProof/>
          <w:lang w:val="en-IE"/>
        </w:rPr>
        <w:t xml:space="preserve">The evaluation found some evidence that the Directive provides an additional instrument to facilitate healthcare in border regions </w:t>
      </w:r>
      <w:r w:rsidR="00825680" w:rsidRPr="00B8512B">
        <w:rPr>
          <w:rFonts w:ascii="Times New Roman" w:hAnsi="Times New Roman" w:cs="Times New Roman"/>
          <w:noProof/>
          <w:lang w:val="en-IE"/>
        </w:rPr>
        <w:t xml:space="preserve">as </w:t>
      </w:r>
      <w:r w:rsidR="00FA0C0F" w:rsidRPr="00B8512B">
        <w:rPr>
          <w:rFonts w:ascii="Times New Roman" w:hAnsi="Times New Roman" w:cs="Times New Roman"/>
          <w:noProof/>
          <w:lang w:val="en-IE"/>
        </w:rPr>
        <w:t>prior authorisation</w:t>
      </w:r>
      <w:r w:rsidR="00825680" w:rsidRPr="00B8512B">
        <w:rPr>
          <w:rFonts w:ascii="Times New Roman" w:hAnsi="Times New Roman" w:cs="Times New Roman"/>
          <w:noProof/>
          <w:lang w:val="en-IE"/>
        </w:rPr>
        <w:t xml:space="preserve"> for </w:t>
      </w:r>
      <w:r w:rsidR="003172BA">
        <w:rPr>
          <w:rFonts w:ascii="Times New Roman" w:hAnsi="Times New Roman" w:cs="Times New Roman"/>
          <w:noProof/>
          <w:lang w:val="en-IE"/>
        </w:rPr>
        <w:t xml:space="preserve">cross-border </w:t>
      </w:r>
      <w:r w:rsidR="00825680" w:rsidRPr="00B8512B">
        <w:rPr>
          <w:rFonts w:ascii="Times New Roman" w:hAnsi="Times New Roman" w:cs="Times New Roman"/>
          <w:noProof/>
          <w:lang w:val="en-IE"/>
        </w:rPr>
        <w:t xml:space="preserve">healthcare </w:t>
      </w:r>
      <w:r w:rsidR="00CC61C8" w:rsidRPr="00B8512B">
        <w:rPr>
          <w:rFonts w:ascii="Times New Roman" w:hAnsi="Times New Roman" w:cs="Times New Roman"/>
          <w:noProof/>
          <w:lang w:val="en-IE"/>
        </w:rPr>
        <w:t xml:space="preserve">is not necessary for routine </w:t>
      </w:r>
      <w:r w:rsidR="00716425" w:rsidRPr="00B8512B">
        <w:rPr>
          <w:rFonts w:ascii="Times New Roman" w:hAnsi="Times New Roman" w:cs="Times New Roman"/>
          <w:noProof/>
          <w:lang w:val="en-IE"/>
        </w:rPr>
        <w:t xml:space="preserve">outpatient </w:t>
      </w:r>
      <w:r w:rsidR="00CC61C8" w:rsidRPr="00B8512B">
        <w:rPr>
          <w:rFonts w:ascii="Times New Roman" w:hAnsi="Times New Roman" w:cs="Times New Roman"/>
          <w:noProof/>
          <w:lang w:val="en-IE"/>
        </w:rPr>
        <w:t>treatments</w:t>
      </w:r>
      <w:r w:rsidR="00396F69">
        <w:rPr>
          <w:rFonts w:ascii="Times New Roman" w:hAnsi="Times New Roman" w:cs="Times New Roman"/>
          <w:noProof/>
          <w:lang w:val="en-IE"/>
        </w:rPr>
        <w:t>. T</w:t>
      </w:r>
      <w:r w:rsidR="00E0695D" w:rsidRPr="00B8512B">
        <w:rPr>
          <w:rFonts w:ascii="Times New Roman" w:hAnsi="Times New Roman" w:cs="Times New Roman"/>
          <w:noProof/>
          <w:lang w:val="en-IE"/>
        </w:rPr>
        <w:t>he Association of European Border Regions</w:t>
      </w:r>
      <w:r w:rsidR="00FA0C0F" w:rsidRPr="00B8512B">
        <w:rPr>
          <w:rFonts w:ascii="Times New Roman" w:hAnsi="Times New Roman" w:cs="Times New Roman"/>
          <w:noProof/>
          <w:lang w:val="en-IE"/>
        </w:rPr>
        <w:t xml:space="preserve"> conclude</w:t>
      </w:r>
      <w:r w:rsidR="00447DF2">
        <w:rPr>
          <w:rFonts w:ascii="Times New Roman" w:hAnsi="Times New Roman" w:cs="Times New Roman"/>
          <w:noProof/>
          <w:lang w:val="en-IE"/>
        </w:rPr>
        <w:t>d</w:t>
      </w:r>
      <w:r w:rsidR="00FA0C0F" w:rsidRPr="00B8512B">
        <w:rPr>
          <w:rFonts w:ascii="Times New Roman" w:hAnsi="Times New Roman" w:cs="Times New Roman"/>
          <w:noProof/>
          <w:lang w:val="en-IE"/>
        </w:rPr>
        <w:t xml:space="preserve"> that</w:t>
      </w:r>
      <w:r w:rsidRPr="00B8512B">
        <w:rPr>
          <w:rFonts w:ascii="Times New Roman" w:hAnsi="Times New Roman" w:cs="Times New Roman"/>
          <w:noProof/>
          <w:lang w:val="en-IE"/>
        </w:rPr>
        <w:t xml:space="preserve"> </w:t>
      </w:r>
      <w:r w:rsidR="00BD5D81" w:rsidRPr="00B8512B">
        <w:rPr>
          <w:rFonts w:ascii="Times New Roman" w:hAnsi="Times New Roman" w:cs="Times New Roman"/>
          <w:noProof/>
          <w:lang w:val="en-IE"/>
        </w:rPr>
        <w:t xml:space="preserve">the reimbursement mechanism under the Directive is </w:t>
      </w:r>
      <w:r w:rsidR="00CC61C8" w:rsidRPr="00B8512B">
        <w:rPr>
          <w:rFonts w:ascii="Times New Roman" w:hAnsi="Times New Roman" w:cs="Times New Roman"/>
          <w:noProof/>
          <w:lang w:val="en-IE"/>
        </w:rPr>
        <w:t xml:space="preserve">usually </w:t>
      </w:r>
      <w:r w:rsidR="00BD5D81" w:rsidRPr="00B8512B">
        <w:rPr>
          <w:rFonts w:ascii="Times New Roman" w:hAnsi="Times New Roman" w:cs="Times New Roman"/>
          <w:noProof/>
          <w:lang w:val="en-IE"/>
        </w:rPr>
        <w:t>not the preferred option</w:t>
      </w:r>
      <w:r w:rsidR="00FD3A70" w:rsidRPr="00B8512B">
        <w:rPr>
          <w:rFonts w:ascii="Times New Roman" w:hAnsi="Times New Roman" w:cs="Times New Roman"/>
          <w:noProof/>
          <w:lang w:val="en-IE"/>
        </w:rPr>
        <w:t>,</w:t>
      </w:r>
      <w:r w:rsidR="00BD5D81" w:rsidRPr="00B8512B">
        <w:rPr>
          <w:rFonts w:ascii="Times New Roman" w:hAnsi="Times New Roman" w:cs="Times New Roman"/>
          <w:noProof/>
          <w:lang w:val="en-IE"/>
        </w:rPr>
        <w:t xml:space="preserve"> as the upfront </w:t>
      </w:r>
      <w:r w:rsidR="0065051E" w:rsidRPr="00B8512B">
        <w:rPr>
          <w:rFonts w:ascii="Times New Roman" w:hAnsi="Times New Roman" w:cs="Times New Roman"/>
          <w:noProof/>
          <w:lang w:val="en-IE"/>
        </w:rPr>
        <w:t xml:space="preserve">payment of </w:t>
      </w:r>
      <w:r w:rsidR="00BD5D81" w:rsidRPr="00B8512B">
        <w:rPr>
          <w:rFonts w:ascii="Times New Roman" w:hAnsi="Times New Roman" w:cs="Times New Roman"/>
          <w:noProof/>
          <w:lang w:val="en-IE"/>
        </w:rPr>
        <w:t>costs for cross</w:t>
      </w:r>
      <w:r w:rsidR="00071730">
        <w:rPr>
          <w:rFonts w:ascii="Times New Roman" w:hAnsi="Times New Roman" w:cs="Times New Roman"/>
          <w:noProof/>
          <w:lang w:val="en-IE"/>
        </w:rPr>
        <w:t>-</w:t>
      </w:r>
      <w:r w:rsidR="00BD5D81" w:rsidRPr="00B8512B">
        <w:rPr>
          <w:rFonts w:ascii="Times New Roman" w:hAnsi="Times New Roman" w:cs="Times New Roman"/>
          <w:noProof/>
          <w:lang w:val="en-IE"/>
        </w:rPr>
        <w:t xml:space="preserve">border </w:t>
      </w:r>
      <w:r w:rsidR="00071730">
        <w:rPr>
          <w:rFonts w:ascii="Times New Roman" w:hAnsi="Times New Roman" w:cs="Times New Roman"/>
          <w:noProof/>
          <w:lang w:val="en-IE"/>
        </w:rPr>
        <w:t>health</w:t>
      </w:r>
      <w:r w:rsidR="00071730" w:rsidRPr="00B8512B">
        <w:rPr>
          <w:rFonts w:ascii="Times New Roman" w:hAnsi="Times New Roman" w:cs="Times New Roman"/>
          <w:noProof/>
          <w:lang w:val="en-IE"/>
        </w:rPr>
        <w:t xml:space="preserve">care </w:t>
      </w:r>
      <w:r w:rsidR="00BD5D81" w:rsidRPr="00B8512B">
        <w:rPr>
          <w:rFonts w:ascii="Times New Roman" w:hAnsi="Times New Roman" w:cs="Times New Roman"/>
          <w:noProof/>
          <w:lang w:val="en-IE"/>
        </w:rPr>
        <w:t xml:space="preserve">acts as </w:t>
      </w:r>
      <w:r w:rsidR="0065051E" w:rsidRPr="00B8512B">
        <w:rPr>
          <w:rFonts w:ascii="Times New Roman" w:hAnsi="Times New Roman" w:cs="Times New Roman"/>
          <w:noProof/>
          <w:lang w:val="en-IE"/>
        </w:rPr>
        <w:t xml:space="preserve">a </w:t>
      </w:r>
      <w:r w:rsidR="00BD5D81" w:rsidRPr="00B8512B">
        <w:rPr>
          <w:rFonts w:ascii="Times New Roman" w:hAnsi="Times New Roman" w:cs="Times New Roman"/>
          <w:noProof/>
          <w:lang w:val="en-IE"/>
        </w:rPr>
        <w:t>disincentive</w:t>
      </w:r>
      <w:r w:rsidR="00BD5D81" w:rsidRPr="00B8512B">
        <w:rPr>
          <w:rStyle w:val="FootnoteReference"/>
          <w:rFonts w:ascii="Times New Roman" w:hAnsi="Times New Roman" w:cs="Times New Roman"/>
          <w:noProof/>
          <w:lang w:val="en-IE"/>
        </w:rPr>
        <w:footnoteReference w:id="58"/>
      </w:r>
      <w:r w:rsidR="00BD5D81" w:rsidRPr="00B8512B">
        <w:rPr>
          <w:rFonts w:ascii="Times New Roman" w:hAnsi="Times New Roman" w:cs="Times New Roman"/>
          <w:noProof/>
          <w:lang w:val="en-IE"/>
        </w:rPr>
        <w:t>.</w:t>
      </w:r>
    </w:p>
    <w:p w14:paraId="11BD303E" w14:textId="435D92F1" w:rsidR="00BD5D81" w:rsidRPr="00B8512B" w:rsidRDefault="00CC1A76">
      <w:pPr>
        <w:rPr>
          <w:rFonts w:ascii="Times New Roman" w:hAnsi="Times New Roman" w:cs="Times New Roman"/>
          <w:noProof/>
          <w:color w:val="000000"/>
          <w:szCs w:val="24"/>
          <w:lang w:val="en-IE"/>
        </w:rPr>
      </w:pPr>
      <w:r>
        <w:rPr>
          <w:rFonts w:ascii="Times New Roman" w:hAnsi="Times New Roman" w:cs="Times New Roman"/>
          <w:noProof/>
          <w:lang w:val="en-IE"/>
        </w:rPr>
        <w:t>Several regional agreements</w:t>
      </w:r>
      <w:r w:rsidR="003172BA">
        <w:rPr>
          <w:rFonts w:ascii="Times New Roman" w:hAnsi="Times New Roman" w:cs="Times New Roman"/>
          <w:noProof/>
          <w:lang w:val="en-IE"/>
        </w:rPr>
        <w:t xml:space="preserve"> </w:t>
      </w:r>
      <w:r>
        <w:rPr>
          <w:rFonts w:ascii="Times New Roman" w:hAnsi="Times New Roman" w:cs="Times New Roman"/>
          <w:noProof/>
          <w:lang w:val="en-IE"/>
        </w:rPr>
        <w:t>in healthcare offer models of cooperation to</w:t>
      </w:r>
      <w:r w:rsidR="003172BA">
        <w:rPr>
          <w:rFonts w:ascii="Times New Roman" w:hAnsi="Times New Roman" w:cs="Times New Roman"/>
          <w:noProof/>
          <w:lang w:val="en-IE"/>
        </w:rPr>
        <w:t xml:space="preserve"> </w:t>
      </w:r>
      <w:r>
        <w:rPr>
          <w:rFonts w:ascii="Times New Roman" w:hAnsi="Times New Roman" w:cs="Times New Roman"/>
          <w:noProof/>
          <w:lang w:val="en-IE"/>
        </w:rPr>
        <w:t>o</w:t>
      </w:r>
      <w:r w:rsidR="00E0695D" w:rsidRPr="00B8512B">
        <w:rPr>
          <w:rFonts w:ascii="Times New Roman" w:hAnsi="Times New Roman" w:cs="Times New Roman"/>
          <w:noProof/>
          <w:lang w:val="en-IE"/>
        </w:rPr>
        <w:t>vercom</w:t>
      </w:r>
      <w:r>
        <w:rPr>
          <w:rFonts w:ascii="Times New Roman" w:hAnsi="Times New Roman" w:cs="Times New Roman"/>
          <w:noProof/>
          <w:lang w:val="en-IE"/>
        </w:rPr>
        <w:t>e financial and administrative barriers</w:t>
      </w:r>
      <w:r>
        <w:rPr>
          <w:rStyle w:val="FootnoteReference"/>
          <w:rFonts w:ascii="Times New Roman" w:hAnsi="Times New Roman" w:cs="Times New Roman"/>
          <w:noProof/>
          <w:lang w:val="en-IE"/>
        </w:rPr>
        <w:footnoteReference w:id="59"/>
      </w:r>
      <w:r>
        <w:rPr>
          <w:rFonts w:ascii="Times New Roman" w:hAnsi="Times New Roman" w:cs="Times New Roman"/>
          <w:noProof/>
          <w:lang w:val="en-IE"/>
        </w:rPr>
        <w:t xml:space="preserve">. </w:t>
      </w:r>
      <w:r w:rsidR="002347FB" w:rsidRPr="00B8512B">
        <w:rPr>
          <w:rFonts w:ascii="Times New Roman" w:hAnsi="Times New Roman" w:cs="Times New Roman"/>
          <w:noProof/>
          <w:lang w:val="en-IE"/>
        </w:rPr>
        <w:t xml:space="preserve">A user-friendly </w:t>
      </w:r>
      <w:r w:rsidR="00602E27" w:rsidRPr="00465DA7">
        <w:rPr>
          <w:rFonts w:ascii="Times New Roman" w:hAnsi="Times New Roman" w:cs="Times New Roman"/>
          <w:noProof/>
          <w:lang w:val="en-IE"/>
        </w:rPr>
        <w:t xml:space="preserve">manual </w:t>
      </w:r>
      <w:r w:rsidR="00BF5C15" w:rsidRPr="00465DA7">
        <w:rPr>
          <w:rFonts w:ascii="Times New Roman" w:hAnsi="Times New Roman" w:cs="Times New Roman"/>
          <w:noProof/>
          <w:lang w:val="en-IE"/>
        </w:rPr>
        <w:t>for patients</w:t>
      </w:r>
      <w:r w:rsidR="00465DA7">
        <w:rPr>
          <w:rStyle w:val="FootnoteReference"/>
          <w:rFonts w:ascii="Times New Roman" w:hAnsi="Times New Roman" w:cs="Times New Roman"/>
          <w:noProof/>
          <w:lang w:val="en-IE"/>
        </w:rPr>
        <w:footnoteReference w:id="60"/>
      </w:r>
      <w:r w:rsidR="00BF5C15" w:rsidRPr="00B8512B">
        <w:rPr>
          <w:rFonts w:ascii="Times New Roman" w:hAnsi="Times New Roman" w:cs="Times New Roman"/>
          <w:noProof/>
          <w:lang w:val="en-IE"/>
        </w:rPr>
        <w:t xml:space="preserve"> </w:t>
      </w:r>
      <w:r w:rsidR="00602E27" w:rsidRPr="00B8512B">
        <w:rPr>
          <w:rFonts w:ascii="Times New Roman" w:hAnsi="Times New Roman" w:cs="Times New Roman"/>
          <w:noProof/>
          <w:lang w:val="en-IE"/>
        </w:rPr>
        <w:t xml:space="preserve">developed by </w:t>
      </w:r>
      <w:r w:rsidR="00AB6F7D" w:rsidRPr="00B8512B">
        <w:rPr>
          <w:rFonts w:ascii="Times New Roman" w:hAnsi="Times New Roman" w:cs="Times New Roman"/>
          <w:noProof/>
          <w:lang w:val="en-IE"/>
        </w:rPr>
        <w:t xml:space="preserve">the </w:t>
      </w:r>
      <w:r w:rsidR="00BF6BF4" w:rsidRPr="00B8512B">
        <w:rPr>
          <w:rFonts w:ascii="Times New Roman" w:hAnsi="Times New Roman" w:cs="Times New Roman"/>
          <w:noProof/>
          <w:lang w:val="en-IE"/>
        </w:rPr>
        <w:t>Upper Rhine</w:t>
      </w:r>
      <w:r w:rsidR="00825680" w:rsidRPr="00B8512B">
        <w:rPr>
          <w:rFonts w:ascii="Times New Roman" w:hAnsi="Times New Roman" w:cs="Times New Roman"/>
          <w:noProof/>
          <w:lang w:val="en-IE"/>
        </w:rPr>
        <w:t xml:space="preserve"> region</w:t>
      </w:r>
      <w:r w:rsidR="00BF6BF4" w:rsidRPr="00B8512B">
        <w:rPr>
          <w:rFonts w:ascii="Times New Roman" w:hAnsi="Times New Roman" w:cs="Times New Roman"/>
          <w:noProof/>
          <w:lang w:val="en-IE"/>
        </w:rPr>
        <w:t xml:space="preserve"> </w:t>
      </w:r>
      <w:r w:rsidR="00602E27" w:rsidRPr="00B8512B">
        <w:rPr>
          <w:rFonts w:ascii="Times New Roman" w:hAnsi="Times New Roman" w:cs="Times New Roman"/>
          <w:noProof/>
          <w:lang w:val="en-IE"/>
        </w:rPr>
        <w:t xml:space="preserve">serves as a model of good practice </w:t>
      </w:r>
      <w:r w:rsidR="00447DF2">
        <w:rPr>
          <w:rFonts w:ascii="Times New Roman" w:hAnsi="Times New Roman" w:cs="Times New Roman"/>
          <w:noProof/>
          <w:lang w:val="en-IE"/>
        </w:rPr>
        <w:t>in</w:t>
      </w:r>
      <w:r w:rsidR="00447DF2" w:rsidRPr="00B8512B">
        <w:rPr>
          <w:rFonts w:ascii="Times New Roman" w:hAnsi="Times New Roman" w:cs="Times New Roman"/>
          <w:noProof/>
          <w:lang w:val="en-IE"/>
        </w:rPr>
        <w:t xml:space="preserve"> </w:t>
      </w:r>
      <w:r w:rsidR="00602E27" w:rsidRPr="00B8512B">
        <w:rPr>
          <w:rFonts w:ascii="Times New Roman" w:hAnsi="Times New Roman" w:cs="Times New Roman"/>
          <w:noProof/>
          <w:lang w:val="en-IE"/>
        </w:rPr>
        <w:t xml:space="preserve">cooperation between NCPs </w:t>
      </w:r>
      <w:r w:rsidR="00AB6F7D" w:rsidRPr="00B8512B">
        <w:rPr>
          <w:rFonts w:ascii="Times New Roman" w:hAnsi="Times New Roman" w:cs="Times New Roman"/>
          <w:noProof/>
          <w:lang w:val="en-IE"/>
        </w:rPr>
        <w:t>and health insurers</w:t>
      </w:r>
      <w:r w:rsidR="00825680" w:rsidRPr="00B8512B">
        <w:rPr>
          <w:rFonts w:ascii="Times New Roman" w:hAnsi="Times New Roman" w:cs="Times New Roman"/>
          <w:noProof/>
          <w:lang w:val="en-IE"/>
        </w:rPr>
        <w:t xml:space="preserve"> to provide clear information to meet the specific needs of the patient</w:t>
      </w:r>
      <w:r w:rsidR="00602E27" w:rsidRPr="00B8512B">
        <w:rPr>
          <w:rFonts w:ascii="Times New Roman" w:hAnsi="Times New Roman" w:cs="Times New Roman"/>
          <w:noProof/>
          <w:lang w:val="en-IE"/>
        </w:rPr>
        <w:t>.</w:t>
      </w:r>
    </w:p>
    <w:p w14:paraId="6F70888E" w14:textId="1AFB98B1" w:rsidR="00FA0C0F" w:rsidRPr="00B8512B" w:rsidRDefault="002F6A95" w:rsidP="00FA0C0F">
      <w:pPr>
        <w:rPr>
          <w:rFonts w:ascii="Times New Roman" w:hAnsi="Times New Roman" w:cs="Times New Roman"/>
          <w:noProof/>
          <w:lang w:val="en-IE"/>
        </w:rPr>
      </w:pPr>
      <w:r w:rsidRPr="00B8512B">
        <w:rPr>
          <w:rFonts w:ascii="Times New Roman" w:hAnsi="Times New Roman" w:cs="Times New Roman"/>
          <w:noProof/>
        </w:rPr>
        <w:t xml:space="preserve">The </w:t>
      </w:r>
      <w:r w:rsidR="00447DF2" w:rsidRPr="00B8512B">
        <w:rPr>
          <w:rFonts w:ascii="Times New Roman" w:hAnsi="Times New Roman" w:cs="Times New Roman"/>
          <w:noProof/>
        </w:rPr>
        <w:t>C</w:t>
      </w:r>
      <w:r w:rsidR="00447DF2">
        <w:rPr>
          <w:rFonts w:ascii="Times New Roman" w:hAnsi="Times New Roman" w:cs="Times New Roman"/>
          <w:noProof/>
        </w:rPr>
        <w:t>OVID</w:t>
      </w:r>
      <w:r w:rsidR="00825680" w:rsidRPr="00B8512B">
        <w:rPr>
          <w:rFonts w:ascii="Times New Roman" w:hAnsi="Times New Roman" w:cs="Times New Roman"/>
          <w:noProof/>
        </w:rPr>
        <w:t xml:space="preserve">-19 </w:t>
      </w:r>
      <w:r w:rsidRPr="00B8512B">
        <w:rPr>
          <w:rFonts w:ascii="Times New Roman" w:hAnsi="Times New Roman" w:cs="Times New Roman"/>
          <w:noProof/>
        </w:rPr>
        <w:t xml:space="preserve">pandemic </w:t>
      </w:r>
      <w:r w:rsidR="00825680" w:rsidRPr="00B8512B">
        <w:rPr>
          <w:rFonts w:ascii="Times New Roman" w:hAnsi="Times New Roman" w:cs="Times New Roman"/>
          <w:noProof/>
        </w:rPr>
        <w:t xml:space="preserve">has </w:t>
      </w:r>
      <w:r w:rsidR="00776CC2">
        <w:rPr>
          <w:rFonts w:ascii="Times New Roman" w:hAnsi="Times New Roman" w:cs="Times New Roman"/>
          <w:noProof/>
        </w:rPr>
        <w:t>raised</w:t>
      </w:r>
      <w:r w:rsidR="00776CC2" w:rsidRPr="00B8512B">
        <w:rPr>
          <w:rFonts w:ascii="Times New Roman" w:hAnsi="Times New Roman" w:cs="Times New Roman"/>
          <w:noProof/>
        </w:rPr>
        <w:t xml:space="preserve"> </w:t>
      </w:r>
      <w:r w:rsidRPr="00B8512B">
        <w:rPr>
          <w:rFonts w:ascii="Times New Roman" w:hAnsi="Times New Roman" w:cs="Times New Roman"/>
          <w:noProof/>
        </w:rPr>
        <w:t>the importance of cross-border regional cooperation.</w:t>
      </w:r>
      <w:r w:rsidRPr="00B8512B">
        <w:rPr>
          <w:rFonts w:ascii="Times New Roman" w:hAnsi="Times New Roman" w:cs="Times New Roman"/>
          <w:noProof/>
          <w:lang w:val="en-IE"/>
        </w:rPr>
        <w:t xml:space="preserve"> </w:t>
      </w:r>
      <w:r w:rsidR="00BD5D81" w:rsidRPr="00B8512B">
        <w:rPr>
          <w:rFonts w:ascii="Times New Roman" w:hAnsi="Times New Roman" w:cs="Times New Roman"/>
          <w:noProof/>
          <w:lang w:val="en-IE"/>
        </w:rPr>
        <w:t xml:space="preserve">Several EU regions played a vital role during the </w:t>
      </w:r>
      <w:r w:rsidR="00447DF2" w:rsidRPr="00B8512B">
        <w:rPr>
          <w:rFonts w:ascii="Times New Roman" w:hAnsi="Times New Roman" w:cs="Times New Roman"/>
          <w:noProof/>
          <w:lang w:val="en-IE"/>
        </w:rPr>
        <w:t>C</w:t>
      </w:r>
      <w:r w:rsidR="00447DF2">
        <w:rPr>
          <w:rFonts w:ascii="Times New Roman" w:hAnsi="Times New Roman" w:cs="Times New Roman"/>
          <w:noProof/>
          <w:lang w:val="en-IE"/>
        </w:rPr>
        <w:t>OVID</w:t>
      </w:r>
      <w:r w:rsidR="00BD5D81" w:rsidRPr="00B8512B">
        <w:rPr>
          <w:rFonts w:ascii="Times New Roman" w:hAnsi="Times New Roman" w:cs="Times New Roman"/>
          <w:noProof/>
          <w:lang w:val="en-IE"/>
        </w:rPr>
        <w:t xml:space="preserve">-19 crisis </w:t>
      </w:r>
      <w:r w:rsidR="00447DF2">
        <w:rPr>
          <w:rFonts w:ascii="Times New Roman" w:hAnsi="Times New Roman" w:cs="Times New Roman"/>
          <w:noProof/>
          <w:lang w:val="en-IE"/>
        </w:rPr>
        <w:t xml:space="preserve">by </w:t>
      </w:r>
      <w:r w:rsidR="00BD5D81" w:rsidRPr="00B8512B">
        <w:rPr>
          <w:rFonts w:ascii="Times New Roman" w:hAnsi="Times New Roman" w:cs="Times New Roman"/>
          <w:noProof/>
          <w:lang w:val="en-IE"/>
        </w:rPr>
        <w:t xml:space="preserve">providing </w:t>
      </w:r>
      <w:r w:rsidR="0047586B" w:rsidRPr="00B8512B">
        <w:rPr>
          <w:rFonts w:ascii="Times New Roman" w:hAnsi="Times New Roman" w:cs="Times New Roman"/>
          <w:noProof/>
          <w:lang w:val="en-IE"/>
        </w:rPr>
        <w:t xml:space="preserve">over 300 </w:t>
      </w:r>
      <w:r w:rsidR="00BD5D81" w:rsidRPr="00B8512B">
        <w:rPr>
          <w:rFonts w:ascii="Times New Roman" w:hAnsi="Times New Roman" w:cs="Times New Roman"/>
          <w:noProof/>
          <w:lang w:val="en-IE"/>
        </w:rPr>
        <w:t xml:space="preserve">intensive care places </w:t>
      </w:r>
      <w:r w:rsidR="00825680" w:rsidRPr="00B8512B">
        <w:rPr>
          <w:rFonts w:ascii="Times New Roman" w:hAnsi="Times New Roman" w:cs="Times New Roman"/>
          <w:noProof/>
          <w:lang w:val="en-IE"/>
        </w:rPr>
        <w:t xml:space="preserve">and treatment </w:t>
      </w:r>
      <w:r w:rsidR="00BD5D81" w:rsidRPr="00B8512B">
        <w:rPr>
          <w:rFonts w:ascii="Times New Roman" w:hAnsi="Times New Roman" w:cs="Times New Roman"/>
          <w:noProof/>
          <w:lang w:val="en-IE"/>
        </w:rPr>
        <w:t xml:space="preserve">to </w:t>
      </w:r>
      <w:r w:rsidR="00825680" w:rsidRPr="00B8512B">
        <w:rPr>
          <w:rFonts w:ascii="Times New Roman" w:hAnsi="Times New Roman" w:cs="Times New Roman"/>
          <w:noProof/>
          <w:lang w:val="en-IE"/>
        </w:rPr>
        <w:t xml:space="preserve">relieve </w:t>
      </w:r>
      <w:r w:rsidR="00BD5D81" w:rsidRPr="00B8512B">
        <w:rPr>
          <w:rFonts w:ascii="Times New Roman" w:hAnsi="Times New Roman" w:cs="Times New Roman"/>
          <w:noProof/>
          <w:lang w:val="en-IE"/>
        </w:rPr>
        <w:t>over-burdened hospitals across the border</w:t>
      </w:r>
      <w:r w:rsidR="0047586B" w:rsidRPr="00B8512B">
        <w:rPr>
          <w:rFonts w:ascii="Times New Roman" w:hAnsi="Times New Roman" w:cs="Times New Roman"/>
          <w:noProof/>
          <w:lang w:val="en-IE"/>
        </w:rPr>
        <w:t xml:space="preserve">. </w:t>
      </w:r>
      <w:r w:rsidR="00BD5D81" w:rsidRPr="00B8512B">
        <w:rPr>
          <w:rFonts w:ascii="Times New Roman" w:hAnsi="Times New Roman" w:cs="Times New Roman"/>
          <w:noProof/>
          <w:lang w:val="en-IE"/>
        </w:rPr>
        <w:t xml:space="preserve">The Commission’s </w:t>
      </w:r>
      <w:r w:rsidR="002636D3" w:rsidRPr="00465DA7">
        <w:rPr>
          <w:rFonts w:ascii="Times New Roman" w:hAnsi="Times New Roman" w:cs="Times New Roman"/>
          <w:iCs/>
          <w:noProof/>
          <w:lang w:val="en-IE"/>
        </w:rPr>
        <w:t>G</w:t>
      </w:r>
      <w:r w:rsidR="00BD5D81" w:rsidRPr="00465DA7">
        <w:rPr>
          <w:rFonts w:ascii="Times New Roman" w:hAnsi="Times New Roman" w:cs="Times New Roman"/>
          <w:iCs/>
          <w:noProof/>
          <w:lang w:val="en-IE"/>
        </w:rPr>
        <w:t xml:space="preserve">uidelines on </w:t>
      </w:r>
      <w:r w:rsidR="00825680" w:rsidRPr="00465DA7">
        <w:rPr>
          <w:rFonts w:ascii="Times New Roman" w:hAnsi="Times New Roman" w:cs="Times New Roman"/>
          <w:iCs/>
          <w:noProof/>
          <w:lang w:val="en-IE"/>
        </w:rPr>
        <w:t xml:space="preserve">EU </w:t>
      </w:r>
      <w:r w:rsidR="002636D3" w:rsidRPr="00465DA7">
        <w:rPr>
          <w:rFonts w:ascii="Times New Roman" w:hAnsi="Times New Roman" w:cs="Times New Roman"/>
          <w:iCs/>
          <w:noProof/>
          <w:lang w:val="en-IE"/>
        </w:rPr>
        <w:t>E</w:t>
      </w:r>
      <w:r w:rsidR="00BD5D81" w:rsidRPr="00465DA7">
        <w:rPr>
          <w:rFonts w:ascii="Times New Roman" w:hAnsi="Times New Roman" w:cs="Times New Roman"/>
          <w:iCs/>
          <w:noProof/>
          <w:lang w:val="en-IE"/>
        </w:rPr>
        <w:t xml:space="preserve">mergency </w:t>
      </w:r>
      <w:r w:rsidR="002636D3" w:rsidRPr="00465DA7">
        <w:rPr>
          <w:rFonts w:ascii="Times New Roman" w:hAnsi="Times New Roman" w:cs="Times New Roman"/>
          <w:iCs/>
          <w:noProof/>
          <w:lang w:val="en-IE"/>
        </w:rPr>
        <w:t>A</w:t>
      </w:r>
      <w:r w:rsidR="00BD5D81" w:rsidRPr="00465DA7">
        <w:rPr>
          <w:rFonts w:ascii="Times New Roman" w:hAnsi="Times New Roman" w:cs="Times New Roman"/>
          <w:iCs/>
          <w:noProof/>
          <w:lang w:val="en-IE"/>
        </w:rPr>
        <w:t>ssistance</w:t>
      </w:r>
      <w:r w:rsidR="00825680" w:rsidRPr="00465DA7">
        <w:rPr>
          <w:rFonts w:ascii="Times New Roman" w:hAnsi="Times New Roman" w:cs="Times New Roman"/>
          <w:iCs/>
          <w:noProof/>
          <w:lang w:val="en-IE"/>
        </w:rPr>
        <w:t xml:space="preserve"> in </w:t>
      </w:r>
      <w:r w:rsidR="002636D3" w:rsidRPr="00465DA7">
        <w:rPr>
          <w:rFonts w:ascii="Times New Roman" w:hAnsi="Times New Roman" w:cs="Times New Roman"/>
          <w:iCs/>
          <w:noProof/>
          <w:lang w:val="en-IE"/>
        </w:rPr>
        <w:t>C</w:t>
      </w:r>
      <w:r w:rsidR="00825680" w:rsidRPr="00465DA7">
        <w:rPr>
          <w:rFonts w:ascii="Times New Roman" w:hAnsi="Times New Roman" w:cs="Times New Roman"/>
          <w:iCs/>
          <w:noProof/>
          <w:lang w:val="en-IE"/>
        </w:rPr>
        <w:t xml:space="preserve">ross-border </w:t>
      </w:r>
      <w:r w:rsidR="002636D3" w:rsidRPr="00465DA7">
        <w:rPr>
          <w:rFonts w:ascii="Times New Roman" w:hAnsi="Times New Roman" w:cs="Times New Roman"/>
          <w:iCs/>
          <w:noProof/>
          <w:lang w:val="en-IE"/>
        </w:rPr>
        <w:t>C</w:t>
      </w:r>
      <w:r w:rsidR="00825680" w:rsidRPr="00465DA7">
        <w:rPr>
          <w:rFonts w:ascii="Times New Roman" w:hAnsi="Times New Roman" w:cs="Times New Roman"/>
          <w:iCs/>
          <w:noProof/>
          <w:lang w:val="en-IE"/>
        </w:rPr>
        <w:t xml:space="preserve">ooperation in </w:t>
      </w:r>
      <w:r w:rsidR="002636D3" w:rsidRPr="00465DA7">
        <w:rPr>
          <w:rFonts w:ascii="Times New Roman" w:hAnsi="Times New Roman" w:cs="Times New Roman"/>
          <w:iCs/>
          <w:noProof/>
          <w:lang w:val="en-IE"/>
        </w:rPr>
        <w:t>H</w:t>
      </w:r>
      <w:r w:rsidR="00825680" w:rsidRPr="00465DA7">
        <w:rPr>
          <w:rFonts w:ascii="Times New Roman" w:hAnsi="Times New Roman" w:cs="Times New Roman"/>
          <w:iCs/>
          <w:noProof/>
          <w:lang w:val="en-IE"/>
        </w:rPr>
        <w:t>ealthcare</w:t>
      </w:r>
      <w:r w:rsidR="00BD5D81" w:rsidRPr="00B8512B">
        <w:rPr>
          <w:rFonts w:ascii="Times New Roman" w:hAnsi="Times New Roman" w:cs="Times New Roman"/>
          <w:iCs/>
          <w:noProof/>
          <w:lang w:val="en-IE"/>
        </w:rPr>
        <w:t xml:space="preserve"> </w:t>
      </w:r>
      <w:r w:rsidR="00BD5D81" w:rsidRPr="00B8512B">
        <w:rPr>
          <w:rFonts w:ascii="Times New Roman" w:hAnsi="Times New Roman" w:cs="Times New Roman"/>
          <w:noProof/>
          <w:lang w:val="en-IE"/>
        </w:rPr>
        <w:t>put in place an EU-wide coordination mechanism</w:t>
      </w:r>
      <w:r w:rsidR="00493C42" w:rsidRPr="00B8512B">
        <w:rPr>
          <w:rFonts w:ascii="Times New Roman" w:hAnsi="Times New Roman" w:cs="Times New Roman"/>
          <w:noProof/>
          <w:lang w:val="en-IE"/>
        </w:rPr>
        <w:t xml:space="preserve"> </w:t>
      </w:r>
      <w:r w:rsidR="002636D3" w:rsidRPr="00B8512B">
        <w:rPr>
          <w:rFonts w:ascii="Times New Roman" w:hAnsi="Times New Roman" w:cs="Times New Roman"/>
          <w:noProof/>
          <w:lang w:val="en-IE"/>
        </w:rPr>
        <w:t xml:space="preserve">and </w:t>
      </w:r>
      <w:r w:rsidR="0065051E" w:rsidRPr="00B8512B">
        <w:rPr>
          <w:rFonts w:ascii="Times New Roman" w:hAnsi="Times New Roman" w:cs="Times New Roman"/>
          <w:noProof/>
          <w:lang w:val="en-IE"/>
        </w:rPr>
        <w:t xml:space="preserve">drew attention to </w:t>
      </w:r>
      <w:r w:rsidR="00BD5D81" w:rsidRPr="00B8512B">
        <w:rPr>
          <w:rFonts w:ascii="Times New Roman" w:hAnsi="Times New Roman" w:cs="Times New Roman"/>
          <w:noProof/>
          <w:lang w:val="en-IE"/>
        </w:rPr>
        <w:t>patients’ rights to reimbursement, the transfer of medical records, the continuity of care</w:t>
      </w:r>
      <w:r w:rsidR="00071730">
        <w:rPr>
          <w:rFonts w:ascii="Times New Roman" w:hAnsi="Times New Roman" w:cs="Times New Roman"/>
          <w:noProof/>
          <w:lang w:val="en-IE"/>
        </w:rPr>
        <w:t>,</w:t>
      </w:r>
      <w:r w:rsidR="00BD5D81" w:rsidRPr="00B8512B">
        <w:rPr>
          <w:rFonts w:ascii="Times New Roman" w:hAnsi="Times New Roman" w:cs="Times New Roman"/>
          <w:noProof/>
          <w:lang w:val="en-IE"/>
        </w:rPr>
        <w:t xml:space="preserve"> and the recognition of prescriptions when receiving healthcare abroad.</w:t>
      </w:r>
      <w:bookmarkStart w:id="27" w:name="_Toc81927273"/>
      <w:r w:rsidR="00C649A8" w:rsidRPr="00B8512B">
        <w:rPr>
          <w:rFonts w:ascii="Times New Roman" w:hAnsi="Times New Roman" w:cs="Times New Roman"/>
          <w:noProof/>
          <w:lang w:val="en-IE"/>
        </w:rPr>
        <w:t xml:space="preserve"> </w:t>
      </w:r>
      <w:r w:rsidR="00FA0C0F" w:rsidRPr="00B8512B">
        <w:rPr>
          <w:rFonts w:ascii="Times New Roman" w:hAnsi="Times New Roman" w:cs="Times New Roman"/>
          <w:noProof/>
          <w:lang w:val="en-IE"/>
        </w:rPr>
        <w:t>The evaluation found that the Directiv</w:t>
      </w:r>
      <w:r w:rsidR="007763F5" w:rsidRPr="00B8512B">
        <w:rPr>
          <w:rFonts w:ascii="Times New Roman" w:hAnsi="Times New Roman" w:cs="Times New Roman"/>
          <w:noProof/>
          <w:lang w:val="en-IE"/>
        </w:rPr>
        <w:t>e could</w:t>
      </w:r>
      <w:r w:rsidR="00FA0C0F" w:rsidRPr="00B8512B">
        <w:rPr>
          <w:rFonts w:ascii="Times New Roman" w:hAnsi="Times New Roman" w:cs="Times New Roman"/>
          <w:noProof/>
          <w:lang w:val="en-IE"/>
        </w:rPr>
        <w:t xml:space="preserve"> </w:t>
      </w:r>
      <w:r w:rsidR="007763F5" w:rsidRPr="00B8512B">
        <w:rPr>
          <w:rFonts w:ascii="Times New Roman" w:hAnsi="Times New Roman" w:cs="Times New Roman"/>
          <w:noProof/>
          <w:lang w:val="en-IE"/>
        </w:rPr>
        <w:t xml:space="preserve">help </w:t>
      </w:r>
      <w:r w:rsidR="00825680" w:rsidRPr="00B8512B">
        <w:rPr>
          <w:rFonts w:ascii="Times New Roman" w:hAnsi="Times New Roman" w:cs="Times New Roman"/>
          <w:noProof/>
          <w:lang w:val="en-IE"/>
        </w:rPr>
        <w:t>to</w:t>
      </w:r>
      <w:r w:rsidR="00FA0C0F" w:rsidRPr="00B8512B">
        <w:rPr>
          <w:rFonts w:ascii="Times New Roman" w:hAnsi="Times New Roman" w:cs="Times New Roman"/>
          <w:noProof/>
          <w:lang w:val="en-IE"/>
        </w:rPr>
        <w:t xml:space="preserve"> </w:t>
      </w:r>
      <w:r w:rsidR="00825680" w:rsidRPr="00B8512B">
        <w:rPr>
          <w:rFonts w:ascii="Times New Roman" w:hAnsi="Times New Roman" w:cs="Times New Roman"/>
          <w:noProof/>
          <w:lang w:val="en-IE"/>
        </w:rPr>
        <w:t xml:space="preserve">reduce the </w:t>
      </w:r>
      <w:r w:rsidR="007763F5" w:rsidRPr="00B8512B">
        <w:rPr>
          <w:rFonts w:ascii="Times New Roman" w:hAnsi="Times New Roman" w:cs="Times New Roman"/>
          <w:noProof/>
          <w:lang w:val="en-IE"/>
        </w:rPr>
        <w:t xml:space="preserve">huge </w:t>
      </w:r>
      <w:r w:rsidR="00FA0C0F" w:rsidRPr="00B8512B">
        <w:rPr>
          <w:rFonts w:ascii="Times New Roman" w:hAnsi="Times New Roman" w:cs="Times New Roman"/>
          <w:noProof/>
          <w:lang w:val="en-IE"/>
        </w:rPr>
        <w:t xml:space="preserve">backlog of postponed </w:t>
      </w:r>
      <w:r w:rsidR="008814D3">
        <w:rPr>
          <w:rFonts w:ascii="Times New Roman" w:hAnsi="Times New Roman" w:cs="Times New Roman"/>
          <w:noProof/>
          <w:lang w:val="en-IE"/>
        </w:rPr>
        <w:t xml:space="preserve">routine non-urgent </w:t>
      </w:r>
      <w:r w:rsidR="00FA0C0F" w:rsidRPr="00B8512B">
        <w:rPr>
          <w:rFonts w:ascii="Times New Roman" w:hAnsi="Times New Roman" w:cs="Times New Roman"/>
          <w:noProof/>
          <w:lang w:val="en-IE"/>
        </w:rPr>
        <w:t xml:space="preserve">treatment arising from the </w:t>
      </w:r>
      <w:r w:rsidR="00447DF2" w:rsidRPr="00B8512B">
        <w:rPr>
          <w:rFonts w:ascii="Times New Roman" w:hAnsi="Times New Roman" w:cs="Times New Roman"/>
          <w:noProof/>
          <w:lang w:val="en-IE"/>
        </w:rPr>
        <w:t>C</w:t>
      </w:r>
      <w:r w:rsidR="00447DF2">
        <w:rPr>
          <w:rFonts w:ascii="Times New Roman" w:hAnsi="Times New Roman" w:cs="Times New Roman"/>
          <w:noProof/>
          <w:lang w:val="en-IE"/>
        </w:rPr>
        <w:t>OVID</w:t>
      </w:r>
      <w:r w:rsidR="00FA0C0F" w:rsidRPr="00B8512B">
        <w:rPr>
          <w:rFonts w:ascii="Times New Roman" w:hAnsi="Times New Roman" w:cs="Times New Roman"/>
          <w:noProof/>
          <w:lang w:val="en-IE"/>
        </w:rPr>
        <w:t>-19 pandemic</w:t>
      </w:r>
      <w:r w:rsidR="00825680" w:rsidRPr="00B8512B">
        <w:rPr>
          <w:rFonts w:ascii="Times New Roman" w:hAnsi="Times New Roman" w:cs="Times New Roman"/>
          <w:noProof/>
          <w:lang w:val="en-IE"/>
        </w:rPr>
        <w:t xml:space="preserve"> </w:t>
      </w:r>
      <w:r w:rsidR="00447DF2">
        <w:rPr>
          <w:rFonts w:ascii="Times New Roman" w:hAnsi="Times New Roman" w:cs="Times New Roman"/>
          <w:noProof/>
          <w:lang w:val="en-IE"/>
        </w:rPr>
        <w:t>when</w:t>
      </w:r>
      <w:r w:rsidR="00447DF2" w:rsidRPr="00B8512B">
        <w:rPr>
          <w:rFonts w:ascii="Times New Roman" w:hAnsi="Times New Roman" w:cs="Times New Roman"/>
          <w:noProof/>
          <w:lang w:val="en-IE"/>
        </w:rPr>
        <w:t xml:space="preserve"> </w:t>
      </w:r>
      <w:r w:rsidR="00CC1A76">
        <w:rPr>
          <w:rFonts w:ascii="Times New Roman" w:hAnsi="Times New Roman" w:cs="Times New Roman"/>
          <w:noProof/>
          <w:lang w:val="en-IE"/>
        </w:rPr>
        <w:t xml:space="preserve">spare </w:t>
      </w:r>
      <w:r w:rsidR="00825680" w:rsidRPr="00B8512B">
        <w:rPr>
          <w:rFonts w:ascii="Times New Roman" w:hAnsi="Times New Roman" w:cs="Times New Roman"/>
          <w:noProof/>
          <w:lang w:val="en-IE"/>
        </w:rPr>
        <w:t xml:space="preserve">healthcare </w:t>
      </w:r>
      <w:r w:rsidR="00447DF2" w:rsidRPr="00B8512B">
        <w:rPr>
          <w:rFonts w:ascii="Times New Roman" w:hAnsi="Times New Roman" w:cs="Times New Roman"/>
          <w:noProof/>
          <w:lang w:val="en-IE"/>
        </w:rPr>
        <w:t>capacit</w:t>
      </w:r>
      <w:r w:rsidR="00447DF2">
        <w:rPr>
          <w:rFonts w:ascii="Times New Roman" w:hAnsi="Times New Roman" w:cs="Times New Roman"/>
          <w:noProof/>
          <w:lang w:val="en-IE"/>
        </w:rPr>
        <w:t>y</w:t>
      </w:r>
      <w:r w:rsidR="00447DF2" w:rsidRPr="00B8512B">
        <w:rPr>
          <w:rFonts w:ascii="Times New Roman" w:hAnsi="Times New Roman" w:cs="Times New Roman"/>
          <w:noProof/>
          <w:lang w:val="en-IE"/>
        </w:rPr>
        <w:t xml:space="preserve"> </w:t>
      </w:r>
      <w:r w:rsidR="00CC1A76">
        <w:rPr>
          <w:rFonts w:ascii="Times New Roman" w:hAnsi="Times New Roman" w:cs="Times New Roman"/>
          <w:noProof/>
          <w:lang w:val="en-IE"/>
        </w:rPr>
        <w:t xml:space="preserve">may </w:t>
      </w:r>
      <w:r w:rsidR="00825680" w:rsidRPr="00B8512B">
        <w:rPr>
          <w:rFonts w:ascii="Times New Roman" w:hAnsi="Times New Roman" w:cs="Times New Roman"/>
          <w:noProof/>
          <w:lang w:val="en-IE"/>
        </w:rPr>
        <w:t>exist across the border.</w:t>
      </w:r>
    </w:p>
    <w:p w14:paraId="44075D8D" w14:textId="77777777" w:rsidR="00540330" w:rsidRPr="00B8512B" w:rsidRDefault="00540330">
      <w:pPr>
        <w:rPr>
          <w:rFonts w:ascii="Times New Roman" w:hAnsi="Times New Roman" w:cs="Times New Roman"/>
          <w:noProof/>
          <w:lang w:val="en-IE"/>
        </w:rPr>
      </w:pPr>
    </w:p>
    <w:p w14:paraId="48101FFF" w14:textId="71BA3670" w:rsidR="00526894" w:rsidRPr="00B8512B" w:rsidRDefault="00526894">
      <w:pPr>
        <w:pStyle w:val="Heading1"/>
        <w:rPr>
          <w:rFonts w:ascii="Times New Roman" w:hAnsi="Times New Roman" w:cs="Times New Roman"/>
          <w:noProof/>
          <w:lang w:val="en-IE"/>
        </w:rPr>
      </w:pPr>
      <w:bookmarkStart w:id="28" w:name="_Toc81927274"/>
      <w:bookmarkEnd w:id="27"/>
      <w:r w:rsidRPr="00B8512B">
        <w:rPr>
          <w:rFonts w:ascii="Times New Roman" w:hAnsi="Times New Roman" w:cs="Times New Roman"/>
          <w:noProof/>
          <w:lang w:val="en-IE"/>
        </w:rPr>
        <w:t xml:space="preserve">Evaluation </w:t>
      </w:r>
      <w:r w:rsidR="005E4321" w:rsidRPr="00B8512B">
        <w:rPr>
          <w:rFonts w:ascii="Times New Roman" w:hAnsi="Times New Roman" w:cs="Times New Roman"/>
          <w:noProof/>
          <w:lang w:val="en-IE"/>
        </w:rPr>
        <w:t>f</w:t>
      </w:r>
      <w:r w:rsidR="00CF6BFE" w:rsidRPr="00B8512B">
        <w:rPr>
          <w:rFonts w:ascii="Times New Roman" w:hAnsi="Times New Roman" w:cs="Times New Roman"/>
          <w:noProof/>
          <w:lang w:val="en-IE"/>
        </w:rPr>
        <w:t>indings</w:t>
      </w:r>
    </w:p>
    <w:p w14:paraId="454006C3" w14:textId="44503E82" w:rsidR="00526894" w:rsidRPr="00B8512B" w:rsidRDefault="00526894" w:rsidP="00526894">
      <w:pPr>
        <w:rPr>
          <w:rFonts w:ascii="Times New Roman" w:hAnsi="Times New Roman" w:cs="Times New Roman"/>
          <w:noProof/>
          <w:szCs w:val="24"/>
          <w:lang w:val="en-IE"/>
        </w:rPr>
      </w:pPr>
    </w:p>
    <w:p w14:paraId="07AC6653" w14:textId="6CF5CC42" w:rsidR="00CC1A76" w:rsidRDefault="00716425" w:rsidP="00716425">
      <w:pPr>
        <w:rPr>
          <w:rFonts w:ascii="Times New Roman" w:hAnsi="Times New Roman" w:cs="Times New Roman"/>
          <w:noProof/>
          <w:lang w:val="en-IE"/>
        </w:rPr>
      </w:pPr>
      <w:r w:rsidRPr="00B8512B">
        <w:rPr>
          <w:rFonts w:ascii="Times New Roman" w:hAnsi="Times New Roman" w:cs="Times New Roman"/>
          <w:noProof/>
          <w:lang w:val="en-IE"/>
        </w:rPr>
        <w:t>The Directive has been moderately effective in delivering its objectives to facilitate access to safe and high-quality healthcare in another EU country. It has brought additional legal clarity on the rights of patients to use healthcare services anywhere in the EU and it remains relevant for safeguarding the free movement of healthcare services as interpreted by the Court of Justice.</w:t>
      </w:r>
    </w:p>
    <w:p w14:paraId="21FED18F" w14:textId="1C24DB50" w:rsidR="00716425" w:rsidRPr="00B8512B" w:rsidRDefault="00716425" w:rsidP="00716425">
      <w:pPr>
        <w:rPr>
          <w:rFonts w:ascii="Times New Roman" w:hAnsi="Times New Roman" w:cs="Times New Roman"/>
          <w:noProof/>
          <w:lang w:val="en-IE"/>
        </w:rPr>
      </w:pPr>
      <w:r w:rsidRPr="00B8512B">
        <w:rPr>
          <w:rFonts w:ascii="Times New Roman" w:hAnsi="Times New Roman" w:cs="Times New Roman"/>
          <w:noProof/>
          <w:lang w:val="en-IE"/>
        </w:rPr>
        <w:t>The evaluation has shown that the Directive has enshrined important patient rights</w:t>
      </w:r>
      <w:r w:rsidR="00A77137">
        <w:rPr>
          <w:rFonts w:ascii="Times New Roman" w:hAnsi="Times New Roman" w:cs="Times New Roman"/>
          <w:noProof/>
          <w:lang w:val="en-IE"/>
        </w:rPr>
        <w:t>,</w:t>
      </w:r>
      <w:r w:rsidRPr="00B8512B">
        <w:rPr>
          <w:rFonts w:ascii="Times New Roman" w:hAnsi="Times New Roman" w:cs="Times New Roman"/>
          <w:noProof/>
          <w:lang w:val="en-IE"/>
        </w:rPr>
        <w:t xml:space="preserve"> such as equal treatment of EU </w:t>
      </w:r>
      <w:r w:rsidR="00A77137">
        <w:rPr>
          <w:rFonts w:ascii="Times New Roman" w:hAnsi="Times New Roman" w:cs="Times New Roman"/>
          <w:noProof/>
          <w:lang w:val="en-IE"/>
        </w:rPr>
        <w:t>and</w:t>
      </w:r>
      <w:r w:rsidRPr="00B8512B">
        <w:rPr>
          <w:rFonts w:ascii="Times New Roman" w:hAnsi="Times New Roman" w:cs="Times New Roman"/>
          <w:noProof/>
          <w:lang w:val="en-IE"/>
        </w:rPr>
        <w:t xml:space="preserve"> domestic patients. It has achieved a more consistent approach at EU level to reimbursement of cross-border healthcare costs for EU</w:t>
      </w:r>
      <w:r w:rsidR="00B45FB4">
        <w:rPr>
          <w:rFonts w:ascii="Times New Roman" w:hAnsi="Times New Roman" w:cs="Times New Roman"/>
          <w:noProof/>
          <w:lang w:val="en-IE"/>
        </w:rPr>
        <w:t xml:space="preserve"> citizens</w:t>
      </w:r>
      <w:r w:rsidRPr="00B8512B">
        <w:rPr>
          <w:rFonts w:ascii="Times New Roman" w:hAnsi="Times New Roman" w:cs="Times New Roman"/>
          <w:noProof/>
          <w:lang w:val="en-IE"/>
        </w:rPr>
        <w:t xml:space="preserve">. It has acted as a driver for patient rights in general, increasing transparency on treatment prices and bringing about changes in </w:t>
      </w:r>
      <w:r w:rsidR="00B45FB4">
        <w:rPr>
          <w:rFonts w:ascii="Times New Roman" w:hAnsi="Times New Roman" w:cs="Times New Roman"/>
          <w:noProof/>
          <w:lang w:val="en-IE"/>
        </w:rPr>
        <w:t>various</w:t>
      </w:r>
      <w:r w:rsidRPr="00B8512B">
        <w:rPr>
          <w:rFonts w:ascii="Times New Roman" w:hAnsi="Times New Roman" w:cs="Times New Roman"/>
          <w:noProof/>
          <w:lang w:val="en-IE"/>
        </w:rPr>
        <w:t xml:space="preserve"> national health systems to the benefit of patients. EU citizens are making use of their rights and the reimbursement mechanisms provided by the Directive, although their numbers remain small</w:t>
      </w:r>
      <w:r w:rsidR="00CC1A76">
        <w:rPr>
          <w:rFonts w:ascii="Times New Roman" w:hAnsi="Times New Roman" w:cs="Times New Roman"/>
          <w:noProof/>
          <w:lang w:val="en-IE"/>
        </w:rPr>
        <w:t>.</w:t>
      </w:r>
      <w:r w:rsidR="00DF7633">
        <w:rPr>
          <w:rFonts w:ascii="Times New Roman" w:hAnsi="Times New Roman" w:cs="Times New Roman"/>
          <w:noProof/>
          <w:lang w:val="en-IE"/>
        </w:rPr>
        <w:t xml:space="preserve"> </w:t>
      </w:r>
      <w:r w:rsidR="00A77137">
        <w:rPr>
          <w:rFonts w:ascii="Times New Roman" w:hAnsi="Times New Roman" w:cs="Times New Roman"/>
          <w:noProof/>
          <w:lang w:val="en-IE"/>
        </w:rPr>
        <w:t>The general public has</w:t>
      </w:r>
      <w:r w:rsidRPr="00B8512B">
        <w:rPr>
          <w:rFonts w:ascii="Times New Roman" w:hAnsi="Times New Roman" w:cs="Times New Roman"/>
          <w:noProof/>
          <w:lang w:val="en-IE"/>
        </w:rPr>
        <w:t xml:space="preserve"> largely benefited from the Directive’s provisions regulating the recognition of prescriptions</w:t>
      </w:r>
      <w:r w:rsidR="00B45FB4">
        <w:rPr>
          <w:rFonts w:ascii="Times New Roman" w:hAnsi="Times New Roman" w:cs="Times New Roman"/>
          <w:noProof/>
          <w:lang w:val="en-IE"/>
        </w:rPr>
        <w:t>;</w:t>
      </w:r>
      <w:r w:rsidR="00B45FB4" w:rsidRPr="00B8512B">
        <w:rPr>
          <w:rFonts w:ascii="Times New Roman" w:hAnsi="Times New Roman" w:cs="Times New Roman"/>
          <w:noProof/>
          <w:lang w:val="en-IE"/>
        </w:rPr>
        <w:t xml:space="preserve"> </w:t>
      </w:r>
      <w:r w:rsidR="008505E2" w:rsidRPr="00B8512B">
        <w:rPr>
          <w:rFonts w:ascii="Times New Roman" w:hAnsi="Times New Roman" w:cs="Times New Roman"/>
          <w:noProof/>
          <w:lang w:val="en-IE"/>
        </w:rPr>
        <w:t>however,</w:t>
      </w:r>
      <w:r w:rsidRPr="00B8512B">
        <w:rPr>
          <w:rFonts w:ascii="Times New Roman" w:hAnsi="Times New Roman" w:cs="Times New Roman"/>
          <w:noProof/>
          <w:lang w:val="en-IE"/>
        </w:rPr>
        <w:t xml:space="preserve"> some problems with the language, verification and authenticity of prescriptions persist.</w:t>
      </w:r>
    </w:p>
    <w:p w14:paraId="47BA1120" w14:textId="205C18D7" w:rsidR="00716425" w:rsidRPr="00B8512B" w:rsidRDefault="00716425" w:rsidP="00716425">
      <w:pPr>
        <w:rPr>
          <w:rFonts w:ascii="Times New Roman" w:hAnsi="Times New Roman" w:cs="Times New Roman"/>
          <w:noProof/>
          <w:lang w:val="en-IE"/>
        </w:rPr>
      </w:pPr>
      <w:r w:rsidRPr="00B8512B">
        <w:rPr>
          <w:rFonts w:ascii="Times New Roman" w:hAnsi="Times New Roman" w:cs="Times New Roman"/>
          <w:noProof/>
          <w:lang w:val="en-IE"/>
        </w:rPr>
        <w:t>The Directive’s potential for improving access to cross-border healthcare continues to be hampered by</w:t>
      </w:r>
      <w:r w:rsidR="005E4220">
        <w:rPr>
          <w:rFonts w:ascii="Times New Roman" w:hAnsi="Times New Roman" w:cs="Times New Roman"/>
          <w:noProof/>
          <w:lang w:val="en-IE"/>
        </w:rPr>
        <w:t xml:space="preserve"> some issues. These include,</w:t>
      </w:r>
      <w:r w:rsidR="00DF7633">
        <w:rPr>
          <w:rFonts w:ascii="Times New Roman" w:hAnsi="Times New Roman" w:cs="Times New Roman"/>
          <w:noProof/>
          <w:lang w:val="en-IE"/>
        </w:rPr>
        <w:t xml:space="preserve"> </w:t>
      </w:r>
      <w:r w:rsidRPr="00B8512B">
        <w:rPr>
          <w:rFonts w:ascii="Times New Roman" w:hAnsi="Times New Roman" w:cs="Times New Roman"/>
          <w:noProof/>
          <w:lang w:val="en-IE"/>
        </w:rPr>
        <w:t>in particular: the low level of awareness over patients’ rights to cross-border healthcare</w:t>
      </w:r>
      <w:r w:rsidR="00B45FB4">
        <w:rPr>
          <w:rFonts w:ascii="Times New Roman" w:hAnsi="Times New Roman" w:cs="Times New Roman"/>
          <w:noProof/>
          <w:lang w:val="en-IE"/>
        </w:rPr>
        <w:t>;</w:t>
      </w:r>
      <w:r w:rsidR="00B45FB4" w:rsidRPr="00B8512B">
        <w:rPr>
          <w:rFonts w:ascii="Times New Roman" w:hAnsi="Times New Roman" w:cs="Times New Roman"/>
          <w:noProof/>
          <w:lang w:val="en-IE"/>
        </w:rPr>
        <w:t xml:space="preserve"> </w:t>
      </w:r>
      <w:r w:rsidRPr="00B8512B">
        <w:rPr>
          <w:rFonts w:ascii="Times New Roman" w:hAnsi="Times New Roman" w:cs="Times New Roman"/>
          <w:noProof/>
          <w:lang w:val="en-IE"/>
        </w:rPr>
        <w:t>inadequate patient information</w:t>
      </w:r>
      <w:r w:rsidR="00B45FB4">
        <w:rPr>
          <w:rFonts w:ascii="Times New Roman" w:hAnsi="Times New Roman" w:cs="Times New Roman"/>
          <w:noProof/>
          <w:lang w:val="en-IE"/>
        </w:rPr>
        <w:t>;</w:t>
      </w:r>
      <w:r w:rsidR="00B45FB4" w:rsidRPr="00B8512B">
        <w:rPr>
          <w:rFonts w:ascii="Times New Roman" w:hAnsi="Times New Roman" w:cs="Times New Roman"/>
          <w:noProof/>
          <w:lang w:val="en-IE"/>
        </w:rPr>
        <w:t xml:space="preserve"> </w:t>
      </w:r>
      <w:r w:rsidRPr="00B8512B">
        <w:rPr>
          <w:rFonts w:ascii="Times New Roman" w:hAnsi="Times New Roman" w:cs="Times New Roman"/>
          <w:noProof/>
          <w:lang w:val="en-IE"/>
        </w:rPr>
        <w:t>disproportionate administrative burdens</w:t>
      </w:r>
      <w:r w:rsidR="00B45FB4">
        <w:rPr>
          <w:rFonts w:ascii="Times New Roman" w:hAnsi="Times New Roman" w:cs="Times New Roman"/>
          <w:noProof/>
          <w:lang w:val="en-IE"/>
        </w:rPr>
        <w:t>;</w:t>
      </w:r>
      <w:r w:rsidR="00B2250D" w:rsidRPr="00B8512B">
        <w:rPr>
          <w:rFonts w:ascii="Times New Roman" w:hAnsi="Times New Roman" w:cs="Times New Roman"/>
          <w:noProof/>
          <w:lang w:val="en-IE"/>
        </w:rPr>
        <w:t xml:space="preserve"> and </w:t>
      </w:r>
      <w:r w:rsidRPr="00B8512B">
        <w:rPr>
          <w:rFonts w:ascii="Times New Roman" w:hAnsi="Times New Roman" w:cs="Times New Roman"/>
          <w:noProof/>
          <w:lang w:val="en-IE"/>
        </w:rPr>
        <w:t>uncertainty over</w:t>
      </w:r>
      <w:r w:rsidR="00CC1A76">
        <w:rPr>
          <w:rFonts w:ascii="Times New Roman" w:hAnsi="Times New Roman" w:cs="Times New Roman"/>
          <w:noProof/>
          <w:lang w:val="en-IE"/>
        </w:rPr>
        <w:t xml:space="preserve"> healthcare costs abroad and</w:t>
      </w:r>
      <w:r w:rsidRPr="00B8512B">
        <w:rPr>
          <w:rFonts w:ascii="Times New Roman" w:hAnsi="Times New Roman" w:cs="Times New Roman"/>
          <w:noProof/>
          <w:lang w:val="en-IE"/>
        </w:rPr>
        <w:t xml:space="preserve"> reimbursement</w:t>
      </w:r>
      <w:r w:rsidR="00B2250D" w:rsidRPr="00B8512B">
        <w:rPr>
          <w:rFonts w:ascii="Times New Roman" w:hAnsi="Times New Roman" w:cs="Times New Roman"/>
          <w:noProof/>
          <w:lang w:val="en-IE"/>
        </w:rPr>
        <w:t xml:space="preserve">. </w:t>
      </w:r>
      <w:r w:rsidRPr="00B8512B">
        <w:rPr>
          <w:rFonts w:ascii="Times New Roman" w:hAnsi="Times New Roman" w:cs="Times New Roman"/>
          <w:noProof/>
          <w:lang w:val="en-IE"/>
        </w:rPr>
        <w:t>Patient organisations, in particular, critici</w:t>
      </w:r>
      <w:r w:rsidR="000B425D" w:rsidRPr="00B8512B">
        <w:rPr>
          <w:rFonts w:ascii="Times New Roman" w:hAnsi="Times New Roman" w:cs="Times New Roman"/>
          <w:noProof/>
          <w:lang w:val="en-IE"/>
        </w:rPr>
        <w:t>s</w:t>
      </w:r>
      <w:r w:rsidRPr="00B8512B">
        <w:rPr>
          <w:rFonts w:ascii="Times New Roman" w:hAnsi="Times New Roman" w:cs="Times New Roman"/>
          <w:noProof/>
          <w:lang w:val="en-IE"/>
        </w:rPr>
        <w:t xml:space="preserve">e </w:t>
      </w:r>
      <w:r w:rsidR="00B2250D" w:rsidRPr="00B8512B">
        <w:rPr>
          <w:rFonts w:ascii="Times New Roman" w:hAnsi="Times New Roman" w:cs="Times New Roman"/>
          <w:noProof/>
          <w:lang w:val="en-IE"/>
        </w:rPr>
        <w:t>the requirement for patients to pay upfront for treatment abroad</w:t>
      </w:r>
      <w:r w:rsidR="00B45FB4">
        <w:rPr>
          <w:rFonts w:ascii="Times New Roman" w:hAnsi="Times New Roman" w:cs="Times New Roman"/>
          <w:noProof/>
          <w:lang w:val="en-IE"/>
        </w:rPr>
        <w:t>,</w:t>
      </w:r>
      <w:r w:rsidRPr="00B8512B">
        <w:rPr>
          <w:rFonts w:ascii="Times New Roman" w:hAnsi="Times New Roman" w:cs="Times New Roman"/>
          <w:noProof/>
          <w:lang w:val="en-IE"/>
        </w:rPr>
        <w:t xml:space="preserve"> </w:t>
      </w:r>
      <w:r w:rsidR="00B45FB4">
        <w:rPr>
          <w:rFonts w:ascii="Times New Roman" w:hAnsi="Times New Roman" w:cs="Times New Roman"/>
          <w:noProof/>
          <w:lang w:val="en-IE"/>
        </w:rPr>
        <w:t>arguing this</w:t>
      </w:r>
      <w:r w:rsidR="00B45FB4" w:rsidRPr="00B8512B">
        <w:rPr>
          <w:rFonts w:ascii="Times New Roman" w:hAnsi="Times New Roman" w:cs="Times New Roman"/>
          <w:noProof/>
          <w:lang w:val="en-IE"/>
        </w:rPr>
        <w:t xml:space="preserve"> </w:t>
      </w:r>
      <w:r w:rsidRPr="00B8512B">
        <w:rPr>
          <w:rFonts w:ascii="Times New Roman" w:hAnsi="Times New Roman" w:cs="Times New Roman"/>
          <w:noProof/>
          <w:lang w:val="en-IE"/>
        </w:rPr>
        <w:t>creat</w:t>
      </w:r>
      <w:r w:rsidR="00B45FB4">
        <w:rPr>
          <w:rFonts w:ascii="Times New Roman" w:hAnsi="Times New Roman" w:cs="Times New Roman"/>
          <w:noProof/>
          <w:lang w:val="en-IE"/>
        </w:rPr>
        <w:t>es</w:t>
      </w:r>
      <w:r w:rsidRPr="00B8512B">
        <w:rPr>
          <w:rFonts w:ascii="Times New Roman" w:hAnsi="Times New Roman" w:cs="Times New Roman"/>
          <w:noProof/>
          <w:lang w:val="en-IE"/>
        </w:rPr>
        <w:t xml:space="preserve"> inequalities in access to healthcare</w:t>
      </w:r>
      <w:r w:rsidRPr="00B8512B">
        <w:rPr>
          <w:rFonts w:ascii="Times New Roman" w:hAnsi="Times New Roman" w:cs="Times New Roman"/>
          <w:noProof/>
          <w:szCs w:val="24"/>
        </w:rPr>
        <w:t>. However, under t</w:t>
      </w:r>
      <w:r w:rsidRPr="00B8512B">
        <w:rPr>
          <w:rFonts w:ascii="Times New Roman" w:hAnsi="Times New Roman" w:cs="Times New Roman"/>
          <w:noProof/>
          <w:lang w:val="en-IE"/>
        </w:rPr>
        <w:t xml:space="preserve">he Directive, patients have to pay costs upfront as it is the only viable way to empower the </w:t>
      </w:r>
      <w:r w:rsidR="00A77137">
        <w:rPr>
          <w:rFonts w:ascii="Times New Roman" w:hAnsi="Times New Roman" w:cs="Times New Roman"/>
          <w:noProof/>
          <w:lang w:val="en-IE"/>
        </w:rPr>
        <w:t>patient</w:t>
      </w:r>
      <w:r w:rsidR="00A77137" w:rsidRPr="00B8512B">
        <w:rPr>
          <w:rFonts w:ascii="Times New Roman" w:hAnsi="Times New Roman" w:cs="Times New Roman"/>
          <w:noProof/>
          <w:lang w:val="en-IE"/>
        </w:rPr>
        <w:t xml:space="preserve"> </w:t>
      </w:r>
      <w:r w:rsidRPr="00B8512B">
        <w:rPr>
          <w:rFonts w:ascii="Times New Roman" w:hAnsi="Times New Roman" w:cs="Times New Roman"/>
          <w:noProof/>
          <w:lang w:val="en-IE"/>
        </w:rPr>
        <w:t>to choose public or private healthcare in another EU country without prior approval</w:t>
      </w:r>
      <w:r w:rsidR="00B45FB4">
        <w:rPr>
          <w:rFonts w:ascii="Times New Roman" w:hAnsi="Times New Roman" w:cs="Times New Roman"/>
          <w:noProof/>
          <w:lang w:val="en-IE"/>
        </w:rPr>
        <w:t>,</w:t>
      </w:r>
      <w:r w:rsidRPr="00B8512B">
        <w:rPr>
          <w:rFonts w:ascii="Times New Roman" w:hAnsi="Times New Roman" w:cs="Times New Roman"/>
          <w:noProof/>
          <w:lang w:val="en-IE"/>
        </w:rPr>
        <w:t xml:space="preserve"> while also giving the patient the right to reimbursement of costs</w:t>
      </w:r>
      <w:r w:rsidR="000D2C5E">
        <w:rPr>
          <w:rFonts w:ascii="Times New Roman" w:hAnsi="Times New Roman" w:cs="Times New Roman"/>
          <w:noProof/>
          <w:lang w:val="en-IE"/>
        </w:rPr>
        <w:t>, up to a certain level,</w:t>
      </w:r>
      <w:r w:rsidRPr="00B8512B">
        <w:rPr>
          <w:rFonts w:ascii="Times New Roman" w:hAnsi="Times New Roman" w:cs="Times New Roman"/>
          <w:noProof/>
          <w:lang w:val="en-IE"/>
        </w:rPr>
        <w:t xml:space="preserve"> by their health insurer. It provides the </w:t>
      </w:r>
      <w:r w:rsidR="00A77137">
        <w:rPr>
          <w:rFonts w:ascii="Times New Roman" w:hAnsi="Times New Roman" w:cs="Times New Roman"/>
          <w:noProof/>
          <w:lang w:val="en-IE"/>
        </w:rPr>
        <w:t>patient</w:t>
      </w:r>
      <w:r w:rsidR="00A77137"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with an additional option to cross-border healthcare over and above the </w:t>
      </w:r>
      <w:r w:rsidR="00B2250D" w:rsidRPr="00B8512B">
        <w:rPr>
          <w:rFonts w:ascii="Times New Roman" w:hAnsi="Times New Roman" w:cs="Times New Roman"/>
          <w:noProof/>
          <w:lang w:val="en-IE"/>
        </w:rPr>
        <w:t>rules on coordination of</w:t>
      </w:r>
      <w:r w:rsidRPr="00B8512B">
        <w:rPr>
          <w:rFonts w:ascii="Times New Roman" w:hAnsi="Times New Roman" w:cs="Times New Roman"/>
          <w:noProof/>
          <w:lang w:val="en-IE"/>
        </w:rPr>
        <w:t xml:space="preserve"> social security </w:t>
      </w:r>
      <w:r w:rsidR="00B2250D" w:rsidRPr="00B8512B">
        <w:rPr>
          <w:rFonts w:ascii="Times New Roman" w:hAnsi="Times New Roman" w:cs="Times New Roman"/>
          <w:noProof/>
          <w:lang w:val="en-IE"/>
        </w:rPr>
        <w:t>systems</w:t>
      </w:r>
      <w:r w:rsidRPr="00B8512B">
        <w:rPr>
          <w:rFonts w:ascii="Times New Roman" w:hAnsi="Times New Roman" w:cs="Times New Roman"/>
          <w:noProof/>
          <w:lang w:val="en-IE"/>
        </w:rPr>
        <w:t>.</w:t>
      </w:r>
    </w:p>
    <w:p w14:paraId="482FC670" w14:textId="1F882980" w:rsidR="00716425" w:rsidRPr="00B8512B" w:rsidRDefault="00716425" w:rsidP="00716425">
      <w:pPr>
        <w:spacing w:after="200" w:line="276" w:lineRule="auto"/>
        <w:rPr>
          <w:rFonts w:ascii="Times New Roman" w:eastAsia="Times New Roman" w:hAnsi="Times New Roman" w:cs="Times New Roman"/>
          <w:noProof/>
          <w:szCs w:val="20"/>
          <w:lang w:val="en-GB"/>
        </w:rPr>
      </w:pPr>
      <w:r w:rsidRPr="00B8512B">
        <w:rPr>
          <w:rFonts w:ascii="Times New Roman" w:eastAsia="Times New Roman" w:hAnsi="Times New Roman" w:cs="Times New Roman"/>
          <w:noProof/>
          <w:szCs w:val="20"/>
          <w:lang w:val="en-GB"/>
        </w:rPr>
        <w:t xml:space="preserve">The complex legal relationship between the Directive and the Regulation is difficult for </w:t>
      </w:r>
      <w:r w:rsidR="00A77137">
        <w:rPr>
          <w:rFonts w:ascii="Times New Roman" w:eastAsia="Times New Roman" w:hAnsi="Times New Roman" w:cs="Times New Roman"/>
          <w:noProof/>
          <w:szCs w:val="20"/>
          <w:lang w:val="en-GB"/>
        </w:rPr>
        <w:t>the general public</w:t>
      </w:r>
      <w:r w:rsidR="00A77137" w:rsidRPr="00B8512B">
        <w:rPr>
          <w:rFonts w:ascii="Times New Roman" w:eastAsia="Times New Roman" w:hAnsi="Times New Roman" w:cs="Times New Roman"/>
          <w:noProof/>
          <w:szCs w:val="20"/>
          <w:lang w:val="en-GB"/>
        </w:rPr>
        <w:t xml:space="preserve"> </w:t>
      </w:r>
      <w:r w:rsidRPr="00B8512B">
        <w:rPr>
          <w:rFonts w:ascii="Times New Roman" w:eastAsia="Times New Roman" w:hAnsi="Times New Roman" w:cs="Times New Roman"/>
          <w:noProof/>
          <w:szCs w:val="20"/>
          <w:lang w:val="en-GB"/>
        </w:rPr>
        <w:t>to understand</w:t>
      </w:r>
      <w:r w:rsidR="00150848">
        <w:rPr>
          <w:rFonts w:ascii="Times New Roman" w:eastAsia="Times New Roman" w:hAnsi="Times New Roman" w:cs="Times New Roman"/>
          <w:noProof/>
          <w:szCs w:val="20"/>
          <w:lang w:val="en-GB"/>
        </w:rPr>
        <w:t>,</w:t>
      </w:r>
      <w:r w:rsidRPr="00B8512B">
        <w:rPr>
          <w:rFonts w:ascii="Times New Roman" w:eastAsia="Times New Roman" w:hAnsi="Times New Roman" w:cs="Times New Roman"/>
          <w:noProof/>
          <w:szCs w:val="20"/>
          <w:lang w:val="en-GB"/>
        </w:rPr>
        <w:t xml:space="preserve"> and for </w:t>
      </w:r>
      <w:r w:rsidR="00B2250D" w:rsidRPr="00B8512B">
        <w:rPr>
          <w:rFonts w:ascii="Times New Roman" w:eastAsia="Times New Roman" w:hAnsi="Times New Roman" w:cs="Times New Roman"/>
          <w:noProof/>
          <w:szCs w:val="20"/>
          <w:lang w:val="en-GB"/>
        </w:rPr>
        <w:t>NCP</w:t>
      </w:r>
      <w:r w:rsidRPr="00B8512B">
        <w:rPr>
          <w:rFonts w:ascii="Times New Roman" w:eastAsia="Times New Roman" w:hAnsi="Times New Roman" w:cs="Times New Roman"/>
          <w:noProof/>
          <w:szCs w:val="20"/>
          <w:lang w:val="en-GB"/>
        </w:rPr>
        <w:t xml:space="preserve">s and health insurers to communicate to patients. At the same time, the responsibility </w:t>
      </w:r>
      <w:r w:rsidR="005E4220">
        <w:rPr>
          <w:rFonts w:ascii="Times New Roman" w:eastAsia="Times New Roman" w:hAnsi="Times New Roman" w:cs="Times New Roman"/>
          <w:noProof/>
          <w:szCs w:val="20"/>
          <w:lang w:val="en-GB"/>
        </w:rPr>
        <w:t>for</w:t>
      </w:r>
      <w:r w:rsidR="005E4220" w:rsidRPr="00B8512B">
        <w:rPr>
          <w:rFonts w:ascii="Times New Roman" w:eastAsia="Times New Roman" w:hAnsi="Times New Roman" w:cs="Times New Roman"/>
          <w:noProof/>
          <w:szCs w:val="20"/>
          <w:lang w:val="en-GB"/>
        </w:rPr>
        <w:t xml:space="preserve"> </w:t>
      </w:r>
      <w:r w:rsidRPr="00B8512B">
        <w:rPr>
          <w:rFonts w:ascii="Times New Roman" w:eastAsia="Times New Roman" w:hAnsi="Times New Roman" w:cs="Times New Roman"/>
          <w:noProof/>
          <w:szCs w:val="20"/>
          <w:lang w:val="en-GB"/>
        </w:rPr>
        <w:t xml:space="preserve">choosing the route that is more beneficial is </w:t>
      </w:r>
      <w:r w:rsidR="00150848">
        <w:rPr>
          <w:rFonts w:ascii="Times New Roman" w:eastAsia="Times New Roman" w:hAnsi="Times New Roman" w:cs="Times New Roman"/>
          <w:noProof/>
          <w:szCs w:val="20"/>
          <w:lang w:val="en-GB"/>
        </w:rPr>
        <w:t xml:space="preserve">often </w:t>
      </w:r>
      <w:r w:rsidRPr="00B8512B">
        <w:rPr>
          <w:rFonts w:ascii="Times New Roman" w:eastAsia="Times New Roman" w:hAnsi="Times New Roman" w:cs="Times New Roman"/>
          <w:noProof/>
          <w:szCs w:val="20"/>
          <w:lang w:val="en-GB"/>
        </w:rPr>
        <w:t>left to patients</w:t>
      </w:r>
      <w:r w:rsidR="00150848">
        <w:rPr>
          <w:rFonts w:ascii="Times New Roman" w:eastAsia="Times New Roman" w:hAnsi="Times New Roman" w:cs="Times New Roman"/>
          <w:noProof/>
          <w:szCs w:val="20"/>
          <w:lang w:val="en-GB"/>
        </w:rPr>
        <w:t>,</w:t>
      </w:r>
      <w:r w:rsidRPr="00B8512B">
        <w:rPr>
          <w:rFonts w:ascii="Times New Roman" w:eastAsia="Times New Roman" w:hAnsi="Times New Roman" w:cs="Times New Roman"/>
          <w:noProof/>
          <w:szCs w:val="20"/>
          <w:lang w:val="en-GB"/>
        </w:rPr>
        <w:t xml:space="preserve"> with uncertain financial implications. This raises doubts as to whether </w:t>
      </w:r>
      <w:r w:rsidR="000D2C5E">
        <w:rPr>
          <w:rFonts w:ascii="Times New Roman" w:eastAsia="Times New Roman" w:hAnsi="Times New Roman" w:cs="Times New Roman"/>
          <w:noProof/>
          <w:szCs w:val="20"/>
          <w:lang w:val="en-GB"/>
        </w:rPr>
        <w:t>clarity</w:t>
      </w:r>
      <w:r w:rsidR="000D2C5E" w:rsidRPr="00B8512B">
        <w:rPr>
          <w:rFonts w:ascii="Times New Roman" w:eastAsia="Times New Roman" w:hAnsi="Times New Roman" w:cs="Times New Roman"/>
          <w:noProof/>
          <w:szCs w:val="20"/>
          <w:lang w:val="en-GB"/>
        </w:rPr>
        <w:t xml:space="preserve"> </w:t>
      </w:r>
      <w:r w:rsidR="00150848">
        <w:rPr>
          <w:rFonts w:ascii="Times New Roman" w:eastAsia="Times New Roman" w:hAnsi="Times New Roman" w:cs="Times New Roman"/>
          <w:noProof/>
          <w:szCs w:val="20"/>
          <w:lang w:val="en-GB"/>
        </w:rPr>
        <w:t>between</w:t>
      </w:r>
      <w:r w:rsidR="00150848" w:rsidRPr="00B8512B">
        <w:rPr>
          <w:rFonts w:ascii="Times New Roman" w:eastAsia="Times New Roman" w:hAnsi="Times New Roman" w:cs="Times New Roman"/>
          <w:noProof/>
          <w:szCs w:val="20"/>
          <w:lang w:val="en-GB"/>
        </w:rPr>
        <w:t xml:space="preserve"> </w:t>
      </w:r>
      <w:r w:rsidRPr="00B8512B">
        <w:rPr>
          <w:rFonts w:ascii="Times New Roman" w:eastAsia="Times New Roman" w:hAnsi="Times New Roman" w:cs="Times New Roman"/>
          <w:noProof/>
          <w:szCs w:val="20"/>
          <w:lang w:val="en-GB"/>
        </w:rPr>
        <w:t xml:space="preserve">the Directive </w:t>
      </w:r>
      <w:r w:rsidR="00150848">
        <w:rPr>
          <w:rFonts w:ascii="Times New Roman" w:eastAsia="Times New Roman" w:hAnsi="Times New Roman" w:cs="Times New Roman"/>
          <w:noProof/>
          <w:szCs w:val="20"/>
          <w:lang w:val="en-GB"/>
        </w:rPr>
        <w:t>and</w:t>
      </w:r>
      <w:r w:rsidR="00150848" w:rsidRPr="00B8512B">
        <w:rPr>
          <w:rFonts w:ascii="Times New Roman" w:eastAsia="Times New Roman" w:hAnsi="Times New Roman" w:cs="Times New Roman"/>
          <w:noProof/>
          <w:szCs w:val="20"/>
          <w:lang w:val="en-GB"/>
        </w:rPr>
        <w:t xml:space="preserve"> </w:t>
      </w:r>
      <w:r w:rsidRPr="00B8512B">
        <w:rPr>
          <w:rFonts w:ascii="Times New Roman" w:eastAsia="Times New Roman" w:hAnsi="Times New Roman" w:cs="Times New Roman"/>
          <w:noProof/>
          <w:szCs w:val="20"/>
          <w:lang w:val="en-GB"/>
        </w:rPr>
        <w:t>the Regulation has been achieved for the benefit of patients.</w:t>
      </w:r>
    </w:p>
    <w:p w14:paraId="6BDC95B2" w14:textId="7921EF8B" w:rsidR="00716425" w:rsidRPr="00B8512B" w:rsidRDefault="00716425" w:rsidP="00716425">
      <w:pPr>
        <w:rPr>
          <w:rFonts w:ascii="Times New Roman" w:eastAsia="Times New Roman" w:hAnsi="Times New Roman" w:cs="Times New Roman"/>
          <w:noProof/>
          <w:szCs w:val="20"/>
          <w:lang w:val="en-GB"/>
        </w:rPr>
      </w:pPr>
      <w:r w:rsidRPr="00B8512B">
        <w:rPr>
          <w:rFonts w:ascii="Times New Roman" w:hAnsi="Times New Roman" w:cs="Times New Roman"/>
          <w:noProof/>
          <w:lang w:val="en-IE"/>
        </w:rPr>
        <w:t xml:space="preserve">The Directive has had a substantial impact in the area of rare diseases with the creation of the </w:t>
      </w:r>
      <w:r w:rsidR="00B2250D" w:rsidRPr="00B8512B">
        <w:rPr>
          <w:rFonts w:ascii="Times New Roman" w:hAnsi="Times New Roman" w:cs="Times New Roman"/>
          <w:noProof/>
          <w:lang w:val="en-IE"/>
        </w:rPr>
        <w:t>ERN</w:t>
      </w:r>
      <w:r w:rsidRPr="00B8512B">
        <w:rPr>
          <w:rFonts w:ascii="Times New Roman" w:hAnsi="Times New Roman" w:cs="Times New Roman"/>
          <w:noProof/>
          <w:lang w:val="en-IE"/>
        </w:rPr>
        <w:t>s to support the diagnosis and treatment of rare disease patients</w:t>
      </w:r>
      <w:r w:rsidR="00CC1A76">
        <w:rPr>
          <w:rFonts w:ascii="Times New Roman" w:hAnsi="Times New Roman" w:cs="Times New Roman"/>
          <w:noProof/>
          <w:lang w:val="en-IE"/>
        </w:rPr>
        <w:t>. The ERNs</w:t>
      </w:r>
      <w:r w:rsidR="003E7882">
        <w:rPr>
          <w:rFonts w:ascii="Times New Roman" w:hAnsi="Times New Roman" w:cs="Times New Roman"/>
          <w:noProof/>
          <w:lang w:val="en-IE"/>
        </w:rPr>
        <w:t xml:space="preserve"> facilitate knowledge generation and sharing</w:t>
      </w:r>
      <w:r w:rsidR="00150848">
        <w:rPr>
          <w:rFonts w:ascii="Times New Roman" w:hAnsi="Times New Roman" w:cs="Times New Roman"/>
          <w:noProof/>
          <w:lang w:val="en-IE"/>
        </w:rPr>
        <w:t>,</w:t>
      </w:r>
      <w:r w:rsidR="003E7882">
        <w:rPr>
          <w:rFonts w:ascii="Times New Roman" w:hAnsi="Times New Roman" w:cs="Times New Roman"/>
          <w:noProof/>
          <w:lang w:val="en-IE"/>
        </w:rPr>
        <w:t xml:space="preserve"> and </w:t>
      </w:r>
      <w:r w:rsidR="00CC1A76">
        <w:rPr>
          <w:rFonts w:ascii="Times New Roman" w:hAnsi="Times New Roman" w:cs="Times New Roman"/>
          <w:noProof/>
          <w:lang w:val="en-IE"/>
        </w:rPr>
        <w:t xml:space="preserve">support </w:t>
      </w:r>
      <w:r w:rsidR="003E7882">
        <w:rPr>
          <w:rFonts w:ascii="Times New Roman" w:hAnsi="Times New Roman" w:cs="Times New Roman"/>
          <w:noProof/>
          <w:lang w:val="en-IE"/>
        </w:rPr>
        <w:t>clinical research</w:t>
      </w:r>
      <w:r w:rsidRPr="00B8512B">
        <w:rPr>
          <w:rFonts w:ascii="Times New Roman" w:hAnsi="Times New Roman" w:cs="Times New Roman"/>
          <w:noProof/>
          <w:lang w:val="en-IE"/>
        </w:rPr>
        <w:t xml:space="preserve">. However, </w:t>
      </w:r>
      <w:r w:rsidR="003E7882">
        <w:rPr>
          <w:rFonts w:ascii="Times New Roman" w:hAnsi="Times New Roman" w:cs="Times New Roman"/>
          <w:noProof/>
          <w:lang w:val="en-IE"/>
        </w:rPr>
        <w:t xml:space="preserve">to ensure </w:t>
      </w:r>
      <w:r w:rsidRPr="00B8512B">
        <w:rPr>
          <w:rFonts w:ascii="Times New Roman" w:eastAsia="Times New Roman" w:hAnsi="Times New Roman" w:cs="Times New Roman"/>
          <w:noProof/>
          <w:szCs w:val="20"/>
          <w:lang w:val="en-GB"/>
        </w:rPr>
        <w:t>the</w:t>
      </w:r>
      <w:r w:rsidR="00150848">
        <w:rPr>
          <w:rFonts w:ascii="Times New Roman" w:eastAsia="Times New Roman" w:hAnsi="Times New Roman" w:cs="Times New Roman"/>
          <w:noProof/>
          <w:szCs w:val="20"/>
          <w:lang w:val="en-GB"/>
        </w:rPr>
        <w:t>ir</w:t>
      </w:r>
      <w:r w:rsidRPr="00B8512B">
        <w:rPr>
          <w:rFonts w:ascii="Times New Roman" w:eastAsia="Times New Roman" w:hAnsi="Times New Roman" w:cs="Times New Roman"/>
          <w:noProof/>
          <w:szCs w:val="20"/>
          <w:lang w:val="en-GB"/>
        </w:rPr>
        <w:t xml:space="preserve"> </w:t>
      </w:r>
      <w:r w:rsidR="003E7882">
        <w:rPr>
          <w:rFonts w:ascii="Times New Roman" w:eastAsia="Times New Roman" w:hAnsi="Times New Roman" w:cs="Times New Roman"/>
          <w:noProof/>
          <w:szCs w:val="20"/>
          <w:lang w:val="en-GB"/>
        </w:rPr>
        <w:t>long-term sustainability</w:t>
      </w:r>
      <w:r w:rsidR="00150848">
        <w:rPr>
          <w:rFonts w:ascii="Times New Roman" w:eastAsia="Times New Roman" w:hAnsi="Times New Roman" w:cs="Times New Roman"/>
          <w:noProof/>
          <w:szCs w:val="20"/>
          <w:lang w:val="en-GB"/>
        </w:rPr>
        <w:t>,</w:t>
      </w:r>
      <w:r w:rsidR="003E7882">
        <w:rPr>
          <w:rFonts w:ascii="Times New Roman" w:eastAsia="Times New Roman" w:hAnsi="Times New Roman" w:cs="Times New Roman"/>
          <w:noProof/>
          <w:szCs w:val="20"/>
          <w:lang w:val="en-GB"/>
        </w:rPr>
        <w:t xml:space="preserve"> further improvements are necessary to integrate the ERNs</w:t>
      </w:r>
      <w:r w:rsidRPr="00B8512B">
        <w:rPr>
          <w:rFonts w:ascii="Times New Roman" w:eastAsia="Times New Roman" w:hAnsi="Times New Roman" w:cs="Times New Roman"/>
          <w:noProof/>
          <w:szCs w:val="20"/>
          <w:lang w:val="en-GB"/>
        </w:rPr>
        <w:t xml:space="preserve"> in national health systems and </w:t>
      </w:r>
      <w:r w:rsidR="003E7882">
        <w:rPr>
          <w:rFonts w:ascii="Times New Roman" w:eastAsia="Times New Roman" w:hAnsi="Times New Roman" w:cs="Times New Roman"/>
          <w:noProof/>
          <w:szCs w:val="20"/>
          <w:lang w:val="en-GB"/>
        </w:rPr>
        <w:t xml:space="preserve">to create </w:t>
      </w:r>
      <w:r w:rsidRPr="00B8512B">
        <w:rPr>
          <w:rFonts w:ascii="Times New Roman" w:eastAsia="Times New Roman" w:hAnsi="Times New Roman" w:cs="Times New Roman"/>
          <w:noProof/>
          <w:szCs w:val="20"/>
          <w:lang w:val="en-GB"/>
        </w:rPr>
        <w:t xml:space="preserve">clear pathways </w:t>
      </w:r>
      <w:r w:rsidR="00150848">
        <w:rPr>
          <w:rFonts w:ascii="Times New Roman" w:eastAsia="Times New Roman" w:hAnsi="Times New Roman" w:cs="Times New Roman"/>
          <w:noProof/>
          <w:szCs w:val="20"/>
          <w:lang w:val="en-GB"/>
        </w:rPr>
        <w:t xml:space="preserve">for </w:t>
      </w:r>
      <w:r w:rsidR="00150848" w:rsidRPr="00B8512B">
        <w:rPr>
          <w:rFonts w:ascii="Times New Roman" w:eastAsia="Times New Roman" w:hAnsi="Times New Roman" w:cs="Times New Roman"/>
          <w:noProof/>
          <w:szCs w:val="20"/>
          <w:lang w:val="en-GB"/>
        </w:rPr>
        <w:t>patient</w:t>
      </w:r>
      <w:r w:rsidR="00150848">
        <w:rPr>
          <w:rFonts w:ascii="Times New Roman" w:eastAsia="Times New Roman" w:hAnsi="Times New Roman" w:cs="Times New Roman"/>
          <w:noProof/>
          <w:szCs w:val="20"/>
          <w:lang w:val="en-GB"/>
        </w:rPr>
        <w:t>s</w:t>
      </w:r>
      <w:r w:rsidR="00150848" w:rsidRPr="00B8512B">
        <w:rPr>
          <w:rFonts w:ascii="Times New Roman" w:eastAsia="Times New Roman" w:hAnsi="Times New Roman" w:cs="Times New Roman"/>
          <w:noProof/>
          <w:szCs w:val="20"/>
          <w:lang w:val="en-GB"/>
        </w:rPr>
        <w:t xml:space="preserve"> </w:t>
      </w:r>
      <w:r w:rsidRPr="00B8512B">
        <w:rPr>
          <w:rFonts w:ascii="Times New Roman" w:eastAsia="Times New Roman" w:hAnsi="Times New Roman" w:cs="Times New Roman"/>
          <w:noProof/>
          <w:szCs w:val="20"/>
          <w:lang w:val="en-GB"/>
        </w:rPr>
        <w:t xml:space="preserve">to access the ERNs at national level. In addition, the </w:t>
      </w:r>
      <w:r w:rsidR="002219E8" w:rsidRPr="002219E8">
        <w:rPr>
          <w:rFonts w:ascii="Times New Roman" w:eastAsia="Times New Roman" w:hAnsi="Times New Roman" w:cs="Times New Roman"/>
          <w:noProof/>
          <w:szCs w:val="20"/>
          <w:lang w:val="en-GB"/>
        </w:rPr>
        <w:t>Cli</w:t>
      </w:r>
      <w:r w:rsidR="002219E8">
        <w:rPr>
          <w:rFonts w:ascii="Times New Roman" w:eastAsia="Times New Roman" w:hAnsi="Times New Roman" w:cs="Times New Roman"/>
          <w:noProof/>
          <w:szCs w:val="20"/>
          <w:lang w:val="en-GB"/>
        </w:rPr>
        <w:t>nical Patient Management System</w:t>
      </w:r>
      <w:r w:rsidRPr="00B8512B">
        <w:rPr>
          <w:rFonts w:ascii="Times New Roman" w:eastAsia="Times New Roman" w:hAnsi="Times New Roman" w:cs="Times New Roman"/>
          <w:noProof/>
          <w:szCs w:val="20"/>
          <w:lang w:val="en-GB"/>
        </w:rPr>
        <w:t xml:space="preserve"> supporting the virtual medical expert panels </w:t>
      </w:r>
      <w:r w:rsidR="008814D3">
        <w:rPr>
          <w:rFonts w:ascii="Times New Roman" w:eastAsia="Times New Roman" w:hAnsi="Times New Roman" w:cs="Times New Roman"/>
          <w:noProof/>
          <w:szCs w:val="20"/>
          <w:lang w:val="en-GB"/>
        </w:rPr>
        <w:t xml:space="preserve">requires further </w:t>
      </w:r>
      <w:r w:rsidR="00A6226A">
        <w:rPr>
          <w:rFonts w:ascii="Times New Roman" w:eastAsia="Times New Roman" w:hAnsi="Times New Roman" w:cs="Times New Roman"/>
          <w:noProof/>
          <w:szCs w:val="20"/>
          <w:lang w:val="en-GB"/>
        </w:rPr>
        <w:t xml:space="preserve">technical </w:t>
      </w:r>
      <w:r w:rsidR="008814D3">
        <w:rPr>
          <w:rFonts w:ascii="Times New Roman" w:eastAsia="Times New Roman" w:hAnsi="Times New Roman" w:cs="Times New Roman"/>
          <w:noProof/>
          <w:szCs w:val="20"/>
          <w:lang w:val="en-GB"/>
        </w:rPr>
        <w:t>development</w:t>
      </w:r>
      <w:r w:rsidR="00A6226A">
        <w:rPr>
          <w:rFonts w:ascii="Times New Roman" w:eastAsia="Times New Roman" w:hAnsi="Times New Roman" w:cs="Times New Roman"/>
          <w:noProof/>
          <w:szCs w:val="20"/>
          <w:lang w:val="en-GB"/>
        </w:rPr>
        <w:t xml:space="preserve"> </w:t>
      </w:r>
      <w:r w:rsidRPr="00B8512B">
        <w:rPr>
          <w:rFonts w:ascii="Times New Roman" w:eastAsia="Times New Roman" w:hAnsi="Times New Roman" w:cs="Times New Roman"/>
          <w:noProof/>
          <w:szCs w:val="20"/>
          <w:lang w:val="en-GB"/>
        </w:rPr>
        <w:t xml:space="preserve">and </w:t>
      </w:r>
      <w:r w:rsidR="003E7882">
        <w:rPr>
          <w:rFonts w:ascii="Times New Roman" w:eastAsia="Times New Roman" w:hAnsi="Times New Roman" w:cs="Times New Roman"/>
          <w:noProof/>
          <w:szCs w:val="20"/>
          <w:lang w:val="en-GB"/>
        </w:rPr>
        <w:t xml:space="preserve">the absence of </w:t>
      </w:r>
      <w:r w:rsidR="00150848">
        <w:rPr>
          <w:rFonts w:ascii="Times New Roman" w:eastAsia="Times New Roman" w:hAnsi="Times New Roman" w:cs="Times New Roman"/>
          <w:noProof/>
          <w:szCs w:val="20"/>
          <w:lang w:val="en-GB"/>
        </w:rPr>
        <w:t xml:space="preserve">a </w:t>
      </w:r>
      <w:r w:rsidRPr="00B8512B">
        <w:rPr>
          <w:rFonts w:ascii="Times New Roman" w:eastAsia="Times New Roman" w:hAnsi="Times New Roman" w:cs="Times New Roman"/>
          <w:noProof/>
          <w:szCs w:val="20"/>
          <w:lang w:val="en-GB"/>
        </w:rPr>
        <w:t>separate invoicing and reimbursement mechan</w:t>
      </w:r>
      <w:r w:rsidR="003E7882">
        <w:rPr>
          <w:rFonts w:ascii="Times New Roman" w:eastAsia="Times New Roman" w:hAnsi="Times New Roman" w:cs="Times New Roman"/>
          <w:noProof/>
          <w:szCs w:val="20"/>
          <w:lang w:val="en-GB"/>
        </w:rPr>
        <w:t>ism for ERN healthcare providers</w:t>
      </w:r>
      <w:r w:rsidRPr="00B8512B">
        <w:rPr>
          <w:rFonts w:ascii="Times New Roman" w:eastAsia="Times New Roman" w:hAnsi="Times New Roman" w:cs="Times New Roman"/>
          <w:noProof/>
          <w:szCs w:val="20"/>
          <w:lang w:val="en-GB"/>
        </w:rPr>
        <w:t xml:space="preserve"> participating in the virtual expert panels</w:t>
      </w:r>
      <w:r w:rsidR="00A6226A">
        <w:rPr>
          <w:rFonts w:ascii="Times New Roman" w:eastAsia="Times New Roman" w:hAnsi="Times New Roman" w:cs="Times New Roman"/>
          <w:noProof/>
          <w:szCs w:val="20"/>
          <w:lang w:val="en-GB"/>
        </w:rPr>
        <w:t xml:space="preserve"> is an obstacle for their greater use</w:t>
      </w:r>
      <w:r w:rsidRPr="00B8512B">
        <w:rPr>
          <w:rFonts w:ascii="Times New Roman" w:eastAsia="Times New Roman" w:hAnsi="Times New Roman" w:cs="Times New Roman"/>
          <w:noProof/>
          <w:szCs w:val="20"/>
          <w:lang w:val="en-GB"/>
        </w:rPr>
        <w:t>. The EU funding str</w:t>
      </w:r>
      <w:r w:rsidR="003E7882">
        <w:rPr>
          <w:rFonts w:ascii="Times New Roman" w:eastAsia="Times New Roman" w:hAnsi="Times New Roman" w:cs="Times New Roman"/>
          <w:noProof/>
          <w:szCs w:val="20"/>
          <w:lang w:val="en-GB"/>
        </w:rPr>
        <w:t xml:space="preserve">eams </w:t>
      </w:r>
      <w:r w:rsidR="00A6226A">
        <w:rPr>
          <w:rFonts w:ascii="Times New Roman" w:eastAsia="Times New Roman" w:hAnsi="Times New Roman" w:cs="Times New Roman"/>
          <w:noProof/>
          <w:szCs w:val="20"/>
          <w:lang w:val="en-GB"/>
        </w:rPr>
        <w:t xml:space="preserve">for ERNs support </w:t>
      </w:r>
      <w:r w:rsidR="003E7882">
        <w:rPr>
          <w:rFonts w:ascii="Times New Roman" w:eastAsia="Times New Roman" w:hAnsi="Times New Roman" w:cs="Times New Roman"/>
          <w:noProof/>
          <w:szCs w:val="20"/>
          <w:lang w:val="en-GB"/>
        </w:rPr>
        <w:t xml:space="preserve">were </w:t>
      </w:r>
      <w:r w:rsidR="00444F96">
        <w:rPr>
          <w:rFonts w:ascii="Times New Roman" w:eastAsia="Times New Roman" w:hAnsi="Times New Roman" w:cs="Times New Roman"/>
          <w:noProof/>
          <w:szCs w:val="20"/>
          <w:lang w:val="en-GB"/>
        </w:rPr>
        <w:t xml:space="preserve">also </w:t>
      </w:r>
      <w:r w:rsidR="003E7882">
        <w:rPr>
          <w:rFonts w:ascii="Times New Roman" w:eastAsia="Times New Roman" w:hAnsi="Times New Roman" w:cs="Times New Roman"/>
          <w:noProof/>
          <w:szCs w:val="20"/>
          <w:lang w:val="en-GB"/>
        </w:rPr>
        <w:t>administratively complex</w:t>
      </w:r>
      <w:r w:rsidRPr="00B8512B">
        <w:rPr>
          <w:rFonts w:ascii="Times New Roman" w:eastAsia="Times New Roman" w:hAnsi="Times New Roman" w:cs="Times New Roman"/>
          <w:noProof/>
          <w:szCs w:val="20"/>
          <w:lang w:val="en-GB"/>
        </w:rPr>
        <w:t>.</w:t>
      </w:r>
    </w:p>
    <w:p w14:paraId="0867B3CC" w14:textId="3B0CD076" w:rsidR="00716425" w:rsidRPr="00B8512B" w:rsidRDefault="00226334" w:rsidP="00716425">
      <w:pPr>
        <w:rPr>
          <w:rFonts w:ascii="Times New Roman" w:hAnsi="Times New Roman" w:cs="Times New Roman"/>
          <w:noProof/>
          <w:lang w:val="en-GB"/>
        </w:rPr>
      </w:pPr>
      <w:r>
        <w:rPr>
          <w:rFonts w:ascii="Times New Roman" w:eastAsia="Times New Roman" w:hAnsi="Times New Roman" w:cs="Times New Roman"/>
          <w:noProof/>
          <w:szCs w:val="20"/>
          <w:lang w:val="en-GB"/>
        </w:rPr>
        <w:t>T</w:t>
      </w:r>
      <w:r w:rsidR="00716425" w:rsidRPr="00B8512B">
        <w:rPr>
          <w:rFonts w:ascii="Times New Roman" w:eastAsia="Times New Roman" w:hAnsi="Times New Roman" w:cs="Times New Roman"/>
          <w:noProof/>
          <w:szCs w:val="20"/>
          <w:lang w:val="en-GB"/>
        </w:rPr>
        <w:t>he Commission has effect</w:t>
      </w:r>
      <w:r>
        <w:rPr>
          <w:rFonts w:ascii="Times New Roman" w:eastAsia="Times New Roman" w:hAnsi="Times New Roman" w:cs="Times New Roman"/>
          <w:noProof/>
          <w:szCs w:val="20"/>
          <w:lang w:val="en-GB"/>
        </w:rPr>
        <w:t>ively encouraged</w:t>
      </w:r>
      <w:r w:rsidR="00716425" w:rsidRPr="00B8512B">
        <w:rPr>
          <w:rFonts w:ascii="Times New Roman" w:eastAsia="Times New Roman" w:hAnsi="Times New Roman" w:cs="Times New Roman"/>
          <w:noProof/>
          <w:szCs w:val="20"/>
          <w:lang w:val="en-GB"/>
        </w:rPr>
        <w:t xml:space="preserve"> cross-border reg</w:t>
      </w:r>
      <w:r>
        <w:rPr>
          <w:rFonts w:ascii="Times New Roman" w:eastAsia="Times New Roman" w:hAnsi="Times New Roman" w:cs="Times New Roman"/>
          <w:noProof/>
          <w:szCs w:val="20"/>
          <w:lang w:val="en-GB"/>
        </w:rPr>
        <w:t xml:space="preserve">ional cooperation in healthcare with the support of the Interreg programme. While the Directive is used to complement other mechanisms for cross-border healthcare, </w:t>
      </w:r>
      <w:r w:rsidR="00716425" w:rsidRPr="00B8512B">
        <w:rPr>
          <w:rFonts w:ascii="Times New Roman" w:eastAsia="Times New Roman" w:hAnsi="Times New Roman" w:cs="Times New Roman"/>
          <w:noProof/>
          <w:szCs w:val="20"/>
          <w:lang w:val="en-GB"/>
        </w:rPr>
        <w:t>there is lim</w:t>
      </w:r>
      <w:r>
        <w:rPr>
          <w:rFonts w:ascii="Times New Roman" w:eastAsia="Times New Roman" w:hAnsi="Times New Roman" w:cs="Times New Roman"/>
          <w:noProof/>
          <w:szCs w:val="20"/>
          <w:lang w:val="en-GB"/>
        </w:rPr>
        <w:t>ited data on its</w:t>
      </w:r>
      <w:r w:rsidR="00716425" w:rsidRPr="00B8512B">
        <w:rPr>
          <w:rFonts w:ascii="Times New Roman" w:eastAsia="Times New Roman" w:hAnsi="Times New Roman" w:cs="Times New Roman"/>
          <w:noProof/>
          <w:szCs w:val="20"/>
          <w:lang w:val="en-GB"/>
        </w:rPr>
        <w:t xml:space="preserve"> impact on patient mobility in border regions</w:t>
      </w:r>
      <w:r w:rsidR="00CC1A76">
        <w:rPr>
          <w:rFonts w:ascii="Times New Roman" w:eastAsia="Times New Roman" w:hAnsi="Times New Roman" w:cs="Times New Roman"/>
          <w:noProof/>
          <w:szCs w:val="20"/>
          <w:lang w:val="en-GB"/>
        </w:rPr>
        <w:t xml:space="preserve">. </w:t>
      </w:r>
      <w:r w:rsidR="00716425" w:rsidRPr="00B8512B">
        <w:rPr>
          <w:rFonts w:ascii="Times New Roman" w:eastAsia="Times New Roman" w:hAnsi="Times New Roman" w:cs="Times New Roman"/>
          <w:noProof/>
          <w:szCs w:val="20"/>
          <w:lang w:val="en-GB"/>
        </w:rPr>
        <w:t>Stakeholders saw a potential role for the Directive as a mechanism to address the growing backlogs of routine treatments</w:t>
      </w:r>
      <w:r w:rsidR="00150848">
        <w:rPr>
          <w:rFonts w:ascii="Times New Roman" w:eastAsia="Times New Roman" w:hAnsi="Times New Roman" w:cs="Times New Roman"/>
          <w:noProof/>
          <w:szCs w:val="20"/>
          <w:lang w:val="en-GB"/>
        </w:rPr>
        <w:t>.</w:t>
      </w:r>
    </w:p>
    <w:p w14:paraId="0D693C67" w14:textId="579A6A20" w:rsidR="00716425" w:rsidRPr="00B8512B" w:rsidRDefault="00716425" w:rsidP="00716425">
      <w:pPr>
        <w:rPr>
          <w:rFonts w:ascii="Times New Roman" w:hAnsi="Times New Roman" w:cs="Times New Roman"/>
          <w:noProof/>
          <w:lang w:val="en-IE"/>
        </w:rPr>
      </w:pPr>
      <w:r w:rsidRPr="00B8512B">
        <w:rPr>
          <w:rFonts w:ascii="Times New Roman" w:hAnsi="Times New Roman" w:cs="Times New Roman"/>
          <w:noProof/>
          <w:lang w:val="en-IE"/>
        </w:rPr>
        <w:t xml:space="preserve">While outside the scope of this evaluation, the Directive has played a crucial role to deepen European cooperation between health systems in the area of </w:t>
      </w:r>
      <w:r w:rsidR="00444F96">
        <w:rPr>
          <w:rFonts w:ascii="Times New Roman" w:hAnsi="Times New Roman" w:cs="Times New Roman"/>
          <w:noProof/>
          <w:lang w:val="en-IE"/>
        </w:rPr>
        <w:t>health technology assessment</w:t>
      </w:r>
      <w:r w:rsidR="00150848">
        <w:rPr>
          <w:rFonts w:ascii="Times New Roman" w:hAnsi="Times New Roman" w:cs="Times New Roman"/>
          <w:noProof/>
          <w:lang w:val="en-IE"/>
        </w:rPr>
        <w:t>,</w:t>
      </w:r>
      <w:r w:rsidRPr="00B8512B">
        <w:rPr>
          <w:rFonts w:ascii="Times New Roman" w:hAnsi="Times New Roman" w:cs="Times New Roman"/>
          <w:noProof/>
          <w:lang w:val="en-IE"/>
        </w:rPr>
        <w:t xml:space="preserve"> leading to the adoption of a separate Regulation in 2021, and also in eHealth, leading to the creation of a future </w:t>
      </w:r>
      <w:r w:rsidR="00444750" w:rsidRPr="00444750">
        <w:rPr>
          <w:rFonts w:ascii="Times New Roman" w:hAnsi="Times New Roman" w:cs="Times New Roman"/>
          <w:noProof/>
          <w:lang w:val="en-IE"/>
        </w:rPr>
        <w:t>European Health Data Space</w:t>
      </w:r>
      <w:r w:rsidRPr="00B8512B">
        <w:rPr>
          <w:rFonts w:ascii="Times New Roman" w:hAnsi="Times New Roman" w:cs="Times New Roman"/>
          <w:noProof/>
          <w:lang w:val="en-IE"/>
        </w:rPr>
        <w:t>.</w:t>
      </w:r>
    </w:p>
    <w:p w14:paraId="702BF2B3" w14:textId="697C9E2C" w:rsidR="00D61ED1" w:rsidRDefault="00716425" w:rsidP="00716425">
      <w:pPr>
        <w:rPr>
          <w:rFonts w:ascii="Times New Roman" w:hAnsi="Times New Roman" w:cs="Times New Roman"/>
          <w:noProof/>
          <w:lang w:val="en-IE"/>
        </w:rPr>
      </w:pPr>
      <w:r w:rsidRPr="00B8512B">
        <w:rPr>
          <w:rFonts w:ascii="Times New Roman" w:hAnsi="Times New Roman" w:cs="Times New Roman"/>
          <w:noProof/>
          <w:lang w:val="en-IE"/>
        </w:rPr>
        <w:t xml:space="preserve">Overall, the evaluation has found that, while cross-border patient mobility remains low, </w:t>
      </w:r>
      <w:r w:rsidRPr="00B8512B">
        <w:rPr>
          <w:rFonts w:ascii="Times New Roman" w:hAnsi="Times New Roman" w:cs="Times New Roman"/>
          <w:noProof/>
          <w:lang w:val="en-GB"/>
        </w:rPr>
        <w:t>t</w:t>
      </w:r>
      <w:r w:rsidRPr="00B8512B">
        <w:rPr>
          <w:rFonts w:ascii="Times New Roman" w:hAnsi="Times New Roman" w:cs="Times New Roman"/>
          <w:noProof/>
          <w:lang w:val="en-IE"/>
        </w:rPr>
        <w:t xml:space="preserve">he Directive has provided added-value and its objectives remain relevant to meet patient needs to access healthcare in another Member State. The Directive has been particularly successful at encouraging cooperation between health systems, particularly in the areas of rare diseases, </w:t>
      </w:r>
      <w:r w:rsidR="008505E2" w:rsidRPr="00B8512B">
        <w:rPr>
          <w:rFonts w:ascii="Times New Roman" w:hAnsi="Times New Roman" w:cs="Times New Roman"/>
          <w:noProof/>
          <w:lang w:val="en-IE"/>
        </w:rPr>
        <w:t>e</w:t>
      </w:r>
      <w:r w:rsidR="008505E2">
        <w:rPr>
          <w:rFonts w:ascii="Times New Roman" w:hAnsi="Times New Roman" w:cs="Times New Roman"/>
          <w:noProof/>
          <w:lang w:val="en-IE"/>
        </w:rPr>
        <w:t>H</w:t>
      </w:r>
      <w:r w:rsidR="008505E2" w:rsidRPr="00B8512B">
        <w:rPr>
          <w:rFonts w:ascii="Times New Roman" w:hAnsi="Times New Roman" w:cs="Times New Roman"/>
          <w:noProof/>
          <w:lang w:val="en-IE"/>
        </w:rPr>
        <w:t>ealth,</w:t>
      </w:r>
      <w:r w:rsidRPr="00B8512B">
        <w:rPr>
          <w:rFonts w:ascii="Times New Roman" w:hAnsi="Times New Roman" w:cs="Times New Roman"/>
          <w:noProof/>
          <w:lang w:val="en-IE"/>
        </w:rPr>
        <w:t xml:space="preserve"> and health technology assessment.</w:t>
      </w:r>
    </w:p>
    <w:p w14:paraId="0FDE42AF" w14:textId="38351C4E" w:rsidR="007509DC" w:rsidRDefault="00716425" w:rsidP="00716425">
      <w:pPr>
        <w:rPr>
          <w:rFonts w:ascii="Times New Roman" w:hAnsi="Times New Roman" w:cs="Times New Roman"/>
          <w:noProof/>
          <w:lang w:val="en-IE"/>
        </w:rPr>
      </w:pPr>
      <w:r w:rsidRPr="00B8512B">
        <w:rPr>
          <w:rFonts w:ascii="Times New Roman" w:hAnsi="Times New Roman" w:cs="Times New Roman"/>
          <w:noProof/>
          <w:lang w:val="en-IE"/>
        </w:rPr>
        <w:t>However, the problems raised in the evaluation mean tha</w:t>
      </w:r>
      <w:r w:rsidR="00D61ED1">
        <w:rPr>
          <w:rFonts w:ascii="Times New Roman" w:hAnsi="Times New Roman" w:cs="Times New Roman"/>
          <w:noProof/>
          <w:lang w:val="en-IE"/>
        </w:rPr>
        <w:t>t the Directive’s objectives are</w:t>
      </w:r>
      <w:r w:rsidRPr="00B8512B">
        <w:rPr>
          <w:rFonts w:ascii="Times New Roman" w:hAnsi="Times New Roman" w:cs="Times New Roman"/>
          <w:noProof/>
          <w:lang w:val="en-IE"/>
        </w:rPr>
        <w:t xml:space="preserve"> </w:t>
      </w:r>
      <w:r w:rsidR="004069DC">
        <w:rPr>
          <w:rFonts w:ascii="Times New Roman" w:hAnsi="Times New Roman" w:cs="Times New Roman"/>
          <w:noProof/>
          <w:lang w:val="en-IE"/>
        </w:rPr>
        <w:t xml:space="preserve">not </w:t>
      </w:r>
      <w:r w:rsidRPr="00B8512B">
        <w:rPr>
          <w:rFonts w:ascii="Times New Roman" w:hAnsi="Times New Roman" w:cs="Times New Roman"/>
          <w:noProof/>
          <w:lang w:val="en-IE"/>
        </w:rPr>
        <w:t>yet being fully realised for the benefit of patients.</w:t>
      </w:r>
    </w:p>
    <w:p w14:paraId="688BBF2A" w14:textId="77777777" w:rsidR="001F7388" w:rsidRPr="00B8512B" w:rsidRDefault="001F7388" w:rsidP="00716425">
      <w:pPr>
        <w:rPr>
          <w:rFonts w:ascii="Times New Roman" w:hAnsi="Times New Roman" w:cs="Times New Roman"/>
          <w:noProof/>
          <w:lang w:val="en-IE"/>
        </w:rPr>
      </w:pPr>
    </w:p>
    <w:p w14:paraId="218D1444" w14:textId="4079094F" w:rsidR="00716425" w:rsidRPr="00B8512B" w:rsidRDefault="00C26586" w:rsidP="00716425">
      <w:pPr>
        <w:keepNext/>
        <w:keepLines/>
        <w:spacing w:before="240" w:after="0"/>
        <w:outlineLvl w:val="0"/>
        <w:rPr>
          <w:rFonts w:ascii="Times New Roman" w:eastAsiaTheme="majorEastAsia" w:hAnsi="Times New Roman" w:cs="Times New Roman"/>
          <w:b/>
          <w:noProof/>
          <w:szCs w:val="32"/>
          <w:lang w:val="en-IE"/>
        </w:rPr>
      </w:pPr>
      <w:r w:rsidRPr="00B8512B">
        <w:rPr>
          <w:rFonts w:ascii="Times New Roman" w:eastAsiaTheme="majorEastAsia" w:hAnsi="Times New Roman" w:cs="Times New Roman"/>
          <w:b/>
          <w:noProof/>
          <w:szCs w:val="32"/>
          <w:lang w:val="en-IE"/>
        </w:rPr>
        <w:t>Conclusions</w:t>
      </w:r>
      <w:r w:rsidR="00CC1A76">
        <w:rPr>
          <w:rFonts w:ascii="Times New Roman" w:eastAsiaTheme="majorEastAsia" w:hAnsi="Times New Roman" w:cs="Times New Roman"/>
          <w:b/>
          <w:noProof/>
          <w:szCs w:val="32"/>
          <w:lang w:val="en-IE"/>
        </w:rPr>
        <w:t xml:space="preserve"> and </w:t>
      </w:r>
      <w:r w:rsidR="004069DC">
        <w:rPr>
          <w:rFonts w:ascii="Times New Roman" w:eastAsiaTheme="majorEastAsia" w:hAnsi="Times New Roman" w:cs="Times New Roman"/>
          <w:b/>
          <w:noProof/>
          <w:szCs w:val="32"/>
          <w:lang w:val="en-IE"/>
        </w:rPr>
        <w:t>w</w:t>
      </w:r>
      <w:r w:rsidR="00CC1A76">
        <w:rPr>
          <w:rFonts w:ascii="Times New Roman" w:eastAsiaTheme="majorEastAsia" w:hAnsi="Times New Roman" w:cs="Times New Roman"/>
          <w:b/>
          <w:noProof/>
          <w:szCs w:val="32"/>
          <w:lang w:val="en-IE"/>
        </w:rPr>
        <w:t xml:space="preserve">ay </w:t>
      </w:r>
      <w:r w:rsidR="004069DC">
        <w:rPr>
          <w:rFonts w:ascii="Times New Roman" w:eastAsiaTheme="majorEastAsia" w:hAnsi="Times New Roman" w:cs="Times New Roman"/>
          <w:b/>
          <w:noProof/>
          <w:szCs w:val="32"/>
          <w:lang w:val="en-IE"/>
        </w:rPr>
        <w:t>f</w:t>
      </w:r>
      <w:r w:rsidR="00CC1A76">
        <w:rPr>
          <w:rFonts w:ascii="Times New Roman" w:eastAsiaTheme="majorEastAsia" w:hAnsi="Times New Roman" w:cs="Times New Roman"/>
          <w:b/>
          <w:noProof/>
          <w:szCs w:val="32"/>
          <w:lang w:val="en-IE"/>
        </w:rPr>
        <w:t>orward</w:t>
      </w:r>
    </w:p>
    <w:p w14:paraId="3C4F3EBC" w14:textId="77777777" w:rsidR="00716425" w:rsidRPr="00B8512B" w:rsidRDefault="00716425" w:rsidP="007509DC">
      <w:pPr>
        <w:rPr>
          <w:rFonts w:ascii="Times New Roman" w:hAnsi="Times New Roman" w:cs="Times New Roman"/>
          <w:noProof/>
          <w:lang w:val="en-IE"/>
        </w:rPr>
      </w:pPr>
    </w:p>
    <w:p w14:paraId="7E5AF22B" w14:textId="4BF7FE12" w:rsidR="00691CB4" w:rsidRDefault="00691CB4" w:rsidP="00D67273">
      <w:pPr>
        <w:rPr>
          <w:rFonts w:ascii="Times New Roman" w:hAnsi="Times New Roman" w:cs="Times New Roman"/>
          <w:noProof/>
          <w:lang w:val="en-IE"/>
        </w:rPr>
      </w:pPr>
      <w:r w:rsidRPr="00B8512B">
        <w:rPr>
          <w:rFonts w:ascii="Times New Roman" w:hAnsi="Times New Roman" w:cs="Times New Roman"/>
          <w:noProof/>
          <w:lang w:val="en-IE"/>
        </w:rPr>
        <w:t>Maximising the potential of the Directive and strengthening coope</w:t>
      </w:r>
      <w:r>
        <w:rPr>
          <w:rFonts w:ascii="Times New Roman" w:hAnsi="Times New Roman" w:cs="Times New Roman"/>
          <w:noProof/>
          <w:lang w:val="en-IE"/>
        </w:rPr>
        <w:t xml:space="preserve">ration between Member States in </w:t>
      </w:r>
      <w:r w:rsidRPr="00B8512B">
        <w:rPr>
          <w:rFonts w:ascii="Times New Roman" w:hAnsi="Times New Roman" w:cs="Times New Roman"/>
          <w:noProof/>
          <w:lang w:val="en-IE"/>
        </w:rPr>
        <w:t xml:space="preserve">cross-border healthcare will be </w:t>
      </w:r>
      <w:r w:rsidR="00405B45">
        <w:rPr>
          <w:rFonts w:ascii="Times New Roman" w:hAnsi="Times New Roman" w:cs="Times New Roman"/>
          <w:noProof/>
          <w:lang w:val="en-IE"/>
        </w:rPr>
        <w:t xml:space="preserve">a further </w:t>
      </w:r>
      <w:r>
        <w:rPr>
          <w:rFonts w:ascii="Times New Roman" w:hAnsi="Times New Roman" w:cs="Times New Roman"/>
          <w:noProof/>
          <w:lang w:val="en-IE"/>
        </w:rPr>
        <w:t xml:space="preserve">step in </w:t>
      </w:r>
      <w:r w:rsidRPr="00B8512B">
        <w:rPr>
          <w:rFonts w:ascii="Times New Roman" w:hAnsi="Times New Roman" w:cs="Times New Roman"/>
          <w:noProof/>
          <w:lang w:val="en-IE"/>
        </w:rPr>
        <w:t>buildin</w:t>
      </w:r>
      <w:r>
        <w:rPr>
          <w:rFonts w:ascii="Times New Roman" w:hAnsi="Times New Roman" w:cs="Times New Roman"/>
          <w:noProof/>
          <w:lang w:val="en-IE"/>
        </w:rPr>
        <w:t>g</w:t>
      </w:r>
      <w:r w:rsidRPr="00B8512B">
        <w:rPr>
          <w:rFonts w:ascii="Times New Roman" w:hAnsi="Times New Roman" w:cs="Times New Roman"/>
          <w:noProof/>
          <w:lang w:val="en-IE"/>
        </w:rPr>
        <w:t xml:space="preserve"> the European Health Union</w:t>
      </w:r>
      <w:r>
        <w:rPr>
          <w:rFonts w:ascii="Times New Roman" w:hAnsi="Times New Roman" w:cs="Times New Roman"/>
          <w:noProof/>
          <w:lang w:val="en-IE"/>
        </w:rPr>
        <w:t>.</w:t>
      </w:r>
    </w:p>
    <w:p w14:paraId="29C19015" w14:textId="6F2AA375" w:rsidR="00716425" w:rsidRDefault="0055734C" w:rsidP="007509DC">
      <w:pPr>
        <w:rPr>
          <w:rFonts w:ascii="Times New Roman" w:hAnsi="Times New Roman" w:cs="Times New Roman"/>
          <w:noProof/>
          <w:lang w:val="en-IE"/>
        </w:rPr>
      </w:pPr>
      <w:r>
        <w:rPr>
          <w:rFonts w:ascii="Times New Roman" w:hAnsi="Times New Roman" w:cs="Times New Roman"/>
          <w:noProof/>
          <w:lang w:val="en-IE"/>
        </w:rPr>
        <w:t>T</w:t>
      </w:r>
      <w:r w:rsidR="00716425" w:rsidRPr="00B8512B">
        <w:rPr>
          <w:rFonts w:ascii="Times New Roman" w:hAnsi="Times New Roman" w:cs="Times New Roman"/>
          <w:noProof/>
          <w:lang w:val="en-IE"/>
        </w:rPr>
        <w:t xml:space="preserve">his report and the evaluation outcomes show that important issues </w:t>
      </w:r>
      <w:r w:rsidR="009A4CA9" w:rsidRPr="00B8512B">
        <w:rPr>
          <w:rFonts w:ascii="Times New Roman" w:hAnsi="Times New Roman" w:cs="Times New Roman"/>
          <w:noProof/>
          <w:lang w:val="en-IE"/>
        </w:rPr>
        <w:t xml:space="preserve">persist </w:t>
      </w:r>
      <w:r w:rsidR="00716425" w:rsidRPr="00B8512B">
        <w:rPr>
          <w:rFonts w:ascii="Times New Roman" w:hAnsi="Times New Roman" w:cs="Times New Roman"/>
          <w:noProof/>
          <w:lang w:val="en-IE"/>
        </w:rPr>
        <w:t xml:space="preserve">with regard to the </w:t>
      </w:r>
      <w:r w:rsidR="00716425" w:rsidRPr="008810BB">
        <w:rPr>
          <w:rFonts w:ascii="Times New Roman" w:hAnsi="Times New Roman" w:cs="Times New Roman"/>
          <w:b/>
          <w:noProof/>
          <w:lang w:val="en-IE"/>
        </w:rPr>
        <w:t>consistent application of the Directive</w:t>
      </w:r>
      <w:r w:rsidR="00716425" w:rsidRPr="00B8512B">
        <w:rPr>
          <w:rFonts w:ascii="Times New Roman" w:hAnsi="Times New Roman" w:cs="Times New Roman"/>
          <w:noProof/>
          <w:lang w:val="en-IE"/>
        </w:rPr>
        <w:t xml:space="preserve"> </w:t>
      </w:r>
      <w:r w:rsidR="00716425" w:rsidRPr="008810BB">
        <w:rPr>
          <w:rFonts w:ascii="Times New Roman" w:hAnsi="Times New Roman" w:cs="Times New Roman"/>
          <w:b/>
          <w:noProof/>
          <w:lang w:val="en-IE"/>
        </w:rPr>
        <w:t>in Member States</w:t>
      </w:r>
      <w:r w:rsidR="008814D3">
        <w:rPr>
          <w:rFonts w:ascii="Times New Roman" w:hAnsi="Times New Roman" w:cs="Times New Roman"/>
          <w:noProof/>
          <w:lang w:val="en-IE"/>
        </w:rPr>
        <w:t xml:space="preserve">. </w:t>
      </w:r>
      <w:r w:rsidR="00716425" w:rsidRPr="00B8512B">
        <w:rPr>
          <w:rFonts w:ascii="Times New Roman" w:hAnsi="Times New Roman" w:cs="Times New Roman"/>
          <w:noProof/>
          <w:lang w:val="en-IE"/>
        </w:rPr>
        <w:t>New information gathered by the Commission requires investigation into the compliance of national measures with the Directive</w:t>
      </w:r>
      <w:r w:rsidR="009A4CA9">
        <w:rPr>
          <w:rFonts w:ascii="Times New Roman" w:hAnsi="Times New Roman" w:cs="Times New Roman"/>
          <w:noProof/>
          <w:lang w:val="en-IE"/>
        </w:rPr>
        <w:t>’s</w:t>
      </w:r>
      <w:r w:rsidR="00716425" w:rsidRPr="00B8512B">
        <w:rPr>
          <w:rFonts w:ascii="Times New Roman" w:hAnsi="Times New Roman" w:cs="Times New Roman"/>
          <w:noProof/>
          <w:lang w:val="en-IE"/>
        </w:rPr>
        <w:t xml:space="preserve"> provisions and its principles of prop</w:t>
      </w:r>
      <w:r w:rsidR="00691CB4">
        <w:rPr>
          <w:rFonts w:ascii="Times New Roman" w:hAnsi="Times New Roman" w:cs="Times New Roman"/>
          <w:noProof/>
          <w:lang w:val="en-IE"/>
        </w:rPr>
        <w:t xml:space="preserve">ortionality and legal </w:t>
      </w:r>
      <w:r w:rsidR="00D61ED1">
        <w:rPr>
          <w:rFonts w:ascii="Times New Roman" w:hAnsi="Times New Roman" w:cs="Times New Roman"/>
          <w:noProof/>
          <w:lang w:val="en-IE"/>
        </w:rPr>
        <w:t>certainty</w:t>
      </w:r>
      <w:r w:rsidR="00691CB4">
        <w:rPr>
          <w:rFonts w:ascii="Times New Roman" w:hAnsi="Times New Roman" w:cs="Times New Roman"/>
          <w:noProof/>
          <w:lang w:val="en-IE"/>
        </w:rPr>
        <w:t>.</w:t>
      </w:r>
      <w:r w:rsidR="00D61ED1">
        <w:rPr>
          <w:rFonts w:ascii="Times New Roman" w:hAnsi="Times New Roman" w:cs="Times New Roman"/>
          <w:noProof/>
          <w:lang w:val="en-IE"/>
        </w:rPr>
        <w:t xml:space="preserve"> </w:t>
      </w:r>
      <w:r w:rsidR="00716425" w:rsidRPr="00B8512B">
        <w:rPr>
          <w:rFonts w:ascii="Times New Roman" w:hAnsi="Times New Roman" w:cs="Times New Roman"/>
          <w:noProof/>
          <w:lang w:val="en-IE"/>
        </w:rPr>
        <w:t>The Commission thus invites Member States to reassess the necessity and proportionality of national measures limiting patients’ access to cross-border healthcare and causing unnecessary administrative burdens.</w:t>
      </w:r>
    </w:p>
    <w:p w14:paraId="24A2E2C4" w14:textId="4FE3633C" w:rsidR="00691CB4" w:rsidRDefault="00691CB4" w:rsidP="007509DC">
      <w:pPr>
        <w:rPr>
          <w:rFonts w:ascii="Times New Roman" w:hAnsi="Times New Roman" w:cs="Times New Roman"/>
          <w:noProof/>
          <w:lang w:val="en-IE"/>
        </w:rPr>
      </w:pPr>
      <w:r>
        <w:rPr>
          <w:rFonts w:ascii="Times New Roman" w:hAnsi="Times New Roman" w:cs="Times New Roman"/>
          <w:noProof/>
          <w:lang w:val="en-IE"/>
        </w:rPr>
        <w:t xml:space="preserve">The Commission will continue its bilateral exchanges with Member States to ensure implementation of the Directive and, where necessary, will </w:t>
      </w:r>
      <w:r w:rsidR="009A4CA9">
        <w:rPr>
          <w:rFonts w:ascii="Times New Roman" w:hAnsi="Times New Roman" w:cs="Times New Roman"/>
          <w:noProof/>
          <w:lang w:val="en-IE"/>
        </w:rPr>
        <w:t xml:space="preserve">do </w:t>
      </w:r>
      <w:r>
        <w:rPr>
          <w:rFonts w:ascii="Times New Roman" w:hAnsi="Times New Roman" w:cs="Times New Roman"/>
          <w:noProof/>
          <w:lang w:val="en-IE"/>
        </w:rPr>
        <w:t xml:space="preserve">all </w:t>
      </w:r>
      <w:r w:rsidR="009A4CA9">
        <w:rPr>
          <w:rFonts w:ascii="Times New Roman" w:hAnsi="Times New Roman" w:cs="Times New Roman"/>
          <w:noProof/>
          <w:lang w:val="en-IE"/>
        </w:rPr>
        <w:t>it can</w:t>
      </w:r>
      <w:r>
        <w:rPr>
          <w:rFonts w:ascii="Times New Roman" w:hAnsi="Times New Roman" w:cs="Times New Roman"/>
          <w:noProof/>
          <w:lang w:val="en-IE"/>
        </w:rPr>
        <w:t xml:space="preserve"> to </w:t>
      </w:r>
      <w:r w:rsidR="009A4CA9">
        <w:rPr>
          <w:rFonts w:ascii="Times New Roman" w:hAnsi="Times New Roman" w:cs="Times New Roman"/>
          <w:noProof/>
          <w:lang w:val="en-IE"/>
        </w:rPr>
        <w:t xml:space="preserve">ensure </w:t>
      </w:r>
      <w:r>
        <w:rPr>
          <w:rFonts w:ascii="Times New Roman" w:hAnsi="Times New Roman" w:cs="Times New Roman"/>
          <w:noProof/>
          <w:lang w:val="en-IE"/>
        </w:rPr>
        <w:t xml:space="preserve">Member States </w:t>
      </w:r>
      <w:r w:rsidR="009A4CA9">
        <w:rPr>
          <w:rFonts w:ascii="Times New Roman" w:hAnsi="Times New Roman" w:cs="Times New Roman"/>
          <w:noProof/>
          <w:lang w:val="en-IE"/>
        </w:rPr>
        <w:t xml:space="preserve">comply </w:t>
      </w:r>
      <w:r>
        <w:rPr>
          <w:rFonts w:ascii="Times New Roman" w:hAnsi="Times New Roman" w:cs="Times New Roman"/>
          <w:noProof/>
          <w:lang w:val="en-IE"/>
        </w:rPr>
        <w:t>with their obligations.</w:t>
      </w:r>
    </w:p>
    <w:p w14:paraId="233C313B" w14:textId="3AAA21DB" w:rsidR="00D61ED1" w:rsidRPr="00B8512B" w:rsidRDefault="00D61ED1" w:rsidP="007509DC">
      <w:pPr>
        <w:rPr>
          <w:rFonts w:ascii="Times New Roman" w:hAnsi="Times New Roman" w:cs="Times New Roman"/>
          <w:noProof/>
          <w:lang w:val="en-IE"/>
        </w:rPr>
      </w:pPr>
      <w:r>
        <w:rPr>
          <w:rFonts w:ascii="Times New Roman" w:hAnsi="Times New Roman" w:cs="Times New Roman"/>
          <w:noProof/>
          <w:lang w:val="en-IE"/>
        </w:rPr>
        <w:t>Moreover, t</w:t>
      </w:r>
      <w:r w:rsidRPr="00B8512B">
        <w:rPr>
          <w:rFonts w:ascii="Times New Roman" w:hAnsi="Times New Roman" w:cs="Times New Roman"/>
          <w:noProof/>
          <w:lang w:val="en-IE"/>
        </w:rPr>
        <w:t xml:space="preserve">he </w:t>
      </w:r>
      <w:r w:rsidR="00226334">
        <w:rPr>
          <w:rFonts w:ascii="Times New Roman" w:hAnsi="Times New Roman" w:cs="Times New Roman"/>
          <w:noProof/>
          <w:lang w:val="en-IE"/>
        </w:rPr>
        <w:t xml:space="preserve">COVID-19 pandemic highlighted the importance of quality data in the effective functioning of health systems. The </w:t>
      </w:r>
      <w:r w:rsidRPr="00B8512B">
        <w:rPr>
          <w:rFonts w:ascii="Times New Roman" w:hAnsi="Times New Roman" w:cs="Times New Roman"/>
          <w:noProof/>
          <w:lang w:val="en-IE"/>
        </w:rPr>
        <w:t xml:space="preserve">Commission </w:t>
      </w:r>
      <w:r w:rsidR="00226334">
        <w:rPr>
          <w:rFonts w:ascii="Times New Roman" w:hAnsi="Times New Roman" w:cs="Times New Roman"/>
          <w:noProof/>
          <w:lang w:val="en-IE"/>
        </w:rPr>
        <w:t xml:space="preserve">urges the </w:t>
      </w:r>
      <w:r w:rsidRPr="00B8512B">
        <w:rPr>
          <w:rFonts w:ascii="Times New Roman" w:hAnsi="Times New Roman" w:cs="Times New Roman"/>
          <w:noProof/>
          <w:lang w:val="en-IE"/>
        </w:rPr>
        <w:t>Member States to</w:t>
      </w:r>
      <w:r w:rsidR="00226334">
        <w:rPr>
          <w:rFonts w:ascii="Times New Roman" w:hAnsi="Times New Roman" w:cs="Times New Roman"/>
          <w:noProof/>
          <w:lang w:val="en-IE"/>
        </w:rPr>
        <w:t xml:space="preserve"> meet the</w:t>
      </w:r>
      <w:r w:rsidR="00425FDC">
        <w:rPr>
          <w:rFonts w:ascii="Times New Roman" w:hAnsi="Times New Roman" w:cs="Times New Roman"/>
          <w:noProof/>
          <w:lang w:val="en-IE"/>
        </w:rPr>
        <w:t xml:space="preserve">ir legal commitment under the Directive </w:t>
      </w:r>
      <w:r w:rsidR="00226334">
        <w:rPr>
          <w:rFonts w:ascii="Times New Roman" w:hAnsi="Times New Roman" w:cs="Times New Roman"/>
          <w:noProof/>
          <w:lang w:val="en-IE"/>
        </w:rPr>
        <w:t xml:space="preserve">for </w:t>
      </w:r>
      <w:r w:rsidR="00425FDC">
        <w:rPr>
          <w:rFonts w:ascii="Times New Roman" w:hAnsi="Times New Roman" w:cs="Times New Roman"/>
          <w:noProof/>
          <w:lang w:val="en-IE"/>
        </w:rPr>
        <w:t xml:space="preserve">the provision of </w:t>
      </w:r>
      <w:r w:rsidR="00226334" w:rsidRPr="00226334">
        <w:rPr>
          <w:rFonts w:ascii="Times New Roman" w:hAnsi="Times New Roman" w:cs="Times New Roman"/>
          <w:b/>
          <w:noProof/>
          <w:lang w:val="en-IE"/>
        </w:rPr>
        <w:t>data on patient mobility</w:t>
      </w:r>
      <w:r w:rsidR="00226334">
        <w:rPr>
          <w:rFonts w:ascii="Times New Roman" w:hAnsi="Times New Roman" w:cs="Times New Roman"/>
          <w:noProof/>
          <w:lang w:val="en-IE"/>
        </w:rPr>
        <w:t xml:space="preserve"> necessary to </w:t>
      </w:r>
      <w:r w:rsidR="00425FDC">
        <w:rPr>
          <w:rFonts w:ascii="Times New Roman" w:hAnsi="Times New Roman" w:cs="Times New Roman"/>
          <w:noProof/>
          <w:lang w:val="en-IE"/>
        </w:rPr>
        <w:t xml:space="preserve">monitor the implementation of patients’ rights </w:t>
      </w:r>
      <w:r w:rsidRPr="00B8512B">
        <w:rPr>
          <w:rFonts w:ascii="Times New Roman" w:hAnsi="Times New Roman" w:cs="Times New Roman"/>
          <w:noProof/>
          <w:lang w:val="en-IE"/>
        </w:rPr>
        <w:t xml:space="preserve">and </w:t>
      </w:r>
      <w:r w:rsidR="00425FDC">
        <w:rPr>
          <w:rFonts w:ascii="Times New Roman" w:hAnsi="Times New Roman" w:cs="Times New Roman"/>
          <w:noProof/>
          <w:lang w:val="en-IE"/>
        </w:rPr>
        <w:t xml:space="preserve">to </w:t>
      </w:r>
      <w:r w:rsidRPr="00B8512B">
        <w:rPr>
          <w:rFonts w:ascii="Times New Roman" w:hAnsi="Times New Roman" w:cs="Times New Roman"/>
          <w:noProof/>
          <w:lang w:val="en-IE"/>
        </w:rPr>
        <w:t>provide the necessary evidence to inform future policies on cross-border healthcare.</w:t>
      </w:r>
      <w:r w:rsidR="00425FDC" w:rsidRPr="00425FDC">
        <w:rPr>
          <w:noProof/>
          <w:color w:val="000000" w:themeColor="text1"/>
        </w:rPr>
        <w:t xml:space="preserve"> </w:t>
      </w:r>
    </w:p>
    <w:p w14:paraId="65DF870F" w14:textId="2EC0065F" w:rsidR="008107AE" w:rsidRPr="00B8512B" w:rsidRDefault="008107AE" w:rsidP="00716425">
      <w:pPr>
        <w:rPr>
          <w:rFonts w:ascii="Times New Roman" w:hAnsi="Times New Roman" w:cs="Times New Roman"/>
          <w:noProof/>
          <w:lang w:val="en-IE"/>
        </w:rPr>
      </w:pPr>
      <w:r>
        <w:rPr>
          <w:rFonts w:ascii="Times New Roman" w:hAnsi="Times New Roman" w:cs="Times New Roman"/>
          <w:noProof/>
          <w:lang w:val="en-IE"/>
        </w:rPr>
        <w:t xml:space="preserve">Drawing on the lessons learnt from the evaluation, </w:t>
      </w:r>
      <w:r w:rsidR="00405B45" w:rsidRPr="00B71FE2">
        <w:rPr>
          <w:rFonts w:ascii="Times New Roman" w:hAnsi="Times New Roman" w:cs="Times New Roman"/>
          <w:b/>
          <w:noProof/>
          <w:lang w:val="en-IE"/>
        </w:rPr>
        <w:t xml:space="preserve">European cooperation </w:t>
      </w:r>
      <w:r w:rsidR="007708E2" w:rsidRPr="00B71FE2">
        <w:rPr>
          <w:rFonts w:ascii="Times New Roman" w:hAnsi="Times New Roman" w:cs="Times New Roman"/>
          <w:b/>
          <w:noProof/>
          <w:lang w:val="en-IE"/>
        </w:rPr>
        <w:t xml:space="preserve">could further support </w:t>
      </w:r>
      <w:r w:rsidR="00B71FE2">
        <w:rPr>
          <w:rFonts w:ascii="Times New Roman" w:hAnsi="Times New Roman" w:cs="Times New Roman"/>
          <w:b/>
          <w:noProof/>
          <w:lang w:val="en-IE"/>
        </w:rPr>
        <w:t xml:space="preserve">the </w:t>
      </w:r>
      <w:r w:rsidR="007708E2" w:rsidRPr="00B71FE2">
        <w:rPr>
          <w:rFonts w:ascii="Times New Roman" w:hAnsi="Times New Roman" w:cs="Times New Roman"/>
          <w:b/>
          <w:noProof/>
          <w:lang w:val="en-IE"/>
        </w:rPr>
        <w:t>implementation of the Directive</w:t>
      </w:r>
      <w:r w:rsidR="0055734C" w:rsidRPr="00B71FE2">
        <w:rPr>
          <w:rFonts w:ascii="Times New Roman" w:hAnsi="Times New Roman" w:cs="Times New Roman"/>
          <w:b/>
          <w:noProof/>
          <w:lang w:val="en-IE"/>
        </w:rPr>
        <w:t xml:space="preserve"> in a number of ways</w:t>
      </w:r>
      <w:r w:rsidR="00475D5D">
        <w:rPr>
          <w:rFonts w:ascii="Times New Roman" w:hAnsi="Times New Roman" w:cs="Times New Roman"/>
          <w:noProof/>
          <w:lang w:val="en-IE"/>
        </w:rPr>
        <w:t>.</w:t>
      </w:r>
      <w:r w:rsidR="00B2664E">
        <w:rPr>
          <w:rFonts w:ascii="Times New Roman" w:hAnsi="Times New Roman" w:cs="Times New Roman"/>
          <w:noProof/>
          <w:lang w:val="en-IE"/>
        </w:rPr>
        <w:t xml:space="preserve"> This report sets out actions to reduce and simplify procedures through </w:t>
      </w:r>
      <w:r w:rsidR="00B71FE2">
        <w:rPr>
          <w:rFonts w:ascii="Times New Roman" w:hAnsi="Times New Roman" w:cs="Times New Roman"/>
          <w:noProof/>
          <w:lang w:val="en-IE"/>
        </w:rPr>
        <w:t xml:space="preserve">the </w:t>
      </w:r>
      <w:r w:rsidR="00B2664E">
        <w:rPr>
          <w:rFonts w:ascii="Times New Roman" w:hAnsi="Times New Roman" w:cs="Times New Roman"/>
          <w:noProof/>
          <w:lang w:val="en-IE"/>
        </w:rPr>
        <w:t xml:space="preserve">digitalisation of healthcare, to raise awareness </w:t>
      </w:r>
      <w:r w:rsidR="005D31BA">
        <w:rPr>
          <w:rFonts w:ascii="Times New Roman" w:hAnsi="Times New Roman" w:cs="Times New Roman"/>
          <w:noProof/>
          <w:lang w:val="en-IE"/>
        </w:rPr>
        <w:t xml:space="preserve">on patients’ rights </w:t>
      </w:r>
      <w:r w:rsidR="00B2664E">
        <w:rPr>
          <w:rFonts w:ascii="Times New Roman" w:hAnsi="Times New Roman" w:cs="Times New Roman"/>
          <w:noProof/>
          <w:lang w:val="en-IE"/>
        </w:rPr>
        <w:t xml:space="preserve">and improve information to patients, </w:t>
      </w:r>
      <w:r w:rsidR="005D31BA">
        <w:rPr>
          <w:rFonts w:ascii="Times New Roman" w:hAnsi="Times New Roman" w:cs="Times New Roman"/>
          <w:noProof/>
          <w:lang w:val="en-IE"/>
        </w:rPr>
        <w:t xml:space="preserve">to clarify the interplay between the Directive and the Regulation, </w:t>
      </w:r>
      <w:r w:rsidR="00B2664E">
        <w:rPr>
          <w:rFonts w:ascii="Times New Roman" w:hAnsi="Times New Roman" w:cs="Times New Roman"/>
          <w:noProof/>
          <w:lang w:val="en-IE"/>
        </w:rPr>
        <w:t>to safeguard the</w:t>
      </w:r>
      <w:r w:rsidR="00B71FE2">
        <w:rPr>
          <w:rFonts w:ascii="Times New Roman" w:hAnsi="Times New Roman" w:cs="Times New Roman"/>
          <w:noProof/>
          <w:lang w:val="en-IE"/>
        </w:rPr>
        <w:t xml:space="preserve"> sustainability of the ERNs, to </w:t>
      </w:r>
      <w:r w:rsidR="00B2664E">
        <w:rPr>
          <w:rFonts w:ascii="Times New Roman" w:hAnsi="Times New Roman" w:cs="Times New Roman"/>
          <w:noProof/>
          <w:lang w:val="en-IE"/>
        </w:rPr>
        <w:t>further support cross-border cooperation between regions</w:t>
      </w:r>
      <w:r w:rsidR="00B71FE2">
        <w:rPr>
          <w:rFonts w:ascii="Times New Roman" w:hAnsi="Times New Roman" w:cs="Times New Roman"/>
          <w:noProof/>
          <w:lang w:val="en-IE"/>
        </w:rPr>
        <w:t xml:space="preserve"> and</w:t>
      </w:r>
      <w:r w:rsidR="003D3F4E">
        <w:rPr>
          <w:rFonts w:ascii="Times New Roman" w:hAnsi="Times New Roman" w:cs="Times New Roman"/>
          <w:noProof/>
          <w:lang w:val="en-IE"/>
        </w:rPr>
        <w:t xml:space="preserve"> to</w:t>
      </w:r>
      <w:r w:rsidR="00B71FE2">
        <w:rPr>
          <w:rFonts w:ascii="Times New Roman" w:hAnsi="Times New Roman" w:cs="Times New Roman"/>
          <w:noProof/>
          <w:lang w:val="en-IE"/>
        </w:rPr>
        <w:t xml:space="preserve"> strengthen monitoring and enforcement of the Directive</w:t>
      </w:r>
      <w:r w:rsidR="00B2664E">
        <w:rPr>
          <w:rStyle w:val="FootnoteReference"/>
          <w:rFonts w:ascii="Times New Roman" w:hAnsi="Times New Roman" w:cs="Times New Roman"/>
          <w:noProof/>
          <w:lang w:val="en-IE"/>
        </w:rPr>
        <w:footnoteReference w:id="61"/>
      </w:r>
      <w:r w:rsidR="00B2664E">
        <w:rPr>
          <w:rFonts w:ascii="Times New Roman" w:hAnsi="Times New Roman" w:cs="Times New Roman"/>
          <w:noProof/>
          <w:lang w:val="en-IE"/>
        </w:rPr>
        <w:t xml:space="preserve">. </w:t>
      </w:r>
    </w:p>
    <w:p w14:paraId="49658144" w14:textId="62826F95" w:rsidR="00F526BC" w:rsidRDefault="00F526BC" w:rsidP="00716425">
      <w:pPr>
        <w:rPr>
          <w:rFonts w:ascii="Times New Roman" w:hAnsi="Times New Roman" w:cs="Times New Roman"/>
          <w:noProof/>
          <w:lang w:val="en-IE"/>
        </w:rPr>
      </w:pPr>
      <w:r w:rsidRPr="00B8512B">
        <w:rPr>
          <w:rFonts w:ascii="Times New Roman" w:hAnsi="Times New Roman" w:cs="Times New Roman"/>
          <w:noProof/>
          <w:lang w:val="en-IE"/>
        </w:rPr>
        <w:t xml:space="preserve">The use of digital technologies in healthcare accelerated in response to the </w:t>
      </w:r>
      <w:r w:rsidR="00E402AC" w:rsidRPr="00B8512B">
        <w:rPr>
          <w:rFonts w:ascii="Times New Roman" w:hAnsi="Times New Roman" w:cs="Times New Roman"/>
          <w:noProof/>
          <w:lang w:val="en-IE"/>
        </w:rPr>
        <w:t>C</w:t>
      </w:r>
      <w:r w:rsidR="00E402AC">
        <w:rPr>
          <w:rFonts w:ascii="Times New Roman" w:hAnsi="Times New Roman" w:cs="Times New Roman"/>
          <w:noProof/>
          <w:lang w:val="en-IE"/>
        </w:rPr>
        <w:t>OVID</w:t>
      </w:r>
      <w:r w:rsidRPr="00B8512B">
        <w:rPr>
          <w:rFonts w:ascii="Times New Roman" w:hAnsi="Times New Roman" w:cs="Times New Roman"/>
          <w:noProof/>
          <w:lang w:val="en-IE"/>
        </w:rPr>
        <w:t xml:space="preserve">-19 pandemic. The </w:t>
      </w:r>
      <w:r w:rsidRPr="00F75E2E">
        <w:rPr>
          <w:rFonts w:ascii="Times New Roman" w:hAnsi="Times New Roman" w:cs="Times New Roman"/>
          <w:b/>
          <w:noProof/>
          <w:lang w:val="en-IE"/>
        </w:rPr>
        <w:t xml:space="preserve">application of new digital tools </w:t>
      </w:r>
      <w:r w:rsidR="00E402AC">
        <w:rPr>
          <w:rFonts w:ascii="Times New Roman" w:hAnsi="Times New Roman" w:cs="Times New Roman"/>
          <w:b/>
          <w:noProof/>
          <w:lang w:val="en-IE"/>
        </w:rPr>
        <w:t>for</w:t>
      </w:r>
      <w:r w:rsidR="00E402AC" w:rsidRPr="00F75E2E">
        <w:rPr>
          <w:rFonts w:ascii="Times New Roman" w:hAnsi="Times New Roman" w:cs="Times New Roman"/>
          <w:b/>
          <w:noProof/>
          <w:lang w:val="en-IE"/>
        </w:rPr>
        <w:t xml:space="preserve"> </w:t>
      </w:r>
      <w:r w:rsidRPr="00F75E2E">
        <w:rPr>
          <w:rFonts w:ascii="Times New Roman" w:hAnsi="Times New Roman" w:cs="Times New Roman"/>
          <w:b/>
          <w:noProof/>
          <w:lang w:val="en-IE"/>
        </w:rPr>
        <w:t>cross-border healthcare</w:t>
      </w:r>
      <w:r w:rsidRPr="00B8512B">
        <w:rPr>
          <w:rFonts w:ascii="Times New Roman" w:hAnsi="Times New Roman" w:cs="Times New Roman"/>
          <w:noProof/>
          <w:lang w:val="en-IE"/>
        </w:rPr>
        <w:t xml:space="preserve"> – such as the digitalisation of invoices, prior authorisation and reimbursement requests – could simplify and reduce administrative burdens, making access to cross-border healthcare easier and less costly</w:t>
      </w:r>
      <w:r>
        <w:rPr>
          <w:rFonts w:ascii="Times New Roman" w:hAnsi="Times New Roman" w:cs="Times New Roman"/>
          <w:noProof/>
          <w:lang w:val="en-IE"/>
        </w:rPr>
        <w:t>.</w:t>
      </w:r>
      <w:r w:rsidR="008810BB">
        <w:rPr>
          <w:rFonts w:ascii="Times New Roman" w:hAnsi="Times New Roman" w:cs="Times New Roman"/>
          <w:noProof/>
          <w:lang w:val="en-IE"/>
        </w:rPr>
        <w:t xml:space="preserve"> The take-up of digital solutions will require actions at regional</w:t>
      </w:r>
      <w:r w:rsidR="0084042A">
        <w:rPr>
          <w:rFonts w:ascii="Times New Roman" w:hAnsi="Times New Roman" w:cs="Times New Roman"/>
          <w:noProof/>
          <w:lang w:val="en-IE"/>
        </w:rPr>
        <w:t xml:space="preserve">, </w:t>
      </w:r>
      <w:r w:rsidR="008810BB">
        <w:rPr>
          <w:rFonts w:ascii="Times New Roman" w:hAnsi="Times New Roman" w:cs="Times New Roman"/>
          <w:noProof/>
          <w:lang w:val="en-IE"/>
        </w:rPr>
        <w:t xml:space="preserve">national </w:t>
      </w:r>
      <w:r w:rsidR="0084042A">
        <w:rPr>
          <w:rFonts w:ascii="Times New Roman" w:hAnsi="Times New Roman" w:cs="Times New Roman"/>
          <w:noProof/>
          <w:lang w:val="en-IE"/>
        </w:rPr>
        <w:t xml:space="preserve">and EU </w:t>
      </w:r>
      <w:r w:rsidR="008810BB">
        <w:rPr>
          <w:rFonts w:ascii="Times New Roman" w:hAnsi="Times New Roman" w:cs="Times New Roman"/>
          <w:noProof/>
          <w:lang w:val="en-IE"/>
        </w:rPr>
        <w:t>level.</w:t>
      </w:r>
    </w:p>
    <w:p w14:paraId="19987BE9" w14:textId="2AC78113" w:rsidR="008810BB" w:rsidRPr="00B8512B" w:rsidRDefault="008810BB" w:rsidP="00716425">
      <w:pPr>
        <w:rPr>
          <w:rFonts w:ascii="Times New Roman" w:hAnsi="Times New Roman" w:cs="Times New Roman"/>
          <w:noProof/>
          <w:lang w:val="en-IE"/>
        </w:rPr>
      </w:pPr>
      <w:r>
        <w:rPr>
          <w:rFonts w:ascii="Times New Roman" w:hAnsi="Times New Roman" w:cs="Times New Roman"/>
          <w:noProof/>
          <w:lang w:val="en-IE"/>
        </w:rPr>
        <w:t>Building on European cooperation in eHealth, t</w:t>
      </w:r>
      <w:r w:rsidRPr="00B8512B">
        <w:rPr>
          <w:rFonts w:ascii="Times New Roman" w:hAnsi="Times New Roman" w:cs="Times New Roman"/>
          <w:noProof/>
          <w:lang w:val="en-IE"/>
        </w:rPr>
        <w:t xml:space="preserve">he Commission </w:t>
      </w:r>
      <w:r w:rsidR="009E419A">
        <w:rPr>
          <w:rFonts w:ascii="Times New Roman" w:hAnsi="Times New Roman" w:cs="Times New Roman"/>
          <w:noProof/>
          <w:lang w:val="en-IE"/>
        </w:rPr>
        <w:t xml:space="preserve"> </w:t>
      </w:r>
      <w:r w:rsidR="00136510">
        <w:rPr>
          <w:rFonts w:ascii="Times New Roman" w:hAnsi="Times New Roman" w:cs="Times New Roman"/>
          <w:noProof/>
          <w:lang w:val="en-IE"/>
        </w:rPr>
        <w:t>adopted</w:t>
      </w:r>
      <w:r w:rsidR="00B71FE2">
        <w:rPr>
          <w:rFonts w:ascii="Times New Roman" w:hAnsi="Times New Roman" w:cs="Times New Roman"/>
          <w:noProof/>
          <w:lang w:val="en-IE"/>
        </w:rPr>
        <w:t xml:space="preserve"> a</w:t>
      </w:r>
      <w:r w:rsidR="000D2C5E"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proposal for a </w:t>
      </w:r>
      <w:r w:rsidR="00136510">
        <w:rPr>
          <w:rFonts w:ascii="Times New Roman" w:hAnsi="Times New Roman" w:cs="Times New Roman"/>
          <w:noProof/>
          <w:lang w:val="en-IE"/>
        </w:rPr>
        <w:t>Regulation</w:t>
      </w:r>
      <w:r w:rsidR="00136510" w:rsidRPr="00B8512B">
        <w:rPr>
          <w:rFonts w:ascii="Times New Roman" w:hAnsi="Times New Roman" w:cs="Times New Roman"/>
          <w:noProof/>
          <w:lang w:val="en-IE"/>
        </w:rPr>
        <w:t xml:space="preserve"> </w:t>
      </w:r>
      <w:r w:rsidR="00136510">
        <w:rPr>
          <w:rFonts w:ascii="Times New Roman" w:hAnsi="Times New Roman" w:cs="Times New Roman"/>
          <w:noProof/>
          <w:lang w:val="en-IE"/>
        </w:rPr>
        <w:t xml:space="preserve">on </w:t>
      </w:r>
      <w:r w:rsidR="009E419A">
        <w:rPr>
          <w:rFonts w:ascii="Times New Roman" w:hAnsi="Times New Roman" w:cs="Times New Roman"/>
          <w:noProof/>
          <w:lang w:val="en-IE"/>
        </w:rPr>
        <w:t xml:space="preserve">the </w:t>
      </w:r>
      <w:r w:rsidRPr="00F526BC">
        <w:rPr>
          <w:rFonts w:ascii="Times New Roman" w:hAnsi="Times New Roman" w:cs="Times New Roman"/>
          <w:b/>
          <w:noProof/>
          <w:lang w:val="en-IE"/>
        </w:rPr>
        <w:t>European Health Data Space</w:t>
      </w:r>
      <w:r w:rsidR="000D2C5E">
        <w:rPr>
          <w:rFonts w:ascii="Times New Roman" w:hAnsi="Times New Roman" w:cs="Times New Roman"/>
          <w:noProof/>
          <w:lang w:val="en-IE"/>
        </w:rPr>
        <w:t>,</w:t>
      </w:r>
      <w:r>
        <w:rPr>
          <w:rFonts w:ascii="Times New Roman" w:hAnsi="Times New Roman" w:cs="Times New Roman"/>
          <w:noProof/>
          <w:lang w:val="en-IE"/>
        </w:rPr>
        <w:t xml:space="preserve"> </w:t>
      </w:r>
      <w:r w:rsidR="000D2C5E">
        <w:rPr>
          <w:rFonts w:ascii="Times New Roman" w:hAnsi="Times New Roman" w:cs="Times New Roman"/>
          <w:noProof/>
          <w:lang w:val="en-IE"/>
        </w:rPr>
        <w:t xml:space="preserve">which is expected </w:t>
      </w:r>
      <w:r>
        <w:rPr>
          <w:rFonts w:ascii="Times New Roman" w:hAnsi="Times New Roman" w:cs="Times New Roman"/>
          <w:noProof/>
          <w:lang w:val="en-IE"/>
        </w:rPr>
        <w:t xml:space="preserve">to </w:t>
      </w:r>
      <w:r w:rsidRPr="00B8512B">
        <w:rPr>
          <w:rFonts w:ascii="Times New Roman" w:hAnsi="Times New Roman" w:cs="Times New Roman"/>
          <w:noProof/>
          <w:lang w:val="en-IE"/>
        </w:rPr>
        <w:t>scale up the eHealth digital service infrastructure</w:t>
      </w:r>
      <w:r w:rsidR="003D3F4E">
        <w:rPr>
          <w:rFonts w:ascii="Times New Roman" w:hAnsi="Times New Roman" w:cs="Times New Roman"/>
          <w:noProof/>
          <w:lang w:val="en-IE"/>
        </w:rPr>
        <w:t xml:space="preserve">. This will help </w:t>
      </w:r>
      <w:r w:rsidRPr="00B8512B">
        <w:rPr>
          <w:rFonts w:ascii="Times New Roman" w:hAnsi="Times New Roman" w:cs="Times New Roman"/>
          <w:noProof/>
          <w:lang w:val="en-IE"/>
        </w:rPr>
        <w:t xml:space="preserve">ensure continuity of care for </w:t>
      </w:r>
      <w:r>
        <w:rPr>
          <w:rFonts w:ascii="Times New Roman" w:hAnsi="Times New Roman" w:cs="Times New Roman"/>
          <w:noProof/>
          <w:lang w:val="en-IE"/>
        </w:rPr>
        <w:t>EU</w:t>
      </w:r>
      <w:r w:rsidRPr="00B8512B">
        <w:rPr>
          <w:rFonts w:ascii="Times New Roman" w:hAnsi="Times New Roman" w:cs="Times New Roman"/>
          <w:noProof/>
          <w:lang w:val="en-IE"/>
        </w:rPr>
        <w:t xml:space="preserve"> citizens while travelling abroad. The gradual introduction of ePrescription </w:t>
      </w:r>
      <w:r w:rsidR="00AD28DB">
        <w:rPr>
          <w:rFonts w:ascii="Times New Roman" w:hAnsi="Times New Roman" w:cs="Times New Roman"/>
          <w:noProof/>
          <w:lang w:val="en-IE"/>
        </w:rPr>
        <w:t xml:space="preserve">services </w:t>
      </w:r>
      <w:r w:rsidRPr="00B8512B">
        <w:rPr>
          <w:rFonts w:ascii="Times New Roman" w:hAnsi="Times New Roman" w:cs="Times New Roman"/>
          <w:noProof/>
          <w:lang w:val="en-IE"/>
        </w:rPr>
        <w:t>in Member States allows EU citizens to obtain their medication abroad</w:t>
      </w:r>
      <w:r>
        <w:rPr>
          <w:rFonts w:ascii="Times New Roman" w:hAnsi="Times New Roman" w:cs="Times New Roman"/>
          <w:noProof/>
          <w:lang w:val="en-IE"/>
        </w:rPr>
        <w:t xml:space="preserve"> more easily.</w:t>
      </w:r>
    </w:p>
    <w:p w14:paraId="587B67B5" w14:textId="7CCA5C77" w:rsidR="0055734C" w:rsidRPr="00B8512B" w:rsidRDefault="00F54B01" w:rsidP="00716425">
      <w:pPr>
        <w:rPr>
          <w:rFonts w:ascii="Times New Roman" w:hAnsi="Times New Roman" w:cs="Times New Roman"/>
          <w:noProof/>
          <w:lang w:val="en-IE"/>
        </w:rPr>
      </w:pPr>
      <w:r>
        <w:rPr>
          <w:rFonts w:ascii="Times New Roman" w:hAnsi="Times New Roman" w:cs="Times New Roman"/>
          <w:noProof/>
          <w:lang w:val="en-IE"/>
        </w:rPr>
        <w:t xml:space="preserve">While the Directive was successful in </w:t>
      </w:r>
      <w:r w:rsidR="00B71FE2">
        <w:rPr>
          <w:rFonts w:ascii="Times New Roman" w:hAnsi="Times New Roman" w:cs="Times New Roman"/>
          <w:noProof/>
          <w:lang w:val="en-IE"/>
        </w:rPr>
        <w:t xml:space="preserve">enshrining patients’ rights, for those rights to </w:t>
      </w:r>
      <w:r>
        <w:rPr>
          <w:rFonts w:ascii="Times New Roman" w:hAnsi="Times New Roman" w:cs="Times New Roman"/>
          <w:noProof/>
          <w:lang w:val="en-IE"/>
        </w:rPr>
        <w:t xml:space="preserve">be fully enjoyed </w:t>
      </w:r>
      <w:r w:rsidR="00B71FE2">
        <w:rPr>
          <w:rFonts w:ascii="Times New Roman" w:hAnsi="Times New Roman" w:cs="Times New Roman"/>
          <w:noProof/>
          <w:lang w:val="en-IE"/>
        </w:rPr>
        <w:t xml:space="preserve">they </w:t>
      </w:r>
      <w:r>
        <w:rPr>
          <w:rFonts w:ascii="Times New Roman" w:hAnsi="Times New Roman" w:cs="Times New Roman"/>
          <w:noProof/>
          <w:lang w:val="en-IE"/>
        </w:rPr>
        <w:t xml:space="preserve">need to be known by patients. </w:t>
      </w:r>
      <w:r w:rsidR="00716425" w:rsidRPr="00B8512B">
        <w:rPr>
          <w:rFonts w:ascii="Times New Roman" w:hAnsi="Times New Roman" w:cs="Times New Roman"/>
          <w:noProof/>
          <w:lang w:val="en-IE"/>
        </w:rPr>
        <w:t xml:space="preserve">Despite improvements by NCPs, more efforts are necessary to </w:t>
      </w:r>
      <w:r w:rsidR="00716425" w:rsidRPr="00F75E2E">
        <w:rPr>
          <w:rFonts w:ascii="Times New Roman" w:hAnsi="Times New Roman" w:cs="Times New Roman"/>
          <w:b/>
          <w:noProof/>
          <w:lang w:val="en-IE"/>
        </w:rPr>
        <w:t xml:space="preserve">enhance </w:t>
      </w:r>
      <w:r w:rsidR="003D3F4E">
        <w:rPr>
          <w:rFonts w:ascii="Times New Roman" w:hAnsi="Times New Roman" w:cs="Times New Roman"/>
          <w:b/>
          <w:noProof/>
          <w:lang w:val="en-IE"/>
        </w:rPr>
        <w:t xml:space="preserve">the </w:t>
      </w:r>
      <w:r w:rsidR="00716425" w:rsidRPr="00F75E2E">
        <w:rPr>
          <w:rFonts w:ascii="Times New Roman" w:hAnsi="Times New Roman" w:cs="Times New Roman"/>
          <w:b/>
          <w:noProof/>
          <w:lang w:val="en-IE"/>
        </w:rPr>
        <w:t xml:space="preserve">user-friendliness and accessibility of information </w:t>
      </w:r>
      <w:r w:rsidR="00D577A5" w:rsidRPr="00F75E2E">
        <w:rPr>
          <w:rFonts w:ascii="Times New Roman" w:hAnsi="Times New Roman" w:cs="Times New Roman"/>
          <w:b/>
          <w:noProof/>
          <w:lang w:val="en-IE"/>
        </w:rPr>
        <w:t>for patients</w:t>
      </w:r>
      <w:r w:rsidR="008810BB">
        <w:rPr>
          <w:rFonts w:ascii="Times New Roman" w:hAnsi="Times New Roman" w:cs="Times New Roman"/>
          <w:b/>
          <w:noProof/>
          <w:lang w:val="en-IE"/>
        </w:rPr>
        <w:t xml:space="preserve"> including </w:t>
      </w:r>
      <w:r w:rsidR="003D3F4E">
        <w:rPr>
          <w:rFonts w:ascii="Times New Roman" w:hAnsi="Times New Roman" w:cs="Times New Roman"/>
          <w:b/>
          <w:noProof/>
          <w:lang w:val="en-IE"/>
        </w:rPr>
        <w:t xml:space="preserve">for </w:t>
      </w:r>
      <w:r w:rsidR="008810BB">
        <w:rPr>
          <w:rFonts w:ascii="Times New Roman" w:hAnsi="Times New Roman" w:cs="Times New Roman"/>
          <w:b/>
          <w:noProof/>
          <w:lang w:val="en-IE"/>
        </w:rPr>
        <w:t>people with disabilities</w:t>
      </w:r>
      <w:r w:rsidR="00D577A5" w:rsidRPr="00F75E2E">
        <w:rPr>
          <w:rFonts w:ascii="Times New Roman" w:hAnsi="Times New Roman" w:cs="Times New Roman"/>
          <w:b/>
          <w:noProof/>
          <w:lang w:val="en-IE"/>
        </w:rPr>
        <w:t>.</w:t>
      </w:r>
      <w:r w:rsidR="00D577A5">
        <w:rPr>
          <w:rFonts w:ascii="Times New Roman" w:hAnsi="Times New Roman" w:cs="Times New Roman"/>
          <w:noProof/>
          <w:lang w:val="en-IE"/>
        </w:rPr>
        <w:t xml:space="preserve"> </w:t>
      </w:r>
      <w:r w:rsidR="00716425" w:rsidRPr="00B8512B">
        <w:rPr>
          <w:rFonts w:ascii="Times New Roman" w:hAnsi="Times New Roman" w:cs="Times New Roman"/>
          <w:noProof/>
          <w:lang w:val="en-IE"/>
        </w:rPr>
        <w:t>The Commission’s Manual for Patients and guiding principles</w:t>
      </w:r>
      <w:r w:rsidR="00D61ED1">
        <w:rPr>
          <w:rFonts w:ascii="Times New Roman" w:hAnsi="Times New Roman" w:cs="Times New Roman"/>
          <w:noProof/>
          <w:lang w:val="en-IE"/>
        </w:rPr>
        <w:t xml:space="preserve"> </w:t>
      </w:r>
      <w:r w:rsidR="00716425" w:rsidRPr="00B8512B">
        <w:rPr>
          <w:rFonts w:ascii="Times New Roman" w:hAnsi="Times New Roman" w:cs="Times New Roman"/>
          <w:noProof/>
          <w:lang w:val="en-IE"/>
        </w:rPr>
        <w:t>provide tools to support NCP</w:t>
      </w:r>
      <w:r w:rsidR="00F273FD">
        <w:rPr>
          <w:rFonts w:ascii="Times New Roman" w:hAnsi="Times New Roman" w:cs="Times New Roman"/>
          <w:noProof/>
          <w:lang w:val="en-IE"/>
        </w:rPr>
        <w:t xml:space="preserve">s </w:t>
      </w:r>
      <w:r w:rsidR="00D577A5">
        <w:rPr>
          <w:rFonts w:ascii="Times New Roman" w:hAnsi="Times New Roman" w:cs="Times New Roman"/>
          <w:noProof/>
          <w:lang w:val="en-IE"/>
        </w:rPr>
        <w:t>in their work</w:t>
      </w:r>
      <w:r w:rsidR="00405B45">
        <w:rPr>
          <w:rFonts w:ascii="Times New Roman" w:hAnsi="Times New Roman" w:cs="Times New Roman"/>
          <w:noProof/>
          <w:lang w:val="en-IE"/>
        </w:rPr>
        <w:t xml:space="preserve"> and should be widely promoted</w:t>
      </w:r>
      <w:r w:rsidR="00D577A5">
        <w:rPr>
          <w:rFonts w:ascii="Times New Roman" w:hAnsi="Times New Roman" w:cs="Times New Roman"/>
          <w:noProof/>
          <w:lang w:val="en-IE"/>
        </w:rPr>
        <w:t xml:space="preserve">. </w:t>
      </w:r>
      <w:r w:rsidR="00F273FD">
        <w:rPr>
          <w:rFonts w:ascii="Times New Roman" w:hAnsi="Times New Roman" w:cs="Times New Roman"/>
          <w:noProof/>
          <w:lang w:val="en-IE"/>
        </w:rPr>
        <w:t>T</w:t>
      </w:r>
      <w:r w:rsidR="00716425" w:rsidRPr="00B8512B">
        <w:rPr>
          <w:rFonts w:ascii="Times New Roman" w:hAnsi="Times New Roman" w:cs="Times New Roman"/>
          <w:noProof/>
          <w:lang w:val="en-IE"/>
        </w:rPr>
        <w:t xml:space="preserve">he </w:t>
      </w:r>
      <w:r w:rsidR="00D577A5">
        <w:rPr>
          <w:rFonts w:ascii="Times New Roman" w:hAnsi="Times New Roman" w:cs="Times New Roman"/>
          <w:noProof/>
          <w:lang w:val="en-IE"/>
        </w:rPr>
        <w:t xml:space="preserve">Commission </w:t>
      </w:r>
      <w:r w:rsidR="000D2C5E">
        <w:rPr>
          <w:rFonts w:ascii="Times New Roman" w:hAnsi="Times New Roman" w:cs="Times New Roman"/>
          <w:noProof/>
          <w:lang w:val="en-IE"/>
        </w:rPr>
        <w:t>considers</w:t>
      </w:r>
      <w:r w:rsidR="00D577A5">
        <w:rPr>
          <w:rFonts w:ascii="Times New Roman" w:hAnsi="Times New Roman" w:cs="Times New Roman"/>
          <w:noProof/>
          <w:lang w:val="en-IE"/>
        </w:rPr>
        <w:t xml:space="preserve"> </w:t>
      </w:r>
      <w:r w:rsidR="00716425" w:rsidRPr="00B8512B">
        <w:rPr>
          <w:rFonts w:ascii="Times New Roman" w:hAnsi="Times New Roman" w:cs="Times New Roman"/>
          <w:noProof/>
          <w:lang w:val="en-IE"/>
        </w:rPr>
        <w:t>NCPs</w:t>
      </w:r>
      <w:r w:rsidR="00D577A5">
        <w:rPr>
          <w:rFonts w:ascii="Times New Roman" w:hAnsi="Times New Roman" w:cs="Times New Roman"/>
          <w:noProof/>
          <w:lang w:val="en-IE"/>
        </w:rPr>
        <w:t xml:space="preserve"> </w:t>
      </w:r>
      <w:r w:rsidR="000D2C5E">
        <w:rPr>
          <w:rFonts w:ascii="Times New Roman" w:hAnsi="Times New Roman" w:cs="Times New Roman"/>
          <w:noProof/>
          <w:lang w:val="en-IE"/>
        </w:rPr>
        <w:t xml:space="preserve">should </w:t>
      </w:r>
      <w:r w:rsidR="00D577A5">
        <w:rPr>
          <w:rFonts w:ascii="Times New Roman" w:hAnsi="Times New Roman" w:cs="Times New Roman"/>
          <w:noProof/>
          <w:lang w:val="en-IE"/>
        </w:rPr>
        <w:t>engage</w:t>
      </w:r>
      <w:r w:rsidR="00D61ED1">
        <w:rPr>
          <w:rFonts w:ascii="Times New Roman" w:hAnsi="Times New Roman" w:cs="Times New Roman"/>
          <w:noProof/>
          <w:lang w:val="en-IE"/>
        </w:rPr>
        <w:t xml:space="preserve"> </w:t>
      </w:r>
      <w:r w:rsidR="00716425" w:rsidRPr="00B8512B">
        <w:rPr>
          <w:rFonts w:ascii="Times New Roman" w:hAnsi="Times New Roman" w:cs="Times New Roman"/>
          <w:noProof/>
          <w:lang w:val="en-IE"/>
        </w:rPr>
        <w:t>with patient organisations, healthcare professi</w:t>
      </w:r>
      <w:r w:rsidR="00D61ED1">
        <w:rPr>
          <w:rFonts w:ascii="Times New Roman" w:hAnsi="Times New Roman" w:cs="Times New Roman"/>
          <w:noProof/>
          <w:lang w:val="en-IE"/>
        </w:rPr>
        <w:t xml:space="preserve">onals and health insurers to </w:t>
      </w:r>
      <w:r w:rsidR="00A53CD2">
        <w:rPr>
          <w:rFonts w:ascii="Times New Roman" w:hAnsi="Times New Roman" w:cs="Times New Roman"/>
          <w:noProof/>
          <w:lang w:val="en-IE"/>
        </w:rPr>
        <w:t>raise</w:t>
      </w:r>
      <w:r w:rsidR="00716425" w:rsidRPr="00B8512B">
        <w:rPr>
          <w:rFonts w:ascii="Times New Roman" w:hAnsi="Times New Roman" w:cs="Times New Roman"/>
          <w:noProof/>
          <w:lang w:val="en-IE"/>
        </w:rPr>
        <w:t xml:space="preserve"> awareness </w:t>
      </w:r>
      <w:r w:rsidR="00405B45">
        <w:rPr>
          <w:rFonts w:ascii="Times New Roman" w:hAnsi="Times New Roman" w:cs="Times New Roman"/>
          <w:noProof/>
          <w:lang w:val="en-IE"/>
        </w:rPr>
        <w:t>on cross-border healthcare</w:t>
      </w:r>
      <w:r w:rsidR="004D4097">
        <w:rPr>
          <w:rFonts w:ascii="Times New Roman" w:hAnsi="Times New Roman" w:cs="Times New Roman"/>
          <w:noProof/>
          <w:lang w:val="en-IE"/>
        </w:rPr>
        <w:t>,</w:t>
      </w:r>
      <w:r w:rsidR="00405B45">
        <w:rPr>
          <w:rFonts w:ascii="Times New Roman" w:hAnsi="Times New Roman" w:cs="Times New Roman"/>
          <w:noProof/>
          <w:lang w:val="en-IE"/>
        </w:rPr>
        <w:t xml:space="preserve"> </w:t>
      </w:r>
      <w:r w:rsidR="00716425" w:rsidRPr="00B8512B">
        <w:rPr>
          <w:rFonts w:ascii="Times New Roman" w:hAnsi="Times New Roman" w:cs="Times New Roman"/>
          <w:noProof/>
          <w:lang w:val="en-IE"/>
        </w:rPr>
        <w:t xml:space="preserve">and </w:t>
      </w:r>
      <w:r w:rsidR="003D3F4E">
        <w:rPr>
          <w:rFonts w:ascii="Times New Roman" w:hAnsi="Times New Roman" w:cs="Times New Roman"/>
          <w:noProof/>
          <w:lang w:val="en-IE"/>
        </w:rPr>
        <w:t xml:space="preserve">to </w:t>
      </w:r>
      <w:r w:rsidR="00F526BC">
        <w:rPr>
          <w:rFonts w:ascii="Times New Roman" w:hAnsi="Times New Roman" w:cs="Times New Roman"/>
          <w:noProof/>
          <w:lang w:val="en-IE"/>
        </w:rPr>
        <w:t xml:space="preserve">join forces to </w:t>
      </w:r>
      <w:r w:rsidR="00716425" w:rsidRPr="00B8512B">
        <w:rPr>
          <w:rFonts w:ascii="Times New Roman" w:hAnsi="Times New Roman" w:cs="Times New Roman"/>
          <w:noProof/>
          <w:lang w:val="en-IE"/>
        </w:rPr>
        <w:t xml:space="preserve">reduce the administrative and </w:t>
      </w:r>
      <w:r w:rsidR="00C26586" w:rsidRPr="00B8512B">
        <w:rPr>
          <w:rFonts w:ascii="Times New Roman" w:hAnsi="Times New Roman" w:cs="Times New Roman"/>
          <w:noProof/>
          <w:lang w:val="en-IE"/>
        </w:rPr>
        <w:t>emotional burden on patients</w:t>
      </w:r>
      <w:r w:rsidR="00405B45">
        <w:rPr>
          <w:rFonts w:ascii="Times New Roman" w:hAnsi="Times New Roman" w:cs="Times New Roman"/>
          <w:noProof/>
          <w:lang w:val="en-IE"/>
        </w:rPr>
        <w:t xml:space="preserve"> seeking healthcare abroad</w:t>
      </w:r>
      <w:r w:rsidR="00C26586" w:rsidRPr="00B8512B">
        <w:rPr>
          <w:rFonts w:ascii="Times New Roman" w:hAnsi="Times New Roman" w:cs="Times New Roman"/>
          <w:noProof/>
          <w:lang w:val="en-IE"/>
        </w:rPr>
        <w:t>.</w:t>
      </w:r>
      <w:r w:rsidR="00D61ED1">
        <w:rPr>
          <w:rFonts w:ascii="Times New Roman" w:hAnsi="Times New Roman" w:cs="Times New Roman"/>
          <w:noProof/>
          <w:lang w:val="en-IE"/>
        </w:rPr>
        <w:t xml:space="preserve"> </w:t>
      </w:r>
      <w:r w:rsidR="0055734C">
        <w:rPr>
          <w:rFonts w:ascii="Times New Roman" w:hAnsi="Times New Roman" w:cs="Times New Roman"/>
          <w:noProof/>
          <w:lang w:val="en-IE"/>
        </w:rPr>
        <w:t>Moreover, p</w:t>
      </w:r>
      <w:r w:rsidR="0055734C" w:rsidRPr="0055734C">
        <w:rPr>
          <w:rFonts w:ascii="Times New Roman" w:hAnsi="Times New Roman" w:cs="Times New Roman"/>
          <w:noProof/>
          <w:lang w:val="en-IE"/>
        </w:rPr>
        <w:t xml:space="preserve">roviding greater </w:t>
      </w:r>
      <w:r w:rsidR="0055734C" w:rsidRPr="00F75E2E">
        <w:rPr>
          <w:rFonts w:ascii="Times New Roman" w:hAnsi="Times New Roman" w:cs="Times New Roman"/>
          <w:b/>
          <w:noProof/>
          <w:lang w:val="en-IE"/>
        </w:rPr>
        <w:t xml:space="preserve">clarity </w:t>
      </w:r>
      <w:r w:rsidR="004D4097">
        <w:rPr>
          <w:rFonts w:ascii="Times New Roman" w:hAnsi="Times New Roman" w:cs="Times New Roman"/>
          <w:b/>
          <w:noProof/>
          <w:lang w:val="en-IE"/>
        </w:rPr>
        <w:t>on</w:t>
      </w:r>
      <w:r w:rsidR="004D4097" w:rsidRPr="00F75E2E">
        <w:rPr>
          <w:rFonts w:ascii="Times New Roman" w:hAnsi="Times New Roman" w:cs="Times New Roman"/>
          <w:b/>
          <w:noProof/>
          <w:lang w:val="en-IE"/>
        </w:rPr>
        <w:t xml:space="preserve"> </w:t>
      </w:r>
      <w:r w:rsidR="0055734C" w:rsidRPr="00F75E2E">
        <w:rPr>
          <w:rFonts w:ascii="Times New Roman" w:hAnsi="Times New Roman" w:cs="Times New Roman"/>
          <w:b/>
          <w:noProof/>
          <w:lang w:val="en-IE"/>
        </w:rPr>
        <w:t>the Directive’s relationship with the Regulation</w:t>
      </w:r>
      <w:r w:rsidR="004D4097" w:rsidRPr="000854BB">
        <w:rPr>
          <w:rFonts w:ascii="Times New Roman" w:hAnsi="Times New Roman" w:cs="Times New Roman"/>
          <w:noProof/>
          <w:lang w:val="en-IE"/>
        </w:rPr>
        <w:t>,</w:t>
      </w:r>
      <w:r w:rsidR="0055734C" w:rsidRPr="0055734C">
        <w:rPr>
          <w:rFonts w:ascii="Times New Roman" w:hAnsi="Times New Roman" w:cs="Times New Roman"/>
          <w:noProof/>
          <w:lang w:val="en-IE"/>
        </w:rPr>
        <w:t xml:space="preserve"> </w:t>
      </w:r>
      <w:r w:rsidR="0055734C" w:rsidRPr="00B8512B">
        <w:rPr>
          <w:rFonts w:ascii="Times New Roman" w:hAnsi="Times New Roman" w:cs="Times New Roman"/>
          <w:noProof/>
          <w:lang w:val="en-IE"/>
        </w:rPr>
        <w:t>and inform</w:t>
      </w:r>
      <w:r w:rsidR="0055734C">
        <w:rPr>
          <w:rFonts w:ascii="Times New Roman" w:hAnsi="Times New Roman" w:cs="Times New Roman"/>
          <w:noProof/>
          <w:lang w:val="en-IE"/>
        </w:rPr>
        <w:t>ation on how these schemes work</w:t>
      </w:r>
      <w:r w:rsidR="004D4097">
        <w:rPr>
          <w:rFonts w:ascii="Times New Roman" w:hAnsi="Times New Roman" w:cs="Times New Roman"/>
          <w:noProof/>
          <w:lang w:val="en-IE"/>
        </w:rPr>
        <w:t>,</w:t>
      </w:r>
      <w:r w:rsidR="0055734C">
        <w:rPr>
          <w:rFonts w:ascii="Times New Roman" w:hAnsi="Times New Roman" w:cs="Times New Roman"/>
          <w:noProof/>
          <w:lang w:val="en-IE"/>
        </w:rPr>
        <w:t xml:space="preserve"> </w:t>
      </w:r>
      <w:r w:rsidR="0055734C" w:rsidRPr="00B8512B">
        <w:rPr>
          <w:rFonts w:ascii="Times New Roman" w:hAnsi="Times New Roman" w:cs="Times New Roman"/>
          <w:noProof/>
          <w:lang w:val="en-IE"/>
        </w:rPr>
        <w:t>are a priority</w:t>
      </w:r>
      <w:r w:rsidR="0055734C">
        <w:rPr>
          <w:rFonts w:ascii="Times New Roman" w:hAnsi="Times New Roman" w:cs="Times New Roman"/>
          <w:noProof/>
          <w:lang w:val="en-IE"/>
        </w:rPr>
        <w:t xml:space="preserve"> to improve patient choice </w:t>
      </w:r>
      <w:r w:rsidR="004D4097">
        <w:rPr>
          <w:rFonts w:ascii="Times New Roman" w:hAnsi="Times New Roman" w:cs="Times New Roman"/>
          <w:noProof/>
          <w:lang w:val="en-IE"/>
        </w:rPr>
        <w:t xml:space="preserve">in </w:t>
      </w:r>
      <w:r w:rsidR="0055734C">
        <w:rPr>
          <w:rFonts w:ascii="Times New Roman" w:hAnsi="Times New Roman" w:cs="Times New Roman"/>
          <w:noProof/>
          <w:lang w:val="en-IE"/>
        </w:rPr>
        <w:t>cross-border healthcare</w:t>
      </w:r>
      <w:r w:rsidR="0055734C" w:rsidRPr="00B8512B">
        <w:rPr>
          <w:rFonts w:ascii="Times New Roman" w:hAnsi="Times New Roman" w:cs="Times New Roman"/>
          <w:noProof/>
          <w:lang w:val="en-IE"/>
        </w:rPr>
        <w:t>.</w:t>
      </w:r>
    </w:p>
    <w:p w14:paraId="1F7F5A3C" w14:textId="767798CA" w:rsidR="00716425" w:rsidRPr="00B8512B" w:rsidRDefault="00F526BC" w:rsidP="00716425">
      <w:pPr>
        <w:rPr>
          <w:rFonts w:ascii="Times New Roman" w:hAnsi="Times New Roman" w:cs="Times New Roman"/>
          <w:noProof/>
          <w:lang w:val="en-IE"/>
        </w:rPr>
      </w:pPr>
      <w:r>
        <w:rPr>
          <w:rFonts w:ascii="Times New Roman" w:hAnsi="Times New Roman" w:cs="Times New Roman"/>
          <w:noProof/>
          <w:lang w:val="en-IE"/>
        </w:rPr>
        <w:t xml:space="preserve">The creation of the European </w:t>
      </w:r>
      <w:r w:rsidR="004D4097">
        <w:rPr>
          <w:rFonts w:ascii="Times New Roman" w:hAnsi="Times New Roman" w:cs="Times New Roman"/>
          <w:noProof/>
          <w:lang w:val="en-IE"/>
        </w:rPr>
        <w:t>r</w:t>
      </w:r>
      <w:r>
        <w:rPr>
          <w:rFonts w:ascii="Times New Roman" w:hAnsi="Times New Roman" w:cs="Times New Roman"/>
          <w:noProof/>
          <w:lang w:val="en-IE"/>
        </w:rPr>
        <w:t xml:space="preserve">eference </w:t>
      </w:r>
      <w:r w:rsidR="004D4097">
        <w:rPr>
          <w:rFonts w:ascii="Times New Roman" w:hAnsi="Times New Roman" w:cs="Times New Roman"/>
          <w:noProof/>
          <w:lang w:val="en-IE"/>
        </w:rPr>
        <w:t>n</w:t>
      </w:r>
      <w:r>
        <w:rPr>
          <w:rFonts w:ascii="Times New Roman" w:hAnsi="Times New Roman" w:cs="Times New Roman"/>
          <w:noProof/>
          <w:lang w:val="en-IE"/>
        </w:rPr>
        <w:t xml:space="preserve">etworks </w:t>
      </w:r>
      <w:r w:rsidR="00716425" w:rsidRPr="00B8512B">
        <w:rPr>
          <w:rFonts w:ascii="Times New Roman" w:hAnsi="Times New Roman" w:cs="Times New Roman"/>
          <w:noProof/>
          <w:lang w:val="en-IE"/>
        </w:rPr>
        <w:t>has mobili</w:t>
      </w:r>
      <w:r w:rsidR="004D4097">
        <w:rPr>
          <w:rFonts w:ascii="Times New Roman" w:hAnsi="Times New Roman" w:cs="Times New Roman"/>
          <w:noProof/>
          <w:lang w:val="en-IE"/>
        </w:rPr>
        <w:t>s</w:t>
      </w:r>
      <w:r w:rsidR="00716425" w:rsidRPr="00B8512B">
        <w:rPr>
          <w:rFonts w:ascii="Times New Roman" w:hAnsi="Times New Roman" w:cs="Times New Roman"/>
          <w:noProof/>
          <w:lang w:val="en-IE"/>
        </w:rPr>
        <w:t xml:space="preserve">ed substantial commitment </w:t>
      </w:r>
      <w:r w:rsidR="004D4097">
        <w:rPr>
          <w:rFonts w:ascii="Times New Roman" w:hAnsi="Times New Roman" w:cs="Times New Roman"/>
          <w:noProof/>
          <w:lang w:val="en-IE"/>
        </w:rPr>
        <w:t>from</w:t>
      </w:r>
      <w:r w:rsidR="004D4097" w:rsidRPr="00B8512B">
        <w:rPr>
          <w:rFonts w:ascii="Times New Roman" w:hAnsi="Times New Roman" w:cs="Times New Roman"/>
          <w:noProof/>
          <w:lang w:val="en-IE"/>
        </w:rPr>
        <w:t xml:space="preserve"> </w:t>
      </w:r>
      <w:r w:rsidR="00C26586" w:rsidRPr="00B8512B">
        <w:rPr>
          <w:rFonts w:ascii="Times New Roman" w:hAnsi="Times New Roman" w:cs="Times New Roman"/>
          <w:noProof/>
          <w:lang w:val="en-IE"/>
        </w:rPr>
        <w:t>health professionals</w:t>
      </w:r>
      <w:r w:rsidR="00716425" w:rsidRPr="00B8512B">
        <w:rPr>
          <w:rFonts w:ascii="Times New Roman" w:hAnsi="Times New Roman" w:cs="Times New Roman"/>
          <w:noProof/>
          <w:lang w:val="en-IE"/>
        </w:rPr>
        <w:t xml:space="preserve"> and investment by healthcare providers in the area of rare diseases</w:t>
      </w:r>
      <w:r w:rsidR="004D4097">
        <w:rPr>
          <w:rFonts w:ascii="Times New Roman" w:hAnsi="Times New Roman" w:cs="Times New Roman"/>
          <w:noProof/>
          <w:lang w:val="en-IE"/>
        </w:rPr>
        <w:t>.</w:t>
      </w:r>
      <w:r w:rsidR="00716425" w:rsidRPr="00B8512B">
        <w:rPr>
          <w:rFonts w:ascii="Times New Roman" w:hAnsi="Times New Roman" w:cs="Times New Roman"/>
          <w:noProof/>
          <w:lang w:val="en-IE"/>
        </w:rPr>
        <w:t xml:space="preserve"> </w:t>
      </w:r>
      <w:r w:rsidR="00B20873">
        <w:rPr>
          <w:rFonts w:ascii="Times New Roman" w:hAnsi="Times New Roman" w:cs="Times New Roman"/>
          <w:noProof/>
          <w:lang w:val="en-IE"/>
        </w:rPr>
        <w:t xml:space="preserve">The ERNs have enabled the </w:t>
      </w:r>
      <w:r w:rsidR="00D77751">
        <w:rPr>
          <w:rFonts w:ascii="Times New Roman" w:hAnsi="Times New Roman" w:cs="Times New Roman"/>
          <w:noProof/>
          <w:lang w:val="en-IE"/>
        </w:rPr>
        <w:t xml:space="preserve">exchange of </w:t>
      </w:r>
      <w:r w:rsidR="00B20873">
        <w:rPr>
          <w:rFonts w:ascii="Times New Roman" w:hAnsi="Times New Roman" w:cs="Times New Roman"/>
          <w:noProof/>
          <w:lang w:val="en-IE"/>
        </w:rPr>
        <w:t xml:space="preserve">scarce </w:t>
      </w:r>
      <w:r w:rsidR="00D77751">
        <w:rPr>
          <w:rFonts w:ascii="Times New Roman" w:hAnsi="Times New Roman" w:cs="Times New Roman"/>
          <w:noProof/>
          <w:lang w:val="en-IE"/>
        </w:rPr>
        <w:t xml:space="preserve">knowledge </w:t>
      </w:r>
      <w:r w:rsidR="00B20873">
        <w:rPr>
          <w:rFonts w:ascii="Times New Roman" w:hAnsi="Times New Roman" w:cs="Times New Roman"/>
          <w:noProof/>
          <w:lang w:val="en-IE"/>
        </w:rPr>
        <w:t xml:space="preserve">to the </w:t>
      </w:r>
      <w:r w:rsidR="00716425" w:rsidRPr="00B8512B">
        <w:rPr>
          <w:rFonts w:ascii="Times New Roman" w:hAnsi="Times New Roman" w:cs="Times New Roman"/>
          <w:noProof/>
          <w:lang w:val="en-IE"/>
        </w:rPr>
        <w:t>benefit</w:t>
      </w:r>
      <w:r w:rsidR="0084042A">
        <w:rPr>
          <w:rFonts w:ascii="Times New Roman" w:hAnsi="Times New Roman" w:cs="Times New Roman"/>
          <w:noProof/>
          <w:lang w:val="en-IE"/>
        </w:rPr>
        <w:t xml:space="preserve"> </w:t>
      </w:r>
      <w:r w:rsidR="00D61ED1">
        <w:rPr>
          <w:rFonts w:ascii="Times New Roman" w:hAnsi="Times New Roman" w:cs="Times New Roman"/>
          <w:noProof/>
          <w:lang w:val="en-IE"/>
        </w:rPr>
        <w:t xml:space="preserve">of </w:t>
      </w:r>
      <w:r w:rsidR="00475D5D">
        <w:rPr>
          <w:rFonts w:ascii="Times New Roman" w:hAnsi="Times New Roman" w:cs="Times New Roman"/>
          <w:noProof/>
          <w:lang w:val="en-IE"/>
        </w:rPr>
        <w:t xml:space="preserve">rare disease </w:t>
      </w:r>
      <w:r w:rsidR="00716425" w:rsidRPr="00B8512B">
        <w:rPr>
          <w:rFonts w:ascii="Times New Roman" w:hAnsi="Times New Roman" w:cs="Times New Roman"/>
          <w:noProof/>
          <w:lang w:val="en-IE"/>
        </w:rPr>
        <w:t>patients.</w:t>
      </w:r>
      <w:r w:rsidR="00B20873">
        <w:rPr>
          <w:rFonts w:ascii="Times New Roman" w:hAnsi="Times New Roman" w:cs="Times New Roman"/>
          <w:noProof/>
          <w:lang w:val="en-IE"/>
        </w:rPr>
        <w:t xml:space="preserve"> Their involvement in research </w:t>
      </w:r>
      <w:r w:rsidR="000416F4">
        <w:rPr>
          <w:rFonts w:ascii="Times New Roman" w:hAnsi="Times New Roman" w:cs="Times New Roman"/>
          <w:noProof/>
          <w:lang w:val="en-IE"/>
        </w:rPr>
        <w:t>on rare diseases</w:t>
      </w:r>
      <w:r w:rsidR="000416F4">
        <w:rPr>
          <w:rStyle w:val="FootnoteReference"/>
          <w:rFonts w:ascii="Times New Roman" w:hAnsi="Times New Roman" w:cs="Times New Roman"/>
          <w:noProof/>
          <w:lang w:val="en-IE"/>
        </w:rPr>
        <w:footnoteReference w:id="62"/>
      </w:r>
      <w:r w:rsidR="000416F4">
        <w:rPr>
          <w:rFonts w:ascii="Times New Roman" w:hAnsi="Times New Roman" w:cs="Times New Roman"/>
          <w:noProof/>
          <w:lang w:val="en-IE"/>
        </w:rPr>
        <w:t xml:space="preserve"> </w:t>
      </w:r>
      <w:r w:rsidR="00B20873">
        <w:rPr>
          <w:rFonts w:ascii="Times New Roman" w:hAnsi="Times New Roman" w:cs="Times New Roman"/>
          <w:noProof/>
          <w:lang w:val="en-IE"/>
        </w:rPr>
        <w:t>is critical to find solutions for patients encountering diagnosi</w:t>
      </w:r>
      <w:r w:rsidR="00EA4236">
        <w:rPr>
          <w:rFonts w:ascii="Times New Roman" w:hAnsi="Times New Roman" w:cs="Times New Roman"/>
          <w:noProof/>
          <w:lang w:val="en-IE"/>
        </w:rPr>
        <w:t>s difficulties or having no treatment option for one of the estimated</w:t>
      </w:r>
      <w:r w:rsidR="00B20873">
        <w:rPr>
          <w:rFonts w:ascii="Times New Roman" w:hAnsi="Times New Roman" w:cs="Times New Roman"/>
          <w:noProof/>
          <w:lang w:val="en-IE"/>
        </w:rPr>
        <w:t xml:space="preserve"> 6000-8000 rare disease</w:t>
      </w:r>
      <w:r w:rsidR="003D3F4E">
        <w:rPr>
          <w:rFonts w:ascii="Times New Roman" w:hAnsi="Times New Roman" w:cs="Times New Roman"/>
          <w:noProof/>
          <w:lang w:val="en-IE"/>
        </w:rPr>
        <w:t>s</w:t>
      </w:r>
      <w:r w:rsidR="00475D5D">
        <w:rPr>
          <w:rFonts w:ascii="Times New Roman" w:hAnsi="Times New Roman" w:cs="Times New Roman"/>
          <w:noProof/>
          <w:lang w:val="en-IE"/>
        </w:rPr>
        <w:t xml:space="preserve">. </w:t>
      </w:r>
      <w:r w:rsidR="004D4097">
        <w:rPr>
          <w:rFonts w:ascii="Times New Roman" w:hAnsi="Times New Roman" w:cs="Times New Roman"/>
          <w:noProof/>
          <w:lang w:val="en-IE"/>
        </w:rPr>
        <w:t>S</w:t>
      </w:r>
      <w:r w:rsidR="00716425" w:rsidRPr="00B8512B">
        <w:rPr>
          <w:rFonts w:ascii="Times New Roman" w:hAnsi="Times New Roman" w:cs="Times New Roman"/>
          <w:noProof/>
          <w:lang w:val="en-IE"/>
        </w:rPr>
        <w:t>afeguard</w:t>
      </w:r>
      <w:r w:rsidR="004D4097">
        <w:rPr>
          <w:rFonts w:ascii="Times New Roman" w:hAnsi="Times New Roman" w:cs="Times New Roman"/>
          <w:noProof/>
          <w:lang w:val="en-IE"/>
        </w:rPr>
        <w:t>ing</w:t>
      </w:r>
      <w:r w:rsidR="00716425" w:rsidRPr="00B8512B">
        <w:rPr>
          <w:rFonts w:ascii="Times New Roman" w:hAnsi="Times New Roman" w:cs="Times New Roman"/>
          <w:noProof/>
          <w:lang w:val="en-IE"/>
        </w:rPr>
        <w:t xml:space="preserve"> the </w:t>
      </w:r>
      <w:r w:rsidR="00716425" w:rsidRPr="00F526BC">
        <w:rPr>
          <w:rFonts w:ascii="Times New Roman" w:hAnsi="Times New Roman" w:cs="Times New Roman"/>
          <w:b/>
          <w:noProof/>
          <w:lang w:val="en-IE"/>
        </w:rPr>
        <w:t xml:space="preserve">sustainable development </w:t>
      </w:r>
      <w:r w:rsidR="004D4097">
        <w:rPr>
          <w:rFonts w:ascii="Times New Roman" w:hAnsi="Times New Roman" w:cs="Times New Roman"/>
          <w:b/>
          <w:noProof/>
          <w:lang w:val="en-IE"/>
        </w:rPr>
        <w:t xml:space="preserve">of </w:t>
      </w:r>
      <w:r w:rsidR="004D4097" w:rsidRPr="00F526BC">
        <w:rPr>
          <w:rFonts w:ascii="Times New Roman" w:hAnsi="Times New Roman" w:cs="Times New Roman"/>
          <w:b/>
          <w:noProof/>
          <w:lang w:val="en-IE"/>
        </w:rPr>
        <w:t>ERNs</w:t>
      </w:r>
      <w:r w:rsidR="004D4097">
        <w:rPr>
          <w:rFonts w:ascii="Times New Roman" w:hAnsi="Times New Roman" w:cs="Times New Roman"/>
          <w:b/>
          <w:noProof/>
          <w:lang w:val="en-IE"/>
        </w:rPr>
        <w:t xml:space="preserve"> </w:t>
      </w:r>
      <w:r w:rsidR="00F273FD">
        <w:rPr>
          <w:rFonts w:ascii="Times New Roman" w:hAnsi="Times New Roman" w:cs="Times New Roman"/>
          <w:noProof/>
          <w:lang w:val="en-IE"/>
        </w:rPr>
        <w:t xml:space="preserve">requires </w:t>
      </w:r>
      <w:r w:rsidR="00716425" w:rsidRPr="00B8512B">
        <w:rPr>
          <w:rFonts w:ascii="Times New Roman" w:hAnsi="Times New Roman" w:cs="Times New Roman"/>
          <w:noProof/>
          <w:lang w:val="en-IE"/>
        </w:rPr>
        <w:t>action by Member States</w:t>
      </w:r>
      <w:r w:rsidR="003E7882">
        <w:rPr>
          <w:rFonts w:ascii="Times New Roman" w:hAnsi="Times New Roman" w:cs="Times New Roman"/>
          <w:noProof/>
          <w:lang w:val="en-IE"/>
        </w:rPr>
        <w:t xml:space="preserve">, supported by the Commission, </w:t>
      </w:r>
      <w:r w:rsidR="00716425" w:rsidRPr="00B8512B">
        <w:rPr>
          <w:rFonts w:ascii="Times New Roman" w:hAnsi="Times New Roman" w:cs="Times New Roman"/>
          <w:noProof/>
          <w:lang w:val="en-IE"/>
        </w:rPr>
        <w:t xml:space="preserve">to </w:t>
      </w:r>
      <w:r w:rsidR="00716425" w:rsidRPr="00F75E2E">
        <w:rPr>
          <w:rFonts w:ascii="Times New Roman" w:hAnsi="Times New Roman" w:cs="Times New Roman"/>
          <w:b/>
          <w:noProof/>
          <w:lang w:val="en-IE"/>
        </w:rPr>
        <w:t>better integrate ERNs into national healthcare system</w:t>
      </w:r>
      <w:r w:rsidR="00716425" w:rsidRPr="000854BB">
        <w:rPr>
          <w:rFonts w:ascii="Times New Roman" w:hAnsi="Times New Roman" w:cs="Times New Roman"/>
          <w:b/>
          <w:noProof/>
          <w:lang w:val="en-IE"/>
        </w:rPr>
        <w:t>s</w:t>
      </w:r>
      <w:r w:rsidR="00716425" w:rsidRPr="00B8512B">
        <w:rPr>
          <w:rFonts w:ascii="Times New Roman" w:hAnsi="Times New Roman" w:cs="Times New Roman"/>
          <w:noProof/>
          <w:lang w:val="en-IE"/>
        </w:rPr>
        <w:t xml:space="preserve">. </w:t>
      </w:r>
      <w:r>
        <w:rPr>
          <w:rFonts w:ascii="Times New Roman" w:hAnsi="Times New Roman" w:cs="Times New Roman"/>
          <w:noProof/>
          <w:lang w:val="en-IE"/>
        </w:rPr>
        <w:t>S</w:t>
      </w:r>
      <w:r w:rsidR="00716425" w:rsidRPr="00B8512B">
        <w:rPr>
          <w:rFonts w:ascii="Times New Roman" w:hAnsi="Times New Roman" w:cs="Times New Roman"/>
          <w:noProof/>
          <w:lang w:val="en-IE"/>
        </w:rPr>
        <w:t xml:space="preserve">olutions </w:t>
      </w:r>
      <w:r>
        <w:rPr>
          <w:rFonts w:ascii="Times New Roman" w:hAnsi="Times New Roman" w:cs="Times New Roman"/>
          <w:noProof/>
          <w:lang w:val="en-IE"/>
        </w:rPr>
        <w:t xml:space="preserve">are under development </w:t>
      </w:r>
      <w:r w:rsidR="003E7882">
        <w:rPr>
          <w:rFonts w:ascii="Times New Roman" w:hAnsi="Times New Roman" w:cs="Times New Roman"/>
          <w:noProof/>
          <w:lang w:val="en-IE"/>
        </w:rPr>
        <w:t>to</w:t>
      </w:r>
      <w:r w:rsidR="0055734C">
        <w:rPr>
          <w:rFonts w:ascii="Times New Roman" w:hAnsi="Times New Roman" w:cs="Times New Roman"/>
          <w:noProof/>
          <w:lang w:val="en-IE"/>
        </w:rPr>
        <w:t xml:space="preserve"> ensure</w:t>
      </w:r>
      <w:r w:rsidR="003E7882">
        <w:rPr>
          <w:rFonts w:ascii="Times New Roman" w:hAnsi="Times New Roman" w:cs="Times New Roman"/>
          <w:noProof/>
          <w:lang w:val="en-IE"/>
        </w:rPr>
        <w:t xml:space="preserve"> </w:t>
      </w:r>
      <w:r w:rsidR="00716425" w:rsidRPr="00B8512B">
        <w:rPr>
          <w:rFonts w:ascii="Times New Roman" w:hAnsi="Times New Roman" w:cs="Times New Roman"/>
          <w:noProof/>
          <w:lang w:val="en-IE"/>
        </w:rPr>
        <w:t xml:space="preserve">the smooth functioning of ERN virtual consultation panels so that </w:t>
      </w:r>
      <w:r w:rsidR="00802F8E">
        <w:rPr>
          <w:rFonts w:ascii="Times New Roman" w:hAnsi="Times New Roman" w:cs="Times New Roman"/>
          <w:noProof/>
          <w:lang w:val="en-IE"/>
        </w:rPr>
        <w:t xml:space="preserve">more </w:t>
      </w:r>
      <w:r w:rsidR="00716425" w:rsidRPr="00B8512B">
        <w:rPr>
          <w:rFonts w:ascii="Times New Roman" w:hAnsi="Times New Roman" w:cs="Times New Roman"/>
          <w:noProof/>
          <w:lang w:val="en-IE"/>
        </w:rPr>
        <w:t xml:space="preserve">rare disease patients can </w:t>
      </w:r>
      <w:r w:rsidR="00A6226A">
        <w:rPr>
          <w:rFonts w:ascii="Times New Roman" w:hAnsi="Times New Roman" w:cs="Times New Roman"/>
          <w:noProof/>
          <w:lang w:val="en-IE"/>
        </w:rPr>
        <w:t>receive</w:t>
      </w:r>
      <w:r w:rsidR="00A6226A" w:rsidRPr="00B8512B">
        <w:rPr>
          <w:rFonts w:ascii="Times New Roman" w:hAnsi="Times New Roman" w:cs="Times New Roman"/>
          <w:noProof/>
          <w:lang w:val="en-IE"/>
        </w:rPr>
        <w:t xml:space="preserve"> </w:t>
      </w:r>
      <w:r w:rsidR="00716425" w:rsidRPr="00B8512B">
        <w:rPr>
          <w:rFonts w:ascii="Times New Roman" w:hAnsi="Times New Roman" w:cs="Times New Roman"/>
          <w:noProof/>
          <w:lang w:val="en-IE"/>
        </w:rPr>
        <w:t xml:space="preserve">the long-awaited answers about their </w:t>
      </w:r>
      <w:r w:rsidR="00A6226A">
        <w:rPr>
          <w:rFonts w:ascii="Times New Roman" w:hAnsi="Times New Roman" w:cs="Times New Roman"/>
          <w:noProof/>
          <w:lang w:val="en-IE"/>
        </w:rPr>
        <w:t>diagnosis and treatment</w:t>
      </w:r>
      <w:r w:rsidR="00716425" w:rsidRPr="00B8512B">
        <w:rPr>
          <w:rFonts w:ascii="Times New Roman" w:hAnsi="Times New Roman" w:cs="Times New Roman"/>
          <w:noProof/>
          <w:lang w:val="en-IE"/>
        </w:rPr>
        <w:t>.</w:t>
      </w:r>
      <w:r w:rsidR="00802F8E">
        <w:rPr>
          <w:rFonts w:ascii="Times New Roman" w:hAnsi="Times New Roman" w:cs="Times New Roman"/>
          <w:noProof/>
          <w:lang w:val="en-IE"/>
        </w:rPr>
        <w:t xml:space="preserve"> </w:t>
      </w:r>
    </w:p>
    <w:p w14:paraId="1D245C69" w14:textId="53052B45" w:rsidR="00B2664E" w:rsidRPr="00B8512B" w:rsidRDefault="005C18FF" w:rsidP="003A5BF1">
      <w:pPr>
        <w:rPr>
          <w:rFonts w:ascii="Times New Roman" w:hAnsi="Times New Roman" w:cs="Times New Roman"/>
          <w:noProof/>
          <w:lang w:val="en-IE"/>
        </w:rPr>
      </w:pPr>
      <w:r w:rsidRPr="00B8512B">
        <w:rPr>
          <w:rFonts w:ascii="Times New Roman" w:hAnsi="Times New Roman" w:cs="Times New Roman"/>
          <w:noProof/>
          <w:lang w:val="en-IE"/>
        </w:rPr>
        <w:t xml:space="preserve">The </w:t>
      </w:r>
      <w:r w:rsidR="004D4097" w:rsidRPr="00B8512B">
        <w:rPr>
          <w:rFonts w:ascii="Times New Roman" w:hAnsi="Times New Roman" w:cs="Times New Roman"/>
          <w:noProof/>
          <w:lang w:val="en-IE"/>
        </w:rPr>
        <w:t>C</w:t>
      </w:r>
      <w:r w:rsidR="004D4097">
        <w:rPr>
          <w:rFonts w:ascii="Times New Roman" w:hAnsi="Times New Roman" w:cs="Times New Roman"/>
          <w:noProof/>
          <w:lang w:val="en-IE"/>
        </w:rPr>
        <w:t>OVID</w:t>
      </w:r>
      <w:r w:rsidR="00716425" w:rsidRPr="00B8512B">
        <w:rPr>
          <w:rFonts w:ascii="Times New Roman" w:hAnsi="Times New Roman" w:cs="Times New Roman"/>
          <w:noProof/>
          <w:lang w:val="en-IE"/>
        </w:rPr>
        <w:t xml:space="preserve">-19 pandemic has shown </w:t>
      </w:r>
      <w:r w:rsidR="00F445BC">
        <w:rPr>
          <w:rFonts w:ascii="Times New Roman" w:hAnsi="Times New Roman" w:cs="Times New Roman"/>
          <w:noProof/>
          <w:lang w:val="en-IE"/>
        </w:rPr>
        <w:t>the im</w:t>
      </w:r>
      <w:r w:rsidR="00D61ED1">
        <w:rPr>
          <w:rFonts w:ascii="Times New Roman" w:hAnsi="Times New Roman" w:cs="Times New Roman"/>
          <w:noProof/>
          <w:lang w:val="en-IE"/>
        </w:rPr>
        <w:t xml:space="preserve">portance of European solidarity across borders </w:t>
      </w:r>
      <w:r w:rsidR="00F445BC">
        <w:rPr>
          <w:rFonts w:ascii="Times New Roman" w:hAnsi="Times New Roman" w:cs="Times New Roman"/>
          <w:noProof/>
          <w:lang w:val="en-IE"/>
        </w:rPr>
        <w:t xml:space="preserve">in times of crisis. </w:t>
      </w:r>
      <w:r w:rsidR="00A77137">
        <w:rPr>
          <w:rFonts w:ascii="Times New Roman" w:hAnsi="Times New Roman" w:cs="Times New Roman"/>
          <w:noProof/>
          <w:lang w:val="en-IE"/>
        </w:rPr>
        <w:t>People</w:t>
      </w:r>
      <w:r w:rsidR="00A77137" w:rsidRPr="00B8512B">
        <w:rPr>
          <w:rFonts w:ascii="Times New Roman" w:hAnsi="Times New Roman" w:cs="Times New Roman"/>
          <w:noProof/>
          <w:lang w:val="en-IE"/>
        </w:rPr>
        <w:t xml:space="preserve"> </w:t>
      </w:r>
      <w:r w:rsidRPr="00B8512B">
        <w:rPr>
          <w:rFonts w:ascii="Times New Roman" w:hAnsi="Times New Roman" w:cs="Times New Roman"/>
          <w:noProof/>
          <w:lang w:val="en-IE"/>
        </w:rPr>
        <w:t>in border regions</w:t>
      </w:r>
      <w:r w:rsidR="00716425" w:rsidRPr="00B8512B">
        <w:rPr>
          <w:rFonts w:ascii="Times New Roman" w:hAnsi="Times New Roman" w:cs="Times New Roman"/>
          <w:noProof/>
          <w:lang w:val="en-IE"/>
        </w:rPr>
        <w:t xml:space="preserve"> benefit greatly from structured regional cooperation in healthcare </w:t>
      </w:r>
      <w:r w:rsidRPr="00B8512B">
        <w:rPr>
          <w:rFonts w:ascii="Times New Roman" w:hAnsi="Times New Roman" w:cs="Times New Roman"/>
          <w:noProof/>
          <w:lang w:val="en-IE"/>
        </w:rPr>
        <w:t>in emergency situations</w:t>
      </w:r>
      <w:r w:rsidR="0084042A">
        <w:rPr>
          <w:rFonts w:ascii="Times New Roman" w:hAnsi="Times New Roman" w:cs="Times New Roman"/>
          <w:noProof/>
          <w:lang w:val="en-IE"/>
        </w:rPr>
        <w:t xml:space="preserve"> and for planned healthcare by sharing healthcare facilities</w:t>
      </w:r>
      <w:r w:rsidRPr="00B8512B">
        <w:rPr>
          <w:rFonts w:ascii="Times New Roman" w:hAnsi="Times New Roman" w:cs="Times New Roman"/>
          <w:noProof/>
          <w:lang w:val="en-IE"/>
        </w:rPr>
        <w:t xml:space="preserve">. Several regions offer inspiration </w:t>
      </w:r>
      <w:r w:rsidR="00716425" w:rsidRPr="00B8512B">
        <w:rPr>
          <w:rFonts w:ascii="Times New Roman" w:hAnsi="Times New Roman" w:cs="Times New Roman"/>
          <w:noProof/>
          <w:lang w:val="en-IE"/>
        </w:rPr>
        <w:t xml:space="preserve">and </w:t>
      </w:r>
      <w:r w:rsidR="00716425" w:rsidRPr="00F75E2E">
        <w:rPr>
          <w:rFonts w:ascii="Times New Roman" w:hAnsi="Times New Roman" w:cs="Times New Roman"/>
          <w:b/>
          <w:noProof/>
          <w:lang w:val="en-IE"/>
        </w:rPr>
        <w:t>good practice exam</w:t>
      </w:r>
      <w:r w:rsidRPr="00F75E2E">
        <w:rPr>
          <w:rFonts w:ascii="Times New Roman" w:hAnsi="Times New Roman" w:cs="Times New Roman"/>
          <w:b/>
          <w:noProof/>
          <w:lang w:val="en-IE"/>
        </w:rPr>
        <w:t xml:space="preserve">ples of structured </w:t>
      </w:r>
      <w:r w:rsidR="00716425" w:rsidRPr="00F75E2E">
        <w:rPr>
          <w:rFonts w:ascii="Times New Roman" w:hAnsi="Times New Roman" w:cs="Times New Roman"/>
          <w:b/>
          <w:noProof/>
          <w:lang w:val="en-IE"/>
        </w:rPr>
        <w:t xml:space="preserve">cooperation between health administrations, </w:t>
      </w:r>
      <w:r w:rsidR="00C26586" w:rsidRPr="00F75E2E">
        <w:rPr>
          <w:rFonts w:ascii="Times New Roman" w:hAnsi="Times New Roman" w:cs="Times New Roman"/>
          <w:b/>
          <w:noProof/>
          <w:lang w:val="en-IE"/>
        </w:rPr>
        <w:t xml:space="preserve">insurers and </w:t>
      </w:r>
      <w:r w:rsidR="00716425" w:rsidRPr="00F75E2E">
        <w:rPr>
          <w:rFonts w:ascii="Times New Roman" w:hAnsi="Times New Roman" w:cs="Times New Roman"/>
          <w:b/>
          <w:noProof/>
          <w:lang w:val="en-IE"/>
        </w:rPr>
        <w:t>healthcare</w:t>
      </w:r>
      <w:r w:rsidR="00D61ED1">
        <w:rPr>
          <w:rFonts w:ascii="Times New Roman" w:hAnsi="Times New Roman" w:cs="Times New Roman"/>
          <w:b/>
          <w:noProof/>
          <w:lang w:val="en-IE"/>
        </w:rPr>
        <w:t xml:space="preserve"> </w:t>
      </w:r>
      <w:r w:rsidR="00716425" w:rsidRPr="000854BB">
        <w:rPr>
          <w:rFonts w:ascii="Times New Roman" w:hAnsi="Times New Roman" w:cs="Times New Roman"/>
          <w:b/>
          <w:noProof/>
          <w:lang w:val="en-IE"/>
        </w:rPr>
        <w:t>providers</w:t>
      </w:r>
      <w:r w:rsidR="00716425" w:rsidRPr="00B8512B">
        <w:rPr>
          <w:rFonts w:ascii="Times New Roman" w:hAnsi="Times New Roman" w:cs="Times New Roman"/>
          <w:noProof/>
          <w:lang w:val="en-IE"/>
        </w:rPr>
        <w:t xml:space="preserve"> </w:t>
      </w:r>
      <w:r w:rsidRPr="00B8512B">
        <w:rPr>
          <w:rFonts w:ascii="Times New Roman" w:hAnsi="Times New Roman" w:cs="Times New Roman"/>
          <w:noProof/>
          <w:lang w:val="en-IE"/>
        </w:rPr>
        <w:t xml:space="preserve">working together </w:t>
      </w:r>
      <w:r w:rsidR="00405B45">
        <w:rPr>
          <w:rFonts w:ascii="Times New Roman" w:hAnsi="Times New Roman" w:cs="Times New Roman"/>
          <w:noProof/>
          <w:lang w:val="en-IE"/>
        </w:rPr>
        <w:t xml:space="preserve">across borders </w:t>
      </w:r>
      <w:r w:rsidRPr="00B8512B">
        <w:rPr>
          <w:rFonts w:ascii="Times New Roman" w:hAnsi="Times New Roman" w:cs="Times New Roman"/>
          <w:noProof/>
          <w:lang w:val="en-IE"/>
        </w:rPr>
        <w:t xml:space="preserve">to </w:t>
      </w:r>
      <w:r w:rsidR="00716425" w:rsidRPr="00B8512B">
        <w:rPr>
          <w:rFonts w:ascii="Times New Roman" w:hAnsi="Times New Roman" w:cs="Times New Roman"/>
          <w:noProof/>
          <w:lang w:val="en-IE"/>
        </w:rPr>
        <w:t>overcome differences in national health systems to meet patients’ needs</w:t>
      </w:r>
      <w:r w:rsidR="00405B45">
        <w:rPr>
          <w:rFonts w:ascii="Times New Roman" w:hAnsi="Times New Roman" w:cs="Times New Roman"/>
          <w:noProof/>
          <w:lang w:val="en-IE"/>
        </w:rPr>
        <w:t>.</w:t>
      </w:r>
      <w:bookmarkEnd w:id="28"/>
    </w:p>
    <w:sectPr w:rsidR="00B2664E" w:rsidRPr="00B8512B" w:rsidSect="002F50C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914C5" w16cex:dateUtc="2022-05-01T12:16:00Z"/>
  <w16cex:commentExtensible w16cex:durableId="2619160B" w16cex:dateUtc="2022-05-01T12:22:00Z"/>
  <w16cex:commentExtensible w16cex:durableId="261914FC" w16cex:dateUtc="2022-05-01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ECB73" w16cid:durableId="261914C5"/>
  <w16cid:commentId w16cid:paraId="5C60C84C" w16cid:durableId="2619160B"/>
  <w16cid:commentId w16cid:paraId="18D46FC1" w16cid:durableId="261914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C88E" w14:textId="77777777" w:rsidR="00355B5C" w:rsidRDefault="00355B5C" w:rsidP="00C76B82">
      <w:pPr>
        <w:spacing w:after="0" w:line="240" w:lineRule="auto"/>
      </w:pPr>
      <w:r>
        <w:separator/>
      </w:r>
    </w:p>
  </w:endnote>
  <w:endnote w:type="continuationSeparator" w:id="0">
    <w:p w14:paraId="3075EBF5" w14:textId="77777777" w:rsidR="00355B5C" w:rsidRDefault="00355B5C" w:rsidP="00C76B82">
      <w:pPr>
        <w:spacing w:after="0" w:line="240" w:lineRule="auto"/>
      </w:pPr>
      <w:r>
        <w:continuationSeparator/>
      </w:r>
    </w:p>
  </w:endnote>
  <w:endnote w:type="continuationNotice" w:id="1">
    <w:p w14:paraId="43A6910D" w14:textId="77777777" w:rsidR="00355B5C" w:rsidRDefault="00355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SansLF-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1310" w14:textId="77777777" w:rsidR="00B4422A" w:rsidRPr="00B4422A" w:rsidRDefault="00B4422A" w:rsidP="00B4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DCF5" w14:textId="2DDB0ECA" w:rsidR="000621D1" w:rsidRPr="00B4422A" w:rsidRDefault="00B4422A" w:rsidP="00B4422A">
    <w:pPr>
      <w:pStyle w:val="FooterCoverPage"/>
      <w:rPr>
        <w:rFonts w:ascii="Arial" w:hAnsi="Arial" w:cs="Arial"/>
        <w:b/>
        <w:sz w:val="48"/>
      </w:rPr>
    </w:pPr>
    <w:r w:rsidRPr="00B4422A">
      <w:rPr>
        <w:rFonts w:ascii="Arial" w:hAnsi="Arial" w:cs="Arial"/>
        <w:b/>
        <w:sz w:val="48"/>
      </w:rPr>
      <w:t>EN</w:t>
    </w:r>
    <w:r w:rsidRPr="00B4422A">
      <w:rPr>
        <w:rFonts w:ascii="Arial" w:hAnsi="Arial" w:cs="Arial"/>
        <w:b/>
        <w:sz w:val="48"/>
      </w:rPr>
      <w:tab/>
    </w:r>
    <w:r w:rsidRPr="00B4422A">
      <w:rPr>
        <w:rFonts w:ascii="Arial" w:hAnsi="Arial" w:cs="Arial"/>
        <w:b/>
        <w:sz w:val="48"/>
      </w:rPr>
      <w:tab/>
    </w:r>
    <w:r w:rsidRPr="00B4422A">
      <w:tab/>
    </w:r>
    <w:r w:rsidRPr="00B4422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1D4D3" w14:textId="77777777" w:rsidR="00B4422A" w:rsidRPr="00B4422A" w:rsidRDefault="00B4422A" w:rsidP="00B4422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6D43" w14:textId="77777777" w:rsidR="00355B5C" w:rsidRDefault="00355B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17974"/>
      <w:docPartObj>
        <w:docPartGallery w:val="Page Numbers (Bottom of Page)"/>
        <w:docPartUnique/>
      </w:docPartObj>
    </w:sdtPr>
    <w:sdtEndPr>
      <w:rPr>
        <w:noProof/>
      </w:rPr>
    </w:sdtEndPr>
    <w:sdtContent>
      <w:p w14:paraId="6DA2818C" w14:textId="78551A1C" w:rsidR="00355B5C" w:rsidRDefault="00355B5C">
        <w:pPr>
          <w:pStyle w:val="Footer"/>
          <w:jc w:val="center"/>
        </w:pPr>
        <w:r>
          <w:fldChar w:fldCharType="begin"/>
        </w:r>
        <w:r>
          <w:instrText xml:space="preserve"> PAGE   \* MERGEFORMAT </w:instrText>
        </w:r>
        <w:r>
          <w:fldChar w:fldCharType="separate"/>
        </w:r>
        <w:r w:rsidR="00B4422A">
          <w:rPr>
            <w:noProof/>
          </w:rPr>
          <w:t>18</w:t>
        </w:r>
        <w:r>
          <w:rPr>
            <w:noProof/>
          </w:rPr>
          <w:fldChar w:fldCharType="end"/>
        </w:r>
      </w:p>
    </w:sdtContent>
  </w:sdt>
  <w:p w14:paraId="4F5D76A9" w14:textId="77777777" w:rsidR="00355B5C" w:rsidRDefault="00355B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180144"/>
      <w:docPartObj>
        <w:docPartGallery w:val="Page Numbers (Bottom of Page)"/>
        <w:docPartUnique/>
      </w:docPartObj>
    </w:sdtPr>
    <w:sdtEndPr>
      <w:rPr>
        <w:noProof/>
      </w:rPr>
    </w:sdtEndPr>
    <w:sdtContent>
      <w:p w14:paraId="52F96552" w14:textId="4C89E068" w:rsidR="00355B5C" w:rsidRDefault="00355B5C">
        <w:pPr>
          <w:pStyle w:val="Footer"/>
          <w:jc w:val="center"/>
        </w:pPr>
        <w:r>
          <w:fldChar w:fldCharType="begin"/>
        </w:r>
        <w:r>
          <w:instrText xml:space="preserve"> PAGE   \* MERGEFORMAT </w:instrText>
        </w:r>
        <w:r>
          <w:fldChar w:fldCharType="separate"/>
        </w:r>
        <w:r w:rsidR="00B4422A">
          <w:rPr>
            <w:noProof/>
          </w:rPr>
          <w:t>1</w:t>
        </w:r>
        <w:r>
          <w:rPr>
            <w:noProof/>
          </w:rPr>
          <w:fldChar w:fldCharType="end"/>
        </w:r>
      </w:p>
    </w:sdtContent>
  </w:sdt>
  <w:p w14:paraId="337AF2D0" w14:textId="77777777" w:rsidR="00355B5C" w:rsidRDefault="0035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D09C" w14:textId="77777777" w:rsidR="00355B5C" w:rsidRDefault="00355B5C" w:rsidP="00C76B82">
      <w:pPr>
        <w:spacing w:after="0" w:line="240" w:lineRule="auto"/>
      </w:pPr>
      <w:r>
        <w:separator/>
      </w:r>
    </w:p>
  </w:footnote>
  <w:footnote w:type="continuationSeparator" w:id="0">
    <w:p w14:paraId="674CAA03" w14:textId="77777777" w:rsidR="00355B5C" w:rsidRDefault="00355B5C" w:rsidP="00C76B82">
      <w:pPr>
        <w:spacing w:after="0" w:line="240" w:lineRule="auto"/>
      </w:pPr>
      <w:r>
        <w:continuationSeparator/>
      </w:r>
    </w:p>
  </w:footnote>
  <w:footnote w:type="continuationNotice" w:id="1">
    <w:p w14:paraId="772B0226" w14:textId="77777777" w:rsidR="00355B5C" w:rsidRDefault="00355B5C">
      <w:pPr>
        <w:spacing w:after="0" w:line="240" w:lineRule="auto"/>
      </w:pPr>
    </w:p>
  </w:footnote>
  <w:footnote w:id="2">
    <w:p w14:paraId="71F9881E" w14:textId="6700D141" w:rsidR="00355B5C" w:rsidRPr="00C735F5" w:rsidRDefault="00355B5C" w:rsidP="00C859B9">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Directive 2011/24/EU of the European Parliament and of the Council of 9 March 2011 on the application of patients’ rights in cross-border healthcare (OJ L 88, 4.4.2011, p. 45).</w:t>
      </w:r>
    </w:p>
  </w:footnote>
  <w:footnote w:id="3">
    <w:p w14:paraId="647D15FE" w14:textId="31C4D577"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Regulation (EC) No 883/2004 of the European Parliament and of the Council of 29 April 2004 on the coordination of social security systems (OJ L 166, 30.4.2004, p. 1).</w:t>
      </w:r>
    </w:p>
  </w:footnote>
  <w:footnote w:id="4">
    <w:p w14:paraId="4067B6DC" w14:textId="37DD0574"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w:t>
      </w:r>
      <w:r w:rsidRPr="008B1722">
        <w:rPr>
          <w:rFonts w:ascii="Times New Roman" w:hAnsi="Times New Roman" w:cs="Times New Roman"/>
          <w:lang w:val="en-IE"/>
        </w:rPr>
        <w:t>COM(2015) 421 final</w:t>
      </w:r>
      <w:r w:rsidRPr="00C735F5">
        <w:rPr>
          <w:rFonts w:ascii="Times New Roman" w:hAnsi="Times New Roman" w:cs="Times New Roman"/>
          <w:lang w:val="en-IE"/>
        </w:rPr>
        <w:t xml:space="preserve"> and </w:t>
      </w:r>
      <w:r w:rsidRPr="008B1722">
        <w:rPr>
          <w:rFonts w:ascii="Times New Roman" w:hAnsi="Times New Roman" w:cs="Times New Roman"/>
          <w:lang w:val="en-IE"/>
        </w:rPr>
        <w:t>COM(2018) 651 final</w:t>
      </w:r>
      <w:r w:rsidRPr="00C735F5">
        <w:rPr>
          <w:rFonts w:ascii="Times New Roman" w:hAnsi="Times New Roman" w:cs="Times New Roman"/>
          <w:lang w:val="en-IE"/>
        </w:rPr>
        <w:t xml:space="preserve">. </w:t>
      </w:r>
    </w:p>
  </w:footnote>
  <w:footnote w:id="5">
    <w:p w14:paraId="44367136" w14:textId="77777777" w:rsidR="003A33FB" w:rsidRDefault="00355B5C" w:rsidP="00EA55E2">
      <w:pPr>
        <w:pStyle w:val="FootnoteText"/>
        <w:rPr>
          <w:rFonts w:ascii="Times New Roman" w:hAnsi="Times New Roman" w:cs="Times New Roman"/>
        </w:rPr>
      </w:pPr>
      <w:r>
        <w:rPr>
          <w:rStyle w:val="FootnoteReference"/>
        </w:rPr>
        <w:footnoteRef/>
      </w:r>
      <w:r>
        <w:t xml:space="preserve"> </w:t>
      </w:r>
      <w:r w:rsidRPr="00C735F5">
        <w:rPr>
          <w:rFonts w:ascii="Times New Roman" w:hAnsi="Times New Roman" w:cs="Times New Roman"/>
        </w:rPr>
        <w:t>Fit for Future Platform Opinion, ref. 2021/SBGR3/14</w:t>
      </w:r>
      <w:r>
        <w:rPr>
          <w:rFonts w:ascii="Times New Roman" w:hAnsi="Times New Roman" w:cs="Times New Roman"/>
        </w:rPr>
        <w:t xml:space="preserve">, available here: </w:t>
      </w:r>
    </w:p>
    <w:p w14:paraId="1179C513" w14:textId="334048D2" w:rsidR="00355B5C" w:rsidRPr="008B1722" w:rsidRDefault="00B4422A" w:rsidP="00EA55E2">
      <w:pPr>
        <w:pStyle w:val="FootnoteText"/>
      </w:pPr>
      <w:hyperlink r:id="rId1" w:history="1">
        <w:r w:rsidR="00355B5C" w:rsidRPr="00051407">
          <w:rPr>
            <w:rStyle w:val="Hyperlink"/>
            <w:rFonts w:ascii="Times New Roman" w:hAnsi="Times New Roman" w:cs="Times New Roman"/>
          </w:rPr>
          <w:t>https://ec.europa.eu/info/sites/default/files/final_opinion_2021_sbgr3_14_patient_rights.pdf</w:t>
        </w:r>
      </w:hyperlink>
      <w:r w:rsidR="00355B5C">
        <w:rPr>
          <w:rFonts w:ascii="Times New Roman" w:hAnsi="Times New Roman" w:cs="Times New Roman"/>
        </w:rPr>
        <w:t xml:space="preserve"> </w:t>
      </w:r>
    </w:p>
  </w:footnote>
  <w:footnote w:id="6">
    <w:p w14:paraId="0545F195" w14:textId="330A6507"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w:t>
      </w:r>
      <w:r w:rsidRPr="00C735F5">
        <w:rPr>
          <w:rFonts w:ascii="Times New Roman" w:hAnsi="Times New Roman" w:cs="Times New Roman"/>
          <w:lang w:val="en-IE"/>
        </w:rPr>
        <w:t xml:space="preserve">Study on enhancing implementation of the Cross-Border Healthcare Directive 2011/24/EU to ensure patient rights in the </w:t>
      </w:r>
      <w:r w:rsidRPr="00FE6D49">
        <w:rPr>
          <w:rFonts w:ascii="Times New Roman" w:hAnsi="Times New Roman" w:cs="Times New Roman"/>
          <w:lang w:val="en-IE"/>
        </w:rPr>
        <w:t>EU</w:t>
      </w:r>
      <w:r w:rsidRPr="00FE6D49">
        <w:rPr>
          <w:rFonts w:ascii="Times New Roman" w:hAnsi="Times New Roman" w:cs="Times New Roman"/>
        </w:rPr>
        <w:t xml:space="preserve">, </w:t>
      </w:r>
      <w:r>
        <w:rPr>
          <w:rFonts w:ascii="Times New Roman" w:hAnsi="Times New Roman" w:cs="Times New Roman"/>
        </w:rPr>
        <w:t xml:space="preserve">available here: </w:t>
      </w:r>
      <w:hyperlink r:id="rId2" w:history="1">
        <w:r w:rsidRPr="00051407">
          <w:rPr>
            <w:rStyle w:val="Hyperlink"/>
            <w:rFonts w:ascii="Times New Roman" w:hAnsi="Times New Roman" w:cs="Times New Roman"/>
          </w:rPr>
          <w:t>https://ec.europa.eu/health/publications/study-enhancing-implementation-cross-border-healthcare-directive-201124eu-ensure-patient-rights-eu_en</w:t>
        </w:r>
      </w:hyperlink>
      <w:r>
        <w:rPr>
          <w:rFonts w:ascii="Times New Roman" w:hAnsi="Times New Roman" w:cs="Times New Roman"/>
        </w:rPr>
        <w:t xml:space="preserve"> </w:t>
      </w:r>
    </w:p>
  </w:footnote>
  <w:footnote w:id="7">
    <w:p w14:paraId="0FF5FDF9" w14:textId="52C01912" w:rsidR="00355B5C" w:rsidRPr="00C735F5" w:rsidRDefault="00355B5C" w:rsidP="00EF0378">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Netherlands, Austria, Finland.</w:t>
      </w:r>
    </w:p>
  </w:footnote>
  <w:footnote w:id="8">
    <w:p w14:paraId="5901D305" w14:textId="59BE9197" w:rsidR="00355B5C" w:rsidRPr="00C735F5" w:rsidRDefault="00355B5C" w:rsidP="00891B92">
      <w:pPr>
        <w:pStyle w:val="FootnoteText"/>
        <w:jc w:val="lef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w:t>
      </w:r>
      <w:r w:rsidRPr="00EA55E2">
        <w:rPr>
          <w:rFonts w:ascii="Times New Roman" w:hAnsi="Times New Roman" w:cs="Times New Roman"/>
        </w:rPr>
        <w:t>2016 April infringements’ package: key decisions</w:t>
      </w:r>
      <w:r>
        <w:rPr>
          <w:rFonts w:ascii="Times New Roman" w:hAnsi="Times New Roman" w:cs="Times New Roman"/>
        </w:rPr>
        <w:t xml:space="preserve">, available here: </w:t>
      </w:r>
      <w:hyperlink r:id="rId3" w:history="1">
        <w:r w:rsidRPr="00051407">
          <w:rPr>
            <w:rStyle w:val="Hyperlink"/>
            <w:rFonts w:ascii="Times New Roman" w:hAnsi="Times New Roman" w:cs="Times New Roman"/>
          </w:rPr>
          <w:t>https://ec.europa.eu/commission/presscorner/detail/EN/MEMO_16_1452</w:t>
        </w:r>
      </w:hyperlink>
      <w:r w:rsidRPr="00C735F5">
        <w:rPr>
          <w:rFonts w:ascii="Times New Roman" w:hAnsi="Times New Roman" w:cs="Times New Roman"/>
        </w:rPr>
        <w:t xml:space="preserve">; </w:t>
      </w:r>
      <w:r w:rsidRPr="00EA55E2">
        <w:rPr>
          <w:rFonts w:ascii="Times New Roman" w:hAnsi="Times New Roman" w:cs="Times New Roman"/>
        </w:rPr>
        <w:t>2019 January infringements’ package: key decisions</w:t>
      </w:r>
      <w:r>
        <w:rPr>
          <w:rFonts w:ascii="Times New Roman" w:hAnsi="Times New Roman" w:cs="Times New Roman"/>
        </w:rPr>
        <w:t xml:space="preserve">, available here: </w:t>
      </w:r>
      <w:hyperlink r:id="rId4" w:history="1">
        <w:r w:rsidRPr="00051407">
          <w:rPr>
            <w:rStyle w:val="Hyperlink"/>
            <w:rFonts w:ascii="Times New Roman" w:hAnsi="Times New Roman" w:cs="Times New Roman"/>
          </w:rPr>
          <w:t>https://ec.europa.eu/commission/presscorner/detail/EN/MEMO_19_462</w:t>
        </w:r>
      </w:hyperlink>
      <w:r>
        <w:rPr>
          <w:rFonts w:ascii="Times New Roman" w:hAnsi="Times New Roman" w:cs="Times New Roman"/>
        </w:rPr>
        <w:t xml:space="preserve"> </w:t>
      </w:r>
    </w:p>
  </w:footnote>
  <w:footnote w:id="9">
    <w:p w14:paraId="1871573A" w14:textId="5FFE3BB6"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Judgment of 23 September, </w:t>
      </w:r>
      <w:r w:rsidRPr="00C735F5">
        <w:rPr>
          <w:rFonts w:ascii="Times New Roman" w:hAnsi="Times New Roman" w:cs="Times New Roman"/>
          <w:i/>
          <w:iCs/>
          <w:lang w:val="en-IE"/>
        </w:rPr>
        <w:t>WO</w:t>
      </w:r>
      <w:r w:rsidRPr="00C735F5">
        <w:rPr>
          <w:rFonts w:ascii="Times New Roman" w:hAnsi="Times New Roman" w:cs="Times New Roman"/>
          <w:lang w:val="en-IE"/>
        </w:rPr>
        <w:t>, C-777/18, EU:C:2020:745, paragraph 58 and the case law cited therein.</w:t>
      </w:r>
    </w:p>
  </w:footnote>
  <w:footnote w:id="10">
    <w:p w14:paraId="50EB10C9" w14:textId="6BF60C50" w:rsidR="00355B5C" w:rsidRPr="00C735F5" w:rsidRDefault="00355B5C" w:rsidP="00EF0378">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Recital 38 to the Directive.</w:t>
      </w:r>
    </w:p>
  </w:footnote>
  <w:footnote w:id="11">
    <w:p w14:paraId="458F51E8" w14:textId="56045E76" w:rsidR="00355B5C" w:rsidRPr="00C735F5" w:rsidRDefault="00355B5C" w:rsidP="00624849">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Judgment cited in footnote </w:t>
      </w:r>
      <w:r w:rsidR="00481BDB">
        <w:rPr>
          <w:rFonts w:ascii="Times New Roman" w:hAnsi="Times New Roman" w:cs="Times New Roman"/>
          <w:lang w:val="en-IE"/>
        </w:rPr>
        <w:fldChar w:fldCharType="begin"/>
      </w:r>
      <w:r w:rsidR="00481BDB">
        <w:rPr>
          <w:rFonts w:ascii="Times New Roman" w:hAnsi="Times New Roman" w:cs="Times New Roman"/>
          <w:lang w:val="en-IE"/>
        </w:rPr>
        <w:instrText xml:space="preserve"> NOTEREF _Ref98417792 \h </w:instrText>
      </w:r>
      <w:r w:rsidR="00481BDB">
        <w:rPr>
          <w:rFonts w:ascii="Times New Roman" w:hAnsi="Times New Roman" w:cs="Times New Roman"/>
          <w:lang w:val="en-IE"/>
        </w:rPr>
      </w:r>
      <w:r w:rsidR="00481BDB">
        <w:rPr>
          <w:rFonts w:ascii="Times New Roman" w:hAnsi="Times New Roman" w:cs="Times New Roman"/>
          <w:lang w:val="en-IE"/>
        </w:rPr>
        <w:fldChar w:fldCharType="separate"/>
      </w:r>
      <w:r w:rsidR="00481BDB">
        <w:rPr>
          <w:rFonts w:ascii="Times New Roman" w:hAnsi="Times New Roman" w:cs="Times New Roman"/>
          <w:lang w:val="en-IE"/>
        </w:rPr>
        <w:t>8</w:t>
      </w:r>
      <w:r w:rsidR="00481BDB">
        <w:rPr>
          <w:rFonts w:ascii="Times New Roman" w:hAnsi="Times New Roman" w:cs="Times New Roman"/>
          <w:lang w:val="en-IE"/>
        </w:rPr>
        <w:fldChar w:fldCharType="end"/>
      </w:r>
      <w:r w:rsidRPr="00C735F5">
        <w:rPr>
          <w:rFonts w:ascii="Times New Roman" w:hAnsi="Times New Roman" w:cs="Times New Roman"/>
          <w:lang w:val="en-IE"/>
        </w:rPr>
        <w:t>, paragraph 79.</w:t>
      </w:r>
    </w:p>
  </w:footnote>
  <w:footnote w:id="12">
    <w:p w14:paraId="44569912" w14:textId="6F849B69"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Judgment of 29 October 2020, </w:t>
      </w:r>
      <w:r w:rsidRPr="00C735F5">
        <w:rPr>
          <w:rFonts w:ascii="Times New Roman" w:hAnsi="Times New Roman" w:cs="Times New Roman"/>
          <w:i/>
          <w:iCs/>
          <w:lang w:val="en-IE"/>
        </w:rPr>
        <w:t>A</w:t>
      </w:r>
      <w:r w:rsidRPr="00C735F5">
        <w:rPr>
          <w:rFonts w:ascii="Times New Roman" w:hAnsi="Times New Roman" w:cs="Times New Roman"/>
          <w:lang w:val="en-IE"/>
        </w:rPr>
        <w:t>, C-243/19, EU:C:2020:872, paragraph 83.</w:t>
      </w:r>
    </w:p>
  </w:footnote>
  <w:footnote w:id="13">
    <w:p w14:paraId="5CBF9470" w14:textId="63134E48"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w:t>
      </w:r>
      <w:r w:rsidRPr="00C735F5">
        <w:rPr>
          <w:rFonts w:ascii="Times New Roman" w:hAnsi="Times New Roman" w:cs="Times New Roman"/>
          <w:i/>
          <w:iCs/>
          <w:lang w:val="en-IE"/>
        </w:rPr>
        <w:t>Ibid</w:t>
      </w:r>
      <w:r w:rsidRPr="00C735F5">
        <w:rPr>
          <w:rFonts w:ascii="Times New Roman" w:hAnsi="Times New Roman" w:cs="Times New Roman"/>
          <w:lang w:val="en-IE"/>
        </w:rPr>
        <w:t>, paragraph 85.</w:t>
      </w:r>
    </w:p>
  </w:footnote>
  <w:footnote w:id="14">
    <w:p w14:paraId="657F59E1" w14:textId="52D49E18"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Judgment cited in footnote </w:t>
      </w:r>
      <w:r w:rsidR="00481BDB">
        <w:rPr>
          <w:rFonts w:ascii="Times New Roman" w:hAnsi="Times New Roman" w:cs="Times New Roman"/>
          <w:lang w:val="en-IE"/>
        </w:rPr>
        <w:fldChar w:fldCharType="begin"/>
      </w:r>
      <w:r w:rsidR="00481BDB">
        <w:rPr>
          <w:rFonts w:ascii="Times New Roman" w:hAnsi="Times New Roman" w:cs="Times New Roman"/>
          <w:lang w:val="en-IE"/>
        </w:rPr>
        <w:instrText xml:space="preserve"> NOTEREF _Ref98417792 \h </w:instrText>
      </w:r>
      <w:r w:rsidR="00481BDB">
        <w:rPr>
          <w:rFonts w:ascii="Times New Roman" w:hAnsi="Times New Roman" w:cs="Times New Roman"/>
          <w:lang w:val="en-IE"/>
        </w:rPr>
      </w:r>
      <w:r w:rsidR="00481BDB">
        <w:rPr>
          <w:rFonts w:ascii="Times New Roman" w:hAnsi="Times New Roman" w:cs="Times New Roman"/>
          <w:lang w:val="en-IE"/>
        </w:rPr>
        <w:fldChar w:fldCharType="separate"/>
      </w:r>
      <w:r w:rsidR="00481BDB">
        <w:rPr>
          <w:rFonts w:ascii="Times New Roman" w:hAnsi="Times New Roman" w:cs="Times New Roman"/>
          <w:lang w:val="en-IE"/>
        </w:rPr>
        <w:t>8</w:t>
      </w:r>
      <w:r w:rsidR="00481BDB">
        <w:rPr>
          <w:rFonts w:ascii="Times New Roman" w:hAnsi="Times New Roman" w:cs="Times New Roman"/>
          <w:lang w:val="en-IE"/>
        </w:rPr>
        <w:fldChar w:fldCharType="end"/>
      </w:r>
      <w:r w:rsidRPr="00C735F5">
        <w:rPr>
          <w:rFonts w:ascii="Times New Roman" w:hAnsi="Times New Roman" w:cs="Times New Roman"/>
          <w:lang w:val="en-IE"/>
        </w:rPr>
        <w:t>, paragraph 85.</w:t>
      </w:r>
    </w:p>
  </w:footnote>
  <w:footnote w:id="15">
    <w:p w14:paraId="616EC9C2" w14:textId="79AB3C9E" w:rsidR="00355B5C" w:rsidRPr="00C735F5" w:rsidRDefault="00355B5C" w:rsidP="00EF0378">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Cyprus, Czechia, Estonia, Finland, Latvia, Lithuania, Sweden and Norway. The Netherlands has not introduced a prior authorisation system in its national legislation, but where persons insured under its social security system have access to cross-border healthcare, prior authorisation seems to be required by the health insurers.</w:t>
      </w:r>
    </w:p>
  </w:footnote>
  <w:footnote w:id="16">
    <w:p w14:paraId="2AE1E083" w14:textId="0BDD6EAB" w:rsidR="00355B5C" w:rsidRPr="00C735F5" w:rsidRDefault="00355B5C" w:rsidP="00292267">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See the study referred to in footnote </w:t>
      </w:r>
      <w:r w:rsidR="00481BDB">
        <w:rPr>
          <w:rFonts w:ascii="Times New Roman" w:hAnsi="Times New Roman" w:cs="Times New Roman"/>
          <w:lang w:val="en-IE"/>
        </w:rPr>
        <w:fldChar w:fldCharType="begin"/>
      </w:r>
      <w:r w:rsidR="00481BDB">
        <w:rPr>
          <w:rFonts w:ascii="Times New Roman" w:hAnsi="Times New Roman" w:cs="Times New Roman"/>
          <w:lang w:val="en-IE"/>
        </w:rPr>
        <w:instrText xml:space="preserve"> NOTEREF _Ref98417826 \h </w:instrText>
      </w:r>
      <w:r w:rsidR="00481BDB">
        <w:rPr>
          <w:rFonts w:ascii="Times New Roman" w:hAnsi="Times New Roman" w:cs="Times New Roman"/>
          <w:lang w:val="en-IE"/>
        </w:rPr>
      </w:r>
      <w:r w:rsidR="00481BDB">
        <w:rPr>
          <w:rFonts w:ascii="Times New Roman" w:hAnsi="Times New Roman" w:cs="Times New Roman"/>
          <w:lang w:val="en-IE"/>
        </w:rPr>
        <w:fldChar w:fldCharType="separate"/>
      </w:r>
      <w:r w:rsidR="00481BDB">
        <w:rPr>
          <w:rFonts w:ascii="Times New Roman" w:hAnsi="Times New Roman" w:cs="Times New Roman"/>
          <w:lang w:val="en-IE"/>
        </w:rPr>
        <w:t>5</w:t>
      </w:r>
      <w:r w:rsidR="00481BDB">
        <w:rPr>
          <w:rFonts w:ascii="Times New Roman" w:hAnsi="Times New Roman" w:cs="Times New Roman"/>
          <w:lang w:val="en-IE"/>
        </w:rPr>
        <w:fldChar w:fldCharType="end"/>
      </w:r>
      <w:r w:rsidRPr="00C735F5">
        <w:rPr>
          <w:rFonts w:ascii="Times New Roman" w:hAnsi="Times New Roman" w:cs="Times New Roman"/>
        </w:rPr>
        <w:t>.</w:t>
      </w:r>
    </w:p>
  </w:footnote>
  <w:footnote w:id="17">
    <w:p w14:paraId="22F7C3BE" w14:textId="1E1CAF21"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Cyprus and Latvia.</w:t>
      </w:r>
    </w:p>
  </w:footnote>
  <w:footnote w:id="18">
    <w:p w14:paraId="2314C458" w14:textId="26C2C406" w:rsidR="00355B5C" w:rsidRPr="00C735F5" w:rsidRDefault="00355B5C" w:rsidP="00EE574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Guiding principles for information provision on prior</w:t>
      </w:r>
      <w:r w:rsidRPr="00C735F5">
        <w:rPr>
          <w:rFonts w:ascii="Times New Roman" w:hAnsi="Times New Roman" w:cs="Times New Roman"/>
          <w:lang w:val="en-IE"/>
        </w:rPr>
        <w:t xml:space="preserve"> authorisation</w:t>
      </w:r>
      <w:r w:rsidRPr="00C735F5">
        <w:rPr>
          <w:rFonts w:ascii="Times New Roman" w:hAnsi="Times New Roman" w:cs="Times New Roman"/>
        </w:rPr>
        <w:t xml:space="preserve"> systems across Member States</w:t>
      </w:r>
      <w:r>
        <w:rPr>
          <w:rFonts w:ascii="Times New Roman" w:hAnsi="Times New Roman" w:cs="Times New Roman"/>
        </w:rPr>
        <w:t xml:space="preserve">, available here: </w:t>
      </w:r>
      <w:hyperlink r:id="rId5" w:history="1">
        <w:r w:rsidRPr="00051407">
          <w:rPr>
            <w:rStyle w:val="Hyperlink"/>
            <w:rFonts w:ascii="Times New Roman" w:hAnsi="Times New Roman" w:cs="Times New Roman"/>
          </w:rPr>
          <w:t>https://ec.europa.eu/health/system/files/2022-02/crossborder_enhancing-implementation_info-provision_en.pdf</w:t>
        </w:r>
      </w:hyperlink>
      <w:r>
        <w:rPr>
          <w:rFonts w:ascii="Times New Roman" w:hAnsi="Times New Roman" w:cs="Times New Roman"/>
        </w:rPr>
        <w:t xml:space="preserve"> </w:t>
      </w:r>
    </w:p>
  </w:footnote>
  <w:footnote w:id="19">
    <w:p w14:paraId="295C4989" w14:textId="05D70CEA"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w:t>
      </w:r>
      <w:r w:rsidRPr="00C735F5">
        <w:rPr>
          <w:rFonts w:ascii="Times New Roman" w:hAnsi="Times New Roman" w:cs="Times New Roman"/>
          <w:lang w:val="en-IE"/>
        </w:rPr>
        <w:t>See the study referred to in footnote</w:t>
      </w:r>
      <w:r w:rsidR="00481BDB">
        <w:rPr>
          <w:rFonts w:ascii="Times New Roman" w:hAnsi="Times New Roman" w:cs="Times New Roman"/>
          <w:lang w:val="en-IE"/>
        </w:rPr>
        <w:t xml:space="preserve"> </w:t>
      </w:r>
      <w:r w:rsidR="00481BDB">
        <w:rPr>
          <w:rFonts w:ascii="Times New Roman" w:hAnsi="Times New Roman" w:cs="Times New Roman"/>
          <w:lang w:val="en-IE"/>
        </w:rPr>
        <w:fldChar w:fldCharType="begin"/>
      </w:r>
      <w:r w:rsidR="00481BDB">
        <w:rPr>
          <w:rFonts w:ascii="Times New Roman" w:hAnsi="Times New Roman" w:cs="Times New Roman"/>
          <w:lang w:val="en-IE"/>
        </w:rPr>
        <w:instrText xml:space="preserve"> NOTEREF _Ref98417826 \h </w:instrText>
      </w:r>
      <w:r w:rsidR="00481BDB">
        <w:rPr>
          <w:rFonts w:ascii="Times New Roman" w:hAnsi="Times New Roman" w:cs="Times New Roman"/>
          <w:lang w:val="en-IE"/>
        </w:rPr>
      </w:r>
      <w:r w:rsidR="00481BDB">
        <w:rPr>
          <w:rFonts w:ascii="Times New Roman" w:hAnsi="Times New Roman" w:cs="Times New Roman"/>
          <w:lang w:val="en-IE"/>
        </w:rPr>
        <w:fldChar w:fldCharType="separate"/>
      </w:r>
      <w:r w:rsidR="00481BDB">
        <w:rPr>
          <w:rFonts w:ascii="Times New Roman" w:hAnsi="Times New Roman" w:cs="Times New Roman"/>
          <w:lang w:val="en-IE"/>
        </w:rPr>
        <w:t>5</w:t>
      </w:r>
      <w:r w:rsidR="00481BDB">
        <w:rPr>
          <w:rFonts w:ascii="Times New Roman" w:hAnsi="Times New Roman" w:cs="Times New Roman"/>
          <w:lang w:val="en-IE"/>
        </w:rPr>
        <w:fldChar w:fldCharType="end"/>
      </w:r>
      <w:r w:rsidRPr="00C735F5">
        <w:rPr>
          <w:rFonts w:ascii="Times New Roman" w:hAnsi="Times New Roman" w:cs="Times New Roman"/>
        </w:rPr>
        <w:t>.</w:t>
      </w:r>
    </w:p>
  </w:footnote>
  <w:footnote w:id="20">
    <w:p w14:paraId="0F6F2EA1" w14:textId="3BCA8720" w:rsidR="00355B5C" w:rsidRPr="00C735F5" w:rsidRDefault="00355B5C" w:rsidP="00841398">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As part of their annual reporting under Article 20 of the Directive, Denmark, Estonia, Romania, Iceland and UK (England and Wales) indicated having put in place such measures.</w:t>
      </w:r>
    </w:p>
  </w:footnote>
  <w:footnote w:id="21">
    <w:p w14:paraId="19B6752D" w14:textId="6A42CA9D" w:rsidR="00355B5C" w:rsidRPr="00C735F5" w:rsidRDefault="00355B5C" w:rsidP="00EF0378">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This might be the case where public/contracted healthcare providers in a Member State providing healthcare to insured persons under the benefits-in-kind system cannot act in private capacity.</w:t>
      </w:r>
    </w:p>
  </w:footnote>
  <w:footnote w:id="22">
    <w:p w14:paraId="402D6D04" w14:textId="46E5F14B"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w:t>
      </w:r>
      <w:r>
        <w:rPr>
          <w:rFonts w:ascii="Times New Roman" w:hAnsi="Times New Roman" w:cs="Times New Roman"/>
        </w:rPr>
        <w:t>See the o</w:t>
      </w:r>
      <w:r w:rsidRPr="00C735F5">
        <w:rPr>
          <w:rFonts w:ascii="Times New Roman" w:hAnsi="Times New Roman" w:cs="Times New Roman"/>
        </w:rPr>
        <w:t>pinion</w:t>
      </w:r>
      <w:r>
        <w:rPr>
          <w:rFonts w:ascii="Times New Roman" w:hAnsi="Times New Roman" w:cs="Times New Roman"/>
        </w:rPr>
        <w:t xml:space="preserve"> referred to in footnote</w:t>
      </w:r>
      <w:r w:rsidR="00481BDB">
        <w:rPr>
          <w:rFonts w:ascii="Times New Roman" w:hAnsi="Times New Roman" w:cs="Times New Roman"/>
        </w:rPr>
        <w:t xml:space="preserve"> </w:t>
      </w:r>
      <w:r w:rsidR="00481BDB">
        <w:rPr>
          <w:rFonts w:ascii="Times New Roman" w:hAnsi="Times New Roman" w:cs="Times New Roman"/>
        </w:rPr>
        <w:fldChar w:fldCharType="begin"/>
      </w:r>
      <w:r w:rsidR="00481BDB">
        <w:rPr>
          <w:rFonts w:ascii="Times New Roman" w:hAnsi="Times New Roman" w:cs="Times New Roman"/>
        </w:rPr>
        <w:instrText xml:space="preserve"> NOTEREF _Ref98417859 \h </w:instrText>
      </w:r>
      <w:r w:rsidR="00481BDB">
        <w:rPr>
          <w:rFonts w:ascii="Times New Roman" w:hAnsi="Times New Roman" w:cs="Times New Roman"/>
        </w:rPr>
      </w:r>
      <w:r w:rsidR="00481BDB">
        <w:rPr>
          <w:rFonts w:ascii="Times New Roman" w:hAnsi="Times New Roman" w:cs="Times New Roman"/>
        </w:rPr>
        <w:fldChar w:fldCharType="separate"/>
      </w:r>
      <w:r w:rsidR="00481BDB">
        <w:rPr>
          <w:rFonts w:ascii="Times New Roman" w:hAnsi="Times New Roman" w:cs="Times New Roman"/>
        </w:rPr>
        <w:t>4</w:t>
      </w:r>
      <w:r w:rsidR="00481BDB">
        <w:rPr>
          <w:rFonts w:ascii="Times New Roman" w:hAnsi="Times New Roman" w:cs="Times New Roman"/>
        </w:rPr>
        <w:fldChar w:fldCharType="end"/>
      </w:r>
      <w:r w:rsidRPr="00C735F5">
        <w:rPr>
          <w:rFonts w:ascii="Times New Roman" w:hAnsi="Times New Roman" w:cs="Times New Roman"/>
        </w:rPr>
        <w:t>.</w:t>
      </w:r>
    </w:p>
  </w:footnote>
  <w:footnote w:id="23">
    <w:p w14:paraId="043725E9" w14:textId="0AEA7114" w:rsidR="00355B5C" w:rsidRPr="00C735F5" w:rsidRDefault="00355B5C" w:rsidP="00942013">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European Committee of the Regions (2020). Network of Regional Hubs for EU Policy - Implementation Review - Implementation Report - Third Consultation, on Cross-border Healthcare</w:t>
      </w:r>
      <w:r>
        <w:rPr>
          <w:rFonts w:ascii="Times New Roman" w:hAnsi="Times New Roman" w:cs="Times New Roman"/>
        </w:rPr>
        <w:t xml:space="preserve">, available here: </w:t>
      </w:r>
      <w:hyperlink r:id="rId6" w:history="1">
        <w:r w:rsidRPr="00051407">
          <w:rPr>
            <w:rStyle w:val="Hyperlink"/>
            <w:rFonts w:ascii="Times New Roman" w:hAnsi="Times New Roman" w:cs="Times New Roman"/>
          </w:rPr>
          <w:t>https://cor.europa.eu/en/engage/Documents/RegHub/report-consultation-03-cross-border-healthcare.pdf</w:t>
        </w:r>
      </w:hyperlink>
      <w:r>
        <w:rPr>
          <w:rFonts w:ascii="Times New Roman" w:hAnsi="Times New Roman" w:cs="Times New Roman"/>
        </w:rPr>
        <w:t xml:space="preserve"> </w:t>
      </w:r>
    </w:p>
  </w:footnote>
  <w:footnote w:id="24">
    <w:p w14:paraId="2C4A9F31" w14:textId="6F513E5B" w:rsidR="00355B5C" w:rsidRPr="00C735F5" w:rsidRDefault="00355B5C" w:rsidP="00E4219D">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European Parliament Resolution on the implementation of the Cross-Border Healthcare Directive, 2018/2108(INI), 12.2.2019.</w:t>
      </w:r>
    </w:p>
  </w:footnote>
  <w:footnote w:id="25">
    <w:p w14:paraId="0723CD89" w14:textId="67C0B3B1" w:rsidR="00355B5C" w:rsidRPr="00C735F5" w:rsidRDefault="00355B5C" w:rsidP="00277C62">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ECA Special Report 7/2019 </w:t>
      </w:r>
      <w:r w:rsidRPr="00C735F5">
        <w:rPr>
          <w:rFonts w:ascii="Times New Roman" w:hAnsi="Times New Roman" w:cs="Times New Roman"/>
          <w:i/>
          <w:lang w:val="en-IE"/>
        </w:rPr>
        <w:t>EU actions for cross-border healthcare: significant ambitions but improved management required</w:t>
      </w:r>
      <w:r w:rsidRPr="00C735F5">
        <w:rPr>
          <w:rFonts w:ascii="Times New Roman" w:hAnsi="Times New Roman" w:cs="Times New Roman"/>
          <w:lang w:val="en-IE"/>
        </w:rPr>
        <w:t>, 4.6.2019.</w:t>
      </w:r>
    </w:p>
  </w:footnote>
  <w:footnote w:id="26">
    <w:p w14:paraId="69D4783F" w14:textId="600A417A" w:rsidR="00355B5C" w:rsidRPr="00C735F5" w:rsidRDefault="00355B5C" w:rsidP="00FC4943">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Council conclusions in response to the ECA Special Report 7/2019, 12913/19 FIN, 23.10.2019.</w:t>
      </w:r>
    </w:p>
  </w:footnote>
  <w:footnote w:id="27">
    <w:p w14:paraId="20FED8AD" w14:textId="288E23F1" w:rsidR="00355B5C" w:rsidRPr="00C735F5" w:rsidRDefault="00355B5C" w:rsidP="00277C62">
      <w:pPr>
        <w:pStyle w:val="FootnoteText"/>
        <w:jc w:val="lef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ECR Opinion </w:t>
      </w:r>
      <w:r w:rsidRPr="00C735F5">
        <w:rPr>
          <w:rFonts w:ascii="Times New Roman" w:hAnsi="Times New Roman" w:cs="Times New Roman"/>
          <w:i/>
          <w:lang w:val="en-IE"/>
        </w:rPr>
        <w:t>Implementation and future perspectives for cross-border healthcare</w:t>
      </w:r>
      <w:r w:rsidRPr="00C735F5">
        <w:rPr>
          <w:rFonts w:ascii="Times New Roman" w:hAnsi="Times New Roman" w:cs="Times New Roman"/>
          <w:lang w:val="en-IE"/>
        </w:rPr>
        <w:t>, CDR 4597/2019, 14.10.2020.</w:t>
      </w:r>
    </w:p>
  </w:footnote>
  <w:footnote w:id="28">
    <w:p w14:paraId="505A39F7" w14:textId="2270A17D" w:rsidR="00355B5C" w:rsidRPr="00C735F5" w:rsidRDefault="00355B5C" w:rsidP="009A7E04">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As the Directive still applied to the UK during the transition period until 31 December 2020, this report includes UK data.</w:t>
      </w:r>
    </w:p>
  </w:footnote>
  <w:footnote w:id="29">
    <w:p w14:paraId="176040CB" w14:textId="31EEEDFD" w:rsidR="00355B5C" w:rsidRPr="00C735F5" w:rsidRDefault="00355B5C" w:rsidP="00AD3A66">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This is especially the case for France, which reports relatively high numbers of patient mobility. In light of this, the numbers for France are highlighted specifically in Figures 1 and 2. </w:t>
      </w:r>
    </w:p>
  </w:footnote>
  <w:footnote w:id="30">
    <w:p w14:paraId="04C56A87" w14:textId="6265FEF8"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rPr>
        <w:footnoteRef/>
      </w:r>
      <w:r w:rsidRPr="00C735F5">
        <w:rPr>
          <w:rFonts w:ascii="Times New Roman" w:hAnsi="Times New Roman" w:cs="Times New Roman"/>
        </w:rPr>
        <w:t xml:space="preserve"> This concerns 15 Member States and the UK.</w:t>
      </w:r>
    </w:p>
  </w:footnote>
  <w:footnote w:id="31">
    <w:p w14:paraId="2A941CD1" w14:textId="362CE165" w:rsidR="00355B5C" w:rsidRPr="00C735F5" w:rsidRDefault="00355B5C" w:rsidP="0035775E">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This concerns 17 Member States, the UK and Norway.</w:t>
      </w:r>
    </w:p>
  </w:footnote>
  <w:footnote w:id="32">
    <w:p w14:paraId="23027EA9" w14:textId="6BA370D9" w:rsidR="00355B5C" w:rsidRPr="00C735F5" w:rsidRDefault="00355B5C">
      <w:pPr>
        <w:pStyle w:val="FootnoteText"/>
        <w:rPr>
          <w:rFonts w:ascii="Times New Roman" w:hAnsi="Times New Roman" w:cs="Times New Roman"/>
          <w:lang w:val="en-IE"/>
        </w:rPr>
      </w:pPr>
      <w:r w:rsidRPr="00C735F5">
        <w:rPr>
          <w:rStyle w:val="FootnoteReference"/>
          <w:rFonts w:ascii="Times New Roman" w:hAnsi="Times New Roman" w:cs="Times New Roman"/>
        </w:rPr>
        <w:footnoteRef/>
      </w:r>
      <w:r w:rsidRPr="00C735F5">
        <w:rPr>
          <w:rFonts w:ascii="Times New Roman" w:hAnsi="Times New Roman" w:cs="Times New Roman"/>
          <w:lang w:val="en-IE"/>
        </w:rPr>
        <w:t xml:space="preserve"> </w:t>
      </w:r>
      <w:r w:rsidRPr="00C735F5">
        <w:rPr>
          <w:rFonts w:ascii="Times New Roman" w:hAnsi="Times New Roman" w:cs="Times New Roman"/>
          <w:lang w:val="en-GB"/>
        </w:rPr>
        <w:t xml:space="preserve">The totals excluding the UK amounted to EUR 65.7 million in 2018, EUR 82.3 million in 2019 and </w:t>
      </w:r>
      <w:r w:rsidRPr="00C735F5">
        <w:rPr>
          <w:rFonts w:ascii="Times New Roman" w:hAnsi="Times New Roman" w:cs="Times New Roman"/>
        </w:rPr>
        <w:t>EUR 74.9 million in 2020</w:t>
      </w:r>
      <w:r w:rsidRPr="00C735F5">
        <w:rPr>
          <w:rFonts w:ascii="Times New Roman" w:hAnsi="Times New Roman" w:cs="Times New Roman"/>
          <w:lang w:val="en-GB"/>
        </w:rPr>
        <w:t>.</w:t>
      </w:r>
    </w:p>
  </w:footnote>
  <w:footnote w:id="33">
    <w:p w14:paraId="767C189B" w14:textId="782D21A0"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This concerns 17 Member States, the UK and Norway.</w:t>
      </w:r>
    </w:p>
  </w:footnote>
  <w:footnote w:id="34">
    <w:p w14:paraId="27BA5D70" w14:textId="1491DD7A"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Eurostat </w:t>
      </w:r>
      <w:hyperlink r:id="rId7" w:history="1">
        <w:r w:rsidRPr="00C735F5">
          <w:rPr>
            <w:rStyle w:val="Hyperlink"/>
            <w:rFonts w:ascii="Times New Roman" w:hAnsi="Times New Roman" w:cs="Times New Roman"/>
          </w:rPr>
          <w:t>[GOV_10A_EXP]</w:t>
        </w:r>
      </w:hyperlink>
      <w:r w:rsidRPr="00C735F5">
        <w:rPr>
          <w:rFonts w:ascii="Times New Roman" w:hAnsi="Times New Roman" w:cs="Times New Roman"/>
        </w:rPr>
        <w:t>.</w:t>
      </w:r>
      <w:r>
        <w:rPr>
          <w:rFonts w:ascii="Times New Roman" w:hAnsi="Times New Roman" w:cs="Times New Roman"/>
        </w:rPr>
        <w:t xml:space="preserve"> </w:t>
      </w:r>
      <w:r w:rsidR="00F05886">
        <w:rPr>
          <w:rFonts w:ascii="Times New Roman" w:hAnsi="Times New Roman" w:cs="Times New Roman"/>
        </w:rPr>
        <w:t>Although data for 2020 is already available at the time of publication of this report, it does not include the UK data.</w:t>
      </w:r>
    </w:p>
  </w:footnote>
  <w:footnote w:id="35">
    <w:p w14:paraId="6C1BFBE5" w14:textId="458F60BC"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w:t>
      </w:r>
      <w:r w:rsidRPr="00C735F5">
        <w:rPr>
          <w:rFonts w:ascii="Times New Roman" w:hAnsi="Times New Roman" w:cs="Times New Roman"/>
          <w:color w:val="000000" w:themeColor="text1"/>
          <w:lang w:val="en-IE"/>
        </w:rPr>
        <w:t xml:space="preserve">Cross-border healthcare under the Regulation </w:t>
      </w:r>
      <w:r w:rsidRPr="00C735F5">
        <w:rPr>
          <w:rFonts w:ascii="Times New Roman" w:hAnsi="Times New Roman" w:cs="Times New Roman"/>
          <w:lang w:val="en-IE"/>
        </w:rPr>
        <w:t>amount</w:t>
      </w:r>
      <w:r w:rsidR="00F05886">
        <w:rPr>
          <w:rFonts w:ascii="Times New Roman" w:hAnsi="Times New Roman" w:cs="Times New Roman"/>
          <w:lang w:val="en-IE"/>
        </w:rPr>
        <w:t>ed</w:t>
      </w:r>
      <w:r w:rsidRPr="00C735F5">
        <w:rPr>
          <w:rFonts w:ascii="Times New Roman" w:hAnsi="Times New Roman" w:cs="Times New Roman"/>
          <w:lang w:val="en-IE"/>
        </w:rPr>
        <w:t xml:space="preserve"> to </w:t>
      </w:r>
      <w:r w:rsidR="00F05886" w:rsidRPr="00F05886">
        <w:rPr>
          <w:rFonts w:ascii="Times New Roman" w:hAnsi="Times New Roman" w:cs="Times New Roman"/>
          <w:lang w:val="en-IE"/>
        </w:rPr>
        <w:t>roughly 0.3</w:t>
      </w:r>
      <w:r w:rsidR="00F05886">
        <w:rPr>
          <w:rFonts w:ascii="Times New Roman" w:hAnsi="Times New Roman" w:cs="Times New Roman"/>
          <w:lang w:val="en-IE"/>
        </w:rPr>
        <w:t>%-</w:t>
      </w:r>
      <w:r w:rsidR="00F05886" w:rsidRPr="00F05886">
        <w:rPr>
          <w:rFonts w:ascii="Times New Roman" w:hAnsi="Times New Roman" w:cs="Times New Roman"/>
          <w:lang w:val="en-IE"/>
        </w:rPr>
        <w:t>0.4%</w:t>
      </w:r>
      <w:r w:rsidR="00F05886">
        <w:rPr>
          <w:rFonts w:ascii="Times New Roman" w:hAnsi="Times New Roman" w:cs="Times New Roman"/>
          <w:lang w:val="en-IE"/>
        </w:rPr>
        <w:t xml:space="preserve"> </w:t>
      </w:r>
      <w:r w:rsidRPr="00C735F5">
        <w:rPr>
          <w:rFonts w:ascii="Times New Roman" w:hAnsi="Times New Roman" w:cs="Times New Roman"/>
          <w:lang w:val="en-IE"/>
        </w:rPr>
        <w:t>of total healthcare spending</w:t>
      </w:r>
      <w:r w:rsidRPr="00C735F5">
        <w:rPr>
          <w:rFonts w:ascii="Times New Roman" w:hAnsi="Times New Roman" w:cs="Times New Roman"/>
        </w:rPr>
        <w:t xml:space="preserve"> </w:t>
      </w:r>
      <w:r w:rsidR="00F05886">
        <w:rPr>
          <w:rFonts w:ascii="Times New Roman" w:hAnsi="Times New Roman" w:cs="Times New Roman"/>
        </w:rPr>
        <w:t xml:space="preserve">in 2019 and 2020 </w:t>
      </w:r>
      <w:r w:rsidRPr="00C735F5">
        <w:rPr>
          <w:rFonts w:ascii="Times New Roman" w:hAnsi="Times New Roman" w:cs="Times New Roman"/>
        </w:rPr>
        <w:t>(</w:t>
      </w:r>
      <w:r w:rsidRPr="00465DA7">
        <w:rPr>
          <w:rFonts w:ascii="Times New Roman" w:hAnsi="Times New Roman" w:cs="Times New Roman"/>
        </w:rPr>
        <w:t>Cross-border healthcare in the EU under social security coordination</w:t>
      </w:r>
      <w:r w:rsidR="00EC5201">
        <w:rPr>
          <w:rFonts w:ascii="Times New Roman" w:hAnsi="Times New Roman" w:cs="Times New Roman"/>
        </w:rPr>
        <w:t xml:space="preserve"> – Reference year</w:t>
      </w:r>
      <w:r w:rsidR="00B66341">
        <w:rPr>
          <w:rFonts w:ascii="Times New Roman" w:hAnsi="Times New Roman" w:cs="Times New Roman"/>
        </w:rPr>
        <w:t xml:space="preserve"> 2019 and Reference year </w:t>
      </w:r>
      <w:r w:rsidR="00EC5201">
        <w:rPr>
          <w:rFonts w:ascii="Times New Roman" w:hAnsi="Times New Roman" w:cs="Times New Roman"/>
        </w:rPr>
        <w:t xml:space="preserve">2020, available here: </w:t>
      </w:r>
      <w:hyperlink r:id="rId8" w:history="1">
        <w:r w:rsidR="00B66341" w:rsidRPr="008F1C2B">
          <w:rPr>
            <w:rStyle w:val="Hyperlink"/>
            <w:rFonts w:ascii="Times New Roman" w:hAnsi="Times New Roman" w:cs="Times New Roman"/>
          </w:rPr>
          <w:t>https://ec.europa.eu/social/BlobServlet?docId=23780&amp;langId=en</w:t>
        </w:r>
      </w:hyperlink>
      <w:r w:rsidR="00B66341">
        <w:rPr>
          <w:rFonts w:ascii="Times New Roman" w:hAnsi="Times New Roman" w:cs="Times New Roman"/>
        </w:rPr>
        <w:t xml:space="preserve"> and </w:t>
      </w:r>
      <w:hyperlink r:id="rId9" w:history="1">
        <w:r w:rsidR="00EC5201" w:rsidRPr="00051407">
          <w:rPr>
            <w:rStyle w:val="Hyperlink"/>
            <w:rFonts w:ascii="Times New Roman" w:hAnsi="Times New Roman" w:cs="Times New Roman"/>
          </w:rPr>
          <w:t>https://ec.europa.eu/social/main.jsp?pager.offset=5&amp;advSearchKey=ssc_statsreport2021&amp;mode=advancedSubmit&amp;catId=22&amp;doc_submit=&amp;policyArea=0&amp;policyAreaSub=0&amp;country=0&amp;year=0</w:t>
        </w:r>
      </w:hyperlink>
      <w:r w:rsidR="00EC5201">
        <w:rPr>
          <w:rFonts w:ascii="Times New Roman" w:hAnsi="Times New Roman" w:cs="Times New Roman"/>
        </w:rPr>
        <w:t>)</w:t>
      </w:r>
      <w:r w:rsidRPr="00C735F5">
        <w:rPr>
          <w:rFonts w:ascii="Times New Roman" w:hAnsi="Times New Roman" w:cs="Times New Roman"/>
        </w:rPr>
        <w:t>.</w:t>
      </w:r>
    </w:p>
  </w:footnote>
  <w:footnote w:id="36">
    <w:p w14:paraId="7724BF74" w14:textId="43D81A17" w:rsidR="00355B5C" w:rsidRPr="005C250A" w:rsidRDefault="00355B5C" w:rsidP="0029743E">
      <w:pPr>
        <w:pStyle w:val="FootnoteText"/>
        <w:rPr>
          <w:rFonts w:ascii="Times New Roman" w:hAnsi="Times New Roman" w:cs="Times New Roman"/>
          <w:lang w:val="es-CU"/>
        </w:rPr>
      </w:pPr>
      <w:r w:rsidRPr="00C735F5">
        <w:rPr>
          <w:rStyle w:val="FootnoteReference"/>
          <w:rFonts w:ascii="Times New Roman" w:hAnsi="Times New Roman" w:cs="Times New Roman"/>
        </w:rPr>
        <w:footnoteRef/>
      </w:r>
      <w:r w:rsidRPr="005C250A">
        <w:rPr>
          <w:rFonts w:ascii="Times New Roman" w:hAnsi="Times New Roman" w:cs="Times New Roman"/>
          <w:lang w:val="es-CU"/>
        </w:rPr>
        <w:t xml:space="preserve"> </w:t>
      </w:r>
      <w:r w:rsidRPr="005C250A">
        <w:rPr>
          <w:rFonts w:ascii="Times New Roman" w:hAnsi="Times New Roman" w:cs="Times New Roman"/>
          <w:i/>
          <w:lang w:val="es-CU"/>
        </w:rPr>
        <w:t>Ibid</w:t>
      </w:r>
      <w:r w:rsidRPr="005C250A">
        <w:rPr>
          <w:rFonts w:ascii="Times New Roman" w:hAnsi="Times New Roman" w:cs="Times New Roman"/>
          <w:lang w:val="es-CU"/>
        </w:rPr>
        <w:t>.</w:t>
      </w:r>
    </w:p>
  </w:footnote>
  <w:footnote w:id="37">
    <w:p w14:paraId="3728108C" w14:textId="3B7732EE" w:rsidR="00355B5C" w:rsidRPr="005C250A" w:rsidRDefault="00355B5C">
      <w:pPr>
        <w:pStyle w:val="FootnoteText"/>
        <w:rPr>
          <w:rFonts w:ascii="Times New Roman" w:hAnsi="Times New Roman" w:cs="Times New Roman"/>
          <w:lang w:val="es-CU"/>
        </w:rPr>
      </w:pPr>
      <w:r w:rsidRPr="00EA55E2">
        <w:rPr>
          <w:rStyle w:val="FootnoteReference"/>
          <w:rFonts w:ascii="Times New Roman" w:hAnsi="Times New Roman" w:cs="Times New Roman"/>
        </w:rPr>
        <w:footnoteRef/>
      </w:r>
      <w:r w:rsidRPr="005C250A">
        <w:rPr>
          <w:rFonts w:ascii="Times New Roman" w:hAnsi="Times New Roman" w:cs="Times New Roman"/>
          <w:lang w:val="es-CU"/>
        </w:rPr>
        <w:t xml:space="preserve"> </w:t>
      </w:r>
      <w:hyperlink r:id="rId10" w:history="1">
        <w:r w:rsidRPr="005C250A">
          <w:rPr>
            <w:rStyle w:val="Hyperlink"/>
            <w:rFonts w:ascii="Times New Roman" w:hAnsi="Times New Roman" w:cs="Times New Roman"/>
            <w:lang w:val="es-CU"/>
          </w:rPr>
          <w:t>https://ec.europa.eu/health/system/files/2019-12/2019_ncptoolbox_ncp_guiding_principles_crossborder_en_0.pdf</w:t>
        </w:r>
      </w:hyperlink>
    </w:p>
  </w:footnote>
  <w:footnote w:id="38">
    <w:p w14:paraId="4A1C6F0E" w14:textId="0FDF5D58" w:rsidR="00355B5C" w:rsidRPr="00C735F5" w:rsidRDefault="00355B5C" w:rsidP="005423C8">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Directive (EU) 2016/2102 of the European Parliament and of the Council of 26 October 2016 on the accessibility of the websites and mobile applications of public sector bodies (OJ L 327, 2.12.2016, p. 1).</w:t>
      </w:r>
    </w:p>
  </w:footnote>
  <w:footnote w:id="39">
    <w:p w14:paraId="38BEACFD" w14:textId="7BCF7E9E" w:rsidR="00355B5C" w:rsidRPr="00C735F5" w:rsidRDefault="00355B5C">
      <w:pPr>
        <w:pStyle w:val="FootnoteText"/>
        <w:rPr>
          <w:rFonts w:ascii="Times New Roman" w:hAnsi="Times New Roman" w:cs="Times New Roman"/>
        </w:rPr>
      </w:pPr>
      <w:r w:rsidRPr="00C735F5">
        <w:rPr>
          <w:rStyle w:val="FootnoteReference"/>
          <w:rFonts w:ascii="Times New Roman" w:hAnsi="Times New Roman" w:cs="Times New Roman"/>
        </w:rPr>
        <w:footnoteRef/>
      </w:r>
      <w:r w:rsidRPr="00C735F5">
        <w:rPr>
          <w:rFonts w:ascii="Times New Roman" w:hAnsi="Times New Roman" w:cs="Times New Roman"/>
        </w:rPr>
        <w:t xml:space="preserve"> European Disability Forum (2021), </w:t>
      </w:r>
      <w:r w:rsidRPr="00C735F5">
        <w:rPr>
          <w:rFonts w:ascii="Times New Roman" w:hAnsi="Times New Roman" w:cs="Times New Roman"/>
          <w:i/>
        </w:rPr>
        <w:t>Access to cross-border healthcare by patients with disabilities in the European Union</w:t>
      </w:r>
      <w:r w:rsidRPr="00C735F5">
        <w:rPr>
          <w:rFonts w:ascii="Times New Roman" w:hAnsi="Times New Roman" w:cs="Times New Roman"/>
        </w:rPr>
        <w:t xml:space="preserve">, </w:t>
      </w:r>
      <w:r>
        <w:rPr>
          <w:rFonts w:ascii="Times New Roman" w:hAnsi="Times New Roman" w:cs="Times New Roman"/>
        </w:rPr>
        <w:t xml:space="preserve">available here: </w:t>
      </w:r>
      <w:hyperlink r:id="rId11" w:history="1">
        <w:r w:rsidRPr="00C735F5">
          <w:rPr>
            <w:rStyle w:val="Hyperlink"/>
            <w:rFonts w:ascii="Times New Roman" w:hAnsi="Times New Roman" w:cs="Times New Roman"/>
          </w:rPr>
          <w:t>https://www.edf-feph.org/content/uploads/2019/08/EDF-report_on_health_revised-accessible.pdf</w:t>
        </w:r>
      </w:hyperlink>
      <w:r w:rsidRPr="00C735F5">
        <w:rPr>
          <w:rStyle w:val="Hyperlink"/>
          <w:rFonts w:ascii="Times New Roman" w:hAnsi="Times New Roman" w:cs="Times New Roman"/>
        </w:rPr>
        <w:t>.</w:t>
      </w:r>
      <w:r w:rsidRPr="00C735F5">
        <w:rPr>
          <w:rFonts w:ascii="Times New Roman" w:hAnsi="Times New Roman" w:cs="Times New Roman"/>
        </w:rPr>
        <w:t xml:space="preserve"> </w:t>
      </w:r>
    </w:p>
  </w:footnote>
  <w:footnote w:id="40">
    <w:p w14:paraId="36D372AD" w14:textId="3AF55A7F" w:rsidR="00355B5C" w:rsidRPr="00C735F5" w:rsidRDefault="00355B5C" w:rsidP="0011770E">
      <w:pPr>
        <w:pStyle w:val="FootnoteText"/>
        <w:rPr>
          <w:rFonts w:ascii="Times New Roman" w:hAnsi="Times New Roman" w:cs="Times New Roman"/>
          <w:lang w:val="en-IE"/>
        </w:rPr>
      </w:pPr>
      <w:r w:rsidRPr="00C735F5">
        <w:rPr>
          <w:rStyle w:val="FootnoteReference"/>
          <w:rFonts w:ascii="Times New Roman" w:hAnsi="Times New Roman" w:cs="Times New Roman"/>
        </w:rPr>
        <w:footnoteRef/>
      </w:r>
      <w:r w:rsidRPr="00C735F5">
        <w:rPr>
          <w:rFonts w:ascii="Times New Roman" w:hAnsi="Times New Roman" w:cs="Times New Roman"/>
          <w:lang w:val="en-IE"/>
        </w:rPr>
        <w:t xml:space="preserve"> </w:t>
      </w:r>
      <w:r>
        <w:rPr>
          <w:rFonts w:ascii="Times New Roman" w:hAnsi="Times New Roman" w:cs="Times New Roman"/>
          <w:lang w:val="en-IE"/>
        </w:rPr>
        <w:t>Referred to in</w:t>
      </w:r>
      <w:r w:rsidRPr="00C735F5">
        <w:rPr>
          <w:rFonts w:ascii="Times New Roman" w:hAnsi="Times New Roman" w:cs="Times New Roman"/>
          <w:lang w:val="en-IE"/>
        </w:rPr>
        <w:t xml:space="preserve"> footnote</w:t>
      </w:r>
      <w:r w:rsidR="00082DFC">
        <w:rPr>
          <w:rFonts w:ascii="Times New Roman" w:hAnsi="Times New Roman" w:cs="Times New Roman"/>
          <w:lang w:val="en-IE"/>
        </w:rPr>
        <w:t xml:space="preserve"> </w:t>
      </w:r>
      <w:r w:rsidR="00082DFC">
        <w:rPr>
          <w:rFonts w:ascii="Times New Roman" w:hAnsi="Times New Roman" w:cs="Times New Roman"/>
          <w:lang w:val="en-IE"/>
        </w:rPr>
        <w:fldChar w:fldCharType="begin"/>
      </w:r>
      <w:r w:rsidR="00082DFC">
        <w:rPr>
          <w:rFonts w:ascii="Times New Roman" w:hAnsi="Times New Roman" w:cs="Times New Roman"/>
          <w:lang w:val="en-IE"/>
        </w:rPr>
        <w:instrText xml:space="preserve"> NOTEREF _Ref98417912 \h </w:instrText>
      </w:r>
      <w:r w:rsidR="00082DFC">
        <w:rPr>
          <w:rFonts w:ascii="Times New Roman" w:hAnsi="Times New Roman" w:cs="Times New Roman"/>
          <w:lang w:val="en-IE"/>
        </w:rPr>
      </w:r>
      <w:r w:rsidR="00082DFC">
        <w:rPr>
          <w:rFonts w:ascii="Times New Roman" w:hAnsi="Times New Roman" w:cs="Times New Roman"/>
          <w:lang w:val="en-IE"/>
        </w:rPr>
        <w:fldChar w:fldCharType="separate"/>
      </w:r>
      <w:r w:rsidR="00082DFC">
        <w:rPr>
          <w:rFonts w:ascii="Times New Roman" w:hAnsi="Times New Roman" w:cs="Times New Roman"/>
          <w:lang w:val="en-IE"/>
        </w:rPr>
        <w:t>17</w:t>
      </w:r>
      <w:r w:rsidR="00082DFC">
        <w:rPr>
          <w:rFonts w:ascii="Times New Roman" w:hAnsi="Times New Roman" w:cs="Times New Roman"/>
          <w:lang w:val="en-IE"/>
        </w:rPr>
        <w:fldChar w:fldCharType="end"/>
      </w:r>
      <w:r w:rsidRPr="00C735F5">
        <w:rPr>
          <w:rFonts w:ascii="Times New Roman" w:hAnsi="Times New Roman" w:cs="Times New Roman"/>
          <w:lang w:val="en-IE"/>
        </w:rPr>
        <w:t>.</w:t>
      </w:r>
    </w:p>
  </w:footnote>
  <w:footnote w:id="41">
    <w:p w14:paraId="5E41CEB4" w14:textId="3000FF2E" w:rsidR="00355B5C" w:rsidRPr="00355B5C" w:rsidRDefault="00355B5C">
      <w:pPr>
        <w:pStyle w:val="FootnoteText"/>
        <w:rPr>
          <w:rFonts w:ascii="Times New Roman" w:hAnsi="Times New Roman" w:cs="Times New Roman"/>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12" w:history="1">
        <w:r w:rsidRPr="00355B5C">
          <w:rPr>
            <w:rStyle w:val="Hyperlink"/>
            <w:rFonts w:ascii="Times New Roman" w:hAnsi="Times New Roman" w:cs="Times New Roman"/>
          </w:rPr>
          <w:t>https://ec.europa.eu/health/cross-border-healthcare/toolbox-cross-border-healthcare_en</w:t>
        </w:r>
      </w:hyperlink>
      <w:r w:rsidRPr="00355B5C">
        <w:rPr>
          <w:rFonts w:ascii="Times New Roman" w:hAnsi="Times New Roman" w:cs="Times New Roman"/>
        </w:rPr>
        <w:t xml:space="preserve"> </w:t>
      </w:r>
    </w:p>
  </w:footnote>
  <w:footnote w:id="42">
    <w:p w14:paraId="7E04AB05" w14:textId="3EB7C56B" w:rsidR="00355B5C" w:rsidRPr="00355B5C" w:rsidRDefault="00355B5C">
      <w:pPr>
        <w:pStyle w:val="FootnoteText"/>
        <w:rPr>
          <w:rFonts w:ascii="Times New Roman" w:hAnsi="Times New Roman" w:cs="Times New Roman"/>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13" w:history="1">
        <w:r w:rsidRPr="00355B5C">
          <w:rPr>
            <w:rStyle w:val="Hyperlink"/>
            <w:rFonts w:ascii="Times New Roman" w:hAnsi="Times New Roman" w:cs="Times New Roman"/>
          </w:rPr>
          <w:t>https://europa.eu/youreurope/index_en.htm</w:t>
        </w:r>
      </w:hyperlink>
      <w:r w:rsidRPr="00355B5C">
        <w:rPr>
          <w:rFonts w:ascii="Times New Roman" w:hAnsi="Times New Roman" w:cs="Times New Roman"/>
        </w:rPr>
        <w:t xml:space="preserve"> </w:t>
      </w:r>
    </w:p>
  </w:footnote>
  <w:footnote w:id="43">
    <w:p w14:paraId="13695635" w14:textId="77777777" w:rsidR="00355B5C" w:rsidRPr="00C735F5" w:rsidRDefault="00355B5C" w:rsidP="00226ABB">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Commission Implementing Directive 2012/52/EU of 20 December 2012 laying down measures to facilitate the recognition of medical prescriptions issued in another Member State (OJ L 356, 22.12.2012, p. 68).</w:t>
      </w:r>
    </w:p>
  </w:footnote>
  <w:footnote w:id="44">
    <w:p w14:paraId="05B6F711" w14:textId="7953331B" w:rsidR="00355B5C" w:rsidRPr="00C735F5" w:rsidRDefault="00355B5C" w:rsidP="00D478EA">
      <w:pPr>
        <w:pStyle w:val="FootnoteText"/>
        <w:rPr>
          <w:rFonts w:ascii="Times New Roman" w:hAnsi="Times New Roman" w:cs="Times New Roman"/>
          <w:lang w:val="en-IE"/>
        </w:rPr>
      </w:pPr>
      <w:r w:rsidRPr="00C735F5">
        <w:rPr>
          <w:rStyle w:val="FootnoteReference"/>
          <w:rFonts w:ascii="Times New Roman" w:hAnsi="Times New Roman" w:cs="Times New Roman"/>
          <w:lang w:val="en-IE"/>
        </w:rPr>
        <w:footnoteRef/>
      </w:r>
      <w:r w:rsidRPr="00C735F5">
        <w:rPr>
          <w:rFonts w:ascii="Times New Roman" w:hAnsi="Times New Roman" w:cs="Times New Roman"/>
          <w:lang w:val="en-IE"/>
        </w:rPr>
        <w:t xml:space="preserve"> Judgment of 18 September 2019, </w:t>
      </w:r>
      <w:r w:rsidRPr="00C735F5">
        <w:rPr>
          <w:rFonts w:ascii="Times New Roman" w:hAnsi="Times New Roman" w:cs="Times New Roman"/>
          <w:i/>
          <w:iCs/>
          <w:lang w:val="en-IE"/>
        </w:rPr>
        <w:t>VIPA</w:t>
      </w:r>
      <w:r w:rsidRPr="00C735F5">
        <w:rPr>
          <w:rFonts w:ascii="Times New Roman" w:hAnsi="Times New Roman" w:cs="Times New Roman"/>
          <w:lang w:val="en-IE"/>
        </w:rPr>
        <w:t>, C-222/18, EU:C:2019:751, paragraph 47.</w:t>
      </w:r>
    </w:p>
  </w:footnote>
  <w:footnote w:id="45">
    <w:p w14:paraId="03713ABB" w14:textId="15C27675" w:rsidR="00355B5C" w:rsidRPr="00355B5C" w:rsidRDefault="00355B5C">
      <w:pPr>
        <w:pStyle w:val="FootnoteText"/>
        <w:rPr>
          <w:rFonts w:ascii="Times New Roman" w:hAnsi="Times New Roman" w:cs="Times New Roman"/>
          <w:lang w:val="en-IE"/>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14" w:history="1">
        <w:r w:rsidRPr="00355B5C">
          <w:rPr>
            <w:rStyle w:val="Hyperlink"/>
            <w:rFonts w:ascii="Times New Roman" w:hAnsi="Times New Roman" w:cs="Times New Roman"/>
          </w:rPr>
          <w:t>https://ec.europa.eu/health/european-reference-networks/networks_en</w:t>
        </w:r>
      </w:hyperlink>
      <w:r w:rsidRPr="00355B5C">
        <w:rPr>
          <w:rFonts w:ascii="Times New Roman" w:hAnsi="Times New Roman" w:cs="Times New Roman"/>
        </w:rPr>
        <w:t xml:space="preserve"> </w:t>
      </w:r>
    </w:p>
  </w:footnote>
  <w:footnote w:id="46">
    <w:p w14:paraId="212F9ED7" w14:textId="529328B7" w:rsidR="00355B5C" w:rsidRPr="00355B5C" w:rsidRDefault="00355B5C">
      <w:pPr>
        <w:pStyle w:val="FootnoteText"/>
        <w:rPr>
          <w:rFonts w:ascii="Times New Roman" w:hAnsi="Times New Roman" w:cs="Times New Roman"/>
          <w:lang w:val="en-IE"/>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15" w:history="1">
        <w:r w:rsidRPr="00355B5C">
          <w:rPr>
            <w:rStyle w:val="Hyperlink"/>
            <w:rFonts w:ascii="Times New Roman" w:hAnsi="Times New Roman" w:cs="Times New Roman"/>
          </w:rPr>
          <w:t>https://ec.europa.eu/info/strategy/priorities-2019-2024/promoting-our-european-way-life/european-health-union/cancer-plan-europe_en</w:t>
        </w:r>
      </w:hyperlink>
      <w:r w:rsidRPr="00355B5C">
        <w:rPr>
          <w:rFonts w:ascii="Times New Roman" w:hAnsi="Times New Roman" w:cs="Times New Roman"/>
        </w:rPr>
        <w:t xml:space="preserve"> </w:t>
      </w:r>
    </w:p>
  </w:footnote>
  <w:footnote w:id="47">
    <w:p w14:paraId="4240FA07" w14:textId="6C3780D5" w:rsidR="00355B5C" w:rsidRPr="00355B5C" w:rsidRDefault="00355B5C">
      <w:pPr>
        <w:pStyle w:val="FootnoteText"/>
        <w:rPr>
          <w:rFonts w:ascii="Times New Roman" w:hAnsi="Times New Roman" w:cs="Times New Roman"/>
          <w:lang w:val="en-IE"/>
        </w:rPr>
      </w:pPr>
      <w:r w:rsidRPr="00355B5C">
        <w:rPr>
          <w:rStyle w:val="FootnoteReference"/>
          <w:rFonts w:ascii="Times New Roman" w:hAnsi="Times New Roman" w:cs="Times New Roman"/>
        </w:rPr>
        <w:footnoteRef/>
      </w:r>
      <w:r w:rsidRPr="00355B5C">
        <w:rPr>
          <w:rFonts w:ascii="Times New Roman" w:hAnsi="Times New Roman" w:cs="Times New Roman"/>
          <w:lang w:val="en-IE"/>
        </w:rPr>
        <w:t xml:space="preserve"> </w:t>
      </w:r>
      <w:hyperlink r:id="rId16" w:history="1">
        <w:r w:rsidRPr="00355B5C">
          <w:rPr>
            <w:rStyle w:val="Hyperlink"/>
            <w:rFonts w:ascii="Times New Roman" w:hAnsi="Times New Roman" w:cs="Times New Roman"/>
            <w:lang w:val="en-IE"/>
          </w:rPr>
          <w:t>https://ec.europa.eu/info/research-and-innovation/funding/funding-opportunities/funding-programmes-and-open-calls/horizon-europe/eu-missions-horizon-europe/cancer_en</w:t>
        </w:r>
      </w:hyperlink>
      <w:r w:rsidRPr="00355B5C">
        <w:rPr>
          <w:rFonts w:ascii="Times New Roman" w:hAnsi="Times New Roman" w:cs="Times New Roman"/>
          <w:lang w:val="en-IE"/>
        </w:rPr>
        <w:t xml:space="preserve"> </w:t>
      </w:r>
    </w:p>
  </w:footnote>
  <w:footnote w:id="48">
    <w:p w14:paraId="34DA4C49" w14:textId="4AA4A9C9" w:rsidR="00355B5C" w:rsidRPr="00355B5C" w:rsidRDefault="00355B5C">
      <w:pPr>
        <w:pStyle w:val="FootnoteText"/>
        <w:rPr>
          <w:rFonts w:ascii="Times New Roman" w:hAnsi="Times New Roman" w:cs="Times New Roman"/>
          <w:lang w:val="en-IE"/>
        </w:rPr>
      </w:pPr>
      <w:r w:rsidRPr="00355B5C">
        <w:rPr>
          <w:rStyle w:val="FootnoteReference"/>
          <w:rFonts w:ascii="Times New Roman" w:hAnsi="Times New Roman" w:cs="Times New Roman"/>
        </w:rPr>
        <w:footnoteRef/>
      </w:r>
      <w:r w:rsidRPr="00355B5C">
        <w:rPr>
          <w:rFonts w:ascii="Times New Roman" w:hAnsi="Times New Roman" w:cs="Times New Roman"/>
          <w:lang w:val="en-IE"/>
        </w:rPr>
        <w:t xml:space="preserve"> </w:t>
      </w:r>
      <w:hyperlink r:id="rId17" w:history="1">
        <w:r w:rsidRPr="00355B5C">
          <w:rPr>
            <w:rStyle w:val="Hyperlink"/>
            <w:rFonts w:ascii="Times New Roman" w:hAnsi="Times New Roman" w:cs="Times New Roman"/>
          </w:rPr>
          <w:t>https://cpms.ern-net.eu/login/</w:t>
        </w:r>
      </w:hyperlink>
      <w:r w:rsidRPr="00355B5C">
        <w:rPr>
          <w:rFonts w:ascii="Times New Roman" w:hAnsi="Times New Roman" w:cs="Times New Roman"/>
        </w:rPr>
        <w:t xml:space="preserve"> </w:t>
      </w:r>
    </w:p>
  </w:footnote>
  <w:footnote w:id="49">
    <w:p w14:paraId="29FAB6F2" w14:textId="6F547C1E" w:rsidR="00481BDB" w:rsidRPr="00481BDB" w:rsidRDefault="00481BDB">
      <w:pPr>
        <w:pStyle w:val="FootnoteText"/>
        <w:rPr>
          <w:rFonts w:ascii="Times New Roman" w:hAnsi="Times New Roman" w:cs="Times New Roman"/>
        </w:rPr>
      </w:pPr>
      <w:r w:rsidRPr="00481BDB">
        <w:rPr>
          <w:rStyle w:val="FootnoteReference"/>
          <w:rFonts w:ascii="Times New Roman" w:hAnsi="Times New Roman" w:cs="Times New Roman"/>
        </w:rPr>
        <w:footnoteRef/>
      </w:r>
      <w:r w:rsidRPr="00481BDB">
        <w:rPr>
          <w:rFonts w:ascii="Times New Roman" w:hAnsi="Times New Roman" w:cs="Times New Roman"/>
        </w:rPr>
        <w:t xml:space="preserve"> </w:t>
      </w:r>
      <w:hyperlink r:id="rId18" w:history="1">
        <w:r w:rsidR="00B66341" w:rsidRPr="008F1C2B">
          <w:rPr>
            <w:rStyle w:val="Hyperlink"/>
            <w:rFonts w:ascii="Times New Roman" w:hAnsi="Times New Roman" w:cs="Times New Roman"/>
          </w:rPr>
          <w:t>https://eu-rd-platform.jrc.ec.europa.eu/_en</w:t>
        </w:r>
      </w:hyperlink>
      <w:r w:rsidR="00B66341">
        <w:rPr>
          <w:rFonts w:ascii="Times New Roman" w:hAnsi="Times New Roman" w:cs="Times New Roman"/>
        </w:rPr>
        <w:t xml:space="preserve"> </w:t>
      </w:r>
    </w:p>
  </w:footnote>
  <w:footnote w:id="50">
    <w:p w14:paraId="09251AC2" w14:textId="6FEBC5CC" w:rsidR="00355B5C" w:rsidRPr="00355B5C" w:rsidRDefault="00355B5C">
      <w:pPr>
        <w:pStyle w:val="FootnoteText"/>
        <w:rPr>
          <w:rFonts w:ascii="Times New Roman" w:hAnsi="Times New Roman" w:cs="Times New Roman"/>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19" w:history="1">
        <w:r w:rsidRPr="00355B5C">
          <w:rPr>
            <w:rStyle w:val="Hyperlink"/>
            <w:rFonts w:ascii="Times New Roman" w:hAnsi="Times New Roman" w:cs="Times New Roman"/>
          </w:rPr>
          <w:t>https://www.nivel.nl/en/project-amequis-2020-ongoing</w:t>
        </w:r>
      </w:hyperlink>
      <w:r w:rsidRPr="00355B5C">
        <w:rPr>
          <w:rFonts w:ascii="Times New Roman" w:hAnsi="Times New Roman" w:cs="Times New Roman"/>
        </w:rPr>
        <w:t xml:space="preserve"> </w:t>
      </w:r>
    </w:p>
  </w:footnote>
  <w:footnote w:id="51">
    <w:p w14:paraId="3A127971" w14:textId="293645A5" w:rsidR="00355B5C" w:rsidRPr="00355B5C" w:rsidRDefault="00355B5C">
      <w:pPr>
        <w:pStyle w:val="FootnoteText"/>
        <w:rPr>
          <w:rFonts w:ascii="Times New Roman" w:hAnsi="Times New Roman" w:cs="Times New Roman"/>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20" w:history="1">
        <w:r w:rsidRPr="00355B5C">
          <w:rPr>
            <w:rStyle w:val="Hyperlink"/>
            <w:rFonts w:ascii="Times New Roman" w:hAnsi="Times New Roman" w:cs="Times New Roman"/>
          </w:rPr>
          <w:t>https://www.ejprarediseases.org/</w:t>
        </w:r>
      </w:hyperlink>
      <w:r w:rsidRPr="00355B5C">
        <w:rPr>
          <w:rFonts w:ascii="Times New Roman" w:hAnsi="Times New Roman" w:cs="Times New Roman"/>
        </w:rPr>
        <w:t xml:space="preserve"> </w:t>
      </w:r>
    </w:p>
  </w:footnote>
  <w:footnote w:id="52">
    <w:p w14:paraId="01038DFD" w14:textId="38FFEBBB" w:rsidR="00355B5C" w:rsidRPr="00355B5C" w:rsidRDefault="00355B5C">
      <w:pPr>
        <w:pStyle w:val="FootnoteText"/>
        <w:rPr>
          <w:rFonts w:ascii="Times New Roman" w:hAnsi="Times New Roman" w:cs="Times New Roman"/>
        </w:rPr>
      </w:pPr>
      <w:r w:rsidRPr="00355B5C">
        <w:rPr>
          <w:rStyle w:val="FootnoteReference"/>
          <w:rFonts w:ascii="Times New Roman" w:hAnsi="Times New Roman" w:cs="Times New Roman"/>
        </w:rPr>
        <w:footnoteRef/>
      </w:r>
      <w:r w:rsidRPr="00355B5C">
        <w:rPr>
          <w:rFonts w:ascii="Times New Roman" w:hAnsi="Times New Roman" w:cs="Times New Roman"/>
        </w:rPr>
        <w:t xml:space="preserve"> </w:t>
      </w:r>
      <w:hyperlink r:id="rId21" w:history="1">
        <w:r w:rsidRPr="00355B5C">
          <w:rPr>
            <w:rStyle w:val="Hyperlink"/>
            <w:rFonts w:ascii="Times New Roman" w:hAnsi="Times New Roman" w:cs="Times New Roman"/>
          </w:rPr>
          <w:t>https://erica-rd.eu/</w:t>
        </w:r>
      </w:hyperlink>
      <w:r w:rsidRPr="00355B5C">
        <w:rPr>
          <w:rFonts w:ascii="Times New Roman" w:hAnsi="Times New Roman" w:cs="Times New Roman"/>
        </w:rPr>
        <w:t xml:space="preserve"> </w:t>
      </w:r>
    </w:p>
  </w:footnote>
  <w:footnote w:id="53">
    <w:p w14:paraId="5E5722E9" w14:textId="72D803EF" w:rsidR="00355B5C" w:rsidRPr="00465DA7" w:rsidRDefault="00355B5C">
      <w:pPr>
        <w:pStyle w:val="FootnoteText"/>
        <w:rPr>
          <w:rFonts w:ascii="Times New Roman" w:hAnsi="Times New Roman" w:cs="Times New Roman"/>
        </w:rPr>
      </w:pPr>
      <w:r w:rsidRPr="00465DA7">
        <w:rPr>
          <w:rStyle w:val="FootnoteReference"/>
          <w:rFonts w:ascii="Times New Roman" w:hAnsi="Times New Roman" w:cs="Times New Roman"/>
        </w:rPr>
        <w:footnoteRef/>
      </w:r>
      <w:r w:rsidRPr="00465DA7">
        <w:rPr>
          <w:rFonts w:ascii="Times New Roman" w:hAnsi="Times New Roman" w:cs="Times New Roman"/>
        </w:rPr>
        <w:t xml:space="preserve"> </w:t>
      </w:r>
      <w:r w:rsidR="009E419A">
        <w:rPr>
          <w:rFonts w:ascii="Times New Roman" w:hAnsi="Times New Roman" w:cs="Times New Roman"/>
        </w:rPr>
        <w:t xml:space="preserve">Proposal for a Regulation </w:t>
      </w:r>
      <w:r w:rsidR="00A70A5C">
        <w:rPr>
          <w:rFonts w:ascii="Times New Roman" w:hAnsi="Times New Roman" w:cs="Times New Roman"/>
        </w:rPr>
        <w:t>of</w:t>
      </w:r>
      <w:r w:rsidR="009E419A">
        <w:rPr>
          <w:rFonts w:ascii="Times New Roman" w:hAnsi="Times New Roman" w:cs="Times New Roman"/>
        </w:rPr>
        <w:t xml:space="preserve"> the European Parliament and </w:t>
      </w:r>
      <w:r w:rsidR="00A70A5C">
        <w:rPr>
          <w:rFonts w:ascii="Times New Roman" w:hAnsi="Times New Roman" w:cs="Times New Roman"/>
        </w:rPr>
        <w:t xml:space="preserve">of </w:t>
      </w:r>
      <w:r w:rsidR="009E419A">
        <w:rPr>
          <w:rFonts w:ascii="Times New Roman" w:hAnsi="Times New Roman" w:cs="Times New Roman"/>
        </w:rPr>
        <w:t>the Council on the European Health Data Space, COM (2022) 197 final</w:t>
      </w:r>
      <w:r w:rsidR="00A70A5C">
        <w:rPr>
          <w:rFonts w:ascii="Times New Roman" w:hAnsi="Times New Roman" w:cs="Times New Roman"/>
        </w:rPr>
        <w:t>.</w:t>
      </w:r>
    </w:p>
  </w:footnote>
  <w:footnote w:id="54">
    <w:p w14:paraId="3F2333EF" w14:textId="23667875" w:rsidR="00355B5C" w:rsidRPr="00465DA7" w:rsidRDefault="00355B5C" w:rsidP="00D36486">
      <w:pPr>
        <w:pStyle w:val="FootnoteText"/>
        <w:rPr>
          <w:rFonts w:ascii="Times New Roman" w:hAnsi="Times New Roman" w:cs="Times New Roman"/>
          <w:shd w:val="clear" w:color="auto" w:fill="FFFFFF"/>
        </w:rPr>
      </w:pPr>
      <w:r w:rsidRPr="00465DA7">
        <w:rPr>
          <w:rStyle w:val="FootnoteReference"/>
          <w:rFonts w:ascii="Times New Roman" w:hAnsi="Times New Roman" w:cs="Times New Roman"/>
        </w:rPr>
        <w:footnoteRef/>
      </w:r>
      <w:r w:rsidRPr="00465DA7">
        <w:rPr>
          <w:rFonts w:ascii="Times New Roman" w:hAnsi="Times New Roman" w:cs="Times New Roman"/>
        </w:rPr>
        <w:t xml:space="preserve"> </w:t>
      </w:r>
      <w:r w:rsidRPr="00465DA7">
        <w:rPr>
          <w:rFonts w:ascii="Times New Roman" w:hAnsi="Times New Roman" w:cs="Times New Roman"/>
          <w:shd w:val="clear" w:color="auto" w:fill="FFFFFF"/>
        </w:rPr>
        <w:t>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pandemic (OJ L 211, 15.6.2021, p. 1).</w:t>
      </w:r>
    </w:p>
    <w:p w14:paraId="2EF29D85" w14:textId="2924FA56" w:rsidR="00355B5C" w:rsidRPr="00465DA7" w:rsidRDefault="00355B5C" w:rsidP="00D36486">
      <w:pPr>
        <w:pStyle w:val="FootnoteText"/>
        <w:rPr>
          <w:rFonts w:ascii="Times New Roman" w:hAnsi="Times New Roman" w:cs="Times New Roman"/>
          <w:lang w:val="en-IE"/>
        </w:rPr>
      </w:pPr>
      <w:r w:rsidRPr="00465DA7">
        <w:rPr>
          <w:rFonts w:ascii="Times New Roman" w:hAnsi="Times New Roman" w:cs="Times New Roman"/>
          <w:shd w:val="clear" w:color="auto" w:fill="FFFFFF"/>
        </w:rPr>
        <w:t>On 18 October 2021, the Commission published the first report on the implementation of the EU Digital COVID Certificate system</w:t>
      </w:r>
      <w:r w:rsidR="00465DA7" w:rsidRPr="00465DA7">
        <w:rPr>
          <w:rFonts w:ascii="Times New Roman" w:hAnsi="Times New Roman" w:cs="Times New Roman"/>
          <w:shd w:val="clear" w:color="auto" w:fill="FFFFFF"/>
        </w:rPr>
        <w:t xml:space="preserve"> COM(2021) 649 final.</w:t>
      </w:r>
    </w:p>
  </w:footnote>
  <w:footnote w:id="55">
    <w:p w14:paraId="704AB304" w14:textId="126A15A8" w:rsidR="00355B5C" w:rsidRPr="00465DA7" w:rsidRDefault="00355B5C" w:rsidP="00F477CD">
      <w:pPr>
        <w:pStyle w:val="FootnoteText"/>
        <w:rPr>
          <w:rFonts w:ascii="Times New Roman" w:hAnsi="Times New Roman" w:cs="Times New Roman"/>
        </w:rPr>
      </w:pPr>
      <w:r w:rsidRPr="00465DA7">
        <w:rPr>
          <w:rStyle w:val="FootnoteReference"/>
          <w:rFonts w:ascii="Times New Roman" w:hAnsi="Times New Roman" w:cs="Times New Roman"/>
        </w:rPr>
        <w:footnoteRef/>
      </w:r>
      <w:r w:rsidRPr="00465DA7">
        <w:rPr>
          <w:rFonts w:ascii="Times New Roman" w:hAnsi="Times New Roman" w:cs="Times New Roman"/>
        </w:rPr>
        <w:t xml:space="preserve"> COM(2018)51 final</w:t>
      </w:r>
      <w:r w:rsidR="00082DFC">
        <w:rPr>
          <w:rFonts w:ascii="Times New Roman" w:hAnsi="Times New Roman" w:cs="Times New Roman"/>
        </w:rPr>
        <w:t>.</w:t>
      </w:r>
    </w:p>
  </w:footnote>
  <w:footnote w:id="56">
    <w:p w14:paraId="737A0991" w14:textId="77777777" w:rsidR="00355B5C" w:rsidRPr="00465DA7" w:rsidRDefault="00355B5C" w:rsidP="002636D3">
      <w:pPr>
        <w:pStyle w:val="FootnoteText"/>
        <w:rPr>
          <w:rFonts w:ascii="Times New Roman" w:hAnsi="Times New Roman" w:cs="Times New Roman"/>
        </w:rPr>
      </w:pPr>
      <w:r w:rsidRPr="00465DA7">
        <w:rPr>
          <w:rStyle w:val="FootnoteReference"/>
          <w:rFonts w:ascii="Times New Roman" w:hAnsi="Times New Roman" w:cs="Times New Roman"/>
        </w:rPr>
        <w:footnoteRef/>
      </w:r>
      <w:r w:rsidRPr="00465DA7">
        <w:rPr>
          <w:rFonts w:ascii="Times New Roman" w:hAnsi="Times New Roman" w:cs="Times New Roman"/>
        </w:rPr>
        <w:t xml:space="preserve"> Regulation (EU) 2021/2282 of the European Parliament and of the Council of 15 December 2021 on health technology assessment and amending Directive 2011/24/EU (OJ L 458, 22.12.2021, p. 1).</w:t>
      </w:r>
    </w:p>
  </w:footnote>
  <w:footnote w:id="57">
    <w:p w14:paraId="47AB4B1E" w14:textId="7C84FABB" w:rsidR="00465DA7" w:rsidRPr="00465DA7" w:rsidRDefault="00465DA7">
      <w:pPr>
        <w:pStyle w:val="FootnoteText"/>
        <w:rPr>
          <w:rFonts w:ascii="Times New Roman" w:hAnsi="Times New Roman" w:cs="Times New Roman"/>
        </w:rPr>
      </w:pPr>
      <w:r w:rsidRPr="00465DA7">
        <w:rPr>
          <w:rStyle w:val="FootnoteReference"/>
          <w:rFonts w:ascii="Times New Roman" w:hAnsi="Times New Roman" w:cs="Times New Roman"/>
        </w:rPr>
        <w:footnoteRef/>
      </w:r>
      <w:r w:rsidRPr="00465DA7">
        <w:rPr>
          <w:rFonts w:ascii="Times New Roman" w:hAnsi="Times New Roman" w:cs="Times New Roman"/>
        </w:rPr>
        <w:t xml:space="preserve"> </w:t>
      </w:r>
      <w:hyperlink r:id="rId22" w:history="1">
        <w:r w:rsidRPr="00051407">
          <w:rPr>
            <w:rStyle w:val="Hyperlink"/>
            <w:rFonts w:ascii="Times New Roman" w:hAnsi="Times New Roman" w:cs="Times New Roman"/>
          </w:rPr>
          <w:t>https://www.eunethta.eu/</w:t>
        </w:r>
      </w:hyperlink>
      <w:r>
        <w:rPr>
          <w:rFonts w:ascii="Times New Roman" w:hAnsi="Times New Roman" w:cs="Times New Roman"/>
        </w:rPr>
        <w:t xml:space="preserve"> </w:t>
      </w:r>
    </w:p>
  </w:footnote>
  <w:footnote w:id="58">
    <w:p w14:paraId="056CDD44" w14:textId="4579AE74" w:rsidR="00355B5C" w:rsidRPr="00465DA7" w:rsidRDefault="00355B5C" w:rsidP="00BD5D81">
      <w:pPr>
        <w:pStyle w:val="FootnoteText"/>
        <w:rPr>
          <w:rFonts w:ascii="Times New Roman" w:hAnsi="Times New Roman" w:cs="Times New Roman"/>
        </w:rPr>
      </w:pPr>
      <w:r w:rsidRPr="00465DA7">
        <w:rPr>
          <w:rStyle w:val="FootnoteReference"/>
          <w:rFonts w:ascii="Times New Roman" w:hAnsi="Times New Roman" w:cs="Times New Roman"/>
        </w:rPr>
        <w:footnoteRef/>
      </w:r>
      <w:r w:rsidRPr="00465DA7">
        <w:rPr>
          <w:rFonts w:ascii="Times New Roman" w:hAnsi="Times New Roman" w:cs="Times New Roman"/>
        </w:rPr>
        <w:t xml:space="preserve"> AEBR (2021), </w:t>
      </w:r>
      <w:r w:rsidRPr="00465DA7">
        <w:rPr>
          <w:rFonts w:ascii="Times New Roman" w:hAnsi="Times New Roman" w:cs="Times New Roman"/>
          <w:i/>
        </w:rPr>
        <w:t>Cross-border patient mobility in selected EU regions</w:t>
      </w:r>
      <w:r w:rsidRPr="00465DA7">
        <w:rPr>
          <w:rFonts w:ascii="Times New Roman" w:hAnsi="Times New Roman" w:cs="Times New Roman"/>
        </w:rPr>
        <w:t xml:space="preserve">, </w:t>
      </w:r>
      <w:r w:rsidR="00465DA7" w:rsidRPr="00465DA7">
        <w:rPr>
          <w:rFonts w:ascii="Times New Roman" w:hAnsi="Times New Roman" w:cs="Times New Roman"/>
        </w:rPr>
        <w:t xml:space="preserve">available here: </w:t>
      </w:r>
      <w:hyperlink r:id="rId23" w:history="1">
        <w:r w:rsidR="00465DA7" w:rsidRPr="00465DA7">
          <w:rPr>
            <w:rStyle w:val="Hyperlink"/>
            <w:rFonts w:ascii="Times New Roman" w:hAnsi="Times New Roman" w:cs="Times New Roman"/>
          </w:rPr>
          <w:t>https://ec.europa.eu/health/publications/cross-border-patient-mobility-selected-eu-regions_en</w:t>
        </w:r>
      </w:hyperlink>
      <w:r w:rsidR="00465DA7" w:rsidRPr="00465DA7">
        <w:rPr>
          <w:rFonts w:ascii="Times New Roman" w:hAnsi="Times New Roman" w:cs="Times New Roman"/>
        </w:rPr>
        <w:t xml:space="preserve"> </w:t>
      </w:r>
    </w:p>
  </w:footnote>
  <w:footnote w:id="59">
    <w:p w14:paraId="6B78DAB8" w14:textId="320EA79A" w:rsidR="00355B5C" w:rsidRPr="005C250A" w:rsidRDefault="00355B5C">
      <w:pPr>
        <w:pStyle w:val="FootnoteText"/>
        <w:rPr>
          <w:rFonts w:ascii="Times New Roman" w:hAnsi="Times New Roman" w:cs="Times New Roman"/>
          <w:lang w:val="es-CU"/>
        </w:rPr>
      </w:pPr>
      <w:r w:rsidRPr="00465DA7">
        <w:rPr>
          <w:rStyle w:val="FootnoteReference"/>
          <w:rFonts w:ascii="Times New Roman" w:hAnsi="Times New Roman" w:cs="Times New Roman"/>
        </w:rPr>
        <w:footnoteRef/>
      </w:r>
      <w:hyperlink r:id="rId24" w:history="1"/>
      <w:r w:rsidR="00465DA7" w:rsidRPr="005C250A">
        <w:rPr>
          <w:rStyle w:val="Hyperlink"/>
          <w:rFonts w:ascii="Times New Roman" w:hAnsi="Times New Roman" w:cs="Times New Roman"/>
          <w:color w:val="auto"/>
          <w:u w:val="none"/>
          <w:lang w:val="es-CU"/>
        </w:rPr>
        <w:t xml:space="preserve"> C(2020) 2153 final.</w:t>
      </w:r>
    </w:p>
  </w:footnote>
  <w:footnote w:id="60">
    <w:p w14:paraId="77DAFB18" w14:textId="7065EC63" w:rsidR="00465DA7" w:rsidRPr="005C250A" w:rsidRDefault="00465DA7">
      <w:pPr>
        <w:pStyle w:val="FootnoteText"/>
        <w:rPr>
          <w:rFonts w:ascii="Times New Roman" w:hAnsi="Times New Roman" w:cs="Times New Roman"/>
          <w:lang w:val="es-CU"/>
        </w:rPr>
      </w:pPr>
      <w:r w:rsidRPr="00465DA7">
        <w:rPr>
          <w:rStyle w:val="FootnoteReference"/>
          <w:rFonts w:ascii="Times New Roman" w:hAnsi="Times New Roman" w:cs="Times New Roman"/>
        </w:rPr>
        <w:footnoteRef/>
      </w:r>
      <w:r w:rsidRPr="005C250A">
        <w:rPr>
          <w:rFonts w:ascii="Times New Roman" w:hAnsi="Times New Roman" w:cs="Times New Roman"/>
          <w:lang w:val="es-CU"/>
        </w:rPr>
        <w:t xml:space="preserve"> </w:t>
      </w:r>
      <w:hyperlink r:id="rId25" w:history="1">
        <w:r w:rsidRPr="005C250A">
          <w:rPr>
            <w:rStyle w:val="Hyperlink"/>
            <w:rFonts w:ascii="Times New Roman" w:hAnsi="Times New Roman" w:cs="Times New Roman"/>
            <w:lang w:val="es-CU"/>
          </w:rPr>
          <w:t>https://www.trisan.org/fr/outils/guide-de-mobilite-des-patients</w:t>
        </w:r>
      </w:hyperlink>
      <w:r w:rsidRPr="005C250A">
        <w:rPr>
          <w:rFonts w:ascii="Times New Roman" w:hAnsi="Times New Roman" w:cs="Times New Roman"/>
          <w:lang w:val="es-CU"/>
        </w:rPr>
        <w:t xml:space="preserve"> </w:t>
      </w:r>
    </w:p>
  </w:footnote>
  <w:footnote w:id="61">
    <w:p w14:paraId="3041FB96" w14:textId="77777777" w:rsidR="00355B5C" w:rsidRPr="00465DA7" w:rsidRDefault="00355B5C" w:rsidP="00B2664E">
      <w:pPr>
        <w:pStyle w:val="FootnoteText"/>
        <w:rPr>
          <w:rFonts w:ascii="Times New Roman" w:hAnsi="Times New Roman" w:cs="Times New Roman"/>
        </w:rPr>
      </w:pPr>
      <w:r w:rsidRPr="00465DA7">
        <w:rPr>
          <w:rStyle w:val="FootnoteReference"/>
          <w:rFonts w:ascii="Times New Roman" w:hAnsi="Times New Roman" w:cs="Times New Roman"/>
        </w:rPr>
        <w:footnoteRef/>
      </w:r>
      <w:r w:rsidRPr="00465DA7">
        <w:rPr>
          <w:rFonts w:ascii="Times New Roman" w:hAnsi="Times New Roman" w:cs="Times New Roman"/>
        </w:rPr>
        <w:t xml:space="preserve"> Annex “Follow-up actions to enhance the implementation of the Directive 2011/24/EU”.</w:t>
      </w:r>
    </w:p>
  </w:footnote>
  <w:footnote w:id="62">
    <w:p w14:paraId="21AFCCF3" w14:textId="40054D7D" w:rsidR="00355B5C" w:rsidRPr="00987DAF" w:rsidRDefault="00355B5C">
      <w:pPr>
        <w:pStyle w:val="FootnoteText"/>
        <w:rPr>
          <w:rFonts w:ascii="Times New Roman" w:hAnsi="Times New Roman" w:cs="Times New Roman"/>
          <w:lang w:val="en-IE"/>
        </w:rPr>
      </w:pPr>
      <w:r w:rsidRPr="00987DAF">
        <w:rPr>
          <w:rStyle w:val="FootnoteReference"/>
          <w:rFonts w:ascii="Times New Roman" w:hAnsi="Times New Roman" w:cs="Times New Roman"/>
        </w:rPr>
        <w:footnoteRef/>
      </w:r>
      <w:r w:rsidRPr="00987DAF">
        <w:rPr>
          <w:rFonts w:ascii="Times New Roman" w:hAnsi="Times New Roman" w:cs="Times New Roman"/>
        </w:rPr>
        <w:t xml:space="preserve"> https://ec.europa.eu/info/research-and-innovation/research-area/health-research-and-innovation/rare-diseases_en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1C2F" w14:textId="77777777" w:rsidR="00B4422A" w:rsidRPr="00B4422A" w:rsidRDefault="00B4422A" w:rsidP="00B44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227A" w14:textId="77777777" w:rsidR="00B4422A" w:rsidRPr="00B4422A" w:rsidRDefault="00B4422A" w:rsidP="00B4422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3484" w14:textId="77777777" w:rsidR="00B4422A" w:rsidRPr="00B4422A" w:rsidRDefault="00B4422A" w:rsidP="00B4422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2B56" w14:textId="77777777" w:rsidR="00355B5C" w:rsidRDefault="00355B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7BA1" w14:textId="77777777" w:rsidR="00355B5C" w:rsidRDefault="00355B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8DF8" w14:textId="77777777" w:rsidR="00355B5C" w:rsidRDefault="0035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30A"/>
    <w:multiLevelType w:val="hybridMultilevel"/>
    <w:tmpl w:val="C9789934"/>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4C5AC4"/>
    <w:multiLevelType w:val="hybridMultilevel"/>
    <w:tmpl w:val="5A226316"/>
    <w:lvl w:ilvl="0" w:tplc="D9005E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746A0"/>
    <w:multiLevelType w:val="hybridMultilevel"/>
    <w:tmpl w:val="3DD44F3E"/>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312B2D"/>
    <w:multiLevelType w:val="multilevel"/>
    <w:tmpl w:val="179C2850"/>
    <w:lvl w:ilvl="0">
      <w:start w:val="1"/>
      <w:numFmt w:val="decimal"/>
      <w:pStyle w:val="Heading1"/>
      <w:lvlText w:val="%1."/>
      <w:lvlJc w:val="left"/>
      <w:pPr>
        <w:ind w:left="72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DA2C6D"/>
    <w:multiLevelType w:val="hybridMultilevel"/>
    <w:tmpl w:val="5E0C4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A77B0"/>
    <w:multiLevelType w:val="hybridMultilevel"/>
    <w:tmpl w:val="D5163362"/>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9F48EE"/>
    <w:multiLevelType w:val="hybridMultilevel"/>
    <w:tmpl w:val="4300CAFA"/>
    <w:lvl w:ilvl="0" w:tplc="D322350E">
      <w:numFmt w:val="bullet"/>
      <w:lvlText w:val="-"/>
      <w:lvlJc w:val="left"/>
      <w:pPr>
        <w:ind w:left="1077" w:hanging="360"/>
      </w:pPr>
      <w:rPr>
        <w:rFonts w:ascii="ScalaSansLF-Regular" w:eastAsia="Symbol" w:hAnsi="ScalaSansLF-Regular" w:cs="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A5D759A"/>
    <w:multiLevelType w:val="hybridMultilevel"/>
    <w:tmpl w:val="F64A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C3535"/>
    <w:multiLevelType w:val="hybridMultilevel"/>
    <w:tmpl w:val="ECCE1CE8"/>
    <w:lvl w:ilvl="0" w:tplc="48C87460">
      <w:start w:val="1"/>
      <w:numFmt w:val="decimal"/>
      <w:pStyle w:val="Heading4"/>
      <w:lvlText w:val="3.%1."/>
      <w:lvlJc w:val="left"/>
      <w:pPr>
        <w:ind w:left="1440" w:hanging="360"/>
      </w:pPr>
      <w:rPr>
        <w:rFonts w:hint="default"/>
      </w:rPr>
    </w:lvl>
    <w:lvl w:ilvl="1" w:tplc="18090019" w:tentative="1">
      <w:start w:val="1"/>
      <w:numFmt w:val="lowerLetter"/>
      <w:pStyle w:val="Heading4"/>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0347B36"/>
    <w:multiLevelType w:val="hybridMultilevel"/>
    <w:tmpl w:val="BE2897F0"/>
    <w:lvl w:ilvl="0" w:tplc="791464F0">
      <w:start w:val="1"/>
      <w:numFmt w:val="decimal"/>
      <w:pStyle w:val="Heading3"/>
      <w:lvlText w:val="2.%1."/>
      <w:lvlJc w:val="left"/>
      <w:pPr>
        <w:ind w:left="1080" w:hanging="360"/>
      </w:pPr>
      <w:rPr>
        <w:rFonts w:hint="default"/>
      </w:rPr>
    </w:lvl>
    <w:lvl w:ilvl="1" w:tplc="18090019" w:tentative="1">
      <w:start w:val="1"/>
      <w:numFmt w:val="lowerLetter"/>
      <w:pStyle w:val="Heading3"/>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64B1219"/>
    <w:multiLevelType w:val="hybridMultilevel"/>
    <w:tmpl w:val="10A4BC46"/>
    <w:lvl w:ilvl="0" w:tplc="8304B8D8">
      <w:start w:val="1"/>
      <w:numFmt w:val="bullet"/>
      <w:lvlText w:val=""/>
      <w:lvlJc w:val="left"/>
      <w:pPr>
        <w:ind w:left="720" w:hanging="360"/>
      </w:pPr>
      <w:rPr>
        <w:rFonts w:ascii="Symbol" w:hAnsi="Symbol" w:hint="default"/>
      </w:rPr>
    </w:lvl>
    <w:lvl w:ilvl="1" w:tplc="E072F61E">
      <w:start w:val="1"/>
      <w:numFmt w:val="bullet"/>
      <w:lvlText w:val="o"/>
      <w:lvlJc w:val="left"/>
      <w:pPr>
        <w:ind w:left="1440" w:hanging="360"/>
      </w:pPr>
      <w:rPr>
        <w:rFonts w:ascii="Courier New" w:hAnsi="Courier New" w:hint="default"/>
      </w:rPr>
    </w:lvl>
    <w:lvl w:ilvl="2" w:tplc="5D922F48">
      <w:start w:val="1"/>
      <w:numFmt w:val="bullet"/>
      <w:lvlText w:val=""/>
      <w:lvlJc w:val="left"/>
      <w:pPr>
        <w:ind w:left="2160" w:hanging="360"/>
      </w:pPr>
      <w:rPr>
        <w:rFonts w:ascii="Wingdings" w:hAnsi="Wingdings" w:hint="default"/>
      </w:rPr>
    </w:lvl>
    <w:lvl w:ilvl="3" w:tplc="49886DC6">
      <w:start w:val="1"/>
      <w:numFmt w:val="bullet"/>
      <w:lvlText w:val=""/>
      <w:lvlJc w:val="left"/>
      <w:pPr>
        <w:ind w:left="2880" w:hanging="360"/>
      </w:pPr>
      <w:rPr>
        <w:rFonts w:ascii="Symbol" w:hAnsi="Symbol" w:hint="default"/>
      </w:rPr>
    </w:lvl>
    <w:lvl w:ilvl="4" w:tplc="C1A097C0">
      <w:start w:val="1"/>
      <w:numFmt w:val="bullet"/>
      <w:lvlText w:val="o"/>
      <w:lvlJc w:val="left"/>
      <w:pPr>
        <w:ind w:left="3600" w:hanging="360"/>
      </w:pPr>
      <w:rPr>
        <w:rFonts w:ascii="Courier New" w:hAnsi="Courier New" w:hint="default"/>
      </w:rPr>
    </w:lvl>
    <w:lvl w:ilvl="5" w:tplc="344483BC">
      <w:start w:val="1"/>
      <w:numFmt w:val="bullet"/>
      <w:lvlText w:val=""/>
      <w:lvlJc w:val="left"/>
      <w:pPr>
        <w:ind w:left="4320" w:hanging="360"/>
      </w:pPr>
      <w:rPr>
        <w:rFonts w:ascii="Wingdings" w:hAnsi="Wingdings" w:hint="default"/>
      </w:rPr>
    </w:lvl>
    <w:lvl w:ilvl="6" w:tplc="317EF9D2">
      <w:start w:val="1"/>
      <w:numFmt w:val="bullet"/>
      <w:lvlText w:val=""/>
      <w:lvlJc w:val="left"/>
      <w:pPr>
        <w:ind w:left="5040" w:hanging="360"/>
      </w:pPr>
      <w:rPr>
        <w:rFonts w:ascii="Symbol" w:hAnsi="Symbol" w:hint="default"/>
      </w:rPr>
    </w:lvl>
    <w:lvl w:ilvl="7" w:tplc="8C82CEE4">
      <w:start w:val="1"/>
      <w:numFmt w:val="bullet"/>
      <w:lvlText w:val="o"/>
      <w:lvlJc w:val="left"/>
      <w:pPr>
        <w:ind w:left="5760" w:hanging="360"/>
      </w:pPr>
      <w:rPr>
        <w:rFonts w:ascii="Courier New" w:hAnsi="Courier New" w:hint="default"/>
      </w:rPr>
    </w:lvl>
    <w:lvl w:ilvl="8" w:tplc="A9BC1264">
      <w:start w:val="1"/>
      <w:numFmt w:val="bullet"/>
      <w:lvlText w:val=""/>
      <w:lvlJc w:val="left"/>
      <w:pPr>
        <w:ind w:left="6480" w:hanging="360"/>
      </w:pPr>
      <w:rPr>
        <w:rFonts w:ascii="Wingdings" w:hAnsi="Wingdings" w:hint="default"/>
      </w:rPr>
    </w:lvl>
  </w:abstractNum>
  <w:abstractNum w:abstractNumId="11" w15:restartNumberingAfterBreak="0">
    <w:nsid w:val="36D07825"/>
    <w:multiLevelType w:val="multilevel"/>
    <w:tmpl w:val="ED0ED0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91653F"/>
    <w:multiLevelType w:val="hybridMultilevel"/>
    <w:tmpl w:val="EF3C650A"/>
    <w:lvl w:ilvl="0" w:tplc="DEF272E2">
      <w:start w:val="1"/>
      <w:numFmt w:val="decimal"/>
      <w:pStyle w:val="Heading5"/>
      <w:lvlText w:val="4.%1."/>
      <w:lvlJc w:val="left"/>
      <w:pPr>
        <w:ind w:left="1800" w:hanging="360"/>
      </w:pPr>
      <w:rPr>
        <w:rFonts w:hint="default"/>
      </w:rPr>
    </w:lvl>
    <w:lvl w:ilvl="1" w:tplc="18090019" w:tentative="1">
      <w:start w:val="1"/>
      <w:numFmt w:val="lowerLetter"/>
      <w:pStyle w:val="Heading5"/>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55EA2846"/>
    <w:multiLevelType w:val="multilevel"/>
    <w:tmpl w:val="698C768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numFmt w:val="bullet"/>
      <w:lvlText w:val="-"/>
      <w:lvlJc w:val="left"/>
      <w:pPr>
        <w:ind w:left="1352" w:hanging="360"/>
      </w:pPr>
      <w:rPr>
        <w:rFonts w:ascii="Calibri" w:eastAsia="Cambria"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855F9"/>
    <w:multiLevelType w:val="hybridMultilevel"/>
    <w:tmpl w:val="DA92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D1E48"/>
    <w:multiLevelType w:val="hybridMultilevel"/>
    <w:tmpl w:val="81D2E444"/>
    <w:lvl w:ilvl="0" w:tplc="8F0EAF1C">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6DF4EDB"/>
    <w:multiLevelType w:val="hybridMultilevel"/>
    <w:tmpl w:val="E47038F8"/>
    <w:lvl w:ilvl="0" w:tplc="01BCCC22">
      <w:start w:val="1"/>
      <w:numFmt w:val="bullet"/>
      <w:pStyle w:val="list-bullet-color"/>
      <w:lvlText w:val=""/>
      <w:lvlJc w:val="left"/>
      <w:pPr>
        <w:ind w:left="284" w:hanging="284"/>
      </w:pPr>
      <w:rPr>
        <w:rFonts w:ascii="Symbol" w:hAnsi="Symbol" w:hint="default"/>
        <w:color w:val="006DB6"/>
        <w:sz w:val="22"/>
        <w:szCs w:val="22"/>
        <w:vertAlign w:val="baseline"/>
      </w:rPr>
    </w:lvl>
    <w:lvl w:ilvl="1" w:tplc="F63620F0">
      <w:start w:val="1"/>
      <w:numFmt w:val="bullet"/>
      <w:lvlText w:val="-"/>
      <w:lvlJc w:val="left"/>
      <w:pPr>
        <w:ind w:left="568" w:hanging="284"/>
      </w:pPr>
      <w:rPr>
        <w:rFonts w:ascii="Arial" w:hAnsi="Arial" w:cs="Times New Roman" w:hint="default"/>
        <w:color w:val="006DB6"/>
      </w:rPr>
    </w:lvl>
    <w:lvl w:ilvl="2" w:tplc="D8F0F354">
      <w:start w:val="1"/>
      <w:numFmt w:val="bullet"/>
      <w:lvlText w:val=""/>
      <w:lvlJc w:val="left"/>
      <w:pPr>
        <w:ind w:left="852" w:hanging="284"/>
      </w:pPr>
      <w:rPr>
        <w:rFonts w:ascii="Symbol" w:hAnsi="Symbol" w:hint="default"/>
        <w:color w:val="006DB6"/>
      </w:rPr>
    </w:lvl>
    <w:lvl w:ilvl="3" w:tplc="7EE21C0A">
      <w:start w:val="1"/>
      <w:numFmt w:val="bullet"/>
      <w:lvlText w:val="-"/>
      <w:lvlJc w:val="left"/>
      <w:pPr>
        <w:ind w:left="1136" w:hanging="284"/>
      </w:pPr>
      <w:rPr>
        <w:rFonts w:ascii="Arial" w:hAnsi="Arial" w:cs="Times New Roman" w:hint="default"/>
        <w:color w:val="006DB6"/>
      </w:rPr>
    </w:lvl>
    <w:lvl w:ilvl="4" w:tplc="18B2BA84">
      <w:start w:val="1"/>
      <w:numFmt w:val="bullet"/>
      <w:lvlText w:val=""/>
      <w:lvlJc w:val="left"/>
      <w:pPr>
        <w:ind w:left="1420" w:hanging="284"/>
      </w:pPr>
      <w:rPr>
        <w:rFonts w:ascii="Symbol" w:hAnsi="Symbol" w:hint="default"/>
        <w:color w:val="006DB6"/>
      </w:rPr>
    </w:lvl>
    <w:lvl w:ilvl="5" w:tplc="E80212E4">
      <w:start w:val="1"/>
      <w:numFmt w:val="bullet"/>
      <w:lvlText w:val="-"/>
      <w:lvlJc w:val="left"/>
      <w:pPr>
        <w:ind w:left="1704" w:hanging="284"/>
      </w:pPr>
      <w:rPr>
        <w:rFonts w:ascii="Arial" w:hAnsi="Arial" w:cs="Times New Roman" w:hint="default"/>
        <w:color w:val="006DB6"/>
      </w:rPr>
    </w:lvl>
    <w:lvl w:ilvl="6" w:tplc="F37A2C38">
      <w:start w:val="1"/>
      <w:numFmt w:val="bullet"/>
      <w:lvlText w:val=""/>
      <w:lvlJc w:val="left"/>
      <w:pPr>
        <w:ind w:left="1988" w:hanging="284"/>
      </w:pPr>
      <w:rPr>
        <w:rFonts w:ascii="Symbol" w:hAnsi="Symbol" w:hint="default"/>
        <w:color w:val="006DB6"/>
      </w:rPr>
    </w:lvl>
    <w:lvl w:ilvl="7" w:tplc="E7DEECCA">
      <w:start w:val="1"/>
      <w:numFmt w:val="bullet"/>
      <w:lvlText w:val="-"/>
      <w:lvlJc w:val="left"/>
      <w:pPr>
        <w:ind w:left="2272" w:hanging="284"/>
      </w:pPr>
      <w:rPr>
        <w:rFonts w:ascii="Arial" w:hAnsi="Arial" w:cs="Times New Roman" w:hint="default"/>
        <w:color w:val="006DB6"/>
      </w:rPr>
    </w:lvl>
    <w:lvl w:ilvl="8" w:tplc="BDE0B474">
      <w:start w:val="1"/>
      <w:numFmt w:val="bullet"/>
      <w:lvlText w:val=""/>
      <w:lvlJc w:val="left"/>
      <w:pPr>
        <w:ind w:left="2556" w:hanging="284"/>
      </w:pPr>
      <w:rPr>
        <w:rFonts w:ascii="Symbol" w:hAnsi="Symbol" w:hint="default"/>
        <w:color w:val="006DB6"/>
      </w:rPr>
    </w:lvl>
  </w:abstractNum>
  <w:abstractNum w:abstractNumId="17" w15:restartNumberingAfterBreak="0">
    <w:nsid w:val="68665652"/>
    <w:multiLevelType w:val="hybridMultilevel"/>
    <w:tmpl w:val="9E70B42A"/>
    <w:lvl w:ilvl="0" w:tplc="D322350E">
      <w:numFmt w:val="bullet"/>
      <w:lvlText w:val="-"/>
      <w:lvlJc w:val="left"/>
      <w:pPr>
        <w:ind w:left="1440" w:hanging="360"/>
      </w:pPr>
      <w:rPr>
        <w:rFonts w:ascii="ScalaSansLF-Regular" w:eastAsia="Symbol" w:hAnsi="ScalaSansLF-Regular"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EE208D"/>
    <w:multiLevelType w:val="hybridMultilevel"/>
    <w:tmpl w:val="0D5A95DE"/>
    <w:lvl w:ilvl="0" w:tplc="0DD8823A">
      <w:start w:val="1"/>
      <w:numFmt w:val="bullet"/>
      <w:lvlText w:val=""/>
      <w:lvlJc w:val="left"/>
      <w:pPr>
        <w:ind w:left="720" w:hanging="360"/>
      </w:pPr>
      <w:rPr>
        <w:rFonts w:ascii="Symbol" w:hAnsi="Symbol" w:hint="default"/>
      </w:rPr>
    </w:lvl>
    <w:lvl w:ilvl="1" w:tplc="80803BAA">
      <w:start w:val="1"/>
      <w:numFmt w:val="bullet"/>
      <w:lvlText w:val="o"/>
      <w:lvlJc w:val="left"/>
      <w:pPr>
        <w:ind w:left="1440" w:hanging="360"/>
      </w:pPr>
      <w:rPr>
        <w:rFonts w:ascii="Courier New" w:hAnsi="Courier New" w:hint="default"/>
      </w:rPr>
    </w:lvl>
    <w:lvl w:ilvl="2" w:tplc="702244DA">
      <w:start w:val="1"/>
      <w:numFmt w:val="bullet"/>
      <w:lvlText w:val=""/>
      <w:lvlJc w:val="left"/>
      <w:pPr>
        <w:ind w:left="2160" w:hanging="360"/>
      </w:pPr>
      <w:rPr>
        <w:rFonts w:ascii="Wingdings" w:hAnsi="Wingdings" w:hint="default"/>
      </w:rPr>
    </w:lvl>
    <w:lvl w:ilvl="3" w:tplc="F52C5FDE">
      <w:start w:val="1"/>
      <w:numFmt w:val="bullet"/>
      <w:lvlText w:val=""/>
      <w:lvlJc w:val="left"/>
      <w:pPr>
        <w:ind w:left="2880" w:hanging="360"/>
      </w:pPr>
      <w:rPr>
        <w:rFonts w:ascii="Symbol" w:hAnsi="Symbol" w:hint="default"/>
      </w:rPr>
    </w:lvl>
    <w:lvl w:ilvl="4" w:tplc="1F9C1990">
      <w:start w:val="1"/>
      <w:numFmt w:val="bullet"/>
      <w:lvlText w:val="o"/>
      <w:lvlJc w:val="left"/>
      <w:pPr>
        <w:ind w:left="3600" w:hanging="360"/>
      </w:pPr>
      <w:rPr>
        <w:rFonts w:ascii="Courier New" w:hAnsi="Courier New" w:hint="default"/>
      </w:rPr>
    </w:lvl>
    <w:lvl w:ilvl="5" w:tplc="16341272">
      <w:start w:val="1"/>
      <w:numFmt w:val="bullet"/>
      <w:lvlText w:val=""/>
      <w:lvlJc w:val="left"/>
      <w:pPr>
        <w:ind w:left="4320" w:hanging="360"/>
      </w:pPr>
      <w:rPr>
        <w:rFonts w:ascii="Wingdings" w:hAnsi="Wingdings" w:hint="default"/>
      </w:rPr>
    </w:lvl>
    <w:lvl w:ilvl="6" w:tplc="FD681D60">
      <w:start w:val="1"/>
      <w:numFmt w:val="bullet"/>
      <w:lvlText w:val=""/>
      <w:lvlJc w:val="left"/>
      <w:pPr>
        <w:ind w:left="5040" w:hanging="360"/>
      </w:pPr>
      <w:rPr>
        <w:rFonts w:ascii="Symbol" w:hAnsi="Symbol" w:hint="default"/>
      </w:rPr>
    </w:lvl>
    <w:lvl w:ilvl="7" w:tplc="61A8F5F0">
      <w:start w:val="1"/>
      <w:numFmt w:val="bullet"/>
      <w:lvlText w:val="o"/>
      <w:lvlJc w:val="left"/>
      <w:pPr>
        <w:ind w:left="5760" w:hanging="360"/>
      </w:pPr>
      <w:rPr>
        <w:rFonts w:ascii="Courier New" w:hAnsi="Courier New" w:hint="default"/>
      </w:rPr>
    </w:lvl>
    <w:lvl w:ilvl="8" w:tplc="82462674">
      <w:start w:val="1"/>
      <w:numFmt w:val="bullet"/>
      <w:lvlText w:val=""/>
      <w:lvlJc w:val="left"/>
      <w:pPr>
        <w:ind w:left="6480" w:hanging="360"/>
      </w:pPr>
      <w:rPr>
        <w:rFonts w:ascii="Wingdings" w:hAnsi="Wingdings" w:hint="default"/>
      </w:rPr>
    </w:lvl>
  </w:abstractNum>
  <w:abstractNum w:abstractNumId="19" w15:restartNumberingAfterBreak="0">
    <w:nsid w:val="7C66367E"/>
    <w:multiLevelType w:val="hybridMultilevel"/>
    <w:tmpl w:val="791A5E22"/>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F8327E9"/>
    <w:multiLevelType w:val="hybridMultilevel"/>
    <w:tmpl w:val="9B22F792"/>
    <w:lvl w:ilvl="0" w:tplc="63726A2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5"/>
  </w:num>
  <w:num w:numId="4">
    <w:abstractNumId w:val="9"/>
  </w:num>
  <w:num w:numId="5">
    <w:abstractNumId w:val="8"/>
  </w:num>
  <w:num w:numId="6">
    <w:abstractNumId w:val="1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4"/>
  </w:num>
  <w:num w:numId="29">
    <w:abstractNumId w:val="6"/>
  </w:num>
  <w:num w:numId="30">
    <w:abstractNumId w:val="17"/>
  </w:num>
  <w:num w:numId="31">
    <w:abstractNumId w:val="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num>
  <w:num w:numId="47">
    <w:abstractNumId w:val="3"/>
  </w:num>
  <w:num w:numId="48">
    <w:abstractNumId w:val="4"/>
  </w:num>
  <w:num w:numId="49">
    <w:abstractNumId w:val="13"/>
  </w:num>
  <w:num w:numId="50">
    <w:abstractNumId w:val="10"/>
  </w:num>
  <w:num w:numId="51">
    <w:abstractNumId w:val="7"/>
  </w:num>
  <w:num w:numId="52">
    <w:abstractNumId w:val="16"/>
  </w:num>
  <w:num w:numId="53">
    <w:abstractNumId w:val="5"/>
  </w:num>
  <w:num w:numId="54">
    <w:abstractNumId w:val="2"/>
  </w:num>
  <w:num w:numId="55">
    <w:abstractNumId w:val="20"/>
  </w:num>
  <w:num w:numId="56">
    <w:abstractNumId w:val="0"/>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de-DE" w:vendorID="64" w:dllVersion="6" w:nlCheck="1" w:checkStyle="1"/>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activeWritingStyle w:appName="MSWord" w:lang="es-CU"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6B2895C9-4EC1-407E-A536-D1BF1DED6881"/>
    <w:docVar w:name="LW_COVERPAGE_TYPE" w:val="1"/>
    <w:docVar w:name="LW_CROSSREFERENCE" w:val="{SWD(2022) 200 final}"/>
    <w:docVar w:name="LW_DocType" w:val="NORMAL"/>
    <w:docVar w:name="LW_EMISSION" w:val="12.5.2022"/>
    <w:docVar w:name="LW_EMISSION_ISODATE" w:val="2022-05-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2) 2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operation of Directive 2011/24/EU on the application of patients' rights in cross-border healthcare&lt;/FMT&gt;"/>
    <w:docVar w:name="LW_TYPE.DOC.CP" w:val="REPORT FROM THE COMMISSION TO THE EUROPEAN PARLIAMENT AND THE COUNCIL"/>
    <w:docVar w:name="LwApiVersions" w:val="LW4CoDe 1.23.2.0; LW 8.0, Build 20211117"/>
  </w:docVars>
  <w:rsids>
    <w:rsidRoot w:val="00C76B82"/>
    <w:rsid w:val="0000001D"/>
    <w:rsid w:val="00001340"/>
    <w:rsid w:val="0000232D"/>
    <w:rsid w:val="0000575E"/>
    <w:rsid w:val="00006DCB"/>
    <w:rsid w:val="000105DE"/>
    <w:rsid w:val="00010BE2"/>
    <w:rsid w:val="0001184B"/>
    <w:rsid w:val="0001385B"/>
    <w:rsid w:val="000142A3"/>
    <w:rsid w:val="00015C5F"/>
    <w:rsid w:val="00015E11"/>
    <w:rsid w:val="00015F82"/>
    <w:rsid w:val="000175F9"/>
    <w:rsid w:val="00021137"/>
    <w:rsid w:val="000212B6"/>
    <w:rsid w:val="000224AD"/>
    <w:rsid w:val="0002598F"/>
    <w:rsid w:val="00026DBC"/>
    <w:rsid w:val="000270BF"/>
    <w:rsid w:val="00027C5C"/>
    <w:rsid w:val="00030B66"/>
    <w:rsid w:val="0003112D"/>
    <w:rsid w:val="00031940"/>
    <w:rsid w:val="000330F2"/>
    <w:rsid w:val="0003620A"/>
    <w:rsid w:val="00036826"/>
    <w:rsid w:val="00040656"/>
    <w:rsid w:val="00040CF3"/>
    <w:rsid w:val="00040F34"/>
    <w:rsid w:val="000416F4"/>
    <w:rsid w:val="00041A27"/>
    <w:rsid w:val="00050638"/>
    <w:rsid w:val="00051B3F"/>
    <w:rsid w:val="00052039"/>
    <w:rsid w:val="00052E62"/>
    <w:rsid w:val="00053B14"/>
    <w:rsid w:val="00054566"/>
    <w:rsid w:val="0005464E"/>
    <w:rsid w:val="0005607B"/>
    <w:rsid w:val="00061719"/>
    <w:rsid w:val="000621D1"/>
    <w:rsid w:val="00062D38"/>
    <w:rsid w:val="000671FC"/>
    <w:rsid w:val="0006768A"/>
    <w:rsid w:val="00067760"/>
    <w:rsid w:val="00070317"/>
    <w:rsid w:val="00071730"/>
    <w:rsid w:val="00071994"/>
    <w:rsid w:val="00071BAB"/>
    <w:rsid w:val="00072CBE"/>
    <w:rsid w:val="00075685"/>
    <w:rsid w:val="0007585E"/>
    <w:rsid w:val="00075C42"/>
    <w:rsid w:val="000773E3"/>
    <w:rsid w:val="00082515"/>
    <w:rsid w:val="00082DFC"/>
    <w:rsid w:val="00084A9F"/>
    <w:rsid w:val="000854BB"/>
    <w:rsid w:val="000865A6"/>
    <w:rsid w:val="0008691D"/>
    <w:rsid w:val="00087C6D"/>
    <w:rsid w:val="00091A7A"/>
    <w:rsid w:val="00093E30"/>
    <w:rsid w:val="000960B5"/>
    <w:rsid w:val="00097836"/>
    <w:rsid w:val="00097D48"/>
    <w:rsid w:val="000A1CFF"/>
    <w:rsid w:val="000A2FF2"/>
    <w:rsid w:val="000A5F51"/>
    <w:rsid w:val="000A7D93"/>
    <w:rsid w:val="000B099E"/>
    <w:rsid w:val="000B2396"/>
    <w:rsid w:val="000B2857"/>
    <w:rsid w:val="000B3012"/>
    <w:rsid w:val="000B425D"/>
    <w:rsid w:val="000B4B6A"/>
    <w:rsid w:val="000B4FA7"/>
    <w:rsid w:val="000B543C"/>
    <w:rsid w:val="000B648F"/>
    <w:rsid w:val="000B7695"/>
    <w:rsid w:val="000C037F"/>
    <w:rsid w:val="000C0467"/>
    <w:rsid w:val="000C1B5E"/>
    <w:rsid w:val="000C1CC7"/>
    <w:rsid w:val="000C25BA"/>
    <w:rsid w:val="000C3689"/>
    <w:rsid w:val="000C39AA"/>
    <w:rsid w:val="000C48D4"/>
    <w:rsid w:val="000C4B50"/>
    <w:rsid w:val="000C5CC3"/>
    <w:rsid w:val="000C71A4"/>
    <w:rsid w:val="000D20DA"/>
    <w:rsid w:val="000D2C5E"/>
    <w:rsid w:val="000D5FEA"/>
    <w:rsid w:val="000D6A74"/>
    <w:rsid w:val="000E0CDB"/>
    <w:rsid w:val="000E25B6"/>
    <w:rsid w:val="000E2C00"/>
    <w:rsid w:val="000E3BA1"/>
    <w:rsid w:val="000E442E"/>
    <w:rsid w:val="000E4843"/>
    <w:rsid w:val="000E4D92"/>
    <w:rsid w:val="000E554C"/>
    <w:rsid w:val="000E593F"/>
    <w:rsid w:val="000E699A"/>
    <w:rsid w:val="000E7C82"/>
    <w:rsid w:val="000F14EC"/>
    <w:rsid w:val="000F25F3"/>
    <w:rsid w:val="000F37E9"/>
    <w:rsid w:val="000F3F52"/>
    <w:rsid w:val="000F55FB"/>
    <w:rsid w:val="000F68AF"/>
    <w:rsid w:val="000F6C1E"/>
    <w:rsid w:val="000F7033"/>
    <w:rsid w:val="000F72C4"/>
    <w:rsid w:val="001029EF"/>
    <w:rsid w:val="00105735"/>
    <w:rsid w:val="00106F87"/>
    <w:rsid w:val="001121BE"/>
    <w:rsid w:val="00114533"/>
    <w:rsid w:val="00115502"/>
    <w:rsid w:val="00115717"/>
    <w:rsid w:val="001172E1"/>
    <w:rsid w:val="0011770E"/>
    <w:rsid w:val="0012206D"/>
    <w:rsid w:val="00122B00"/>
    <w:rsid w:val="001247FF"/>
    <w:rsid w:val="001268B1"/>
    <w:rsid w:val="00126D2C"/>
    <w:rsid w:val="00127389"/>
    <w:rsid w:val="00127B8E"/>
    <w:rsid w:val="00132559"/>
    <w:rsid w:val="00133EE5"/>
    <w:rsid w:val="00135D5F"/>
    <w:rsid w:val="00135DBF"/>
    <w:rsid w:val="00136510"/>
    <w:rsid w:val="0013706C"/>
    <w:rsid w:val="001373EB"/>
    <w:rsid w:val="00140FBF"/>
    <w:rsid w:val="001420E2"/>
    <w:rsid w:val="00143182"/>
    <w:rsid w:val="001473A2"/>
    <w:rsid w:val="00150848"/>
    <w:rsid w:val="00154610"/>
    <w:rsid w:val="001553E3"/>
    <w:rsid w:val="0015698F"/>
    <w:rsid w:val="00157C60"/>
    <w:rsid w:val="00157D52"/>
    <w:rsid w:val="00162CBA"/>
    <w:rsid w:val="0016518E"/>
    <w:rsid w:val="00171982"/>
    <w:rsid w:val="00172373"/>
    <w:rsid w:val="00173B20"/>
    <w:rsid w:val="00180270"/>
    <w:rsid w:val="0018079E"/>
    <w:rsid w:val="001807E2"/>
    <w:rsid w:val="001816E6"/>
    <w:rsid w:val="00182829"/>
    <w:rsid w:val="00182F6D"/>
    <w:rsid w:val="001843BC"/>
    <w:rsid w:val="0018472D"/>
    <w:rsid w:val="00184D74"/>
    <w:rsid w:val="00186E9C"/>
    <w:rsid w:val="00190BC8"/>
    <w:rsid w:val="00192813"/>
    <w:rsid w:val="00193011"/>
    <w:rsid w:val="00194E44"/>
    <w:rsid w:val="00195A4F"/>
    <w:rsid w:val="0019675D"/>
    <w:rsid w:val="001A26BC"/>
    <w:rsid w:val="001A5B57"/>
    <w:rsid w:val="001B0C9C"/>
    <w:rsid w:val="001B43ED"/>
    <w:rsid w:val="001B4CD8"/>
    <w:rsid w:val="001B724C"/>
    <w:rsid w:val="001B7A53"/>
    <w:rsid w:val="001C0828"/>
    <w:rsid w:val="001C0E82"/>
    <w:rsid w:val="001C11E0"/>
    <w:rsid w:val="001C1268"/>
    <w:rsid w:val="001C1B98"/>
    <w:rsid w:val="001C1E59"/>
    <w:rsid w:val="001C20F2"/>
    <w:rsid w:val="001C21E9"/>
    <w:rsid w:val="001C3512"/>
    <w:rsid w:val="001C4DD1"/>
    <w:rsid w:val="001C570A"/>
    <w:rsid w:val="001C60FC"/>
    <w:rsid w:val="001C7493"/>
    <w:rsid w:val="001C7574"/>
    <w:rsid w:val="001D19D6"/>
    <w:rsid w:val="001D2A15"/>
    <w:rsid w:val="001D3A0F"/>
    <w:rsid w:val="001D54A0"/>
    <w:rsid w:val="001D5DBC"/>
    <w:rsid w:val="001D5F2D"/>
    <w:rsid w:val="001D63E4"/>
    <w:rsid w:val="001D6491"/>
    <w:rsid w:val="001D7E5B"/>
    <w:rsid w:val="001E164F"/>
    <w:rsid w:val="001E2B7B"/>
    <w:rsid w:val="001E3B9C"/>
    <w:rsid w:val="001E3D1A"/>
    <w:rsid w:val="001E65EA"/>
    <w:rsid w:val="001E6BAE"/>
    <w:rsid w:val="001E7949"/>
    <w:rsid w:val="001F06EB"/>
    <w:rsid w:val="001F112C"/>
    <w:rsid w:val="001F350E"/>
    <w:rsid w:val="001F3CC4"/>
    <w:rsid w:val="001F419B"/>
    <w:rsid w:val="001F4869"/>
    <w:rsid w:val="001F5C07"/>
    <w:rsid w:val="001F7388"/>
    <w:rsid w:val="00200CED"/>
    <w:rsid w:val="00201092"/>
    <w:rsid w:val="00202895"/>
    <w:rsid w:val="00202A7F"/>
    <w:rsid w:val="00203321"/>
    <w:rsid w:val="00203B71"/>
    <w:rsid w:val="002069D1"/>
    <w:rsid w:val="00207108"/>
    <w:rsid w:val="00211E15"/>
    <w:rsid w:val="002128A7"/>
    <w:rsid w:val="00212A9F"/>
    <w:rsid w:val="00212E31"/>
    <w:rsid w:val="00213B4C"/>
    <w:rsid w:val="00216784"/>
    <w:rsid w:val="00217C0B"/>
    <w:rsid w:val="00217FA4"/>
    <w:rsid w:val="00221226"/>
    <w:rsid w:val="00221726"/>
    <w:rsid w:val="002219E8"/>
    <w:rsid w:val="00225EED"/>
    <w:rsid w:val="00226334"/>
    <w:rsid w:val="00226ABB"/>
    <w:rsid w:val="00227A36"/>
    <w:rsid w:val="0023039D"/>
    <w:rsid w:val="00231397"/>
    <w:rsid w:val="002331B9"/>
    <w:rsid w:val="00233917"/>
    <w:rsid w:val="002347FB"/>
    <w:rsid w:val="00235CC9"/>
    <w:rsid w:val="00236BBE"/>
    <w:rsid w:val="00242B20"/>
    <w:rsid w:val="00242E7A"/>
    <w:rsid w:val="00244AC0"/>
    <w:rsid w:val="00252B45"/>
    <w:rsid w:val="00253B6F"/>
    <w:rsid w:val="002544F8"/>
    <w:rsid w:val="00256957"/>
    <w:rsid w:val="00256EB6"/>
    <w:rsid w:val="00257560"/>
    <w:rsid w:val="00260952"/>
    <w:rsid w:val="00262B3A"/>
    <w:rsid w:val="002636D3"/>
    <w:rsid w:val="00263F1E"/>
    <w:rsid w:val="00263FB1"/>
    <w:rsid w:val="00264180"/>
    <w:rsid w:val="00264FE5"/>
    <w:rsid w:val="0027023F"/>
    <w:rsid w:val="00270725"/>
    <w:rsid w:val="00272A08"/>
    <w:rsid w:val="00274408"/>
    <w:rsid w:val="002748F3"/>
    <w:rsid w:val="0027602D"/>
    <w:rsid w:val="00276E6F"/>
    <w:rsid w:val="00276F12"/>
    <w:rsid w:val="00277C62"/>
    <w:rsid w:val="002800A1"/>
    <w:rsid w:val="002819D4"/>
    <w:rsid w:val="00282C4F"/>
    <w:rsid w:val="0028394F"/>
    <w:rsid w:val="002840D2"/>
    <w:rsid w:val="002914BF"/>
    <w:rsid w:val="0029222D"/>
    <w:rsid w:val="00292267"/>
    <w:rsid w:val="00292FDA"/>
    <w:rsid w:val="00294CE8"/>
    <w:rsid w:val="0029524A"/>
    <w:rsid w:val="00296550"/>
    <w:rsid w:val="00297002"/>
    <w:rsid w:val="0029714D"/>
    <w:rsid w:val="0029743E"/>
    <w:rsid w:val="002A5A64"/>
    <w:rsid w:val="002A611E"/>
    <w:rsid w:val="002B020C"/>
    <w:rsid w:val="002B126C"/>
    <w:rsid w:val="002B1548"/>
    <w:rsid w:val="002B264A"/>
    <w:rsid w:val="002B2BB0"/>
    <w:rsid w:val="002B2C9E"/>
    <w:rsid w:val="002B3E58"/>
    <w:rsid w:val="002B4EE1"/>
    <w:rsid w:val="002B69B3"/>
    <w:rsid w:val="002C0025"/>
    <w:rsid w:val="002C0438"/>
    <w:rsid w:val="002C2AE2"/>
    <w:rsid w:val="002C31A1"/>
    <w:rsid w:val="002C3905"/>
    <w:rsid w:val="002C3C25"/>
    <w:rsid w:val="002C3D44"/>
    <w:rsid w:val="002C4881"/>
    <w:rsid w:val="002C4CFB"/>
    <w:rsid w:val="002C527D"/>
    <w:rsid w:val="002D2D5F"/>
    <w:rsid w:val="002D3A70"/>
    <w:rsid w:val="002D65E3"/>
    <w:rsid w:val="002D7A23"/>
    <w:rsid w:val="002E3B71"/>
    <w:rsid w:val="002E5CEC"/>
    <w:rsid w:val="002E73E1"/>
    <w:rsid w:val="002F0F2B"/>
    <w:rsid w:val="002F1157"/>
    <w:rsid w:val="002F22D6"/>
    <w:rsid w:val="002F50C9"/>
    <w:rsid w:val="002F6096"/>
    <w:rsid w:val="002F6A7C"/>
    <w:rsid w:val="002F6A95"/>
    <w:rsid w:val="002F7FBC"/>
    <w:rsid w:val="00301FAF"/>
    <w:rsid w:val="00303755"/>
    <w:rsid w:val="003040EA"/>
    <w:rsid w:val="00310686"/>
    <w:rsid w:val="0031282C"/>
    <w:rsid w:val="00312DB0"/>
    <w:rsid w:val="00315570"/>
    <w:rsid w:val="00315E07"/>
    <w:rsid w:val="00315FD3"/>
    <w:rsid w:val="003172BA"/>
    <w:rsid w:val="0031787C"/>
    <w:rsid w:val="003215F5"/>
    <w:rsid w:val="0032446E"/>
    <w:rsid w:val="00324749"/>
    <w:rsid w:val="00331529"/>
    <w:rsid w:val="0033290E"/>
    <w:rsid w:val="003331F9"/>
    <w:rsid w:val="00334421"/>
    <w:rsid w:val="00335D4A"/>
    <w:rsid w:val="00340D71"/>
    <w:rsid w:val="00340E11"/>
    <w:rsid w:val="0034703B"/>
    <w:rsid w:val="0034746A"/>
    <w:rsid w:val="00347AD8"/>
    <w:rsid w:val="00347B3C"/>
    <w:rsid w:val="003521D9"/>
    <w:rsid w:val="003547E8"/>
    <w:rsid w:val="00355B5C"/>
    <w:rsid w:val="00355C24"/>
    <w:rsid w:val="003564E2"/>
    <w:rsid w:val="0035775E"/>
    <w:rsid w:val="00360350"/>
    <w:rsid w:val="00361193"/>
    <w:rsid w:val="00363BDC"/>
    <w:rsid w:val="00365D87"/>
    <w:rsid w:val="00366237"/>
    <w:rsid w:val="00371F7B"/>
    <w:rsid w:val="00372696"/>
    <w:rsid w:val="003733E3"/>
    <w:rsid w:val="00374379"/>
    <w:rsid w:val="00374678"/>
    <w:rsid w:val="00375C89"/>
    <w:rsid w:val="00380E3E"/>
    <w:rsid w:val="00380F5C"/>
    <w:rsid w:val="00381109"/>
    <w:rsid w:val="00381C62"/>
    <w:rsid w:val="00381ED3"/>
    <w:rsid w:val="0038230D"/>
    <w:rsid w:val="00384A11"/>
    <w:rsid w:val="003854F7"/>
    <w:rsid w:val="00387365"/>
    <w:rsid w:val="00391B81"/>
    <w:rsid w:val="00391EFF"/>
    <w:rsid w:val="00392438"/>
    <w:rsid w:val="00394A5C"/>
    <w:rsid w:val="00394CDE"/>
    <w:rsid w:val="00395E4F"/>
    <w:rsid w:val="00395EDD"/>
    <w:rsid w:val="00396F69"/>
    <w:rsid w:val="00396F99"/>
    <w:rsid w:val="003A1FA8"/>
    <w:rsid w:val="003A33FB"/>
    <w:rsid w:val="003A40D0"/>
    <w:rsid w:val="003A4741"/>
    <w:rsid w:val="003A5BF1"/>
    <w:rsid w:val="003A6A64"/>
    <w:rsid w:val="003B181E"/>
    <w:rsid w:val="003B1CD4"/>
    <w:rsid w:val="003B270C"/>
    <w:rsid w:val="003B2BD4"/>
    <w:rsid w:val="003B6C38"/>
    <w:rsid w:val="003C1C3D"/>
    <w:rsid w:val="003C316E"/>
    <w:rsid w:val="003C676C"/>
    <w:rsid w:val="003C6CDA"/>
    <w:rsid w:val="003D02C7"/>
    <w:rsid w:val="003D34FA"/>
    <w:rsid w:val="003D3F4E"/>
    <w:rsid w:val="003D52B2"/>
    <w:rsid w:val="003D540E"/>
    <w:rsid w:val="003D5563"/>
    <w:rsid w:val="003D5839"/>
    <w:rsid w:val="003D7E75"/>
    <w:rsid w:val="003E1DFC"/>
    <w:rsid w:val="003E1E97"/>
    <w:rsid w:val="003E4F9A"/>
    <w:rsid w:val="003E7882"/>
    <w:rsid w:val="003F3A2B"/>
    <w:rsid w:val="003F4406"/>
    <w:rsid w:val="003F5297"/>
    <w:rsid w:val="003F626A"/>
    <w:rsid w:val="003F7900"/>
    <w:rsid w:val="00400EF5"/>
    <w:rsid w:val="00401904"/>
    <w:rsid w:val="00401984"/>
    <w:rsid w:val="004032AF"/>
    <w:rsid w:val="00403FF1"/>
    <w:rsid w:val="00405B45"/>
    <w:rsid w:val="004069DC"/>
    <w:rsid w:val="00406B4D"/>
    <w:rsid w:val="00410CB5"/>
    <w:rsid w:val="00415C81"/>
    <w:rsid w:val="00416ACD"/>
    <w:rsid w:val="00417939"/>
    <w:rsid w:val="004210DF"/>
    <w:rsid w:val="0042298B"/>
    <w:rsid w:val="004243EF"/>
    <w:rsid w:val="00425AAD"/>
    <w:rsid w:val="00425FDC"/>
    <w:rsid w:val="0042685F"/>
    <w:rsid w:val="00426F39"/>
    <w:rsid w:val="004306FE"/>
    <w:rsid w:val="004307D4"/>
    <w:rsid w:val="004318BA"/>
    <w:rsid w:val="0043277A"/>
    <w:rsid w:val="00434B77"/>
    <w:rsid w:val="004350A0"/>
    <w:rsid w:val="0043595A"/>
    <w:rsid w:val="00437B41"/>
    <w:rsid w:val="00443DCB"/>
    <w:rsid w:val="00443F29"/>
    <w:rsid w:val="00444549"/>
    <w:rsid w:val="00444677"/>
    <w:rsid w:val="00444750"/>
    <w:rsid w:val="004448EA"/>
    <w:rsid w:val="00444F96"/>
    <w:rsid w:val="00446BB5"/>
    <w:rsid w:val="00447278"/>
    <w:rsid w:val="00447904"/>
    <w:rsid w:val="00447DF2"/>
    <w:rsid w:val="00450072"/>
    <w:rsid w:val="00451802"/>
    <w:rsid w:val="004531D7"/>
    <w:rsid w:val="00457F41"/>
    <w:rsid w:val="00465DA7"/>
    <w:rsid w:val="00466486"/>
    <w:rsid w:val="00467C32"/>
    <w:rsid w:val="0047040C"/>
    <w:rsid w:val="00470B44"/>
    <w:rsid w:val="00471C79"/>
    <w:rsid w:val="0047586B"/>
    <w:rsid w:val="00475D5D"/>
    <w:rsid w:val="004774E1"/>
    <w:rsid w:val="00477FBC"/>
    <w:rsid w:val="00481BDB"/>
    <w:rsid w:val="00482A0C"/>
    <w:rsid w:val="004857D7"/>
    <w:rsid w:val="00486B6D"/>
    <w:rsid w:val="00491019"/>
    <w:rsid w:val="00492584"/>
    <w:rsid w:val="00492646"/>
    <w:rsid w:val="00493C42"/>
    <w:rsid w:val="00495055"/>
    <w:rsid w:val="00496D8D"/>
    <w:rsid w:val="004975FB"/>
    <w:rsid w:val="004A462E"/>
    <w:rsid w:val="004A484C"/>
    <w:rsid w:val="004A4BA7"/>
    <w:rsid w:val="004A4CFC"/>
    <w:rsid w:val="004A60CB"/>
    <w:rsid w:val="004B0A54"/>
    <w:rsid w:val="004B0D87"/>
    <w:rsid w:val="004B1409"/>
    <w:rsid w:val="004B25A5"/>
    <w:rsid w:val="004B4B34"/>
    <w:rsid w:val="004C3CD8"/>
    <w:rsid w:val="004C4DF8"/>
    <w:rsid w:val="004C63F0"/>
    <w:rsid w:val="004D0D0F"/>
    <w:rsid w:val="004D1870"/>
    <w:rsid w:val="004D18FD"/>
    <w:rsid w:val="004D2719"/>
    <w:rsid w:val="004D3B62"/>
    <w:rsid w:val="004D4097"/>
    <w:rsid w:val="004D4596"/>
    <w:rsid w:val="004D4DDC"/>
    <w:rsid w:val="004D5FF2"/>
    <w:rsid w:val="004D63D2"/>
    <w:rsid w:val="004E2D90"/>
    <w:rsid w:val="004E3503"/>
    <w:rsid w:val="004F15F3"/>
    <w:rsid w:val="004F23D4"/>
    <w:rsid w:val="004F581B"/>
    <w:rsid w:val="004F5919"/>
    <w:rsid w:val="004F6746"/>
    <w:rsid w:val="004F704B"/>
    <w:rsid w:val="00501422"/>
    <w:rsid w:val="00502803"/>
    <w:rsid w:val="00504028"/>
    <w:rsid w:val="00506192"/>
    <w:rsid w:val="00506286"/>
    <w:rsid w:val="00510426"/>
    <w:rsid w:val="00510F2A"/>
    <w:rsid w:val="00517DE1"/>
    <w:rsid w:val="0052065A"/>
    <w:rsid w:val="005209C7"/>
    <w:rsid w:val="00522AF8"/>
    <w:rsid w:val="00523CBA"/>
    <w:rsid w:val="005244D7"/>
    <w:rsid w:val="005255B4"/>
    <w:rsid w:val="00525764"/>
    <w:rsid w:val="00525BA6"/>
    <w:rsid w:val="00526894"/>
    <w:rsid w:val="00526B1E"/>
    <w:rsid w:val="00530F7B"/>
    <w:rsid w:val="00531D6F"/>
    <w:rsid w:val="00533678"/>
    <w:rsid w:val="0053403D"/>
    <w:rsid w:val="00537AA5"/>
    <w:rsid w:val="00540330"/>
    <w:rsid w:val="005423C8"/>
    <w:rsid w:val="0054376C"/>
    <w:rsid w:val="00544087"/>
    <w:rsid w:val="0054427E"/>
    <w:rsid w:val="00546DF8"/>
    <w:rsid w:val="005477CE"/>
    <w:rsid w:val="00552029"/>
    <w:rsid w:val="00555B68"/>
    <w:rsid w:val="00555BE6"/>
    <w:rsid w:val="0055734C"/>
    <w:rsid w:val="005578CF"/>
    <w:rsid w:val="005613D5"/>
    <w:rsid w:val="0056198C"/>
    <w:rsid w:val="00563407"/>
    <w:rsid w:val="005648A7"/>
    <w:rsid w:val="00566A96"/>
    <w:rsid w:val="005672FB"/>
    <w:rsid w:val="005679CD"/>
    <w:rsid w:val="00572C62"/>
    <w:rsid w:val="00573E3F"/>
    <w:rsid w:val="00573F86"/>
    <w:rsid w:val="00577BB1"/>
    <w:rsid w:val="00580088"/>
    <w:rsid w:val="005822A2"/>
    <w:rsid w:val="00583280"/>
    <w:rsid w:val="00584084"/>
    <w:rsid w:val="005857BC"/>
    <w:rsid w:val="005859A2"/>
    <w:rsid w:val="00586F0E"/>
    <w:rsid w:val="00591B95"/>
    <w:rsid w:val="005923B0"/>
    <w:rsid w:val="0059298A"/>
    <w:rsid w:val="005937C3"/>
    <w:rsid w:val="00593B94"/>
    <w:rsid w:val="005948EA"/>
    <w:rsid w:val="00597210"/>
    <w:rsid w:val="005A0004"/>
    <w:rsid w:val="005A018E"/>
    <w:rsid w:val="005A2738"/>
    <w:rsid w:val="005A49EE"/>
    <w:rsid w:val="005A64A4"/>
    <w:rsid w:val="005B0FDB"/>
    <w:rsid w:val="005B619C"/>
    <w:rsid w:val="005C0005"/>
    <w:rsid w:val="005C1094"/>
    <w:rsid w:val="005C18FF"/>
    <w:rsid w:val="005C250A"/>
    <w:rsid w:val="005C35F4"/>
    <w:rsid w:val="005C55C8"/>
    <w:rsid w:val="005C7871"/>
    <w:rsid w:val="005C7ED4"/>
    <w:rsid w:val="005D0676"/>
    <w:rsid w:val="005D22BE"/>
    <w:rsid w:val="005D319F"/>
    <w:rsid w:val="005D31BA"/>
    <w:rsid w:val="005E334D"/>
    <w:rsid w:val="005E4220"/>
    <w:rsid w:val="005E4321"/>
    <w:rsid w:val="005E5435"/>
    <w:rsid w:val="005E6CDF"/>
    <w:rsid w:val="005F01AB"/>
    <w:rsid w:val="005F2B83"/>
    <w:rsid w:val="005F34C0"/>
    <w:rsid w:val="00601757"/>
    <w:rsid w:val="00602955"/>
    <w:rsid w:val="00602E27"/>
    <w:rsid w:val="00604E1E"/>
    <w:rsid w:val="00606107"/>
    <w:rsid w:val="006070DB"/>
    <w:rsid w:val="006079A6"/>
    <w:rsid w:val="006102B2"/>
    <w:rsid w:val="00612507"/>
    <w:rsid w:val="00614374"/>
    <w:rsid w:val="006160EC"/>
    <w:rsid w:val="00617A58"/>
    <w:rsid w:val="0062068B"/>
    <w:rsid w:val="00621DD3"/>
    <w:rsid w:val="00622004"/>
    <w:rsid w:val="0062358D"/>
    <w:rsid w:val="00624728"/>
    <w:rsid w:val="00624849"/>
    <w:rsid w:val="00625B81"/>
    <w:rsid w:val="00626C70"/>
    <w:rsid w:val="00630909"/>
    <w:rsid w:val="0063199D"/>
    <w:rsid w:val="00632498"/>
    <w:rsid w:val="006334BA"/>
    <w:rsid w:val="00634BA2"/>
    <w:rsid w:val="00635D68"/>
    <w:rsid w:val="00637F41"/>
    <w:rsid w:val="006410C8"/>
    <w:rsid w:val="00641FCC"/>
    <w:rsid w:val="006438E6"/>
    <w:rsid w:val="00643CFA"/>
    <w:rsid w:val="00645264"/>
    <w:rsid w:val="006461DA"/>
    <w:rsid w:val="006465EF"/>
    <w:rsid w:val="0065051E"/>
    <w:rsid w:val="0065217C"/>
    <w:rsid w:val="00652AC9"/>
    <w:rsid w:val="00653F49"/>
    <w:rsid w:val="00654956"/>
    <w:rsid w:val="00661257"/>
    <w:rsid w:val="006634C5"/>
    <w:rsid w:val="0066372E"/>
    <w:rsid w:val="0067012A"/>
    <w:rsid w:val="00670202"/>
    <w:rsid w:val="00671D46"/>
    <w:rsid w:val="00672186"/>
    <w:rsid w:val="006730ED"/>
    <w:rsid w:val="00673877"/>
    <w:rsid w:val="0068007F"/>
    <w:rsid w:val="00680E48"/>
    <w:rsid w:val="00682574"/>
    <w:rsid w:val="00685120"/>
    <w:rsid w:val="0068689A"/>
    <w:rsid w:val="0069120D"/>
    <w:rsid w:val="00691CB4"/>
    <w:rsid w:val="006929BC"/>
    <w:rsid w:val="00693467"/>
    <w:rsid w:val="0069379E"/>
    <w:rsid w:val="00697266"/>
    <w:rsid w:val="006A4A72"/>
    <w:rsid w:val="006A756C"/>
    <w:rsid w:val="006B29BC"/>
    <w:rsid w:val="006B3D44"/>
    <w:rsid w:val="006B459C"/>
    <w:rsid w:val="006B4770"/>
    <w:rsid w:val="006B48E2"/>
    <w:rsid w:val="006C1914"/>
    <w:rsid w:val="006C78CA"/>
    <w:rsid w:val="006C7FC0"/>
    <w:rsid w:val="006D0951"/>
    <w:rsid w:val="006D261C"/>
    <w:rsid w:val="006D313A"/>
    <w:rsid w:val="006D3354"/>
    <w:rsid w:val="006D422C"/>
    <w:rsid w:val="006D6168"/>
    <w:rsid w:val="006D6980"/>
    <w:rsid w:val="006E1CED"/>
    <w:rsid w:val="006E3790"/>
    <w:rsid w:val="006E4356"/>
    <w:rsid w:val="006E635B"/>
    <w:rsid w:val="006E67AB"/>
    <w:rsid w:val="006F16BB"/>
    <w:rsid w:val="006F1FAA"/>
    <w:rsid w:val="006F204D"/>
    <w:rsid w:val="006F66F0"/>
    <w:rsid w:val="006F6955"/>
    <w:rsid w:val="006F71CC"/>
    <w:rsid w:val="006F7C62"/>
    <w:rsid w:val="007038CB"/>
    <w:rsid w:val="00707035"/>
    <w:rsid w:val="0071160F"/>
    <w:rsid w:val="00713639"/>
    <w:rsid w:val="00713B39"/>
    <w:rsid w:val="007152F6"/>
    <w:rsid w:val="00716425"/>
    <w:rsid w:val="0072005C"/>
    <w:rsid w:val="00720E23"/>
    <w:rsid w:val="00722FF7"/>
    <w:rsid w:val="00724574"/>
    <w:rsid w:val="007256DE"/>
    <w:rsid w:val="007259D2"/>
    <w:rsid w:val="00725FAE"/>
    <w:rsid w:val="00731822"/>
    <w:rsid w:val="007318FA"/>
    <w:rsid w:val="00732A3D"/>
    <w:rsid w:val="00734073"/>
    <w:rsid w:val="0073483D"/>
    <w:rsid w:val="007405E0"/>
    <w:rsid w:val="00741F14"/>
    <w:rsid w:val="00744677"/>
    <w:rsid w:val="00745123"/>
    <w:rsid w:val="0074591C"/>
    <w:rsid w:val="00746793"/>
    <w:rsid w:val="00747075"/>
    <w:rsid w:val="00747326"/>
    <w:rsid w:val="00747E48"/>
    <w:rsid w:val="007509DC"/>
    <w:rsid w:val="00751B74"/>
    <w:rsid w:val="00752EEB"/>
    <w:rsid w:val="007532AC"/>
    <w:rsid w:val="0076026C"/>
    <w:rsid w:val="00760A72"/>
    <w:rsid w:val="00761A91"/>
    <w:rsid w:val="00761AB8"/>
    <w:rsid w:val="00763AC9"/>
    <w:rsid w:val="0076450C"/>
    <w:rsid w:val="007672BA"/>
    <w:rsid w:val="00767766"/>
    <w:rsid w:val="007708E2"/>
    <w:rsid w:val="00771418"/>
    <w:rsid w:val="007730FD"/>
    <w:rsid w:val="00775CCD"/>
    <w:rsid w:val="007763F5"/>
    <w:rsid w:val="00776CC2"/>
    <w:rsid w:val="00780F6F"/>
    <w:rsid w:val="00782CE4"/>
    <w:rsid w:val="00786D45"/>
    <w:rsid w:val="0079226B"/>
    <w:rsid w:val="0079274B"/>
    <w:rsid w:val="00794B2C"/>
    <w:rsid w:val="0079777A"/>
    <w:rsid w:val="00797F13"/>
    <w:rsid w:val="007A0C88"/>
    <w:rsid w:val="007A1817"/>
    <w:rsid w:val="007A35BC"/>
    <w:rsid w:val="007A38DA"/>
    <w:rsid w:val="007A43E4"/>
    <w:rsid w:val="007B0180"/>
    <w:rsid w:val="007B0E7D"/>
    <w:rsid w:val="007B0E9B"/>
    <w:rsid w:val="007B2BE2"/>
    <w:rsid w:val="007B669A"/>
    <w:rsid w:val="007C0085"/>
    <w:rsid w:val="007C1D56"/>
    <w:rsid w:val="007C58E9"/>
    <w:rsid w:val="007C7056"/>
    <w:rsid w:val="007D186B"/>
    <w:rsid w:val="007D52CC"/>
    <w:rsid w:val="007D5F86"/>
    <w:rsid w:val="007E1567"/>
    <w:rsid w:val="007E290E"/>
    <w:rsid w:val="007E366F"/>
    <w:rsid w:val="007E5C7B"/>
    <w:rsid w:val="007F02AB"/>
    <w:rsid w:val="007F0E66"/>
    <w:rsid w:val="007F36EA"/>
    <w:rsid w:val="007F48ED"/>
    <w:rsid w:val="007F6629"/>
    <w:rsid w:val="007F7222"/>
    <w:rsid w:val="00801E66"/>
    <w:rsid w:val="00802144"/>
    <w:rsid w:val="00802F8E"/>
    <w:rsid w:val="00804CEF"/>
    <w:rsid w:val="008051AA"/>
    <w:rsid w:val="008107AE"/>
    <w:rsid w:val="00812148"/>
    <w:rsid w:val="00812BFF"/>
    <w:rsid w:val="008139A7"/>
    <w:rsid w:val="00814396"/>
    <w:rsid w:val="00814949"/>
    <w:rsid w:val="0081649A"/>
    <w:rsid w:val="00817234"/>
    <w:rsid w:val="00817303"/>
    <w:rsid w:val="008176D8"/>
    <w:rsid w:val="00817C2F"/>
    <w:rsid w:val="00817D45"/>
    <w:rsid w:val="00820678"/>
    <w:rsid w:val="00821528"/>
    <w:rsid w:val="00825581"/>
    <w:rsid w:val="00825680"/>
    <w:rsid w:val="00826CC7"/>
    <w:rsid w:val="008307AD"/>
    <w:rsid w:val="00832183"/>
    <w:rsid w:val="00833548"/>
    <w:rsid w:val="008361EC"/>
    <w:rsid w:val="00836B47"/>
    <w:rsid w:val="00837E25"/>
    <w:rsid w:val="0084042A"/>
    <w:rsid w:val="00840B69"/>
    <w:rsid w:val="00841398"/>
    <w:rsid w:val="008428DE"/>
    <w:rsid w:val="00844375"/>
    <w:rsid w:val="008446BF"/>
    <w:rsid w:val="008505E2"/>
    <w:rsid w:val="00851431"/>
    <w:rsid w:val="00851633"/>
    <w:rsid w:val="00853A7E"/>
    <w:rsid w:val="00853DE0"/>
    <w:rsid w:val="00854948"/>
    <w:rsid w:val="00855A77"/>
    <w:rsid w:val="0085669F"/>
    <w:rsid w:val="00857E18"/>
    <w:rsid w:val="0086036A"/>
    <w:rsid w:val="008617A3"/>
    <w:rsid w:val="00862403"/>
    <w:rsid w:val="00866898"/>
    <w:rsid w:val="008672A6"/>
    <w:rsid w:val="00870B76"/>
    <w:rsid w:val="00871B51"/>
    <w:rsid w:val="00872FFC"/>
    <w:rsid w:val="00873B8D"/>
    <w:rsid w:val="00874F4B"/>
    <w:rsid w:val="0087572D"/>
    <w:rsid w:val="008759AC"/>
    <w:rsid w:val="00875A66"/>
    <w:rsid w:val="00880816"/>
    <w:rsid w:val="00880C92"/>
    <w:rsid w:val="008810BB"/>
    <w:rsid w:val="008814D3"/>
    <w:rsid w:val="008826E5"/>
    <w:rsid w:val="008838BD"/>
    <w:rsid w:val="00884FDA"/>
    <w:rsid w:val="00885C08"/>
    <w:rsid w:val="00886251"/>
    <w:rsid w:val="0088653A"/>
    <w:rsid w:val="008873A3"/>
    <w:rsid w:val="00890432"/>
    <w:rsid w:val="00891B92"/>
    <w:rsid w:val="008921EE"/>
    <w:rsid w:val="00892263"/>
    <w:rsid w:val="00892285"/>
    <w:rsid w:val="00893696"/>
    <w:rsid w:val="00894612"/>
    <w:rsid w:val="0089506A"/>
    <w:rsid w:val="00896495"/>
    <w:rsid w:val="008A051D"/>
    <w:rsid w:val="008A329E"/>
    <w:rsid w:val="008A3FA6"/>
    <w:rsid w:val="008A4B72"/>
    <w:rsid w:val="008A7595"/>
    <w:rsid w:val="008B06BD"/>
    <w:rsid w:val="008B07CA"/>
    <w:rsid w:val="008B0D25"/>
    <w:rsid w:val="008B1722"/>
    <w:rsid w:val="008B1D39"/>
    <w:rsid w:val="008B38B2"/>
    <w:rsid w:val="008B3CB6"/>
    <w:rsid w:val="008B424E"/>
    <w:rsid w:val="008B5B5C"/>
    <w:rsid w:val="008B5B9D"/>
    <w:rsid w:val="008B63D4"/>
    <w:rsid w:val="008B68D4"/>
    <w:rsid w:val="008C0E68"/>
    <w:rsid w:val="008C2087"/>
    <w:rsid w:val="008C2439"/>
    <w:rsid w:val="008C28E3"/>
    <w:rsid w:val="008C3FA5"/>
    <w:rsid w:val="008C6357"/>
    <w:rsid w:val="008C70D6"/>
    <w:rsid w:val="008D5700"/>
    <w:rsid w:val="008D6562"/>
    <w:rsid w:val="008E006C"/>
    <w:rsid w:val="008E124A"/>
    <w:rsid w:val="008E2633"/>
    <w:rsid w:val="008E5B10"/>
    <w:rsid w:val="008E5F20"/>
    <w:rsid w:val="008E6C87"/>
    <w:rsid w:val="008F0F12"/>
    <w:rsid w:val="008F1463"/>
    <w:rsid w:val="008F29BD"/>
    <w:rsid w:val="008F2BD3"/>
    <w:rsid w:val="008F5F04"/>
    <w:rsid w:val="008F6A84"/>
    <w:rsid w:val="008F726F"/>
    <w:rsid w:val="008F7D34"/>
    <w:rsid w:val="009041B1"/>
    <w:rsid w:val="00906A95"/>
    <w:rsid w:val="00907126"/>
    <w:rsid w:val="00907B45"/>
    <w:rsid w:val="00914272"/>
    <w:rsid w:val="009148F3"/>
    <w:rsid w:val="00915F9E"/>
    <w:rsid w:val="0091656E"/>
    <w:rsid w:val="00917247"/>
    <w:rsid w:val="009172C2"/>
    <w:rsid w:val="00920965"/>
    <w:rsid w:val="009212C7"/>
    <w:rsid w:val="009229A6"/>
    <w:rsid w:val="0092563C"/>
    <w:rsid w:val="009301D1"/>
    <w:rsid w:val="00931790"/>
    <w:rsid w:val="00936B86"/>
    <w:rsid w:val="009410CE"/>
    <w:rsid w:val="00941E60"/>
    <w:rsid w:val="00942013"/>
    <w:rsid w:val="009441F8"/>
    <w:rsid w:val="0094635E"/>
    <w:rsid w:val="00946685"/>
    <w:rsid w:val="009466F6"/>
    <w:rsid w:val="00951362"/>
    <w:rsid w:val="00951ECD"/>
    <w:rsid w:val="00954278"/>
    <w:rsid w:val="009553E7"/>
    <w:rsid w:val="00955DB7"/>
    <w:rsid w:val="0095629D"/>
    <w:rsid w:val="00961A57"/>
    <w:rsid w:val="00962798"/>
    <w:rsid w:val="0096343E"/>
    <w:rsid w:val="00965132"/>
    <w:rsid w:val="00965550"/>
    <w:rsid w:val="00966E67"/>
    <w:rsid w:val="00971210"/>
    <w:rsid w:val="009713D0"/>
    <w:rsid w:val="00971487"/>
    <w:rsid w:val="009734A6"/>
    <w:rsid w:val="00974701"/>
    <w:rsid w:val="00975BB8"/>
    <w:rsid w:val="00980BB2"/>
    <w:rsid w:val="00982BA7"/>
    <w:rsid w:val="009851F7"/>
    <w:rsid w:val="00987DAF"/>
    <w:rsid w:val="0099348E"/>
    <w:rsid w:val="009952CC"/>
    <w:rsid w:val="0099555F"/>
    <w:rsid w:val="00995AFB"/>
    <w:rsid w:val="00997102"/>
    <w:rsid w:val="009A0554"/>
    <w:rsid w:val="009A40ED"/>
    <w:rsid w:val="009A4CA9"/>
    <w:rsid w:val="009A558E"/>
    <w:rsid w:val="009A5710"/>
    <w:rsid w:val="009A7E04"/>
    <w:rsid w:val="009B0BBB"/>
    <w:rsid w:val="009B0C86"/>
    <w:rsid w:val="009B0F8D"/>
    <w:rsid w:val="009B24C2"/>
    <w:rsid w:val="009B3CD5"/>
    <w:rsid w:val="009B5F43"/>
    <w:rsid w:val="009B5FA0"/>
    <w:rsid w:val="009B6C59"/>
    <w:rsid w:val="009B7D31"/>
    <w:rsid w:val="009C1394"/>
    <w:rsid w:val="009C3338"/>
    <w:rsid w:val="009C358E"/>
    <w:rsid w:val="009C5E2A"/>
    <w:rsid w:val="009C7680"/>
    <w:rsid w:val="009C76CC"/>
    <w:rsid w:val="009D03DC"/>
    <w:rsid w:val="009D0C29"/>
    <w:rsid w:val="009D2801"/>
    <w:rsid w:val="009D40B7"/>
    <w:rsid w:val="009D45E4"/>
    <w:rsid w:val="009D691F"/>
    <w:rsid w:val="009D7590"/>
    <w:rsid w:val="009D75BF"/>
    <w:rsid w:val="009E165F"/>
    <w:rsid w:val="009E3A43"/>
    <w:rsid w:val="009E4063"/>
    <w:rsid w:val="009E419A"/>
    <w:rsid w:val="009E4FBA"/>
    <w:rsid w:val="009E6C16"/>
    <w:rsid w:val="009F2164"/>
    <w:rsid w:val="009F2D7E"/>
    <w:rsid w:val="009F3773"/>
    <w:rsid w:val="009F4ADB"/>
    <w:rsid w:val="009F71A6"/>
    <w:rsid w:val="009F757D"/>
    <w:rsid w:val="00A03923"/>
    <w:rsid w:val="00A06D5E"/>
    <w:rsid w:val="00A078C9"/>
    <w:rsid w:val="00A1465B"/>
    <w:rsid w:val="00A15409"/>
    <w:rsid w:val="00A16758"/>
    <w:rsid w:val="00A244F7"/>
    <w:rsid w:val="00A26C90"/>
    <w:rsid w:val="00A27EDC"/>
    <w:rsid w:val="00A317B1"/>
    <w:rsid w:val="00A31CB7"/>
    <w:rsid w:val="00A31D8C"/>
    <w:rsid w:val="00A33965"/>
    <w:rsid w:val="00A3572C"/>
    <w:rsid w:val="00A36419"/>
    <w:rsid w:val="00A36744"/>
    <w:rsid w:val="00A36CCD"/>
    <w:rsid w:val="00A42763"/>
    <w:rsid w:val="00A44632"/>
    <w:rsid w:val="00A45736"/>
    <w:rsid w:val="00A461B1"/>
    <w:rsid w:val="00A463E3"/>
    <w:rsid w:val="00A46701"/>
    <w:rsid w:val="00A52CBD"/>
    <w:rsid w:val="00A53CD2"/>
    <w:rsid w:val="00A56BD6"/>
    <w:rsid w:val="00A5719D"/>
    <w:rsid w:val="00A6020C"/>
    <w:rsid w:val="00A6145B"/>
    <w:rsid w:val="00A6226A"/>
    <w:rsid w:val="00A62F65"/>
    <w:rsid w:val="00A6467A"/>
    <w:rsid w:val="00A64B70"/>
    <w:rsid w:val="00A65C59"/>
    <w:rsid w:val="00A67969"/>
    <w:rsid w:val="00A70A5C"/>
    <w:rsid w:val="00A75942"/>
    <w:rsid w:val="00A75D6B"/>
    <w:rsid w:val="00A77137"/>
    <w:rsid w:val="00A81A02"/>
    <w:rsid w:val="00A85D5D"/>
    <w:rsid w:val="00A86299"/>
    <w:rsid w:val="00A866DE"/>
    <w:rsid w:val="00A867AE"/>
    <w:rsid w:val="00A87510"/>
    <w:rsid w:val="00A878F2"/>
    <w:rsid w:val="00A87AFF"/>
    <w:rsid w:val="00A91F53"/>
    <w:rsid w:val="00A9488C"/>
    <w:rsid w:val="00AA02E6"/>
    <w:rsid w:val="00AA0687"/>
    <w:rsid w:val="00AA213C"/>
    <w:rsid w:val="00AA3E2F"/>
    <w:rsid w:val="00AA5741"/>
    <w:rsid w:val="00AA5C67"/>
    <w:rsid w:val="00AB0D39"/>
    <w:rsid w:val="00AB32D5"/>
    <w:rsid w:val="00AB362C"/>
    <w:rsid w:val="00AB3AA3"/>
    <w:rsid w:val="00AB6F7D"/>
    <w:rsid w:val="00AC001A"/>
    <w:rsid w:val="00AC2346"/>
    <w:rsid w:val="00AC40C4"/>
    <w:rsid w:val="00AC4AB0"/>
    <w:rsid w:val="00AD28DB"/>
    <w:rsid w:val="00AD31E3"/>
    <w:rsid w:val="00AD3A66"/>
    <w:rsid w:val="00AD4154"/>
    <w:rsid w:val="00AD654E"/>
    <w:rsid w:val="00AD77DF"/>
    <w:rsid w:val="00AE2739"/>
    <w:rsid w:val="00AE4B8B"/>
    <w:rsid w:val="00AE6DD3"/>
    <w:rsid w:val="00AE79ED"/>
    <w:rsid w:val="00AE7A6C"/>
    <w:rsid w:val="00AF1278"/>
    <w:rsid w:val="00AF12FC"/>
    <w:rsid w:val="00AF3C06"/>
    <w:rsid w:val="00AF4988"/>
    <w:rsid w:val="00AF5E84"/>
    <w:rsid w:val="00AF734C"/>
    <w:rsid w:val="00B015EB"/>
    <w:rsid w:val="00B021F1"/>
    <w:rsid w:val="00B0222B"/>
    <w:rsid w:val="00B0319C"/>
    <w:rsid w:val="00B03A31"/>
    <w:rsid w:val="00B045B2"/>
    <w:rsid w:val="00B05BD4"/>
    <w:rsid w:val="00B06F88"/>
    <w:rsid w:val="00B1102E"/>
    <w:rsid w:val="00B11CCC"/>
    <w:rsid w:val="00B14548"/>
    <w:rsid w:val="00B14BD3"/>
    <w:rsid w:val="00B14CD7"/>
    <w:rsid w:val="00B14ECC"/>
    <w:rsid w:val="00B17999"/>
    <w:rsid w:val="00B20478"/>
    <w:rsid w:val="00B20873"/>
    <w:rsid w:val="00B218C2"/>
    <w:rsid w:val="00B21D74"/>
    <w:rsid w:val="00B2250D"/>
    <w:rsid w:val="00B229A6"/>
    <w:rsid w:val="00B2400F"/>
    <w:rsid w:val="00B2664E"/>
    <w:rsid w:val="00B34231"/>
    <w:rsid w:val="00B358CD"/>
    <w:rsid w:val="00B35D3A"/>
    <w:rsid w:val="00B403AC"/>
    <w:rsid w:val="00B40749"/>
    <w:rsid w:val="00B40BA5"/>
    <w:rsid w:val="00B41C36"/>
    <w:rsid w:val="00B42202"/>
    <w:rsid w:val="00B43049"/>
    <w:rsid w:val="00B430DB"/>
    <w:rsid w:val="00B4422A"/>
    <w:rsid w:val="00B44524"/>
    <w:rsid w:val="00B45FB4"/>
    <w:rsid w:val="00B46CF3"/>
    <w:rsid w:val="00B50900"/>
    <w:rsid w:val="00B535C3"/>
    <w:rsid w:val="00B53A74"/>
    <w:rsid w:val="00B53B0C"/>
    <w:rsid w:val="00B55170"/>
    <w:rsid w:val="00B5540C"/>
    <w:rsid w:val="00B55C1E"/>
    <w:rsid w:val="00B56847"/>
    <w:rsid w:val="00B60FB5"/>
    <w:rsid w:val="00B66341"/>
    <w:rsid w:val="00B66700"/>
    <w:rsid w:val="00B6719A"/>
    <w:rsid w:val="00B678D6"/>
    <w:rsid w:val="00B70BF3"/>
    <w:rsid w:val="00B71FE2"/>
    <w:rsid w:val="00B73631"/>
    <w:rsid w:val="00B760E3"/>
    <w:rsid w:val="00B80C7A"/>
    <w:rsid w:val="00B82A26"/>
    <w:rsid w:val="00B83791"/>
    <w:rsid w:val="00B8512B"/>
    <w:rsid w:val="00B85983"/>
    <w:rsid w:val="00B935BB"/>
    <w:rsid w:val="00B958CF"/>
    <w:rsid w:val="00B97F22"/>
    <w:rsid w:val="00BA01DE"/>
    <w:rsid w:val="00BA15EC"/>
    <w:rsid w:val="00BA260A"/>
    <w:rsid w:val="00BA48A0"/>
    <w:rsid w:val="00BA5391"/>
    <w:rsid w:val="00BA6449"/>
    <w:rsid w:val="00BA777B"/>
    <w:rsid w:val="00BA79C0"/>
    <w:rsid w:val="00BB2457"/>
    <w:rsid w:val="00BB29FF"/>
    <w:rsid w:val="00BB340A"/>
    <w:rsid w:val="00BB4154"/>
    <w:rsid w:val="00BB4347"/>
    <w:rsid w:val="00BB597E"/>
    <w:rsid w:val="00BB6FB3"/>
    <w:rsid w:val="00BC48D8"/>
    <w:rsid w:val="00BC52B9"/>
    <w:rsid w:val="00BD2918"/>
    <w:rsid w:val="00BD295B"/>
    <w:rsid w:val="00BD302C"/>
    <w:rsid w:val="00BD5D81"/>
    <w:rsid w:val="00BE0E24"/>
    <w:rsid w:val="00BE0EE8"/>
    <w:rsid w:val="00BE2646"/>
    <w:rsid w:val="00BE2B09"/>
    <w:rsid w:val="00BE317E"/>
    <w:rsid w:val="00BE3E09"/>
    <w:rsid w:val="00BE5368"/>
    <w:rsid w:val="00BE5E43"/>
    <w:rsid w:val="00BE7DB6"/>
    <w:rsid w:val="00BF06C8"/>
    <w:rsid w:val="00BF238B"/>
    <w:rsid w:val="00BF5923"/>
    <w:rsid w:val="00BF5ACB"/>
    <w:rsid w:val="00BF5C15"/>
    <w:rsid w:val="00BF6BF4"/>
    <w:rsid w:val="00BF7CB8"/>
    <w:rsid w:val="00C0235F"/>
    <w:rsid w:val="00C027FF"/>
    <w:rsid w:val="00C02A74"/>
    <w:rsid w:val="00C03BD6"/>
    <w:rsid w:val="00C03F5A"/>
    <w:rsid w:val="00C03FE1"/>
    <w:rsid w:val="00C0566C"/>
    <w:rsid w:val="00C11024"/>
    <w:rsid w:val="00C11AEF"/>
    <w:rsid w:val="00C128CC"/>
    <w:rsid w:val="00C13476"/>
    <w:rsid w:val="00C21036"/>
    <w:rsid w:val="00C21D4C"/>
    <w:rsid w:val="00C2268A"/>
    <w:rsid w:val="00C24046"/>
    <w:rsid w:val="00C248D6"/>
    <w:rsid w:val="00C25BB5"/>
    <w:rsid w:val="00C26480"/>
    <w:rsid w:val="00C26586"/>
    <w:rsid w:val="00C27EC7"/>
    <w:rsid w:val="00C329F5"/>
    <w:rsid w:val="00C32A52"/>
    <w:rsid w:val="00C32C2E"/>
    <w:rsid w:val="00C33227"/>
    <w:rsid w:val="00C34980"/>
    <w:rsid w:val="00C372EE"/>
    <w:rsid w:val="00C37747"/>
    <w:rsid w:val="00C403AC"/>
    <w:rsid w:val="00C40934"/>
    <w:rsid w:val="00C45DD2"/>
    <w:rsid w:val="00C45E62"/>
    <w:rsid w:val="00C46A50"/>
    <w:rsid w:val="00C5005B"/>
    <w:rsid w:val="00C53BB2"/>
    <w:rsid w:val="00C54BB5"/>
    <w:rsid w:val="00C553AA"/>
    <w:rsid w:val="00C564D8"/>
    <w:rsid w:val="00C56832"/>
    <w:rsid w:val="00C57B4F"/>
    <w:rsid w:val="00C64741"/>
    <w:rsid w:val="00C649A8"/>
    <w:rsid w:val="00C65BE2"/>
    <w:rsid w:val="00C66192"/>
    <w:rsid w:val="00C66E0F"/>
    <w:rsid w:val="00C673EC"/>
    <w:rsid w:val="00C67711"/>
    <w:rsid w:val="00C67CBC"/>
    <w:rsid w:val="00C702AE"/>
    <w:rsid w:val="00C735F5"/>
    <w:rsid w:val="00C7402A"/>
    <w:rsid w:val="00C74971"/>
    <w:rsid w:val="00C74C94"/>
    <w:rsid w:val="00C7586A"/>
    <w:rsid w:val="00C765FA"/>
    <w:rsid w:val="00C76B82"/>
    <w:rsid w:val="00C76E42"/>
    <w:rsid w:val="00C77A51"/>
    <w:rsid w:val="00C77B23"/>
    <w:rsid w:val="00C800AF"/>
    <w:rsid w:val="00C82DA6"/>
    <w:rsid w:val="00C82EFD"/>
    <w:rsid w:val="00C834F0"/>
    <w:rsid w:val="00C835FF"/>
    <w:rsid w:val="00C859B9"/>
    <w:rsid w:val="00C85EF1"/>
    <w:rsid w:val="00C8611D"/>
    <w:rsid w:val="00C86529"/>
    <w:rsid w:val="00C902C0"/>
    <w:rsid w:val="00C9157C"/>
    <w:rsid w:val="00C91687"/>
    <w:rsid w:val="00C92892"/>
    <w:rsid w:val="00C9289A"/>
    <w:rsid w:val="00C94598"/>
    <w:rsid w:val="00C95D19"/>
    <w:rsid w:val="00C9719F"/>
    <w:rsid w:val="00C97E3B"/>
    <w:rsid w:val="00CA06C1"/>
    <w:rsid w:val="00CA3E5D"/>
    <w:rsid w:val="00CA3F60"/>
    <w:rsid w:val="00CA5BB6"/>
    <w:rsid w:val="00CA7FDF"/>
    <w:rsid w:val="00CB0A51"/>
    <w:rsid w:val="00CB1316"/>
    <w:rsid w:val="00CB24C6"/>
    <w:rsid w:val="00CB30BF"/>
    <w:rsid w:val="00CB63E2"/>
    <w:rsid w:val="00CB7EED"/>
    <w:rsid w:val="00CC1A76"/>
    <w:rsid w:val="00CC46EE"/>
    <w:rsid w:val="00CC5834"/>
    <w:rsid w:val="00CC61C8"/>
    <w:rsid w:val="00CC6B14"/>
    <w:rsid w:val="00CD0431"/>
    <w:rsid w:val="00CD124A"/>
    <w:rsid w:val="00CD2FA8"/>
    <w:rsid w:val="00CD3411"/>
    <w:rsid w:val="00CD52E7"/>
    <w:rsid w:val="00CD55AD"/>
    <w:rsid w:val="00CE06F3"/>
    <w:rsid w:val="00CE0812"/>
    <w:rsid w:val="00CE2D2C"/>
    <w:rsid w:val="00CE514B"/>
    <w:rsid w:val="00CE53AB"/>
    <w:rsid w:val="00CF1349"/>
    <w:rsid w:val="00CF2702"/>
    <w:rsid w:val="00CF394B"/>
    <w:rsid w:val="00CF4135"/>
    <w:rsid w:val="00CF4B15"/>
    <w:rsid w:val="00CF6BFE"/>
    <w:rsid w:val="00CF752D"/>
    <w:rsid w:val="00D019C2"/>
    <w:rsid w:val="00D04AF0"/>
    <w:rsid w:val="00D06C33"/>
    <w:rsid w:val="00D11E01"/>
    <w:rsid w:val="00D12110"/>
    <w:rsid w:val="00D121F4"/>
    <w:rsid w:val="00D13F4B"/>
    <w:rsid w:val="00D210C6"/>
    <w:rsid w:val="00D24275"/>
    <w:rsid w:val="00D24CE2"/>
    <w:rsid w:val="00D261E6"/>
    <w:rsid w:val="00D27B00"/>
    <w:rsid w:val="00D30662"/>
    <w:rsid w:val="00D32116"/>
    <w:rsid w:val="00D34609"/>
    <w:rsid w:val="00D36486"/>
    <w:rsid w:val="00D4016E"/>
    <w:rsid w:val="00D402A4"/>
    <w:rsid w:val="00D420AF"/>
    <w:rsid w:val="00D427FC"/>
    <w:rsid w:val="00D428CB"/>
    <w:rsid w:val="00D478EA"/>
    <w:rsid w:val="00D506B9"/>
    <w:rsid w:val="00D50A55"/>
    <w:rsid w:val="00D53340"/>
    <w:rsid w:val="00D5374C"/>
    <w:rsid w:val="00D53FFD"/>
    <w:rsid w:val="00D5717F"/>
    <w:rsid w:val="00D577A5"/>
    <w:rsid w:val="00D57C28"/>
    <w:rsid w:val="00D60088"/>
    <w:rsid w:val="00D60229"/>
    <w:rsid w:val="00D60BD7"/>
    <w:rsid w:val="00D61ED1"/>
    <w:rsid w:val="00D625DD"/>
    <w:rsid w:val="00D63B64"/>
    <w:rsid w:val="00D63B99"/>
    <w:rsid w:val="00D641C1"/>
    <w:rsid w:val="00D649AA"/>
    <w:rsid w:val="00D67273"/>
    <w:rsid w:val="00D702AD"/>
    <w:rsid w:val="00D72541"/>
    <w:rsid w:val="00D77751"/>
    <w:rsid w:val="00D77A17"/>
    <w:rsid w:val="00D8154A"/>
    <w:rsid w:val="00D831C0"/>
    <w:rsid w:val="00D83E41"/>
    <w:rsid w:val="00D8473F"/>
    <w:rsid w:val="00D863D7"/>
    <w:rsid w:val="00D92973"/>
    <w:rsid w:val="00D94957"/>
    <w:rsid w:val="00DA127A"/>
    <w:rsid w:val="00DA32A2"/>
    <w:rsid w:val="00DA454A"/>
    <w:rsid w:val="00DA46A8"/>
    <w:rsid w:val="00DA619C"/>
    <w:rsid w:val="00DB1BFC"/>
    <w:rsid w:val="00DB3451"/>
    <w:rsid w:val="00DB645A"/>
    <w:rsid w:val="00DB6BF6"/>
    <w:rsid w:val="00DB6E8F"/>
    <w:rsid w:val="00DC07DA"/>
    <w:rsid w:val="00DC176A"/>
    <w:rsid w:val="00DC3262"/>
    <w:rsid w:val="00DC48B0"/>
    <w:rsid w:val="00DC5371"/>
    <w:rsid w:val="00DC6507"/>
    <w:rsid w:val="00DC6599"/>
    <w:rsid w:val="00DC7715"/>
    <w:rsid w:val="00DC7DD6"/>
    <w:rsid w:val="00DD0C93"/>
    <w:rsid w:val="00DD38ED"/>
    <w:rsid w:val="00DD4D53"/>
    <w:rsid w:val="00DD542A"/>
    <w:rsid w:val="00DD5A96"/>
    <w:rsid w:val="00DD7DB9"/>
    <w:rsid w:val="00DE1330"/>
    <w:rsid w:val="00DE23D2"/>
    <w:rsid w:val="00DE29EA"/>
    <w:rsid w:val="00DE2A0D"/>
    <w:rsid w:val="00DE353D"/>
    <w:rsid w:val="00DE4428"/>
    <w:rsid w:val="00DE5F30"/>
    <w:rsid w:val="00DE7FA4"/>
    <w:rsid w:val="00DF072E"/>
    <w:rsid w:val="00DF0F06"/>
    <w:rsid w:val="00DF11D0"/>
    <w:rsid w:val="00DF2531"/>
    <w:rsid w:val="00DF7633"/>
    <w:rsid w:val="00E02588"/>
    <w:rsid w:val="00E03C93"/>
    <w:rsid w:val="00E064AF"/>
    <w:rsid w:val="00E0695D"/>
    <w:rsid w:val="00E06F98"/>
    <w:rsid w:val="00E07453"/>
    <w:rsid w:val="00E1008B"/>
    <w:rsid w:val="00E1012E"/>
    <w:rsid w:val="00E11FFB"/>
    <w:rsid w:val="00E12B67"/>
    <w:rsid w:val="00E137F4"/>
    <w:rsid w:val="00E15869"/>
    <w:rsid w:val="00E16A42"/>
    <w:rsid w:val="00E201BA"/>
    <w:rsid w:val="00E20329"/>
    <w:rsid w:val="00E20C5A"/>
    <w:rsid w:val="00E238DB"/>
    <w:rsid w:val="00E263B5"/>
    <w:rsid w:val="00E305EC"/>
    <w:rsid w:val="00E310FC"/>
    <w:rsid w:val="00E33A1A"/>
    <w:rsid w:val="00E35AA8"/>
    <w:rsid w:val="00E402AC"/>
    <w:rsid w:val="00E41481"/>
    <w:rsid w:val="00E4219D"/>
    <w:rsid w:val="00E42806"/>
    <w:rsid w:val="00E4378D"/>
    <w:rsid w:val="00E4467B"/>
    <w:rsid w:val="00E45B79"/>
    <w:rsid w:val="00E46344"/>
    <w:rsid w:val="00E5019C"/>
    <w:rsid w:val="00E51C63"/>
    <w:rsid w:val="00E51F07"/>
    <w:rsid w:val="00E5451E"/>
    <w:rsid w:val="00E5797E"/>
    <w:rsid w:val="00E6029F"/>
    <w:rsid w:val="00E60746"/>
    <w:rsid w:val="00E60A0A"/>
    <w:rsid w:val="00E6332A"/>
    <w:rsid w:val="00E63333"/>
    <w:rsid w:val="00E6370B"/>
    <w:rsid w:val="00E64AB1"/>
    <w:rsid w:val="00E65A9C"/>
    <w:rsid w:val="00E65FE6"/>
    <w:rsid w:val="00E66755"/>
    <w:rsid w:val="00E70246"/>
    <w:rsid w:val="00E7126D"/>
    <w:rsid w:val="00E72C5D"/>
    <w:rsid w:val="00E75513"/>
    <w:rsid w:val="00E81C29"/>
    <w:rsid w:val="00E8447A"/>
    <w:rsid w:val="00E87EFC"/>
    <w:rsid w:val="00E90623"/>
    <w:rsid w:val="00E91B25"/>
    <w:rsid w:val="00E949FC"/>
    <w:rsid w:val="00E94AD5"/>
    <w:rsid w:val="00E96242"/>
    <w:rsid w:val="00E97480"/>
    <w:rsid w:val="00E9776D"/>
    <w:rsid w:val="00E97B81"/>
    <w:rsid w:val="00EA354B"/>
    <w:rsid w:val="00EA4236"/>
    <w:rsid w:val="00EA55E2"/>
    <w:rsid w:val="00EA5EBA"/>
    <w:rsid w:val="00EA6183"/>
    <w:rsid w:val="00EA659B"/>
    <w:rsid w:val="00EA71F4"/>
    <w:rsid w:val="00EA7B72"/>
    <w:rsid w:val="00EB09F2"/>
    <w:rsid w:val="00EB20B1"/>
    <w:rsid w:val="00EB36A8"/>
    <w:rsid w:val="00EB448F"/>
    <w:rsid w:val="00EB4601"/>
    <w:rsid w:val="00EB4FB4"/>
    <w:rsid w:val="00EB7D35"/>
    <w:rsid w:val="00EB7FA1"/>
    <w:rsid w:val="00EC066F"/>
    <w:rsid w:val="00EC43E7"/>
    <w:rsid w:val="00EC5201"/>
    <w:rsid w:val="00EC5CA4"/>
    <w:rsid w:val="00ED076F"/>
    <w:rsid w:val="00ED5946"/>
    <w:rsid w:val="00ED5D40"/>
    <w:rsid w:val="00ED5EF4"/>
    <w:rsid w:val="00ED6451"/>
    <w:rsid w:val="00EE135C"/>
    <w:rsid w:val="00EE41B7"/>
    <w:rsid w:val="00EE4824"/>
    <w:rsid w:val="00EE4C2A"/>
    <w:rsid w:val="00EE4C73"/>
    <w:rsid w:val="00EE527E"/>
    <w:rsid w:val="00EE574C"/>
    <w:rsid w:val="00EE7AEF"/>
    <w:rsid w:val="00EF0378"/>
    <w:rsid w:val="00EF0E9B"/>
    <w:rsid w:val="00EF214C"/>
    <w:rsid w:val="00EF2848"/>
    <w:rsid w:val="00EF2DAF"/>
    <w:rsid w:val="00EF3BE4"/>
    <w:rsid w:val="00EF3DF4"/>
    <w:rsid w:val="00EF55FB"/>
    <w:rsid w:val="00EF644D"/>
    <w:rsid w:val="00F0008E"/>
    <w:rsid w:val="00F02566"/>
    <w:rsid w:val="00F03E11"/>
    <w:rsid w:val="00F05886"/>
    <w:rsid w:val="00F06EF2"/>
    <w:rsid w:val="00F1136C"/>
    <w:rsid w:val="00F114D5"/>
    <w:rsid w:val="00F11920"/>
    <w:rsid w:val="00F11FD6"/>
    <w:rsid w:val="00F12080"/>
    <w:rsid w:val="00F12F7E"/>
    <w:rsid w:val="00F143C5"/>
    <w:rsid w:val="00F20267"/>
    <w:rsid w:val="00F2031D"/>
    <w:rsid w:val="00F213A9"/>
    <w:rsid w:val="00F241B9"/>
    <w:rsid w:val="00F2467E"/>
    <w:rsid w:val="00F24C32"/>
    <w:rsid w:val="00F25358"/>
    <w:rsid w:val="00F26552"/>
    <w:rsid w:val="00F273FD"/>
    <w:rsid w:val="00F27B3E"/>
    <w:rsid w:val="00F27B54"/>
    <w:rsid w:val="00F27D34"/>
    <w:rsid w:val="00F3394B"/>
    <w:rsid w:val="00F33CE4"/>
    <w:rsid w:val="00F36E13"/>
    <w:rsid w:val="00F36F16"/>
    <w:rsid w:val="00F37429"/>
    <w:rsid w:val="00F420C6"/>
    <w:rsid w:val="00F42E3F"/>
    <w:rsid w:val="00F43535"/>
    <w:rsid w:val="00F436C5"/>
    <w:rsid w:val="00F445BC"/>
    <w:rsid w:val="00F449BA"/>
    <w:rsid w:val="00F4545B"/>
    <w:rsid w:val="00F45821"/>
    <w:rsid w:val="00F45CFE"/>
    <w:rsid w:val="00F477CD"/>
    <w:rsid w:val="00F511AB"/>
    <w:rsid w:val="00F52268"/>
    <w:rsid w:val="00F523C5"/>
    <w:rsid w:val="00F526BC"/>
    <w:rsid w:val="00F536DC"/>
    <w:rsid w:val="00F54B01"/>
    <w:rsid w:val="00F570AD"/>
    <w:rsid w:val="00F570C5"/>
    <w:rsid w:val="00F61786"/>
    <w:rsid w:val="00F61D39"/>
    <w:rsid w:val="00F62AFB"/>
    <w:rsid w:val="00F65B05"/>
    <w:rsid w:val="00F679AF"/>
    <w:rsid w:val="00F7041B"/>
    <w:rsid w:val="00F71A4B"/>
    <w:rsid w:val="00F73936"/>
    <w:rsid w:val="00F73B98"/>
    <w:rsid w:val="00F75225"/>
    <w:rsid w:val="00F75284"/>
    <w:rsid w:val="00F75E2E"/>
    <w:rsid w:val="00F80444"/>
    <w:rsid w:val="00F80846"/>
    <w:rsid w:val="00F819D8"/>
    <w:rsid w:val="00F86CE9"/>
    <w:rsid w:val="00F9143D"/>
    <w:rsid w:val="00FA0C0F"/>
    <w:rsid w:val="00FA1613"/>
    <w:rsid w:val="00FA2845"/>
    <w:rsid w:val="00FA67E6"/>
    <w:rsid w:val="00FB18BA"/>
    <w:rsid w:val="00FB1EA3"/>
    <w:rsid w:val="00FB528C"/>
    <w:rsid w:val="00FB6A04"/>
    <w:rsid w:val="00FC07B0"/>
    <w:rsid w:val="00FC2EBE"/>
    <w:rsid w:val="00FC3599"/>
    <w:rsid w:val="00FC4943"/>
    <w:rsid w:val="00FC4CE9"/>
    <w:rsid w:val="00FD1AD6"/>
    <w:rsid w:val="00FD2CBB"/>
    <w:rsid w:val="00FD36F6"/>
    <w:rsid w:val="00FD3A70"/>
    <w:rsid w:val="00FD46C5"/>
    <w:rsid w:val="00FD4FEE"/>
    <w:rsid w:val="00FD53EC"/>
    <w:rsid w:val="00FD5598"/>
    <w:rsid w:val="00FE15BD"/>
    <w:rsid w:val="00FE28BE"/>
    <w:rsid w:val="00FE3746"/>
    <w:rsid w:val="00FE6144"/>
    <w:rsid w:val="00FE6D49"/>
    <w:rsid w:val="00FF0230"/>
    <w:rsid w:val="1AB367C5"/>
    <w:rsid w:val="352CA1FA"/>
    <w:rsid w:val="373BA9CC"/>
    <w:rsid w:val="37C5A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7D749A3"/>
  <w15:chartTrackingRefBased/>
  <w15:docId w15:val="{1457AAE3-95BF-427D-9586-6C308843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6C"/>
    <w:pPr>
      <w:jc w:val="both"/>
    </w:pPr>
    <w:rPr>
      <w:sz w:val="24"/>
    </w:rPr>
  </w:style>
  <w:style w:type="paragraph" w:styleId="Heading1">
    <w:name w:val="heading 1"/>
    <w:basedOn w:val="Normal"/>
    <w:next w:val="Normal"/>
    <w:link w:val="Heading1Char"/>
    <w:uiPriority w:val="9"/>
    <w:qFormat/>
    <w:rsid w:val="007C58E9"/>
    <w:pPr>
      <w:keepNext/>
      <w:keepLines/>
      <w:numPr>
        <w:numId w:val="7"/>
      </w:numPr>
      <w:spacing w:before="240" w:after="0"/>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D63B64"/>
    <w:pPr>
      <w:numPr>
        <w:ilvl w:val="1"/>
        <w:numId w:val="7"/>
      </w:numPr>
      <w:outlineLvl w:val="1"/>
    </w:pPr>
    <w:rPr>
      <w:b/>
      <w:i/>
    </w:rPr>
  </w:style>
  <w:style w:type="paragraph" w:styleId="Heading3">
    <w:name w:val="heading 3"/>
    <w:basedOn w:val="Heading2"/>
    <w:next w:val="Normal"/>
    <w:link w:val="Heading3Char"/>
    <w:uiPriority w:val="9"/>
    <w:unhideWhenUsed/>
    <w:qFormat/>
    <w:rsid w:val="00A6467A"/>
    <w:pPr>
      <w:numPr>
        <w:numId w:val="4"/>
      </w:numPr>
      <w:outlineLvl w:val="2"/>
    </w:pPr>
  </w:style>
  <w:style w:type="paragraph" w:styleId="Heading4">
    <w:name w:val="heading 4"/>
    <w:basedOn w:val="Heading3"/>
    <w:next w:val="Normal"/>
    <w:link w:val="Heading4Char"/>
    <w:uiPriority w:val="9"/>
    <w:unhideWhenUsed/>
    <w:qFormat/>
    <w:rsid w:val="00965550"/>
    <w:pPr>
      <w:numPr>
        <w:numId w:val="5"/>
      </w:numPr>
      <w:outlineLvl w:val="3"/>
    </w:pPr>
  </w:style>
  <w:style w:type="paragraph" w:styleId="Heading5">
    <w:name w:val="heading 5"/>
    <w:basedOn w:val="Heading4"/>
    <w:next w:val="Normal"/>
    <w:link w:val="Heading5Char"/>
    <w:uiPriority w:val="9"/>
    <w:unhideWhenUsed/>
    <w:qFormat/>
    <w:rsid w:val="00AD31E3"/>
    <w:pPr>
      <w:numPr>
        <w:numId w:val="6"/>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Carattere,fn,Footnotes,Footnote ak,Footnote Text Char Char,fn Char Char,footnote text Char Char,Footnotes Char Char,Footnote ak Char Char,fn Char1,footnote text Char1,Footnotes Char1,ft,Footnote Text_EP-LC,stile 1,Footnote"/>
    <w:basedOn w:val="Normal"/>
    <w:link w:val="FootnoteTextChar"/>
    <w:uiPriority w:val="99"/>
    <w:unhideWhenUsed/>
    <w:qFormat/>
    <w:rsid w:val="00C76B82"/>
    <w:pPr>
      <w:spacing w:after="0" w:line="240" w:lineRule="auto"/>
    </w:pPr>
    <w:rPr>
      <w:sz w:val="20"/>
      <w:szCs w:val="20"/>
    </w:rPr>
  </w:style>
  <w:style w:type="character" w:customStyle="1" w:styleId="FootnoteTextChar">
    <w:name w:val="Footnote Text Char"/>
    <w:aliases w:val="Fußnote Char,Carattere Char,fn Char,Footnotes Char,Footnote ak Char,Footnote Text Char Char Char,fn Char Char Char,footnote text Char Char Char,Footnotes Char Char Char,Footnote ak Char Char Char,fn Char1 Char,footnote text Char1 Char"/>
    <w:basedOn w:val="DefaultParagraphFont"/>
    <w:link w:val="FootnoteText"/>
    <w:uiPriority w:val="99"/>
    <w:rsid w:val="00C76B82"/>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harCharCharChar"/>
    <w:uiPriority w:val="99"/>
    <w:unhideWhenUsed/>
    <w:qFormat/>
    <w:rsid w:val="00C76B82"/>
    <w:rPr>
      <w:vertAlign w:val="superscript"/>
    </w:rPr>
  </w:style>
  <w:style w:type="character" w:customStyle="1" w:styleId="Heading1Char">
    <w:name w:val="Heading 1 Char"/>
    <w:basedOn w:val="DefaultParagraphFont"/>
    <w:link w:val="Heading1"/>
    <w:uiPriority w:val="9"/>
    <w:rsid w:val="007C58E9"/>
    <w:rPr>
      <w:rFonts w:eastAsiaTheme="majorEastAsia" w:cstheme="majorBidi"/>
      <w:b/>
      <w:sz w:val="24"/>
      <w:szCs w:val="32"/>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7C58E9"/>
    <w:pPr>
      <w:ind w:left="720"/>
      <w:contextualSpacing/>
    </w:pPr>
  </w:style>
  <w:style w:type="character" w:customStyle="1" w:styleId="Heading2Char">
    <w:name w:val="Heading 2 Char"/>
    <w:basedOn w:val="DefaultParagraphFont"/>
    <w:link w:val="Heading2"/>
    <w:uiPriority w:val="9"/>
    <w:rsid w:val="00D63B64"/>
    <w:rPr>
      <w:b/>
      <w:i/>
      <w:sz w:val="24"/>
    </w:rPr>
  </w:style>
  <w:style w:type="character" w:customStyle="1" w:styleId="Heading3Char">
    <w:name w:val="Heading 3 Char"/>
    <w:basedOn w:val="DefaultParagraphFont"/>
    <w:link w:val="Heading3"/>
    <w:uiPriority w:val="9"/>
    <w:rsid w:val="00A6467A"/>
    <w:rPr>
      <w:rFonts w:eastAsiaTheme="majorEastAsia" w:cstheme="majorBidi"/>
      <w:b/>
      <w:i/>
      <w:sz w:val="24"/>
      <w:szCs w:val="26"/>
    </w:rPr>
  </w:style>
  <w:style w:type="character" w:customStyle="1" w:styleId="Heading4Char">
    <w:name w:val="Heading 4 Char"/>
    <w:basedOn w:val="DefaultParagraphFont"/>
    <w:link w:val="Heading4"/>
    <w:uiPriority w:val="9"/>
    <w:rsid w:val="00965550"/>
    <w:rPr>
      <w:rFonts w:eastAsiaTheme="majorEastAsia" w:cstheme="majorBidi"/>
      <w:b/>
      <w:i/>
      <w:sz w:val="24"/>
      <w:szCs w:val="26"/>
    </w:rPr>
  </w:style>
  <w:style w:type="character" w:customStyle="1" w:styleId="Heading5Char">
    <w:name w:val="Heading 5 Char"/>
    <w:basedOn w:val="DefaultParagraphFont"/>
    <w:link w:val="Heading5"/>
    <w:uiPriority w:val="9"/>
    <w:rsid w:val="00AD31E3"/>
    <w:rPr>
      <w:rFonts w:eastAsiaTheme="majorEastAsia" w:cstheme="majorBidi"/>
      <w:b/>
      <w:i/>
      <w:sz w:val="24"/>
      <w:szCs w:val="26"/>
    </w:rPr>
  </w:style>
  <w:style w:type="character" w:styleId="Hyperlink">
    <w:name w:val="Hyperlink"/>
    <w:basedOn w:val="DefaultParagraphFont"/>
    <w:uiPriority w:val="99"/>
    <w:unhideWhenUsed/>
    <w:rsid w:val="00EA659B"/>
    <w:rPr>
      <w:color w:val="0000FF"/>
      <w:u w:val="single"/>
    </w:rPr>
  </w:style>
  <w:style w:type="paragraph" w:styleId="TOCHeading">
    <w:name w:val="TOC Heading"/>
    <w:basedOn w:val="Heading1"/>
    <w:next w:val="Normal"/>
    <w:uiPriority w:val="39"/>
    <w:unhideWhenUsed/>
    <w:qFormat/>
    <w:rsid w:val="001C1B98"/>
    <w:pPr>
      <w:numPr>
        <w:numId w:val="0"/>
      </w:num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1C1B98"/>
    <w:pPr>
      <w:spacing w:after="100"/>
    </w:pPr>
  </w:style>
  <w:style w:type="paragraph" w:styleId="TOC2">
    <w:name w:val="toc 2"/>
    <w:basedOn w:val="Normal"/>
    <w:next w:val="Normal"/>
    <w:autoRedefine/>
    <w:uiPriority w:val="39"/>
    <w:unhideWhenUsed/>
    <w:rsid w:val="001C1B98"/>
    <w:pPr>
      <w:spacing w:after="100"/>
      <w:ind w:left="240"/>
    </w:pPr>
  </w:style>
  <w:style w:type="paragraph" w:customStyle="1" w:styleId="LTTTitle1">
    <w:name w:val="LTT Title 1"/>
    <w:basedOn w:val="Normal"/>
    <w:qFormat/>
    <w:rsid w:val="00E1008B"/>
    <w:pPr>
      <w:pBdr>
        <w:bottom w:val="single" w:sz="6" w:space="1" w:color="auto"/>
      </w:pBdr>
      <w:spacing w:before="480" w:after="320" w:line="240" w:lineRule="auto"/>
      <w:jc w:val="left"/>
    </w:pPr>
    <w:rPr>
      <w:rFonts w:ascii="Calibri" w:eastAsia="Times New Roman" w:hAnsi="Calibri" w:cs="Calibri"/>
      <w:b/>
      <w:sz w:val="28"/>
      <w:szCs w:val="28"/>
      <w:lang w:val="en-GB"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locked/>
    <w:rsid w:val="00E1008B"/>
    <w:rPr>
      <w:sz w:val="24"/>
    </w:rPr>
  </w:style>
  <w:style w:type="character" w:styleId="CommentReference">
    <w:name w:val="annotation reference"/>
    <w:basedOn w:val="DefaultParagraphFont"/>
    <w:uiPriority w:val="99"/>
    <w:unhideWhenUsed/>
    <w:rsid w:val="00052E62"/>
    <w:rPr>
      <w:sz w:val="16"/>
      <w:szCs w:val="16"/>
    </w:rPr>
  </w:style>
  <w:style w:type="paragraph" w:styleId="CommentText">
    <w:name w:val="annotation text"/>
    <w:aliases w:val="Char2"/>
    <w:basedOn w:val="Normal"/>
    <w:link w:val="CommentTextChar"/>
    <w:uiPriority w:val="99"/>
    <w:unhideWhenUsed/>
    <w:rsid w:val="00052E62"/>
    <w:pPr>
      <w:spacing w:line="240" w:lineRule="auto"/>
    </w:pPr>
    <w:rPr>
      <w:sz w:val="20"/>
      <w:szCs w:val="20"/>
    </w:rPr>
  </w:style>
  <w:style w:type="character" w:customStyle="1" w:styleId="CommentTextChar">
    <w:name w:val="Comment Text Char"/>
    <w:aliases w:val="Char2 Char"/>
    <w:basedOn w:val="DefaultParagraphFont"/>
    <w:link w:val="CommentText"/>
    <w:uiPriority w:val="99"/>
    <w:rsid w:val="00052E62"/>
    <w:rPr>
      <w:sz w:val="20"/>
      <w:szCs w:val="20"/>
    </w:rPr>
  </w:style>
  <w:style w:type="paragraph" w:styleId="CommentSubject">
    <w:name w:val="annotation subject"/>
    <w:basedOn w:val="CommentText"/>
    <w:next w:val="CommentText"/>
    <w:link w:val="CommentSubjectChar"/>
    <w:uiPriority w:val="99"/>
    <w:semiHidden/>
    <w:unhideWhenUsed/>
    <w:rsid w:val="00052E62"/>
    <w:rPr>
      <w:b/>
      <w:bCs/>
    </w:rPr>
  </w:style>
  <w:style w:type="character" w:customStyle="1" w:styleId="CommentSubjectChar">
    <w:name w:val="Comment Subject Char"/>
    <w:basedOn w:val="CommentTextChar"/>
    <w:link w:val="CommentSubject"/>
    <w:uiPriority w:val="99"/>
    <w:semiHidden/>
    <w:rsid w:val="00052E62"/>
    <w:rPr>
      <w:b/>
      <w:bCs/>
      <w:sz w:val="20"/>
      <w:szCs w:val="20"/>
    </w:rPr>
  </w:style>
  <w:style w:type="paragraph" w:styleId="BalloonText">
    <w:name w:val="Balloon Text"/>
    <w:basedOn w:val="Normal"/>
    <w:link w:val="BalloonTextChar"/>
    <w:uiPriority w:val="99"/>
    <w:semiHidden/>
    <w:unhideWhenUsed/>
    <w:rsid w:val="00052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62"/>
    <w:rPr>
      <w:rFonts w:ascii="Segoe UI" w:hAnsi="Segoe UI" w:cs="Segoe UI"/>
      <w:sz w:val="18"/>
      <w:szCs w:val="18"/>
    </w:rPr>
  </w:style>
  <w:style w:type="character" w:styleId="FollowedHyperlink">
    <w:name w:val="FollowedHyperlink"/>
    <w:basedOn w:val="DefaultParagraphFont"/>
    <w:uiPriority w:val="99"/>
    <w:semiHidden/>
    <w:unhideWhenUsed/>
    <w:rsid w:val="00F27B3E"/>
    <w:rPr>
      <w:color w:val="954F72" w:themeColor="followedHyperlink"/>
      <w:u w:val="single"/>
    </w:rPr>
  </w:style>
  <w:style w:type="paragraph" w:styleId="NormalIndent">
    <w:name w:val="Normal Indent"/>
    <w:basedOn w:val="Normal"/>
    <w:unhideWhenUsed/>
    <w:qFormat/>
    <w:rsid w:val="00A36419"/>
    <w:pPr>
      <w:spacing w:after="0" w:line="274" w:lineRule="exact"/>
      <w:ind w:left="720"/>
    </w:pPr>
    <w:rPr>
      <w:rFonts w:ascii="Garamond" w:eastAsia="Times New Roman" w:hAnsi="Garamond" w:cs="Times New Roman"/>
      <w:sz w:val="22"/>
      <w:szCs w:val="17"/>
      <w:lang w:val="en-GB" w:eastAsia="nl-NL"/>
    </w:rPr>
  </w:style>
  <w:style w:type="character" w:customStyle="1" w:styleId="Grijs">
    <w:name w:val="_Grijs"/>
    <w:basedOn w:val="DefaultParagraphFont"/>
    <w:qFormat/>
    <w:rsid w:val="00A36419"/>
    <w:rPr>
      <w:color w:val="808080"/>
    </w:rPr>
  </w:style>
  <w:style w:type="paragraph" w:styleId="Caption">
    <w:name w:val="caption"/>
    <w:basedOn w:val="Normal"/>
    <w:next w:val="Figuur-RegelafstandEnkel"/>
    <w:qFormat/>
    <w:rsid w:val="00A36419"/>
    <w:pPr>
      <w:keepNext/>
      <w:keepLines/>
      <w:spacing w:before="548" w:after="110" w:line="220" w:lineRule="exact"/>
      <w:ind w:left="1134" w:hanging="1134"/>
      <w:jc w:val="left"/>
    </w:pPr>
    <w:rPr>
      <w:rFonts w:ascii="Century Gothic" w:eastAsia="Times New Roman" w:hAnsi="Century Gothic" w:cs="Times New Roman"/>
      <w:b/>
      <w:bCs/>
      <w:sz w:val="16"/>
      <w:szCs w:val="20"/>
      <w:lang w:val="en-GB" w:eastAsia="nl-NL"/>
    </w:rPr>
  </w:style>
  <w:style w:type="paragraph" w:customStyle="1" w:styleId="Figuur-RegelafstandEnkel">
    <w:name w:val="_Figuur-RegelafstandEnkel"/>
    <w:basedOn w:val="Normal"/>
    <w:next w:val="FiguurTabel-Opmerking"/>
    <w:link w:val="Figuur-RegelafstandEnkelChar"/>
    <w:qFormat/>
    <w:rsid w:val="00A36419"/>
    <w:pPr>
      <w:keepNext/>
      <w:spacing w:after="0" w:line="240" w:lineRule="auto"/>
      <w:jc w:val="center"/>
    </w:pPr>
    <w:rPr>
      <w:rFonts w:ascii="Garamond" w:eastAsia="Times New Roman" w:hAnsi="Garamond" w:cs="Times New Roman"/>
      <w:sz w:val="17"/>
      <w:szCs w:val="17"/>
      <w:lang w:val="en-GB" w:eastAsia="nl-NL"/>
    </w:rPr>
  </w:style>
  <w:style w:type="paragraph" w:customStyle="1" w:styleId="FiguurTabel-TekstBron">
    <w:name w:val="_Figuur/Tabel-TekstBron"/>
    <w:basedOn w:val="Normal"/>
    <w:next w:val="Normal"/>
    <w:rsid w:val="00A36419"/>
    <w:pPr>
      <w:keepLines/>
      <w:spacing w:after="0" w:line="240" w:lineRule="auto"/>
      <w:ind w:left="1134"/>
      <w:jc w:val="left"/>
    </w:pPr>
    <w:rPr>
      <w:rFonts w:ascii="Garamond" w:eastAsia="Times New Roman" w:hAnsi="Garamond" w:cs="Times New Roman"/>
      <w:color w:val="808080"/>
      <w:sz w:val="17"/>
      <w:szCs w:val="34"/>
      <w:lang w:val="en-GB" w:eastAsia="nl-NL"/>
    </w:rPr>
  </w:style>
  <w:style w:type="paragraph" w:customStyle="1" w:styleId="FiguurTabel-Opmerking">
    <w:name w:val="_Figuur/Tabel-Opmerking"/>
    <w:basedOn w:val="FiguurTabel-TekstBron"/>
    <w:next w:val="FiguurTabel-TekstBron"/>
    <w:rsid w:val="00A36419"/>
    <w:pPr>
      <w:keepNext/>
      <w:ind w:left="1304" w:hanging="170"/>
    </w:pPr>
    <w:rPr>
      <w:color w:val="auto"/>
    </w:rPr>
  </w:style>
  <w:style w:type="character" w:customStyle="1" w:styleId="Figuur-RegelafstandEnkelChar">
    <w:name w:val="_Figuur-RegelafstandEnkel Char"/>
    <w:basedOn w:val="DefaultParagraphFont"/>
    <w:link w:val="Figuur-RegelafstandEnkel"/>
    <w:rsid w:val="00A36419"/>
    <w:rPr>
      <w:rFonts w:ascii="Garamond" w:eastAsia="Times New Roman" w:hAnsi="Garamond" w:cs="Times New Roman"/>
      <w:sz w:val="17"/>
      <w:szCs w:val="17"/>
      <w:lang w:val="en-GB" w:eastAsia="nl-NL"/>
    </w:rPr>
  </w:style>
  <w:style w:type="paragraph" w:customStyle="1" w:styleId="Normal-1WitregelVoor">
    <w:name w:val="_Normal-1WitregelVoor"/>
    <w:basedOn w:val="Normal"/>
    <w:next w:val="NormalIndent"/>
    <w:qFormat/>
    <w:rsid w:val="00E65A9C"/>
    <w:pPr>
      <w:spacing w:before="274" w:after="0" w:line="274" w:lineRule="exact"/>
    </w:pPr>
    <w:rPr>
      <w:rFonts w:ascii="Garamond" w:eastAsia="Times New Roman" w:hAnsi="Garamond" w:cs="Times New Roman"/>
      <w:sz w:val="22"/>
      <w:szCs w:val="17"/>
      <w:lang w:val="en-GB" w:eastAsia="nl-NL"/>
    </w:rPr>
  </w:style>
  <w:style w:type="paragraph" w:customStyle="1" w:styleId="Tabel-RegelafstandEnkel">
    <w:name w:val="_Tabel-RegelafstandEnkel"/>
    <w:link w:val="Tabel-RegelafstandEnkelChar"/>
    <w:rsid w:val="00E65A9C"/>
    <w:pPr>
      <w:keepNext/>
      <w:keepLines/>
      <w:spacing w:before="57" w:after="57" w:line="240" w:lineRule="auto"/>
      <w:ind w:right="57"/>
    </w:pPr>
    <w:rPr>
      <w:rFonts w:ascii="Garamond" w:eastAsia="Times New Roman" w:hAnsi="Garamond" w:cs="Times New Roman"/>
      <w:sz w:val="17"/>
      <w:szCs w:val="17"/>
      <w:lang w:val="nl-BE" w:eastAsia="nl-NL"/>
    </w:rPr>
  </w:style>
  <w:style w:type="character" w:customStyle="1" w:styleId="Tabel-RegelafstandEnkelChar">
    <w:name w:val="_Tabel-RegelafstandEnkel Char"/>
    <w:basedOn w:val="Figuur-RegelafstandEnkelChar"/>
    <w:link w:val="Tabel-RegelafstandEnkel"/>
    <w:rsid w:val="00E65A9C"/>
    <w:rPr>
      <w:rFonts w:ascii="Garamond" w:eastAsia="Times New Roman" w:hAnsi="Garamond" w:cs="Times New Roman"/>
      <w:sz w:val="17"/>
      <w:szCs w:val="17"/>
      <w:lang w:val="nl-BE" w:eastAsia="nl-NL"/>
    </w:rPr>
  </w:style>
  <w:style w:type="table" w:customStyle="1" w:styleId="LightShading1">
    <w:name w:val="Light Shading1"/>
    <w:aliases w:val="Table1-HIVA"/>
    <w:basedOn w:val="TableNormal"/>
    <w:uiPriority w:val="99"/>
    <w:qFormat/>
    <w:rsid w:val="00E65A9C"/>
    <w:pPr>
      <w:keepNext/>
      <w:keepLines/>
      <w:spacing w:after="0" w:line="274" w:lineRule="exact"/>
      <w:ind w:left="57" w:right="57"/>
    </w:pPr>
    <w:rPr>
      <w:rFonts w:ascii="Garamond" w:eastAsia="Times New Roman" w:hAnsi="Garamond" w:cs="Times New Roman"/>
      <w:color w:val="000000" w:themeColor="text1" w:themeShade="BF"/>
      <w:sz w:val="17"/>
      <w:szCs w:val="17"/>
      <w:lang w:val="nl-BE" w:eastAsia="nl-BE"/>
    </w:rPr>
    <w:tblPr>
      <w:tblStyleRowBandSize w:val="1"/>
      <w:tblStyleColBandSize w:val="1"/>
      <w:tblBorders>
        <w:top w:val="single" w:sz="4" w:space="0" w:color="808080"/>
        <w:left w:val="single" w:sz="12" w:space="0" w:color="808080"/>
        <w:bottom w:val="single" w:sz="4" w:space="0" w:color="808080"/>
        <w:right w:val="single" w:sz="12" w:space="0" w:color="808080"/>
        <w:insideV w:val="single" w:sz="4" w:space="0" w:color="808080"/>
      </w:tblBorders>
      <w:tblCellMar>
        <w:left w:w="57" w:type="dxa"/>
        <w:right w:w="57" w:type="dxa"/>
      </w:tblCellMar>
    </w:tblPr>
    <w:trPr>
      <w:cantSplit/>
    </w:trPr>
    <w:tblStylePr w:type="firstRow">
      <w:pPr>
        <w:wordWrap/>
        <w:spacing w:beforeLines="0" w:beforeAutospacing="0" w:afterLines="0" w:afterAutospacing="0" w:line="274" w:lineRule="exact"/>
        <w:ind w:leftChars="0" w:left="57" w:rightChars="0" w:right="57" w:firstLineChars="0" w:firstLine="0"/>
        <w:jc w:val="left"/>
      </w:pPr>
      <w:rPr>
        <w:rFonts w:ascii="Garamond" w:hAnsi="Garamond"/>
        <w:b/>
        <w:bCs/>
        <w:sz w:val="17"/>
      </w:rPr>
      <w:tblPr/>
      <w:tcPr>
        <w:tcBorders>
          <w:top w:val="single" w:sz="4" w:space="0" w:color="808080"/>
          <w:left w:val="single" w:sz="12" w:space="0" w:color="808080"/>
          <w:bottom w:val="single" w:sz="12" w:space="0" w:color="808080"/>
          <w:right w:val="single" w:sz="12" w:space="0" w:color="808080"/>
          <w:insideH w:val="nil"/>
          <w:insideV w:val="single" w:sz="4" w:space="0" w:color="808080"/>
        </w:tcBorders>
      </w:tcPr>
    </w:tblStylePr>
    <w:tblStylePr w:type="lastRow">
      <w:pPr>
        <w:wordWrap/>
        <w:spacing w:beforeLines="0" w:beforeAutospacing="0" w:afterLines="0" w:afterAutospacing="0" w:line="274" w:lineRule="exact"/>
        <w:ind w:leftChars="0" w:left="57" w:rightChars="0" w:right="57" w:firstLineChars="0" w:firstLine="0"/>
        <w:jc w:val="left"/>
      </w:pPr>
      <w:rPr>
        <w:rFonts w:ascii="Garamond" w:hAnsi="Garamond"/>
        <w:b w:val="0"/>
        <w:bCs/>
        <w:sz w:val="17"/>
      </w:rPr>
      <w:tblPr/>
      <w:tcPr>
        <w:tcBorders>
          <w:top w:val="single" w:sz="12" w:space="0" w:color="808080"/>
          <w:left w:val="single" w:sz="12" w:space="0" w:color="808080"/>
          <w:bottom w:val="single" w:sz="4" w:space="0" w:color="808080"/>
          <w:right w:val="single" w:sz="12" w:space="0" w:color="808080"/>
          <w:insideH w:val="nil"/>
          <w:insideV w:val="single" w:sz="4" w:space="0" w:color="808080"/>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pPr>
        <w:wordWrap/>
        <w:spacing w:beforeLines="0" w:beforeAutospacing="0" w:afterLines="0" w:afterAutospacing="0" w:line="274" w:lineRule="exact"/>
        <w:ind w:leftChars="0" w:left="57" w:rightChars="0" w:right="57" w:firstLineChars="0" w:firstLine="0"/>
        <w:jc w:val="left"/>
      </w:pPr>
      <w:rPr>
        <w:rFonts w:ascii="Garamond" w:hAnsi="Garamond"/>
        <w:sz w:val="17"/>
      </w:rPr>
      <w:tblPr/>
      <w:trPr>
        <w:cantSplit w:val="0"/>
      </w:trPr>
    </w:tblStylePr>
    <w:tblStylePr w:type="band2Horz">
      <w:pPr>
        <w:keepNext/>
        <w:keepLines/>
        <w:widowControl/>
        <w:wordWrap/>
        <w:spacing w:beforeLines="0" w:beforeAutospacing="0" w:afterLines="0" w:afterAutospacing="0" w:line="274" w:lineRule="atLeast"/>
        <w:ind w:leftChars="0" w:left="57" w:rightChars="0" w:right="57" w:firstLineChars="0" w:firstLine="0"/>
        <w:jc w:val="left"/>
      </w:pPr>
      <w:rPr>
        <w:rFonts w:ascii="Garamond" w:hAnsi="Garamond"/>
        <w:sz w:val="17"/>
      </w:rPr>
    </w:tblStylePr>
  </w:style>
  <w:style w:type="table" w:customStyle="1" w:styleId="FMSSFE">
    <w:name w:val="FMSSFE"/>
    <w:basedOn w:val="LightShading-Accent1"/>
    <w:uiPriority w:val="99"/>
    <w:rsid w:val="00BA79C0"/>
    <w:rPr>
      <w:rFonts w:ascii="Times New Roman" w:eastAsia="Times New Roman" w:hAnsi="Times New Roman" w:cs="Times New Roman"/>
      <w:sz w:val="20"/>
      <w:szCs w:val="20"/>
      <w:lang w:val="nl-BE" w:eastAsia="nl-BE"/>
    </w:rPr>
    <w:tblPr>
      <w:tblBorders>
        <w:top w:val="none" w:sz="0" w:space="0" w:color="auto"/>
        <w:left w:val="single" w:sz="8" w:space="0" w:color="5B9BD5" w:themeColor="accent1"/>
        <w:bottom w:val="none" w:sz="0" w:space="0" w:color="auto"/>
        <w:right w:val="single" w:sz="8" w:space="0" w:color="5B9BD5" w:themeColor="accent1"/>
      </w:tblBorders>
      <w:tblCellMar>
        <w:left w:w="28" w:type="dxa"/>
        <w:right w:w="28" w:type="dxa"/>
      </w:tblCellMar>
    </w:tblPr>
    <w:tblStylePr w:type="firstRow">
      <w:pPr>
        <w:spacing w:before="0" w:after="0" w:line="240" w:lineRule="auto"/>
      </w:pPr>
      <w:rPr>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lastRow">
      <w:pPr>
        <w:spacing w:before="0" w:after="0" w:line="240" w:lineRule="auto"/>
      </w:pPr>
      <w:rPr>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left w:val="single" w:sz="8" w:space="0" w:color="5B9BD5" w:themeColor="accent1"/>
          <w:bottom w:val="nil"/>
          <w:right w:val="single" w:sz="8" w:space="0" w:color="5B9BD5" w:themeColor="accent1"/>
          <w:insideH w:val="nil"/>
          <w:insideV w:val="nil"/>
        </w:tcBorders>
        <w:shd w:val="clear" w:color="auto" w:fill="D6E6F4" w:themeFill="accent1" w:themeFillTint="3F"/>
      </w:tcPr>
    </w:tblStylePr>
  </w:style>
  <w:style w:type="table" w:styleId="LightShading-Accent1">
    <w:name w:val="Light Shading Accent 1"/>
    <w:basedOn w:val="TableNormal"/>
    <w:uiPriority w:val="60"/>
    <w:semiHidden/>
    <w:unhideWhenUsed/>
    <w:rsid w:val="00BA79C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691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20D"/>
    <w:rPr>
      <w:sz w:val="24"/>
    </w:rPr>
  </w:style>
  <w:style w:type="paragraph" w:styleId="Footer">
    <w:name w:val="footer"/>
    <w:basedOn w:val="Normal"/>
    <w:link w:val="FooterChar"/>
    <w:uiPriority w:val="99"/>
    <w:unhideWhenUsed/>
    <w:rsid w:val="00691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20D"/>
    <w:rPr>
      <w:sz w:val="24"/>
    </w:rPr>
  </w:style>
  <w:style w:type="table" w:styleId="TableGrid">
    <w:name w:val="Table Grid"/>
    <w:basedOn w:val="TableNormal"/>
    <w:uiPriority w:val="39"/>
    <w:rsid w:val="00DF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11D0"/>
    <w:pPr>
      <w:spacing w:after="0" w:line="240" w:lineRule="auto"/>
    </w:pPr>
    <w:rPr>
      <w:sz w:val="24"/>
    </w:rPr>
  </w:style>
  <w:style w:type="paragraph" w:customStyle="1" w:styleId="NumPar1">
    <w:name w:val="NumPar 1"/>
    <w:basedOn w:val="Heading1"/>
    <w:next w:val="Normal"/>
    <w:rsid w:val="00552029"/>
    <w:pPr>
      <w:keepNext w:val="0"/>
      <w:keepLines w:val="0"/>
      <w:numPr>
        <w:numId w:val="0"/>
      </w:numPr>
      <w:spacing w:before="0" w:after="240" w:line="240" w:lineRule="auto"/>
      <w:outlineLvl w:val="9"/>
    </w:pPr>
    <w:rPr>
      <w:rFonts w:ascii="Times New Roman" w:eastAsia="Times New Roman" w:hAnsi="Times New Roman" w:cs="Times New Roman"/>
      <w:b w:val="0"/>
      <w:szCs w:val="20"/>
      <w:lang w:val="en-GB"/>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qFormat/>
    <w:rsid w:val="00552029"/>
    <w:pPr>
      <w:spacing w:line="240" w:lineRule="exact"/>
      <w:jc w:val="left"/>
    </w:pPr>
    <w:rPr>
      <w:sz w:val="22"/>
      <w:vertAlign w:val="superscript"/>
    </w:rPr>
  </w:style>
  <w:style w:type="character" w:styleId="Strong">
    <w:name w:val="Strong"/>
    <w:basedOn w:val="DefaultParagraphFont"/>
    <w:uiPriority w:val="22"/>
    <w:qFormat/>
    <w:rsid w:val="00E63333"/>
    <w:rPr>
      <w:b/>
      <w:bCs/>
    </w:rPr>
  </w:style>
  <w:style w:type="character" w:customStyle="1" w:styleId="list-bullet-colorChar">
    <w:name w:val="list-bullet-color Char"/>
    <w:basedOn w:val="DefaultParagraphFont"/>
    <w:link w:val="list-bullet-color"/>
    <w:locked/>
    <w:rsid w:val="000F37E9"/>
    <w:rPr>
      <w:rFonts w:ascii="Arial" w:eastAsia="Times New Roman" w:hAnsi="Arial" w:cs="Times New Roman"/>
      <w:sz w:val="18"/>
      <w:szCs w:val="24"/>
      <w:lang w:eastAsia="nl-NL"/>
    </w:rPr>
  </w:style>
  <w:style w:type="paragraph" w:customStyle="1" w:styleId="list-bullet-color">
    <w:name w:val="list-bullet-color"/>
    <w:basedOn w:val="Normal"/>
    <w:link w:val="list-bullet-colorChar"/>
    <w:qFormat/>
    <w:rsid w:val="000F37E9"/>
    <w:pPr>
      <w:numPr>
        <w:numId w:val="52"/>
      </w:numPr>
      <w:spacing w:after="0" w:line="280" w:lineRule="atLeast"/>
      <w:jc w:val="left"/>
    </w:pPr>
    <w:rPr>
      <w:rFonts w:ascii="Arial" w:eastAsia="Times New Roman" w:hAnsi="Arial" w:cs="Times New Roman"/>
      <w:sz w:val="18"/>
      <w:szCs w:val="24"/>
      <w:lang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rsid w:val="000F37E9"/>
    <w:pPr>
      <w:spacing w:line="240" w:lineRule="exact"/>
    </w:pPr>
    <w:rPr>
      <w:sz w:val="22"/>
      <w:vertAlign w:val="superscript"/>
    </w:rPr>
  </w:style>
  <w:style w:type="character" w:customStyle="1" w:styleId="Marker">
    <w:name w:val="Marker"/>
    <w:basedOn w:val="DefaultParagraphFont"/>
    <w:rsid w:val="003A5BF1"/>
    <w:rPr>
      <w:color w:val="0000FF"/>
      <w:shd w:val="clear" w:color="auto" w:fill="auto"/>
    </w:rPr>
  </w:style>
  <w:style w:type="paragraph" w:customStyle="1" w:styleId="Pagedecouverture">
    <w:name w:val="Page de couverture"/>
    <w:basedOn w:val="Normal"/>
    <w:next w:val="Normal"/>
    <w:rsid w:val="003A5BF1"/>
    <w:pPr>
      <w:spacing w:after="0" w:line="240" w:lineRule="auto"/>
    </w:pPr>
    <w:rPr>
      <w:rFonts w:ascii="Times New Roman" w:hAnsi="Times New Roman" w:cs="Times New Roman"/>
    </w:rPr>
  </w:style>
  <w:style w:type="paragraph" w:customStyle="1" w:styleId="FooterCoverPage">
    <w:name w:val="Footer Cover Page"/>
    <w:basedOn w:val="Normal"/>
    <w:link w:val="FooterCoverPageChar"/>
    <w:rsid w:val="003A5BF1"/>
    <w:pPr>
      <w:tabs>
        <w:tab w:val="center" w:pos="4535"/>
        <w:tab w:val="right" w:pos="9071"/>
        <w:tab w:val="right" w:pos="9921"/>
      </w:tabs>
      <w:spacing w:before="360" w:after="0" w:line="240" w:lineRule="auto"/>
      <w:ind w:left="-850" w:right="-850"/>
      <w:jc w:val="left"/>
    </w:pPr>
    <w:rPr>
      <w:rFonts w:ascii="Times New Roman" w:hAnsi="Times New Roman" w:cs="Times New Roman"/>
    </w:rPr>
  </w:style>
  <w:style w:type="character" w:customStyle="1" w:styleId="FooterCoverPageChar">
    <w:name w:val="Footer Cover Page Char"/>
    <w:basedOn w:val="DefaultParagraphFont"/>
    <w:link w:val="FooterCoverPage"/>
    <w:rsid w:val="003A5BF1"/>
    <w:rPr>
      <w:rFonts w:ascii="Times New Roman" w:hAnsi="Times New Roman" w:cs="Times New Roman"/>
      <w:sz w:val="24"/>
    </w:rPr>
  </w:style>
  <w:style w:type="paragraph" w:customStyle="1" w:styleId="FooterSensitivity">
    <w:name w:val="Footer Sensitivity"/>
    <w:basedOn w:val="Normal"/>
    <w:link w:val="FooterSensitivityChar"/>
    <w:rsid w:val="003A5BF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A5BF1"/>
    <w:rPr>
      <w:rFonts w:ascii="Times New Roman" w:hAnsi="Times New Roman" w:cs="Times New Roman"/>
      <w:b/>
      <w:sz w:val="32"/>
    </w:rPr>
  </w:style>
  <w:style w:type="paragraph" w:customStyle="1" w:styleId="HeaderCoverPage">
    <w:name w:val="Header Cover Page"/>
    <w:basedOn w:val="Normal"/>
    <w:link w:val="HeaderCoverPageChar"/>
    <w:rsid w:val="003A5BF1"/>
    <w:pPr>
      <w:tabs>
        <w:tab w:val="center" w:pos="4535"/>
        <w:tab w:val="right" w:pos="9071"/>
      </w:tabs>
      <w:spacing w:after="120" w:line="240" w:lineRule="auto"/>
    </w:pPr>
    <w:rPr>
      <w:rFonts w:ascii="Times New Roman" w:hAnsi="Times New Roman" w:cs="Times New Roman"/>
    </w:rPr>
  </w:style>
  <w:style w:type="character" w:customStyle="1" w:styleId="HeaderCoverPageChar">
    <w:name w:val="Header Cover Page Char"/>
    <w:basedOn w:val="DefaultParagraphFont"/>
    <w:link w:val="HeaderCoverPage"/>
    <w:rsid w:val="003A5BF1"/>
    <w:rPr>
      <w:rFonts w:ascii="Times New Roman" w:hAnsi="Times New Roman" w:cs="Times New Roman"/>
      <w:sz w:val="24"/>
    </w:rPr>
  </w:style>
  <w:style w:type="paragraph" w:customStyle="1" w:styleId="HeaderSensitivity">
    <w:name w:val="Header Sensitivity"/>
    <w:basedOn w:val="Normal"/>
    <w:link w:val="HeaderSensitivityChar"/>
    <w:rsid w:val="003A5BF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A5BF1"/>
    <w:rPr>
      <w:rFonts w:ascii="Times New Roman" w:hAnsi="Times New Roman" w:cs="Times New Roman"/>
      <w:b/>
      <w:sz w:val="32"/>
    </w:rPr>
  </w:style>
  <w:style w:type="paragraph" w:customStyle="1" w:styleId="HeaderSensitivityRight">
    <w:name w:val="Header Sensitivity Right"/>
    <w:basedOn w:val="Normal"/>
    <w:link w:val="HeaderSensitivityRightChar"/>
    <w:rsid w:val="003A5BF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3A5BF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377">
      <w:bodyDiv w:val="1"/>
      <w:marLeft w:val="0"/>
      <w:marRight w:val="0"/>
      <w:marTop w:val="0"/>
      <w:marBottom w:val="0"/>
      <w:divBdr>
        <w:top w:val="none" w:sz="0" w:space="0" w:color="auto"/>
        <w:left w:val="none" w:sz="0" w:space="0" w:color="auto"/>
        <w:bottom w:val="none" w:sz="0" w:space="0" w:color="auto"/>
        <w:right w:val="none" w:sz="0" w:space="0" w:color="auto"/>
      </w:divBdr>
    </w:div>
    <w:div w:id="49038254">
      <w:bodyDiv w:val="1"/>
      <w:marLeft w:val="0"/>
      <w:marRight w:val="0"/>
      <w:marTop w:val="0"/>
      <w:marBottom w:val="0"/>
      <w:divBdr>
        <w:top w:val="none" w:sz="0" w:space="0" w:color="auto"/>
        <w:left w:val="none" w:sz="0" w:space="0" w:color="auto"/>
        <w:bottom w:val="none" w:sz="0" w:space="0" w:color="auto"/>
        <w:right w:val="none" w:sz="0" w:space="0" w:color="auto"/>
      </w:divBdr>
    </w:div>
    <w:div w:id="505094499">
      <w:bodyDiv w:val="1"/>
      <w:marLeft w:val="0"/>
      <w:marRight w:val="0"/>
      <w:marTop w:val="0"/>
      <w:marBottom w:val="0"/>
      <w:divBdr>
        <w:top w:val="none" w:sz="0" w:space="0" w:color="auto"/>
        <w:left w:val="none" w:sz="0" w:space="0" w:color="auto"/>
        <w:bottom w:val="none" w:sz="0" w:space="0" w:color="auto"/>
        <w:right w:val="none" w:sz="0" w:space="0" w:color="auto"/>
      </w:divBdr>
    </w:div>
    <w:div w:id="613439159">
      <w:bodyDiv w:val="1"/>
      <w:marLeft w:val="0"/>
      <w:marRight w:val="0"/>
      <w:marTop w:val="0"/>
      <w:marBottom w:val="0"/>
      <w:divBdr>
        <w:top w:val="none" w:sz="0" w:space="0" w:color="auto"/>
        <w:left w:val="none" w:sz="0" w:space="0" w:color="auto"/>
        <w:bottom w:val="none" w:sz="0" w:space="0" w:color="auto"/>
        <w:right w:val="none" w:sz="0" w:space="0" w:color="auto"/>
      </w:divBdr>
    </w:div>
    <w:div w:id="665209992">
      <w:bodyDiv w:val="1"/>
      <w:marLeft w:val="0"/>
      <w:marRight w:val="0"/>
      <w:marTop w:val="0"/>
      <w:marBottom w:val="0"/>
      <w:divBdr>
        <w:top w:val="none" w:sz="0" w:space="0" w:color="auto"/>
        <w:left w:val="none" w:sz="0" w:space="0" w:color="auto"/>
        <w:bottom w:val="none" w:sz="0" w:space="0" w:color="auto"/>
        <w:right w:val="none" w:sz="0" w:space="0" w:color="auto"/>
      </w:divBdr>
    </w:div>
    <w:div w:id="1096365141">
      <w:bodyDiv w:val="1"/>
      <w:marLeft w:val="0"/>
      <w:marRight w:val="0"/>
      <w:marTop w:val="0"/>
      <w:marBottom w:val="0"/>
      <w:divBdr>
        <w:top w:val="none" w:sz="0" w:space="0" w:color="auto"/>
        <w:left w:val="none" w:sz="0" w:space="0" w:color="auto"/>
        <w:bottom w:val="none" w:sz="0" w:space="0" w:color="auto"/>
        <w:right w:val="none" w:sz="0" w:space="0" w:color="auto"/>
      </w:divBdr>
    </w:div>
    <w:div w:id="1161308298">
      <w:bodyDiv w:val="1"/>
      <w:marLeft w:val="0"/>
      <w:marRight w:val="0"/>
      <w:marTop w:val="0"/>
      <w:marBottom w:val="0"/>
      <w:divBdr>
        <w:top w:val="none" w:sz="0" w:space="0" w:color="auto"/>
        <w:left w:val="none" w:sz="0" w:space="0" w:color="auto"/>
        <w:bottom w:val="none" w:sz="0" w:space="0" w:color="auto"/>
        <w:right w:val="none" w:sz="0" w:space="0" w:color="auto"/>
      </w:divBdr>
    </w:div>
    <w:div w:id="1174496384">
      <w:bodyDiv w:val="1"/>
      <w:marLeft w:val="0"/>
      <w:marRight w:val="0"/>
      <w:marTop w:val="0"/>
      <w:marBottom w:val="0"/>
      <w:divBdr>
        <w:top w:val="none" w:sz="0" w:space="0" w:color="auto"/>
        <w:left w:val="none" w:sz="0" w:space="0" w:color="auto"/>
        <w:bottom w:val="none" w:sz="0" w:space="0" w:color="auto"/>
        <w:right w:val="none" w:sz="0" w:space="0" w:color="auto"/>
      </w:divBdr>
    </w:div>
    <w:div w:id="1457527491">
      <w:bodyDiv w:val="1"/>
      <w:marLeft w:val="0"/>
      <w:marRight w:val="0"/>
      <w:marTop w:val="0"/>
      <w:marBottom w:val="0"/>
      <w:divBdr>
        <w:top w:val="none" w:sz="0" w:space="0" w:color="auto"/>
        <w:left w:val="none" w:sz="0" w:space="0" w:color="auto"/>
        <w:bottom w:val="none" w:sz="0" w:space="0" w:color="auto"/>
        <w:right w:val="none" w:sz="0" w:space="0" w:color="auto"/>
      </w:divBdr>
    </w:div>
    <w:div w:id="1467621183">
      <w:bodyDiv w:val="1"/>
      <w:marLeft w:val="0"/>
      <w:marRight w:val="0"/>
      <w:marTop w:val="0"/>
      <w:marBottom w:val="0"/>
      <w:divBdr>
        <w:top w:val="none" w:sz="0" w:space="0" w:color="auto"/>
        <w:left w:val="none" w:sz="0" w:space="0" w:color="auto"/>
        <w:bottom w:val="none" w:sz="0" w:space="0" w:color="auto"/>
        <w:right w:val="none" w:sz="0" w:space="0" w:color="auto"/>
      </w:divBdr>
    </w:div>
    <w:div w:id="1639409788">
      <w:bodyDiv w:val="1"/>
      <w:marLeft w:val="0"/>
      <w:marRight w:val="0"/>
      <w:marTop w:val="0"/>
      <w:marBottom w:val="0"/>
      <w:divBdr>
        <w:top w:val="none" w:sz="0" w:space="0" w:color="auto"/>
        <w:left w:val="none" w:sz="0" w:space="0" w:color="auto"/>
        <w:bottom w:val="none" w:sz="0" w:space="0" w:color="auto"/>
        <w:right w:val="none" w:sz="0" w:space="0" w:color="auto"/>
      </w:divBdr>
      <w:divsChild>
        <w:div w:id="102189931">
          <w:marLeft w:val="0"/>
          <w:marRight w:val="0"/>
          <w:marTop w:val="0"/>
          <w:marBottom w:val="0"/>
          <w:divBdr>
            <w:top w:val="none" w:sz="0" w:space="0" w:color="auto"/>
            <w:left w:val="none" w:sz="0" w:space="0" w:color="auto"/>
            <w:bottom w:val="none" w:sz="0" w:space="0" w:color="auto"/>
            <w:right w:val="none" w:sz="0" w:space="0" w:color="auto"/>
          </w:divBdr>
        </w:div>
      </w:divsChild>
    </w:div>
    <w:div w:id="1666324816">
      <w:bodyDiv w:val="1"/>
      <w:marLeft w:val="0"/>
      <w:marRight w:val="0"/>
      <w:marTop w:val="0"/>
      <w:marBottom w:val="0"/>
      <w:divBdr>
        <w:top w:val="none" w:sz="0" w:space="0" w:color="auto"/>
        <w:left w:val="none" w:sz="0" w:space="0" w:color="auto"/>
        <w:bottom w:val="none" w:sz="0" w:space="0" w:color="auto"/>
        <w:right w:val="none" w:sz="0" w:space="0" w:color="auto"/>
      </w:divBdr>
    </w:div>
    <w:div w:id="1715424612">
      <w:bodyDiv w:val="1"/>
      <w:marLeft w:val="0"/>
      <w:marRight w:val="0"/>
      <w:marTop w:val="0"/>
      <w:marBottom w:val="0"/>
      <w:divBdr>
        <w:top w:val="none" w:sz="0" w:space="0" w:color="auto"/>
        <w:left w:val="none" w:sz="0" w:space="0" w:color="auto"/>
        <w:bottom w:val="none" w:sz="0" w:space="0" w:color="auto"/>
        <w:right w:val="none" w:sz="0" w:space="0" w:color="auto"/>
      </w:divBdr>
    </w:div>
    <w:div w:id="1844586442">
      <w:bodyDiv w:val="1"/>
      <w:marLeft w:val="0"/>
      <w:marRight w:val="0"/>
      <w:marTop w:val="0"/>
      <w:marBottom w:val="0"/>
      <w:divBdr>
        <w:top w:val="none" w:sz="0" w:space="0" w:color="auto"/>
        <w:left w:val="none" w:sz="0" w:space="0" w:color="auto"/>
        <w:bottom w:val="none" w:sz="0" w:space="0" w:color="auto"/>
        <w:right w:val="none" w:sz="0" w:space="0" w:color="auto"/>
      </w:divBdr>
    </w:div>
    <w:div w:id="1897860802">
      <w:bodyDiv w:val="1"/>
      <w:marLeft w:val="0"/>
      <w:marRight w:val="0"/>
      <w:marTop w:val="0"/>
      <w:marBottom w:val="0"/>
      <w:divBdr>
        <w:top w:val="none" w:sz="0" w:space="0" w:color="auto"/>
        <w:left w:val="none" w:sz="0" w:space="0" w:color="auto"/>
        <w:bottom w:val="none" w:sz="0" w:space="0" w:color="auto"/>
        <w:right w:val="none" w:sz="0" w:space="0" w:color="auto"/>
      </w:divBdr>
    </w:div>
    <w:div w:id="21382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2.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BlobServlet?docId=23780&amp;langId=en" TargetMode="External"/><Relationship Id="rId13" Type="http://schemas.openxmlformats.org/officeDocument/2006/relationships/hyperlink" Target="https://europa.eu/youreurope/index_en.htm" TargetMode="External"/><Relationship Id="rId18" Type="http://schemas.openxmlformats.org/officeDocument/2006/relationships/hyperlink" Target="https://eu-rd-platform.jrc.ec.europa.eu/_en" TargetMode="External"/><Relationship Id="rId3" Type="http://schemas.openxmlformats.org/officeDocument/2006/relationships/hyperlink" Target="https://ec.europa.eu/commission/presscorner/detail/EN/MEMO_16_1452" TargetMode="External"/><Relationship Id="rId21" Type="http://schemas.openxmlformats.org/officeDocument/2006/relationships/hyperlink" Target="https://erica-rd.eu/" TargetMode="External"/><Relationship Id="rId7" Type="http://schemas.openxmlformats.org/officeDocument/2006/relationships/hyperlink" Target="https://ec.europa.eu/eurostat/databrowser/view/gov_10a_exp/default/table?lang=en" TargetMode="External"/><Relationship Id="rId12" Type="http://schemas.openxmlformats.org/officeDocument/2006/relationships/hyperlink" Target="https://ec.europa.eu/health/cross-border-healthcare/toolbox-cross-border-healthcare_en" TargetMode="External"/><Relationship Id="rId17" Type="http://schemas.openxmlformats.org/officeDocument/2006/relationships/hyperlink" Target="https://cpms.ern-net.eu/login/" TargetMode="External"/><Relationship Id="rId25" Type="http://schemas.openxmlformats.org/officeDocument/2006/relationships/hyperlink" Target="https://www.trisan.org/fr/outils/guide-de-mobilite-des-patients" TargetMode="External"/><Relationship Id="rId2" Type="http://schemas.openxmlformats.org/officeDocument/2006/relationships/hyperlink" Target="https://ec.europa.eu/health/publications/study-enhancing-implementation-cross-border-healthcare-directive-201124eu-ensure-patient-rights-eu_en" TargetMode="External"/><Relationship Id="rId16" Type="http://schemas.openxmlformats.org/officeDocument/2006/relationships/hyperlink" Target="https://ec.europa.eu/info/research-and-innovation/funding/funding-opportunities/funding-programmes-and-open-calls/horizon-europe/eu-missions-horizon-europe/cancer_en" TargetMode="External"/><Relationship Id="rId20" Type="http://schemas.openxmlformats.org/officeDocument/2006/relationships/hyperlink" Target="https://www.ejprarediseases.org/" TargetMode="External"/><Relationship Id="rId1" Type="http://schemas.openxmlformats.org/officeDocument/2006/relationships/hyperlink" Target="https://ec.europa.eu/info/sites/default/files/final_opinion_2021_sbgr3_14_patient_rights.pdf" TargetMode="External"/><Relationship Id="rId6" Type="http://schemas.openxmlformats.org/officeDocument/2006/relationships/hyperlink" Target="https://cor.europa.eu/en/engage/Documents/RegHub/report-consultation-03-cross-border-healthcare.pdf" TargetMode="External"/><Relationship Id="rId11" Type="http://schemas.openxmlformats.org/officeDocument/2006/relationships/hyperlink" Target="https://www.edf-feph.org/content/uploads/2019/08/EDF-report_on_health_revised-accessible.pdf" TargetMode="External"/><Relationship Id="rId24" Type="http://schemas.openxmlformats.org/officeDocument/2006/relationships/hyperlink" Target="https://ec.europa.eu/regional_policy/en/information/publications/brochures/2017/european-cross-border-cooperation-on-health-theory-and-practice" TargetMode="External"/><Relationship Id="rId5" Type="http://schemas.openxmlformats.org/officeDocument/2006/relationships/hyperlink" Target="https://ec.europa.eu/health/system/files/2022-02/crossborder_enhancing-implementation_info-provision_en.pdf" TargetMode="External"/><Relationship Id="rId15" Type="http://schemas.openxmlformats.org/officeDocument/2006/relationships/hyperlink" Target="https://ec.europa.eu/info/strategy/priorities-2019-2024/promoting-our-european-way-life/european-health-union/cancer-plan-europe_en" TargetMode="External"/><Relationship Id="rId23" Type="http://schemas.openxmlformats.org/officeDocument/2006/relationships/hyperlink" Target="https://ec.europa.eu/health/publications/cross-border-patient-mobility-selected-eu-regions_en" TargetMode="External"/><Relationship Id="rId10" Type="http://schemas.openxmlformats.org/officeDocument/2006/relationships/hyperlink" Target="https://ec.europa.eu/health/system/files/2019-12/2019_ncptoolbox_ncp_guiding_principles_crossborder_en_0.pdf" TargetMode="External"/><Relationship Id="rId19" Type="http://schemas.openxmlformats.org/officeDocument/2006/relationships/hyperlink" Target="https://www.nivel.nl/en/project-amequis-2020-ongoing" TargetMode="External"/><Relationship Id="rId4" Type="http://schemas.openxmlformats.org/officeDocument/2006/relationships/hyperlink" Target="https://ec.europa.eu/commission/presscorner/detail/EN/MEMO_19_462" TargetMode="External"/><Relationship Id="rId9" Type="http://schemas.openxmlformats.org/officeDocument/2006/relationships/hyperlink" Target="https://ec.europa.eu/social/main.jsp?pager.offset=5&amp;advSearchKey=ssc_statsreport2021&amp;mode=advancedSubmit&amp;catId=22&amp;doc_submit=&amp;policyArea=0&amp;policyAreaSub=0&amp;country=0&amp;year=0" TargetMode="External"/><Relationship Id="rId14" Type="http://schemas.openxmlformats.org/officeDocument/2006/relationships/hyperlink" Target="https://ec.europa.eu/health/european-reference-networks/networks_en" TargetMode="External"/><Relationship Id="rId22" Type="http://schemas.openxmlformats.org/officeDocument/2006/relationships/hyperlink" Target="https://www.eunethta.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luna.kuleuven.be\shares\CRD-HIVA-ogSEBMI-27\Jozef_Pacolet\DG%20SANTE%20-%20Patient%20mobility\Data%20collection\Data%20trend%20report%202021.11.3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una.kuleuven.be\shares\CRD-HIVA-ogSEBMI-27\Jozef_Pacolet\DG%20SANTE%20-%20Patient%20mobility\Data%20collection\Data%20trend%20report%202021.11.3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trend report 2021.11.30.xlsx]PA'!$AF$3:$AF$4</c:f>
              <c:strCache>
                <c:ptCount val="2"/>
                <c:pt idx="0">
                  <c:v>Received</c:v>
                </c:pt>
              </c:strCache>
            </c:strRef>
          </c:tx>
          <c:spPr>
            <a:pattFill prst="pct9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2021.11.30.xlsx]PA'!$AE$5:$AE$9</c:f>
              <c:numCache>
                <c:formatCode>General</c:formatCode>
                <c:ptCount val="5"/>
                <c:pt idx="0">
                  <c:v>2016</c:v>
                </c:pt>
                <c:pt idx="1">
                  <c:v>2017</c:v>
                </c:pt>
                <c:pt idx="2">
                  <c:v>2018</c:v>
                </c:pt>
                <c:pt idx="3">
                  <c:v>2019</c:v>
                </c:pt>
                <c:pt idx="4">
                  <c:v>2020</c:v>
                </c:pt>
              </c:numCache>
            </c:numRef>
          </c:cat>
          <c:val>
            <c:numRef>
              <c:f>'[Data trend report 2021.11.30.xlsx]PA'!$AF$5:$AF$9</c:f>
              <c:numCache>
                <c:formatCode>_-* #,##0_-;\-* #,##0_-;_-* "-"??_-;_-@_-</c:formatCode>
                <c:ptCount val="5"/>
                <c:pt idx="0">
                  <c:v>6236</c:v>
                </c:pt>
                <c:pt idx="1">
                  <c:v>5902</c:v>
                </c:pt>
                <c:pt idx="2">
                  <c:v>7279</c:v>
                </c:pt>
                <c:pt idx="3">
                  <c:v>6935</c:v>
                </c:pt>
                <c:pt idx="4">
                  <c:v>5409</c:v>
                </c:pt>
              </c:numCache>
            </c:numRef>
          </c:val>
          <c:extLst>
            <c:ext xmlns:c16="http://schemas.microsoft.com/office/drawing/2014/chart" uri="{C3380CC4-5D6E-409C-BE32-E72D297353CC}">
              <c16:uniqueId val="{00000000-FF58-4BD0-9BB3-F3C86E6B78DB}"/>
            </c:ext>
          </c:extLst>
        </c:ser>
        <c:ser>
          <c:idx val="2"/>
          <c:order val="2"/>
          <c:tx>
            <c:strRef>
              <c:f>'[Data trend report 2021.11.30.xlsx]PA'!$AH$3:$AH$4</c:f>
              <c:strCache>
                <c:ptCount val="2"/>
                <c:pt idx="0">
                  <c:v>Authorised</c:v>
                </c:pt>
              </c:strCache>
            </c:strRef>
          </c:tx>
          <c:spPr>
            <a:pattFill prst="pct4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2021.11.30.xlsx]PA'!$AE$5:$AE$9</c:f>
              <c:numCache>
                <c:formatCode>General</c:formatCode>
                <c:ptCount val="5"/>
                <c:pt idx="0">
                  <c:v>2016</c:v>
                </c:pt>
                <c:pt idx="1">
                  <c:v>2017</c:v>
                </c:pt>
                <c:pt idx="2">
                  <c:v>2018</c:v>
                </c:pt>
                <c:pt idx="3">
                  <c:v>2019</c:v>
                </c:pt>
                <c:pt idx="4">
                  <c:v>2020</c:v>
                </c:pt>
              </c:numCache>
            </c:numRef>
          </c:cat>
          <c:val>
            <c:numRef>
              <c:f>'[Data trend report 2021.11.30.xlsx]PA'!$AH$5:$AH$9</c:f>
              <c:numCache>
                <c:formatCode>_-* #,##0_-;\-* #,##0_-;_-* "-"??_-;_-@_-</c:formatCode>
                <c:ptCount val="5"/>
                <c:pt idx="0">
                  <c:v>3942</c:v>
                </c:pt>
                <c:pt idx="1">
                  <c:v>4048</c:v>
                </c:pt>
                <c:pt idx="2">
                  <c:v>5220</c:v>
                </c:pt>
                <c:pt idx="3">
                  <c:v>4718</c:v>
                </c:pt>
                <c:pt idx="4">
                  <c:v>3667</c:v>
                </c:pt>
              </c:numCache>
            </c:numRef>
          </c:val>
          <c:extLst>
            <c:ext xmlns:c16="http://schemas.microsoft.com/office/drawing/2014/chart" uri="{C3380CC4-5D6E-409C-BE32-E72D297353CC}">
              <c16:uniqueId val="{00000001-FF58-4BD0-9BB3-F3C86E6B78DB}"/>
            </c:ext>
          </c:extLst>
        </c:ser>
        <c:dLbls>
          <c:showLegendKey val="0"/>
          <c:showVal val="1"/>
          <c:showCatName val="0"/>
          <c:showSerName val="0"/>
          <c:showPercent val="0"/>
          <c:showBubbleSize val="0"/>
        </c:dLbls>
        <c:gapWidth val="45"/>
        <c:overlap val="-10"/>
        <c:axId val="1242531968"/>
        <c:axId val="1242534048"/>
      </c:barChart>
      <c:barChart>
        <c:barDir val="col"/>
        <c:grouping val="clustered"/>
        <c:varyColors val="0"/>
        <c:ser>
          <c:idx val="1"/>
          <c:order val="1"/>
          <c:tx>
            <c:strRef>
              <c:f>'[Data trend report 2021.11.30.xlsx]PA'!$AG$3:$AG$4</c:f>
              <c:strCache>
                <c:ptCount val="2"/>
                <c:pt idx="0">
                  <c:v>Received</c:v>
                </c:pt>
                <c:pt idx="1">
                  <c:v>of which by France</c:v>
                </c:pt>
              </c:strCache>
            </c:strRef>
          </c:tx>
          <c:spPr>
            <a:pattFill prst="pct5">
              <a:fgClr>
                <a:schemeClr val="tx1"/>
              </a:fgClr>
              <a:bgClr>
                <a:schemeClr val="bg1"/>
              </a:bgClr>
            </a:pattFill>
            <a:ln>
              <a:solidFill>
                <a:schemeClr val="tx1"/>
              </a:solidFill>
            </a:ln>
            <a:effectLst/>
          </c:spPr>
          <c:invertIfNegative val="0"/>
          <c:dLbls>
            <c:dLbl>
              <c:idx val="0"/>
              <c:layout>
                <c:manualLayout>
                  <c:x val="-1.9138755980861245E-3"/>
                  <c:y val="5.5683090524597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58-4BD0-9BB3-F3C86E6B78DB}"/>
                </c:ext>
              </c:extLst>
            </c:dLbl>
            <c:dLbl>
              <c:idx val="1"/>
              <c:layout>
                <c:manualLayout>
                  <c:x val="-3.5087313966600556E-17"/>
                  <c:y val="6.15444684745556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58-4BD0-9BB3-F3C86E6B78DB}"/>
                </c:ext>
              </c:extLst>
            </c:dLbl>
            <c:dLbl>
              <c:idx val="2"/>
              <c:layout>
                <c:manualLayout>
                  <c:x val="0"/>
                  <c:y val="6.4475157449534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58-4BD0-9BB3-F3C86E6B78DB}"/>
                </c:ext>
              </c:extLst>
            </c:dLbl>
            <c:dLbl>
              <c:idx val="3"/>
              <c:layout>
                <c:manualLayout>
                  <c:x val="0"/>
                  <c:y val="5.8613779499576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58-4BD0-9BB3-F3C86E6B78DB}"/>
                </c:ext>
              </c:extLst>
            </c:dLbl>
            <c:dLbl>
              <c:idx val="4"/>
              <c:layout>
                <c:manualLayout>
                  <c:x val="-3.827751196172389E-3"/>
                  <c:y val="5.8613779499576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58-4BD0-9BB3-F3C86E6B78DB}"/>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2021.11.30.xlsx]PA'!$AE$5:$AE$9</c:f>
              <c:numCache>
                <c:formatCode>General</c:formatCode>
                <c:ptCount val="5"/>
                <c:pt idx="0">
                  <c:v>2016</c:v>
                </c:pt>
                <c:pt idx="1">
                  <c:v>2017</c:v>
                </c:pt>
                <c:pt idx="2">
                  <c:v>2018</c:v>
                </c:pt>
                <c:pt idx="3">
                  <c:v>2019</c:v>
                </c:pt>
                <c:pt idx="4">
                  <c:v>2020</c:v>
                </c:pt>
              </c:numCache>
            </c:numRef>
          </c:cat>
          <c:val>
            <c:numRef>
              <c:f>'[Data trend report 2021.11.30.xlsx]PA'!$AG$5:$AG$9</c:f>
              <c:numCache>
                <c:formatCode>_-* #,##0_-;\-* #,##0_-;_-* "-"??_-;_-@_-</c:formatCode>
                <c:ptCount val="5"/>
                <c:pt idx="0">
                  <c:v>3886</c:v>
                </c:pt>
                <c:pt idx="1">
                  <c:v>3028</c:v>
                </c:pt>
                <c:pt idx="2">
                  <c:v>3076</c:v>
                </c:pt>
                <c:pt idx="3">
                  <c:v>1370</c:v>
                </c:pt>
                <c:pt idx="4">
                  <c:v>2152</c:v>
                </c:pt>
              </c:numCache>
            </c:numRef>
          </c:val>
          <c:extLst>
            <c:ext xmlns:c16="http://schemas.microsoft.com/office/drawing/2014/chart" uri="{C3380CC4-5D6E-409C-BE32-E72D297353CC}">
              <c16:uniqueId val="{00000007-FF58-4BD0-9BB3-F3C86E6B78DB}"/>
            </c:ext>
          </c:extLst>
        </c:ser>
        <c:ser>
          <c:idx val="3"/>
          <c:order val="3"/>
          <c:tx>
            <c:strRef>
              <c:f>'[Data trend report 2021.11.30.xlsx]PA'!$AI$3:$AI$4</c:f>
              <c:strCache>
                <c:ptCount val="2"/>
                <c:pt idx="0">
                  <c:v>Authorised</c:v>
                </c:pt>
                <c:pt idx="1">
                  <c:v>of which by France</c:v>
                </c:pt>
              </c:strCache>
            </c:strRef>
          </c:tx>
          <c:spPr>
            <a:solidFill>
              <a:schemeClr val="bg1">
                <a:lumMod val="95000"/>
              </a:schemeClr>
            </a:solidFill>
            <a:ln>
              <a:solidFill>
                <a:schemeClr val="tx1"/>
              </a:solidFill>
            </a:ln>
            <a:effectLst/>
          </c:spPr>
          <c:invertIfNegative val="0"/>
          <c:dLbls>
            <c:dLbl>
              <c:idx val="0"/>
              <c:layout>
                <c:manualLayout>
                  <c:x val="0"/>
                  <c:y val="5.2752401549618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58-4BD0-9BB3-F3C86E6B78DB}"/>
                </c:ext>
              </c:extLst>
            </c:dLbl>
            <c:dLbl>
              <c:idx val="1"/>
              <c:layout>
                <c:manualLayout>
                  <c:x val="0"/>
                  <c:y val="5.2752401549619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58-4BD0-9BB3-F3C86E6B78DB}"/>
                </c:ext>
              </c:extLst>
            </c:dLbl>
            <c:dLbl>
              <c:idx val="2"/>
              <c:layout>
                <c:manualLayout>
                  <c:x val="0"/>
                  <c:y val="5.8613779499576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58-4BD0-9BB3-F3C86E6B78DB}"/>
                </c:ext>
              </c:extLst>
            </c:dLbl>
            <c:dLbl>
              <c:idx val="3"/>
              <c:layout>
                <c:manualLayout>
                  <c:x val="1.9138755980861245E-3"/>
                  <c:y val="5.8613779499576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58-4BD0-9BB3-F3C86E6B78DB}"/>
                </c:ext>
              </c:extLst>
            </c:dLbl>
            <c:dLbl>
              <c:idx val="4"/>
              <c:layout>
                <c:manualLayout>
                  <c:x val="-1.4034925586640222E-16"/>
                  <c:y val="5.8613779499576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F58-4BD0-9BB3-F3C86E6B78DB}"/>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2021.11.30.xlsx]PA'!$AE$5:$AE$9</c:f>
              <c:numCache>
                <c:formatCode>General</c:formatCode>
                <c:ptCount val="5"/>
                <c:pt idx="0">
                  <c:v>2016</c:v>
                </c:pt>
                <c:pt idx="1">
                  <c:v>2017</c:v>
                </c:pt>
                <c:pt idx="2">
                  <c:v>2018</c:v>
                </c:pt>
                <c:pt idx="3">
                  <c:v>2019</c:v>
                </c:pt>
                <c:pt idx="4">
                  <c:v>2020</c:v>
                </c:pt>
              </c:numCache>
            </c:numRef>
          </c:cat>
          <c:val>
            <c:numRef>
              <c:f>'[Data trend report 2021.11.30.xlsx]PA'!$AI$5:$AI$9</c:f>
              <c:numCache>
                <c:formatCode>_-* #,##0_-;\-* #,##0_-;_-* "-"??_-;_-@_-</c:formatCode>
                <c:ptCount val="5"/>
                <c:pt idx="0">
                  <c:v>2955</c:v>
                </c:pt>
                <c:pt idx="1">
                  <c:v>2184</c:v>
                </c:pt>
                <c:pt idx="2">
                  <c:v>2067</c:v>
                </c:pt>
                <c:pt idx="3">
                  <c:v>760</c:v>
                </c:pt>
                <c:pt idx="4">
                  <c:v>1646</c:v>
                </c:pt>
              </c:numCache>
            </c:numRef>
          </c:val>
          <c:extLst>
            <c:ext xmlns:c16="http://schemas.microsoft.com/office/drawing/2014/chart" uri="{C3380CC4-5D6E-409C-BE32-E72D297353CC}">
              <c16:uniqueId val="{0000000D-FF58-4BD0-9BB3-F3C86E6B78DB}"/>
            </c:ext>
          </c:extLst>
        </c:ser>
        <c:dLbls>
          <c:showLegendKey val="0"/>
          <c:showVal val="1"/>
          <c:showCatName val="0"/>
          <c:showSerName val="0"/>
          <c:showPercent val="0"/>
          <c:showBubbleSize val="0"/>
        </c:dLbls>
        <c:gapWidth val="45"/>
        <c:overlap val="-10"/>
        <c:axId val="1541914720"/>
        <c:axId val="1541919296"/>
      </c:barChart>
      <c:catAx>
        <c:axId val="124253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2534048"/>
        <c:crosses val="autoZero"/>
        <c:auto val="1"/>
        <c:lblAlgn val="ctr"/>
        <c:lblOffset val="100"/>
        <c:noMultiLvlLbl val="0"/>
      </c:catAx>
      <c:valAx>
        <c:axId val="1242534048"/>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42531968"/>
        <c:crosses val="autoZero"/>
        <c:crossBetween val="between"/>
      </c:valAx>
      <c:valAx>
        <c:axId val="1541919296"/>
        <c:scaling>
          <c:orientation val="minMax"/>
          <c:max val="8000"/>
        </c:scaling>
        <c:delete val="1"/>
        <c:axPos val="r"/>
        <c:numFmt formatCode="_-* #,##0_-;\-* #,##0_-;_-* &quot;-&quot;??_-;_-@_-" sourceLinked="1"/>
        <c:majorTickMark val="out"/>
        <c:minorTickMark val="none"/>
        <c:tickLblPos val="nextTo"/>
        <c:crossAx val="1541914720"/>
        <c:crosses val="max"/>
        <c:crossBetween val="between"/>
      </c:valAx>
      <c:catAx>
        <c:axId val="1541914720"/>
        <c:scaling>
          <c:orientation val="minMax"/>
        </c:scaling>
        <c:delete val="1"/>
        <c:axPos val="b"/>
        <c:numFmt formatCode="General" sourceLinked="1"/>
        <c:majorTickMark val="out"/>
        <c:minorTickMark val="none"/>
        <c:tickLblPos val="nextTo"/>
        <c:crossAx val="1541919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 trend report 2021.11.30.xlsx]No PA'!$AD$3:$AD$4</c:f>
              <c:strCache>
                <c:ptCount val="2"/>
                <c:pt idx="0">
                  <c:v>Received</c:v>
                </c:pt>
              </c:strCache>
            </c:strRef>
          </c:tx>
          <c:spPr>
            <a:pattFill prst="pct9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2021.11.30.xlsx]No PA'!$AC$5:$AC$9</c:f>
              <c:numCache>
                <c:formatCode>General</c:formatCode>
                <c:ptCount val="5"/>
                <c:pt idx="0">
                  <c:v>2016</c:v>
                </c:pt>
                <c:pt idx="1">
                  <c:v>2017</c:v>
                </c:pt>
                <c:pt idx="2">
                  <c:v>2018</c:v>
                </c:pt>
                <c:pt idx="3">
                  <c:v>2019</c:v>
                </c:pt>
                <c:pt idx="4">
                  <c:v>2020</c:v>
                </c:pt>
              </c:numCache>
            </c:numRef>
          </c:cat>
          <c:val>
            <c:numRef>
              <c:f>'[Data trend report 2021.11.30.xlsx]No PA'!$AD$5:$AD$9</c:f>
              <c:numCache>
                <c:formatCode>_-* #,##0_-;\-* #,##0_-;_-* "-"??_-;_-@_-</c:formatCode>
                <c:ptCount val="5"/>
                <c:pt idx="0">
                  <c:v>240443</c:v>
                </c:pt>
                <c:pt idx="1">
                  <c:v>235548</c:v>
                </c:pt>
                <c:pt idx="2">
                  <c:v>271565</c:v>
                </c:pt>
                <c:pt idx="3">
                  <c:v>283719</c:v>
                </c:pt>
                <c:pt idx="4">
                  <c:v>191079</c:v>
                </c:pt>
              </c:numCache>
            </c:numRef>
          </c:val>
          <c:extLst>
            <c:ext xmlns:c16="http://schemas.microsoft.com/office/drawing/2014/chart" uri="{C3380CC4-5D6E-409C-BE32-E72D297353CC}">
              <c16:uniqueId val="{00000000-85E3-4F3F-907E-4EAF42094A25}"/>
            </c:ext>
          </c:extLst>
        </c:ser>
        <c:ser>
          <c:idx val="2"/>
          <c:order val="2"/>
          <c:tx>
            <c:strRef>
              <c:f>'[Data trend report 2021.11.30.xlsx]No PA'!$AF$3:$AF$4</c:f>
              <c:strCache>
                <c:ptCount val="2"/>
                <c:pt idx="0">
                  <c:v>Granted</c:v>
                </c:pt>
              </c:strCache>
            </c:strRef>
          </c:tx>
          <c:spPr>
            <a:pattFill prst="pct4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2021.11.30.xlsx]No PA'!$AC$5:$AC$9</c:f>
              <c:numCache>
                <c:formatCode>General</c:formatCode>
                <c:ptCount val="5"/>
                <c:pt idx="0">
                  <c:v>2016</c:v>
                </c:pt>
                <c:pt idx="1">
                  <c:v>2017</c:v>
                </c:pt>
                <c:pt idx="2">
                  <c:v>2018</c:v>
                </c:pt>
                <c:pt idx="3">
                  <c:v>2019</c:v>
                </c:pt>
                <c:pt idx="4">
                  <c:v>2020</c:v>
                </c:pt>
              </c:numCache>
            </c:numRef>
          </c:cat>
          <c:val>
            <c:numRef>
              <c:f>'[Data trend report 2021.11.30.xlsx]No PA'!$AF$5:$AF$9</c:f>
              <c:numCache>
                <c:formatCode>_-* #,##0_-;\-* #,##0_-;_-* "-"??_-;_-@_-</c:formatCode>
                <c:ptCount val="5"/>
                <c:pt idx="0">
                  <c:v>198145</c:v>
                </c:pt>
                <c:pt idx="1">
                  <c:v>194876</c:v>
                </c:pt>
                <c:pt idx="2">
                  <c:v>226834</c:v>
                </c:pt>
                <c:pt idx="3">
                  <c:v>238937</c:v>
                </c:pt>
                <c:pt idx="4">
                  <c:v>155517</c:v>
                </c:pt>
              </c:numCache>
            </c:numRef>
          </c:val>
          <c:extLst>
            <c:ext xmlns:c16="http://schemas.microsoft.com/office/drawing/2014/chart" uri="{C3380CC4-5D6E-409C-BE32-E72D297353CC}">
              <c16:uniqueId val="{00000001-85E3-4F3F-907E-4EAF42094A25}"/>
            </c:ext>
          </c:extLst>
        </c:ser>
        <c:dLbls>
          <c:showLegendKey val="0"/>
          <c:showVal val="1"/>
          <c:showCatName val="0"/>
          <c:showSerName val="0"/>
          <c:showPercent val="0"/>
          <c:showBubbleSize val="0"/>
        </c:dLbls>
        <c:gapWidth val="45"/>
        <c:overlap val="-10"/>
        <c:axId val="1375930368"/>
        <c:axId val="1375930784"/>
      </c:barChart>
      <c:barChart>
        <c:barDir val="col"/>
        <c:grouping val="clustered"/>
        <c:varyColors val="0"/>
        <c:ser>
          <c:idx val="1"/>
          <c:order val="1"/>
          <c:tx>
            <c:strRef>
              <c:f>'[Data trend report 2021.11.30.xlsx]No PA'!$AE$3:$AE$4</c:f>
              <c:strCache>
                <c:ptCount val="2"/>
                <c:pt idx="0">
                  <c:v>Received</c:v>
                </c:pt>
                <c:pt idx="1">
                  <c:v>of which by France</c:v>
                </c:pt>
              </c:strCache>
            </c:strRef>
          </c:tx>
          <c:spPr>
            <a:pattFill prst="pct5">
              <a:fgClr>
                <a:schemeClr val="tx1"/>
              </a:fgClr>
              <a:bgClr>
                <a:schemeClr val="bg1"/>
              </a:bgClr>
            </a:pattFill>
            <a:ln>
              <a:solidFill>
                <a:schemeClr val="tx1"/>
              </a:solidFill>
            </a:ln>
            <a:effectLst/>
          </c:spPr>
          <c:invertIfNegative val="0"/>
          <c:dLbls>
            <c:dLbl>
              <c:idx val="0"/>
              <c:layout>
                <c:manualLayout>
                  <c:x val="0"/>
                  <c:y val="6.1298944633055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E3-4F3F-907E-4EAF42094A25}"/>
                </c:ext>
              </c:extLst>
            </c:dLbl>
            <c:dLbl>
              <c:idx val="1"/>
              <c:layout>
                <c:manualLayout>
                  <c:x val="-3.4877050409110224E-17"/>
                  <c:y val="6.1298944633055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E3-4F3F-907E-4EAF42094A25}"/>
                </c:ext>
              </c:extLst>
            </c:dLbl>
            <c:dLbl>
              <c:idx val="2"/>
              <c:layout>
                <c:manualLayout>
                  <c:x val="-6.9754100818220448E-17"/>
                  <c:y val="6.1298944633055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E3-4F3F-907E-4EAF42094A25}"/>
                </c:ext>
              </c:extLst>
            </c:dLbl>
            <c:dLbl>
              <c:idx val="3"/>
              <c:layout>
                <c:manualLayout>
                  <c:x val="0"/>
                  <c:y val="5.5460949906097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E3-4F3F-907E-4EAF42094A25}"/>
                </c:ext>
              </c:extLst>
            </c:dLbl>
            <c:dLbl>
              <c:idx val="4"/>
              <c:layout>
                <c:manualLayout>
                  <c:x val="0"/>
                  <c:y val="5.5460949906097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E3-4F3F-907E-4EAF42094A2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2021.11.30.xlsx]No PA'!$AC$5:$AC$9</c:f>
              <c:numCache>
                <c:formatCode>General</c:formatCode>
                <c:ptCount val="5"/>
                <c:pt idx="0">
                  <c:v>2016</c:v>
                </c:pt>
                <c:pt idx="1">
                  <c:v>2017</c:v>
                </c:pt>
                <c:pt idx="2">
                  <c:v>2018</c:v>
                </c:pt>
                <c:pt idx="3">
                  <c:v>2019</c:v>
                </c:pt>
                <c:pt idx="4">
                  <c:v>2020</c:v>
                </c:pt>
              </c:numCache>
            </c:numRef>
          </c:cat>
          <c:val>
            <c:numRef>
              <c:f>'[Data trend report 2021.11.30.xlsx]No PA'!$AE$5:$AE$9</c:f>
              <c:numCache>
                <c:formatCode>_-* #,##0_-;\-* #,##0_-;_-* "-"??_-;_-@_-</c:formatCode>
                <c:ptCount val="5"/>
                <c:pt idx="0">
                  <c:v>162137</c:v>
                </c:pt>
                <c:pt idx="1">
                  <c:v>147807</c:v>
                </c:pt>
                <c:pt idx="2">
                  <c:v>177863</c:v>
                </c:pt>
                <c:pt idx="3">
                  <c:v>170872</c:v>
                </c:pt>
                <c:pt idx="4">
                  <c:v>110910</c:v>
                </c:pt>
              </c:numCache>
            </c:numRef>
          </c:val>
          <c:extLst>
            <c:ext xmlns:c16="http://schemas.microsoft.com/office/drawing/2014/chart" uri="{C3380CC4-5D6E-409C-BE32-E72D297353CC}">
              <c16:uniqueId val="{00000007-85E3-4F3F-907E-4EAF42094A25}"/>
            </c:ext>
          </c:extLst>
        </c:ser>
        <c:ser>
          <c:idx val="3"/>
          <c:order val="3"/>
          <c:tx>
            <c:strRef>
              <c:f>'[Data trend report 2021.11.30.xlsx]No PA'!$AG$3:$AG$4</c:f>
              <c:strCache>
                <c:ptCount val="2"/>
                <c:pt idx="0">
                  <c:v>Granted</c:v>
                </c:pt>
                <c:pt idx="1">
                  <c:v>of which by France</c:v>
                </c:pt>
              </c:strCache>
            </c:strRef>
          </c:tx>
          <c:spPr>
            <a:solidFill>
              <a:schemeClr val="bg1">
                <a:lumMod val="95000"/>
              </a:schemeClr>
            </a:solidFill>
            <a:ln>
              <a:solidFill>
                <a:schemeClr val="tx1"/>
              </a:solidFill>
            </a:ln>
            <a:effectLst/>
          </c:spPr>
          <c:invertIfNegative val="0"/>
          <c:dLbls>
            <c:dLbl>
              <c:idx val="0"/>
              <c:layout>
                <c:manualLayout>
                  <c:x val="0"/>
                  <c:y val="5.2541952542619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E3-4F3F-907E-4EAF42094A25}"/>
                </c:ext>
              </c:extLst>
            </c:dLbl>
            <c:dLbl>
              <c:idx val="1"/>
              <c:layout>
                <c:manualLayout>
                  <c:x val="-6.9754100818220448E-17"/>
                  <c:y val="6.1298944633055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E3-4F3F-907E-4EAF42094A25}"/>
                </c:ext>
              </c:extLst>
            </c:dLbl>
            <c:dLbl>
              <c:idx val="2"/>
              <c:layout>
                <c:manualLayout>
                  <c:x val="-6.9754100818220448E-17"/>
                  <c:y val="6.4217941996534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E3-4F3F-907E-4EAF42094A25}"/>
                </c:ext>
              </c:extLst>
            </c:dLbl>
            <c:dLbl>
              <c:idx val="3"/>
              <c:layout>
                <c:manualLayout>
                  <c:x val="-1.395082016364409E-16"/>
                  <c:y val="5.8379947269576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E3-4F3F-907E-4EAF42094A25}"/>
                </c:ext>
              </c:extLst>
            </c:dLbl>
            <c:dLbl>
              <c:idx val="4"/>
              <c:layout>
                <c:manualLayout>
                  <c:x val="0"/>
                  <c:y val="6.1298944633055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5E3-4F3F-907E-4EAF42094A2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trend report 2021.11.30.xlsx]No PA'!$AC$5:$AC$9</c:f>
              <c:numCache>
                <c:formatCode>General</c:formatCode>
                <c:ptCount val="5"/>
                <c:pt idx="0">
                  <c:v>2016</c:v>
                </c:pt>
                <c:pt idx="1">
                  <c:v>2017</c:v>
                </c:pt>
                <c:pt idx="2">
                  <c:v>2018</c:v>
                </c:pt>
                <c:pt idx="3">
                  <c:v>2019</c:v>
                </c:pt>
                <c:pt idx="4">
                  <c:v>2020</c:v>
                </c:pt>
              </c:numCache>
            </c:numRef>
          </c:cat>
          <c:val>
            <c:numRef>
              <c:f>'[Data trend report 2021.11.30.xlsx]No PA'!$AG$5:$AG$9</c:f>
              <c:numCache>
                <c:formatCode>_-* #,##0_-;\-* #,##0_-;_-* "-"??_-;_-@_-</c:formatCode>
                <c:ptCount val="5"/>
                <c:pt idx="0">
                  <c:v>143479</c:v>
                </c:pt>
                <c:pt idx="1">
                  <c:v>130073</c:v>
                </c:pt>
                <c:pt idx="2">
                  <c:v>157585</c:v>
                </c:pt>
                <c:pt idx="3">
                  <c:v>148263</c:v>
                </c:pt>
                <c:pt idx="4">
                  <c:v>92390</c:v>
                </c:pt>
              </c:numCache>
            </c:numRef>
          </c:val>
          <c:extLst>
            <c:ext xmlns:c16="http://schemas.microsoft.com/office/drawing/2014/chart" uri="{C3380CC4-5D6E-409C-BE32-E72D297353CC}">
              <c16:uniqueId val="{0000000D-85E3-4F3F-907E-4EAF42094A25}"/>
            </c:ext>
          </c:extLst>
        </c:ser>
        <c:dLbls>
          <c:showLegendKey val="0"/>
          <c:showVal val="1"/>
          <c:showCatName val="0"/>
          <c:showSerName val="0"/>
          <c:showPercent val="0"/>
          <c:showBubbleSize val="0"/>
        </c:dLbls>
        <c:gapWidth val="45"/>
        <c:overlap val="-10"/>
        <c:axId val="1362148816"/>
        <c:axId val="1362146736"/>
      </c:barChart>
      <c:catAx>
        <c:axId val="137593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75930784"/>
        <c:crosses val="autoZero"/>
        <c:auto val="1"/>
        <c:lblAlgn val="ctr"/>
        <c:lblOffset val="100"/>
        <c:noMultiLvlLbl val="0"/>
      </c:catAx>
      <c:valAx>
        <c:axId val="137593078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75930368"/>
        <c:crosses val="autoZero"/>
        <c:crossBetween val="between"/>
      </c:valAx>
      <c:valAx>
        <c:axId val="1362146736"/>
        <c:scaling>
          <c:orientation val="minMax"/>
          <c:max val="300000"/>
        </c:scaling>
        <c:delete val="1"/>
        <c:axPos val="r"/>
        <c:numFmt formatCode="_-* #,##0_-;\-* #,##0_-;_-* &quot;-&quot;??_-;_-@_-" sourceLinked="1"/>
        <c:majorTickMark val="out"/>
        <c:minorTickMark val="none"/>
        <c:tickLblPos val="nextTo"/>
        <c:crossAx val="1362148816"/>
        <c:crosses val="max"/>
        <c:crossBetween val="between"/>
      </c:valAx>
      <c:catAx>
        <c:axId val="1362148816"/>
        <c:scaling>
          <c:orientation val="minMax"/>
        </c:scaling>
        <c:delete val="1"/>
        <c:axPos val="b"/>
        <c:numFmt formatCode="General" sourceLinked="1"/>
        <c:majorTickMark val="out"/>
        <c:minorTickMark val="none"/>
        <c:tickLblPos val="nextTo"/>
        <c:crossAx val="13621467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Info xmlns="http://schemas.microsoft.com/office/infopath/2007/PartnerControls">
          <TermName xmlns="http://schemas.microsoft.com/office/infopath/2007/PartnerControls">Health threats</TermName>
          <TermId xmlns="http://schemas.microsoft.com/office/infopath/2007/PartnerControls">dc93e415-7556-4f23-b6bf-d68b9876c20d</TermId>
        </TermInfo>
        <TermInfo xmlns="http://schemas.microsoft.com/office/infopath/2007/PartnerControls">
          <TermName xmlns="http://schemas.microsoft.com/office/infopath/2007/PartnerControls">Healthcare Cross-Border Directive</TermName>
          <TermId xmlns="http://schemas.microsoft.com/office/infopath/2007/PartnerControls">9528f40f-cc9f-4eed-9160-32b858164734</TermId>
        </TermInfo>
      </Terms>
    </SANTEDomainTaxHTField0>
    <SANTEDocumentDate xmlns="696e9ab7-1adf-4a2e-b30b-73143cb728da">2021-11-15T23:00:00+00:00</SANTEDocumentDate>
    <TaxCatchAll xmlns="5d7c9a51-8868-4cc4-b189-61103d00211e">
      <Value>50</Value>
      <Value>1</Value>
      <Value>49</Value>
    </TaxCatchAll>
    <_dlc_DocId xmlns="5d7c9a51-8868-4cc4-b189-61103d00211e">A188-1791410730-118</_dlc_DocId>
    <_dlc_DocIdUrl xmlns="5d7c9a51-8868-4cc4-b189-61103d00211e">
      <Url>https://workspaces.sante.cec.eu.int/areas/188/008/_layouts/15/DocIdRedir.aspx?ID=A188-1791410730-118</Url>
      <Description>A188-1791410730-118</Description>
    </_dlc_DocIdUrl>
  </documentManagement>
</p:propertie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1EDE6C0A88422BAED8C106DF00215D003512AB9C03AF7546B1F80D35BCB1ED5100473D51FC80731D4BA3CC7217F17B1172" ma:contentTypeVersion="31" ma:contentTypeDescription="Shared Document" ma:contentTypeScope="" ma:versionID="8059cb6c75c59715eaba171b01154075">
  <xsd:schema xmlns:xsd="http://www.w3.org/2001/XMLSchema" xmlns:xs="http://www.w3.org/2001/XMLSchema" xmlns:p="http://schemas.microsoft.com/office/2006/metadata/properties" xmlns:ns2="696e9ab7-1adf-4a2e-b30b-73143cb728da" xmlns:ns3="5d7c9a51-8868-4cc4-b189-61103d00211e" xmlns:ns4="9eb3c036-b72c-434a-8239-047fec0d1cbd" targetNamespace="http://schemas.microsoft.com/office/2006/metadata/properties" ma:root="true" ma:fieldsID="848d658852644495a4fb763ed630e9f9" ns2:_="" ns3:_="" ns4:_="">
    <xsd:import namespace="696e9ab7-1adf-4a2e-b30b-73143cb728da"/>
    <xsd:import namespace="5d7c9a51-8868-4cc4-b189-61103d00211e"/>
    <xsd:import namespace="9eb3c036-b72c-434a-8239-047fec0d1cbd"/>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b3c036-b72c-434a-8239-047fec0d1c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8A83-379F-4C26-B7B1-DD2F0040DE8A}">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eb3c036-b72c-434a-8239-047fec0d1cbd"/>
    <ds:schemaRef ds:uri="696e9ab7-1adf-4a2e-b30b-73143cb728da"/>
    <ds:schemaRef ds:uri="http://purl.org/dc/elements/1.1/"/>
    <ds:schemaRef ds:uri="http://schemas.microsoft.com/office/2006/metadata/properties"/>
    <ds:schemaRef ds:uri="5d7c9a51-8868-4cc4-b189-61103d00211e"/>
    <ds:schemaRef ds:uri="http://www.w3.org/XML/1998/namespace"/>
    <ds:schemaRef ds:uri="http://purl.org/dc/dcmitype/"/>
  </ds:schemaRefs>
</ds:datastoreItem>
</file>

<file path=customXml/itemProps2.xml><?xml version="1.0" encoding="utf-8"?>
<ds:datastoreItem xmlns:ds="http://schemas.openxmlformats.org/officeDocument/2006/customXml" ds:itemID="{25E48FCB-8803-4A40-99A2-0E1E9E2CF031}">
  <ds:schemaRefs>
    <ds:schemaRef ds:uri="Microsoft.SharePoint.Taxonomy.ContentTypeSync"/>
  </ds:schemaRefs>
</ds:datastoreItem>
</file>

<file path=customXml/itemProps3.xml><?xml version="1.0" encoding="utf-8"?>
<ds:datastoreItem xmlns:ds="http://schemas.openxmlformats.org/officeDocument/2006/customXml" ds:itemID="{AB3D3C22-E086-49F3-B8DD-678A9EAFDDE1}">
  <ds:schemaRefs>
    <ds:schemaRef ds:uri="http://schemas.microsoft.com/sharepoint/events"/>
  </ds:schemaRefs>
</ds:datastoreItem>
</file>

<file path=customXml/itemProps4.xml><?xml version="1.0" encoding="utf-8"?>
<ds:datastoreItem xmlns:ds="http://schemas.openxmlformats.org/officeDocument/2006/customXml" ds:itemID="{9F17F6CF-93D9-4924-B435-FAD8913F10F3}">
  <ds:schemaRefs>
    <ds:schemaRef ds:uri="http://schemas.microsoft.com/sharepoint/v3/contenttype/forms"/>
  </ds:schemaRefs>
</ds:datastoreItem>
</file>

<file path=customXml/itemProps5.xml><?xml version="1.0" encoding="utf-8"?>
<ds:datastoreItem xmlns:ds="http://schemas.openxmlformats.org/officeDocument/2006/customXml" ds:itemID="{2F9AF3D4-06C5-443A-AA0F-CDBFE735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9eb3c036-b72c-434a-8239-047fec0d1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F226D8-7703-4EED-A603-5744B059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6173</Words>
  <Characters>35310</Characters>
  <Application>Microsoft Office Word</Application>
  <DocSecurity>0</DocSecurity>
  <Lines>535</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cp:lastPrinted>2022-02-09T15:30:00Z</cp:lastPrinted>
  <dcterms:created xsi:type="dcterms:W3CDTF">2022-05-02T08:55:00Z</dcterms:created>
  <dcterms:modified xsi:type="dcterms:W3CDTF">2022-05-04T08:21:00Z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603ea0d1-4862-4a34-b9be-b73658e9bd6f</vt:lpwstr>
  </property>
  <property fmtid="{D5CDD505-2E9C-101B-9397-08002B2CF9AE}" pid="3" name="TaxKeyword">
    <vt:lpwstr/>
  </property>
  <property fmtid="{D5CDD505-2E9C-101B-9397-08002B2CF9AE}" pid="4" name="SANTEDomain">
    <vt:lpwstr>1;#Health|ad4b096b-e5e2-4462-aef2-90bd911c2ecb;#49;#Health threats|dc93e415-7556-4f23-b6bf-d68b9876c20d;#50;#Healthcare Cross-Border Directive|9528f40f-cc9f-4eed-9160-32b858164734</vt:lpwstr>
  </property>
  <property fmtid="{D5CDD505-2E9C-101B-9397-08002B2CF9AE}" pid="5" name="Level of sensitivity">
    <vt:lpwstr>Standard treatment</vt:lpwstr>
  </property>
  <property fmtid="{D5CDD505-2E9C-101B-9397-08002B2CF9AE}" pid="6" name="_LW_INVALIDATED_ContentTypeId">
    <vt:lpwstr>0x010100DE1EDE6C0A88422BAED8C106DF00215D003512AB9C03AF7546B1F80D35BCB1ED5100473D51FC80731D4BA3CC7217F17B1172</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CP-006</vt:lpwstr>
  </property>
  <property fmtid="{D5CDD505-2E9C-101B-9397-08002B2CF9AE}" pid="11" name="Last edited using">
    <vt:lpwstr>LW 8.0, Build 20220128</vt:lpwstr>
  </property>
  <property fmtid="{D5CDD505-2E9C-101B-9397-08002B2CF9AE}" pid="12" name="Created using">
    <vt:lpwstr>LW 7.0.1, Build 20200226</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2022-05-01T11:59:29Z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f0e51989-3977-4c30-8faf-8c3c2d37e1cb</vt:lpwstr>
  </property>
  <property fmtid="{D5CDD505-2E9C-101B-9397-08002B2CF9AE}" pid="19" name="MSIP_Label_6bd9ddd1-4d20-43f6-abfa-fc3c07406f94_ContentBits">
    <vt:lpwstr>0</vt:lpwstr>
  </property>
</Properties>
</file>