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6A12EFDE" w:rsidR="0040116E" w:rsidRPr="001A05B3" w:rsidRDefault="009B5939" w:rsidP="009B5939">
      <w:pPr>
        <w:pStyle w:val="Pagedecouverture"/>
        <w:rPr>
          <w:noProof/>
        </w:rPr>
      </w:pPr>
      <w:r>
        <w:rPr>
          <w:noProof/>
        </w:rPr>
        <w:pict w14:anchorId="20F26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DF18BA6-EEAC-478E-8ED5-F93CF67C570E" style="width:455.25pt;height:383.25pt">
            <v:imagedata r:id="rId12" o:title=""/>
          </v:shape>
        </w:pict>
      </w:r>
    </w:p>
    <w:p w14:paraId="05F5419B" w14:textId="77777777" w:rsidR="0040116E" w:rsidRPr="001A05B3" w:rsidRDefault="0040116E" w:rsidP="0040116E">
      <w:pPr>
        <w:rPr>
          <w:noProof/>
        </w:rPr>
        <w:sectPr w:rsidR="0040116E" w:rsidRPr="001A05B3" w:rsidSect="009B5939">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1A05B3" w:rsidRDefault="0040116E" w:rsidP="004D1E24">
      <w:pPr>
        <w:pStyle w:val="Exposdesmotifstitre"/>
        <w:rPr>
          <w:noProof/>
        </w:rPr>
      </w:pPr>
      <w:bookmarkStart w:id="0" w:name="_GoBack"/>
      <w:bookmarkEnd w:id="0"/>
      <w:r w:rsidRPr="001A05B3">
        <w:rPr>
          <w:noProof/>
        </w:rPr>
        <w:lastRenderedPageBreak/>
        <w:t>EXPLANATORY MEMORANDUM</w:t>
      </w:r>
    </w:p>
    <w:p w14:paraId="05F5419D" w14:textId="77777777" w:rsidR="0040116E" w:rsidRPr="001A05B3" w:rsidRDefault="0040116E" w:rsidP="004D1E24">
      <w:pPr>
        <w:pStyle w:val="ManualHeading1"/>
        <w:rPr>
          <w:noProof/>
        </w:rPr>
      </w:pPr>
      <w:r w:rsidRPr="001A05B3">
        <w:rPr>
          <w:noProof/>
        </w:rPr>
        <w:t>1.</w:t>
      </w:r>
      <w:r w:rsidRPr="001A05B3">
        <w:rPr>
          <w:noProof/>
        </w:rPr>
        <w:tab/>
        <w:t>CONTEXT OF THE PROPOSAL</w:t>
      </w:r>
    </w:p>
    <w:p w14:paraId="05F5419E" w14:textId="77777777" w:rsidR="0040116E" w:rsidRPr="001A05B3" w:rsidRDefault="0040116E" w:rsidP="004D1E24">
      <w:pPr>
        <w:pStyle w:val="ManualHeading2"/>
        <w:rPr>
          <w:rFonts w:eastAsia="Arial Unicode MS"/>
          <w:noProof/>
        </w:rPr>
      </w:pPr>
      <w:r w:rsidRPr="001A05B3">
        <w:rPr>
          <w:rFonts w:eastAsia="Arial Unicode MS"/>
          <w:noProof/>
          <w:color w:val="000000"/>
          <w:u w:color="000000"/>
          <w:bdr w:val="nil"/>
          <w:lang w:eastAsia="en-GB"/>
        </w:rPr>
        <w:t>•</w:t>
      </w:r>
      <w:r w:rsidRPr="001A05B3">
        <w:rPr>
          <w:rFonts w:eastAsia="Arial Unicode MS"/>
          <w:noProof/>
          <w:color w:val="000000"/>
          <w:u w:color="000000"/>
          <w:bdr w:val="nil"/>
          <w:lang w:eastAsia="en-GB"/>
        </w:rPr>
        <w:tab/>
      </w:r>
      <w:r w:rsidRPr="001A05B3">
        <w:rPr>
          <w:rFonts w:eastAsia="Arial Unicode MS"/>
          <w:noProof/>
        </w:rPr>
        <w:t>Reasons for and objectives of the proposal</w:t>
      </w:r>
    </w:p>
    <w:p w14:paraId="05F5419F" w14:textId="77777777" w:rsidR="004C61EC" w:rsidRDefault="004C61EC" w:rsidP="00CF5F76">
      <w:pPr>
        <w:rPr>
          <w:noProof/>
        </w:rPr>
      </w:pPr>
      <w:r>
        <w:rPr>
          <w:noProof/>
        </w:rPr>
        <w:t>On 18 May 2021, the European Commission adopted a Communication on Business Taxation for the 21st century</w:t>
      </w:r>
      <w:r w:rsidRPr="008640C6">
        <w:rPr>
          <w:rStyle w:val="FootnoteReference"/>
          <w:noProof/>
        </w:rPr>
        <w:footnoteReference w:id="2"/>
      </w:r>
      <w:r>
        <w:rPr>
          <w:noProof/>
        </w:rPr>
        <w:t xml:space="preserve"> to promote a robust, efficient and fair business tax system in the E</w:t>
      </w:r>
      <w:r w:rsidR="00EC66D0">
        <w:rPr>
          <w:noProof/>
        </w:rPr>
        <w:t>U</w:t>
      </w:r>
      <w:r>
        <w:rPr>
          <w:noProof/>
        </w:rPr>
        <w:t>. It sets out both a long-term and short-term vision to support Europe's recovery from the COVID-19 pandemic and to ensure adequate public revenues over the coming years.</w:t>
      </w:r>
      <w:r w:rsidRPr="00263C31">
        <w:rPr>
          <w:noProof/>
        </w:rPr>
        <w:t xml:space="preserve"> I</w:t>
      </w:r>
      <w:r>
        <w:rPr>
          <w:noProof/>
        </w:rPr>
        <w:t>n the same vein, the EU’s Capital Markets Union Action Plan</w:t>
      </w:r>
      <w:r w:rsidR="005872CE">
        <w:rPr>
          <w:noProof/>
        </w:rPr>
        <w:t xml:space="preserve"> (CMU)</w:t>
      </w:r>
      <w:r w:rsidR="005872CE" w:rsidRPr="008640C6">
        <w:rPr>
          <w:rStyle w:val="FootnoteReference"/>
          <w:noProof/>
        </w:rPr>
        <w:footnoteReference w:id="3"/>
      </w:r>
      <w:r>
        <w:rPr>
          <w:noProof/>
        </w:rPr>
        <w:t xml:space="preserve"> aims at helping companies to</w:t>
      </w:r>
      <w:r w:rsidR="008E67B4">
        <w:rPr>
          <w:noProof/>
        </w:rPr>
        <w:t xml:space="preserve"> raise the capital they need</w:t>
      </w:r>
      <w:r w:rsidRPr="004431BB">
        <w:rPr>
          <w:noProof/>
          <w:szCs w:val="24"/>
          <w:lang w:eastAsia="fr-BE"/>
        </w:rPr>
        <w:t xml:space="preserve"> and improve their equity position, </w:t>
      </w:r>
      <w:r>
        <w:rPr>
          <w:noProof/>
          <w:szCs w:val="24"/>
          <w:lang w:eastAsia="fr-BE"/>
        </w:rPr>
        <w:t>especially during a recovery period implying</w:t>
      </w:r>
      <w:r w:rsidRPr="004431BB">
        <w:rPr>
          <w:noProof/>
          <w:szCs w:val="24"/>
          <w:lang w:eastAsia="fr-BE"/>
        </w:rPr>
        <w:t xml:space="preserve"> higher </w:t>
      </w:r>
      <w:r>
        <w:rPr>
          <w:noProof/>
          <w:szCs w:val="24"/>
          <w:lang w:eastAsia="fr-BE"/>
        </w:rPr>
        <w:t xml:space="preserve">deficits and </w:t>
      </w:r>
      <w:r w:rsidRPr="004431BB">
        <w:rPr>
          <w:noProof/>
          <w:szCs w:val="24"/>
          <w:lang w:eastAsia="fr-BE"/>
        </w:rPr>
        <w:t>debt levels</w:t>
      </w:r>
      <w:r>
        <w:rPr>
          <w:noProof/>
          <w:szCs w:val="24"/>
          <w:lang w:eastAsia="fr-BE"/>
        </w:rPr>
        <w:t xml:space="preserve">, </w:t>
      </w:r>
      <w:r w:rsidR="00EC3170">
        <w:rPr>
          <w:noProof/>
          <w:szCs w:val="24"/>
          <w:lang w:eastAsia="fr-BE"/>
        </w:rPr>
        <w:t>as well a</w:t>
      </w:r>
      <w:r w:rsidRPr="004431BB">
        <w:rPr>
          <w:noProof/>
          <w:szCs w:val="24"/>
          <w:lang w:eastAsia="fr-BE"/>
        </w:rPr>
        <w:t xml:space="preserve"> greater need for equity investment. </w:t>
      </w:r>
      <w:r w:rsidR="00863A23">
        <w:rPr>
          <w:noProof/>
          <w:szCs w:val="24"/>
          <w:lang w:eastAsia="fr-BE"/>
        </w:rPr>
        <w:t xml:space="preserve">In particular, </w:t>
      </w:r>
      <w:r w:rsidRPr="00D83E40">
        <w:rPr>
          <w:noProof/>
          <w:szCs w:val="24"/>
          <w:lang w:eastAsia="fr-BE"/>
        </w:rPr>
        <w:t xml:space="preserve">Action 4 of the </w:t>
      </w:r>
      <w:r w:rsidR="00277DC4">
        <w:rPr>
          <w:noProof/>
          <w:szCs w:val="24"/>
          <w:lang w:eastAsia="fr-BE"/>
        </w:rPr>
        <w:t xml:space="preserve">CMU </w:t>
      </w:r>
      <w:r w:rsidRPr="008640C6">
        <w:rPr>
          <w:rStyle w:val="FootnoteReference"/>
          <w:noProof/>
        </w:rPr>
        <w:footnoteReference w:id="4"/>
      </w:r>
      <w:r w:rsidRPr="00D83E40">
        <w:rPr>
          <w:noProof/>
          <w:szCs w:val="24"/>
          <w:lang w:eastAsia="fr-BE"/>
        </w:rPr>
        <w:t xml:space="preserve"> </w:t>
      </w:r>
      <w:r>
        <w:rPr>
          <w:noProof/>
          <w:szCs w:val="24"/>
          <w:lang w:eastAsia="fr-BE"/>
        </w:rPr>
        <w:t>incentivise</w:t>
      </w:r>
      <w:r w:rsidR="00EC3170">
        <w:rPr>
          <w:noProof/>
          <w:szCs w:val="24"/>
          <w:lang w:eastAsia="fr-BE"/>
        </w:rPr>
        <w:t>s</w:t>
      </w:r>
      <w:r w:rsidRPr="007E71C5">
        <w:rPr>
          <w:noProof/>
          <w:szCs w:val="24"/>
          <w:lang w:eastAsia="fr-BE"/>
        </w:rPr>
        <w:t xml:space="preserve"> institutional investors to make more long-term investments and thus support</w:t>
      </w:r>
      <w:r w:rsidR="00EC3170">
        <w:rPr>
          <w:noProof/>
          <w:szCs w:val="24"/>
          <w:lang w:eastAsia="fr-BE"/>
        </w:rPr>
        <w:t>s</w:t>
      </w:r>
      <w:r w:rsidRPr="007E71C5">
        <w:rPr>
          <w:noProof/>
          <w:szCs w:val="24"/>
          <w:lang w:eastAsia="fr-BE"/>
        </w:rPr>
        <w:t xml:space="preserve"> re-equiti</w:t>
      </w:r>
      <w:r>
        <w:rPr>
          <w:noProof/>
          <w:szCs w:val="24"/>
          <w:lang w:eastAsia="fr-BE"/>
        </w:rPr>
        <w:t xml:space="preserve">sation in the corporate sector, </w:t>
      </w:r>
      <w:r w:rsidRPr="007E71C5">
        <w:rPr>
          <w:noProof/>
          <w:szCs w:val="24"/>
          <w:lang w:eastAsia="fr-BE"/>
        </w:rPr>
        <w:t>with a view to fostering the sustainable</w:t>
      </w:r>
      <w:r w:rsidR="00EC3170">
        <w:rPr>
          <w:noProof/>
          <w:szCs w:val="24"/>
          <w:lang w:eastAsia="fr-BE"/>
        </w:rPr>
        <w:t xml:space="preserve"> and digital</w:t>
      </w:r>
      <w:r w:rsidRPr="007E71C5">
        <w:rPr>
          <w:noProof/>
          <w:szCs w:val="24"/>
          <w:lang w:eastAsia="fr-BE"/>
        </w:rPr>
        <w:t xml:space="preserve"> transition</w:t>
      </w:r>
      <w:r w:rsidR="00EC3170">
        <w:rPr>
          <w:noProof/>
          <w:szCs w:val="24"/>
          <w:lang w:eastAsia="fr-BE"/>
        </w:rPr>
        <w:t xml:space="preserve"> of the EU economy</w:t>
      </w:r>
      <w:r>
        <w:rPr>
          <w:noProof/>
          <w:szCs w:val="24"/>
          <w:lang w:eastAsia="fr-BE"/>
        </w:rPr>
        <w:t>. An initiative at EU level to address the debt</w:t>
      </w:r>
      <w:r w:rsidR="00863A23">
        <w:rPr>
          <w:noProof/>
          <w:szCs w:val="24"/>
          <w:lang w:eastAsia="fr-BE"/>
        </w:rPr>
        <w:t>-</w:t>
      </w:r>
      <w:r>
        <w:rPr>
          <w:noProof/>
          <w:szCs w:val="24"/>
          <w:lang w:eastAsia="fr-BE"/>
        </w:rPr>
        <w:t>equity bias complements the aforementioned Action 4</w:t>
      </w:r>
      <w:r w:rsidR="00EC3170">
        <w:rPr>
          <w:noProof/>
          <w:szCs w:val="24"/>
          <w:lang w:eastAsia="fr-BE"/>
        </w:rPr>
        <w:t>, with the aim to</w:t>
      </w:r>
      <w:r w:rsidDel="00BE05AA">
        <w:rPr>
          <w:noProof/>
        </w:rPr>
        <w:t xml:space="preserve"> create an equitable and stable business environment, which can boost</w:t>
      </w:r>
      <w:r w:rsidR="00EC3170">
        <w:rPr>
          <w:noProof/>
        </w:rPr>
        <w:t xml:space="preserve"> a</w:t>
      </w:r>
      <w:r w:rsidDel="00BE05AA">
        <w:rPr>
          <w:noProof/>
        </w:rPr>
        <w:t xml:space="preserve"> sustainable and job-rich growth in the Union</w:t>
      </w:r>
      <w:r>
        <w:rPr>
          <w:noProof/>
        </w:rPr>
        <w:t>.</w:t>
      </w:r>
    </w:p>
    <w:p w14:paraId="05F541A0" w14:textId="77777777" w:rsidR="004B2121" w:rsidRDefault="004C61EC" w:rsidP="004C61EC">
      <w:pPr>
        <w:rPr>
          <w:noProof/>
          <w:color w:val="000000" w:themeColor="text1"/>
          <w:szCs w:val="24"/>
        </w:rPr>
      </w:pPr>
      <w:r w:rsidRPr="005C1FBC">
        <w:rPr>
          <w:noProof/>
          <w:color w:val="000000" w:themeColor="text1"/>
          <w:szCs w:val="24"/>
          <w:lang w:eastAsia="fr-BE"/>
        </w:rPr>
        <w:t>Tax systems in the EU allow for the deduction of interest payments on debt when calculating the tax base for corporate income tax purposes</w:t>
      </w:r>
      <w:r>
        <w:rPr>
          <w:noProof/>
          <w:color w:val="000000" w:themeColor="text1"/>
          <w:szCs w:val="24"/>
          <w:lang w:eastAsia="fr-BE"/>
        </w:rPr>
        <w:t>,</w:t>
      </w:r>
      <w:r w:rsidRPr="005C1FBC">
        <w:rPr>
          <w:noProof/>
          <w:color w:val="000000" w:themeColor="text1"/>
          <w:szCs w:val="24"/>
          <w:lang w:eastAsia="fr-BE"/>
        </w:rPr>
        <w:t xml:space="preserve"> while costs related to equity financing, such as dividends, are mostly non-tax deductible. T</w:t>
      </w:r>
      <w:r w:rsidRPr="005C1FBC">
        <w:rPr>
          <w:noProof/>
          <w:color w:val="000000" w:themeColor="text1"/>
          <w:szCs w:val="24"/>
        </w:rPr>
        <w:t xml:space="preserve">his asymmetry </w:t>
      </w:r>
      <w:r>
        <w:rPr>
          <w:noProof/>
          <w:color w:val="000000" w:themeColor="text1"/>
          <w:szCs w:val="24"/>
        </w:rPr>
        <w:t>in tax treatment is one of the factors favouring the use of</w:t>
      </w:r>
      <w:r w:rsidRPr="005C1FBC">
        <w:rPr>
          <w:noProof/>
          <w:color w:val="000000" w:themeColor="text1"/>
          <w:szCs w:val="24"/>
        </w:rPr>
        <w:t xml:space="preserve"> debt over equity for financing investments</w:t>
      </w:r>
      <w:r>
        <w:rPr>
          <w:noProof/>
          <w:color w:val="000000" w:themeColor="text1"/>
          <w:szCs w:val="24"/>
        </w:rPr>
        <w:t xml:space="preserve">. Currently, </w:t>
      </w:r>
      <w:r w:rsidRPr="005C1FBC">
        <w:rPr>
          <w:noProof/>
          <w:color w:val="000000" w:themeColor="text1"/>
          <w:szCs w:val="24"/>
        </w:rPr>
        <w:t xml:space="preserve">only </w:t>
      </w:r>
      <w:r w:rsidR="00277DC4">
        <w:rPr>
          <w:noProof/>
          <w:color w:val="000000" w:themeColor="text1"/>
          <w:szCs w:val="24"/>
        </w:rPr>
        <w:t>6</w:t>
      </w:r>
      <w:r w:rsidR="00863A23">
        <w:rPr>
          <w:noProof/>
          <w:color w:val="000000" w:themeColor="text1"/>
          <w:szCs w:val="24"/>
        </w:rPr>
        <w:t xml:space="preserve"> </w:t>
      </w:r>
      <w:r w:rsidRPr="005C1FBC">
        <w:rPr>
          <w:noProof/>
          <w:color w:val="000000" w:themeColor="text1"/>
          <w:szCs w:val="24"/>
        </w:rPr>
        <w:t>Member States address the debt</w:t>
      </w:r>
      <w:r w:rsidR="00863A23">
        <w:rPr>
          <w:noProof/>
          <w:color w:val="000000" w:themeColor="text1"/>
          <w:szCs w:val="24"/>
        </w:rPr>
        <w:t>-equity</w:t>
      </w:r>
      <w:r w:rsidRPr="005C1FBC">
        <w:rPr>
          <w:noProof/>
          <w:color w:val="000000" w:themeColor="text1"/>
          <w:szCs w:val="24"/>
        </w:rPr>
        <w:t xml:space="preserve"> bias</w:t>
      </w:r>
      <w:r>
        <w:rPr>
          <w:noProof/>
          <w:color w:val="000000" w:themeColor="text1"/>
          <w:szCs w:val="24"/>
        </w:rPr>
        <w:t xml:space="preserve"> from a tax perspective and the relevant national measures differ significantly</w:t>
      </w:r>
      <w:r w:rsidR="005872CE">
        <w:rPr>
          <w:noProof/>
          <w:color w:val="000000" w:themeColor="text1"/>
          <w:szCs w:val="24"/>
        </w:rPr>
        <w:t xml:space="preserve">. </w:t>
      </w:r>
      <w:r>
        <w:rPr>
          <w:noProof/>
          <w:color w:val="000000" w:themeColor="text1"/>
          <w:szCs w:val="24"/>
        </w:rPr>
        <w:t>Unless the tax</w:t>
      </w:r>
      <w:r w:rsidR="00863A23">
        <w:rPr>
          <w:noProof/>
          <w:color w:val="000000" w:themeColor="text1"/>
          <w:szCs w:val="24"/>
        </w:rPr>
        <w:t>-induced</w:t>
      </w:r>
      <w:r>
        <w:rPr>
          <w:noProof/>
          <w:color w:val="000000" w:themeColor="text1"/>
          <w:szCs w:val="24"/>
        </w:rPr>
        <w:t xml:space="preserve"> debt-equity bias is effectively tackled across the single market, EU business will continue to have </w:t>
      </w:r>
      <w:r w:rsidR="0037542D">
        <w:rPr>
          <w:noProof/>
          <w:color w:val="000000" w:themeColor="text1"/>
          <w:szCs w:val="24"/>
        </w:rPr>
        <w:t>in</w:t>
      </w:r>
      <w:r>
        <w:rPr>
          <w:noProof/>
          <w:color w:val="000000" w:themeColor="text1"/>
          <w:szCs w:val="24"/>
        </w:rPr>
        <w:t xml:space="preserve">sufficient incentives towards equity over debt financing and relevant tax planning considerations will continue distorting distribution of investment and growth. </w:t>
      </w:r>
    </w:p>
    <w:p w14:paraId="05F541A1" w14:textId="77777777" w:rsidR="0067337A" w:rsidRDefault="00863A23" w:rsidP="004C61EC">
      <w:pPr>
        <w:rPr>
          <w:noProof/>
          <w:color w:val="000000" w:themeColor="text1"/>
          <w:szCs w:val="24"/>
        </w:rPr>
      </w:pPr>
      <w:r>
        <w:rPr>
          <w:noProof/>
          <w:color w:val="000000" w:themeColor="text1"/>
          <w:szCs w:val="24"/>
        </w:rPr>
        <w:t xml:space="preserve">With a view to addressing </w:t>
      </w:r>
      <w:r w:rsidR="004C61EC" w:rsidRPr="004E4D32">
        <w:rPr>
          <w:noProof/>
          <w:color w:val="000000" w:themeColor="text1"/>
          <w:szCs w:val="24"/>
        </w:rPr>
        <w:t xml:space="preserve">the </w:t>
      </w:r>
      <w:r w:rsidR="004C61EC">
        <w:rPr>
          <w:noProof/>
          <w:color w:val="000000" w:themeColor="text1"/>
          <w:szCs w:val="24"/>
        </w:rPr>
        <w:t>tax</w:t>
      </w:r>
      <w:r w:rsidR="00EC66D0">
        <w:rPr>
          <w:noProof/>
          <w:color w:val="000000" w:themeColor="text1"/>
          <w:szCs w:val="24"/>
        </w:rPr>
        <w:t>-induced</w:t>
      </w:r>
      <w:r w:rsidR="004C61EC">
        <w:rPr>
          <w:noProof/>
          <w:color w:val="000000" w:themeColor="text1"/>
          <w:szCs w:val="24"/>
        </w:rPr>
        <w:t xml:space="preserve"> </w:t>
      </w:r>
      <w:r w:rsidR="00EC66D0">
        <w:rPr>
          <w:noProof/>
          <w:color w:val="000000" w:themeColor="text1"/>
          <w:szCs w:val="24"/>
        </w:rPr>
        <w:t>debt-equity</w:t>
      </w:r>
      <w:r w:rsidR="004C61EC">
        <w:rPr>
          <w:noProof/>
          <w:color w:val="000000" w:themeColor="text1"/>
          <w:szCs w:val="24"/>
        </w:rPr>
        <w:t xml:space="preserve"> </w:t>
      </w:r>
      <w:r w:rsidR="004C61EC" w:rsidRPr="004E4D32">
        <w:rPr>
          <w:noProof/>
          <w:color w:val="000000" w:themeColor="text1"/>
          <w:szCs w:val="24"/>
        </w:rPr>
        <w:t>bias</w:t>
      </w:r>
      <w:r w:rsidR="004C61EC">
        <w:rPr>
          <w:noProof/>
          <w:color w:val="000000" w:themeColor="text1"/>
          <w:szCs w:val="24"/>
        </w:rPr>
        <w:t xml:space="preserve"> across the single market </w:t>
      </w:r>
      <w:r w:rsidR="004C61EC" w:rsidRPr="004E4D32">
        <w:rPr>
          <w:noProof/>
          <w:color w:val="000000" w:themeColor="text1"/>
          <w:szCs w:val="24"/>
        </w:rPr>
        <w:t xml:space="preserve">in a coordinated way, </w:t>
      </w:r>
      <w:r w:rsidR="004C61EC">
        <w:rPr>
          <w:noProof/>
          <w:color w:val="000000" w:themeColor="text1"/>
          <w:szCs w:val="24"/>
        </w:rPr>
        <w:t xml:space="preserve">this directive </w:t>
      </w:r>
      <w:r w:rsidR="004C61EC" w:rsidRPr="004E4D32">
        <w:rPr>
          <w:noProof/>
          <w:color w:val="000000" w:themeColor="text1"/>
          <w:szCs w:val="24"/>
        </w:rPr>
        <w:t>lays down rules to provide, under certain conditions, for the deductibility for tax</w:t>
      </w:r>
      <w:r w:rsidR="004C61EC">
        <w:rPr>
          <w:noProof/>
          <w:color w:val="000000" w:themeColor="text1"/>
          <w:szCs w:val="24"/>
        </w:rPr>
        <w:t xml:space="preserve"> purposes of notional interest </w:t>
      </w:r>
      <w:r w:rsidR="004C61EC" w:rsidRPr="004E4D32">
        <w:rPr>
          <w:noProof/>
          <w:color w:val="000000" w:themeColor="text1"/>
          <w:szCs w:val="24"/>
        </w:rPr>
        <w:t>on increases in equity and to limit the tax deductibility of exceeding borrowing costs</w:t>
      </w:r>
      <w:r w:rsidR="004C61EC">
        <w:rPr>
          <w:noProof/>
          <w:color w:val="000000" w:themeColor="text1"/>
          <w:szCs w:val="24"/>
        </w:rPr>
        <w:t xml:space="preserve">. </w:t>
      </w:r>
      <w:r w:rsidR="0067337A">
        <w:rPr>
          <w:noProof/>
          <w:color w:val="000000" w:themeColor="text1"/>
          <w:szCs w:val="24"/>
        </w:rPr>
        <w:t xml:space="preserve">It </w:t>
      </w:r>
      <w:r w:rsidR="0067337A" w:rsidRPr="0067337A">
        <w:rPr>
          <w:noProof/>
          <w:color w:val="000000" w:themeColor="text1"/>
          <w:szCs w:val="24"/>
        </w:rPr>
        <w:t>applies to all taxpayers that are subject to corporate tax in one or more Member State, except for financial undertakings.</w:t>
      </w:r>
      <w:r w:rsidR="0067337A">
        <w:rPr>
          <w:noProof/>
          <w:color w:val="000000" w:themeColor="text1"/>
          <w:szCs w:val="24"/>
        </w:rPr>
        <w:t xml:space="preserve"> </w:t>
      </w:r>
      <w:r w:rsidR="004C61EC" w:rsidRPr="0095614C">
        <w:rPr>
          <w:noProof/>
          <w:color w:val="000000" w:themeColor="text1"/>
          <w:szCs w:val="24"/>
        </w:rPr>
        <w:t xml:space="preserve">Since </w:t>
      </w:r>
      <w:r w:rsidR="00277DC4">
        <w:rPr>
          <w:noProof/>
          <w:color w:val="000000" w:themeColor="text1"/>
          <w:szCs w:val="24"/>
        </w:rPr>
        <w:t>small and medium enterprises (</w:t>
      </w:r>
      <w:r w:rsidR="004C61EC">
        <w:rPr>
          <w:noProof/>
          <w:color w:val="000000" w:themeColor="text1"/>
          <w:szCs w:val="24"/>
        </w:rPr>
        <w:t>SMEs</w:t>
      </w:r>
      <w:r w:rsidR="00277DC4">
        <w:rPr>
          <w:noProof/>
          <w:color w:val="000000" w:themeColor="text1"/>
          <w:szCs w:val="24"/>
        </w:rPr>
        <w:t>)</w:t>
      </w:r>
      <w:r w:rsidR="004C61EC">
        <w:rPr>
          <w:noProof/>
          <w:color w:val="000000" w:themeColor="text1"/>
          <w:szCs w:val="24"/>
        </w:rPr>
        <w:t xml:space="preserve"> usually face</w:t>
      </w:r>
      <w:r w:rsidR="004C61EC" w:rsidRPr="0095614C">
        <w:rPr>
          <w:noProof/>
          <w:color w:val="000000" w:themeColor="text1"/>
          <w:szCs w:val="24"/>
        </w:rPr>
        <w:t xml:space="preserve"> </w:t>
      </w:r>
      <w:r w:rsidR="004C61EC">
        <w:rPr>
          <w:noProof/>
          <w:color w:val="000000" w:themeColor="text1"/>
          <w:szCs w:val="24"/>
          <w:lang w:val="en-IE"/>
        </w:rPr>
        <w:t xml:space="preserve">a </w:t>
      </w:r>
      <w:r w:rsidR="004C61EC">
        <w:rPr>
          <w:noProof/>
          <w:color w:val="000000" w:themeColor="text1"/>
          <w:szCs w:val="24"/>
        </w:rPr>
        <w:t>higher burden to obtain financing</w:t>
      </w:r>
      <w:r w:rsidR="004C61EC" w:rsidRPr="0095614C">
        <w:rPr>
          <w:noProof/>
          <w:color w:val="000000" w:themeColor="text1"/>
          <w:szCs w:val="24"/>
        </w:rPr>
        <w:t xml:space="preserve">, </w:t>
      </w:r>
      <w:r w:rsidR="00EC66D0">
        <w:rPr>
          <w:noProof/>
          <w:color w:val="000000" w:themeColor="text1"/>
          <w:szCs w:val="24"/>
        </w:rPr>
        <w:t xml:space="preserve">it is proposed to grant </w:t>
      </w:r>
      <w:r w:rsidR="004C61EC">
        <w:rPr>
          <w:noProof/>
          <w:color w:val="000000" w:themeColor="text1"/>
          <w:szCs w:val="24"/>
        </w:rPr>
        <w:t xml:space="preserve">a higher notional interest rate </w:t>
      </w:r>
      <w:r w:rsidR="00EC66D0">
        <w:rPr>
          <w:noProof/>
          <w:color w:val="000000" w:themeColor="text1"/>
          <w:szCs w:val="24"/>
        </w:rPr>
        <w:t xml:space="preserve">to </w:t>
      </w:r>
      <w:r w:rsidR="004C61EC">
        <w:rPr>
          <w:noProof/>
          <w:color w:val="000000" w:themeColor="text1"/>
          <w:szCs w:val="24"/>
        </w:rPr>
        <w:t>SMEs</w:t>
      </w:r>
      <w:r w:rsidR="004C61EC" w:rsidRPr="0095614C">
        <w:rPr>
          <w:noProof/>
          <w:color w:val="000000" w:themeColor="text1"/>
          <w:szCs w:val="24"/>
        </w:rPr>
        <w:t xml:space="preserve">. </w:t>
      </w:r>
    </w:p>
    <w:p w14:paraId="05F541A2" w14:textId="77777777" w:rsidR="001A05B3" w:rsidRPr="001A05B3" w:rsidRDefault="004C61EC" w:rsidP="004C61EC">
      <w:pPr>
        <w:rPr>
          <w:noProof/>
          <w:color w:val="000000" w:themeColor="text1"/>
          <w:szCs w:val="24"/>
        </w:rPr>
      </w:pPr>
      <w:r>
        <w:rPr>
          <w:noProof/>
          <w:color w:val="000000" w:themeColor="text1"/>
          <w:szCs w:val="24"/>
        </w:rPr>
        <w:t>This</w:t>
      </w:r>
      <w:r w:rsidRPr="004E4D32">
        <w:rPr>
          <w:noProof/>
          <w:szCs w:val="24"/>
          <w:lang w:val="en-IE"/>
        </w:rPr>
        <w:t xml:space="preserve"> </w:t>
      </w:r>
      <w:r>
        <w:rPr>
          <w:noProof/>
          <w:szCs w:val="24"/>
          <w:lang w:val="en-IE"/>
        </w:rPr>
        <w:t>proposal also</w:t>
      </w:r>
      <w:r w:rsidRPr="004E4D32">
        <w:rPr>
          <w:noProof/>
          <w:szCs w:val="24"/>
          <w:lang w:val="en-IE"/>
        </w:rPr>
        <w:t xml:space="preserve"> replies to the European Parliament</w:t>
      </w:r>
      <w:r w:rsidR="00455EEB">
        <w:rPr>
          <w:noProof/>
          <w:szCs w:val="24"/>
          <w:lang w:val="en-IE"/>
        </w:rPr>
        <w:t>’s expectation that</w:t>
      </w:r>
      <w:r w:rsidRPr="004E4D32">
        <w:rPr>
          <w:noProof/>
          <w:szCs w:val="24"/>
          <w:lang w:val="en-IE"/>
        </w:rPr>
        <w:t xml:space="preserve"> the Commission</w:t>
      </w:r>
      <w:r w:rsidR="00455EEB">
        <w:rPr>
          <w:noProof/>
          <w:szCs w:val="24"/>
          <w:lang w:val="en-IE"/>
        </w:rPr>
        <w:t xml:space="preserve"> would</w:t>
      </w:r>
      <w:r w:rsidRPr="004E4D32">
        <w:rPr>
          <w:noProof/>
          <w:szCs w:val="24"/>
          <w:lang w:val="en-IE"/>
        </w:rPr>
        <w:t xml:space="preserve"> put forth a proposal for a debt-equity bias reduction allowance, </w:t>
      </w:r>
      <w:r>
        <w:rPr>
          <w:noProof/>
          <w:szCs w:val="24"/>
          <w:lang w:val="en-IE"/>
        </w:rPr>
        <w:t>including</w:t>
      </w:r>
      <w:r w:rsidRPr="004E4D32">
        <w:rPr>
          <w:noProof/>
          <w:szCs w:val="24"/>
          <w:lang w:val="en-IE"/>
        </w:rPr>
        <w:t xml:space="preserve"> effective anti-avoidance provisions to avoid any allowance on equity being used as a new tool for base erosion</w:t>
      </w:r>
      <w:r w:rsidRPr="008640C6">
        <w:rPr>
          <w:rStyle w:val="FootnoteReference"/>
          <w:noProof/>
        </w:rPr>
        <w:footnoteReference w:id="5"/>
      </w:r>
      <w:r w:rsidRPr="004E4D32">
        <w:rPr>
          <w:noProof/>
          <w:szCs w:val="24"/>
          <w:lang w:val="en-IE"/>
        </w:rPr>
        <w:t>.</w:t>
      </w:r>
    </w:p>
    <w:p w14:paraId="05F541A3" w14:textId="77777777" w:rsidR="001A05B3" w:rsidRPr="001A05B3" w:rsidRDefault="001A05B3" w:rsidP="001A05B3">
      <w:pPr>
        <w:pStyle w:val="ManualHeading2"/>
        <w:rPr>
          <w:noProof/>
        </w:rPr>
      </w:pPr>
      <w:r w:rsidRPr="001A05B3">
        <w:rPr>
          <w:noProof/>
          <w:color w:val="000000"/>
          <w:u w:color="000000"/>
          <w:bdr w:val="nil"/>
          <w:lang w:eastAsia="en-GB"/>
        </w:rPr>
        <w:t>•</w:t>
      </w:r>
      <w:r w:rsidRPr="001A05B3">
        <w:rPr>
          <w:noProof/>
          <w:color w:val="000000"/>
          <w:u w:color="000000"/>
          <w:bdr w:val="nil"/>
          <w:lang w:eastAsia="en-GB"/>
        </w:rPr>
        <w:tab/>
      </w:r>
      <w:r w:rsidRPr="001A05B3">
        <w:rPr>
          <w:noProof/>
        </w:rPr>
        <w:t xml:space="preserve">Consistency with existing </w:t>
      </w:r>
      <w:r w:rsidR="00BC071A">
        <w:rPr>
          <w:noProof/>
        </w:rPr>
        <w:t xml:space="preserve">and possible future </w:t>
      </w:r>
      <w:r w:rsidRPr="001A05B3">
        <w:rPr>
          <w:noProof/>
        </w:rPr>
        <w:t>provisions in the policy area</w:t>
      </w:r>
    </w:p>
    <w:p w14:paraId="05F541A4" w14:textId="77777777" w:rsidR="00D4227A" w:rsidRDefault="00D4227A" w:rsidP="00D4227A">
      <w:pPr>
        <w:rPr>
          <w:rFonts w:eastAsia="Times New Roman"/>
          <w:noProof/>
          <w:szCs w:val="20"/>
        </w:rPr>
      </w:pPr>
      <w:r w:rsidRPr="00986ECF">
        <w:rPr>
          <w:rFonts w:eastAsia="Times New Roman"/>
          <w:noProof/>
          <w:szCs w:val="20"/>
        </w:rPr>
        <w:t xml:space="preserve">This Directive is part of the EU strategy on </w:t>
      </w:r>
      <w:r w:rsidR="00EC66D0">
        <w:rPr>
          <w:rFonts w:eastAsia="Times New Roman"/>
          <w:noProof/>
          <w:szCs w:val="20"/>
        </w:rPr>
        <w:t xml:space="preserve">business </w:t>
      </w:r>
      <w:r w:rsidRPr="00986ECF">
        <w:rPr>
          <w:rFonts w:eastAsia="Times New Roman"/>
          <w:noProof/>
          <w:szCs w:val="20"/>
        </w:rPr>
        <w:t>taxation</w:t>
      </w:r>
      <w:r w:rsidR="00EC66D0">
        <w:rPr>
          <w:rFonts w:eastAsia="Times New Roman"/>
          <w:noProof/>
          <w:szCs w:val="20"/>
        </w:rPr>
        <w:t>,</w:t>
      </w:r>
      <w:r w:rsidRPr="00986ECF">
        <w:rPr>
          <w:rFonts w:eastAsia="Times New Roman"/>
          <w:noProof/>
          <w:szCs w:val="20"/>
        </w:rPr>
        <w:t xml:space="preserve"> </w:t>
      </w:r>
      <w:r>
        <w:rPr>
          <w:rFonts w:eastAsia="Times New Roman"/>
          <w:noProof/>
          <w:szCs w:val="20"/>
        </w:rPr>
        <w:t>which aims to</w:t>
      </w:r>
      <w:r w:rsidRPr="00986ECF">
        <w:rPr>
          <w:rFonts w:eastAsia="Times New Roman"/>
          <w:noProof/>
          <w:szCs w:val="20"/>
        </w:rPr>
        <w:t xml:space="preserve"> ensur</w:t>
      </w:r>
      <w:r>
        <w:rPr>
          <w:rFonts w:eastAsia="Times New Roman"/>
          <w:noProof/>
          <w:szCs w:val="20"/>
        </w:rPr>
        <w:t>e</w:t>
      </w:r>
      <w:r w:rsidRPr="00986ECF">
        <w:rPr>
          <w:rFonts w:eastAsia="Times New Roman"/>
          <w:noProof/>
          <w:szCs w:val="20"/>
        </w:rPr>
        <w:t xml:space="preserve"> </w:t>
      </w:r>
      <w:r>
        <w:rPr>
          <w:rFonts w:eastAsia="Times New Roman"/>
          <w:noProof/>
          <w:szCs w:val="20"/>
        </w:rPr>
        <w:t xml:space="preserve">a fair and efficient tax system across the EU. </w:t>
      </w:r>
    </w:p>
    <w:p w14:paraId="05F541A5" w14:textId="77777777" w:rsidR="00D4227A" w:rsidRDefault="00D4227A" w:rsidP="00D4227A">
      <w:pPr>
        <w:rPr>
          <w:rFonts w:eastAsia="Times New Roman"/>
          <w:noProof/>
          <w:szCs w:val="20"/>
        </w:rPr>
      </w:pPr>
      <w:r>
        <w:rPr>
          <w:rFonts w:eastAsia="Times New Roman"/>
          <w:noProof/>
          <w:szCs w:val="20"/>
        </w:rPr>
        <w:t xml:space="preserve">In 2016, </w:t>
      </w:r>
      <w:r w:rsidRPr="00FB54F3">
        <w:rPr>
          <w:rFonts w:eastAsia="Times New Roman"/>
          <w:noProof/>
          <w:szCs w:val="20"/>
        </w:rPr>
        <w:t>the anti-tax avoidance directive (ATAD)</w:t>
      </w:r>
      <w:r w:rsidRPr="008640C6">
        <w:rPr>
          <w:rStyle w:val="FootnoteReference"/>
          <w:noProof/>
        </w:rPr>
        <w:footnoteReference w:id="6"/>
      </w:r>
      <w:r w:rsidRPr="00FB54F3">
        <w:rPr>
          <w:rFonts w:eastAsia="Times New Roman"/>
          <w:noProof/>
          <w:szCs w:val="20"/>
        </w:rPr>
        <w:t xml:space="preserve"> was adopted to ensure </w:t>
      </w:r>
      <w:r>
        <w:rPr>
          <w:rFonts w:eastAsia="Times New Roman"/>
          <w:noProof/>
          <w:szCs w:val="20"/>
        </w:rPr>
        <w:t xml:space="preserve">a fairer tax environment through the </w:t>
      </w:r>
      <w:r w:rsidRPr="00FB54F3">
        <w:rPr>
          <w:rFonts w:eastAsia="Times New Roman"/>
          <w:noProof/>
          <w:szCs w:val="20"/>
        </w:rPr>
        <w:t xml:space="preserve">coordinated implementation in Member States of key measures against tax avoidance </w:t>
      </w:r>
      <w:r>
        <w:rPr>
          <w:rFonts w:eastAsia="Times New Roman"/>
          <w:noProof/>
          <w:szCs w:val="20"/>
        </w:rPr>
        <w:t xml:space="preserve">that mostly </w:t>
      </w:r>
      <w:r w:rsidRPr="00FB54F3">
        <w:rPr>
          <w:rFonts w:eastAsia="Times New Roman"/>
          <w:noProof/>
          <w:szCs w:val="20"/>
        </w:rPr>
        <w:t>stemm</w:t>
      </w:r>
      <w:r>
        <w:rPr>
          <w:rFonts w:eastAsia="Times New Roman"/>
          <w:noProof/>
          <w:szCs w:val="20"/>
        </w:rPr>
        <w:t>ed</w:t>
      </w:r>
      <w:r w:rsidRPr="00FB54F3">
        <w:rPr>
          <w:rFonts w:eastAsia="Times New Roman"/>
          <w:noProof/>
          <w:szCs w:val="20"/>
        </w:rPr>
        <w:t xml:space="preserve"> from the international Base Erosion and Profit Shifting </w:t>
      </w:r>
      <w:r w:rsidR="00EC66D0">
        <w:rPr>
          <w:rFonts w:eastAsia="Times New Roman"/>
          <w:noProof/>
          <w:szCs w:val="20"/>
        </w:rPr>
        <w:t>(BEPS) p</w:t>
      </w:r>
      <w:r w:rsidRPr="00FB54F3">
        <w:rPr>
          <w:rFonts w:eastAsia="Times New Roman"/>
          <w:noProof/>
          <w:szCs w:val="20"/>
        </w:rPr>
        <w:t>roject actions.</w:t>
      </w:r>
      <w:r>
        <w:rPr>
          <w:rFonts w:eastAsia="Times New Roman"/>
          <w:noProof/>
          <w:szCs w:val="20"/>
        </w:rPr>
        <w:t xml:space="preserve"> While the fight against tax avoidance</w:t>
      </w:r>
      <w:r w:rsidRPr="00902C12">
        <w:rPr>
          <w:rFonts w:eastAsia="Times New Roman"/>
          <w:noProof/>
          <w:szCs w:val="20"/>
        </w:rPr>
        <w:t xml:space="preserve"> </w:t>
      </w:r>
      <w:r>
        <w:rPr>
          <w:rFonts w:eastAsia="Times New Roman"/>
          <w:noProof/>
          <w:szCs w:val="20"/>
        </w:rPr>
        <w:t>is not its predominant purpose, th</w:t>
      </w:r>
      <w:r w:rsidR="00EC66D0">
        <w:rPr>
          <w:rFonts w:eastAsia="Times New Roman"/>
          <w:noProof/>
          <w:szCs w:val="20"/>
        </w:rPr>
        <w:t>is proposal</w:t>
      </w:r>
      <w:r>
        <w:rPr>
          <w:rFonts w:eastAsia="Times New Roman"/>
          <w:noProof/>
          <w:szCs w:val="20"/>
        </w:rPr>
        <w:t xml:space="preserve"> also includes an interest limitation rule. In light of the different objectives between th</w:t>
      </w:r>
      <w:r w:rsidR="00EC66D0">
        <w:rPr>
          <w:rFonts w:eastAsia="Times New Roman"/>
          <w:noProof/>
          <w:szCs w:val="20"/>
        </w:rPr>
        <w:t>is proposal</w:t>
      </w:r>
      <w:r>
        <w:rPr>
          <w:rFonts w:eastAsia="Times New Roman"/>
          <w:noProof/>
          <w:szCs w:val="20"/>
        </w:rPr>
        <w:t xml:space="preserve"> and the ATAD rule</w:t>
      </w:r>
      <w:r w:rsidR="00BC071A">
        <w:rPr>
          <w:rFonts w:eastAsia="Times New Roman"/>
          <w:noProof/>
          <w:szCs w:val="20"/>
        </w:rPr>
        <w:t xml:space="preserve"> on interest limitation</w:t>
      </w:r>
      <w:r>
        <w:rPr>
          <w:rFonts w:eastAsia="Times New Roman"/>
          <w:noProof/>
          <w:szCs w:val="20"/>
        </w:rPr>
        <w:t>, the</w:t>
      </w:r>
      <w:r w:rsidR="00BC071A">
        <w:rPr>
          <w:rFonts w:eastAsia="Times New Roman"/>
          <w:noProof/>
          <w:szCs w:val="20"/>
        </w:rPr>
        <w:t xml:space="preserve"> two </w:t>
      </w:r>
      <w:r>
        <w:rPr>
          <w:rFonts w:eastAsia="Times New Roman"/>
          <w:noProof/>
          <w:szCs w:val="20"/>
        </w:rPr>
        <w:t>rules</w:t>
      </w:r>
      <w:r w:rsidR="00BC071A">
        <w:rPr>
          <w:rFonts w:eastAsia="Times New Roman"/>
          <w:noProof/>
          <w:szCs w:val="20"/>
        </w:rPr>
        <w:t xml:space="preserve"> </w:t>
      </w:r>
      <w:r>
        <w:rPr>
          <w:rFonts w:eastAsia="Times New Roman"/>
          <w:noProof/>
          <w:szCs w:val="20"/>
        </w:rPr>
        <w:t xml:space="preserve">on limiting the deductibility of interest should apply in parallel. </w:t>
      </w:r>
    </w:p>
    <w:p w14:paraId="05F541A6" w14:textId="77777777" w:rsidR="001A05B3" w:rsidRPr="001A05B3" w:rsidRDefault="00D4227A" w:rsidP="00CF5F76">
      <w:pPr>
        <w:rPr>
          <w:noProof/>
        </w:rPr>
      </w:pPr>
      <w:r w:rsidRPr="006A14EF">
        <w:rPr>
          <w:noProof/>
        </w:rPr>
        <w:t>Existing tax instruments at EU level do not contain, however</w:t>
      </w:r>
      <w:r>
        <w:rPr>
          <w:noProof/>
        </w:rPr>
        <w:t xml:space="preserve">, measures to address the debt-equity bias in the single market by </w:t>
      </w:r>
      <w:r w:rsidRPr="00960F22">
        <w:rPr>
          <w:noProof/>
        </w:rPr>
        <w:t>balancing the tax treatment of debt and equity across the EU.</w:t>
      </w:r>
      <w:r w:rsidR="001A05B3" w:rsidRPr="001A05B3">
        <w:rPr>
          <w:noProof/>
          <w:color w:val="000000"/>
          <w:u w:color="000000"/>
          <w:bdr w:val="nil"/>
          <w:lang w:eastAsia="en-GB"/>
        </w:rPr>
        <w:tab/>
      </w:r>
    </w:p>
    <w:p w14:paraId="05F541A7" w14:textId="77777777" w:rsidR="00DA0823" w:rsidRDefault="00DA0823" w:rsidP="00DA0823">
      <w:pPr>
        <w:spacing w:before="0" w:after="240"/>
        <w:rPr>
          <w:noProof/>
        </w:rPr>
      </w:pPr>
      <w:r>
        <w:rPr>
          <w:noProof/>
        </w:rPr>
        <w:t xml:space="preserve">This Directive follows up to the Commission’s Communication on Business Taxation for the 21st century for a robust, efficient and fair business tax system in the EU and reflects one of the policy initiatives envisaged in such Communication. As such, it complements a number of other policy initiatives promoted by the Commission in parallel, in the short- and long-term. </w:t>
      </w:r>
    </w:p>
    <w:p w14:paraId="05F541A8" w14:textId="77777777" w:rsidR="00DA0823" w:rsidRDefault="00DA0823" w:rsidP="005872CE">
      <w:pPr>
        <w:rPr>
          <w:noProof/>
        </w:rPr>
      </w:pPr>
      <w:r>
        <w:rPr>
          <w:noProof/>
        </w:rPr>
        <w:t xml:space="preserve">The aforementioned policy initiatives include a proposal for </w:t>
      </w:r>
      <w:r w:rsidRPr="007A42D7">
        <w:rPr>
          <w:noProof/>
        </w:rPr>
        <w:t xml:space="preserve">Business in Europe: </w:t>
      </w:r>
      <w:r>
        <w:rPr>
          <w:noProof/>
        </w:rPr>
        <w:t xml:space="preserve">Framework for Income Taxation (BEFIT), as </w:t>
      </w:r>
      <w:r w:rsidRPr="007A42D7">
        <w:rPr>
          <w:noProof/>
        </w:rPr>
        <w:t>a single corporate tax rulebook for the EU, based on the key feat</w:t>
      </w:r>
      <w:r>
        <w:rPr>
          <w:noProof/>
        </w:rPr>
        <w:t>ures of having a common tax base and</w:t>
      </w:r>
      <w:r w:rsidRPr="007A42D7">
        <w:rPr>
          <w:noProof/>
        </w:rPr>
        <w:t xml:space="preserve"> </w:t>
      </w:r>
      <w:r>
        <w:rPr>
          <w:noProof/>
        </w:rPr>
        <w:t>allocating</w:t>
      </w:r>
      <w:r w:rsidRPr="007A42D7">
        <w:rPr>
          <w:noProof/>
        </w:rPr>
        <w:t xml:space="preserve"> profits between Member States </w:t>
      </w:r>
      <w:r>
        <w:rPr>
          <w:noProof/>
        </w:rPr>
        <w:t>through methods that include</w:t>
      </w:r>
      <w:r w:rsidRPr="007A42D7">
        <w:rPr>
          <w:noProof/>
        </w:rPr>
        <w:t xml:space="preserve"> a form</w:t>
      </w:r>
      <w:r>
        <w:rPr>
          <w:noProof/>
        </w:rPr>
        <w:t xml:space="preserve">ula (formulary apportionment). </w:t>
      </w:r>
      <w:r w:rsidR="00850D74">
        <w:rPr>
          <w:noProof/>
        </w:rPr>
        <w:t>While the BEFIT proposal is still in an early stage of development, the two initiatives contribute to the same vision of a fair, effective and sustainable business environment in the EU.</w:t>
      </w:r>
    </w:p>
    <w:p w14:paraId="05F541A9" w14:textId="77777777" w:rsidR="00A91230" w:rsidRPr="001A05B3" w:rsidRDefault="00CF5F76" w:rsidP="00CF5F76">
      <w:pPr>
        <w:pStyle w:val="ManualHeading2"/>
        <w:rPr>
          <w:noProof/>
        </w:rPr>
      </w:pPr>
      <w:r w:rsidRPr="001A05B3">
        <w:rPr>
          <w:noProof/>
          <w:color w:val="000000"/>
          <w:u w:color="000000"/>
          <w:bdr w:val="nil"/>
          <w:lang w:eastAsia="en-GB"/>
        </w:rPr>
        <w:t>•</w:t>
      </w:r>
      <w:r w:rsidRPr="001A05B3">
        <w:rPr>
          <w:noProof/>
          <w:color w:val="000000"/>
          <w:u w:color="000000"/>
          <w:bdr w:val="nil"/>
          <w:lang w:eastAsia="en-GB"/>
        </w:rPr>
        <w:tab/>
      </w:r>
      <w:r w:rsidR="00A91230" w:rsidRPr="001A05B3">
        <w:rPr>
          <w:noProof/>
        </w:rPr>
        <w:t>Consis</w:t>
      </w:r>
      <w:r>
        <w:rPr>
          <w:noProof/>
        </w:rPr>
        <w:t>tency with other Union policies</w:t>
      </w:r>
    </w:p>
    <w:p w14:paraId="05F541AA" w14:textId="77777777" w:rsidR="001A05B3" w:rsidRPr="001A05B3" w:rsidRDefault="00850D74" w:rsidP="00DA0823">
      <w:pPr>
        <w:spacing w:before="0" w:after="240"/>
        <w:rPr>
          <w:rFonts w:eastAsia="Times New Roman"/>
          <w:noProof/>
          <w:szCs w:val="20"/>
        </w:rPr>
      </w:pPr>
      <w:r>
        <w:rPr>
          <w:noProof/>
        </w:rPr>
        <w:t>T</w:t>
      </w:r>
      <w:r w:rsidR="00BC071A">
        <w:rPr>
          <w:noProof/>
        </w:rPr>
        <w:t>his</w:t>
      </w:r>
      <w:r w:rsidR="00DA0823">
        <w:rPr>
          <w:noProof/>
        </w:rPr>
        <w:t xml:space="preserve"> </w:t>
      </w:r>
      <w:r w:rsidR="00BC071A">
        <w:rPr>
          <w:noProof/>
        </w:rPr>
        <w:t>p</w:t>
      </w:r>
      <w:r w:rsidR="00DA0823">
        <w:rPr>
          <w:noProof/>
        </w:rPr>
        <w:t>roposal</w:t>
      </w:r>
      <w:r w:rsidR="00DA0823" w:rsidRPr="00A74071">
        <w:rPr>
          <w:noProof/>
        </w:rPr>
        <w:t xml:space="preserve"> </w:t>
      </w:r>
      <w:r w:rsidR="00DA0823">
        <w:rPr>
          <w:noProof/>
        </w:rPr>
        <w:t>contributes to</w:t>
      </w:r>
      <w:r w:rsidR="00DA0823" w:rsidRPr="00A74071">
        <w:rPr>
          <w:noProof/>
        </w:rPr>
        <w:t xml:space="preserve"> the Capital Markets Union</w:t>
      </w:r>
      <w:r w:rsidR="00DA0823">
        <w:rPr>
          <w:noProof/>
        </w:rPr>
        <w:t>. In particular, k</w:t>
      </w:r>
      <w:r w:rsidR="00DA0823" w:rsidRPr="00B34AD2">
        <w:rPr>
          <w:noProof/>
        </w:rPr>
        <w:t>ey objective</w:t>
      </w:r>
      <w:r w:rsidR="00DA0823">
        <w:rPr>
          <w:noProof/>
        </w:rPr>
        <w:t>s</w:t>
      </w:r>
      <w:r w:rsidR="00DA0823" w:rsidRPr="00B34AD2">
        <w:rPr>
          <w:noProof/>
        </w:rPr>
        <w:t xml:space="preserve"> of the CMU </w:t>
      </w:r>
      <w:r w:rsidR="00DA0823">
        <w:rPr>
          <w:noProof/>
        </w:rPr>
        <w:t xml:space="preserve">are to render financing more accessible to EU business and to promote the </w:t>
      </w:r>
      <w:r w:rsidR="00DA0823" w:rsidRPr="00B34AD2">
        <w:rPr>
          <w:noProof/>
        </w:rPr>
        <w:t>integration of national capital marke</w:t>
      </w:r>
      <w:r w:rsidR="00DA0823">
        <w:rPr>
          <w:noProof/>
        </w:rPr>
        <w:t>ts into a genuine single market</w:t>
      </w:r>
      <w:r w:rsidR="00DA0823" w:rsidRPr="00B34AD2">
        <w:rPr>
          <w:noProof/>
        </w:rPr>
        <w:t>. By removing the tax</w:t>
      </w:r>
      <w:r w:rsidR="00BC071A">
        <w:rPr>
          <w:noProof/>
        </w:rPr>
        <w:t>-induced</w:t>
      </w:r>
      <w:r w:rsidR="00DA0823" w:rsidRPr="00B34AD2">
        <w:rPr>
          <w:noProof/>
        </w:rPr>
        <w:t xml:space="preserve"> debt</w:t>
      </w:r>
      <w:r w:rsidR="00BC071A">
        <w:rPr>
          <w:noProof/>
        </w:rPr>
        <w:t>-equity</w:t>
      </w:r>
      <w:r w:rsidR="00DA0823" w:rsidRPr="00B34AD2">
        <w:rPr>
          <w:noProof/>
        </w:rPr>
        <w:t xml:space="preserve"> bias, </w:t>
      </w:r>
      <w:r w:rsidR="00DA0823">
        <w:rPr>
          <w:noProof/>
        </w:rPr>
        <w:t>th</w:t>
      </w:r>
      <w:r w:rsidR="00BC071A">
        <w:rPr>
          <w:noProof/>
        </w:rPr>
        <w:t>is p</w:t>
      </w:r>
      <w:r w:rsidR="00DA0823">
        <w:rPr>
          <w:noProof/>
        </w:rPr>
        <w:t xml:space="preserve">roposal is aimed at </w:t>
      </w:r>
      <w:r w:rsidR="0037542D">
        <w:rPr>
          <w:noProof/>
        </w:rPr>
        <w:t>avoiding over-reliance on debt and</w:t>
      </w:r>
      <w:r w:rsidR="00DA0823">
        <w:rPr>
          <w:noProof/>
        </w:rPr>
        <w:t xml:space="preserve"> encouraging the</w:t>
      </w:r>
      <w:r w:rsidR="00DA0823" w:rsidRPr="00B34AD2">
        <w:rPr>
          <w:noProof/>
        </w:rPr>
        <w:t xml:space="preserve"> re-equi</w:t>
      </w:r>
      <w:r w:rsidR="00DA0823">
        <w:rPr>
          <w:noProof/>
        </w:rPr>
        <w:t>tisation of businesses</w:t>
      </w:r>
      <w:r w:rsidR="0037542D">
        <w:rPr>
          <w:noProof/>
        </w:rPr>
        <w:t>. As a result, companies will be in a better position to invest for the future, which will support growth and innovation and support the competitiveness of the EU economy. This will also</w:t>
      </w:r>
      <w:r w:rsidR="00DA0823">
        <w:rPr>
          <w:noProof/>
        </w:rPr>
        <w:t xml:space="preserve"> increas</w:t>
      </w:r>
      <w:r w:rsidR="0037542D">
        <w:rPr>
          <w:noProof/>
        </w:rPr>
        <w:t>e</w:t>
      </w:r>
      <w:r w:rsidR="00DA0823">
        <w:rPr>
          <w:noProof/>
        </w:rPr>
        <w:t xml:space="preserve"> </w:t>
      </w:r>
      <w:r w:rsidR="00DA0823" w:rsidRPr="00B34AD2">
        <w:rPr>
          <w:noProof/>
        </w:rPr>
        <w:t xml:space="preserve">their resilience to unforeseen changes in the business </w:t>
      </w:r>
      <w:r w:rsidR="00DA0823">
        <w:rPr>
          <w:noProof/>
        </w:rPr>
        <w:t>environment and decreas</w:t>
      </w:r>
      <w:r w:rsidR="0037542D">
        <w:rPr>
          <w:noProof/>
        </w:rPr>
        <w:t>e</w:t>
      </w:r>
      <w:r w:rsidR="00DA0823">
        <w:rPr>
          <w:noProof/>
        </w:rPr>
        <w:t xml:space="preserve"> the risk of insolvency, </w:t>
      </w:r>
      <w:r w:rsidR="0037542D">
        <w:rPr>
          <w:noProof/>
        </w:rPr>
        <w:t>thus contributing to enhancing financial stability</w:t>
      </w:r>
      <w:r w:rsidR="00DA0823" w:rsidRPr="00B34AD2">
        <w:rPr>
          <w:noProof/>
        </w:rPr>
        <w:t>.</w:t>
      </w:r>
    </w:p>
    <w:p w14:paraId="05F541AB" w14:textId="77777777" w:rsidR="001A05B3" w:rsidRPr="001A05B3" w:rsidRDefault="001A05B3" w:rsidP="008640C6">
      <w:pPr>
        <w:pStyle w:val="ManualHeading1"/>
        <w:rPr>
          <w:noProof/>
        </w:rPr>
      </w:pPr>
      <w:r w:rsidRPr="001A05B3">
        <w:rPr>
          <w:noProof/>
        </w:rPr>
        <w:t>2.</w:t>
      </w:r>
      <w:r w:rsidRPr="001A05B3">
        <w:rPr>
          <w:noProof/>
        </w:rPr>
        <w:tab/>
        <w:t>LEGAL BASIS, SUBSIDIARITY AND PROPORTIONALITY</w:t>
      </w:r>
    </w:p>
    <w:p w14:paraId="05F541AC" w14:textId="77777777" w:rsidR="001A05B3" w:rsidRPr="001A05B3" w:rsidRDefault="001A05B3" w:rsidP="001A05B3">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Legal basis</w:t>
      </w:r>
    </w:p>
    <w:p w14:paraId="05F541AD" w14:textId="77777777" w:rsidR="001A05B3" w:rsidRPr="001A05B3" w:rsidRDefault="00DA0823" w:rsidP="001A05B3">
      <w:pPr>
        <w:pBdr>
          <w:top w:val="nil"/>
          <w:left w:val="nil"/>
          <w:bottom w:val="nil"/>
          <w:right w:val="nil"/>
          <w:between w:val="nil"/>
          <w:bar w:val="nil"/>
        </w:pBdr>
        <w:spacing w:before="0" w:after="240"/>
        <w:rPr>
          <w:rFonts w:eastAsia="Arial Unicode MS"/>
          <w:noProof/>
        </w:rPr>
      </w:pPr>
      <w:r w:rsidRPr="007A5BE3">
        <w:rPr>
          <w:noProof/>
          <w:lang w:eastAsia="en-GB"/>
        </w:rPr>
        <w:t xml:space="preserve">Direct tax legislation falls within the ambit of Article 115 of the Treaty on the Functioning of the EU (TFEU). The clause stipulates that legal measures of approximation under that article shall </w:t>
      </w:r>
      <w:r>
        <w:rPr>
          <w:noProof/>
          <w:lang w:eastAsia="en-GB"/>
        </w:rPr>
        <w:t>take</w:t>
      </w:r>
      <w:r w:rsidRPr="007A5BE3">
        <w:rPr>
          <w:noProof/>
          <w:lang w:eastAsia="en-GB"/>
        </w:rPr>
        <w:t xml:space="preserve"> the legal form of a Directive.</w:t>
      </w:r>
    </w:p>
    <w:p w14:paraId="05F541AE" w14:textId="77777777" w:rsidR="001A05B3" w:rsidRPr="001A05B3" w:rsidRDefault="001A05B3" w:rsidP="001A05B3">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 xml:space="preserve">Subsidiarity (for non-exclusive competence) </w:t>
      </w:r>
    </w:p>
    <w:p w14:paraId="05F541AF" w14:textId="77777777" w:rsidR="008E219B" w:rsidRDefault="008E219B" w:rsidP="008E219B">
      <w:pPr>
        <w:rPr>
          <w:noProof/>
          <w:lang w:eastAsia="en-GB"/>
        </w:rPr>
      </w:pPr>
      <w:r w:rsidRPr="007A5BE3">
        <w:rPr>
          <w:noProof/>
          <w:lang w:eastAsia="en-GB"/>
        </w:rPr>
        <w:t>This proposal complies with the principle of subsidiarity. The nature of the subject requires a common initiative across the internal market.</w:t>
      </w:r>
    </w:p>
    <w:p w14:paraId="05F541B0" w14:textId="77777777" w:rsidR="008E219B" w:rsidRDefault="008E219B" w:rsidP="008E219B">
      <w:pPr>
        <w:rPr>
          <w:noProof/>
          <w:lang w:eastAsia="en-GB"/>
        </w:rPr>
      </w:pPr>
      <w:r w:rsidRPr="004A50E7">
        <w:rPr>
          <w:noProof/>
          <w:lang w:eastAsia="en-GB"/>
        </w:rPr>
        <w:t xml:space="preserve">The rules of this Directive aim </w:t>
      </w:r>
      <w:r>
        <w:rPr>
          <w:noProof/>
          <w:lang w:eastAsia="en-GB"/>
        </w:rPr>
        <w:t xml:space="preserve">to tackle the debt-equity bias in the EU corporate sector from a tax perspective </w:t>
      </w:r>
      <w:r w:rsidRPr="004A50E7">
        <w:rPr>
          <w:noProof/>
          <w:lang w:eastAsia="en-GB"/>
        </w:rPr>
        <w:t>and provide a common framework to be implemented into Member States' national laws in a coordinated manner. Such aims cannot be achieved in a satisfactory manner through action undertaken by each Member State while acting on its own.</w:t>
      </w:r>
    </w:p>
    <w:p w14:paraId="05F541B1" w14:textId="77777777" w:rsidR="008E219B" w:rsidRDefault="008E219B" w:rsidP="008E219B">
      <w:pPr>
        <w:rPr>
          <w:noProof/>
          <w:lang w:eastAsia="en-GB"/>
        </w:rPr>
      </w:pPr>
      <w:r>
        <w:rPr>
          <w:noProof/>
          <w:lang w:eastAsia="en-GB"/>
        </w:rPr>
        <w:t xml:space="preserve">Tax debt-equity bias arises from the different treatment of debt and equity financing costs for tax purposes and is a problem common to business across EU Member States. Despite this, only </w:t>
      </w:r>
      <w:r w:rsidR="00277DC4">
        <w:rPr>
          <w:noProof/>
          <w:lang w:eastAsia="en-GB"/>
        </w:rPr>
        <w:t xml:space="preserve">6 </w:t>
      </w:r>
      <w:r>
        <w:rPr>
          <w:noProof/>
          <w:lang w:eastAsia="en-GB"/>
        </w:rPr>
        <w:t>Member States have taken tax measures to approximate the tax treatment of debt and equity. Although there is soft law guidance</w:t>
      </w:r>
      <w:r w:rsidR="009E1B64">
        <w:rPr>
          <w:rStyle w:val="FootnoteReference"/>
          <w:noProof/>
          <w:lang w:eastAsia="en-GB"/>
        </w:rPr>
        <w:footnoteReference w:id="7"/>
      </w:r>
      <w:r>
        <w:rPr>
          <w:noProof/>
          <w:lang w:eastAsia="en-GB"/>
        </w:rPr>
        <w:t xml:space="preserve"> for this type of tax incentives</w:t>
      </w:r>
      <w:r w:rsidR="005872CE">
        <w:rPr>
          <w:noProof/>
          <w:lang w:eastAsia="en-GB"/>
        </w:rPr>
        <w:t xml:space="preserve"> </w:t>
      </w:r>
      <w:r w:rsidR="009E1B64">
        <w:rPr>
          <w:noProof/>
          <w:lang w:eastAsia="en-GB"/>
        </w:rPr>
        <w:t>by the Code of Conduct Group</w:t>
      </w:r>
      <w:r w:rsidR="005872CE">
        <w:rPr>
          <w:noProof/>
          <w:lang w:eastAsia="en-GB"/>
        </w:rPr>
        <w:t xml:space="preserve"> (Business Taxation)</w:t>
      </w:r>
      <w:r>
        <w:rPr>
          <w:noProof/>
          <w:lang w:eastAsia="en-GB"/>
        </w:rPr>
        <w:t xml:space="preserve">, the relevant national measures of the </w:t>
      </w:r>
      <w:r w:rsidR="00277DC4">
        <w:rPr>
          <w:noProof/>
          <w:lang w:eastAsia="en-GB"/>
        </w:rPr>
        <w:t xml:space="preserve">6 </w:t>
      </w:r>
      <w:r>
        <w:rPr>
          <w:noProof/>
          <w:lang w:eastAsia="en-GB"/>
        </w:rPr>
        <w:t>Member States differ in terms of design elements and anti-tax avoidance rules, especially given the different circumstances and the different policy goals pursued in each Member State.</w:t>
      </w:r>
    </w:p>
    <w:p w14:paraId="05F541B2" w14:textId="77777777" w:rsidR="008E219B" w:rsidRDefault="008E219B" w:rsidP="008E219B">
      <w:pPr>
        <w:rPr>
          <w:noProof/>
          <w:lang w:eastAsia="en-GB"/>
        </w:rPr>
      </w:pPr>
      <w:r>
        <w:rPr>
          <w:noProof/>
          <w:lang w:eastAsia="en-GB"/>
        </w:rPr>
        <w:t xml:space="preserve">The complete lack of relevant tax debt bias mitigating measures in 21 Member States along with the existence of significantly different measures in another 6 Member States may create distortions to the function of the internal market and can affect the location of investment in a significant manner. </w:t>
      </w:r>
    </w:p>
    <w:p w14:paraId="05F541B3" w14:textId="77777777" w:rsidR="008E219B" w:rsidRDefault="008E219B" w:rsidP="008E219B">
      <w:pPr>
        <w:rPr>
          <w:noProof/>
          <w:lang w:eastAsia="en-GB"/>
        </w:rPr>
      </w:pPr>
      <w:r w:rsidRPr="00461EFE">
        <w:rPr>
          <w:noProof/>
          <w:lang w:eastAsia="en-GB"/>
        </w:rPr>
        <w:t xml:space="preserve">Furthermore, an EU initiative would add value, as compared to what a multitude of actions taken at national level can attain. </w:t>
      </w:r>
      <w:r>
        <w:rPr>
          <w:noProof/>
          <w:lang w:eastAsia="en-GB"/>
        </w:rPr>
        <w:t xml:space="preserve">A single rule for the EU will </w:t>
      </w:r>
      <w:r w:rsidR="0047264A">
        <w:rPr>
          <w:noProof/>
          <w:lang w:eastAsia="en-GB"/>
        </w:rPr>
        <w:t xml:space="preserve">ensure legal certainty and </w:t>
      </w:r>
      <w:r>
        <w:rPr>
          <w:noProof/>
          <w:lang w:eastAsia="en-GB"/>
        </w:rPr>
        <w:t>allow reducing compliance costs</w:t>
      </w:r>
      <w:r w:rsidR="0047264A">
        <w:rPr>
          <w:noProof/>
          <w:lang w:eastAsia="en-GB"/>
        </w:rPr>
        <w:t xml:space="preserve"> for business as </w:t>
      </w:r>
      <w:r>
        <w:rPr>
          <w:noProof/>
          <w:lang w:eastAsia="en-GB"/>
        </w:rPr>
        <w:t>taxpayers will need to comply with a single rule for all their operations in the single market</w:t>
      </w:r>
      <w:r w:rsidR="0047264A">
        <w:rPr>
          <w:noProof/>
          <w:lang w:eastAsia="en-GB"/>
        </w:rPr>
        <w:t>.</w:t>
      </w:r>
      <w:r>
        <w:rPr>
          <w:noProof/>
          <w:lang w:eastAsia="en-GB"/>
        </w:rPr>
        <w:t xml:space="preserve"> An EU-wide rule is also expected to boost competition in the single market by ensuring that all businesses, regardless of where they are located, have similar incentives towards appropriate financing.</w:t>
      </w:r>
    </w:p>
    <w:p w14:paraId="05F541B4" w14:textId="77777777" w:rsidR="001A05B3" w:rsidRPr="001A05B3" w:rsidRDefault="008E219B" w:rsidP="008E219B">
      <w:pPr>
        <w:rPr>
          <w:noProof/>
          <w:lang w:eastAsia="en-GB"/>
        </w:rPr>
      </w:pPr>
      <w:r>
        <w:rPr>
          <w:noProof/>
          <w:lang w:eastAsia="en-GB"/>
        </w:rPr>
        <w:t>An EU-wide initiative in the form of a binding legislative proposal is therefore necessary to address in a coordinated and effective manner a problem that is common across the EU. An EU initiative would prevent potential loopholes between diverging national initiatives and would ensure that location of business and investment are not adversely impacted.</w:t>
      </w:r>
    </w:p>
    <w:p w14:paraId="05F541B5" w14:textId="77777777" w:rsidR="001A05B3" w:rsidRPr="001A05B3" w:rsidRDefault="001A05B3" w:rsidP="001A05B3">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Proportionality</w:t>
      </w:r>
    </w:p>
    <w:p w14:paraId="05F541B6" w14:textId="77777777" w:rsidR="004F261F" w:rsidRDefault="004F261F" w:rsidP="004F261F">
      <w:pPr>
        <w:pBdr>
          <w:top w:val="nil"/>
          <w:left w:val="nil"/>
          <w:bottom w:val="nil"/>
          <w:right w:val="nil"/>
          <w:between w:val="nil"/>
          <w:bar w:val="nil"/>
        </w:pBdr>
        <w:spacing w:before="0" w:after="240"/>
        <w:rPr>
          <w:noProof/>
          <w:lang w:eastAsia="en-GB"/>
        </w:rPr>
      </w:pPr>
      <w:r w:rsidRPr="007A5BE3">
        <w:rPr>
          <w:noProof/>
          <w:lang w:eastAsia="en-GB"/>
        </w:rPr>
        <w:t xml:space="preserve">The envisaged measures do not go beyond ensuring the minimum necessary level of protection for the internal market. </w:t>
      </w:r>
      <w:r w:rsidR="00844CEC">
        <w:rPr>
          <w:noProof/>
          <w:lang w:eastAsia="en-GB"/>
        </w:rPr>
        <w:t>T</w:t>
      </w:r>
      <w:r>
        <w:rPr>
          <w:noProof/>
          <w:lang w:eastAsia="en-GB"/>
        </w:rPr>
        <w:t>he Directive lays down rule</w:t>
      </w:r>
      <w:r w:rsidR="00844CEC">
        <w:rPr>
          <w:noProof/>
          <w:lang w:eastAsia="en-GB"/>
        </w:rPr>
        <w:t>s</w:t>
      </w:r>
      <w:r>
        <w:rPr>
          <w:noProof/>
          <w:lang w:eastAsia="en-GB"/>
        </w:rPr>
        <w:t xml:space="preserve"> to provide, across the EU and for all EU taxpayers, for the deductibility of an allowance on equity financing costs complemented by a rule to limit the deductibility of interest on debt financing instruments. The Directive also ensures the sustainability of the measures for Member States’ budgets by virtue of a general rule that limits the deductibility of financing costs from taxpayers’ taxable base. By setting a common EU-wide framework, the Directive allows legal certainty across the single market and the reduction of compliance costs for taxpayers. </w:t>
      </w:r>
    </w:p>
    <w:p w14:paraId="05F541B7" w14:textId="77777777" w:rsidR="001A05B3" w:rsidRPr="001A05B3" w:rsidRDefault="004F261F" w:rsidP="004F261F">
      <w:pPr>
        <w:pBdr>
          <w:top w:val="nil"/>
          <w:left w:val="nil"/>
          <w:bottom w:val="nil"/>
          <w:right w:val="nil"/>
          <w:between w:val="nil"/>
          <w:bar w:val="nil"/>
        </w:pBdr>
        <w:spacing w:before="0" w:after="240"/>
        <w:rPr>
          <w:rFonts w:eastAsia="Arial Unicode MS"/>
          <w:noProof/>
        </w:rPr>
      </w:pPr>
      <w:r w:rsidRPr="007A5BE3">
        <w:rPr>
          <w:noProof/>
          <w:lang w:eastAsia="en-GB"/>
        </w:rPr>
        <w:t xml:space="preserve">Thus, the Directive ensures </w:t>
      </w:r>
      <w:r>
        <w:rPr>
          <w:noProof/>
          <w:lang w:eastAsia="en-GB"/>
        </w:rPr>
        <w:t xml:space="preserve">only </w:t>
      </w:r>
      <w:r w:rsidRPr="007A5BE3">
        <w:rPr>
          <w:noProof/>
          <w:lang w:eastAsia="en-GB"/>
        </w:rPr>
        <w:t>the essential degree of coordination within the Union for the purpose of materializing its aims. In this light, the proposal does not go beyond what is necessary to achieve its objectives and is therefore compliant with the principle of proportionality.</w:t>
      </w:r>
    </w:p>
    <w:p w14:paraId="05F541B8" w14:textId="77777777" w:rsidR="001A05B3" w:rsidRPr="001A05B3" w:rsidRDefault="001A05B3" w:rsidP="001A05B3">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Choice of the instrument</w:t>
      </w:r>
    </w:p>
    <w:p w14:paraId="05F541B9" w14:textId="77777777" w:rsidR="001A05B3" w:rsidRPr="001A05B3" w:rsidRDefault="001A05B3" w:rsidP="001A05B3">
      <w:pPr>
        <w:pBdr>
          <w:top w:val="nil"/>
          <w:left w:val="nil"/>
          <w:bottom w:val="nil"/>
          <w:right w:val="nil"/>
          <w:between w:val="nil"/>
          <w:bar w:val="nil"/>
        </w:pBdr>
        <w:spacing w:before="0" w:after="240"/>
        <w:rPr>
          <w:rFonts w:eastAsia="Arial Unicode MS"/>
          <w:noProof/>
        </w:rPr>
      </w:pPr>
      <w:r w:rsidRPr="001A05B3">
        <w:rPr>
          <w:noProof/>
          <w:lang w:eastAsia="en-GB"/>
        </w:rPr>
        <w:t>The proposal is for a Directive, which is the only available instrument under the legal base of Article 115 TFEU.</w:t>
      </w:r>
    </w:p>
    <w:p w14:paraId="05F541BA" w14:textId="77777777" w:rsidR="001A05B3" w:rsidRPr="001A05B3" w:rsidRDefault="001A05B3" w:rsidP="00D32A47">
      <w:pPr>
        <w:pStyle w:val="ManualHeading1"/>
        <w:rPr>
          <w:noProof/>
        </w:rPr>
      </w:pPr>
      <w:r w:rsidRPr="001A05B3">
        <w:rPr>
          <w:noProof/>
        </w:rPr>
        <w:t>3.</w:t>
      </w:r>
      <w:r w:rsidRPr="001A05B3">
        <w:rPr>
          <w:noProof/>
        </w:rPr>
        <w:tab/>
        <w:t>RESULTS OF EX-POST EVALUATIONS, STAKEHOLDER CONSULTATIONS AND IMPACT ASSESSMENTS</w:t>
      </w:r>
    </w:p>
    <w:p w14:paraId="05F541BB"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Ex-post evaluations/fitness checks of existing legislation</w:t>
      </w:r>
    </w:p>
    <w:p w14:paraId="05F541BC" w14:textId="77777777" w:rsidR="001A05B3" w:rsidRPr="001A05B3" w:rsidRDefault="001A05B3" w:rsidP="001A05B3">
      <w:pPr>
        <w:pBdr>
          <w:top w:val="nil"/>
          <w:left w:val="nil"/>
          <w:bottom w:val="nil"/>
          <w:right w:val="nil"/>
          <w:between w:val="nil"/>
          <w:bar w:val="nil"/>
        </w:pBdr>
        <w:spacing w:before="0" w:after="240"/>
        <w:rPr>
          <w:rFonts w:eastAsia="Arial Unicode MS"/>
          <w:noProof/>
        </w:rPr>
      </w:pPr>
      <w:r w:rsidRPr="001A05B3">
        <w:rPr>
          <w:noProof/>
          <w:lang w:eastAsia="en-GB"/>
        </w:rPr>
        <w:t>There is no EU legislation addressing the debt-equity bias. Therefore, evaluation is not relevant.</w:t>
      </w:r>
    </w:p>
    <w:p w14:paraId="05F541BD"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Stakeholder consultations</w:t>
      </w:r>
    </w:p>
    <w:p w14:paraId="05F541BE" w14:textId="77777777" w:rsidR="00D727C0" w:rsidRPr="00380C53" w:rsidRDefault="00D727C0" w:rsidP="00D727C0">
      <w:pPr>
        <w:rPr>
          <w:noProof/>
          <w:lang w:val="en-US" w:eastAsia="en-GB"/>
        </w:rPr>
      </w:pPr>
      <w:r w:rsidRPr="00845527">
        <w:rPr>
          <w:noProof/>
          <w:lang w:val="en-US" w:eastAsia="en-GB"/>
        </w:rPr>
        <w:t xml:space="preserve">On </w:t>
      </w:r>
      <w:r>
        <w:rPr>
          <w:noProof/>
          <w:lang w:val="en-US" w:eastAsia="en-GB"/>
        </w:rPr>
        <w:t>1 July 2021, TAXUD launched a</w:t>
      </w:r>
      <w:r w:rsidRPr="00380C53">
        <w:rPr>
          <w:noProof/>
          <w:lang w:val="en-US" w:eastAsia="en-GB"/>
        </w:rPr>
        <w:t xml:space="preserve"> public consultation on a potential initiative to </w:t>
      </w:r>
      <w:r>
        <w:rPr>
          <w:noProof/>
          <w:lang w:val="en-US" w:eastAsia="en-GB"/>
        </w:rPr>
        <w:t>address the debt-equity bias. It contained a variety of</w:t>
      </w:r>
      <w:r w:rsidRPr="00380C53">
        <w:rPr>
          <w:noProof/>
          <w:lang w:val="en-US" w:eastAsia="en-GB"/>
        </w:rPr>
        <w:t xml:space="preserve"> questions aimed, inter alia, at d</w:t>
      </w:r>
      <w:r>
        <w:rPr>
          <w:noProof/>
          <w:lang w:val="en-US" w:eastAsia="en-GB"/>
        </w:rPr>
        <w:t>elineating</w:t>
      </w:r>
      <w:r w:rsidRPr="00380C53">
        <w:rPr>
          <w:noProof/>
          <w:lang w:val="en-US" w:eastAsia="en-GB"/>
        </w:rPr>
        <w:t xml:space="preserve"> the problem and its drivers and identifying the appropriate form of EU action and the key features of </w:t>
      </w:r>
      <w:r>
        <w:rPr>
          <w:noProof/>
          <w:lang w:val="en-US" w:eastAsia="en-GB"/>
        </w:rPr>
        <w:t xml:space="preserve">a </w:t>
      </w:r>
      <w:r w:rsidR="0047264A">
        <w:rPr>
          <w:noProof/>
          <w:lang w:val="en-US" w:eastAsia="en-GB"/>
        </w:rPr>
        <w:t xml:space="preserve">possible </w:t>
      </w:r>
      <w:r>
        <w:rPr>
          <w:noProof/>
          <w:lang w:val="en-US" w:eastAsia="en-GB"/>
        </w:rPr>
        <w:t>measure</w:t>
      </w:r>
      <w:r w:rsidRPr="00380C53">
        <w:rPr>
          <w:noProof/>
          <w:lang w:val="en-US" w:eastAsia="en-GB"/>
        </w:rPr>
        <w:t xml:space="preserve">. The </w:t>
      </w:r>
      <w:r>
        <w:rPr>
          <w:noProof/>
          <w:lang w:val="en-US" w:eastAsia="en-GB"/>
        </w:rPr>
        <w:t>consultation closed on 7 October</w:t>
      </w:r>
      <w:r w:rsidRPr="00845527">
        <w:rPr>
          <w:noProof/>
          <w:lang w:val="en-US" w:eastAsia="en-GB"/>
        </w:rPr>
        <w:t xml:space="preserve"> 2</w:t>
      </w:r>
      <w:r>
        <w:rPr>
          <w:noProof/>
          <w:lang w:val="en-US" w:eastAsia="en-GB"/>
        </w:rPr>
        <w:t>021 with a total of 67</w:t>
      </w:r>
      <w:r w:rsidRPr="00380C53">
        <w:rPr>
          <w:noProof/>
          <w:lang w:val="en-US" w:eastAsia="en-GB"/>
        </w:rPr>
        <w:t xml:space="preserve"> replies. </w:t>
      </w:r>
    </w:p>
    <w:p w14:paraId="05F541BF" w14:textId="77777777" w:rsidR="00D727C0" w:rsidRDefault="00D727C0" w:rsidP="00D727C0">
      <w:pPr>
        <w:rPr>
          <w:noProof/>
          <w:szCs w:val="24"/>
          <w:lang w:val="en-IE"/>
        </w:rPr>
      </w:pPr>
      <w:r>
        <w:rPr>
          <w:noProof/>
          <w:szCs w:val="24"/>
        </w:rPr>
        <w:t>The respondents were</w:t>
      </w:r>
      <w:r w:rsidRPr="00203165">
        <w:rPr>
          <w:noProof/>
          <w:szCs w:val="24"/>
        </w:rPr>
        <w:t xml:space="preserve"> 37 </w:t>
      </w:r>
      <w:r w:rsidRPr="00203165">
        <w:rPr>
          <w:noProof/>
          <w:szCs w:val="24"/>
          <w:lang w:val="en-IE"/>
        </w:rPr>
        <w:t xml:space="preserve">business associations </w:t>
      </w:r>
      <w:r w:rsidRPr="002450B9">
        <w:rPr>
          <w:noProof/>
          <w:szCs w:val="24"/>
          <w:lang w:val="en-IE"/>
        </w:rPr>
        <w:t xml:space="preserve">mainly representing financial organisations of all sizes (including </w:t>
      </w:r>
      <w:r w:rsidRPr="00103219">
        <w:rPr>
          <w:noProof/>
          <w:szCs w:val="24"/>
          <w:lang w:val="en-IE"/>
        </w:rPr>
        <w:t>SME), 12 companies/business organisations (mostly tax accountant</w:t>
      </w:r>
      <w:r w:rsidRPr="00103219" w:rsidDel="001C6E71">
        <w:rPr>
          <w:noProof/>
          <w:szCs w:val="24"/>
          <w:lang w:val="en-IE"/>
        </w:rPr>
        <w:t xml:space="preserve"> </w:t>
      </w:r>
      <w:r w:rsidRPr="00103219">
        <w:rPr>
          <w:noProof/>
          <w:szCs w:val="24"/>
          <w:lang w:val="en-IE"/>
        </w:rPr>
        <w:t>and financial organisations</w:t>
      </w:r>
      <w:r w:rsidRPr="008E054C">
        <w:rPr>
          <w:noProof/>
          <w:szCs w:val="24"/>
          <w:lang w:val="en-IE"/>
        </w:rPr>
        <w:t>),</w:t>
      </w:r>
      <w:r w:rsidRPr="00704E02">
        <w:rPr>
          <w:noProof/>
          <w:szCs w:val="24"/>
          <w:lang w:val="en-IE"/>
        </w:rPr>
        <w:t xml:space="preserve"> 3 aca</w:t>
      </w:r>
      <w:r>
        <w:rPr>
          <w:noProof/>
          <w:szCs w:val="24"/>
          <w:lang w:val="en-IE"/>
        </w:rPr>
        <w:t>demic and research institutions</w:t>
      </w:r>
      <w:r w:rsidRPr="00704E02">
        <w:rPr>
          <w:noProof/>
          <w:szCs w:val="24"/>
          <w:lang w:val="en-IE"/>
        </w:rPr>
        <w:t>,</w:t>
      </w:r>
      <w:r w:rsidRPr="00203165">
        <w:rPr>
          <w:noProof/>
          <w:szCs w:val="24"/>
          <w:lang w:val="en-IE"/>
        </w:rPr>
        <w:t xml:space="preserve"> 8 NGOs</w:t>
      </w:r>
      <w:r w:rsidRPr="002450B9">
        <w:rPr>
          <w:noProof/>
          <w:szCs w:val="24"/>
          <w:lang w:val="en-IE"/>
        </w:rPr>
        <w:t xml:space="preserve"> or others </w:t>
      </w:r>
      <w:r w:rsidRPr="00103219">
        <w:rPr>
          <w:noProof/>
          <w:szCs w:val="24"/>
          <w:lang w:val="en-IE"/>
        </w:rPr>
        <w:t>(mostly chamber of commerce,</w:t>
      </w:r>
      <w:r>
        <w:rPr>
          <w:noProof/>
          <w:szCs w:val="24"/>
          <w:lang w:val="en-IE"/>
        </w:rPr>
        <w:t xml:space="preserve"> stock exchanges)</w:t>
      </w:r>
      <w:r w:rsidRPr="00103219">
        <w:rPr>
          <w:noProof/>
          <w:szCs w:val="24"/>
          <w:lang w:val="en-IE"/>
        </w:rPr>
        <w:t xml:space="preserve"> and 7 individual citizen</w:t>
      </w:r>
      <w:r>
        <w:rPr>
          <w:noProof/>
          <w:szCs w:val="24"/>
          <w:lang w:val="en-IE"/>
        </w:rPr>
        <w:t>s</w:t>
      </w:r>
      <w:r w:rsidRPr="00103219">
        <w:rPr>
          <w:noProof/>
          <w:szCs w:val="24"/>
          <w:lang w:val="en-IE"/>
        </w:rPr>
        <w:t>. Most respondents came from either Belgium (14/67), Germany (14/67) or France (12/67).</w:t>
      </w:r>
    </w:p>
    <w:p w14:paraId="05F541C0" w14:textId="77777777" w:rsidR="00D727C0" w:rsidRPr="00D933DD" w:rsidRDefault="00D727C0" w:rsidP="00D727C0">
      <w:pPr>
        <w:rPr>
          <w:noProof/>
        </w:rPr>
      </w:pPr>
      <w:r>
        <w:rPr>
          <w:noProof/>
        </w:rPr>
        <w:t xml:space="preserve">NGOs and academics </w:t>
      </w:r>
      <w:r w:rsidR="0047264A">
        <w:rPr>
          <w:noProof/>
        </w:rPr>
        <w:t>are of the view</w:t>
      </w:r>
      <w:r w:rsidRPr="00B42151">
        <w:rPr>
          <w:noProof/>
        </w:rPr>
        <w:t xml:space="preserve"> </w:t>
      </w:r>
      <w:r>
        <w:rPr>
          <w:noProof/>
        </w:rPr>
        <w:t xml:space="preserve">that </w:t>
      </w:r>
      <w:r w:rsidR="00B351DF">
        <w:rPr>
          <w:noProof/>
        </w:rPr>
        <w:t xml:space="preserve">the main reason companies use </w:t>
      </w:r>
      <w:r>
        <w:rPr>
          <w:noProof/>
        </w:rPr>
        <w:t xml:space="preserve">debt is to decrease their tax liability and avoid dilution of </w:t>
      </w:r>
      <w:r w:rsidR="00B351DF">
        <w:rPr>
          <w:noProof/>
        </w:rPr>
        <w:t xml:space="preserve">their </w:t>
      </w:r>
      <w:r>
        <w:rPr>
          <w:noProof/>
        </w:rPr>
        <w:t xml:space="preserve">shareholders, whereas business associations and companies </w:t>
      </w:r>
      <w:r w:rsidR="00B8041D">
        <w:rPr>
          <w:noProof/>
        </w:rPr>
        <w:t xml:space="preserve">consider that </w:t>
      </w:r>
      <w:r w:rsidR="00B351DF">
        <w:rPr>
          <w:noProof/>
        </w:rPr>
        <w:t>it is</w:t>
      </w:r>
      <w:r>
        <w:rPr>
          <w:noProof/>
        </w:rPr>
        <w:t xml:space="preserve"> the necessity </w:t>
      </w:r>
      <w:r w:rsidR="00B351DF">
        <w:rPr>
          <w:noProof/>
        </w:rPr>
        <w:t>of</w:t>
      </w:r>
      <w:r w:rsidR="00B351DF" w:rsidRPr="00B42151">
        <w:rPr>
          <w:noProof/>
        </w:rPr>
        <w:t xml:space="preserve"> </w:t>
      </w:r>
      <w:r>
        <w:rPr>
          <w:noProof/>
        </w:rPr>
        <w:t>finding financing means.</w:t>
      </w:r>
    </w:p>
    <w:p w14:paraId="05F541C1" w14:textId="77777777" w:rsidR="00D727C0" w:rsidRPr="00D933DD" w:rsidRDefault="00D727C0" w:rsidP="00D727C0">
      <w:pPr>
        <w:rPr>
          <w:noProof/>
        </w:rPr>
      </w:pPr>
      <w:r w:rsidRPr="00B42151">
        <w:rPr>
          <w:noProof/>
        </w:rPr>
        <w:t>A</w:t>
      </w:r>
      <w:r w:rsidR="000771B6">
        <w:rPr>
          <w:noProof/>
        </w:rPr>
        <w:t xml:space="preserve"> majority of </w:t>
      </w:r>
      <w:r w:rsidRPr="00B42151">
        <w:rPr>
          <w:noProof/>
        </w:rPr>
        <w:t>respondents</w:t>
      </w:r>
      <w:r w:rsidR="000771B6">
        <w:rPr>
          <w:noProof/>
        </w:rPr>
        <w:t xml:space="preserve">, </w:t>
      </w:r>
      <w:r w:rsidR="000771B6">
        <w:rPr>
          <w:noProof/>
          <w:szCs w:val="24"/>
        </w:rPr>
        <w:t>among them 100% of academics, 86% of citizens, 50% of corporations and 42% of business associations,</w:t>
      </w:r>
      <w:r>
        <w:rPr>
          <w:noProof/>
        </w:rPr>
        <w:t xml:space="preserve"> find that an EU initiative to address the tax debt-equity bias </w:t>
      </w:r>
      <w:r w:rsidRPr="00865A8A">
        <w:rPr>
          <w:noProof/>
        </w:rPr>
        <w:t>would be a useful tool to support the recovery of companies from the COVID-19 crisis and incentivise investment through equity in the transition to a greener digitalised economy without creating distortions in the single market.</w:t>
      </w:r>
      <w:r w:rsidRPr="00B8487A">
        <w:rPr>
          <w:noProof/>
        </w:rPr>
        <w:t xml:space="preserve"> </w:t>
      </w:r>
      <w:r>
        <w:rPr>
          <w:noProof/>
        </w:rPr>
        <w:t>Companies, NGOs and academics strongly think firms should be encouraged, amongst others from a tax perspective, to use more equity and less debt.</w:t>
      </w:r>
    </w:p>
    <w:p w14:paraId="05F541C2" w14:textId="77777777" w:rsidR="00D727C0" w:rsidRDefault="00D727C0" w:rsidP="00D727C0">
      <w:pPr>
        <w:rPr>
          <w:noProof/>
        </w:rPr>
      </w:pPr>
      <w:r>
        <w:rPr>
          <w:noProof/>
        </w:rPr>
        <w:t xml:space="preserve">Business associations, companies and academics clearly agree that such an initiative will reduce the room for harmful tax practices in the single market. Importantly, </w:t>
      </w:r>
      <w:r w:rsidRPr="00B42151">
        <w:rPr>
          <w:noProof/>
        </w:rPr>
        <w:t>a</w:t>
      </w:r>
      <w:r w:rsidR="000771B6">
        <w:rPr>
          <w:noProof/>
        </w:rPr>
        <w:t xml:space="preserve"> majority of</w:t>
      </w:r>
      <w:r>
        <w:rPr>
          <w:noProof/>
        </w:rPr>
        <w:t xml:space="preserve"> respondents</w:t>
      </w:r>
      <w:r w:rsidR="000771B6">
        <w:rPr>
          <w:noProof/>
        </w:rPr>
        <w:t xml:space="preserve">, </w:t>
      </w:r>
      <w:r w:rsidR="000771B6">
        <w:rPr>
          <w:noProof/>
          <w:szCs w:val="24"/>
        </w:rPr>
        <w:t>among them 71% of corporations, 66% of academics, 43% of citizens and 28% of business associations,</w:t>
      </w:r>
      <w:r w:rsidRPr="00B42151">
        <w:rPr>
          <w:noProof/>
        </w:rPr>
        <w:t xml:space="preserve"> </w:t>
      </w:r>
      <w:r>
        <w:rPr>
          <w:noProof/>
        </w:rPr>
        <w:t xml:space="preserve">think that an EU initiative </w:t>
      </w:r>
      <w:r w:rsidRPr="00865A8A">
        <w:rPr>
          <w:noProof/>
        </w:rPr>
        <w:t xml:space="preserve">would be beneficial for enterprises operating </w:t>
      </w:r>
      <w:r>
        <w:rPr>
          <w:noProof/>
        </w:rPr>
        <w:t>across the single market</w:t>
      </w:r>
      <w:r w:rsidRPr="00865A8A">
        <w:rPr>
          <w:noProof/>
        </w:rPr>
        <w:t>.</w:t>
      </w:r>
    </w:p>
    <w:p w14:paraId="05F541C3" w14:textId="77777777" w:rsidR="00D727C0" w:rsidRDefault="00D727C0" w:rsidP="00D727C0">
      <w:pPr>
        <w:rPr>
          <w:noProof/>
        </w:rPr>
      </w:pPr>
      <w:r>
        <w:rPr>
          <w:noProof/>
        </w:rPr>
        <w:t xml:space="preserve">On the different options, </w:t>
      </w:r>
      <w:r w:rsidRPr="00B42151">
        <w:rPr>
          <w:noProof/>
        </w:rPr>
        <w:t>a</w:t>
      </w:r>
      <w:r w:rsidR="00607D18">
        <w:rPr>
          <w:noProof/>
        </w:rPr>
        <w:t xml:space="preserve"> majority of</w:t>
      </w:r>
      <w:r>
        <w:rPr>
          <w:noProof/>
        </w:rPr>
        <w:t xml:space="preserve"> respondents are very negative on the option of suppressing completely interest deductibility</w:t>
      </w:r>
      <w:r w:rsidR="00607D18">
        <w:rPr>
          <w:noProof/>
        </w:rPr>
        <w:t xml:space="preserve">, </w:t>
      </w:r>
      <w:r w:rsidR="00607D18">
        <w:rPr>
          <w:noProof/>
          <w:szCs w:val="24"/>
        </w:rPr>
        <w:t xml:space="preserve">among them 75% of corporations, </w:t>
      </w:r>
      <w:r w:rsidR="00525D50">
        <w:rPr>
          <w:noProof/>
          <w:szCs w:val="24"/>
        </w:rPr>
        <w:t>72% of b</w:t>
      </w:r>
      <w:r w:rsidR="00607D18">
        <w:rPr>
          <w:noProof/>
          <w:szCs w:val="24"/>
        </w:rPr>
        <w:t>usiness associations, 71% of citizens</w:t>
      </w:r>
      <w:r>
        <w:rPr>
          <w:noProof/>
        </w:rPr>
        <w:t xml:space="preserve"> and</w:t>
      </w:r>
      <w:r w:rsidR="00607D18">
        <w:rPr>
          <w:noProof/>
          <w:szCs w:val="24"/>
        </w:rPr>
        <w:t xml:space="preserve"> 66% of academics find it the least suitable option</w:t>
      </w:r>
      <w:r w:rsidRPr="00B42151">
        <w:rPr>
          <w:noProof/>
        </w:rPr>
        <w:t xml:space="preserve"> and </w:t>
      </w:r>
      <w:r w:rsidR="00607D18">
        <w:rPr>
          <w:noProof/>
        </w:rPr>
        <w:t>a majority is</w:t>
      </w:r>
      <w:r>
        <w:rPr>
          <w:noProof/>
        </w:rPr>
        <w:t xml:space="preserve"> quite negative about the option for a</w:t>
      </w:r>
      <w:r w:rsidRPr="00B8487A">
        <w:rPr>
          <w:noProof/>
        </w:rPr>
        <w:t>n allowance on corporate financial capital that would replac</w:t>
      </w:r>
      <w:r>
        <w:rPr>
          <w:noProof/>
        </w:rPr>
        <w:t>e the tax deduction of interest</w:t>
      </w:r>
      <w:r w:rsidRPr="00B8487A">
        <w:rPr>
          <w:noProof/>
        </w:rPr>
        <w:t>.</w:t>
      </w:r>
      <w:r>
        <w:rPr>
          <w:noProof/>
        </w:rPr>
        <w:t xml:space="preserve"> </w:t>
      </w:r>
      <w:r w:rsidR="00607D18">
        <w:rPr>
          <w:noProof/>
        </w:rPr>
        <w:t xml:space="preserve">It was considered the best option only </w:t>
      </w:r>
      <w:r w:rsidR="00607D18">
        <w:rPr>
          <w:noProof/>
          <w:szCs w:val="24"/>
        </w:rPr>
        <w:t>by 16% of corporations, 14% of citizens,</w:t>
      </w:r>
      <w:r w:rsidR="00525D50">
        <w:rPr>
          <w:noProof/>
          <w:szCs w:val="24"/>
        </w:rPr>
        <w:t xml:space="preserve"> 5% of b</w:t>
      </w:r>
      <w:r w:rsidR="00607D18">
        <w:rPr>
          <w:noProof/>
          <w:szCs w:val="24"/>
        </w:rPr>
        <w:t>usiness associations and no</w:t>
      </w:r>
      <w:r w:rsidR="009C115E">
        <w:rPr>
          <w:noProof/>
          <w:szCs w:val="24"/>
        </w:rPr>
        <w:t xml:space="preserve"> academic</w:t>
      </w:r>
      <w:r w:rsidR="00607D18">
        <w:rPr>
          <w:noProof/>
          <w:szCs w:val="24"/>
        </w:rPr>
        <w:t>.</w:t>
      </w:r>
      <w:r w:rsidRPr="00B42151">
        <w:rPr>
          <w:noProof/>
        </w:rPr>
        <w:t xml:space="preserve"> </w:t>
      </w:r>
      <w:r>
        <w:rPr>
          <w:noProof/>
        </w:rPr>
        <w:t xml:space="preserve">On the contrary, </w:t>
      </w:r>
      <w:r w:rsidRPr="00B42151">
        <w:rPr>
          <w:noProof/>
        </w:rPr>
        <w:t>a</w:t>
      </w:r>
      <w:r w:rsidR="00525D50">
        <w:rPr>
          <w:noProof/>
        </w:rPr>
        <w:t xml:space="preserve"> majority of</w:t>
      </w:r>
      <w:r>
        <w:rPr>
          <w:noProof/>
        </w:rPr>
        <w:t xml:space="preserve"> respondents are favourable to a</w:t>
      </w:r>
      <w:r w:rsidRPr="0031518C">
        <w:rPr>
          <w:noProof/>
        </w:rPr>
        <w:t>n allowance that provides for the deductibility of a notional interest on new equity (</w:t>
      </w:r>
      <w:r>
        <w:rPr>
          <w:noProof/>
        </w:rPr>
        <w:t xml:space="preserve">while </w:t>
      </w:r>
      <w:r w:rsidRPr="0031518C">
        <w:rPr>
          <w:noProof/>
        </w:rPr>
        <w:t>maintaining the existing interest deductibility).</w:t>
      </w:r>
      <w:r>
        <w:rPr>
          <w:noProof/>
        </w:rPr>
        <w:t xml:space="preserve"> </w:t>
      </w:r>
      <w:r w:rsidR="00525D50">
        <w:rPr>
          <w:noProof/>
        </w:rPr>
        <w:t>It appears</w:t>
      </w:r>
      <w:r w:rsidR="00525D50" w:rsidRPr="00525D50">
        <w:rPr>
          <w:noProof/>
          <w:color w:val="000000" w:themeColor="text1"/>
          <w:szCs w:val="24"/>
        </w:rPr>
        <w:t xml:space="preserve"> </w:t>
      </w:r>
      <w:r w:rsidR="00525D50" w:rsidRPr="00635B25">
        <w:rPr>
          <w:noProof/>
          <w:color w:val="000000" w:themeColor="text1"/>
          <w:szCs w:val="24"/>
        </w:rPr>
        <w:t>the best option</w:t>
      </w:r>
      <w:r w:rsidR="00525D50" w:rsidRPr="00E46033">
        <w:rPr>
          <w:noProof/>
          <w:szCs w:val="24"/>
        </w:rPr>
        <w:t xml:space="preserve"> </w:t>
      </w:r>
      <w:r w:rsidR="00525D50">
        <w:rPr>
          <w:noProof/>
          <w:szCs w:val="24"/>
        </w:rPr>
        <w:t>for 66% of academics, 28% of business associations, 25% of corporations and 14% of citizens</w:t>
      </w:r>
      <w:r w:rsidRPr="00B42151">
        <w:rPr>
          <w:noProof/>
        </w:rPr>
        <w:t xml:space="preserve">. </w:t>
      </w:r>
      <w:r>
        <w:rPr>
          <w:noProof/>
        </w:rPr>
        <w:t>Business associations and companies are even more favourable to the option of having an allowance on the stock of equity, while NGOs and academics are less favourable to this option.</w:t>
      </w:r>
    </w:p>
    <w:p w14:paraId="05F541C4" w14:textId="77777777" w:rsidR="00D727C0" w:rsidRDefault="00D727C0" w:rsidP="00D727C0">
      <w:pPr>
        <w:pBdr>
          <w:top w:val="nil"/>
          <w:left w:val="nil"/>
          <w:bottom w:val="nil"/>
          <w:right w:val="nil"/>
          <w:between w:val="nil"/>
          <w:bar w:val="nil"/>
        </w:pBdr>
        <w:spacing w:before="0" w:after="240"/>
        <w:rPr>
          <w:noProof/>
        </w:rPr>
      </w:pPr>
      <w:r>
        <w:rPr>
          <w:noProof/>
        </w:rPr>
        <w:t xml:space="preserve">Finally, </w:t>
      </w:r>
      <w:r w:rsidRPr="00B42151">
        <w:rPr>
          <w:noProof/>
        </w:rPr>
        <w:t>a</w:t>
      </w:r>
      <w:r w:rsidR="00525D50">
        <w:rPr>
          <w:noProof/>
        </w:rPr>
        <w:t xml:space="preserve"> majority of</w:t>
      </w:r>
      <w:r>
        <w:rPr>
          <w:noProof/>
        </w:rPr>
        <w:t xml:space="preserve"> respondents to this point strongly agree that the initiative should come with </w:t>
      </w:r>
      <w:r w:rsidRPr="00145CC0">
        <w:rPr>
          <w:noProof/>
        </w:rPr>
        <w:t xml:space="preserve">robust rules to </w:t>
      </w:r>
      <w:r>
        <w:rPr>
          <w:noProof/>
        </w:rPr>
        <w:t xml:space="preserve">avoid </w:t>
      </w:r>
      <w:r w:rsidRPr="00145CC0">
        <w:rPr>
          <w:noProof/>
        </w:rPr>
        <w:t>aggressive tax planning</w:t>
      </w:r>
      <w:r>
        <w:rPr>
          <w:noProof/>
        </w:rPr>
        <w:t xml:space="preserve"> practices</w:t>
      </w:r>
      <w:r w:rsidR="00525D50">
        <w:rPr>
          <w:noProof/>
        </w:rPr>
        <w:t xml:space="preserve">, </w:t>
      </w:r>
      <w:r w:rsidR="00525D50">
        <w:rPr>
          <w:noProof/>
          <w:szCs w:val="24"/>
        </w:rPr>
        <w:t>among them 71% of citizens, 66% of academics, 42% of business associations and 33% of corporations</w:t>
      </w:r>
      <w:r>
        <w:rPr>
          <w:noProof/>
        </w:rPr>
        <w:t>.</w:t>
      </w:r>
    </w:p>
    <w:p w14:paraId="05F541C5" w14:textId="77777777" w:rsidR="00D727C0" w:rsidRPr="00380C53" w:rsidRDefault="00D727C0" w:rsidP="00D727C0">
      <w:pPr>
        <w:rPr>
          <w:noProof/>
          <w:lang w:val="en-US" w:eastAsia="en-GB"/>
        </w:rPr>
      </w:pPr>
      <w:r w:rsidRPr="00380C53">
        <w:rPr>
          <w:noProof/>
          <w:lang w:val="en-US" w:eastAsia="en-GB"/>
        </w:rPr>
        <w:t xml:space="preserve">In </w:t>
      </w:r>
      <w:r>
        <w:rPr>
          <w:noProof/>
          <w:lang w:val="en-US" w:eastAsia="en-GB"/>
        </w:rPr>
        <w:t>designing</w:t>
      </w:r>
      <w:r w:rsidRPr="00380C53">
        <w:rPr>
          <w:noProof/>
          <w:lang w:val="en-US" w:eastAsia="en-GB"/>
        </w:rPr>
        <w:t xml:space="preserve"> its proposal, the Commission took into account the results of the consultation. In particular, amongst the various policy options, the Commission decided to proceed with a proposal </w:t>
      </w:r>
      <w:r>
        <w:rPr>
          <w:noProof/>
          <w:lang w:val="en-US" w:eastAsia="en-GB"/>
        </w:rPr>
        <w:t xml:space="preserve">to give an allowance only to new equity and not to consider eliminating all deductibility of debt. </w:t>
      </w:r>
      <w:r w:rsidRPr="00380C53">
        <w:rPr>
          <w:noProof/>
          <w:lang w:val="en-US" w:eastAsia="en-GB"/>
        </w:rPr>
        <w:t>Fur</w:t>
      </w:r>
      <w:r>
        <w:rPr>
          <w:noProof/>
          <w:lang w:val="en-US" w:eastAsia="en-GB"/>
        </w:rPr>
        <w:t>thermore, the directive provides</w:t>
      </w:r>
      <w:r w:rsidRPr="00380C53">
        <w:rPr>
          <w:noProof/>
          <w:lang w:val="en-US" w:eastAsia="en-GB"/>
        </w:rPr>
        <w:t xml:space="preserve"> </w:t>
      </w:r>
      <w:r>
        <w:rPr>
          <w:noProof/>
          <w:lang w:val="en-US" w:eastAsia="en-GB"/>
        </w:rPr>
        <w:t>a robust anti-abuse framework as the need has been highlighted by the respondents.</w:t>
      </w:r>
    </w:p>
    <w:p w14:paraId="05F541C6" w14:textId="77777777" w:rsidR="001A05B3" w:rsidRPr="001A05B3" w:rsidRDefault="00D727C0" w:rsidP="00D727C0">
      <w:pPr>
        <w:pBdr>
          <w:top w:val="nil"/>
          <w:left w:val="nil"/>
          <w:bottom w:val="nil"/>
          <w:right w:val="nil"/>
          <w:between w:val="nil"/>
          <w:bar w:val="nil"/>
        </w:pBdr>
        <w:spacing w:before="0" w:after="240"/>
        <w:rPr>
          <w:rFonts w:eastAsia="Arial Unicode MS"/>
          <w:noProof/>
        </w:rPr>
      </w:pPr>
      <w:r>
        <w:rPr>
          <w:noProof/>
          <w:lang w:val="en-US" w:eastAsia="en-GB"/>
        </w:rPr>
        <w:t>In addition, t</w:t>
      </w:r>
      <w:r w:rsidRPr="00380C53">
        <w:rPr>
          <w:noProof/>
          <w:lang w:val="en-US" w:eastAsia="en-GB"/>
        </w:rPr>
        <w:t>he Commission appreciates that the protection</w:t>
      </w:r>
      <w:r>
        <w:rPr>
          <w:noProof/>
          <w:lang w:val="en-US" w:eastAsia="en-GB"/>
        </w:rPr>
        <w:t xml:space="preserve"> of Member States’ taxable revenues</w:t>
      </w:r>
      <w:r w:rsidRPr="00380C53">
        <w:rPr>
          <w:noProof/>
          <w:lang w:val="en-US" w:eastAsia="en-GB"/>
        </w:rPr>
        <w:t xml:space="preserve"> is </w:t>
      </w:r>
      <w:r>
        <w:rPr>
          <w:noProof/>
          <w:lang w:val="en-US" w:eastAsia="en-GB"/>
        </w:rPr>
        <w:t xml:space="preserve">essential </w:t>
      </w:r>
      <w:r w:rsidRPr="00380C53">
        <w:rPr>
          <w:noProof/>
          <w:lang w:val="en-US" w:eastAsia="en-GB"/>
        </w:rPr>
        <w:t xml:space="preserve">to ensure a sustainable economy </w:t>
      </w:r>
      <w:r>
        <w:rPr>
          <w:noProof/>
          <w:lang w:val="en-US" w:eastAsia="en-GB"/>
        </w:rPr>
        <w:t>and safeguard public finances during the ongoing recovery period after the pandemic</w:t>
      </w:r>
      <w:r w:rsidRPr="00380C53">
        <w:rPr>
          <w:noProof/>
          <w:lang w:val="en-US" w:eastAsia="en-GB"/>
        </w:rPr>
        <w:t>.</w:t>
      </w:r>
      <w:r>
        <w:rPr>
          <w:noProof/>
          <w:lang w:val="en-US" w:eastAsia="en-GB"/>
        </w:rPr>
        <w:t xml:space="preserve"> Consequently, </w:t>
      </w:r>
      <w:r w:rsidRPr="00380C53">
        <w:rPr>
          <w:noProof/>
          <w:lang w:val="en-US" w:eastAsia="en-GB"/>
        </w:rPr>
        <w:t xml:space="preserve">the Commission </w:t>
      </w:r>
      <w:r>
        <w:rPr>
          <w:noProof/>
          <w:lang w:val="en-US" w:eastAsia="en-GB"/>
        </w:rPr>
        <w:t xml:space="preserve">proposes to mitigate the debt-equity bias through measures addressing both the equity and the debt sides, </w:t>
      </w:r>
      <w:r w:rsidR="0047264A">
        <w:rPr>
          <w:noProof/>
          <w:lang w:val="en-US" w:eastAsia="en-GB"/>
        </w:rPr>
        <w:t xml:space="preserve">combining </w:t>
      </w:r>
      <w:r>
        <w:rPr>
          <w:noProof/>
          <w:lang w:val="en-US" w:eastAsia="en-GB"/>
        </w:rPr>
        <w:t xml:space="preserve">an allowance for new equity </w:t>
      </w:r>
      <w:r w:rsidR="0047264A">
        <w:rPr>
          <w:noProof/>
          <w:lang w:val="en-US" w:eastAsia="en-GB"/>
        </w:rPr>
        <w:t>with a limitation to</w:t>
      </w:r>
      <w:r>
        <w:rPr>
          <w:noProof/>
          <w:lang w:val="en-US" w:eastAsia="en-GB"/>
        </w:rPr>
        <w:t xml:space="preserve"> the deductibility of debt</w:t>
      </w:r>
      <w:r w:rsidR="003E794C">
        <w:rPr>
          <w:noProof/>
          <w:lang w:val="en-US" w:eastAsia="en-GB"/>
        </w:rPr>
        <w:t xml:space="preserve"> costs</w:t>
      </w:r>
      <w:r>
        <w:rPr>
          <w:noProof/>
          <w:lang w:val="en-US" w:eastAsia="en-GB"/>
        </w:rPr>
        <w:t>.</w:t>
      </w:r>
      <w:r w:rsidR="001A05B3" w:rsidRPr="001A05B3">
        <w:rPr>
          <w:noProof/>
          <w:lang w:eastAsia="en-GB"/>
        </w:rPr>
        <w:t xml:space="preserve"> </w:t>
      </w:r>
    </w:p>
    <w:p w14:paraId="05F541C7"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Collection and use of expertise</w:t>
      </w:r>
    </w:p>
    <w:p w14:paraId="05F541C8" w14:textId="77777777" w:rsidR="00F658B1" w:rsidRDefault="00F658B1" w:rsidP="00F658B1">
      <w:pPr>
        <w:rPr>
          <w:noProof/>
          <w:lang w:val="en-US" w:eastAsia="en-GB"/>
        </w:rPr>
      </w:pPr>
      <w:r w:rsidRPr="00380C53">
        <w:rPr>
          <w:noProof/>
          <w:lang w:val="en-US" w:eastAsia="en-GB"/>
        </w:rPr>
        <w:t xml:space="preserve">In identifying appropriate measures to tackle the </w:t>
      </w:r>
      <w:r>
        <w:rPr>
          <w:noProof/>
          <w:lang w:val="en-US" w:eastAsia="en-GB"/>
        </w:rPr>
        <w:t>debt-equity bias</w:t>
      </w:r>
      <w:r w:rsidRPr="00380C53">
        <w:rPr>
          <w:noProof/>
          <w:lang w:val="en-US" w:eastAsia="en-GB"/>
        </w:rPr>
        <w:t xml:space="preserve">, the Commission drew on </w:t>
      </w:r>
      <w:r>
        <w:rPr>
          <w:noProof/>
          <w:lang w:val="en-US" w:eastAsia="en-GB"/>
        </w:rPr>
        <w:t xml:space="preserve">the </w:t>
      </w:r>
      <w:r w:rsidRPr="00380C53">
        <w:rPr>
          <w:noProof/>
          <w:lang w:val="en-US" w:eastAsia="en-GB"/>
        </w:rPr>
        <w:t xml:space="preserve">relevant </w:t>
      </w:r>
      <w:r>
        <w:rPr>
          <w:noProof/>
          <w:lang w:val="en-US" w:eastAsia="en-GB"/>
        </w:rPr>
        <w:t>expertise of Member States that have already put in place similar measures (Belgium, Portugal, Poland, Cyprus, Malta and Italy). The Commission undertook exchanges with some of the relevant tax administrations on the anti-abuse framework and to better understand the impact in terms of costs and benefits of the various measures.</w:t>
      </w:r>
      <w:r w:rsidRPr="00380C53">
        <w:rPr>
          <w:noProof/>
          <w:lang w:val="en-US" w:eastAsia="en-GB"/>
        </w:rPr>
        <w:t xml:space="preserve"> </w:t>
      </w:r>
    </w:p>
    <w:p w14:paraId="05F541C9" w14:textId="77777777" w:rsidR="001A05B3" w:rsidRPr="001A05B3" w:rsidRDefault="00F658B1" w:rsidP="00F658B1">
      <w:pPr>
        <w:rPr>
          <w:noProof/>
          <w:lang w:eastAsia="en-GB"/>
        </w:rPr>
      </w:pPr>
      <w:r>
        <w:rPr>
          <w:noProof/>
          <w:lang w:val="en-US" w:eastAsia="en-GB"/>
        </w:rPr>
        <w:t>The Commission met</w:t>
      </w:r>
      <w:r w:rsidRPr="00704E02">
        <w:rPr>
          <w:noProof/>
          <w:szCs w:val="24"/>
          <w:lang w:val="en-IE"/>
        </w:rPr>
        <w:t xml:space="preserve"> with national public authorities/agencies</w:t>
      </w:r>
      <w:r>
        <w:rPr>
          <w:noProof/>
          <w:szCs w:val="24"/>
          <w:lang w:val="en-IE"/>
        </w:rPr>
        <w:t>,</w:t>
      </w:r>
      <w:r w:rsidRPr="00704E02">
        <w:rPr>
          <w:noProof/>
          <w:szCs w:val="24"/>
          <w:lang w:val="en-IE"/>
        </w:rPr>
        <w:t xml:space="preserve"> business associations and civil society groups</w:t>
      </w:r>
      <w:r w:rsidRPr="00203165">
        <w:rPr>
          <w:noProof/>
          <w:szCs w:val="24"/>
          <w:lang w:val="en-IE"/>
        </w:rPr>
        <w:t xml:space="preserve"> </w:t>
      </w:r>
      <w:r>
        <w:rPr>
          <w:noProof/>
          <w:szCs w:val="24"/>
          <w:lang w:val="en-IE"/>
        </w:rPr>
        <w:t xml:space="preserve">that </w:t>
      </w:r>
      <w:r w:rsidRPr="00203165">
        <w:rPr>
          <w:noProof/>
          <w:szCs w:val="24"/>
          <w:lang w:val="en-IE"/>
        </w:rPr>
        <w:t>participat</w:t>
      </w:r>
      <w:r>
        <w:rPr>
          <w:noProof/>
          <w:szCs w:val="24"/>
          <w:lang w:val="en-IE"/>
        </w:rPr>
        <w:t>e in</w:t>
      </w:r>
      <w:r w:rsidRPr="00203165">
        <w:rPr>
          <w:noProof/>
          <w:szCs w:val="24"/>
          <w:lang w:val="en-IE"/>
        </w:rPr>
        <w:t xml:space="preserve"> the Commission Expert Group “Platform for Tax Good Governance, Aggressive Tax Planning and Double Taxation</w:t>
      </w:r>
      <w:r w:rsidR="007F4B0F">
        <w:rPr>
          <w:noProof/>
          <w:szCs w:val="24"/>
          <w:lang w:val="en-IE"/>
        </w:rPr>
        <w:t>”</w:t>
      </w:r>
      <w:r>
        <w:rPr>
          <w:noProof/>
          <w:szCs w:val="24"/>
          <w:lang w:val="en-IE"/>
        </w:rPr>
        <w:t xml:space="preserve">. The Commission also had exchanges with the </w:t>
      </w:r>
      <w:r w:rsidRPr="00203165">
        <w:rPr>
          <w:noProof/>
          <w:szCs w:val="24"/>
          <w:lang w:val="en-IE"/>
        </w:rPr>
        <w:t>European Economic and Social Committee (EESC</w:t>
      </w:r>
      <w:r w:rsidRPr="008E054C">
        <w:rPr>
          <w:noProof/>
          <w:szCs w:val="24"/>
          <w:lang w:val="en-IE"/>
        </w:rPr>
        <w:t>)</w:t>
      </w:r>
      <w:r>
        <w:rPr>
          <w:noProof/>
          <w:szCs w:val="24"/>
          <w:lang w:val="en-IE"/>
        </w:rPr>
        <w:t>.</w:t>
      </w:r>
    </w:p>
    <w:p w14:paraId="05F541CA"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Impact assessment</w:t>
      </w:r>
    </w:p>
    <w:p w14:paraId="05F541CB" w14:textId="77777777" w:rsidR="00324E92" w:rsidRPr="00380C53" w:rsidRDefault="00324E92" w:rsidP="00324E92">
      <w:pPr>
        <w:rPr>
          <w:noProof/>
          <w:lang w:val="en-US" w:eastAsia="en-GB"/>
        </w:rPr>
      </w:pPr>
      <w:r w:rsidRPr="00380C53">
        <w:rPr>
          <w:noProof/>
          <w:lang w:val="en-US" w:eastAsia="en-GB"/>
        </w:rPr>
        <w:t>An impact assessment was carried out to prepare this initiative.</w:t>
      </w:r>
    </w:p>
    <w:p w14:paraId="05F541CC" w14:textId="77777777" w:rsidR="00324E92" w:rsidRDefault="00324E92" w:rsidP="00324E92">
      <w:pPr>
        <w:rPr>
          <w:noProof/>
          <w:lang w:val="en-US" w:eastAsia="en-GB"/>
        </w:rPr>
      </w:pPr>
      <w:r>
        <w:rPr>
          <w:noProof/>
          <w:lang w:val="en-US" w:eastAsia="en-GB"/>
        </w:rPr>
        <w:t>On 17 March 2022</w:t>
      </w:r>
      <w:r w:rsidRPr="00380C53">
        <w:rPr>
          <w:noProof/>
          <w:lang w:val="en-US" w:eastAsia="en-GB"/>
        </w:rPr>
        <w:t xml:space="preserve"> </w:t>
      </w:r>
      <w:r>
        <w:rPr>
          <w:noProof/>
          <w:lang w:val="en-US" w:eastAsia="en-GB"/>
        </w:rPr>
        <w:t>the Regulatory Scrutiny Board (R</w:t>
      </w:r>
      <w:r w:rsidRPr="00380C53">
        <w:rPr>
          <w:noProof/>
          <w:lang w:val="en-US" w:eastAsia="en-GB"/>
        </w:rPr>
        <w:t>SB</w:t>
      </w:r>
      <w:r>
        <w:rPr>
          <w:noProof/>
          <w:lang w:val="en-US" w:eastAsia="en-GB"/>
        </w:rPr>
        <w:t>)</w:t>
      </w:r>
      <w:r w:rsidRPr="00380C53">
        <w:rPr>
          <w:noProof/>
          <w:lang w:val="en-US" w:eastAsia="en-GB"/>
        </w:rPr>
        <w:t xml:space="preserve"> issued a positive opinion with reservations on the submitted impact </w:t>
      </w:r>
      <w:r>
        <w:rPr>
          <w:noProof/>
          <w:lang w:val="en-US" w:eastAsia="en-GB"/>
        </w:rPr>
        <w:t>assessment regarding th</w:t>
      </w:r>
      <w:r w:rsidR="007F4B0F">
        <w:rPr>
          <w:noProof/>
          <w:lang w:val="en-US" w:eastAsia="en-GB"/>
        </w:rPr>
        <w:t>is proposal</w:t>
      </w:r>
      <w:r w:rsidRPr="00380C53">
        <w:rPr>
          <w:noProof/>
          <w:lang w:val="en-US" w:eastAsia="en-GB"/>
        </w:rPr>
        <w:t xml:space="preserve">, </w:t>
      </w:r>
      <w:r w:rsidRPr="00380C53">
        <w:rPr>
          <w:noProof/>
        </w:rPr>
        <w:t>including several suggestions for improvement.</w:t>
      </w:r>
      <w:r w:rsidRPr="008640C6">
        <w:rPr>
          <w:rStyle w:val="FootnoteReference"/>
          <w:noProof/>
        </w:rPr>
        <w:footnoteReference w:id="8"/>
      </w:r>
      <w:r w:rsidRPr="00380C53">
        <w:rPr>
          <w:noProof/>
        </w:rPr>
        <w:t xml:space="preserve"> The Impact Assessment report</w:t>
      </w:r>
      <w:r>
        <w:rPr>
          <w:noProof/>
        </w:rPr>
        <w:t xml:space="preserve"> (IA)</w:t>
      </w:r>
      <w:r w:rsidRPr="00380C53">
        <w:rPr>
          <w:noProof/>
        </w:rPr>
        <w:t xml:space="preserve"> was further revised along these lines</w:t>
      </w:r>
      <w:r w:rsidR="007F4B0F">
        <w:rPr>
          <w:noProof/>
        </w:rPr>
        <w:t>, as explained below</w:t>
      </w:r>
      <w:r>
        <w:rPr>
          <w:noProof/>
        </w:rPr>
        <w:t xml:space="preserve">. </w:t>
      </w:r>
      <w:r w:rsidRPr="00380C53">
        <w:rPr>
          <w:noProof/>
          <w:lang w:val="en-US" w:eastAsia="en-GB"/>
        </w:rPr>
        <w:t xml:space="preserve">The </w:t>
      </w:r>
      <w:r>
        <w:rPr>
          <w:noProof/>
          <w:lang w:val="en-US" w:eastAsia="en-GB"/>
        </w:rPr>
        <w:t>IA examines five</w:t>
      </w:r>
      <w:r w:rsidRPr="00380C53">
        <w:rPr>
          <w:noProof/>
          <w:lang w:val="en-US" w:eastAsia="en-GB"/>
        </w:rPr>
        <w:t xml:space="preserve"> policy options in addition to the baseline scenario, i.e. no action. </w:t>
      </w:r>
    </w:p>
    <w:p w14:paraId="05F541CD" w14:textId="77777777" w:rsidR="00324E92" w:rsidRPr="002347CC" w:rsidRDefault="00324E92" w:rsidP="00324E92">
      <w:pPr>
        <w:rPr>
          <w:noProof/>
          <w:lang w:val="en-IE"/>
        </w:rPr>
      </w:pPr>
      <w:r>
        <w:rPr>
          <w:noProof/>
        </w:rPr>
        <w:t>Option 1 would introduce an allowance on the stock of corporate equity indefinitely, whereas Option 2 would also introduce an allowance but only for new equity and</w:t>
      </w:r>
      <w:r>
        <w:rPr>
          <w:noProof/>
          <w:color w:val="000000" w:themeColor="text1"/>
          <w:szCs w:val="24"/>
        </w:rPr>
        <w:t xml:space="preserve"> for ten years.</w:t>
      </w:r>
      <w:r w:rsidRPr="00B8277E">
        <w:rPr>
          <w:noProof/>
          <w:color w:val="000000" w:themeColor="text1"/>
          <w:szCs w:val="24"/>
        </w:rPr>
        <w:t xml:space="preserve"> </w:t>
      </w:r>
    </w:p>
    <w:p w14:paraId="05F541CE" w14:textId="77777777" w:rsidR="00324E92" w:rsidRPr="002347CC" w:rsidRDefault="00324E92" w:rsidP="00324E92">
      <w:pPr>
        <w:rPr>
          <w:noProof/>
          <w:color w:val="000000" w:themeColor="text1"/>
        </w:rPr>
      </w:pPr>
      <w:r>
        <w:rPr>
          <w:noProof/>
        </w:rPr>
        <w:t xml:space="preserve">Option 3 </w:t>
      </w:r>
      <w:r>
        <w:rPr>
          <w:noProof/>
          <w:color w:val="000000" w:themeColor="text1"/>
          <w:szCs w:val="24"/>
        </w:rPr>
        <w:t xml:space="preserve">would envisage an allowance </w:t>
      </w:r>
      <w:r w:rsidRPr="00B046F6">
        <w:rPr>
          <w:noProof/>
          <w:color w:val="000000" w:themeColor="text1"/>
          <w:szCs w:val="24"/>
        </w:rPr>
        <w:t>on corporate capital (</w:t>
      </w:r>
      <w:r w:rsidRPr="00B046F6" w:rsidDel="000634D5">
        <w:rPr>
          <w:noProof/>
          <w:color w:val="000000" w:themeColor="text1"/>
          <w:szCs w:val="24"/>
        </w:rPr>
        <w:t>i.e</w:t>
      </w:r>
      <w:r w:rsidRPr="00B046F6">
        <w:rPr>
          <w:noProof/>
          <w:color w:val="000000" w:themeColor="text1"/>
          <w:szCs w:val="24"/>
        </w:rPr>
        <w:t>. equity</w:t>
      </w:r>
      <w:r>
        <w:rPr>
          <w:noProof/>
          <w:color w:val="000000" w:themeColor="text1"/>
          <w:szCs w:val="24"/>
        </w:rPr>
        <w:t xml:space="preserve"> </w:t>
      </w:r>
      <w:r w:rsidRPr="00B046F6">
        <w:rPr>
          <w:noProof/>
          <w:color w:val="000000" w:themeColor="text1"/>
          <w:szCs w:val="24"/>
        </w:rPr>
        <w:t>and debt)</w:t>
      </w:r>
      <w:r w:rsidRPr="00B046F6" w:rsidDel="000634D5">
        <w:rPr>
          <w:noProof/>
          <w:color w:val="000000" w:themeColor="text1"/>
          <w:szCs w:val="24"/>
        </w:rPr>
        <w:t xml:space="preserve"> while</w:t>
      </w:r>
      <w:r w:rsidRPr="00B046F6">
        <w:rPr>
          <w:noProof/>
          <w:color w:val="000000" w:themeColor="text1"/>
          <w:szCs w:val="24"/>
        </w:rPr>
        <w:t xml:space="preserve"> </w:t>
      </w:r>
      <w:r>
        <w:rPr>
          <w:noProof/>
          <w:color w:val="000000" w:themeColor="text1"/>
          <w:szCs w:val="24"/>
        </w:rPr>
        <w:t>disallowing current</w:t>
      </w:r>
      <w:r w:rsidRPr="00B046F6">
        <w:rPr>
          <w:noProof/>
          <w:color w:val="000000" w:themeColor="text1"/>
          <w:szCs w:val="24"/>
        </w:rPr>
        <w:t xml:space="preserve"> </w:t>
      </w:r>
      <w:r>
        <w:rPr>
          <w:noProof/>
          <w:color w:val="000000" w:themeColor="text1"/>
          <w:szCs w:val="24"/>
        </w:rPr>
        <w:t xml:space="preserve">deductibility of interest payments and </w:t>
      </w:r>
      <w:r>
        <w:rPr>
          <w:noProof/>
        </w:rPr>
        <w:t xml:space="preserve">Option 4 </w:t>
      </w:r>
      <w:r w:rsidRPr="000E5D5E">
        <w:rPr>
          <w:noProof/>
          <w:color w:val="000000" w:themeColor="text1"/>
          <w:szCs w:val="24"/>
        </w:rPr>
        <w:t>would completely disallow the deductibility of interest expenses.</w:t>
      </w:r>
      <w:r>
        <w:rPr>
          <w:noProof/>
          <w:color w:val="000000" w:themeColor="text1"/>
          <w:szCs w:val="24"/>
        </w:rPr>
        <w:t xml:space="preserve"> </w:t>
      </w:r>
      <w:r>
        <w:rPr>
          <w:noProof/>
        </w:rPr>
        <w:t xml:space="preserve">Option 5 </w:t>
      </w:r>
      <w:r>
        <w:rPr>
          <w:noProof/>
          <w:color w:val="000000" w:themeColor="text1"/>
          <w:szCs w:val="24"/>
        </w:rPr>
        <w:t xml:space="preserve">would </w:t>
      </w:r>
      <w:r w:rsidRPr="000E5D5E">
        <w:rPr>
          <w:noProof/>
          <w:color w:val="000000" w:themeColor="text1"/>
          <w:szCs w:val="24"/>
        </w:rPr>
        <w:t xml:space="preserve">combine an allowance for notional interest on new corporate equity (same as proposed under Option 2) </w:t>
      </w:r>
      <w:r>
        <w:rPr>
          <w:noProof/>
          <w:color w:val="000000" w:themeColor="text1"/>
          <w:szCs w:val="24"/>
        </w:rPr>
        <w:t>for ten years</w:t>
      </w:r>
      <w:r w:rsidRPr="000E5D5E">
        <w:rPr>
          <w:noProof/>
          <w:color w:val="000000" w:themeColor="text1"/>
          <w:szCs w:val="24"/>
        </w:rPr>
        <w:t xml:space="preserve"> with a partial limitation of tax deductibility</w:t>
      </w:r>
      <w:r>
        <w:rPr>
          <w:noProof/>
          <w:color w:val="000000" w:themeColor="text1"/>
          <w:szCs w:val="24"/>
        </w:rPr>
        <w:t xml:space="preserve"> for all companies.</w:t>
      </w:r>
    </w:p>
    <w:p w14:paraId="05F541CF" w14:textId="697CDF3E" w:rsidR="00324E92" w:rsidRPr="000E5D5E" w:rsidRDefault="00324E92" w:rsidP="00324E92">
      <w:pPr>
        <w:rPr>
          <w:noProof/>
        </w:rPr>
      </w:pPr>
      <w:r>
        <w:rPr>
          <w:noProof/>
        </w:rPr>
        <w:t>A</w:t>
      </w:r>
      <w:r>
        <w:rPr>
          <w:noProof/>
          <w:color w:val="000000" w:themeColor="text1"/>
          <w:szCs w:val="24"/>
        </w:rPr>
        <w:t xml:space="preserve"> rate top-up for SMEs</w:t>
      </w:r>
      <w:r w:rsidRPr="008640C6">
        <w:rPr>
          <w:rStyle w:val="FootnoteReference"/>
          <w:noProof/>
        </w:rPr>
        <w:footnoteReference w:id="9"/>
      </w:r>
      <w:r>
        <w:rPr>
          <w:noProof/>
          <w:color w:val="000000" w:themeColor="text1"/>
          <w:szCs w:val="24"/>
        </w:rPr>
        <w:t xml:space="preserve"> would </w:t>
      </w:r>
      <w:r w:rsidRPr="0095614C">
        <w:rPr>
          <w:noProof/>
          <w:color w:val="000000" w:themeColor="text1"/>
          <w:szCs w:val="24"/>
        </w:rPr>
        <w:t xml:space="preserve">be </w:t>
      </w:r>
      <w:r>
        <w:rPr>
          <w:noProof/>
          <w:color w:val="000000" w:themeColor="text1"/>
          <w:szCs w:val="24"/>
        </w:rPr>
        <w:t>applied in all cases outlined under</w:t>
      </w:r>
      <w:r w:rsidRPr="0095614C">
        <w:rPr>
          <w:noProof/>
          <w:color w:val="000000" w:themeColor="text1"/>
          <w:szCs w:val="24"/>
        </w:rPr>
        <w:t xml:space="preserve"> </w:t>
      </w:r>
      <w:r>
        <w:rPr>
          <w:noProof/>
          <w:color w:val="000000" w:themeColor="text1"/>
          <w:szCs w:val="24"/>
        </w:rPr>
        <w:t>policy</w:t>
      </w:r>
      <w:r w:rsidRPr="0095614C">
        <w:rPr>
          <w:noProof/>
          <w:color w:val="000000" w:themeColor="text1"/>
          <w:szCs w:val="24"/>
        </w:rPr>
        <w:t xml:space="preserve"> </w:t>
      </w:r>
      <w:r>
        <w:rPr>
          <w:noProof/>
          <w:color w:val="000000" w:themeColor="text1"/>
          <w:szCs w:val="24"/>
        </w:rPr>
        <w:t>o</w:t>
      </w:r>
      <w:r w:rsidRPr="0095614C">
        <w:rPr>
          <w:noProof/>
          <w:color w:val="000000" w:themeColor="text1"/>
          <w:szCs w:val="24"/>
        </w:rPr>
        <w:t>ptions 1</w:t>
      </w:r>
      <w:r>
        <w:rPr>
          <w:noProof/>
          <w:color w:val="000000" w:themeColor="text1"/>
          <w:szCs w:val="24"/>
        </w:rPr>
        <w:t>, 2, 3</w:t>
      </w:r>
      <w:r w:rsidRPr="0095614C">
        <w:rPr>
          <w:noProof/>
          <w:color w:val="000000" w:themeColor="text1"/>
          <w:szCs w:val="24"/>
        </w:rPr>
        <w:t xml:space="preserve"> </w:t>
      </w:r>
      <w:r>
        <w:rPr>
          <w:noProof/>
          <w:color w:val="000000" w:themeColor="text1"/>
          <w:szCs w:val="24"/>
        </w:rPr>
        <w:t>and 5</w:t>
      </w:r>
      <w:r w:rsidRPr="0095614C">
        <w:rPr>
          <w:noProof/>
          <w:color w:val="000000" w:themeColor="text1"/>
          <w:szCs w:val="24"/>
        </w:rPr>
        <w:t>.</w:t>
      </w:r>
      <w:r>
        <w:rPr>
          <w:noProof/>
          <w:szCs w:val="24"/>
        </w:rPr>
        <w:t>.</w:t>
      </w:r>
    </w:p>
    <w:p w14:paraId="05F541D0" w14:textId="77777777" w:rsidR="00324E92" w:rsidRDefault="00324E92" w:rsidP="00324E92">
      <w:pPr>
        <w:rPr>
          <w:noProof/>
          <w:lang w:val="en-US" w:eastAsia="en-GB"/>
        </w:rPr>
      </w:pPr>
      <w:r w:rsidRPr="00380C53">
        <w:rPr>
          <w:noProof/>
          <w:lang w:val="en-US" w:eastAsia="en-GB"/>
        </w:rPr>
        <w:t xml:space="preserve">The various Options have been compared against the following criteria: a) </w:t>
      </w:r>
      <w:r w:rsidRPr="005D539E">
        <w:rPr>
          <w:noProof/>
          <w:lang w:val="en-US" w:eastAsia="en-GB"/>
        </w:rPr>
        <w:t>Making the tax system neutral for financing decision</w:t>
      </w:r>
      <w:r>
        <w:rPr>
          <w:noProof/>
          <w:lang w:val="en-US" w:eastAsia="en-GB"/>
        </w:rPr>
        <w:t>s</w:t>
      </w:r>
      <w:r w:rsidRPr="00380C53">
        <w:rPr>
          <w:noProof/>
          <w:lang w:val="en-US" w:eastAsia="en-GB"/>
        </w:rPr>
        <w:t xml:space="preserve">, b) </w:t>
      </w:r>
      <w:r w:rsidRPr="005D539E">
        <w:rPr>
          <w:noProof/>
          <w:lang w:val="en-US" w:eastAsia="en-GB"/>
        </w:rPr>
        <w:t>Enhancing the fairness of the tax system</w:t>
      </w:r>
      <w:r w:rsidRPr="00380C53">
        <w:rPr>
          <w:noProof/>
          <w:lang w:val="en-US" w:eastAsia="en-GB"/>
        </w:rPr>
        <w:t>, c)</w:t>
      </w:r>
      <w:r w:rsidRPr="005D539E">
        <w:rPr>
          <w:i/>
          <w:iCs/>
          <w:noProof/>
          <w:sz w:val="18"/>
          <w:szCs w:val="18"/>
          <w:lang w:val="en-US"/>
        </w:rPr>
        <w:t xml:space="preserve"> </w:t>
      </w:r>
      <w:r w:rsidRPr="005D539E">
        <w:rPr>
          <w:noProof/>
          <w:lang w:val="en-US" w:eastAsia="en-GB"/>
        </w:rPr>
        <w:t>Reducing distortions in the single market</w:t>
      </w:r>
      <w:r>
        <w:rPr>
          <w:noProof/>
          <w:lang w:val="en-US" w:eastAsia="en-GB"/>
        </w:rPr>
        <w:t xml:space="preserve"> and</w:t>
      </w:r>
      <w:r w:rsidRPr="00380C53">
        <w:rPr>
          <w:noProof/>
          <w:lang w:val="en-US" w:eastAsia="en-GB"/>
        </w:rPr>
        <w:t xml:space="preserve"> d) </w:t>
      </w:r>
      <w:r w:rsidRPr="005D539E">
        <w:rPr>
          <w:noProof/>
          <w:lang w:val="en-US" w:eastAsia="en-GB"/>
        </w:rPr>
        <w:t>Stimulating growth and investment in the EU</w:t>
      </w:r>
      <w:r>
        <w:rPr>
          <w:noProof/>
          <w:lang w:val="en-US" w:eastAsia="en-GB"/>
        </w:rPr>
        <w:t xml:space="preserve">. </w:t>
      </w:r>
      <w:r w:rsidRPr="00380C53">
        <w:rPr>
          <w:noProof/>
          <w:lang w:val="en-US" w:eastAsia="en-GB"/>
        </w:rPr>
        <w:t xml:space="preserve">The comparison revealed that Options </w:t>
      </w:r>
      <w:r>
        <w:rPr>
          <w:noProof/>
          <w:lang w:val="en-US" w:eastAsia="en-GB"/>
        </w:rPr>
        <w:t xml:space="preserve">1, </w:t>
      </w:r>
      <w:r w:rsidRPr="00380C53">
        <w:rPr>
          <w:noProof/>
          <w:lang w:val="en-US" w:eastAsia="en-GB"/>
        </w:rPr>
        <w:t xml:space="preserve">2, 3 and 4 can be expected to be to some </w:t>
      </w:r>
      <w:r>
        <w:rPr>
          <w:noProof/>
          <w:lang w:val="en-US" w:eastAsia="en-GB"/>
        </w:rPr>
        <w:t>degree effective in meeting some</w:t>
      </w:r>
      <w:r w:rsidRPr="00380C53">
        <w:rPr>
          <w:noProof/>
          <w:lang w:val="en-US" w:eastAsia="en-GB"/>
        </w:rPr>
        <w:t xml:space="preserve"> </w:t>
      </w:r>
      <w:r>
        <w:rPr>
          <w:noProof/>
          <w:lang w:val="en-US" w:eastAsia="en-GB"/>
        </w:rPr>
        <w:t xml:space="preserve">of the </w:t>
      </w:r>
      <w:r w:rsidRPr="00380C53">
        <w:rPr>
          <w:noProof/>
          <w:lang w:val="en-US" w:eastAsia="en-GB"/>
        </w:rPr>
        <w:t xml:space="preserve">objectives of this initiative. </w:t>
      </w:r>
      <w:r>
        <w:rPr>
          <w:noProof/>
          <w:lang w:val="en-US" w:eastAsia="en-GB"/>
        </w:rPr>
        <w:t>However, O</w:t>
      </w:r>
      <w:r>
        <w:rPr>
          <w:noProof/>
        </w:rPr>
        <w:t>ption 5 is the preferred option, because i</w:t>
      </w:r>
      <w:r>
        <w:rPr>
          <w:noProof/>
          <w:szCs w:val="24"/>
        </w:rPr>
        <w:t>t successfully addresses</w:t>
      </w:r>
      <w:r w:rsidRPr="00686C7D">
        <w:rPr>
          <w:noProof/>
          <w:szCs w:val="24"/>
        </w:rPr>
        <w:t xml:space="preserve"> the debt</w:t>
      </w:r>
      <w:r>
        <w:rPr>
          <w:noProof/>
          <w:szCs w:val="24"/>
        </w:rPr>
        <w:t>-equity</w:t>
      </w:r>
      <w:r w:rsidRPr="00686C7D">
        <w:rPr>
          <w:noProof/>
          <w:szCs w:val="24"/>
        </w:rPr>
        <w:t xml:space="preserve"> bias</w:t>
      </w:r>
      <w:r>
        <w:rPr>
          <w:noProof/>
          <w:szCs w:val="24"/>
        </w:rPr>
        <w:t>,</w:t>
      </w:r>
      <w:r w:rsidRPr="00686C7D">
        <w:rPr>
          <w:noProof/>
          <w:szCs w:val="24"/>
        </w:rPr>
        <w:t xml:space="preserve"> while ba</w:t>
      </w:r>
      <w:r>
        <w:rPr>
          <w:noProof/>
          <w:szCs w:val="24"/>
        </w:rPr>
        <w:t xml:space="preserve">lancing the budgetary impacts </w:t>
      </w:r>
      <w:r w:rsidRPr="00567A05">
        <w:rPr>
          <w:noProof/>
          <w:szCs w:val="24"/>
        </w:rPr>
        <w:t xml:space="preserve">and </w:t>
      </w:r>
      <w:r w:rsidRPr="008D4765">
        <w:rPr>
          <w:noProof/>
          <w:szCs w:val="24"/>
        </w:rPr>
        <w:t>address</w:t>
      </w:r>
      <w:r>
        <w:rPr>
          <w:noProof/>
          <w:szCs w:val="24"/>
        </w:rPr>
        <w:t>ing</w:t>
      </w:r>
      <w:r w:rsidRPr="008D4765">
        <w:rPr>
          <w:noProof/>
          <w:szCs w:val="24"/>
        </w:rPr>
        <w:t xml:space="preserve"> the fairness aspects of the tax system</w:t>
      </w:r>
      <w:r w:rsidRPr="00686C7D">
        <w:rPr>
          <w:noProof/>
          <w:szCs w:val="24"/>
        </w:rPr>
        <w:t>. It is expected to have a positive impact on investment</w:t>
      </w:r>
      <w:r>
        <w:rPr>
          <w:noProof/>
          <w:szCs w:val="24"/>
        </w:rPr>
        <w:t xml:space="preserve"> and GDP</w:t>
      </w:r>
      <w:r w:rsidRPr="00686C7D">
        <w:rPr>
          <w:noProof/>
          <w:szCs w:val="24"/>
        </w:rPr>
        <w:t xml:space="preserve">, and </w:t>
      </w:r>
      <w:r>
        <w:rPr>
          <w:noProof/>
          <w:szCs w:val="24"/>
        </w:rPr>
        <w:t>moderate</w:t>
      </w:r>
      <w:r w:rsidRPr="00686C7D">
        <w:rPr>
          <w:noProof/>
          <w:szCs w:val="24"/>
        </w:rPr>
        <w:t xml:space="preserve"> impact</w:t>
      </w:r>
      <w:r>
        <w:rPr>
          <w:noProof/>
          <w:szCs w:val="24"/>
        </w:rPr>
        <w:t>s</w:t>
      </w:r>
      <w:r w:rsidRPr="00686C7D">
        <w:rPr>
          <w:noProof/>
          <w:szCs w:val="24"/>
        </w:rPr>
        <w:t xml:space="preserve"> on employment</w:t>
      </w:r>
      <w:r>
        <w:rPr>
          <w:noProof/>
        </w:rPr>
        <w:t>.</w:t>
      </w:r>
    </w:p>
    <w:p w14:paraId="05F541D1" w14:textId="77777777" w:rsidR="00324E92" w:rsidRPr="00380C53" w:rsidRDefault="00324E92" w:rsidP="00324E92">
      <w:pPr>
        <w:rPr>
          <w:noProof/>
          <w:lang w:val="en-US" w:eastAsia="en-GB"/>
        </w:rPr>
      </w:pPr>
      <w:r w:rsidRPr="00792682">
        <w:rPr>
          <w:i/>
          <w:noProof/>
          <w:lang w:val="en-US" w:eastAsia="en-GB"/>
        </w:rPr>
        <w:t>Economic impacts</w:t>
      </w:r>
    </w:p>
    <w:p w14:paraId="05F541D2" w14:textId="77777777" w:rsidR="00324E92" w:rsidRPr="00380C53" w:rsidRDefault="00324E92" w:rsidP="00324E92">
      <w:pPr>
        <w:rPr>
          <w:noProof/>
          <w:lang w:val="en-US" w:eastAsia="en-GB"/>
        </w:rPr>
      </w:pPr>
      <w:r>
        <w:rPr>
          <w:noProof/>
          <w:lang w:val="en-US" w:eastAsia="en-GB"/>
        </w:rPr>
        <w:t>For t</w:t>
      </w:r>
      <w:r w:rsidRPr="00380C53">
        <w:rPr>
          <w:noProof/>
          <w:lang w:val="en-US" w:eastAsia="en-GB"/>
        </w:rPr>
        <w:t xml:space="preserve">he assessment of the economic impacts </w:t>
      </w:r>
      <w:r>
        <w:rPr>
          <w:noProof/>
          <w:lang w:val="en-US" w:eastAsia="en-GB"/>
        </w:rPr>
        <w:t xml:space="preserve">the </w:t>
      </w:r>
      <w:r>
        <w:rPr>
          <w:noProof/>
        </w:rPr>
        <w:t xml:space="preserve">modelling was done by the European Commission’s Joint Research Centre based on the CORTAX model. </w:t>
      </w:r>
    </w:p>
    <w:p w14:paraId="05F541D3" w14:textId="77777777" w:rsidR="00324E92" w:rsidRPr="00792682" w:rsidRDefault="00324E92" w:rsidP="00324E92">
      <w:pPr>
        <w:rPr>
          <w:noProof/>
          <w:lang w:val="en-US" w:eastAsia="en-GB"/>
        </w:rPr>
      </w:pPr>
      <w:r w:rsidRPr="00380C53">
        <w:rPr>
          <w:i/>
          <w:noProof/>
          <w:lang w:val="en-US" w:eastAsia="en-GB"/>
        </w:rPr>
        <w:t>Benefits</w:t>
      </w:r>
    </w:p>
    <w:p w14:paraId="05F541D4" w14:textId="77777777" w:rsidR="00324E92" w:rsidRDefault="00324E92" w:rsidP="00324E92">
      <w:pPr>
        <w:rPr>
          <w:noProof/>
        </w:rPr>
      </w:pPr>
      <w:r>
        <w:rPr>
          <w:noProof/>
          <w:lang w:val="en-US" w:eastAsia="en-GB"/>
        </w:rPr>
        <w:t>The preferred option (Option 5</w:t>
      </w:r>
      <w:r w:rsidRPr="00380C53">
        <w:rPr>
          <w:noProof/>
          <w:lang w:val="en-US" w:eastAsia="en-GB"/>
        </w:rPr>
        <w:t xml:space="preserve">) is expected to have a positive economic impact. </w:t>
      </w:r>
      <w:r>
        <w:rPr>
          <w:noProof/>
          <w:lang w:val="en-US" w:eastAsia="en-GB"/>
        </w:rPr>
        <w:t xml:space="preserve">As main direct benefit, it will favour higher equity ratios and so reduce insolvency risks. </w:t>
      </w:r>
      <w:r>
        <w:rPr>
          <w:noProof/>
        </w:rPr>
        <w:t>B</w:t>
      </w:r>
      <w:r w:rsidRPr="0066404E">
        <w:rPr>
          <w:noProof/>
        </w:rPr>
        <w:t xml:space="preserve">y increasing equity investments </w:t>
      </w:r>
      <w:r>
        <w:rPr>
          <w:noProof/>
        </w:rPr>
        <w:t>across</w:t>
      </w:r>
      <w:r w:rsidRPr="0066404E">
        <w:rPr>
          <w:noProof/>
        </w:rPr>
        <w:t xml:space="preserve"> the EU, </w:t>
      </w:r>
      <w:r w:rsidR="007F4B0F">
        <w:rPr>
          <w:noProof/>
        </w:rPr>
        <w:t>this option</w:t>
      </w:r>
      <w:r w:rsidRPr="0066404E">
        <w:rPr>
          <w:noProof/>
        </w:rPr>
        <w:t xml:space="preserve"> </w:t>
      </w:r>
      <w:r>
        <w:rPr>
          <w:noProof/>
        </w:rPr>
        <w:t>is expected to indirectly</w:t>
      </w:r>
      <w:r w:rsidRPr="0066404E">
        <w:rPr>
          <w:noProof/>
        </w:rPr>
        <w:t xml:space="preserve"> promote the development of innovative technology</w:t>
      </w:r>
      <w:r>
        <w:rPr>
          <w:noProof/>
        </w:rPr>
        <w:t>.</w:t>
      </w:r>
      <w:r>
        <w:rPr>
          <w:noProof/>
          <w:lang w:val="en-US" w:eastAsia="en-GB"/>
        </w:rPr>
        <w:t xml:space="preserve"> </w:t>
      </w:r>
      <w:r w:rsidRPr="00F25E67">
        <w:rPr>
          <w:noProof/>
          <w:color w:val="000000" w:themeColor="text1"/>
          <w:szCs w:val="24"/>
          <w:lang w:eastAsia="fr-BE"/>
        </w:rPr>
        <w:t>Equity is particularly important for fast-growing innovative companies in their early stages and scale-ups willing to compete globally</w:t>
      </w:r>
      <w:r w:rsidRPr="00593FC0">
        <w:rPr>
          <w:noProof/>
          <w:color w:val="000000" w:themeColor="text1"/>
          <w:szCs w:val="24"/>
          <w:lang w:eastAsia="fr-BE"/>
        </w:rPr>
        <w:t>. The green and digital transition requires new and innovative investments</w:t>
      </w:r>
      <w:r>
        <w:rPr>
          <w:noProof/>
          <w:color w:val="000000" w:themeColor="text1"/>
          <w:szCs w:val="24"/>
          <w:lang w:eastAsia="fr-BE"/>
        </w:rPr>
        <w:t xml:space="preserve"> that will benefit from the measure. By benefiting from a higher notional interest rate, SMEs will have an increased access to the equity market. </w:t>
      </w:r>
      <w:r>
        <w:rPr>
          <w:noProof/>
        </w:rPr>
        <w:t>P</w:t>
      </w:r>
      <w:r w:rsidRPr="00397A1F">
        <w:rPr>
          <w:noProof/>
        </w:rPr>
        <w:t xml:space="preserve">ositive effects on competitiveness, </w:t>
      </w:r>
      <w:r>
        <w:rPr>
          <w:noProof/>
        </w:rPr>
        <w:t xml:space="preserve">innovation, </w:t>
      </w:r>
      <w:r w:rsidRPr="00397A1F">
        <w:rPr>
          <w:noProof/>
        </w:rPr>
        <w:t>growth and employment in the EU</w:t>
      </w:r>
      <w:r>
        <w:rPr>
          <w:noProof/>
        </w:rPr>
        <w:t xml:space="preserve"> are expected</w:t>
      </w:r>
      <w:r w:rsidRPr="00C037CA">
        <w:rPr>
          <w:noProof/>
        </w:rPr>
        <w:t>.</w:t>
      </w:r>
      <w:r>
        <w:rPr>
          <w:noProof/>
        </w:rPr>
        <w:t xml:space="preserve"> It will also tackle fragmentation of the single market by eliminating different treatment under different national allowance for equity measures </w:t>
      </w:r>
      <w:r w:rsidRPr="00C037CA">
        <w:rPr>
          <w:noProof/>
        </w:rPr>
        <w:t xml:space="preserve">and </w:t>
      </w:r>
      <w:r>
        <w:rPr>
          <w:noProof/>
        </w:rPr>
        <w:t>providing same administrative rules in all EU Member States</w:t>
      </w:r>
      <w:r w:rsidRPr="00C037CA">
        <w:rPr>
          <w:noProof/>
        </w:rPr>
        <w:t>.</w:t>
      </w:r>
      <w:r>
        <w:rPr>
          <w:noProof/>
        </w:rPr>
        <w:t xml:space="preserve"> Finally, it will </w:t>
      </w:r>
      <w:r w:rsidR="007F4B0F">
        <w:rPr>
          <w:noProof/>
        </w:rPr>
        <w:t xml:space="preserve">provide uniform and </w:t>
      </w:r>
      <w:r>
        <w:rPr>
          <w:noProof/>
        </w:rPr>
        <w:t xml:space="preserve">effective measures against aggressive tax planning </w:t>
      </w:r>
      <w:r w:rsidR="007F4B0F">
        <w:rPr>
          <w:noProof/>
        </w:rPr>
        <w:t>in</w:t>
      </w:r>
      <w:r>
        <w:rPr>
          <w:noProof/>
        </w:rPr>
        <w:t xml:space="preserve"> the EU.</w:t>
      </w:r>
    </w:p>
    <w:p w14:paraId="05F541D5" w14:textId="77777777" w:rsidR="00324E92" w:rsidRPr="00380C53" w:rsidRDefault="00324E92" w:rsidP="00324E92">
      <w:pPr>
        <w:rPr>
          <w:noProof/>
          <w:lang w:val="en-US" w:eastAsia="en-GB"/>
        </w:rPr>
      </w:pPr>
      <w:r w:rsidRPr="00380C53">
        <w:rPr>
          <w:i/>
          <w:noProof/>
          <w:lang w:val="en-US" w:eastAsia="en-GB"/>
        </w:rPr>
        <w:t>Costs</w:t>
      </w:r>
    </w:p>
    <w:p w14:paraId="05F541D6" w14:textId="77777777" w:rsidR="00324E92" w:rsidRPr="00380C53" w:rsidRDefault="00324E92" w:rsidP="00324E92">
      <w:pPr>
        <w:rPr>
          <w:noProof/>
          <w:lang w:val="en-US" w:eastAsia="en-GB"/>
        </w:rPr>
      </w:pPr>
      <w:r>
        <w:rPr>
          <w:noProof/>
          <w:lang w:val="en-US" w:eastAsia="en-GB"/>
        </w:rPr>
        <w:t>The</w:t>
      </w:r>
      <w:r w:rsidRPr="00380C53">
        <w:rPr>
          <w:noProof/>
          <w:lang w:val="en-US" w:eastAsia="en-GB"/>
        </w:rPr>
        <w:t xml:space="preserve"> costs rel</w:t>
      </w:r>
      <w:r>
        <w:rPr>
          <w:noProof/>
          <w:lang w:val="en-US" w:eastAsia="en-GB"/>
        </w:rPr>
        <w:t>ated to the selected option are essentially an i</w:t>
      </w:r>
      <w:r w:rsidRPr="00380C53">
        <w:rPr>
          <w:noProof/>
          <w:lang w:val="en-US" w:eastAsia="en-GB"/>
        </w:rPr>
        <w:t xml:space="preserve">ncrease </w:t>
      </w:r>
      <w:r>
        <w:rPr>
          <w:noProof/>
          <w:lang w:val="en-US" w:eastAsia="en-GB"/>
        </w:rPr>
        <w:t>i</w:t>
      </w:r>
      <w:r w:rsidRPr="00380C53">
        <w:rPr>
          <w:noProof/>
          <w:lang w:val="en-US" w:eastAsia="en-GB"/>
        </w:rPr>
        <w:t xml:space="preserve">n compliance costs for businesses and tax administrations. Tax compliance costs for business are expected to increase in a limited manner. Overall, costs should be relatively </w:t>
      </w:r>
      <w:r>
        <w:rPr>
          <w:noProof/>
          <w:lang w:val="en-US" w:eastAsia="en-GB"/>
        </w:rPr>
        <w:t xml:space="preserve">limited because </w:t>
      </w:r>
      <w:r w:rsidRPr="00380C53">
        <w:rPr>
          <w:noProof/>
          <w:lang w:val="en-US" w:eastAsia="en-GB"/>
        </w:rPr>
        <w:t xml:space="preserve">the additional data to be reported </w:t>
      </w:r>
      <w:r>
        <w:rPr>
          <w:noProof/>
          <w:lang w:val="en-US" w:eastAsia="en-GB"/>
        </w:rPr>
        <w:t xml:space="preserve">to benefit from the allowance </w:t>
      </w:r>
      <w:r w:rsidRPr="00380C53">
        <w:rPr>
          <w:noProof/>
          <w:lang w:val="en-US" w:eastAsia="en-GB"/>
        </w:rPr>
        <w:t>should be relatively simple to provide. For tax administrations, costs are also expected to increase modestly. T</w:t>
      </w:r>
      <w:r w:rsidRPr="00380C53">
        <w:rPr>
          <w:noProof/>
        </w:rPr>
        <w:t xml:space="preserve">his proposal </w:t>
      </w:r>
      <w:r>
        <w:rPr>
          <w:noProof/>
        </w:rPr>
        <w:t>does not significantly increase compliance burden for firms or for tax administrations</w:t>
      </w:r>
      <w:r w:rsidRPr="00380C53">
        <w:rPr>
          <w:noProof/>
        </w:rPr>
        <w:t>.</w:t>
      </w:r>
    </w:p>
    <w:p w14:paraId="05F541D7" w14:textId="77777777" w:rsidR="00324E92" w:rsidRDefault="00324E92" w:rsidP="00324E92">
      <w:pPr>
        <w:pBdr>
          <w:top w:val="nil"/>
          <w:left w:val="nil"/>
          <w:bottom w:val="nil"/>
          <w:right w:val="nil"/>
          <w:between w:val="nil"/>
          <w:bar w:val="nil"/>
        </w:pBdr>
        <w:spacing w:before="0" w:after="240"/>
        <w:rPr>
          <w:i/>
          <w:noProof/>
          <w:lang w:val="en-US" w:eastAsia="en-GB"/>
        </w:rPr>
      </w:pPr>
      <w:r>
        <w:rPr>
          <w:i/>
          <w:noProof/>
          <w:lang w:val="en-US" w:eastAsia="en-GB"/>
        </w:rPr>
        <w:t>M</w:t>
      </w:r>
      <w:r w:rsidRPr="00380C53">
        <w:rPr>
          <w:i/>
          <w:noProof/>
          <w:lang w:val="en-US" w:eastAsia="en-GB"/>
        </w:rPr>
        <w:t>ain changes implemented</w:t>
      </w:r>
    </w:p>
    <w:p w14:paraId="05F541D8" w14:textId="77777777" w:rsidR="001A05B3" w:rsidRPr="001A05B3" w:rsidRDefault="00324E92" w:rsidP="00324E92">
      <w:pPr>
        <w:pBdr>
          <w:top w:val="nil"/>
          <w:left w:val="nil"/>
          <w:bottom w:val="nil"/>
          <w:right w:val="nil"/>
          <w:between w:val="nil"/>
          <w:bar w:val="nil"/>
        </w:pBdr>
        <w:spacing w:before="0" w:after="240"/>
        <w:rPr>
          <w:noProof/>
          <w:lang w:eastAsia="en-GB"/>
        </w:rPr>
      </w:pPr>
      <w:r w:rsidRPr="00380C53">
        <w:rPr>
          <w:noProof/>
          <w:lang w:val="en-US" w:eastAsia="en-GB"/>
        </w:rPr>
        <w:t xml:space="preserve">The </w:t>
      </w:r>
      <w:r>
        <w:rPr>
          <w:noProof/>
          <w:lang w:val="en-US" w:eastAsia="en-GB"/>
        </w:rPr>
        <w:t>RSB</w:t>
      </w:r>
      <w:r w:rsidRPr="00380C53">
        <w:rPr>
          <w:noProof/>
          <w:lang w:val="en-US" w:eastAsia="en-GB"/>
        </w:rPr>
        <w:t xml:space="preserve"> issued a positive opinion with reservations on the IA. In particular, </w:t>
      </w:r>
      <w:r>
        <w:rPr>
          <w:noProof/>
          <w:lang w:val="en-US" w:eastAsia="en-GB"/>
        </w:rPr>
        <w:t>it was</w:t>
      </w:r>
      <w:r w:rsidRPr="00380C53">
        <w:rPr>
          <w:noProof/>
          <w:lang w:val="en-US" w:eastAsia="en-GB"/>
        </w:rPr>
        <w:t xml:space="preserve"> noted that IA </w:t>
      </w:r>
      <w:r>
        <w:rPr>
          <w:noProof/>
          <w:lang w:val="en-US" w:eastAsia="en-GB"/>
        </w:rPr>
        <w:t xml:space="preserve">should better highlight </w:t>
      </w:r>
      <w:r w:rsidR="007A0233">
        <w:rPr>
          <w:noProof/>
          <w:lang w:val="en-US" w:eastAsia="en-GB"/>
        </w:rPr>
        <w:t>how</w:t>
      </w:r>
      <w:r>
        <w:rPr>
          <w:noProof/>
          <w:lang w:val="en-US" w:eastAsia="en-GB"/>
        </w:rPr>
        <w:t xml:space="preserve"> the preferred</w:t>
      </w:r>
      <w:r w:rsidRPr="009E1B8C">
        <w:rPr>
          <w:noProof/>
          <w:lang w:val="en-US" w:eastAsia="en-GB"/>
        </w:rPr>
        <w:t xml:space="preserve"> </w:t>
      </w:r>
      <w:r>
        <w:rPr>
          <w:noProof/>
          <w:lang w:val="en-US" w:eastAsia="en-GB"/>
        </w:rPr>
        <w:t>option</w:t>
      </w:r>
      <w:r w:rsidR="007A0233">
        <w:rPr>
          <w:noProof/>
          <w:lang w:val="en-US" w:eastAsia="en-GB"/>
        </w:rPr>
        <w:t xml:space="preserve"> best achieves the </w:t>
      </w:r>
      <w:r w:rsidR="00024B0B">
        <w:rPr>
          <w:noProof/>
          <w:lang w:val="en-US" w:eastAsia="en-GB"/>
        </w:rPr>
        <w:t>objectives</w:t>
      </w:r>
      <w:r>
        <w:rPr>
          <w:noProof/>
          <w:lang w:val="en-US" w:eastAsia="en-GB"/>
        </w:rPr>
        <w:t xml:space="preserve">. </w:t>
      </w:r>
      <w:r w:rsidRPr="00380C53">
        <w:rPr>
          <w:noProof/>
          <w:lang w:val="en-US" w:eastAsia="en-GB"/>
        </w:rPr>
        <w:t xml:space="preserve">Furthermore, the RSB noted that the IA should be enhanced as regards </w:t>
      </w:r>
      <w:r>
        <w:rPr>
          <w:noProof/>
          <w:lang w:val="en-US" w:eastAsia="en-GB"/>
        </w:rPr>
        <w:t>the possibility to use non regulatory measures</w:t>
      </w:r>
      <w:r w:rsidRPr="00380C53">
        <w:rPr>
          <w:noProof/>
          <w:lang w:val="en-US" w:eastAsia="en-GB"/>
        </w:rPr>
        <w:t xml:space="preserve"> and should better reflect the different stakeholder views </w:t>
      </w:r>
      <w:r w:rsidR="007A0233">
        <w:rPr>
          <w:noProof/>
          <w:lang w:val="en-US" w:eastAsia="en-GB"/>
        </w:rPr>
        <w:t>throughout</w:t>
      </w:r>
      <w:r w:rsidRPr="00380C53">
        <w:rPr>
          <w:noProof/>
          <w:lang w:val="en-US" w:eastAsia="en-GB"/>
        </w:rPr>
        <w:t xml:space="preserve"> the main analysis</w:t>
      </w:r>
      <w:r w:rsidR="007A0233">
        <w:rPr>
          <w:noProof/>
          <w:lang w:val="en-US" w:eastAsia="en-GB"/>
        </w:rPr>
        <w:t xml:space="preserve"> and annexes</w:t>
      </w:r>
      <w:r w:rsidRPr="00380C53">
        <w:rPr>
          <w:noProof/>
          <w:lang w:val="en-US" w:eastAsia="en-GB"/>
        </w:rPr>
        <w:t>. Annex I to the Impact Assessment explains how the RSB reservations were addressed. Several parts of the IA were revised</w:t>
      </w:r>
      <w:r>
        <w:rPr>
          <w:noProof/>
          <w:lang w:val="en-US" w:eastAsia="en-GB"/>
        </w:rPr>
        <w:t>. First, t</w:t>
      </w:r>
      <w:r w:rsidRPr="00380C53">
        <w:rPr>
          <w:noProof/>
          <w:lang w:val="en-US" w:eastAsia="en-GB"/>
        </w:rPr>
        <w:t>he IA has been revis</w:t>
      </w:r>
      <w:r>
        <w:rPr>
          <w:noProof/>
          <w:lang w:val="en-US" w:eastAsia="en-GB"/>
        </w:rPr>
        <w:t xml:space="preserve">ed in order to clarify that a non-regulatory option could not be </w:t>
      </w:r>
      <w:r w:rsidRPr="00B42151">
        <w:rPr>
          <w:noProof/>
          <w:lang w:val="en-US" w:eastAsia="en-GB"/>
        </w:rPr>
        <w:t>eff</w:t>
      </w:r>
      <w:r w:rsidR="006429DB">
        <w:rPr>
          <w:noProof/>
          <w:lang w:val="en-US" w:eastAsia="en-GB"/>
        </w:rPr>
        <w:t>ective</w:t>
      </w:r>
      <w:r w:rsidRPr="00380C53">
        <w:rPr>
          <w:noProof/>
          <w:lang w:val="en-US" w:eastAsia="en-GB"/>
        </w:rPr>
        <w:t xml:space="preserve"> Second, the IA has been expanded in order to reflect in detail </w:t>
      </w:r>
      <w:r w:rsidRPr="00DC09B8">
        <w:rPr>
          <w:noProof/>
          <w:lang w:val="en-US" w:eastAsia="en-GB"/>
        </w:rPr>
        <w:t xml:space="preserve">the scale of anticipated effects on equity investment and </w:t>
      </w:r>
      <w:r>
        <w:rPr>
          <w:noProof/>
          <w:lang w:val="en-US" w:eastAsia="en-GB"/>
        </w:rPr>
        <w:t>the</w:t>
      </w:r>
      <w:r w:rsidRPr="00DC09B8">
        <w:rPr>
          <w:noProof/>
          <w:lang w:val="en-US" w:eastAsia="en-GB"/>
        </w:rPr>
        <w:t xml:space="preserve"> impact </w:t>
      </w:r>
      <w:r>
        <w:rPr>
          <w:noProof/>
          <w:lang w:val="en-US" w:eastAsia="en-GB"/>
        </w:rPr>
        <w:t xml:space="preserve">of the preferred option </w:t>
      </w:r>
      <w:r w:rsidRPr="00DC09B8">
        <w:rPr>
          <w:noProof/>
          <w:lang w:val="en-US" w:eastAsia="en-GB"/>
        </w:rPr>
        <w:t>on tax revenues in absolute terms.</w:t>
      </w:r>
      <w:r>
        <w:rPr>
          <w:noProof/>
          <w:lang w:val="en-US" w:eastAsia="en-GB"/>
        </w:rPr>
        <w:t xml:space="preserve"> </w:t>
      </w:r>
      <w:r w:rsidRPr="00380C53">
        <w:rPr>
          <w:noProof/>
          <w:lang w:val="en-US" w:eastAsia="en-GB"/>
        </w:rPr>
        <w:t>The</w:t>
      </w:r>
      <w:r>
        <w:rPr>
          <w:noProof/>
          <w:lang w:val="en-US" w:eastAsia="en-GB"/>
        </w:rPr>
        <w:t xml:space="preserve"> IA was also enhanced with further analysis of the</w:t>
      </w:r>
      <w:r w:rsidRPr="00380C53">
        <w:rPr>
          <w:noProof/>
          <w:lang w:val="en-US" w:eastAsia="en-GB"/>
        </w:rPr>
        <w:t xml:space="preserve"> reasons why </w:t>
      </w:r>
      <w:r>
        <w:rPr>
          <w:noProof/>
          <w:lang w:val="en-US" w:eastAsia="en-GB"/>
        </w:rPr>
        <w:t xml:space="preserve">an option acting both on the equity and debt sides has </w:t>
      </w:r>
      <w:r w:rsidRPr="00380C53">
        <w:rPr>
          <w:noProof/>
          <w:lang w:val="en-US" w:eastAsia="en-GB"/>
        </w:rPr>
        <w:t xml:space="preserve">been considered </w:t>
      </w:r>
      <w:r>
        <w:rPr>
          <w:noProof/>
          <w:lang w:val="en-US" w:eastAsia="en-GB"/>
        </w:rPr>
        <w:t>as</w:t>
      </w:r>
      <w:r w:rsidRPr="00380C53">
        <w:rPr>
          <w:noProof/>
          <w:lang w:val="en-US" w:eastAsia="en-GB"/>
        </w:rPr>
        <w:t xml:space="preserve"> fit for purpose. Third, several sections of the main part of the IA </w:t>
      </w:r>
      <w:r>
        <w:rPr>
          <w:noProof/>
          <w:lang w:val="en-US" w:eastAsia="en-GB"/>
        </w:rPr>
        <w:t>were</w:t>
      </w:r>
      <w:r w:rsidRPr="00380C53">
        <w:rPr>
          <w:noProof/>
          <w:lang w:val="en-US" w:eastAsia="en-GB"/>
        </w:rPr>
        <w:t xml:space="preserve"> revised in order to include relevant stakeholder input, gathered through </w:t>
      </w:r>
      <w:r>
        <w:rPr>
          <w:noProof/>
          <w:lang w:val="en-US" w:eastAsia="en-GB"/>
        </w:rPr>
        <w:t xml:space="preserve">the open </w:t>
      </w:r>
      <w:r w:rsidRPr="00380C53">
        <w:rPr>
          <w:noProof/>
          <w:lang w:val="en-US" w:eastAsia="en-GB"/>
        </w:rPr>
        <w:t>pu</w:t>
      </w:r>
      <w:r>
        <w:rPr>
          <w:noProof/>
          <w:lang w:val="en-US" w:eastAsia="en-GB"/>
        </w:rPr>
        <w:t>blic consultation procedure</w:t>
      </w:r>
      <w:r w:rsidRPr="00380C53">
        <w:rPr>
          <w:noProof/>
          <w:lang w:val="en-US" w:eastAsia="en-GB"/>
        </w:rPr>
        <w:t>.</w:t>
      </w:r>
      <w:r w:rsidR="001A05B3" w:rsidRPr="001A05B3">
        <w:rPr>
          <w:noProof/>
          <w:lang w:eastAsia="en-GB"/>
        </w:rPr>
        <w:t xml:space="preserve"> </w:t>
      </w:r>
    </w:p>
    <w:p w14:paraId="05F541D9" w14:textId="77777777" w:rsidR="001A05B3" w:rsidRPr="001A05B3" w:rsidRDefault="001A05B3" w:rsidP="00D32A47">
      <w:pPr>
        <w:pStyle w:val="ManualHeading1"/>
        <w:rPr>
          <w:noProof/>
        </w:rPr>
      </w:pPr>
      <w:r w:rsidRPr="001A05B3">
        <w:rPr>
          <w:noProof/>
        </w:rPr>
        <w:t>4.</w:t>
      </w:r>
      <w:r w:rsidRPr="001A05B3">
        <w:rPr>
          <w:noProof/>
        </w:rPr>
        <w:tab/>
        <w:t>BUDGETARY IMPLICATIONS</w:t>
      </w:r>
    </w:p>
    <w:p w14:paraId="05F541DA" w14:textId="77777777" w:rsidR="001A05B3" w:rsidRPr="00E51EEB" w:rsidRDefault="001A05B3" w:rsidP="00E51EEB">
      <w:pPr>
        <w:pBdr>
          <w:top w:val="nil"/>
          <w:left w:val="nil"/>
          <w:bottom w:val="nil"/>
          <w:right w:val="nil"/>
          <w:between w:val="nil"/>
          <w:bar w:val="nil"/>
        </w:pBdr>
        <w:spacing w:before="0" w:after="240"/>
        <w:rPr>
          <w:noProof/>
        </w:rPr>
      </w:pPr>
      <w:r w:rsidRPr="001A05B3">
        <w:rPr>
          <w:noProof/>
        </w:rPr>
        <w:t>See Legislative Financial Statement</w:t>
      </w:r>
      <w:r w:rsidR="00637CB9" w:rsidRPr="00E51EEB">
        <w:rPr>
          <w:noProof/>
        </w:rPr>
        <w:t>.</w:t>
      </w:r>
    </w:p>
    <w:p w14:paraId="05F541DB" w14:textId="77777777" w:rsidR="001A05B3" w:rsidRPr="001A05B3" w:rsidRDefault="001A05B3" w:rsidP="00D32A47">
      <w:pPr>
        <w:pStyle w:val="ManualHeading1"/>
        <w:rPr>
          <w:noProof/>
        </w:rPr>
      </w:pPr>
      <w:r w:rsidRPr="001A05B3">
        <w:rPr>
          <w:noProof/>
        </w:rPr>
        <w:t>5.</w:t>
      </w:r>
      <w:r w:rsidRPr="001A05B3">
        <w:rPr>
          <w:noProof/>
        </w:rPr>
        <w:tab/>
        <w:t>OTHER ELEMENTS</w:t>
      </w:r>
    </w:p>
    <w:p w14:paraId="05F541DC"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Implementation plans and monitoring, evaluation and reporting arrangements</w:t>
      </w:r>
    </w:p>
    <w:p w14:paraId="05F541DD" w14:textId="77777777" w:rsidR="003B1540" w:rsidRPr="00380C53" w:rsidRDefault="003B1540" w:rsidP="003B1540">
      <w:pPr>
        <w:pBdr>
          <w:top w:val="nil"/>
          <w:left w:val="nil"/>
          <w:bottom w:val="nil"/>
          <w:right w:val="nil"/>
          <w:between w:val="nil"/>
          <w:bar w:val="nil"/>
        </w:pBdr>
        <w:spacing w:before="0" w:after="240"/>
        <w:rPr>
          <w:noProof/>
        </w:rPr>
      </w:pPr>
      <w:r w:rsidRPr="00380C53">
        <w:rPr>
          <w:noProof/>
        </w:rPr>
        <w:t>This proposal</w:t>
      </w:r>
      <w:r>
        <w:rPr>
          <w:noProof/>
        </w:rPr>
        <w:t>, once adopted as a Directive,</w:t>
      </w:r>
      <w:r w:rsidRPr="00380C53">
        <w:rPr>
          <w:noProof/>
        </w:rPr>
        <w:t xml:space="preserve"> should be transposed </w:t>
      </w:r>
      <w:r>
        <w:rPr>
          <w:noProof/>
        </w:rPr>
        <w:t>in</w:t>
      </w:r>
      <w:r w:rsidRPr="00380C53">
        <w:rPr>
          <w:noProof/>
        </w:rPr>
        <w:t>to Member States’ national law by 31 December 2023</w:t>
      </w:r>
      <w:r>
        <w:rPr>
          <w:noProof/>
        </w:rPr>
        <w:t xml:space="preserve"> and </w:t>
      </w:r>
      <w:r w:rsidRPr="00380C53">
        <w:rPr>
          <w:noProof/>
        </w:rPr>
        <w:t xml:space="preserve">come into effect </w:t>
      </w:r>
      <w:r>
        <w:rPr>
          <w:noProof/>
        </w:rPr>
        <w:t>as o</w:t>
      </w:r>
      <w:r w:rsidRPr="00380C53">
        <w:rPr>
          <w:noProof/>
        </w:rPr>
        <w:t xml:space="preserve">f 1 January 2024. For the purpose of monitoring and evaluation of the implementation of the Directive, Member States </w:t>
      </w:r>
      <w:r>
        <w:rPr>
          <w:noProof/>
        </w:rPr>
        <w:t>will have to</w:t>
      </w:r>
      <w:r w:rsidRPr="00380C53">
        <w:rPr>
          <w:noProof/>
        </w:rPr>
        <w:t xml:space="preserve"> provide the Commission</w:t>
      </w:r>
      <w:r>
        <w:rPr>
          <w:noProof/>
        </w:rPr>
        <w:t>,</w:t>
      </w:r>
      <w:r w:rsidRPr="00380C53">
        <w:rPr>
          <w:noProof/>
        </w:rPr>
        <w:t xml:space="preserve"> on a yearly basis</w:t>
      </w:r>
      <w:r>
        <w:rPr>
          <w:noProof/>
        </w:rPr>
        <w:t>, with</w:t>
      </w:r>
      <w:r w:rsidRPr="00380C53">
        <w:rPr>
          <w:noProof/>
        </w:rPr>
        <w:t xml:space="preserve"> relevant information per tax year, including </w:t>
      </w:r>
      <w:r>
        <w:rPr>
          <w:noProof/>
        </w:rPr>
        <w:t xml:space="preserve">a </w:t>
      </w:r>
      <w:r w:rsidRPr="00380C53">
        <w:rPr>
          <w:noProof/>
        </w:rPr>
        <w:t xml:space="preserve">list of statistical data. The </w:t>
      </w:r>
      <w:r>
        <w:rPr>
          <w:noProof/>
        </w:rPr>
        <w:t xml:space="preserve">relevant </w:t>
      </w:r>
      <w:r w:rsidRPr="00380C53">
        <w:rPr>
          <w:noProof/>
        </w:rPr>
        <w:t xml:space="preserve">information is </w:t>
      </w:r>
      <w:r>
        <w:rPr>
          <w:noProof/>
        </w:rPr>
        <w:t>set out</w:t>
      </w:r>
      <w:r w:rsidRPr="00380C53">
        <w:rPr>
          <w:noProof/>
        </w:rPr>
        <w:t xml:space="preserve"> </w:t>
      </w:r>
      <w:r>
        <w:rPr>
          <w:noProof/>
        </w:rPr>
        <w:t>in Article 7</w:t>
      </w:r>
      <w:r w:rsidRPr="00380C53">
        <w:rPr>
          <w:noProof/>
        </w:rPr>
        <w:t xml:space="preserve"> of the Directive. </w:t>
      </w:r>
    </w:p>
    <w:p w14:paraId="05F541DE" w14:textId="77777777" w:rsidR="001A05B3" w:rsidRPr="001A05B3" w:rsidRDefault="003B1540" w:rsidP="003B1540">
      <w:pPr>
        <w:pBdr>
          <w:top w:val="nil"/>
          <w:left w:val="nil"/>
          <w:bottom w:val="nil"/>
          <w:right w:val="nil"/>
          <w:between w:val="nil"/>
          <w:bar w:val="nil"/>
        </w:pBdr>
        <w:spacing w:before="0" w:after="240"/>
        <w:rPr>
          <w:rFonts w:eastAsia="Arial Unicode MS"/>
          <w:noProof/>
        </w:rPr>
      </w:pPr>
      <w:r w:rsidRPr="00380C53">
        <w:rPr>
          <w:noProof/>
        </w:rPr>
        <w:t>The Commission shall submit a report on the application of this Directive to the European Parliament and to the Council every five years, which should start c</w:t>
      </w:r>
      <w:r w:rsidRPr="003B1540">
        <w:rPr>
          <w:noProof/>
        </w:rPr>
        <w:t>ounting after [1 January 2024]. The results of this proposal will be included in the report to the European Parliament and to the Council that will be issued by [1 January 2029].</w:t>
      </w:r>
    </w:p>
    <w:p w14:paraId="05F541DF" w14:textId="77777777" w:rsidR="001A05B3" w:rsidRPr="001A05B3" w:rsidRDefault="001A05B3" w:rsidP="00D32A47">
      <w:pPr>
        <w:pStyle w:val="ManualHeading2"/>
        <w:rPr>
          <w:noProof/>
          <w:u w:color="000000"/>
          <w:bdr w:val="nil"/>
          <w:lang w:eastAsia="en-GB"/>
        </w:rPr>
      </w:pPr>
      <w:r w:rsidRPr="001A05B3">
        <w:rPr>
          <w:noProof/>
          <w:u w:color="000000"/>
          <w:bdr w:val="nil"/>
          <w:lang w:eastAsia="en-GB"/>
        </w:rPr>
        <w:t>•</w:t>
      </w:r>
      <w:r w:rsidRPr="001A05B3">
        <w:rPr>
          <w:noProof/>
          <w:u w:color="000000"/>
          <w:bdr w:val="nil"/>
          <w:lang w:eastAsia="en-GB"/>
        </w:rPr>
        <w:tab/>
        <w:t>Detailed explanation of the specific provisions of the proposal</w:t>
      </w:r>
    </w:p>
    <w:p w14:paraId="05F541E0" w14:textId="77777777" w:rsidR="00E97345" w:rsidRDefault="00E97345" w:rsidP="000638ED">
      <w:pPr>
        <w:rPr>
          <w:noProof/>
        </w:rPr>
      </w:pPr>
      <w:r>
        <w:rPr>
          <w:noProof/>
        </w:rPr>
        <w:t>This proposal applies to all taxpayers which are subject to corporate income tax in one or more Member States, with the exception of financial undertakings, as defined in Article 3(1)</w:t>
      </w:r>
      <w:r w:rsidR="001C0BBB">
        <w:rPr>
          <w:noProof/>
        </w:rPr>
        <w:t>.</w:t>
      </w:r>
      <w:r w:rsidR="005F0653">
        <w:rPr>
          <w:noProof/>
        </w:rPr>
        <w:t xml:space="preserve"> </w:t>
      </w:r>
    </w:p>
    <w:p w14:paraId="05F541E1" w14:textId="33F7FFEE" w:rsidR="00E97345" w:rsidRDefault="00E97345" w:rsidP="000638ED">
      <w:pPr>
        <w:rPr>
          <w:noProof/>
        </w:rPr>
      </w:pPr>
      <w:r>
        <w:rPr>
          <w:noProof/>
        </w:rPr>
        <w:t xml:space="preserve">It includes two </w:t>
      </w:r>
      <w:r w:rsidR="00455EEB">
        <w:rPr>
          <w:noProof/>
        </w:rPr>
        <w:t xml:space="preserve">separate </w:t>
      </w:r>
      <w:r>
        <w:rPr>
          <w:noProof/>
        </w:rPr>
        <w:t>measures</w:t>
      </w:r>
      <w:r w:rsidR="00455EEB">
        <w:rPr>
          <w:noProof/>
        </w:rPr>
        <w:t xml:space="preserve"> that apply independently</w:t>
      </w:r>
      <w:r>
        <w:rPr>
          <w:noProof/>
        </w:rPr>
        <w:t>: 1) an allowance on equity; and 2) a limitation to interest deduction.</w:t>
      </w:r>
      <w:r w:rsidR="001C0BBB">
        <w:rPr>
          <w:noProof/>
        </w:rPr>
        <w:t xml:space="preserve"> </w:t>
      </w:r>
      <w:r w:rsidR="0079592D">
        <w:rPr>
          <w:noProof/>
        </w:rPr>
        <w:t>F</w:t>
      </w:r>
      <w:r w:rsidR="001C0BBB">
        <w:rPr>
          <w:noProof/>
        </w:rPr>
        <w:t xml:space="preserve">inancial undertakings </w:t>
      </w:r>
      <w:r w:rsidR="00455EEB">
        <w:rPr>
          <w:noProof/>
        </w:rPr>
        <w:t xml:space="preserve">are not in the scope of the measures. </w:t>
      </w:r>
      <w:r w:rsidR="001F2DEF">
        <w:rPr>
          <w:noProof/>
        </w:rPr>
        <w:t xml:space="preserve">Some financial undertakings are subject to </w:t>
      </w:r>
      <w:r w:rsidR="00A81E72">
        <w:rPr>
          <w:noProof/>
        </w:rPr>
        <w:t>regulatory equity requirements that prevent under-equitisation</w:t>
      </w:r>
      <w:r w:rsidR="001C0BBB">
        <w:rPr>
          <w:noProof/>
        </w:rPr>
        <w:t>. In addition,</w:t>
      </w:r>
      <w:r w:rsidR="00455EEB">
        <w:rPr>
          <w:noProof/>
        </w:rPr>
        <w:t xml:space="preserve"> </w:t>
      </w:r>
      <w:r w:rsidR="001F2DEF">
        <w:rPr>
          <w:noProof/>
        </w:rPr>
        <w:t xml:space="preserve">many are unlikely to be affected by the countervailing </w:t>
      </w:r>
      <w:r w:rsidR="001C0BBB">
        <w:rPr>
          <w:noProof/>
        </w:rPr>
        <w:t xml:space="preserve">interest limitation deduction </w:t>
      </w:r>
      <w:r w:rsidR="00455EEB">
        <w:rPr>
          <w:noProof/>
        </w:rPr>
        <w:t>applicable</w:t>
      </w:r>
      <w:r w:rsidR="001C0BBB">
        <w:rPr>
          <w:noProof/>
        </w:rPr>
        <w:t xml:space="preserve"> to exceeding borrowing costs.</w:t>
      </w:r>
      <w:r w:rsidR="00455EEB" w:rsidRPr="00455EEB">
        <w:rPr>
          <w:noProof/>
        </w:rPr>
        <w:t xml:space="preserve"> </w:t>
      </w:r>
      <w:r w:rsidR="001F2DEF">
        <w:rPr>
          <w:noProof/>
        </w:rPr>
        <w:t>Therefore, should</w:t>
      </w:r>
      <w:r w:rsidR="00455EEB">
        <w:rPr>
          <w:noProof/>
        </w:rPr>
        <w:t xml:space="preserve"> financial undertakings </w:t>
      </w:r>
      <w:r w:rsidR="001F2DEF">
        <w:rPr>
          <w:noProof/>
        </w:rPr>
        <w:t>be</w:t>
      </w:r>
      <w:r w:rsidR="00455EEB">
        <w:rPr>
          <w:noProof/>
        </w:rPr>
        <w:t xml:space="preserve"> included in</w:t>
      </w:r>
      <w:r w:rsidR="001F2DEF">
        <w:rPr>
          <w:noProof/>
        </w:rPr>
        <w:t xml:space="preserve"> the</w:t>
      </w:r>
      <w:r w:rsidR="00455EEB">
        <w:rPr>
          <w:noProof/>
        </w:rPr>
        <w:t xml:space="preserve"> scope, the economic burden of the measures would be unequally distributed at the expense of non-financial undertakings. </w:t>
      </w:r>
    </w:p>
    <w:p w14:paraId="05F541E2" w14:textId="77777777" w:rsidR="00E97345" w:rsidRPr="00446448" w:rsidRDefault="00687F25" w:rsidP="00687F25">
      <w:pPr>
        <w:pStyle w:val="ManualHeading2"/>
        <w:rPr>
          <w:b w:val="0"/>
          <w:noProof/>
        </w:rPr>
      </w:pPr>
      <w:r w:rsidRPr="001A05B3">
        <w:rPr>
          <w:noProof/>
          <w:color w:val="000000"/>
          <w:u w:color="000000"/>
          <w:bdr w:val="nil"/>
          <w:lang w:eastAsia="en-GB"/>
        </w:rPr>
        <w:t>•</w:t>
      </w:r>
      <w:r w:rsidRPr="001A05B3">
        <w:rPr>
          <w:noProof/>
          <w:color w:val="000000"/>
          <w:u w:color="000000"/>
          <w:bdr w:val="nil"/>
          <w:lang w:eastAsia="en-GB"/>
        </w:rPr>
        <w:tab/>
      </w:r>
      <w:r w:rsidR="00E97345" w:rsidRPr="00446448">
        <w:rPr>
          <w:noProof/>
        </w:rPr>
        <w:t>Allowance on equity</w:t>
      </w:r>
    </w:p>
    <w:p w14:paraId="05F541E3" w14:textId="77777777" w:rsidR="00CA5699" w:rsidRDefault="00E97345" w:rsidP="000638ED">
      <w:pPr>
        <w:rPr>
          <w:noProof/>
        </w:rPr>
      </w:pPr>
      <w:r>
        <w:rPr>
          <w:noProof/>
        </w:rPr>
        <w:t xml:space="preserve"> </w:t>
      </w:r>
      <w:r w:rsidR="000638ED" w:rsidRPr="00583709">
        <w:rPr>
          <w:noProof/>
        </w:rPr>
        <w:t>The allowance on equity is computed by multiplying the allowance base with the relevant notional interest rate.</w:t>
      </w:r>
      <w:r w:rsidR="000638ED" w:rsidRPr="0096045A">
        <w:rPr>
          <w:noProof/>
        </w:rPr>
        <w:t xml:space="preserve"> </w:t>
      </w:r>
    </w:p>
    <w:p w14:paraId="05F541E4" w14:textId="77777777" w:rsidR="00395FDE" w:rsidRDefault="00395FDE" w:rsidP="00365D05">
      <w:pPr>
        <w:ind w:firstLine="720"/>
        <w:rPr>
          <w:noProof/>
        </w:rPr>
      </w:pPr>
      <w:r>
        <w:rPr>
          <w:noProof/>
        </w:rPr>
        <w:t>Allowance on equity = Allowance Base X Notional Interest Rate (NIR)</w:t>
      </w:r>
    </w:p>
    <w:p w14:paraId="05F541E5" w14:textId="77777777" w:rsidR="00CA5699" w:rsidRDefault="000638ED" w:rsidP="000638ED">
      <w:pPr>
        <w:rPr>
          <w:noProof/>
        </w:rPr>
      </w:pPr>
      <w:r w:rsidRPr="0096045A">
        <w:rPr>
          <w:noProof/>
        </w:rPr>
        <w:t xml:space="preserve">The </w:t>
      </w:r>
      <w:r w:rsidRPr="00583709">
        <w:rPr>
          <w:bCs/>
          <w:noProof/>
        </w:rPr>
        <w:t>allowance base</w:t>
      </w:r>
      <w:r w:rsidRPr="0096045A">
        <w:rPr>
          <w:noProof/>
        </w:rPr>
        <w:t xml:space="preserve"> </w:t>
      </w:r>
      <w:r>
        <w:rPr>
          <w:noProof/>
        </w:rPr>
        <w:t>is</w:t>
      </w:r>
      <w:r w:rsidRPr="0096045A">
        <w:rPr>
          <w:noProof/>
        </w:rPr>
        <w:t xml:space="preserve"> equal to the difference between equity</w:t>
      </w:r>
      <w:r>
        <w:rPr>
          <w:noProof/>
        </w:rPr>
        <w:t xml:space="preserve"> </w:t>
      </w:r>
      <w:r w:rsidRPr="0096045A">
        <w:rPr>
          <w:noProof/>
        </w:rPr>
        <w:t>at the end of the tax year and equity at the end of the previous tax year</w:t>
      </w:r>
      <w:r>
        <w:rPr>
          <w:noProof/>
        </w:rPr>
        <w:t xml:space="preserve"> that</w:t>
      </w:r>
      <w:r w:rsidRPr="0096045A">
        <w:rPr>
          <w:noProof/>
        </w:rPr>
        <w:t xml:space="preserve"> </w:t>
      </w:r>
      <w:r>
        <w:rPr>
          <w:noProof/>
        </w:rPr>
        <w:t>is</w:t>
      </w:r>
      <w:r w:rsidRPr="0096045A">
        <w:rPr>
          <w:noProof/>
        </w:rPr>
        <w:t xml:space="preserve"> </w:t>
      </w:r>
      <w:r>
        <w:rPr>
          <w:noProof/>
        </w:rPr>
        <w:t>the year-on-year increase in equity</w:t>
      </w:r>
      <w:r w:rsidRPr="0096045A">
        <w:rPr>
          <w:noProof/>
        </w:rPr>
        <w:t>.</w:t>
      </w:r>
      <w:r>
        <w:rPr>
          <w:noProof/>
        </w:rPr>
        <w:t xml:space="preserve"> </w:t>
      </w:r>
    </w:p>
    <w:p w14:paraId="05F541E6" w14:textId="7D67E6BA" w:rsidR="000638ED" w:rsidRDefault="00455EEB" w:rsidP="000638ED">
      <w:pPr>
        <w:rPr>
          <w:noProof/>
        </w:rPr>
      </w:pPr>
      <w:r>
        <w:rPr>
          <w:noProof/>
        </w:rPr>
        <w:t>If the allowance base</w:t>
      </w:r>
      <w:r w:rsidR="00654D22">
        <w:rPr>
          <w:noProof/>
        </w:rPr>
        <w:t xml:space="preserve"> of a taxpayer that has </w:t>
      </w:r>
      <w:r w:rsidR="006B308C">
        <w:rPr>
          <w:noProof/>
        </w:rPr>
        <w:t xml:space="preserve">already </w:t>
      </w:r>
      <w:r w:rsidR="00654D22">
        <w:rPr>
          <w:noProof/>
        </w:rPr>
        <w:t xml:space="preserve">benefitted from an allowance on equity under the </w:t>
      </w:r>
      <w:r w:rsidR="006B308C">
        <w:rPr>
          <w:noProof/>
        </w:rPr>
        <w:t>rules</w:t>
      </w:r>
      <w:r w:rsidR="00654D22">
        <w:rPr>
          <w:noProof/>
        </w:rPr>
        <w:t xml:space="preserve"> of this </w:t>
      </w:r>
      <w:r w:rsidR="006B308C">
        <w:rPr>
          <w:noProof/>
        </w:rPr>
        <w:t>Directive</w:t>
      </w:r>
      <w:r w:rsidR="00654D22">
        <w:rPr>
          <w:noProof/>
        </w:rPr>
        <w:t>,</w:t>
      </w:r>
      <w:r>
        <w:rPr>
          <w:noProof/>
        </w:rPr>
        <w:t xml:space="preserve"> </w:t>
      </w:r>
      <w:r w:rsidR="00C41975">
        <w:rPr>
          <w:noProof/>
        </w:rPr>
        <w:t>is</w:t>
      </w:r>
      <w:r>
        <w:rPr>
          <w:noProof/>
        </w:rPr>
        <w:t xml:space="preserve"> negative in a given tax </w:t>
      </w:r>
      <w:r w:rsidR="00AD085E">
        <w:rPr>
          <w:noProof/>
        </w:rPr>
        <w:t xml:space="preserve">period </w:t>
      </w:r>
      <w:r>
        <w:rPr>
          <w:noProof/>
        </w:rPr>
        <w:t>(equity decrease)</w:t>
      </w:r>
      <w:r w:rsidR="006B308C">
        <w:rPr>
          <w:noProof/>
        </w:rPr>
        <w:t>,</w:t>
      </w:r>
      <w:r>
        <w:rPr>
          <w:noProof/>
        </w:rPr>
        <w:t xml:space="preserve"> a proportionate amount </w:t>
      </w:r>
      <w:r w:rsidR="006B308C">
        <w:rPr>
          <w:noProof/>
        </w:rPr>
        <w:t xml:space="preserve">will </w:t>
      </w:r>
      <w:r>
        <w:rPr>
          <w:noProof/>
        </w:rPr>
        <w:t>become taxable</w:t>
      </w:r>
      <w:r w:rsidR="00AD085E" w:rsidRPr="00AD085E">
        <w:rPr>
          <w:noProof/>
        </w:rPr>
        <w:t xml:space="preserve"> for 10 consecutive tax periods</w:t>
      </w:r>
      <w:r w:rsidR="00654D22">
        <w:rPr>
          <w:noProof/>
        </w:rPr>
        <w:t xml:space="preserve"> and</w:t>
      </w:r>
      <w:r w:rsidR="00AD085E" w:rsidRPr="00AD085E">
        <w:rPr>
          <w:noProof/>
        </w:rPr>
        <w:t xml:space="preserve"> up to the </w:t>
      </w:r>
      <w:r w:rsidR="00654D22">
        <w:rPr>
          <w:noProof/>
        </w:rPr>
        <w:t>total</w:t>
      </w:r>
      <w:r w:rsidR="00AD085E" w:rsidRPr="00AD085E">
        <w:rPr>
          <w:noProof/>
        </w:rPr>
        <w:t xml:space="preserve"> increase of net equity for which </w:t>
      </w:r>
      <w:r w:rsidR="00654D22">
        <w:rPr>
          <w:noProof/>
        </w:rPr>
        <w:t xml:space="preserve">such </w:t>
      </w:r>
      <w:r w:rsidR="00AD085E" w:rsidRPr="00AD085E">
        <w:rPr>
          <w:noProof/>
        </w:rPr>
        <w:t xml:space="preserve">allowance </w:t>
      </w:r>
      <w:r w:rsidR="006B308C">
        <w:rPr>
          <w:noProof/>
        </w:rPr>
        <w:t>has been</w:t>
      </w:r>
      <w:r w:rsidR="00AD085E" w:rsidRPr="00AD085E">
        <w:rPr>
          <w:noProof/>
        </w:rPr>
        <w:t xml:space="preserve"> obtained</w:t>
      </w:r>
      <w:r>
        <w:rPr>
          <w:noProof/>
        </w:rPr>
        <w:t xml:space="preserve">, unless the taxpayer provides evidence that this is due to losses incurred during the tax </w:t>
      </w:r>
      <w:r w:rsidR="00AD085E">
        <w:rPr>
          <w:noProof/>
        </w:rPr>
        <w:t>period</w:t>
      </w:r>
      <w:r w:rsidR="00654D22">
        <w:rPr>
          <w:noProof/>
        </w:rPr>
        <w:t xml:space="preserve"> or due to a legal obligation</w:t>
      </w:r>
      <w:r>
        <w:rPr>
          <w:noProof/>
        </w:rPr>
        <w:t>.</w:t>
      </w:r>
    </w:p>
    <w:p w14:paraId="05F541E7" w14:textId="77777777" w:rsidR="000638ED" w:rsidRPr="0096045A" w:rsidRDefault="000638ED" w:rsidP="000638ED">
      <w:pPr>
        <w:rPr>
          <w:noProof/>
        </w:rPr>
      </w:pPr>
      <w:r>
        <w:rPr>
          <w:noProof/>
        </w:rPr>
        <w:t>E</w:t>
      </w:r>
      <w:r w:rsidRPr="0078773F">
        <w:rPr>
          <w:noProof/>
        </w:rPr>
        <w:t>quity</w:t>
      </w:r>
      <w:r>
        <w:rPr>
          <w:noProof/>
        </w:rPr>
        <w:t xml:space="preserve"> </w:t>
      </w:r>
      <w:r w:rsidR="00900381">
        <w:rPr>
          <w:noProof/>
        </w:rPr>
        <w:t>is defined by reference to Directive 2013/34/EU (</w:t>
      </w:r>
      <w:r>
        <w:rPr>
          <w:noProof/>
        </w:rPr>
        <w:t>Accounting Directive</w:t>
      </w:r>
      <w:r w:rsidR="00900381">
        <w:rPr>
          <w:noProof/>
        </w:rPr>
        <w:t>)</w:t>
      </w:r>
      <w:r w:rsidR="00900381" w:rsidRPr="008640C6">
        <w:rPr>
          <w:rStyle w:val="FootnoteReference"/>
          <w:noProof/>
        </w:rPr>
        <w:footnoteReference w:id="10"/>
      </w:r>
      <w:r w:rsidR="00900381">
        <w:rPr>
          <w:noProof/>
        </w:rPr>
        <w:t>, meaning</w:t>
      </w:r>
      <w:r w:rsidR="00900381" w:rsidRPr="00900381">
        <w:rPr>
          <w:noProof/>
        </w:rPr>
        <w:t xml:space="preserve"> </w:t>
      </w:r>
      <w:r w:rsidR="00900381" w:rsidRPr="00807C46">
        <w:rPr>
          <w:noProof/>
        </w:rPr>
        <w:t>the sum of</w:t>
      </w:r>
      <w:r w:rsidR="00900381">
        <w:rPr>
          <w:noProof/>
        </w:rPr>
        <w:t xml:space="preserve"> </w:t>
      </w:r>
      <w:r w:rsidR="006E6575">
        <w:rPr>
          <w:noProof/>
        </w:rPr>
        <w:t>Paid-up</w:t>
      </w:r>
      <w:r w:rsidR="00900381">
        <w:rPr>
          <w:noProof/>
        </w:rPr>
        <w:t xml:space="preserve"> Capital, Share premium account, </w:t>
      </w:r>
      <w:r w:rsidR="00900381" w:rsidRPr="0096045A">
        <w:rPr>
          <w:noProof/>
        </w:rPr>
        <w:t>Revaluation reserve and</w:t>
      </w:r>
      <w:r w:rsidR="00900381">
        <w:rPr>
          <w:noProof/>
        </w:rPr>
        <w:t xml:space="preserve"> </w:t>
      </w:r>
      <w:r w:rsidR="00900381" w:rsidRPr="0096045A">
        <w:rPr>
          <w:noProof/>
        </w:rPr>
        <w:t>Reserves</w:t>
      </w:r>
      <w:r w:rsidR="00900381" w:rsidRPr="008640C6">
        <w:rPr>
          <w:rStyle w:val="FootnoteReference"/>
          <w:noProof/>
        </w:rPr>
        <w:footnoteReference w:id="11"/>
      </w:r>
      <w:r w:rsidR="00900381">
        <w:rPr>
          <w:noProof/>
        </w:rPr>
        <w:t xml:space="preserve"> and Profits or Losses carried forward.</w:t>
      </w:r>
      <w:r>
        <w:rPr>
          <w:noProof/>
        </w:rPr>
        <w:t xml:space="preserve"> </w:t>
      </w:r>
      <w:r w:rsidRPr="00807C46">
        <w:rPr>
          <w:noProof/>
        </w:rPr>
        <w:t xml:space="preserve">Net equity is then defined as the difference between the equity of a taxpayer and the </w:t>
      </w:r>
      <w:r w:rsidR="006E6575">
        <w:rPr>
          <w:noProof/>
        </w:rPr>
        <w:t xml:space="preserve">sum of the </w:t>
      </w:r>
      <w:r w:rsidRPr="00807C46">
        <w:rPr>
          <w:noProof/>
        </w:rPr>
        <w:t xml:space="preserve">tax value of its participation in the capital of associated enterprises and </w:t>
      </w:r>
      <w:r w:rsidR="00DA0C88">
        <w:rPr>
          <w:noProof/>
        </w:rPr>
        <w:t xml:space="preserve">of </w:t>
      </w:r>
      <w:r w:rsidRPr="00807C46">
        <w:rPr>
          <w:noProof/>
        </w:rPr>
        <w:t>its own shares. This definition is meant to prevent cascading the</w:t>
      </w:r>
      <w:r w:rsidRPr="0096045A">
        <w:rPr>
          <w:noProof/>
        </w:rPr>
        <w:t xml:space="preserve"> allowance through participations.</w:t>
      </w:r>
    </w:p>
    <w:p w14:paraId="05F541E8" w14:textId="4EB8D574" w:rsidR="000638ED" w:rsidRDefault="000638ED" w:rsidP="000638ED">
      <w:pPr>
        <w:rPr>
          <w:noProof/>
        </w:rPr>
      </w:pPr>
      <w:r w:rsidRPr="009D40CA">
        <w:rPr>
          <w:bCs/>
          <w:noProof/>
        </w:rPr>
        <w:t>The</w:t>
      </w:r>
      <w:r w:rsidRPr="009D40CA">
        <w:rPr>
          <w:noProof/>
        </w:rPr>
        <w:t xml:space="preserve"> </w:t>
      </w:r>
      <w:r w:rsidR="00900381">
        <w:rPr>
          <w:noProof/>
        </w:rPr>
        <w:t>relevant</w:t>
      </w:r>
      <w:r w:rsidRPr="009D40CA">
        <w:rPr>
          <w:noProof/>
        </w:rPr>
        <w:t xml:space="preserve"> notional interest rate </w:t>
      </w:r>
      <w:r w:rsidRPr="009D40CA">
        <w:rPr>
          <w:bCs/>
          <w:noProof/>
        </w:rPr>
        <w:t>is b</w:t>
      </w:r>
      <w:r w:rsidRPr="009D40CA">
        <w:rPr>
          <w:noProof/>
        </w:rPr>
        <w:t>ased on two components: the risk-free interest rate and a risk premium</w:t>
      </w:r>
      <w:r>
        <w:rPr>
          <w:noProof/>
        </w:rPr>
        <w:t xml:space="preserve">. </w:t>
      </w:r>
      <w:r w:rsidRPr="00960F22">
        <w:rPr>
          <w:noProof/>
        </w:rPr>
        <w:t>The risk-free interest rate is the risk-free interest rate with a maturity of ten years, as laid down in the implementing acts to Article 77e(2) of Directive 2009/138/EC</w:t>
      </w:r>
      <w:r w:rsidRPr="008640C6">
        <w:rPr>
          <w:rStyle w:val="FootnoteReference"/>
          <w:noProof/>
        </w:rPr>
        <w:footnoteReference w:id="12"/>
      </w:r>
      <w:r w:rsidRPr="00960F22">
        <w:rPr>
          <w:noProof/>
        </w:rPr>
        <w:t>, in which the allowance is claimed, for the currency of the taxpayer. The risk premium is set at 1%, to better account for the risk premium that investors actually pay and better mitigate the bias.</w:t>
      </w:r>
      <w:r w:rsidRPr="009D40CA">
        <w:rPr>
          <w:noProof/>
        </w:rPr>
        <w:t xml:space="preserve"> </w:t>
      </w:r>
      <w:r>
        <w:rPr>
          <w:noProof/>
        </w:rPr>
        <w:t>The risk premium is set at 1.5% in the case of taxpayers qualifying as small or medium-sized enterprises, to better reflect the higher risk premium they incur</w:t>
      </w:r>
      <w:r w:rsidR="00CD0BE9">
        <w:rPr>
          <w:noProof/>
        </w:rPr>
        <w:t xml:space="preserve"> to obtain financing</w:t>
      </w:r>
      <w:r>
        <w:rPr>
          <w:noProof/>
        </w:rPr>
        <w:t xml:space="preserve">. </w:t>
      </w:r>
      <w:r w:rsidR="000D2B64" w:rsidRPr="000D2B64">
        <w:rPr>
          <w:noProof/>
        </w:rPr>
        <w:t xml:space="preserve">There should be no discretion on the part of Member States as to whether to apply </w:t>
      </w:r>
      <w:r w:rsidR="000D2B64">
        <w:rPr>
          <w:noProof/>
        </w:rPr>
        <w:t>this</w:t>
      </w:r>
      <w:r w:rsidR="000D2B64" w:rsidRPr="000D2B64">
        <w:rPr>
          <w:noProof/>
        </w:rPr>
        <w:t xml:space="preserve"> higher rate for SMEs or what rate to apply as the top-up for SMEs in order to avoid selectivity concerns as regards EU State Aids rules and to ensure a level playing field for SMEs in the EU regardless of their place of residence</w:t>
      </w:r>
      <w:r w:rsidR="000D2B64">
        <w:rPr>
          <w:noProof/>
        </w:rPr>
        <w:t>.</w:t>
      </w:r>
    </w:p>
    <w:p w14:paraId="05F541E9" w14:textId="18FAE7EB" w:rsidR="00395FDE" w:rsidRDefault="00395FDE" w:rsidP="00365D05">
      <w:pPr>
        <w:ind w:firstLine="720"/>
        <w:rPr>
          <w:noProof/>
        </w:rPr>
      </w:pPr>
      <w:r w:rsidRPr="00395FDE">
        <w:rPr>
          <w:noProof/>
        </w:rPr>
        <w:t>NIR = Risk Free Rate + Risk Premium</w:t>
      </w:r>
    </w:p>
    <w:p w14:paraId="05F541EA" w14:textId="77777777" w:rsidR="00395FDE" w:rsidRPr="009D40CA" w:rsidRDefault="00395FDE" w:rsidP="00365D05">
      <w:pPr>
        <w:ind w:firstLine="720"/>
        <w:rPr>
          <w:noProof/>
        </w:rPr>
      </w:pPr>
      <w:r w:rsidRPr="00395FDE">
        <w:rPr>
          <w:noProof/>
        </w:rPr>
        <w:t xml:space="preserve">Risk Premium = 1% </w:t>
      </w:r>
      <w:r w:rsidR="00E60027">
        <w:rPr>
          <w:noProof/>
        </w:rPr>
        <w:t xml:space="preserve">(or 1.5% </w:t>
      </w:r>
      <w:r w:rsidRPr="00395FDE">
        <w:rPr>
          <w:noProof/>
        </w:rPr>
        <w:t>for SMEs)</w:t>
      </w:r>
    </w:p>
    <w:p w14:paraId="05F541EB" w14:textId="4D5CBAAA" w:rsidR="000638ED" w:rsidRPr="009D40CA" w:rsidRDefault="000638ED" w:rsidP="000638ED">
      <w:pPr>
        <w:rPr>
          <w:noProof/>
        </w:rPr>
      </w:pPr>
      <w:r w:rsidRPr="009D40CA">
        <w:rPr>
          <w:noProof/>
        </w:rPr>
        <w:t>The notional interest rate is hence equal to the currency specific risk</w:t>
      </w:r>
      <w:r w:rsidR="00DA0C88">
        <w:rPr>
          <w:noProof/>
        </w:rPr>
        <w:t>-</w:t>
      </w:r>
      <w:r w:rsidRPr="009D40CA">
        <w:rPr>
          <w:noProof/>
        </w:rPr>
        <w:t xml:space="preserve">free rate plus 1% </w:t>
      </w:r>
      <w:r>
        <w:rPr>
          <w:noProof/>
        </w:rPr>
        <w:t>or 1.5%</w:t>
      </w:r>
      <w:r w:rsidRPr="009D40CA">
        <w:rPr>
          <w:noProof/>
        </w:rPr>
        <w:t xml:space="preserve"> (NIR = </w:t>
      </w:r>
      <w:r w:rsidR="001F2DEF">
        <w:rPr>
          <w:noProof/>
        </w:rPr>
        <w:t>risk free</w:t>
      </w:r>
      <w:r w:rsidRPr="009D40CA">
        <w:rPr>
          <w:noProof/>
        </w:rPr>
        <w:t xml:space="preserve"> rate + 1%</w:t>
      </w:r>
      <w:r>
        <w:rPr>
          <w:noProof/>
        </w:rPr>
        <w:t xml:space="preserve"> or, for SMEs, NIR = </w:t>
      </w:r>
      <w:r w:rsidR="001F2DEF">
        <w:rPr>
          <w:noProof/>
        </w:rPr>
        <w:t>risk free</w:t>
      </w:r>
      <w:r>
        <w:rPr>
          <w:noProof/>
        </w:rPr>
        <w:t xml:space="preserve"> rate + 1.5%</w:t>
      </w:r>
      <w:r w:rsidRPr="009D40CA">
        <w:rPr>
          <w:noProof/>
        </w:rPr>
        <w:t>). This approach ensures that the measure has an impact</w:t>
      </w:r>
      <w:r w:rsidR="00DA0C88">
        <w:rPr>
          <w:noProof/>
        </w:rPr>
        <w:t xml:space="preserve"> while remains</w:t>
      </w:r>
      <w:r w:rsidRPr="009D40CA">
        <w:rPr>
          <w:noProof/>
        </w:rPr>
        <w:t xml:space="preserve"> simple to</w:t>
      </w:r>
      <w:r>
        <w:rPr>
          <w:noProof/>
        </w:rPr>
        <w:t xml:space="preserve"> implement and does not harm Member States’</w:t>
      </w:r>
      <w:r w:rsidRPr="009D40CA">
        <w:rPr>
          <w:noProof/>
        </w:rPr>
        <w:t xml:space="preserve"> budgets. </w:t>
      </w:r>
      <w:r>
        <w:rPr>
          <w:noProof/>
        </w:rPr>
        <w:t xml:space="preserve">It also ensures that the specific circumstances of different businesses are taken into account. </w:t>
      </w:r>
      <w:r w:rsidR="001D5171">
        <w:rPr>
          <w:noProof/>
        </w:rPr>
        <w:t>A specific currency rate better ensures the balance of tax treatment between equity and debt since it takes into account the currency risk</w:t>
      </w:r>
      <w:r w:rsidR="001C0BBB">
        <w:rPr>
          <w:noProof/>
        </w:rPr>
        <w:t xml:space="preserve"> separately for each currency</w:t>
      </w:r>
      <w:r w:rsidR="00DB5EEC">
        <w:rPr>
          <w:noProof/>
        </w:rPr>
        <w:t xml:space="preserve"> and reflects </w:t>
      </w:r>
      <w:r w:rsidR="001C0BBB">
        <w:rPr>
          <w:noProof/>
        </w:rPr>
        <w:t>the specific situation of each taxpayer</w:t>
      </w:r>
      <w:r w:rsidR="001D5171">
        <w:rPr>
          <w:noProof/>
        </w:rPr>
        <w:t>.</w:t>
      </w:r>
      <w:r w:rsidR="001C0BBB">
        <w:rPr>
          <w:noProof/>
        </w:rPr>
        <w:t xml:space="preserve"> </w:t>
      </w:r>
    </w:p>
    <w:p w14:paraId="05F541EC" w14:textId="77777777" w:rsidR="000638ED" w:rsidRDefault="000638ED" w:rsidP="000638ED">
      <w:pPr>
        <w:rPr>
          <w:noProof/>
        </w:rPr>
      </w:pPr>
      <w:r w:rsidRPr="009D40CA">
        <w:rPr>
          <w:noProof/>
        </w:rPr>
        <w:t>The allowance is granted for ten years to approximate the maturity of most debt, while keeping the overall budgetary cost of the allowance</w:t>
      </w:r>
      <w:r>
        <w:rPr>
          <w:noProof/>
        </w:rPr>
        <w:t xml:space="preserve"> on equity under control.</w:t>
      </w:r>
      <w:r w:rsidRPr="00314729" w:rsidDel="00314729">
        <w:rPr>
          <w:noProof/>
        </w:rPr>
        <w:t xml:space="preserve"> </w:t>
      </w:r>
      <w:r>
        <w:rPr>
          <w:noProof/>
        </w:rPr>
        <w:t xml:space="preserve">This means that if an increase in a taxpayer’s equity qualifies for an allowance on equity under </w:t>
      </w:r>
      <w:r w:rsidR="00CD0BE9">
        <w:rPr>
          <w:noProof/>
        </w:rPr>
        <w:t>this proposal</w:t>
      </w:r>
      <w:r>
        <w:rPr>
          <w:noProof/>
        </w:rPr>
        <w:t xml:space="preserve">, the relevant allowance, computed as above, shall be deductible in the year it was incurred (TY) and in the next successive nine years (TY+9). If, in the following year (TY+1), a new increase in a taxpayer’s equity also qualifies for an allowance on equity under </w:t>
      </w:r>
      <w:r w:rsidR="00CD0BE9">
        <w:rPr>
          <w:noProof/>
        </w:rPr>
        <w:t>this proposal</w:t>
      </w:r>
      <w:r>
        <w:rPr>
          <w:noProof/>
        </w:rPr>
        <w:t xml:space="preserve">, the new allowance on equity will also be deductible for the </w:t>
      </w:r>
      <w:r w:rsidR="009866CD">
        <w:rPr>
          <w:noProof/>
        </w:rPr>
        <w:t xml:space="preserve">tax year it was incurred and the </w:t>
      </w:r>
      <w:r>
        <w:rPr>
          <w:noProof/>
        </w:rPr>
        <w:t>following nine years since its incurrence (until TY+10).</w:t>
      </w:r>
    </w:p>
    <w:p w14:paraId="05F541ED" w14:textId="77777777" w:rsidR="004B5D51" w:rsidRDefault="00B7534C" w:rsidP="000638ED">
      <w:pPr>
        <w:rPr>
          <w:noProof/>
        </w:rPr>
      </w:pPr>
      <w:r>
        <w:rPr>
          <w:noProof/>
        </w:rPr>
        <w:t xml:space="preserve">By way of example, </w:t>
      </w:r>
      <w:r w:rsidRPr="00B7534C">
        <w:rPr>
          <w:noProof/>
        </w:rPr>
        <w:t>if a company having equity of 100, decides to increase in year t its equity by 20, an allowance will be deducted from its taxable base every year for ten years (until t+</w:t>
      </w:r>
      <w:r w:rsidR="009E751B">
        <w:rPr>
          <w:noProof/>
        </w:rPr>
        <w:t>9</w:t>
      </w:r>
      <w:r w:rsidRPr="00B7534C">
        <w:rPr>
          <w:noProof/>
        </w:rPr>
        <w:t>) calculated as 20 times the notional interest rate, i.e. 20 times the risk-free interest rate for the relevant currency plus 20 (20 times the risk premium defined as 1).</w:t>
      </w:r>
    </w:p>
    <w:p w14:paraId="05F541EE" w14:textId="77777777" w:rsidR="00486C17" w:rsidRPr="00DD394E" w:rsidRDefault="00486C17" w:rsidP="000638ED">
      <w:pPr>
        <w:rPr>
          <w:noProof/>
        </w:rPr>
      </w:pPr>
      <w:r w:rsidRPr="00DD394E">
        <w:rPr>
          <w:noProof/>
        </w:rPr>
        <w:t>Year</w:t>
      </w:r>
      <w:r w:rsidRPr="00DD394E">
        <w:rPr>
          <w:noProof/>
        </w:rPr>
        <w:tab/>
      </w:r>
      <w:r w:rsidRPr="00DD394E">
        <w:rPr>
          <w:noProof/>
        </w:rPr>
        <w:tab/>
      </w:r>
      <w:r w:rsidRPr="00DD394E">
        <w:rPr>
          <w:noProof/>
        </w:rPr>
        <w:tab/>
      </w:r>
      <w:r w:rsidRPr="00DD394E">
        <w:rPr>
          <w:noProof/>
        </w:rPr>
        <w:tab/>
        <w:t>t</w:t>
      </w:r>
      <w:r w:rsidRPr="00DD394E">
        <w:rPr>
          <w:noProof/>
        </w:rPr>
        <w:tab/>
        <w:t>t - 1</w:t>
      </w:r>
    </w:p>
    <w:p w14:paraId="05F541EF" w14:textId="77777777" w:rsidR="004B5D51" w:rsidRPr="00DD394E" w:rsidRDefault="00486C17" w:rsidP="000638ED">
      <w:pPr>
        <w:rPr>
          <w:noProof/>
        </w:rPr>
      </w:pPr>
      <w:r w:rsidRPr="00DD394E">
        <w:rPr>
          <w:noProof/>
        </w:rPr>
        <w:t>Equity of Company A</w:t>
      </w:r>
      <w:r w:rsidRPr="00DD394E">
        <w:rPr>
          <w:noProof/>
        </w:rPr>
        <w:tab/>
      </w:r>
      <w:r w:rsidRPr="00DD394E">
        <w:rPr>
          <w:noProof/>
        </w:rPr>
        <w:tab/>
        <w:t>120</w:t>
      </w:r>
      <w:r w:rsidRPr="00DD394E">
        <w:rPr>
          <w:noProof/>
        </w:rPr>
        <w:tab/>
        <w:t>100</w:t>
      </w:r>
    </w:p>
    <w:p w14:paraId="05F541F0" w14:textId="77777777" w:rsidR="00486C17" w:rsidRPr="00DD394E" w:rsidRDefault="00486C17" w:rsidP="000638ED">
      <w:pPr>
        <w:rPr>
          <w:noProof/>
        </w:rPr>
      </w:pPr>
      <w:r w:rsidRPr="00DD394E">
        <w:rPr>
          <w:noProof/>
        </w:rPr>
        <w:t>Allowance base = 120 – 100 = 20</w:t>
      </w:r>
    </w:p>
    <w:p w14:paraId="05F541F1" w14:textId="77777777" w:rsidR="00486C17" w:rsidRPr="00DD394E" w:rsidRDefault="00486C17" w:rsidP="000638ED">
      <w:pPr>
        <w:rPr>
          <w:noProof/>
        </w:rPr>
      </w:pPr>
      <w:r w:rsidRPr="00DD394E">
        <w:rPr>
          <w:noProof/>
        </w:rPr>
        <w:t>Allowance = Allowance base X NIR = 20 X NIR</w:t>
      </w:r>
    </w:p>
    <w:p w14:paraId="05F541F2" w14:textId="77777777" w:rsidR="00486C17" w:rsidRDefault="00486C17" w:rsidP="000638ED">
      <w:pPr>
        <w:rPr>
          <w:noProof/>
        </w:rPr>
      </w:pPr>
      <w:r w:rsidRPr="00DD394E">
        <w:rPr>
          <w:noProof/>
        </w:rPr>
        <w:t>The allowance will be available for 10 consecutive years : t, t+1, t+2, ….t+9</w:t>
      </w:r>
    </w:p>
    <w:p w14:paraId="05F541F3" w14:textId="1C4B5372" w:rsidR="00B7534C" w:rsidRDefault="00B7534C" w:rsidP="000638ED">
      <w:pPr>
        <w:rPr>
          <w:noProof/>
        </w:rPr>
      </w:pPr>
      <w:r w:rsidRPr="00B7534C">
        <w:rPr>
          <w:noProof/>
        </w:rPr>
        <w:t xml:space="preserve">If the company is a small or medium enterprise, the allowance will be calculated </w:t>
      </w:r>
      <w:r w:rsidR="008C5425">
        <w:rPr>
          <w:noProof/>
        </w:rPr>
        <w:t>in the same way. The NIR will simply be different since the risk premium is higher (</w:t>
      </w:r>
      <w:r w:rsidRPr="00B7534C">
        <w:rPr>
          <w:noProof/>
        </w:rPr>
        <w:t>1.5</w:t>
      </w:r>
      <w:r w:rsidR="008C5425">
        <w:rPr>
          <w:noProof/>
        </w:rPr>
        <w:t xml:space="preserve"> % instead of 1%</w:t>
      </w:r>
      <w:r w:rsidRPr="00B7534C">
        <w:rPr>
          <w:noProof/>
        </w:rPr>
        <w:t>).</w:t>
      </w:r>
      <w:r w:rsidR="005F0653">
        <w:rPr>
          <w:noProof/>
        </w:rPr>
        <w:t xml:space="preserve"> </w:t>
      </w:r>
    </w:p>
    <w:p w14:paraId="05F541F4" w14:textId="77777777" w:rsidR="000638ED" w:rsidRPr="00E62B60" w:rsidRDefault="000638ED" w:rsidP="000638ED">
      <w:pPr>
        <w:rPr>
          <w:noProof/>
        </w:rPr>
      </w:pPr>
      <w:r w:rsidRPr="00960F22">
        <w:rPr>
          <w:noProof/>
        </w:rPr>
        <w:t xml:space="preserve">To </w:t>
      </w:r>
      <w:r w:rsidR="003B02EB">
        <w:rPr>
          <w:noProof/>
        </w:rPr>
        <w:t>prevent tax abuse</w:t>
      </w:r>
      <w:r w:rsidRPr="00960F22">
        <w:rPr>
          <w:noProof/>
        </w:rPr>
        <w:t>, the deductibility of the allowance is limited to a maximum of 30% of the taxpayer’s EBITDA (earnings before interest, tax, depreciation and amortization) for each tax year. A taxpayer will be able to carry forward, without time limitation, the part of the allowance on equity that would not be deducted in a tax year due to insufficient taxable profit. In addition, the taxpayer will be able to carry forward, for a period of maximum five years, unused allowance capacity, where the allowance on equity does not reach the aforementioned maximum amount.</w:t>
      </w:r>
      <w:r>
        <w:rPr>
          <w:noProof/>
        </w:rPr>
        <w:t xml:space="preserve"> </w:t>
      </w:r>
    </w:p>
    <w:p w14:paraId="05F541F5" w14:textId="77777777" w:rsidR="00FA676F" w:rsidRDefault="00FA676F" w:rsidP="00FA676F">
      <w:pPr>
        <w:rPr>
          <w:noProof/>
        </w:rPr>
      </w:pPr>
      <w:r w:rsidRPr="00FA676F">
        <w:rPr>
          <w:noProof/>
        </w:rPr>
        <w:t xml:space="preserve">Robust anti-abuse measures will ensure that the rules on the deductibility of an allowance on equity </w:t>
      </w:r>
      <w:r>
        <w:rPr>
          <w:noProof/>
        </w:rPr>
        <w:t xml:space="preserve">are </w:t>
      </w:r>
      <w:r w:rsidRPr="00FA676F">
        <w:rPr>
          <w:noProof/>
        </w:rPr>
        <w:t>not used for unintended purposes. These anti-a</w:t>
      </w:r>
      <w:r>
        <w:rPr>
          <w:noProof/>
        </w:rPr>
        <w:t>buse r</w:t>
      </w:r>
      <w:r w:rsidRPr="00FA676F">
        <w:rPr>
          <w:noProof/>
        </w:rPr>
        <w:t xml:space="preserve">ules are inspired from the Guidance on notional interest deduction regimes which was adopted by the Code of Conduct Group in 2019 and address well-known existing schemes, such as cascading the allowance within a group. </w:t>
      </w:r>
    </w:p>
    <w:p w14:paraId="05F541F6" w14:textId="77777777" w:rsidR="00E17FA4" w:rsidRDefault="00E17FA4" w:rsidP="00E17FA4">
      <w:pPr>
        <w:rPr>
          <w:noProof/>
        </w:rPr>
      </w:pPr>
      <w:r>
        <w:rPr>
          <w:noProof/>
        </w:rPr>
        <w:t xml:space="preserve">A first measure would exclude from the base of the allowance equity increases that originate from (i) intra-group loans, (ii) intra-group transfers of participations or existing business activities and (iii) cash contributions under certain conditions. Thus, for example, as regards intra-group loans, the measure should prevent that an equity injection granted to company A located in Member State A is used to grant a loan to a related company B located in Member State B. </w:t>
      </w:r>
      <w:r w:rsidR="00723C81">
        <w:rPr>
          <w:noProof/>
        </w:rPr>
        <w:t>This is because in such case, c</w:t>
      </w:r>
      <w:r>
        <w:rPr>
          <w:noProof/>
        </w:rPr>
        <w:t xml:space="preserve">ompany B </w:t>
      </w:r>
      <w:r w:rsidR="00723C81">
        <w:rPr>
          <w:noProof/>
        </w:rPr>
        <w:t>would</w:t>
      </w:r>
      <w:r>
        <w:rPr>
          <w:noProof/>
        </w:rPr>
        <w:t xml:space="preserve"> also use this money to inject equity in another related company C, located in Member State C. This would lead to multiplying the allowance on equity with only one genuine equity increase at group level.</w:t>
      </w:r>
    </w:p>
    <w:p w14:paraId="05F541F7" w14:textId="77777777" w:rsidR="00E17FA4" w:rsidRDefault="00E17FA4" w:rsidP="00E17FA4">
      <w:pPr>
        <w:rPr>
          <w:noProof/>
        </w:rPr>
      </w:pPr>
      <w:r>
        <w:rPr>
          <w:noProof/>
        </w:rPr>
        <w:t xml:space="preserve">Another measure sets out specific conditions </w:t>
      </w:r>
      <w:r w:rsidR="00723C81">
        <w:rPr>
          <w:noProof/>
        </w:rPr>
        <w:t>for</w:t>
      </w:r>
      <w:r>
        <w:rPr>
          <w:noProof/>
        </w:rPr>
        <w:t xml:space="preserve"> tak</w:t>
      </w:r>
      <w:r w:rsidR="00723C81">
        <w:rPr>
          <w:noProof/>
        </w:rPr>
        <w:t>ing</w:t>
      </w:r>
      <w:r>
        <w:rPr>
          <w:noProof/>
        </w:rPr>
        <w:t xml:space="preserve"> into account equity increases originating from contributions in kind or investments in assets. It aims to prevent </w:t>
      </w:r>
      <w:r w:rsidR="00723C81">
        <w:rPr>
          <w:noProof/>
        </w:rPr>
        <w:t xml:space="preserve">the </w:t>
      </w:r>
      <w:r>
        <w:rPr>
          <w:noProof/>
        </w:rPr>
        <w:t>overvaluation of assets or purchase of luxury goods for the purpose of increasing the base of the allowance. Thus, for example, the value of an asset and the related costs should not exceed reasonable professional needs and any part of the value of the asset contributed or recorded in the taxpayer’s accounting books over its market value should be deducted from the base of the allowance.</w:t>
      </w:r>
    </w:p>
    <w:p w14:paraId="05F541F8" w14:textId="77777777" w:rsidR="00E17FA4" w:rsidRPr="00FA676F" w:rsidRDefault="00E17FA4" w:rsidP="00E17FA4">
      <w:pPr>
        <w:rPr>
          <w:noProof/>
        </w:rPr>
      </w:pPr>
      <w:r>
        <w:rPr>
          <w:noProof/>
        </w:rPr>
        <w:t>A third measure targets</w:t>
      </w:r>
      <w:r w:rsidR="00723C81">
        <w:rPr>
          <w:noProof/>
        </w:rPr>
        <w:t xml:space="preserve"> the</w:t>
      </w:r>
      <w:r>
        <w:rPr>
          <w:noProof/>
        </w:rPr>
        <w:t xml:space="preserve"> re-categorisation of old capital as new capital</w:t>
      </w:r>
      <w:r w:rsidR="00723C81">
        <w:rPr>
          <w:noProof/>
        </w:rPr>
        <w:t>, which w</w:t>
      </w:r>
      <w:r>
        <w:rPr>
          <w:noProof/>
        </w:rPr>
        <w:t xml:space="preserve">ould qualify as </w:t>
      </w:r>
      <w:r w:rsidR="00723C81">
        <w:rPr>
          <w:noProof/>
        </w:rPr>
        <w:t xml:space="preserve">an </w:t>
      </w:r>
      <w:r>
        <w:rPr>
          <w:noProof/>
        </w:rPr>
        <w:t xml:space="preserve">equity increase for the purpose of the allowance. Such re-categorisation could be achieved through </w:t>
      </w:r>
      <w:r w:rsidR="00723C81">
        <w:rPr>
          <w:noProof/>
        </w:rPr>
        <w:t xml:space="preserve">a </w:t>
      </w:r>
      <w:r>
        <w:rPr>
          <w:noProof/>
        </w:rPr>
        <w:t xml:space="preserve">liquidation and the creation of start-ups. For example, </w:t>
      </w:r>
      <w:r w:rsidR="00723C81">
        <w:rPr>
          <w:noProof/>
        </w:rPr>
        <w:t xml:space="preserve">if </w:t>
      </w:r>
      <w:r>
        <w:rPr>
          <w:noProof/>
        </w:rPr>
        <w:t>an existing company, with retained earnings, is liquidated</w:t>
      </w:r>
      <w:r w:rsidR="00723C81">
        <w:rPr>
          <w:noProof/>
        </w:rPr>
        <w:t>,</w:t>
      </w:r>
      <w:r>
        <w:rPr>
          <w:noProof/>
        </w:rPr>
        <w:t xml:space="preserve"> </w:t>
      </w:r>
      <w:r w:rsidR="00723C81">
        <w:rPr>
          <w:noProof/>
        </w:rPr>
        <w:t>there will be an</w:t>
      </w:r>
      <w:r>
        <w:rPr>
          <w:noProof/>
        </w:rPr>
        <w:t xml:space="preserve"> increase in the equity of the parent company </w:t>
      </w:r>
      <w:r w:rsidR="00723C81">
        <w:rPr>
          <w:noProof/>
        </w:rPr>
        <w:t xml:space="preserve">due to the </w:t>
      </w:r>
      <w:r>
        <w:rPr>
          <w:noProof/>
        </w:rPr>
        <w:t xml:space="preserve">incorporation of the retained earnings. </w:t>
      </w:r>
      <w:r w:rsidR="0075505A">
        <w:rPr>
          <w:noProof/>
        </w:rPr>
        <w:t xml:space="preserve">If </w:t>
      </w:r>
      <w:r>
        <w:rPr>
          <w:noProof/>
        </w:rPr>
        <w:t xml:space="preserve">a new subsidiary is </w:t>
      </w:r>
      <w:r w:rsidR="0075505A">
        <w:rPr>
          <w:noProof/>
        </w:rPr>
        <w:t xml:space="preserve">subsequently </w:t>
      </w:r>
      <w:r>
        <w:rPr>
          <w:noProof/>
        </w:rPr>
        <w:t>created</w:t>
      </w:r>
      <w:r w:rsidR="00856A6C">
        <w:rPr>
          <w:noProof/>
        </w:rPr>
        <w:t xml:space="preserve"> and is no longer </w:t>
      </w:r>
      <w:r>
        <w:rPr>
          <w:noProof/>
        </w:rPr>
        <w:t xml:space="preserve">held by the parent, the </w:t>
      </w:r>
      <w:r w:rsidR="00856A6C">
        <w:rPr>
          <w:noProof/>
        </w:rPr>
        <w:t xml:space="preserve">previously increased </w:t>
      </w:r>
      <w:r>
        <w:rPr>
          <w:noProof/>
        </w:rPr>
        <w:t>base of allowance of the parent would not be reduced by the value of the participation in the subsidiary.</w:t>
      </w:r>
    </w:p>
    <w:p w14:paraId="05F541F9" w14:textId="77777777" w:rsidR="00FA676F" w:rsidRPr="00687F25" w:rsidRDefault="00687F25" w:rsidP="00687F25">
      <w:pPr>
        <w:pStyle w:val="ManualHeading2"/>
        <w:rPr>
          <w:b w:val="0"/>
          <w:noProof/>
        </w:rPr>
      </w:pPr>
      <w:r w:rsidRPr="001A05B3">
        <w:rPr>
          <w:noProof/>
          <w:color w:val="000000"/>
          <w:u w:color="000000"/>
          <w:bdr w:val="nil"/>
          <w:lang w:eastAsia="en-GB"/>
        </w:rPr>
        <w:t>•</w:t>
      </w:r>
      <w:r w:rsidRPr="001A05B3">
        <w:rPr>
          <w:noProof/>
          <w:color w:val="000000"/>
          <w:u w:color="000000"/>
          <w:bdr w:val="nil"/>
          <w:lang w:eastAsia="en-GB"/>
        </w:rPr>
        <w:tab/>
      </w:r>
      <w:r w:rsidR="00FA676F" w:rsidRPr="00687F25">
        <w:rPr>
          <w:noProof/>
        </w:rPr>
        <w:t>Limitation to interest deduction</w:t>
      </w:r>
    </w:p>
    <w:p w14:paraId="05F541FA" w14:textId="78A769D8" w:rsidR="00156EEA" w:rsidRDefault="000638ED" w:rsidP="000638ED">
      <w:pPr>
        <w:rPr>
          <w:noProof/>
        </w:rPr>
      </w:pPr>
      <w:r w:rsidRPr="009D40CA">
        <w:rPr>
          <w:noProof/>
          <w:color w:val="000000" w:themeColor="text1"/>
        </w:rPr>
        <w:t xml:space="preserve">On the debt side, the allowance for notional interest on equity </w:t>
      </w:r>
      <w:r w:rsidR="003176F1">
        <w:rPr>
          <w:noProof/>
          <w:color w:val="000000" w:themeColor="text1"/>
        </w:rPr>
        <w:t xml:space="preserve">is </w:t>
      </w:r>
      <w:r w:rsidR="003176F1" w:rsidRPr="003176F1">
        <w:rPr>
          <w:noProof/>
          <w:color w:val="000000" w:themeColor="text1"/>
        </w:rPr>
        <w:t>accompanied by</w:t>
      </w:r>
      <w:r w:rsidR="00BB0DE9">
        <w:rPr>
          <w:noProof/>
          <w:color w:val="000000" w:themeColor="text1"/>
        </w:rPr>
        <w:t xml:space="preserve"> </w:t>
      </w:r>
      <w:r w:rsidRPr="009D40CA">
        <w:rPr>
          <w:noProof/>
          <w:color w:val="000000" w:themeColor="text1"/>
        </w:rPr>
        <w:t>a limitation to the tax deductibility of debt-related interest payments.</w:t>
      </w:r>
      <w:r>
        <w:rPr>
          <w:noProof/>
          <w:color w:val="000000" w:themeColor="text1"/>
        </w:rPr>
        <w:t xml:space="preserve"> In particular,</w:t>
      </w:r>
      <w:r w:rsidRPr="00C96417">
        <w:rPr>
          <w:noProof/>
          <w:color w:val="000000" w:themeColor="text1"/>
        </w:rPr>
        <w:t xml:space="preserve"> a proportional </w:t>
      </w:r>
      <w:r>
        <w:rPr>
          <w:noProof/>
          <w:color w:val="000000" w:themeColor="text1"/>
        </w:rPr>
        <w:t>restriction</w:t>
      </w:r>
      <w:r w:rsidRPr="00C96417">
        <w:rPr>
          <w:noProof/>
          <w:color w:val="000000" w:themeColor="text1"/>
        </w:rPr>
        <w:t xml:space="preserve"> </w:t>
      </w:r>
      <w:r>
        <w:rPr>
          <w:noProof/>
          <w:color w:val="000000" w:themeColor="text1"/>
        </w:rPr>
        <w:t xml:space="preserve">will limit </w:t>
      </w:r>
      <w:r w:rsidRPr="00C96417">
        <w:rPr>
          <w:noProof/>
          <w:color w:val="000000" w:themeColor="text1"/>
        </w:rPr>
        <w:t xml:space="preserve">the deductibility of interest to 85% of </w:t>
      </w:r>
      <w:r w:rsidR="00090EDD">
        <w:rPr>
          <w:noProof/>
          <w:color w:val="000000" w:themeColor="text1"/>
        </w:rPr>
        <w:t xml:space="preserve">exceeding borrowing costs </w:t>
      </w:r>
      <w:r w:rsidR="00BB0DE9">
        <w:rPr>
          <w:noProof/>
          <w:color w:val="000000" w:themeColor="text1"/>
        </w:rPr>
        <w:t>(</w:t>
      </w:r>
      <w:r w:rsidRPr="00C96417">
        <w:rPr>
          <w:noProof/>
          <w:color w:val="000000" w:themeColor="text1"/>
        </w:rPr>
        <w:t>i.e. interest paid minus interest received).</w:t>
      </w:r>
      <w:r>
        <w:rPr>
          <w:noProof/>
          <w:color w:val="000000" w:themeColor="text1"/>
        </w:rPr>
        <w:t xml:space="preserve"> Such an approach allows </w:t>
      </w:r>
      <w:r w:rsidRPr="0096045A">
        <w:rPr>
          <w:noProof/>
        </w:rPr>
        <w:t>address</w:t>
      </w:r>
      <w:r>
        <w:rPr>
          <w:noProof/>
        </w:rPr>
        <w:t>ing</w:t>
      </w:r>
      <w:r w:rsidRPr="0096045A">
        <w:rPr>
          <w:noProof/>
        </w:rPr>
        <w:t xml:space="preserve"> the debt-equity bias simultaneously from </w:t>
      </w:r>
      <w:r>
        <w:rPr>
          <w:noProof/>
        </w:rPr>
        <w:t xml:space="preserve">both </w:t>
      </w:r>
      <w:r w:rsidRPr="0096045A">
        <w:rPr>
          <w:noProof/>
        </w:rPr>
        <w:t xml:space="preserve">the </w:t>
      </w:r>
      <w:r>
        <w:rPr>
          <w:noProof/>
        </w:rPr>
        <w:t xml:space="preserve">equity and the </w:t>
      </w:r>
      <w:r w:rsidRPr="0096045A">
        <w:rPr>
          <w:noProof/>
        </w:rPr>
        <w:t>debt side</w:t>
      </w:r>
      <w:r>
        <w:rPr>
          <w:noProof/>
        </w:rPr>
        <w:t xml:space="preserve">, which is most efficient and preserves the sustainability of Member States’ public finances. </w:t>
      </w:r>
    </w:p>
    <w:p w14:paraId="05F541FB" w14:textId="7971E6F1" w:rsidR="000638ED" w:rsidRPr="00F0351B" w:rsidRDefault="000638ED" w:rsidP="000638ED">
      <w:pPr>
        <w:rPr>
          <w:noProof/>
        </w:rPr>
      </w:pPr>
      <w:r w:rsidRPr="00F0351B">
        <w:rPr>
          <w:noProof/>
        </w:rPr>
        <w:t xml:space="preserve">Given that interest limitation rules already apply in the EU under Article 4 of the ATAD, the taxpayer will </w:t>
      </w:r>
      <w:r w:rsidR="00F06857" w:rsidRPr="00F0351B">
        <w:rPr>
          <w:noProof/>
        </w:rPr>
        <w:t xml:space="preserve">apply the rule </w:t>
      </w:r>
      <w:r w:rsidR="00856A6C">
        <w:rPr>
          <w:noProof/>
        </w:rPr>
        <w:t>of A</w:t>
      </w:r>
      <w:r w:rsidR="00F06857" w:rsidRPr="00F0351B">
        <w:rPr>
          <w:noProof/>
        </w:rPr>
        <w:t>rticle 6 of this proposal</w:t>
      </w:r>
      <w:r w:rsidR="00856A6C">
        <w:rPr>
          <w:noProof/>
        </w:rPr>
        <w:t xml:space="preserve"> as a first step and then, </w:t>
      </w:r>
      <w:r w:rsidR="00F06857" w:rsidRPr="00F0351B">
        <w:rPr>
          <w:noProof/>
        </w:rPr>
        <w:t>calculate the limitation applicable in accordance with article 4 of ATAD</w:t>
      </w:r>
      <w:r w:rsidR="00856A6C">
        <w:rPr>
          <w:noProof/>
        </w:rPr>
        <w:t>.</w:t>
      </w:r>
      <w:r w:rsidR="00F06857" w:rsidRPr="00F0351B">
        <w:rPr>
          <w:noProof/>
        </w:rPr>
        <w:t xml:space="preserve"> </w:t>
      </w:r>
      <w:r w:rsidR="00856A6C">
        <w:rPr>
          <w:noProof/>
        </w:rPr>
        <w:t>If</w:t>
      </w:r>
      <w:r w:rsidR="00446448" w:rsidRPr="00F0351B">
        <w:rPr>
          <w:noProof/>
        </w:rPr>
        <w:t xml:space="preserve"> the result </w:t>
      </w:r>
      <w:r w:rsidR="00856A6C">
        <w:rPr>
          <w:noProof/>
        </w:rPr>
        <w:t xml:space="preserve">of applying the ATAD rule </w:t>
      </w:r>
      <w:r w:rsidR="00446448" w:rsidRPr="00F0351B">
        <w:rPr>
          <w:noProof/>
        </w:rPr>
        <w:t>is a lower deductible amount</w:t>
      </w:r>
      <w:r w:rsidR="00856A6C">
        <w:rPr>
          <w:noProof/>
        </w:rPr>
        <w:t>,</w:t>
      </w:r>
      <w:r w:rsidR="00446448" w:rsidRPr="00F0351B">
        <w:rPr>
          <w:noProof/>
        </w:rPr>
        <w:t xml:space="preserve"> the </w:t>
      </w:r>
      <w:r w:rsidR="00856A6C">
        <w:rPr>
          <w:noProof/>
        </w:rPr>
        <w:t xml:space="preserve">taxpayer will be </w:t>
      </w:r>
      <w:r w:rsidR="00446448" w:rsidRPr="00F0351B">
        <w:rPr>
          <w:noProof/>
        </w:rPr>
        <w:t xml:space="preserve">entitled to carry forward or back </w:t>
      </w:r>
      <w:r w:rsidR="00856A6C">
        <w:rPr>
          <w:noProof/>
        </w:rPr>
        <w:t>the difference in accordance with A</w:t>
      </w:r>
      <w:r w:rsidR="00156EEA" w:rsidRPr="00F0351B">
        <w:rPr>
          <w:noProof/>
        </w:rPr>
        <w:t xml:space="preserve">rticle 4 of ATAD. </w:t>
      </w:r>
    </w:p>
    <w:p w14:paraId="05F541FC" w14:textId="77777777" w:rsidR="00D135D8" w:rsidRPr="00F0351B" w:rsidRDefault="001B5D1B" w:rsidP="000638ED">
      <w:pPr>
        <w:rPr>
          <w:noProof/>
        </w:rPr>
      </w:pPr>
      <w:r w:rsidRPr="00277DC4">
        <w:rPr>
          <w:noProof/>
        </w:rPr>
        <w:t>By way of e</w:t>
      </w:r>
      <w:r w:rsidR="00D135D8" w:rsidRPr="00277DC4">
        <w:rPr>
          <w:noProof/>
        </w:rPr>
        <w:t>xample</w:t>
      </w:r>
      <w:r w:rsidR="00B37F4C">
        <w:rPr>
          <w:noProof/>
        </w:rPr>
        <w:t xml:space="preserve">, </w:t>
      </w:r>
      <w:r w:rsidR="00B37F4C" w:rsidRPr="00365D05">
        <w:rPr>
          <w:noProof/>
        </w:rPr>
        <w:t>if</w:t>
      </w:r>
      <w:r w:rsidR="00B37F4C">
        <w:rPr>
          <w:noProof/>
        </w:rPr>
        <w:t xml:space="preserve"> </w:t>
      </w:r>
      <w:r w:rsidRPr="00B37F4C">
        <w:rPr>
          <w:noProof/>
        </w:rPr>
        <w:t>c</w:t>
      </w:r>
      <w:r w:rsidR="00D135D8" w:rsidRPr="00B37F4C">
        <w:rPr>
          <w:noProof/>
        </w:rPr>
        <w:t>ompany</w:t>
      </w:r>
      <w:r w:rsidR="00D135D8" w:rsidRPr="00F0351B">
        <w:rPr>
          <w:noProof/>
        </w:rPr>
        <w:t xml:space="preserve"> A has exceeding borrowing costs of 100</w:t>
      </w:r>
      <w:r w:rsidRPr="00F0351B">
        <w:rPr>
          <w:noProof/>
        </w:rPr>
        <w:t>, it should:</w:t>
      </w:r>
    </w:p>
    <w:p w14:paraId="05F541FD" w14:textId="21B5ADEE" w:rsidR="00D135D8" w:rsidRPr="00F0351B" w:rsidRDefault="004C6AA3" w:rsidP="004C6AA3">
      <w:pPr>
        <w:pStyle w:val="Point0"/>
        <w:rPr>
          <w:noProof/>
        </w:rPr>
      </w:pPr>
      <w:r w:rsidRPr="004C6AA3">
        <w:rPr>
          <w:noProof/>
        </w:rPr>
        <w:t>(1)</w:t>
      </w:r>
      <w:r w:rsidRPr="004C6AA3">
        <w:rPr>
          <w:noProof/>
        </w:rPr>
        <w:tab/>
      </w:r>
      <w:r w:rsidR="0005015F" w:rsidRPr="00F0351B">
        <w:rPr>
          <w:noProof/>
        </w:rPr>
        <w:t>F</w:t>
      </w:r>
      <w:r w:rsidR="00D135D8" w:rsidRPr="00F0351B">
        <w:rPr>
          <w:noProof/>
        </w:rPr>
        <w:t>irst</w:t>
      </w:r>
      <w:r w:rsidR="00856A6C">
        <w:rPr>
          <w:noProof/>
        </w:rPr>
        <w:t>,</w:t>
      </w:r>
      <w:r w:rsidR="00D135D8" w:rsidRPr="00F0351B">
        <w:rPr>
          <w:noProof/>
        </w:rPr>
        <w:t xml:space="preserve"> apply </w:t>
      </w:r>
      <w:r w:rsidR="00856A6C">
        <w:rPr>
          <w:noProof/>
        </w:rPr>
        <w:t>Article</w:t>
      </w:r>
      <w:r w:rsidR="00D135D8" w:rsidRPr="00F0351B">
        <w:rPr>
          <w:noProof/>
        </w:rPr>
        <w:t xml:space="preserve"> 6 </w:t>
      </w:r>
      <w:r w:rsidR="00856A6C">
        <w:rPr>
          <w:noProof/>
        </w:rPr>
        <w:t xml:space="preserve">of </w:t>
      </w:r>
      <w:r w:rsidR="001F2DEF">
        <w:rPr>
          <w:noProof/>
        </w:rPr>
        <w:t>this directive proposal</w:t>
      </w:r>
      <w:r w:rsidR="00D135D8" w:rsidRPr="00F0351B">
        <w:rPr>
          <w:noProof/>
        </w:rPr>
        <w:t xml:space="preserve"> that limits the deductibility to 85% of 100 = 85</w:t>
      </w:r>
      <w:r w:rsidR="001B5D1B" w:rsidRPr="00F0351B">
        <w:rPr>
          <w:noProof/>
        </w:rPr>
        <w:t xml:space="preserve"> and thus renders </w:t>
      </w:r>
      <w:r w:rsidR="00856A6C">
        <w:rPr>
          <w:noProof/>
        </w:rPr>
        <w:t xml:space="preserve">a </w:t>
      </w:r>
      <w:r w:rsidR="001B5D1B" w:rsidRPr="00F0351B">
        <w:rPr>
          <w:noProof/>
        </w:rPr>
        <w:t>non-deductible</w:t>
      </w:r>
      <w:r w:rsidR="00856A6C">
        <w:rPr>
          <w:noProof/>
        </w:rPr>
        <w:t xml:space="preserve"> amount of</w:t>
      </w:r>
      <w:r w:rsidR="001B5D1B" w:rsidRPr="00F0351B">
        <w:rPr>
          <w:noProof/>
        </w:rPr>
        <w:t xml:space="preserve"> 15</w:t>
      </w:r>
      <w:r w:rsidR="00D135D8" w:rsidRPr="00F0351B">
        <w:rPr>
          <w:noProof/>
        </w:rPr>
        <w:t xml:space="preserve">. </w:t>
      </w:r>
    </w:p>
    <w:p w14:paraId="05F541FE" w14:textId="77777777" w:rsidR="00D135D8" w:rsidRPr="00F0351B" w:rsidRDefault="004C6AA3" w:rsidP="004C6AA3">
      <w:pPr>
        <w:pStyle w:val="Point0"/>
        <w:rPr>
          <w:noProof/>
        </w:rPr>
      </w:pPr>
      <w:r w:rsidRPr="004C6AA3">
        <w:rPr>
          <w:noProof/>
        </w:rPr>
        <w:t>(2)</w:t>
      </w:r>
      <w:r w:rsidRPr="004C6AA3">
        <w:rPr>
          <w:noProof/>
        </w:rPr>
        <w:tab/>
      </w:r>
      <w:r w:rsidR="0005015F" w:rsidRPr="00F0351B">
        <w:rPr>
          <w:noProof/>
        </w:rPr>
        <w:t>Second</w:t>
      </w:r>
      <w:r w:rsidR="00856A6C">
        <w:rPr>
          <w:noProof/>
        </w:rPr>
        <w:t>,</w:t>
      </w:r>
      <w:r w:rsidR="00D135D8" w:rsidRPr="00F0351B">
        <w:rPr>
          <w:noProof/>
        </w:rPr>
        <w:t xml:space="preserve"> compute</w:t>
      </w:r>
      <w:r w:rsidR="001B5D1B" w:rsidRPr="00F0351B">
        <w:rPr>
          <w:noProof/>
        </w:rPr>
        <w:t xml:space="preserve"> the amount that would be deductible under</w:t>
      </w:r>
      <w:r w:rsidR="00D135D8" w:rsidRPr="00F0351B">
        <w:rPr>
          <w:noProof/>
        </w:rPr>
        <w:t xml:space="preserve"> </w:t>
      </w:r>
      <w:r w:rsidR="00856A6C">
        <w:rPr>
          <w:noProof/>
        </w:rPr>
        <w:t>Article</w:t>
      </w:r>
      <w:r w:rsidR="00D135D8" w:rsidRPr="00F0351B">
        <w:rPr>
          <w:noProof/>
        </w:rPr>
        <w:t xml:space="preserve"> 4</w:t>
      </w:r>
      <w:r w:rsidR="001B5D1B" w:rsidRPr="00F0351B">
        <w:rPr>
          <w:noProof/>
        </w:rPr>
        <w:t xml:space="preserve"> of the</w:t>
      </w:r>
      <w:r w:rsidR="00D135D8" w:rsidRPr="00F0351B">
        <w:rPr>
          <w:noProof/>
        </w:rPr>
        <w:t xml:space="preserve"> ATAD. If the</w:t>
      </w:r>
      <w:r w:rsidR="00FA1A24" w:rsidRPr="00F0351B">
        <w:rPr>
          <w:noProof/>
        </w:rPr>
        <w:t xml:space="preserve"> deductible amount</w:t>
      </w:r>
      <w:r w:rsidR="00D135D8" w:rsidRPr="00F0351B">
        <w:rPr>
          <w:noProof/>
        </w:rPr>
        <w:t xml:space="preserve"> is lower</w:t>
      </w:r>
      <w:r w:rsidR="00B86FAD">
        <w:rPr>
          <w:noProof/>
        </w:rPr>
        <w:t>, e.g. 80 (and subsequently the non-deductible higher, i.e. 20)</w:t>
      </w:r>
      <w:r w:rsidR="00D135D8" w:rsidRPr="00F0351B">
        <w:rPr>
          <w:noProof/>
        </w:rPr>
        <w:t>, the</w:t>
      </w:r>
      <w:r w:rsidR="00FA1A24" w:rsidRPr="00F0351B">
        <w:rPr>
          <w:noProof/>
        </w:rPr>
        <w:t xml:space="preserve"> difference</w:t>
      </w:r>
      <w:r w:rsidR="00B86FAD">
        <w:rPr>
          <w:noProof/>
        </w:rPr>
        <w:t xml:space="preserve"> in the deductibility, i.e. the additional non-deductible amount</w:t>
      </w:r>
      <w:r w:rsidR="00FA1A24" w:rsidRPr="00F0351B">
        <w:rPr>
          <w:noProof/>
        </w:rPr>
        <w:t xml:space="preserve"> (i.e. 85-80 = 5)</w:t>
      </w:r>
      <w:r w:rsidR="00D135D8" w:rsidRPr="00F0351B">
        <w:rPr>
          <w:noProof/>
        </w:rPr>
        <w:t xml:space="preserve"> </w:t>
      </w:r>
      <w:r w:rsidR="00856A6C">
        <w:rPr>
          <w:noProof/>
        </w:rPr>
        <w:t>would</w:t>
      </w:r>
      <w:r w:rsidR="00446448" w:rsidRPr="00F0351B">
        <w:rPr>
          <w:noProof/>
        </w:rPr>
        <w:t xml:space="preserve"> be carried forward or back </w:t>
      </w:r>
      <w:r w:rsidR="00856A6C">
        <w:rPr>
          <w:noProof/>
        </w:rPr>
        <w:t>in accordance with the conditions of Article 4 of ATAD, as transposed in national law</w:t>
      </w:r>
      <w:r w:rsidR="00446448" w:rsidRPr="00F0351B">
        <w:rPr>
          <w:noProof/>
        </w:rPr>
        <w:t>.</w:t>
      </w:r>
    </w:p>
    <w:p w14:paraId="05F541FF" w14:textId="77777777" w:rsidR="00D135D8" w:rsidRDefault="00D135D8" w:rsidP="00D135D8">
      <w:pPr>
        <w:rPr>
          <w:noProof/>
        </w:rPr>
      </w:pPr>
      <w:r w:rsidRPr="00F0351B">
        <w:rPr>
          <w:noProof/>
        </w:rPr>
        <w:t xml:space="preserve">The outcome for company A is that 15 (100 - 85) of interest borrowing costs are non-deductible and a further 5 (85 – 80) of interest borrowing costs are </w:t>
      </w:r>
      <w:r w:rsidR="00446448" w:rsidRPr="00F0351B">
        <w:rPr>
          <w:noProof/>
        </w:rPr>
        <w:t>carried forward or back</w:t>
      </w:r>
      <w:r w:rsidRPr="00F0351B">
        <w:rPr>
          <w:noProof/>
        </w:rPr>
        <w:t>.</w:t>
      </w:r>
    </w:p>
    <w:p w14:paraId="05F54200" w14:textId="77777777" w:rsidR="00277DC4" w:rsidRPr="00B37F4C" w:rsidRDefault="00B37F4C" w:rsidP="00B37F4C">
      <w:pPr>
        <w:pStyle w:val="ManualHeading2"/>
        <w:rPr>
          <w:b w:val="0"/>
          <w:noProof/>
        </w:rPr>
      </w:pPr>
      <w:r w:rsidRPr="001A05B3">
        <w:rPr>
          <w:noProof/>
          <w:color w:val="000000"/>
          <w:u w:color="000000"/>
          <w:bdr w:val="nil"/>
          <w:lang w:eastAsia="en-GB"/>
        </w:rPr>
        <w:t>•</w:t>
      </w:r>
      <w:r w:rsidRPr="001A05B3">
        <w:rPr>
          <w:noProof/>
          <w:color w:val="000000"/>
          <w:u w:color="000000"/>
          <w:bdr w:val="nil"/>
          <w:lang w:eastAsia="en-GB"/>
        </w:rPr>
        <w:tab/>
      </w:r>
      <w:r w:rsidR="00645E1B" w:rsidRPr="00B37F4C">
        <w:rPr>
          <w:noProof/>
        </w:rPr>
        <w:t>Monitoring and reporting</w:t>
      </w:r>
    </w:p>
    <w:p w14:paraId="05F54201" w14:textId="77777777" w:rsidR="0040116E" w:rsidRPr="008640C6" w:rsidRDefault="000638ED" w:rsidP="000638ED">
      <w:pPr>
        <w:rPr>
          <w:noProof/>
        </w:rPr>
      </w:pPr>
      <w:r w:rsidRPr="00960F22">
        <w:rPr>
          <w:noProof/>
        </w:rPr>
        <w:t>Member States will provide specific data to the Commission on a yearly basis in order to allow monitoring the implementation and effects of the new rules. The Commission will rely on these data, amongst others, in order to evaluate the implementation of the Directive and report accordingly.</w:t>
      </w:r>
    </w:p>
    <w:p w14:paraId="05F54202" w14:textId="77777777" w:rsidR="0040116E" w:rsidRDefault="003B131B" w:rsidP="00AD701F">
      <w:pPr>
        <w:pStyle w:val="ManualHeading2"/>
        <w:rPr>
          <w:noProof/>
        </w:rPr>
      </w:pPr>
      <w:r w:rsidRPr="001A05B3">
        <w:rPr>
          <w:noProof/>
          <w:color w:val="000000"/>
          <w:u w:color="000000"/>
          <w:bdr w:val="nil"/>
          <w:lang w:eastAsia="en-GB"/>
        </w:rPr>
        <w:t>•</w:t>
      </w:r>
      <w:r w:rsidRPr="001A05B3">
        <w:rPr>
          <w:noProof/>
          <w:color w:val="000000"/>
          <w:u w:color="000000"/>
          <w:bdr w:val="nil"/>
          <w:lang w:eastAsia="en-GB"/>
        </w:rPr>
        <w:tab/>
      </w:r>
      <w:r w:rsidR="00AD701F">
        <w:rPr>
          <w:noProof/>
        </w:rPr>
        <w:t>Delegation</w:t>
      </w:r>
    </w:p>
    <w:p w14:paraId="05F54203" w14:textId="68A0743F" w:rsidR="00AD701F" w:rsidRDefault="00AD701F" w:rsidP="00A81842">
      <w:pPr>
        <w:pStyle w:val="Text1"/>
        <w:ind w:left="0"/>
        <w:rPr>
          <w:noProof/>
        </w:rPr>
      </w:pPr>
      <w:r>
        <w:rPr>
          <w:noProof/>
        </w:rPr>
        <w:t xml:space="preserve">The Commission will have the power to </w:t>
      </w:r>
      <w:r w:rsidR="007C2410">
        <w:rPr>
          <w:noProof/>
        </w:rPr>
        <w:t>modify the risk premium rate by adopting delegated acts. The Commission may exercise such power only under specific circumstances, i.e. where inflation and/or economic growth trends require an increase or decrease of the risk premium</w:t>
      </w:r>
      <w:r w:rsidR="0048528E">
        <w:rPr>
          <w:noProof/>
        </w:rPr>
        <w:t xml:space="preserve"> </w:t>
      </w:r>
      <w:r w:rsidR="0048528E" w:rsidRPr="0048528E">
        <w:rPr>
          <w:noProof/>
        </w:rPr>
        <w:t xml:space="preserve">and provided that </w:t>
      </w:r>
      <w:r w:rsidR="00391BB5" w:rsidRPr="00391BB5">
        <w:rPr>
          <w:noProof/>
        </w:rPr>
        <w:t xml:space="preserve">relevant data, reports and statistics, including those provided by Member States, conclude </w:t>
      </w:r>
      <w:r w:rsidR="0048528E" w:rsidRPr="0048528E">
        <w:rPr>
          <w:noProof/>
        </w:rPr>
        <w:t xml:space="preserve">that the </w:t>
      </w:r>
      <w:r w:rsidR="00937470">
        <w:rPr>
          <w:noProof/>
        </w:rPr>
        <w:t xml:space="preserve">EU average of the </w:t>
      </w:r>
      <w:r w:rsidR="0048528E" w:rsidRPr="0048528E">
        <w:rPr>
          <w:noProof/>
        </w:rPr>
        <w:t xml:space="preserve">financing conditions </w:t>
      </w:r>
      <w:r w:rsidR="00937470">
        <w:rPr>
          <w:noProof/>
        </w:rPr>
        <w:t>of</w:t>
      </w:r>
      <w:r w:rsidR="0048528E" w:rsidRPr="0048528E">
        <w:rPr>
          <w:noProof/>
        </w:rPr>
        <w:t xml:space="preserve"> debt of the companies in scope of the directive have </w:t>
      </w:r>
      <w:r w:rsidR="00937470">
        <w:rPr>
          <w:noProof/>
        </w:rPr>
        <w:t>doubled</w:t>
      </w:r>
      <w:r w:rsidR="0048528E" w:rsidRPr="0048528E">
        <w:rPr>
          <w:noProof/>
        </w:rPr>
        <w:t xml:space="preserve"> or </w:t>
      </w:r>
      <w:r w:rsidR="00937470">
        <w:rPr>
          <w:noProof/>
        </w:rPr>
        <w:t>halved</w:t>
      </w:r>
      <w:r w:rsidR="0048528E" w:rsidRPr="0048528E">
        <w:rPr>
          <w:noProof/>
        </w:rPr>
        <w:t xml:space="preserve"> since the last determination of the risk premium</w:t>
      </w:r>
      <w:r w:rsidR="007C2410" w:rsidRPr="0048528E">
        <w:rPr>
          <w:noProof/>
        </w:rPr>
        <w:t>. In</w:t>
      </w:r>
      <w:r w:rsidR="007C2410">
        <w:rPr>
          <w:noProof/>
        </w:rPr>
        <w:t xml:space="preserve"> such cases it is in fact essential to be able to change applicable rates to reflect real market conditions quickly and smoothly, without recourse to a full legislative procedure.</w:t>
      </w:r>
      <w:r w:rsidR="00A81842">
        <w:rPr>
          <w:noProof/>
        </w:rPr>
        <w:t xml:space="preserve"> The power of the Commission is however duly restricted and revocable. </w:t>
      </w:r>
    </w:p>
    <w:p w14:paraId="05F54204" w14:textId="77777777" w:rsidR="003F39F3" w:rsidRDefault="003B131B" w:rsidP="003F39F3">
      <w:pPr>
        <w:pStyle w:val="ManualHeading2"/>
        <w:rPr>
          <w:noProof/>
        </w:rPr>
      </w:pPr>
      <w:r w:rsidRPr="001A05B3">
        <w:rPr>
          <w:noProof/>
          <w:color w:val="000000"/>
          <w:u w:color="000000"/>
          <w:bdr w:val="nil"/>
          <w:lang w:eastAsia="en-GB"/>
        </w:rPr>
        <w:t>•</w:t>
      </w:r>
      <w:r w:rsidRPr="001A05B3">
        <w:rPr>
          <w:noProof/>
          <w:color w:val="000000"/>
          <w:u w:color="000000"/>
          <w:bdr w:val="nil"/>
          <w:lang w:eastAsia="en-GB"/>
        </w:rPr>
        <w:tab/>
      </w:r>
      <w:r w:rsidR="003F39F3">
        <w:rPr>
          <w:noProof/>
        </w:rPr>
        <w:t xml:space="preserve">Transposition </w:t>
      </w:r>
    </w:p>
    <w:p w14:paraId="05F54205" w14:textId="06084258" w:rsidR="00A81842" w:rsidRDefault="003F39F3" w:rsidP="00A81842">
      <w:pPr>
        <w:pStyle w:val="Text1"/>
        <w:ind w:left="0"/>
        <w:rPr>
          <w:noProof/>
        </w:rPr>
      </w:pPr>
      <w:r>
        <w:rPr>
          <w:noProof/>
        </w:rPr>
        <w:t xml:space="preserve">Member States that have </w:t>
      </w:r>
      <w:r w:rsidR="00566B3D" w:rsidRPr="00566B3D">
        <w:rPr>
          <w:noProof/>
        </w:rPr>
        <w:t xml:space="preserve">rules </w:t>
      </w:r>
      <w:r>
        <w:rPr>
          <w:noProof/>
        </w:rPr>
        <w:t xml:space="preserve">in place providing for an allowance on equity increases </w:t>
      </w:r>
      <w:r w:rsidR="006E70D7">
        <w:rPr>
          <w:noProof/>
        </w:rPr>
        <w:t>may</w:t>
      </w:r>
      <w:r w:rsidR="00411B89">
        <w:rPr>
          <w:noProof/>
        </w:rPr>
        <w:t xml:space="preserve"> defer the application of the </w:t>
      </w:r>
      <w:r w:rsidR="00566B3D">
        <w:rPr>
          <w:noProof/>
        </w:rPr>
        <w:t xml:space="preserve">provisions </w:t>
      </w:r>
      <w:r w:rsidR="00411B89">
        <w:rPr>
          <w:noProof/>
        </w:rPr>
        <w:t>of this directive for the duration of rights already established under domestic rules (grandfathering)</w:t>
      </w:r>
      <w:r w:rsidR="00566B3D">
        <w:rPr>
          <w:noProof/>
        </w:rPr>
        <w:t>T</w:t>
      </w:r>
      <w:r w:rsidR="00411B89">
        <w:rPr>
          <w:noProof/>
        </w:rPr>
        <w:t xml:space="preserve">axpayers that, </w:t>
      </w:r>
      <w:r w:rsidR="006E70D7" w:rsidRPr="006E70D7">
        <w:rPr>
          <w:noProof/>
        </w:rPr>
        <w:t xml:space="preserve">on </w:t>
      </w:r>
      <w:r w:rsidR="00F13068">
        <w:rPr>
          <w:noProof/>
        </w:rPr>
        <w:t>[</w:t>
      </w:r>
      <w:r w:rsidR="006E70D7" w:rsidRPr="006E70D7">
        <w:rPr>
          <w:noProof/>
        </w:rPr>
        <w:t>1 January 2024</w:t>
      </w:r>
      <w:r w:rsidR="00F13068">
        <w:rPr>
          <w:noProof/>
        </w:rPr>
        <w:t>]</w:t>
      </w:r>
      <w:r w:rsidR="006E70D7" w:rsidRPr="006E70D7">
        <w:rPr>
          <w:noProof/>
        </w:rPr>
        <w:t xml:space="preserve"> benefit from an allowance on equity </w:t>
      </w:r>
      <w:r w:rsidR="00411B89">
        <w:rPr>
          <w:noProof/>
        </w:rPr>
        <w:t xml:space="preserve">, under domestic </w:t>
      </w:r>
      <w:r w:rsidR="00566B3D">
        <w:rPr>
          <w:noProof/>
        </w:rPr>
        <w:t>law (</w:t>
      </w:r>
      <w:r w:rsidR="00411B89">
        <w:rPr>
          <w:noProof/>
        </w:rPr>
        <w:t>in Belgium, Cyprus, Italy, Malta</w:t>
      </w:r>
      <w:r w:rsidR="0072193A">
        <w:rPr>
          <w:noProof/>
        </w:rPr>
        <w:t>, Poland</w:t>
      </w:r>
      <w:r w:rsidR="00411B89">
        <w:rPr>
          <w:noProof/>
        </w:rPr>
        <w:t xml:space="preserve"> and </w:t>
      </w:r>
      <w:r w:rsidR="0072193A">
        <w:rPr>
          <w:noProof/>
        </w:rPr>
        <w:t>Portugal</w:t>
      </w:r>
      <w:r w:rsidR="00566B3D">
        <w:rPr>
          <w:noProof/>
        </w:rPr>
        <w:t>)</w:t>
      </w:r>
      <w:r w:rsidR="00411B89">
        <w:rPr>
          <w:noProof/>
        </w:rPr>
        <w:t xml:space="preserve"> will be able to continue to benefit from such allowance </w:t>
      </w:r>
      <w:r w:rsidR="00566B3D">
        <w:rPr>
          <w:noProof/>
        </w:rPr>
        <w:t xml:space="preserve">under national law </w:t>
      </w:r>
      <w:r w:rsidR="006E70D7" w:rsidRPr="006E70D7">
        <w:rPr>
          <w:noProof/>
        </w:rPr>
        <w:t xml:space="preserve">for a period </w:t>
      </w:r>
      <w:r w:rsidR="006B308C">
        <w:rPr>
          <w:noProof/>
        </w:rPr>
        <w:t xml:space="preserve">of </w:t>
      </w:r>
      <w:r w:rsidR="006E70D7" w:rsidRPr="006E70D7">
        <w:rPr>
          <w:noProof/>
        </w:rPr>
        <w:t>up to 10 years and in no case for a period longer than the duration of the benefit under national law</w:t>
      </w:r>
      <w:r w:rsidR="00411B89">
        <w:rPr>
          <w:noProof/>
        </w:rPr>
        <w:t xml:space="preserve">. Conversely the rules of this directive will apply from their </w:t>
      </w:r>
      <w:r w:rsidR="00566B3D">
        <w:rPr>
          <w:noProof/>
        </w:rPr>
        <w:t>date of application</w:t>
      </w:r>
      <w:r w:rsidR="00411B89">
        <w:rPr>
          <w:noProof/>
        </w:rPr>
        <w:t xml:space="preserve"> to all other taxpayers in all Member States.</w:t>
      </w:r>
    </w:p>
    <w:p w14:paraId="05F54206" w14:textId="77777777" w:rsidR="0082642F" w:rsidRPr="001A05B3" w:rsidRDefault="0082642F" w:rsidP="0082642F">
      <w:pPr>
        <w:rPr>
          <w:noProof/>
        </w:rPr>
        <w:sectPr w:rsidR="0082642F" w:rsidRPr="001A05B3" w:rsidSect="009B5939">
          <w:footerReference w:type="default" r:id="rId14"/>
          <w:footerReference w:type="first" r:id="rId15"/>
          <w:pgSz w:w="11907" w:h="16839"/>
          <w:pgMar w:top="1134" w:right="1417" w:bottom="1134" w:left="1417" w:header="709" w:footer="709" w:gutter="0"/>
          <w:pgNumType w:start="1"/>
          <w:cols w:space="708"/>
          <w:docGrid w:linePitch="360"/>
        </w:sectPr>
      </w:pPr>
    </w:p>
    <w:p w14:paraId="334C2842" w14:textId="6B979CAF" w:rsidR="002004CE" w:rsidRDefault="009903DF" w:rsidP="009903DF">
      <w:pPr>
        <w:pStyle w:val="Rfrenceinterinstitutionnelle"/>
        <w:rPr>
          <w:noProof/>
        </w:rPr>
      </w:pPr>
      <w:r w:rsidRPr="009903DF">
        <w:t>2022/0154 (CNS)</w:t>
      </w:r>
    </w:p>
    <w:p w14:paraId="05F54207" w14:textId="6D049744" w:rsidR="0040116E" w:rsidRPr="001A05B3" w:rsidRDefault="0085580F" w:rsidP="0085580F">
      <w:pPr>
        <w:pStyle w:val="Statut"/>
        <w:rPr>
          <w:noProof/>
        </w:rPr>
      </w:pPr>
      <w:r w:rsidRPr="0085580F">
        <w:rPr>
          <w:noProof/>
        </w:rPr>
        <w:t>Proposal for a</w:t>
      </w:r>
    </w:p>
    <w:p w14:paraId="05F54208" w14:textId="06E8EB04" w:rsidR="0040116E" w:rsidRPr="001A05B3" w:rsidRDefault="0085580F" w:rsidP="0085580F">
      <w:pPr>
        <w:pStyle w:val="Typedudocument"/>
        <w:rPr>
          <w:noProof/>
        </w:rPr>
      </w:pPr>
      <w:r w:rsidRPr="0085580F">
        <w:rPr>
          <w:noProof/>
        </w:rPr>
        <w:t>COUNCIL DIRECTIVE</w:t>
      </w:r>
    </w:p>
    <w:p w14:paraId="05F54209" w14:textId="083F6E02" w:rsidR="0040116E" w:rsidRPr="001A05B3" w:rsidRDefault="00C875A3" w:rsidP="00C875A3">
      <w:pPr>
        <w:pStyle w:val="Titreobjet"/>
        <w:rPr>
          <w:noProof/>
        </w:rPr>
      </w:pPr>
      <w:r w:rsidRPr="00C875A3">
        <w:rPr>
          <w:noProof/>
        </w:rPr>
        <w:t xml:space="preserve">on laying down rules on a debt-equity bias reduction </w:t>
      </w:r>
      <w:r w:rsidR="00B043E6">
        <w:rPr>
          <w:noProof/>
        </w:rPr>
        <w:t xml:space="preserve">allowance </w:t>
      </w:r>
      <w:r w:rsidRPr="00C875A3">
        <w:rPr>
          <w:noProof/>
        </w:rPr>
        <w:t>and on limiting the deductibility of interest for corporate income tax purposes</w:t>
      </w:r>
    </w:p>
    <w:p w14:paraId="05F5420A" w14:textId="77777777" w:rsidR="0040116E" w:rsidRPr="001A05B3" w:rsidRDefault="0040116E" w:rsidP="004D1E24">
      <w:pPr>
        <w:pStyle w:val="Institutionquiagit"/>
        <w:rPr>
          <w:noProof/>
        </w:rPr>
      </w:pPr>
      <w:r w:rsidRPr="001A05B3">
        <w:rPr>
          <w:noProof/>
        </w:rPr>
        <w:t>THE COUNCIL OF THE EUROPEAN UNION,</w:t>
      </w:r>
    </w:p>
    <w:p w14:paraId="05F5420B" w14:textId="77777777" w:rsidR="0040116E" w:rsidRPr="001A05B3" w:rsidRDefault="0040116E" w:rsidP="004D1E24">
      <w:pPr>
        <w:rPr>
          <w:noProof/>
        </w:rPr>
      </w:pPr>
      <w:r w:rsidRPr="001A05B3">
        <w:rPr>
          <w:noProof/>
        </w:rPr>
        <w:t xml:space="preserve">Having regard to the Treaty on the Functioning of the European Union, and in particular </w:t>
      </w:r>
      <w:r w:rsidRPr="00880CAA">
        <w:rPr>
          <w:noProof/>
        </w:rPr>
        <w:t>Article</w:t>
      </w:r>
      <w:r w:rsidR="00346E9E" w:rsidRPr="00880CAA">
        <w:rPr>
          <w:noProof/>
        </w:rPr>
        <w:t xml:space="preserve"> 115 </w:t>
      </w:r>
      <w:r w:rsidRPr="00880CAA">
        <w:rPr>
          <w:noProof/>
        </w:rPr>
        <w:t>thereof</w:t>
      </w:r>
      <w:r w:rsidRPr="001A05B3">
        <w:rPr>
          <w:noProof/>
        </w:rPr>
        <w:t>,</w:t>
      </w:r>
    </w:p>
    <w:p w14:paraId="05F5420C" w14:textId="77777777" w:rsidR="001C030B" w:rsidRPr="007A5BE3" w:rsidRDefault="001C030B" w:rsidP="001C030B">
      <w:pPr>
        <w:rPr>
          <w:noProof/>
        </w:rPr>
      </w:pPr>
      <w:r w:rsidRPr="007A5BE3">
        <w:rPr>
          <w:noProof/>
        </w:rPr>
        <w:t>Having regard to the proposal from the European Commission,</w:t>
      </w:r>
    </w:p>
    <w:p w14:paraId="05F5420D" w14:textId="77777777" w:rsidR="001C030B" w:rsidRPr="007A5BE3" w:rsidRDefault="001C030B" w:rsidP="001C030B">
      <w:pPr>
        <w:rPr>
          <w:noProof/>
        </w:rPr>
      </w:pPr>
      <w:r w:rsidRPr="007A5BE3">
        <w:rPr>
          <w:noProof/>
        </w:rPr>
        <w:t>After transmission of the draft legislative act to the national parliaments,</w:t>
      </w:r>
    </w:p>
    <w:p w14:paraId="05F5420E" w14:textId="77777777" w:rsidR="001C030B" w:rsidRPr="007A5BE3" w:rsidRDefault="001C030B" w:rsidP="001C030B">
      <w:pPr>
        <w:rPr>
          <w:noProof/>
        </w:rPr>
      </w:pPr>
      <w:r w:rsidRPr="007A5BE3">
        <w:rPr>
          <w:noProof/>
        </w:rPr>
        <w:t>Having regard to the opinion of the European Parliament</w:t>
      </w:r>
      <w:r w:rsidRPr="008640C6">
        <w:rPr>
          <w:rStyle w:val="FootnoteReference"/>
          <w:noProof/>
        </w:rPr>
        <w:footnoteReference w:id="13"/>
      </w:r>
      <w:r w:rsidRPr="007A5BE3">
        <w:rPr>
          <w:noProof/>
        </w:rPr>
        <w:t xml:space="preserve">, </w:t>
      </w:r>
    </w:p>
    <w:p w14:paraId="05F5420F" w14:textId="77777777" w:rsidR="001C030B" w:rsidRPr="007A5BE3" w:rsidRDefault="001C030B" w:rsidP="001C030B">
      <w:pPr>
        <w:rPr>
          <w:noProof/>
        </w:rPr>
      </w:pPr>
      <w:r w:rsidRPr="007A5BE3">
        <w:rPr>
          <w:noProof/>
        </w:rPr>
        <w:t>Having regard to the opinion of the European Economic and Social Committee</w:t>
      </w:r>
      <w:r w:rsidRPr="008640C6">
        <w:rPr>
          <w:rStyle w:val="FootnoteReference"/>
          <w:noProof/>
        </w:rPr>
        <w:footnoteReference w:id="14"/>
      </w:r>
      <w:r w:rsidRPr="007A5BE3">
        <w:rPr>
          <w:noProof/>
        </w:rPr>
        <w:t xml:space="preserve">, </w:t>
      </w:r>
    </w:p>
    <w:p w14:paraId="05F54210" w14:textId="77777777" w:rsidR="00346E9E" w:rsidRPr="001A05B3" w:rsidRDefault="001C030B" w:rsidP="001C030B">
      <w:pPr>
        <w:rPr>
          <w:noProof/>
        </w:rPr>
      </w:pPr>
      <w:r w:rsidRPr="007A5BE3">
        <w:rPr>
          <w:noProof/>
        </w:rPr>
        <w:t>Acting in accordance with a special legislative procedure,</w:t>
      </w:r>
    </w:p>
    <w:p w14:paraId="05F54211" w14:textId="77777777" w:rsidR="0040116E" w:rsidRPr="001A05B3" w:rsidRDefault="0040116E" w:rsidP="004D1E24">
      <w:pPr>
        <w:rPr>
          <w:noProof/>
        </w:rPr>
      </w:pPr>
      <w:r w:rsidRPr="001A05B3">
        <w:rPr>
          <w:noProof/>
        </w:rPr>
        <w:t>Whereas:</w:t>
      </w:r>
    </w:p>
    <w:p w14:paraId="05F54212" w14:textId="77777777" w:rsidR="001D7079" w:rsidRDefault="004C6AA3" w:rsidP="004C6AA3">
      <w:pPr>
        <w:pStyle w:val="ManualConsidrant"/>
        <w:rPr>
          <w:noProof/>
        </w:rPr>
      </w:pPr>
      <w:r w:rsidRPr="004C6AA3">
        <w:rPr>
          <w:noProof/>
        </w:rPr>
        <w:t>(1)</w:t>
      </w:r>
      <w:r w:rsidRPr="004C6AA3">
        <w:rPr>
          <w:noProof/>
        </w:rPr>
        <w:tab/>
      </w:r>
      <w:r w:rsidR="000547F6">
        <w:rPr>
          <w:noProof/>
        </w:rPr>
        <w:t xml:space="preserve">Promoting </w:t>
      </w:r>
      <w:r w:rsidR="000547F6" w:rsidRPr="003610C8">
        <w:rPr>
          <w:noProof/>
        </w:rPr>
        <w:t>a fair and sustainable business environment</w:t>
      </w:r>
      <w:r w:rsidR="000547F6">
        <w:rPr>
          <w:noProof/>
        </w:rPr>
        <w:t>, including through targeted tax measures that incentivise investment and growth, is a high political priority of the Union</w:t>
      </w:r>
      <w:r w:rsidR="000547F6" w:rsidRPr="003610C8">
        <w:rPr>
          <w:noProof/>
        </w:rPr>
        <w:t>.</w:t>
      </w:r>
      <w:r w:rsidR="000547F6">
        <w:rPr>
          <w:noProof/>
        </w:rPr>
        <w:t xml:space="preserve"> To support sustainable and long-term corporate financing, the tax system should minimise unintended distortions of business decisions, for example towards debt rather than equity financing. While </w:t>
      </w:r>
      <w:r w:rsidR="000547F6" w:rsidRPr="00E37150">
        <w:rPr>
          <w:noProof/>
          <w:szCs w:val="24"/>
          <w:lang w:eastAsia="fr-BE"/>
        </w:rPr>
        <w:t xml:space="preserve">the </w:t>
      </w:r>
      <w:r w:rsidR="004D1E24" w:rsidRPr="00E37150">
        <w:rPr>
          <w:noProof/>
          <w:szCs w:val="24"/>
          <w:lang w:eastAsia="fr-BE"/>
        </w:rPr>
        <w:t xml:space="preserve">Commission’s </w:t>
      </w:r>
      <w:r w:rsidR="000547F6" w:rsidRPr="00E37150">
        <w:rPr>
          <w:noProof/>
          <w:szCs w:val="24"/>
          <w:lang w:eastAsia="fr-BE"/>
        </w:rPr>
        <w:t xml:space="preserve">Capital Markets Union </w:t>
      </w:r>
      <w:r w:rsidR="004D1E24" w:rsidRPr="00E37150">
        <w:rPr>
          <w:noProof/>
          <w:szCs w:val="24"/>
          <w:lang w:eastAsia="fr-BE"/>
        </w:rPr>
        <w:t xml:space="preserve">2020 </w:t>
      </w:r>
      <w:r w:rsidR="000547F6" w:rsidRPr="00E37150">
        <w:rPr>
          <w:noProof/>
          <w:szCs w:val="24"/>
          <w:lang w:eastAsia="fr-BE"/>
        </w:rPr>
        <w:t>Action Plan</w:t>
      </w:r>
      <w:r w:rsidR="000547F6" w:rsidRPr="008640C6">
        <w:rPr>
          <w:rStyle w:val="FootnoteReference"/>
          <w:noProof/>
        </w:rPr>
        <w:footnoteReference w:id="15"/>
      </w:r>
      <w:r w:rsidR="000547F6" w:rsidRPr="00E37150">
        <w:rPr>
          <w:noProof/>
          <w:szCs w:val="24"/>
          <w:lang w:eastAsia="fr-BE"/>
        </w:rPr>
        <w:t xml:space="preserve"> includes important </w:t>
      </w:r>
      <w:r w:rsidR="000547F6" w:rsidRPr="00F40C95">
        <w:rPr>
          <w:noProof/>
          <w:szCs w:val="24"/>
          <w:lang w:eastAsia="fr-BE"/>
        </w:rPr>
        <w:t xml:space="preserve">actions to </w:t>
      </w:r>
      <w:r w:rsidR="004D1E24" w:rsidRPr="001D7079">
        <w:rPr>
          <w:noProof/>
          <w:szCs w:val="24"/>
          <w:lang w:eastAsia="fr-BE"/>
        </w:rPr>
        <w:t>support such financing</w:t>
      </w:r>
      <w:r w:rsidR="00E37150" w:rsidRPr="00F40C95">
        <w:rPr>
          <w:noProof/>
          <w:szCs w:val="24"/>
          <w:lang w:eastAsia="fr-BE"/>
        </w:rPr>
        <w:t>, for example Action 4 - Encouraging more long-term and equity financing from institutional investors</w:t>
      </w:r>
      <w:r w:rsidR="000547F6" w:rsidRPr="00FA236C">
        <w:rPr>
          <w:noProof/>
          <w:szCs w:val="24"/>
          <w:lang w:eastAsia="fr-BE"/>
        </w:rPr>
        <w:t xml:space="preserve">, targeted tax measures should </w:t>
      </w:r>
      <w:r w:rsidR="00895B72" w:rsidRPr="004616E0">
        <w:rPr>
          <w:noProof/>
          <w:szCs w:val="24"/>
          <w:lang w:eastAsia="fr-BE"/>
        </w:rPr>
        <w:t xml:space="preserve">be </w:t>
      </w:r>
      <w:r w:rsidR="00895B72" w:rsidRPr="001D7079">
        <w:rPr>
          <w:noProof/>
          <w:szCs w:val="24"/>
          <w:lang w:eastAsia="fr-BE"/>
        </w:rPr>
        <w:t>adopted</w:t>
      </w:r>
      <w:r w:rsidR="00895B72" w:rsidRPr="00F40C95">
        <w:rPr>
          <w:noProof/>
          <w:szCs w:val="24"/>
          <w:lang w:eastAsia="fr-BE"/>
        </w:rPr>
        <w:t xml:space="preserve"> in order to</w:t>
      </w:r>
      <w:r w:rsidR="00895B72" w:rsidRPr="00E37150">
        <w:rPr>
          <w:noProof/>
          <w:szCs w:val="24"/>
          <w:lang w:eastAsia="fr-BE"/>
        </w:rPr>
        <w:t xml:space="preserve"> </w:t>
      </w:r>
      <w:r w:rsidR="000547F6" w:rsidRPr="00E37150">
        <w:rPr>
          <w:noProof/>
          <w:szCs w:val="24"/>
          <w:lang w:eastAsia="fr-BE"/>
        </w:rPr>
        <w:t xml:space="preserve">enhance such actions. </w:t>
      </w:r>
      <w:r w:rsidR="00A32BC8">
        <w:rPr>
          <w:noProof/>
          <w:szCs w:val="24"/>
          <w:lang w:eastAsia="fr-BE"/>
        </w:rPr>
        <w:t xml:space="preserve">Such measures should take </w:t>
      </w:r>
      <w:r w:rsidR="000547F6" w:rsidRPr="00E37150">
        <w:rPr>
          <w:noProof/>
          <w:szCs w:val="24"/>
          <w:lang w:eastAsia="fr-BE"/>
        </w:rPr>
        <w:t>into account fis</w:t>
      </w:r>
      <w:r w:rsidR="000547F6">
        <w:rPr>
          <w:noProof/>
        </w:rPr>
        <w:t xml:space="preserve">cal </w:t>
      </w:r>
      <w:r w:rsidR="000547F6" w:rsidRPr="00566B2B">
        <w:rPr>
          <w:noProof/>
        </w:rPr>
        <w:t xml:space="preserve">sustainability </w:t>
      </w:r>
      <w:r w:rsidR="000547F6">
        <w:rPr>
          <w:noProof/>
        </w:rPr>
        <w:t>considerations</w:t>
      </w:r>
      <w:r w:rsidR="001D7079">
        <w:rPr>
          <w:noProof/>
        </w:rPr>
        <w:t>.</w:t>
      </w:r>
    </w:p>
    <w:p w14:paraId="05F54213" w14:textId="77777777" w:rsidR="0040116E" w:rsidRPr="001A05B3" w:rsidRDefault="004C6AA3" w:rsidP="004C6AA3">
      <w:pPr>
        <w:pStyle w:val="ManualConsidrant"/>
        <w:rPr>
          <w:noProof/>
        </w:rPr>
      </w:pPr>
      <w:r w:rsidRPr="004C6AA3">
        <w:rPr>
          <w:noProof/>
        </w:rPr>
        <w:t>(2)</w:t>
      </w:r>
      <w:r w:rsidRPr="004C6AA3">
        <w:rPr>
          <w:noProof/>
        </w:rPr>
        <w:tab/>
      </w:r>
      <w:r w:rsidR="000547F6" w:rsidRPr="00DA3D87">
        <w:rPr>
          <w:noProof/>
        </w:rPr>
        <w:t>Member States</w:t>
      </w:r>
      <w:r w:rsidR="000547F6">
        <w:rPr>
          <w:noProof/>
        </w:rPr>
        <w:t>’ tax systems</w:t>
      </w:r>
      <w:r w:rsidR="000547F6" w:rsidRPr="00DA3D87">
        <w:rPr>
          <w:noProof/>
        </w:rPr>
        <w:t xml:space="preserve"> a</w:t>
      </w:r>
      <w:r w:rsidR="000547F6">
        <w:rPr>
          <w:noProof/>
        </w:rPr>
        <w:t xml:space="preserve">llow </w:t>
      </w:r>
      <w:r w:rsidR="00AE26EE">
        <w:rPr>
          <w:noProof/>
        </w:rPr>
        <w:t xml:space="preserve">the taxpayers </w:t>
      </w:r>
      <w:r w:rsidR="00AF552F">
        <w:rPr>
          <w:noProof/>
        </w:rPr>
        <w:t>to</w:t>
      </w:r>
      <w:r w:rsidR="000547F6" w:rsidRPr="00DA3D87">
        <w:rPr>
          <w:noProof/>
        </w:rPr>
        <w:t xml:space="preserve"> deduct interest payments on debt</w:t>
      </w:r>
      <w:r w:rsidR="000547F6">
        <w:rPr>
          <w:noProof/>
        </w:rPr>
        <w:t xml:space="preserve"> financing</w:t>
      </w:r>
      <w:r w:rsidR="000547F6" w:rsidRPr="00DA3D87">
        <w:rPr>
          <w:noProof/>
        </w:rPr>
        <w:t xml:space="preserve">, </w:t>
      </w:r>
      <w:r w:rsidR="000547F6">
        <w:rPr>
          <w:noProof/>
        </w:rPr>
        <w:t xml:space="preserve">and </w:t>
      </w:r>
      <w:r w:rsidR="000547F6" w:rsidRPr="00DA3D87">
        <w:rPr>
          <w:noProof/>
        </w:rPr>
        <w:t>thereby reduc</w:t>
      </w:r>
      <w:r w:rsidR="000547F6">
        <w:rPr>
          <w:noProof/>
        </w:rPr>
        <w:t>e the</w:t>
      </w:r>
      <w:r w:rsidR="000547F6" w:rsidRPr="00DA3D87">
        <w:rPr>
          <w:noProof/>
        </w:rPr>
        <w:t xml:space="preserve"> corporate income tax</w:t>
      </w:r>
      <w:r w:rsidR="000547F6">
        <w:rPr>
          <w:noProof/>
        </w:rPr>
        <w:t xml:space="preserve"> liability, while </w:t>
      </w:r>
      <w:r w:rsidR="000547F6" w:rsidRPr="00DA3D87">
        <w:rPr>
          <w:noProof/>
        </w:rPr>
        <w:t>costs related to equity financing are non-tax deductible in most Member States.</w:t>
      </w:r>
      <w:r w:rsidR="000547F6">
        <w:rPr>
          <w:noProof/>
        </w:rPr>
        <w:t xml:space="preserve"> </w:t>
      </w:r>
      <w:r w:rsidR="00523306">
        <w:rPr>
          <w:noProof/>
        </w:rPr>
        <w:t xml:space="preserve">The asymmetric tax treatment of debt and equity financing across the Union </w:t>
      </w:r>
      <w:r w:rsidR="00523306">
        <w:rPr>
          <w:noProof/>
          <w:szCs w:val="24"/>
          <w:lang w:eastAsia="fr-BE"/>
        </w:rPr>
        <w:t>induces a bias towards debt in</w:t>
      </w:r>
      <w:r w:rsidR="00523306" w:rsidRPr="002C5324">
        <w:rPr>
          <w:noProof/>
          <w:szCs w:val="24"/>
          <w:lang w:eastAsia="fr-BE"/>
        </w:rPr>
        <w:t xml:space="preserve"> investment decisions</w:t>
      </w:r>
      <w:r w:rsidR="00523306" w:rsidRPr="001A05B3">
        <w:rPr>
          <w:noProof/>
        </w:rPr>
        <w:t>.</w:t>
      </w:r>
      <w:r w:rsidR="00523306">
        <w:rPr>
          <w:noProof/>
        </w:rPr>
        <w:t xml:space="preserve"> </w:t>
      </w:r>
      <w:r w:rsidR="00AF552F">
        <w:rPr>
          <w:noProof/>
        </w:rPr>
        <w:t xml:space="preserve">Moreover, </w:t>
      </w:r>
      <w:r w:rsidR="00AF552F">
        <w:rPr>
          <w:noProof/>
          <w:szCs w:val="24"/>
          <w:lang w:eastAsia="fr-BE"/>
        </w:rPr>
        <w:t>w</w:t>
      </w:r>
      <w:r w:rsidR="000547F6">
        <w:rPr>
          <w:noProof/>
          <w:szCs w:val="24"/>
          <w:lang w:eastAsia="fr-BE"/>
        </w:rPr>
        <w:t>here</w:t>
      </w:r>
      <w:r w:rsidR="000547F6">
        <w:rPr>
          <w:noProof/>
        </w:rPr>
        <w:t xml:space="preserve"> Member States </w:t>
      </w:r>
      <w:r w:rsidR="00AF552F">
        <w:rPr>
          <w:noProof/>
        </w:rPr>
        <w:t>provide for</w:t>
      </w:r>
      <w:r w:rsidR="00AA234A">
        <w:rPr>
          <w:noProof/>
        </w:rPr>
        <w:t xml:space="preserve"> </w:t>
      </w:r>
      <w:r w:rsidR="000547F6">
        <w:rPr>
          <w:noProof/>
        </w:rPr>
        <w:t>a tax allowance on equity financing</w:t>
      </w:r>
      <w:r w:rsidR="00A97D5E">
        <w:rPr>
          <w:noProof/>
        </w:rPr>
        <w:t xml:space="preserve"> in their domestic law</w:t>
      </w:r>
      <w:r w:rsidR="000547F6" w:rsidRPr="00567A05">
        <w:rPr>
          <w:noProof/>
          <w:szCs w:val="24"/>
          <w:lang w:eastAsia="fr-BE"/>
        </w:rPr>
        <w:t xml:space="preserve">, </w:t>
      </w:r>
      <w:r w:rsidR="000547F6">
        <w:rPr>
          <w:noProof/>
          <w:szCs w:val="24"/>
          <w:lang w:eastAsia="fr-BE"/>
        </w:rPr>
        <w:t>such national</w:t>
      </w:r>
      <w:r w:rsidR="000547F6" w:rsidRPr="00567A05">
        <w:rPr>
          <w:noProof/>
          <w:szCs w:val="24"/>
          <w:lang w:eastAsia="fr-BE"/>
        </w:rPr>
        <w:t xml:space="preserve"> me</w:t>
      </w:r>
      <w:r w:rsidR="000547F6">
        <w:rPr>
          <w:noProof/>
          <w:szCs w:val="24"/>
          <w:lang w:eastAsia="fr-BE"/>
        </w:rPr>
        <w:t xml:space="preserve">asures differ significantly in terms of </w:t>
      </w:r>
      <w:r w:rsidR="000547F6" w:rsidRPr="00567A05">
        <w:rPr>
          <w:noProof/>
          <w:szCs w:val="24"/>
          <w:lang w:eastAsia="fr-BE"/>
        </w:rPr>
        <w:t>policy design</w:t>
      </w:r>
      <w:r w:rsidR="000547F6" w:rsidRPr="00B42151">
        <w:rPr>
          <w:noProof/>
          <w:szCs w:val="24"/>
          <w:lang w:eastAsia="fr-BE"/>
        </w:rPr>
        <w:t>.</w:t>
      </w:r>
      <w:r w:rsidR="000547F6">
        <w:rPr>
          <w:noProof/>
          <w:szCs w:val="24"/>
          <w:lang w:eastAsia="fr-BE"/>
        </w:rPr>
        <w:t xml:space="preserve"> </w:t>
      </w:r>
    </w:p>
    <w:p w14:paraId="05F54214" w14:textId="77777777" w:rsidR="003C6098" w:rsidRPr="001A05B3" w:rsidRDefault="004C6AA3" w:rsidP="004C6AA3">
      <w:pPr>
        <w:pStyle w:val="ManualConsidrant"/>
        <w:rPr>
          <w:noProof/>
        </w:rPr>
      </w:pPr>
      <w:r w:rsidRPr="004C6AA3">
        <w:rPr>
          <w:noProof/>
        </w:rPr>
        <w:t>(3)</w:t>
      </w:r>
      <w:r w:rsidRPr="004C6AA3">
        <w:rPr>
          <w:noProof/>
        </w:rPr>
        <w:tab/>
      </w:r>
      <w:r w:rsidR="00C84BA9">
        <w:rPr>
          <w:noProof/>
        </w:rPr>
        <w:t xml:space="preserve">In order to remove </w:t>
      </w:r>
      <w:r w:rsidR="00C84BA9" w:rsidRPr="00D66078">
        <w:rPr>
          <w:noProof/>
        </w:rPr>
        <w:t>possible tax related distortions</w:t>
      </w:r>
      <w:r w:rsidR="00C84BA9">
        <w:rPr>
          <w:noProof/>
        </w:rPr>
        <w:t xml:space="preserve"> among Member States, i</w:t>
      </w:r>
      <w:r w:rsidR="000547F6">
        <w:rPr>
          <w:noProof/>
        </w:rPr>
        <w:t>t is necessary to lay down a common framework of rules</w:t>
      </w:r>
      <w:r w:rsidR="000547F6" w:rsidRPr="00D66078">
        <w:rPr>
          <w:noProof/>
        </w:rPr>
        <w:t xml:space="preserve"> to address </w:t>
      </w:r>
      <w:r w:rsidR="000547F6" w:rsidRPr="00F40C95">
        <w:rPr>
          <w:noProof/>
        </w:rPr>
        <w:t xml:space="preserve">the </w:t>
      </w:r>
      <w:r w:rsidR="001C26FF" w:rsidRPr="00F40C95">
        <w:rPr>
          <w:noProof/>
        </w:rPr>
        <w:t>tax related</w:t>
      </w:r>
      <w:r w:rsidR="001C26FF">
        <w:rPr>
          <w:noProof/>
        </w:rPr>
        <w:t xml:space="preserve"> </w:t>
      </w:r>
      <w:r w:rsidR="000547F6" w:rsidRPr="00D66078">
        <w:rPr>
          <w:noProof/>
        </w:rPr>
        <w:t xml:space="preserve">debt-equity bias </w:t>
      </w:r>
      <w:r w:rsidR="000547F6">
        <w:rPr>
          <w:noProof/>
        </w:rPr>
        <w:t xml:space="preserve">across the Union in a coordinated manner. Such rules should </w:t>
      </w:r>
      <w:r w:rsidR="000547F6" w:rsidRPr="00D66078">
        <w:rPr>
          <w:noProof/>
        </w:rPr>
        <w:t>ensure that equity</w:t>
      </w:r>
      <w:r w:rsidR="000547F6">
        <w:rPr>
          <w:noProof/>
        </w:rPr>
        <w:t xml:space="preserve"> and debt financing are</w:t>
      </w:r>
      <w:r w:rsidR="000547F6" w:rsidRPr="00D66078">
        <w:rPr>
          <w:noProof/>
        </w:rPr>
        <w:t xml:space="preserve"> treated in a similar way </w:t>
      </w:r>
      <w:r w:rsidR="000547F6">
        <w:rPr>
          <w:noProof/>
        </w:rPr>
        <w:t xml:space="preserve">for tax purposes </w:t>
      </w:r>
      <w:r w:rsidR="000547F6" w:rsidRPr="00D66078">
        <w:rPr>
          <w:noProof/>
        </w:rPr>
        <w:t>across the single market.</w:t>
      </w:r>
      <w:r w:rsidR="000547F6">
        <w:rPr>
          <w:noProof/>
        </w:rPr>
        <w:t xml:space="preserve"> At the same time, a common U</w:t>
      </w:r>
      <w:r w:rsidR="00C84BA9">
        <w:rPr>
          <w:noProof/>
        </w:rPr>
        <w:t>nion</w:t>
      </w:r>
      <w:r w:rsidR="00AE26EE">
        <w:rPr>
          <w:noProof/>
        </w:rPr>
        <w:t xml:space="preserve"> legislative</w:t>
      </w:r>
      <w:r w:rsidR="000547F6">
        <w:rPr>
          <w:noProof/>
        </w:rPr>
        <w:t xml:space="preserve"> framework should be sustainable also in the short term for Member States’ budgets. </w:t>
      </w:r>
      <w:r w:rsidR="007C0429">
        <w:rPr>
          <w:noProof/>
        </w:rPr>
        <w:t>Such framework</w:t>
      </w:r>
      <w:r w:rsidR="000547F6">
        <w:rPr>
          <w:noProof/>
        </w:rPr>
        <w:t xml:space="preserve"> should therefore include rules, on the one hand, for the tax deductibility of equity financing costs and, on the other, for limiting the tax deductibility of debt financing costs</w:t>
      </w:r>
      <w:r w:rsidR="003C6098" w:rsidRPr="001A05B3">
        <w:rPr>
          <w:noProof/>
        </w:rPr>
        <w:t>.</w:t>
      </w:r>
    </w:p>
    <w:p w14:paraId="05F54215" w14:textId="05E5EEAF" w:rsidR="003C6098" w:rsidRPr="001A05B3" w:rsidRDefault="004C6AA3" w:rsidP="004C6AA3">
      <w:pPr>
        <w:pStyle w:val="ManualConsidrant"/>
        <w:rPr>
          <w:noProof/>
        </w:rPr>
      </w:pPr>
      <w:r w:rsidRPr="004C6AA3">
        <w:rPr>
          <w:noProof/>
        </w:rPr>
        <w:t>(4)</w:t>
      </w:r>
      <w:r w:rsidRPr="004C6AA3">
        <w:rPr>
          <w:noProof/>
        </w:rPr>
        <w:tab/>
      </w:r>
      <w:r w:rsidR="000547F6">
        <w:rPr>
          <w:noProof/>
        </w:rPr>
        <w:t xml:space="preserve">To ensure a simple and comprehensive </w:t>
      </w:r>
      <w:r w:rsidR="00C84BA9">
        <w:rPr>
          <w:noProof/>
        </w:rPr>
        <w:t>legislative framework</w:t>
      </w:r>
      <w:r w:rsidR="000547F6">
        <w:rPr>
          <w:noProof/>
        </w:rPr>
        <w:t>, the</w:t>
      </w:r>
      <w:r w:rsidR="007C0429">
        <w:rPr>
          <w:noProof/>
        </w:rPr>
        <w:t xml:space="preserve"> common framework of</w:t>
      </w:r>
      <w:r w:rsidR="000547F6">
        <w:rPr>
          <w:noProof/>
        </w:rPr>
        <w:t xml:space="preserve"> rules should apply to all undertakings in the Union</w:t>
      </w:r>
      <w:r w:rsidR="00291A30">
        <w:rPr>
          <w:noProof/>
        </w:rPr>
        <w:t xml:space="preserve"> that </w:t>
      </w:r>
      <w:r w:rsidR="000547F6">
        <w:rPr>
          <w:noProof/>
        </w:rPr>
        <w:t>are</w:t>
      </w:r>
      <w:r w:rsidR="00C84BA9">
        <w:rPr>
          <w:noProof/>
        </w:rPr>
        <w:t xml:space="preserve"> subject to corporate</w:t>
      </w:r>
      <w:r w:rsidR="007C0429">
        <w:rPr>
          <w:noProof/>
        </w:rPr>
        <w:t xml:space="preserve"> income</w:t>
      </w:r>
      <w:r w:rsidR="000547F6">
        <w:rPr>
          <w:noProof/>
        </w:rPr>
        <w:t xml:space="preserve"> tax in a Member State. </w:t>
      </w:r>
      <w:r w:rsidR="007C0429">
        <w:rPr>
          <w:noProof/>
        </w:rPr>
        <w:t>F</w:t>
      </w:r>
      <w:r w:rsidR="000547F6">
        <w:rPr>
          <w:noProof/>
        </w:rPr>
        <w:t>inancial undertakings</w:t>
      </w:r>
      <w:r w:rsidR="005F0653">
        <w:rPr>
          <w:noProof/>
        </w:rPr>
        <w:t xml:space="preserve"> </w:t>
      </w:r>
      <w:r w:rsidR="001C26FF">
        <w:rPr>
          <w:noProof/>
        </w:rPr>
        <w:t xml:space="preserve">have </w:t>
      </w:r>
      <w:r w:rsidR="000547F6">
        <w:rPr>
          <w:noProof/>
        </w:rPr>
        <w:t xml:space="preserve">special features and </w:t>
      </w:r>
      <w:r w:rsidR="00291A30">
        <w:rPr>
          <w:noProof/>
        </w:rPr>
        <w:t>require</w:t>
      </w:r>
      <w:r w:rsidR="000547F6">
        <w:rPr>
          <w:noProof/>
        </w:rPr>
        <w:t xml:space="preserve"> a </w:t>
      </w:r>
      <w:r w:rsidR="007D2B06">
        <w:rPr>
          <w:noProof/>
        </w:rPr>
        <w:t>specific treatment</w:t>
      </w:r>
      <w:r w:rsidR="007C0429">
        <w:rPr>
          <w:noProof/>
        </w:rPr>
        <w:t xml:space="preserve">. If the rules </w:t>
      </w:r>
      <w:r w:rsidR="007C0429" w:rsidRPr="00132A79">
        <w:rPr>
          <w:noProof/>
        </w:rPr>
        <w:t>to address the tax related debt-equity bias</w:t>
      </w:r>
      <w:r w:rsidR="007C0429">
        <w:rPr>
          <w:noProof/>
        </w:rPr>
        <w:t xml:space="preserve"> were to apply to them</w:t>
      </w:r>
      <w:r w:rsidR="00430ADB">
        <w:rPr>
          <w:noProof/>
        </w:rPr>
        <w:t>, the</w:t>
      </w:r>
      <w:r w:rsidR="008F3AF9">
        <w:rPr>
          <w:noProof/>
        </w:rPr>
        <w:t xml:space="preserve"> economic</w:t>
      </w:r>
      <w:r w:rsidR="00430ADB">
        <w:rPr>
          <w:noProof/>
        </w:rPr>
        <w:t xml:space="preserve"> burden of the measures </w:t>
      </w:r>
      <w:r w:rsidR="003018BF">
        <w:rPr>
          <w:noProof/>
        </w:rPr>
        <w:t>would</w:t>
      </w:r>
      <w:r w:rsidR="008F3AF9">
        <w:rPr>
          <w:noProof/>
        </w:rPr>
        <w:t xml:space="preserve"> be</w:t>
      </w:r>
      <w:r w:rsidR="00430ADB">
        <w:rPr>
          <w:noProof/>
        </w:rPr>
        <w:t xml:space="preserve"> unequally distributed a</w:t>
      </w:r>
      <w:r w:rsidR="008F3AF9">
        <w:rPr>
          <w:noProof/>
        </w:rPr>
        <w:t xml:space="preserve">t the expense of </w:t>
      </w:r>
      <w:r w:rsidR="00430ADB">
        <w:rPr>
          <w:noProof/>
        </w:rPr>
        <w:t>non-financial undertakings.</w:t>
      </w:r>
      <w:r w:rsidR="005F0653">
        <w:rPr>
          <w:noProof/>
        </w:rPr>
        <w:t xml:space="preserve"> </w:t>
      </w:r>
      <w:r w:rsidR="00706AF0">
        <w:rPr>
          <w:noProof/>
        </w:rPr>
        <w:t>F</w:t>
      </w:r>
      <w:r w:rsidR="00430ADB">
        <w:rPr>
          <w:noProof/>
        </w:rPr>
        <w:t>inancial undertakings</w:t>
      </w:r>
      <w:r w:rsidR="00C84BA9">
        <w:rPr>
          <w:noProof/>
        </w:rPr>
        <w:t xml:space="preserve"> should therefore be excluded from the </w:t>
      </w:r>
      <w:r w:rsidR="00F40C95">
        <w:rPr>
          <w:noProof/>
        </w:rPr>
        <w:t>scope</w:t>
      </w:r>
      <w:r w:rsidR="00C84BA9">
        <w:rPr>
          <w:noProof/>
        </w:rPr>
        <w:t xml:space="preserve"> of this Directive.</w:t>
      </w:r>
    </w:p>
    <w:p w14:paraId="05F54216" w14:textId="77777777" w:rsidR="003C6098" w:rsidRPr="001A05B3" w:rsidRDefault="004C6AA3" w:rsidP="004C6AA3">
      <w:pPr>
        <w:pStyle w:val="ManualConsidrant"/>
        <w:rPr>
          <w:noProof/>
        </w:rPr>
      </w:pPr>
      <w:r w:rsidRPr="004C6AA3">
        <w:rPr>
          <w:noProof/>
        </w:rPr>
        <w:t>(5)</w:t>
      </w:r>
      <w:r w:rsidRPr="004C6AA3">
        <w:rPr>
          <w:noProof/>
        </w:rPr>
        <w:tab/>
      </w:r>
      <w:r w:rsidR="000547F6">
        <w:rPr>
          <w:noProof/>
        </w:rPr>
        <w:t xml:space="preserve">To neutralise the bias against equity financing, an allowance should be envisaged so that increases in a taxpayer's equity from one tax </w:t>
      </w:r>
      <w:r w:rsidR="00701604">
        <w:rPr>
          <w:noProof/>
        </w:rPr>
        <w:t xml:space="preserve">period </w:t>
      </w:r>
      <w:r w:rsidR="000547F6">
        <w:rPr>
          <w:noProof/>
        </w:rPr>
        <w:t xml:space="preserve">to the next </w:t>
      </w:r>
      <w:r w:rsidR="00895B72">
        <w:rPr>
          <w:noProof/>
        </w:rPr>
        <w:t xml:space="preserve">are </w:t>
      </w:r>
      <w:r w:rsidR="000547F6">
        <w:rPr>
          <w:noProof/>
        </w:rPr>
        <w:t xml:space="preserve">deductible from its taxable base, subject to certain conditions. </w:t>
      </w:r>
      <w:r w:rsidR="003E0FAE">
        <w:rPr>
          <w:noProof/>
        </w:rPr>
        <w:t xml:space="preserve">The allowance should be calculated </w:t>
      </w:r>
      <w:r w:rsidR="004408B3">
        <w:rPr>
          <w:noProof/>
        </w:rPr>
        <w:t>by multiplying</w:t>
      </w:r>
      <w:r w:rsidR="003E0FAE">
        <w:rPr>
          <w:noProof/>
        </w:rPr>
        <w:t xml:space="preserve"> the increase in equity with a notional interest rate based on risk-free interest rat</w:t>
      </w:r>
      <w:r w:rsidR="004408B3">
        <w:rPr>
          <w:noProof/>
        </w:rPr>
        <w:t>e as laid down in the implementing acts adopted pursuant to Article 77e(2) of Directive 2009/138/EC</w:t>
      </w:r>
      <w:r w:rsidR="003E0FAE">
        <w:rPr>
          <w:noProof/>
        </w:rPr>
        <w:t xml:space="preserve">. </w:t>
      </w:r>
      <w:r w:rsidR="004408B3">
        <w:rPr>
          <w:noProof/>
        </w:rPr>
        <w:t xml:space="preserve">Such risk-free interest </w:t>
      </w:r>
      <w:r w:rsidR="003E0FAE">
        <w:rPr>
          <w:noProof/>
        </w:rPr>
        <w:t>rates</w:t>
      </w:r>
      <w:r w:rsidR="004408B3">
        <w:rPr>
          <w:noProof/>
        </w:rPr>
        <w:t xml:space="preserve"> are already part of EU law and have been practically and effectively applied as such.</w:t>
      </w:r>
      <w:r w:rsidR="003E0FAE">
        <w:rPr>
          <w:noProof/>
        </w:rPr>
        <w:t xml:space="preserve"> </w:t>
      </w:r>
      <w:r w:rsidR="001B36D6" w:rsidRPr="001B36D6">
        <w:rPr>
          <w:noProof/>
        </w:rPr>
        <w:t xml:space="preserve">Any part of the allowance that cannot be deducted in a tax </w:t>
      </w:r>
      <w:r w:rsidR="00701604">
        <w:rPr>
          <w:noProof/>
        </w:rPr>
        <w:t>period</w:t>
      </w:r>
      <w:r w:rsidR="00701604" w:rsidRPr="001B36D6">
        <w:rPr>
          <w:noProof/>
        </w:rPr>
        <w:t xml:space="preserve"> </w:t>
      </w:r>
      <w:r w:rsidR="001B36D6" w:rsidRPr="001B36D6">
        <w:rPr>
          <w:noProof/>
        </w:rPr>
        <w:t>due to insufficient taxable profits may be carried forward.</w:t>
      </w:r>
      <w:r w:rsidR="001B36D6">
        <w:rPr>
          <w:noProof/>
        </w:rPr>
        <w:t xml:space="preserve"> </w:t>
      </w:r>
      <w:r w:rsidR="000547F6">
        <w:rPr>
          <w:noProof/>
        </w:rPr>
        <w:t xml:space="preserve">Taking into account the specific challenges </w:t>
      </w:r>
      <w:r w:rsidR="00895B72">
        <w:rPr>
          <w:noProof/>
        </w:rPr>
        <w:t xml:space="preserve">that </w:t>
      </w:r>
      <w:r w:rsidR="000547F6">
        <w:rPr>
          <w:noProof/>
        </w:rPr>
        <w:t>small</w:t>
      </w:r>
      <w:r w:rsidR="001609E2">
        <w:rPr>
          <w:noProof/>
        </w:rPr>
        <w:t>-</w:t>
      </w:r>
      <w:r w:rsidR="000547F6">
        <w:rPr>
          <w:noProof/>
        </w:rPr>
        <w:t xml:space="preserve"> and medium-sized enterprises (SMEs) face in accessing capital markets, an increased allowance</w:t>
      </w:r>
      <w:r w:rsidR="007D6200">
        <w:rPr>
          <w:noProof/>
        </w:rPr>
        <w:t xml:space="preserve"> on equity</w:t>
      </w:r>
      <w:r w:rsidR="000547F6">
        <w:rPr>
          <w:noProof/>
        </w:rPr>
        <w:t xml:space="preserve"> should be envisaged for taxpayers that are SMEs. </w:t>
      </w:r>
      <w:r w:rsidR="007D6200">
        <w:rPr>
          <w:noProof/>
        </w:rPr>
        <w:t xml:space="preserve">In order for the deduction </w:t>
      </w:r>
      <w:r w:rsidR="007D6200" w:rsidRPr="00FA236C">
        <w:rPr>
          <w:noProof/>
        </w:rPr>
        <w:t>of</w:t>
      </w:r>
      <w:r w:rsidR="005902B9" w:rsidRPr="00FA236C">
        <w:rPr>
          <w:noProof/>
        </w:rPr>
        <w:t xml:space="preserve"> an</w:t>
      </w:r>
      <w:r w:rsidR="007D6200" w:rsidRPr="00FA236C">
        <w:rPr>
          <w:noProof/>
        </w:rPr>
        <w:t xml:space="preserve"> allowance</w:t>
      </w:r>
      <w:r w:rsidR="007D6200">
        <w:rPr>
          <w:noProof/>
        </w:rPr>
        <w:t xml:space="preserve"> on equity to be sustainable for public finances in the short term, </w:t>
      </w:r>
      <w:r w:rsidR="007D6200" w:rsidRPr="005D3FD2">
        <w:rPr>
          <w:noProof/>
        </w:rPr>
        <w:t xml:space="preserve">it </w:t>
      </w:r>
      <w:r w:rsidR="000547F6" w:rsidRPr="005D3FD2">
        <w:rPr>
          <w:noProof/>
        </w:rPr>
        <w:t>should</w:t>
      </w:r>
      <w:r w:rsidR="005F0653">
        <w:rPr>
          <w:noProof/>
        </w:rPr>
        <w:t xml:space="preserve"> </w:t>
      </w:r>
      <w:r w:rsidR="007D6200" w:rsidRPr="005D3FD2">
        <w:rPr>
          <w:noProof/>
        </w:rPr>
        <w:t>be limited in time</w:t>
      </w:r>
      <w:r w:rsidR="000547F6" w:rsidRPr="005D3FD2">
        <w:rPr>
          <w:noProof/>
        </w:rPr>
        <w:t xml:space="preserve">. </w:t>
      </w:r>
      <w:r w:rsidR="000547F6" w:rsidRPr="0080046A">
        <w:rPr>
          <w:noProof/>
        </w:rPr>
        <w:t xml:space="preserve">To </w:t>
      </w:r>
      <w:r w:rsidR="001B36D6" w:rsidRPr="0080046A">
        <w:rPr>
          <w:noProof/>
        </w:rPr>
        <w:t>safeguard the system from abuse</w:t>
      </w:r>
      <w:r w:rsidR="000547F6" w:rsidRPr="0080046A">
        <w:rPr>
          <w:noProof/>
        </w:rPr>
        <w:t>s,</w:t>
      </w:r>
      <w:r w:rsidR="000547F6" w:rsidRPr="005D3FD2">
        <w:rPr>
          <w:noProof/>
        </w:rPr>
        <w:t xml:space="preserve"> it </w:t>
      </w:r>
      <w:r w:rsidR="00D707C4" w:rsidRPr="005D3FD2">
        <w:rPr>
          <w:noProof/>
        </w:rPr>
        <w:t>is</w:t>
      </w:r>
      <w:r w:rsidR="000547F6" w:rsidRPr="005D3FD2">
        <w:rPr>
          <w:noProof/>
        </w:rPr>
        <w:t xml:space="preserve"> necessary to exclude the tax value of a taxpayer's own shares as well as</w:t>
      </w:r>
      <w:r w:rsidR="00487439">
        <w:rPr>
          <w:noProof/>
        </w:rPr>
        <w:t xml:space="preserve"> that of</w:t>
      </w:r>
      <w:r w:rsidR="000547F6" w:rsidRPr="005D3FD2">
        <w:rPr>
          <w:noProof/>
        </w:rPr>
        <w:t xml:space="preserve"> its participation</w:t>
      </w:r>
      <w:r w:rsidR="000547F6">
        <w:rPr>
          <w:noProof/>
        </w:rPr>
        <w:t xml:space="preserve"> in associated enterprises</w:t>
      </w:r>
      <w:r w:rsidR="000547F6" w:rsidRPr="00670AE2">
        <w:rPr>
          <w:noProof/>
        </w:rPr>
        <w:t xml:space="preserve"> </w:t>
      </w:r>
      <w:r w:rsidR="000547F6">
        <w:rPr>
          <w:noProof/>
        </w:rPr>
        <w:t xml:space="preserve">from the </w:t>
      </w:r>
      <w:r w:rsidR="00487439">
        <w:rPr>
          <w:noProof/>
        </w:rPr>
        <w:t>calculation</w:t>
      </w:r>
      <w:r w:rsidR="000547F6">
        <w:rPr>
          <w:noProof/>
        </w:rPr>
        <w:t xml:space="preserve"> of changes in equity. In the same vein, it </w:t>
      </w:r>
      <w:r w:rsidR="00D707C4">
        <w:rPr>
          <w:noProof/>
        </w:rPr>
        <w:t>is</w:t>
      </w:r>
      <w:r w:rsidR="000547F6">
        <w:rPr>
          <w:noProof/>
        </w:rPr>
        <w:t xml:space="preserve"> necessary to provide for the taxation of a decrease in a taxpayer’s equity from one tax </w:t>
      </w:r>
      <w:r w:rsidR="00701604">
        <w:rPr>
          <w:noProof/>
        </w:rPr>
        <w:t xml:space="preserve">period </w:t>
      </w:r>
      <w:r w:rsidR="000547F6">
        <w:rPr>
          <w:noProof/>
        </w:rPr>
        <w:t xml:space="preserve">to the </w:t>
      </w:r>
      <w:r w:rsidR="001609E2">
        <w:rPr>
          <w:noProof/>
        </w:rPr>
        <w:t>following one</w:t>
      </w:r>
      <w:r w:rsidR="000547F6">
        <w:rPr>
          <w:noProof/>
        </w:rPr>
        <w:t xml:space="preserve">, to prevent an equity increase </w:t>
      </w:r>
      <w:r w:rsidR="00E36EC0">
        <w:rPr>
          <w:noProof/>
        </w:rPr>
        <w:t>from being</w:t>
      </w:r>
      <w:r w:rsidR="000547F6">
        <w:rPr>
          <w:noProof/>
        </w:rPr>
        <w:t xml:space="preserve"> effected in an abusive manner</w:t>
      </w:r>
      <w:r w:rsidR="00F22524">
        <w:rPr>
          <w:noProof/>
        </w:rPr>
        <w:t>.</w:t>
      </w:r>
      <w:r w:rsidR="000547F6">
        <w:rPr>
          <w:noProof/>
        </w:rPr>
        <w:t xml:space="preserve"> </w:t>
      </w:r>
      <w:r w:rsidR="00F22524">
        <w:rPr>
          <w:noProof/>
        </w:rPr>
        <w:t>Such a rule would also</w:t>
      </w:r>
      <w:r w:rsidR="008F3AF9">
        <w:rPr>
          <w:noProof/>
        </w:rPr>
        <w:t xml:space="preserve"> encourage </w:t>
      </w:r>
      <w:r w:rsidR="00F22524">
        <w:rPr>
          <w:noProof/>
        </w:rPr>
        <w:t>the retention</w:t>
      </w:r>
      <w:r w:rsidR="008F3AF9">
        <w:rPr>
          <w:noProof/>
        </w:rPr>
        <w:t xml:space="preserve"> of a level of equity.</w:t>
      </w:r>
      <w:r w:rsidR="003C6098" w:rsidRPr="001A05B3">
        <w:rPr>
          <w:noProof/>
        </w:rPr>
        <w:t xml:space="preserve"> </w:t>
      </w:r>
      <w:r w:rsidR="001D3040">
        <w:rPr>
          <w:noProof/>
        </w:rPr>
        <w:t>It would apply so that where there is a decrease in equity</w:t>
      </w:r>
      <w:r w:rsidR="00576B96">
        <w:rPr>
          <w:noProof/>
        </w:rPr>
        <w:t xml:space="preserve"> of a taxpayer that has </w:t>
      </w:r>
      <w:r w:rsidR="00576B96" w:rsidRPr="00940DDD">
        <w:rPr>
          <w:noProof/>
        </w:rPr>
        <w:t>benefitted from an allowance on equity increase</w:t>
      </w:r>
      <w:r w:rsidR="00092DAE">
        <w:rPr>
          <w:noProof/>
        </w:rPr>
        <w:t>,</w:t>
      </w:r>
      <w:r w:rsidR="001D3040">
        <w:rPr>
          <w:noProof/>
        </w:rPr>
        <w:t xml:space="preserve"> an amount calculated in the same way as the allowance would become taxable for 10 tax </w:t>
      </w:r>
      <w:r w:rsidR="00701604">
        <w:rPr>
          <w:noProof/>
        </w:rPr>
        <w:t>periods</w:t>
      </w:r>
      <w:r w:rsidR="00B23840">
        <w:rPr>
          <w:noProof/>
        </w:rPr>
        <w:t>; unless</w:t>
      </w:r>
      <w:r w:rsidR="00FB3712">
        <w:rPr>
          <w:noProof/>
        </w:rPr>
        <w:t xml:space="preserve"> </w:t>
      </w:r>
      <w:r w:rsidR="00B23840" w:rsidRPr="00B23840">
        <w:rPr>
          <w:noProof/>
        </w:rPr>
        <w:t xml:space="preserve">the taxpayer provides evidence that this </w:t>
      </w:r>
      <w:r w:rsidR="00B23840">
        <w:rPr>
          <w:noProof/>
        </w:rPr>
        <w:t>decrease is exclusively</w:t>
      </w:r>
      <w:r w:rsidR="00B23840" w:rsidRPr="00B23840">
        <w:rPr>
          <w:noProof/>
        </w:rPr>
        <w:t xml:space="preserve"> due to losses incurred during the tax </w:t>
      </w:r>
      <w:r w:rsidR="00701604">
        <w:rPr>
          <w:noProof/>
        </w:rPr>
        <w:t>period</w:t>
      </w:r>
      <w:r w:rsidR="00C3292D">
        <w:rPr>
          <w:noProof/>
        </w:rPr>
        <w:t xml:space="preserve"> or due to a legal obligation</w:t>
      </w:r>
      <w:r w:rsidR="00B23840" w:rsidRPr="00B23840">
        <w:rPr>
          <w:noProof/>
        </w:rPr>
        <w:t>.</w:t>
      </w:r>
    </w:p>
    <w:p w14:paraId="05F54217" w14:textId="77777777" w:rsidR="003C6098" w:rsidRPr="001A05B3" w:rsidRDefault="004C6AA3" w:rsidP="004C6AA3">
      <w:pPr>
        <w:pStyle w:val="ManualConsidrant"/>
        <w:rPr>
          <w:noProof/>
        </w:rPr>
      </w:pPr>
      <w:r w:rsidRPr="004C6AA3">
        <w:rPr>
          <w:noProof/>
        </w:rPr>
        <w:t>(6)</w:t>
      </w:r>
      <w:r w:rsidRPr="004C6AA3">
        <w:rPr>
          <w:noProof/>
        </w:rPr>
        <w:tab/>
      </w:r>
      <w:r w:rsidR="00003AA3" w:rsidRPr="001D7079">
        <w:rPr>
          <w:noProof/>
        </w:rPr>
        <w:t>In order</w:t>
      </w:r>
      <w:r w:rsidR="005F0653">
        <w:rPr>
          <w:noProof/>
        </w:rPr>
        <w:t xml:space="preserve"> </w:t>
      </w:r>
      <w:r w:rsidR="00057A1C" w:rsidRPr="001D7079">
        <w:rPr>
          <w:noProof/>
        </w:rPr>
        <w:t xml:space="preserve">to avoid </w:t>
      </w:r>
      <w:r w:rsidR="00F22524" w:rsidRPr="001D7079">
        <w:rPr>
          <w:noProof/>
        </w:rPr>
        <w:t xml:space="preserve">a </w:t>
      </w:r>
      <w:r w:rsidR="00057A1C" w:rsidRPr="001D7079">
        <w:rPr>
          <w:noProof/>
        </w:rPr>
        <w:t>misuse of the deduction of the allowance on equity</w:t>
      </w:r>
      <w:r w:rsidR="00EE70F7" w:rsidRPr="001D7079">
        <w:rPr>
          <w:noProof/>
        </w:rPr>
        <w:t>, it</w:t>
      </w:r>
      <w:r w:rsidR="005F0653">
        <w:rPr>
          <w:noProof/>
        </w:rPr>
        <w:t xml:space="preserve"> </w:t>
      </w:r>
      <w:r w:rsidR="00003AA3" w:rsidRPr="001D7079">
        <w:rPr>
          <w:noProof/>
        </w:rPr>
        <w:t>is necessary</w:t>
      </w:r>
      <w:r w:rsidR="006077F5" w:rsidRPr="001D7079">
        <w:rPr>
          <w:noProof/>
        </w:rPr>
        <w:t xml:space="preserve"> </w:t>
      </w:r>
      <w:r w:rsidR="00EE70F7" w:rsidRPr="001D7079">
        <w:rPr>
          <w:noProof/>
        </w:rPr>
        <w:t>to lay down specific anti-tax avoidance rules. Such rules should target</w:t>
      </w:r>
      <w:r w:rsidR="00F22524" w:rsidRPr="001D7079">
        <w:rPr>
          <w:noProof/>
        </w:rPr>
        <w:t>,</w:t>
      </w:r>
      <w:r w:rsidR="00EE70F7" w:rsidRPr="001D7079">
        <w:rPr>
          <w:noProof/>
        </w:rPr>
        <w:t xml:space="preserve"> in particular</w:t>
      </w:r>
      <w:r w:rsidR="00F22524" w:rsidRPr="001D7079">
        <w:rPr>
          <w:noProof/>
        </w:rPr>
        <w:t>,</w:t>
      </w:r>
      <w:r w:rsidR="00EE70F7" w:rsidRPr="001D7079">
        <w:rPr>
          <w:noProof/>
        </w:rPr>
        <w:t xml:space="preserve"> schemes</w:t>
      </w:r>
      <w:r w:rsidR="00EE70F7" w:rsidRPr="005931F6">
        <w:rPr>
          <w:noProof/>
        </w:rPr>
        <w:t xml:space="preserve"> </w:t>
      </w:r>
      <w:r w:rsidR="00EE70F7">
        <w:rPr>
          <w:noProof/>
        </w:rPr>
        <w:t xml:space="preserve">put in place </w:t>
      </w:r>
      <w:r w:rsidR="00EE70F7" w:rsidRPr="005931F6">
        <w:rPr>
          <w:noProof/>
        </w:rPr>
        <w:t xml:space="preserve">to circumvent the conditions </w:t>
      </w:r>
      <w:r w:rsidR="00EE70F7">
        <w:rPr>
          <w:noProof/>
        </w:rPr>
        <w:t>on which</w:t>
      </w:r>
      <w:r w:rsidR="00EE70F7" w:rsidRPr="005931F6">
        <w:rPr>
          <w:noProof/>
        </w:rPr>
        <w:t xml:space="preserve"> </w:t>
      </w:r>
      <w:r w:rsidR="00EE70F7">
        <w:rPr>
          <w:noProof/>
        </w:rPr>
        <w:t xml:space="preserve">an equity increase qualifies for an </w:t>
      </w:r>
      <w:r w:rsidR="00EE70F7" w:rsidRPr="00E7578D">
        <w:rPr>
          <w:noProof/>
        </w:rPr>
        <w:t xml:space="preserve">allowance under this Directive, for instance, through the intra-group transfer of participations in associated enterprises. Such rules should also target schemes put in place to claim an allowance in </w:t>
      </w:r>
      <w:r w:rsidR="00F22524">
        <w:rPr>
          <w:noProof/>
        </w:rPr>
        <w:t xml:space="preserve">the </w:t>
      </w:r>
      <w:r w:rsidR="00EE70F7" w:rsidRPr="00E7578D">
        <w:rPr>
          <w:noProof/>
        </w:rPr>
        <w:t xml:space="preserve">absence of any equity increase at group level. For example, intra-group debt financing or contributions in cash could be used for these purposes. </w:t>
      </w:r>
      <w:r w:rsidR="00057A1C">
        <w:rPr>
          <w:noProof/>
        </w:rPr>
        <w:t>S</w:t>
      </w:r>
      <w:r w:rsidR="00057A1C" w:rsidRPr="00057A1C">
        <w:rPr>
          <w:noProof/>
        </w:rPr>
        <w:t>pecific anti-tax avoidance</w:t>
      </w:r>
      <w:r w:rsidR="005F0653">
        <w:rPr>
          <w:noProof/>
        </w:rPr>
        <w:t xml:space="preserve"> </w:t>
      </w:r>
      <w:r w:rsidR="00EE70F7" w:rsidRPr="00E7578D">
        <w:rPr>
          <w:noProof/>
        </w:rPr>
        <w:t xml:space="preserve">rules should also prevent schemes </w:t>
      </w:r>
      <w:r w:rsidR="001C26FF">
        <w:rPr>
          <w:noProof/>
        </w:rPr>
        <w:t xml:space="preserve">from </w:t>
      </w:r>
      <w:r w:rsidR="00E36EC0">
        <w:rPr>
          <w:noProof/>
        </w:rPr>
        <w:t xml:space="preserve">being </w:t>
      </w:r>
      <w:r w:rsidR="00EE70F7" w:rsidRPr="00E7578D">
        <w:rPr>
          <w:noProof/>
        </w:rPr>
        <w:t xml:space="preserve">put in place to claim that an increase in equity, and the corresponding allowance, is higher than it actually is, </w:t>
      </w:r>
      <w:r w:rsidR="00E36EC0">
        <w:rPr>
          <w:noProof/>
        </w:rPr>
        <w:t>for example,</w:t>
      </w:r>
      <w:r w:rsidR="00EE70F7" w:rsidRPr="00E7578D">
        <w:rPr>
          <w:noProof/>
        </w:rPr>
        <w:t xml:space="preserve"> through an increase in loan financing receivables or overvaluation of assets. </w:t>
      </w:r>
      <w:r w:rsidR="00377459">
        <w:rPr>
          <w:noProof/>
        </w:rPr>
        <w:t>Moreover, t</w:t>
      </w:r>
      <w:r w:rsidR="00EE70F7" w:rsidRPr="00E7578D">
        <w:rPr>
          <w:noProof/>
        </w:rPr>
        <w:t xml:space="preserve">he general anti-tax </w:t>
      </w:r>
      <w:r w:rsidR="003E3816">
        <w:rPr>
          <w:noProof/>
        </w:rPr>
        <w:t>abuse</w:t>
      </w:r>
      <w:r w:rsidR="003E3816" w:rsidRPr="00E7578D">
        <w:rPr>
          <w:noProof/>
        </w:rPr>
        <w:t xml:space="preserve"> </w:t>
      </w:r>
      <w:r w:rsidR="00EE70F7" w:rsidRPr="00E7578D">
        <w:rPr>
          <w:noProof/>
        </w:rPr>
        <w:t>rule in Article 6 of Council Directive</w:t>
      </w:r>
      <w:r w:rsidR="006B68EB">
        <w:rPr>
          <w:noProof/>
        </w:rPr>
        <w:t xml:space="preserve"> (EU)</w:t>
      </w:r>
      <w:r w:rsidR="00EE70F7" w:rsidRPr="00E7578D">
        <w:rPr>
          <w:noProof/>
        </w:rPr>
        <w:t xml:space="preserve"> 2016/1164</w:t>
      </w:r>
      <w:r w:rsidR="00E36EC0">
        <w:rPr>
          <w:rStyle w:val="FootnoteReference"/>
          <w:noProof/>
        </w:rPr>
        <w:footnoteReference w:id="16"/>
      </w:r>
      <w:r w:rsidR="00EE70F7" w:rsidRPr="00E7578D">
        <w:rPr>
          <w:noProof/>
        </w:rPr>
        <w:t xml:space="preserve"> appl</w:t>
      </w:r>
      <w:r w:rsidR="00377459">
        <w:rPr>
          <w:noProof/>
        </w:rPr>
        <w:t>ies</w:t>
      </w:r>
      <w:r w:rsidR="00EE70F7" w:rsidRPr="00E7578D">
        <w:rPr>
          <w:noProof/>
        </w:rPr>
        <w:t xml:space="preserve"> against abusive acts which are not covered by the specific anti-tax avoidance framework</w:t>
      </w:r>
      <w:r w:rsidR="001C26FF">
        <w:rPr>
          <w:noProof/>
        </w:rPr>
        <w:t xml:space="preserve"> </w:t>
      </w:r>
      <w:r w:rsidR="00575346">
        <w:rPr>
          <w:noProof/>
        </w:rPr>
        <w:t>of</w:t>
      </w:r>
      <w:r w:rsidR="001C26FF" w:rsidRPr="001D7079">
        <w:rPr>
          <w:noProof/>
        </w:rPr>
        <w:t xml:space="preserve"> this Directive</w:t>
      </w:r>
      <w:r w:rsidR="003C6098" w:rsidRPr="00FA236C">
        <w:rPr>
          <w:noProof/>
        </w:rPr>
        <w:t>.</w:t>
      </w:r>
    </w:p>
    <w:p w14:paraId="05F54218" w14:textId="77777777" w:rsidR="003C6098" w:rsidRPr="001D7079" w:rsidRDefault="004C6AA3" w:rsidP="004C6AA3">
      <w:pPr>
        <w:pStyle w:val="ManualConsidrant"/>
        <w:rPr>
          <w:noProof/>
        </w:rPr>
      </w:pPr>
      <w:r w:rsidRPr="004C6AA3">
        <w:rPr>
          <w:noProof/>
        </w:rPr>
        <w:t>(7)</w:t>
      </w:r>
      <w:r w:rsidRPr="004C6AA3">
        <w:rPr>
          <w:noProof/>
        </w:rPr>
        <w:tab/>
      </w:r>
      <w:r w:rsidR="00AD0EEA" w:rsidRPr="001D7079">
        <w:rPr>
          <w:noProof/>
        </w:rPr>
        <w:t xml:space="preserve">To effectively address the tax-related debt-equity bias in a manner sustainable for the Union’s public finances, an allowance for equity financing should be </w:t>
      </w:r>
      <w:r w:rsidR="00487439">
        <w:rPr>
          <w:noProof/>
        </w:rPr>
        <w:t>accompanied by</w:t>
      </w:r>
      <w:r w:rsidR="00AD0EEA" w:rsidRPr="001D7079">
        <w:rPr>
          <w:noProof/>
        </w:rPr>
        <w:t xml:space="preserve"> a limitation </w:t>
      </w:r>
      <w:r w:rsidR="00E36EC0" w:rsidRPr="001D7079">
        <w:rPr>
          <w:noProof/>
        </w:rPr>
        <w:t xml:space="preserve">on </w:t>
      </w:r>
      <w:r w:rsidR="00AD0EEA" w:rsidRPr="001D7079">
        <w:rPr>
          <w:noProof/>
        </w:rPr>
        <w:t xml:space="preserve">the deductibility of debt financing costs. An interest limitation rule should therefore limit the deductibility of </w:t>
      </w:r>
      <w:r w:rsidR="006077F5" w:rsidRPr="001D7079">
        <w:rPr>
          <w:noProof/>
        </w:rPr>
        <w:t>exceeding borrowing costs</w:t>
      </w:r>
      <w:r w:rsidR="00AA0121">
        <w:rPr>
          <w:noProof/>
        </w:rPr>
        <w:t xml:space="preserve"> and apply independently from the allowance</w:t>
      </w:r>
      <w:r w:rsidR="00AD0EEA" w:rsidRPr="001D7079">
        <w:rPr>
          <w:noProof/>
        </w:rPr>
        <w:t>. Given the different objectives between such a rule and the existing anti-tax avoidance rule on interest limitation</w:t>
      </w:r>
      <w:r w:rsidR="00E36EC0" w:rsidRPr="001D7079">
        <w:rPr>
          <w:noProof/>
        </w:rPr>
        <w:t xml:space="preserve"> </w:t>
      </w:r>
      <w:r w:rsidR="003E3816">
        <w:rPr>
          <w:noProof/>
        </w:rPr>
        <w:t xml:space="preserve">of </w:t>
      </w:r>
      <w:r w:rsidR="00AD0EEA" w:rsidRPr="001D7079">
        <w:rPr>
          <w:noProof/>
        </w:rPr>
        <w:t xml:space="preserve">Article 4 of Directive </w:t>
      </w:r>
      <w:r w:rsidR="006B68EB" w:rsidRPr="001D7079">
        <w:rPr>
          <w:noProof/>
        </w:rPr>
        <w:t xml:space="preserve">(EU) </w:t>
      </w:r>
      <w:r w:rsidR="00AD0EEA" w:rsidRPr="001D7079">
        <w:rPr>
          <w:noProof/>
        </w:rPr>
        <w:t xml:space="preserve">2016/1164, </w:t>
      </w:r>
      <w:r w:rsidR="00092DAE">
        <w:rPr>
          <w:noProof/>
        </w:rPr>
        <w:t>both</w:t>
      </w:r>
      <w:r w:rsidR="001D3040">
        <w:rPr>
          <w:noProof/>
        </w:rPr>
        <w:t xml:space="preserve"> rules should be maintained. Taxpayers should first calculate </w:t>
      </w:r>
      <w:r w:rsidR="00092DAE">
        <w:rPr>
          <w:noProof/>
        </w:rPr>
        <w:t xml:space="preserve">the </w:t>
      </w:r>
      <w:r w:rsidR="001D3040">
        <w:rPr>
          <w:noProof/>
        </w:rPr>
        <w:t>deductibility of exceeding borrowing costs under this Directive</w:t>
      </w:r>
      <w:r w:rsidR="00092DAE">
        <w:rPr>
          <w:noProof/>
        </w:rPr>
        <w:t xml:space="preserve"> and </w:t>
      </w:r>
      <w:r w:rsidR="001D3040">
        <w:rPr>
          <w:noProof/>
        </w:rPr>
        <w:t>then under ATAD</w:t>
      </w:r>
      <w:r w:rsidR="00092DAE">
        <w:rPr>
          <w:noProof/>
        </w:rPr>
        <w:t xml:space="preserve">. In the event that the latter results in a lower amount of </w:t>
      </w:r>
      <w:r w:rsidR="0059196C">
        <w:rPr>
          <w:noProof/>
        </w:rPr>
        <w:t xml:space="preserve">deductible </w:t>
      </w:r>
      <w:r w:rsidR="00092DAE">
        <w:rPr>
          <w:noProof/>
        </w:rPr>
        <w:t xml:space="preserve">exceeding borrowing costs, </w:t>
      </w:r>
      <w:r w:rsidR="0059196C">
        <w:rPr>
          <w:noProof/>
        </w:rPr>
        <w:t>the tax</w:t>
      </w:r>
      <w:r w:rsidR="00092DAE">
        <w:rPr>
          <w:noProof/>
        </w:rPr>
        <w:t xml:space="preserve">payer should deduct this lower amount and </w:t>
      </w:r>
      <w:r w:rsidR="00B86FAD">
        <w:rPr>
          <w:noProof/>
        </w:rPr>
        <w:t>carry forward or back</w:t>
      </w:r>
      <w:r w:rsidR="001D3040">
        <w:rPr>
          <w:noProof/>
        </w:rPr>
        <w:t xml:space="preserve"> any </w:t>
      </w:r>
      <w:r w:rsidR="00092DAE">
        <w:rPr>
          <w:noProof/>
        </w:rPr>
        <w:t xml:space="preserve">difference between the two </w:t>
      </w:r>
      <w:r w:rsidR="00793C5F">
        <w:rPr>
          <w:noProof/>
        </w:rPr>
        <w:t>amounts</w:t>
      </w:r>
      <w:r w:rsidR="00092DAE">
        <w:rPr>
          <w:noProof/>
        </w:rPr>
        <w:t xml:space="preserve"> in accordance with </w:t>
      </w:r>
      <w:r w:rsidR="001D3040">
        <w:rPr>
          <w:noProof/>
        </w:rPr>
        <w:t xml:space="preserve">Article 4 of ATAD. </w:t>
      </w:r>
      <w:r w:rsidR="003C6098" w:rsidRPr="001D7079">
        <w:rPr>
          <w:noProof/>
        </w:rPr>
        <w:t xml:space="preserve"> </w:t>
      </w:r>
    </w:p>
    <w:p w14:paraId="05F54219" w14:textId="77777777" w:rsidR="003C6098" w:rsidRPr="001A05B3" w:rsidRDefault="004C6AA3" w:rsidP="004C6AA3">
      <w:pPr>
        <w:pStyle w:val="ManualConsidrant"/>
        <w:rPr>
          <w:noProof/>
        </w:rPr>
      </w:pPr>
      <w:r w:rsidRPr="004C6AA3">
        <w:rPr>
          <w:noProof/>
        </w:rPr>
        <w:t>(8)</w:t>
      </w:r>
      <w:r w:rsidRPr="004C6AA3">
        <w:rPr>
          <w:noProof/>
        </w:rPr>
        <w:tab/>
      </w:r>
      <w:r w:rsidR="00AD0EEA" w:rsidRPr="007A5BE3">
        <w:rPr>
          <w:noProof/>
        </w:rPr>
        <w:t xml:space="preserve">As the implementation and enforcement of the </w:t>
      </w:r>
      <w:r w:rsidR="00B82B62">
        <w:rPr>
          <w:noProof/>
        </w:rPr>
        <w:t xml:space="preserve">Union </w:t>
      </w:r>
      <w:r w:rsidR="00AD0EEA" w:rsidRPr="007A5BE3">
        <w:rPr>
          <w:noProof/>
        </w:rPr>
        <w:t xml:space="preserve">rules in each Member State </w:t>
      </w:r>
      <w:r w:rsidR="00487439">
        <w:rPr>
          <w:noProof/>
        </w:rPr>
        <w:t>are</w:t>
      </w:r>
      <w:r w:rsidR="00AD0EEA" w:rsidRPr="007A5BE3">
        <w:rPr>
          <w:noProof/>
        </w:rPr>
        <w:t xml:space="preserve"> critical for </w:t>
      </w:r>
      <w:r w:rsidR="00AD0EEA">
        <w:rPr>
          <w:noProof/>
        </w:rPr>
        <w:t>safeguarding</w:t>
      </w:r>
      <w:r w:rsidR="00AD0EEA" w:rsidRPr="007A5BE3">
        <w:rPr>
          <w:noProof/>
        </w:rPr>
        <w:t xml:space="preserve"> Member States’ tax base</w:t>
      </w:r>
      <w:r w:rsidR="001C26FF">
        <w:rPr>
          <w:noProof/>
        </w:rPr>
        <w:t>s</w:t>
      </w:r>
      <w:r w:rsidR="00AD0EEA">
        <w:rPr>
          <w:noProof/>
        </w:rPr>
        <w:t xml:space="preserve"> and</w:t>
      </w:r>
      <w:r w:rsidR="001C26FF">
        <w:rPr>
          <w:noProof/>
        </w:rPr>
        <w:t>, where necessary,</w:t>
      </w:r>
      <w:r w:rsidR="00AD0EEA">
        <w:rPr>
          <w:noProof/>
        </w:rPr>
        <w:t xml:space="preserve"> for properly reviewing the </w:t>
      </w:r>
      <w:r w:rsidR="00B82B62">
        <w:rPr>
          <w:noProof/>
        </w:rPr>
        <w:t xml:space="preserve">Union </w:t>
      </w:r>
      <w:r w:rsidR="00AD0EEA">
        <w:rPr>
          <w:noProof/>
        </w:rPr>
        <w:t>rules</w:t>
      </w:r>
      <w:r w:rsidR="00AD0EEA" w:rsidRPr="007A5BE3">
        <w:rPr>
          <w:noProof/>
        </w:rPr>
        <w:t>, such implementation and enforcement should be monitored by the Commission. Member States should therefore communicate to the Commission</w:t>
      </w:r>
      <w:r w:rsidR="001C26FF">
        <w:rPr>
          <w:noProof/>
        </w:rPr>
        <w:t>,</w:t>
      </w:r>
      <w:r w:rsidR="00AD0EEA" w:rsidRPr="007A5BE3">
        <w:rPr>
          <w:noProof/>
        </w:rPr>
        <w:t xml:space="preserve"> on a regular basis, specific information on the implementation and enforcement in their territory of national measures </w:t>
      </w:r>
      <w:r w:rsidR="00E36EC0">
        <w:rPr>
          <w:noProof/>
        </w:rPr>
        <w:t xml:space="preserve">transposing </w:t>
      </w:r>
      <w:r w:rsidR="00AD0EEA" w:rsidRPr="007A5BE3">
        <w:rPr>
          <w:noProof/>
        </w:rPr>
        <w:t>this Directive</w:t>
      </w:r>
      <w:r w:rsidR="003C6098" w:rsidRPr="001A05B3">
        <w:rPr>
          <w:noProof/>
        </w:rPr>
        <w:t xml:space="preserve">. </w:t>
      </w:r>
    </w:p>
    <w:p w14:paraId="05F5421A" w14:textId="77777777" w:rsidR="003C6098" w:rsidRPr="001A05B3" w:rsidRDefault="004C6AA3" w:rsidP="004C6AA3">
      <w:pPr>
        <w:pStyle w:val="ManualConsidrant"/>
        <w:rPr>
          <w:noProof/>
        </w:rPr>
      </w:pPr>
      <w:r w:rsidRPr="004C6AA3">
        <w:rPr>
          <w:noProof/>
        </w:rPr>
        <w:t>(9)</w:t>
      </w:r>
      <w:r w:rsidRPr="004C6AA3">
        <w:rPr>
          <w:noProof/>
        </w:rPr>
        <w:tab/>
      </w:r>
      <w:r w:rsidR="002F42F5" w:rsidRPr="007A5BE3">
        <w:rPr>
          <w:noProof/>
        </w:rPr>
        <w:t xml:space="preserve">In order to evaluate the effectiveness of </w:t>
      </w:r>
      <w:r w:rsidR="00E36EC0">
        <w:rPr>
          <w:noProof/>
        </w:rPr>
        <w:t>this Directive</w:t>
      </w:r>
      <w:r w:rsidR="002F42F5" w:rsidRPr="007A5BE3">
        <w:rPr>
          <w:noProof/>
        </w:rPr>
        <w:t xml:space="preserve">, the Commission should prepare </w:t>
      </w:r>
      <w:r w:rsidR="00B82B62">
        <w:rPr>
          <w:noProof/>
        </w:rPr>
        <w:t xml:space="preserve">and publish </w:t>
      </w:r>
      <w:r w:rsidR="002F42F5" w:rsidRPr="007A5BE3">
        <w:rPr>
          <w:noProof/>
        </w:rPr>
        <w:t xml:space="preserve">an evaluation </w:t>
      </w:r>
      <w:r w:rsidR="002F42F5">
        <w:rPr>
          <w:noProof/>
        </w:rPr>
        <w:t xml:space="preserve">report </w:t>
      </w:r>
      <w:r w:rsidR="002F42F5" w:rsidRPr="007A5BE3">
        <w:rPr>
          <w:noProof/>
        </w:rPr>
        <w:t xml:space="preserve">on the basis of the information provided by Member States </w:t>
      </w:r>
      <w:r w:rsidR="002F42F5" w:rsidRPr="00851D08">
        <w:rPr>
          <w:noProof/>
        </w:rPr>
        <w:t xml:space="preserve">and </w:t>
      </w:r>
      <w:r w:rsidR="00E36EC0">
        <w:rPr>
          <w:noProof/>
        </w:rPr>
        <w:t xml:space="preserve">of </w:t>
      </w:r>
      <w:r w:rsidR="002F42F5" w:rsidRPr="00851D08">
        <w:rPr>
          <w:noProof/>
        </w:rPr>
        <w:t xml:space="preserve">other available data. </w:t>
      </w:r>
    </w:p>
    <w:p w14:paraId="05F5421B" w14:textId="61025257" w:rsidR="003C6098" w:rsidRPr="00AA0121" w:rsidRDefault="004C6AA3" w:rsidP="004C6AA3">
      <w:pPr>
        <w:pStyle w:val="ManualConsidrant"/>
        <w:rPr>
          <w:noProof/>
        </w:rPr>
      </w:pPr>
      <w:r w:rsidRPr="004C6AA3">
        <w:rPr>
          <w:noProof/>
        </w:rPr>
        <w:t>(10)</w:t>
      </w:r>
      <w:r w:rsidRPr="004C6AA3">
        <w:rPr>
          <w:noProof/>
        </w:rPr>
        <w:tab/>
      </w:r>
      <w:r w:rsidR="002F42F5" w:rsidRPr="00851D08">
        <w:rPr>
          <w:noProof/>
        </w:rPr>
        <w:t xml:space="preserve">In order to </w:t>
      </w:r>
      <w:r w:rsidR="006077F5">
        <w:rPr>
          <w:noProof/>
        </w:rPr>
        <w:t xml:space="preserve">enable the smooth and </w:t>
      </w:r>
      <w:r w:rsidR="00AA0121">
        <w:rPr>
          <w:noProof/>
        </w:rPr>
        <w:t xml:space="preserve">prompt </w:t>
      </w:r>
      <w:r w:rsidR="006077F5">
        <w:rPr>
          <w:noProof/>
        </w:rPr>
        <w:t>amendment of certain non-essential elements of this Directive taking into account ongoing developments</w:t>
      </w:r>
      <w:r w:rsidR="002F42F5" w:rsidRPr="00851D08">
        <w:rPr>
          <w:noProof/>
        </w:rPr>
        <w:t>, the power to adopt acts in accordance with Article 290 of the Treaty on the Functioning of the European Union should be delegated to the Commission</w:t>
      </w:r>
      <w:r w:rsidR="00575346">
        <w:rPr>
          <w:noProof/>
        </w:rPr>
        <w:t xml:space="preserve">, </w:t>
      </w:r>
      <w:r w:rsidR="00FD6BED">
        <w:rPr>
          <w:noProof/>
        </w:rPr>
        <w:t>so that the latter can</w:t>
      </w:r>
      <w:r w:rsidR="005F0653">
        <w:rPr>
          <w:noProof/>
        </w:rPr>
        <w:t xml:space="preserve"> </w:t>
      </w:r>
      <w:r w:rsidR="003864CE">
        <w:rPr>
          <w:noProof/>
        </w:rPr>
        <w:t>amend this Directive</w:t>
      </w:r>
      <w:r w:rsidR="00FD6BED">
        <w:rPr>
          <w:noProof/>
        </w:rPr>
        <w:t>,</w:t>
      </w:r>
      <w:r w:rsidR="003864CE">
        <w:rPr>
          <w:noProof/>
        </w:rPr>
        <w:t xml:space="preserve"> </w:t>
      </w:r>
      <w:r w:rsidR="00FD6BED">
        <w:rPr>
          <w:noProof/>
        </w:rPr>
        <w:t>to</w:t>
      </w:r>
      <w:r w:rsidR="003864CE">
        <w:rPr>
          <w:noProof/>
        </w:rPr>
        <w:t xml:space="preserve"> </w:t>
      </w:r>
      <w:r w:rsidR="002F42F5" w:rsidRPr="00851D08">
        <w:rPr>
          <w:noProof/>
        </w:rPr>
        <w:t>modif</w:t>
      </w:r>
      <w:r w:rsidR="00D547CA">
        <w:rPr>
          <w:noProof/>
        </w:rPr>
        <w:t>y</w:t>
      </w:r>
      <w:r w:rsidR="002F42F5" w:rsidRPr="00851D08">
        <w:rPr>
          <w:noProof/>
        </w:rPr>
        <w:t xml:space="preserve"> the </w:t>
      </w:r>
      <w:r w:rsidR="0023083C">
        <w:rPr>
          <w:noProof/>
        </w:rPr>
        <w:t>level of the</w:t>
      </w:r>
      <w:r w:rsidR="002F42F5" w:rsidRPr="00851D08">
        <w:rPr>
          <w:noProof/>
        </w:rPr>
        <w:t xml:space="preserve"> risk premium </w:t>
      </w:r>
      <w:r w:rsidR="002F42F5">
        <w:rPr>
          <w:noProof/>
        </w:rPr>
        <w:t xml:space="preserve">rate </w:t>
      </w:r>
      <w:r w:rsidR="002F42F5" w:rsidRPr="00851D08">
        <w:rPr>
          <w:noProof/>
        </w:rPr>
        <w:t>as an element for the calculation of the allowance</w:t>
      </w:r>
      <w:r w:rsidR="002F42F5">
        <w:rPr>
          <w:noProof/>
        </w:rPr>
        <w:t xml:space="preserve"> on equity</w:t>
      </w:r>
      <w:r w:rsidR="002F42F5" w:rsidRPr="00851D08">
        <w:rPr>
          <w:noProof/>
        </w:rPr>
        <w:t xml:space="preserve">. </w:t>
      </w:r>
      <w:r w:rsidR="00D547CA" w:rsidRPr="002410DB">
        <w:rPr>
          <w:noProof/>
          <w:lang w:val="en-IE"/>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D547CA">
        <w:rPr>
          <w:rStyle w:val="FootnoteReference"/>
          <w:noProof/>
          <w:lang w:val="en-IE"/>
        </w:rPr>
        <w:footnoteReference w:id="17"/>
      </w:r>
      <w:r w:rsidR="00D547CA" w:rsidRPr="002410DB">
        <w:rPr>
          <w:noProof/>
          <w:lang w:val="en-IE"/>
        </w:rPr>
        <w:t xml:space="preserve">. In particular, to ensure equal participation in the preparation of delegated acts, the Council </w:t>
      </w:r>
      <w:r w:rsidR="00FD6BED">
        <w:rPr>
          <w:noProof/>
          <w:lang w:val="en-IE"/>
        </w:rPr>
        <w:t xml:space="preserve">should </w:t>
      </w:r>
      <w:r w:rsidR="00D547CA" w:rsidRPr="002410DB">
        <w:rPr>
          <w:noProof/>
          <w:lang w:val="en-IE"/>
        </w:rPr>
        <w:t xml:space="preserve">receive all documents at the same time as Member States' experts, and </w:t>
      </w:r>
      <w:r w:rsidR="008010E4">
        <w:rPr>
          <w:noProof/>
          <w:lang w:val="en-IE"/>
        </w:rPr>
        <w:t>its</w:t>
      </w:r>
      <w:r w:rsidR="00D547CA" w:rsidRPr="002410DB">
        <w:rPr>
          <w:noProof/>
          <w:lang w:val="en-IE"/>
        </w:rPr>
        <w:t xml:space="preserve"> experts </w:t>
      </w:r>
      <w:r w:rsidR="00FD6BED">
        <w:rPr>
          <w:noProof/>
          <w:lang w:val="en-IE"/>
        </w:rPr>
        <w:t xml:space="preserve">should </w:t>
      </w:r>
      <w:r w:rsidR="00D547CA" w:rsidRPr="002410DB">
        <w:rPr>
          <w:noProof/>
          <w:lang w:val="en-IE"/>
        </w:rPr>
        <w:t xml:space="preserve">systematically </w:t>
      </w:r>
      <w:r w:rsidR="00FD6BED">
        <w:rPr>
          <w:noProof/>
          <w:lang w:val="en-IE"/>
        </w:rPr>
        <w:t>be given</w:t>
      </w:r>
      <w:r w:rsidR="00D547CA" w:rsidRPr="002410DB">
        <w:rPr>
          <w:noProof/>
          <w:lang w:val="en-IE"/>
        </w:rPr>
        <w:t xml:space="preserve"> access to meetings of Commission expert groups dealing with the preparation of delegated acts</w:t>
      </w:r>
      <w:r w:rsidR="00E37150">
        <w:rPr>
          <w:noProof/>
          <w:lang w:val="en-IE"/>
        </w:rPr>
        <w:t>.</w:t>
      </w:r>
    </w:p>
    <w:p w14:paraId="05F5421C" w14:textId="77777777" w:rsidR="00AA0121" w:rsidRPr="001A05B3" w:rsidRDefault="004C6AA3" w:rsidP="004C6AA3">
      <w:pPr>
        <w:pStyle w:val="ManualConsidrant"/>
        <w:rPr>
          <w:noProof/>
        </w:rPr>
      </w:pPr>
      <w:r w:rsidRPr="004C6AA3">
        <w:rPr>
          <w:noProof/>
        </w:rPr>
        <w:t>(11)</w:t>
      </w:r>
      <w:r w:rsidRPr="004C6AA3">
        <w:rPr>
          <w:noProof/>
        </w:rPr>
        <w:tab/>
      </w:r>
      <w:r w:rsidR="00AA0121" w:rsidRPr="007A5BE3">
        <w:rPr>
          <w:noProof/>
        </w:rPr>
        <w:t>Since the objective of this Directive cannot sufficiently be achieved by the Member States but can rather, by reason of</w:t>
      </w:r>
      <w:r w:rsidR="00AA0121">
        <w:rPr>
          <w:noProof/>
        </w:rPr>
        <w:t xml:space="preserve"> the need to provide balanced incentives for business location and entrepreneurship in the single market</w:t>
      </w:r>
      <w:r w:rsidR="00AA0121" w:rsidRPr="007A5BE3">
        <w:rPr>
          <w:noProof/>
        </w:rPr>
        <w:t xml:space="preserve">, be better achieved at Union level, the Union may adopt measures, in accordance with the principle of subsidiarity as set out in Article 5 of the Treaty on European Union. In accordance with the principle of proportionality as set out in that Article, this Directive </w:t>
      </w:r>
      <w:r w:rsidR="00AA0121">
        <w:rPr>
          <w:noProof/>
        </w:rPr>
        <w:t>should</w:t>
      </w:r>
      <w:r w:rsidR="00AA0121" w:rsidRPr="007A5BE3">
        <w:rPr>
          <w:noProof/>
        </w:rPr>
        <w:t xml:space="preserve"> not go beyond what is necessary in order to achieve that objective</w:t>
      </w:r>
      <w:r w:rsidR="00AA0121" w:rsidRPr="001A05B3">
        <w:rPr>
          <w:noProof/>
        </w:rPr>
        <w:t>,</w:t>
      </w:r>
    </w:p>
    <w:p w14:paraId="05F5421D" w14:textId="77777777" w:rsidR="0040116E" w:rsidRPr="0090379F" w:rsidRDefault="0040116E" w:rsidP="004D1E24">
      <w:pPr>
        <w:pStyle w:val="Formuledadoption"/>
        <w:rPr>
          <w:noProof/>
        </w:rPr>
      </w:pPr>
      <w:r w:rsidRPr="0090379F">
        <w:rPr>
          <w:noProof/>
        </w:rPr>
        <w:t>HAS ADOPTED THIS DIRECTIVE:</w:t>
      </w:r>
    </w:p>
    <w:p w14:paraId="05F5421E" w14:textId="77777777" w:rsidR="00836CD1" w:rsidRPr="0090379F" w:rsidRDefault="00836CD1" w:rsidP="00836CD1">
      <w:pPr>
        <w:pStyle w:val="ChapterTitle"/>
        <w:rPr>
          <w:noProof/>
        </w:rPr>
      </w:pPr>
      <w:r w:rsidRPr="0090379F">
        <w:rPr>
          <w:noProof/>
        </w:rPr>
        <w:t xml:space="preserve">CHAPTER I </w:t>
      </w:r>
      <w:r w:rsidRPr="0090379F">
        <w:rPr>
          <w:noProof/>
        </w:rPr>
        <w:br/>
        <w:t>GENERAL PROVISIONS</w:t>
      </w:r>
    </w:p>
    <w:p w14:paraId="05F5421F" w14:textId="77777777" w:rsidR="0040116E" w:rsidRPr="0090379F" w:rsidRDefault="0040116E" w:rsidP="004D1E24">
      <w:pPr>
        <w:pStyle w:val="Titrearticle"/>
        <w:rPr>
          <w:noProof/>
        </w:rPr>
      </w:pPr>
      <w:r w:rsidRPr="0090379F">
        <w:rPr>
          <w:noProof/>
        </w:rPr>
        <w:t>Article 1</w:t>
      </w:r>
      <w:r w:rsidR="0099769B" w:rsidRPr="0090379F">
        <w:rPr>
          <w:b/>
          <w:noProof/>
        </w:rPr>
        <w:t xml:space="preserve"> </w:t>
      </w:r>
      <w:r w:rsidR="0099769B" w:rsidRPr="0090379F">
        <w:rPr>
          <w:b/>
          <w:noProof/>
        </w:rPr>
        <w:br/>
        <w:t>Subject matter</w:t>
      </w:r>
    </w:p>
    <w:p w14:paraId="05F54220" w14:textId="77777777" w:rsidR="0099769B" w:rsidRPr="0090379F" w:rsidRDefault="0099769B" w:rsidP="0099769B">
      <w:pPr>
        <w:rPr>
          <w:noProof/>
        </w:rPr>
      </w:pPr>
      <w:r w:rsidRPr="0090379F">
        <w:rPr>
          <w:noProof/>
        </w:rPr>
        <w:t xml:space="preserve">This Directive lays down rules </w:t>
      </w:r>
      <w:r w:rsidR="00734DEF" w:rsidRPr="0090379F">
        <w:rPr>
          <w:noProof/>
        </w:rPr>
        <w:t xml:space="preserve">on </w:t>
      </w:r>
      <w:r w:rsidRPr="0090379F">
        <w:rPr>
          <w:noProof/>
        </w:rPr>
        <w:t>the deducti</w:t>
      </w:r>
      <w:r w:rsidR="00734DEF" w:rsidRPr="0090379F">
        <w:rPr>
          <w:noProof/>
        </w:rPr>
        <w:t>on</w:t>
      </w:r>
      <w:r w:rsidR="00BA1196" w:rsidRPr="0090379F">
        <w:rPr>
          <w:noProof/>
        </w:rPr>
        <w:t>,</w:t>
      </w:r>
      <w:r w:rsidRPr="0090379F">
        <w:rPr>
          <w:noProof/>
        </w:rPr>
        <w:t xml:space="preserve"> for </w:t>
      </w:r>
      <w:r w:rsidR="00DE6AA9" w:rsidRPr="0090379F">
        <w:rPr>
          <w:noProof/>
        </w:rPr>
        <w:t>corporate</w:t>
      </w:r>
      <w:r w:rsidR="001D7079" w:rsidRPr="0090379F">
        <w:rPr>
          <w:noProof/>
        </w:rPr>
        <w:t xml:space="preserve"> </w:t>
      </w:r>
      <w:r w:rsidR="008E49F6" w:rsidRPr="0090379F">
        <w:rPr>
          <w:noProof/>
        </w:rPr>
        <w:t>income</w:t>
      </w:r>
      <w:r w:rsidR="008E4B29" w:rsidRPr="0090379F">
        <w:rPr>
          <w:noProof/>
        </w:rPr>
        <w:t xml:space="preserve"> </w:t>
      </w:r>
      <w:r w:rsidRPr="0090379F">
        <w:rPr>
          <w:noProof/>
        </w:rPr>
        <w:t>tax purposes</w:t>
      </w:r>
      <w:r w:rsidR="00BA1196" w:rsidRPr="0090379F">
        <w:rPr>
          <w:noProof/>
        </w:rPr>
        <w:t>,</w:t>
      </w:r>
      <w:r w:rsidRPr="0090379F">
        <w:rPr>
          <w:noProof/>
        </w:rPr>
        <w:t xml:space="preserve"> of an allowance on increases in equity and </w:t>
      </w:r>
      <w:r w:rsidR="00734DEF" w:rsidRPr="0090379F">
        <w:rPr>
          <w:noProof/>
        </w:rPr>
        <w:t>on</w:t>
      </w:r>
      <w:r w:rsidRPr="0090379F">
        <w:rPr>
          <w:noProof/>
        </w:rPr>
        <w:t xml:space="preserve"> </w:t>
      </w:r>
      <w:r w:rsidR="00BA1196" w:rsidRPr="0090379F">
        <w:rPr>
          <w:noProof/>
        </w:rPr>
        <w:t xml:space="preserve">the </w:t>
      </w:r>
      <w:r w:rsidRPr="0090379F">
        <w:rPr>
          <w:noProof/>
        </w:rPr>
        <w:t>limit</w:t>
      </w:r>
      <w:r w:rsidR="00734DEF" w:rsidRPr="0090379F">
        <w:rPr>
          <w:noProof/>
        </w:rPr>
        <w:t>ation of</w:t>
      </w:r>
      <w:r w:rsidRPr="0090379F">
        <w:rPr>
          <w:noProof/>
        </w:rPr>
        <w:t xml:space="preserve"> the tax deductibility of exceeding borrowing costs. </w:t>
      </w:r>
    </w:p>
    <w:p w14:paraId="05F54221" w14:textId="77777777" w:rsidR="005316A0" w:rsidRPr="001A05B3" w:rsidRDefault="005316A0" w:rsidP="005316A0">
      <w:pPr>
        <w:pStyle w:val="Titrearticle"/>
        <w:rPr>
          <w:noProof/>
        </w:rPr>
      </w:pPr>
      <w:r w:rsidRPr="0090379F">
        <w:rPr>
          <w:noProof/>
        </w:rPr>
        <w:t>Article 2</w:t>
      </w:r>
      <w:r w:rsidRPr="0090379F">
        <w:rPr>
          <w:b/>
          <w:noProof/>
        </w:rPr>
        <w:t xml:space="preserve"> </w:t>
      </w:r>
      <w:r w:rsidRPr="0090379F">
        <w:rPr>
          <w:b/>
          <w:noProof/>
        </w:rPr>
        <w:br/>
        <w:t>Scope</w:t>
      </w:r>
    </w:p>
    <w:p w14:paraId="05F54222" w14:textId="77777777" w:rsidR="009F4FE5" w:rsidRDefault="005316A0" w:rsidP="005316A0">
      <w:pPr>
        <w:rPr>
          <w:noProof/>
        </w:rPr>
      </w:pPr>
      <w:r w:rsidRPr="001A05B3">
        <w:rPr>
          <w:noProof/>
        </w:rPr>
        <w:t xml:space="preserve">This Directive </w:t>
      </w:r>
      <w:r w:rsidR="00225172" w:rsidRPr="001A05B3">
        <w:rPr>
          <w:noProof/>
        </w:rPr>
        <w:t>appl</w:t>
      </w:r>
      <w:r w:rsidR="002715BF">
        <w:rPr>
          <w:noProof/>
        </w:rPr>
        <w:t>ies</w:t>
      </w:r>
      <w:r w:rsidR="00225172" w:rsidRPr="001A05B3">
        <w:rPr>
          <w:noProof/>
        </w:rPr>
        <w:t xml:space="preserve"> </w:t>
      </w:r>
      <w:r w:rsidRPr="001A05B3">
        <w:rPr>
          <w:noProof/>
        </w:rPr>
        <w:t>to taxpayers that are subject to corporate</w:t>
      </w:r>
      <w:r w:rsidR="008E49F6">
        <w:rPr>
          <w:noProof/>
        </w:rPr>
        <w:t xml:space="preserve"> income</w:t>
      </w:r>
      <w:r w:rsidRPr="001A05B3">
        <w:rPr>
          <w:noProof/>
        </w:rPr>
        <w:t xml:space="preserve"> tax in one or more Member State</w:t>
      </w:r>
      <w:r w:rsidR="002715BF">
        <w:rPr>
          <w:noProof/>
        </w:rPr>
        <w:t>s</w:t>
      </w:r>
      <w:r w:rsidRPr="001A05B3">
        <w:rPr>
          <w:noProof/>
        </w:rPr>
        <w:t xml:space="preserve">, including permanent </w:t>
      </w:r>
      <w:r w:rsidRPr="00A26BC1">
        <w:rPr>
          <w:noProof/>
        </w:rPr>
        <w:t>establishments</w:t>
      </w:r>
      <w:r w:rsidRPr="001A05B3">
        <w:rPr>
          <w:noProof/>
        </w:rPr>
        <w:t xml:space="preserve"> in one or more Member State of entities resident for tax purposes in a third country.</w:t>
      </w:r>
      <w:r w:rsidR="008700E8" w:rsidRPr="008700E8">
        <w:rPr>
          <w:noProof/>
        </w:rPr>
        <w:t xml:space="preserve"> </w:t>
      </w:r>
    </w:p>
    <w:p w14:paraId="05F54223" w14:textId="77777777" w:rsidR="005316A0" w:rsidRPr="001A05B3" w:rsidRDefault="008700E8" w:rsidP="005316A0">
      <w:pPr>
        <w:rPr>
          <w:noProof/>
        </w:rPr>
      </w:pPr>
      <w:r>
        <w:rPr>
          <w:noProof/>
        </w:rPr>
        <w:t>However, this Directive does not apply to</w:t>
      </w:r>
      <w:r w:rsidRPr="001A05B3">
        <w:rPr>
          <w:noProof/>
        </w:rPr>
        <w:t xml:space="preserve"> </w:t>
      </w:r>
      <w:r w:rsidR="009F4FE5">
        <w:rPr>
          <w:noProof/>
        </w:rPr>
        <w:t xml:space="preserve">the following financial </w:t>
      </w:r>
      <w:r w:rsidRPr="001A05B3">
        <w:rPr>
          <w:noProof/>
        </w:rPr>
        <w:t>undertakings</w:t>
      </w:r>
      <w:r w:rsidR="009F4FE5">
        <w:rPr>
          <w:noProof/>
        </w:rPr>
        <w:t>:</w:t>
      </w:r>
      <w:r w:rsidR="00C01E27">
        <w:rPr>
          <w:noProof/>
        </w:rPr>
        <w:t xml:space="preserve"> </w:t>
      </w:r>
    </w:p>
    <w:p w14:paraId="05F54224" w14:textId="77777777" w:rsidR="004E1F86" w:rsidRPr="001A05B3" w:rsidRDefault="004C6AA3" w:rsidP="004C6AA3">
      <w:pPr>
        <w:pStyle w:val="Point0"/>
        <w:rPr>
          <w:noProof/>
        </w:rPr>
      </w:pPr>
      <w:r w:rsidRPr="004C6AA3">
        <w:rPr>
          <w:noProof/>
        </w:rPr>
        <w:t>(a)</w:t>
      </w:r>
      <w:r w:rsidRPr="004C6AA3">
        <w:rPr>
          <w:noProof/>
        </w:rPr>
        <w:tab/>
      </w:r>
      <w:r w:rsidR="009F4FE5" w:rsidRPr="001A05B3" w:rsidDel="009F4FE5">
        <w:rPr>
          <w:noProof/>
        </w:rPr>
        <w:t xml:space="preserve"> </w:t>
      </w:r>
      <w:r w:rsidR="00482965">
        <w:rPr>
          <w:noProof/>
        </w:rPr>
        <w:t>‘</w:t>
      </w:r>
      <w:r w:rsidR="004E1F86" w:rsidRPr="001A05B3">
        <w:rPr>
          <w:noProof/>
        </w:rPr>
        <w:t>credit institution</w:t>
      </w:r>
      <w:r w:rsidR="00482965">
        <w:rPr>
          <w:noProof/>
        </w:rPr>
        <w:t>’</w:t>
      </w:r>
      <w:r w:rsidR="004E1F86" w:rsidRPr="001A05B3">
        <w:rPr>
          <w:noProof/>
        </w:rPr>
        <w:t xml:space="preserve"> as defined in Article 4(1), point </w:t>
      </w:r>
      <w:r w:rsidR="002715BF">
        <w:rPr>
          <w:noProof/>
        </w:rPr>
        <w:t>(</w:t>
      </w:r>
      <w:r w:rsidR="004E1F86" w:rsidRPr="001A05B3">
        <w:rPr>
          <w:noProof/>
        </w:rPr>
        <w:t>1</w:t>
      </w:r>
      <w:r w:rsidR="002715BF">
        <w:rPr>
          <w:noProof/>
        </w:rPr>
        <w:t>)</w:t>
      </w:r>
      <w:r w:rsidR="004E1F86" w:rsidRPr="001A05B3">
        <w:rPr>
          <w:noProof/>
        </w:rPr>
        <w:t>, of Regulation (EU) No 575/2013 the European Parliament and of the Council</w:t>
      </w:r>
      <w:r w:rsidR="004E1F86" w:rsidRPr="008640C6">
        <w:rPr>
          <w:rStyle w:val="FootnoteReference"/>
          <w:noProof/>
        </w:rPr>
        <w:footnoteReference w:id="18"/>
      </w:r>
      <w:r w:rsidR="004E1F86" w:rsidRPr="001A05B3">
        <w:rPr>
          <w:noProof/>
        </w:rPr>
        <w:t xml:space="preserve">; </w:t>
      </w:r>
    </w:p>
    <w:p w14:paraId="05F54225" w14:textId="77777777" w:rsidR="004E1F86" w:rsidRPr="001A05B3" w:rsidRDefault="004C6AA3" w:rsidP="004C6AA3">
      <w:pPr>
        <w:pStyle w:val="Point0"/>
        <w:rPr>
          <w:noProof/>
        </w:rPr>
      </w:pPr>
      <w:r w:rsidRPr="004C6AA3">
        <w:rPr>
          <w:noProof/>
        </w:rPr>
        <w:t>(b)</w:t>
      </w:r>
      <w:r w:rsidRPr="004C6AA3">
        <w:rPr>
          <w:noProof/>
        </w:rPr>
        <w:tab/>
      </w:r>
      <w:r w:rsidR="00482965">
        <w:rPr>
          <w:noProof/>
        </w:rPr>
        <w:t>‘</w:t>
      </w:r>
      <w:r w:rsidR="004E1F86" w:rsidRPr="001A05B3">
        <w:rPr>
          <w:noProof/>
        </w:rPr>
        <w:t>investment firm</w:t>
      </w:r>
      <w:r w:rsidR="00482965">
        <w:rPr>
          <w:noProof/>
        </w:rPr>
        <w:t>’</w:t>
      </w:r>
      <w:r w:rsidR="004E1F86" w:rsidRPr="001A05B3">
        <w:rPr>
          <w:noProof/>
        </w:rPr>
        <w:t xml:space="preserve"> as defined in Article 4(1), point </w:t>
      </w:r>
      <w:r w:rsidR="002715BF">
        <w:rPr>
          <w:noProof/>
        </w:rPr>
        <w:t>(</w:t>
      </w:r>
      <w:r w:rsidR="004E1F86" w:rsidRPr="001A05B3">
        <w:rPr>
          <w:noProof/>
        </w:rPr>
        <w:t>1</w:t>
      </w:r>
      <w:r w:rsidR="002715BF">
        <w:rPr>
          <w:noProof/>
        </w:rPr>
        <w:t>)</w:t>
      </w:r>
      <w:r w:rsidR="004E1F86" w:rsidRPr="001A05B3">
        <w:rPr>
          <w:noProof/>
        </w:rPr>
        <w:t>, of Directive 2014/65/EU the European Parliament and of the Council</w:t>
      </w:r>
      <w:r w:rsidR="004E1F86" w:rsidRPr="008640C6">
        <w:rPr>
          <w:rStyle w:val="FootnoteReference"/>
          <w:noProof/>
        </w:rPr>
        <w:footnoteReference w:id="19"/>
      </w:r>
      <w:r w:rsidR="004E1F86" w:rsidRPr="001A05B3">
        <w:rPr>
          <w:noProof/>
        </w:rPr>
        <w:t xml:space="preserve">; </w:t>
      </w:r>
    </w:p>
    <w:p w14:paraId="05F54226" w14:textId="77777777" w:rsidR="004E1F86" w:rsidRPr="001A05B3" w:rsidRDefault="004C6AA3" w:rsidP="004C6AA3">
      <w:pPr>
        <w:pStyle w:val="Point0"/>
        <w:rPr>
          <w:noProof/>
        </w:rPr>
      </w:pPr>
      <w:r w:rsidRPr="004C6AA3">
        <w:rPr>
          <w:noProof/>
        </w:rPr>
        <w:t>(c)</w:t>
      </w:r>
      <w:r w:rsidRPr="004C6AA3">
        <w:rPr>
          <w:noProof/>
        </w:rPr>
        <w:tab/>
      </w:r>
      <w:r w:rsidR="00482965">
        <w:rPr>
          <w:noProof/>
        </w:rPr>
        <w:t>‘</w:t>
      </w:r>
      <w:r w:rsidR="004E1F86" w:rsidRPr="001A05B3">
        <w:rPr>
          <w:noProof/>
        </w:rPr>
        <w:t>alternative investment fund manager</w:t>
      </w:r>
      <w:r w:rsidR="00482965">
        <w:rPr>
          <w:noProof/>
        </w:rPr>
        <w:t>’</w:t>
      </w:r>
      <w:r w:rsidR="004E1F86" w:rsidRPr="001A05B3">
        <w:rPr>
          <w:noProof/>
        </w:rPr>
        <w:t xml:space="preserve">  as defined in Article 4(1), point (b), of Directive 2011/61/EU of the European Parliament and of the Council</w:t>
      </w:r>
      <w:r w:rsidR="004E1F86" w:rsidRPr="008640C6">
        <w:rPr>
          <w:rStyle w:val="FootnoteReference"/>
          <w:noProof/>
        </w:rPr>
        <w:footnoteReference w:id="20"/>
      </w:r>
      <w:r w:rsidR="004E1F86" w:rsidRPr="001A05B3">
        <w:rPr>
          <w:noProof/>
        </w:rPr>
        <w:t xml:space="preserve">, </w:t>
      </w:r>
      <w:r w:rsidR="004E1F86" w:rsidRPr="003929C6">
        <w:rPr>
          <w:noProof/>
        </w:rPr>
        <w:t>including</w:t>
      </w:r>
      <w:r w:rsidR="004E1F86" w:rsidRPr="001A05B3">
        <w:rPr>
          <w:noProof/>
        </w:rPr>
        <w:t xml:space="preserve"> a manager of </w:t>
      </w:r>
      <w:r w:rsidR="00362440">
        <w:rPr>
          <w:noProof/>
        </w:rPr>
        <w:t xml:space="preserve">European venture capital funds </w:t>
      </w:r>
      <w:r w:rsidR="004E1F86" w:rsidRPr="001A05B3">
        <w:rPr>
          <w:noProof/>
        </w:rPr>
        <w:t>under Regulation (EU) No 345/2013 of the European Parliament and of the Council</w:t>
      </w:r>
      <w:r w:rsidR="004E1F86" w:rsidRPr="008640C6">
        <w:rPr>
          <w:rStyle w:val="FootnoteReference"/>
          <w:noProof/>
        </w:rPr>
        <w:footnoteReference w:id="21"/>
      </w:r>
      <w:r w:rsidR="004E1F86" w:rsidRPr="001A05B3">
        <w:rPr>
          <w:noProof/>
        </w:rPr>
        <w:t xml:space="preserve">, a manager of </w:t>
      </w:r>
      <w:r w:rsidR="00362440">
        <w:rPr>
          <w:noProof/>
        </w:rPr>
        <w:t xml:space="preserve">European social entrepreneurship funds </w:t>
      </w:r>
      <w:r w:rsidR="004E1F86" w:rsidRPr="001A05B3">
        <w:rPr>
          <w:noProof/>
        </w:rPr>
        <w:t>under Regulation (EU) No 346/2013 of the European Parliament and of the Council</w:t>
      </w:r>
      <w:r w:rsidR="004E1F86" w:rsidRPr="008640C6">
        <w:rPr>
          <w:rStyle w:val="FootnoteReference"/>
          <w:noProof/>
        </w:rPr>
        <w:footnoteReference w:id="22"/>
      </w:r>
      <w:r w:rsidR="004E1F86" w:rsidRPr="001A05B3">
        <w:rPr>
          <w:noProof/>
        </w:rPr>
        <w:t xml:space="preserve"> and a manager of </w:t>
      </w:r>
      <w:r w:rsidR="00362440">
        <w:rPr>
          <w:noProof/>
        </w:rPr>
        <w:t xml:space="preserve">European long-term investment funds </w:t>
      </w:r>
      <w:r w:rsidR="004E1F86" w:rsidRPr="001A05B3">
        <w:rPr>
          <w:noProof/>
        </w:rPr>
        <w:t>under Regulation (EU) 2015/760 of the European Parliament and of the Council</w:t>
      </w:r>
      <w:r w:rsidR="004E1F86" w:rsidRPr="008640C6">
        <w:rPr>
          <w:rStyle w:val="FootnoteReference"/>
          <w:noProof/>
        </w:rPr>
        <w:footnoteReference w:id="23"/>
      </w:r>
      <w:r w:rsidR="004E1F86" w:rsidRPr="001A05B3">
        <w:rPr>
          <w:noProof/>
        </w:rPr>
        <w:t>;</w:t>
      </w:r>
    </w:p>
    <w:p w14:paraId="05F54227" w14:textId="77777777" w:rsidR="004E1F86" w:rsidRPr="001A05B3" w:rsidRDefault="004C6AA3" w:rsidP="004C6AA3">
      <w:pPr>
        <w:pStyle w:val="Point0"/>
        <w:rPr>
          <w:noProof/>
        </w:rPr>
      </w:pPr>
      <w:r w:rsidRPr="004C6AA3">
        <w:rPr>
          <w:noProof/>
        </w:rPr>
        <w:t>(d)</w:t>
      </w:r>
      <w:r w:rsidRPr="004C6AA3">
        <w:rPr>
          <w:noProof/>
        </w:rPr>
        <w:tab/>
      </w:r>
      <w:r w:rsidR="00482965">
        <w:rPr>
          <w:noProof/>
        </w:rPr>
        <w:t>‘</w:t>
      </w:r>
      <w:r w:rsidR="004E1F86" w:rsidRPr="001A05B3">
        <w:rPr>
          <w:noProof/>
        </w:rPr>
        <w:t>undertaking for collective investment in transferable securities</w:t>
      </w:r>
      <w:r w:rsidR="00482965">
        <w:rPr>
          <w:noProof/>
        </w:rPr>
        <w:t>’</w:t>
      </w:r>
      <w:r w:rsidR="004E1F86" w:rsidRPr="001A05B3">
        <w:rPr>
          <w:noProof/>
        </w:rPr>
        <w:t xml:space="preserve"> management company</w:t>
      </w:r>
      <w:r w:rsidR="00C5531E">
        <w:rPr>
          <w:noProof/>
        </w:rPr>
        <w:t>’</w:t>
      </w:r>
      <w:r w:rsidR="004E1F86" w:rsidRPr="001A05B3">
        <w:rPr>
          <w:noProof/>
        </w:rPr>
        <w:t xml:space="preserve"> as defined Article 2(1), point (b), of Directive 2009/65/EC of the European Parliament and of the Council</w:t>
      </w:r>
      <w:r w:rsidR="004E1F86" w:rsidRPr="008640C6">
        <w:rPr>
          <w:rStyle w:val="FootnoteReference"/>
          <w:noProof/>
        </w:rPr>
        <w:footnoteReference w:id="24"/>
      </w:r>
      <w:r w:rsidR="004E1F86" w:rsidRPr="001A05B3">
        <w:rPr>
          <w:noProof/>
        </w:rPr>
        <w:t xml:space="preserve">; </w:t>
      </w:r>
    </w:p>
    <w:p w14:paraId="05F54228" w14:textId="77777777" w:rsidR="004E1F86" w:rsidRPr="001A05B3" w:rsidRDefault="004C6AA3" w:rsidP="004C6AA3">
      <w:pPr>
        <w:pStyle w:val="Point0"/>
        <w:rPr>
          <w:noProof/>
        </w:rPr>
      </w:pPr>
      <w:r w:rsidRPr="004C6AA3">
        <w:rPr>
          <w:noProof/>
        </w:rPr>
        <w:t>(e)</w:t>
      </w:r>
      <w:r w:rsidRPr="004C6AA3">
        <w:rPr>
          <w:noProof/>
        </w:rPr>
        <w:tab/>
      </w:r>
      <w:r w:rsidR="00482965">
        <w:rPr>
          <w:noProof/>
        </w:rPr>
        <w:t>‘</w:t>
      </w:r>
      <w:r w:rsidR="004E1F86" w:rsidRPr="001A05B3">
        <w:rPr>
          <w:noProof/>
        </w:rPr>
        <w:t>insurance undertaking</w:t>
      </w:r>
      <w:r w:rsidR="00482965">
        <w:rPr>
          <w:noProof/>
        </w:rPr>
        <w:t>’</w:t>
      </w:r>
      <w:r w:rsidR="004E1F86" w:rsidRPr="001A05B3">
        <w:rPr>
          <w:noProof/>
        </w:rPr>
        <w:t xml:space="preserve"> as defined in Article 13, point </w:t>
      </w:r>
      <w:r w:rsidR="00C5531E">
        <w:rPr>
          <w:noProof/>
        </w:rPr>
        <w:t>(</w:t>
      </w:r>
      <w:r w:rsidR="004E1F86" w:rsidRPr="001A05B3">
        <w:rPr>
          <w:noProof/>
        </w:rPr>
        <w:t>1</w:t>
      </w:r>
      <w:r w:rsidR="00C5531E">
        <w:rPr>
          <w:noProof/>
        </w:rPr>
        <w:t>)</w:t>
      </w:r>
      <w:r w:rsidR="004E1F86" w:rsidRPr="001A05B3">
        <w:rPr>
          <w:noProof/>
        </w:rPr>
        <w:t>, of Directive 2009/138/EC of the European Parliament and of the Council</w:t>
      </w:r>
      <w:r w:rsidR="004E1F86" w:rsidRPr="008640C6">
        <w:rPr>
          <w:rStyle w:val="FootnoteReference"/>
          <w:noProof/>
        </w:rPr>
        <w:footnoteReference w:id="25"/>
      </w:r>
      <w:r w:rsidR="004E1F86" w:rsidRPr="001A05B3">
        <w:rPr>
          <w:noProof/>
        </w:rPr>
        <w:t xml:space="preserve">; </w:t>
      </w:r>
    </w:p>
    <w:p w14:paraId="05F54229" w14:textId="77777777" w:rsidR="004E1F86" w:rsidRPr="001A05B3" w:rsidRDefault="004C6AA3" w:rsidP="004C6AA3">
      <w:pPr>
        <w:pStyle w:val="Point0"/>
        <w:rPr>
          <w:noProof/>
        </w:rPr>
      </w:pPr>
      <w:r w:rsidRPr="004C6AA3">
        <w:rPr>
          <w:noProof/>
        </w:rPr>
        <w:t>(f)</w:t>
      </w:r>
      <w:r w:rsidRPr="004C6AA3">
        <w:rPr>
          <w:noProof/>
        </w:rPr>
        <w:tab/>
      </w:r>
      <w:r w:rsidR="00482965">
        <w:rPr>
          <w:noProof/>
        </w:rPr>
        <w:t>‘</w:t>
      </w:r>
      <w:r w:rsidR="004E1F86" w:rsidRPr="001A05B3">
        <w:rPr>
          <w:noProof/>
        </w:rPr>
        <w:t>reinsurance undertaking</w:t>
      </w:r>
      <w:r w:rsidR="00482965">
        <w:rPr>
          <w:noProof/>
        </w:rPr>
        <w:t>’</w:t>
      </w:r>
      <w:r w:rsidR="004E1F86" w:rsidRPr="001A05B3">
        <w:rPr>
          <w:noProof/>
        </w:rPr>
        <w:t xml:space="preserve"> as defined in Article 13, point (4), of Directive 2009/138/EC; </w:t>
      </w:r>
    </w:p>
    <w:p w14:paraId="05F5422A" w14:textId="77777777" w:rsidR="004E1F86" w:rsidRPr="001A05B3" w:rsidRDefault="004C6AA3" w:rsidP="004C6AA3">
      <w:pPr>
        <w:pStyle w:val="Point0"/>
        <w:rPr>
          <w:noProof/>
        </w:rPr>
      </w:pPr>
      <w:r w:rsidRPr="004C6AA3">
        <w:rPr>
          <w:noProof/>
        </w:rPr>
        <w:t>(g)</w:t>
      </w:r>
      <w:r w:rsidRPr="004C6AA3">
        <w:rPr>
          <w:noProof/>
        </w:rPr>
        <w:tab/>
      </w:r>
      <w:r w:rsidR="00482965">
        <w:rPr>
          <w:noProof/>
        </w:rPr>
        <w:t>‘</w:t>
      </w:r>
      <w:r w:rsidR="004E1F86" w:rsidRPr="001A05B3">
        <w:rPr>
          <w:noProof/>
        </w:rPr>
        <w:t>institution for occupational retirement provision</w:t>
      </w:r>
      <w:r w:rsidR="00482965">
        <w:rPr>
          <w:noProof/>
        </w:rPr>
        <w:t>’</w:t>
      </w:r>
      <w:r w:rsidR="004E1F86" w:rsidRPr="001A05B3">
        <w:rPr>
          <w:noProof/>
        </w:rPr>
        <w:t xml:space="preserve"> as defined in Article </w:t>
      </w:r>
      <w:r w:rsidR="004B58AC">
        <w:rPr>
          <w:noProof/>
        </w:rPr>
        <w:t>6</w:t>
      </w:r>
      <w:r w:rsidR="004E1F86" w:rsidRPr="001A05B3">
        <w:rPr>
          <w:noProof/>
        </w:rPr>
        <w:t xml:space="preserve">, point </w:t>
      </w:r>
      <w:r w:rsidR="00C5531E">
        <w:rPr>
          <w:noProof/>
        </w:rPr>
        <w:t>(</w:t>
      </w:r>
      <w:r w:rsidR="004B58AC">
        <w:rPr>
          <w:noProof/>
        </w:rPr>
        <w:t>1</w:t>
      </w:r>
      <w:r w:rsidR="00C5531E">
        <w:rPr>
          <w:noProof/>
        </w:rPr>
        <w:t>)</w:t>
      </w:r>
      <w:r w:rsidR="00482965">
        <w:rPr>
          <w:noProof/>
        </w:rPr>
        <w:t>,</w:t>
      </w:r>
      <w:r w:rsidR="004E1F86" w:rsidRPr="001A05B3">
        <w:rPr>
          <w:noProof/>
        </w:rPr>
        <w:t xml:space="preserve"> of Directive </w:t>
      </w:r>
      <w:r w:rsidR="008A5EDE">
        <w:rPr>
          <w:noProof/>
        </w:rPr>
        <w:t xml:space="preserve">(EU) </w:t>
      </w:r>
      <w:r w:rsidR="004E1F86" w:rsidRPr="001A05B3">
        <w:rPr>
          <w:noProof/>
        </w:rPr>
        <w:t>2016/2341 of the European Parliament and of the Council</w:t>
      </w:r>
      <w:r w:rsidR="004E1F86" w:rsidRPr="008640C6">
        <w:rPr>
          <w:rStyle w:val="FootnoteReference"/>
          <w:noProof/>
        </w:rPr>
        <w:footnoteReference w:id="26"/>
      </w:r>
      <w:r w:rsidR="004E1F86" w:rsidRPr="001A05B3">
        <w:rPr>
          <w:noProof/>
        </w:rPr>
        <w:t xml:space="preserve">; </w:t>
      </w:r>
    </w:p>
    <w:p w14:paraId="05F5422B" w14:textId="77777777" w:rsidR="004E1F86" w:rsidRPr="001A05B3" w:rsidRDefault="004C6AA3" w:rsidP="004C6AA3">
      <w:pPr>
        <w:pStyle w:val="Point0"/>
        <w:rPr>
          <w:noProof/>
        </w:rPr>
      </w:pPr>
      <w:r w:rsidRPr="004C6AA3">
        <w:rPr>
          <w:noProof/>
        </w:rPr>
        <w:t>(h)</w:t>
      </w:r>
      <w:r w:rsidRPr="004C6AA3">
        <w:rPr>
          <w:noProof/>
        </w:rPr>
        <w:tab/>
      </w:r>
      <w:r w:rsidR="004E1F86" w:rsidRPr="001A05B3">
        <w:rPr>
          <w:noProof/>
        </w:rPr>
        <w:t>pension institutions operating pension schemes which are covered by Regulation (EC) No 883/2004</w:t>
      </w:r>
      <w:r w:rsidR="00C5531E">
        <w:rPr>
          <w:noProof/>
        </w:rPr>
        <w:t xml:space="preserve"> of the European Parliament and of the Council</w:t>
      </w:r>
      <w:r w:rsidR="004E1F86" w:rsidRPr="008640C6">
        <w:rPr>
          <w:rStyle w:val="FootnoteReference"/>
          <w:noProof/>
        </w:rPr>
        <w:footnoteReference w:id="27"/>
      </w:r>
      <w:r w:rsidR="004E1F86" w:rsidRPr="001A05B3">
        <w:rPr>
          <w:noProof/>
        </w:rPr>
        <w:t xml:space="preserve"> as well as any legal entity set up for the purpose of investment </w:t>
      </w:r>
      <w:r w:rsidR="00893719" w:rsidRPr="00C32D3B">
        <w:rPr>
          <w:noProof/>
        </w:rPr>
        <w:t>in</w:t>
      </w:r>
      <w:r w:rsidR="004E1F86" w:rsidRPr="00C32D3B">
        <w:rPr>
          <w:noProof/>
        </w:rPr>
        <w:t xml:space="preserve"> such</w:t>
      </w:r>
      <w:r w:rsidR="004E1F86" w:rsidRPr="001A05B3">
        <w:rPr>
          <w:noProof/>
        </w:rPr>
        <w:t xml:space="preserve"> schemes; </w:t>
      </w:r>
    </w:p>
    <w:p w14:paraId="05F5422C" w14:textId="77777777" w:rsidR="004E1F86" w:rsidRPr="001A05B3" w:rsidRDefault="004C6AA3" w:rsidP="004C6AA3">
      <w:pPr>
        <w:pStyle w:val="Point0"/>
        <w:rPr>
          <w:noProof/>
        </w:rPr>
      </w:pPr>
      <w:r w:rsidRPr="004C6AA3">
        <w:rPr>
          <w:noProof/>
        </w:rPr>
        <w:t>(i)</w:t>
      </w:r>
      <w:r w:rsidRPr="004C6AA3">
        <w:rPr>
          <w:noProof/>
        </w:rPr>
        <w:tab/>
      </w:r>
      <w:r w:rsidR="00482965">
        <w:rPr>
          <w:noProof/>
        </w:rPr>
        <w:t>‘</w:t>
      </w:r>
      <w:r w:rsidR="004E1F86" w:rsidRPr="001A05B3">
        <w:rPr>
          <w:noProof/>
        </w:rPr>
        <w:t>alternative investment fund</w:t>
      </w:r>
      <w:r w:rsidR="00482965">
        <w:rPr>
          <w:noProof/>
        </w:rPr>
        <w:t>’</w:t>
      </w:r>
      <w:r w:rsidR="004E1F86" w:rsidRPr="001A05B3">
        <w:rPr>
          <w:noProof/>
        </w:rPr>
        <w:t xml:space="preserve"> </w:t>
      </w:r>
      <w:r w:rsidR="00230E8D">
        <w:rPr>
          <w:noProof/>
        </w:rPr>
        <w:t xml:space="preserve">as defined in </w:t>
      </w:r>
      <w:r w:rsidR="00230E8D" w:rsidRPr="001A05B3">
        <w:rPr>
          <w:noProof/>
        </w:rPr>
        <w:t>Article 4(1), point (</w:t>
      </w:r>
      <w:r w:rsidR="00230E8D">
        <w:rPr>
          <w:noProof/>
        </w:rPr>
        <w:t>a</w:t>
      </w:r>
      <w:r w:rsidR="00230E8D" w:rsidRPr="001A05B3">
        <w:rPr>
          <w:noProof/>
        </w:rPr>
        <w:t>), of Directive 2011/61/EU</w:t>
      </w:r>
      <w:r w:rsidR="00482965">
        <w:rPr>
          <w:noProof/>
        </w:rPr>
        <w:t>,</w:t>
      </w:r>
      <w:r w:rsidR="004E1F86" w:rsidRPr="001A05B3">
        <w:rPr>
          <w:noProof/>
        </w:rPr>
        <w:t xml:space="preserve"> managed by an </w:t>
      </w:r>
      <w:r w:rsidR="00C5531E">
        <w:rPr>
          <w:noProof/>
        </w:rPr>
        <w:t>alternative investment fund manager</w:t>
      </w:r>
      <w:r w:rsidR="00482965">
        <w:rPr>
          <w:noProof/>
        </w:rPr>
        <w:t>,</w:t>
      </w:r>
      <w:r w:rsidR="004E1F86" w:rsidRPr="001A05B3">
        <w:rPr>
          <w:noProof/>
        </w:rPr>
        <w:t xml:space="preserve"> as defined in Article 4(1), point (b), of Directive 2011/61/EU or an </w:t>
      </w:r>
      <w:r w:rsidR="00C5531E">
        <w:rPr>
          <w:noProof/>
        </w:rPr>
        <w:t>alternative investment fund</w:t>
      </w:r>
      <w:r w:rsidR="00230E8D" w:rsidRPr="00230E8D">
        <w:rPr>
          <w:noProof/>
        </w:rPr>
        <w:t xml:space="preserve"> </w:t>
      </w:r>
      <w:r w:rsidR="00230E8D">
        <w:rPr>
          <w:noProof/>
        </w:rPr>
        <w:t xml:space="preserve">as defined in </w:t>
      </w:r>
      <w:r w:rsidR="00230E8D" w:rsidRPr="001A05B3">
        <w:rPr>
          <w:noProof/>
        </w:rPr>
        <w:t>Article 4(1), point (</w:t>
      </w:r>
      <w:r w:rsidR="00230E8D">
        <w:rPr>
          <w:noProof/>
        </w:rPr>
        <w:t>a</w:t>
      </w:r>
      <w:r w:rsidR="00230E8D" w:rsidRPr="001A05B3">
        <w:rPr>
          <w:noProof/>
        </w:rPr>
        <w:t>), of Directive 2011/61/EU</w:t>
      </w:r>
      <w:r w:rsidR="003929C6">
        <w:rPr>
          <w:noProof/>
        </w:rPr>
        <w:t xml:space="preserve"> </w:t>
      </w:r>
      <w:r w:rsidR="004E1F86" w:rsidRPr="001A05B3">
        <w:rPr>
          <w:noProof/>
        </w:rPr>
        <w:t xml:space="preserve">supervised under the applicable national law; </w:t>
      </w:r>
    </w:p>
    <w:p w14:paraId="05F5422D" w14:textId="77777777" w:rsidR="004E1F86" w:rsidRPr="001A05B3" w:rsidRDefault="004C6AA3" w:rsidP="004C6AA3">
      <w:pPr>
        <w:pStyle w:val="Point0"/>
        <w:rPr>
          <w:noProof/>
        </w:rPr>
      </w:pPr>
      <w:r w:rsidRPr="004C6AA3">
        <w:rPr>
          <w:noProof/>
        </w:rPr>
        <w:t>(j)</w:t>
      </w:r>
      <w:r w:rsidRPr="004C6AA3">
        <w:rPr>
          <w:noProof/>
        </w:rPr>
        <w:tab/>
      </w:r>
      <w:r w:rsidR="00C57267">
        <w:rPr>
          <w:noProof/>
        </w:rPr>
        <w:t xml:space="preserve">undertakings for collective investment in transferable securities </w:t>
      </w:r>
      <w:r w:rsidR="00770BFD" w:rsidRPr="00C32D3B">
        <w:rPr>
          <w:noProof/>
        </w:rPr>
        <w:t>with</w:t>
      </w:r>
      <w:r w:rsidR="004E1F86" w:rsidRPr="00C32D3B">
        <w:rPr>
          <w:noProof/>
        </w:rPr>
        <w:t>in the meaning of Article</w:t>
      </w:r>
      <w:r w:rsidR="004E1F86" w:rsidRPr="001A05B3">
        <w:rPr>
          <w:noProof/>
        </w:rPr>
        <w:t xml:space="preserve"> 1(2) of Directive 2009/65/EC; </w:t>
      </w:r>
    </w:p>
    <w:p w14:paraId="05F5422E" w14:textId="77777777" w:rsidR="004E1F86" w:rsidRPr="001A05B3" w:rsidRDefault="004C6AA3" w:rsidP="004C6AA3">
      <w:pPr>
        <w:pStyle w:val="Point0"/>
        <w:rPr>
          <w:noProof/>
        </w:rPr>
      </w:pPr>
      <w:r w:rsidRPr="004C6AA3">
        <w:rPr>
          <w:noProof/>
        </w:rPr>
        <w:t>(k)</w:t>
      </w:r>
      <w:r w:rsidRPr="004C6AA3">
        <w:rPr>
          <w:noProof/>
        </w:rPr>
        <w:tab/>
      </w:r>
      <w:r w:rsidR="00482965">
        <w:rPr>
          <w:noProof/>
        </w:rPr>
        <w:t>‘</w:t>
      </w:r>
      <w:r w:rsidR="004E1F86" w:rsidRPr="001A05B3">
        <w:rPr>
          <w:noProof/>
        </w:rPr>
        <w:t>central counterparty</w:t>
      </w:r>
      <w:r w:rsidR="00482965">
        <w:rPr>
          <w:noProof/>
        </w:rPr>
        <w:t>’</w:t>
      </w:r>
      <w:r w:rsidR="004E1F86" w:rsidRPr="001A05B3">
        <w:rPr>
          <w:noProof/>
        </w:rPr>
        <w:t xml:space="preserve"> as defined in Article 2, point </w:t>
      </w:r>
      <w:r w:rsidR="00184F50">
        <w:rPr>
          <w:noProof/>
        </w:rPr>
        <w:t>(</w:t>
      </w:r>
      <w:r w:rsidR="004E1F86" w:rsidRPr="001A05B3">
        <w:rPr>
          <w:noProof/>
        </w:rPr>
        <w:t>1</w:t>
      </w:r>
      <w:r w:rsidR="00184F50">
        <w:rPr>
          <w:noProof/>
        </w:rPr>
        <w:t>)</w:t>
      </w:r>
      <w:r w:rsidR="004E1F86" w:rsidRPr="001A05B3">
        <w:rPr>
          <w:noProof/>
        </w:rPr>
        <w:t>, of Regulation (EU) No 648/2012 of the European Parliament and of the Council</w:t>
      </w:r>
      <w:r w:rsidR="004E1F86" w:rsidRPr="008640C6">
        <w:rPr>
          <w:rStyle w:val="FootnoteReference"/>
          <w:noProof/>
        </w:rPr>
        <w:footnoteReference w:id="28"/>
      </w:r>
      <w:r w:rsidR="004E1F86" w:rsidRPr="001A05B3">
        <w:rPr>
          <w:noProof/>
        </w:rPr>
        <w:t xml:space="preserve">; </w:t>
      </w:r>
    </w:p>
    <w:p w14:paraId="05F5422F" w14:textId="77777777" w:rsidR="004E1F86" w:rsidRPr="001A05B3" w:rsidRDefault="004C6AA3" w:rsidP="004C6AA3">
      <w:pPr>
        <w:pStyle w:val="Point0"/>
        <w:rPr>
          <w:noProof/>
        </w:rPr>
      </w:pPr>
      <w:r w:rsidRPr="004C6AA3">
        <w:rPr>
          <w:noProof/>
        </w:rPr>
        <w:t>(l)</w:t>
      </w:r>
      <w:r w:rsidRPr="004C6AA3">
        <w:rPr>
          <w:noProof/>
        </w:rPr>
        <w:tab/>
      </w:r>
      <w:r w:rsidR="00482965">
        <w:rPr>
          <w:noProof/>
        </w:rPr>
        <w:t>‘</w:t>
      </w:r>
      <w:r w:rsidR="004E1F86" w:rsidRPr="001A05B3">
        <w:rPr>
          <w:noProof/>
        </w:rPr>
        <w:t>central securities depository</w:t>
      </w:r>
      <w:r w:rsidR="00482965">
        <w:rPr>
          <w:noProof/>
        </w:rPr>
        <w:t>’</w:t>
      </w:r>
      <w:r w:rsidR="004E1F86" w:rsidRPr="001A05B3">
        <w:rPr>
          <w:noProof/>
        </w:rPr>
        <w:t xml:space="preserve"> as defined in Article 2(1), point </w:t>
      </w:r>
      <w:r w:rsidR="00184F50">
        <w:rPr>
          <w:noProof/>
        </w:rPr>
        <w:t>(</w:t>
      </w:r>
      <w:r w:rsidR="004E1F86" w:rsidRPr="001A05B3">
        <w:rPr>
          <w:noProof/>
        </w:rPr>
        <w:t>1</w:t>
      </w:r>
      <w:r w:rsidR="00184F50">
        <w:rPr>
          <w:noProof/>
        </w:rPr>
        <w:t>)</w:t>
      </w:r>
      <w:r w:rsidR="004E1F86" w:rsidRPr="001A05B3">
        <w:rPr>
          <w:noProof/>
        </w:rPr>
        <w:t>, of Regulation (EU) No 909/2014 of the European Parliament and of the Council</w:t>
      </w:r>
      <w:r w:rsidR="004E1F86" w:rsidRPr="008640C6">
        <w:rPr>
          <w:rStyle w:val="FootnoteReference"/>
          <w:noProof/>
        </w:rPr>
        <w:footnoteReference w:id="29"/>
      </w:r>
      <w:r w:rsidR="004E1F86" w:rsidRPr="001A05B3">
        <w:rPr>
          <w:noProof/>
        </w:rPr>
        <w:t xml:space="preserve">; </w:t>
      </w:r>
    </w:p>
    <w:p w14:paraId="05F54230" w14:textId="77777777" w:rsidR="004E1F86" w:rsidRPr="001A05B3" w:rsidRDefault="004C6AA3" w:rsidP="004C6AA3">
      <w:pPr>
        <w:pStyle w:val="Point0"/>
        <w:rPr>
          <w:noProof/>
        </w:rPr>
      </w:pPr>
      <w:r w:rsidRPr="004C6AA3">
        <w:rPr>
          <w:noProof/>
        </w:rPr>
        <w:t>(m)</w:t>
      </w:r>
      <w:r w:rsidRPr="004C6AA3">
        <w:rPr>
          <w:noProof/>
        </w:rPr>
        <w:tab/>
      </w:r>
      <w:r w:rsidR="002A2E50">
        <w:rPr>
          <w:noProof/>
        </w:rPr>
        <w:t xml:space="preserve">a </w:t>
      </w:r>
      <w:r w:rsidR="004E1F86" w:rsidRPr="001A05B3">
        <w:rPr>
          <w:noProof/>
        </w:rPr>
        <w:t>special purpose vehicle authorised in accordance with Article 211 of Directive 2009/138/EC;</w:t>
      </w:r>
    </w:p>
    <w:p w14:paraId="05F54231" w14:textId="77777777" w:rsidR="004E1F86" w:rsidRPr="001A05B3" w:rsidRDefault="004C6AA3" w:rsidP="004C6AA3">
      <w:pPr>
        <w:pStyle w:val="Point0"/>
        <w:rPr>
          <w:noProof/>
        </w:rPr>
      </w:pPr>
      <w:r w:rsidRPr="004C6AA3">
        <w:rPr>
          <w:noProof/>
        </w:rPr>
        <w:t>(n)</w:t>
      </w:r>
      <w:r w:rsidRPr="004C6AA3">
        <w:rPr>
          <w:noProof/>
        </w:rPr>
        <w:tab/>
      </w:r>
      <w:r w:rsidR="004E1F86" w:rsidRPr="001A05B3">
        <w:rPr>
          <w:noProof/>
        </w:rPr>
        <w:t xml:space="preserve">‘securitisation special purpose entity’ as defined in Article 2, point </w:t>
      </w:r>
      <w:r w:rsidR="00184F50">
        <w:rPr>
          <w:noProof/>
        </w:rPr>
        <w:t>(</w:t>
      </w:r>
      <w:r w:rsidR="004E1F86" w:rsidRPr="001A05B3">
        <w:rPr>
          <w:noProof/>
        </w:rPr>
        <w:t>2</w:t>
      </w:r>
      <w:r w:rsidR="00184F50">
        <w:rPr>
          <w:noProof/>
        </w:rPr>
        <w:t>)</w:t>
      </w:r>
      <w:r w:rsidR="004E1F86" w:rsidRPr="001A05B3">
        <w:rPr>
          <w:noProof/>
        </w:rPr>
        <w:t>, of Regulation (EU) No 2017/2402 of the European Parliament and of the Council</w:t>
      </w:r>
      <w:r w:rsidR="004E1F86" w:rsidRPr="008640C6">
        <w:rPr>
          <w:rStyle w:val="FootnoteReference"/>
          <w:noProof/>
        </w:rPr>
        <w:footnoteReference w:id="30"/>
      </w:r>
      <w:r w:rsidR="004E1F86" w:rsidRPr="001A05B3">
        <w:rPr>
          <w:noProof/>
        </w:rPr>
        <w:t xml:space="preserve">; </w:t>
      </w:r>
    </w:p>
    <w:p w14:paraId="05F54232" w14:textId="77777777" w:rsidR="004E1F86" w:rsidRPr="001A05B3" w:rsidRDefault="004C6AA3" w:rsidP="004C6AA3">
      <w:pPr>
        <w:pStyle w:val="Point0"/>
        <w:rPr>
          <w:noProof/>
        </w:rPr>
      </w:pPr>
      <w:r w:rsidRPr="004C6AA3">
        <w:rPr>
          <w:noProof/>
        </w:rPr>
        <w:t>(o)</w:t>
      </w:r>
      <w:r w:rsidRPr="004C6AA3">
        <w:rPr>
          <w:noProof/>
        </w:rPr>
        <w:tab/>
      </w:r>
      <w:r w:rsidR="00482965">
        <w:rPr>
          <w:noProof/>
        </w:rPr>
        <w:t>‘</w:t>
      </w:r>
      <w:r w:rsidR="004E1F86" w:rsidRPr="001A05B3">
        <w:rPr>
          <w:noProof/>
        </w:rPr>
        <w:t>insurance holding company</w:t>
      </w:r>
      <w:r w:rsidR="00482965">
        <w:rPr>
          <w:noProof/>
        </w:rPr>
        <w:t>’</w:t>
      </w:r>
      <w:r w:rsidR="004E1F86" w:rsidRPr="001A05B3">
        <w:rPr>
          <w:noProof/>
        </w:rPr>
        <w:t xml:space="preserve"> as defined in Article 212(1), point (f), of Directive 2009/138/EC or </w:t>
      </w:r>
      <w:r w:rsidR="00482965">
        <w:rPr>
          <w:noProof/>
        </w:rPr>
        <w:t>‘</w:t>
      </w:r>
      <w:r w:rsidR="004E1F86" w:rsidRPr="001A05B3">
        <w:rPr>
          <w:noProof/>
        </w:rPr>
        <w:t>mixed financial holding company</w:t>
      </w:r>
      <w:r w:rsidR="00482965">
        <w:rPr>
          <w:noProof/>
        </w:rPr>
        <w:t>’</w:t>
      </w:r>
      <w:r w:rsidR="004E1F86" w:rsidRPr="001A05B3">
        <w:rPr>
          <w:noProof/>
        </w:rPr>
        <w:t xml:space="preserve"> as defined in Article 212(1), point (h), of Directive 2009/138/EC, which is part of an insurance group that is subject to supervision at the level of the group pursuant to Article 213 of that Directive and which is not </w:t>
      </w:r>
      <w:r w:rsidR="00495928">
        <w:rPr>
          <w:noProof/>
        </w:rPr>
        <w:t>excluded</w:t>
      </w:r>
      <w:r w:rsidR="004E1F86" w:rsidRPr="001A05B3">
        <w:rPr>
          <w:noProof/>
        </w:rPr>
        <w:t xml:space="preserve"> from group supervision pursuant to Article 214(2) of Directive 2009/138/EC; </w:t>
      </w:r>
    </w:p>
    <w:p w14:paraId="05F54233" w14:textId="77777777" w:rsidR="004E1F86" w:rsidRPr="001A05B3" w:rsidRDefault="004C6AA3" w:rsidP="004C6AA3">
      <w:pPr>
        <w:pStyle w:val="Point0"/>
        <w:rPr>
          <w:noProof/>
        </w:rPr>
      </w:pPr>
      <w:r w:rsidRPr="004C6AA3">
        <w:rPr>
          <w:noProof/>
        </w:rPr>
        <w:t>(p)</w:t>
      </w:r>
      <w:r w:rsidRPr="004C6AA3">
        <w:rPr>
          <w:noProof/>
        </w:rPr>
        <w:tab/>
      </w:r>
      <w:r w:rsidR="00482965">
        <w:rPr>
          <w:noProof/>
        </w:rPr>
        <w:t>‘</w:t>
      </w:r>
      <w:r w:rsidR="004E1F86" w:rsidRPr="001A05B3">
        <w:rPr>
          <w:noProof/>
        </w:rPr>
        <w:t>payment institution</w:t>
      </w:r>
      <w:r w:rsidR="00482965">
        <w:rPr>
          <w:noProof/>
        </w:rPr>
        <w:t>’</w:t>
      </w:r>
      <w:r w:rsidR="004E1F86" w:rsidRPr="001A05B3">
        <w:rPr>
          <w:noProof/>
        </w:rPr>
        <w:t xml:space="preserve"> as defined in Article </w:t>
      </w:r>
      <w:r w:rsidR="002A2E50">
        <w:rPr>
          <w:noProof/>
        </w:rPr>
        <w:t>4</w:t>
      </w:r>
      <w:r w:rsidR="00184F50">
        <w:rPr>
          <w:noProof/>
        </w:rPr>
        <w:t>, point (4),</w:t>
      </w:r>
      <w:r w:rsidR="004E1F86" w:rsidRPr="001A05B3">
        <w:rPr>
          <w:noProof/>
        </w:rPr>
        <w:t xml:space="preserve"> of Directive (EU) 2015/2366 of the European Parliament and of the Council</w:t>
      </w:r>
      <w:r w:rsidR="004E1F86" w:rsidRPr="008640C6">
        <w:rPr>
          <w:rStyle w:val="FootnoteReference"/>
          <w:noProof/>
        </w:rPr>
        <w:footnoteReference w:id="31"/>
      </w:r>
      <w:r w:rsidR="004E1F86" w:rsidRPr="001A05B3">
        <w:rPr>
          <w:noProof/>
        </w:rPr>
        <w:t xml:space="preserve">; </w:t>
      </w:r>
    </w:p>
    <w:p w14:paraId="05F54234" w14:textId="77777777" w:rsidR="004E1F86" w:rsidRPr="001A05B3" w:rsidRDefault="004C6AA3" w:rsidP="004C6AA3">
      <w:pPr>
        <w:pStyle w:val="Point0"/>
        <w:rPr>
          <w:noProof/>
        </w:rPr>
      </w:pPr>
      <w:r w:rsidRPr="004C6AA3">
        <w:rPr>
          <w:noProof/>
        </w:rPr>
        <w:t>(q)</w:t>
      </w:r>
      <w:r w:rsidRPr="004C6AA3">
        <w:rPr>
          <w:noProof/>
        </w:rPr>
        <w:tab/>
      </w:r>
      <w:r w:rsidR="00482965">
        <w:rPr>
          <w:noProof/>
        </w:rPr>
        <w:t>‘</w:t>
      </w:r>
      <w:r w:rsidR="004E1F86" w:rsidRPr="001A05B3">
        <w:rPr>
          <w:noProof/>
        </w:rPr>
        <w:t>electronic money institution</w:t>
      </w:r>
      <w:r w:rsidR="00482965">
        <w:rPr>
          <w:noProof/>
        </w:rPr>
        <w:t>’</w:t>
      </w:r>
      <w:r w:rsidR="004E1F86" w:rsidRPr="001A05B3">
        <w:rPr>
          <w:noProof/>
        </w:rPr>
        <w:t xml:space="preserve"> as defined in Article 2</w:t>
      </w:r>
      <w:r w:rsidR="00770BFD">
        <w:rPr>
          <w:noProof/>
        </w:rPr>
        <w:t>,</w:t>
      </w:r>
      <w:r w:rsidR="00770BFD" w:rsidRPr="00770BFD">
        <w:rPr>
          <w:noProof/>
        </w:rPr>
        <w:t xml:space="preserve"> </w:t>
      </w:r>
      <w:r w:rsidR="00770BFD" w:rsidRPr="001A05B3">
        <w:rPr>
          <w:noProof/>
        </w:rPr>
        <w:t xml:space="preserve">point </w:t>
      </w:r>
      <w:r w:rsidR="00184F50">
        <w:rPr>
          <w:noProof/>
        </w:rPr>
        <w:t>(</w:t>
      </w:r>
      <w:r w:rsidR="00770BFD" w:rsidRPr="001A05B3">
        <w:rPr>
          <w:noProof/>
        </w:rPr>
        <w:t>1</w:t>
      </w:r>
      <w:r w:rsidR="00184F50">
        <w:rPr>
          <w:noProof/>
        </w:rPr>
        <w:t>)</w:t>
      </w:r>
      <w:r w:rsidR="00770BFD">
        <w:rPr>
          <w:noProof/>
        </w:rPr>
        <w:t>,</w:t>
      </w:r>
      <w:r w:rsidR="004E1F86" w:rsidRPr="001A05B3">
        <w:rPr>
          <w:noProof/>
        </w:rPr>
        <w:t xml:space="preserve"> of Directive 2009/110/EC of the European Parliament and of the Council</w:t>
      </w:r>
      <w:r w:rsidR="004E1F86" w:rsidRPr="008640C6">
        <w:rPr>
          <w:rStyle w:val="FootnoteReference"/>
          <w:noProof/>
        </w:rPr>
        <w:footnoteReference w:id="32"/>
      </w:r>
      <w:r w:rsidR="004E1F86" w:rsidRPr="001A05B3">
        <w:rPr>
          <w:noProof/>
        </w:rPr>
        <w:t xml:space="preserve">; </w:t>
      </w:r>
    </w:p>
    <w:p w14:paraId="05F54235" w14:textId="77777777" w:rsidR="004E1F86" w:rsidRPr="001A05B3" w:rsidRDefault="004C6AA3" w:rsidP="004C6AA3">
      <w:pPr>
        <w:pStyle w:val="Point0"/>
        <w:rPr>
          <w:noProof/>
        </w:rPr>
      </w:pPr>
      <w:r w:rsidRPr="004C6AA3">
        <w:rPr>
          <w:noProof/>
        </w:rPr>
        <w:t>(r)</w:t>
      </w:r>
      <w:r w:rsidRPr="004C6AA3">
        <w:rPr>
          <w:noProof/>
        </w:rPr>
        <w:tab/>
      </w:r>
      <w:r w:rsidR="00482965">
        <w:rPr>
          <w:noProof/>
        </w:rPr>
        <w:t>‘</w:t>
      </w:r>
      <w:r w:rsidR="004E1F86" w:rsidRPr="001A05B3">
        <w:rPr>
          <w:noProof/>
        </w:rPr>
        <w:t>crowdfunding service provider</w:t>
      </w:r>
      <w:r w:rsidR="00482965">
        <w:rPr>
          <w:noProof/>
        </w:rPr>
        <w:t>’</w:t>
      </w:r>
      <w:r w:rsidR="004E1F86" w:rsidRPr="001A05B3">
        <w:rPr>
          <w:noProof/>
        </w:rPr>
        <w:t xml:space="preserve"> as defined in Article 2(1)</w:t>
      </w:r>
      <w:r w:rsidR="00770BFD">
        <w:rPr>
          <w:noProof/>
        </w:rPr>
        <w:t xml:space="preserve">, </w:t>
      </w:r>
      <w:r w:rsidR="00770BFD" w:rsidRPr="001A05B3">
        <w:rPr>
          <w:noProof/>
        </w:rPr>
        <w:t>point (e)</w:t>
      </w:r>
      <w:r w:rsidR="00770BFD">
        <w:rPr>
          <w:noProof/>
        </w:rPr>
        <w:t>,</w:t>
      </w:r>
      <w:r w:rsidR="004E1F86" w:rsidRPr="001A05B3">
        <w:rPr>
          <w:noProof/>
        </w:rPr>
        <w:t xml:space="preserve"> of Regulation (EU) 2020/1503 of the European Parliament and of the Council</w:t>
      </w:r>
      <w:r w:rsidR="004E1F86" w:rsidRPr="008640C6">
        <w:rPr>
          <w:rStyle w:val="FootnoteReference"/>
          <w:noProof/>
        </w:rPr>
        <w:footnoteReference w:id="33"/>
      </w:r>
      <w:r w:rsidR="004E1F86" w:rsidRPr="001A05B3">
        <w:rPr>
          <w:noProof/>
        </w:rPr>
        <w:t xml:space="preserve">; </w:t>
      </w:r>
    </w:p>
    <w:p w14:paraId="05F54236" w14:textId="77777777" w:rsidR="004E1F86" w:rsidRPr="001A05B3" w:rsidRDefault="004C6AA3" w:rsidP="004C6AA3">
      <w:pPr>
        <w:pStyle w:val="Point0"/>
        <w:rPr>
          <w:noProof/>
        </w:rPr>
      </w:pPr>
      <w:r w:rsidRPr="004C6AA3">
        <w:rPr>
          <w:noProof/>
        </w:rPr>
        <w:t>(s)</w:t>
      </w:r>
      <w:r w:rsidRPr="004C6AA3">
        <w:rPr>
          <w:noProof/>
        </w:rPr>
        <w:tab/>
      </w:r>
      <w:r w:rsidR="00482965">
        <w:rPr>
          <w:noProof/>
        </w:rPr>
        <w:t>‘</w:t>
      </w:r>
      <w:r w:rsidR="004E1F86" w:rsidRPr="001A05B3">
        <w:rPr>
          <w:noProof/>
        </w:rPr>
        <w:t>crypto-asset service provider</w:t>
      </w:r>
      <w:r w:rsidR="00482965">
        <w:rPr>
          <w:noProof/>
        </w:rPr>
        <w:t>’</w:t>
      </w:r>
      <w:r w:rsidR="004E1F86" w:rsidRPr="001A05B3">
        <w:rPr>
          <w:noProof/>
        </w:rPr>
        <w:t xml:space="preserve"> as defined in Article 3(1), point (8), of Regulation </w:t>
      </w:r>
      <w:r w:rsidR="00770BFD">
        <w:rPr>
          <w:noProof/>
        </w:rPr>
        <w:t xml:space="preserve">…/… </w:t>
      </w:r>
      <w:r w:rsidR="004E1F86" w:rsidRPr="001A05B3">
        <w:rPr>
          <w:noProof/>
        </w:rPr>
        <w:t>of the European Parliament and of the Council</w:t>
      </w:r>
      <w:r w:rsidR="004E1F86" w:rsidRPr="008640C6">
        <w:rPr>
          <w:rStyle w:val="FootnoteReference"/>
          <w:noProof/>
        </w:rPr>
        <w:footnoteReference w:id="34"/>
      </w:r>
      <w:r w:rsidR="004E1F86" w:rsidRPr="001A05B3">
        <w:rPr>
          <w:noProof/>
        </w:rPr>
        <w:t xml:space="preserve"> </w:t>
      </w:r>
    </w:p>
    <w:p w14:paraId="05F54237" w14:textId="77777777" w:rsidR="009F4FE5" w:rsidRPr="001A05B3" w:rsidRDefault="009F4FE5" w:rsidP="00CE2021">
      <w:pPr>
        <w:pStyle w:val="Titrearticle"/>
        <w:rPr>
          <w:noProof/>
        </w:rPr>
      </w:pPr>
      <w:r w:rsidRPr="001A05B3">
        <w:rPr>
          <w:noProof/>
        </w:rPr>
        <w:t>Article 3</w:t>
      </w:r>
      <w:r w:rsidRPr="003929C6">
        <w:rPr>
          <w:b/>
          <w:noProof/>
        </w:rPr>
        <w:br/>
        <w:t>Definitions</w:t>
      </w:r>
    </w:p>
    <w:p w14:paraId="05F54238" w14:textId="77777777" w:rsidR="009F4FE5" w:rsidRPr="001A05B3" w:rsidRDefault="009F4FE5" w:rsidP="00F70716">
      <w:pPr>
        <w:rPr>
          <w:noProof/>
        </w:rPr>
      </w:pPr>
      <w:r w:rsidRPr="001A05B3">
        <w:rPr>
          <w:noProof/>
        </w:rPr>
        <w:t>For the purposes of this Directive, the following definitions shall apply:</w:t>
      </w:r>
    </w:p>
    <w:p w14:paraId="05F54239" w14:textId="77777777" w:rsidR="004E1F86" w:rsidRPr="001A05B3" w:rsidRDefault="004C6AA3" w:rsidP="004C6AA3">
      <w:pPr>
        <w:pStyle w:val="Point0"/>
        <w:rPr>
          <w:noProof/>
        </w:rPr>
      </w:pPr>
      <w:r w:rsidRPr="004C6AA3">
        <w:rPr>
          <w:noProof/>
        </w:rPr>
        <w:t>(1)</w:t>
      </w:r>
      <w:r w:rsidRPr="004C6AA3">
        <w:rPr>
          <w:noProof/>
        </w:rPr>
        <w:tab/>
      </w:r>
      <w:r w:rsidR="004E1F86" w:rsidRPr="001A05B3">
        <w:rPr>
          <w:rStyle w:val="msoins0"/>
          <w:noProof/>
        </w:rPr>
        <w:t>‘associated enterprise’ means a person</w:t>
      </w:r>
      <w:r w:rsidR="00814A18">
        <w:rPr>
          <w:rStyle w:val="msoins0"/>
          <w:noProof/>
        </w:rPr>
        <w:t xml:space="preserve"> </w:t>
      </w:r>
      <w:r w:rsidR="004E1F86" w:rsidRPr="001A05B3">
        <w:rPr>
          <w:rStyle w:val="msoins0"/>
          <w:noProof/>
        </w:rPr>
        <w:t>who is</w:t>
      </w:r>
      <w:r w:rsidR="00814A18">
        <w:rPr>
          <w:rStyle w:val="msoins0"/>
          <w:noProof/>
        </w:rPr>
        <w:t xml:space="preserve"> </w:t>
      </w:r>
      <w:r w:rsidR="004E1F86" w:rsidRPr="001A05B3">
        <w:rPr>
          <w:rStyle w:val="msoins0"/>
          <w:noProof/>
        </w:rPr>
        <w:t>related to another person in any of the following ways:</w:t>
      </w:r>
    </w:p>
    <w:p w14:paraId="05F5423A" w14:textId="77777777" w:rsidR="004E1F86" w:rsidRPr="001A05B3" w:rsidRDefault="004C6AA3" w:rsidP="004C6AA3">
      <w:pPr>
        <w:pStyle w:val="Point1"/>
        <w:rPr>
          <w:noProof/>
        </w:rPr>
      </w:pPr>
      <w:r w:rsidRPr="004C6AA3">
        <w:rPr>
          <w:noProof/>
        </w:rPr>
        <w:t>(a)</w:t>
      </w:r>
      <w:r w:rsidRPr="004C6AA3">
        <w:rPr>
          <w:noProof/>
        </w:rPr>
        <w:tab/>
      </w:r>
      <w:r w:rsidR="001E74A1">
        <w:rPr>
          <w:rStyle w:val="msoins0"/>
          <w:noProof/>
        </w:rPr>
        <w:t>the</w:t>
      </w:r>
      <w:r w:rsidR="001E74A1" w:rsidRPr="001A05B3">
        <w:rPr>
          <w:rStyle w:val="msoins0"/>
          <w:noProof/>
        </w:rPr>
        <w:t xml:space="preserve"> </w:t>
      </w:r>
      <w:r w:rsidR="004E1F86" w:rsidRPr="001A05B3">
        <w:rPr>
          <w:rStyle w:val="msoins0"/>
          <w:noProof/>
        </w:rPr>
        <w:t>person participates in the management of</w:t>
      </w:r>
      <w:r w:rsidR="001E74A1">
        <w:rPr>
          <w:rStyle w:val="msoins0"/>
          <w:noProof/>
        </w:rPr>
        <w:t xml:space="preserve"> the </w:t>
      </w:r>
      <w:r w:rsidR="001E74A1" w:rsidRPr="001A05B3">
        <w:rPr>
          <w:rStyle w:val="msoins0"/>
          <w:noProof/>
        </w:rPr>
        <w:t xml:space="preserve">other </w:t>
      </w:r>
      <w:r w:rsidR="004E1F86" w:rsidRPr="001A05B3">
        <w:rPr>
          <w:rStyle w:val="msoins0"/>
          <w:noProof/>
        </w:rPr>
        <w:t>person by being in a position to exercise a significant influence over the other person;</w:t>
      </w:r>
    </w:p>
    <w:p w14:paraId="05F5423B" w14:textId="77777777" w:rsidR="004E1F86" w:rsidRPr="001A05B3" w:rsidRDefault="004C6AA3" w:rsidP="004C6AA3">
      <w:pPr>
        <w:pStyle w:val="Point1"/>
        <w:rPr>
          <w:noProof/>
        </w:rPr>
      </w:pPr>
      <w:r w:rsidRPr="004C6AA3">
        <w:rPr>
          <w:noProof/>
        </w:rPr>
        <w:t>(b)</w:t>
      </w:r>
      <w:r w:rsidRPr="004C6AA3">
        <w:rPr>
          <w:noProof/>
        </w:rPr>
        <w:tab/>
      </w:r>
      <w:r w:rsidR="001E74A1">
        <w:rPr>
          <w:rStyle w:val="msoins0"/>
          <w:noProof/>
        </w:rPr>
        <w:t>the</w:t>
      </w:r>
      <w:r w:rsidR="001E74A1" w:rsidRPr="001A05B3">
        <w:rPr>
          <w:rStyle w:val="msoins0"/>
          <w:noProof/>
        </w:rPr>
        <w:t xml:space="preserve"> </w:t>
      </w:r>
      <w:r w:rsidR="004E1F86" w:rsidRPr="001A05B3">
        <w:rPr>
          <w:rStyle w:val="msoins0"/>
          <w:noProof/>
        </w:rPr>
        <w:t xml:space="preserve">person participates in the control of </w:t>
      </w:r>
      <w:r w:rsidR="001E74A1">
        <w:rPr>
          <w:rStyle w:val="msoins0"/>
          <w:noProof/>
        </w:rPr>
        <w:t xml:space="preserve">the </w:t>
      </w:r>
      <w:r w:rsidR="001E74A1" w:rsidRPr="001A05B3">
        <w:rPr>
          <w:rStyle w:val="msoins0"/>
          <w:noProof/>
        </w:rPr>
        <w:t xml:space="preserve">other </w:t>
      </w:r>
      <w:r w:rsidR="004E1F86" w:rsidRPr="001A05B3">
        <w:rPr>
          <w:rStyle w:val="msoins0"/>
          <w:noProof/>
        </w:rPr>
        <w:t>person through a holding that exceeds 25 % of the voting rights;</w:t>
      </w:r>
    </w:p>
    <w:p w14:paraId="05F5423C" w14:textId="77777777" w:rsidR="004E1F86" w:rsidRPr="001A05B3" w:rsidRDefault="004C6AA3" w:rsidP="004C6AA3">
      <w:pPr>
        <w:pStyle w:val="Point1"/>
        <w:rPr>
          <w:noProof/>
        </w:rPr>
      </w:pPr>
      <w:r w:rsidRPr="004C6AA3">
        <w:rPr>
          <w:noProof/>
        </w:rPr>
        <w:t>(c)</w:t>
      </w:r>
      <w:r w:rsidRPr="004C6AA3">
        <w:rPr>
          <w:noProof/>
        </w:rPr>
        <w:tab/>
      </w:r>
      <w:r w:rsidR="001E74A1">
        <w:rPr>
          <w:rStyle w:val="msoins0"/>
          <w:noProof/>
        </w:rPr>
        <w:t>the</w:t>
      </w:r>
      <w:r w:rsidR="004E1F86" w:rsidRPr="001A05B3">
        <w:rPr>
          <w:rStyle w:val="msoins0"/>
          <w:noProof/>
        </w:rPr>
        <w:t xml:space="preserve"> person participates in the capital of </w:t>
      </w:r>
      <w:r w:rsidR="001E74A1">
        <w:rPr>
          <w:rStyle w:val="msoins0"/>
          <w:noProof/>
        </w:rPr>
        <w:t xml:space="preserve">the </w:t>
      </w:r>
      <w:r w:rsidR="001E74A1" w:rsidRPr="001A05B3">
        <w:rPr>
          <w:rStyle w:val="msoins0"/>
          <w:noProof/>
        </w:rPr>
        <w:t xml:space="preserve">other </w:t>
      </w:r>
      <w:r w:rsidR="004E1F86" w:rsidRPr="001A05B3">
        <w:rPr>
          <w:rStyle w:val="msoins0"/>
          <w:noProof/>
        </w:rPr>
        <w:t>person through a right of ownership that, directly or indirectly, exceeds 25 % of the subscribed capital;</w:t>
      </w:r>
    </w:p>
    <w:p w14:paraId="05F5423D" w14:textId="77777777" w:rsidR="004E1F86" w:rsidRPr="001A05B3" w:rsidRDefault="004C6AA3" w:rsidP="004C6AA3">
      <w:pPr>
        <w:pStyle w:val="Point1"/>
        <w:rPr>
          <w:noProof/>
        </w:rPr>
      </w:pPr>
      <w:r w:rsidRPr="004C6AA3">
        <w:rPr>
          <w:noProof/>
        </w:rPr>
        <w:t>(d)</w:t>
      </w:r>
      <w:r w:rsidRPr="004C6AA3">
        <w:rPr>
          <w:noProof/>
        </w:rPr>
        <w:tab/>
      </w:r>
      <w:r w:rsidR="001E74A1">
        <w:rPr>
          <w:rStyle w:val="msoins0"/>
          <w:noProof/>
        </w:rPr>
        <w:t>the</w:t>
      </w:r>
      <w:r w:rsidR="001E74A1" w:rsidRPr="001A05B3">
        <w:rPr>
          <w:rStyle w:val="msoins0"/>
          <w:noProof/>
        </w:rPr>
        <w:t xml:space="preserve"> </w:t>
      </w:r>
      <w:r w:rsidR="004E1F86" w:rsidRPr="001A05B3">
        <w:rPr>
          <w:rStyle w:val="msoins0"/>
          <w:noProof/>
        </w:rPr>
        <w:t xml:space="preserve">person is entitled to 25 % or more of the profits of </w:t>
      </w:r>
      <w:r w:rsidR="001E74A1">
        <w:rPr>
          <w:rStyle w:val="msoins0"/>
          <w:noProof/>
        </w:rPr>
        <w:t xml:space="preserve">the </w:t>
      </w:r>
      <w:r w:rsidR="001E74A1" w:rsidRPr="001A05B3">
        <w:rPr>
          <w:rStyle w:val="msoins0"/>
          <w:noProof/>
        </w:rPr>
        <w:t xml:space="preserve">other </w:t>
      </w:r>
      <w:r w:rsidR="004E1F86" w:rsidRPr="001A05B3">
        <w:rPr>
          <w:rStyle w:val="msoins0"/>
          <w:noProof/>
        </w:rPr>
        <w:t>person.</w:t>
      </w:r>
    </w:p>
    <w:p w14:paraId="05F5423E" w14:textId="77777777" w:rsidR="004E1F86" w:rsidRPr="001A05B3" w:rsidRDefault="004E1F86" w:rsidP="00E30479">
      <w:pPr>
        <w:pStyle w:val="Text1"/>
        <w:rPr>
          <w:noProof/>
        </w:rPr>
      </w:pPr>
      <w:r w:rsidRPr="001A05B3">
        <w:rPr>
          <w:rStyle w:val="msoins0"/>
          <w:noProof/>
          <w:szCs w:val="24"/>
        </w:rPr>
        <w:t>If more than one person participates</w:t>
      </w:r>
      <w:r w:rsidRPr="001A05B3">
        <w:rPr>
          <w:rStyle w:val="msodel0"/>
          <w:noProof/>
          <w:szCs w:val="24"/>
        </w:rPr>
        <w:t xml:space="preserve"> </w:t>
      </w:r>
      <w:r w:rsidRPr="001A05B3">
        <w:rPr>
          <w:rStyle w:val="msoins0"/>
          <w:noProof/>
          <w:szCs w:val="24"/>
        </w:rPr>
        <w:t xml:space="preserve">in the management, control, capital or </w:t>
      </w:r>
      <w:r w:rsidRPr="001A05B3">
        <w:rPr>
          <w:noProof/>
        </w:rPr>
        <w:t xml:space="preserve">profits of the same person, as referred to in </w:t>
      </w:r>
      <w:r w:rsidRPr="00E15A20">
        <w:rPr>
          <w:noProof/>
        </w:rPr>
        <w:t xml:space="preserve">paragraph </w:t>
      </w:r>
      <w:r w:rsidRPr="006D1F67">
        <w:rPr>
          <w:noProof/>
        </w:rPr>
        <w:t>1</w:t>
      </w:r>
      <w:r w:rsidRPr="00E15A20">
        <w:rPr>
          <w:noProof/>
        </w:rPr>
        <w:t>,</w:t>
      </w:r>
      <w:r w:rsidRPr="001A05B3">
        <w:rPr>
          <w:noProof/>
        </w:rPr>
        <w:t xml:space="preserve"> all persons concerned shall be regarded</w:t>
      </w:r>
      <w:r w:rsidRPr="001A05B3">
        <w:rPr>
          <w:rStyle w:val="msoins0"/>
          <w:noProof/>
          <w:szCs w:val="24"/>
        </w:rPr>
        <w:t xml:space="preserve"> as associated enterprises.</w:t>
      </w:r>
    </w:p>
    <w:p w14:paraId="05F5423F" w14:textId="77777777" w:rsidR="00E30479" w:rsidRPr="001A05B3" w:rsidRDefault="004E1F86" w:rsidP="00E30479">
      <w:pPr>
        <w:pStyle w:val="Text1"/>
        <w:rPr>
          <w:rStyle w:val="msoins0"/>
          <w:noProof/>
          <w:szCs w:val="24"/>
        </w:rPr>
      </w:pPr>
      <w:r w:rsidRPr="001A05B3">
        <w:rPr>
          <w:rStyle w:val="msoins0"/>
          <w:noProof/>
          <w:szCs w:val="24"/>
        </w:rPr>
        <w:t>If the same persons participate</w:t>
      </w:r>
      <w:r w:rsidRPr="001A05B3">
        <w:rPr>
          <w:rStyle w:val="msodel0"/>
          <w:noProof/>
          <w:szCs w:val="24"/>
        </w:rPr>
        <w:t xml:space="preserve"> </w:t>
      </w:r>
      <w:r w:rsidRPr="001A05B3">
        <w:rPr>
          <w:rStyle w:val="msoins0"/>
          <w:noProof/>
          <w:szCs w:val="24"/>
        </w:rPr>
        <w:t xml:space="preserve">in the management, control, capital or profits of more than one person, as referred to in </w:t>
      </w:r>
      <w:r w:rsidRPr="003929C6">
        <w:rPr>
          <w:rStyle w:val="msoins0"/>
          <w:noProof/>
        </w:rPr>
        <w:t>paragraph 1</w:t>
      </w:r>
      <w:r w:rsidR="00C643F4">
        <w:rPr>
          <w:rStyle w:val="msoins0"/>
          <w:noProof/>
          <w:szCs w:val="24"/>
        </w:rPr>
        <w:t xml:space="preserve"> </w:t>
      </w:r>
      <w:r w:rsidRPr="001A05B3">
        <w:rPr>
          <w:rStyle w:val="msoins0"/>
          <w:noProof/>
          <w:szCs w:val="24"/>
        </w:rPr>
        <w:t>all persons concerned shall be regarded as associated enterprises.</w:t>
      </w:r>
    </w:p>
    <w:p w14:paraId="05F54240" w14:textId="77777777" w:rsidR="003929C6" w:rsidRDefault="004E1F86" w:rsidP="00E30479">
      <w:pPr>
        <w:pStyle w:val="Text1"/>
        <w:rPr>
          <w:rStyle w:val="msoins0"/>
          <w:noProof/>
        </w:rPr>
      </w:pPr>
      <w:r w:rsidRPr="001A05B3">
        <w:rPr>
          <w:rStyle w:val="msoins0"/>
          <w:noProof/>
          <w:szCs w:val="24"/>
        </w:rPr>
        <w:t>For the purposes of this definition</w:t>
      </w:r>
      <w:r w:rsidR="003929C6" w:rsidRPr="001A05B3">
        <w:rPr>
          <w:rStyle w:val="msoins0"/>
          <w:noProof/>
          <w:szCs w:val="24"/>
        </w:rPr>
        <w:t xml:space="preserve"> </w:t>
      </w:r>
      <w:r w:rsidRPr="001A05B3">
        <w:rPr>
          <w:rStyle w:val="msoins0"/>
          <w:noProof/>
          <w:szCs w:val="24"/>
        </w:rPr>
        <w:t xml:space="preserve">, </w:t>
      </w:r>
      <w:r w:rsidR="00482965">
        <w:rPr>
          <w:rStyle w:val="msoins0"/>
          <w:noProof/>
          <w:szCs w:val="24"/>
        </w:rPr>
        <w:t>‘</w:t>
      </w:r>
      <w:r w:rsidRPr="001A05B3">
        <w:rPr>
          <w:rStyle w:val="msoins0"/>
          <w:noProof/>
          <w:szCs w:val="24"/>
        </w:rPr>
        <w:t>person</w:t>
      </w:r>
      <w:r w:rsidR="00482965">
        <w:rPr>
          <w:rStyle w:val="msoins0"/>
          <w:noProof/>
          <w:szCs w:val="24"/>
        </w:rPr>
        <w:t>’</w:t>
      </w:r>
      <w:r w:rsidRPr="001A05B3">
        <w:rPr>
          <w:rStyle w:val="msoins0"/>
          <w:noProof/>
          <w:szCs w:val="24"/>
        </w:rPr>
        <w:t xml:space="preserve"> </w:t>
      </w:r>
      <w:r w:rsidRPr="00C32D3B">
        <w:rPr>
          <w:rStyle w:val="msoins0"/>
          <w:noProof/>
          <w:szCs w:val="24"/>
        </w:rPr>
        <w:t>mean</w:t>
      </w:r>
      <w:r w:rsidR="005902B9" w:rsidRPr="00C32D3B">
        <w:rPr>
          <w:rStyle w:val="msoins0"/>
          <w:noProof/>
          <w:szCs w:val="24"/>
        </w:rPr>
        <w:t>s</w:t>
      </w:r>
      <w:r w:rsidRPr="001A05B3">
        <w:rPr>
          <w:rStyle w:val="msoins0"/>
          <w:noProof/>
          <w:szCs w:val="24"/>
        </w:rPr>
        <w:t xml:space="preserve"> both legal and natural persons</w:t>
      </w:r>
      <w:r w:rsidRPr="003929C6">
        <w:rPr>
          <w:rStyle w:val="msoins0"/>
          <w:noProof/>
        </w:rPr>
        <w:t xml:space="preserve">. </w:t>
      </w:r>
      <w:r w:rsidRPr="003929C6">
        <w:rPr>
          <w:rStyle w:val="msodel0"/>
          <w:noProof/>
        </w:rPr>
        <w:t>A</w:t>
      </w:r>
      <w:r w:rsidRPr="003929C6">
        <w:rPr>
          <w:rStyle w:val="msoins0"/>
          <w:noProof/>
        </w:rPr>
        <w:t xml:space="preserve"> person who acts together with another person in respect of the voting rights or capital ownership of an entity shall be treated as holding a participation in all of the voting rights or capital ownership of that entity that are held by the other person.</w:t>
      </w:r>
    </w:p>
    <w:p w14:paraId="05F54241" w14:textId="77777777" w:rsidR="004E1F86" w:rsidRPr="001A05B3" w:rsidRDefault="004E1F86" w:rsidP="00E30479">
      <w:pPr>
        <w:pStyle w:val="Text1"/>
        <w:rPr>
          <w:noProof/>
        </w:rPr>
      </w:pPr>
      <w:r w:rsidRPr="001A05B3">
        <w:rPr>
          <w:rStyle w:val="msoins0"/>
          <w:noProof/>
          <w:szCs w:val="24"/>
        </w:rPr>
        <w:t>In indirect participations, the fulfilment of the criteria set out in</w:t>
      </w:r>
      <w:r w:rsidRPr="001A05B3">
        <w:rPr>
          <w:rStyle w:val="msodel0"/>
          <w:noProof/>
          <w:szCs w:val="24"/>
        </w:rPr>
        <w:t xml:space="preserve"> </w:t>
      </w:r>
      <w:r w:rsidRPr="001A05B3">
        <w:rPr>
          <w:rStyle w:val="msoins0"/>
          <w:noProof/>
          <w:szCs w:val="24"/>
        </w:rPr>
        <w:t>point (c) of paragraph 1 shall be determined by multiplying the rates of holding through the successive tiers. A person holding more than 50 % of the voting rights shall be deemed to hold 100 %.</w:t>
      </w:r>
    </w:p>
    <w:p w14:paraId="05F54242" w14:textId="77777777" w:rsidR="00E30479" w:rsidRPr="001A05B3" w:rsidRDefault="00A47EDC" w:rsidP="00E30479">
      <w:pPr>
        <w:pStyle w:val="Text1"/>
        <w:rPr>
          <w:rStyle w:val="msoins0"/>
          <w:noProof/>
          <w:szCs w:val="24"/>
        </w:rPr>
      </w:pPr>
      <w:r>
        <w:rPr>
          <w:rStyle w:val="msoins0"/>
          <w:noProof/>
          <w:szCs w:val="24"/>
        </w:rPr>
        <w:t xml:space="preserve">The </w:t>
      </w:r>
      <w:r w:rsidR="004E1F86" w:rsidRPr="00F06C54">
        <w:rPr>
          <w:rStyle w:val="msoins0"/>
          <w:noProof/>
          <w:szCs w:val="24"/>
        </w:rPr>
        <w:t>spouse</w:t>
      </w:r>
      <w:r w:rsidRPr="00F06C54">
        <w:rPr>
          <w:rStyle w:val="msoins0"/>
          <w:noProof/>
          <w:szCs w:val="24"/>
        </w:rPr>
        <w:t>, and</w:t>
      </w:r>
      <w:r w:rsidR="003929C6" w:rsidRPr="0080046A">
        <w:rPr>
          <w:rStyle w:val="msoins0"/>
          <w:noProof/>
          <w:szCs w:val="24"/>
        </w:rPr>
        <w:t xml:space="preserve"> </w:t>
      </w:r>
      <w:r w:rsidRPr="00F06C54">
        <w:rPr>
          <w:rStyle w:val="msoins0"/>
          <w:noProof/>
          <w:szCs w:val="24"/>
        </w:rPr>
        <w:t>lineal</w:t>
      </w:r>
      <w:r>
        <w:rPr>
          <w:rStyle w:val="msoins0"/>
          <w:noProof/>
          <w:szCs w:val="24"/>
        </w:rPr>
        <w:t xml:space="preserve"> </w:t>
      </w:r>
      <w:r w:rsidR="004E1F86" w:rsidRPr="001A05B3">
        <w:rPr>
          <w:rStyle w:val="msoins0"/>
          <w:noProof/>
          <w:szCs w:val="24"/>
        </w:rPr>
        <w:t xml:space="preserve">descendants </w:t>
      </w:r>
      <w:r>
        <w:rPr>
          <w:rStyle w:val="msoins0"/>
          <w:noProof/>
          <w:szCs w:val="24"/>
        </w:rPr>
        <w:t>of an individual</w:t>
      </w:r>
      <w:r w:rsidR="007D14ED">
        <w:rPr>
          <w:rStyle w:val="msoins0"/>
          <w:noProof/>
          <w:szCs w:val="24"/>
        </w:rPr>
        <w:t>, together with the individual,</w:t>
      </w:r>
      <w:r>
        <w:rPr>
          <w:rStyle w:val="msoins0"/>
          <w:noProof/>
          <w:szCs w:val="24"/>
        </w:rPr>
        <w:t xml:space="preserve"> </w:t>
      </w:r>
      <w:r w:rsidR="004E1F86" w:rsidRPr="001A05B3">
        <w:rPr>
          <w:rStyle w:val="msoins0"/>
          <w:noProof/>
          <w:szCs w:val="24"/>
        </w:rPr>
        <w:t>shall be treated as a single person</w:t>
      </w:r>
      <w:r w:rsidR="003929C6">
        <w:rPr>
          <w:rStyle w:val="msoins0"/>
          <w:noProof/>
          <w:szCs w:val="24"/>
        </w:rPr>
        <w:t>.</w:t>
      </w:r>
    </w:p>
    <w:p w14:paraId="05F54243" w14:textId="77777777" w:rsidR="004E1F86" w:rsidRPr="001A05B3" w:rsidRDefault="004E1F86" w:rsidP="00E30479">
      <w:pPr>
        <w:pStyle w:val="Text1"/>
        <w:rPr>
          <w:rStyle w:val="msoins0"/>
          <w:noProof/>
          <w:szCs w:val="24"/>
        </w:rPr>
      </w:pPr>
      <w:r w:rsidRPr="001A05B3">
        <w:rPr>
          <w:rStyle w:val="msoins0"/>
          <w:noProof/>
          <w:szCs w:val="24"/>
        </w:rPr>
        <w:t>An associated enterprise in accordance with this paragraph shall also include any operation as a result of which a person becomes an associated enterprise</w:t>
      </w:r>
      <w:r w:rsidR="00A47EDC">
        <w:rPr>
          <w:rStyle w:val="msoins0"/>
          <w:noProof/>
          <w:szCs w:val="24"/>
        </w:rPr>
        <w:t>;</w:t>
      </w:r>
    </w:p>
    <w:p w14:paraId="05F54244" w14:textId="77777777" w:rsidR="004E1F86" w:rsidRPr="001A05B3" w:rsidRDefault="004C6AA3" w:rsidP="004C6AA3">
      <w:pPr>
        <w:pStyle w:val="Point0"/>
        <w:rPr>
          <w:noProof/>
        </w:rPr>
      </w:pPr>
      <w:r w:rsidRPr="004C6AA3">
        <w:rPr>
          <w:noProof/>
        </w:rPr>
        <w:t>(2)</w:t>
      </w:r>
      <w:r w:rsidRPr="004C6AA3">
        <w:rPr>
          <w:noProof/>
        </w:rPr>
        <w:tab/>
      </w:r>
      <w:r w:rsidR="004E1F86" w:rsidRPr="001A05B3">
        <w:rPr>
          <w:noProof/>
        </w:rPr>
        <w:t xml:space="preserve">'tax </w:t>
      </w:r>
      <w:r w:rsidR="004E6ABD">
        <w:rPr>
          <w:noProof/>
        </w:rPr>
        <w:t>period</w:t>
      </w:r>
      <w:r w:rsidR="004E1F86" w:rsidRPr="001A05B3">
        <w:rPr>
          <w:noProof/>
        </w:rPr>
        <w:t>' means a calendar year or any other appropriate period for tax purposes</w:t>
      </w:r>
      <w:r w:rsidR="00A47EDC">
        <w:rPr>
          <w:noProof/>
        </w:rPr>
        <w:t>;</w:t>
      </w:r>
    </w:p>
    <w:p w14:paraId="05F54245" w14:textId="77777777" w:rsidR="004E1F86" w:rsidRPr="001A05B3" w:rsidRDefault="004C6AA3" w:rsidP="004C6AA3">
      <w:pPr>
        <w:pStyle w:val="Point0"/>
        <w:rPr>
          <w:noProof/>
        </w:rPr>
      </w:pPr>
      <w:r w:rsidRPr="004C6AA3">
        <w:rPr>
          <w:noProof/>
        </w:rPr>
        <w:t>(3)</w:t>
      </w:r>
      <w:r w:rsidRPr="004C6AA3">
        <w:rPr>
          <w:noProof/>
        </w:rPr>
        <w:tab/>
      </w:r>
      <w:r w:rsidR="004E1F86" w:rsidRPr="001A05B3">
        <w:rPr>
          <w:noProof/>
        </w:rPr>
        <w:t xml:space="preserve">‘group’ means </w:t>
      </w:r>
      <w:r w:rsidR="00A47EDC">
        <w:rPr>
          <w:noProof/>
        </w:rPr>
        <w:t xml:space="preserve">a </w:t>
      </w:r>
      <w:r w:rsidR="004E1F86" w:rsidRPr="001A05B3">
        <w:rPr>
          <w:noProof/>
        </w:rPr>
        <w:t xml:space="preserve">group as defined in </w:t>
      </w:r>
      <w:r w:rsidR="00227CA0">
        <w:rPr>
          <w:noProof/>
        </w:rPr>
        <w:t xml:space="preserve">Article 2, point (11), </w:t>
      </w:r>
      <w:r w:rsidR="004E1F86" w:rsidRPr="001A05B3">
        <w:rPr>
          <w:noProof/>
        </w:rPr>
        <w:t>Directive 2013/34</w:t>
      </w:r>
      <w:r w:rsidR="009C00BE">
        <w:rPr>
          <w:noProof/>
        </w:rPr>
        <w:t>/EU</w:t>
      </w:r>
      <w:r w:rsidR="00E15A20" w:rsidRPr="00E15A20">
        <w:rPr>
          <w:noProof/>
        </w:rPr>
        <w:t xml:space="preserve"> of the European Parliament and of the Council</w:t>
      </w:r>
      <w:r w:rsidR="00A47EDC" w:rsidRPr="007D14ED">
        <w:rPr>
          <w:rStyle w:val="FootnoteReference"/>
          <w:noProof/>
        </w:rPr>
        <w:footnoteReference w:id="35"/>
      </w:r>
      <w:r w:rsidR="004E1F86" w:rsidRPr="001A05B3">
        <w:rPr>
          <w:noProof/>
        </w:rPr>
        <w:t>.</w:t>
      </w:r>
    </w:p>
    <w:p w14:paraId="05F54246" w14:textId="77777777" w:rsidR="00F70716" w:rsidRDefault="004C6AA3" w:rsidP="004C6AA3">
      <w:pPr>
        <w:pStyle w:val="Point0"/>
        <w:rPr>
          <w:noProof/>
        </w:rPr>
      </w:pPr>
      <w:r w:rsidRPr="004C6AA3">
        <w:rPr>
          <w:noProof/>
        </w:rPr>
        <w:t>(4)</w:t>
      </w:r>
      <w:r w:rsidRPr="004C6AA3">
        <w:rPr>
          <w:noProof/>
        </w:rPr>
        <w:tab/>
      </w:r>
      <w:r w:rsidR="004E1F86" w:rsidRPr="001A05B3">
        <w:rPr>
          <w:noProof/>
        </w:rPr>
        <w:t xml:space="preserve">‘participation’ means participating interest as defined in </w:t>
      </w:r>
      <w:r w:rsidR="00227CA0">
        <w:rPr>
          <w:noProof/>
        </w:rPr>
        <w:t xml:space="preserve">Article 2, point (2), of </w:t>
      </w:r>
      <w:r w:rsidR="004E1F86" w:rsidRPr="001A05B3">
        <w:rPr>
          <w:noProof/>
        </w:rPr>
        <w:t>Directive 2013/34</w:t>
      </w:r>
      <w:r w:rsidR="009C00BE">
        <w:rPr>
          <w:noProof/>
        </w:rPr>
        <w:t>/EU</w:t>
      </w:r>
      <w:r w:rsidR="00A47EDC">
        <w:rPr>
          <w:noProof/>
        </w:rPr>
        <w:t>;</w:t>
      </w:r>
    </w:p>
    <w:p w14:paraId="05F54247" w14:textId="77777777" w:rsidR="00CB3BF8" w:rsidRPr="00F70716" w:rsidRDefault="004C6AA3" w:rsidP="004C6AA3">
      <w:pPr>
        <w:pStyle w:val="Point0"/>
        <w:rPr>
          <w:noProof/>
        </w:rPr>
      </w:pPr>
      <w:r w:rsidRPr="004C6AA3">
        <w:rPr>
          <w:noProof/>
        </w:rPr>
        <w:t>(5)</w:t>
      </w:r>
      <w:r w:rsidRPr="004C6AA3">
        <w:rPr>
          <w:noProof/>
        </w:rPr>
        <w:tab/>
      </w:r>
      <w:r w:rsidR="00CB3BF8" w:rsidRPr="00F70716">
        <w:rPr>
          <w:noProof/>
        </w:rPr>
        <w:t xml:space="preserve">‘SME’ means </w:t>
      </w:r>
      <w:r w:rsidR="000043C3" w:rsidRPr="00F70716">
        <w:rPr>
          <w:noProof/>
        </w:rPr>
        <w:t>all</w:t>
      </w:r>
      <w:r w:rsidR="00CB3BF8" w:rsidRPr="00F70716">
        <w:rPr>
          <w:noProof/>
        </w:rPr>
        <w:t xml:space="preserve"> undertakings </w:t>
      </w:r>
      <w:r w:rsidR="000043C3" w:rsidRPr="00F70716">
        <w:rPr>
          <w:noProof/>
        </w:rPr>
        <w:t xml:space="preserve">which do not exceed the threshold for medium-sized undertakings, as laid down in Article </w:t>
      </w:r>
      <w:r w:rsidR="005D1848" w:rsidRPr="00F70716">
        <w:rPr>
          <w:noProof/>
        </w:rPr>
        <w:t xml:space="preserve">3(3) of </w:t>
      </w:r>
      <w:r w:rsidR="00CB3BF8" w:rsidRPr="00F70716">
        <w:rPr>
          <w:noProof/>
        </w:rPr>
        <w:t>Directive 2013/34</w:t>
      </w:r>
      <w:r w:rsidR="009C00BE" w:rsidRPr="00F70716">
        <w:rPr>
          <w:noProof/>
        </w:rPr>
        <w:t>/EU</w:t>
      </w:r>
      <w:r w:rsidR="00A47EDC" w:rsidRPr="00F70716">
        <w:rPr>
          <w:noProof/>
        </w:rPr>
        <w:t>;</w:t>
      </w:r>
    </w:p>
    <w:p w14:paraId="05F54248" w14:textId="77777777" w:rsidR="008E70C6" w:rsidRDefault="004C6AA3" w:rsidP="004C6AA3">
      <w:pPr>
        <w:pStyle w:val="Point0"/>
        <w:rPr>
          <w:noProof/>
        </w:rPr>
      </w:pPr>
      <w:r w:rsidRPr="004C6AA3">
        <w:rPr>
          <w:noProof/>
        </w:rPr>
        <w:t>(6)</w:t>
      </w:r>
      <w:r w:rsidRPr="004C6AA3">
        <w:rPr>
          <w:noProof/>
        </w:rPr>
        <w:tab/>
      </w:r>
      <w:r w:rsidR="008E70C6">
        <w:rPr>
          <w:noProof/>
        </w:rPr>
        <w:t xml:space="preserve">‘equity’ means, in a given tax </w:t>
      </w:r>
      <w:r w:rsidR="004E6ABD">
        <w:rPr>
          <w:noProof/>
        </w:rPr>
        <w:t>period</w:t>
      </w:r>
      <w:r w:rsidR="008E70C6">
        <w:rPr>
          <w:noProof/>
        </w:rPr>
        <w:t xml:space="preserve">, the sum of </w:t>
      </w:r>
      <w:r w:rsidR="00F55FCD">
        <w:rPr>
          <w:noProof/>
        </w:rPr>
        <w:t xml:space="preserve">the taxpayer’s </w:t>
      </w:r>
      <w:r w:rsidR="008E70C6">
        <w:rPr>
          <w:noProof/>
        </w:rPr>
        <w:t>paid-up capital, share premium accounts, revaluation reserve and other reserves and profit or loss brought forward;</w:t>
      </w:r>
    </w:p>
    <w:p w14:paraId="05F54249" w14:textId="77777777" w:rsidR="008E70C6" w:rsidRDefault="004C6AA3" w:rsidP="004C6AA3">
      <w:pPr>
        <w:pStyle w:val="Point0"/>
        <w:rPr>
          <w:noProof/>
        </w:rPr>
      </w:pPr>
      <w:r w:rsidRPr="004C6AA3">
        <w:rPr>
          <w:noProof/>
        </w:rPr>
        <w:t>(7)</w:t>
      </w:r>
      <w:r w:rsidRPr="004C6AA3">
        <w:rPr>
          <w:noProof/>
        </w:rPr>
        <w:tab/>
      </w:r>
      <w:r w:rsidR="008E70C6">
        <w:rPr>
          <w:noProof/>
        </w:rPr>
        <w:t>‘net equity’ means the difference between the equity of a taxpayer and the sum of the</w:t>
      </w:r>
      <w:r w:rsidR="00F56F07">
        <w:rPr>
          <w:noProof/>
        </w:rPr>
        <w:t xml:space="preserve"> tax value of the taxpayer’s</w:t>
      </w:r>
      <w:r w:rsidR="008E70C6">
        <w:rPr>
          <w:noProof/>
        </w:rPr>
        <w:t xml:space="preserve"> participation in the capital </w:t>
      </w:r>
      <w:r w:rsidR="00F56F07">
        <w:rPr>
          <w:noProof/>
        </w:rPr>
        <w:t xml:space="preserve">of associated enterprises and the taxpayer’s </w:t>
      </w:r>
      <w:r w:rsidR="00CC423F">
        <w:rPr>
          <w:noProof/>
        </w:rPr>
        <w:t>own shares</w:t>
      </w:r>
      <w:r w:rsidR="008E70C6">
        <w:rPr>
          <w:noProof/>
        </w:rPr>
        <w:t>;</w:t>
      </w:r>
    </w:p>
    <w:p w14:paraId="05F5424A" w14:textId="77777777" w:rsidR="008E70C6" w:rsidRDefault="004C6AA3" w:rsidP="004C6AA3">
      <w:pPr>
        <w:pStyle w:val="Point0"/>
        <w:rPr>
          <w:noProof/>
        </w:rPr>
      </w:pPr>
      <w:r w:rsidRPr="004C6AA3">
        <w:rPr>
          <w:noProof/>
        </w:rPr>
        <w:t>(8)</w:t>
      </w:r>
      <w:r w:rsidRPr="004C6AA3">
        <w:rPr>
          <w:noProof/>
        </w:rPr>
        <w:tab/>
      </w:r>
      <w:r w:rsidR="008E70C6">
        <w:rPr>
          <w:noProof/>
        </w:rPr>
        <w:t>‘reserves’ means any of the following:</w:t>
      </w:r>
    </w:p>
    <w:p w14:paraId="05F5424B" w14:textId="77777777" w:rsidR="008E70C6" w:rsidRDefault="004C6AA3" w:rsidP="004C6AA3">
      <w:pPr>
        <w:pStyle w:val="Point1"/>
        <w:rPr>
          <w:noProof/>
        </w:rPr>
      </w:pPr>
      <w:r w:rsidRPr="004C6AA3">
        <w:rPr>
          <w:noProof/>
        </w:rPr>
        <w:t>(1)</w:t>
      </w:r>
      <w:r w:rsidRPr="004C6AA3">
        <w:rPr>
          <w:noProof/>
        </w:rPr>
        <w:tab/>
      </w:r>
      <w:r w:rsidR="008E70C6">
        <w:rPr>
          <w:noProof/>
        </w:rPr>
        <w:t>legal reserve, in so far as national law requires such a reserve;</w:t>
      </w:r>
    </w:p>
    <w:p w14:paraId="05F5424C" w14:textId="77777777" w:rsidR="008E70C6" w:rsidRDefault="004C6AA3" w:rsidP="004C6AA3">
      <w:pPr>
        <w:pStyle w:val="Point1"/>
        <w:rPr>
          <w:noProof/>
        </w:rPr>
      </w:pPr>
      <w:r w:rsidRPr="004C6AA3">
        <w:rPr>
          <w:noProof/>
        </w:rPr>
        <w:t>(2)</w:t>
      </w:r>
      <w:r w:rsidRPr="004C6AA3">
        <w:rPr>
          <w:noProof/>
        </w:rPr>
        <w:tab/>
      </w:r>
      <w:r w:rsidR="008E70C6">
        <w:rPr>
          <w:noProof/>
        </w:rPr>
        <w:t xml:space="preserve">reserve for own shares, in so far as national law requires such a reserve, without prejudice to Article 24(1), point (b), of Directive 2012/30/EU; </w:t>
      </w:r>
    </w:p>
    <w:p w14:paraId="05F5424D" w14:textId="77777777" w:rsidR="006A0F7E" w:rsidRDefault="004C6AA3" w:rsidP="004C6AA3">
      <w:pPr>
        <w:pStyle w:val="Point1"/>
        <w:rPr>
          <w:noProof/>
        </w:rPr>
      </w:pPr>
      <w:r w:rsidRPr="004C6AA3">
        <w:rPr>
          <w:noProof/>
        </w:rPr>
        <w:t>(3)</w:t>
      </w:r>
      <w:r w:rsidRPr="004C6AA3">
        <w:rPr>
          <w:noProof/>
        </w:rPr>
        <w:tab/>
      </w:r>
      <w:r w:rsidR="008E70C6">
        <w:rPr>
          <w:noProof/>
        </w:rPr>
        <w:t>reserves provided for by the articles of association;</w:t>
      </w:r>
    </w:p>
    <w:p w14:paraId="05F5424E" w14:textId="77777777" w:rsidR="008E70C6" w:rsidRPr="00583416" w:rsidRDefault="004C6AA3" w:rsidP="004C6AA3">
      <w:pPr>
        <w:pStyle w:val="Point1"/>
        <w:rPr>
          <w:noProof/>
        </w:rPr>
      </w:pPr>
      <w:r w:rsidRPr="004C6AA3">
        <w:rPr>
          <w:noProof/>
        </w:rPr>
        <w:t>(4)</w:t>
      </w:r>
      <w:r w:rsidRPr="004C6AA3">
        <w:rPr>
          <w:noProof/>
        </w:rPr>
        <w:tab/>
      </w:r>
      <w:r w:rsidR="008E70C6">
        <w:rPr>
          <w:noProof/>
        </w:rPr>
        <w:t>other reserves, including the fair value reserve.</w:t>
      </w:r>
    </w:p>
    <w:p w14:paraId="05F5424F" w14:textId="77777777" w:rsidR="00803067" w:rsidRPr="001A05B3" w:rsidRDefault="00803067" w:rsidP="00803067">
      <w:pPr>
        <w:pStyle w:val="ChapterTitle"/>
        <w:rPr>
          <w:noProof/>
        </w:rPr>
      </w:pPr>
      <w:r w:rsidRPr="001A05B3">
        <w:rPr>
          <w:noProof/>
        </w:rPr>
        <w:t xml:space="preserve">CHAPTER II </w:t>
      </w:r>
      <w:r w:rsidRPr="001A05B3">
        <w:rPr>
          <w:noProof/>
        </w:rPr>
        <w:br/>
        <w:t>ALLOWANCE ON EQUITY AND INTEREST DEDUCTIONS</w:t>
      </w:r>
    </w:p>
    <w:p w14:paraId="05F54250" w14:textId="77777777" w:rsidR="00803067" w:rsidRPr="001A05B3" w:rsidRDefault="00803067" w:rsidP="00803067">
      <w:pPr>
        <w:pStyle w:val="Titrearticle"/>
        <w:rPr>
          <w:b/>
          <w:noProof/>
        </w:rPr>
      </w:pPr>
      <w:r w:rsidRPr="001A05B3">
        <w:rPr>
          <w:noProof/>
        </w:rPr>
        <w:t>Article 4</w:t>
      </w:r>
      <w:r w:rsidRPr="001A05B3">
        <w:rPr>
          <w:noProof/>
        </w:rPr>
        <w:br/>
      </w:r>
      <w:r w:rsidRPr="001A05B3">
        <w:rPr>
          <w:b/>
          <w:noProof/>
        </w:rPr>
        <w:t>Allowance on Equity</w:t>
      </w:r>
    </w:p>
    <w:p w14:paraId="05F54251" w14:textId="77777777" w:rsidR="00113001" w:rsidRPr="0090379F" w:rsidRDefault="004C6AA3" w:rsidP="004C6AA3">
      <w:pPr>
        <w:pStyle w:val="ManualNumPar1"/>
        <w:rPr>
          <w:noProof/>
        </w:rPr>
      </w:pPr>
      <w:r w:rsidRPr="004C6AA3">
        <w:rPr>
          <w:noProof/>
        </w:rPr>
        <w:t>1.</w:t>
      </w:r>
      <w:r w:rsidRPr="004C6AA3">
        <w:rPr>
          <w:noProof/>
        </w:rPr>
        <w:tab/>
      </w:r>
      <w:r w:rsidR="00DE4EBA">
        <w:rPr>
          <w:noProof/>
        </w:rPr>
        <w:t>A</w:t>
      </w:r>
      <w:r w:rsidR="00425181">
        <w:rPr>
          <w:noProof/>
        </w:rPr>
        <w:t>n a</w:t>
      </w:r>
      <w:r w:rsidR="00113001" w:rsidRPr="00F3448E">
        <w:rPr>
          <w:noProof/>
        </w:rPr>
        <w:t xml:space="preserve">llowance on equity shall be deductible, for </w:t>
      </w:r>
      <w:r w:rsidR="0037308D">
        <w:rPr>
          <w:noProof/>
        </w:rPr>
        <w:t>10</w:t>
      </w:r>
      <w:r w:rsidR="0037308D" w:rsidRPr="00F3448E">
        <w:rPr>
          <w:noProof/>
        </w:rPr>
        <w:t xml:space="preserve"> </w:t>
      </w:r>
      <w:r w:rsidR="00113001" w:rsidRPr="00F3448E">
        <w:rPr>
          <w:noProof/>
        </w:rPr>
        <w:t xml:space="preserve">consecutive tax </w:t>
      </w:r>
      <w:r w:rsidR="004E6ABD">
        <w:rPr>
          <w:noProof/>
        </w:rPr>
        <w:t>period</w:t>
      </w:r>
      <w:r w:rsidR="00113001" w:rsidRPr="00F3448E">
        <w:rPr>
          <w:noProof/>
        </w:rPr>
        <w:t xml:space="preserve">s, from the taxable base of </w:t>
      </w:r>
      <w:r w:rsidR="00113001">
        <w:rPr>
          <w:noProof/>
        </w:rPr>
        <w:t xml:space="preserve">a </w:t>
      </w:r>
      <w:r w:rsidR="00113001" w:rsidRPr="00F3448E">
        <w:rPr>
          <w:noProof/>
        </w:rPr>
        <w:t>taxpayer</w:t>
      </w:r>
      <w:r w:rsidR="00113001">
        <w:rPr>
          <w:noProof/>
        </w:rPr>
        <w:t xml:space="preserve"> </w:t>
      </w:r>
      <w:r w:rsidR="00184F50">
        <w:rPr>
          <w:noProof/>
        </w:rPr>
        <w:t xml:space="preserve">for corporate income tax purposes </w:t>
      </w:r>
      <w:r w:rsidR="00113001">
        <w:rPr>
          <w:noProof/>
        </w:rPr>
        <w:t>up to 30</w:t>
      </w:r>
      <w:r w:rsidR="00D2609C">
        <w:rPr>
          <w:noProof/>
        </w:rPr>
        <w:t>%</w:t>
      </w:r>
      <w:r w:rsidR="00113001" w:rsidRPr="00F51260">
        <w:rPr>
          <w:noProof/>
        </w:rPr>
        <w:t xml:space="preserve"> </w:t>
      </w:r>
      <w:r w:rsidR="00113001" w:rsidRPr="0090379F">
        <w:rPr>
          <w:noProof/>
        </w:rPr>
        <w:t>of the taxpayer's earnings before interest, tax, depreciation and amortisation (</w:t>
      </w:r>
      <w:r w:rsidR="000F11CA" w:rsidRPr="0090379F">
        <w:rPr>
          <w:noProof/>
        </w:rPr>
        <w:t>“</w:t>
      </w:r>
      <w:r w:rsidR="00113001" w:rsidRPr="0090379F">
        <w:rPr>
          <w:noProof/>
        </w:rPr>
        <w:t xml:space="preserve">EBITDA </w:t>
      </w:r>
      <w:r w:rsidR="000F11CA" w:rsidRPr="0090379F">
        <w:rPr>
          <w:noProof/>
        </w:rPr>
        <w:t>”</w:t>
      </w:r>
      <w:r w:rsidR="00113001" w:rsidRPr="0090379F">
        <w:rPr>
          <w:noProof/>
        </w:rPr>
        <w:t xml:space="preserve">). </w:t>
      </w:r>
    </w:p>
    <w:p w14:paraId="05F54252" w14:textId="77777777" w:rsidR="00113001" w:rsidRPr="0090379F" w:rsidRDefault="00113001" w:rsidP="00113001">
      <w:pPr>
        <w:pStyle w:val="Text1"/>
        <w:rPr>
          <w:noProof/>
        </w:rPr>
      </w:pPr>
      <w:r w:rsidRPr="0090379F">
        <w:rPr>
          <w:noProof/>
        </w:rPr>
        <w:t xml:space="preserve">If the </w:t>
      </w:r>
      <w:r w:rsidR="003E583F" w:rsidRPr="0090379F">
        <w:rPr>
          <w:noProof/>
        </w:rPr>
        <w:t xml:space="preserve">deductible </w:t>
      </w:r>
      <w:r w:rsidRPr="0090379F">
        <w:rPr>
          <w:noProof/>
        </w:rPr>
        <w:t>allowance</w:t>
      </w:r>
      <w:r w:rsidR="00DE4EBA" w:rsidRPr="0090379F">
        <w:rPr>
          <w:noProof/>
        </w:rPr>
        <w:t xml:space="preserve"> on equity</w:t>
      </w:r>
      <w:r w:rsidR="003E583F" w:rsidRPr="0090379F">
        <w:rPr>
          <w:noProof/>
        </w:rPr>
        <w:t>, in accordance with the first subparagraph,</w:t>
      </w:r>
      <w:r w:rsidRPr="0090379F">
        <w:rPr>
          <w:noProof/>
        </w:rPr>
        <w:t xml:space="preserve"> is higher than the taxpayer’s net taxable income</w:t>
      </w:r>
      <w:r w:rsidR="00425181" w:rsidRPr="0090379F">
        <w:rPr>
          <w:noProof/>
        </w:rPr>
        <w:t xml:space="preserve"> </w:t>
      </w:r>
      <w:r w:rsidR="00DE4EBA" w:rsidRPr="0090379F">
        <w:rPr>
          <w:noProof/>
        </w:rPr>
        <w:t xml:space="preserve">in a tax </w:t>
      </w:r>
      <w:r w:rsidR="004E6ABD">
        <w:rPr>
          <w:noProof/>
        </w:rPr>
        <w:t>period</w:t>
      </w:r>
      <w:r w:rsidRPr="0090379F">
        <w:rPr>
          <w:noProof/>
        </w:rPr>
        <w:t xml:space="preserve">, </w:t>
      </w:r>
      <w:r w:rsidR="00DE4EBA" w:rsidRPr="0090379F">
        <w:rPr>
          <w:noProof/>
        </w:rPr>
        <w:t xml:space="preserve">Member States shall ensure that </w:t>
      </w:r>
      <w:r w:rsidRPr="0090379F">
        <w:rPr>
          <w:noProof/>
        </w:rPr>
        <w:t xml:space="preserve">the taxpayer may carry forward, without time limitation, the excess of allowance on equity to the following </w:t>
      </w:r>
      <w:r w:rsidR="00DE032F">
        <w:rPr>
          <w:noProof/>
        </w:rPr>
        <w:t>period</w:t>
      </w:r>
      <w:r w:rsidRPr="0090379F">
        <w:rPr>
          <w:noProof/>
        </w:rPr>
        <w:t xml:space="preserve">s. </w:t>
      </w:r>
    </w:p>
    <w:p w14:paraId="05F54253" w14:textId="77777777" w:rsidR="00803067" w:rsidRPr="0090379F" w:rsidRDefault="000043CD" w:rsidP="00113001">
      <w:pPr>
        <w:pStyle w:val="Text1"/>
        <w:rPr>
          <w:noProof/>
        </w:rPr>
      </w:pPr>
      <w:r w:rsidRPr="0090379F">
        <w:rPr>
          <w:noProof/>
        </w:rPr>
        <w:t>Member States shall ensure that t</w:t>
      </w:r>
      <w:r w:rsidR="00113001" w:rsidRPr="0090379F">
        <w:rPr>
          <w:noProof/>
        </w:rPr>
        <w:t>he taxpayer</w:t>
      </w:r>
      <w:r w:rsidRPr="0090379F">
        <w:rPr>
          <w:noProof/>
        </w:rPr>
        <w:t>s</w:t>
      </w:r>
      <w:r w:rsidR="00113001" w:rsidRPr="0090379F">
        <w:rPr>
          <w:noProof/>
        </w:rPr>
        <w:t xml:space="preserve"> may carry forward, for a maximum of </w:t>
      </w:r>
      <w:r w:rsidR="00D2609C" w:rsidRPr="0090379F">
        <w:rPr>
          <w:noProof/>
        </w:rPr>
        <w:t xml:space="preserve">5 </w:t>
      </w:r>
      <w:r w:rsidR="00113001" w:rsidRPr="0090379F">
        <w:rPr>
          <w:noProof/>
        </w:rPr>
        <w:t xml:space="preserve">tax </w:t>
      </w:r>
      <w:r w:rsidR="004E6ABD">
        <w:rPr>
          <w:noProof/>
        </w:rPr>
        <w:t>period</w:t>
      </w:r>
      <w:r w:rsidR="00113001" w:rsidRPr="0090379F">
        <w:rPr>
          <w:noProof/>
        </w:rPr>
        <w:t xml:space="preserve">s, </w:t>
      </w:r>
      <w:r w:rsidR="003E583F" w:rsidRPr="0090379F">
        <w:rPr>
          <w:noProof/>
        </w:rPr>
        <w:t xml:space="preserve">the part of the </w:t>
      </w:r>
      <w:r w:rsidR="00113001" w:rsidRPr="0090379F">
        <w:rPr>
          <w:noProof/>
        </w:rPr>
        <w:t xml:space="preserve">allowance on equity </w:t>
      </w:r>
      <w:r w:rsidRPr="0090379F">
        <w:rPr>
          <w:noProof/>
        </w:rPr>
        <w:t xml:space="preserve">which exceeds </w:t>
      </w:r>
      <w:r w:rsidR="00113001" w:rsidRPr="0090379F">
        <w:rPr>
          <w:noProof/>
        </w:rPr>
        <w:t>30</w:t>
      </w:r>
      <w:r w:rsidR="00D2609C" w:rsidRPr="0090379F">
        <w:rPr>
          <w:noProof/>
        </w:rPr>
        <w:t>%</w:t>
      </w:r>
      <w:r w:rsidR="00113001" w:rsidRPr="0090379F">
        <w:rPr>
          <w:noProof/>
        </w:rPr>
        <w:t xml:space="preserve"> of EBITDA</w:t>
      </w:r>
      <w:r w:rsidR="003E583F" w:rsidRPr="0090379F">
        <w:rPr>
          <w:noProof/>
        </w:rPr>
        <w:t xml:space="preserve"> in a tax </w:t>
      </w:r>
      <w:r w:rsidR="004E6ABD">
        <w:rPr>
          <w:noProof/>
        </w:rPr>
        <w:t>period</w:t>
      </w:r>
      <w:r w:rsidR="00803067" w:rsidRPr="0090379F">
        <w:rPr>
          <w:noProof/>
        </w:rPr>
        <w:t>.</w:t>
      </w:r>
    </w:p>
    <w:p w14:paraId="05F54254" w14:textId="77777777" w:rsidR="00113001" w:rsidRPr="0090379F" w:rsidRDefault="004C6AA3" w:rsidP="004C6AA3">
      <w:pPr>
        <w:pStyle w:val="ManualNumPar1"/>
        <w:rPr>
          <w:noProof/>
        </w:rPr>
      </w:pPr>
      <w:r w:rsidRPr="004C6AA3">
        <w:rPr>
          <w:noProof/>
        </w:rPr>
        <w:t>2.</w:t>
      </w:r>
      <w:r w:rsidRPr="004C6AA3">
        <w:rPr>
          <w:noProof/>
        </w:rPr>
        <w:tab/>
      </w:r>
      <w:r w:rsidR="00113001" w:rsidRPr="0090379F">
        <w:rPr>
          <w:noProof/>
        </w:rPr>
        <w:t>Subject to Article 5, the base of the allowance</w:t>
      </w:r>
      <w:r w:rsidR="007B60C3" w:rsidRPr="0090379F">
        <w:rPr>
          <w:noProof/>
        </w:rPr>
        <w:t xml:space="preserve"> on equity</w:t>
      </w:r>
      <w:r w:rsidR="00113001" w:rsidRPr="0090379F">
        <w:rPr>
          <w:noProof/>
        </w:rPr>
        <w:t xml:space="preserve"> shall be calculated as the difference </w:t>
      </w:r>
      <w:r w:rsidR="005C2A45" w:rsidRPr="0090379F">
        <w:rPr>
          <w:noProof/>
        </w:rPr>
        <w:t xml:space="preserve">between </w:t>
      </w:r>
      <w:r w:rsidR="00113001" w:rsidRPr="0090379F">
        <w:rPr>
          <w:noProof/>
        </w:rPr>
        <w:t xml:space="preserve">the level of net equity at the end of the tax </w:t>
      </w:r>
      <w:r w:rsidR="004E6ABD">
        <w:rPr>
          <w:noProof/>
        </w:rPr>
        <w:t>period</w:t>
      </w:r>
      <w:r w:rsidR="00113001" w:rsidRPr="0090379F">
        <w:rPr>
          <w:noProof/>
        </w:rPr>
        <w:t xml:space="preserve"> </w:t>
      </w:r>
      <w:r w:rsidR="005C2A45" w:rsidRPr="0090379F">
        <w:rPr>
          <w:noProof/>
        </w:rPr>
        <w:t>and</w:t>
      </w:r>
      <w:r w:rsidR="00113001" w:rsidRPr="0090379F">
        <w:rPr>
          <w:noProof/>
        </w:rPr>
        <w:t xml:space="preserve"> the level of net equity at the end of the previous tax </w:t>
      </w:r>
      <w:r w:rsidR="004408B3">
        <w:rPr>
          <w:noProof/>
        </w:rPr>
        <w:t>per</w:t>
      </w:r>
      <w:r w:rsidR="004E6ABD">
        <w:rPr>
          <w:noProof/>
        </w:rPr>
        <w:t>iod</w:t>
      </w:r>
      <w:r w:rsidR="00113001" w:rsidRPr="0090379F">
        <w:rPr>
          <w:noProof/>
        </w:rPr>
        <w:t xml:space="preserve">. </w:t>
      </w:r>
    </w:p>
    <w:p w14:paraId="05F54255" w14:textId="77777777" w:rsidR="00803067" w:rsidRPr="0080046A" w:rsidRDefault="00113001" w:rsidP="00113001">
      <w:pPr>
        <w:pStyle w:val="Text1"/>
        <w:rPr>
          <w:noProof/>
        </w:rPr>
      </w:pPr>
      <w:r w:rsidRPr="0090379F">
        <w:rPr>
          <w:noProof/>
        </w:rPr>
        <w:t>The allowance on equity shall be equal to the base of the allowance multiplied by the 10-year risk-free interest rate for the relevant currency and increased by a risk premium of 1</w:t>
      </w:r>
      <w:r w:rsidR="00CF13D7" w:rsidRPr="0090379F">
        <w:rPr>
          <w:noProof/>
        </w:rPr>
        <w:t>%</w:t>
      </w:r>
      <w:r w:rsidRPr="0080046A">
        <w:rPr>
          <w:noProof/>
        </w:rPr>
        <w:t xml:space="preserve"> or, where</w:t>
      </w:r>
      <w:r w:rsidR="005D1848" w:rsidRPr="0080046A">
        <w:rPr>
          <w:noProof/>
        </w:rPr>
        <w:t xml:space="preserve"> the taxpayer is an SME</w:t>
      </w:r>
      <w:r w:rsidRPr="0080046A">
        <w:rPr>
          <w:noProof/>
        </w:rPr>
        <w:t>, a risk premium of 1</w:t>
      </w:r>
      <w:r w:rsidR="00425181" w:rsidRPr="0080046A">
        <w:rPr>
          <w:noProof/>
        </w:rPr>
        <w:t>.</w:t>
      </w:r>
      <w:r w:rsidRPr="0080046A">
        <w:rPr>
          <w:noProof/>
        </w:rPr>
        <w:t>5</w:t>
      </w:r>
      <w:r w:rsidR="00D2609C" w:rsidRPr="0080046A">
        <w:rPr>
          <w:noProof/>
        </w:rPr>
        <w:t>%</w:t>
      </w:r>
      <w:r w:rsidR="00425181" w:rsidRPr="0080046A">
        <w:rPr>
          <w:noProof/>
        </w:rPr>
        <w:t>.</w:t>
      </w:r>
    </w:p>
    <w:p w14:paraId="05F54256" w14:textId="77777777" w:rsidR="00113001" w:rsidRDefault="00113001" w:rsidP="00113001">
      <w:pPr>
        <w:pStyle w:val="Text1"/>
        <w:rPr>
          <w:noProof/>
        </w:rPr>
      </w:pPr>
      <w:r w:rsidRPr="0090379F">
        <w:rPr>
          <w:noProof/>
        </w:rPr>
        <w:t>For the purpose</w:t>
      </w:r>
      <w:r w:rsidR="00B00A02" w:rsidRPr="0090379F">
        <w:rPr>
          <w:noProof/>
        </w:rPr>
        <w:t>s</w:t>
      </w:r>
      <w:r w:rsidRPr="0090379F">
        <w:rPr>
          <w:noProof/>
        </w:rPr>
        <w:t xml:space="preserve"> of the second</w:t>
      </w:r>
      <w:r>
        <w:rPr>
          <w:noProof/>
        </w:rPr>
        <w:t xml:space="preserve"> subparagraph</w:t>
      </w:r>
      <w:r w:rsidR="00DE5F01">
        <w:rPr>
          <w:noProof/>
        </w:rPr>
        <w:t xml:space="preserve"> of this paragraph</w:t>
      </w:r>
      <w:r>
        <w:rPr>
          <w:noProof/>
        </w:rPr>
        <w:t xml:space="preserve">, the </w:t>
      </w:r>
      <w:r w:rsidRPr="00B02B6A">
        <w:rPr>
          <w:noProof/>
        </w:rPr>
        <w:t>10-year risk-free interest rate for the relevant currency</w:t>
      </w:r>
      <w:r>
        <w:rPr>
          <w:noProof/>
        </w:rPr>
        <w:t xml:space="preserve"> shall be the </w:t>
      </w:r>
      <w:r w:rsidRPr="00563DEC">
        <w:rPr>
          <w:noProof/>
        </w:rPr>
        <w:t>risk-free interest rate</w:t>
      </w:r>
      <w:r>
        <w:rPr>
          <w:noProof/>
        </w:rPr>
        <w:t xml:space="preserve"> with a maturity of </w:t>
      </w:r>
      <w:r w:rsidR="00CF13D7">
        <w:rPr>
          <w:noProof/>
        </w:rPr>
        <w:t xml:space="preserve">10 </w:t>
      </w:r>
      <w:r>
        <w:rPr>
          <w:noProof/>
        </w:rPr>
        <w:t xml:space="preserve">years </w:t>
      </w:r>
      <w:r w:rsidRPr="00B02B6A">
        <w:rPr>
          <w:noProof/>
        </w:rPr>
        <w:t>for the relevant currency</w:t>
      </w:r>
      <w:r>
        <w:rPr>
          <w:noProof/>
        </w:rPr>
        <w:t xml:space="preserve">, as laid down in the implementing acts adopted pursuant to Article 77e(2) of Directive 2009/138/EC for the reference date </w:t>
      </w:r>
      <w:r w:rsidR="00CF13D7">
        <w:rPr>
          <w:noProof/>
        </w:rPr>
        <w:t xml:space="preserve">of </w:t>
      </w:r>
      <w:r>
        <w:rPr>
          <w:noProof/>
        </w:rPr>
        <w:t>31</w:t>
      </w:r>
      <w:r w:rsidRPr="00B02B6A">
        <w:rPr>
          <w:noProof/>
        </w:rPr>
        <w:t xml:space="preserve"> December of the year preceding the relevant tax </w:t>
      </w:r>
      <w:r w:rsidR="004E6ABD">
        <w:rPr>
          <w:noProof/>
        </w:rPr>
        <w:t>period</w:t>
      </w:r>
      <w:r>
        <w:rPr>
          <w:noProof/>
        </w:rPr>
        <w:t>.</w:t>
      </w:r>
    </w:p>
    <w:p w14:paraId="05F54257" w14:textId="77777777" w:rsidR="00803067" w:rsidRPr="001A05B3" w:rsidRDefault="004C6AA3" w:rsidP="004C6AA3">
      <w:pPr>
        <w:pStyle w:val="ManualNumPar1"/>
        <w:rPr>
          <w:noProof/>
        </w:rPr>
      </w:pPr>
      <w:r w:rsidRPr="004C6AA3">
        <w:rPr>
          <w:noProof/>
        </w:rPr>
        <w:t>3.</w:t>
      </w:r>
      <w:r w:rsidRPr="004C6AA3">
        <w:rPr>
          <w:noProof/>
        </w:rPr>
        <w:tab/>
      </w:r>
      <w:r w:rsidR="00803067" w:rsidRPr="001A05B3">
        <w:rPr>
          <w:noProof/>
        </w:rPr>
        <w:t>If</w:t>
      </w:r>
      <w:r w:rsidR="00940DDD">
        <w:rPr>
          <w:noProof/>
        </w:rPr>
        <w:t>,</w:t>
      </w:r>
      <w:r w:rsidR="00803067" w:rsidRPr="001A05B3">
        <w:rPr>
          <w:noProof/>
        </w:rPr>
        <w:t xml:space="preserve"> </w:t>
      </w:r>
      <w:r w:rsidR="00940DDD">
        <w:rPr>
          <w:noProof/>
        </w:rPr>
        <w:t>after having obtained an allowance on equity,</w:t>
      </w:r>
      <w:r w:rsidR="00803067" w:rsidRPr="001A05B3">
        <w:rPr>
          <w:noProof/>
        </w:rPr>
        <w:t xml:space="preserve"> the base of the allowance</w:t>
      </w:r>
      <w:r w:rsidR="00E057C1">
        <w:rPr>
          <w:noProof/>
        </w:rPr>
        <w:t xml:space="preserve"> on equity</w:t>
      </w:r>
      <w:r w:rsidR="00803067" w:rsidRPr="001A05B3">
        <w:rPr>
          <w:noProof/>
        </w:rPr>
        <w:t xml:space="preserve"> is negative in a tax </w:t>
      </w:r>
      <w:r w:rsidR="004E6ABD">
        <w:rPr>
          <w:noProof/>
        </w:rPr>
        <w:t>period</w:t>
      </w:r>
      <w:r w:rsidR="00803067" w:rsidRPr="001A05B3">
        <w:rPr>
          <w:noProof/>
        </w:rPr>
        <w:t xml:space="preserve">, an amount equal to the negative allowance on equity shall become taxable for </w:t>
      </w:r>
      <w:r w:rsidR="0037308D">
        <w:rPr>
          <w:noProof/>
        </w:rPr>
        <w:t>10</w:t>
      </w:r>
      <w:r w:rsidR="0037308D" w:rsidRPr="001A05B3">
        <w:rPr>
          <w:noProof/>
        </w:rPr>
        <w:t xml:space="preserve"> </w:t>
      </w:r>
      <w:r w:rsidR="00803067" w:rsidRPr="001A05B3">
        <w:rPr>
          <w:noProof/>
        </w:rPr>
        <w:t xml:space="preserve">consecutive tax </w:t>
      </w:r>
      <w:r w:rsidR="004E6ABD">
        <w:rPr>
          <w:noProof/>
        </w:rPr>
        <w:t>period</w:t>
      </w:r>
      <w:r w:rsidR="00803067" w:rsidRPr="001A05B3">
        <w:rPr>
          <w:noProof/>
        </w:rPr>
        <w:t>s</w:t>
      </w:r>
      <w:r w:rsidR="002D65A4">
        <w:rPr>
          <w:noProof/>
        </w:rPr>
        <w:t xml:space="preserve">, </w:t>
      </w:r>
      <w:r w:rsidR="00940DDD">
        <w:rPr>
          <w:noProof/>
        </w:rPr>
        <w:t xml:space="preserve">up to the </w:t>
      </w:r>
      <w:r w:rsidR="002333BC">
        <w:rPr>
          <w:noProof/>
        </w:rPr>
        <w:t xml:space="preserve">overall </w:t>
      </w:r>
      <w:r w:rsidR="00940DDD">
        <w:rPr>
          <w:noProof/>
        </w:rPr>
        <w:t xml:space="preserve">increase of </w:t>
      </w:r>
      <w:r w:rsidR="002333BC">
        <w:rPr>
          <w:noProof/>
        </w:rPr>
        <w:t>net</w:t>
      </w:r>
      <w:r w:rsidR="00940DDD">
        <w:rPr>
          <w:noProof/>
        </w:rPr>
        <w:t xml:space="preserve"> equity for which such allowance has been obtained</w:t>
      </w:r>
      <w:r w:rsidR="002333BC">
        <w:rPr>
          <w:noProof/>
        </w:rPr>
        <w:t xml:space="preserve"> under this Directive</w:t>
      </w:r>
      <w:r w:rsidR="00940DDD">
        <w:rPr>
          <w:noProof/>
        </w:rPr>
        <w:t xml:space="preserve">, </w:t>
      </w:r>
      <w:r w:rsidR="002D65A4">
        <w:rPr>
          <w:noProof/>
        </w:rPr>
        <w:t xml:space="preserve">unless the taxpayer provides </w:t>
      </w:r>
      <w:r w:rsidR="001D3040">
        <w:rPr>
          <w:noProof/>
        </w:rPr>
        <w:t>sufficient</w:t>
      </w:r>
      <w:r w:rsidR="002D65A4">
        <w:rPr>
          <w:noProof/>
        </w:rPr>
        <w:t xml:space="preserve"> evidence that this is due to</w:t>
      </w:r>
      <w:r w:rsidR="00583416">
        <w:rPr>
          <w:noProof/>
        </w:rPr>
        <w:t xml:space="preserve"> accounting</w:t>
      </w:r>
      <w:r w:rsidR="002D65A4">
        <w:rPr>
          <w:noProof/>
        </w:rPr>
        <w:t xml:space="preserve"> losses </w:t>
      </w:r>
      <w:r w:rsidR="006015CD">
        <w:rPr>
          <w:noProof/>
        </w:rPr>
        <w:t>incurred</w:t>
      </w:r>
      <w:r w:rsidR="002D65A4">
        <w:rPr>
          <w:noProof/>
        </w:rPr>
        <w:t xml:space="preserve"> during the tax </w:t>
      </w:r>
      <w:r w:rsidR="004E6ABD">
        <w:rPr>
          <w:noProof/>
        </w:rPr>
        <w:t>period</w:t>
      </w:r>
      <w:r w:rsidR="00A22397">
        <w:rPr>
          <w:noProof/>
        </w:rPr>
        <w:t xml:space="preserve"> or due to a legal obligation to reduce capital</w:t>
      </w:r>
      <w:r w:rsidR="00803067" w:rsidRPr="001A05B3">
        <w:rPr>
          <w:noProof/>
        </w:rPr>
        <w:t>.</w:t>
      </w:r>
    </w:p>
    <w:p w14:paraId="05F54258" w14:textId="492C9F49" w:rsidR="00803067" w:rsidRPr="001A05B3" w:rsidRDefault="004C6AA3" w:rsidP="004C6AA3">
      <w:pPr>
        <w:pStyle w:val="ManualNumPar1"/>
        <w:rPr>
          <w:noProof/>
        </w:rPr>
      </w:pPr>
      <w:r w:rsidRPr="004C6AA3">
        <w:rPr>
          <w:noProof/>
        </w:rPr>
        <w:t>4.</w:t>
      </w:r>
      <w:r w:rsidRPr="004C6AA3">
        <w:rPr>
          <w:noProof/>
        </w:rPr>
        <w:tab/>
      </w:r>
      <w:r w:rsidR="0053073F" w:rsidRPr="0090379F">
        <w:rPr>
          <w:noProof/>
        </w:rPr>
        <w:t>The Commission shall be empowered</w:t>
      </w:r>
      <w:r w:rsidR="0053073F">
        <w:rPr>
          <w:noProof/>
        </w:rPr>
        <w:t xml:space="preserve"> </w:t>
      </w:r>
      <w:r w:rsidR="0053073F" w:rsidRPr="00E71440">
        <w:rPr>
          <w:noProof/>
        </w:rPr>
        <w:t>to adopt delegated acts</w:t>
      </w:r>
      <w:r w:rsidR="0053073F" w:rsidRPr="00350B4E">
        <w:rPr>
          <w:noProof/>
        </w:rPr>
        <w:t xml:space="preserve"> </w:t>
      </w:r>
      <w:r w:rsidR="0053073F">
        <w:rPr>
          <w:noProof/>
        </w:rPr>
        <w:t>in accordance with Article 9</w:t>
      </w:r>
      <w:r w:rsidR="006836C8">
        <w:rPr>
          <w:noProof/>
        </w:rPr>
        <w:t xml:space="preserve"> amending </w:t>
      </w:r>
      <w:r w:rsidR="0053073F">
        <w:rPr>
          <w:noProof/>
        </w:rPr>
        <w:t>paragraph 2 of this Article</w:t>
      </w:r>
      <w:r w:rsidR="006836C8" w:rsidRPr="006836C8">
        <w:rPr>
          <w:noProof/>
        </w:rPr>
        <w:t xml:space="preserve"> by modifying the </w:t>
      </w:r>
      <w:r w:rsidR="00796E99">
        <w:rPr>
          <w:noProof/>
        </w:rPr>
        <w:t>rate</w:t>
      </w:r>
      <w:r w:rsidR="006836C8" w:rsidRPr="006836C8">
        <w:rPr>
          <w:noProof/>
        </w:rPr>
        <w:t xml:space="preserve"> of the risk premium</w:t>
      </w:r>
      <w:r w:rsidR="0053073F">
        <w:rPr>
          <w:noProof/>
        </w:rPr>
        <w:t xml:space="preserve">, </w:t>
      </w:r>
      <w:r w:rsidR="0053073F" w:rsidRPr="002D7743">
        <w:rPr>
          <w:noProof/>
        </w:rPr>
        <w:t xml:space="preserve">where </w:t>
      </w:r>
      <w:r w:rsidR="006836C8">
        <w:rPr>
          <w:noProof/>
        </w:rPr>
        <w:t>any</w:t>
      </w:r>
      <w:r w:rsidR="0053073F" w:rsidRPr="002D7743">
        <w:rPr>
          <w:noProof/>
        </w:rPr>
        <w:t xml:space="preserve"> of the following </w:t>
      </w:r>
      <w:r w:rsidR="00456680">
        <w:rPr>
          <w:noProof/>
        </w:rPr>
        <w:t xml:space="preserve">two </w:t>
      </w:r>
      <w:r w:rsidR="0053073F" w:rsidRPr="002D7743">
        <w:rPr>
          <w:noProof/>
        </w:rPr>
        <w:t>conditions is met</w:t>
      </w:r>
      <w:r w:rsidR="00803067" w:rsidRPr="001A05B3">
        <w:rPr>
          <w:noProof/>
        </w:rPr>
        <w:t>:</w:t>
      </w:r>
    </w:p>
    <w:p w14:paraId="05F54259" w14:textId="6768A2B3" w:rsidR="00803067" w:rsidRPr="001A05B3" w:rsidRDefault="004C6AA3" w:rsidP="004C6AA3">
      <w:pPr>
        <w:pStyle w:val="Point1"/>
        <w:rPr>
          <w:noProof/>
        </w:rPr>
      </w:pPr>
      <w:r w:rsidRPr="004C6AA3">
        <w:rPr>
          <w:noProof/>
        </w:rPr>
        <w:t>(a)</w:t>
      </w:r>
      <w:r w:rsidRPr="004C6AA3">
        <w:rPr>
          <w:noProof/>
        </w:rPr>
        <w:tab/>
      </w:r>
      <w:r w:rsidR="0053073F" w:rsidRPr="002D7743">
        <w:rPr>
          <w:noProof/>
        </w:rPr>
        <w:t xml:space="preserve">the </w:t>
      </w:r>
      <w:r w:rsidR="0053073F" w:rsidRPr="00A25010">
        <w:rPr>
          <w:noProof/>
        </w:rPr>
        <w:t xml:space="preserve">10-year </w:t>
      </w:r>
      <w:r w:rsidR="0053073F">
        <w:rPr>
          <w:noProof/>
        </w:rPr>
        <w:t xml:space="preserve">risk-free interest rate as referred to in paragraph 2 </w:t>
      </w:r>
      <w:r w:rsidR="00CF13D7">
        <w:rPr>
          <w:noProof/>
        </w:rPr>
        <w:t xml:space="preserve">of this Article </w:t>
      </w:r>
      <w:r w:rsidR="0053073F" w:rsidRPr="002D7743">
        <w:rPr>
          <w:noProof/>
        </w:rPr>
        <w:t xml:space="preserve">varies by more than </w:t>
      </w:r>
      <w:r w:rsidR="0053073F">
        <w:rPr>
          <w:noProof/>
        </w:rPr>
        <w:t>two</w:t>
      </w:r>
      <w:r w:rsidR="0053073F" w:rsidRPr="002D7743">
        <w:rPr>
          <w:noProof/>
        </w:rPr>
        <w:t xml:space="preserve"> percentage points </w:t>
      </w:r>
      <w:r w:rsidR="0053073F">
        <w:rPr>
          <w:noProof/>
        </w:rPr>
        <w:t>with regard to at least three U</w:t>
      </w:r>
      <w:r w:rsidR="006836C8">
        <w:rPr>
          <w:noProof/>
        </w:rPr>
        <w:t>nion</w:t>
      </w:r>
      <w:r w:rsidR="0053073F" w:rsidRPr="00A25010">
        <w:rPr>
          <w:noProof/>
        </w:rPr>
        <w:t xml:space="preserve"> currenc</w:t>
      </w:r>
      <w:r w:rsidR="0053073F">
        <w:rPr>
          <w:noProof/>
        </w:rPr>
        <w:t>ies</w:t>
      </w:r>
      <w:r w:rsidR="0053073F" w:rsidRPr="00A25010">
        <w:rPr>
          <w:noProof/>
        </w:rPr>
        <w:t xml:space="preserve"> </w:t>
      </w:r>
      <w:r w:rsidR="0053073F">
        <w:rPr>
          <w:noProof/>
        </w:rPr>
        <w:t>compared to</w:t>
      </w:r>
      <w:r w:rsidR="0053073F" w:rsidRPr="002D7743">
        <w:rPr>
          <w:noProof/>
        </w:rPr>
        <w:t xml:space="preserve"> the tax </w:t>
      </w:r>
      <w:r w:rsidR="004E6ABD">
        <w:rPr>
          <w:noProof/>
        </w:rPr>
        <w:t>period</w:t>
      </w:r>
      <w:r w:rsidR="0053073F" w:rsidRPr="002D7743">
        <w:rPr>
          <w:noProof/>
        </w:rPr>
        <w:t xml:space="preserve"> </w:t>
      </w:r>
      <w:r w:rsidR="00B97817">
        <w:rPr>
          <w:noProof/>
        </w:rPr>
        <w:t xml:space="preserve">in which </w:t>
      </w:r>
      <w:r w:rsidR="0053073F" w:rsidRPr="00D61A4C">
        <w:rPr>
          <w:noProof/>
        </w:rPr>
        <w:t xml:space="preserve">the </w:t>
      </w:r>
      <w:r w:rsidR="00CF13D7" w:rsidRPr="00515122">
        <w:rPr>
          <w:noProof/>
        </w:rPr>
        <w:t xml:space="preserve">most recent </w:t>
      </w:r>
      <w:r w:rsidR="0053073F" w:rsidRPr="00515122">
        <w:rPr>
          <w:noProof/>
        </w:rPr>
        <w:t>delegated act modifying the risk premium</w:t>
      </w:r>
      <w:r w:rsidR="0022123C" w:rsidRPr="00515122">
        <w:rPr>
          <w:noProof/>
        </w:rPr>
        <w:t>,</w:t>
      </w:r>
      <w:r w:rsidR="003813A8" w:rsidRPr="00A73E4E">
        <w:rPr>
          <w:noProof/>
        </w:rPr>
        <w:t xml:space="preserve"> or, </w:t>
      </w:r>
      <w:r w:rsidR="000C12A4" w:rsidRPr="00583416">
        <w:rPr>
          <w:noProof/>
        </w:rPr>
        <w:t>where</w:t>
      </w:r>
      <w:r w:rsidR="003813A8" w:rsidRPr="00C32D3B">
        <w:rPr>
          <w:noProof/>
        </w:rPr>
        <w:t xml:space="preserve"> there is no such delegated act, this Directive</w:t>
      </w:r>
      <w:r w:rsidR="0053073F" w:rsidRPr="00C32D3B">
        <w:rPr>
          <w:noProof/>
        </w:rPr>
        <w:t xml:space="preserve"> started to apply</w:t>
      </w:r>
      <w:r w:rsidR="00803067" w:rsidRPr="00C32D3B">
        <w:rPr>
          <w:noProof/>
        </w:rPr>
        <w:t>;</w:t>
      </w:r>
      <w:r w:rsidR="00803067" w:rsidRPr="001A05B3">
        <w:rPr>
          <w:noProof/>
        </w:rPr>
        <w:t xml:space="preserve"> </w:t>
      </w:r>
      <w:r w:rsidR="00456680">
        <w:rPr>
          <w:noProof/>
        </w:rPr>
        <w:t>or</w:t>
      </w:r>
    </w:p>
    <w:p w14:paraId="33EFB568" w14:textId="423F103D" w:rsidR="005A28C7" w:rsidRDefault="004C6AA3" w:rsidP="005A28C7">
      <w:pPr>
        <w:pStyle w:val="Point1"/>
        <w:rPr>
          <w:noProof/>
          <w:lang w:val="en-IE"/>
        </w:rPr>
      </w:pPr>
      <w:r w:rsidRPr="004C6AA3">
        <w:rPr>
          <w:noProof/>
        </w:rPr>
        <w:t>(b)</w:t>
      </w:r>
      <w:r w:rsidRPr="004C6AA3">
        <w:rPr>
          <w:noProof/>
        </w:rPr>
        <w:tab/>
      </w:r>
      <w:r w:rsidR="0053073F" w:rsidRPr="000471CE">
        <w:rPr>
          <w:noProof/>
          <w:lang w:val="en-IE"/>
        </w:rPr>
        <w:t>zero or negative growth of the gross domestic product of the EU area</w:t>
      </w:r>
      <w:r w:rsidR="005F0653">
        <w:rPr>
          <w:noProof/>
          <w:lang w:val="en-IE"/>
        </w:rPr>
        <w:t xml:space="preserve"> </w:t>
      </w:r>
      <w:r w:rsidR="0053073F" w:rsidRPr="000471CE">
        <w:rPr>
          <w:noProof/>
          <w:lang w:val="en-IE"/>
        </w:rPr>
        <w:t>in at least two successive quarters</w:t>
      </w:r>
      <w:r w:rsidR="00FA1D6F">
        <w:rPr>
          <w:noProof/>
          <w:lang w:val="en-IE"/>
        </w:rPr>
        <w:t>;</w:t>
      </w:r>
    </w:p>
    <w:p w14:paraId="085ED74B" w14:textId="3E839410" w:rsidR="005A28C7" w:rsidRDefault="005A28C7" w:rsidP="005A28C7">
      <w:pPr>
        <w:pStyle w:val="Point1"/>
        <w:rPr>
          <w:noProof/>
          <w:lang w:val="en-IE"/>
        </w:rPr>
      </w:pPr>
      <w:r>
        <w:rPr>
          <w:noProof/>
          <w:lang w:val="en-IE"/>
        </w:rPr>
        <w:t>and</w:t>
      </w:r>
    </w:p>
    <w:p w14:paraId="53D59C2E" w14:textId="41C9ABA4" w:rsidR="00CD437E" w:rsidRDefault="00CD437E" w:rsidP="00CD437E">
      <w:pPr>
        <w:pStyle w:val="Point1"/>
        <w:rPr>
          <w:noProof/>
          <w:lang w:val="en-IE"/>
        </w:rPr>
      </w:pPr>
      <w:r>
        <w:rPr>
          <w:noProof/>
          <w:lang w:val="en-IE"/>
        </w:rPr>
        <w:t xml:space="preserve">(c) </w:t>
      </w:r>
      <w:r>
        <w:rPr>
          <w:noProof/>
          <w:lang w:val="en-IE"/>
        </w:rPr>
        <w:tab/>
      </w:r>
      <w:r w:rsidRPr="00CD437E">
        <w:rPr>
          <w:noProof/>
          <w:lang w:val="en-IE"/>
        </w:rPr>
        <w:t>the relevant data, reports and statistics, including those provided by Member States, conclude that the EU average of the financing conditions of debt for taxpayers in scope of th</w:t>
      </w:r>
      <w:r w:rsidR="005A28C7">
        <w:rPr>
          <w:noProof/>
          <w:lang w:val="en-IE"/>
        </w:rPr>
        <w:t>is</w:t>
      </w:r>
      <w:r w:rsidRPr="00CD437E">
        <w:rPr>
          <w:noProof/>
          <w:lang w:val="en-IE"/>
        </w:rPr>
        <w:t xml:space="preserve"> directive ha</w:t>
      </w:r>
      <w:r w:rsidR="00F13068">
        <w:rPr>
          <w:noProof/>
          <w:lang w:val="en-IE"/>
        </w:rPr>
        <w:t>s</w:t>
      </w:r>
      <w:r w:rsidRPr="00CD437E">
        <w:rPr>
          <w:noProof/>
          <w:lang w:val="en-IE"/>
        </w:rPr>
        <w:t xml:space="preserve"> more than doubled or halved since the last determination of the risk premium established in paragraph 2</w:t>
      </w:r>
      <w:r w:rsidR="004F74E8">
        <w:rPr>
          <w:noProof/>
          <w:lang w:val="en-IE"/>
        </w:rPr>
        <w:t>.</w:t>
      </w:r>
      <w:r w:rsidRPr="00CD437E">
        <w:rPr>
          <w:noProof/>
          <w:lang w:val="en-IE"/>
        </w:rPr>
        <w:t xml:space="preserve">  </w:t>
      </w:r>
    </w:p>
    <w:p w14:paraId="05F5425A" w14:textId="1E6B775E" w:rsidR="00803067" w:rsidRPr="001A05B3" w:rsidRDefault="005165D9" w:rsidP="005165D9">
      <w:pPr>
        <w:pStyle w:val="Text1"/>
        <w:ind w:left="0"/>
        <w:rPr>
          <w:noProof/>
        </w:rPr>
      </w:pPr>
      <w:r w:rsidRPr="005165D9">
        <w:rPr>
          <w:noProof/>
        </w:rPr>
        <w:t xml:space="preserve">The </w:t>
      </w:r>
      <w:r>
        <w:rPr>
          <w:noProof/>
        </w:rPr>
        <w:t xml:space="preserve">percentage of </w:t>
      </w:r>
      <w:r w:rsidRPr="005165D9">
        <w:rPr>
          <w:noProof/>
        </w:rPr>
        <w:t xml:space="preserve">increase or decrease of the risk premium shall </w:t>
      </w:r>
      <w:r w:rsidR="005D5E86" w:rsidRPr="005D5E86">
        <w:rPr>
          <w:bCs/>
          <w:noProof/>
        </w:rPr>
        <w:t xml:space="preserve">take into account </w:t>
      </w:r>
      <w:r w:rsidR="009817E4" w:rsidRPr="009817E4">
        <w:rPr>
          <w:bCs/>
          <w:noProof/>
        </w:rPr>
        <w:t>the changes in the</w:t>
      </w:r>
      <w:r w:rsidR="009817E4" w:rsidRPr="009817E4">
        <w:rPr>
          <w:noProof/>
        </w:rPr>
        <w:t xml:space="preserve"> </w:t>
      </w:r>
      <w:r w:rsidR="009817E4" w:rsidRPr="009817E4">
        <w:rPr>
          <w:bCs/>
          <w:noProof/>
        </w:rPr>
        <w:t>financing conditions mentioned under point (c) of the first subparagraph other than changes in the risk-free interest rate for the EU as laid down in the implementing acts adopted pursuant to Article 77e(2) of Directive 2009/138/EC, and in any case</w:t>
      </w:r>
      <w:r w:rsidR="009817E4" w:rsidRPr="009817E4">
        <w:rPr>
          <w:noProof/>
        </w:rPr>
        <w:t xml:space="preserve"> </w:t>
      </w:r>
      <w:r w:rsidR="005D5E86">
        <w:rPr>
          <w:noProof/>
        </w:rPr>
        <w:t xml:space="preserve">shall </w:t>
      </w:r>
      <w:r w:rsidRPr="005165D9">
        <w:rPr>
          <w:noProof/>
        </w:rPr>
        <w:t xml:space="preserve">not begreater than the percentage of increase or decrease of the financing conditions </w:t>
      </w:r>
      <w:r w:rsidR="005A28C7">
        <w:rPr>
          <w:noProof/>
        </w:rPr>
        <w:t xml:space="preserve">mentioned under point (c) of </w:t>
      </w:r>
      <w:r w:rsidR="00D257CD">
        <w:rPr>
          <w:noProof/>
        </w:rPr>
        <w:t>the first sub</w:t>
      </w:r>
      <w:r w:rsidRPr="005165D9">
        <w:rPr>
          <w:noProof/>
        </w:rPr>
        <w:t>paragraph</w:t>
      </w:r>
      <w:r>
        <w:rPr>
          <w:noProof/>
        </w:rPr>
        <w:t>.</w:t>
      </w:r>
    </w:p>
    <w:p w14:paraId="05F5425B" w14:textId="77777777" w:rsidR="00803067" w:rsidRPr="001A05B3" w:rsidRDefault="00803067" w:rsidP="00803067">
      <w:pPr>
        <w:pStyle w:val="Titrearticle"/>
        <w:rPr>
          <w:b/>
          <w:noProof/>
        </w:rPr>
      </w:pPr>
      <w:r w:rsidRPr="001A05B3">
        <w:rPr>
          <w:noProof/>
        </w:rPr>
        <w:t>Article 5</w:t>
      </w:r>
      <w:r w:rsidRPr="001A05B3">
        <w:rPr>
          <w:noProof/>
        </w:rPr>
        <w:br/>
      </w:r>
      <w:r w:rsidRPr="001A05B3">
        <w:rPr>
          <w:b/>
          <w:noProof/>
        </w:rPr>
        <w:t xml:space="preserve">Anti-Abuse Rules </w:t>
      </w:r>
    </w:p>
    <w:p w14:paraId="05F5425C" w14:textId="77777777" w:rsidR="00803067" w:rsidRPr="001A05B3" w:rsidRDefault="004C6AA3" w:rsidP="004C6AA3">
      <w:pPr>
        <w:pStyle w:val="ManualNumPar1"/>
        <w:rPr>
          <w:noProof/>
        </w:rPr>
      </w:pPr>
      <w:r w:rsidRPr="004C6AA3">
        <w:rPr>
          <w:noProof/>
        </w:rPr>
        <w:t>1.</w:t>
      </w:r>
      <w:r w:rsidRPr="004C6AA3">
        <w:rPr>
          <w:noProof/>
        </w:rPr>
        <w:tab/>
      </w:r>
      <w:r w:rsidR="00803067" w:rsidRPr="001A05B3">
        <w:rPr>
          <w:noProof/>
        </w:rPr>
        <w:t>Member States shall take appropriate measures to ensure that the base of the allowance</w:t>
      </w:r>
      <w:r w:rsidR="000F7EE6">
        <w:rPr>
          <w:noProof/>
        </w:rPr>
        <w:t xml:space="preserve"> on equity</w:t>
      </w:r>
      <w:r w:rsidR="00803067" w:rsidRPr="001A05B3">
        <w:rPr>
          <w:noProof/>
        </w:rPr>
        <w:t xml:space="preserve"> does not include the amount of any increase which is the result of:</w:t>
      </w:r>
    </w:p>
    <w:p w14:paraId="05F5425D" w14:textId="77777777" w:rsidR="00803067" w:rsidRPr="001A05B3" w:rsidRDefault="004C6AA3" w:rsidP="004C6AA3">
      <w:pPr>
        <w:pStyle w:val="Point1"/>
        <w:rPr>
          <w:noProof/>
        </w:rPr>
      </w:pPr>
      <w:r w:rsidRPr="004C6AA3">
        <w:rPr>
          <w:noProof/>
        </w:rPr>
        <w:t>(a)</w:t>
      </w:r>
      <w:r w:rsidRPr="004C6AA3">
        <w:rPr>
          <w:noProof/>
        </w:rPr>
        <w:tab/>
      </w:r>
      <w:r w:rsidR="00803067" w:rsidRPr="001A05B3">
        <w:rPr>
          <w:noProof/>
        </w:rPr>
        <w:t>granting loans between associated enterprises;</w:t>
      </w:r>
    </w:p>
    <w:p w14:paraId="05F5425E" w14:textId="77777777" w:rsidR="00803067" w:rsidRPr="001A05B3" w:rsidRDefault="004C6AA3" w:rsidP="004C6AA3">
      <w:pPr>
        <w:pStyle w:val="Point1"/>
        <w:rPr>
          <w:noProof/>
        </w:rPr>
      </w:pPr>
      <w:r w:rsidRPr="004C6AA3">
        <w:rPr>
          <w:noProof/>
        </w:rPr>
        <w:t>(b)</w:t>
      </w:r>
      <w:r w:rsidRPr="004C6AA3">
        <w:rPr>
          <w:noProof/>
        </w:rPr>
        <w:tab/>
      </w:r>
      <w:r w:rsidR="00803067" w:rsidRPr="001A05B3">
        <w:rPr>
          <w:noProof/>
        </w:rPr>
        <w:t>a transfer between associated enterprises of participations or of a business activity as a going concern;</w:t>
      </w:r>
    </w:p>
    <w:p w14:paraId="05F5425F" w14:textId="77777777" w:rsidR="00803067" w:rsidRPr="001A05B3" w:rsidRDefault="004C6AA3" w:rsidP="004C6AA3">
      <w:pPr>
        <w:pStyle w:val="Point1"/>
        <w:rPr>
          <w:noProof/>
        </w:rPr>
      </w:pPr>
      <w:r w:rsidRPr="004C6AA3">
        <w:rPr>
          <w:noProof/>
        </w:rPr>
        <w:t>(c)</w:t>
      </w:r>
      <w:r w:rsidRPr="004C6AA3">
        <w:rPr>
          <w:noProof/>
        </w:rPr>
        <w:tab/>
      </w:r>
      <w:r w:rsidR="00803067" w:rsidRPr="001A05B3">
        <w:rPr>
          <w:noProof/>
        </w:rPr>
        <w:t xml:space="preserve">a contribution in cash from a person resident for tax purposes in a jurisdiction that does not exchange information with the Member State in which the taxpayer seeks to deduct </w:t>
      </w:r>
      <w:r w:rsidR="0004195D" w:rsidRPr="001A05B3">
        <w:rPr>
          <w:noProof/>
        </w:rPr>
        <w:t>the allowance on equity</w:t>
      </w:r>
      <w:r w:rsidR="00803067" w:rsidRPr="001A05B3">
        <w:rPr>
          <w:noProof/>
        </w:rPr>
        <w:t>.</w:t>
      </w:r>
    </w:p>
    <w:p w14:paraId="05F54260" w14:textId="77777777" w:rsidR="00803067" w:rsidRPr="001A05B3" w:rsidRDefault="00803067" w:rsidP="00803067">
      <w:pPr>
        <w:pStyle w:val="Text1"/>
        <w:rPr>
          <w:noProof/>
        </w:rPr>
      </w:pPr>
      <w:r w:rsidRPr="001342D9">
        <w:rPr>
          <w:noProof/>
        </w:rPr>
        <w:t>Th</w:t>
      </w:r>
      <w:r w:rsidR="00B00A02" w:rsidRPr="001342D9">
        <w:rPr>
          <w:noProof/>
        </w:rPr>
        <w:t>is</w:t>
      </w:r>
      <w:r w:rsidRPr="00000D46">
        <w:rPr>
          <w:noProof/>
        </w:rPr>
        <w:t xml:space="preserve"> paragraph</w:t>
      </w:r>
      <w:r w:rsidRPr="001A05B3">
        <w:rPr>
          <w:noProof/>
        </w:rPr>
        <w:t xml:space="preserve"> shall not apply if the taxpayer provides sufficient evidence that the relevant transaction has been carried out for valid commercial reasons and does not lead to a double deduction of the defined allowance on equity.</w:t>
      </w:r>
    </w:p>
    <w:p w14:paraId="05F54261" w14:textId="77777777" w:rsidR="00D868AE" w:rsidRDefault="004C6AA3" w:rsidP="004C6AA3">
      <w:pPr>
        <w:pStyle w:val="ManualNumPar1"/>
        <w:rPr>
          <w:noProof/>
        </w:rPr>
      </w:pPr>
      <w:r w:rsidRPr="004C6AA3">
        <w:rPr>
          <w:noProof/>
        </w:rPr>
        <w:t>2.</w:t>
      </w:r>
      <w:r w:rsidRPr="004C6AA3">
        <w:rPr>
          <w:noProof/>
        </w:rPr>
        <w:tab/>
      </w:r>
      <w:r w:rsidR="00803067" w:rsidRPr="001A05B3">
        <w:rPr>
          <w:noProof/>
        </w:rPr>
        <w:t xml:space="preserve">Where an increase in equity is the result of a contribution in kind or investment in an asset, Member States shall take the appropriate measures to ensure that the value of the asset is taken into account for the calculation of the base of the allowance </w:t>
      </w:r>
      <w:r w:rsidR="003C2CFA">
        <w:rPr>
          <w:noProof/>
        </w:rPr>
        <w:t xml:space="preserve">only where </w:t>
      </w:r>
      <w:r w:rsidR="006475ED">
        <w:rPr>
          <w:noProof/>
        </w:rPr>
        <w:t>t</w:t>
      </w:r>
      <w:r w:rsidR="00803067" w:rsidRPr="001A05B3">
        <w:rPr>
          <w:noProof/>
        </w:rPr>
        <w:t>he asset is necessary for the performance of the taxpayer’s income</w:t>
      </w:r>
      <w:r w:rsidR="006475ED">
        <w:rPr>
          <w:noProof/>
        </w:rPr>
        <w:t>-</w:t>
      </w:r>
      <w:r w:rsidR="00803067" w:rsidRPr="001A05B3">
        <w:rPr>
          <w:noProof/>
        </w:rPr>
        <w:t>generating activity</w:t>
      </w:r>
      <w:r w:rsidR="003C2CFA">
        <w:rPr>
          <w:noProof/>
        </w:rPr>
        <w:t>.</w:t>
      </w:r>
    </w:p>
    <w:p w14:paraId="05F54262" w14:textId="77777777" w:rsidR="00D868AE" w:rsidRDefault="003C2CFA" w:rsidP="00C410DC">
      <w:pPr>
        <w:pStyle w:val="Text1"/>
        <w:rPr>
          <w:noProof/>
        </w:rPr>
      </w:pPr>
      <w:r>
        <w:rPr>
          <w:noProof/>
        </w:rPr>
        <w:t>I</w:t>
      </w:r>
      <w:r w:rsidR="00803067" w:rsidRPr="001A05B3">
        <w:rPr>
          <w:noProof/>
        </w:rPr>
        <w:t>f the asset consists of shares, it s</w:t>
      </w:r>
      <w:r>
        <w:rPr>
          <w:noProof/>
        </w:rPr>
        <w:t>hall</w:t>
      </w:r>
      <w:r w:rsidR="00803067" w:rsidRPr="001A05B3">
        <w:rPr>
          <w:noProof/>
        </w:rPr>
        <w:t xml:space="preserve"> </w:t>
      </w:r>
      <w:r w:rsidR="00410181">
        <w:rPr>
          <w:noProof/>
        </w:rPr>
        <w:t xml:space="preserve">be </w:t>
      </w:r>
      <w:r w:rsidR="00803067" w:rsidRPr="001A05B3">
        <w:rPr>
          <w:noProof/>
        </w:rPr>
        <w:t>taken into account at its book value</w:t>
      </w:r>
      <w:r>
        <w:rPr>
          <w:noProof/>
        </w:rPr>
        <w:t>.</w:t>
      </w:r>
    </w:p>
    <w:p w14:paraId="05F54263" w14:textId="77777777" w:rsidR="00803067" w:rsidRPr="001A05B3" w:rsidRDefault="003C2CFA" w:rsidP="00C410DC">
      <w:pPr>
        <w:pStyle w:val="Text1"/>
        <w:rPr>
          <w:noProof/>
        </w:rPr>
      </w:pPr>
      <w:r>
        <w:rPr>
          <w:noProof/>
        </w:rPr>
        <w:t>I</w:t>
      </w:r>
      <w:r w:rsidR="00803067" w:rsidRPr="001A05B3">
        <w:rPr>
          <w:noProof/>
        </w:rPr>
        <w:t>f the asset is other than shares, it s</w:t>
      </w:r>
      <w:r>
        <w:rPr>
          <w:noProof/>
        </w:rPr>
        <w:t>hall</w:t>
      </w:r>
      <w:r w:rsidR="00803067" w:rsidRPr="001A05B3">
        <w:rPr>
          <w:noProof/>
        </w:rPr>
        <w:t xml:space="preserve"> </w:t>
      </w:r>
      <w:r w:rsidR="00410181">
        <w:rPr>
          <w:noProof/>
        </w:rPr>
        <w:t xml:space="preserve">be </w:t>
      </w:r>
      <w:r w:rsidR="00803067" w:rsidRPr="001A05B3">
        <w:rPr>
          <w:noProof/>
        </w:rPr>
        <w:t>taken into account at its market value, unless a different value has been given by a certified external auditor.</w:t>
      </w:r>
    </w:p>
    <w:p w14:paraId="05F54264" w14:textId="79DCC6AE" w:rsidR="00803067" w:rsidRPr="001A05B3" w:rsidRDefault="004C6AA3" w:rsidP="004C6AA3">
      <w:pPr>
        <w:pStyle w:val="ManualNumPar1"/>
        <w:rPr>
          <w:noProof/>
        </w:rPr>
      </w:pPr>
      <w:r w:rsidRPr="004C6AA3">
        <w:rPr>
          <w:noProof/>
        </w:rPr>
        <w:t>3.</w:t>
      </w:r>
      <w:r w:rsidRPr="004C6AA3">
        <w:rPr>
          <w:noProof/>
        </w:rPr>
        <w:tab/>
      </w:r>
      <w:r w:rsidR="00803067" w:rsidRPr="001A05B3">
        <w:rPr>
          <w:noProof/>
        </w:rPr>
        <w:t>Where an increase in equity is the result of a reorganisation of a group, such increase shall only be taken into account for the calculation of the base of the allowance</w:t>
      </w:r>
      <w:r w:rsidR="00DD7FEC">
        <w:rPr>
          <w:noProof/>
        </w:rPr>
        <w:t xml:space="preserve"> on equity</w:t>
      </w:r>
      <w:r w:rsidR="00803067" w:rsidRPr="001A05B3">
        <w:rPr>
          <w:noProof/>
        </w:rPr>
        <w:t xml:space="preserve"> for the taxpayer in accordance with Article 4</w:t>
      </w:r>
      <w:r w:rsidR="00803067" w:rsidRPr="00583416">
        <w:rPr>
          <w:noProof/>
        </w:rPr>
        <w:t xml:space="preserve"> to the extent that it does not result in converting</w:t>
      </w:r>
      <w:r w:rsidR="00B02634">
        <w:rPr>
          <w:noProof/>
        </w:rPr>
        <w:t xml:space="preserve"> into new </w:t>
      </w:r>
      <w:r w:rsidR="00312E14">
        <w:rPr>
          <w:noProof/>
        </w:rPr>
        <w:t xml:space="preserve">equity </w:t>
      </w:r>
      <w:r w:rsidR="00A23BA6">
        <w:rPr>
          <w:noProof/>
        </w:rPr>
        <w:t xml:space="preserve">the </w:t>
      </w:r>
      <w:r w:rsidR="00B02634">
        <w:rPr>
          <w:noProof/>
        </w:rPr>
        <w:t>equity</w:t>
      </w:r>
      <w:r w:rsidR="00A23BA6">
        <w:rPr>
          <w:noProof/>
        </w:rPr>
        <w:t xml:space="preserve"> (or part thereof)</w:t>
      </w:r>
      <w:r w:rsidR="00803067" w:rsidRPr="00583416">
        <w:rPr>
          <w:noProof/>
        </w:rPr>
        <w:t xml:space="preserve"> that already existed in the group before the re-organisation</w:t>
      </w:r>
      <w:r w:rsidR="00803067" w:rsidRPr="001A05B3">
        <w:rPr>
          <w:noProof/>
        </w:rPr>
        <w:t xml:space="preserve">. </w:t>
      </w:r>
    </w:p>
    <w:p w14:paraId="05F54265" w14:textId="77777777" w:rsidR="00803067" w:rsidRPr="001A05B3" w:rsidRDefault="00803067" w:rsidP="00803067">
      <w:pPr>
        <w:pStyle w:val="Titrearticle"/>
        <w:rPr>
          <w:b/>
          <w:noProof/>
        </w:rPr>
      </w:pPr>
      <w:r w:rsidRPr="001A05B3">
        <w:rPr>
          <w:noProof/>
        </w:rPr>
        <w:t>Article 6</w:t>
      </w:r>
      <w:r w:rsidRPr="001A05B3">
        <w:rPr>
          <w:noProof/>
        </w:rPr>
        <w:br/>
      </w:r>
      <w:r w:rsidRPr="001A05B3">
        <w:rPr>
          <w:b/>
          <w:noProof/>
        </w:rPr>
        <w:t xml:space="preserve">Limitation to Interest Deduction </w:t>
      </w:r>
    </w:p>
    <w:p w14:paraId="05F54266" w14:textId="77777777" w:rsidR="005F001C" w:rsidRDefault="004C6AA3" w:rsidP="004C6AA3">
      <w:pPr>
        <w:pStyle w:val="ManualNumPar1"/>
        <w:rPr>
          <w:noProof/>
        </w:rPr>
      </w:pPr>
      <w:r w:rsidRPr="004C6AA3">
        <w:rPr>
          <w:noProof/>
        </w:rPr>
        <w:t>1.</w:t>
      </w:r>
      <w:r w:rsidRPr="004C6AA3">
        <w:rPr>
          <w:noProof/>
        </w:rPr>
        <w:tab/>
      </w:r>
      <w:r w:rsidR="00A174B4">
        <w:rPr>
          <w:noProof/>
        </w:rPr>
        <w:t>Member States shall ensure that a</w:t>
      </w:r>
      <w:r w:rsidR="00085748" w:rsidRPr="00D71D95">
        <w:rPr>
          <w:noProof/>
        </w:rPr>
        <w:t xml:space="preserve"> taxpayer </w:t>
      </w:r>
      <w:r w:rsidR="00A174B4">
        <w:rPr>
          <w:noProof/>
        </w:rPr>
        <w:t>is able to</w:t>
      </w:r>
      <w:r w:rsidR="00085748" w:rsidRPr="00D71D95">
        <w:rPr>
          <w:noProof/>
        </w:rPr>
        <w:t xml:space="preserve"> deduct </w:t>
      </w:r>
      <w:r w:rsidR="00712F28">
        <w:rPr>
          <w:noProof/>
        </w:rPr>
        <w:t xml:space="preserve">from its taxable base for corporate income tax purposes </w:t>
      </w:r>
      <w:r w:rsidR="00085748" w:rsidRPr="00D71D95">
        <w:rPr>
          <w:noProof/>
        </w:rPr>
        <w:t xml:space="preserve">exceeding borrowing costs </w:t>
      </w:r>
      <w:r w:rsidR="006F362D">
        <w:rPr>
          <w:noProof/>
        </w:rPr>
        <w:t xml:space="preserve">as defined in Article 1, point </w:t>
      </w:r>
      <w:r w:rsidR="00255661">
        <w:rPr>
          <w:noProof/>
        </w:rPr>
        <w:t>(</w:t>
      </w:r>
      <w:r w:rsidR="006F362D">
        <w:rPr>
          <w:noProof/>
        </w:rPr>
        <w:t>2</w:t>
      </w:r>
      <w:r w:rsidR="00255661">
        <w:rPr>
          <w:noProof/>
        </w:rPr>
        <w:t>)</w:t>
      </w:r>
      <w:r w:rsidR="006F362D">
        <w:rPr>
          <w:noProof/>
        </w:rPr>
        <w:t xml:space="preserve">, of </w:t>
      </w:r>
      <w:r w:rsidR="00255661">
        <w:rPr>
          <w:noProof/>
        </w:rPr>
        <w:t xml:space="preserve">Council </w:t>
      </w:r>
      <w:r w:rsidR="00085748" w:rsidRPr="00D71D95">
        <w:rPr>
          <w:noProof/>
        </w:rPr>
        <w:t xml:space="preserve">Directive </w:t>
      </w:r>
      <w:r w:rsidR="006F362D">
        <w:rPr>
          <w:noProof/>
        </w:rPr>
        <w:t xml:space="preserve">(EU) </w:t>
      </w:r>
      <w:r w:rsidR="00085748" w:rsidRPr="00D71D95">
        <w:rPr>
          <w:noProof/>
        </w:rPr>
        <w:t>2016/1164</w:t>
      </w:r>
      <w:r w:rsidR="00255661">
        <w:rPr>
          <w:rStyle w:val="FootnoteReference"/>
          <w:noProof/>
        </w:rPr>
        <w:footnoteReference w:id="36"/>
      </w:r>
      <w:r w:rsidR="00085748" w:rsidRPr="00D71D95">
        <w:rPr>
          <w:noProof/>
        </w:rPr>
        <w:t xml:space="preserve"> up to</w:t>
      </w:r>
      <w:r w:rsidR="005F0653">
        <w:rPr>
          <w:noProof/>
        </w:rPr>
        <w:t xml:space="preserve"> </w:t>
      </w:r>
      <w:r w:rsidR="00085748" w:rsidRPr="00D71D95">
        <w:rPr>
          <w:noProof/>
        </w:rPr>
        <w:t xml:space="preserve">an amount </w:t>
      </w:r>
      <w:r w:rsidR="007A3CB7">
        <w:rPr>
          <w:noProof/>
        </w:rPr>
        <w:t xml:space="preserve">(a) </w:t>
      </w:r>
      <w:r w:rsidR="00085748" w:rsidRPr="00D71D95">
        <w:rPr>
          <w:noProof/>
        </w:rPr>
        <w:t>corresponding to 85</w:t>
      </w:r>
      <w:r w:rsidR="00D2609C">
        <w:rPr>
          <w:noProof/>
        </w:rPr>
        <w:t>%</w:t>
      </w:r>
      <w:r w:rsidR="00085748" w:rsidRPr="00D71D95">
        <w:rPr>
          <w:noProof/>
        </w:rPr>
        <w:t xml:space="preserve"> of such costs incurred during the tax </w:t>
      </w:r>
      <w:r w:rsidR="004E6ABD">
        <w:rPr>
          <w:noProof/>
        </w:rPr>
        <w:t>period</w:t>
      </w:r>
      <w:r w:rsidR="00712F28">
        <w:rPr>
          <w:noProof/>
        </w:rPr>
        <w:t>. I</w:t>
      </w:r>
      <w:r w:rsidR="00CE7109">
        <w:rPr>
          <w:noProof/>
        </w:rPr>
        <w:t>f</w:t>
      </w:r>
      <w:r w:rsidR="00712F28">
        <w:rPr>
          <w:noProof/>
        </w:rPr>
        <w:t xml:space="preserve"> such amount is higher than</w:t>
      </w:r>
      <w:r w:rsidR="00CE7109">
        <w:rPr>
          <w:noProof/>
        </w:rPr>
        <w:t xml:space="preserve"> </w:t>
      </w:r>
      <w:r w:rsidR="00085748">
        <w:rPr>
          <w:noProof/>
        </w:rPr>
        <w:t xml:space="preserve">the amount </w:t>
      </w:r>
      <w:r w:rsidR="007A3CB7">
        <w:rPr>
          <w:noProof/>
        </w:rPr>
        <w:t xml:space="preserve">(b) </w:t>
      </w:r>
      <w:r w:rsidR="00085748">
        <w:rPr>
          <w:noProof/>
        </w:rPr>
        <w:t xml:space="preserve">determined in accordance with Article 4 of Directive </w:t>
      </w:r>
      <w:r w:rsidR="004632FC">
        <w:rPr>
          <w:noProof/>
        </w:rPr>
        <w:t xml:space="preserve">(EU) </w:t>
      </w:r>
      <w:r w:rsidR="00085748">
        <w:rPr>
          <w:noProof/>
        </w:rPr>
        <w:t>2016/1164</w:t>
      </w:r>
      <w:r w:rsidR="00712F28">
        <w:rPr>
          <w:noProof/>
        </w:rPr>
        <w:t xml:space="preserve">, </w:t>
      </w:r>
      <w:r w:rsidR="00BF33CE">
        <w:rPr>
          <w:noProof/>
        </w:rPr>
        <w:t xml:space="preserve">Member States shall ensure that </w:t>
      </w:r>
      <w:r w:rsidR="00712F28">
        <w:rPr>
          <w:noProof/>
        </w:rPr>
        <w:t xml:space="preserve">the taxpayer </w:t>
      </w:r>
      <w:r w:rsidR="00BF33CE">
        <w:rPr>
          <w:noProof/>
        </w:rPr>
        <w:t xml:space="preserve">be </w:t>
      </w:r>
      <w:r w:rsidR="006E669A">
        <w:rPr>
          <w:noProof/>
        </w:rPr>
        <w:t>entitled</w:t>
      </w:r>
      <w:r w:rsidR="00BF33CE">
        <w:rPr>
          <w:noProof/>
        </w:rPr>
        <w:t xml:space="preserve"> to </w:t>
      </w:r>
      <w:r w:rsidR="00712F28">
        <w:rPr>
          <w:noProof/>
        </w:rPr>
        <w:t xml:space="preserve">deduct </w:t>
      </w:r>
      <w:r w:rsidR="00CF11D1">
        <w:rPr>
          <w:noProof/>
        </w:rPr>
        <w:t xml:space="preserve">only </w:t>
      </w:r>
      <w:r w:rsidR="00BF33CE">
        <w:rPr>
          <w:noProof/>
        </w:rPr>
        <w:t xml:space="preserve">the </w:t>
      </w:r>
      <w:r w:rsidR="006E669A">
        <w:rPr>
          <w:noProof/>
        </w:rPr>
        <w:t xml:space="preserve">lower </w:t>
      </w:r>
      <w:r w:rsidR="00255661">
        <w:rPr>
          <w:noProof/>
        </w:rPr>
        <w:t xml:space="preserve">of the two </w:t>
      </w:r>
      <w:r w:rsidR="00BF33CE">
        <w:rPr>
          <w:noProof/>
        </w:rPr>
        <w:t>amount</w:t>
      </w:r>
      <w:r w:rsidR="00255661">
        <w:rPr>
          <w:noProof/>
        </w:rPr>
        <w:t>s</w:t>
      </w:r>
      <w:r w:rsidR="00BF33CE">
        <w:rPr>
          <w:noProof/>
        </w:rPr>
        <w:t xml:space="preserve"> in </w:t>
      </w:r>
      <w:r w:rsidR="00CF11D1">
        <w:rPr>
          <w:noProof/>
        </w:rPr>
        <w:t xml:space="preserve">the tax </w:t>
      </w:r>
      <w:r w:rsidR="004E6ABD">
        <w:rPr>
          <w:noProof/>
        </w:rPr>
        <w:t>period</w:t>
      </w:r>
      <w:r w:rsidR="00CF11D1">
        <w:rPr>
          <w:noProof/>
        </w:rPr>
        <w:t xml:space="preserve">. The difference between the two amounts </w:t>
      </w:r>
      <w:r w:rsidR="007A3CB7">
        <w:rPr>
          <w:noProof/>
        </w:rPr>
        <w:t xml:space="preserve">(a) and (b) </w:t>
      </w:r>
      <w:r w:rsidR="00CF11D1">
        <w:rPr>
          <w:noProof/>
        </w:rPr>
        <w:t xml:space="preserve">shall be carried forward or back </w:t>
      </w:r>
      <w:r w:rsidR="00BF33CE">
        <w:rPr>
          <w:noProof/>
        </w:rPr>
        <w:t xml:space="preserve">in accordance with Article 4 of Directive (EU) 2016/1164. </w:t>
      </w:r>
    </w:p>
    <w:p w14:paraId="05F54267" w14:textId="77777777" w:rsidR="00803067" w:rsidRPr="00DA514D" w:rsidRDefault="004C6AA3" w:rsidP="004C6AA3">
      <w:pPr>
        <w:pStyle w:val="ManualNumPar1"/>
        <w:rPr>
          <w:noProof/>
        </w:rPr>
      </w:pPr>
      <w:r w:rsidRPr="004C6AA3">
        <w:rPr>
          <w:noProof/>
        </w:rPr>
        <w:t>2.</w:t>
      </w:r>
      <w:r w:rsidRPr="004C6AA3">
        <w:rPr>
          <w:noProof/>
        </w:rPr>
        <w:tab/>
      </w:r>
      <w:r w:rsidR="00085748" w:rsidRPr="00D71D95">
        <w:rPr>
          <w:noProof/>
        </w:rPr>
        <w:t xml:space="preserve">Paragraph 1 shall </w:t>
      </w:r>
      <w:r w:rsidR="00085748" w:rsidRPr="00000D46">
        <w:rPr>
          <w:noProof/>
        </w:rPr>
        <w:t xml:space="preserve">apply to </w:t>
      </w:r>
      <w:r w:rsidR="007A32CB" w:rsidRPr="00000D46">
        <w:rPr>
          <w:noProof/>
        </w:rPr>
        <w:t xml:space="preserve">exceeding </w:t>
      </w:r>
      <w:r w:rsidR="00085748" w:rsidRPr="00000D46">
        <w:rPr>
          <w:noProof/>
        </w:rPr>
        <w:t xml:space="preserve">borrowing costs incurred </w:t>
      </w:r>
      <w:r w:rsidR="006475ED" w:rsidRPr="00000D46">
        <w:rPr>
          <w:noProof/>
        </w:rPr>
        <w:t>from</w:t>
      </w:r>
      <w:r w:rsidR="00FC37CA" w:rsidRPr="00000D46">
        <w:rPr>
          <w:noProof/>
        </w:rPr>
        <w:t xml:space="preserve"> </w:t>
      </w:r>
      <w:r w:rsidR="006475ED" w:rsidRPr="00000D46">
        <w:rPr>
          <w:noProof/>
        </w:rPr>
        <w:t>[</w:t>
      </w:r>
      <w:r w:rsidR="00822590" w:rsidRPr="005F001C">
        <w:rPr>
          <w:noProof/>
        </w:rPr>
        <w:t>O</w:t>
      </w:r>
      <w:r w:rsidR="00822590" w:rsidRPr="00000D46">
        <w:rPr>
          <w:i/>
          <w:noProof/>
        </w:rPr>
        <w:t>P</w:t>
      </w:r>
      <w:r w:rsidR="00822590" w:rsidRPr="005F001C">
        <w:rPr>
          <w:i/>
          <w:noProof/>
        </w:rPr>
        <w:t xml:space="preserve"> insert the</w:t>
      </w:r>
      <w:r w:rsidR="00576681" w:rsidRPr="005F001C">
        <w:rPr>
          <w:i/>
          <w:noProof/>
        </w:rPr>
        <w:t xml:space="preserve"> date of entry into force of this </w:t>
      </w:r>
      <w:r w:rsidR="00822590" w:rsidRPr="005F001C">
        <w:rPr>
          <w:i/>
          <w:noProof/>
        </w:rPr>
        <w:t>Directive</w:t>
      </w:r>
      <w:r w:rsidR="006475ED" w:rsidRPr="00DA514D">
        <w:rPr>
          <w:noProof/>
        </w:rPr>
        <w:t>]</w:t>
      </w:r>
      <w:r w:rsidR="00803067" w:rsidRPr="00DA514D">
        <w:rPr>
          <w:noProof/>
        </w:rPr>
        <w:t xml:space="preserve">. </w:t>
      </w:r>
    </w:p>
    <w:p w14:paraId="05F54268" w14:textId="77777777" w:rsidR="00803067" w:rsidRPr="001A05B3" w:rsidRDefault="00803067" w:rsidP="005F001C">
      <w:pPr>
        <w:pStyle w:val="ChapterTitle"/>
        <w:rPr>
          <w:noProof/>
        </w:rPr>
      </w:pPr>
      <w:r w:rsidRPr="001A05B3">
        <w:rPr>
          <w:noProof/>
        </w:rPr>
        <w:t>CHAPTER III</w:t>
      </w:r>
      <w:r w:rsidRPr="001A05B3">
        <w:rPr>
          <w:noProof/>
        </w:rPr>
        <w:br/>
        <w:t>MONITORING AND REPORTING</w:t>
      </w:r>
    </w:p>
    <w:p w14:paraId="05F54269" w14:textId="77777777" w:rsidR="00803067" w:rsidRPr="0090379F" w:rsidRDefault="00803067" w:rsidP="00803067">
      <w:pPr>
        <w:pStyle w:val="Titrearticle"/>
        <w:rPr>
          <w:b/>
          <w:noProof/>
        </w:rPr>
      </w:pPr>
      <w:r w:rsidRPr="001A05B3">
        <w:rPr>
          <w:noProof/>
        </w:rPr>
        <w:t>Article 7</w:t>
      </w:r>
      <w:r w:rsidRPr="001A05B3">
        <w:rPr>
          <w:noProof/>
        </w:rPr>
        <w:br/>
      </w:r>
      <w:r w:rsidRPr="0090379F">
        <w:rPr>
          <w:b/>
          <w:noProof/>
        </w:rPr>
        <w:t>Monitoring</w:t>
      </w:r>
    </w:p>
    <w:p w14:paraId="05F5426A" w14:textId="77777777" w:rsidR="00803067" w:rsidRPr="0090379F" w:rsidRDefault="00D33538" w:rsidP="006C2CEA">
      <w:pPr>
        <w:rPr>
          <w:noProof/>
        </w:rPr>
      </w:pPr>
      <w:r>
        <w:rPr>
          <w:noProof/>
        </w:rPr>
        <w:t>Within 3</w:t>
      </w:r>
      <w:r w:rsidR="003D6B03" w:rsidRPr="0090379F">
        <w:rPr>
          <w:noProof/>
        </w:rPr>
        <w:t xml:space="preserve"> months from the end of </w:t>
      </w:r>
      <w:r w:rsidR="00A513AA" w:rsidRPr="0090379F">
        <w:rPr>
          <w:noProof/>
        </w:rPr>
        <w:t>every</w:t>
      </w:r>
      <w:r w:rsidR="003D6B03" w:rsidRPr="0090379F">
        <w:rPr>
          <w:noProof/>
        </w:rPr>
        <w:t xml:space="preserve"> tax </w:t>
      </w:r>
      <w:r w:rsidR="004E6ABD">
        <w:rPr>
          <w:noProof/>
        </w:rPr>
        <w:t>period</w:t>
      </w:r>
      <w:r w:rsidR="000C12A4" w:rsidRPr="0090379F">
        <w:rPr>
          <w:noProof/>
        </w:rPr>
        <w:t>,</w:t>
      </w:r>
      <w:r w:rsidR="003D6B03" w:rsidRPr="0090379F">
        <w:rPr>
          <w:noProof/>
        </w:rPr>
        <w:t xml:space="preserve"> </w:t>
      </w:r>
      <w:r w:rsidR="001F005E" w:rsidRPr="0090379F">
        <w:rPr>
          <w:noProof/>
        </w:rPr>
        <w:t xml:space="preserve">each </w:t>
      </w:r>
      <w:r w:rsidR="00803067" w:rsidRPr="0090379F">
        <w:rPr>
          <w:noProof/>
        </w:rPr>
        <w:t xml:space="preserve">Member State shall communicate the following information to the Commission </w:t>
      </w:r>
      <w:r w:rsidR="00F802D2" w:rsidRPr="0090379F">
        <w:rPr>
          <w:noProof/>
        </w:rPr>
        <w:t>regarding the</w:t>
      </w:r>
      <w:r w:rsidR="00803067" w:rsidRPr="0090379F">
        <w:rPr>
          <w:noProof/>
        </w:rPr>
        <w:t xml:space="preserve"> tax </w:t>
      </w:r>
      <w:r w:rsidR="004E6ABD">
        <w:rPr>
          <w:noProof/>
        </w:rPr>
        <w:t>period</w:t>
      </w:r>
      <w:r w:rsidR="00803067" w:rsidRPr="0090379F">
        <w:rPr>
          <w:noProof/>
        </w:rPr>
        <w:t xml:space="preserve">: </w:t>
      </w:r>
    </w:p>
    <w:p w14:paraId="05F5426B" w14:textId="77777777" w:rsidR="00803067" w:rsidRPr="0090379F" w:rsidRDefault="004C6AA3" w:rsidP="004C6AA3">
      <w:pPr>
        <w:pStyle w:val="Point0"/>
        <w:rPr>
          <w:noProof/>
        </w:rPr>
      </w:pPr>
      <w:r w:rsidRPr="004C6AA3">
        <w:rPr>
          <w:noProof/>
        </w:rPr>
        <w:t>(a)</w:t>
      </w:r>
      <w:r w:rsidRPr="004C6AA3">
        <w:rPr>
          <w:noProof/>
        </w:rPr>
        <w:tab/>
      </w:r>
      <w:r w:rsidR="006475ED" w:rsidRPr="0090379F">
        <w:rPr>
          <w:noProof/>
        </w:rPr>
        <w:t>the n</w:t>
      </w:r>
      <w:r w:rsidR="00803067" w:rsidRPr="0090379F">
        <w:rPr>
          <w:noProof/>
        </w:rPr>
        <w:t xml:space="preserve">umber of taxpayers that have benefited from the allowance on equity in the tax </w:t>
      </w:r>
      <w:r w:rsidR="004E6ABD">
        <w:rPr>
          <w:noProof/>
        </w:rPr>
        <w:t>period</w:t>
      </w:r>
      <w:r w:rsidR="00C0470E" w:rsidRPr="0090379F">
        <w:rPr>
          <w:noProof/>
        </w:rPr>
        <w:t>, also</w:t>
      </w:r>
      <w:r w:rsidR="00803067" w:rsidRPr="0090379F">
        <w:rPr>
          <w:noProof/>
        </w:rPr>
        <w:t xml:space="preserve"> </w:t>
      </w:r>
      <w:r w:rsidR="00474E45" w:rsidRPr="0090379F">
        <w:rPr>
          <w:noProof/>
        </w:rPr>
        <w:t>as a p</w:t>
      </w:r>
      <w:r w:rsidR="00000D46" w:rsidRPr="0090379F">
        <w:rPr>
          <w:noProof/>
        </w:rPr>
        <w:t>e</w:t>
      </w:r>
      <w:r w:rsidR="00474E45" w:rsidRPr="0090379F">
        <w:rPr>
          <w:noProof/>
        </w:rPr>
        <w:t>rcentage of</w:t>
      </w:r>
      <w:r w:rsidR="005F001C" w:rsidRPr="0090379F">
        <w:rPr>
          <w:noProof/>
        </w:rPr>
        <w:t xml:space="preserve"> </w:t>
      </w:r>
      <w:r w:rsidR="00803067" w:rsidRPr="0090379F">
        <w:rPr>
          <w:noProof/>
        </w:rPr>
        <w:t xml:space="preserve">the total number of taxpayers </w:t>
      </w:r>
      <w:r w:rsidR="006475ED" w:rsidRPr="0090379F">
        <w:rPr>
          <w:noProof/>
        </w:rPr>
        <w:t>falling with</w:t>
      </w:r>
      <w:r w:rsidR="00803067" w:rsidRPr="0090379F">
        <w:rPr>
          <w:noProof/>
        </w:rPr>
        <w:t xml:space="preserve">in </w:t>
      </w:r>
      <w:r w:rsidR="006475ED" w:rsidRPr="0090379F">
        <w:rPr>
          <w:noProof/>
        </w:rPr>
        <w:t xml:space="preserve">the </w:t>
      </w:r>
      <w:r w:rsidR="00803067" w:rsidRPr="0090379F">
        <w:rPr>
          <w:noProof/>
        </w:rPr>
        <w:t xml:space="preserve">scope of this </w:t>
      </w:r>
      <w:r w:rsidR="006475ED" w:rsidRPr="0090379F">
        <w:rPr>
          <w:noProof/>
        </w:rPr>
        <w:t>D</w:t>
      </w:r>
      <w:r w:rsidR="00803067" w:rsidRPr="0090379F">
        <w:rPr>
          <w:noProof/>
        </w:rPr>
        <w:t>irective</w:t>
      </w:r>
      <w:r w:rsidR="006475ED" w:rsidRPr="0090379F">
        <w:rPr>
          <w:noProof/>
        </w:rPr>
        <w:t>;</w:t>
      </w:r>
      <w:r w:rsidR="00803067" w:rsidRPr="0090379F">
        <w:rPr>
          <w:noProof/>
        </w:rPr>
        <w:t xml:space="preserve"> </w:t>
      </w:r>
    </w:p>
    <w:p w14:paraId="05F5426C" w14:textId="77777777" w:rsidR="00EF2EFC" w:rsidRPr="0090379F" w:rsidRDefault="004C6AA3" w:rsidP="004C6AA3">
      <w:pPr>
        <w:pStyle w:val="Point0"/>
        <w:rPr>
          <w:noProof/>
        </w:rPr>
      </w:pPr>
      <w:r w:rsidRPr="004C6AA3">
        <w:rPr>
          <w:noProof/>
        </w:rPr>
        <w:t>(b)</w:t>
      </w:r>
      <w:r w:rsidRPr="004C6AA3">
        <w:rPr>
          <w:noProof/>
        </w:rPr>
        <w:tab/>
      </w:r>
      <w:r w:rsidR="006475ED" w:rsidRPr="0090379F">
        <w:rPr>
          <w:noProof/>
        </w:rPr>
        <w:t>the n</w:t>
      </w:r>
      <w:r w:rsidR="00EF2EFC" w:rsidRPr="0090379F">
        <w:rPr>
          <w:noProof/>
        </w:rPr>
        <w:t xml:space="preserve">umber of SMEs that have benefitted from the allowance in the tax </w:t>
      </w:r>
      <w:r w:rsidR="004E6ABD">
        <w:rPr>
          <w:noProof/>
        </w:rPr>
        <w:t>period</w:t>
      </w:r>
      <w:r w:rsidR="00C0470E" w:rsidRPr="0090379F">
        <w:rPr>
          <w:noProof/>
        </w:rPr>
        <w:t xml:space="preserve">, </w:t>
      </w:r>
      <w:r w:rsidR="000043C3" w:rsidRPr="0090379F">
        <w:rPr>
          <w:noProof/>
        </w:rPr>
        <w:t xml:space="preserve">including </w:t>
      </w:r>
      <w:r w:rsidR="00474E45" w:rsidRPr="0090379F">
        <w:rPr>
          <w:noProof/>
        </w:rPr>
        <w:t>as a p</w:t>
      </w:r>
      <w:r w:rsidR="00000D46" w:rsidRPr="0090379F">
        <w:rPr>
          <w:noProof/>
        </w:rPr>
        <w:t>e</w:t>
      </w:r>
      <w:r w:rsidR="00474E45" w:rsidRPr="0090379F">
        <w:rPr>
          <w:noProof/>
        </w:rPr>
        <w:t>rcentage of</w:t>
      </w:r>
      <w:r w:rsidR="00C0470E" w:rsidRPr="0090379F">
        <w:rPr>
          <w:noProof/>
        </w:rPr>
        <w:t xml:space="preserve"> </w:t>
      </w:r>
      <w:r w:rsidR="00EF2EFC" w:rsidRPr="0090379F">
        <w:rPr>
          <w:noProof/>
        </w:rPr>
        <w:t xml:space="preserve">the total number of SMEs </w:t>
      </w:r>
      <w:r w:rsidR="006475ED" w:rsidRPr="0090379F">
        <w:rPr>
          <w:noProof/>
        </w:rPr>
        <w:t>falling with</w:t>
      </w:r>
      <w:r w:rsidR="00EF2EFC" w:rsidRPr="0090379F">
        <w:rPr>
          <w:noProof/>
        </w:rPr>
        <w:t>in</w:t>
      </w:r>
      <w:r w:rsidR="000043C3" w:rsidRPr="0090379F">
        <w:rPr>
          <w:noProof/>
        </w:rPr>
        <w:t xml:space="preserve"> the</w:t>
      </w:r>
      <w:r w:rsidR="00EF2EFC" w:rsidRPr="0090379F">
        <w:rPr>
          <w:noProof/>
        </w:rPr>
        <w:t xml:space="preserve"> scope of this </w:t>
      </w:r>
      <w:r w:rsidR="006475ED" w:rsidRPr="0090379F">
        <w:rPr>
          <w:noProof/>
        </w:rPr>
        <w:t>D</w:t>
      </w:r>
      <w:r w:rsidR="00EF2EFC" w:rsidRPr="0090379F">
        <w:rPr>
          <w:noProof/>
        </w:rPr>
        <w:t>irective</w:t>
      </w:r>
      <w:r w:rsidR="000043C3" w:rsidRPr="0090379F">
        <w:rPr>
          <w:noProof/>
        </w:rPr>
        <w:t xml:space="preserve"> and the number of SMEs </w:t>
      </w:r>
      <w:r w:rsidR="00DE032F">
        <w:rPr>
          <w:noProof/>
        </w:rPr>
        <w:t xml:space="preserve">that have benefitted from the allowance, </w:t>
      </w:r>
      <w:r w:rsidR="000043C3" w:rsidRPr="0090379F">
        <w:rPr>
          <w:noProof/>
        </w:rPr>
        <w:t>which are part of large groups</w:t>
      </w:r>
      <w:r w:rsidR="00D33538">
        <w:rPr>
          <w:noProof/>
        </w:rPr>
        <w:t xml:space="preserve"> within the meaning of</w:t>
      </w:r>
      <w:r w:rsidR="000043C3" w:rsidRPr="0090379F">
        <w:rPr>
          <w:noProof/>
        </w:rPr>
        <w:t xml:space="preserve"> Article 3(7) of Directive 2013/34/EU</w:t>
      </w:r>
      <w:r w:rsidR="006475ED" w:rsidRPr="0090379F">
        <w:rPr>
          <w:noProof/>
        </w:rPr>
        <w:t>;</w:t>
      </w:r>
    </w:p>
    <w:p w14:paraId="05F5426D" w14:textId="77777777" w:rsidR="00803067" w:rsidRPr="001A05B3" w:rsidRDefault="004C6AA3" w:rsidP="004C6AA3">
      <w:pPr>
        <w:pStyle w:val="Point0"/>
        <w:rPr>
          <w:noProof/>
        </w:rPr>
      </w:pPr>
      <w:r w:rsidRPr="004C6AA3">
        <w:rPr>
          <w:noProof/>
        </w:rPr>
        <w:t>(c)</w:t>
      </w:r>
      <w:r w:rsidRPr="004C6AA3">
        <w:rPr>
          <w:noProof/>
        </w:rPr>
        <w:tab/>
      </w:r>
      <w:r w:rsidR="006475ED" w:rsidRPr="0090379F">
        <w:rPr>
          <w:noProof/>
        </w:rPr>
        <w:t>the t</w:t>
      </w:r>
      <w:r w:rsidR="00803067" w:rsidRPr="0090379F">
        <w:rPr>
          <w:noProof/>
        </w:rPr>
        <w:t>otal amount</w:t>
      </w:r>
      <w:r w:rsidR="003D0766" w:rsidRPr="0090379F">
        <w:rPr>
          <w:noProof/>
        </w:rPr>
        <w:t xml:space="preserve"> of expenditure incurred or tax revenue lost due to the deduction of allowance on equity</w:t>
      </w:r>
      <w:r w:rsidR="00803067" w:rsidRPr="0090379F">
        <w:rPr>
          <w:noProof/>
        </w:rPr>
        <w:t xml:space="preserve"> allocated to the allowance</w:t>
      </w:r>
      <w:r w:rsidR="001F005E" w:rsidRPr="0090379F">
        <w:rPr>
          <w:noProof/>
        </w:rPr>
        <w:t xml:space="preserve"> on equity</w:t>
      </w:r>
      <w:r w:rsidR="00803067" w:rsidRPr="0090379F">
        <w:rPr>
          <w:noProof/>
        </w:rPr>
        <w:t xml:space="preserve"> as compared to the </w:t>
      </w:r>
      <w:r w:rsidR="00995EF9" w:rsidRPr="0090379F">
        <w:rPr>
          <w:noProof/>
        </w:rPr>
        <w:t xml:space="preserve">national </w:t>
      </w:r>
      <w:r w:rsidR="00803067" w:rsidRPr="0090379F">
        <w:rPr>
          <w:noProof/>
        </w:rPr>
        <w:t>gross domestic product</w:t>
      </w:r>
      <w:r w:rsidR="001F005E">
        <w:rPr>
          <w:noProof/>
        </w:rPr>
        <w:t xml:space="preserve"> of the Member State</w:t>
      </w:r>
      <w:r w:rsidR="006475ED">
        <w:rPr>
          <w:noProof/>
        </w:rPr>
        <w:t>;</w:t>
      </w:r>
    </w:p>
    <w:p w14:paraId="05F5426E" w14:textId="77777777" w:rsidR="00803067" w:rsidRPr="001A05B3" w:rsidRDefault="004C6AA3" w:rsidP="004C6AA3">
      <w:pPr>
        <w:pStyle w:val="Point0"/>
        <w:rPr>
          <w:noProof/>
        </w:rPr>
      </w:pPr>
      <w:r w:rsidRPr="004C6AA3">
        <w:rPr>
          <w:noProof/>
        </w:rPr>
        <w:t>(d)</w:t>
      </w:r>
      <w:r w:rsidRPr="004C6AA3">
        <w:rPr>
          <w:noProof/>
        </w:rPr>
        <w:tab/>
      </w:r>
      <w:r w:rsidR="006475ED">
        <w:rPr>
          <w:noProof/>
        </w:rPr>
        <w:t>the t</w:t>
      </w:r>
      <w:r w:rsidR="00803067" w:rsidRPr="001A05B3">
        <w:rPr>
          <w:noProof/>
        </w:rPr>
        <w:t>otal amount of exceeding borrowing costs</w:t>
      </w:r>
      <w:r w:rsidR="00F425C3">
        <w:rPr>
          <w:noProof/>
        </w:rPr>
        <w:t>;</w:t>
      </w:r>
    </w:p>
    <w:p w14:paraId="05F5426F" w14:textId="77777777" w:rsidR="00803067" w:rsidRPr="001A05B3" w:rsidRDefault="004C6AA3" w:rsidP="004C6AA3">
      <w:pPr>
        <w:pStyle w:val="Point0"/>
        <w:rPr>
          <w:noProof/>
        </w:rPr>
      </w:pPr>
      <w:r w:rsidRPr="004C6AA3">
        <w:rPr>
          <w:noProof/>
        </w:rPr>
        <w:t>(e)</w:t>
      </w:r>
      <w:r w:rsidRPr="004C6AA3">
        <w:rPr>
          <w:noProof/>
        </w:rPr>
        <w:tab/>
      </w:r>
      <w:r w:rsidR="00F425C3">
        <w:rPr>
          <w:noProof/>
        </w:rPr>
        <w:t>the t</w:t>
      </w:r>
      <w:r w:rsidR="00803067" w:rsidRPr="001A05B3">
        <w:rPr>
          <w:noProof/>
        </w:rPr>
        <w:t>otal amount of non-deductible exceeding borrowing costs</w:t>
      </w:r>
      <w:r w:rsidR="00803067" w:rsidRPr="00B42151">
        <w:rPr>
          <w:noProof/>
        </w:rPr>
        <w:t>.</w:t>
      </w:r>
      <w:r w:rsidR="00F425C3">
        <w:rPr>
          <w:noProof/>
        </w:rPr>
        <w:t>;</w:t>
      </w:r>
    </w:p>
    <w:p w14:paraId="05F54270" w14:textId="77777777" w:rsidR="00803067" w:rsidRPr="001A05B3" w:rsidRDefault="004C6AA3" w:rsidP="004C6AA3">
      <w:pPr>
        <w:pStyle w:val="Point0"/>
        <w:rPr>
          <w:noProof/>
        </w:rPr>
      </w:pPr>
      <w:r w:rsidRPr="004C6AA3">
        <w:rPr>
          <w:noProof/>
        </w:rPr>
        <w:t>(f)</w:t>
      </w:r>
      <w:r w:rsidRPr="004C6AA3">
        <w:rPr>
          <w:noProof/>
        </w:rPr>
        <w:tab/>
      </w:r>
      <w:r w:rsidR="00F425C3">
        <w:rPr>
          <w:noProof/>
        </w:rPr>
        <w:t>the n</w:t>
      </w:r>
      <w:r w:rsidR="00803067" w:rsidRPr="001A05B3">
        <w:rPr>
          <w:noProof/>
        </w:rPr>
        <w:t xml:space="preserve">umber of taxpayers to which anti-abuse measures have been applied in the tax </w:t>
      </w:r>
      <w:r w:rsidR="004E6ABD">
        <w:rPr>
          <w:noProof/>
        </w:rPr>
        <w:t>period</w:t>
      </w:r>
      <w:r w:rsidR="00803067" w:rsidRPr="001A05B3">
        <w:rPr>
          <w:noProof/>
        </w:rPr>
        <w:t xml:space="preserve"> </w:t>
      </w:r>
      <w:r w:rsidR="00F425C3">
        <w:rPr>
          <w:noProof/>
        </w:rPr>
        <w:t>pursuant to</w:t>
      </w:r>
      <w:r w:rsidR="001F005E">
        <w:rPr>
          <w:noProof/>
        </w:rPr>
        <w:t xml:space="preserve"> </w:t>
      </w:r>
      <w:r w:rsidR="00803067" w:rsidRPr="001A05B3">
        <w:rPr>
          <w:noProof/>
        </w:rPr>
        <w:t xml:space="preserve">this Directive including the </w:t>
      </w:r>
      <w:r w:rsidR="00686B8B">
        <w:rPr>
          <w:noProof/>
        </w:rPr>
        <w:t xml:space="preserve">related </w:t>
      </w:r>
      <w:r w:rsidR="00803067" w:rsidRPr="001A05B3">
        <w:rPr>
          <w:noProof/>
        </w:rPr>
        <w:t>tax consequences and sanctions applied</w:t>
      </w:r>
      <w:r w:rsidR="00F425C3">
        <w:rPr>
          <w:noProof/>
        </w:rPr>
        <w:t>;</w:t>
      </w:r>
    </w:p>
    <w:p w14:paraId="05F54271" w14:textId="77777777" w:rsidR="00803067" w:rsidRPr="001A05B3" w:rsidRDefault="004C6AA3" w:rsidP="004C6AA3">
      <w:pPr>
        <w:pStyle w:val="Point0"/>
        <w:rPr>
          <w:noProof/>
        </w:rPr>
      </w:pPr>
      <w:r w:rsidRPr="004C6AA3">
        <w:rPr>
          <w:noProof/>
        </w:rPr>
        <w:t>(g)</w:t>
      </w:r>
      <w:r w:rsidRPr="004C6AA3">
        <w:rPr>
          <w:noProof/>
        </w:rPr>
        <w:tab/>
      </w:r>
      <w:r w:rsidR="00F425C3">
        <w:rPr>
          <w:noProof/>
        </w:rPr>
        <w:t>the d</w:t>
      </w:r>
      <w:r w:rsidR="00803067" w:rsidRPr="001A05B3">
        <w:rPr>
          <w:noProof/>
        </w:rPr>
        <w:t xml:space="preserve">ata on the evolution in the Member State of the debt/equity ratio, </w:t>
      </w:r>
      <w:r w:rsidR="00F425C3">
        <w:rPr>
          <w:noProof/>
        </w:rPr>
        <w:t>with</w:t>
      </w:r>
      <w:r w:rsidR="00803067" w:rsidRPr="001A05B3">
        <w:rPr>
          <w:noProof/>
        </w:rPr>
        <w:t xml:space="preserve">in the meaning of Annex III, </w:t>
      </w:r>
      <w:r w:rsidR="00F425C3">
        <w:rPr>
          <w:noProof/>
        </w:rPr>
        <w:t>parts (</w:t>
      </w:r>
      <w:r w:rsidR="00F425C3" w:rsidRPr="00F425C3">
        <w:rPr>
          <w:noProof/>
        </w:rPr>
        <w:t>A</w:t>
      </w:r>
      <w:r w:rsidR="00803067" w:rsidRPr="00F425C3">
        <w:rPr>
          <w:noProof/>
        </w:rPr>
        <w:t xml:space="preserve">) and </w:t>
      </w:r>
      <w:r w:rsidR="00F425C3" w:rsidRPr="00F425C3">
        <w:rPr>
          <w:noProof/>
        </w:rPr>
        <w:t>(C</w:t>
      </w:r>
      <w:r w:rsidR="00803067" w:rsidRPr="00F425C3">
        <w:rPr>
          <w:noProof/>
        </w:rPr>
        <w:t>)</w:t>
      </w:r>
      <w:r w:rsidR="00686B8B">
        <w:rPr>
          <w:noProof/>
        </w:rPr>
        <w:t xml:space="preserve"> to</w:t>
      </w:r>
      <w:r w:rsidR="00803067" w:rsidRPr="001A05B3">
        <w:rPr>
          <w:noProof/>
        </w:rPr>
        <w:t xml:space="preserve"> Directive 2013/34/EU.</w:t>
      </w:r>
    </w:p>
    <w:p w14:paraId="05F54272" w14:textId="77777777" w:rsidR="00803067" w:rsidRPr="001A05B3" w:rsidRDefault="00803067" w:rsidP="00803067">
      <w:pPr>
        <w:pStyle w:val="Titrearticle"/>
        <w:rPr>
          <w:b/>
          <w:bCs/>
          <w:noProof/>
        </w:rPr>
      </w:pPr>
      <w:r w:rsidRPr="001A05B3">
        <w:rPr>
          <w:noProof/>
        </w:rPr>
        <w:t>Article 8</w:t>
      </w:r>
      <w:r w:rsidRPr="001A05B3">
        <w:rPr>
          <w:noProof/>
        </w:rPr>
        <w:br/>
      </w:r>
      <w:r w:rsidRPr="001A05B3">
        <w:rPr>
          <w:b/>
          <w:bCs/>
          <w:noProof/>
        </w:rPr>
        <w:t xml:space="preserve">Reports </w:t>
      </w:r>
    </w:p>
    <w:p w14:paraId="05F54273" w14:textId="77777777" w:rsidR="00803067" w:rsidRPr="001A05B3" w:rsidRDefault="004C6AA3" w:rsidP="004C6AA3">
      <w:pPr>
        <w:pStyle w:val="ManualNumPar1"/>
        <w:rPr>
          <w:noProof/>
        </w:rPr>
      </w:pPr>
      <w:r w:rsidRPr="004C6AA3">
        <w:rPr>
          <w:noProof/>
        </w:rPr>
        <w:t>1.</w:t>
      </w:r>
      <w:r w:rsidRPr="004C6AA3">
        <w:rPr>
          <w:noProof/>
        </w:rPr>
        <w:tab/>
      </w:r>
      <w:r w:rsidR="00803067" w:rsidRPr="001A05B3">
        <w:rPr>
          <w:noProof/>
        </w:rPr>
        <w:t xml:space="preserve">By 31 December </w:t>
      </w:r>
      <w:r w:rsidR="00803067" w:rsidRPr="0090771F">
        <w:rPr>
          <w:noProof/>
        </w:rPr>
        <w:t>202</w:t>
      </w:r>
      <w:r w:rsidR="00B5081F">
        <w:rPr>
          <w:noProof/>
        </w:rPr>
        <w:t>7</w:t>
      </w:r>
      <w:r w:rsidR="00803067" w:rsidRPr="001A05B3">
        <w:rPr>
          <w:noProof/>
        </w:rPr>
        <w:t xml:space="preserve">, the Commission shall present a report to the European Parliament and </w:t>
      </w:r>
      <w:r w:rsidR="00F425C3">
        <w:rPr>
          <w:noProof/>
        </w:rPr>
        <w:t xml:space="preserve">to </w:t>
      </w:r>
      <w:r w:rsidR="00803067" w:rsidRPr="001A05B3">
        <w:rPr>
          <w:noProof/>
        </w:rPr>
        <w:t>the Council on the implementation of this Directive.</w:t>
      </w:r>
    </w:p>
    <w:p w14:paraId="05F54274" w14:textId="77777777" w:rsidR="00803067" w:rsidRPr="001A05B3" w:rsidRDefault="004C6AA3" w:rsidP="004C6AA3">
      <w:pPr>
        <w:pStyle w:val="ManualNumPar1"/>
        <w:rPr>
          <w:noProof/>
        </w:rPr>
      </w:pPr>
      <w:r w:rsidRPr="004C6AA3">
        <w:rPr>
          <w:noProof/>
        </w:rPr>
        <w:t>2.</w:t>
      </w:r>
      <w:r w:rsidRPr="004C6AA3">
        <w:rPr>
          <w:noProof/>
        </w:rPr>
        <w:tab/>
      </w:r>
      <w:r w:rsidR="00000D46" w:rsidRPr="005F001C">
        <w:rPr>
          <w:noProof/>
        </w:rPr>
        <w:t>When drawing up</w:t>
      </w:r>
      <w:r w:rsidR="005F0653">
        <w:rPr>
          <w:noProof/>
        </w:rPr>
        <w:t xml:space="preserve"> </w:t>
      </w:r>
      <w:r w:rsidR="00803067" w:rsidRPr="001A05B3">
        <w:rPr>
          <w:noProof/>
        </w:rPr>
        <w:t>the report</w:t>
      </w:r>
      <w:r w:rsidR="00803067" w:rsidRPr="00000D46">
        <w:rPr>
          <w:noProof/>
        </w:rPr>
        <w:t>,</w:t>
      </w:r>
      <w:r w:rsidR="00803067" w:rsidRPr="001A05B3">
        <w:rPr>
          <w:noProof/>
        </w:rPr>
        <w:t xml:space="preserve"> the Commission shall take into account the information communicated by Member States pursuant to Article 7. </w:t>
      </w:r>
    </w:p>
    <w:p w14:paraId="05F54275" w14:textId="77777777" w:rsidR="00803067" w:rsidRDefault="004C6AA3" w:rsidP="004C6AA3">
      <w:pPr>
        <w:pStyle w:val="ManualNumPar1"/>
        <w:rPr>
          <w:noProof/>
        </w:rPr>
      </w:pPr>
      <w:r w:rsidRPr="004C6AA3">
        <w:rPr>
          <w:noProof/>
        </w:rPr>
        <w:t>3.</w:t>
      </w:r>
      <w:r w:rsidRPr="004C6AA3">
        <w:rPr>
          <w:noProof/>
        </w:rPr>
        <w:tab/>
      </w:r>
      <w:r w:rsidR="00803067" w:rsidRPr="001A05B3">
        <w:rPr>
          <w:noProof/>
        </w:rPr>
        <w:t xml:space="preserve">The Commission shall publish the report on its website. </w:t>
      </w:r>
    </w:p>
    <w:p w14:paraId="05F54276" w14:textId="77777777" w:rsidR="00803067" w:rsidRPr="001A05B3" w:rsidRDefault="00803067" w:rsidP="00803067">
      <w:pPr>
        <w:pStyle w:val="ChapterTitle"/>
        <w:rPr>
          <w:i/>
          <w:noProof/>
        </w:rPr>
      </w:pPr>
      <w:r w:rsidRPr="001A05B3">
        <w:rPr>
          <w:noProof/>
        </w:rPr>
        <w:t>CHAPTER IV</w:t>
      </w:r>
      <w:r w:rsidRPr="001A05B3">
        <w:rPr>
          <w:noProof/>
        </w:rPr>
        <w:br/>
        <w:t>FINAL PROVISIONS</w:t>
      </w:r>
    </w:p>
    <w:p w14:paraId="05F54277" w14:textId="77777777" w:rsidR="00803067" w:rsidRPr="001A05B3" w:rsidRDefault="00803067" w:rsidP="00803067">
      <w:pPr>
        <w:pStyle w:val="Titrearticle"/>
        <w:rPr>
          <w:b/>
          <w:noProof/>
        </w:rPr>
      </w:pPr>
      <w:r w:rsidRPr="001A05B3">
        <w:rPr>
          <w:noProof/>
        </w:rPr>
        <w:t>Article 9</w:t>
      </w:r>
      <w:r w:rsidRPr="001A05B3">
        <w:rPr>
          <w:noProof/>
        </w:rPr>
        <w:br/>
      </w:r>
      <w:r w:rsidRPr="001A05B3">
        <w:rPr>
          <w:b/>
          <w:noProof/>
        </w:rPr>
        <w:t>Exercise of Delegation</w:t>
      </w:r>
    </w:p>
    <w:p w14:paraId="05F54278" w14:textId="77777777" w:rsidR="00803067" w:rsidRPr="001A05B3" w:rsidRDefault="004C6AA3" w:rsidP="004C6AA3">
      <w:pPr>
        <w:pStyle w:val="ManualNumPar1"/>
        <w:rPr>
          <w:noProof/>
        </w:rPr>
      </w:pPr>
      <w:r w:rsidRPr="004C6AA3">
        <w:rPr>
          <w:noProof/>
        </w:rPr>
        <w:t>1.</w:t>
      </w:r>
      <w:r w:rsidRPr="004C6AA3">
        <w:rPr>
          <w:noProof/>
        </w:rPr>
        <w:tab/>
      </w:r>
      <w:r w:rsidR="00803067" w:rsidRPr="001A05B3">
        <w:rPr>
          <w:noProof/>
        </w:rPr>
        <w:t>The power to adopt delegated acts is conferred on the Commission subject to the conditions laid down in this Article.</w:t>
      </w:r>
    </w:p>
    <w:p w14:paraId="05F54279" w14:textId="77777777" w:rsidR="00803067" w:rsidRPr="001A05B3" w:rsidRDefault="004C6AA3" w:rsidP="004C6AA3">
      <w:pPr>
        <w:pStyle w:val="ManualNumPar1"/>
        <w:rPr>
          <w:noProof/>
        </w:rPr>
      </w:pPr>
      <w:r w:rsidRPr="004C6AA3">
        <w:rPr>
          <w:noProof/>
        </w:rPr>
        <w:t>2.</w:t>
      </w:r>
      <w:r w:rsidRPr="004C6AA3">
        <w:rPr>
          <w:noProof/>
        </w:rPr>
        <w:tab/>
      </w:r>
      <w:r w:rsidR="00803067" w:rsidRPr="001A05B3">
        <w:rPr>
          <w:noProof/>
        </w:rPr>
        <w:t>The power to adopt delegated acts referred to in Article 4(5) shall be conferred on the Commission for an indeterminate period of time from</w:t>
      </w:r>
      <w:r w:rsidR="00EE62FA">
        <w:rPr>
          <w:noProof/>
        </w:rPr>
        <w:t xml:space="preserve"> </w:t>
      </w:r>
      <w:r w:rsidR="00F425C3" w:rsidRPr="00000D46">
        <w:rPr>
          <w:noProof/>
        </w:rPr>
        <w:t>[</w:t>
      </w:r>
      <w:r w:rsidR="00F425C3" w:rsidRPr="005F001C">
        <w:rPr>
          <w:noProof/>
        </w:rPr>
        <w:t>O</w:t>
      </w:r>
      <w:r w:rsidR="00474E45" w:rsidRPr="00000D46">
        <w:rPr>
          <w:i/>
          <w:noProof/>
        </w:rPr>
        <w:t>P</w:t>
      </w:r>
      <w:r w:rsidR="00F425C3" w:rsidRPr="005F001C">
        <w:rPr>
          <w:i/>
          <w:noProof/>
        </w:rPr>
        <w:t xml:space="preserve"> insert </w:t>
      </w:r>
      <w:r w:rsidR="00803067" w:rsidRPr="005F001C">
        <w:rPr>
          <w:i/>
          <w:noProof/>
        </w:rPr>
        <w:t>the date of entry into force of this Directive</w:t>
      </w:r>
      <w:r w:rsidR="00F425C3">
        <w:rPr>
          <w:noProof/>
        </w:rPr>
        <w:t>]</w:t>
      </w:r>
      <w:r w:rsidR="00803067" w:rsidRPr="001A05B3">
        <w:rPr>
          <w:noProof/>
        </w:rPr>
        <w:t xml:space="preserve">. </w:t>
      </w:r>
    </w:p>
    <w:p w14:paraId="05F5427A" w14:textId="77777777" w:rsidR="00D547CA" w:rsidRDefault="004C6AA3" w:rsidP="004C6AA3">
      <w:pPr>
        <w:pStyle w:val="ManualNumPar1"/>
        <w:rPr>
          <w:noProof/>
        </w:rPr>
      </w:pPr>
      <w:r w:rsidRPr="004C6AA3">
        <w:rPr>
          <w:noProof/>
        </w:rPr>
        <w:t>3.</w:t>
      </w:r>
      <w:r w:rsidRPr="004C6AA3">
        <w:rPr>
          <w:noProof/>
        </w:rPr>
        <w:tab/>
      </w:r>
      <w:r w:rsidR="00803067" w:rsidRPr="001A05B3">
        <w:rPr>
          <w:noProof/>
        </w:rPr>
        <w:t xml:space="preserve">The delegation of power referred to in Article 4(5) may be revoked at any time by the Council. A decision to revoke shall put an end to the delegation of the power specified in that decision. It shall take effect the day following the publication of the decision in </w:t>
      </w:r>
      <w:r w:rsidR="00803067" w:rsidRPr="005F001C">
        <w:rPr>
          <w:noProof/>
        </w:rPr>
        <w:t>the Official Journal of the European Union</w:t>
      </w:r>
      <w:r w:rsidR="00803067" w:rsidRPr="001A05B3">
        <w:rPr>
          <w:noProof/>
        </w:rPr>
        <w:t xml:space="preserve"> or at a later date specified therein. It shall not affect the validity of any delegated acts already in force.</w:t>
      </w:r>
    </w:p>
    <w:p w14:paraId="05F5427B" w14:textId="77777777" w:rsidR="005E63D1" w:rsidRPr="005E63D1" w:rsidRDefault="004C6AA3" w:rsidP="004C6AA3">
      <w:pPr>
        <w:pStyle w:val="ManualNumPar1"/>
        <w:rPr>
          <w:noProof/>
        </w:rPr>
      </w:pPr>
      <w:r w:rsidRPr="004C6AA3">
        <w:rPr>
          <w:noProof/>
        </w:rPr>
        <w:t>4.</w:t>
      </w:r>
      <w:r w:rsidRPr="004C6AA3">
        <w:rPr>
          <w:noProof/>
        </w:rPr>
        <w:tab/>
      </w:r>
      <w:r w:rsidR="005E63D1" w:rsidRPr="005F001C">
        <w:rPr>
          <w:noProof/>
        </w:rPr>
        <w:t>Before adopting a delegated act, the Commission shall consult experts designated by each Member State in accordance with the principles laid down in the Interinstitutional Agreement of 13 April 2016 on Better Law-Making.</w:t>
      </w:r>
    </w:p>
    <w:p w14:paraId="05F5427C" w14:textId="77777777" w:rsidR="00803067" w:rsidRPr="001A05B3" w:rsidRDefault="004C6AA3" w:rsidP="004C6AA3">
      <w:pPr>
        <w:pStyle w:val="ManualNumPar1"/>
        <w:rPr>
          <w:noProof/>
        </w:rPr>
      </w:pPr>
      <w:r w:rsidRPr="004C6AA3">
        <w:rPr>
          <w:noProof/>
        </w:rPr>
        <w:t>5.</w:t>
      </w:r>
      <w:r w:rsidRPr="004C6AA3">
        <w:rPr>
          <w:noProof/>
        </w:rPr>
        <w:tab/>
      </w:r>
      <w:r w:rsidR="00803067" w:rsidRPr="001A05B3">
        <w:rPr>
          <w:noProof/>
        </w:rPr>
        <w:t xml:space="preserve">As soon as it adopts a delegated act, the Commission shall notify it to the Council. </w:t>
      </w:r>
    </w:p>
    <w:p w14:paraId="05F5427D" w14:textId="77777777" w:rsidR="00803067" w:rsidRPr="001A05B3" w:rsidRDefault="004C6AA3" w:rsidP="004C6AA3">
      <w:pPr>
        <w:pStyle w:val="ManualNumPar1"/>
        <w:rPr>
          <w:noProof/>
        </w:rPr>
      </w:pPr>
      <w:r w:rsidRPr="004C6AA3">
        <w:rPr>
          <w:noProof/>
        </w:rPr>
        <w:t>6.</w:t>
      </w:r>
      <w:r w:rsidRPr="004C6AA3">
        <w:rPr>
          <w:noProof/>
        </w:rPr>
        <w:tab/>
      </w:r>
      <w:r w:rsidR="00803067" w:rsidRPr="001A05B3">
        <w:rPr>
          <w:noProof/>
        </w:rPr>
        <w:t xml:space="preserve">A delegated act adopted pursuant to Article 4(5) shall enter into force only if no objection has been expressed by the Council within a period of </w:t>
      </w:r>
      <w:r w:rsidR="00F425C3">
        <w:rPr>
          <w:noProof/>
        </w:rPr>
        <w:t>2</w:t>
      </w:r>
      <w:r w:rsidR="00F425C3" w:rsidRPr="001A05B3">
        <w:rPr>
          <w:noProof/>
        </w:rPr>
        <w:t xml:space="preserve"> </w:t>
      </w:r>
      <w:r w:rsidR="00803067" w:rsidRPr="001A05B3">
        <w:rPr>
          <w:noProof/>
        </w:rPr>
        <w:t xml:space="preserve">months of notification of that act to the Council or if, before the expiry of that period, the Council has informed the Commission that it will not object. That period shall be extended by </w:t>
      </w:r>
      <w:r w:rsidR="00F425C3">
        <w:rPr>
          <w:noProof/>
        </w:rPr>
        <w:t>2</w:t>
      </w:r>
      <w:r w:rsidR="00F425C3" w:rsidRPr="001A05B3">
        <w:rPr>
          <w:noProof/>
        </w:rPr>
        <w:t xml:space="preserve"> </w:t>
      </w:r>
      <w:r w:rsidR="00803067" w:rsidRPr="001A05B3">
        <w:rPr>
          <w:noProof/>
        </w:rPr>
        <w:t>months at the initiative of the Council.</w:t>
      </w:r>
    </w:p>
    <w:p w14:paraId="05F5427E" w14:textId="77777777" w:rsidR="00803067" w:rsidRPr="001A05B3" w:rsidRDefault="00803067" w:rsidP="0022358E">
      <w:pPr>
        <w:pStyle w:val="Titrearticle"/>
        <w:rPr>
          <w:noProof/>
        </w:rPr>
      </w:pPr>
      <w:r w:rsidRPr="001A05B3">
        <w:rPr>
          <w:noProof/>
        </w:rPr>
        <w:t xml:space="preserve">Article 10 </w:t>
      </w:r>
      <w:r w:rsidRPr="001A05B3">
        <w:rPr>
          <w:noProof/>
        </w:rPr>
        <w:br/>
      </w:r>
      <w:r w:rsidRPr="001A05B3">
        <w:rPr>
          <w:b/>
          <w:noProof/>
        </w:rPr>
        <w:t>Informing the European Parliament</w:t>
      </w:r>
    </w:p>
    <w:p w14:paraId="05F5427F" w14:textId="77777777" w:rsidR="00803067" w:rsidRPr="001A05B3" w:rsidRDefault="00803067" w:rsidP="00803067">
      <w:pPr>
        <w:rPr>
          <w:noProof/>
        </w:rPr>
      </w:pPr>
      <w:r w:rsidRPr="001A05B3">
        <w:rPr>
          <w:noProof/>
        </w:rPr>
        <w:t xml:space="preserve">The European Parliament shall be informed of the adoption of delegated acts by the Commission, of any objection to them, and of the revocation of a delegation of powers by the Council. </w:t>
      </w:r>
    </w:p>
    <w:p w14:paraId="05F54280" w14:textId="77777777" w:rsidR="00803067" w:rsidRPr="001A05B3" w:rsidRDefault="00803067" w:rsidP="00803067">
      <w:pPr>
        <w:pStyle w:val="Titrearticle"/>
        <w:rPr>
          <w:b/>
          <w:noProof/>
        </w:rPr>
      </w:pPr>
      <w:r w:rsidRPr="001A05B3">
        <w:rPr>
          <w:noProof/>
        </w:rPr>
        <w:t>Article 11</w:t>
      </w:r>
      <w:r w:rsidRPr="001A05B3">
        <w:rPr>
          <w:noProof/>
        </w:rPr>
        <w:br/>
      </w:r>
      <w:r w:rsidRPr="001A05B3">
        <w:rPr>
          <w:b/>
          <w:noProof/>
        </w:rPr>
        <w:t>Transposition</w:t>
      </w:r>
    </w:p>
    <w:p w14:paraId="05F54281" w14:textId="77777777" w:rsidR="00803067" w:rsidRPr="00B13601" w:rsidRDefault="004C6AA3" w:rsidP="004C6AA3">
      <w:pPr>
        <w:pStyle w:val="ManualNumPar1"/>
        <w:rPr>
          <w:noProof/>
        </w:rPr>
      </w:pPr>
      <w:r w:rsidRPr="004C6AA3">
        <w:rPr>
          <w:noProof/>
        </w:rPr>
        <w:t>1.</w:t>
      </w:r>
      <w:r w:rsidRPr="004C6AA3">
        <w:rPr>
          <w:noProof/>
        </w:rPr>
        <w:tab/>
      </w:r>
      <w:r w:rsidR="00803067" w:rsidRPr="00515122">
        <w:rPr>
          <w:noProof/>
        </w:rPr>
        <w:t>Member States shall adopt and publish, by [</w:t>
      </w:r>
      <w:r w:rsidR="00B5081F">
        <w:rPr>
          <w:noProof/>
        </w:rPr>
        <w:t>31 December 2023</w:t>
      </w:r>
      <w:r w:rsidR="00803067" w:rsidRPr="00515122">
        <w:rPr>
          <w:noProof/>
        </w:rPr>
        <w:t>] at the latest, the laws, regulations and administrative provisions necessary to comply with this Directive. They shall forthwith communicate to the Commission the text of those provisions.</w:t>
      </w:r>
    </w:p>
    <w:p w14:paraId="05F54282" w14:textId="77777777" w:rsidR="00803067" w:rsidRPr="00515122" w:rsidRDefault="00803067" w:rsidP="00803067">
      <w:pPr>
        <w:pStyle w:val="Text1"/>
        <w:rPr>
          <w:noProof/>
        </w:rPr>
      </w:pPr>
      <w:r w:rsidRPr="00515122">
        <w:rPr>
          <w:noProof/>
        </w:rPr>
        <w:t>They shall apply those provisions from [</w:t>
      </w:r>
      <w:r w:rsidR="00B5081F">
        <w:rPr>
          <w:rFonts w:eastAsiaTheme="minorEastAsia"/>
          <w:noProof/>
          <w:szCs w:val="24"/>
        </w:rPr>
        <w:t>1 January 2024</w:t>
      </w:r>
      <w:r w:rsidRPr="00515122">
        <w:rPr>
          <w:noProof/>
        </w:rPr>
        <w:t>].</w:t>
      </w:r>
    </w:p>
    <w:p w14:paraId="05F54283" w14:textId="77777777" w:rsidR="00803067" w:rsidRDefault="00803067" w:rsidP="00803067">
      <w:pPr>
        <w:pStyle w:val="Text1"/>
        <w:rPr>
          <w:noProof/>
        </w:rPr>
      </w:pPr>
      <w:r w:rsidRPr="00515122">
        <w:rPr>
          <w:noProof/>
        </w:rPr>
        <w:t>When Member States adopt those provisions, they shall include a reference to this Directive or accompany those provisions with such a reference on the occasion of their official publication. Member States shall determine how such reference is to be made</w:t>
      </w:r>
      <w:r w:rsidRPr="001A05B3">
        <w:rPr>
          <w:noProof/>
        </w:rPr>
        <w:t>.</w:t>
      </w:r>
    </w:p>
    <w:p w14:paraId="05F54284" w14:textId="74B9C8B3" w:rsidR="005C10E7" w:rsidRPr="001A05B3" w:rsidRDefault="004C6AA3" w:rsidP="004C6AA3">
      <w:pPr>
        <w:pStyle w:val="ManualNumPar1"/>
        <w:rPr>
          <w:noProof/>
        </w:rPr>
      </w:pPr>
      <w:r w:rsidRPr="004C6AA3">
        <w:rPr>
          <w:noProof/>
        </w:rPr>
        <w:t>2.</w:t>
      </w:r>
      <w:r w:rsidRPr="004C6AA3">
        <w:rPr>
          <w:noProof/>
        </w:rPr>
        <w:tab/>
      </w:r>
      <w:r w:rsidR="005C10E7">
        <w:rPr>
          <w:noProof/>
        </w:rPr>
        <w:t>Member States</w:t>
      </w:r>
      <w:r w:rsidR="006143C9">
        <w:rPr>
          <w:noProof/>
        </w:rPr>
        <w:t xml:space="preserve"> may </w:t>
      </w:r>
      <w:r w:rsidR="00D42022">
        <w:rPr>
          <w:noProof/>
        </w:rPr>
        <w:t>defer the application of</w:t>
      </w:r>
      <w:r w:rsidR="00EC2C74">
        <w:rPr>
          <w:noProof/>
        </w:rPr>
        <w:t xml:space="preserve"> the provisions of this Directive to</w:t>
      </w:r>
      <w:r w:rsidR="006143C9">
        <w:rPr>
          <w:noProof/>
        </w:rPr>
        <w:t xml:space="preserve"> taxpayers</w:t>
      </w:r>
      <w:r w:rsidR="005C10E7">
        <w:rPr>
          <w:noProof/>
        </w:rPr>
        <w:t xml:space="preserve"> that </w:t>
      </w:r>
      <w:r w:rsidR="00146239" w:rsidRPr="00146239">
        <w:rPr>
          <w:noProof/>
        </w:rPr>
        <w:t xml:space="preserve">on </w:t>
      </w:r>
      <w:r w:rsidR="00F13068">
        <w:rPr>
          <w:noProof/>
        </w:rPr>
        <w:t>[</w:t>
      </w:r>
      <w:r w:rsidR="00146239" w:rsidRPr="00146239">
        <w:rPr>
          <w:noProof/>
        </w:rPr>
        <w:t>1 January 2024</w:t>
      </w:r>
      <w:r w:rsidR="00F13068">
        <w:rPr>
          <w:noProof/>
        </w:rPr>
        <w:t>]</w:t>
      </w:r>
      <w:r w:rsidR="00146239" w:rsidRPr="00146239">
        <w:rPr>
          <w:noProof/>
        </w:rPr>
        <w:t xml:space="preserve"> </w:t>
      </w:r>
      <w:r w:rsidR="005C10E7">
        <w:rPr>
          <w:noProof/>
        </w:rPr>
        <w:t xml:space="preserve"> </w:t>
      </w:r>
      <w:r w:rsidR="006143C9">
        <w:rPr>
          <w:noProof/>
        </w:rPr>
        <w:t xml:space="preserve">benefit from an allowance on equity under national law </w:t>
      </w:r>
      <w:r w:rsidR="00D42022">
        <w:rPr>
          <w:noProof/>
        </w:rPr>
        <w:t xml:space="preserve">for a period </w:t>
      </w:r>
      <w:r w:rsidR="006143C9">
        <w:rPr>
          <w:noProof/>
        </w:rPr>
        <w:t xml:space="preserve">up to 10 years </w:t>
      </w:r>
      <w:r w:rsidR="00D42022">
        <w:rPr>
          <w:noProof/>
        </w:rPr>
        <w:t>and in no case for a period longer than the duration of the benefit under national law</w:t>
      </w:r>
      <w:r w:rsidR="006143C9">
        <w:rPr>
          <w:noProof/>
        </w:rPr>
        <w:t>.</w:t>
      </w:r>
      <w:r w:rsidR="005F0653">
        <w:rPr>
          <w:noProof/>
        </w:rPr>
        <w:t xml:space="preserve"> </w:t>
      </w:r>
    </w:p>
    <w:p w14:paraId="05F54285" w14:textId="77777777" w:rsidR="00803067" w:rsidRPr="001A05B3" w:rsidRDefault="004C6AA3" w:rsidP="004C6AA3">
      <w:pPr>
        <w:pStyle w:val="ManualNumPar1"/>
        <w:rPr>
          <w:noProof/>
        </w:rPr>
      </w:pPr>
      <w:r w:rsidRPr="004C6AA3">
        <w:rPr>
          <w:noProof/>
        </w:rPr>
        <w:t>3.</w:t>
      </w:r>
      <w:r w:rsidRPr="004C6AA3">
        <w:rPr>
          <w:noProof/>
        </w:rPr>
        <w:tab/>
      </w:r>
      <w:r w:rsidR="00803067" w:rsidRPr="001A05B3">
        <w:rPr>
          <w:noProof/>
        </w:rPr>
        <w:t>Member States shall communicate to the Commission the text of the main provisions of national law which they adopt in the field covered by this Directive.</w:t>
      </w:r>
    </w:p>
    <w:p w14:paraId="05F54286" w14:textId="77777777" w:rsidR="00803067" w:rsidRPr="001A05B3" w:rsidRDefault="00803067" w:rsidP="00803067">
      <w:pPr>
        <w:pStyle w:val="Titrearticle"/>
        <w:rPr>
          <w:b/>
          <w:noProof/>
        </w:rPr>
      </w:pPr>
      <w:r w:rsidRPr="001A05B3">
        <w:rPr>
          <w:noProof/>
        </w:rPr>
        <w:t>Article 12</w:t>
      </w:r>
      <w:r w:rsidRPr="001A05B3">
        <w:rPr>
          <w:noProof/>
        </w:rPr>
        <w:br/>
      </w:r>
      <w:r w:rsidRPr="001A05B3">
        <w:rPr>
          <w:b/>
          <w:noProof/>
        </w:rPr>
        <w:t>Entry into force</w:t>
      </w:r>
    </w:p>
    <w:p w14:paraId="05F54287" w14:textId="77777777" w:rsidR="00803067" w:rsidRPr="001A05B3" w:rsidRDefault="00803067" w:rsidP="00803067">
      <w:pPr>
        <w:rPr>
          <w:noProof/>
        </w:rPr>
      </w:pPr>
      <w:r w:rsidRPr="001A05B3">
        <w:rPr>
          <w:noProof/>
        </w:rPr>
        <w:t xml:space="preserve">This Directive shall enter into force on the twentieth day following that of its publication in the </w:t>
      </w:r>
      <w:r w:rsidRPr="001A05B3">
        <w:rPr>
          <w:i/>
          <w:iCs/>
          <w:noProof/>
        </w:rPr>
        <w:t>Official Journal of the European Union</w:t>
      </w:r>
      <w:r w:rsidRPr="001A05B3">
        <w:rPr>
          <w:noProof/>
        </w:rPr>
        <w:t xml:space="preserve">. </w:t>
      </w:r>
    </w:p>
    <w:p w14:paraId="05F54288" w14:textId="77777777" w:rsidR="00803067" w:rsidRPr="001A05B3" w:rsidRDefault="00803067" w:rsidP="00466CCF">
      <w:pPr>
        <w:pStyle w:val="Titrearticle"/>
        <w:rPr>
          <w:b/>
          <w:noProof/>
        </w:rPr>
      </w:pPr>
      <w:r w:rsidRPr="001A05B3">
        <w:rPr>
          <w:noProof/>
        </w:rPr>
        <w:t>Article 13</w:t>
      </w:r>
      <w:r w:rsidRPr="001A05B3">
        <w:rPr>
          <w:noProof/>
        </w:rPr>
        <w:br/>
      </w:r>
      <w:r w:rsidRPr="001A05B3">
        <w:rPr>
          <w:b/>
          <w:noProof/>
        </w:rPr>
        <w:t>Addressees</w:t>
      </w:r>
    </w:p>
    <w:p w14:paraId="05F54289" w14:textId="77777777" w:rsidR="00803067" w:rsidRPr="001A05B3" w:rsidRDefault="00803067" w:rsidP="00803067">
      <w:pPr>
        <w:rPr>
          <w:noProof/>
        </w:rPr>
      </w:pPr>
      <w:r w:rsidRPr="001A05B3">
        <w:rPr>
          <w:noProof/>
        </w:rPr>
        <w:t>This Directive is addressed to the Member States.</w:t>
      </w:r>
    </w:p>
    <w:p w14:paraId="05F5428A" w14:textId="4A20ADE8" w:rsidR="0040116E" w:rsidRPr="001A05B3" w:rsidRDefault="00420DCB" w:rsidP="00466CCF">
      <w:pPr>
        <w:pStyle w:val="Fait"/>
        <w:rPr>
          <w:noProof/>
        </w:rPr>
      </w:pPr>
      <w:r w:rsidRPr="00420DCB">
        <w:t>Done at Brussels,</w:t>
      </w:r>
    </w:p>
    <w:p w14:paraId="05F5428B" w14:textId="77777777" w:rsidR="0040116E" w:rsidRPr="001A05B3" w:rsidRDefault="0040116E" w:rsidP="00466CCF">
      <w:pPr>
        <w:pStyle w:val="Institutionquisigne"/>
        <w:rPr>
          <w:noProof/>
        </w:rPr>
      </w:pPr>
      <w:r w:rsidRPr="001A05B3">
        <w:rPr>
          <w:noProof/>
        </w:rPr>
        <w:tab/>
        <w:t>For the Council</w:t>
      </w:r>
    </w:p>
    <w:p w14:paraId="05F5428C" w14:textId="77777777" w:rsidR="0040116E" w:rsidRPr="001A05B3" w:rsidRDefault="0040116E" w:rsidP="0040116E">
      <w:pPr>
        <w:pStyle w:val="Personnequisigne"/>
        <w:rPr>
          <w:noProof/>
        </w:rPr>
      </w:pPr>
      <w:r w:rsidRPr="001A05B3">
        <w:rPr>
          <w:noProof/>
        </w:rPr>
        <w:tab/>
        <w:t>The President</w:t>
      </w:r>
    </w:p>
    <w:sectPr w:rsidR="0040116E" w:rsidRPr="001A05B3" w:rsidSect="009B593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0911" w14:textId="77777777" w:rsidR="000D2B64" w:rsidRDefault="000D2B64" w:rsidP="0040116E">
      <w:pPr>
        <w:spacing w:before="0" w:after="0"/>
      </w:pPr>
      <w:r>
        <w:separator/>
      </w:r>
    </w:p>
  </w:endnote>
  <w:endnote w:type="continuationSeparator" w:id="0">
    <w:p w14:paraId="4CE02DE0" w14:textId="77777777" w:rsidR="000D2B64" w:rsidRDefault="000D2B64" w:rsidP="0040116E">
      <w:pPr>
        <w:spacing w:before="0" w:after="0"/>
      </w:pPr>
      <w:r>
        <w:continuationSeparator/>
      </w:r>
    </w:p>
  </w:endnote>
  <w:endnote w:type="continuationNotice" w:id="1">
    <w:p w14:paraId="4FA89CCC" w14:textId="77777777" w:rsidR="000D2B64" w:rsidRDefault="000D2B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F81C" w14:textId="35A14479" w:rsidR="002004CE" w:rsidRPr="009B5939" w:rsidRDefault="009B5939" w:rsidP="009B5939">
    <w:pPr>
      <w:pStyle w:val="Footer"/>
      <w:rPr>
        <w:rFonts w:ascii="Arial" w:hAnsi="Arial" w:cs="Arial"/>
        <w:b/>
        <w:sz w:val="48"/>
      </w:rPr>
    </w:pPr>
    <w:r w:rsidRPr="009B5939">
      <w:rPr>
        <w:rFonts w:ascii="Arial" w:hAnsi="Arial" w:cs="Arial"/>
        <w:b/>
        <w:sz w:val="48"/>
      </w:rPr>
      <w:t>EN</w:t>
    </w:r>
    <w:r w:rsidRPr="009B5939">
      <w:rPr>
        <w:rFonts w:ascii="Arial" w:hAnsi="Arial" w:cs="Arial"/>
        <w:b/>
        <w:sz w:val="48"/>
      </w:rPr>
      <w:tab/>
    </w:r>
    <w:r w:rsidRPr="009B5939">
      <w:rPr>
        <w:rFonts w:ascii="Arial" w:hAnsi="Arial" w:cs="Arial"/>
        <w:b/>
        <w:sz w:val="48"/>
      </w:rPr>
      <w:tab/>
    </w:r>
    <w:r w:rsidRPr="009B5939">
      <w:tab/>
    </w:r>
    <w:r w:rsidRPr="009B593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1306" w14:textId="02D9F7D2" w:rsidR="009B5939" w:rsidRPr="009B5939" w:rsidRDefault="009B5939" w:rsidP="009B5939">
    <w:pPr>
      <w:pStyle w:val="Footer"/>
      <w:rPr>
        <w:rFonts w:ascii="Arial" w:hAnsi="Arial" w:cs="Arial"/>
        <w:b/>
        <w:sz w:val="48"/>
      </w:rPr>
    </w:pPr>
    <w:r w:rsidRPr="009B5939">
      <w:rPr>
        <w:rFonts w:ascii="Arial" w:hAnsi="Arial" w:cs="Arial"/>
        <w:b/>
        <w:sz w:val="48"/>
      </w:rPr>
      <w:t>EN</w:t>
    </w:r>
    <w:r w:rsidRPr="009B5939">
      <w:rPr>
        <w:rFonts w:ascii="Arial" w:hAnsi="Arial" w:cs="Arial"/>
        <w:b/>
        <w:sz w:val="48"/>
      </w:rPr>
      <w:tab/>
    </w:r>
    <w:r>
      <w:fldChar w:fldCharType="begin"/>
    </w:r>
    <w:r>
      <w:instrText xml:space="preserve"> PAGE  \* MERGEFORMAT </w:instrText>
    </w:r>
    <w:r>
      <w:fldChar w:fldCharType="separate"/>
    </w:r>
    <w:r w:rsidR="00466CCF">
      <w:rPr>
        <w:noProof/>
      </w:rPr>
      <w:t>23</w:t>
    </w:r>
    <w:r>
      <w:fldChar w:fldCharType="end"/>
    </w:r>
    <w:r>
      <w:tab/>
    </w:r>
    <w:r w:rsidRPr="009B5939">
      <w:tab/>
    </w:r>
    <w:r w:rsidRPr="009B593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4F7E" w14:textId="77777777" w:rsidR="009B5939" w:rsidRPr="009B5939" w:rsidRDefault="009B5939" w:rsidP="009B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3921" w14:textId="77777777" w:rsidR="000D2B64" w:rsidRDefault="000D2B64" w:rsidP="0040116E">
      <w:pPr>
        <w:spacing w:before="0" w:after="0"/>
      </w:pPr>
      <w:r>
        <w:separator/>
      </w:r>
    </w:p>
  </w:footnote>
  <w:footnote w:type="continuationSeparator" w:id="0">
    <w:p w14:paraId="1DAD6CBB" w14:textId="77777777" w:rsidR="000D2B64" w:rsidRDefault="000D2B64" w:rsidP="0040116E">
      <w:pPr>
        <w:spacing w:before="0" w:after="0"/>
      </w:pPr>
      <w:r>
        <w:continuationSeparator/>
      </w:r>
    </w:p>
  </w:footnote>
  <w:footnote w:type="continuationNotice" w:id="1">
    <w:p w14:paraId="72627F5A" w14:textId="77777777" w:rsidR="000D2B64" w:rsidRDefault="000D2B64">
      <w:pPr>
        <w:spacing w:before="0" w:after="0"/>
      </w:pPr>
    </w:p>
  </w:footnote>
  <w:footnote w:id="2">
    <w:p w14:paraId="05F54297" w14:textId="77777777" w:rsidR="000D2B64" w:rsidRPr="00F623E7" w:rsidRDefault="000D2B64" w:rsidP="008640C6">
      <w:pPr>
        <w:pStyle w:val="FootnoteText"/>
      </w:pPr>
      <w:r w:rsidRPr="008640C6">
        <w:rPr>
          <w:rStyle w:val="FootnoteReference"/>
        </w:rPr>
        <w:footnoteRef/>
      </w:r>
      <w:r>
        <w:tab/>
        <w:t xml:space="preserve">Communication From The Commission To The European Parliament And The Council, Business Taxation for the 21st Century, </w:t>
      </w:r>
      <w:r w:rsidRPr="00F623E7">
        <w:t>COM(2021) 251 final</w:t>
      </w:r>
      <w:r>
        <w:t>.</w:t>
      </w:r>
    </w:p>
  </w:footnote>
  <w:footnote w:id="3">
    <w:p w14:paraId="05F54298" w14:textId="77777777" w:rsidR="000D2B64" w:rsidRPr="0063505B" w:rsidRDefault="000D2B64" w:rsidP="005872CE">
      <w:pPr>
        <w:pStyle w:val="FootnoteText"/>
      </w:pPr>
      <w:r w:rsidRPr="008640C6">
        <w:rPr>
          <w:rStyle w:val="FootnoteReference"/>
        </w:rPr>
        <w:footnoteRef/>
      </w:r>
      <w:r>
        <w:tab/>
        <w:t xml:space="preserve">Communication From </w:t>
      </w:r>
      <w:r w:rsidRPr="0063505B">
        <w:t>The Commission To The European Parliament, The Council, The European Economic And Social Committee And The Committee Of The Regions</w:t>
      </w:r>
      <w:r>
        <w:t>,</w:t>
      </w:r>
      <w:r w:rsidRPr="0063505B">
        <w:t xml:space="preserve"> A Capital Markets Union for people and businesses-new action plan</w:t>
      </w:r>
      <w:r>
        <w:t xml:space="preserve">, </w:t>
      </w:r>
      <w:r w:rsidRPr="0063505B">
        <w:t>COM/2020/590 final</w:t>
      </w:r>
      <w:r>
        <w:t xml:space="preserve">. </w:t>
      </w:r>
    </w:p>
  </w:footnote>
  <w:footnote w:id="4">
    <w:p w14:paraId="05F54299" w14:textId="77777777" w:rsidR="000D2B64" w:rsidRPr="00451554" w:rsidRDefault="000D2B64" w:rsidP="008640C6">
      <w:pPr>
        <w:pStyle w:val="FootnoteText"/>
        <w:rPr>
          <w:color w:val="000000" w:themeColor="text1"/>
          <w:sz w:val="18"/>
          <w:szCs w:val="18"/>
          <w:lang w:val="en-US"/>
        </w:rPr>
      </w:pPr>
      <w:r w:rsidRPr="008640C6">
        <w:rPr>
          <w:rStyle w:val="FootnoteReference"/>
        </w:rPr>
        <w:footnoteRef/>
      </w:r>
      <w:r>
        <w:rPr>
          <w:color w:val="000000" w:themeColor="text1"/>
        </w:rPr>
        <w:tab/>
      </w:r>
      <w:hyperlink r:id="rId1" w:history="1">
        <w:r w:rsidRPr="007E71C5">
          <w:rPr>
            <w:rStyle w:val="Hyperlink"/>
            <w:color w:val="0000FF"/>
            <w:sz w:val="18"/>
            <w:szCs w:val="18"/>
          </w:rPr>
          <w:t>Action 4 - Encouraging more long-term and equity financing from institutional investors | European Commission (europa.eu)</w:t>
        </w:r>
      </w:hyperlink>
    </w:p>
  </w:footnote>
  <w:footnote w:id="5">
    <w:p w14:paraId="05F5429A" w14:textId="77777777" w:rsidR="000D2B64" w:rsidRPr="00DE3FE2" w:rsidRDefault="000D2B64" w:rsidP="008640C6">
      <w:pPr>
        <w:pStyle w:val="FootnoteText"/>
        <w:rPr>
          <w:lang w:val="en-US"/>
        </w:rPr>
      </w:pPr>
      <w:r w:rsidRPr="008640C6">
        <w:rPr>
          <w:rStyle w:val="FootnoteReference"/>
        </w:rPr>
        <w:footnoteRef/>
      </w:r>
      <w:r>
        <w:tab/>
      </w:r>
      <w:r w:rsidRPr="008F4E67">
        <w:t xml:space="preserve">Report on the impact of national tax reforms on the EU economy, </w:t>
      </w:r>
      <w:r w:rsidRPr="008F4E67">
        <w:rPr>
          <w:lang w:val="en-US"/>
        </w:rPr>
        <w:t xml:space="preserve">(2021/2074(INI)) </w:t>
      </w:r>
      <w:hyperlink r:id="rId2" w:history="1">
        <w:r w:rsidRPr="00F31B1B">
          <w:rPr>
            <w:rStyle w:val="Hyperlink"/>
            <w:sz w:val="18"/>
            <w:lang w:val="en-US"/>
          </w:rPr>
          <w:t>https://www.europarl.europa.eu/doceo/document/A-9-2021-0348_EN.html</w:t>
        </w:r>
      </w:hyperlink>
      <w:r>
        <w:rPr>
          <w:lang w:val="en-US"/>
        </w:rPr>
        <w:t xml:space="preserve"> </w:t>
      </w:r>
    </w:p>
  </w:footnote>
  <w:footnote w:id="6">
    <w:p w14:paraId="05F5429B" w14:textId="77777777" w:rsidR="000D2B64" w:rsidRPr="00642013" w:rsidRDefault="000D2B64" w:rsidP="008640C6">
      <w:pPr>
        <w:pStyle w:val="FootnoteText"/>
      </w:pPr>
      <w:r w:rsidRPr="008640C6">
        <w:rPr>
          <w:rStyle w:val="FootnoteReference"/>
        </w:rPr>
        <w:footnoteRef/>
      </w:r>
      <w:r>
        <w:tab/>
        <w:t xml:space="preserve">Council Directive (EU) 2016/1164 of 12 July 2016 laying down rules against tax avoidance practices that directly </w:t>
      </w:r>
      <w:r w:rsidRPr="00642013">
        <w:t>affect the functioning of the internal market (OJ L 193, 19.7.2016, p. 1).</w:t>
      </w:r>
    </w:p>
  </w:footnote>
  <w:footnote w:id="7">
    <w:p w14:paraId="05F5429C" w14:textId="77777777" w:rsidR="000D2B64" w:rsidRPr="00A91230" w:rsidRDefault="000D2B64">
      <w:pPr>
        <w:pStyle w:val="FootnoteText"/>
      </w:pPr>
      <w:r w:rsidRPr="00C410DC">
        <w:rPr>
          <w:rStyle w:val="FootnoteReference"/>
        </w:rPr>
        <w:footnoteRef/>
      </w:r>
      <w:r>
        <w:tab/>
      </w:r>
      <w:r w:rsidRPr="0054753A">
        <w:t>WK 11093/2019 REV 1</w:t>
      </w:r>
    </w:p>
  </w:footnote>
  <w:footnote w:id="8">
    <w:p w14:paraId="05F5429D" w14:textId="77777777" w:rsidR="000D2B64" w:rsidRPr="00A37CD7" w:rsidRDefault="000D2B64" w:rsidP="008640C6">
      <w:pPr>
        <w:pStyle w:val="FootnoteText"/>
      </w:pPr>
      <w:r w:rsidRPr="008640C6">
        <w:rPr>
          <w:rStyle w:val="FootnoteReference"/>
        </w:rPr>
        <w:footnoteRef/>
      </w:r>
      <w:r>
        <w:tab/>
        <w:t>[Please insert the links to the summary sheet and the positive opinion of the RSB after their publication.]</w:t>
      </w:r>
    </w:p>
  </w:footnote>
  <w:footnote w:id="9">
    <w:p w14:paraId="05F5429E" w14:textId="77777777" w:rsidR="000D2B64" w:rsidRPr="00642AAA" w:rsidRDefault="000D2B64" w:rsidP="008640C6">
      <w:pPr>
        <w:pStyle w:val="FootnoteText"/>
      </w:pPr>
      <w:r w:rsidRPr="008640C6">
        <w:rPr>
          <w:rStyle w:val="FootnoteReference"/>
        </w:rPr>
        <w:footnoteRef/>
      </w:r>
      <w:r>
        <w:tab/>
      </w:r>
      <w:r w:rsidRPr="00642AAA">
        <w:t>SMEs would be defined as per Article 3 of the Accounting Directive</w:t>
      </w:r>
      <w:r>
        <w:t xml:space="preserve"> 2013/34/EU of the European Parliament and of the Council of 26 June 2013. </w:t>
      </w:r>
      <w:r w:rsidRPr="009A13FD">
        <w:t>In addition it would be required that for a company to be considered a SME, it must not be part of a group of businesses which, at consolidated level, exceeds at least two of the three limits of Article 3 under the Accounting Directive</w:t>
      </w:r>
      <w:r>
        <w:rPr>
          <w:color w:val="000000" w:themeColor="text1"/>
          <w:sz w:val="24"/>
          <w:szCs w:val="24"/>
        </w:rPr>
        <w:t xml:space="preserve"> (</w:t>
      </w:r>
      <w:r>
        <w:t>A</w:t>
      </w:r>
      <w:r w:rsidRPr="003A1FB1">
        <w:t>verage number of employees in the fiscal year 250; net turnover of EUR 40 million; balance sheet total of EUR 20 million</w:t>
      </w:r>
      <w:r>
        <w:t>).</w:t>
      </w:r>
    </w:p>
  </w:footnote>
  <w:footnote w:id="10">
    <w:p w14:paraId="05F5429F" w14:textId="77777777" w:rsidR="000D2B64" w:rsidRPr="00DD0AEE" w:rsidRDefault="000D2B64" w:rsidP="00900381">
      <w:pPr>
        <w:pStyle w:val="FootnoteText"/>
      </w:pPr>
      <w:r w:rsidRPr="008640C6">
        <w:rPr>
          <w:rStyle w:val="FootnoteReference"/>
        </w:rPr>
        <w:footnoteRef/>
      </w:r>
      <w:r>
        <w:tab/>
        <w:t>In</w:t>
      </w:r>
      <w:r w:rsidRPr="00DD0AEE">
        <w:t xml:space="preserve"> the sense of Annex III to Directive 2013/34/EU of the European Parliament and of the Council </w:t>
      </w:r>
      <w:r>
        <w:t>on the annual financial statements, consolidated financial statements and related reports of certain types of undertakings.</w:t>
      </w:r>
    </w:p>
  </w:footnote>
  <w:footnote w:id="11">
    <w:p w14:paraId="05F542A0" w14:textId="77777777" w:rsidR="000D2B64" w:rsidRPr="00945AFC" w:rsidRDefault="000D2B64" w:rsidP="00900381">
      <w:pPr>
        <w:pStyle w:val="FootnoteText"/>
      </w:pPr>
      <w:r w:rsidRPr="008640C6">
        <w:rPr>
          <w:rStyle w:val="FootnoteReference"/>
        </w:rPr>
        <w:footnoteRef/>
      </w:r>
      <w:r>
        <w:tab/>
        <w:t>Reserves include: 1. Legal reserve, in so far as national law requires such a reserve; 2. Reserve for own shares, in so far as national law requires such a reserve, without prejudice to point (b) of Article 24(1) of Directive 2012/30/EU; 3. Reserves provided for by the articles of association; 4. Other reserves, including the fair value reserve</w:t>
      </w:r>
    </w:p>
  </w:footnote>
  <w:footnote w:id="12">
    <w:p w14:paraId="05F542A1" w14:textId="77777777" w:rsidR="000D2B64" w:rsidRPr="007F535D" w:rsidRDefault="000D2B64" w:rsidP="008640C6">
      <w:pPr>
        <w:pStyle w:val="FootnoteText"/>
      </w:pPr>
      <w:r w:rsidRPr="008640C6">
        <w:rPr>
          <w:rStyle w:val="FootnoteReference"/>
        </w:rPr>
        <w:footnoteRef/>
      </w:r>
      <w:r>
        <w:tab/>
        <w:t>Directive 2009/138/EC Of The European Parliament And Of The Council of 25 November 2009 on the taking-up and pursuit of the business of Insurance and Reinsurance (Solvency II) (recast) (OJ L 335/17.12.2009, p.1)</w:t>
      </w:r>
    </w:p>
  </w:footnote>
  <w:footnote w:id="13">
    <w:p w14:paraId="05F542A2" w14:textId="77777777" w:rsidR="000D2B64" w:rsidRPr="00C33759" w:rsidRDefault="000D2B64" w:rsidP="008640C6">
      <w:pPr>
        <w:pStyle w:val="FootnoteText"/>
        <w:rPr>
          <w:lang w:val="pl-PL"/>
        </w:rPr>
      </w:pPr>
      <w:r w:rsidRPr="008640C6">
        <w:rPr>
          <w:rStyle w:val="FootnoteReference"/>
        </w:rPr>
        <w:footnoteRef/>
      </w:r>
      <w:r w:rsidRPr="00C33759">
        <w:rPr>
          <w:lang w:val="pl-PL"/>
        </w:rPr>
        <w:tab/>
        <w:t>OJ C , , p. .</w:t>
      </w:r>
      <w:r w:rsidRPr="003C5CBE">
        <w:rPr>
          <w:lang w:val="pl-PL"/>
        </w:rPr>
        <w:t>Not yet published in the Official Journal.</w:t>
      </w:r>
    </w:p>
  </w:footnote>
  <w:footnote w:id="14">
    <w:p w14:paraId="05F542A3" w14:textId="77777777" w:rsidR="000D2B64" w:rsidRPr="00C33759" w:rsidRDefault="000D2B64" w:rsidP="008640C6">
      <w:pPr>
        <w:pStyle w:val="FootnoteText"/>
        <w:rPr>
          <w:lang w:val="pl-PL"/>
        </w:rPr>
      </w:pPr>
      <w:r w:rsidRPr="008640C6">
        <w:rPr>
          <w:rStyle w:val="FootnoteReference"/>
        </w:rPr>
        <w:footnoteRef/>
      </w:r>
      <w:r w:rsidRPr="00C33759">
        <w:rPr>
          <w:lang w:val="pl-PL"/>
        </w:rPr>
        <w:tab/>
        <w:t>OJ C , , p. .</w:t>
      </w:r>
      <w:r w:rsidRPr="003C5CBE">
        <w:rPr>
          <w:lang w:val="pl-PL"/>
        </w:rPr>
        <w:t>Not yet published in the Official Journal.</w:t>
      </w:r>
    </w:p>
  </w:footnote>
  <w:footnote w:id="15">
    <w:p w14:paraId="05F542A4" w14:textId="77777777" w:rsidR="000D2B64" w:rsidRPr="00451554" w:rsidRDefault="000D2B64" w:rsidP="00E37150">
      <w:pPr>
        <w:pStyle w:val="FootnoteText"/>
        <w:rPr>
          <w:color w:val="000000" w:themeColor="text1"/>
          <w:sz w:val="18"/>
          <w:szCs w:val="18"/>
          <w:lang w:val="en-US"/>
        </w:rPr>
      </w:pPr>
      <w:r w:rsidRPr="008640C6">
        <w:rPr>
          <w:rStyle w:val="FootnoteReference"/>
        </w:rPr>
        <w:footnoteRef/>
      </w:r>
      <w:r>
        <w:rPr>
          <w:color w:val="000000" w:themeColor="text1"/>
        </w:rPr>
        <w:tab/>
      </w:r>
      <w:r>
        <w:rPr>
          <w:color w:val="000000" w:themeColor="text1"/>
        </w:rPr>
        <w:tab/>
      </w:r>
      <w:r w:rsidRPr="00E37150">
        <w:rPr>
          <w:color w:val="000000" w:themeColor="text1"/>
        </w:rPr>
        <w:t xml:space="preserve">Communication from the </w:t>
      </w:r>
      <w:r>
        <w:rPr>
          <w:color w:val="000000" w:themeColor="text1"/>
        </w:rPr>
        <w:t>C</w:t>
      </w:r>
      <w:r w:rsidRPr="00E37150">
        <w:rPr>
          <w:color w:val="000000" w:themeColor="text1"/>
        </w:rPr>
        <w:t xml:space="preserve">ommission to the </w:t>
      </w:r>
      <w:r>
        <w:rPr>
          <w:color w:val="000000" w:themeColor="text1"/>
        </w:rPr>
        <w:t>E</w:t>
      </w:r>
      <w:r w:rsidRPr="00E37150">
        <w:rPr>
          <w:color w:val="000000" w:themeColor="text1"/>
        </w:rPr>
        <w:t xml:space="preserve">uropean </w:t>
      </w:r>
      <w:r>
        <w:rPr>
          <w:color w:val="000000" w:themeColor="text1"/>
        </w:rPr>
        <w:t>P</w:t>
      </w:r>
      <w:r w:rsidRPr="00E37150">
        <w:rPr>
          <w:color w:val="000000" w:themeColor="text1"/>
        </w:rPr>
        <w:t xml:space="preserve">arliament, the </w:t>
      </w:r>
      <w:r>
        <w:rPr>
          <w:color w:val="000000" w:themeColor="text1"/>
        </w:rPr>
        <w:t>C</w:t>
      </w:r>
      <w:r w:rsidRPr="00E37150">
        <w:rPr>
          <w:color w:val="000000" w:themeColor="text1"/>
        </w:rPr>
        <w:t xml:space="preserve">ouncil, the </w:t>
      </w:r>
      <w:r>
        <w:rPr>
          <w:color w:val="000000" w:themeColor="text1"/>
        </w:rPr>
        <w:t>E</w:t>
      </w:r>
      <w:r w:rsidRPr="00E37150">
        <w:rPr>
          <w:color w:val="000000" w:themeColor="text1"/>
        </w:rPr>
        <w:t xml:space="preserve">uropean </w:t>
      </w:r>
      <w:r>
        <w:rPr>
          <w:color w:val="000000" w:themeColor="text1"/>
        </w:rPr>
        <w:t>E</w:t>
      </w:r>
      <w:r w:rsidRPr="00E37150">
        <w:rPr>
          <w:color w:val="000000" w:themeColor="text1"/>
        </w:rPr>
        <w:t xml:space="preserve">conomic and </w:t>
      </w:r>
      <w:r>
        <w:rPr>
          <w:color w:val="000000" w:themeColor="text1"/>
        </w:rPr>
        <w:t>S</w:t>
      </w:r>
      <w:r w:rsidRPr="00E37150">
        <w:rPr>
          <w:color w:val="000000" w:themeColor="text1"/>
        </w:rPr>
        <w:t xml:space="preserve">ocial </w:t>
      </w:r>
      <w:r>
        <w:rPr>
          <w:color w:val="000000" w:themeColor="text1"/>
        </w:rPr>
        <w:t>C</w:t>
      </w:r>
      <w:r w:rsidRPr="00E37150">
        <w:rPr>
          <w:color w:val="000000" w:themeColor="text1"/>
        </w:rPr>
        <w:t xml:space="preserve">ommittee and the </w:t>
      </w:r>
      <w:r>
        <w:rPr>
          <w:color w:val="000000" w:themeColor="text1"/>
        </w:rPr>
        <w:t>C</w:t>
      </w:r>
      <w:r w:rsidRPr="00E37150">
        <w:rPr>
          <w:color w:val="000000" w:themeColor="text1"/>
        </w:rPr>
        <w:t xml:space="preserve">ommittee of the </w:t>
      </w:r>
      <w:r>
        <w:rPr>
          <w:color w:val="000000" w:themeColor="text1"/>
        </w:rPr>
        <w:t>R</w:t>
      </w:r>
      <w:r w:rsidRPr="00E37150">
        <w:rPr>
          <w:color w:val="000000" w:themeColor="text1"/>
        </w:rPr>
        <w:t>egions</w:t>
      </w:r>
      <w:r>
        <w:rPr>
          <w:color w:val="000000" w:themeColor="text1"/>
        </w:rPr>
        <w:t xml:space="preserve"> ‘</w:t>
      </w:r>
      <w:r w:rsidRPr="00E37150">
        <w:rPr>
          <w:color w:val="000000" w:themeColor="text1"/>
        </w:rPr>
        <w:t>A Capital Markets Union for people and businesses-new action plan</w:t>
      </w:r>
      <w:r>
        <w:rPr>
          <w:color w:val="000000" w:themeColor="text1"/>
        </w:rPr>
        <w:t>’,</w:t>
      </w:r>
      <w:r w:rsidRPr="00E37150">
        <w:rPr>
          <w:color w:val="000000" w:themeColor="text1"/>
        </w:rPr>
        <w:t xml:space="preserve"> </w:t>
      </w:r>
      <w:r>
        <w:t xml:space="preserve">COM(2020) 590 final </w:t>
      </w:r>
      <w:hyperlink r:id="rId3" w:history="1"/>
      <w:r w:rsidRPr="00873F48">
        <w:t xml:space="preserve"> </w:t>
      </w:r>
      <w:r>
        <w:t>(</w:t>
      </w:r>
      <w:hyperlink r:id="rId4" w:history="1">
        <w:r w:rsidRPr="00885EF4">
          <w:rPr>
            <w:rStyle w:val="Hyperlink"/>
            <w:sz w:val="18"/>
            <w:szCs w:val="18"/>
          </w:rPr>
          <w:t>https://eur-lex.europa.eu/resource.html?uri=cellar:61042990-fe46-11ea-b44f-01aa75ed71a1.0001.02/DOC_1&amp;format=PDF</w:t>
        </w:r>
      </w:hyperlink>
      <w:r>
        <w:rPr>
          <w:rStyle w:val="Hyperlink"/>
          <w:color w:val="0000FF"/>
          <w:sz w:val="18"/>
          <w:szCs w:val="18"/>
        </w:rPr>
        <w:t xml:space="preserve">) </w:t>
      </w:r>
    </w:p>
  </w:footnote>
  <w:footnote w:id="16">
    <w:p w14:paraId="05F542A5" w14:textId="77777777" w:rsidR="000D2B64" w:rsidRPr="00E36EC0" w:rsidRDefault="000D2B64" w:rsidP="00E36EC0">
      <w:pPr>
        <w:pStyle w:val="title-bold"/>
        <w:shd w:val="clear" w:color="auto" w:fill="FFFFFF"/>
        <w:spacing w:before="0" w:beforeAutospacing="0" w:after="150" w:afterAutospacing="0"/>
        <w:rPr>
          <w:rFonts w:ascii="Segoe UI" w:hAnsi="Segoe UI" w:cs="Segoe UI"/>
          <w:color w:val="333333"/>
          <w:sz w:val="21"/>
          <w:szCs w:val="21"/>
        </w:rPr>
      </w:pPr>
      <w:r w:rsidRPr="00C410DC">
        <w:rPr>
          <w:rStyle w:val="FootnoteReference"/>
        </w:rPr>
        <w:footnoteRef/>
      </w:r>
      <w:r>
        <w:tab/>
      </w:r>
      <w:r w:rsidRPr="00F0351B">
        <w:rPr>
          <w:rFonts w:eastAsiaTheme="minorHAnsi"/>
          <w:sz w:val="20"/>
          <w:szCs w:val="20"/>
          <w:lang w:val="lt-LT"/>
        </w:rPr>
        <w:t>Council Directive (EU) 2016/1164 of 12 July 2016 laying down rules against tax avoidance practices that directly affect the functioning of the internal market (OJ L 193, 19.7.2016, p. 1).</w:t>
      </w:r>
    </w:p>
  </w:footnote>
  <w:footnote w:id="17">
    <w:p w14:paraId="05F542A6" w14:textId="77777777" w:rsidR="000D2B64" w:rsidRPr="00F0351B" w:rsidRDefault="000D2B64">
      <w:pPr>
        <w:pStyle w:val="FootnoteText"/>
        <w:rPr>
          <w:lang w:val="lt-LT"/>
        </w:rPr>
      </w:pPr>
      <w:r w:rsidRPr="00C410DC">
        <w:rPr>
          <w:rStyle w:val="FootnoteReference"/>
        </w:rPr>
        <w:footnoteRef/>
      </w:r>
      <w:r>
        <w:tab/>
      </w:r>
      <w:r w:rsidRPr="00D547CA">
        <w:rPr>
          <w:lang w:val="lt-LT"/>
        </w:rPr>
        <w:t>OJ L 123, 12.5.2016, p. 1</w:t>
      </w:r>
      <w:r>
        <w:rPr>
          <w:lang w:val="lt-LT"/>
        </w:rPr>
        <w:t>.</w:t>
      </w:r>
    </w:p>
  </w:footnote>
  <w:footnote w:id="18">
    <w:p w14:paraId="05F542A7" w14:textId="77777777" w:rsidR="000D2B64" w:rsidRDefault="000D2B64" w:rsidP="008640C6">
      <w:pPr>
        <w:pStyle w:val="FootnoteText"/>
      </w:pPr>
      <w:r w:rsidRPr="008640C6">
        <w:rPr>
          <w:rStyle w:val="FootnoteReference"/>
        </w:rPr>
        <w:footnoteRef/>
      </w:r>
      <w:r>
        <w:tab/>
        <w:t xml:space="preserve">Regulation (EU) No 575/2013 of the European Parliament and of the Council of 26 June 2013 on </w:t>
      </w:r>
    </w:p>
    <w:p w14:paraId="05F542A8" w14:textId="77777777" w:rsidR="000D2B64" w:rsidRDefault="000D2B64" w:rsidP="008640C6">
      <w:pPr>
        <w:pStyle w:val="FootnoteText"/>
      </w:pPr>
      <w:r>
        <w:t xml:space="preserve">prudential requirements for credit institutions and investment firms and amending Regulation (EU) No </w:t>
      </w:r>
    </w:p>
    <w:p w14:paraId="05F542A9" w14:textId="77777777" w:rsidR="000D2B64" w:rsidRPr="00834C3D" w:rsidRDefault="000D2B64" w:rsidP="008640C6">
      <w:pPr>
        <w:pStyle w:val="FootnoteText"/>
      </w:pPr>
      <w:r>
        <w:t>648/2012 (OJ L 176, 27.6.2013, p. 1).</w:t>
      </w:r>
    </w:p>
  </w:footnote>
  <w:footnote w:id="19">
    <w:p w14:paraId="05F542AA" w14:textId="77777777" w:rsidR="000D2B64" w:rsidRDefault="000D2B64" w:rsidP="008640C6">
      <w:pPr>
        <w:pStyle w:val="FootnoteText"/>
      </w:pPr>
      <w:r w:rsidRPr="008640C6">
        <w:rPr>
          <w:rStyle w:val="FootnoteReference"/>
        </w:rPr>
        <w:footnoteRef/>
      </w:r>
      <w:r>
        <w:tab/>
        <w:t xml:space="preserve">Directive 2014/65/EU of the European Parliament and of the Council of 15 May 2014 on markets in </w:t>
      </w:r>
    </w:p>
    <w:p w14:paraId="05F542AB" w14:textId="77777777" w:rsidR="000D2B64" w:rsidRDefault="000D2B64" w:rsidP="008640C6">
      <w:pPr>
        <w:pStyle w:val="FootnoteText"/>
      </w:pPr>
      <w:r>
        <w:t xml:space="preserve">financial instruments and amending Directive 2002/92/EC and Directive 2011/61/EU (OJ L 173, </w:t>
      </w:r>
    </w:p>
    <w:p w14:paraId="05F542AC" w14:textId="77777777" w:rsidR="000D2B64" w:rsidRPr="00834C3D" w:rsidRDefault="000D2B64" w:rsidP="008640C6">
      <w:pPr>
        <w:pStyle w:val="FootnoteText"/>
      </w:pPr>
      <w:r>
        <w:t>12.6.2014, p. 349).</w:t>
      </w:r>
    </w:p>
  </w:footnote>
  <w:footnote w:id="20">
    <w:p w14:paraId="05F542AD" w14:textId="77777777" w:rsidR="000D2B64" w:rsidRPr="00834C3D" w:rsidRDefault="000D2B64" w:rsidP="008640C6">
      <w:pPr>
        <w:pStyle w:val="FootnoteText"/>
      </w:pPr>
      <w:r w:rsidRPr="008640C6">
        <w:rPr>
          <w:rStyle w:val="FootnoteReference"/>
        </w:rPr>
        <w:footnoteRef/>
      </w:r>
      <w:r>
        <w:tab/>
      </w:r>
      <w:r w:rsidRPr="00834C3D">
        <w:t>Directive 2011/61/EU of the European Parliament and of the Council of 8 June 2011 on Alternative Investment Fund Managers and amending Directives 2003/41/EC and 2009/65/EC and Regulations (EC) No 1060/2009 and (EU) No 1095/2010</w:t>
      </w:r>
      <w:r>
        <w:t xml:space="preserve"> </w:t>
      </w:r>
      <w:r w:rsidRPr="00834C3D">
        <w:t>(</w:t>
      </w:r>
      <w:r w:rsidRPr="00834C3D">
        <w:rPr>
          <w:iCs/>
        </w:rPr>
        <w:t>OJ L 174, 1.7.2011, p. 1).</w:t>
      </w:r>
    </w:p>
  </w:footnote>
  <w:footnote w:id="21">
    <w:p w14:paraId="05F542AE" w14:textId="77777777" w:rsidR="000D2B64" w:rsidRPr="00CA384F" w:rsidRDefault="000D2B64" w:rsidP="008640C6">
      <w:pPr>
        <w:pStyle w:val="FootnoteText"/>
      </w:pPr>
      <w:r w:rsidRPr="008640C6">
        <w:rPr>
          <w:rStyle w:val="FootnoteReference"/>
        </w:rPr>
        <w:footnoteRef/>
      </w:r>
      <w:r>
        <w:tab/>
      </w:r>
      <w:r w:rsidRPr="00CA384F">
        <w:t>Regulation (EU) No 345/2013 of the European Parliament and of the Council of 17 April 2013 on European venture capital funds (OJ L 115, 25.4.2013, p. 1).</w:t>
      </w:r>
    </w:p>
  </w:footnote>
  <w:footnote w:id="22">
    <w:p w14:paraId="05F542AF" w14:textId="77777777" w:rsidR="000D2B64" w:rsidRPr="00CA384F" w:rsidRDefault="000D2B64" w:rsidP="008640C6">
      <w:pPr>
        <w:pStyle w:val="FootnoteText"/>
      </w:pPr>
      <w:r w:rsidRPr="008640C6">
        <w:rPr>
          <w:rStyle w:val="FootnoteReference"/>
        </w:rPr>
        <w:footnoteRef/>
      </w:r>
      <w:r>
        <w:tab/>
      </w:r>
      <w:r w:rsidRPr="00CA384F">
        <w:t>Regulation (EU) No 346/2013 of the European Parliament and of the Council of 17 April 2013 on European social entrepreneurship funds (OJ L 115, 25.4.2013, p. 18).</w:t>
      </w:r>
    </w:p>
  </w:footnote>
  <w:footnote w:id="23">
    <w:p w14:paraId="05F542B0" w14:textId="77777777" w:rsidR="000D2B64" w:rsidRPr="00CA384F" w:rsidRDefault="000D2B64" w:rsidP="008640C6">
      <w:pPr>
        <w:pStyle w:val="FootnoteText"/>
      </w:pPr>
      <w:r w:rsidRPr="008640C6">
        <w:rPr>
          <w:rStyle w:val="FootnoteReference"/>
        </w:rPr>
        <w:footnoteRef/>
      </w:r>
      <w:r>
        <w:tab/>
      </w:r>
      <w:r w:rsidRPr="00CA384F">
        <w:t>Regulation (EU) 2015/760 of the European Parliament and of the Council of 29 April 2015 on European long-term investment funds (OJ L 123, 19.5.2015, p. 98).</w:t>
      </w:r>
    </w:p>
  </w:footnote>
  <w:footnote w:id="24">
    <w:p w14:paraId="05F542B1" w14:textId="77777777" w:rsidR="000D2B64" w:rsidRPr="00CA384F" w:rsidRDefault="000D2B64" w:rsidP="008640C6">
      <w:pPr>
        <w:pStyle w:val="FootnoteText"/>
      </w:pPr>
      <w:r w:rsidRPr="008640C6">
        <w:rPr>
          <w:rStyle w:val="FootnoteReference"/>
        </w:rPr>
        <w:footnoteRef/>
      </w:r>
      <w:r>
        <w:tab/>
      </w:r>
      <w:r w:rsidRPr="00CA384F">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25">
    <w:p w14:paraId="05F542B2" w14:textId="77777777" w:rsidR="000D2B64" w:rsidRPr="00CA384F" w:rsidRDefault="000D2B64" w:rsidP="008640C6">
      <w:pPr>
        <w:pStyle w:val="FootnoteText"/>
      </w:pPr>
      <w:r w:rsidRPr="008640C6">
        <w:rPr>
          <w:rStyle w:val="FootnoteReference"/>
        </w:rPr>
        <w:footnoteRef/>
      </w:r>
      <w:r>
        <w:tab/>
      </w:r>
      <w:r w:rsidRPr="00CA384F">
        <w:t>Directive 2009/138/EC of the European Parliament and of the Council of 25 November 2009 on the taking-up and pursuit of the business of Insurance and Reinsurance (Solvency II) (OJ L 335, 17.12.2009, p. 1).</w:t>
      </w:r>
    </w:p>
  </w:footnote>
  <w:footnote w:id="26">
    <w:p w14:paraId="05F542B3" w14:textId="77777777" w:rsidR="000D2B64" w:rsidRPr="00CA384F" w:rsidRDefault="000D2B64" w:rsidP="008640C6">
      <w:pPr>
        <w:pStyle w:val="FootnoteText"/>
      </w:pPr>
      <w:r w:rsidRPr="008640C6">
        <w:rPr>
          <w:rStyle w:val="FootnoteReference"/>
        </w:rPr>
        <w:footnoteRef/>
      </w:r>
      <w:r>
        <w:tab/>
      </w:r>
      <w:r w:rsidRPr="00CA384F">
        <w:t>Directive (EU) 2016/2341 of the European Parliament and of the Council of 14 December 2016 on the activities and supervision of institutions for occupational retirement provision (IORPs) (OJ L 354, 23.12.2016, p. 37).</w:t>
      </w:r>
    </w:p>
  </w:footnote>
  <w:footnote w:id="27">
    <w:p w14:paraId="05F542B4" w14:textId="77777777" w:rsidR="000D2B64" w:rsidRPr="00CA384F" w:rsidRDefault="000D2B64" w:rsidP="008640C6">
      <w:pPr>
        <w:pStyle w:val="FootnoteText"/>
      </w:pPr>
      <w:r w:rsidRPr="008640C6">
        <w:rPr>
          <w:rStyle w:val="FootnoteReference"/>
        </w:rPr>
        <w:footnoteRef/>
      </w:r>
      <w:r>
        <w:tab/>
      </w:r>
      <w:r w:rsidRPr="00546D17">
        <w:t>Regulation (EC) No 883/2004 of the European Parliament and of the Council of 29 April 2004 on the coordination of social security systems (OJ L 166, 30.4.2004, p. 1).</w:t>
      </w:r>
    </w:p>
  </w:footnote>
  <w:footnote w:id="28">
    <w:p w14:paraId="05F542B5" w14:textId="77777777" w:rsidR="000D2B64" w:rsidRDefault="000D2B64" w:rsidP="008640C6">
      <w:pPr>
        <w:pStyle w:val="FootnoteText"/>
      </w:pPr>
      <w:r w:rsidRPr="008640C6">
        <w:rPr>
          <w:rStyle w:val="FootnoteReference"/>
        </w:rPr>
        <w:footnoteRef/>
      </w:r>
      <w:r>
        <w:tab/>
        <w:t xml:space="preserve">Regulation (EU) No 648/2012 of the European Parliament and of the Council of 4 July 2012 on OTC </w:t>
      </w:r>
    </w:p>
    <w:p w14:paraId="05F542B6" w14:textId="77777777" w:rsidR="000D2B64" w:rsidRPr="007342A5" w:rsidRDefault="000D2B64" w:rsidP="008640C6">
      <w:pPr>
        <w:pStyle w:val="FootnoteText"/>
      </w:pPr>
      <w:r>
        <w:t>derivatives, central counterparties and trade repositories (OJ L 201, 27.7.2012, p. 1).</w:t>
      </w:r>
    </w:p>
  </w:footnote>
  <w:footnote w:id="29">
    <w:p w14:paraId="05F542B7" w14:textId="77777777" w:rsidR="000D2B64" w:rsidRDefault="000D2B64" w:rsidP="008640C6">
      <w:pPr>
        <w:pStyle w:val="FootnoteText"/>
      </w:pPr>
      <w:r w:rsidRPr="008640C6">
        <w:rPr>
          <w:rStyle w:val="FootnoteReference"/>
        </w:rPr>
        <w:footnoteRef/>
      </w:r>
      <w:r>
        <w:tab/>
        <w:t xml:space="preserve">Regulation (EU) No 909/2014 of the European Parliament and of the Council of 23 July 2014 on </w:t>
      </w:r>
    </w:p>
    <w:p w14:paraId="05F542B8" w14:textId="77777777" w:rsidR="000D2B64" w:rsidRDefault="000D2B64" w:rsidP="008640C6">
      <w:pPr>
        <w:pStyle w:val="FootnoteText"/>
      </w:pPr>
      <w:r>
        <w:t xml:space="preserve">improving securities settlement in the European Union and on central securities depositories and </w:t>
      </w:r>
    </w:p>
    <w:p w14:paraId="05F542B9" w14:textId="77777777" w:rsidR="000D2B64" w:rsidRDefault="000D2B64" w:rsidP="008640C6">
      <w:pPr>
        <w:pStyle w:val="FootnoteText"/>
      </w:pPr>
      <w:r>
        <w:t xml:space="preserve">amending Directives 98/26/EC and 2014/65/EU and Regulation (EU) No 236/2012 (OJ L 257, </w:t>
      </w:r>
    </w:p>
    <w:p w14:paraId="05F542BA" w14:textId="77777777" w:rsidR="000D2B64" w:rsidRPr="006E62D0" w:rsidRDefault="000D2B64" w:rsidP="008640C6">
      <w:pPr>
        <w:pStyle w:val="FootnoteText"/>
      </w:pPr>
      <w:r>
        <w:t>28.8.2014, p. 1).</w:t>
      </w:r>
    </w:p>
  </w:footnote>
  <w:footnote w:id="30">
    <w:p w14:paraId="05F542BB" w14:textId="77777777" w:rsidR="000D2B64" w:rsidRDefault="000D2B64" w:rsidP="008640C6">
      <w:pPr>
        <w:pStyle w:val="FootnoteText"/>
      </w:pPr>
      <w:r w:rsidRPr="008640C6">
        <w:rPr>
          <w:rStyle w:val="FootnoteReference"/>
        </w:rPr>
        <w:footnoteRef/>
      </w:r>
      <w:r>
        <w:tab/>
        <w:t xml:space="preserve">Regulation (EU) 2017/2402 of the European Parliament and of the Council of 12 December 2017 laying </w:t>
      </w:r>
    </w:p>
    <w:p w14:paraId="05F542BC" w14:textId="77777777" w:rsidR="000D2B64" w:rsidRDefault="000D2B64" w:rsidP="008640C6">
      <w:pPr>
        <w:pStyle w:val="FootnoteText"/>
      </w:pPr>
      <w:r>
        <w:t xml:space="preserve">down a general framework for securitisation and creating a specific framework for simple, transparent </w:t>
      </w:r>
    </w:p>
    <w:p w14:paraId="05F542BD" w14:textId="77777777" w:rsidR="000D2B64" w:rsidRDefault="000D2B64" w:rsidP="008640C6">
      <w:pPr>
        <w:pStyle w:val="FootnoteText"/>
      </w:pPr>
      <w:r>
        <w:t xml:space="preserve">and standardised securitisation, and amending Directives 2009/65/EC, 2009/138/EC and 2011/61/EU </w:t>
      </w:r>
    </w:p>
    <w:p w14:paraId="05F542BE" w14:textId="77777777" w:rsidR="000D2B64" w:rsidRPr="006E62D0" w:rsidRDefault="000D2B64" w:rsidP="008640C6">
      <w:pPr>
        <w:pStyle w:val="FootnoteText"/>
      </w:pPr>
      <w:r>
        <w:t>and Regulations (EC) No 1060/2009 and (EU) No 648/2012 (OJ L 347, 28.12.2017, p. 35).</w:t>
      </w:r>
    </w:p>
  </w:footnote>
  <w:footnote w:id="31">
    <w:p w14:paraId="05F542BF" w14:textId="77777777" w:rsidR="000D2B64" w:rsidRDefault="000D2B64" w:rsidP="008640C6">
      <w:pPr>
        <w:pStyle w:val="FootnoteText"/>
      </w:pPr>
      <w:r w:rsidRPr="008640C6">
        <w:rPr>
          <w:rStyle w:val="FootnoteReference"/>
        </w:rPr>
        <w:footnoteRef/>
      </w:r>
      <w:r>
        <w:tab/>
        <w:t xml:space="preserve">Directive (EU) 2015/2366 of the European Parliament and of the Council of 25 November 2015 on </w:t>
      </w:r>
    </w:p>
    <w:p w14:paraId="05F542C0" w14:textId="77777777" w:rsidR="000D2B64" w:rsidRDefault="000D2B64" w:rsidP="008640C6">
      <w:pPr>
        <w:pStyle w:val="FootnoteText"/>
      </w:pPr>
      <w:r>
        <w:t xml:space="preserve">payment services in the internal market, amending Directives 2002/65/EC, 2009/110/EC and </w:t>
      </w:r>
    </w:p>
    <w:p w14:paraId="05F542C1" w14:textId="77777777" w:rsidR="000D2B64" w:rsidRDefault="000D2B64" w:rsidP="008640C6">
      <w:pPr>
        <w:pStyle w:val="FootnoteText"/>
      </w:pPr>
      <w:r>
        <w:t xml:space="preserve">2013/36/EU and Regulation (EU) No 1093/2010, and repealing Directive 2007/64/EC (OJ L 337, </w:t>
      </w:r>
    </w:p>
    <w:p w14:paraId="05F542C2" w14:textId="77777777" w:rsidR="000D2B64" w:rsidRPr="00753209" w:rsidRDefault="000D2B64" w:rsidP="008640C6">
      <w:pPr>
        <w:pStyle w:val="FootnoteText"/>
      </w:pPr>
      <w:r>
        <w:t>23.12.2015, p. 35).</w:t>
      </w:r>
    </w:p>
  </w:footnote>
  <w:footnote w:id="32">
    <w:p w14:paraId="05F542C3" w14:textId="77777777" w:rsidR="000D2B64" w:rsidRDefault="000D2B64" w:rsidP="008640C6">
      <w:pPr>
        <w:pStyle w:val="FootnoteText"/>
      </w:pPr>
      <w:r w:rsidRPr="008640C6">
        <w:rPr>
          <w:rStyle w:val="FootnoteReference"/>
        </w:rPr>
        <w:footnoteRef/>
      </w:r>
      <w:r>
        <w:tab/>
        <w:t xml:space="preserve">Directive 2009/110/EC of the European Parliament and of the Council of 16 September 2009 on the </w:t>
      </w:r>
    </w:p>
    <w:p w14:paraId="05F542C4" w14:textId="77777777" w:rsidR="000D2B64" w:rsidRDefault="000D2B64" w:rsidP="008640C6">
      <w:pPr>
        <w:pStyle w:val="FootnoteText"/>
      </w:pPr>
      <w:r>
        <w:t xml:space="preserve">taking up, pursuit and prudential supervision of the business of electronic money institutions amending </w:t>
      </w:r>
    </w:p>
    <w:p w14:paraId="05F542C5" w14:textId="77777777" w:rsidR="000D2B64" w:rsidRDefault="000D2B64" w:rsidP="008640C6">
      <w:pPr>
        <w:pStyle w:val="FootnoteText"/>
      </w:pPr>
      <w:r>
        <w:t xml:space="preserve">Directives 2005/60/EC and 2006/48/EC and repealing Directive 2000/46/EC (OJ L 267, 10.10.2009, p. </w:t>
      </w:r>
    </w:p>
    <w:p w14:paraId="05F542C6" w14:textId="77777777" w:rsidR="000D2B64" w:rsidRPr="00753209" w:rsidRDefault="000D2B64" w:rsidP="008640C6">
      <w:pPr>
        <w:pStyle w:val="FootnoteText"/>
      </w:pPr>
      <w:r>
        <w:t>7).</w:t>
      </w:r>
    </w:p>
  </w:footnote>
  <w:footnote w:id="33">
    <w:p w14:paraId="05F542C7" w14:textId="77777777" w:rsidR="000D2B64" w:rsidRDefault="000D2B64" w:rsidP="008640C6">
      <w:pPr>
        <w:pStyle w:val="FootnoteText"/>
      </w:pPr>
      <w:r w:rsidRPr="008640C6">
        <w:rPr>
          <w:rStyle w:val="FootnoteReference"/>
        </w:rPr>
        <w:footnoteRef/>
      </w:r>
      <w:r>
        <w:tab/>
        <w:t xml:space="preserve">Regulation (EU) 2020/1503 of the European Parliament and of the Council of 7 October 2020 on </w:t>
      </w:r>
    </w:p>
    <w:p w14:paraId="05F542C8" w14:textId="77777777" w:rsidR="000D2B64" w:rsidRDefault="000D2B64" w:rsidP="008640C6">
      <w:pPr>
        <w:pStyle w:val="FootnoteText"/>
      </w:pPr>
      <w:r>
        <w:t xml:space="preserve">European crowdfunding service providers for business, and amending Regulation (EU) 2017/1129 and </w:t>
      </w:r>
    </w:p>
    <w:p w14:paraId="05F542C9" w14:textId="77777777" w:rsidR="000D2B64" w:rsidRPr="00F0351B" w:rsidRDefault="000D2B64" w:rsidP="008640C6">
      <w:pPr>
        <w:pStyle w:val="FootnoteText"/>
        <w:rPr>
          <w:lang w:val="fr-BE"/>
        </w:rPr>
      </w:pPr>
      <w:r w:rsidRPr="00F0351B">
        <w:rPr>
          <w:lang w:val="fr-BE"/>
        </w:rPr>
        <w:t>Directive (EU) 2019/1937 (OJ L 347, 20.10.2020, p. 1).</w:t>
      </w:r>
    </w:p>
  </w:footnote>
  <w:footnote w:id="34">
    <w:p w14:paraId="05F542CA" w14:textId="77777777" w:rsidR="000D2B64" w:rsidRDefault="000D2B64" w:rsidP="00184F50">
      <w:pPr>
        <w:pStyle w:val="FootnoteText"/>
      </w:pPr>
      <w:r w:rsidRPr="008640C6">
        <w:rPr>
          <w:rStyle w:val="FootnoteReference"/>
        </w:rPr>
        <w:footnoteRef/>
      </w:r>
      <w:r w:rsidRPr="0080046A">
        <w:rPr>
          <w:lang w:val="pt-PT"/>
        </w:rPr>
        <w:tab/>
      </w:r>
      <w:r>
        <w:tab/>
      </w:r>
      <w:r w:rsidRPr="001A05B3">
        <w:t>Regulation</w:t>
      </w:r>
      <w:r>
        <w:t xml:space="preserve"> </w:t>
      </w:r>
      <w:r w:rsidRPr="001A05B3">
        <w:t>of the European Parliament and of the Council on Markets in Crypto-assets, and amending Directive (EU) 2019/193731</w:t>
      </w:r>
      <w:r>
        <w:t xml:space="preserve"> (OJ L…) (</w:t>
      </w:r>
      <w:r w:rsidRPr="002326E1">
        <w:t xml:space="preserve">OJ: Please insert in the text the number of the </w:t>
      </w:r>
      <w:r>
        <w:t>Regulation</w:t>
      </w:r>
      <w:r w:rsidRPr="002326E1">
        <w:t xml:space="preserve"> contained in document </w:t>
      </w:r>
      <w:r w:rsidRPr="00D2342F">
        <w:t>2020/0265/COD</w:t>
      </w:r>
      <w:r w:rsidRPr="002326E1">
        <w:t xml:space="preserve"> and insert the number, date, and OJ reference of that Directive in the footnote.</w:t>
      </w:r>
      <w:r>
        <w:t>)</w:t>
      </w:r>
    </w:p>
    <w:p w14:paraId="05F542CB" w14:textId="77777777" w:rsidR="000D2B64" w:rsidRPr="00F0351B" w:rsidRDefault="000D2B64" w:rsidP="008640C6">
      <w:pPr>
        <w:pStyle w:val="FootnoteText"/>
      </w:pPr>
    </w:p>
  </w:footnote>
  <w:footnote w:id="35">
    <w:p w14:paraId="05F542CC" w14:textId="77777777" w:rsidR="000D2B64" w:rsidRPr="00F0351B" w:rsidRDefault="000D2B64" w:rsidP="00583416">
      <w:pPr>
        <w:pStyle w:val="title-bold"/>
        <w:shd w:val="clear" w:color="auto" w:fill="FFFFFF"/>
        <w:spacing w:before="0" w:beforeAutospacing="0" w:after="150" w:afterAutospacing="0"/>
        <w:rPr>
          <w:lang w:val="en-IE"/>
        </w:rPr>
      </w:pPr>
      <w:r w:rsidRPr="00C410DC">
        <w:rPr>
          <w:rStyle w:val="FootnoteReference"/>
        </w:rPr>
        <w:footnoteRef/>
      </w:r>
      <w:r>
        <w:tab/>
      </w:r>
      <w:r w:rsidRPr="00F0351B">
        <w:rPr>
          <w:rFonts w:eastAsiaTheme="minorHAnsi"/>
          <w:sz w:val="20"/>
          <w:szCs w:val="20"/>
          <w:lang w:val="en-GB"/>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36">
    <w:p w14:paraId="05F542CD" w14:textId="77777777" w:rsidR="000D2B64" w:rsidRPr="00E36EC0" w:rsidRDefault="000D2B64" w:rsidP="00255661">
      <w:pPr>
        <w:pStyle w:val="title-bold"/>
        <w:shd w:val="clear" w:color="auto" w:fill="FFFFFF" w:themeFill="background1"/>
        <w:spacing w:before="0" w:after="150"/>
        <w:rPr>
          <w:rFonts w:ascii="Segoe UI" w:hAnsi="Segoe UI" w:cs="Segoe UI"/>
          <w:color w:val="333333"/>
          <w:sz w:val="21"/>
          <w:szCs w:val="21"/>
        </w:rPr>
      </w:pPr>
      <w:r w:rsidRPr="007C4048">
        <w:rPr>
          <w:rStyle w:val="FootnoteReference"/>
          <w:rFonts w:eastAsiaTheme="majorEastAsia"/>
        </w:rPr>
        <w:footnoteRef/>
      </w:r>
      <w:r>
        <w:tab/>
      </w:r>
      <w:r w:rsidRPr="00D2342F">
        <w:rPr>
          <w:rFonts w:eastAsiaTheme="minorEastAsia"/>
          <w:sz w:val="20"/>
          <w:szCs w:val="20"/>
          <w:lang w:val="lt-LT"/>
        </w:rPr>
        <w:t>Council Directive (EU) 2016/1164 of 12 July 2016 laying down rules against tax avoidance practices that directly affect the functioning of the internal market (OJ L 193, 19.7.2016,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D6652B"/>
    <w:multiLevelType w:val="hybridMultilevel"/>
    <w:tmpl w:val="F79263FC"/>
    <w:lvl w:ilvl="0" w:tplc="4EBC12D0">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5AB010B"/>
    <w:multiLevelType w:val="hybridMultilevel"/>
    <w:tmpl w:val="19F8B2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3"/>
  </w:num>
  <w:num w:numId="11">
    <w:abstractNumId w:val="23"/>
  </w:num>
  <w:num w:numId="12">
    <w:abstractNumId w:val="11"/>
  </w:num>
  <w:num w:numId="13">
    <w:abstractNumId w:val="14"/>
  </w:num>
  <w:num w:numId="14">
    <w:abstractNumId w:val="15"/>
  </w:num>
  <w:num w:numId="15">
    <w:abstractNumId w:val="9"/>
  </w:num>
  <w:num w:numId="16">
    <w:abstractNumId w:val="22"/>
  </w:num>
  <w:num w:numId="17">
    <w:abstractNumId w:val="8"/>
  </w:num>
  <w:num w:numId="18">
    <w:abstractNumId w:val="16"/>
  </w:num>
  <w:num w:numId="19">
    <w:abstractNumId w:val="19"/>
  </w:num>
  <w:num w:numId="20">
    <w:abstractNumId w:val="20"/>
  </w:num>
  <w:num w:numId="21">
    <w:abstractNumId w:val="10"/>
  </w:num>
  <w:num w:numId="22">
    <w:abstractNumId w:val="18"/>
  </w:num>
  <w:num w:numId="23">
    <w:abstractNumId w:val="24"/>
  </w:num>
  <w:num w:numId="24">
    <w:abstractNumId w:val="17"/>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5-04 13:32:54"/>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3DF18BA6-EEAC-478E-8ED5-F93CF67C570E"/>
    <w:docVar w:name="LW_COVERPAGE_TYPE" w:val="1"/>
    <w:docVar w:name="LW_CROSSREFERENCE" w:val="{SEC(2022) 204 final} - {SWD(2022) 144 final} - {SWD(2022) 145 final} - {SWD(2022) 146 final}"/>
    <w:docVar w:name="LW_DocType" w:val="COM"/>
    <w:docVar w:name="LW_EMISSION" w:val="11.5.2022"/>
    <w:docVar w:name="LW_EMISSION_ISODATE" w:val="2022-05-11"/>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laying down rules on a debt-equity bias reduction allowance and on limiting the deductibility of interest for corporate income tax purposes"/>
    <w:docVar w:name="LW_TITRE.OBJ_USEMAINTEXTFORCP" w:val="1"/>
    <w:docVar w:name="LW_TYPE.DOC.CP" w:val="COUNCIL DIRECTIVE"/>
    <w:docVar w:name="LwApiVersions" w:val="LW4CoDe 1.23.2.0; LW 8.0, Build 20211117"/>
  </w:docVars>
  <w:rsids>
    <w:rsidRoot w:val="0040116E"/>
    <w:rsid w:val="00000508"/>
    <w:rsid w:val="00000D46"/>
    <w:rsid w:val="0000384A"/>
    <w:rsid w:val="00003AA3"/>
    <w:rsid w:val="000043C3"/>
    <w:rsid w:val="000043CD"/>
    <w:rsid w:val="00004A04"/>
    <w:rsid w:val="0000653A"/>
    <w:rsid w:val="000123FE"/>
    <w:rsid w:val="0001326B"/>
    <w:rsid w:val="0002045B"/>
    <w:rsid w:val="00024B0B"/>
    <w:rsid w:val="00025632"/>
    <w:rsid w:val="00034B2C"/>
    <w:rsid w:val="0004195D"/>
    <w:rsid w:val="00042892"/>
    <w:rsid w:val="00047720"/>
    <w:rsid w:val="0005015F"/>
    <w:rsid w:val="00052561"/>
    <w:rsid w:val="00053D00"/>
    <w:rsid w:val="000547F6"/>
    <w:rsid w:val="00055A7E"/>
    <w:rsid w:val="00057A1C"/>
    <w:rsid w:val="000638ED"/>
    <w:rsid w:val="0006723A"/>
    <w:rsid w:val="000672A0"/>
    <w:rsid w:val="00072497"/>
    <w:rsid w:val="000771B6"/>
    <w:rsid w:val="000815FF"/>
    <w:rsid w:val="00085748"/>
    <w:rsid w:val="000863D9"/>
    <w:rsid w:val="000867EC"/>
    <w:rsid w:val="00087746"/>
    <w:rsid w:val="00090EDD"/>
    <w:rsid w:val="000919B8"/>
    <w:rsid w:val="00092375"/>
    <w:rsid w:val="00092452"/>
    <w:rsid w:val="00092DAE"/>
    <w:rsid w:val="000A042C"/>
    <w:rsid w:val="000A28CB"/>
    <w:rsid w:val="000A4DD0"/>
    <w:rsid w:val="000A558D"/>
    <w:rsid w:val="000B4B3D"/>
    <w:rsid w:val="000B5404"/>
    <w:rsid w:val="000B7A7D"/>
    <w:rsid w:val="000C12A4"/>
    <w:rsid w:val="000C3C9F"/>
    <w:rsid w:val="000C6009"/>
    <w:rsid w:val="000D2B64"/>
    <w:rsid w:val="000D68D7"/>
    <w:rsid w:val="000E336F"/>
    <w:rsid w:val="000F11CA"/>
    <w:rsid w:val="000F4B6E"/>
    <w:rsid w:val="000F7EE6"/>
    <w:rsid w:val="00102033"/>
    <w:rsid w:val="001031FD"/>
    <w:rsid w:val="0010635D"/>
    <w:rsid w:val="0010653E"/>
    <w:rsid w:val="00112EAF"/>
    <w:rsid w:val="00113001"/>
    <w:rsid w:val="0011557D"/>
    <w:rsid w:val="001173EC"/>
    <w:rsid w:val="00120955"/>
    <w:rsid w:val="001243DA"/>
    <w:rsid w:val="00131313"/>
    <w:rsid w:val="001342D9"/>
    <w:rsid w:val="0013581E"/>
    <w:rsid w:val="00136159"/>
    <w:rsid w:val="001429EF"/>
    <w:rsid w:val="00142DAF"/>
    <w:rsid w:val="00144BB2"/>
    <w:rsid w:val="00146239"/>
    <w:rsid w:val="00147EBE"/>
    <w:rsid w:val="0015047A"/>
    <w:rsid w:val="00152894"/>
    <w:rsid w:val="00152DB7"/>
    <w:rsid w:val="001560A0"/>
    <w:rsid w:val="00156EEA"/>
    <w:rsid w:val="00157443"/>
    <w:rsid w:val="001609E2"/>
    <w:rsid w:val="001625DD"/>
    <w:rsid w:val="001629F8"/>
    <w:rsid w:val="00162CEE"/>
    <w:rsid w:val="001640A6"/>
    <w:rsid w:val="00166F56"/>
    <w:rsid w:val="0017265C"/>
    <w:rsid w:val="00183F53"/>
    <w:rsid w:val="00184F50"/>
    <w:rsid w:val="00186400"/>
    <w:rsid w:val="00192E5E"/>
    <w:rsid w:val="00194A25"/>
    <w:rsid w:val="0019654C"/>
    <w:rsid w:val="001972A5"/>
    <w:rsid w:val="001A05B3"/>
    <w:rsid w:val="001A6A7E"/>
    <w:rsid w:val="001B2927"/>
    <w:rsid w:val="001B36D6"/>
    <w:rsid w:val="001B39D0"/>
    <w:rsid w:val="001B5D1B"/>
    <w:rsid w:val="001B6C0C"/>
    <w:rsid w:val="001B7DC0"/>
    <w:rsid w:val="001C030B"/>
    <w:rsid w:val="001C0BBB"/>
    <w:rsid w:val="001C147C"/>
    <w:rsid w:val="001C26FF"/>
    <w:rsid w:val="001C53FB"/>
    <w:rsid w:val="001D1287"/>
    <w:rsid w:val="001D3040"/>
    <w:rsid w:val="001D3BD9"/>
    <w:rsid w:val="001D5171"/>
    <w:rsid w:val="001D7079"/>
    <w:rsid w:val="001E3607"/>
    <w:rsid w:val="001E3982"/>
    <w:rsid w:val="001E74A1"/>
    <w:rsid w:val="001F005E"/>
    <w:rsid w:val="001F27C4"/>
    <w:rsid w:val="001F2DEF"/>
    <w:rsid w:val="001F75F5"/>
    <w:rsid w:val="002004CE"/>
    <w:rsid w:val="00202A98"/>
    <w:rsid w:val="00202B3D"/>
    <w:rsid w:val="00205CF5"/>
    <w:rsid w:val="00213015"/>
    <w:rsid w:val="00215186"/>
    <w:rsid w:val="002151C3"/>
    <w:rsid w:val="0022123C"/>
    <w:rsid w:val="0022358E"/>
    <w:rsid w:val="002238E7"/>
    <w:rsid w:val="00225172"/>
    <w:rsid w:val="00227CA0"/>
    <w:rsid w:val="0023083C"/>
    <w:rsid w:val="00230E8D"/>
    <w:rsid w:val="00231BAC"/>
    <w:rsid w:val="002333BC"/>
    <w:rsid w:val="002354FB"/>
    <w:rsid w:val="00255661"/>
    <w:rsid w:val="00255D56"/>
    <w:rsid w:val="0025783B"/>
    <w:rsid w:val="002715BF"/>
    <w:rsid w:val="00271D07"/>
    <w:rsid w:val="00277DC4"/>
    <w:rsid w:val="00284299"/>
    <w:rsid w:val="00287322"/>
    <w:rsid w:val="00291A30"/>
    <w:rsid w:val="002A2441"/>
    <w:rsid w:val="002A2E50"/>
    <w:rsid w:val="002A69CA"/>
    <w:rsid w:val="002B5FE0"/>
    <w:rsid w:val="002B688E"/>
    <w:rsid w:val="002C2A87"/>
    <w:rsid w:val="002C7FC2"/>
    <w:rsid w:val="002D3578"/>
    <w:rsid w:val="002D65A4"/>
    <w:rsid w:val="002E0CCE"/>
    <w:rsid w:val="002E5B70"/>
    <w:rsid w:val="002E61D4"/>
    <w:rsid w:val="002E6686"/>
    <w:rsid w:val="002F42F5"/>
    <w:rsid w:val="002F6CB1"/>
    <w:rsid w:val="0030063B"/>
    <w:rsid w:val="003018BF"/>
    <w:rsid w:val="00302364"/>
    <w:rsid w:val="00305F5A"/>
    <w:rsid w:val="003077C7"/>
    <w:rsid w:val="00311D73"/>
    <w:rsid w:val="00312E14"/>
    <w:rsid w:val="0031735F"/>
    <w:rsid w:val="003176F1"/>
    <w:rsid w:val="00320E44"/>
    <w:rsid w:val="00321F46"/>
    <w:rsid w:val="00324E92"/>
    <w:rsid w:val="0032695F"/>
    <w:rsid w:val="003269AF"/>
    <w:rsid w:val="00332A3B"/>
    <w:rsid w:val="0033399D"/>
    <w:rsid w:val="003341EB"/>
    <w:rsid w:val="00335304"/>
    <w:rsid w:val="00340CE1"/>
    <w:rsid w:val="00340D96"/>
    <w:rsid w:val="00343744"/>
    <w:rsid w:val="00346E9E"/>
    <w:rsid w:val="003531A0"/>
    <w:rsid w:val="003602E6"/>
    <w:rsid w:val="00362440"/>
    <w:rsid w:val="00365D05"/>
    <w:rsid w:val="003719AF"/>
    <w:rsid w:val="0037308D"/>
    <w:rsid w:val="003731BC"/>
    <w:rsid w:val="0037486E"/>
    <w:rsid w:val="0037542D"/>
    <w:rsid w:val="00376987"/>
    <w:rsid w:val="00377459"/>
    <w:rsid w:val="003813A8"/>
    <w:rsid w:val="00382CB6"/>
    <w:rsid w:val="003864CE"/>
    <w:rsid w:val="00391BB5"/>
    <w:rsid w:val="003929C6"/>
    <w:rsid w:val="00395596"/>
    <w:rsid w:val="00395FDE"/>
    <w:rsid w:val="00396ACD"/>
    <w:rsid w:val="003A2778"/>
    <w:rsid w:val="003B02EB"/>
    <w:rsid w:val="003B131B"/>
    <w:rsid w:val="003B1399"/>
    <w:rsid w:val="003B1540"/>
    <w:rsid w:val="003B1607"/>
    <w:rsid w:val="003B6590"/>
    <w:rsid w:val="003B7619"/>
    <w:rsid w:val="003B7807"/>
    <w:rsid w:val="003C2CFA"/>
    <w:rsid w:val="003C5654"/>
    <w:rsid w:val="003C574D"/>
    <w:rsid w:val="003C6098"/>
    <w:rsid w:val="003C734F"/>
    <w:rsid w:val="003D0766"/>
    <w:rsid w:val="003D45EC"/>
    <w:rsid w:val="003D6B03"/>
    <w:rsid w:val="003D763C"/>
    <w:rsid w:val="003E0FAE"/>
    <w:rsid w:val="003E3816"/>
    <w:rsid w:val="003E4B8F"/>
    <w:rsid w:val="003E583F"/>
    <w:rsid w:val="003E794C"/>
    <w:rsid w:val="003F105F"/>
    <w:rsid w:val="003F39F3"/>
    <w:rsid w:val="0040116E"/>
    <w:rsid w:val="004016CA"/>
    <w:rsid w:val="0040486E"/>
    <w:rsid w:val="004073EA"/>
    <w:rsid w:val="00410181"/>
    <w:rsid w:val="00411B89"/>
    <w:rsid w:val="00412552"/>
    <w:rsid w:val="004125A2"/>
    <w:rsid w:val="00417484"/>
    <w:rsid w:val="00420DCB"/>
    <w:rsid w:val="00421A34"/>
    <w:rsid w:val="00421D18"/>
    <w:rsid w:val="00422476"/>
    <w:rsid w:val="00422C7A"/>
    <w:rsid w:val="0042301B"/>
    <w:rsid w:val="00424C0F"/>
    <w:rsid w:val="00425181"/>
    <w:rsid w:val="0043030C"/>
    <w:rsid w:val="00430ADB"/>
    <w:rsid w:val="0043212B"/>
    <w:rsid w:val="00433169"/>
    <w:rsid w:val="00437AA5"/>
    <w:rsid w:val="00437F20"/>
    <w:rsid w:val="004408B3"/>
    <w:rsid w:val="00443845"/>
    <w:rsid w:val="00446448"/>
    <w:rsid w:val="00450C1B"/>
    <w:rsid w:val="00451148"/>
    <w:rsid w:val="00451BB7"/>
    <w:rsid w:val="004522CF"/>
    <w:rsid w:val="0045576A"/>
    <w:rsid w:val="00455EEB"/>
    <w:rsid w:val="00456680"/>
    <w:rsid w:val="00457359"/>
    <w:rsid w:val="004616E0"/>
    <w:rsid w:val="004632FC"/>
    <w:rsid w:val="00464C99"/>
    <w:rsid w:val="00466CCF"/>
    <w:rsid w:val="0046728F"/>
    <w:rsid w:val="00472549"/>
    <w:rsid w:val="0047264A"/>
    <w:rsid w:val="00474E45"/>
    <w:rsid w:val="00475B75"/>
    <w:rsid w:val="004770A4"/>
    <w:rsid w:val="00482965"/>
    <w:rsid w:val="0048528E"/>
    <w:rsid w:val="00486C17"/>
    <w:rsid w:val="00487439"/>
    <w:rsid w:val="00492396"/>
    <w:rsid w:val="004931B2"/>
    <w:rsid w:val="00493275"/>
    <w:rsid w:val="004941F8"/>
    <w:rsid w:val="00494649"/>
    <w:rsid w:val="0049471C"/>
    <w:rsid w:val="00495928"/>
    <w:rsid w:val="00496E0D"/>
    <w:rsid w:val="004A1A05"/>
    <w:rsid w:val="004A5A28"/>
    <w:rsid w:val="004B2121"/>
    <w:rsid w:val="004B58AC"/>
    <w:rsid w:val="004B5D51"/>
    <w:rsid w:val="004B6175"/>
    <w:rsid w:val="004B68B2"/>
    <w:rsid w:val="004B7265"/>
    <w:rsid w:val="004B77BA"/>
    <w:rsid w:val="004C1017"/>
    <w:rsid w:val="004C1622"/>
    <w:rsid w:val="004C33BB"/>
    <w:rsid w:val="004C497E"/>
    <w:rsid w:val="004C4FCC"/>
    <w:rsid w:val="004C61EC"/>
    <w:rsid w:val="004C6AA3"/>
    <w:rsid w:val="004C7FF7"/>
    <w:rsid w:val="004D1E24"/>
    <w:rsid w:val="004D68D4"/>
    <w:rsid w:val="004D7FD1"/>
    <w:rsid w:val="004E19F9"/>
    <w:rsid w:val="004E1F86"/>
    <w:rsid w:val="004E293E"/>
    <w:rsid w:val="004E3338"/>
    <w:rsid w:val="004E4D51"/>
    <w:rsid w:val="004E6784"/>
    <w:rsid w:val="004E6ABD"/>
    <w:rsid w:val="004F1FCF"/>
    <w:rsid w:val="004F261F"/>
    <w:rsid w:val="004F5685"/>
    <w:rsid w:val="004F74E8"/>
    <w:rsid w:val="004F7624"/>
    <w:rsid w:val="00504365"/>
    <w:rsid w:val="005063E9"/>
    <w:rsid w:val="005115E3"/>
    <w:rsid w:val="00515122"/>
    <w:rsid w:val="005165D9"/>
    <w:rsid w:val="0051677F"/>
    <w:rsid w:val="00517205"/>
    <w:rsid w:val="0052205B"/>
    <w:rsid w:val="00523306"/>
    <w:rsid w:val="00525D50"/>
    <w:rsid w:val="00527045"/>
    <w:rsid w:val="005302D9"/>
    <w:rsid w:val="00530638"/>
    <w:rsid w:val="0053073F"/>
    <w:rsid w:val="005316A0"/>
    <w:rsid w:val="005404A1"/>
    <w:rsid w:val="00542487"/>
    <w:rsid w:val="00544BBB"/>
    <w:rsid w:val="0055267B"/>
    <w:rsid w:val="00554F6A"/>
    <w:rsid w:val="005638F7"/>
    <w:rsid w:val="00563BA4"/>
    <w:rsid w:val="00565A01"/>
    <w:rsid w:val="00566B3D"/>
    <w:rsid w:val="005702FE"/>
    <w:rsid w:val="00575346"/>
    <w:rsid w:val="00576681"/>
    <w:rsid w:val="00576B96"/>
    <w:rsid w:val="00582810"/>
    <w:rsid w:val="00582ECE"/>
    <w:rsid w:val="00583416"/>
    <w:rsid w:val="00586F80"/>
    <w:rsid w:val="005872CE"/>
    <w:rsid w:val="005902B9"/>
    <w:rsid w:val="0059196C"/>
    <w:rsid w:val="005926C5"/>
    <w:rsid w:val="00595540"/>
    <w:rsid w:val="00595C1B"/>
    <w:rsid w:val="005A18DF"/>
    <w:rsid w:val="005A2129"/>
    <w:rsid w:val="005A28C7"/>
    <w:rsid w:val="005A564D"/>
    <w:rsid w:val="005A5C28"/>
    <w:rsid w:val="005B3331"/>
    <w:rsid w:val="005B481A"/>
    <w:rsid w:val="005B48CD"/>
    <w:rsid w:val="005B5FA6"/>
    <w:rsid w:val="005C10E7"/>
    <w:rsid w:val="005C26BA"/>
    <w:rsid w:val="005C2A45"/>
    <w:rsid w:val="005C36B2"/>
    <w:rsid w:val="005D0163"/>
    <w:rsid w:val="005D0455"/>
    <w:rsid w:val="005D1848"/>
    <w:rsid w:val="005D3FD2"/>
    <w:rsid w:val="005D5E86"/>
    <w:rsid w:val="005E11E4"/>
    <w:rsid w:val="005E63D1"/>
    <w:rsid w:val="005F001C"/>
    <w:rsid w:val="005F0653"/>
    <w:rsid w:val="005F3CDD"/>
    <w:rsid w:val="005F599E"/>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421"/>
    <w:rsid w:val="00635365"/>
    <w:rsid w:val="00637CB9"/>
    <w:rsid w:val="006429DB"/>
    <w:rsid w:val="0064491D"/>
    <w:rsid w:val="006456DC"/>
    <w:rsid w:val="006457A4"/>
    <w:rsid w:val="00645E1B"/>
    <w:rsid w:val="006475ED"/>
    <w:rsid w:val="006511C7"/>
    <w:rsid w:val="00651315"/>
    <w:rsid w:val="00653339"/>
    <w:rsid w:val="00654D22"/>
    <w:rsid w:val="006654AB"/>
    <w:rsid w:val="00667B6B"/>
    <w:rsid w:val="0067337A"/>
    <w:rsid w:val="00675C61"/>
    <w:rsid w:val="0067799F"/>
    <w:rsid w:val="006836C8"/>
    <w:rsid w:val="00686B8B"/>
    <w:rsid w:val="00687F25"/>
    <w:rsid w:val="00691B4E"/>
    <w:rsid w:val="00694AC9"/>
    <w:rsid w:val="00695203"/>
    <w:rsid w:val="006A0F7E"/>
    <w:rsid w:val="006B1D5B"/>
    <w:rsid w:val="006B308C"/>
    <w:rsid w:val="006B3DD0"/>
    <w:rsid w:val="006B5EB5"/>
    <w:rsid w:val="006B66F7"/>
    <w:rsid w:val="006B68EB"/>
    <w:rsid w:val="006B711E"/>
    <w:rsid w:val="006C2CEA"/>
    <w:rsid w:val="006C4DE4"/>
    <w:rsid w:val="006D1F67"/>
    <w:rsid w:val="006D6016"/>
    <w:rsid w:val="006E0FA9"/>
    <w:rsid w:val="006E19E1"/>
    <w:rsid w:val="006E42CE"/>
    <w:rsid w:val="006E6575"/>
    <w:rsid w:val="006E669A"/>
    <w:rsid w:val="006E70D7"/>
    <w:rsid w:val="006E7759"/>
    <w:rsid w:val="006F362D"/>
    <w:rsid w:val="006F504B"/>
    <w:rsid w:val="006F7EFE"/>
    <w:rsid w:val="00700021"/>
    <w:rsid w:val="007004AA"/>
    <w:rsid w:val="00701604"/>
    <w:rsid w:val="00701788"/>
    <w:rsid w:val="007031A7"/>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30104"/>
    <w:rsid w:val="00732603"/>
    <w:rsid w:val="00734D5B"/>
    <w:rsid w:val="00734DEF"/>
    <w:rsid w:val="007417ED"/>
    <w:rsid w:val="00753C13"/>
    <w:rsid w:val="00754198"/>
    <w:rsid w:val="0075505A"/>
    <w:rsid w:val="0076202D"/>
    <w:rsid w:val="00770076"/>
    <w:rsid w:val="00770BFD"/>
    <w:rsid w:val="00775562"/>
    <w:rsid w:val="00776EB4"/>
    <w:rsid w:val="0078693F"/>
    <w:rsid w:val="007875B1"/>
    <w:rsid w:val="00790DE2"/>
    <w:rsid w:val="00792BCD"/>
    <w:rsid w:val="00792FEF"/>
    <w:rsid w:val="00793C5F"/>
    <w:rsid w:val="0079592D"/>
    <w:rsid w:val="00796E99"/>
    <w:rsid w:val="007A0233"/>
    <w:rsid w:val="007A0466"/>
    <w:rsid w:val="007A32CB"/>
    <w:rsid w:val="007A32EC"/>
    <w:rsid w:val="007A3CB7"/>
    <w:rsid w:val="007B0DC9"/>
    <w:rsid w:val="007B1121"/>
    <w:rsid w:val="007B18BC"/>
    <w:rsid w:val="007B3D00"/>
    <w:rsid w:val="007B5127"/>
    <w:rsid w:val="007B60C3"/>
    <w:rsid w:val="007B6283"/>
    <w:rsid w:val="007B7156"/>
    <w:rsid w:val="007C0429"/>
    <w:rsid w:val="007C1373"/>
    <w:rsid w:val="007C2410"/>
    <w:rsid w:val="007C2791"/>
    <w:rsid w:val="007C3D3D"/>
    <w:rsid w:val="007C4048"/>
    <w:rsid w:val="007C4071"/>
    <w:rsid w:val="007C4BE3"/>
    <w:rsid w:val="007D0861"/>
    <w:rsid w:val="007D14ED"/>
    <w:rsid w:val="007D2B06"/>
    <w:rsid w:val="007D6126"/>
    <w:rsid w:val="007D6200"/>
    <w:rsid w:val="007D68BA"/>
    <w:rsid w:val="007D7540"/>
    <w:rsid w:val="007E010B"/>
    <w:rsid w:val="007E323A"/>
    <w:rsid w:val="007E5166"/>
    <w:rsid w:val="007F3039"/>
    <w:rsid w:val="007F4B0F"/>
    <w:rsid w:val="007F6514"/>
    <w:rsid w:val="0080046A"/>
    <w:rsid w:val="008010E4"/>
    <w:rsid w:val="00801763"/>
    <w:rsid w:val="00801F6C"/>
    <w:rsid w:val="00802A59"/>
    <w:rsid w:val="00802FC2"/>
    <w:rsid w:val="00803067"/>
    <w:rsid w:val="0080635B"/>
    <w:rsid w:val="00807A98"/>
    <w:rsid w:val="00814A18"/>
    <w:rsid w:val="008156E1"/>
    <w:rsid w:val="0082085E"/>
    <w:rsid w:val="00822590"/>
    <w:rsid w:val="0082642F"/>
    <w:rsid w:val="00826A4C"/>
    <w:rsid w:val="00833E71"/>
    <w:rsid w:val="008340CB"/>
    <w:rsid w:val="00836CD1"/>
    <w:rsid w:val="00844529"/>
    <w:rsid w:val="00844CEC"/>
    <w:rsid w:val="0085054B"/>
    <w:rsid w:val="00850D74"/>
    <w:rsid w:val="0085280C"/>
    <w:rsid w:val="00852CF4"/>
    <w:rsid w:val="0085580F"/>
    <w:rsid w:val="00856A6C"/>
    <w:rsid w:val="00861103"/>
    <w:rsid w:val="00861F19"/>
    <w:rsid w:val="008637BA"/>
    <w:rsid w:val="00863A23"/>
    <w:rsid w:val="008640C6"/>
    <w:rsid w:val="008675BD"/>
    <w:rsid w:val="008700E8"/>
    <w:rsid w:val="00873F48"/>
    <w:rsid w:val="00876EE1"/>
    <w:rsid w:val="00880CAA"/>
    <w:rsid w:val="00881565"/>
    <w:rsid w:val="00882FAE"/>
    <w:rsid w:val="0089297B"/>
    <w:rsid w:val="00893719"/>
    <w:rsid w:val="00895B72"/>
    <w:rsid w:val="008A2362"/>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3AF9"/>
    <w:rsid w:val="008F3EE6"/>
    <w:rsid w:val="008F7F57"/>
    <w:rsid w:val="00900381"/>
    <w:rsid w:val="00902EA7"/>
    <w:rsid w:val="0090379F"/>
    <w:rsid w:val="00906245"/>
    <w:rsid w:val="0090771F"/>
    <w:rsid w:val="009161F4"/>
    <w:rsid w:val="00933E0E"/>
    <w:rsid w:val="00934A71"/>
    <w:rsid w:val="00937470"/>
    <w:rsid w:val="00940731"/>
    <w:rsid w:val="00940DDD"/>
    <w:rsid w:val="00951DB1"/>
    <w:rsid w:val="0095541E"/>
    <w:rsid w:val="0096022E"/>
    <w:rsid w:val="009817E4"/>
    <w:rsid w:val="00983658"/>
    <w:rsid w:val="0098614E"/>
    <w:rsid w:val="009866CD"/>
    <w:rsid w:val="00986B4C"/>
    <w:rsid w:val="009903DF"/>
    <w:rsid w:val="00994409"/>
    <w:rsid w:val="009957C5"/>
    <w:rsid w:val="00995EF9"/>
    <w:rsid w:val="0099639F"/>
    <w:rsid w:val="0099769B"/>
    <w:rsid w:val="009A1B45"/>
    <w:rsid w:val="009A24B5"/>
    <w:rsid w:val="009A3C89"/>
    <w:rsid w:val="009A5B94"/>
    <w:rsid w:val="009A6EA1"/>
    <w:rsid w:val="009A7FF6"/>
    <w:rsid w:val="009B0DFD"/>
    <w:rsid w:val="009B34C5"/>
    <w:rsid w:val="009B4E34"/>
    <w:rsid w:val="009B5939"/>
    <w:rsid w:val="009C00BE"/>
    <w:rsid w:val="009C05F0"/>
    <w:rsid w:val="009C115E"/>
    <w:rsid w:val="009C11F5"/>
    <w:rsid w:val="009C28EC"/>
    <w:rsid w:val="009C4B8C"/>
    <w:rsid w:val="009D1616"/>
    <w:rsid w:val="009D1D10"/>
    <w:rsid w:val="009D3116"/>
    <w:rsid w:val="009D4B04"/>
    <w:rsid w:val="009D57FD"/>
    <w:rsid w:val="009D7024"/>
    <w:rsid w:val="009E10F9"/>
    <w:rsid w:val="009E1B64"/>
    <w:rsid w:val="009E3A59"/>
    <w:rsid w:val="009E61F8"/>
    <w:rsid w:val="009E6215"/>
    <w:rsid w:val="009E67A4"/>
    <w:rsid w:val="009E67E9"/>
    <w:rsid w:val="009E74A2"/>
    <w:rsid w:val="009E751B"/>
    <w:rsid w:val="009E7912"/>
    <w:rsid w:val="009E7BAA"/>
    <w:rsid w:val="009F1F53"/>
    <w:rsid w:val="009F4440"/>
    <w:rsid w:val="009F4FE5"/>
    <w:rsid w:val="00A001CB"/>
    <w:rsid w:val="00A06AD1"/>
    <w:rsid w:val="00A13423"/>
    <w:rsid w:val="00A16535"/>
    <w:rsid w:val="00A174B4"/>
    <w:rsid w:val="00A17A42"/>
    <w:rsid w:val="00A210B8"/>
    <w:rsid w:val="00A22397"/>
    <w:rsid w:val="00A23BA6"/>
    <w:rsid w:val="00A26BC1"/>
    <w:rsid w:val="00A32BC8"/>
    <w:rsid w:val="00A35FE5"/>
    <w:rsid w:val="00A41792"/>
    <w:rsid w:val="00A44D4F"/>
    <w:rsid w:val="00A47EDC"/>
    <w:rsid w:val="00A513AA"/>
    <w:rsid w:val="00A520F8"/>
    <w:rsid w:val="00A54672"/>
    <w:rsid w:val="00A565C7"/>
    <w:rsid w:val="00A56B73"/>
    <w:rsid w:val="00A56CE3"/>
    <w:rsid w:val="00A57899"/>
    <w:rsid w:val="00A6020D"/>
    <w:rsid w:val="00A63100"/>
    <w:rsid w:val="00A65EC0"/>
    <w:rsid w:val="00A67B88"/>
    <w:rsid w:val="00A72B05"/>
    <w:rsid w:val="00A73E4E"/>
    <w:rsid w:val="00A75CBC"/>
    <w:rsid w:val="00A81842"/>
    <w:rsid w:val="00A81E72"/>
    <w:rsid w:val="00A83DBD"/>
    <w:rsid w:val="00A85F76"/>
    <w:rsid w:val="00A91230"/>
    <w:rsid w:val="00A97D5E"/>
    <w:rsid w:val="00AA0121"/>
    <w:rsid w:val="00AA234A"/>
    <w:rsid w:val="00AC1E94"/>
    <w:rsid w:val="00AC295E"/>
    <w:rsid w:val="00AD085E"/>
    <w:rsid w:val="00AD0EEA"/>
    <w:rsid w:val="00AD2DD7"/>
    <w:rsid w:val="00AD6BA1"/>
    <w:rsid w:val="00AD701F"/>
    <w:rsid w:val="00AE17A2"/>
    <w:rsid w:val="00AE26EE"/>
    <w:rsid w:val="00AE6E90"/>
    <w:rsid w:val="00AF0805"/>
    <w:rsid w:val="00AF552F"/>
    <w:rsid w:val="00AF60BE"/>
    <w:rsid w:val="00AF70BF"/>
    <w:rsid w:val="00B00037"/>
    <w:rsid w:val="00B00A02"/>
    <w:rsid w:val="00B00FE4"/>
    <w:rsid w:val="00B02634"/>
    <w:rsid w:val="00B02A37"/>
    <w:rsid w:val="00B043E6"/>
    <w:rsid w:val="00B10923"/>
    <w:rsid w:val="00B13601"/>
    <w:rsid w:val="00B23840"/>
    <w:rsid w:val="00B2742D"/>
    <w:rsid w:val="00B3106B"/>
    <w:rsid w:val="00B31C9B"/>
    <w:rsid w:val="00B351DF"/>
    <w:rsid w:val="00B35DE0"/>
    <w:rsid w:val="00B35DFA"/>
    <w:rsid w:val="00B37D62"/>
    <w:rsid w:val="00B37F4C"/>
    <w:rsid w:val="00B40BBC"/>
    <w:rsid w:val="00B42151"/>
    <w:rsid w:val="00B5081F"/>
    <w:rsid w:val="00B62BAC"/>
    <w:rsid w:val="00B6457D"/>
    <w:rsid w:val="00B67218"/>
    <w:rsid w:val="00B67473"/>
    <w:rsid w:val="00B7102F"/>
    <w:rsid w:val="00B7534C"/>
    <w:rsid w:val="00B8041D"/>
    <w:rsid w:val="00B808B3"/>
    <w:rsid w:val="00B80D70"/>
    <w:rsid w:val="00B82B62"/>
    <w:rsid w:val="00B86FAD"/>
    <w:rsid w:val="00B8784A"/>
    <w:rsid w:val="00B87FAD"/>
    <w:rsid w:val="00B935C5"/>
    <w:rsid w:val="00B940BE"/>
    <w:rsid w:val="00B94A5C"/>
    <w:rsid w:val="00B94CA9"/>
    <w:rsid w:val="00B97817"/>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E07DF"/>
    <w:rsid w:val="00BE349E"/>
    <w:rsid w:val="00BE3E98"/>
    <w:rsid w:val="00BE5295"/>
    <w:rsid w:val="00BE7BB3"/>
    <w:rsid w:val="00BF33CE"/>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638A"/>
    <w:rsid w:val="00C3731F"/>
    <w:rsid w:val="00C4029F"/>
    <w:rsid w:val="00C410DC"/>
    <w:rsid w:val="00C41975"/>
    <w:rsid w:val="00C5517E"/>
    <w:rsid w:val="00C5531E"/>
    <w:rsid w:val="00C5561A"/>
    <w:rsid w:val="00C56580"/>
    <w:rsid w:val="00C57267"/>
    <w:rsid w:val="00C643F4"/>
    <w:rsid w:val="00C7026E"/>
    <w:rsid w:val="00C72275"/>
    <w:rsid w:val="00C8128B"/>
    <w:rsid w:val="00C84BA9"/>
    <w:rsid w:val="00C84D34"/>
    <w:rsid w:val="00C86BD5"/>
    <w:rsid w:val="00C875A3"/>
    <w:rsid w:val="00C917F7"/>
    <w:rsid w:val="00C918B9"/>
    <w:rsid w:val="00CA11BB"/>
    <w:rsid w:val="00CA5699"/>
    <w:rsid w:val="00CA68BF"/>
    <w:rsid w:val="00CB3BF8"/>
    <w:rsid w:val="00CB6DB7"/>
    <w:rsid w:val="00CC0D65"/>
    <w:rsid w:val="00CC423F"/>
    <w:rsid w:val="00CC451C"/>
    <w:rsid w:val="00CD0BE9"/>
    <w:rsid w:val="00CD437E"/>
    <w:rsid w:val="00CE2021"/>
    <w:rsid w:val="00CE2B1C"/>
    <w:rsid w:val="00CE480F"/>
    <w:rsid w:val="00CE578E"/>
    <w:rsid w:val="00CE7109"/>
    <w:rsid w:val="00CF11D1"/>
    <w:rsid w:val="00CF13D7"/>
    <w:rsid w:val="00CF430A"/>
    <w:rsid w:val="00CF4D7A"/>
    <w:rsid w:val="00CF5F76"/>
    <w:rsid w:val="00D0050C"/>
    <w:rsid w:val="00D02921"/>
    <w:rsid w:val="00D1329E"/>
    <w:rsid w:val="00D135D8"/>
    <w:rsid w:val="00D136D4"/>
    <w:rsid w:val="00D23C29"/>
    <w:rsid w:val="00D2536C"/>
    <w:rsid w:val="00D257CD"/>
    <w:rsid w:val="00D2609C"/>
    <w:rsid w:val="00D326F8"/>
    <w:rsid w:val="00D32A47"/>
    <w:rsid w:val="00D33538"/>
    <w:rsid w:val="00D342D9"/>
    <w:rsid w:val="00D42022"/>
    <w:rsid w:val="00D4227A"/>
    <w:rsid w:val="00D42382"/>
    <w:rsid w:val="00D42C37"/>
    <w:rsid w:val="00D43222"/>
    <w:rsid w:val="00D45A48"/>
    <w:rsid w:val="00D46EDA"/>
    <w:rsid w:val="00D47817"/>
    <w:rsid w:val="00D547CA"/>
    <w:rsid w:val="00D562D7"/>
    <w:rsid w:val="00D61A4C"/>
    <w:rsid w:val="00D63495"/>
    <w:rsid w:val="00D6785F"/>
    <w:rsid w:val="00D707C4"/>
    <w:rsid w:val="00D727C0"/>
    <w:rsid w:val="00D72C63"/>
    <w:rsid w:val="00D765A3"/>
    <w:rsid w:val="00D808AB"/>
    <w:rsid w:val="00D80F79"/>
    <w:rsid w:val="00D81669"/>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B20"/>
    <w:rsid w:val="00DB5EEC"/>
    <w:rsid w:val="00DB7D7C"/>
    <w:rsid w:val="00DD15FF"/>
    <w:rsid w:val="00DD2C38"/>
    <w:rsid w:val="00DD394E"/>
    <w:rsid w:val="00DD6AE1"/>
    <w:rsid w:val="00DD7FEC"/>
    <w:rsid w:val="00DE032F"/>
    <w:rsid w:val="00DE4C8F"/>
    <w:rsid w:val="00DE4EBA"/>
    <w:rsid w:val="00DE5F01"/>
    <w:rsid w:val="00DE6AA9"/>
    <w:rsid w:val="00DF0E99"/>
    <w:rsid w:val="00DF12EE"/>
    <w:rsid w:val="00DF46DF"/>
    <w:rsid w:val="00E00F52"/>
    <w:rsid w:val="00E057C1"/>
    <w:rsid w:val="00E06C60"/>
    <w:rsid w:val="00E07235"/>
    <w:rsid w:val="00E15A20"/>
    <w:rsid w:val="00E17FA4"/>
    <w:rsid w:val="00E250C5"/>
    <w:rsid w:val="00E30479"/>
    <w:rsid w:val="00E3150F"/>
    <w:rsid w:val="00E3188A"/>
    <w:rsid w:val="00E325BD"/>
    <w:rsid w:val="00E32FC7"/>
    <w:rsid w:val="00E33C9F"/>
    <w:rsid w:val="00E3503E"/>
    <w:rsid w:val="00E35893"/>
    <w:rsid w:val="00E36EC0"/>
    <w:rsid w:val="00E37150"/>
    <w:rsid w:val="00E430C9"/>
    <w:rsid w:val="00E436AF"/>
    <w:rsid w:val="00E51EEB"/>
    <w:rsid w:val="00E52B3B"/>
    <w:rsid w:val="00E54549"/>
    <w:rsid w:val="00E54741"/>
    <w:rsid w:val="00E54E2C"/>
    <w:rsid w:val="00E55988"/>
    <w:rsid w:val="00E561D3"/>
    <w:rsid w:val="00E568AA"/>
    <w:rsid w:val="00E60027"/>
    <w:rsid w:val="00E666F2"/>
    <w:rsid w:val="00E71440"/>
    <w:rsid w:val="00E72AF3"/>
    <w:rsid w:val="00E76CE7"/>
    <w:rsid w:val="00E84E3B"/>
    <w:rsid w:val="00E93083"/>
    <w:rsid w:val="00E931E0"/>
    <w:rsid w:val="00E96256"/>
    <w:rsid w:val="00E962BE"/>
    <w:rsid w:val="00E97345"/>
    <w:rsid w:val="00E979AB"/>
    <w:rsid w:val="00EB3974"/>
    <w:rsid w:val="00EB6037"/>
    <w:rsid w:val="00EB7347"/>
    <w:rsid w:val="00EC2146"/>
    <w:rsid w:val="00EC2C74"/>
    <w:rsid w:val="00EC3170"/>
    <w:rsid w:val="00EC39BC"/>
    <w:rsid w:val="00EC4194"/>
    <w:rsid w:val="00EC66D0"/>
    <w:rsid w:val="00EC6EF9"/>
    <w:rsid w:val="00ED3C1A"/>
    <w:rsid w:val="00EE140B"/>
    <w:rsid w:val="00EE62FA"/>
    <w:rsid w:val="00EE709F"/>
    <w:rsid w:val="00EE70F7"/>
    <w:rsid w:val="00EE79D3"/>
    <w:rsid w:val="00EE7C9B"/>
    <w:rsid w:val="00EF2EFC"/>
    <w:rsid w:val="00EF3061"/>
    <w:rsid w:val="00EF5B3E"/>
    <w:rsid w:val="00F01AE9"/>
    <w:rsid w:val="00F0351B"/>
    <w:rsid w:val="00F06857"/>
    <w:rsid w:val="00F06C54"/>
    <w:rsid w:val="00F13068"/>
    <w:rsid w:val="00F15587"/>
    <w:rsid w:val="00F171B2"/>
    <w:rsid w:val="00F21496"/>
    <w:rsid w:val="00F22524"/>
    <w:rsid w:val="00F32EA6"/>
    <w:rsid w:val="00F3605B"/>
    <w:rsid w:val="00F40C95"/>
    <w:rsid w:val="00F41427"/>
    <w:rsid w:val="00F425C3"/>
    <w:rsid w:val="00F426A8"/>
    <w:rsid w:val="00F47122"/>
    <w:rsid w:val="00F54844"/>
    <w:rsid w:val="00F55FCD"/>
    <w:rsid w:val="00F56F07"/>
    <w:rsid w:val="00F57061"/>
    <w:rsid w:val="00F6109E"/>
    <w:rsid w:val="00F621D7"/>
    <w:rsid w:val="00F658B1"/>
    <w:rsid w:val="00F66855"/>
    <w:rsid w:val="00F70716"/>
    <w:rsid w:val="00F720A9"/>
    <w:rsid w:val="00F720DC"/>
    <w:rsid w:val="00F76223"/>
    <w:rsid w:val="00F802D2"/>
    <w:rsid w:val="00F83CD5"/>
    <w:rsid w:val="00F83DDC"/>
    <w:rsid w:val="00F9060A"/>
    <w:rsid w:val="00F90614"/>
    <w:rsid w:val="00F9199E"/>
    <w:rsid w:val="00F921BB"/>
    <w:rsid w:val="00F92226"/>
    <w:rsid w:val="00FA1A24"/>
    <w:rsid w:val="00FA1D6F"/>
    <w:rsid w:val="00FA236C"/>
    <w:rsid w:val="00FA676F"/>
    <w:rsid w:val="00FB371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en-GB"/>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en-GB"/>
    </w:rPr>
  </w:style>
  <w:style w:type="paragraph" w:styleId="Revision">
    <w:name w:val="Revision"/>
    <w:hidden/>
    <w:uiPriority w:val="99"/>
    <w:semiHidden/>
    <w:rsid w:val="004D1E24"/>
    <w:pPr>
      <w:spacing w:after="0" w:line="240" w:lineRule="auto"/>
    </w:pPr>
    <w:rPr>
      <w:rFonts w:ascii="Times New Roman" w:hAnsi="Times New Roman" w:cs="Times New Roman"/>
      <w:sz w:val="24"/>
      <w:lang w:val="en-GB"/>
    </w:rPr>
  </w:style>
  <w:style w:type="paragraph" w:customStyle="1" w:styleId="title-bold">
    <w:name w:val="title-bold"/>
    <w:basedOn w:val="Normal"/>
    <w:rsid w:val="00E36EC0"/>
    <w:pPr>
      <w:spacing w:before="100" w:beforeAutospacing="1" w:after="100" w:afterAutospacing="1"/>
      <w:jc w:val="left"/>
    </w:pPr>
    <w:rPr>
      <w:rFonts w:eastAsia="Times New Roman"/>
      <w:szCs w:val="24"/>
      <w:lang w:val="en-US"/>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lang w:val="en-US"/>
    </w:rPr>
  </w:style>
  <w:style w:type="paragraph" w:customStyle="1" w:styleId="oj-sti-art">
    <w:name w:val="oj-sti-art"/>
    <w:basedOn w:val="Normal"/>
    <w:rsid w:val="00F21496"/>
    <w:pPr>
      <w:spacing w:before="100" w:beforeAutospacing="1" w:after="100" w:afterAutospacing="1"/>
      <w:jc w:val="left"/>
    </w:pPr>
    <w:rPr>
      <w:rFonts w:eastAsia="Times New Roman"/>
      <w:szCs w:val="24"/>
      <w:lang w:val="en-US"/>
    </w:rPr>
  </w:style>
  <w:style w:type="paragraph" w:customStyle="1" w:styleId="oj-normal">
    <w:name w:val="oj-normal"/>
    <w:basedOn w:val="Normal"/>
    <w:rsid w:val="00F21496"/>
    <w:pPr>
      <w:spacing w:before="100" w:beforeAutospacing="1" w:after="100" w:afterAutospacing="1"/>
      <w:jc w:val="left"/>
    </w:pPr>
    <w:rPr>
      <w:rFonts w:eastAsia="Times New Roman"/>
      <w:szCs w:val="24"/>
      <w:lang w:val="en-US"/>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lang w:val="en-US"/>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9B5939"/>
    <w:pPr>
      <w:tabs>
        <w:tab w:val="center" w:pos="4535"/>
        <w:tab w:val="right" w:pos="9071"/>
      </w:tabs>
      <w:spacing w:before="0"/>
    </w:pPr>
  </w:style>
  <w:style w:type="character" w:customStyle="1" w:styleId="HeaderChar">
    <w:name w:val="Header Char"/>
    <w:basedOn w:val="DefaultParagraphFont"/>
    <w:link w:val="Header"/>
    <w:uiPriority w:val="99"/>
    <w:rsid w:val="009B5939"/>
    <w:rPr>
      <w:rFonts w:ascii="Times New Roman" w:hAnsi="Times New Roman" w:cs="Times New Roman"/>
      <w:sz w:val="24"/>
      <w:lang w:val="en-GB"/>
    </w:rPr>
  </w:style>
  <w:style w:type="paragraph" w:styleId="Footer">
    <w:name w:val="footer"/>
    <w:basedOn w:val="Normal"/>
    <w:link w:val="FooterChar"/>
    <w:uiPriority w:val="99"/>
    <w:unhideWhenUsed/>
    <w:rsid w:val="009B59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B593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B5939"/>
    <w:pPr>
      <w:tabs>
        <w:tab w:val="center" w:pos="7285"/>
        <w:tab w:val="right" w:pos="14003"/>
      </w:tabs>
      <w:spacing w:before="0"/>
    </w:pPr>
  </w:style>
  <w:style w:type="paragraph" w:customStyle="1" w:styleId="FooterLandscape">
    <w:name w:val="FooterLandscape"/>
    <w:basedOn w:val="Normal"/>
    <w:rsid w:val="009B593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9B59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5939"/>
    <w:pPr>
      <w:spacing w:before="0"/>
      <w:jc w:val="right"/>
    </w:pPr>
    <w:rPr>
      <w:sz w:val="28"/>
    </w:rPr>
  </w:style>
  <w:style w:type="paragraph" w:customStyle="1" w:styleId="FooterSensitivity">
    <w:name w:val="Footer Sensitivity"/>
    <w:basedOn w:val="Normal"/>
    <w:rsid w:val="009B59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9"/>
      </w:numPr>
    </w:pPr>
  </w:style>
  <w:style w:type="paragraph" w:customStyle="1" w:styleId="Tiret1">
    <w:name w:val="Tiret 1"/>
    <w:basedOn w:val="Point1"/>
    <w:rsid w:val="00517205"/>
    <w:pPr>
      <w:numPr>
        <w:numId w:val="10"/>
      </w:numPr>
    </w:pPr>
  </w:style>
  <w:style w:type="paragraph" w:customStyle="1" w:styleId="Tiret2">
    <w:name w:val="Tiret 2"/>
    <w:basedOn w:val="Point2"/>
    <w:rsid w:val="00517205"/>
    <w:pPr>
      <w:numPr>
        <w:numId w:val="11"/>
      </w:numPr>
    </w:pPr>
  </w:style>
  <w:style w:type="paragraph" w:customStyle="1" w:styleId="Tiret3">
    <w:name w:val="Tiret 3"/>
    <w:basedOn w:val="Point3"/>
    <w:rsid w:val="00517205"/>
    <w:pPr>
      <w:numPr>
        <w:numId w:val="12"/>
      </w:numPr>
    </w:pPr>
  </w:style>
  <w:style w:type="paragraph" w:customStyle="1" w:styleId="Tiret4">
    <w:name w:val="Tiret 4"/>
    <w:basedOn w:val="Point4"/>
    <w:rsid w:val="00517205"/>
    <w:pPr>
      <w:numPr>
        <w:numId w:val="13"/>
      </w:numPr>
    </w:pPr>
  </w:style>
  <w:style w:type="paragraph" w:customStyle="1" w:styleId="Tiret5">
    <w:name w:val="Tiret 5"/>
    <w:basedOn w:val="Point5"/>
    <w:rsid w:val="00517205"/>
    <w:pPr>
      <w:numPr>
        <w:numId w:val="14"/>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5"/>
      </w:numPr>
    </w:pPr>
  </w:style>
  <w:style w:type="paragraph" w:customStyle="1" w:styleId="NumPar2">
    <w:name w:val="NumPar 2"/>
    <w:basedOn w:val="Normal"/>
    <w:next w:val="Text1"/>
    <w:rsid w:val="00517205"/>
    <w:pPr>
      <w:numPr>
        <w:ilvl w:val="1"/>
        <w:numId w:val="15"/>
      </w:numPr>
    </w:pPr>
  </w:style>
  <w:style w:type="paragraph" w:customStyle="1" w:styleId="NumPar3">
    <w:name w:val="NumPar 3"/>
    <w:basedOn w:val="Normal"/>
    <w:next w:val="Text1"/>
    <w:rsid w:val="00517205"/>
    <w:pPr>
      <w:numPr>
        <w:ilvl w:val="2"/>
        <w:numId w:val="15"/>
      </w:numPr>
    </w:pPr>
  </w:style>
  <w:style w:type="paragraph" w:customStyle="1" w:styleId="NumPar4">
    <w:name w:val="NumPar 4"/>
    <w:basedOn w:val="Normal"/>
    <w:next w:val="Text1"/>
    <w:rsid w:val="00517205"/>
    <w:pPr>
      <w:numPr>
        <w:ilvl w:val="3"/>
        <w:numId w:val="15"/>
      </w:numPr>
    </w:pPr>
  </w:style>
  <w:style w:type="paragraph" w:customStyle="1" w:styleId="NumPar5">
    <w:name w:val="NumPar 5"/>
    <w:basedOn w:val="Normal"/>
    <w:next w:val="Text2"/>
    <w:rsid w:val="00517205"/>
    <w:pPr>
      <w:numPr>
        <w:ilvl w:val="4"/>
        <w:numId w:val="15"/>
      </w:numPr>
    </w:pPr>
  </w:style>
  <w:style w:type="paragraph" w:customStyle="1" w:styleId="NumPar6">
    <w:name w:val="NumPar 6"/>
    <w:basedOn w:val="Normal"/>
    <w:next w:val="Text2"/>
    <w:rsid w:val="00517205"/>
    <w:pPr>
      <w:numPr>
        <w:ilvl w:val="5"/>
        <w:numId w:val="15"/>
      </w:numPr>
    </w:pPr>
  </w:style>
  <w:style w:type="paragraph" w:customStyle="1" w:styleId="NumPar7">
    <w:name w:val="NumPar 7"/>
    <w:basedOn w:val="Normal"/>
    <w:next w:val="Text2"/>
    <w:rsid w:val="00517205"/>
    <w:pPr>
      <w:numPr>
        <w:ilvl w:val="6"/>
        <w:numId w:val="15"/>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7"/>
      </w:numPr>
    </w:pPr>
  </w:style>
  <w:style w:type="paragraph" w:customStyle="1" w:styleId="Point1number">
    <w:name w:val="Point 1 (number)"/>
    <w:basedOn w:val="Normal"/>
    <w:rsid w:val="00517205"/>
    <w:pPr>
      <w:numPr>
        <w:ilvl w:val="2"/>
        <w:numId w:val="17"/>
      </w:numPr>
    </w:pPr>
  </w:style>
  <w:style w:type="paragraph" w:customStyle="1" w:styleId="Point2number">
    <w:name w:val="Point 2 (number)"/>
    <w:basedOn w:val="Normal"/>
    <w:rsid w:val="00517205"/>
    <w:pPr>
      <w:numPr>
        <w:ilvl w:val="4"/>
        <w:numId w:val="17"/>
      </w:numPr>
    </w:pPr>
  </w:style>
  <w:style w:type="paragraph" w:customStyle="1" w:styleId="Point3number">
    <w:name w:val="Point 3 (number)"/>
    <w:basedOn w:val="Normal"/>
    <w:rsid w:val="00517205"/>
    <w:pPr>
      <w:numPr>
        <w:ilvl w:val="6"/>
        <w:numId w:val="17"/>
      </w:numPr>
    </w:pPr>
  </w:style>
  <w:style w:type="paragraph" w:customStyle="1" w:styleId="Point0letter">
    <w:name w:val="Point 0 (letter)"/>
    <w:basedOn w:val="Normal"/>
    <w:rsid w:val="00517205"/>
    <w:pPr>
      <w:numPr>
        <w:ilvl w:val="1"/>
        <w:numId w:val="17"/>
      </w:numPr>
    </w:pPr>
  </w:style>
  <w:style w:type="paragraph" w:customStyle="1" w:styleId="Point1letter">
    <w:name w:val="Point 1 (letter)"/>
    <w:basedOn w:val="Normal"/>
    <w:rsid w:val="00517205"/>
    <w:pPr>
      <w:numPr>
        <w:ilvl w:val="3"/>
        <w:numId w:val="17"/>
      </w:numPr>
    </w:pPr>
  </w:style>
  <w:style w:type="paragraph" w:customStyle="1" w:styleId="Point2letter">
    <w:name w:val="Point 2 (letter)"/>
    <w:basedOn w:val="Normal"/>
    <w:rsid w:val="00517205"/>
    <w:pPr>
      <w:numPr>
        <w:ilvl w:val="5"/>
        <w:numId w:val="17"/>
      </w:numPr>
    </w:pPr>
  </w:style>
  <w:style w:type="paragraph" w:customStyle="1" w:styleId="Point3letter">
    <w:name w:val="Point 3 (letter)"/>
    <w:basedOn w:val="Normal"/>
    <w:rsid w:val="00517205"/>
    <w:pPr>
      <w:numPr>
        <w:ilvl w:val="7"/>
        <w:numId w:val="17"/>
      </w:numPr>
    </w:pPr>
  </w:style>
  <w:style w:type="paragraph" w:customStyle="1" w:styleId="Point4letter">
    <w:name w:val="Point 4 (letter)"/>
    <w:basedOn w:val="Normal"/>
    <w:rsid w:val="00517205"/>
    <w:pPr>
      <w:numPr>
        <w:ilvl w:val="8"/>
        <w:numId w:val="17"/>
      </w:numPr>
    </w:pPr>
  </w:style>
  <w:style w:type="paragraph" w:customStyle="1" w:styleId="Bullet0">
    <w:name w:val="Bullet 0"/>
    <w:basedOn w:val="Normal"/>
    <w:rsid w:val="00517205"/>
    <w:pPr>
      <w:numPr>
        <w:numId w:val="18"/>
      </w:numPr>
    </w:pPr>
  </w:style>
  <w:style w:type="paragraph" w:customStyle="1" w:styleId="Bullet1">
    <w:name w:val="Bullet 1"/>
    <w:basedOn w:val="Normal"/>
    <w:rsid w:val="00517205"/>
    <w:pPr>
      <w:numPr>
        <w:numId w:val="19"/>
      </w:numPr>
    </w:pPr>
  </w:style>
  <w:style w:type="paragraph" w:customStyle="1" w:styleId="Bullet2">
    <w:name w:val="Bullet 2"/>
    <w:basedOn w:val="Normal"/>
    <w:rsid w:val="00517205"/>
    <w:pPr>
      <w:numPr>
        <w:numId w:val="20"/>
      </w:numPr>
    </w:pPr>
  </w:style>
  <w:style w:type="paragraph" w:customStyle="1" w:styleId="Bullet3">
    <w:name w:val="Bullet 3"/>
    <w:basedOn w:val="Normal"/>
    <w:rsid w:val="00517205"/>
    <w:pPr>
      <w:numPr>
        <w:numId w:val="21"/>
      </w:numPr>
    </w:pPr>
  </w:style>
  <w:style w:type="paragraph" w:customStyle="1" w:styleId="Bullet4">
    <w:name w:val="Bullet 4"/>
    <w:basedOn w:val="Normal"/>
    <w:rsid w:val="00517205"/>
    <w:pPr>
      <w:numPr>
        <w:numId w:val="22"/>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3"/>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2" Type="http://schemas.openxmlformats.org/officeDocument/2006/relationships/hyperlink" Target="https://www.europarl.europa.eu/doceo/document/A-9-2021-0348_EN.html"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4" Type="http://schemas.openxmlformats.org/officeDocument/2006/relationships/hyperlink" Target="https://eur-lex.europa.eu/resource.html?uri=cellar:61042990-fe46-11ea-b44f-01aa75ed71a1.0001.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551B6F-B4B7-4C19-A1F2-843D5E600809}">
  <ds:schemaRefs>
    <ds:schemaRef ds:uri="http://schemas.microsoft.com/office/infopath/2007/PartnerControls"/>
    <ds:schemaRef ds:uri="4be5d07d-b628-4df9-8db3-b3e4fcc8bc3e"/>
    <ds:schemaRef ds:uri="http://purl.org/dc/elements/1.1/"/>
    <ds:schemaRef ds:uri="http://schemas.microsoft.com/office/2006/metadata/properties"/>
    <ds:schemaRef ds:uri="fd2c9b43-81bf-488d-b7a6-f0ffa490982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3.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5.xml><?xml version="1.0" encoding="utf-8"?>
<ds:datastoreItem xmlns:ds="http://schemas.openxmlformats.org/officeDocument/2006/customXml" ds:itemID="{4E1A8D2D-2E93-464E-86FD-25E82CC6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9725</Words>
  <Characters>50765</Characters>
  <Application>Microsoft Office Word</Application>
  <DocSecurity>0</DocSecurity>
  <Lines>832</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2022-05-06T06:04:00Z</cp:lastPrinted>
  <dcterms:created xsi:type="dcterms:W3CDTF">2022-05-10T06:03:00Z</dcterms:created>
  <dcterms:modified xsi:type="dcterms:W3CDTF">2022-05-10T13:34:00Z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DQCStatus">
    <vt:lpwstr>Yellow (DQC version 03)</vt:lpwstr>
  </property>
  <property fmtid="{D5CDD505-2E9C-101B-9397-08002B2CF9AE}" pid="12" name="MSIP_Label_6bd9ddd1-4d20-43f6-abfa-fc3c07406f94_Enabled">
    <vt:lpwstr>true</vt:lpwstr>
  </property>
  <property fmtid="{D5CDD505-2E9C-101B-9397-08002B2CF9AE}" pid="13" name="MSIP_Label_6bd9ddd1-4d20-43f6-abfa-fc3c07406f94_SetDate">
    <vt:lpwstr>2022-05-06T14:45:40Z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579eb955-f259-48bd-8eb6-cdf186421220</vt:lpwstr>
  </property>
  <property fmtid="{D5CDD505-2E9C-101B-9397-08002B2CF9AE}" pid="18" name="MSIP_Label_6bd9ddd1-4d20-43f6-abfa-fc3c07406f94_ContentBits">
    <vt:lpwstr>0</vt:lpwstr>
  </property>
</Properties>
</file>