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CE2F4" w14:textId="7130C414" w:rsidR="00927372" w:rsidRPr="00263558" w:rsidRDefault="00D10E80" w:rsidP="00D10E80">
      <w:pPr>
        <w:pStyle w:val="Pagedecouverture"/>
        <w:rPr>
          <w:noProof/>
        </w:rPr>
      </w:pPr>
      <w:bookmarkStart w:id="0" w:name="LW_BM_COVERPAGE"/>
      <w:r>
        <w:rPr>
          <w:noProof/>
        </w:rPr>
        <w:pict w14:anchorId="47BAB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B480E06-64AB-49FB-A156-692945D4E23A" style="width:455.25pt;height:324pt">
            <v:imagedata r:id="rId8" o:title=""/>
          </v:shape>
        </w:pict>
      </w:r>
    </w:p>
    <w:bookmarkEnd w:id="0"/>
    <w:p w14:paraId="5D0B727F" w14:textId="77777777" w:rsidR="006A5ABA" w:rsidRPr="00263558" w:rsidRDefault="006A5ABA" w:rsidP="006A5ABA">
      <w:pPr>
        <w:rPr>
          <w:noProof/>
          <w:lang w:eastAsia="en-GB"/>
        </w:rPr>
        <w:sectPr w:rsidR="006A5ABA" w:rsidRPr="00263558" w:rsidSect="00D10E8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B345365" w14:textId="77777777" w:rsidR="00927372" w:rsidRPr="00263558" w:rsidRDefault="00927372" w:rsidP="00927372">
      <w:pPr>
        <w:spacing w:after="0" w:line="240" w:lineRule="auto"/>
        <w:jc w:val="center"/>
        <w:rPr>
          <w:rFonts w:ascii="Times New Roman" w:eastAsia="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YHTEINEN KERTOMUS EUROOPAN PARLAMENTILLE JA NEUVOSTOLLE</w:t>
      </w:r>
    </w:p>
    <w:p w14:paraId="41701AB0" w14:textId="77777777" w:rsidR="00927372" w:rsidRPr="00263558" w:rsidRDefault="00927372" w:rsidP="00927372">
      <w:pPr>
        <w:spacing w:after="0" w:line="240" w:lineRule="auto"/>
        <w:jc w:val="center"/>
        <w:rPr>
          <w:rFonts w:ascii="Times New Roman" w:eastAsia="Times New Roman" w:hAnsi="Times New Roman" w:cs="Times New Roman"/>
          <w:b/>
          <w:bCs/>
          <w:noProof/>
          <w:sz w:val="24"/>
          <w:szCs w:val="24"/>
          <w:lang w:eastAsia="en-GB"/>
        </w:rPr>
      </w:pPr>
    </w:p>
    <w:p w14:paraId="04BCB958" w14:textId="77777777" w:rsidR="00927372" w:rsidRPr="00263558" w:rsidRDefault="00927372" w:rsidP="00927372">
      <w:pPr>
        <w:spacing w:after="0" w:line="240" w:lineRule="auto"/>
        <w:jc w:val="center"/>
        <w:rPr>
          <w:rFonts w:ascii="Times New Roman" w:eastAsia="Times New Roman" w:hAnsi="Times New Roman" w:cs="Times New Roman"/>
          <w:noProof/>
          <w:sz w:val="24"/>
          <w:szCs w:val="24"/>
        </w:rPr>
      </w:pPr>
      <w:r>
        <w:rPr>
          <w:rFonts w:ascii="Times New Roman" w:hAnsi="Times New Roman"/>
          <w:b/>
          <w:bCs/>
          <w:noProof/>
          <w:sz w:val="24"/>
          <w:szCs w:val="24"/>
        </w:rPr>
        <w:t>MACAON ERITYISHALLINTOALUE</w:t>
      </w:r>
    </w:p>
    <w:p w14:paraId="571F0B8E" w14:textId="77777777" w:rsidR="00927372" w:rsidRPr="00263558" w:rsidRDefault="00927372" w:rsidP="00927372">
      <w:pPr>
        <w:spacing w:after="0" w:line="240" w:lineRule="auto"/>
        <w:jc w:val="center"/>
        <w:rPr>
          <w:rFonts w:ascii="Times New Roman" w:eastAsia="Times New Roman" w:hAnsi="Times New Roman" w:cs="Times New Roman"/>
          <w:noProof/>
          <w:sz w:val="24"/>
          <w:szCs w:val="24"/>
          <w:lang w:eastAsia="en-GB"/>
        </w:rPr>
      </w:pPr>
    </w:p>
    <w:p w14:paraId="5D0B3554" w14:textId="77777777" w:rsidR="00927372" w:rsidRPr="00263558" w:rsidRDefault="00927372" w:rsidP="00927372">
      <w:pPr>
        <w:spacing w:after="0" w:line="240" w:lineRule="auto"/>
        <w:jc w:val="center"/>
        <w:rPr>
          <w:rFonts w:ascii="Times New Roman" w:eastAsia="Times New Roman" w:hAnsi="Times New Roman" w:cs="Times New Roman"/>
          <w:noProof/>
          <w:sz w:val="24"/>
          <w:szCs w:val="24"/>
        </w:rPr>
      </w:pPr>
      <w:r>
        <w:rPr>
          <w:rFonts w:ascii="Times New Roman" w:hAnsi="Times New Roman"/>
          <w:b/>
          <w:bCs/>
          <w:noProof/>
          <w:sz w:val="24"/>
          <w:szCs w:val="24"/>
        </w:rPr>
        <w:t>VUOSIKERTOMUS 2021</w:t>
      </w:r>
    </w:p>
    <w:p w14:paraId="1209C331" w14:textId="77777777" w:rsidR="00927372" w:rsidRPr="00263558" w:rsidRDefault="00927372" w:rsidP="003252A1">
      <w:pPr>
        <w:spacing w:after="0"/>
        <w:jc w:val="both"/>
        <w:rPr>
          <w:rFonts w:ascii="Times New Roman" w:hAnsi="Times New Roman" w:cs="Times New Roman"/>
          <w:b/>
          <w:noProof/>
          <w:sz w:val="24"/>
          <w:szCs w:val="24"/>
        </w:rPr>
      </w:pPr>
    </w:p>
    <w:p w14:paraId="1B91E2F4" w14:textId="77777777" w:rsidR="00927372" w:rsidRPr="00263558" w:rsidRDefault="00927372" w:rsidP="003252A1">
      <w:pPr>
        <w:spacing w:after="0"/>
        <w:jc w:val="both"/>
        <w:rPr>
          <w:rFonts w:ascii="Times New Roman" w:hAnsi="Times New Roman" w:cs="Times New Roman"/>
          <w:b/>
          <w:noProof/>
          <w:sz w:val="24"/>
          <w:szCs w:val="24"/>
        </w:rPr>
      </w:pPr>
    </w:p>
    <w:p w14:paraId="46BC6E4D" w14:textId="77777777" w:rsidR="00CC2B5C" w:rsidRPr="00263558" w:rsidRDefault="00CC2B5C" w:rsidP="003252A1">
      <w:pPr>
        <w:spacing w:after="0"/>
        <w:jc w:val="both"/>
        <w:rPr>
          <w:rFonts w:ascii="Times New Roman" w:hAnsi="Times New Roman" w:cs="Times New Roman"/>
          <w:b/>
          <w:noProof/>
          <w:sz w:val="24"/>
          <w:szCs w:val="24"/>
        </w:rPr>
      </w:pPr>
      <w:r>
        <w:rPr>
          <w:rFonts w:ascii="Times New Roman" w:hAnsi="Times New Roman"/>
          <w:b/>
          <w:noProof/>
          <w:sz w:val="24"/>
          <w:szCs w:val="24"/>
        </w:rPr>
        <w:t>Tiivistelmä</w:t>
      </w:r>
    </w:p>
    <w:p w14:paraId="45E05AA3" w14:textId="77777777" w:rsidR="00CC2B5C" w:rsidRPr="00263558" w:rsidRDefault="00CC2B5C" w:rsidP="003252A1">
      <w:pPr>
        <w:spacing w:after="0"/>
        <w:jc w:val="both"/>
        <w:rPr>
          <w:rFonts w:ascii="Times New Roman" w:hAnsi="Times New Roman" w:cs="Times New Roman"/>
          <w:b/>
          <w:noProof/>
          <w:sz w:val="24"/>
          <w:szCs w:val="24"/>
        </w:rPr>
      </w:pPr>
    </w:p>
    <w:p w14:paraId="4B01F0D0" w14:textId="2468ED94" w:rsidR="00CC2B5C" w:rsidRPr="00263558" w:rsidRDefault="00CC2B5C" w:rsidP="003252A1">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Siitä lähtien, kun Macao vuonna 1999 palautettiin Kiinan kansantasavallalle, Euroopan unioni (EU) ja sen jäsenvaltiot ovat seuranneet tiiviisti Macaon erityishallintoalueen poliittista ja taloudellista kehitystä ”yksi maa, kaksi järjestelmää” </w:t>
      </w:r>
      <w:r>
        <w:rPr>
          <w:rFonts w:ascii="Times New Roman" w:hAnsi="Times New Roman"/>
          <w:noProof/>
          <w:color w:val="000000"/>
          <w:sz w:val="24"/>
          <w:szCs w:val="24"/>
        </w:rPr>
        <w:noBreakHyphen/>
        <w:t xml:space="preserve">periaatteen puitteissa. EU tukee tätä periaatetta ja sen täytäntöönpanoa. Tämä vuosikertomus Macaon tapahtumista on laadittu Euroopan parlamentille vuonna 1997 annetun sitoumuksen mukaisesti. </w:t>
      </w:r>
    </w:p>
    <w:p w14:paraId="24802DFC" w14:textId="77777777" w:rsidR="00CC2B5C" w:rsidRPr="00263558" w:rsidRDefault="00CC2B5C" w:rsidP="003252A1">
      <w:pPr>
        <w:spacing w:after="0" w:line="240" w:lineRule="auto"/>
        <w:jc w:val="both"/>
        <w:rPr>
          <w:rFonts w:ascii="Times New Roman" w:hAnsi="Times New Roman" w:cs="Times New Roman"/>
          <w:noProof/>
          <w:color w:val="000000"/>
          <w:sz w:val="24"/>
          <w:szCs w:val="24"/>
        </w:rPr>
      </w:pPr>
    </w:p>
    <w:p w14:paraId="6470EEE4" w14:textId="699C8E23" w:rsidR="00CC2B5C" w:rsidRPr="002F6C14" w:rsidRDefault="00CC2B5C"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Macaon peruslaissa</w:t>
      </w:r>
      <w:r w:rsidR="00F55C12">
        <w:rPr>
          <w:rStyle w:val="FootnoteReference"/>
          <w:rFonts w:ascii="Times New Roman" w:eastAsia="Times New Roman" w:hAnsi="Times New Roman" w:cs="Times New Roman"/>
          <w:noProof/>
          <w:sz w:val="24"/>
          <w:szCs w:val="24"/>
        </w:rPr>
        <w:footnoteReference w:id="1"/>
      </w:r>
      <w:r>
        <w:rPr>
          <w:rFonts w:ascii="Times New Roman" w:hAnsi="Times New Roman"/>
          <w:noProof/>
          <w:sz w:val="24"/>
          <w:szCs w:val="24"/>
        </w:rPr>
        <w:t xml:space="preserve"> vahvistetun ”yksi maa, kaksi järjestelmää” </w:t>
      </w:r>
      <w:r>
        <w:rPr>
          <w:rFonts w:ascii="Times New Roman" w:hAnsi="Times New Roman"/>
          <w:noProof/>
          <w:sz w:val="24"/>
          <w:szCs w:val="24"/>
        </w:rPr>
        <w:noBreakHyphen/>
        <w:t xml:space="preserve">periaatteen täytäntöönpano heikensi vuonna 2021 Macaon asukkaiden poliittisia oikeuksia ja perusvapauksia. Samaan aikaan monenlaisten näkemysten ilmaiseminen Macaon tiedotusvälineissä on tullut yhä haastavammaksi, sillä itsesensuuri on lisääntynyt. </w:t>
      </w:r>
    </w:p>
    <w:p w14:paraId="5B899291" w14:textId="77777777" w:rsidR="00CC2B5C" w:rsidRPr="00263558" w:rsidRDefault="00CC2B5C"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47C8BA8A" w14:textId="76B27D7B" w:rsidR="00505EA1" w:rsidRPr="00263558" w:rsidRDefault="00505EA1"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Peruslaki ja muut säädökset eivät mahdollista yleistä ja yhtäläistä äänioikeutta. EU on kuitenkin edelleen kannustanut Macaon viranomaisia edistämään kansalaisten osallisuutta hallintojohtajan ja lakiasäätävän kokouksen vaaleihin.</w:t>
      </w:r>
    </w:p>
    <w:p w14:paraId="7AA90F41" w14:textId="77777777" w:rsidR="00505EA1" w:rsidRPr="00263558" w:rsidRDefault="00505EA1"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42BB299F" w14:textId="02679556" w:rsidR="00A82579" w:rsidRPr="00263558" w:rsidRDefault="00A82579" w:rsidP="00A82579">
      <w:pPr>
        <w:pStyle w:val="Default"/>
        <w:jc w:val="both"/>
        <w:rPr>
          <w:noProof/>
        </w:rPr>
      </w:pPr>
      <w:r>
        <w:rPr>
          <w:noProof/>
        </w:rPr>
        <w:t>Talouden alalla Macaon bruttokansantuote (BKT) kasvoi vuoden 2021 kolmella ensimmäisellä neljänneksellä 27,5 prosenttia edellisvuoteen verrattuna eli 177 miljardiin Macaon patacaan (19,6 miljardia euroa). Vaikka tämä on myönteistä, kasvu ei korvannut aiempia tappioita, ja BKT oli edelleen 46,4 prosenttia alhaisempi vuoteen 2019 verrattuna (331 miljardia patacaa eli 36,5 miljardia euroa).</w:t>
      </w:r>
    </w:p>
    <w:p w14:paraId="2138A017" w14:textId="77777777" w:rsidR="00A82579" w:rsidRPr="00263558" w:rsidRDefault="00A82579" w:rsidP="00A82579">
      <w:pPr>
        <w:pStyle w:val="Default"/>
        <w:jc w:val="both"/>
        <w:rPr>
          <w:noProof/>
        </w:rPr>
      </w:pPr>
    </w:p>
    <w:p w14:paraId="14625857" w14:textId="18D63812" w:rsidR="00FB6C68" w:rsidRPr="00263558" w:rsidRDefault="00F85536" w:rsidP="00A82579">
      <w:pPr>
        <w:pStyle w:val="Default"/>
        <w:jc w:val="both"/>
        <w:rPr>
          <w:noProof/>
        </w:rPr>
      </w:pPr>
      <w:r>
        <w:rPr>
          <w:noProof/>
          <w:color w:val="auto"/>
        </w:rPr>
        <w:t>Työmarkkinat pitivät hyvin pintansa, ja Macaon erityishallintoalueen hallitus otti käyttöön covid-19-tukitoimenpiteitä väestön ja yritysten hyväksi. Talouden elpyminen on kuitenkin riippunut suurelta osin turistien palaamisesta Manner-Kiinasta Macaoon. Keskeisiä strategioita ovat pitkällä aikavälillä edelleen olleet talouden monipuolistaminen ja alueellinen yhdentyminen.</w:t>
      </w:r>
      <w:r>
        <w:rPr>
          <w:noProof/>
        </w:rPr>
        <w:t xml:space="preserve"> </w:t>
      </w:r>
    </w:p>
    <w:p w14:paraId="1BE3CE1C" w14:textId="77777777" w:rsidR="00FB6C68" w:rsidRPr="00263558" w:rsidRDefault="00FB6C68" w:rsidP="00A82579">
      <w:pPr>
        <w:pStyle w:val="Default"/>
        <w:jc w:val="both"/>
        <w:rPr>
          <w:noProof/>
        </w:rPr>
      </w:pPr>
    </w:p>
    <w:p w14:paraId="0D66CD1C" w14:textId="1359F536" w:rsidR="00394637" w:rsidRPr="00263558" w:rsidRDefault="00FB6C68" w:rsidP="00A82579">
      <w:pPr>
        <w:pStyle w:val="Default"/>
        <w:jc w:val="both"/>
        <w:rPr>
          <w:rFonts w:eastAsia="Times New Roman"/>
          <w:noProof/>
          <w:color w:val="auto"/>
        </w:rPr>
      </w:pPr>
      <w:r>
        <w:rPr>
          <w:noProof/>
          <w:color w:val="auto"/>
        </w:rPr>
        <w:t>Voimassa olevat covid-19-matkustusrajoitukset ovat edelleen estäneet EU:n Hongkongin- ja Macaon-toimiston virkamiesten käynnit Macaossa. Tämä on haitannut toimiston työtä ja rajoittanut yhteydenpitoa erityishallintoalueen hallituksen virkamiesten ja muiden viranomaisten kanssa.</w:t>
      </w:r>
    </w:p>
    <w:p w14:paraId="3BD762D8" w14:textId="77777777" w:rsidR="00394637" w:rsidRPr="00263558" w:rsidRDefault="00394637"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50F7D0BC" w14:textId="77777777" w:rsidR="00CC2B5C" w:rsidRPr="00263558" w:rsidRDefault="00CC2B5C"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4E0F9516" w14:textId="72C0DC37" w:rsidR="00394637" w:rsidRPr="00E842F3" w:rsidRDefault="00394637" w:rsidP="003252A1">
      <w:pPr>
        <w:spacing w:after="0" w:line="240" w:lineRule="auto"/>
        <w:jc w:val="both"/>
        <w:rPr>
          <w:rFonts w:ascii="Times New Roman" w:eastAsia="Times New Roman" w:hAnsi="Times New Roman" w:cs="Times New Roman"/>
          <w:b/>
          <w:noProof/>
          <w:sz w:val="24"/>
          <w:szCs w:val="24"/>
          <w:u w:val="single"/>
        </w:rPr>
      </w:pPr>
      <w:r>
        <w:rPr>
          <w:rFonts w:ascii="Times New Roman" w:hAnsi="Times New Roman"/>
          <w:b/>
          <w:noProof/>
          <w:sz w:val="24"/>
          <w:szCs w:val="24"/>
          <w:u w:val="single"/>
        </w:rPr>
        <w:t>I. Poliittinen ja sosiaalinen kehitys</w:t>
      </w:r>
    </w:p>
    <w:p w14:paraId="46D75032" w14:textId="77777777" w:rsidR="00394637" w:rsidRPr="00E842F3" w:rsidRDefault="00394637"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4D2C7AE2" w14:textId="6242F84A" w:rsidR="00DD66CF" w:rsidRPr="00263558" w:rsidRDefault="00F21AAB"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Macaon erityishallintoalueen</w:t>
      </w:r>
      <w:r>
        <w:rPr>
          <w:rFonts w:ascii="Times New Roman" w:hAnsi="Times New Roman"/>
          <w:noProof/>
          <w:sz w:val="24"/>
          <w:szCs w:val="24"/>
        </w:rPr>
        <w:t xml:space="preserve"> seitsemännen </w:t>
      </w:r>
      <w:r>
        <w:rPr>
          <w:rFonts w:ascii="Times New Roman" w:hAnsi="Times New Roman"/>
          <w:b/>
          <w:noProof/>
          <w:sz w:val="24"/>
          <w:szCs w:val="24"/>
        </w:rPr>
        <w:t>lakiasäätävän kokouksen</w:t>
      </w:r>
      <w:r>
        <w:rPr>
          <w:rFonts w:ascii="Times New Roman" w:hAnsi="Times New Roman"/>
          <w:noProof/>
          <w:sz w:val="24"/>
          <w:szCs w:val="24"/>
        </w:rPr>
        <w:t xml:space="preserve"> </w:t>
      </w:r>
      <w:r>
        <w:rPr>
          <w:rFonts w:ascii="Times New Roman" w:hAnsi="Times New Roman"/>
          <w:b/>
          <w:noProof/>
          <w:sz w:val="24"/>
          <w:szCs w:val="24"/>
        </w:rPr>
        <w:t>vaalit</w:t>
      </w:r>
      <w:r>
        <w:rPr>
          <w:rFonts w:ascii="Times New Roman" w:hAnsi="Times New Roman"/>
          <w:noProof/>
          <w:sz w:val="24"/>
          <w:szCs w:val="24"/>
        </w:rPr>
        <w:t xml:space="preserve"> järjestettiin 12. syyskuuta. Lakiasäätävään kokoukseen valittiin suoraan 14 lainsäätäjää ja välillisesti 12 lainsäätäjää. Lisäksi hallintojohtaja Ho Iat-seng nimitti 23. syyskuuta 7 lainsäätäjää. Lakiasäätävän kokouksen jäsenet vannoivat valansa 16. lokakuuta. Lisäksi valituiksi tuli kolme keskusvallan vastustajaa: veteraanipoliitikko José Pereira Coutinho, Che Sai-wang ja Lam U-tou. Che ja Lam sekä viisi keskusvallan kannattajaa valittiin lakiasäätävään kokoukseen ensimmäistä kertaa.</w:t>
      </w:r>
    </w:p>
    <w:p w14:paraId="3E731F72" w14:textId="77777777" w:rsidR="005B4D38" w:rsidRPr="00263558" w:rsidRDefault="005B4D38"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618A2F1B" w14:textId="04AE4E62" w:rsidR="00A93E39" w:rsidRPr="00263558" w:rsidRDefault="00394637"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Äänestysprosentti oli 42, eli 137 281 henkilöä äänesti vaaleissa. Äänestysaktiivisuus oli alhaisin sitten Macaon palautuksen vuonna 1999. Edellisten vaalien äänestysprosentti oli ollut vuodesta 1999 lähtien keskimäärin 56,56. Lakiasäätävän kokouksen vaalilautakunnan puheenjohtajan Tong Hio-fungin mukaan alhainen äänestysaktiivisuus johtui epävakaasta säästä ja covid-19-rajoituksista, jotka estivät ulkomailla olleita henkilöitä palaamasta äänestämään. Vaaleissa annettiin myös kaikkien aikojen suurin määrä tyhjiä ääniä (3 141 ääntä), ja niissä hylättiin kaikkien aikojen toiseksi suurin määrä ääniä (2 082 ääntä).</w:t>
      </w:r>
    </w:p>
    <w:p w14:paraId="0D3DFEB8" w14:textId="77777777" w:rsidR="005B4D38" w:rsidRPr="00263558" w:rsidRDefault="005B4D38"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6F9B3D1B" w14:textId="232A5CD9" w:rsidR="00FC5BC3" w:rsidRDefault="00633DDC"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Ennen vaaleja Macaon viranomaiset hylkäsivät ensimmäistä kertaa 21 ehdokasta</w:t>
      </w:r>
      <w:r>
        <w:rPr>
          <w:rFonts w:ascii="Times New Roman" w:hAnsi="Times New Roman"/>
          <w:noProof/>
          <w:sz w:val="24"/>
          <w:szCs w:val="24"/>
        </w:rPr>
        <w:t xml:space="preserve">, koska nämä eivät olleet vannoneet uskollisuutta erityishallintoalueelle tai ilmaisseet tukevansa peruslakia. </w:t>
      </w:r>
    </w:p>
    <w:p w14:paraId="2B38A4AF" w14:textId="77777777" w:rsidR="00C5506E" w:rsidRPr="00263558" w:rsidRDefault="00C5506E"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38B5FD0B" w14:textId="6FCE54D3" w:rsidR="003C7A2F" w:rsidRPr="00263558" w:rsidRDefault="003167B6"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Tong ilmoitti hylkäyksistä 9. heinäkuuta. Hylättyihin ehdokkaisiin kuuluivat kaikki 15 ehdokasta demokratiaa kannattavista ryhmistä (New Macao Progressive Association, Democratic Prosperous Macao Association ja New Macao Progressives). Tong selitti 12. heinäkuuta, että poliisin todisteiden mukaan hylätyt ehdokkaat joko eivät tukeneet Macaon peruslakia tai olivat epälojaaleja Macaon erityishallintoalueelle. Hän totesi, että lakiasäätävän kokouksen vaalilautakunta arvioi ehdokkaiden hyväksyttävyyttä seitsemän kriteerin perusteella. Kriteereillä varmistetaan, että ehdokkaat ”noudattavat vilpittömästi” Macaon peruslakia</w:t>
      </w:r>
      <w:r w:rsidR="00D035F8">
        <w:rPr>
          <w:rStyle w:val="FootnoteReference"/>
          <w:rFonts w:ascii="Times New Roman" w:eastAsia="Times New Roman" w:hAnsi="Times New Roman" w:cs="Times New Roman"/>
          <w:noProof/>
          <w:sz w:val="24"/>
          <w:szCs w:val="24"/>
        </w:rPr>
        <w:footnoteReference w:id="2"/>
      </w:r>
      <w:r>
        <w:rPr>
          <w:rFonts w:ascii="Times New Roman" w:hAnsi="Times New Roman"/>
          <w:noProof/>
          <w:sz w:val="24"/>
          <w:szCs w:val="24"/>
        </w:rPr>
        <w:t xml:space="preserve"> ja että he ovat uskollisia Macaon erityishallintoalueelle ja tukevat Kiinan kommunistisen puolueen johtoa. </w:t>
      </w:r>
    </w:p>
    <w:p w14:paraId="38B963AA" w14:textId="77777777" w:rsidR="003C7A2F" w:rsidRPr="00263558" w:rsidRDefault="003C7A2F"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3B315457" w14:textId="1B68257A" w:rsidR="003C7A2F" w:rsidRPr="00263558" w:rsidRDefault="003C7A2F"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Päätökseen haettiin muutosta ylimmältä muutoksenhakutuomioistuimelta, joka antoi hylkäämisiä puoltavan päätöksen 31. heinäkuuta. Päätöksessä todettiin, että asianomaiset ehdokkaat olivat osallistuneet Liu Xiaobon muistotilaisuuteen ja </w:t>
      </w:r>
      <w:r>
        <w:rPr>
          <w:rFonts w:ascii="Times New Roman" w:hAnsi="Times New Roman"/>
          <w:i/>
          <w:noProof/>
          <w:sz w:val="24"/>
          <w:szCs w:val="24"/>
        </w:rPr>
        <w:t>Peruskirja 08</w:t>
      </w:r>
      <w:r>
        <w:rPr>
          <w:rFonts w:ascii="Times New Roman" w:hAnsi="Times New Roman"/>
          <w:noProof/>
          <w:sz w:val="24"/>
          <w:szCs w:val="24"/>
        </w:rPr>
        <w:t xml:space="preserve"> </w:t>
      </w:r>
      <w:r>
        <w:rPr>
          <w:rFonts w:ascii="Times New Roman" w:hAnsi="Times New Roman"/>
          <w:noProof/>
          <w:sz w:val="24"/>
          <w:szCs w:val="24"/>
        </w:rPr>
        <w:noBreakHyphen/>
        <w:t>näyttelyyn</w:t>
      </w:r>
      <w:r w:rsidR="000654AD" w:rsidRPr="00263558">
        <w:rPr>
          <w:rStyle w:val="FootnoteReference"/>
          <w:rFonts w:ascii="Times New Roman" w:eastAsia="Times New Roman" w:hAnsi="Times New Roman" w:cs="Times New Roman"/>
          <w:noProof/>
          <w:sz w:val="24"/>
          <w:szCs w:val="24"/>
        </w:rPr>
        <w:footnoteReference w:id="3"/>
      </w:r>
      <w:r>
        <w:rPr>
          <w:rFonts w:ascii="Times New Roman" w:hAnsi="Times New Roman"/>
          <w:noProof/>
          <w:sz w:val="24"/>
          <w:szCs w:val="24"/>
        </w:rPr>
        <w:t xml:space="preserve"> ja vastustivat siten maan perustuslaillista järjestelmää. Päätöksen mukaan hylätyt ehdokkaat olivat lisäksi järjestäneet 4. kesäkuuta Taivaallisen rauhan aukion tapahtumien muistotilaisuuden ja osallistuneet siihen. Näin ollen ehdokkaat olivat sabotoineet ”yksi maa, kaksi järjestelmää” </w:t>
      </w:r>
      <w:r>
        <w:rPr>
          <w:rFonts w:ascii="Times New Roman" w:hAnsi="Times New Roman"/>
          <w:noProof/>
          <w:sz w:val="24"/>
          <w:szCs w:val="24"/>
        </w:rPr>
        <w:noBreakHyphen/>
        <w:t xml:space="preserve">periaatetta, eivätkä he osoittaneet noudattavansa Macaon peruslakia. </w:t>
      </w:r>
    </w:p>
    <w:p w14:paraId="6E7D5070" w14:textId="77777777" w:rsidR="00A533B1" w:rsidRPr="00263558" w:rsidRDefault="00A533B1"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5883D9CA" w14:textId="3FD4A7C8" w:rsidR="005B4D38" w:rsidRPr="00263558" w:rsidRDefault="005B4D38"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EU:n tiedottaja antoi julkilausuman</w:t>
      </w:r>
      <w:r w:rsidR="00656B05">
        <w:rPr>
          <w:rStyle w:val="FootnoteReference"/>
          <w:rFonts w:ascii="Times New Roman" w:eastAsia="Times New Roman" w:hAnsi="Times New Roman" w:cs="Times New Roman"/>
          <w:noProof/>
          <w:sz w:val="24"/>
          <w:szCs w:val="24"/>
        </w:rPr>
        <w:footnoteReference w:id="4"/>
      </w:r>
      <w:r>
        <w:rPr>
          <w:rFonts w:ascii="Times New Roman" w:hAnsi="Times New Roman"/>
          <w:noProof/>
          <w:sz w:val="24"/>
          <w:szCs w:val="24"/>
        </w:rPr>
        <w:t>, jonka mukaan päätös on haitallinen ja vastoin Macaon peruslaissa taattuja oikeuksia. Päätös myös heikensi poliittista moniarvoisuutta ja rajoitti demokraattista keskustelua. EU vaati, että Macaon erityishallintoalueella tulee kunnioittaa suojeltuja oikeuksia ja vapauksia ja että minkä tahansa poliittisen suuntauksen ehdokkailla tulee olla mahdollisuus asettua ehdolle lakiasäätävän kokouksen vaaleissa.</w:t>
      </w:r>
    </w:p>
    <w:p w14:paraId="5546F306" w14:textId="77777777" w:rsidR="005B4D38" w:rsidRPr="00263558" w:rsidRDefault="005B4D38"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1DE60273" w14:textId="70B85EF8" w:rsidR="00560739" w:rsidRPr="00263558" w:rsidRDefault="008862D7"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b/>
          <w:noProof/>
          <w:sz w:val="24"/>
          <w:szCs w:val="24"/>
        </w:rPr>
        <w:t>Kansallinen turvallisuus pysyi poliittisena painopisteenä.</w:t>
      </w:r>
      <w:r>
        <w:rPr>
          <w:rFonts w:ascii="Times New Roman" w:hAnsi="Times New Roman"/>
          <w:noProof/>
          <w:sz w:val="24"/>
          <w:szCs w:val="24"/>
        </w:rPr>
        <w:t xml:space="preserve"> Kansallinen turvallisuuslaki tuli voimaan ensimmäisen kerran vuonna 2009, mutta ketään ei ole vielä asetettu syytteeseen lain nojalla. Hallitus ilmoitti käynnistävänsä vuoden 2022 ensimmäisellä neljänneksellä julkisen kuulemisen lain muuttamisesta ja saattavansa kuulemisen päätökseen saman vuoden viimeisellä neljänneksellä. </w:t>
      </w:r>
    </w:p>
    <w:p w14:paraId="1BF8C461" w14:textId="77777777" w:rsidR="001D7AF3" w:rsidRPr="00263558" w:rsidRDefault="001D7AF3" w:rsidP="003252A1">
      <w:pPr>
        <w:spacing w:after="0" w:line="240" w:lineRule="auto"/>
        <w:jc w:val="both"/>
        <w:rPr>
          <w:rFonts w:ascii="Times New Roman" w:eastAsiaTheme="minorEastAsia" w:hAnsi="Times New Roman" w:cs="Times New Roman"/>
          <w:noProof/>
          <w:sz w:val="24"/>
          <w:szCs w:val="24"/>
          <w:lang w:eastAsia="zh-CN"/>
        </w:rPr>
      </w:pPr>
    </w:p>
    <w:p w14:paraId="31928578" w14:textId="3A6208D9" w:rsidR="00560739" w:rsidRPr="00263558" w:rsidRDefault="00A335F5"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Osana pyrkimyksiään turvata kansallinen turvallisuus hallitus ilmoitti myös aikataulusta uudelle laille salassapitojärjestelmän perustamisesta. Lailla varmistetaan hallituksen luottamuksellisten tietojen asianmukainen suojelu Macaon erityishallintoalueella. Hallituksen tavoitteena on saattaa prosessi päätökseen vuoden 2022 viimeiseen neljännekseen mennessä. </w:t>
      </w:r>
    </w:p>
    <w:p w14:paraId="5D172A54" w14:textId="77777777" w:rsidR="00560739" w:rsidRPr="00263558" w:rsidRDefault="00560739" w:rsidP="003252A1">
      <w:pPr>
        <w:spacing w:after="0" w:line="240" w:lineRule="auto"/>
        <w:jc w:val="both"/>
        <w:rPr>
          <w:rFonts w:ascii="Times New Roman" w:eastAsiaTheme="minorEastAsia" w:hAnsi="Times New Roman" w:cs="Times New Roman"/>
          <w:noProof/>
          <w:sz w:val="24"/>
          <w:szCs w:val="24"/>
          <w:lang w:eastAsia="zh-CN"/>
        </w:rPr>
      </w:pPr>
    </w:p>
    <w:p w14:paraId="5CBFBB45" w14:textId="0FC324D8" w:rsidR="008862D7" w:rsidRPr="00263558" w:rsidRDefault="001D7AF3"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Hallintojohtaja Ho ilmoitti, että kansallisesta turvallisuudesta vastaavat hallituksen osastot aloittivat täysimääräisen toimintansa vuonna 2021. Oikeuslaitoksen poliisi on tehostanut työtään kansallisen turvallisuuden ja internetin turvallisuuden takaamiseksi ja terrorismin torjumiseksi. Poliisi on myös tehostanut toimia, joilla estetään ulkopuolisten tahojen soluttautuminen Manner-Kiinaan ja Macaon erityishallintoalueelle sekä sekaantuminen niiden toimintaan. </w:t>
      </w:r>
    </w:p>
    <w:p w14:paraId="42802F57" w14:textId="77777777" w:rsidR="009444E2" w:rsidRPr="00263558" w:rsidRDefault="009444E2" w:rsidP="003252A1">
      <w:pPr>
        <w:spacing w:after="0" w:line="240" w:lineRule="auto"/>
        <w:jc w:val="both"/>
        <w:rPr>
          <w:rFonts w:ascii="Times New Roman" w:eastAsiaTheme="minorEastAsia" w:hAnsi="Times New Roman" w:cs="Times New Roman"/>
          <w:noProof/>
          <w:sz w:val="24"/>
          <w:szCs w:val="24"/>
          <w:lang w:eastAsia="zh-CN"/>
        </w:rPr>
      </w:pPr>
    </w:p>
    <w:p w14:paraId="4AA4FE50" w14:textId="7175B684" w:rsidR="009444E2" w:rsidRPr="00263558" w:rsidRDefault="009444E2"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Lisäksi hallitus muutti kansallisen lipun, tunnuksen ja hymnin käyttöä ja suojelua koskevaa lakia, jotta siinä otettaisiin huomioon viimeisimmät muutokset Kiinan kansantasavallan lippua koskevaan lakiin ja Kiinan kansantasavallan kansallista tunnusta koskevaan lakiin</w:t>
      </w:r>
      <w:r w:rsidR="006C5BDC" w:rsidRPr="00536AD3">
        <w:rPr>
          <w:rStyle w:val="FootnoteReference"/>
          <w:rFonts w:ascii="Times New Roman" w:eastAsiaTheme="minorEastAsia" w:hAnsi="Times New Roman" w:cs="Times New Roman"/>
          <w:noProof/>
          <w:sz w:val="24"/>
          <w:szCs w:val="24"/>
          <w:lang w:eastAsia="zh-CN"/>
        </w:rPr>
        <w:footnoteReference w:id="5"/>
      </w:r>
      <w:r>
        <w:rPr>
          <w:rFonts w:ascii="Times New Roman" w:hAnsi="Times New Roman"/>
          <w:noProof/>
          <w:sz w:val="24"/>
          <w:szCs w:val="24"/>
        </w:rPr>
        <w:t>.</w:t>
      </w:r>
    </w:p>
    <w:p w14:paraId="36BD1782" w14:textId="77777777" w:rsidR="008862D7" w:rsidRPr="00263558" w:rsidRDefault="008862D7" w:rsidP="003252A1">
      <w:pPr>
        <w:spacing w:after="0" w:line="240" w:lineRule="auto"/>
        <w:jc w:val="both"/>
        <w:rPr>
          <w:rFonts w:ascii="Times New Roman" w:eastAsiaTheme="minorEastAsia" w:hAnsi="Times New Roman" w:cs="Times New Roman"/>
          <w:noProof/>
          <w:sz w:val="24"/>
          <w:szCs w:val="24"/>
          <w:lang w:eastAsia="zh-CN"/>
        </w:rPr>
      </w:pPr>
    </w:p>
    <w:p w14:paraId="0F3BA4E8" w14:textId="29808D62" w:rsidR="00E5233F" w:rsidRPr="00263558" w:rsidRDefault="004D7A3F" w:rsidP="003252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Hallitus ilmoitti myös ottavansa käyttöön enemmän valvontakameroita turvallisuuden parantamiseksi ja lainvalvonnan tukemiseksi. Viranomaiset suunnittelevat ottavansa käyttöön 4 200 uutta kameraa vuoteen 2028 mennessä. </w:t>
      </w:r>
    </w:p>
    <w:p w14:paraId="7E32011D" w14:textId="77777777" w:rsidR="008862D7" w:rsidRPr="00263558" w:rsidRDefault="008862D7" w:rsidP="003252A1">
      <w:pPr>
        <w:spacing w:after="0" w:line="240" w:lineRule="auto"/>
        <w:jc w:val="both"/>
        <w:rPr>
          <w:rFonts w:ascii="Times New Roman" w:eastAsiaTheme="minorEastAsia" w:hAnsi="Times New Roman" w:cs="Times New Roman"/>
          <w:noProof/>
          <w:sz w:val="24"/>
          <w:szCs w:val="24"/>
          <w:lang w:eastAsia="zh-CN"/>
        </w:rPr>
      </w:pPr>
    </w:p>
    <w:p w14:paraId="5F61B583" w14:textId="6B0C7B6E" w:rsidR="00EE241B" w:rsidRPr="00263558" w:rsidRDefault="001D7AF3"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Tärkeissä sosiaalisissa kysymyksissä saavutettiin joitakin lainsäädännöllisiä edistysaskeleita</w:t>
      </w:r>
      <w:r>
        <w:rPr>
          <w:rFonts w:ascii="Times New Roman" w:hAnsi="Times New Roman"/>
          <w:noProof/>
          <w:sz w:val="24"/>
          <w:szCs w:val="24"/>
        </w:rPr>
        <w:t xml:space="preserve">, joista yksi on ammattiliittoja koskeva laki. Tämä tapahtui sen jälkeen, kun demokratiaa kannattavat lainsäätäjät olivat vuosien ajan ehdottaneet samankaltaisia toimenpiteitä, jotka oli kerta toisensa jälkeen torjuttu. Hallitus suunnitteli alun perin julkisen kuulemisen toteuttamista laista vuoden 2021 ensimmäisellä neljänneksellä, mutta lopulta se käynnisti kuulemisen 31. lokakuuta. Kuulemista jatkettiin 45 päivän ajan. Lakiluonnoksessa oli kaksi pääteemaa: ammattiliittojen rekisteröintijärjestelmä ja työehtosopimuksiin perustuva neuvotteluasema. Hallituksen tavoitteena on saattaa lainsäädäntöprosessi päätökseen vuoden 2022 viimeiseen neljännekseen mennessä, kun kuulemiset on saatu päätökseen ja eri aloilta on ”kerätty riittävästi” lausuntoja. </w:t>
      </w:r>
    </w:p>
    <w:p w14:paraId="427D45B8" w14:textId="77777777" w:rsidR="00CC2B5C" w:rsidRPr="00263558" w:rsidRDefault="00CC2B5C" w:rsidP="003252A1">
      <w:pPr>
        <w:pStyle w:val="Default"/>
        <w:jc w:val="both"/>
        <w:rPr>
          <w:noProof/>
        </w:rPr>
      </w:pPr>
    </w:p>
    <w:p w14:paraId="5AE88998" w14:textId="4AAF4927" w:rsidR="00C234F2" w:rsidRPr="00263558" w:rsidRDefault="00555FF8" w:rsidP="003252A1">
      <w:pPr>
        <w:pStyle w:val="Heading3"/>
        <w:spacing w:before="0" w:beforeAutospacing="0" w:after="0" w:afterAutospacing="0"/>
        <w:jc w:val="both"/>
        <w:rPr>
          <w:rFonts w:eastAsia="PMingLiU"/>
          <w:b w:val="0"/>
          <w:noProof/>
          <w:sz w:val="24"/>
          <w:szCs w:val="24"/>
        </w:rPr>
      </w:pPr>
      <w:r>
        <w:rPr>
          <w:noProof/>
          <w:sz w:val="24"/>
          <w:szCs w:val="24"/>
        </w:rPr>
        <w:t xml:space="preserve">Macaon erityishallintoalueen hallitus jatkoi toimenpiteitä covid-19:n leviämisen hillitsemiseksi. </w:t>
      </w:r>
      <w:r>
        <w:rPr>
          <w:b w:val="0"/>
          <w:noProof/>
          <w:sz w:val="24"/>
          <w:szCs w:val="24"/>
        </w:rPr>
        <w:t xml:space="preserve">Toimenpiteisiin sisältyi kaksi kertaa toteutettu koko kaupungin kattava pakollinen testaus. Joulukuun 30. päivään 2021 mennessä 429 839 henkilöä oli saanut kaksi rokoteannosta ja 31 770 henkilöä kolme rokoteannosta. Covid-19-epidemiasta aiheutui kaiken kaikkiaan 79 vahvistettua tartuntaa mutta ei yhtään kuolemantapausta. Hallitus on pyrkinyt varmistamaan, että Macaon ja Manner-Kiinan välillä on mahdollista matkustaa ilman karanteenia. Molemmat tahot sallivat matkustamisen ilman karanteenia ensimmäistä kertaa rajoitusten alkamisen jälkeen 12. elokuuta. Sitä vastoin Hongkongista Macaoon matkustavilta matkustajilta edellytettiin negatiivista testitulosta ja 14 päivän mittaista karanteenia. </w:t>
      </w:r>
    </w:p>
    <w:p w14:paraId="25F37FAF" w14:textId="77777777" w:rsidR="0067267D" w:rsidRPr="00263558" w:rsidRDefault="0067267D" w:rsidP="003252A1">
      <w:pPr>
        <w:pStyle w:val="Heading3"/>
        <w:spacing w:before="0" w:beforeAutospacing="0" w:after="0" w:afterAutospacing="0"/>
        <w:jc w:val="both"/>
        <w:rPr>
          <w:rFonts w:eastAsia="PMingLiU"/>
          <w:b w:val="0"/>
          <w:noProof/>
          <w:sz w:val="24"/>
          <w:szCs w:val="24"/>
          <w:lang w:eastAsia="zh-TW"/>
        </w:rPr>
      </w:pPr>
    </w:p>
    <w:p w14:paraId="097632E5" w14:textId="44446346" w:rsidR="0033521E" w:rsidRPr="00263558" w:rsidRDefault="008E7D29" w:rsidP="00076074">
      <w:pPr>
        <w:jc w:val="both"/>
        <w:rPr>
          <w:rFonts w:ascii="Times New Roman" w:eastAsia="PMingLiU" w:hAnsi="Times New Roman" w:cs="Times New Roman"/>
          <w:bCs/>
          <w:noProof/>
          <w:sz w:val="24"/>
          <w:szCs w:val="24"/>
        </w:rPr>
      </w:pPr>
      <w:r>
        <w:rPr>
          <w:rFonts w:ascii="Times New Roman" w:hAnsi="Times New Roman"/>
          <w:noProof/>
          <w:sz w:val="24"/>
          <w:szCs w:val="24"/>
        </w:rPr>
        <w:t>Tiukat maahantulosäännöt estivät EU-toimiston edustajia vierailemasta erityishallintoalueella, järjestämästä toimintaa paikan päällä ja seuraamasta poliittista ja sosiaalista kehitystä.</w:t>
      </w:r>
      <w:r>
        <w:rPr>
          <w:rFonts w:ascii="Times New Roman" w:hAnsi="Times New Roman"/>
          <w:b/>
          <w:noProof/>
          <w:sz w:val="24"/>
          <w:szCs w:val="24"/>
        </w:rPr>
        <w:t xml:space="preserve"> </w:t>
      </w:r>
      <w:r>
        <w:rPr>
          <w:rFonts w:ascii="Times New Roman" w:hAnsi="Times New Roman"/>
          <w:bCs/>
          <w:noProof/>
          <w:sz w:val="24"/>
          <w:szCs w:val="24"/>
        </w:rPr>
        <w:t xml:space="preserve">Sääntöjen mukaan Macaoon pääsi matkailijoita vain Manner-Kiinasta, Hongkongista ja Taiwanista. Hongkongissa 14 päivää ennen saapumista käyneiltä matkustajilta edellytettiin 14 päivän karanteenia.  </w:t>
      </w:r>
    </w:p>
    <w:p w14:paraId="168B3843" w14:textId="77777777" w:rsidR="008E7D29" w:rsidRPr="00263558" w:rsidRDefault="0033521E" w:rsidP="003252A1">
      <w:pPr>
        <w:pStyle w:val="Heading3"/>
        <w:spacing w:before="0" w:beforeAutospacing="0" w:after="0" w:afterAutospacing="0"/>
        <w:jc w:val="both"/>
        <w:rPr>
          <w:rFonts w:eastAsia="PMingLiU"/>
          <w:b w:val="0"/>
          <w:noProof/>
          <w:sz w:val="24"/>
          <w:szCs w:val="24"/>
        </w:rPr>
      </w:pPr>
      <w:r>
        <w:rPr>
          <w:b w:val="0"/>
          <w:noProof/>
          <w:sz w:val="24"/>
          <w:szCs w:val="24"/>
        </w:rPr>
        <w:t xml:space="preserve"> </w:t>
      </w:r>
    </w:p>
    <w:p w14:paraId="75FA173C" w14:textId="67E9E1D1" w:rsidR="00394637" w:rsidRPr="00263558" w:rsidRDefault="00394637" w:rsidP="003252A1">
      <w:pPr>
        <w:pStyle w:val="Heading3"/>
        <w:spacing w:before="0" w:beforeAutospacing="0" w:after="0" w:afterAutospacing="0"/>
        <w:jc w:val="both"/>
        <w:rPr>
          <w:rFonts w:eastAsia="Times New Roman"/>
          <w:noProof/>
          <w:sz w:val="24"/>
          <w:szCs w:val="24"/>
        </w:rPr>
      </w:pPr>
      <w:r>
        <w:rPr>
          <w:noProof/>
          <w:sz w:val="24"/>
          <w:szCs w:val="24"/>
        </w:rPr>
        <w:t>Oikeudet, vapaudet ja yhtäläiset mahdollisuudet</w:t>
      </w:r>
    </w:p>
    <w:p w14:paraId="165A6225" w14:textId="77777777" w:rsidR="00F0484B" w:rsidRPr="00263558" w:rsidRDefault="00F0484B" w:rsidP="003252A1">
      <w:pPr>
        <w:pStyle w:val="Heading3"/>
        <w:spacing w:before="0" w:beforeAutospacing="0" w:after="0" w:afterAutospacing="0"/>
        <w:jc w:val="both"/>
        <w:rPr>
          <w:rFonts w:eastAsia="Times New Roman"/>
          <w:noProof/>
          <w:sz w:val="24"/>
          <w:szCs w:val="24"/>
        </w:rPr>
      </w:pPr>
    </w:p>
    <w:p w14:paraId="2473D6F9" w14:textId="141D90C4" w:rsidR="00555FF8" w:rsidRPr="00263558" w:rsidRDefault="00555FF8" w:rsidP="003252A1">
      <w:pPr>
        <w:pStyle w:val="Heading3"/>
        <w:spacing w:before="0" w:beforeAutospacing="0" w:after="0" w:afterAutospacing="0"/>
        <w:jc w:val="both"/>
        <w:rPr>
          <w:rFonts w:eastAsia="Times New Roman"/>
          <w:b w:val="0"/>
          <w:noProof/>
          <w:sz w:val="24"/>
          <w:szCs w:val="24"/>
        </w:rPr>
      </w:pPr>
      <w:r>
        <w:rPr>
          <w:b w:val="0"/>
          <w:noProof/>
          <w:sz w:val="24"/>
          <w:szCs w:val="24"/>
        </w:rPr>
        <w:t>Macaon peruslaissa taattuihin oikeuksiin, perusvapauksiin ja oikeusvaltioperiaatteeseen kohdistui vuonna 2021 paineita. Riippumattoman ihmisoikeuselimen perustamiseksi YK:n kidutuksen vastaisen komitean joulukuussa 2015 antaman suosituksen mukaisesti ei ole vieläkään tehty aloitetta.</w:t>
      </w:r>
    </w:p>
    <w:p w14:paraId="0B0AC469" w14:textId="77777777" w:rsidR="0024458A" w:rsidRPr="00263558" w:rsidRDefault="0024458A" w:rsidP="003252A1">
      <w:pPr>
        <w:pStyle w:val="Heading3"/>
        <w:spacing w:before="0" w:beforeAutospacing="0" w:after="0" w:afterAutospacing="0"/>
        <w:jc w:val="both"/>
        <w:rPr>
          <w:rFonts w:eastAsia="Times New Roman"/>
          <w:noProof/>
          <w:sz w:val="24"/>
          <w:szCs w:val="24"/>
        </w:rPr>
      </w:pPr>
    </w:p>
    <w:p w14:paraId="371D9B3B" w14:textId="5BBA9BFF" w:rsidR="00A363F6" w:rsidRPr="00263558" w:rsidRDefault="00555FF8" w:rsidP="003252A1">
      <w:pPr>
        <w:pStyle w:val="Heading3"/>
        <w:spacing w:before="0" w:beforeAutospacing="0" w:after="0" w:afterAutospacing="0"/>
        <w:jc w:val="both"/>
        <w:rPr>
          <w:rFonts w:eastAsia="Times New Roman"/>
          <w:b w:val="0"/>
          <w:noProof/>
          <w:sz w:val="24"/>
          <w:szCs w:val="24"/>
        </w:rPr>
      </w:pPr>
      <w:r>
        <w:rPr>
          <w:noProof/>
          <w:sz w:val="24"/>
          <w:szCs w:val="24"/>
        </w:rPr>
        <w:t>Lehdistönvapauden</w:t>
      </w:r>
      <w:r>
        <w:rPr>
          <w:b w:val="0"/>
          <w:noProof/>
          <w:sz w:val="24"/>
          <w:szCs w:val="24"/>
        </w:rPr>
        <w:t xml:space="preserve"> toteutuminen oli entistä ongelmallisempaa, sillä tiedotusvälineiden itsesensuuri on lisääntynyt. Macaon portugalin- ja englanninkielisen lehdistön järjestö AIPIM julkaisi 13. maaliskuuta tiedotteen, jossa se esitti huolensa yleisradioyhtiö Teledifusão de Macaun (TDM) portugalin- ja englanninkielisille toimituksille antamista uusista toimituksellisista ohjeista. </w:t>
      </w:r>
    </w:p>
    <w:p w14:paraId="05D8EAEC" w14:textId="77777777" w:rsidR="00A363F6" w:rsidRPr="00263558" w:rsidRDefault="00A363F6" w:rsidP="003252A1">
      <w:pPr>
        <w:pStyle w:val="Heading3"/>
        <w:spacing w:before="0" w:beforeAutospacing="0" w:after="0" w:afterAutospacing="0"/>
        <w:jc w:val="both"/>
        <w:rPr>
          <w:rFonts w:eastAsiaTheme="minorEastAsia"/>
          <w:b w:val="0"/>
          <w:noProof/>
          <w:sz w:val="24"/>
          <w:szCs w:val="24"/>
          <w:lang w:eastAsia="zh-CN"/>
        </w:rPr>
      </w:pPr>
    </w:p>
    <w:p w14:paraId="6DB913F5" w14:textId="18DECC40" w:rsidR="00280B21" w:rsidRPr="00263558" w:rsidRDefault="00911DC5" w:rsidP="003252A1">
      <w:pPr>
        <w:pStyle w:val="Heading3"/>
        <w:spacing w:before="0" w:beforeAutospacing="0" w:after="0" w:afterAutospacing="0"/>
        <w:jc w:val="both"/>
        <w:rPr>
          <w:rFonts w:eastAsiaTheme="minorEastAsia"/>
          <w:b w:val="0"/>
          <w:noProof/>
          <w:sz w:val="24"/>
          <w:szCs w:val="24"/>
        </w:rPr>
      </w:pPr>
      <w:r>
        <w:rPr>
          <w:b w:val="0"/>
          <w:noProof/>
          <w:sz w:val="24"/>
          <w:szCs w:val="24"/>
        </w:rPr>
        <w:t>AIPIM oli erityisen huolissaan ohjeesta, jonka mukaan TDM:n henkilöstö ei voi ”välittää Kiinan kansantasavallan keskushallinnon politiikan vastaisia tietoja tai mielipiteitä” ja henkilöstön on tuettava Macaon erityishallintoalueen hyväksymiä toimenpiteitä. TDM:n johtoryhmä piti lopulta kahden tunnin kokouksen uutistoimituksen kuuden jäsenen kanssa. TDM ilmoitti, että sen toimituspolitiikka ei muutu ja että se ”kannustaa” henkilöstöä noudattamaan ”maan ja Macaon rakastamisen” periaatetta.</w:t>
      </w:r>
      <w:r w:rsidR="00FF4095" w:rsidRPr="00263558">
        <w:rPr>
          <w:rStyle w:val="FootnoteReference"/>
          <w:rFonts w:eastAsiaTheme="minorEastAsia"/>
          <w:b w:val="0"/>
          <w:noProof/>
          <w:sz w:val="24"/>
          <w:szCs w:val="24"/>
          <w:lang w:eastAsia="zh-CN"/>
        </w:rPr>
        <w:footnoteReference w:id="6"/>
      </w:r>
      <w:r>
        <w:rPr>
          <w:b w:val="0"/>
          <w:noProof/>
          <w:sz w:val="24"/>
          <w:szCs w:val="24"/>
        </w:rPr>
        <w:t xml:space="preserve"> Tämän jälkeen 4. kesäkuuta järjestettyyn muistotilaisuuteen liittyvät kommentit ja tiedot sensuroitiin kahdessa ajankohtaisasioita käsittelevässä ohjelmassa. </w:t>
      </w:r>
    </w:p>
    <w:p w14:paraId="703F8EFE" w14:textId="77777777" w:rsidR="0069081E" w:rsidRPr="00263558" w:rsidRDefault="0069081E" w:rsidP="003252A1">
      <w:pPr>
        <w:pStyle w:val="Heading3"/>
        <w:spacing w:before="0" w:beforeAutospacing="0" w:after="0" w:afterAutospacing="0"/>
        <w:jc w:val="both"/>
        <w:rPr>
          <w:rFonts w:eastAsiaTheme="minorEastAsia"/>
          <w:b w:val="0"/>
          <w:noProof/>
          <w:sz w:val="24"/>
          <w:szCs w:val="24"/>
          <w:lang w:eastAsia="zh-CN"/>
        </w:rPr>
      </w:pPr>
    </w:p>
    <w:p w14:paraId="515DA32E" w14:textId="72EAF764" w:rsidR="001F7E0D" w:rsidRPr="00263558" w:rsidRDefault="007A54ED" w:rsidP="003252A1">
      <w:pPr>
        <w:spacing w:after="0" w:line="240" w:lineRule="auto"/>
        <w:jc w:val="both"/>
        <w:rPr>
          <w:rFonts w:ascii="Times New Roman" w:eastAsiaTheme="minorEastAsia" w:hAnsi="Times New Roman" w:cs="Times New Roman"/>
          <w:bCs/>
          <w:noProof/>
          <w:sz w:val="24"/>
          <w:szCs w:val="24"/>
        </w:rPr>
      </w:pPr>
      <w:r>
        <w:rPr>
          <w:rFonts w:ascii="Times New Roman" w:hAnsi="Times New Roman"/>
          <w:bCs/>
          <w:noProof/>
          <w:sz w:val="24"/>
          <w:szCs w:val="24"/>
        </w:rPr>
        <w:t>Macaon toimittajajärjestö (AJM) ilmoitti 14. lokakuuta, että ministeriöt olivat tiukentaneet hallituksen merkittävistä tapahtumista uutisointia covid-19:n leviämisen estämiseksi. Osallistujilla täytyi nyt olla vähintään yksi rokote ja negatiivinen tulos nukleiinihappotestistä 48 tuntia ennen uutisoitavaa tapahtumaa. Toimittajajärjestö kehotti viranomaisia harkitsemaan näitä tiedotusvälineitä koskevia järjestelyjä uudelleen sekä pyrkimään tasapainoon kansanterveyden ja toimittajien raportointioikeuden välillä.</w:t>
      </w:r>
    </w:p>
    <w:p w14:paraId="1049EDC3" w14:textId="77777777" w:rsidR="001F7E0D" w:rsidRPr="00263558" w:rsidRDefault="001F7E0D" w:rsidP="003252A1">
      <w:pPr>
        <w:spacing w:after="0" w:line="240" w:lineRule="auto"/>
        <w:jc w:val="both"/>
        <w:rPr>
          <w:rFonts w:ascii="Times New Roman" w:eastAsiaTheme="minorEastAsia" w:hAnsi="Times New Roman" w:cs="Times New Roman"/>
          <w:bCs/>
          <w:noProof/>
          <w:sz w:val="24"/>
          <w:szCs w:val="24"/>
          <w:lang w:eastAsia="zh-CN"/>
        </w:rPr>
      </w:pPr>
    </w:p>
    <w:p w14:paraId="17AB9A58" w14:textId="02C51449" w:rsidR="00560746" w:rsidRPr="00263558" w:rsidRDefault="00CA5966"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b/>
          <w:noProof/>
          <w:sz w:val="24"/>
          <w:szCs w:val="24"/>
        </w:rPr>
        <w:t>Kokoontumisvapauden osalta</w:t>
      </w:r>
      <w:r>
        <w:rPr>
          <w:rFonts w:ascii="Times New Roman" w:hAnsi="Times New Roman"/>
          <w:noProof/>
          <w:sz w:val="24"/>
          <w:szCs w:val="24"/>
        </w:rPr>
        <w:t xml:space="preserve"> ylin muutoksenhakutuomioistuin hylkäsi 3. kesäkuuta 2021 valituksen poliisin asettamasta kiellosta, joka koski Taivaallisen rauhan aukion tapahtumien vuotuisen kynttilämuistotilaisuuden järjestämistä.  Tuomioistuin mainitsi huolensa covid-19:n leviämisestä ja totesi, että järjestäjä, Democratic Development Union, vetosi kokoontumisoikeuteen ”suunnitellun ja tahallisen hyökkäyksen”</w:t>
      </w:r>
      <w:r w:rsidR="00201FB3" w:rsidRPr="00D2698A">
        <w:rPr>
          <w:rStyle w:val="FootnoteReference"/>
          <w:rFonts w:ascii="Times New Roman" w:eastAsiaTheme="minorEastAsia" w:hAnsi="Times New Roman" w:cs="Times New Roman"/>
          <w:noProof/>
          <w:sz w:val="24"/>
          <w:szCs w:val="24"/>
          <w:lang w:eastAsia="zh-CN"/>
        </w:rPr>
        <w:footnoteReference w:id="7"/>
      </w:r>
      <w:r>
        <w:rPr>
          <w:rFonts w:ascii="Times New Roman" w:hAnsi="Times New Roman"/>
          <w:noProof/>
          <w:sz w:val="24"/>
          <w:szCs w:val="24"/>
        </w:rPr>
        <w:t xml:space="preserve"> toteuttamiseksi keskushallintoa vastaan. </w:t>
      </w:r>
    </w:p>
    <w:p w14:paraId="2D4CE34F" w14:textId="77777777" w:rsidR="00560746" w:rsidRPr="00263558" w:rsidRDefault="00560746" w:rsidP="003252A1">
      <w:pPr>
        <w:spacing w:after="0" w:line="240" w:lineRule="auto"/>
        <w:jc w:val="both"/>
        <w:rPr>
          <w:rFonts w:ascii="Times New Roman" w:eastAsiaTheme="minorEastAsia" w:hAnsi="Times New Roman" w:cs="Times New Roman"/>
          <w:noProof/>
          <w:sz w:val="24"/>
          <w:szCs w:val="24"/>
          <w:lang w:eastAsia="zh-CN"/>
        </w:rPr>
      </w:pPr>
    </w:p>
    <w:p w14:paraId="79B91028" w14:textId="7A9FDDEE" w:rsidR="00A93E39" w:rsidRPr="00263558" w:rsidRDefault="00560746"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Kaikki kolme erityistuomioistuimen tuomaria perusteli, että ehdotettu tilaisuus saattaisi vahingoittaa vakavasti Kiinan kansantasavallan keskushallinnon kunniaa, arvokkuutta ja kunnioitusta. Eräs Macaon edustaja Kiinan kansankongressissa totesi myös, ettei tällaisia muistotapahtumia olisi sopivaa järjestää tulevaisuudessa. </w:t>
      </w:r>
    </w:p>
    <w:p w14:paraId="4BADD327" w14:textId="77777777" w:rsidR="00A93E39" w:rsidRPr="00263558" w:rsidRDefault="00A93E39" w:rsidP="003252A1">
      <w:pPr>
        <w:spacing w:after="0" w:line="240" w:lineRule="auto"/>
        <w:jc w:val="both"/>
        <w:rPr>
          <w:rFonts w:ascii="Times New Roman" w:eastAsiaTheme="minorEastAsia" w:hAnsi="Times New Roman" w:cs="Times New Roman"/>
          <w:b/>
          <w:noProof/>
          <w:sz w:val="24"/>
          <w:szCs w:val="24"/>
          <w:lang w:eastAsia="zh-CN"/>
        </w:rPr>
      </w:pPr>
    </w:p>
    <w:p w14:paraId="668A6C7C" w14:textId="35F7A834" w:rsidR="00555FF8" w:rsidRPr="00294756" w:rsidRDefault="00555FF8" w:rsidP="003252A1">
      <w:pPr>
        <w:spacing w:after="0" w:line="240" w:lineRule="auto"/>
        <w:jc w:val="both"/>
        <w:rPr>
          <w:rFonts w:ascii="Times New Roman" w:eastAsiaTheme="minorEastAsia" w:hAnsi="Times New Roman" w:cs="Times New Roman"/>
          <w:bCs/>
          <w:noProof/>
          <w:sz w:val="24"/>
          <w:szCs w:val="24"/>
        </w:rPr>
      </w:pPr>
      <w:r>
        <w:rPr>
          <w:rFonts w:ascii="Times New Roman" w:hAnsi="Times New Roman"/>
          <w:bCs/>
          <w:noProof/>
          <w:sz w:val="24"/>
          <w:szCs w:val="24"/>
        </w:rPr>
        <w:t xml:space="preserve">Macao ei ole vielä tosiasiallisesti mahdollistanut </w:t>
      </w:r>
      <w:r>
        <w:rPr>
          <w:rFonts w:ascii="Times New Roman" w:hAnsi="Times New Roman"/>
          <w:b/>
          <w:bCs/>
          <w:noProof/>
          <w:sz w:val="24"/>
          <w:szCs w:val="24"/>
        </w:rPr>
        <w:t>yhdistymisvapautta ja työehtosopimusneuvotteluja</w:t>
      </w:r>
      <w:r>
        <w:rPr>
          <w:rFonts w:ascii="Times New Roman" w:hAnsi="Times New Roman"/>
          <w:bCs/>
          <w:noProof/>
          <w:sz w:val="24"/>
          <w:szCs w:val="24"/>
        </w:rPr>
        <w:t xml:space="preserve"> sellaisina kuin ne on vahvistettu Kansainvälisen työjärjestön yleissopimuksissa. Esimerkiksi vuoden 2008 työmarkkinalakiin sisältyi joitakin sääntöjä, joilla kielletään ammattiliittojen syrjintä ja säädetään tällaisen syrjinnän seuraamuksista. Siihen ei kuitenkaan sisältynyt järjestäytymisoikeutta tai oikeutta työehtosopimusneuvotteluihin koskevaa lukua. Ammattiliittojen syrjinnästä määrättävät seuraamukset eivät ole olleet riittävän varoittavia etenkään suurille yrityksille. Pitkään valmistellun ammattiliittoja koskevan lainsäädäntöehdotuksen osalta ammattiyhdistysaktivistit ovat huomauttaneet, että kuulemisen tekstissä ei käsitellä lakko-oikeutta (peruslaissa vahvistettu oikeus) jatkotoimena työehtosopimusneuvottelujen kariutumiselle, mikä saattaa heikentää neuvottelujen vaikutusta</w:t>
      </w:r>
      <w:r w:rsidR="00ED67E2" w:rsidRPr="00294756">
        <w:rPr>
          <w:rStyle w:val="FootnoteReference"/>
          <w:rFonts w:ascii="Times New Roman" w:eastAsiaTheme="minorEastAsia" w:hAnsi="Times New Roman" w:cs="Times New Roman"/>
          <w:bCs/>
          <w:noProof/>
          <w:sz w:val="24"/>
          <w:szCs w:val="24"/>
          <w:lang w:eastAsia="zh-CN"/>
        </w:rPr>
        <w:footnoteReference w:id="8"/>
      </w:r>
      <w:r>
        <w:rPr>
          <w:rFonts w:ascii="Times New Roman" w:hAnsi="Times New Roman"/>
          <w:bCs/>
          <w:noProof/>
          <w:sz w:val="24"/>
          <w:szCs w:val="24"/>
        </w:rPr>
        <w:t xml:space="preserve">.  </w:t>
      </w:r>
    </w:p>
    <w:p w14:paraId="6770D1C6" w14:textId="77777777" w:rsidR="00560746" w:rsidRPr="00263558" w:rsidRDefault="00560746" w:rsidP="003252A1">
      <w:pPr>
        <w:pStyle w:val="Heading3"/>
        <w:spacing w:before="0" w:beforeAutospacing="0" w:after="0" w:afterAutospacing="0"/>
        <w:jc w:val="both"/>
        <w:rPr>
          <w:rFonts w:eastAsia="Times New Roman"/>
          <w:b w:val="0"/>
          <w:noProof/>
          <w:sz w:val="24"/>
          <w:szCs w:val="24"/>
          <w:highlight w:val="yellow"/>
        </w:rPr>
      </w:pPr>
    </w:p>
    <w:p w14:paraId="6E2C7504" w14:textId="56140845" w:rsidR="00ED67E2" w:rsidRPr="00263558" w:rsidRDefault="00ED67E2" w:rsidP="003252A1">
      <w:pPr>
        <w:pStyle w:val="Heading3"/>
        <w:spacing w:before="0" w:beforeAutospacing="0" w:after="0" w:afterAutospacing="0"/>
        <w:jc w:val="both"/>
        <w:rPr>
          <w:rFonts w:eastAsia="Times New Roman"/>
          <w:b w:val="0"/>
          <w:noProof/>
          <w:sz w:val="24"/>
          <w:szCs w:val="24"/>
        </w:rPr>
      </w:pPr>
      <w:r>
        <w:rPr>
          <w:b w:val="0"/>
          <w:noProof/>
          <w:sz w:val="24"/>
          <w:szCs w:val="24"/>
        </w:rPr>
        <w:t xml:space="preserve">Macao jatkaa toimiaan </w:t>
      </w:r>
      <w:r>
        <w:rPr>
          <w:noProof/>
          <w:sz w:val="24"/>
          <w:szCs w:val="24"/>
        </w:rPr>
        <w:t>ihmiskaupan torjumiseksi</w:t>
      </w:r>
      <w:r>
        <w:rPr>
          <w:b w:val="0"/>
          <w:noProof/>
          <w:sz w:val="24"/>
          <w:szCs w:val="24"/>
        </w:rPr>
        <w:t xml:space="preserve">. Näitä ovat muun muassa poliisi-, tulli- ja sosiaaliviranomaisten kouluttaminen, ihmiskaupan torjunnan rahoituksen lisääminen, työntekijän oikeuksia koskevien seminaarien järjestäminen hyväksikäytölle alttiille siirtotyöläisille ja lakien säätäminen </w:t>
      </w:r>
      <w:r w:rsidR="0081212B">
        <w:rPr>
          <w:b w:val="0"/>
          <w:noProof/>
          <w:sz w:val="24"/>
          <w:szCs w:val="24"/>
        </w:rPr>
        <w:t xml:space="preserve">työvoimatoimistojen sellaisten </w:t>
      </w:r>
      <w:r>
        <w:rPr>
          <w:b w:val="0"/>
          <w:noProof/>
          <w:sz w:val="24"/>
          <w:szCs w:val="24"/>
        </w:rPr>
        <w:t xml:space="preserve">käytäntöjen estämiseksi, jotka pakottavat velanottoon. Tämän ongelman ratkaisemiseksi tarvitaan kuitenkin vielä lisätoimia.  </w:t>
      </w:r>
    </w:p>
    <w:p w14:paraId="3A91FD5C" w14:textId="77777777" w:rsidR="00560746" w:rsidRPr="00263558" w:rsidRDefault="00560746" w:rsidP="003252A1">
      <w:pPr>
        <w:pStyle w:val="Heading3"/>
        <w:spacing w:before="0" w:beforeAutospacing="0" w:after="0" w:afterAutospacing="0"/>
        <w:jc w:val="both"/>
        <w:rPr>
          <w:b w:val="0"/>
          <w:noProof/>
          <w:color w:val="222222"/>
          <w:sz w:val="24"/>
          <w:szCs w:val="24"/>
        </w:rPr>
      </w:pPr>
    </w:p>
    <w:p w14:paraId="0DB18346" w14:textId="705B0EFB" w:rsidR="00564411" w:rsidRDefault="00ED67E2" w:rsidP="003252A1">
      <w:pPr>
        <w:pStyle w:val="Heading3"/>
        <w:spacing w:before="0" w:beforeAutospacing="0" w:after="0" w:afterAutospacing="0"/>
        <w:jc w:val="both"/>
        <w:rPr>
          <w:b w:val="0"/>
          <w:noProof/>
          <w:color w:val="222222"/>
          <w:sz w:val="24"/>
          <w:szCs w:val="24"/>
        </w:rPr>
      </w:pPr>
      <w:r>
        <w:rPr>
          <w:b w:val="0"/>
          <w:noProof/>
          <w:color w:val="222222"/>
          <w:sz w:val="24"/>
          <w:szCs w:val="24"/>
        </w:rPr>
        <w:t xml:space="preserve">Macao ei hyväksynyt kattavaa syrjinnän vastaista lainsäädäntöä eikä perustanut riippumatonta ihmisoikeusinstituutiota vuonna 2021. </w:t>
      </w:r>
      <w:r>
        <w:rPr>
          <w:noProof/>
          <w:color w:val="222222"/>
          <w:sz w:val="24"/>
          <w:szCs w:val="24"/>
        </w:rPr>
        <w:t>Seksuaaliseen suuntautumiseen ja sukupuoli-identiteettiin perustuva syrjintä</w:t>
      </w:r>
      <w:r>
        <w:rPr>
          <w:b w:val="0"/>
          <w:noProof/>
          <w:color w:val="222222"/>
          <w:sz w:val="24"/>
          <w:szCs w:val="24"/>
        </w:rPr>
        <w:t xml:space="preserve"> aiheutti edelleen huolta etenkin työhönotossa sekä koulutuksen ja terveydenhuollon aloilla. Macaon viranomaiset pidättäytyivät esimerkiksi jälleen suojelemasta samaa sukupuolta olevia avopuolisoita perheväkivaltaa koskevan oikeudellisen kehyksen nojalla. Hallitus mainitsi, että ”yhteiskunnassa ei ole yksimielisyyttä samaa sukupuolta olevien avioliittojen tunnustamisesta ja että kysymys on ristiriidassa Macaon erityishallintoalueen nykyisen oikeusjärjestelmän kanssa”</w:t>
      </w:r>
      <w:r w:rsidR="00E038D7">
        <w:rPr>
          <w:rStyle w:val="FootnoteReference"/>
          <w:b w:val="0"/>
          <w:noProof/>
          <w:color w:val="222222"/>
          <w:sz w:val="24"/>
          <w:szCs w:val="24"/>
        </w:rPr>
        <w:footnoteReference w:id="9"/>
      </w:r>
      <w:r>
        <w:rPr>
          <w:b w:val="0"/>
          <w:noProof/>
          <w:color w:val="222222"/>
          <w:sz w:val="24"/>
          <w:szCs w:val="24"/>
        </w:rPr>
        <w:t xml:space="preserve">. </w:t>
      </w:r>
    </w:p>
    <w:p w14:paraId="6E05C787" w14:textId="77777777" w:rsidR="00564411" w:rsidRDefault="00564411" w:rsidP="003252A1">
      <w:pPr>
        <w:pStyle w:val="Heading3"/>
        <w:spacing w:before="0" w:beforeAutospacing="0" w:after="0" w:afterAutospacing="0"/>
        <w:jc w:val="both"/>
        <w:rPr>
          <w:b w:val="0"/>
          <w:noProof/>
          <w:color w:val="222222"/>
          <w:sz w:val="24"/>
          <w:szCs w:val="24"/>
        </w:rPr>
      </w:pPr>
    </w:p>
    <w:p w14:paraId="6EC48199" w14:textId="64D36C73" w:rsidR="00ED67E2" w:rsidRPr="005733FA" w:rsidRDefault="00ED67E2" w:rsidP="003252A1">
      <w:pPr>
        <w:pStyle w:val="Heading3"/>
        <w:spacing w:before="0" w:beforeAutospacing="0" w:after="0" w:afterAutospacing="0"/>
        <w:jc w:val="both"/>
        <w:rPr>
          <w:b w:val="0"/>
          <w:noProof/>
          <w:color w:val="222222"/>
          <w:sz w:val="24"/>
          <w:szCs w:val="24"/>
        </w:rPr>
      </w:pPr>
      <w:r>
        <w:rPr>
          <w:b w:val="0"/>
          <w:noProof/>
          <w:color w:val="222222"/>
          <w:sz w:val="24"/>
          <w:szCs w:val="24"/>
        </w:rPr>
        <w:t xml:space="preserve">Covid-19:n leviämisen hillitsemiseksi Macaon ulkopuolella asuvien nepalilaisten ja vietnamilaisten työntekijöiden oli käytävä nukleiinihappotestissä tiuhaan tahtiin. Tämä toimenpide herätti huolta rotusyrjinnästä.  </w:t>
      </w:r>
    </w:p>
    <w:p w14:paraId="03ACB8A8" w14:textId="77777777" w:rsidR="00735F5E" w:rsidRPr="005733FA" w:rsidRDefault="00735F5E" w:rsidP="003252A1">
      <w:pPr>
        <w:pStyle w:val="Heading3"/>
        <w:spacing w:before="0" w:beforeAutospacing="0" w:after="0" w:afterAutospacing="0"/>
        <w:jc w:val="both"/>
        <w:rPr>
          <w:b w:val="0"/>
          <w:noProof/>
          <w:color w:val="222222"/>
          <w:sz w:val="24"/>
          <w:szCs w:val="24"/>
        </w:rPr>
      </w:pPr>
    </w:p>
    <w:p w14:paraId="1434B211" w14:textId="6ADF7DA9" w:rsidR="00DD66CF" w:rsidRPr="00F65F65" w:rsidRDefault="00DD66CF" w:rsidP="003252A1">
      <w:pPr>
        <w:spacing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Macao jatkoi toimiaan </w:t>
      </w:r>
      <w:r>
        <w:rPr>
          <w:rFonts w:ascii="Times New Roman" w:hAnsi="Times New Roman"/>
          <w:b/>
          <w:noProof/>
          <w:sz w:val="24"/>
          <w:szCs w:val="24"/>
        </w:rPr>
        <w:t>korruption</w:t>
      </w:r>
      <w:r>
        <w:rPr>
          <w:rFonts w:ascii="Times New Roman" w:hAnsi="Times New Roman"/>
          <w:noProof/>
          <w:sz w:val="24"/>
          <w:szCs w:val="24"/>
        </w:rPr>
        <w:t xml:space="preserve"> torjumiseksi. Korruptionvastainen komitea (CCAC) julkaisi toukokuussa 2021 vuoden 2020 vuosikertomuksensa, jossa kuvailtiin komitean työtä korruption torjumiseksi julkisella ja yksityisellä sektorilla. CCAC sai vuoden 2020 aikana 479 valitusta ja ilmoitusta. Se siirsi 105 tapausta korruptiontorjuntavirastoon jatkotoimia varten ja 282 tapausta oikeusasiamiehen toimistoon tutkittavaksi. Yksi oikeusasiamiehen toimistolle toimitetuista  tutkittiin yksityiskohtaisesti.</w:t>
      </w:r>
      <w:r w:rsidR="00F65F65" w:rsidRPr="005733FA">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w:t>
      </w:r>
    </w:p>
    <w:p w14:paraId="449FF005" w14:textId="77777777" w:rsidR="00560746" w:rsidRPr="00263558" w:rsidRDefault="00560746" w:rsidP="003252A1">
      <w:pPr>
        <w:pStyle w:val="Default"/>
        <w:jc w:val="both"/>
        <w:rPr>
          <w:b/>
          <w:bCs/>
          <w:noProof/>
        </w:rPr>
      </w:pPr>
    </w:p>
    <w:p w14:paraId="46C7D259" w14:textId="321B94D9" w:rsidR="00280B21" w:rsidRPr="00263558" w:rsidRDefault="00280B21" w:rsidP="003252A1">
      <w:pPr>
        <w:pStyle w:val="Default"/>
        <w:jc w:val="both"/>
        <w:rPr>
          <w:b/>
          <w:bCs/>
          <w:noProof/>
          <w:u w:val="single"/>
        </w:rPr>
      </w:pPr>
      <w:r>
        <w:rPr>
          <w:b/>
          <w:bCs/>
          <w:noProof/>
          <w:u w:val="single"/>
        </w:rPr>
        <w:t xml:space="preserve">II. Talouskehitys </w:t>
      </w:r>
    </w:p>
    <w:p w14:paraId="7ADD74B3" w14:textId="77777777" w:rsidR="00280B21" w:rsidRPr="00263558" w:rsidRDefault="00280B21" w:rsidP="003252A1">
      <w:pPr>
        <w:pStyle w:val="Default"/>
        <w:jc w:val="both"/>
        <w:rPr>
          <w:noProof/>
        </w:rPr>
      </w:pPr>
    </w:p>
    <w:p w14:paraId="1CD2E519" w14:textId="77777777" w:rsidR="00FF43AC" w:rsidRPr="00263558" w:rsidRDefault="00FF43AC" w:rsidP="003252A1">
      <w:pPr>
        <w:pStyle w:val="Default"/>
        <w:jc w:val="both"/>
        <w:rPr>
          <w:noProof/>
        </w:rPr>
      </w:pPr>
    </w:p>
    <w:p w14:paraId="61ABC37A" w14:textId="0E299BD8" w:rsidR="004336C4" w:rsidRPr="00263558" w:rsidRDefault="00280B21" w:rsidP="003252A1">
      <w:pPr>
        <w:pStyle w:val="Default"/>
        <w:jc w:val="both"/>
        <w:rPr>
          <w:noProof/>
        </w:rPr>
      </w:pPr>
      <w:r>
        <w:rPr>
          <w:noProof/>
        </w:rPr>
        <w:t xml:space="preserve">Macaon bruttokansantuote (BKT) kasvoi </w:t>
      </w:r>
      <w:r>
        <w:rPr>
          <w:b/>
          <w:noProof/>
        </w:rPr>
        <w:t>vuoden 2021 kolmella ensimmäisellä neljänneksellä</w:t>
      </w:r>
      <w:r>
        <w:rPr>
          <w:noProof/>
        </w:rPr>
        <w:t xml:space="preserve"> 27,5 prosenttia edellisvuoteen verrattuna</w:t>
      </w:r>
      <w:r w:rsidRPr="00263558">
        <w:rPr>
          <w:noProof/>
          <w:vertAlign w:val="superscript"/>
        </w:rPr>
        <w:footnoteReference w:id="11"/>
      </w:r>
      <w:r>
        <w:rPr>
          <w:noProof/>
        </w:rPr>
        <w:t xml:space="preserve"> eli 177 miljardiin patacaan (19,6 miljardia euroa)</w:t>
      </w:r>
      <w:r w:rsidR="00E65E0C" w:rsidRPr="00263558">
        <w:rPr>
          <w:noProof/>
          <w:vertAlign w:val="superscript"/>
        </w:rPr>
        <w:footnoteReference w:id="12"/>
      </w:r>
      <w:r>
        <w:rPr>
          <w:noProof/>
        </w:rPr>
        <w:t>. BKT oli kuitenkin edelleen 46,4 prosenttia alhaisempi kuin vuonna 2019, jolloin se oli 331 miljardia patacaa (36,5 miljardia euroa).</w:t>
      </w:r>
      <w:r>
        <w:rPr>
          <w:rFonts w:asciiTheme="minorHAnsi" w:hAnsiTheme="minorHAnsi"/>
          <w:b/>
          <w:noProof/>
          <w:color w:val="auto"/>
          <w:sz w:val="22"/>
          <w:szCs w:val="22"/>
        </w:rPr>
        <w:t xml:space="preserve"> </w:t>
      </w:r>
      <w:r>
        <w:rPr>
          <w:b/>
          <w:noProof/>
        </w:rPr>
        <w:t xml:space="preserve">Tämä osoittaa, että covid-19-pandemia vaikuttaa edelleen voimakkaasti Macaon talouteen. </w:t>
      </w:r>
    </w:p>
    <w:p w14:paraId="1576FF88" w14:textId="77777777" w:rsidR="00643FEF" w:rsidRPr="00263558" w:rsidRDefault="00643FEF" w:rsidP="00076074">
      <w:pPr>
        <w:pStyle w:val="Default"/>
        <w:jc w:val="both"/>
        <w:rPr>
          <w:noProof/>
        </w:rPr>
      </w:pPr>
    </w:p>
    <w:p w14:paraId="1135C094" w14:textId="49A55568" w:rsidR="004336C4" w:rsidRPr="00263558" w:rsidRDefault="00C9235C" w:rsidP="00076074">
      <w:pPr>
        <w:pStyle w:val="Default"/>
        <w:jc w:val="both"/>
        <w:rPr>
          <w:noProof/>
        </w:rPr>
      </w:pPr>
      <w:r>
        <w:rPr>
          <w:noProof/>
        </w:rPr>
        <w:t>IMF pudotti lokakuussa vuoden 2021 kasvuennusteensa 20,4 prosenttiin, kun se huhtikuussa 2021 oli 61,2 prosenttia.</w:t>
      </w:r>
      <w:r w:rsidR="004336C4" w:rsidRPr="00263558">
        <w:rPr>
          <w:noProof/>
          <w:vertAlign w:val="superscript"/>
        </w:rPr>
        <w:footnoteReference w:id="13"/>
      </w:r>
      <w:r>
        <w:rPr>
          <w:noProof/>
        </w:rPr>
        <w:t xml:space="preserve"> Vuonna 2020 Macaon BKT supistui 54 prosenttia (vuonna 2019 se supistui vain 2,5 %), mikä johtui matkailutulojen tyrehtymisestä maailman suurimmassa rahapelikeskuksessa. </w:t>
      </w:r>
    </w:p>
    <w:p w14:paraId="56299BC5" w14:textId="77777777" w:rsidR="004336C4" w:rsidRPr="00263558" w:rsidRDefault="004336C4" w:rsidP="003252A1">
      <w:pPr>
        <w:pStyle w:val="Default"/>
        <w:jc w:val="both"/>
        <w:rPr>
          <w:noProof/>
        </w:rPr>
      </w:pPr>
    </w:p>
    <w:p w14:paraId="1549C2A4" w14:textId="6392C029" w:rsidR="00A614AD" w:rsidRDefault="00280B21" w:rsidP="003252A1">
      <w:pPr>
        <w:pStyle w:val="Default"/>
        <w:jc w:val="both"/>
        <w:rPr>
          <w:noProof/>
        </w:rPr>
      </w:pPr>
      <w:r>
        <w:rPr>
          <w:noProof/>
        </w:rPr>
        <w:t xml:space="preserve">Macaon taloudelliset haasteet johtuivat </w:t>
      </w:r>
      <w:r>
        <w:rPr>
          <w:b/>
          <w:noProof/>
        </w:rPr>
        <w:t>matkailijoiden määrän vähenemisestä</w:t>
      </w:r>
      <w:r>
        <w:rPr>
          <w:noProof/>
        </w:rPr>
        <w:t xml:space="preserve"> sekä Macaon että Manner-Kiinan</w:t>
      </w:r>
      <w:r w:rsidR="0081212B">
        <w:rPr>
          <w:noProof/>
        </w:rPr>
        <w:t xml:space="preserve"> välisistä</w:t>
      </w:r>
      <w:r>
        <w:rPr>
          <w:b/>
          <w:noProof/>
        </w:rPr>
        <w:t xml:space="preserve"> matkustusrajoituksista</w:t>
      </w:r>
      <w:r>
        <w:rPr>
          <w:noProof/>
        </w:rPr>
        <w:t xml:space="preserve">. Kiina on Macaon tärkein matkailumarkkina-alue, ja ennen pandemiaa Macaossa vierailevista matkailijoista 70 prosenttia tuli Kiinasta. Vaikka vuotuinen elpyminen oli 32,2 prosenttia, Macaossa kävi vuoden 2021 kymmenen ensimmäisen kuukauden aikana vain 6,1 miljoonaa matkailijaa, mikä on alle 20 prosenttia vuoden 2019 saman ajanjakson matkailijamäärästä (33,4 miljoonaa). </w:t>
      </w:r>
    </w:p>
    <w:p w14:paraId="49BCBA89" w14:textId="77777777" w:rsidR="00A614AD" w:rsidRDefault="00A614AD" w:rsidP="003252A1">
      <w:pPr>
        <w:pStyle w:val="Default"/>
        <w:jc w:val="both"/>
        <w:rPr>
          <w:noProof/>
        </w:rPr>
      </w:pPr>
    </w:p>
    <w:p w14:paraId="684CF302" w14:textId="1B76A3E3" w:rsidR="00280B21" w:rsidRPr="00263558" w:rsidRDefault="00A614AD" w:rsidP="003252A1">
      <w:pPr>
        <w:pStyle w:val="Default"/>
        <w:jc w:val="both"/>
        <w:rPr>
          <w:noProof/>
        </w:rPr>
      </w:pPr>
      <w:r>
        <w:rPr>
          <w:noProof/>
        </w:rPr>
        <w:t>Rahapelipalvelujen vienti</w:t>
      </w:r>
      <w:r w:rsidR="00280B21" w:rsidRPr="00263558">
        <w:rPr>
          <w:noProof/>
          <w:vertAlign w:val="superscript"/>
        </w:rPr>
        <w:footnoteReference w:id="14"/>
      </w:r>
      <w:r>
        <w:rPr>
          <w:noProof/>
        </w:rPr>
        <w:t xml:space="preserve"> muodostaa yleensä noin puolet Macaon BKT:stä. Vähäisen matkailijamäärän vuoksi vienti oli vuoden 2021 kolmen ensimmäisen neljänneksen aikana kuitenkin vain 53,8 miljardia patacaa (5,9 miljardia euroa), mikä on kolmannes vuoden 2019 kolmen ensimmäisen neljänneksen viennistä (179 miljardia patacaa / 19,7 miljardia euroa). Koska vuoden 2020 lukemat olivat hyvin alhaiset (30 miljardia patacaa / 3,3 miljardia euroa), jopa 79,4 prosentin vuotuinen kasvu vuoden 2021 kolmella ensimmäisellä neljänneksellä oli vielä kaukana pandemiaa edeltäneestä tasosta. Hotellien keskimääräinen käyttöaste oli 50 prosenttia (vuoden 2021 yhdeksän ensimmäisen kuukauden aikana), kun vuonna 2020 se oli 22 prosenttia ja vuonna 2019 taas 91 prosenttia (samalla ajanjaksolla). </w:t>
      </w:r>
    </w:p>
    <w:p w14:paraId="6B137A60" w14:textId="77777777" w:rsidR="00280B21" w:rsidRPr="00263558" w:rsidRDefault="00280B21" w:rsidP="003252A1">
      <w:pPr>
        <w:pStyle w:val="Default"/>
        <w:jc w:val="both"/>
        <w:rPr>
          <w:noProof/>
        </w:rPr>
      </w:pPr>
    </w:p>
    <w:p w14:paraId="654AAF3B" w14:textId="744236C5" w:rsidR="00280B21" w:rsidRPr="00263558" w:rsidRDefault="00280B21" w:rsidP="003252A1">
      <w:pPr>
        <w:pStyle w:val="Default"/>
        <w:jc w:val="both"/>
        <w:rPr>
          <w:noProof/>
        </w:rPr>
      </w:pPr>
      <w:r>
        <w:rPr>
          <w:b/>
          <w:bCs/>
          <w:noProof/>
        </w:rPr>
        <w:t>Työmarkkinat pitivät hyvin pintansa</w:t>
      </w:r>
      <w:r>
        <w:rPr>
          <w:noProof/>
        </w:rPr>
        <w:t xml:space="preserve">: syyskuussa 2021 työttömyysaste oli 2,9 prosenttia (yli 11 000 henkilöä), kun ennen pandemiaa se oli 1,7 prosenttia. Nuorten (alle 25-vuotiaiden) työttömyysaste oli 11,2 prosenttia syyskuussa 2021. </w:t>
      </w:r>
    </w:p>
    <w:p w14:paraId="7D315C19" w14:textId="77777777" w:rsidR="00280B21" w:rsidRPr="00263558" w:rsidRDefault="00280B21" w:rsidP="003252A1">
      <w:pPr>
        <w:pStyle w:val="Default"/>
        <w:jc w:val="both"/>
        <w:rPr>
          <w:noProof/>
        </w:rPr>
      </w:pPr>
    </w:p>
    <w:p w14:paraId="69A719F9" w14:textId="0EDF3FE6" w:rsidR="00280B21" w:rsidRPr="00263558" w:rsidRDefault="007E3A27" w:rsidP="003252A1">
      <w:pPr>
        <w:pStyle w:val="Default"/>
        <w:jc w:val="both"/>
        <w:rPr>
          <w:noProof/>
        </w:rPr>
      </w:pPr>
      <w:r>
        <w:rPr>
          <w:b/>
          <w:noProof/>
        </w:rPr>
        <w:t>Macaossa tapahtui vuonna 2021 deflaatiota</w:t>
      </w:r>
      <w:r>
        <w:rPr>
          <w:noProof/>
        </w:rPr>
        <w:t xml:space="preserve">, ja keskimääräinen yleinen kuluttajahintaindeksi laski ensimmäisten kymmenen kuukauden aikana 0,19 prosenttia edellisvuoteen verrattuna. </w:t>
      </w:r>
    </w:p>
    <w:p w14:paraId="4A9C5F11" w14:textId="77777777" w:rsidR="00280B21" w:rsidRPr="00263558" w:rsidRDefault="00280B21" w:rsidP="003252A1">
      <w:pPr>
        <w:pStyle w:val="Default"/>
        <w:jc w:val="both"/>
        <w:rPr>
          <w:noProof/>
        </w:rPr>
      </w:pPr>
    </w:p>
    <w:p w14:paraId="6BF7E172" w14:textId="4ECA772F" w:rsidR="00280B21" w:rsidRPr="00263558" w:rsidRDefault="00280B21" w:rsidP="003252A1">
      <w:pPr>
        <w:pStyle w:val="Default"/>
        <w:jc w:val="both"/>
        <w:rPr>
          <w:noProof/>
        </w:rPr>
      </w:pPr>
      <w:r>
        <w:rPr>
          <w:noProof/>
        </w:rPr>
        <w:t xml:space="preserve">Taloudellisen toiminnan väheneminen ja hallituksen käyttöön ottamat finanssipoliittiset tukitoimenpiteet johtivat </w:t>
      </w:r>
      <w:r>
        <w:rPr>
          <w:b/>
          <w:noProof/>
        </w:rPr>
        <w:t>verotulojen pienenemiseen</w:t>
      </w:r>
      <w:r>
        <w:rPr>
          <w:noProof/>
        </w:rPr>
        <w:t>, myös peliveron osalta. Hallituksen oli käytettävä erityishallintoalueen julkisen talouden varantoja menojen rahoittamiseksi. Varannot pysyivät kuitenkin suurina (657 miljardia patacaa / 72,5 miljardia euroa kesäkuussa 2021), ja ne riittävät kattamaan arviolta kuuden vuoden julkiset menot vuoden 2021 talousarviotasolla.</w:t>
      </w:r>
    </w:p>
    <w:p w14:paraId="1F90BD30" w14:textId="77777777" w:rsidR="00280B21" w:rsidRPr="00263558" w:rsidRDefault="00280B21" w:rsidP="003252A1">
      <w:pPr>
        <w:pStyle w:val="Default"/>
        <w:jc w:val="both"/>
        <w:rPr>
          <w:b/>
          <w:noProof/>
        </w:rPr>
      </w:pPr>
    </w:p>
    <w:p w14:paraId="0EB6AE23" w14:textId="75BF9A95" w:rsidR="00280B21" w:rsidRPr="00263558" w:rsidRDefault="00280B21" w:rsidP="003252A1">
      <w:pPr>
        <w:pStyle w:val="Default"/>
        <w:jc w:val="both"/>
        <w:rPr>
          <w:noProof/>
        </w:rPr>
      </w:pPr>
      <w:r>
        <w:rPr>
          <w:b/>
          <w:noProof/>
        </w:rPr>
        <w:t>Matkustusrajoitukset</w:t>
      </w:r>
      <w:r>
        <w:rPr>
          <w:noProof/>
        </w:rPr>
        <w:t xml:space="preserve"> muuhun maailmaan vuonna 2021 aiheuttivat yrityksille merkittäviä operatiivisia haasteita. Suurinta osaa ulkomaalaisista kiellettiin saapumasta maahan, ja Manner-Kiinan ulkopuolelta saapuvien Macaon asukkaiden oli oltava karanteenissa pitkiä aikoja. </w:t>
      </w:r>
    </w:p>
    <w:p w14:paraId="11432413" w14:textId="77777777" w:rsidR="00280B21" w:rsidRPr="00263558" w:rsidRDefault="00280B21" w:rsidP="003252A1">
      <w:pPr>
        <w:pStyle w:val="Default"/>
        <w:jc w:val="both"/>
        <w:rPr>
          <w:noProof/>
        </w:rPr>
      </w:pPr>
    </w:p>
    <w:p w14:paraId="57CB9896" w14:textId="4E07AD7F" w:rsidR="00280B21" w:rsidRPr="00263558" w:rsidRDefault="00280B21" w:rsidP="003252A1">
      <w:pPr>
        <w:pStyle w:val="Default"/>
        <w:jc w:val="both"/>
        <w:rPr>
          <w:noProof/>
        </w:rPr>
      </w:pPr>
      <w:r>
        <w:rPr>
          <w:noProof/>
        </w:rPr>
        <w:t xml:space="preserve">Vuonna 2020 ulkomaisten investointien määrä Macaossa oli 300 miljardia patacaa (33 miljardia euroa), kun vuonna 2019 niiden määrä oli 351 miljardia patacaa (39 miljardia euroa), josta 28 prosenttia oli peräisin Hongkongista ja 20 prosenttia Manner-Kiinasta. </w:t>
      </w:r>
    </w:p>
    <w:p w14:paraId="38A9885C" w14:textId="77777777" w:rsidR="000442C9" w:rsidRPr="00263558" w:rsidRDefault="000442C9" w:rsidP="003252A1">
      <w:pPr>
        <w:pStyle w:val="Default"/>
        <w:jc w:val="both"/>
        <w:rPr>
          <w:noProof/>
        </w:rPr>
      </w:pPr>
    </w:p>
    <w:p w14:paraId="5AE11167" w14:textId="77777777" w:rsidR="00280B21" w:rsidRPr="00263558" w:rsidRDefault="00280B21" w:rsidP="003252A1">
      <w:pPr>
        <w:pStyle w:val="Default"/>
        <w:jc w:val="both"/>
        <w:rPr>
          <w:noProof/>
        </w:rPr>
      </w:pPr>
      <w:r>
        <w:rPr>
          <w:b/>
          <w:noProof/>
        </w:rPr>
        <w:t>Talouspolitiikka</w:t>
      </w:r>
    </w:p>
    <w:p w14:paraId="07659069" w14:textId="77777777" w:rsidR="00280B21" w:rsidRPr="00263558" w:rsidRDefault="00280B21" w:rsidP="003252A1">
      <w:pPr>
        <w:pStyle w:val="Default"/>
        <w:jc w:val="both"/>
        <w:rPr>
          <w:noProof/>
        </w:rPr>
      </w:pPr>
    </w:p>
    <w:p w14:paraId="5E61C683" w14:textId="0CD3BA67" w:rsidR="001B0999" w:rsidRPr="00263558" w:rsidRDefault="0097725E" w:rsidP="001B0999">
      <w:pPr>
        <w:pStyle w:val="Default"/>
        <w:jc w:val="both"/>
        <w:rPr>
          <w:noProof/>
        </w:rPr>
      </w:pPr>
      <w:r>
        <w:rPr>
          <w:b/>
          <w:noProof/>
        </w:rPr>
        <w:t>Hallintojohtaja piti vuoden 2022 linjapuheen</w:t>
      </w:r>
      <w:r>
        <w:rPr>
          <w:noProof/>
        </w:rPr>
        <w:t xml:space="preserve"> 16. marraskuuta 2021. Talousstrategioihin kuuluivat pandemian hillitseminen, elpymisen tukeminen, talouden monipuolistaminen sekä innovoinnin ja teknologian edistäminen. Keskeisenä painopisteenä oli myös yhdentymisen vahvistaminen Manner-Kiinan kanssa. Hallitus suunnitteli jatkavansa hallinnollisia uudistuksia ja parantavansa kaupunkikehitystä toteuttamalla liikennehankkeita ja muita infrastruktuurihankkeita (esim. lentoaseman laajentaminen).  </w:t>
      </w:r>
    </w:p>
    <w:p w14:paraId="68097C89" w14:textId="77777777" w:rsidR="001B0999" w:rsidRPr="00263558" w:rsidRDefault="001B0999" w:rsidP="003252A1">
      <w:pPr>
        <w:pStyle w:val="Default"/>
        <w:jc w:val="both"/>
        <w:rPr>
          <w:b/>
          <w:noProof/>
        </w:rPr>
      </w:pPr>
    </w:p>
    <w:p w14:paraId="4EFB71A7" w14:textId="6DB31750" w:rsidR="00280B21" w:rsidRPr="00263558" w:rsidRDefault="00280B21" w:rsidP="003252A1">
      <w:pPr>
        <w:pStyle w:val="Default"/>
        <w:jc w:val="both"/>
        <w:rPr>
          <w:noProof/>
        </w:rPr>
      </w:pPr>
      <w:r>
        <w:rPr>
          <w:b/>
          <w:noProof/>
        </w:rPr>
        <w:t>Hallituksen keskeisiä painopisteitä</w:t>
      </w:r>
      <w:r>
        <w:rPr>
          <w:noProof/>
        </w:rPr>
        <w:t xml:space="preserve"> vuonna 2021 </w:t>
      </w:r>
      <w:r>
        <w:rPr>
          <w:b/>
          <w:bCs/>
          <w:noProof/>
        </w:rPr>
        <w:t>olivat edelleen pandemian torjunta ja talouden tukeminen</w:t>
      </w:r>
      <w:r>
        <w:rPr>
          <w:noProof/>
        </w:rPr>
        <w:t xml:space="preserve">. Hallitus toteutti useita yhteisön laajuisia massatestauksia, valvoi rajoja tiukasti ja rohkaisi ihmisiä rokotuksiin (noin 52 % väestöstä oli rokotettu lokakuun loppuun mennessä). </w:t>
      </w:r>
    </w:p>
    <w:p w14:paraId="1F44045D" w14:textId="77777777" w:rsidR="00280B21" w:rsidRPr="00263558" w:rsidRDefault="00280B21" w:rsidP="003252A1">
      <w:pPr>
        <w:pStyle w:val="Default"/>
        <w:jc w:val="both"/>
        <w:rPr>
          <w:noProof/>
        </w:rPr>
      </w:pPr>
    </w:p>
    <w:p w14:paraId="0F681E75" w14:textId="47A9093E" w:rsidR="00036D85" w:rsidRPr="00263558" w:rsidRDefault="00D61E2B" w:rsidP="003252A1">
      <w:pPr>
        <w:pStyle w:val="Default"/>
        <w:jc w:val="both"/>
        <w:rPr>
          <w:noProof/>
        </w:rPr>
      </w:pPr>
      <w:r>
        <w:rPr>
          <w:noProof/>
        </w:rPr>
        <w:t xml:space="preserve">Hallitus otti käyttöön useita taloudellisia toimenpiteitä, kuten veronalennuksia ja erilaisia maksuvapautuksia henkilöille ja yrityksille, vuokrahelpotuksia ja tuetun kouluttautumisjärjestelmän. Asukkaille myönnettiin tukea varallisuudenjakojärjestelmästä (10 000 patacaa / 1 100 euroa vakituisille asukkaille ja 6 000 patacaa / 660 euroa muille kuin vakituisille asukkaille). Myös elektroniikan kulutusta koskevasta suunnitelmasta, jolla tuetaan Macaon digitavoitteita, oli apua; asukkaat saivat 8 000 patacaa / 880 euroa käytettäväksi mobiilimaksualustoilla tai sähköisinä arvoseteleinä. Hallitus ilmoitti, että suunnitelman avulla Macaon kuluttajamarkkinoille saatiin 4,6 miljardia patacaa (508 miljoonaa euroa) (tilanne lokakuun 2021 lopussa). Lisäksi käynnistettiin aloitteita matkailualan tukemiseksi (esim. Manner-Kiinan kaupungeissa järjestetyt ”Stay, Dine and See Macao”- ja ”Macao week” </w:t>
      </w:r>
      <w:r>
        <w:rPr>
          <w:noProof/>
        </w:rPr>
        <w:noBreakHyphen/>
        <w:t xml:space="preserve">tapahtumat). </w:t>
      </w:r>
    </w:p>
    <w:p w14:paraId="28652A99" w14:textId="77777777" w:rsidR="00036D85" w:rsidRPr="00263558" w:rsidRDefault="00036D85" w:rsidP="003252A1">
      <w:pPr>
        <w:pStyle w:val="Default"/>
        <w:jc w:val="both"/>
        <w:rPr>
          <w:noProof/>
        </w:rPr>
      </w:pPr>
    </w:p>
    <w:p w14:paraId="4C1FFCFC" w14:textId="58AD47BD" w:rsidR="00280B21" w:rsidRPr="00263558" w:rsidRDefault="006864DF" w:rsidP="003252A1">
      <w:pPr>
        <w:pStyle w:val="Default"/>
        <w:jc w:val="both"/>
        <w:rPr>
          <w:noProof/>
        </w:rPr>
      </w:pPr>
      <w:r>
        <w:rPr>
          <w:noProof/>
        </w:rPr>
        <w:t xml:space="preserve">Hallitus ilmoitti nopeuttavansa infrastruktuurin rakentamista. Hankkeita ovat muun muassa neljäs Macaon ja Taipan satamien välinen reitti, joka yhdistää pohjoisen ja eteläisen Macaon, pikaraideliikenneverkon ja Macaon kansainvälisen lentokentän laajennukset, uusi terveydenhuoltokeskittymä sekä asuntohankkeet. Hallitus ilmoitti myös, että Macaon uusi kaupunkikehitystä koskevan yleissuunnitelman (2020–2040) täytäntöönpano on tarkoitus aloittaa vuonna 2022. </w:t>
      </w:r>
    </w:p>
    <w:p w14:paraId="02391B61" w14:textId="77777777" w:rsidR="0016647D" w:rsidRPr="00263558" w:rsidRDefault="0016647D" w:rsidP="003252A1">
      <w:pPr>
        <w:pStyle w:val="Default"/>
        <w:jc w:val="both"/>
        <w:rPr>
          <w:noProof/>
        </w:rPr>
      </w:pPr>
    </w:p>
    <w:p w14:paraId="63DC04D2" w14:textId="47429A3F" w:rsidR="00280B21" w:rsidRPr="00263558" w:rsidRDefault="00280B21" w:rsidP="003252A1">
      <w:pPr>
        <w:pStyle w:val="Default"/>
        <w:jc w:val="both"/>
        <w:rPr>
          <w:noProof/>
        </w:rPr>
      </w:pPr>
      <w:r>
        <w:rPr>
          <w:noProof/>
        </w:rPr>
        <w:t xml:space="preserve">Hallitus järjesti vuoden 2021 jälkipuoliskolla </w:t>
      </w:r>
      <w:r>
        <w:rPr>
          <w:b/>
          <w:noProof/>
        </w:rPr>
        <w:t>julkisen kuulemisen Macaon rahapelilaista</w:t>
      </w:r>
      <w:r>
        <w:rPr>
          <w:noProof/>
        </w:rPr>
        <w:t xml:space="preserve"> rahapelien toimilupa- ja alitoimilupajärjestelmän uudistamiseksi. Ehdotukseen sisältyi tiukempia sääntöjä, joita on tarkoitus soveltaa sähköisten rahapelien luvanhaltijoihin ja muihin toimijoihin. Nämä säännöt voisivat koskea hallituksen edustajien nimittämistä kasinotoimintaa varten, osakkeenomistajille maksettavien osinkojen rajoittamista ja rikkomuksista määrättävien seuraamusten tiukentamista. Valvonnan lisääminen voisi vähentää ulkomaisten osakkeenomistajien määräysvaltaa alalla. Macaossa noteerattujen rahapelialan toimijoiden osakkeiden hinnat laskivat, kun kuulemisesta ilmoitettiin syyskuussa. Arviointi käynnistettiin, koska </w:t>
      </w:r>
      <w:r>
        <w:rPr>
          <w:b/>
          <w:noProof/>
        </w:rPr>
        <w:t>Macaon kolmen rahapeliluvan ja kolmen alitoimiluvan voimassaolon on määrä päättyä kesäkuussa 2022</w:t>
      </w:r>
      <w:r>
        <w:rPr>
          <w:noProof/>
        </w:rPr>
        <w:t xml:space="preserve">, mutta hallitus voi vielä jatkaa niitä – erityisesti jos rahapelilain tarkistamista ei ole siihen mennessä saatu päätökseen. </w:t>
      </w:r>
    </w:p>
    <w:p w14:paraId="0AB1C90E" w14:textId="77777777" w:rsidR="00280B21" w:rsidRPr="00263558" w:rsidRDefault="00280B21" w:rsidP="003252A1">
      <w:pPr>
        <w:pStyle w:val="Default"/>
        <w:jc w:val="both"/>
        <w:rPr>
          <w:noProof/>
        </w:rPr>
      </w:pPr>
    </w:p>
    <w:p w14:paraId="617AE39E" w14:textId="72FAB9EF" w:rsidR="00280B21" w:rsidRPr="00263558" w:rsidRDefault="00280B21" w:rsidP="003252A1">
      <w:pPr>
        <w:pStyle w:val="Default"/>
        <w:jc w:val="both"/>
        <w:rPr>
          <w:noProof/>
        </w:rPr>
      </w:pPr>
      <w:r>
        <w:rPr>
          <w:b/>
          <w:noProof/>
        </w:rPr>
        <w:t>Talouden monipuolistamista</w:t>
      </w:r>
      <w:r>
        <w:rPr>
          <w:noProof/>
        </w:rPr>
        <w:t xml:space="preserve"> koskevalla strategialla pyrittiin kehittämään edelleen tiettyjä aloja, kuten muusta syystä kuin rahapelien takia tapahtuvaa matkailua, kongressien ja näyttelyiden järjestämistä, terveydenhoitoalaa (myös perinteistä kiinalaista lääketiedettä), rahoituspalveluja sekä tiedettä ja teknologiaa. Strategialla tuetaan myös pieniä ja keskisuuria yrityksiä. Vaikka viime vuosina on edistytty jonkin verran, rahapeliala muodosti edelleen noin puolet Macaon BKT:stä (ennen covid-19-pandemiaa), ja muut alat ovat vahvasti riippuvaisia Manner-Kiinan menoista. </w:t>
      </w:r>
    </w:p>
    <w:p w14:paraId="427B13D1" w14:textId="77777777" w:rsidR="00280B21" w:rsidRPr="00263558" w:rsidRDefault="00280B21" w:rsidP="003252A1">
      <w:pPr>
        <w:pStyle w:val="Default"/>
        <w:jc w:val="both"/>
        <w:rPr>
          <w:noProof/>
        </w:rPr>
      </w:pPr>
    </w:p>
    <w:p w14:paraId="06B41697" w14:textId="69A4638C" w:rsidR="00280B21" w:rsidRPr="00263558" w:rsidRDefault="000517B2" w:rsidP="003252A1">
      <w:pPr>
        <w:pStyle w:val="Default"/>
        <w:jc w:val="both"/>
        <w:rPr>
          <w:noProof/>
        </w:rPr>
      </w:pPr>
      <w:r>
        <w:rPr>
          <w:b/>
          <w:noProof/>
        </w:rPr>
        <w:t>Rahoituspalvelujen</w:t>
      </w:r>
      <w:r>
        <w:rPr>
          <w:noProof/>
        </w:rPr>
        <w:t xml:space="preserve"> alalla viranomaiset pyrkivät kehittämään paikallisia joukkolainamarkkinoita (ml. vihreät joukkolainat), varainhoitopalveluja ja rahoitusleasingtoimintaa, investointipankkitoimintaa ja rajat ylittäviä renminbimääräisiä maksuja. Tavoitteiden saavuttamiseksi hallitus ilmoitti paikallisen rahoitusjärjestelmän oikeudellisen kehyksen uudistamisesta ja Macaon rahoitusmarkkinoiden infrastruktuurin kehittämisestä. Tähän sisältyisi joukkovelkakirjojen liikkeeseenlaskua ja kauppaa sekä varainhoitotoimintaa koskevien lakien uudistaminen, arvopapereiden keskitetyn säilytysjärjestelmän luominen, sijoituspankkien toimilupien käyttöönotto ja digitaalisten valuuttojen edistäminen (Macaossa mahdollisesti käytettävä keskitetty digitaalinen yuan). </w:t>
      </w:r>
    </w:p>
    <w:p w14:paraId="45D35448" w14:textId="77777777" w:rsidR="00280B21" w:rsidRPr="00263558" w:rsidRDefault="00280B21" w:rsidP="003252A1">
      <w:pPr>
        <w:pStyle w:val="Default"/>
        <w:jc w:val="both"/>
        <w:rPr>
          <w:noProof/>
        </w:rPr>
      </w:pPr>
    </w:p>
    <w:p w14:paraId="57551530" w14:textId="6B0D9498" w:rsidR="00280B21" w:rsidRPr="00263558" w:rsidRDefault="009A17B6" w:rsidP="003252A1">
      <w:pPr>
        <w:pStyle w:val="Default"/>
        <w:jc w:val="both"/>
        <w:rPr>
          <w:noProof/>
        </w:rPr>
      </w:pPr>
      <w:r>
        <w:rPr>
          <w:noProof/>
        </w:rPr>
        <w:t xml:space="preserve">Linjapuheessa hahmoteltiin </w:t>
      </w:r>
      <w:r>
        <w:rPr>
          <w:b/>
          <w:noProof/>
        </w:rPr>
        <w:t>kiertotaloutta ja ilmastonmuutosta</w:t>
      </w:r>
      <w:r>
        <w:rPr>
          <w:noProof/>
        </w:rPr>
        <w:t xml:space="preserve"> koskevia toimenpiteitä, joita ovat muun muassa tieliikenteen päästöjen ja hiilipäästöjen vähentäminen poistamalla vaiheittain käytöstä saastuttavia ajoneuvoja, edistämällä sähköajoneuvojen käyttöä ja asentamalla yleisille pysäköintipaikoille lisää latauspisteitä. Hajoamattomien kertakäyttöisten muovipillien ja juomatikkujen tuonti kielletään, ja rannikoiden jätevesiin ja saastumiseen puuttumiseksi toteutetaan toimenpiteitä. Macao ilmoitti myös suunnitelmasta rakentaa orgaanisen jätteen kierrätyskeskus, jonka rakentaminen alkaisi vuonna 2022. </w:t>
      </w:r>
    </w:p>
    <w:p w14:paraId="52ECD183" w14:textId="707DF800" w:rsidR="00BF10EB" w:rsidRDefault="00BF10EB" w:rsidP="003252A1">
      <w:pPr>
        <w:pStyle w:val="Default"/>
        <w:jc w:val="both"/>
        <w:rPr>
          <w:b/>
          <w:bCs/>
          <w:noProof/>
        </w:rPr>
      </w:pPr>
    </w:p>
    <w:p w14:paraId="47C9D411" w14:textId="77777777" w:rsidR="00BF10EB" w:rsidRPr="00263558" w:rsidRDefault="00BF10EB" w:rsidP="003252A1">
      <w:pPr>
        <w:pStyle w:val="Default"/>
        <w:jc w:val="both"/>
        <w:rPr>
          <w:b/>
          <w:bCs/>
          <w:noProof/>
        </w:rPr>
      </w:pPr>
    </w:p>
    <w:p w14:paraId="796F6487" w14:textId="77777777" w:rsidR="00394637" w:rsidRPr="00263558" w:rsidRDefault="00394637" w:rsidP="003252A1">
      <w:pPr>
        <w:pStyle w:val="Default"/>
        <w:jc w:val="both"/>
        <w:rPr>
          <w:b/>
          <w:bCs/>
          <w:noProof/>
        </w:rPr>
      </w:pPr>
      <w:r>
        <w:rPr>
          <w:b/>
          <w:bCs/>
          <w:noProof/>
        </w:rPr>
        <w:t xml:space="preserve">Alueellinen yhteistyö </w:t>
      </w:r>
    </w:p>
    <w:p w14:paraId="417098D6" w14:textId="77777777" w:rsidR="00394637" w:rsidRPr="00263558" w:rsidRDefault="00394637" w:rsidP="003252A1">
      <w:pPr>
        <w:pStyle w:val="Default"/>
        <w:jc w:val="both"/>
        <w:rPr>
          <w:noProof/>
        </w:rPr>
      </w:pPr>
    </w:p>
    <w:p w14:paraId="17A42515" w14:textId="0C7323CF" w:rsidR="00394637" w:rsidRPr="00263558" w:rsidRDefault="00394637" w:rsidP="003252A1">
      <w:pPr>
        <w:pStyle w:val="Default"/>
        <w:jc w:val="both"/>
        <w:rPr>
          <w:noProof/>
        </w:rPr>
      </w:pPr>
      <w:r>
        <w:rPr>
          <w:noProof/>
        </w:rPr>
        <w:t>Macaon hallituksen keskeinen painopiste oli edelleen yhdentyminen Manner-Kiinaan osana Guangdongin, Hongkongin ja Macaon lahden suuraluetta.</w:t>
      </w:r>
      <w:r>
        <w:rPr>
          <w:b/>
          <w:bCs/>
          <w:noProof/>
        </w:rPr>
        <w:t xml:space="preserve"> </w:t>
      </w:r>
      <w:r>
        <w:rPr>
          <w:noProof/>
        </w:rPr>
        <w:t xml:space="preserve">Macao pyrki vahvistamaan suuralueella asemaansa matkailu- ja vapaa-ajan keskuksena sekä liiketoiminta- ja rahoituspalvelufoorumina, erityisesti Kiinan ja portugalinkielisten maiden välillä. </w:t>
      </w:r>
    </w:p>
    <w:p w14:paraId="0F2F5A38" w14:textId="77777777" w:rsidR="003F7CC0" w:rsidRPr="00263558" w:rsidRDefault="003F7CC0" w:rsidP="003252A1">
      <w:pPr>
        <w:pStyle w:val="Default"/>
        <w:jc w:val="both"/>
        <w:rPr>
          <w:noProof/>
        </w:rPr>
      </w:pPr>
    </w:p>
    <w:p w14:paraId="26A4C3AD" w14:textId="5FA2171D"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r>
        <w:rPr>
          <w:rFonts w:ascii="Times New Roman" w:hAnsi="Times New Roman"/>
          <w:noProof/>
          <w:color w:val="000000" w:themeColor="text1"/>
          <w:sz w:val="24"/>
          <w:szCs w:val="24"/>
        </w:rPr>
        <w:t xml:space="preserve">Macao perusti toukokuussa 2021 </w:t>
      </w:r>
      <w:r>
        <w:rPr>
          <w:rFonts w:ascii="Times New Roman" w:hAnsi="Times New Roman"/>
          <w:noProof/>
          <w:sz w:val="24"/>
          <w:szCs w:val="24"/>
        </w:rPr>
        <w:t xml:space="preserve">kansalliseen kehitykseen integroitumista käsittelevän työryhmän koordinoimaan erityishallintoalueen strategiaa, joka koskee osallistumista suuralueeseen ja Uusi silkkitie </w:t>
      </w:r>
      <w:r>
        <w:rPr>
          <w:rFonts w:ascii="Times New Roman" w:hAnsi="Times New Roman"/>
          <w:noProof/>
          <w:sz w:val="24"/>
          <w:szCs w:val="24"/>
        </w:rPr>
        <w:noBreakHyphen/>
        <w:t>hankkeeseen</w:t>
      </w:r>
      <w:r w:rsidR="00F65F65">
        <w:rPr>
          <w:rStyle w:val="FootnoteReference"/>
          <w:rFonts w:ascii="Times New Roman" w:eastAsia="PMingLiU" w:hAnsi="Times New Roman" w:cs="Times New Roman"/>
          <w:noProof/>
          <w:color w:val="000000"/>
          <w:sz w:val="24"/>
          <w:szCs w:val="24"/>
        </w:rPr>
        <w:footnoteReference w:id="15"/>
      </w:r>
      <w:r>
        <w:rPr>
          <w:rFonts w:ascii="Times New Roman" w:hAnsi="Times New Roman"/>
          <w:noProof/>
          <w:sz w:val="24"/>
          <w:szCs w:val="24"/>
        </w:rPr>
        <w:t>.</w:t>
      </w:r>
      <w:r>
        <w:rPr>
          <w:rFonts w:ascii="Times New Roman" w:hAnsi="Times New Roman"/>
          <w:noProof/>
          <w:color w:val="000000"/>
          <w:sz w:val="24"/>
          <w:szCs w:val="24"/>
        </w:rPr>
        <w:t xml:space="preserve"> Uusi rajatarkastusasema Guangdongin ja Macaon välisellä rajalla (Qingmaon tarkastusasema) aloitti toimintansa syyskuussa 2021. Aseman tarkoituksena on lisätä Macaon ja Guangdongin provinssin välisen rajan ylittävää matkailua.</w:t>
      </w:r>
    </w:p>
    <w:p w14:paraId="19F39991" w14:textId="77777777"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lang w:eastAsia="en-GB"/>
        </w:rPr>
      </w:pPr>
    </w:p>
    <w:p w14:paraId="315721B9" w14:textId="2B2CA258"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r>
        <w:rPr>
          <w:rFonts w:ascii="Times New Roman" w:hAnsi="Times New Roman"/>
          <w:b/>
          <w:noProof/>
          <w:color w:val="000000"/>
          <w:sz w:val="24"/>
          <w:szCs w:val="24"/>
        </w:rPr>
        <w:t xml:space="preserve">Suuralueen rajat ylittävää varainhoitoa koskeva Wealth Management Connect </w:t>
      </w:r>
      <w:r>
        <w:rPr>
          <w:rFonts w:ascii="Times New Roman" w:hAnsi="Times New Roman"/>
          <w:b/>
          <w:noProof/>
          <w:color w:val="000000"/>
          <w:sz w:val="24"/>
          <w:szCs w:val="24"/>
        </w:rPr>
        <w:noBreakHyphen/>
        <w:t>hanke</w:t>
      </w:r>
      <w:r>
        <w:rPr>
          <w:rFonts w:ascii="Times New Roman" w:hAnsi="Times New Roman"/>
          <w:noProof/>
          <w:color w:val="000000"/>
          <w:sz w:val="24"/>
          <w:szCs w:val="24"/>
        </w:rPr>
        <w:t xml:space="preserve"> käynnistettiin vuoden 2021 jälkipuoliskolla. Se antaa Hongkongin ja Macaon asukkaille ja ehdot täyttäville Guangdongin asukkaille mahdollisuuden tehdä rajat ylittäviä investointeja suuralueen pankkien myymiin varainhoitotuotteisiin. Connect-hanke on konkreettinen askel kohti rahoitusvirtojen yhdistämistä suuralueella. Hanke aloitettiin suhteellisen pienellä, 150 miljardin renminbin suuruisella osuudella (kumpaankin suuntaan Hongkongin ja Macaon kanssa).  </w:t>
      </w:r>
    </w:p>
    <w:p w14:paraId="76B58C12" w14:textId="77777777"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p>
    <w:p w14:paraId="2DCB94E3" w14:textId="4ABA89A6" w:rsidR="003F7CC0" w:rsidRPr="00263558" w:rsidRDefault="00A9751E" w:rsidP="003252A1">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Toinen Manner-Kiinan kanssa tehtävän yhteistyön alue on </w:t>
      </w:r>
      <w:r>
        <w:rPr>
          <w:rFonts w:ascii="Times New Roman" w:hAnsi="Times New Roman"/>
          <w:b/>
          <w:bCs/>
          <w:noProof/>
          <w:sz w:val="24"/>
          <w:szCs w:val="24"/>
        </w:rPr>
        <w:t>Hengqinissä sijaitsevan Guangdongin ja Macaon tiiviin yhteistyön vyöhykkeen</w:t>
      </w:r>
      <w:r>
        <w:rPr>
          <w:rFonts w:ascii="Times New Roman" w:hAnsi="Times New Roman"/>
          <w:noProof/>
          <w:sz w:val="24"/>
          <w:szCs w:val="24"/>
        </w:rPr>
        <w:t xml:space="preserve"> suunnitteilla oleva parantaminen. Guangdong (ml. Zhuhai) ja Macao kehittävät yhdessä Macaon länsipuolella Guangdongin provinssissa sijaitsevaa Hengqinin yhteistyöaluetta</w:t>
      </w:r>
      <w:r w:rsidR="006E0F12" w:rsidRPr="00263558">
        <w:rPr>
          <w:rStyle w:val="FootnoteReference"/>
          <w:rFonts w:ascii="Times New Roman" w:hAnsi="Times New Roman" w:cs="Times New Roman"/>
          <w:noProof/>
          <w:sz w:val="24"/>
          <w:szCs w:val="24"/>
        </w:rPr>
        <w:footnoteReference w:id="16"/>
      </w:r>
      <w:r>
        <w:rPr>
          <w:rFonts w:ascii="Times New Roman" w:hAnsi="Times New Roman"/>
          <w:noProof/>
          <w:sz w:val="24"/>
          <w:szCs w:val="24"/>
        </w:rPr>
        <w:t>. Kiinan keskushallinto ilmoitti syyskuussa yleissuunnitelmasta alueen kehityksen vauhdittamiseksi.</w:t>
      </w:r>
      <w:r w:rsidR="00534174" w:rsidRPr="00263558">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Tavoitteena on edistää Macaon talouden monipuolistamista ja pitkän aikavälin kehitystä ja samalla lisätä yhdentymistä suuralueeseen ja Manner-Kiinan kansalliseen kehitykseen. Kohteena olevat toimialat vastaavat erityishallintoalueen monipuolistamisstrategian toimialoja. Niihin kuuluvat innovatiivinen ja huipputason valmistusteollisuus, rahoituspalvelut, perinteinen kiinalainen lääketiede, kokous- ja näyttelypalvelut, perinteinen ja digitaalinen kauppa sekä terveysmatkailu. </w:t>
      </w:r>
    </w:p>
    <w:p w14:paraId="761B962A" w14:textId="77777777" w:rsidR="003F7CC0" w:rsidRPr="00263558" w:rsidRDefault="003F7CC0" w:rsidP="003252A1">
      <w:pPr>
        <w:autoSpaceDE w:val="0"/>
        <w:autoSpaceDN w:val="0"/>
        <w:adjustRightInd w:val="0"/>
        <w:spacing w:after="0" w:line="240" w:lineRule="auto"/>
        <w:jc w:val="both"/>
        <w:rPr>
          <w:rFonts w:ascii="Times New Roman" w:hAnsi="Times New Roman" w:cs="Times New Roman"/>
          <w:noProof/>
          <w:sz w:val="24"/>
          <w:szCs w:val="24"/>
        </w:rPr>
      </w:pPr>
    </w:p>
    <w:p w14:paraId="1B5CB0F6" w14:textId="4CBB3E30"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r>
        <w:rPr>
          <w:rFonts w:ascii="Times New Roman" w:hAnsi="Times New Roman"/>
          <w:noProof/>
          <w:sz w:val="24"/>
          <w:szCs w:val="24"/>
        </w:rPr>
        <w:t>Hengqinissä oli rakenteilla asuntohanke – Macao New Neighbourhood – Macaon asukkaita varten. Rajat ylittäviä yhteyksiä olisi parannettava. Hengqiniin päästettävien Macaon ajoneuvojen määrä nostettiin 10 000:een, ja Hengqinin pikaraideliikenneverkon rakentaminen aloitettiin vuonna 2021.</w:t>
      </w:r>
      <w:r>
        <w:rPr>
          <w:rFonts w:ascii="Times New Roman" w:hAnsi="Times New Roman"/>
          <w:noProof/>
          <w:color w:val="000000"/>
          <w:sz w:val="24"/>
          <w:szCs w:val="24"/>
        </w:rPr>
        <w:t xml:space="preserve"> </w:t>
      </w:r>
    </w:p>
    <w:p w14:paraId="4DFD8FD4" w14:textId="77777777"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p>
    <w:p w14:paraId="13839647" w14:textId="776EDF19" w:rsidR="003F7CC0" w:rsidRPr="00263558" w:rsidRDefault="003F7CC0" w:rsidP="003252A1">
      <w:pPr>
        <w:pStyle w:val="Default"/>
        <w:jc w:val="both"/>
        <w:rPr>
          <w:b/>
          <w:bCs/>
          <w:noProof/>
          <w:u w:val="single"/>
        </w:rPr>
      </w:pPr>
      <w:r>
        <w:rPr>
          <w:b/>
          <w:bCs/>
          <w:noProof/>
          <w:u w:val="single"/>
        </w:rPr>
        <w:t xml:space="preserve">III. EU:n ja Macaon kahdenväliset suhteet </w:t>
      </w:r>
    </w:p>
    <w:p w14:paraId="3A28E89A" w14:textId="77777777" w:rsidR="00A4694F" w:rsidRPr="00263558" w:rsidRDefault="00A4694F" w:rsidP="003252A1">
      <w:pPr>
        <w:pStyle w:val="Default"/>
        <w:jc w:val="both"/>
        <w:rPr>
          <w:b/>
          <w:bCs/>
          <w:noProof/>
          <w:u w:val="single"/>
        </w:rPr>
      </w:pPr>
    </w:p>
    <w:p w14:paraId="4E70285F" w14:textId="6448CB39" w:rsidR="006C120E" w:rsidRPr="00263558" w:rsidRDefault="00534174" w:rsidP="006C120E">
      <w:pPr>
        <w:pStyle w:val="Default"/>
        <w:jc w:val="both"/>
        <w:rPr>
          <w:noProof/>
        </w:rPr>
      </w:pPr>
      <w:r>
        <w:rPr>
          <w:b/>
          <w:noProof/>
        </w:rPr>
        <w:t>EU:n ja Macaon sekakomitean 24. kokousta</w:t>
      </w:r>
      <w:r>
        <w:rPr>
          <w:noProof/>
        </w:rPr>
        <w:t xml:space="preserve"> ei pidetty vuonna 2020. EU:n pyynnöistä huolimatta kokousta ei järjestetty verkossa vuonna 2021. Matkustusrajoitukset ja rajoitettu pääsy Macaon erityishallintoalueelle heikensivät EU:n mahdollisuuksia tehdä yhteistyötä paikallisviranomaisten kanssa ja tavoittaa yrityksiä sekä diplomaattikunnan ja kansalaisyhteiskunnan jäseniä. </w:t>
      </w:r>
    </w:p>
    <w:p w14:paraId="3FC9A8D7" w14:textId="77777777" w:rsidR="003F7CC0" w:rsidRPr="00263558" w:rsidRDefault="003F7CC0" w:rsidP="003252A1">
      <w:pPr>
        <w:pStyle w:val="Default"/>
        <w:jc w:val="both"/>
        <w:rPr>
          <w:b/>
          <w:bCs/>
          <w:noProof/>
          <w:u w:val="single"/>
        </w:rPr>
      </w:pPr>
    </w:p>
    <w:p w14:paraId="365F2243" w14:textId="5AC0061A" w:rsidR="003F7CC0" w:rsidRPr="00263558" w:rsidRDefault="003F7CC0" w:rsidP="003252A1">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b/>
          <w:noProof/>
          <w:sz w:val="24"/>
          <w:szCs w:val="24"/>
        </w:rPr>
        <w:t>EU</w:t>
      </w:r>
      <w:r>
        <w:rPr>
          <w:rFonts w:ascii="Times New Roman" w:hAnsi="Times New Roman"/>
          <w:noProof/>
          <w:sz w:val="24"/>
          <w:szCs w:val="24"/>
        </w:rPr>
        <w:t xml:space="preserve"> pysyi Manner-Kiinan jälkeen </w:t>
      </w:r>
      <w:r>
        <w:rPr>
          <w:rFonts w:ascii="Times New Roman" w:hAnsi="Times New Roman"/>
          <w:b/>
          <w:noProof/>
          <w:sz w:val="24"/>
          <w:szCs w:val="24"/>
        </w:rPr>
        <w:t>Macaon suurimpana kauppakumppanina</w:t>
      </w:r>
      <w:r>
        <w:rPr>
          <w:rFonts w:ascii="Times New Roman" w:hAnsi="Times New Roman"/>
          <w:noProof/>
          <w:sz w:val="24"/>
          <w:szCs w:val="24"/>
        </w:rPr>
        <w:t xml:space="preserve">. EU:n osuus oli 29 prosenttia erityishallintoalueen kokonaiskaupasta vuoden 2021 kymmenen ensimmäisen kuukauden aikana. EU:n ja Macaon kahdenvälistä kauppaa hallitsee EU:n vienti – EU:n osuus Macaon tuonnista on noin 32 prosenttia. EU:n kauppa Macaon kanssa on ollut jo pitkään ylijäämäistä. Tämä selittyy Macaon tuontia ruokkivien rahapeli- ja matkailualojen kasvulla, kun taas erityishallintoalueen valmistusteollisuuden osuus paikallisesta taloudesta on ollut pieni. </w:t>
      </w:r>
    </w:p>
    <w:p w14:paraId="7AB23C3A" w14:textId="77777777" w:rsidR="003F7CC0" w:rsidRPr="00263558" w:rsidRDefault="003F7CC0" w:rsidP="003252A1">
      <w:pPr>
        <w:autoSpaceDE w:val="0"/>
        <w:autoSpaceDN w:val="0"/>
        <w:adjustRightInd w:val="0"/>
        <w:spacing w:after="0" w:line="240" w:lineRule="auto"/>
        <w:jc w:val="both"/>
        <w:rPr>
          <w:rFonts w:ascii="Times New Roman" w:hAnsi="Times New Roman" w:cs="Times New Roman"/>
          <w:noProof/>
          <w:sz w:val="24"/>
          <w:szCs w:val="24"/>
        </w:rPr>
      </w:pPr>
    </w:p>
    <w:p w14:paraId="22BD7FBF" w14:textId="3A82F87D" w:rsidR="003F7CC0" w:rsidRPr="00263558" w:rsidRDefault="003F7CC0" w:rsidP="003252A1">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Eurostatin tietojen mukaan </w:t>
      </w:r>
      <w:r>
        <w:rPr>
          <w:rFonts w:ascii="Times New Roman" w:hAnsi="Times New Roman"/>
          <w:b/>
          <w:noProof/>
          <w:sz w:val="24"/>
          <w:szCs w:val="24"/>
        </w:rPr>
        <w:t>EU:n ja Macaon kahdenvälinen tavarakauppa yli kaksinkertaistui</w:t>
      </w:r>
      <w:r>
        <w:rPr>
          <w:rFonts w:ascii="Times New Roman" w:hAnsi="Times New Roman"/>
          <w:noProof/>
          <w:sz w:val="24"/>
          <w:szCs w:val="24"/>
        </w:rPr>
        <w:t xml:space="preserve"> vuoden 2021 yhdeksän ensimmäisen kuukauden aikana 944 miljoonaan euroon (114 %:n lisäys edellisvuoteen verrattuna). EU:n vienti Macaoon oli 914 miljoonaa euroa, ja kauppataseen ylijäämä oli tämän johdosta 885 miljoonaa euroa. EU vei Macaoon enimmäkseen ylellisyystuotteita, nahkatuotteita, vaatteita, kelloja ja koruja. </w:t>
      </w:r>
    </w:p>
    <w:p w14:paraId="5ADA93D5" w14:textId="77777777" w:rsidR="003F7CC0" w:rsidRPr="00D12B03" w:rsidRDefault="003F7CC0" w:rsidP="003252A1">
      <w:pPr>
        <w:autoSpaceDE w:val="0"/>
        <w:autoSpaceDN w:val="0"/>
        <w:adjustRightInd w:val="0"/>
        <w:spacing w:after="0" w:line="240" w:lineRule="auto"/>
        <w:jc w:val="both"/>
        <w:rPr>
          <w:rFonts w:ascii="Times New Roman" w:eastAsia="PMingLiU" w:hAnsi="Times New Roman" w:cs="Times New Roman"/>
          <w:noProof/>
          <w:color w:val="FF0000"/>
          <w:sz w:val="24"/>
          <w:szCs w:val="24"/>
        </w:rPr>
      </w:pPr>
    </w:p>
    <w:p w14:paraId="0E663D3B" w14:textId="51507F87" w:rsidR="003F7CC0" w:rsidRPr="00D12B03" w:rsidRDefault="003F7CC0" w:rsidP="003252A1">
      <w:pPr>
        <w:autoSpaceDE w:val="0"/>
        <w:autoSpaceDN w:val="0"/>
        <w:adjustRightInd w:val="0"/>
        <w:spacing w:after="0" w:line="240" w:lineRule="auto"/>
        <w:jc w:val="both"/>
        <w:rPr>
          <w:rFonts w:ascii="Times New Roman" w:eastAsia="PMingLiU" w:hAnsi="Times New Roman" w:cs="Times New Roman"/>
          <w:bCs/>
          <w:noProof/>
          <w:color w:val="000000" w:themeColor="text1"/>
          <w:sz w:val="24"/>
          <w:szCs w:val="24"/>
        </w:rPr>
      </w:pPr>
      <w:r>
        <w:rPr>
          <w:rFonts w:ascii="Times New Roman" w:hAnsi="Times New Roman"/>
          <w:b/>
          <w:noProof/>
          <w:color w:val="000000" w:themeColor="text1"/>
          <w:sz w:val="24"/>
          <w:szCs w:val="24"/>
        </w:rPr>
        <w:t xml:space="preserve">EU oli vuonna 2020 Macaon neljänneksi suurin ulkomainen </w:t>
      </w:r>
      <w:r>
        <w:rPr>
          <w:rFonts w:ascii="Times New Roman" w:hAnsi="Times New Roman"/>
          <w:b/>
          <w:bCs/>
          <w:noProof/>
          <w:color w:val="000000" w:themeColor="text1"/>
          <w:sz w:val="24"/>
          <w:szCs w:val="24"/>
        </w:rPr>
        <w:t>investoija</w:t>
      </w:r>
      <w:r>
        <w:rPr>
          <w:rFonts w:ascii="Times New Roman" w:hAnsi="Times New Roman"/>
          <w:bCs/>
          <w:noProof/>
          <w:color w:val="000000" w:themeColor="text1"/>
          <w:sz w:val="24"/>
          <w:szCs w:val="24"/>
        </w:rPr>
        <w:t xml:space="preserve"> (lukuun ottamatta offshore-keskuksia). Sen edellä olivat Hongkong, Manner-Kiina ja Yhdysvallat. Macaon julkaisemien tilastojen mukaan EU:n osuus kaikista suorista ulkomaisista sijoituksista vuonna 2020 oli 4,6 prosenttia. Pelkästään Portugalin osuus EU:sta Macaoon tehtävistä sijoituksista oli 70 prosenttia. Eurostatin mukaan EU:n ulkomaiset suorat sijoitukset Macaoon vähenivät vuonna 2020 yli 25 prosenttia ja olivat 1,42 miljardia euroa vuoden 2020 lopussa</w:t>
      </w:r>
      <w:r w:rsidR="00D12B03" w:rsidRPr="00D12B03">
        <w:rPr>
          <w:rStyle w:val="FootnoteReference"/>
          <w:rFonts w:ascii="Times New Roman" w:eastAsia="PMingLiU" w:hAnsi="Times New Roman" w:cs="Times New Roman"/>
          <w:bCs/>
          <w:noProof/>
          <w:color w:val="000000" w:themeColor="text1"/>
          <w:sz w:val="24"/>
          <w:szCs w:val="24"/>
        </w:rPr>
        <w:footnoteReference w:id="18"/>
      </w:r>
      <w:r>
        <w:rPr>
          <w:rFonts w:ascii="Times New Roman" w:hAnsi="Times New Roman"/>
          <w:bCs/>
          <w:noProof/>
          <w:color w:val="000000" w:themeColor="text1"/>
          <w:sz w:val="24"/>
          <w:szCs w:val="24"/>
        </w:rPr>
        <w:t>, kun taas Macaosta EU:hun tehtävien suorien ulkomaisten sijoitusten määrä oli 1,85 miljardia euroa.</w:t>
      </w:r>
    </w:p>
    <w:p w14:paraId="0347B4AA" w14:textId="77777777" w:rsidR="003F7CC0" w:rsidRPr="00263558" w:rsidRDefault="003F7CC0" w:rsidP="003252A1">
      <w:pPr>
        <w:pStyle w:val="Default"/>
        <w:jc w:val="both"/>
        <w:rPr>
          <w:b/>
          <w:bCs/>
          <w:noProof/>
          <w:u w:val="single"/>
        </w:rPr>
      </w:pPr>
    </w:p>
    <w:p w14:paraId="70EA8205" w14:textId="4D74877F" w:rsidR="008056B5" w:rsidRPr="00263558" w:rsidRDefault="004868C3" w:rsidP="00E46A3B">
      <w:pPr>
        <w:pStyle w:val="Default"/>
        <w:jc w:val="both"/>
        <w:rPr>
          <w:noProof/>
        </w:rPr>
      </w:pPr>
      <w:r>
        <w:rPr>
          <w:noProof/>
        </w:rPr>
        <w:t>Pandemian aiheuttamien jatkuvien matkustusrajoitusten vuoksi Macaon kauppamessuille ei voitu osallistua. Macaon eurooppalaisen kauppakamarin ja Hongkongissa sijaitsevan eurooppalaisen kauppakamarin jäsenet, jotka olivat Macaossa, pystyivät kuitenkin osallistumaan Macaon kansainvälisille kauppa- ja sijoitusmessuille joulukuussa 2021.</w:t>
      </w:r>
    </w:p>
    <w:sectPr w:rsidR="008056B5" w:rsidRPr="00263558" w:rsidSect="006A5A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CB5F3" w14:textId="77777777" w:rsidR="00D2698A" w:rsidRDefault="00D2698A" w:rsidP="00280B21">
      <w:pPr>
        <w:spacing w:after="0" w:line="240" w:lineRule="auto"/>
      </w:pPr>
      <w:r>
        <w:separator/>
      </w:r>
    </w:p>
  </w:endnote>
  <w:endnote w:type="continuationSeparator" w:id="0">
    <w:p w14:paraId="179F5021" w14:textId="77777777" w:rsidR="00D2698A" w:rsidRDefault="00D2698A" w:rsidP="0028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34962" w14:textId="77777777" w:rsidR="00D10E80" w:rsidRPr="00D10E80" w:rsidRDefault="00D10E80" w:rsidP="00D10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7C06D" w14:textId="6BE566C3" w:rsidR="0081212B" w:rsidRPr="00D10E80" w:rsidRDefault="00D10E80" w:rsidP="00D10E80">
    <w:pPr>
      <w:pStyle w:val="FooterCoverPage"/>
      <w:rPr>
        <w:rFonts w:ascii="Arial" w:hAnsi="Arial" w:cs="Arial"/>
        <w:b/>
        <w:sz w:val="48"/>
      </w:rPr>
    </w:pPr>
    <w:r w:rsidRPr="00D10E80">
      <w:rPr>
        <w:rFonts w:ascii="Arial" w:hAnsi="Arial" w:cs="Arial"/>
        <w:b/>
        <w:sz w:val="48"/>
      </w:rPr>
      <w:t>FI</w:t>
    </w:r>
    <w:r w:rsidRPr="00D10E80">
      <w:rPr>
        <w:rFonts w:ascii="Arial" w:hAnsi="Arial" w:cs="Arial"/>
        <w:b/>
        <w:sz w:val="48"/>
      </w:rPr>
      <w:tab/>
    </w:r>
    <w:r w:rsidRPr="00D10E80">
      <w:rPr>
        <w:rFonts w:ascii="Arial" w:hAnsi="Arial" w:cs="Arial"/>
        <w:b/>
        <w:sz w:val="48"/>
      </w:rPr>
      <w:tab/>
    </w:r>
    <w:r w:rsidRPr="00D10E80">
      <w:tab/>
    </w:r>
    <w:r w:rsidRPr="00D10E80">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6DB8" w14:textId="77777777" w:rsidR="00D10E80" w:rsidRPr="00D10E80" w:rsidRDefault="00D10E80" w:rsidP="00D10E8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F08D" w14:textId="77777777" w:rsidR="00D2698A" w:rsidRDefault="00D269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419985"/>
      <w:docPartObj>
        <w:docPartGallery w:val="Page Numbers (Bottom of Page)"/>
        <w:docPartUnique/>
      </w:docPartObj>
    </w:sdtPr>
    <w:sdtEndPr>
      <w:rPr>
        <w:noProof/>
      </w:rPr>
    </w:sdtEndPr>
    <w:sdtContent>
      <w:p w14:paraId="50E850A0" w14:textId="25C66A3E" w:rsidR="00D2698A" w:rsidRDefault="00D2698A">
        <w:pPr>
          <w:pStyle w:val="Footer"/>
          <w:jc w:val="right"/>
        </w:pPr>
        <w:r>
          <w:fldChar w:fldCharType="begin"/>
        </w:r>
        <w:r>
          <w:instrText xml:space="preserve"> PAGE   \* MERGEFORMAT </w:instrText>
        </w:r>
        <w:r>
          <w:fldChar w:fldCharType="separate"/>
        </w:r>
        <w:r w:rsidR="00D10E80">
          <w:rPr>
            <w:noProof/>
          </w:rPr>
          <w:t>1</w:t>
        </w:r>
        <w:r>
          <w:fldChar w:fldCharType="end"/>
        </w:r>
      </w:p>
    </w:sdtContent>
  </w:sdt>
  <w:p w14:paraId="7B69DEA4" w14:textId="77777777" w:rsidR="00D2698A" w:rsidRDefault="00D269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7B0B" w14:textId="77777777" w:rsidR="00D2698A" w:rsidRDefault="00D26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D0594" w14:textId="77777777" w:rsidR="00D2698A" w:rsidRDefault="00D2698A" w:rsidP="00280B21">
      <w:pPr>
        <w:spacing w:after="0" w:line="240" w:lineRule="auto"/>
      </w:pPr>
      <w:r>
        <w:separator/>
      </w:r>
    </w:p>
  </w:footnote>
  <w:footnote w:type="continuationSeparator" w:id="0">
    <w:p w14:paraId="2C9EA64D" w14:textId="77777777" w:rsidR="00D2698A" w:rsidRDefault="00D2698A" w:rsidP="00280B21">
      <w:pPr>
        <w:spacing w:after="0" w:line="240" w:lineRule="auto"/>
      </w:pPr>
      <w:r>
        <w:continuationSeparator/>
      </w:r>
    </w:p>
  </w:footnote>
  <w:footnote w:id="1">
    <w:p w14:paraId="18DF80C9" w14:textId="5E77BAD8" w:rsidR="00D2698A" w:rsidRPr="00F55C12" w:rsidRDefault="00D2698A" w:rsidP="00F55C12">
      <w:pPr>
        <w:pStyle w:val="FootnoteText"/>
        <w:ind w:left="0" w:firstLine="0"/>
      </w:pPr>
      <w:r>
        <w:rPr>
          <w:rStyle w:val="FootnoteReference"/>
        </w:rPr>
        <w:footnoteRef/>
      </w:r>
      <w:r>
        <w:t xml:space="preserve"> Peruslaki on Macaon erityishallintoalueen perustuslaki. Mikään erityishallintoalueen laki, asetus, hallinnollinen säädös tai normatiivinen säädös ei voi olla ristiriidassa tämän lain kanssa. Peruslaki on laadittu erityishallintoalueella sovellettavan järjestelmän määrittelemiseksi sekä ”yksi maa, kaksi järjestelmää” </w:t>
      </w:r>
      <w:r>
        <w:noBreakHyphen/>
        <w:t>periaatteen ja ”korkean autonomia-asteen” vahvistamiseksi.</w:t>
      </w:r>
    </w:p>
  </w:footnote>
  <w:footnote w:id="2">
    <w:p w14:paraId="2886671C" w14:textId="06198BE4" w:rsidR="00D2698A" w:rsidRPr="009F0468" w:rsidRDefault="00D2698A" w:rsidP="00C5506E">
      <w:pPr>
        <w:pStyle w:val="FootnoteText"/>
        <w:ind w:left="0" w:firstLine="0"/>
        <w:jc w:val="left"/>
        <w:rPr>
          <w:rFonts w:eastAsiaTheme="minorEastAsia"/>
        </w:rPr>
      </w:pPr>
      <w:r>
        <w:rPr>
          <w:rStyle w:val="FootnoteReference"/>
        </w:rPr>
        <w:footnoteRef/>
      </w:r>
      <w:hyperlink r:id="rId1" w:history="1">
        <w:r>
          <w:rPr>
            <w:rStyle w:val="Hyperlink"/>
            <w:color w:val="auto"/>
          </w:rPr>
          <w:t>https://www.macaupostdaily.com/article11422.html</w:t>
        </w:r>
      </w:hyperlink>
      <w:r>
        <w:t xml:space="preserve"> ja </w:t>
      </w:r>
      <w:hyperlink r:id="rId2" w:history="1">
        <w:r>
          <w:rPr>
            <w:rStyle w:val="Hyperlink"/>
            <w:color w:val="auto"/>
          </w:rPr>
          <w:t>http://www.xinhuanet.com/gangao/2021-07/12/c_1127648161.htm</w:t>
        </w:r>
      </w:hyperlink>
      <w:r>
        <w:t xml:space="preserve"> </w:t>
      </w:r>
    </w:p>
  </w:footnote>
  <w:footnote w:id="3">
    <w:p w14:paraId="5B6AAD57" w14:textId="3AB68ADF" w:rsidR="00D2698A" w:rsidRPr="009F0468" w:rsidRDefault="00D2698A" w:rsidP="009F0468">
      <w:pPr>
        <w:pStyle w:val="FootnoteText"/>
        <w:ind w:left="0" w:firstLine="0"/>
      </w:pPr>
      <w:r>
        <w:rPr>
          <w:rStyle w:val="FootnoteReference"/>
        </w:rPr>
        <w:footnoteRef/>
      </w:r>
      <w:r>
        <w:t xml:space="preserve"> Liu Xiaobo sai Nobelin rauhanpalkinnon vuonna 2010, ja hän oli yksi Kiinan merkittävimmistä ihmisoikeusaktivisteista. Hän oli yksi </w:t>
      </w:r>
      <w:r>
        <w:rPr>
          <w:i/>
        </w:rPr>
        <w:t>Peruskirja 08</w:t>
      </w:r>
      <w:r>
        <w:t xml:space="preserve"> </w:t>
      </w:r>
      <w:r>
        <w:noBreakHyphen/>
        <w:t xml:space="preserve">julkilausuman laatijoista ja vaati Kiinassa rauhanomaista demokraattista uudistusta ja oikeusvaltioperiaatteen noudattamista. </w:t>
      </w:r>
    </w:p>
  </w:footnote>
  <w:footnote w:id="4">
    <w:p w14:paraId="2688C6B6" w14:textId="1323ECE2" w:rsidR="00D2698A" w:rsidRPr="009F0468" w:rsidRDefault="00D2698A" w:rsidP="009F0468">
      <w:pPr>
        <w:pStyle w:val="FootnoteText"/>
        <w:ind w:left="0" w:firstLine="0"/>
        <w:jc w:val="left"/>
      </w:pPr>
      <w:r>
        <w:rPr>
          <w:rStyle w:val="FootnoteReference"/>
        </w:rPr>
        <w:footnoteRef/>
      </w:r>
      <w:r>
        <w:t xml:space="preserve"> Statement by the Spokesperson on the disqualification of candidates for the Legislative Assembly elections (tiedottajan julkilausuma ehdokkaiden hylkäämisestä lakiasäätävän kokouksen vaaleissa), 31.7.2021, saatavilla osoitteessa </w:t>
      </w:r>
      <w:hyperlink r:id="rId3" w:history="1">
        <w:r>
          <w:rPr>
            <w:rStyle w:val="Hyperlink"/>
            <w:color w:val="auto"/>
          </w:rPr>
          <w:t>https://eeas.europa.eu/headquarters/headquarters-homepage/102647/macao-statement-spokesperson-disqualification-candidates-legislative-assembly-elections_en</w:t>
        </w:r>
      </w:hyperlink>
    </w:p>
    <w:p w14:paraId="683C015E" w14:textId="77777777" w:rsidR="00D2698A" w:rsidRPr="00656B05" w:rsidRDefault="00D2698A" w:rsidP="009F0468">
      <w:pPr>
        <w:pStyle w:val="FootnoteText"/>
        <w:ind w:left="0" w:firstLine="0"/>
        <w:jc w:val="left"/>
      </w:pPr>
    </w:p>
  </w:footnote>
  <w:footnote w:id="5">
    <w:p w14:paraId="610D5767" w14:textId="77777777" w:rsidR="00D2698A" w:rsidRDefault="00D2698A" w:rsidP="00536AD3">
      <w:pPr>
        <w:pStyle w:val="FootnoteText"/>
        <w:ind w:left="0" w:firstLine="0"/>
        <w:jc w:val="left"/>
      </w:pPr>
      <w:r>
        <w:rPr>
          <w:rStyle w:val="FootnoteReference"/>
        </w:rPr>
        <w:footnoteRef/>
      </w:r>
      <w:r>
        <w:t xml:space="preserve"> </w:t>
      </w:r>
      <w:hyperlink r:id="rId4" w:history="1">
        <w:r>
          <w:rPr>
            <w:rStyle w:val="Hyperlink"/>
            <w:color w:val="auto"/>
          </w:rPr>
          <w:t>http://www.npc.gov.cn/englishnpc/c23934/202103/6dbc5853665d43dbaf2161a993370e24.shtml</w:t>
        </w:r>
      </w:hyperlink>
      <w:r>
        <w:t xml:space="preserve">; </w:t>
      </w:r>
      <w:hyperlink r:id="rId5" w:history="1">
        <w:r>
          <w:rPr>
            <w:rStyle w:val="Hyperlink"/>
            <w:color w:val="auto"/>
          </w:rPr>
          <w:t>http://www.npc.gov.cn/englishnpc/c23934/202103/4378544f87a54214a4a99d6860412062.shtml</w:t>
        </w:r>
      </w:hyperlink>
    </w:p>
    <w:p w14:paraId="57DEE59B" w14:textId="77777777" w:rsidR="00D2698A" w:rsidRPr="006C5BDC" w:rsidRDefault="00D2698A">
      <w:pPr>
        <w:pStyle w:val="FootnoteText"/>
        <w:rPr>
          <w:rFonts w:eastAsiaTheme="minorEastAsia"/>
          <w:lang w:eastAsia="zh-CN"/>
        </w:rPr>
      </w:pPr>
    </w:p>
  </w:footnote>
  <w:footnote w:id="6">
    <w:p w14:paraId="1D1B4753" w14:textId="2D406AC3" w:rsidR="00D2698A" w:rsidRPr="005733FA" w:rsidRDefault="00D2698A" w:rsidP="00927372">
      <w:pPr>
        <w:pStyle w:val="FootnoteText"/>
        <w:ind w:left="0" w:firstLine="0"/>
      </w:pPr>
      <w:r>
        <w:rPr>
          <w:rStyle w:val="FootnoteReference"/>
        </w:rPr>
        <w:footnoteRef/>
      </w:r>
      <w:r>
        <w:t xml:space="preserve"> </w:t>
      </w:r>
      <w:r>
        <w:rPr>
          <w:rFonts w:ascii="MS Gothic" w:hAnsi="MS Gothic"/>
        </w:rPr>
        <w:t>澳廣視執委會晤葡文新聞部重申編採方針不變</w:t>
      </w:r>
      <w:r>
        <w:rPr>
          <w:bCs/>
          <w:sz w:val="24"/>
          <w:szCs w:val="24"/>
        </w:rPr>
        <w:t xml:space="preserve"> </w:t>
      </w:r>
      <w:r>
        <w:t xml:space="preserve">(TDM:n johtoryhmä kokoontuu portugalinkielisen lehdistöosaston kanssa ja toistaa, että sen toimituspolitiikka ei ole muuttunut) 15.3.2021. </w:t>
      </w:r>
      <w:hyperlink r:id="rId6" w:history="1">
        <w:r>
          <w:rPr>
            <w:rStyle w:val="Hyperlink"/>
          </w:rPr>
          <w:t>https://www.tdm.com.mo/zh-hant/news-detail/558430</w:t>
        </w:r>
      </w:hyperlink>
    </w:p>
  </w:footnote>
  <w:footnote w:id="7">
    <w:p w14:paraId="3A8BF0BA" w14:textId="77777777" w:rsidR="00D2698A" w:rsidRPr="005733FA" w:rsidRDefault="00D2698A">
      <w:pPr>
        <w:pStyle w:val="FootnoteText"/>
        <w:rPr>
          <w:rFonts w:eastAsiaTheme="minorEastAsia"/>
        </w:rPr>
      </w:pPr>
      <w:r>
        <w:rPr>
          <w:rStyle w:val="FootnoteReference"/>
        </w:rPr>
        <w:footnoteRef/>
      </w:r>
      <w:r>
        <w:t xml:space="preserve"> https://www.court.gov.mo/sentence/pt-0b9b84acaff12a34.pdf</w:t>
      </w:r>
    </w:p>
  </w:footnote>
  <w:footnote w:id="8">
    <w:p w14:paraId="259EE48A" w14:textId="368C81AF" w:rsidR="00D2698A" w:rsidRPr="005733FA" w:rsidRDefault="00D2698A" w:rsidP="00927372">
      <w:pPr>
        <w:pStyle w:val="FootnoteText"/>
        <w:ind w:left="0" w:firstLine="0"/>
        <w:jc w:val="left"/>
      </w:pPr>
      <w:r>
        <w:rPr>
          <w:rStyle w:val="FootnoteReference"/>
        </w:rPr>
        <w:footnoteRef/>
      </w:r>
      <w:r>
        <w:t xml:space="preserve"> Kansainvälinen työjärjestö (ILO), lausunto (CEACR) – annettu 2020, julkaistu ILC:n 109. istunnossa 2021. https://www.ilo.org/dyn/normlex/en/f?p=1000:13100:0::NO:13100:P13100_COMMENT_ID:4057118.</w:t>
      </w:r>
    </w:p>
  </w:footnote>
  <w:footnote w:id="9">
    <w:p w14:paraId="6462726C" w14:textId="691CEC2D" w:rsidR="00D2698A" w:rsidRPr="001B3B5F" w:rsidRDefault="00D2698A" w:rsidP="005733FA">
      <w:pPr>
        <w:pStyle w:val="FootnoteText"/>
        <w:ind w:left="0" w:firstLine="0"/>
      </w:pPr>
      <w:r>
        <w:rPr>
          <w:rStyle w:val="FootnoteReference"/>
        </w:rPr>
        <w:footnoteRef/>
      </w:r>
      <w:r>
        <w:t xml:space="preserve"> </w:t>
      </w:r>
      <w:hyperlink r:id="rId7" w:history="1">
        <w:r>
          <w:rPr>
            <w:rStyle w:val="Hyperlink"/>
            <w:color w:val="auto"/>
          </w:rPr>
          <w:t>http://daccess-ods.un.org/access.nsf/Get?Open&amp;DS=CCPR/C/CHN-MAC/RQ/2&amp;Lang=E</w:t>
        </w:r>
      </w:hyperlink>
    </w:p>
  </w:footnote>
  <w:footnote w:id="10">
    <w:p w14:paraId="2FCC7579" w14:textId="77777777" w:rsidR="00D2698A" w:rsidRPr="001B3B5F" w:rsidRDefault="00D2698A" w:rsidP="005733FA">
      <w:pPr>
        <w:pStyle w:val="FootnoteText"/>
        <w:ind w:left="0" w:firstLine="0"/>
        <w:rPr>
          <w:rFonts w:eastAsiaTheme="minorEastAsia"/>
        </w:rPr>
      </w:pPr>
      <w:r>
        <w:rPr>
          <w:rStyle w:val="FootnoteReference"/>
        </w:rPr>
        <w:footnoteRef/>
      </w:r>
      <w:r>
        <w:t xml:space="preserve"> https://www.ccac.org.mo/pdf/en/intro/2020/2020ch1.pdf</w:t>
      </w:r>
    </w:p>
  </w:footnote>
  <w:footnote w:id="11">
    <w:p w14:paraId="51C36D6F" w14:textId="13227F18" w:rsidR="00D2698A" w:rsidRPr="001B3B5F" w:rsidRDefault="00D2698A" w:rsidP="005733FA">
      <w:pPr>
        <w:pStyle w:val="FootnoteText"/>
        <w:ind w:left="0" w:firstLine="0"/>
      </w:pPr>
      <w:r>
        <w:rPr>
          <w:rStyle w:val="FootnoteReference"/>
        </w:rPr>
        <w:footnoteRef/>
      </w:r>
      <w:r>
        <w:t xml:space="preserve"> Tässä kertomuksessa esitetyt tilastot ovat viimeisimmät tilastot, jotka ovat saatavilla julkaisuhetkellä (joulukuun 2021 alussa). Lähde: Tilasto- ja väestönlaskentakeskus, Macaon erityishallintoalueen hallitus. </w:t>
      </w:r>
      <w:hyperlink r:id="rId8" w:history="1">
        <w:r>
          <w:rPr>
            <w:rStyle w:val="Hyperlink"/>
            <w:color w:val="auto"/>
          </w:rPr>
          <w:t>https://www.dsec.gov.mo/en-US/</w:t>
        </w:r>
      </w:hyperlink>
      <w:r>
        <w:t xml:space="preserve"> </w:t>
      </w:r>
    </w:p>
  </w:footnote>
  <w:footnote w:id="12">
    <w:p w14:paraId="514A2A4B" w14:textId="2D7265D4" w:rsidR="00D2698A" w:rsidRPr="001B3B5F" w:rsidRDefault="00D2698A" w:rsidP="005733FA">
      <w:pPr>
        <w:pStyle w:val="FootnoteText"/>
        <w:ind w:left="0" w:firstLine="0"/>
      </w:pPr>
      <w:r>
        <w:rPr>
          <w:rStyle w:val="FootnoteReference"/>
        </w:rPr>
        <w:footnoteRef/>
      </w:r>
      <w:r>
        <w:t xml:space="preserve"> Muunnettu euroiksi käyttäen joulukuun 2021 InforEuro-kurssia. </w:t>
      </w:r>
    </w:p>
  </w:footnote>
  <w:footnote w:id="13">
    <w:p w14:paraId="25455976" w14:textId="7F25301C" w:rsidR="00D2698A" w:rsidRPr="0081212B" w:rsidRDefault="00D2698A" w:rsidP="005733FA">
      <w:pPr>
        <w:pStyle w:val="FootnoteText"/>
        <w:ind w:left="0" w:firstLine="0"/>
        <w:rPr>
          <w:lang w:val="en-US"/>
        </w:rPr>
      </w:pPr>
      <w:r>
        <w:rPr>
          <w:rStyle w:val="FootnoteReference"/>
        </w:rPr>
        <w:footnoteRef/>
      </w:r>
      <w:r w:rsidRPr="0081212B">
        <w:rPr>
          <w:lang w:val="en-US"/>
        </w:rPr>
        <w:t xml:space="preserve"> </w:t>
      </w:r>
      <w:r w:rsidRPr="0081212B">
        <w:rPr>
          <w:iCs/>
          <w:lang w:val="en-US"/>
        </w:rPr>
        <w:t>Recovery during a pandemic</w:t>
      </w:r>
      <w:r w:rsidRPr="0081212B">
        <w:rPr>
          <w:lang w:val="en-US"/>
        </w:rPr>
        <w:t xml:space="preserve">: </w:t>
      </w:r>
      <w:r w:rsidRPr="0081212B">
        <w:rPr>
          <w:iCs/>
          <w:lang w:val="en-US"/>
        </w:rPr>
        <w:t>health concerns, supply disruptions, and price pressures</w:t>
      </w:r>
      <w:r w:rsidRPr="0081212B">
        <w:rPr>
          <w:lang w:val="en-US"/>
        </w:rPr>
        <w:t>, lokakuu 2021. https://www.imf.org/en/Publications/WEO/Issues/2021/10/12/world-economic-outlook-october-2021</w:t>
      </w:r>
    </w:p>
  </w:footnote>
  <w:footnote w:id="14">
    <w:p w14:paraId="7085D204" w14:textId="32289E33" w:rsidR="00D2698A" w:rsidRPr="0081212B" w:rsidRDefault="00D2698A" w:rsidP="00280B21">
      <w:pPr>
        <w:pStyle w:val="FootnoteText"/>
      </w:pPr>
      <w:r w:rsidRPr="0081212B">
        <w:rPr>
          <w:rStyle w:val="FootnoteReference"/>
        </w:rPr>
        <w:footnoteRef/>
      </w:r>
      <w:r w:rsidRPr="0081212B">
        <w:t xml:space="preserve"> Rahapelipalvelujen vientiä mitataan ulkomaalaisten rahapelikuluina. </w:t>
      </w:r>
    </w:p>
  </w:footnote>
  <w:footnote w:id="15">
    <w:p w14:paraId="43C0BA32" w14:textId="77777777" w:rsidR="00D2698A" w:rsidRPr="00BF10EB" w:rsidRDefault="00D2698A" w:rsidP="00F65F65">
      <w:pPr>
        <w:pStyle w:val="FootnoteText"/>
        <w:rPr>
          <w:rFonts w:eastAsiaTheme="minorEastAsia"/>
        </w:rPr>
      </w:pPr>
      <w:r>
        <w:rPr>
          <w:rStyle w:val="FootnoteReference"/>
        </w:rPr>
        <w:footnoteRef/>
      </w:r>
      <w:r>
        <w:t xml:space="preserve"> </w:t>
      </w:r>
      <w:hyperlink r:id="rId9" w:history="1">
        <w:r>
          <w:rPr>
            <w:rStyle w:val="Hyperlink"/>
            <w:color w:val="auto"/>
          </w:rPr>
          <w:t>https://www.gov.mo/en/news/133867/</w:t>
        </w:r>
      </w:hyperlink>
    </w:p>
  </w:footnote>
  <w:footnote w:id="16">
    <w:p w14:paraId="53B3D83F" w14:textId="5C642D4E" w:rsidR="00D2698A" w:rsidRPr="00BF10EB" w:rsidRDefault="00D2698A" w:rsidP="00927372">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Hengqinin yhteistyöalue sijaitsee Kiinassa sijaitsevan Zhuhain kaupungin eteläreunalla. Hengqinin alueen ja Macaon erottaa ainoastaan kapea vesialue, ja niiden välillä on silta.</w:t>
      </w:r>
    </w:p>
  </w:footnote>
  <w:footnote w:id="17">
    <w:p w14:paraId="357BB8B0" w14:textId="0A2AF443" w:rsidR="00D2698A" w:rsidRPr="002A608F" w:rsidRDefault="00D2698A" w:rsidP="00534174">
      <w:pPr>
        <w:pStyle w:val="FootnoteText"/>
        <w:ind w:left="0" w:firstLine="0"/>
        <w:rPr>
          <w:sz w:val="16"/>
          <w:szCs w:val="16"/>
        </w:rPr>
      </w:pPr>
      <w:r>
        <w:rPr>
          <w:rStyle w:val="FootnoteReference"/>
        </w:rPr>
        <w:footnoteRef/>
      </w:r>
      <w:r>
        <w:t xml:space="preserve"> Hengqinissä sijaitsevan Guangdongin ja Macaon tiiviin yhteistyön vyöhykkeen kehittämisestä on saatavilla lisätietoja osoitteessa https://www.hengqin-cooperation.gov.mo/zh-hans/</w:t>
      </w:r>
      <w:r>
        <w:rPr>
          <w:sz w:val="16"/>
          <w:szCs w:val="16"/>
        </w:rPr>
        <w:t xml:space="preserve">  </w:t>
      </w:r>
    </w:p>
  </w:footnote>
  <w:footnote w:id="18">
    <w:p w14:paraId="4CB541FD" w14:textId="118A810A" w:rsidR="00D12B03" w:rsidRPr="0081212B" w:rsidRDefault="00D12B03" w:rsidP="00D12B03">
      <w:pPr>
        <w:pStyle w:val="FootnoteText"/>
        <w:ind w:left="0" w:firstLine="0"/>
        <w:jc w:val="left"/>
      </w:pPr>
      <w:r w:rsidRPr="0081212B">
        <w:rPr>
          <w:rStyle w:val="FootnoteReference"/>
        </w:rPr>
        <w:footnoteRef/>
      </w:r>
      <w:r w:rsidRPr="0081212B">
        <w:t xml:space="preserve"> Eurostatin tilastot ovat saatavilla helmikuussa 2022 osoitteessa https://ec.europa.eu/eurostat/databrowser/view/BOP_FDI6_GEO__custom_2086845/default/table?lang=en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18D5B" w14:textId="77777777" w:rsidR="00D10E80" w:rsidRPr="00D10E80" w:rsidRDefault="00D10E80" w:rsidP="00D10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931BB" w14:textId="77777777" w:rsidR="00D10E80" w:rsidRPr="00D10E80" w:rsidRDefault="00D10E80" w:rsidP="00D10E8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12BC" w14:textId="77777777" w:rsidR="00D10E80" w:rsidRPr="00D10E80" w:rsidRDefault="00D10E80" w:rsidP="00D10E8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1A388" w14:textId="77777777" w:rsidR="00D2698A" w:rsidRDefault="00D269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11870" w14:textId="77777777" w:rsidR="00D2698A" w:rsidRDefault="00D269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86A5" w14:textId="77777777" w:rsidR="00D2698A" w:rsidRDefault="00D26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E5F55"/>
    <w:multiLevelType w:val="hybridMultilevel"/>
    <w:tmpl w:val="2F96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C94DB1"/>
    <w:multiLevelType w:val="hybridMultilevel"/>
    <w:tmpl w:val="CC94D4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F2498"/>
    <w:multiLevelType w:val="hybridMultilevel"/>
    <w:tmpl w:val="2E64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A2CFA"/>
    <w:multiLevelType w:val="hybridMultilevel"/>
    <w:tmpl w:val="62F26A8C"/>
    <w:lvl w:ilvl="0" w:tplc="3C7252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fi-FI" w:vendorID="64" w:dllVersion="131078" w:nlCheck="1" w:checkStyle="0"/>
  <w:activeWritingStyle w:appName="MSWord" w:lang="en-US" w:vendorID="64" w:dllVersion="131078" w:nlCheck="1" w:checkStyle="1"/>
  <w:revisionView w:markup="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B480E06-64AB-49FB-A156-692945D4E23A"/>
    <w:docVar w:name="LW_COVERPAGE_TYPE" w:val="1"/>
    <w:docVar w:name="LW_CROSSREFERENCE" w:val="&lt;UNUSED&gt;"/>
    <w:docVar w:name="LW_DocType" w:val="NORMAL"/>
    <w:docVar w:name="LW_EMISSION" w:val="20.5.2022"/>
    <w:docVar w:name="LW_EMISSION_ISODATE" w:val="2022-05-20"/>
    <w:docVar w:name="LW_EMISSION_LOCATION" w:val="BRX"/>
    <w:docVar w:name="LW_EMISSION_PREFIX" w:val="Bryssel "/>
    <w:docVar w:name="LW_EMISSION_SUFFIX" w:val=" "/>
    <w:docVar w:name="LW_ID_DOCTYPE_NONLW" w:val="CP-018"/>
    <w:docVar w:name="LW_LANGUE" w:val="FI"/>
    <w:docVar w:name="LW_LEVEL_OF_SENSITIVITY" w:val="Standard treatment"/>
    <w:docVar w:name="LW_NOM.INST" w:val="EUROOPAN KOMISSIO"/>
    <w:docVar w:name="LW_NOM.INST_JOINTDOC" w:val="UNIONIN ULKOASIOIDEN_x000b_JA TURVALLISUUSPOLITIIKAN_x000b_KORKEA EDUSTAJA"/>
    <w:docVar w:name="LW_PART_NBR" w:val="1"/>
    <w:docVar w:name="LW_PART_NBR_TOTAL" w:val="1"/>
    <w:docVar w:name="LW_REF.INST.NEW" w:val="JOIN"/>
    <w:docVar w:name="LW_REF.INST.NEW_ADOPTED" w:val="final"/>
    <w:docVar w:name="LW_REF.INST.NEW_TEXT" w:val="(2022) 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acaon erityishallintoalue_x000d__x000d__x000d__x000d__x000d__x000b__x000d__x000d__x000d__x000d__x000d__x000b_Vuosikertomus 2021"/>
    <w:docVar w:name="LW_TYPE.DOC.CP" w:val="YHTEINEN KERTOMUS EUROOPAN PARLAMENTILLE JA NEUVOSTOLLE"/>
    <w:docVar w:name="LwApiVersions" w:val="LW4CoDe 1.23.2.0; LW 8.0, Build 20211117"/>
  </w:docVars>
  <w:rsids>
    <w:rsidRoot w:val="00CC2B5C"/>
    <w:rsid w:val="000019F0"/>
    <w:rsid w:val="00007F9F"/>
    <w:rsid w:val="00014568"/>
    <w:rsid w:val="00015972"/>
    <w:rsid w:val="000161DA"/>
    <w:rsid w:val="000278A0"/>
    <w:rsid w:val="000300BF"/>
    <w:rsid w:val="0003397C"/>
    <w:rsid w:val="00033F65"/>
    <w:rsid w:val="00036D85"/>
    <w:rsid w:val="00042639"/>
    <w:rsid w:val="000442C9"/>
    <w:rsid w:val="00047446"/>
    <w:rsid w:val="00047537"/>
    <w:rsid w:val="00047641"/>
    <w:rsid w:val="00047AD1"/>
    <w:rsid w:val="0005134A"/>
    <w:rsid w:val="000517B2"/>
    <w:rsid w:val="0005264D"/>
    <w:rsid w:val="0005308C"/>
    <w:rsid w:val="0005603E"/>
    <w:rsid w:val="00057843"/>
    <w:rsid w:val="00060201"/>
    <w:rsid w:val="00064F45"/>
    <w:rsid w:val="000654AD"/>
    <w:rsid w:val="0006663C"/>
    <w:rsid w:val="00074EE1"/>
    <w:rsid w:val="00076074"/>
    <w:rsid w:val="00082D1F"/>
    <w:rsid w:val="00083360"/>
    <w:rsid w:val="00083A26"/>
    <w:rsid w:val="00085687"/>
    <w:rsid w:val="00085EE5"/>
    <w:rsid w:val="00087CCD"/>
    <w:rsid w:val="00090243"/>
    <w:rsid w:val="00093142"/>
    <w:rsid w:val="000936E2"/>
    <w:rsid w:val="00095E14"/>
    <w:rsid w:val="000964A3"/>
    <w:rsid w:val="000A3836"/>
    <w:rsid w:val="000B3743"/>
    <w:rsid w:val="000C31FB"/>
    <w:rsid w:val="000C5368"/>
    <w:rsid w:val="000C55D9"/>
    <w:rsid w:val="000C6621"/>
    <w:rsid w:val="000C6D03"/>
    <w:rsid w:val="000C71D4"/>
    <w:rsid w:val="000D1114"/>
    <w:rsid w:val="000D669E"/>
    <w:rsid w:val="000D67C2"/>
    <w:rsid w:val="000D75BD"/>
    <w:rsid w:val="000E3A56"/>
    <w:rsid w:val="000F5D0C"/>
    <w:rsid w:val="0010215F"/>
    <w:rsid w:val="001037DA"/>
    <w:rsid w:val="00103F64"/>
    <w:rsid w:val="00104501"/>
    <w:rsid w:val="00105181"/>
    <w:rsid w:val="00116E2E"/>
    <w:rsid w:val="00120EDF"/>
    <w:rsid w:val="0012679C"/>
    <w:rsid w:val="00127305"/>
    <w:rsid w:val="00127B76"/>
    <w:rsid w:val="00130F14"/>
    <w:rsid w:val="00135529"/>
    <w:rsid w:val="0013621D"/>
    <w:rsid w:val="00151377"/>
    <w:rsid w:val="001532AF"/>
    <w:rsid w:val="00153A44"/>
    <w:rsid w:val="001557F4"/>
    <w:rsid w:val="0015580E"/>
    <w:rsid w:val="00155D71"/>
    <w:rsid w:val="001564D8"/>
    <w:rsid w:val="0015787D"/>
    <w:rsid w:val="00161792"/>
    <w:rsid w:val="00162AB9"/>
    <w:rsid w:val="0016647D"/>
    <w:rsid w:val="00166A2F"/>
    <w:rsid w:val="00167215"/>
    <w:rsid w:val="0017083E"/>
    <w:rsid w:val="00172D99"/>
    <w:rsid w:val="00173FD8"/>
    <w:rsid w:val="0017482A"/>
    <w:rsid w:val="00174CF2"/>
    <w:rsid w:val="00175646"/>
    <w:rsid w:val="00177C5B"/>
    <w:rsid w:val="00181E30"/>
    <w:rsid w:val="00185557"/>
    <w:rsid w:val="00194B04"/>
    <w:rsid w:val="001A6655"/>
    <w:rsid w:val="001A729B"/>
    <w:rsid w:val="001A73D0"/>
    <w:rsid w:val="001B0351"/>
    <w:rsid w:val="001B0999"/>
    <w:rsid w:val="001B37B8"/>
    <w:rsid w:val="001B3B5F"/>
    <w:rsid w:val="001B482E"/>
    <w:rsid w:val="001B70EC"/>
    <w:rsid w:val="001C0A22"/>
    <w:rsid w:val="001C5A21"/>
    <w:rsid w:val="001D31A8"/>
    <w:rsid w:val="001D5367"/>
    <w:rsid w:val="001D6EC8"/>
    <w:rsid w:val="001D7AF3"/>
    <w:rsid w:val="001F7E0D"/>
    <w:rsid w:val="00201FB3"/>
    <w:rsid w:val="00205E0F"/>
    <w:rsid w:val="00207767"/>
    <w:rsid w:val="00207CA1"/>
    <w:rsid w:val="00207F3A"/>
    <w:rsid w:val="00211ECD"/>
    <w:rsid w:val="00217E43"/>
    <w:rsid w:val="00224017"/>
    <w:rsid w:val="002254C7"/>
    <w:rsid w:val="00233E25"/>
    <w:rsid w:val="00234B9A"/>
    <w:rsid w:val="00240869"/>
    <w:rsid w:val="00243C6E"/>
    <w:rsid w:val="0024458A"/>
    <w:rsid w:val="00244671"/>
    <w:rsid w:val="00251651"/>
    <w:rsid w:val="00255B8A"/>
    <w:rsid w:val="002567CC"/>
    <w:rsid w:val="00263558"/>
    <w:rsid w:val="00271B7C"/>
    <w:rsid w:val="00277291"/>
    <w:rsid w:val="0028004F"/>
    <w:rsid w:val="00280B21"/>
    <w:rsid w:val="00280DDA"/>
    <w:rsid w:val="00282174"/>
    <w:rsid w:val="00282F93"/>
    <w:rsid w:val="0028447F"/>
    <w:rsid w:val="00287C99"/>
    <w:rsid w:val="00291314"/>
    <w:rsid w:val="00294756"/>
    <w:rsid w:val="002A5607"/>
    <w:rsid w:val="002A608F"/>
    <w:rsid w:val="002B0E3F"/>
    <w:rsid w:val="002B4D26"/>
    <w:rsid w:val="002C211E"/>
    <w:rsid w:val="002C2E75"/>
    <w:rsid w:val="002C73E1"/>
    <w:rsid w:val="002D710E"/>
    <w:rsid w:val="002E63E4"/>
    <w:rsid w:val="002F3AB2"/>
    <w:rsid w:val="002F5DB6"/>
    <w:rsid w:val="002F5E66"/>
    <w:rsid w:val="002F6C14"/>
    <w:rsid w:val="002F6DF8"/>
    <w:rsid w:val="0031302D"/>
    <w:rsid w:val="00314C7F"/>
    <w:rsid w:val="003167B6"/>
    <w:rsid w:val="00317302"/>
    <w:rsid w:val="003226E4"/>
    <w:rsid w:val="00324F33"/>
    <w:rsid w:val="003252A1"/>
    <w:rsid w:val="00331C56"/>
    <w:rsid w:val="0033521E"/>
    <w:rsid w:val="00337BFB"/>
    <w:rsid w:val="00343280"/>
    <w:rsid w:val="003454C6"/>
    <w:rsid w:val="00347D3D"/>
    <w:rsid w:val="00355898"/>
    <w:rsid w:val="00357B4B"/>
    <w:rsid w:val="003619BB"/>
    <w:rsid w:val="00361C2F"/>
    <w:rsid w:val="003646DF"/>
    <w:rsid w:val="00364981"/>
    <w:rsid w:val="00372DDE"/>
    <w:rsid w:val="00377A04"/>
    <w:rsid w:val="00381F45"/>
    <w:rsid w:val="0038485B"/>
    <w:rsid w:val="003875EC"/>
    <w:rsid w:val="00390C39"/>
    <w:rsid w:val="0039104E"/>
    <w:rsid w:val="003919A4"/>
    <w:rsid w:val="00393149"/>
    <w:rsid w:val="00394637"/>
    <w:rsid w:val="0039630E"/>
    <w:rsid w:val="003A216C"/>
    <w:rsid w:val="003A37DC"/>
    <w:rsid w:val="003A7BB4"/>
    <w:rsid w:val="003B02C3"/>
    <w:rsid w:val="003B23B9"/>
    <w:rsid w:val="003B2D37"/>
    <w:rsid w:val="003B5E32"/>
    <w:rsid w:val="003C17AE"/>
    <w:rsid w:val="003C1A84"/>
    <w:rsid w:val="003C2375"/>
    <w:rsid w:val="003C2E82"/>
    <w:rsid w:val="003C31D5"/>
    <w:rsid w:val="003C7A2F"/>
    <w:rsid w:val="003D391B"/>
    <w:rsid w:val="003D4FFA"/>
    <w:rsid w:val="003E30BC"/>
    <w:rsid w:val="003E3D9D"/>
    <w:rsid w:val="003E7C4E"/>
    <w:rsid w:val="003F3D9C"/>
    <w:rsid w:val="003F5C50"/>
    <w:rsid w:val="003F7CC0"/>
    <w:rsid w:val="00401703"/>
    <w:rsid w:val="00403CC9"/>
    <w:rsid w:val="00404B8B"/>
    <w:rsid w:val="00405B68"/>
    <w:rsid w:val="00406FA1"/>
    <w:rsid w:val="00413742"/>
    <w:rsid w:val="004204A4"/>
    <w:rsid w:val="004211E8"/>
    <w:rsid w:val="004270C7"/>
    <w:rsid w:val="004301CC"/>
    <w:rsid w:val="004314FB"/>
    <w:rsid w:val="004336C4"/>
    <w:rsid w:val="00437D51"/>
    <w:rsid w:val="00442662"/>
    <w:rsid w:val="00443FE5"/>
    <w:rsid w:val="004452A8"/>
    <w:rsid w:val="00450F97"/>
    <w:rsid w:val="00450FE8"/>
    <w:rsid w:val="00453E1E"/>
    <w:rsid w:val="0045459E"/>
    <w:rsid w:val="00454A95"/>
    <w:rsid w:val="004559F9"/>
    <w:rsid w:val="004643E1"/>
    <w:rsid w:val="00465265"/>
    <w:rsid w:val="004718C9"/>
    <w:rsid w:val="004735A0"/>
    <w:rsid w:val="00475550"/>
    <w:rsid w:val="00475BF2"/>
    <w:rsid w:val="00477E60"/>
    <w:rsid w:val="0048244D"/>
    <w:rsid w:val="0048270F"/>
    <w:rsid w:val="004868C3"/>
    <w:rsid w:val="00493B4C"/>
    <w:rsid w:val="004A2ECD"/>
    <w:rsid w:val="004A6260"/>
    <w:rsid w:val="004A790F"/>
    <w:rsid w:val="004B055E"/>
    <w:rsid w:val="004B190E"/>
    <w:rsid w:val="004B79BD"/>
    <w:rsid w:val="004C333B"/>
    <w:rsid w:val="004D5F19"/>
    <w:rsid w:val="004D7A3F"/>
    <w:rsid w:val="004E1685"/>
    <w:rsid w:val="004F4539"/>
    <w:rsid w:val="004F6BBD"/>
    <w:rsid w:val="00505EA1"/>
    <w:rsid w:val="00511928"/>
    <w:rsid w:val="005138B6"/>
    <w:rsid w:val="00522B71"/>
    <w:rsid w:val="00523AB9"/>
    <w:rsid w:val="00523C7C"/>
    <w:rsid w:val="005249A6"/>
    <w:rsid w:val="00527E20"/>
    <w:rsid w:val="00534174"/>
    <w:rsid w:val="005346E9"/>
    <w:rsid w:val="00535B78"/>
    <w:rsid w:val="00536AD3"/>
    <w:rsid w:val="00537943"/>
    <w:rsid w:val="0054145E"/>
    <w:rsid w:val="00542FC8"/>
    <w:rsid w:val="0054340E"/>
    <w:rsid w:val="00545B19"/>
    <w:rsid w:val="00555FF8"/>
    <w:rsid w:val="00560739"/>
    <w:rsid w:val="00560746"/>
    <w:rsid w:val="00564411"/>
    <w:rsid w:val="005660D4"/>
    <w:rsid w:val="005733FA"/>
    <w:rsid w:val="00573DC3"/>
    <w:rsid w:val="0058127F"/>
    <w:rsid w:val="00587995"/>
    <w:rsid w:val="00590E3F"/>
    <w:rsid w:val="00595183"/>
    <w:rsid w:val="00596BA5"/>
    <w:rsid w:val="00597109"/>
    <w:rsid w:val="005A26B9"/>
    <w:rsid w:val="005A2A9E"/>
    <w:rsid w:val="005A5609"/>
    <w:rsid w:val="005A633A"/>
    <w:rsid w:val="005B45C2"/>
    <w:rsid w:val="005B4D38"/>
    <w:rsid w:val="005B4F4A"/>
    <w:rsid w:val="005B59EC"/>
    <w:rsid w:val="005D5E26"/>
    <w:rsid w:val="005D66B9"/>
    <w:rsid w:val="005E2D17"/>
    <w:rsid w:val="005E3F6E"/>
    <w:rsid w:val="005F2528"/>
    <w:rsid w:val="005F30FE"/>
    <w:rsid w:val="005F50FF"/>
    <w:rsid w:val="0061033B"/>
    <w:rsid w:val="006145C8"/>
    <w:rsid w:val="00615FE3"/>
    <w:rsid w:val="00617DDA"/>
    <w:rsid w:val="00621653"/>
    <w:rsid w:val="00622113"/>
    <w:rsid w:val="00623CE3"/>
    <w:rsid w:val="00630EBA"/>
    <w:rsid w:val="00633DDC"/>
    <w:rsid w:val="00642ECC"/>
    <w:rsid w:val="00643FEF"/>
    <w:rsid w:val="00646CC6"/>
    <w:rsid w:val="0065108E"/>
    <w:rsid w:val="00656B05"/>
    <w:rsid w:val="00657BED"/>
    <w:rsid w:val="00664337"/>
    <w:rsid w:val="00665552"/>
    <w:rsid w:val="00667D79"/>
    <w:rsid w:val="0067267D"/>
    <w:rsid w:val="00672E81"/>
    <w:rsid w:val="006756C0"/>
    <w:rsid w:val="00675B1B"/>
    <w:rsid w:val="00676E47"/>
    <w:rsid w:val="006812EF"/>
    <w:rsid w:val="006864DF"/>
    <w:rsid w:val="0069081E"/>
    <w:rsid w:val="0069784C"/>
    <w:rsid w:val="006A1412"/>
    <w:rsid w:val="006A2968"/>
    <w:rsid w:val="006A3B3B"/>
    <w:rsid w:val="006A410C"/>
    <w:rsid w:val="006A5ABA"/>
    <w:rsid w:val="006A631F"/>
    <w:rsid w:val="006A66B1"/>
    <w:rsid w:val="006B61F9"/>
    <w:rsid w:val="006B7761"/>
    <w:rsid w:val="006C120E"/>
    <w:rsid w:val="006C5A7A"/>
    <w:rsid w:val="006C5BDC"/>
    <w:rsid w:val="006E057D"/>
    <w:rsid w:val="006E0F12"/>
    <w:rsid w:val="006F1C4C"/>
    <w:rsid w:val="006F71C0"/>
    <w:rsid w:val="006F789A"/>
    <w:rsid w:val="006F7E5D"/>
    <w:rsid w:val="007001AE"/>
    <w:rsid w:val="007073B1"/>
    <w:rsid w:val="00707DF8"/>
    <w:rsid w:val="007117EA"/>
    <w:rsid w:val="0071192F"/>
    <w:rsid w:val="00717C46"/>
    <w:rsid w:val="00723317"/>
    <w:rsid w:val="00733E7B"/>
    <w:rsid w:val="00735E6E"/>
    <w:rsid w:val="00735F5E"/>
    <w:rsid w:val="00736AC9"/>
    <w:rsid w:val="00743C9E"/>
    <w:rsid w:val="00754015"/>
    <w:rsid w:val="00784AB1"/>
    <w:rsid w:val="00790996"/>
    <w:rsid w:val="007A10B1"/>
    <w:rsid w:val="007A54ED"/>
    <w:rsid w:val="007A6B1F"/>
    <w:rsid w:val="007A79E5"/>
    <w:rsid w:val="007B1CDE"/>
    <w:rsid w:val="007B5A3A"/>
    <w:rsid w:val="007B73C7"/>
    <w:rsid w:val="007B7E1A"/>
    <w:rsid w:val="007C04AA"/>
    <w:rsid w:val="007C3C92"/>
    <w:rsid w:val="007C63D1"/>
    <w:rsid w:val="007D79F1"/>
    <w:rsid w:val="007E3803"/>
    <w:rsid w:val="007E3A27"/>
    <w:rsid w:val="007F1405"/>
    <w:rsid w:val="007F253F"/>
    <w:rsid w:val="0080062E"/>
    <w:rsid w:val="008056B5"/>
    <w:rsid w:val="0081212B"/>
    <w:rsid w:val="00813EA2"/>
    <w:rsid w:val="00816851"/>
    <w:rsid w:val="00823550"/>
    <w:rsid w:val="00825973"/>
    <w:rsid w:val="00826BCA"/>
    <w:rsid w:val="00827168"/>
    <w:rsid w:val="00831131"/>
    <w:rsid w:val="00832749"/>
    <w:rsid w:val="00834B2A"/>
    <w:rsid w:val="00843364"/>
    <w:rsid w:val="00843839"/>
    <w:rsid w:val="0084385A"/>
    <w:rsid w:val="00843934"/>
    <w:rsid w:val="00846C5C"/>
    <w:rsid w:val="00851527"/>
    <w:rsid w:val="00852282"/>
    <w:rsid w:val="00861243"/>
    <w:rsid w:val="00863EBE"/>
    <w:rsid w:val="00864596"/>
    <w:rsid w:val="0086512A"/>
    <w:rsid w:val="00865C2E"/>
    <w:rsid w:val="00870499"/>
    <w:rsid w:val="00871402"/>
    <w:rsid w:val="00872460"/>
    <w:rsid w:val="008765D4"/>
    <w:rsid w:val="00880ADE"/>
    <w:rsid w:val="008828C2"/>
    <w:rsid w:val="00883D1D"/>
    <w:rsid w:val="008862D7"/>
    <w:rsid w:val="008863C0"/>
    <w:rsid w:val="00890081"/>
    <w:rsid w:val="00893CD3"/>
    <w:rsid w:val="0089599A"/>
    <w:rsid w:val="00896B41"/>
    <w:rsid w:val="008A0AAE"/>
    <w:rsid w:val="008A15C3"/>
    <w:rsid w:val="008A5F04"/>
    <w:rsid w:val="008B1D36"/>
    <w:rsid w:val="008B2948"/>
    <w:rsid w:val="008B2E00"/>
    <w:rsid w:val="008B3024"/>
    <w:rsid w:val="008B3E37"/>
    <w:rsid w:val="008B40B8"/>
    <w:rsid w:val="008B470A"/>
    <w:rsid w:val="008B6AA2"/>
    <w:rsid w:val="008C41A7"/>
    <w:rsid w:val="008D1169"/>
    <w:rsid w:val="008D2F12"/>
    <w:rsid w:val="008D7495"/>
    <w:rsid w:val="008E2FC9"/>
    <w:rsid w:val="008E5065"/>
    <w:rsid w:val="008E7D29"/>
    <w:rsid w:val="008F318F"/>
    <w:rsid w:val="008F649A"/>
    <w:rsid w:val="008F7A73"/>
    <w:rsid w:val="00906F5B"/>
    <w:rsid w:val="00911DC5"/>
    <w:rsid w:val="009231B1"/>
    <w:rsid w:val="00923B97"/>
    <w:rsid w:val="00924D33"/>
    <w:rsid w:val="00927372"/>
    <w:rsid w:val="00930754"/>
    <w:rsid w:val="00931B88"/>
    <w:rsid w:val="00933FAE"/>
    <w:rsid w:val="0094021B"/>
    <w:rsid w:val="009444E2"/>
    <w:rsid w:val="00950870"/>
    <w:rsid w:val="00950ED2"/>
    <w:rsid w:val="00952260"/>
    <w:rsid w:val="00953D97"/>
    <w:rsid w:val="00955048"/>
    <w:rsid w:val="00967AB4"/>
    <w:rsid w:val="009727FA"/>
    <w:rsid w:val="00974DC1"/>
    <w:rsid w:val="00976253"/>
    <w:rsid w:val="0097725E"/>
    <w:rsid w:val="00981294"/>
    <w:rsid w:val="00987DE2"/>
    <w:rsid w:val="00995D88"/>
    <w:rsid w:val="00997E4B"/>
    <w:rsid w:val="009A006C"/>
    <w:rsid w:val="009A17B6"/>
    <w:rsid w:val="009A41A9"/>
    <w:rsid w:val="009A5A0C"/>
    <w:rsid w:val="009A5EDF"/>
    <w:rsid w:val="009A6B5D"/>
    <w:rsid w:val="009B6A10"/>
    <w:rsid w:val="009B705C"/>
    <w:rsid w:val="009B77AC"/>
    <w:rsid w:val="009C1672"/>
    <w:rsid w:val="009C1BB1"/>
    <w:rsid w:val="009C5158"/>
    <w:rsid w:val="009C6D82"/>
    <w:rsid w:val="009C7A01"/>
    <w:rsid w:val="009D135C"/>
    <w:rsid w:val="009D762D"/>
    <w:rsid w:val="009D76F2"/>
    <w:rsid w:val="009E232D"/>
    <w:rsid w:val="009E45A6"/>
    <w:rsid w:val="009E779B"/>
    <w:rsid w:val="009F0468"/>
    <w:rsid w:val="009F1B65"/>
    <w:rsid w:val="009F26A4"/>
    <w:rsid w:val="009F56CF"/>
    <w:rsid w:val="00A028B3"/>
    <w:rsid w:val="00A046F8"/>
    <w:rsid w:val="00A04D5D"/>
    <w:rsid w:val="00A05B55"/>
    <w:rsid w:val="00A06ACA"/>
    <w:rsid w:val="00A16275"/>
    <w:rsid w:val="00A22688"/>
    <w:rsid w:val="00A27E6A"/>
    <w:rsid w:val="00A312B6"/>
    <w:rsid w:val="00A335F5"/>
    <w:rsid w:val="00A363F6"/>
    <w:rsid w:val="00A378CD"/>
    <w:rsid w:val="00A4694F"/>
    <w:rsid w:val="00A522AC"/>
    <w:rsid w:val="00A533B1"/>
    <w:rsid w:val="00A54ADD"/>
    <w:rsid w:val="00A554BB"/>
    <w:rsid w:val="00A57CD0"/>
    <w:rsid w:val="00A57D39"/>
    <w:rsid w:val="00A60933"/>
    <w:rsid w:val="00A614AD"/>
    <w:rsid w:val="00A635BA"/>
    <w:rsid w:val="00A74E17"/>
    <w:rsid w:val="00A82579"/>
    <w:rsid w:val="00A90BCC"/>
    <w:rsid w:val="00A915CA"/>
    <w:rsid w:val="00A93E39"/>
    <w:rsid w:val="00A9751E"/>
    <w:rsid w:val="00A977B7"/>
    <w:rsid w:val="00AB0421"/>
    <w:rsid w:val="00AB06BA"/>
    <w:rsid w:val="00AB289E"/>
    <w:rsid w:val="00AB6B06"/>
    <w:rsid w:val="00AC196E"/>
    <w:rsid w:val="00AC212C"/>
    <w:rsid w:val="00AC54CC"/>
    <w:rsid w:val="00AD28BC"/>
    <w:rsid w:val="00AD331E"/>
    <w:rsid w:val="00AD382F"/>
    <w:rsid w:val="00AE4216"/>
    <w:rsid w:val="00AE6BAF"/>
    <w:rsid w:val="00AF062D"/>
    <w:rsid w:val="00AF315A"/>
    <w:rsid w:val="00B01231"/>
    <w:rsid w:val="00B13CD6"/>
    <w:rsid w:val="00B159AD"/>
    <w:rsid w:val="00B21AEE"/>
    <w:rsid w:val="00B367C9"/>
    <w:rsid w:val="00B379F6"/>
    <w:rsid w:val="00B37F70"/>
    <w:rsid w:val="00B41FC4"/>
    <w:rsid w:val="00B458DF"/>
    <w:rsid w:val="00B504FD"/>
    <w:rsid w:val="00B50A7B"/>
    <w:rsid w:val="00B607AC"/>
    <w:rsid w:val="00B65693"/>
    <w:rsid w:val="00B6598F"/>
    <w:rsid w:val="00B717FC"/>
    <w:rsid w:val="00B770E4"/>
    <w:rsid w:val="00B77578"/>
    <w:rsid w:val="00B77E17"/>
    <w:rsid w:val="00B81A44"/>
    <w:rsid w:val="00B84F4E"/>
    <w:rsid w:val="00BA0DCC"/>
    <w:rsid w:val="00BA4A27"/>
    <w:rsid w:val="00BA4EFE"/>
    <w:rsid w:val="00BB3328"/>
    <w:rsid w:val="00BB5544"/>
    <w:rsid w:val="00BB6171"/>
    <w:rsid w:val="00BB79F7"/>
    <w:rsid w:val="00BC3AEF"/>
    <w:rsid w:val="00BC4700"/>
    <w:rsid w:val="00BD2FFC"/>
    <w:rsid w:val="00BD33CA"/>
    <w:rsid w:val="00BD47E8"/>
    <w:rsid w:val="00BD73BD"/>
    <w:rsid w:val="00BE05D6"/>
    <w:rsid w:val="00BE100F"/>
    <w:rsid w:val="00BE1F24"/>
    <w:rsid w:val="00BE43D5"/>
    <w:rsid w:val="00BE4D38"/>
    <w:rsid w:val="00BE6904"/>
    <w:rsid w:val="00BF10EB"/>
    <w:rsid w:val="00BF77A0"/>
    <w:rsid w:val="00BF7B89"/>
    <w:rsid w:val="00C008B1"/>
    <w:rsid w:val="00C04E7A"/>
    <w:rsid w:val="00C05E74"/>
    <w:rsid w:val="00C07D89"/>
    <w:rsid w:val="00C140FC"/>
    <w:rsid w:val="00C15583"/>
    <w:rsid w:val="00C176BD"/>
    <w:rsid w:val="00C234F2"/>
    <w:rsid w:val="00C24082"/>
    <w:rsid w:val="00C31F06"/>
    <w:rsid w:val="00C54920"/>
    <w:rsid w:val="00C54B90"/>
    <w:rsid w:val="00C5506E"/>
    <w:rsid w:val="00C60896"/>
    <w:rsid w:val="00C7062A"/>
    <w:rsid w:val="00C74954"/>
    <w:rsid w:val="00C75745"/>
    <w:rsid w:val="00C75BF6"/>
    <w:rsid w:val="00C80A7E"/>
    <w:rsid w:val="00C81ED1"/>
    <w:rsid w:val="00C82DF4"/>
    <w:rsid w:val="00C9235C"/>
    <w:rsid w:val="00C95F0C"/>
    <w:rsid w:val="00C968AF"/>
    <w:rsid w:val="00C97B31"/>
    <w:rsid w:val="00CA3844"/>
    <w:rsid w:val="00CA3A66"/>
    <w:rsid w:val="00CA5966"/>
    <w:rsid w:val="00CB52E7"/>
    <w:rsid w:val="00CC1431"/>
    <w:rsid w:val="00CC2B5C"/>
    <w:rsid w:val="00CD266C"/>
    <w:rsid w:val="00CD30B5"/>
    <w:rsid w:val="00CD34B7"/>
    <w:rsid w:val="00CD4367"/>
    <w:rsid w:val="00CD666F"/>
    <w:rsid w:val="00CF1D9E"/>
    <w:rsid w:val="00CF63E8"/>
    <w:rsid w:val="00D01F2D"/>
    <w:rsid w:val="00D035F8"/>
    <w:rsid w:val="00D03F95"/>
    <w:rsid w:val="00D05068"/>
    <w:rsid w:val="00D05607"/>
    <w:rsid w:val="00D10E80"/>
    <w:rsid w:val="00D12B03"/>
    <w:rsid w:val="00D12E41"/>
    <w:rsid w:val="00D12E56"/>
    <w:rsid w:val="00D132FF"/>
    <w:rsid w:val="00D135F6"/>
    <w:rsid w:val="00D13A27"/>
    <w:rsid w:val="00D170FB"/>
    <w:rsid w:val="00D22909"/>
    <w:rsid w:val="00D2698A"/>
    <w:rsid w:val="00D33A76"/>
    <w:rsid w:val="00D35D1F"/>
    <w:rsid w:val="00D366B4"/>
    <w:rsid w:val="00D37DBC"/>
    <w:rsid w:val="00D42932"/>
    <w:rsid w:val="00D468C4"/>
    <w:rsid w:val="00D5043E"/>
    <w:rsid w:val="00D51667"/>
    <w:rsid w:val="00D52A30"/>
    <w:rsid w:val="00D54544"/>
    <w:rsid w:val="00D61AED"/>
    <w:rsid w:val="00D61E2B"/>
    <w:rsid w:val="00D64758"/>
    <w:rsid w:val="00D70777"/>
    <w:rsid w:val="00D72AF8"/>
    <w:rsid w:val="00D86749"/>
    <w:rsid w:val="00D8738A"/>
    <w:rsid w:val="00D87DC0"/>
    <w:rsid w:val="00D90315"/>
    <w:rsid w:val="00D91404"/>
    <w:rsid w:val="00D93CE6"/>
    <w:rsid w:val="00DA0680"/>
    <w:rsid w:val="00DB29AC"/>
    <w:rsid w:val="00DB6A28"/>
    <w:rsid w:val="00DB7F3A"/>
    <w:rsid w:val="00DD0402"/>
    <w:rsid w:val="00DD66CF"/>
    <w:rsid w:val="00DD7BDB"/>
    <w:rsid w:val="00DF1D68"/>
    <w:rsid w:val="00DF1F5F"/>
    <w:rsid w:val="00DF3669"/>
    <w:rsid w:val="00DF390F"/>
    <w:rsid w:val="00DF6BB1"/>
    <w:rsid w:val="00DF781C"/>
    <w:rsid w:val="00E0137E"/>
    <w:rsid w:val="00E020E2"/>
    <w:rsid w:val="00E038D7"/>
    <w:rsid w:val="00E043B3"/>
    <w:rsid w:val="00E15917"/>
    <w:rsid w:val="00E20C54"/>
    <w:rsid w:val="00E279BA"/>
    <w:rsid w:val="00E3103C"/>
    <w:rsid w:val="00E43449"/>
    <w:rsid w:val="00E461AA"/>
    <w:rsid w:val="00E46A3B"/>
    <w:rsid w:val="00E47618"/>
    <w:rsid w:val="00E50A94"/>
    <w:rsid w:val="00E51267"/>
    <w:rsid w:val="00E51B0B"/>
    <w:rsid w:val="00E5233F"/>
    <w:rsid w:val="00E52E69"/>
    <w:rsid w:val="00E54E36"/>
    <w:rsid w:val="00E5694A"/>
    <w:rsid w:val="00E61EE3"/>
    <w:rsid w:val="00E65E0C"/>
    <w:rsid w:val="00E72B7D"/>
    <w:rsid w:val="00E73A07"/>
    <w:rsid w:val="00E76324"/>
    <w:rsid w:val="00E842F3"/>
    <w:rsid w:val="00E90157"/>
    <w:rsid w:val="00E96148"/>
    <w:rsid w:val="00E969D7"/>
    <w:rsid w:val="00E96CB7"/>
    <w:rsid w:val="00E97B8B"/>
    <w:rsid w:val="00EA3B80"/>
    <w:rsid w:val="00EA4BA7"/>
    <w:rsid w:val="00EB5903"/>
    <w:rsid w:val="00EB7194"/>
    <w:rsid w:val="00EC1BDD"/>
    <w:rsid w:val="00EC5173"/>
    <w:rsid w:val="00ED0860"/>
    <w:rsid w:val="00ED08A4"/>
    <w:rsid w:val="00ED317F"/>
    <w:rsid w:val="00ED37CB"/>
    <w:rsid w:val="00ED67E2"/>
    <w:rsid w:val="00EE1563"/>
    <w:rsid w:val="00EE241B"/>
    <w:rsid w:val="00EF0599"/>
    <w:rsid w:val="00EF78F9"/>
    <w:rsid w:val="00EF7BD4"/>
    <w:rsid w:val="00F00A8E"/>
    <w:rsid w:val="00F0484B"/>
    <w:rsid w:val="00F13A80"/>
    <w:rsid w:val="00F1758A"/>
    <w:rsid w:val="00F21AAB"/>
    <w:rsid w:val="00F22EE8"/>
    <w:rsid w:val="00F2605E"/>
    <w:rsid w:val="00F34D1E"/>
    <w:rsid w:val="00F422D6"/>
    <w:rsid w:val="00F55C12"/>
    <w:rsid w:val="00F567BB"/>
    <w:rsid w:val="00F6234D"/>
    <w:rsid w:val="00F64511"/>
    <w:rsid w:val="00F65F65"/>
    <w:rsid w:val="00F667C6"/>
    <w:rsid w:val="00F668E6"/>
    <w:rsid w:val="00F677A1"/>
    <w:rsid w:val="00F72B83"/>
    <w:rsid w:val="00F76945"/>
    <w:rsid w:val="00F8435D"/>
    <w:rsid w:val="00F85536"/>
    <w:rsid w:val="00F92C1A"/>
    <w:rsid w:val="00F943DA"/>
    <w:rsid w:val="00F967D5"/>
    <w:rsid w:val="00FA28F7"/>
    <w:rsid w:val="00FB05C7"/>
    <w:rsid w:val="00FB666B"/>
    <w:rsid w:val="00FB6C68"/>
    <w:rsid w:val="00FB72A5"/>
    <w:rsid w:val="00FC44BE"/>
    <w:rsid w:val="00FC5BC3"/>
    <w:rsid w:val="00FC5C8C"/>
    <w:rsid w:val="00FD14BF"/>
    <w:rsid w:val="00FD200E"/>
    <w:rsid w:val="00FD28BC"/>
    <w:rsid w:val="00FE073B"/>
    <w:rsid w:val="00FE3219"/>
    <w:rsid w:val="00FF1538"/>
    <w:rsid w:val="00FF19FC"/>
    <w:rsid w:val="00FF220C"/>
    <w:rsid w:val="00FF2278"/>
    <w:rsid w:val="00FF4095"/>
    <w:rsid w:val="00FF43AC"/>
    <w:rsid w:val="00FF6471"/>
    <w:rsid w:val="00FF7C9E"/>
    <w:rsid w:val="00FF7F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C6631B"/>
  <w15:chartTrackingRefBased/>
  <w15:docId w15:val="{96AA7D07-938D-4007-8A75-0BF24C3F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B5C"/>
    <w:rPr>
      <w:rFonts w:eastAsiaTheme="minorHAnsi"/>
      <w:lang w:eastAsia="en-US"/>
    </w:rPr>
  </w:style>
  <w:style w:type="paragraph" w:styleId="Heading1">
    <w:name w:val="heading 1"/>
    <w:basedOn w:val="Normal"/>
    <w:next w:val="Normal"/>
    <w:link w:val="Heading1Char"/>
    <w:uiPriority w:val="9"/>
    <w:qFormat/>
    <w:rsid w:val="00E51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875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394637"/>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B5C"/>
    <w:pPr>
      <w:autoSpaceDE w:val="0"/>
      <w:autoSpaceDN w:val="0"/>
      <w:adjustRightInd w:val="0"/>
      <w:spacing w:after="0" w:line="240" w:lineRule="auto"/>
    </w:pPr>
    <w:rPr>
      <w:rFonts w:ascii="Times New Roman" w:eastAsia="PMingLiU" w:hAnsi="Times New Roman" w:cs="Times New Roman"/>
      <w:color w:val="000000"/>
      <w:sz w:val="24"/>
      <w:szCs w:val="24"/>
      <w:lang w:eastAsia="en-US"/>
    </w:rPr>
  </w:style>
  <w:style w:type="character" w:customStyle="1" w:styleId="Heading3Char">
    <w:name w:val="Heading 3 Char"/>
    <w:basedOn w:val="DefaultParagraphFont"/>
    <w:link w:val="Heading3"/>
    <w:uiPriority w:val="9"/>
    <w:rsid w:val="00394637"/>
    <w:rPr>
      <w:rFonts w:ascii="Times New Roman" w:eastAsiaTheme="minorHAnsi" w:hAnsi="Times New Roman" w:cs="Times New Roman"/>
      <w:b/>
      <w:bCs/>
      <w:sz w:val="27"/>
      <w:szCs w:val="27"/>
      <w:lang w:eastAsia="en-GB"/>
    </w:rPr>
  </w:style>
  <w:style w:type="character" w:styleId="Emphasis">
    <w:name w:val="Emphasis"/>
    <w:basedOn w:val="DefaultParagraphFont"/>
    <w:uiPriority w:val="20"/>
    <w:qFormat/>
    <w:rsid w:val="00555FF8"/>
    <w:rPr>
      <w:i/>
      <w:iCs/>
    </w:rPr>
  </w:style>
  <w:style w:type="character" w:styleId="CommentReference">
    <w:name w:val="annotation reference"/>
    <w:basedOn w:val="DefaultParagraphFont"/>
    <w:uiPriority w:val="99"/>
    <w:semiHidden/>
    <w:unhideWhenUsed/>
    <w:rsid w:val="00555FF8"/>
    <w:rPr>
      <w:sz w:val="16"/>
      <w:szCs w:val="16"/>
    </w:rPr>
  </w:style>
  <w:style w:type="paragraph" w:styleId="CommentText">
    <w:name w:val="annotation text"/>
    <w:basedOn w:val="Normal"/>
    <w:link w:val="CommentTextChar"/>
    <w:uiPriority w:val="99"/>
    <w:semiHidden/>
    <w:unhideWhenUsed/>
    <w:rsid w:val="00555FF8"/>
    <w:pPr>
      <w:spacing w:line="240" w:lineRule="auto"/>
    </w:pPr>
    <w:rPr>
      <w:sz w:val="20"/>
      <w:szCs w:val="20"/>
    </w:rPr>
  </w:style>
  <w:style w:type="character" w:customStyle="1" w:styleId="CommentTextChar">
    <w:name w:val="Comment Text Char"/>
    <w:basedOn w:val="DefaultParagraphFont"/>
    <w:link w:val="CommentText"/>
    <w:uiPriority w:val="99"/>
    <w:semiHidden/>
    <w:rsid w:val="00555FF8"/>
    <w:rPr>
      <w:rFonts w:eastAsiaTheme="minorHAnsi"/>
      <w:sz w:val="20"/>
      <w:szCs w:val="20"/>
      <w:lang w:eastAsia="en-US"/>
    </w:rPr>
  </w:style>
  <w:style w:type="paragraph" w:styleId="BalloonText">
    <w:name w:val="Balloon Text"/>
    <w:basedOn w:val="Normal"/>
    <w:link w:val="BalloonTextChar"/>
    <w:uiPriority w:val="99"/>
    <w:semiHidden/>
    <w:unhideWhenUsed/>
    <w:rsid w:val="00555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F8"/>
    <w:rPr>
      <w:rFonts w:ascii="Segoe UI" w:eastAsiaTheme="minorHAnsi" w:hAnsi="Segoe UI" w:cs="Segoe UI"/>
      <w:sz w:val="18"/>
      <w:szCs w:val="18"/>
      <w:lang w:eastAsia="en-US"/>
    </w:rPr>
  </w:style>
  <w:style w:type="character" w:styleId="Hyperlink">
    <w:name w:val="Hyperlink"/>
    <w:basedOn w:val="DefaultParagraphFont"/>
    <w:uiPriority w:val="99"/>
    <w:unhideWhenUsed/>
    <w:rsid w:val="005B59EC"/>
    <w:rPr>
      <w:color w:val="0563C1" w:themeColor="hyperlink"/>
      <w:u w:val="single"/>
    </w:rPr>
  </w:style>
  <w:style w:type="paragraph" w:styleId="FootnoteText">
    <w:name w:val="footnote text"/>
    <w:basedOn w:val="Normal"/>
    <w:link w:val="FootnoteTextChar"/>
    <w:rsid w:val="00280B21"/>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80B21"/>
    <w:rPr>
      <w:rFonts w:ascii="Times New Roman" w:eastAsia="Times New Roman" w:hAnsi="Times New Roman" w:cs="Times New Roman"/>
      <w:sz w:val="20"/>
      <w:szCs w:val="20"/>
      <w:lang w:val="fi-FI" w:eastAsia="en-US"/>
    </w:rPr>
  </w:style>
  <w:style w:type="character" w:styleId="FootnoteReference">
    <w:name w:val="footnote reference"/>
    <w:uiPriority w:val="99"/>
    <w:rsid w:val="00280B21"/>
    <w:rPr>
      <w:shd w:val="clear" w:color="auto" w:fill="auto"/>
      <w:vertAlign w:val="superscript"/>
    </w:rPr>
  </w:style>
  <w:style w:type="paragraph" w:styleId="CommentSubject">
    <w:name w:val="annotation subject"/>
    <w:basedOn w:val="CommentText"/>
    <w:next w:val="CommentText"/>
    <w:link w:val="CommentSubjectChar"/>
    <w:uiPriority w:val="99"/>
    <w:semiHidden/>
    <w:unhideWhenUsed/>
    <w:rsid w:val="00393149"/>
    <w:rPr>
      <w:b/>
      <w:bCs/>
    </w:rPr>
  </w:style>
  <w:style w:type="character" w:customStyle="1" w:styleId="CommentSubjectChar">
    <w:name w:val="Comment Subject Char"/>
    <w:basedOn w:val="CommentTextChar"/>
    <w:link w:val="CommentSubject"/>
    <w:uiPriority w:val="99"/>
    <w:semiHidden/>
    <w:rsid w:val="00393149"/>
    <w:rPr>
      <w:rFonts w:eastAsiaTheme="minorHAnsi"/>
      <w:b/>
      <w:bCs/>
      <w:sz w:val="20"/>
      <w:szCs w:val="20"/>
      <w:lang w:eastAsia="en-US"/>
    </w:rPr>
  </w:style>
  <w:style w:type="paragraph" w:styleId="Header">
    <w:name w:val="header"/>
    <w:basedOn w:val="Normal"/>
    <w:link w:val="HeaderChar"/>
    <w:uiPriority w:val="99"/>
    <w:unhideWhenUsed/>
    <w:rsid w:val="007F2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53F"/>
    <w:rPr>
      <w:rFonts w:eastAsiaTheme="minorHAnsi"/>
      <w:lang w:eastAsia="en-US"/>
    </w:rPr>
  </w:style>
  <w:style w:type="paragraph" w:styleId="Footer">
    <w:name w:val="footer"/>
    <w:basedOn w:val="Normal"/>
    <w:link w:val="FooterChar"/>
    <w:uiPriority w:val="99"/>
    <w:unhideWhenUsed/>
    <w:rsid w:val="007F2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53F"/>
    <w:rPr>
      <w:rFonts w:eastAsiaTheme="minorHAnsi"/>
      <w:lang w:eastAsia="en-US"/>
    </w:rPr>
  </w:style>
  <w:style w:type="character" w:customStyle="1" w:styleId="Heading1Char">
    <w:name w:val="Heading 1 Char"/>
    <w:basedOn w:val="DefaultParagraphFont"/>
    <w:link w:val="Heading1"/>
    <w:uiPriority w:val="9"/>
    <w:rsid w:val="00E51267"/>
    <w:rPr>
      <w:rFonts w:asciiTheme="majorHAnsi" w:eastAsiaTheme="majorEastAsia" w:hAnsiTheme="majorHAnsi" w:cstheme="majorBidi"/>
      <w:color w:val="2E74B5" w:themeColor="accent1" w:themeShade="BF"/>
      <w:sz w:val="32"/>
      <w:szCs w:val="32"/>
      <w:lang w:eastAsia="en-US"/>
    </w:rPr>
  </w:style>
  <w:style w:type="paragraph" w:styleId="EndnoteText">
    <w:name w:val="endnote text"/>
    <w:basedOn w:val="Normal"/>
    <w:link w:val="EndnoteTextChar"/>
    <w:uiPriority w:val="99"/>
    <w:semiHidden/>
    <w:unhideWhenUsed/>
    <w:rsid w:val="00FB6C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6C68"/>
    <w:rPr>
      <w:rFonts w:eastAsiaTheme="minorHAnsi"/>
      <w:sz w:val="20"/>
      <w:szCs w:val="20"/>
      <w:lang w:eastAsia="en-US"/>
    </w:rPr>
  </w:style>
  <w:style w:type="character" w:styleId="EndnoteReference">
    <w:name w:val="endnote reference"/>
    <w:basedOn w:val="DefaultParagraphFont"/>
    <w:uiPriority w:val="99"/>
    <w:semiHidden/>
    <w:unhideWhenUsed/>
    <w:rsid w:val="00FB6C68"/>
    <w:rPr>
      <w:vertAlign w:val="superscript"/>
    </w:rPr>
  </w:style>
  <w:style w:type="character" w:styleId="FollowedHyperlink">
    <w:name w:val="FollowedHyperlink"/>
    <w:basedOn w:val="DefaultParagraphFont"/>
    <w:uiPriority w:val="99"/>
    <w:semiHidden/>
    <w:unhideWhenUsed/>
    <w:rsid w:val="000654AD"/>
    <w:rPr>
      <w:color w:val="954F72" w:themeColor="followedHyperlink"/>
      <w:u w:val="single"/>
    </w:rPr>
  </w:style>
  <w:style w:type="paragraph" w:styleId="HTMLPreformatted">
    <w:name w:val="HTML Preformatted"/>
    <w:basedOn w:val="Normal"/>
    <w:link w:val="HTMLPreformattedChar"/>
    <w:uiPriority w:val="99"/>
    <w:semiHidden/>
    <w:unhideWhenUsed/>
    <w:rsid w:val="00387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875EC"/>
    <w:rPr>
      <w:rFonts w:ascii="Courier New" w:eastAsia="Times New Roman" w:hAnsi="Courier New" w:cs="Courier New"/>
      <w:sz w:val="20"/>
      <w:szCs w:val="20"/>
      <w:lang w:eastAsia="en-GB"/>
    </w:rPr>
  </w:style>
  <w:style w:type="character" w:customStyle="1" w:styleId="y2iqfc">
    <w:name w:val="y2iqfc"/>
    <w:basedOn w:val="DefaultParagraphFont"/>
    <w:rsid w:val="003875EC"/>
  </w:style>
  <w:style w:type="character" w:customStyle="1" w:styleId="Heading2Char">
    <w:name w:val="Heading 2 Char"/>
    <w:basedOn w:val="DefaultParagraphFont"/>
    <w:link w:val="Heading2"/>
    <w:uiPriority w:val="9"/>
    <w:semiHidden/>
    <w:rsid w:val="003875EC"/>
    <w:rPr>
      <w:rFonts w:asciiTheme="majorHAnsi" w:eastAsiaTheme="majorEastAsia" w:hAnsiTheme="majorHAnsi" w:cstheme="majorBidi"/>
      <w:color w:val="2E74B5" w:themeColor="accent1" w:themeShade="BF"/>
      <w:sz w:val="26"/>
      <w:szCs w:val="26"/>
      <w:lang w:eastAsia="en-US"/>
    </w:rPr>
  </w:style>
  <w:style w:type="character" w:customStyle="1" w:styleId="Marker">
    <w:name w:val="Marker"/>
    <w:basedOn w:val="DefaultParagraphFont"/>
    <w:rsid w:val="006A5ABA"/>
    <w:rPr>
      <w:color w:val="0000FF"/>
      <w:shd w:val="clear" w:color="auto" w:fill="auto"/>
    </w:rPr>
  </w:style>
  <w:style w:type="paragraph" w:customStyle="1" w:styleId="Pagedecouverture">
    <w:name w:val="Page de couverture"/>
    <w:basedOn w:val="Normal"/>
    <w:next w:val="Normal"/>
    <w:rsid w:val="006A5ABA"/>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6A5AB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A5ABA"/>
    <w:rPr>
      <w:rFonts w:ascii="Times New Roman" w:eastAsiaTheme="minorHAnsi" w:hAnsi="Times New Roman" w:cs="Times New Roman"/>
      <w:sz w:val="24"/>
      <w:lang w:eastAsia="en-US"/>
    </w:rPr>
  </w:style>
  <w:style w:type="paragraph" w:customStyle="1" w:styleId="FooterSensitivity">
    <w:name w:val="Footer Sensitivity"/>
    <w:basedOn w:val="Normal"/>
    <w:link w:val="FooterSensitivityChar"/>
    <w:rsid w:val="006A5AB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A5ABA"/>
    <w:rPr>
      <w:rFonts w:ascii="Times New Roman" w:eastAsiaTheme="minorHAnsi" w:hAnsi="Times New Roman" w:cs="Times New Roman"/>
      <w:b/>
      <w:sz w:val="32"/>
      <w:lang w:eastAsia="en-US"/>
    </w:rPr>
  </w:style>
  <w:style w:type="paragraph" w:customStyle="1" w:styleId="HeaderCoverPage">
    <w:name w:val="Header Cover Page"/>
    <w:basedOn w:val="Normal"/>
    <w:link w:val="HeaderCoverPageChar"/>
    <w:rsid w:val="006A5AB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A5ABA"/>
    <w:rPr>
      <w:rFonts w:ascii="Times New Roman" w:eastAsiaTheme="minorHAnsi" w:hAnsi="Times New Roman" w:cs="Times New Roman"/>
      <w:sz w:val="24"/>
      <w:lang w:eastAsia="en-US"/>
    </w:rPr>
  </w:style>
  <w:style w:type="paragraph" w:customStyle="1" w:styleId="HeaderSensitivity">
    <w:name w:val="Header Sensitivity"/>
    <w:basedOn w:val="Normal"/>
    <w:link w:val="HeaderSensitivityChar"/>
    <w:rsid w:val="006A5AB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A5ABA"/>
    <w:rPr>
      <w:rFonts w:ascii="Times New Roman" w:eastAsiaTheme="minorHAnsi" w:hAnsi="Times New Roman" w:cs="Times New Roman"/>
      <w:b/>
      <w:sz w:val="32"/>
      <w:lang w:eastAsia="en-US"/>
    </w:rPr>
  </w:style>
  <w:style w:type="paragraph" w:customStyle="1" w:styleId="HeaderSensitivityRight">
    <w:name w:val="Header Sensitivity Right"/>
    <w:basedOn w:val="Normal"/>
    <w:link w:val="HeaderSensitivityRightChar"/>
    <w:rsid w:val="006A5AB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A5ABA"/>
    <w:rPr>
      <w:rFonts w:ascii="Times New Roman" w:eastAsiaTheme="minorHAnsi" w:hAnsi="Times New Roman" w:cs="Times New Roman"/>
      <w:sz w:val="28"/>
      <w:lang w:eastAsia="en-US"/>
    </w:rPr>
  </w:style>
  <w:style w:type="paragraph" w:styleId="Revision">
    <w:name w:val="Revision"/>
    <w:hidden/>
    <w:uiPriority w:val="99"/>
    <w:semiHidden/>
    <w:rsid w:val="00B41FC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084314">
      <w:bodyDiv w:val="1"/>
      <w:marLeft w:val="0"/>
      <w:marRight w:val="0"/>
      <w:marTop w:val="0"/>
      <w:marBottom w:val="0"/>
      <w:divBdr>
        <w:top w:val="none" w:sz="0" w:space="0" w:color="auto"/>
        <w:left w:val="none" w:sz="0" w:space="0" w:color="auto"/>
        <w:bottom w:val="none" w:sz="0" w:space="0" w:color="auto"/>
        <w:right w:val="none" w:sz="0" w:space="0" w:color="auto"/>
      </w:divBdr>
    </w:div>
    <w:div w:id="1469131736">
      <w:bodyDiv w:val="1"/>
      <w:marLeft w:val="0"/>
      <w:marRight w:val="0"/>
      <w:marTop w:val="0"/>
      <w:marBottom w:val="0"/>
      <w:divBdr>
        <w:top w:val="none" w:sz="0" w:space="0" w:color="auto"/>
        <w:left w:val="none" w:sz="0" w:space="0" w:color="auto"/>
        <w:bottom w:val="none" w:sz="0" w:space="0" w:color="auto"/>
        <w:right w:val="none" w:sz="0" w:space="0" w:color="auto"/>
      </w:divBdr>
    </w:div>
    <w:div w:id="1517499534">
      <w:bodyDiv w:val="1"/>
      <w:marLeft w:val="0"/>
      <w:marRight w:val="0"/>
      <w:marTop w:val="0"/>
      <w:marBottom w:val="0"/>
      <w:divBdr>
        <w:top w:val="none" w:sz="0" w:space="0" w:color="auto"/>
        <w:left w:val="none" w:sz="0" w:space="0" w:color="auto"/>
        <w:bottom w:val="none" w:sz="0" w:space="0" w:color="auto"/>
        <w:right w:val="none" w:sz="0" w:space="0" w:color="auto"/>
      </w:divBdr>
    </w:div>
    <w:div w:id="1547183109">
      <w:bodyDiv w:val="1"/>
      <w:marLeft w:val="0"/>
      <w:marRight w:val="0"/>
      <w:marTop w:val="0"/>
      <w:marBottom w:val="0"/>
      <w:divBdr>
        <w:top w:val="none" w:sz="0" w:space="0" w:color="auto"/>
        <w:left w:val="none" w:sz="0" w:space="0" w:color="auto"/>
        <w:bottom w:val="none" w:sz="0" w:space="0" w:color="auto"/>
        <w:right w:val="none" w:sz="0" w:space="0" w:color="auto"/>
      </w:divBdr>
    </w:div>
    <w:div w:id="1714691813">
      <w:bodyDiv w:val="1"/>
      <w:marLeft w:val="0"/>
      <w:marRight w:val="0"/>
      <w:marTop w:val="0"/>
      <w:marBottom w:val="0"/>
      <w:divBdr>
        <w:top w:val="none" w:sz="0" w:space="0" w:color="auto"/>
        <w:left w:val="none" w:sz="0" w:space="0" w:color="auto"/>
        <w:bottom w:val="none" w:sz="0" w:space="0" w:color="auto"/>
        <w:right w:val="none" w:sz="0" w:space="0" w:color="auto"/>
      </w:divBdr>
    </w:div>
    <w:div w:id="1826318121">
      <w:bodyDiv w:val="1"/>
      <w:marLeft w:val="0"/>
      <w:marRight w:val="0"/>
      <w:marTop w:val="0"/>
      <w:marBottom w:val="0"/>
      <w:divBdr>
        <w:top w:val="none" w:sz="0" w:space="0" w:color="auto"/>
        <w:left w:val="none" w:sz="0" w:space="0" w:color="auto"/>
        <w:bottom w:val="none" w:sz="0" w:space="0" w:color="auto"/>
        <w:right w:val="none" w:sz="0" w:space="0" w:color="auto"/>
      </w:divBdr>
    </w:div>
    <w:div w:id="1889801787">
      <w:bodyDiv w:val="1"/>
      <w:marLeft w:val="0"/>
      <w:marRight w:val="0"/>
      <w:marTop w:val="0"/>
      <w:marBottom w:val="0"/>
      <w:divBdr>
        <w:top w:val="none" w:sz="0" w:space="0" w:color="auto"/>
        <w:left w:val="none" w:sz="0" w:space="0" w:color="auto"/>
        <w:bottom w:val="none" w:sz="0" w:space="0" w:color="auto"/>
        <w:right w:val="none" w:sz="0" w:space="0" w:color="auto"/>
      </w:divBdr>
    </w:div>
    <w:div w:id="193574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dsec.gov.mo/en-US/" TargetMode="External"/><Relationship Id="rId3" Type="http://schemas.openxmlformats.org/officeDocument/2006/relationships/hyperlink" Target="https://eeas.europa.eu/headquarters/headquarters-homepage/102647/macao-statement-spokesperson-disqualification-candidates-legislative-assembly-elections_en" TargetMode="External"/><Relationship Id="rId7" Type="http://schemas.openxmlformats.org/officeDocument/2006/relationships/hyperlink" Target="http://daccess-ods.un.org/access.nsf/Get?Open&amp;DS=CCPR/C/CHN-MAC/RQ/2&amp;Lang=E" TargetMode="External"/><Relationship Id="rId2" Type="http://schemas.openxmlformats.org/officeDocument/2006/relationships/hyperlink" Target="http://www.xinhuanet.com/gangao/2021-07/12/c_1127648161.htm" TargetMode="External"/><Relationship Id="rId1" Type="http://schemas.openxmlformats.org/officeDocument/2006/relationships/hyperlink" Target="https://www.macaupostdaily.com/article11422.html" TargetMode="External"/><Relationship Id="rId6" Type="http://schemas.openxmlformats.org/officeDocument/2006/relationships/hyperlink" Target="https://www.tdm.com.mo/zh-hant/news-detail/558430" TargetMode="External"/><Relationship Id="rId5" Type="http://schemas.openxmlformats.org/officeDocument/2006/relationships/hyperlink" Target="http://www.npc.gov.cn/englishnpc/c23934/202103/4378544f87a54214a4a99d6860412062.shtml" TargetMode="External"/><Relationship Id="rId4" Type="http://schemas.openxmlformats.org/officeDocument/2006/relationships/hyperlink" Target="http://www.npc.gov.cn/englishnpc/c23934/202103/6dbc5853665d43dbaf2161a993370e24.shtml" TargetMode="External"/><Relationship Id="rId9" Type="http://schemas.openxmlformats.org/officeDocument/2006/relationships/hyperlink" Target="https://www.gov.mo/en/news/133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0D4F-6C3E-401B-B904-D2F82E6B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2963</Words>
  <Characters>24923</Characters>
  <Application>Microsoft Office Word</Application>
  <DocSecurity>0</DocSecurity>
  <Lines>429</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cp:lastPrinted>2021-12-01T07:37:00Z</cp:lastPrinted>
  <dcterms:created xsi:type="dcterms:W3CDTF">2022-02-25T13:40:00Z</dcterms:created>
  <dcterms:modified xsi:type="dcterms:W3CDTF">2022-05-19T12:13:00Z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CP-018</vt:lpwstr>
  </property>
  <property fmtid="{D5CDD505-2E9C-101B-9397-08002B2CF9AE}" pid="7" name="Last edited using">
    <vt:lpwstr>LW 8.0, Build 20220128</vt:lpwstr>
  </property>
  <property fmtid="{D5CDD505-2E9C-101B-9397-08002B2CF9AE}" pid="8" name="Created using">
    <vt:lpwstr>LW 7.0.1, Build 20200226</vt:lpwstr>
  </property>
</Properties>
</file>