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B2BB" w14:textId="7EDE5998" w:rsidR="00F0214F" w:rsidRPr="00C64B4C" w:rsidRDefault="005F7C9B" w:rsidP="005F7C9B">
      <w:pPr>
        <w:pStyle w:val="Pagedecouverture"/>
        <w:rPr>
          <w:noProof/>
        </w:rPr>
      </w:pPr>
      <w:bookmarkStart w:id="0" w:name="LW_BM_COVERPAGE"/>
      <w:r>
        <w:rPr>
          <w:noProof/>
        </w:rPr>
        <w:pict w14:anchorId="556D8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8077EA3-7CDA-4808-BA6D-3FBB1FA17F3B" style="width:455.25pt;height:324pt">
            <v:imagedata r:id="rId8" o:title=""/>
          </v:shape>
        </w:pict>
      </w:r>
    </w:p>
    <w:bookmarkEnd w:id="0"/>
    <w:p w14:paraId="35458008" w14:textId="77777777" w:rsidR="00F0214F" w:rsidRPr="00C64B4C" w:rsidRDefault="00F0214F" w:rsidP="00901A5C">
      <w:pPr>
        <w:rPr>
          <w:noProof/>
        </w:rPr>
        <w:sectPr w:rsidR="00F0214F" w:rsidRPr="00C64B4C" w:rsidSect="005F7C9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64D936A" w14:textId="77777777" w:rsidR="007C7517" w:rsidRPr="00C64B4C" w:rsidRDefault="007C7517" w:rsidP="00901A5C">
      <w:pPr>
        <w:pStyle w:val="Heading1"/>
        <w:numPr>
          <w:ilvl w:val="0"/>
          <w:numId w:val="1"/>
        </w:numPr>
        <w:jc w:val="left"/>
        <w:rPr>
          <w:rFonts w:eastAsiaTheme="minorHAnsi"/>
          <w:noProof/>
          <w:sz w:val="24"/>
          <w:szCs w:val="24"/>
          <w:lang w:eastAsia="en-US" w:bidi="ar-SA"/>
        </w:rPr>
      </w:pPr>
      <w:bookmarkStart w:id="1" w:name="_GoBack"/>
      <w:bookmarkEnd w:id="1"/>
      <w:r w:rsidRPr="00C64B4C">
        <w:rPr>
          <w:rFonts w:eastAsiaTheme="minorHAnsi"/>
          <w:noProof/>
          <w:sz w:val="24"/>
          <w:szCs w:val="24"/>
          <w:lang w:eastAsia="en-US" w:bidi="ar-SA"/>
        </w:rPr>
        <w:lastRenderedPageBreak/>
        <w:t xml:space="preserve">INTRODUCTION </w:t>
      </w:r>
    </w:p>
    <w:p w14:paraId="291D218D" w14:textId="77777777" w:rsidR="009A01F1" w:rsidRPr="00C64B4C" w:rsidRDefault="009A01F1" w:rsidP="009A01F1">
      <w:pPr>
        <w:pStyle w:val="Heading1"/>
        <w:ind w:left="0"/>
        <w:jc w:val="left"/>
        <w:rPr>
          <w:rFonts w:eastAsiaTheme="minorHAnsi"/>
          <w:noProof/>
          <w:sz w:val="24"/>
          <w:szCs w:val="24"/>
          <w:lang w:eastAsia="en-US" w:bidi="ar-SA"/>
        </w:rPr>
      </w:pPr>
    </w:p>
    <w:p w14:paraId="5D9CE21B" w14:textId="77777777" w:rsidR="00001A21" w:rsidRPr="00C64B4C" w:rsidRDefault="008E4B11" w:rsidP="00901A5C">
      <w:pPr>
        <w:jc w:val="both"/>
        <w:rPr>
          <w:rFonts w:eastAsiaTheme="minorHAnsi"/>
          <w:noProof/>
          <w:sz w:val="24"/>
          <w:szCs w:val="24"/>
        </w:rPr>
      </w:pPr>
      <w:r w:rsidRPr="00C64B4C">
        <w:rPr>
          <w:rFonts w:eastAsiaTheme="minorHAnsi"/>
          <w:noProof/>
          <w:sz w:val="24"/>
          <w:szCs w:val="24"/>
        </w:rPr>
        <w:t xml:space="preserve">The three European Supervisory Authorities (ESAs) </w:t>
      </w:r>
      <w:r w:rsidR="00473C61" w:rsidRPr="00C64B4C">
        <w:rPr>
          <w:rFonts w:eastAsiaTheme="minorHAnsi"/>
          <w:noProof/>
          <w:sz w:val="24"/>
          <w:szCs w:val="24"/>
        </w:rPr>
        <w:t>–</w:t>
      </w:r>
      <w:r w:rsidRPr="00C64B4C">
        <w:rPr>
          <w:rFonts w:eastAsiaTheme="minorHAnsi"/>
          <w:noProof/>
          <w:sz w:val="24"/>
          <w:szCs w:val="24"/>
        </w:rPr>
        <w:t xml:space="preserve"> the European Banking</w:t>
      </w:r>
      <w:r w:rsidR="00437E32" w:rsidRPr="00C64B4C">
        <w:rPr>
          <w:rFonts w:eastAsiaTheme="minorHAnsi"/>
          <w:noProof/>
          <w:sz w:val="24"/>
          <w:szCs w:val="24"/>
        </w:rPr>
        <w:t xml:space="preserve"> </w:t>
      </w:r>
      <w:r w:rsidRPr="00C64B4C">
        <w:rPr>
          <w:rFonts w:eastAsiaTheme="minorHAnsi"/>
          <w:noProof/>
          <w:sz w:val="24"/>
          <w:szCs w:val="24"/>
        </w:rPr>
        <w:t>Authority (EBA), the European</w:t>
      </w:r>
      <w:r w:rsidR="00473C61" w:rsidRPr="00C64B4C">
        <w:rPr>
          <w:rFonts w:eastAsiaTheme="minorHAnsi"/>
          <w:noProof/>
          <w:sz w:val="24"/>
          <w:szCs w:val="24"/>
        </w:rPr>
        <w:t xml:space="preserve"> Insurance</w:t>
      </w:r>
      <w:r w:rsidRPr="00C64B4C">
        <w:rPr>
          <w:rFonts w:eastAsiaTheme="minorHAnsi"/>
          <w:noProof/>
          <w:sz w:val="24"/>
          <w:szCs w:val="24"/>
        </w:rPr>
        <w:t xml:space="preserve"> and Occupational Pensions Authority (EIOPA), and the European Securities and Markets Authority (ESMA) </w:t>
      </w:r>
      <w:r w:rsidR="005E5978" w:rsidRPr="00C64B4C">
        <w:rPr>
          <w:rFonts w:eastAsiaTheme="minorHAnsi"/>
          <w:noProof/>
          <w:sz w:val="24"/>
          <w:szCs w:val="24"/>
        </w:rPr>
        <w:t>–</w:t>
      </w:r>
      <w:r w:rsidRPr="00C64B4C">
        <w:rPr>
          <w:rFonts w:eastAsiaTheme="minorHAnsi"/>
          <w:noProof/>
          <w:sz w:val="24"/>
          <w:szCs w:val="24"/>
        </w:rPr>
        <w:t xml:space="preserve"> were created in 2011 </w:t>
      </w:r>
      <w:r w:rsidR="0096122F" w:rsidRPr="00C64B4C">
        <w:rPr>
          <w:rFonts w:eastAsiaTheme="minorHAnsi"/>
          <w:noProof/>
          <w:sz w:val="24"/>
          <w:szCs w:val="24"/>
        </w:rPr>
        <w:t>in</w:t>
      </w:r>
      <w:r w:rsidR="00001A21" w:rsidRPr="00C64B4C">
        <w:rPr>
          <w:rFonts w:eastAsiaTheme="minorHAnsi"/>
          <w:noProof/>
          <w:sz w:val="24"/>
          <w:szCs w:val="24"/>
        </w:rPr>
        <w:t xml:space="preserve"> response to the global financial crisis that unfolded in 2008</w:t>
      </w:r>
      <w:r w:rsidR="00BF636B" w:rsidRPr="00C64B4C">
        <w:rPr>
          <w:rFonts w:eastAsiaTheme="minorHAnsi"/>
          <w:noProof/>
          <w:sz w:val="24"/>
          <w:szCs w:val="24"/>
        </w:rPr>
        <w:t>.</w:t>
      </w:r>
      <w:r w:rsidR="00701066" w:rsidRPr="00C64B4C">
        <w:rPr>
          <w:rFonts w:eastAsiaTheme="minorHAnsi"/>
          <w:noProof/>
          <w:sz w:val="24"/>
          <w:szCs w:val="24"/>
        </w:rPr>
        <w:t xml:space="preserve"> </w:t>
      </w:r>
      <w:r w:rsidR="00BF636B" w:rsidRPr="00C64B4C">
        <w:rPr>
          <w:rFonts w:eastAsiaTheme="minorHAnsi"/>
          <w:noProof/>
          <w:sz w:val="24"/>
          <w:szCs w:val="24"/>
        </w:rPr>
        <w:t xml:space="preserve">They were </w:t>
      </w:r>
      <w:r w:rsidR="00DE4345" w:rsidRPr="00C64B4C">
        <w:rPr>
          <w:rFonts w:eastAsiaTheme="minorHAnsi"/>
          <w:noProof/>
          <w:sz w:val="24"/>
          <w:szCs w:val="24"/>
        </w:rPr>
        <w:t xml:space="preserve">set up </w:t>
      </w:r>
      <w:r w:rsidR="00BF636B" w:rsidRPr="00C64B4C">
        <w:rPr>
          <w:rFonts w:eastAsiaTheme="minorHAnsi"/>
          <w:noProof/>
          <w:sz w:val="24"/>
          <w:szCs w:val="24"/>
        </w:rPr>
        <w:t>to help tackl</w:t>
      </w:r>
      <w:r w:rsidR="00473C61" w:rsidRPr="00C64B4C">
        <w:rPr>
          <w:rFonts w:eastAsiaTheme="minorHAnsi"/>
          <w:noProof/>
          <w:sz w:val="24"/>
          <w:szCs w:val="24"/>
        </w:rPr>
        <w:t>e</w:t>
      </w:r>
      <w:r w:rsidR="00BF636B" w:rsidRPr="00C64B4C">
        <w:rPr>
          <w:rFonts w:eastAsiaTheme="minorHAnsi"/>
          <w:noProof/>
          <w:sz w:val="24"/>
          <w:szCs w:val="24"/>
        </w:rPr>
        <w:t xml:space="preserve"> the shortcomings in supervision </w:t>
      </w:r>
      <w:r w:rsidR="00473C61" w:rsidRPr="00C64B4C">
        <w:rPr>
          <w:rFonts w:eastAsiaTheme="minorHAnsi"/>
          <w:noProof/>
          <w:sz w:val="24"/>
          <w:szCs w:val="24"/>
        </w:rPr>
        <w:t xml:space="preserve">revealed by </w:t>
      </w:r>
      <w:r w:rsidR="00BF636B" w:rsidRPr="00C64B4C">
        <w:rPr>
          <w:rFonts w:eastAsiaTheme="minorHAnsi"/>
          <w:noProof/>
          <w:sz w:val="24"/>
          <w:szCs w:val="24"/>
        </w:rPr>
        <w:t xml:space="preserve">the financial crisis and </w:t>
      </w:r>
      <w:r w:rsidR="00001A21" w:rsidRPr="00C64B4C">
        <w:rPr>
          <w:rFonts w:eastAsiaTheme="minorHAnsi"/>
          <w:noProof/>
          <w:sz w:val="24"/>
          <w:szCs w:val="24"/>
        </w:rPr>
        <w:t xml:space="preserve">to restore </w:t>
      </w:r>
      <w:r w:rsidR="001746FC" w:rsidRPr="00C64B4C">
        <w:rPr>
          <w:rFonts w:eastAsiaTheme="minorHAnsi"/>
          <w:noProof/>
          <w:sz w:val="24"/>
          <w:szCs w:val="24"/>
        </w:rPr>
        <w:t xml:space="preserve">full </w:t>
      </w:r>
      <w:r w:rsidR="00001A21" w:rsidRPr="00C64B4C">
        <w:rPr>
          <w:rFonts w:eastAsiaTheme="minorHAnsi"/>
          <w:noProof/>
          <w:sz w:val="24"/>
          <w:szCs w:val="24"/>
        </w:rPr>
        <w:t>trust</w:t>
      </w:r>
      <w:r w:rsidR="00BF636B" w:rsidRPr="00C64B4C">
        <w:rPr>
          <w:rFonts w:eastAsiaTheme="minorHAnsi"/>
          <w:noProof/>
          <w:sz w:val="24"/>
          <w:szCs w:val="24"/>
        </w:rPr>
        <w:t xml:space="preserve"> in EU financial markets.</w:t>
      </w:r>
      <w:r w:rsidR="00001A21" w:rsidRPr="00C64B4C">
        <w:rPr>
          <w:rFonts w:eastAsiaTheme="minorHAnsi"/>
          <w:noProof/>
          <w:sz w:val="24"/>
          <w:szCs w:val="24"/>
        </w:rPr>
        <w:t xml:space="preserve"> </w:t>
      </w:r>
    </w:p>
    <w:p w14:paraId="669B1560" w14:textId="77777777" w:rsidR="00001A21" w:rsidRPr="00C64B4C" w:rsidRDefault="00001A21" w:rsidP="00901A5C">
      <w:pPr>
        <w:jc w:val="both"/>
        <w:rPr>
          <w:rFonts w:eastAsiaTheme="minorHAnsi"/>
          <w:noProof/>
          <w:sz w:val="24"/>
          <w:szCs w:val="24"/>
        </w:rPr>
      </w:pPr>
    </w:p>
    <w:p w14:paraId="668FEF78" w14:textId="22C2D604" w:rsidR="00F01F96" w:rsidRDefault="001746FC" w:rsidP="00901A5C">
      <w:pPr>
        <w:jc w:val="both"/>
        <w:rPr>
          <w:rFonts w:eastAsiaTheme="minorHAnsi"/>
          <w:noProof/>
          <w:sz w:val="24"/>
          <w:szCs w:val="24"/>
        </w:rPr>
      </w:pPr>
      <w:r w:rsidRPr="00C64B4C">
        <w:rPr>
          <w:rFonts w:eastAsiaTheme="minorHAnsi"/>
          <w:noProof/>
          <w:sz w:val="24"/>
          <w:szCs w:val="24"/>
        </w:rPr>
        <w:t>More than</w:t>
      </w:r>
      <w:r w:rsidR="00C23552" w:rsidRPr="00C64B4C">
        <w:rPr>
          <w:rFonts w:eastAsiaTheme="minorHAnsi"/>
          <w:noProof/>
          <w:sz w:val="24"/>
          <w:szCs w:val="24"/>
        </w:rPr>
        <w:t xml:space="preserve"> 10 years after their creation, </w:t>
      </w:r>
      <w:r w:rsidR="00001A21" w:rsidRPr="00C64B4C">
        <w:rPr>
          <w:rFonts w:eastAsiaTheme="minorHAnsi"/>
          <w:noProof/>
          <w:sz w:val="24"/>
          <w:szCs w:val="24"/>
        </w:rPr>
        <w:t xml:space="preserve">the ESAs </w:t>
      </w:r>
      <w:r w:rsidR="00473C61" w:rsidRPr="00C64B4C">
        <w:rPr>
          <w:rFonts w:eastAsiaTheme="minorHAnsi"/>
          <w:noProof/>
          <w:sz w:val="24"/>
          <w:szCs w:val="24"/>
        </w:rPr>
        <w:t xml:space="preserve">now have </w:t>
      </w:r>
      <w:r w:rsidRPr="00C64B4C">
        <w:rPr>
          <w:rFonts w:eastAsiaTheme="minorHAnsi"/>
          <w:noProof/>
          <w:sz w:val="24"/>
          <w:szCs w:val="24"/>
        </w:rPr>
        <w:t xml:space="preserve">a </w:t>
      </w:r>
      <w:r w:rsidR="00470D5E" w:rsidRPr="00C64B4C" w:rsidDel="00065C38">
        <w:rPr>
          <w:rFonts w:eastAsiaTheme="minorHAnsi"/>
          <w:noProof/>
          <w:sz w:val="24"/>
          <w:szCs w:val="24"/>
        </w:rPr>
        <w:t>very convincing</w:t>
      </w:r>
      <w:r w:rsidRPr="00C64B4C" w:rsidDel="00065C38">
        <w:rPr>
          <w:rFonts w:eastAsiaTheme="minorHAnsi"/>
          <w:noProof/>
          <w:sz w:val="24"/>
          <w:szCs w:val="24"/>
        </w:rPr>
        <w:t xml:space="preserve"> </w:t>
      </w:r>
      <w:r w:rsidRPr="00C64B4C">
        <w:rPr>
          <w:rFonts w:eastAsiaTheme="minorHAnsi"/>
          <w:noProof/>
          <w:sz w:val="24"/>
          <w:szCs w:val="24"/>
        </w:rPr>
        <w:t xml:space="preserve">track-record in these areas. They </w:t>
      </w:r>
      <w:r w:rsidR="009363B1" w:rsidRPr="00C64B4C">
        <w:rPr>
          <w:rFonts w:eastAsiaTheme="minorHAnsi"/>
          <w:noProof/>
          <w:sz w:val="24"/>
          <w:szCs w:val="24"/>
        </w:rPr>
        <w:t xml:space="preserve">are </w:t>
      </w:r>
      <w:r w:rsidR="00001A21" w:rsidRPr="00C64B4C">
        <w:rPr>
          <w:rFonts w:eastAsiaTheme="minorHAnsi"/>
          <w:noProof/>
          <w:sz w:val="24"/>
          <w:szCs w:val="24"/>
        </w:rPr>
        <w:t xml:space="preserve">key </w:t>
      </w:r>
      <w:r w:rsidR="007D6C91">
        <w:rPr>
          <w:rFonts w:eastAsiaTheme="minorHAnsi"/>
          <w:noProof/>
          <w:sz w:val="24"/>
          <w:szCs w:val="24"/>
        </w:rPr>
        <w:t>actors</w:t>
      </w:r>
      <w:r w:rsidR="007D6C91" w:rsidRPr="00C64B4C">
        <w:rPr>
          <w:rFonts w:eastAsiaTheme="minorHAnsi"/>
          <w:noProof/>
          <w:sz w:val="24"/>
          <w:szCs w:val="24"/>
        </w:rPr>
        <w:t xml:space="preserve"> </w:t>
      </w:r>
      <w:r w:rsidR="00473C61" w:rsidRPr="00C64B4C">
        <w:rPr>
          <w:rFonts w:eastAsiaTheme="minorHAnsi"/>
          <w:noProof/>
          <w:sz w:val="24"/>
          <w:szCs w:val="24"/>
        </w:rPr>
        <w:t xml:space="preserve">in </w:t>
      </w:r>
      <w:r w:rsidR="00001A21" w:rsidRPr="00C64B4C">
        <w:rPr>
          <w:rFonts w:eastAsiaTheme="minorHAnsi"/>
          <w:noProof/>
          <w:sz w:val="24"/>
          <w:szCs w:val="24"/>
        </w:rPr>
        <w:t>shaping the si</w:t>
      </w:r>
      <w:r w:rsidR="00D75477" w:rsidRPr="00C64B4C">
        <w:rPr>
          <w:rFonts w:eastAsiaTheme="minorHAnsi"/>
          <w:noProof/>
          <w:sz w:val="24"/>
          <w:szCs w:val="24"/>
        </w:rPr>
        <w:t>ngle market for capital</w:t>
      </w:r>
      <w:r w:rsidR="00BF636B" w:rsidRPr="00C64B4C">
        <w:rPr>
          <w:rFonts w:eastAsiaTheme="minorHAnsi"/>
          <w:noProof/>
          <w:sz w:val="24"/>
          <w:szCs w:val="24"/>
        </w:rPr>
        <w:t xml:space="preserve"> </w:t>
      </w:r>
      <w:r w:rsidR="00065C38" w:rsidRPr="00C64B4C">
        <w:rPr>
          <w:rFonts w:eastAsiaTheme="minorHAnsi"/>
          <w:noProof/>
          <w:sz w:val="24"/>
          <w:szCs w:val="24"/>
        </w:rPr>
        <w:t>and financial services</w:t>
      </w:r>
      <w:r w:rsidR="00F42C09" w:rsidRPr="00C64B4C">
        <w:rPr>
          <w:rFonts w:eastAsiaTheme="minorHAnsi"/>
          <w:noProof/>
          <w:sz w:val="24"/>
          <w:szCs w:val="24"/>
        </w:rPr>
        <w:t xml:space="preserve"> </w:t>
      </w:r>
      <w:r w:rsidR="00473C61" w:rsidRPr="00C64B4C">
        <w:rPr>
          <w:rFonts w:eastAsiaTheme="minorHAnsi"/>
          <w:noProof/>
          <w:sz w:val="24"/>
          <w:szCs w:val="24"/>
        </w:rPr>
        <w:t xml:space="preserve">by </w:t>
      </w:r>
      <w:r w:rsidR="007D6C91">
        <w:rPr>
          <w:rFonts w:eastAsiaTheme="minorHAnsi"/>
          <w:noProof/>
          <w:sz w:val="24"/>
          <w:szCs w:val="24"/>
        </w:rPr>
        <w:t xml:space="preserve">contributing to </w:t>
      </w:r>
      <w:r w:rsidR="009363B1" w:rsidRPr="00C64B4C">
        <w:rPr>
          <w:rFonts w:eastAsiaTheme="minorHAnsi"/>
          <w:noProof/>
          <w:sz w:val="24"/>
          <w:szCs w:val="24"/>
        </w:rPr>
        <w:t>implementing EU</w:t>
      </w:r>
      <w:r w:rsidR="008D6B23" w:rsidRPr="00C64B4C">
        <w:rPr>
          <w:rFonts w:eastAsiaTheme="minorHAnsi"/>
          <w:noProof/>
          <w:sz w:val="24"/>
          <w:szCs w:val="24"/>
        </w:rPr>
        <w:t xml:space="preserve"> legislation in this area</w:t>
      </w:r>
      <w:r w:rsidR="007D6C91">
        <w:rPr>
          <w:rFonts w:eastAsiaTheme="minorHAnsi"/>
          <w:noProof/>
          <w:sz w:val="24"/>
          <w:szCs w:val="24"/>
        </w:rPr>
        <w:t xml:space="preserve"> and by coordinating the work of national supervisors</w:t>
      </w:r>
      <w:r w:rsidR="008D6B23" w:rsidRPr="00C64B4C">
        <w:rPr>
          <w:rFonts w:eastAsiaTheme="minorHAnsi"/>
          <w:noProof/>
          <w:sz w:val="24"/>
          <w:szCs w:val="24"/>
        </w:rPr>
        <w:t xml:space="preserve">. They have </w:t>
      </w:r>
      <w:r w:rsidR="000C0D7B" w:rsidRPr="00C64B4C">
        <w:rPr>
          <w:rFonts w:eastAsiaTheme="minorHAnsi"/>
          <w:noProof/>
          <w:sz w:val="24"/>
          <w:szCs w:val="24"/>
        </w:rPr>
        <w:t xml:space="preserve">also </w:t>
      </w:r>
      <w:r w:rsidR="00D22F36" w:rsidRPr="00C64B4C">
        <w:rPr>
          <w:rFonts w:eastAsiaTheme="minorHAnsi"/>
          <w:noProof/>
          <w:sz w:val="24"/>
          <w:szCs w:val="24"/>
        </w:rPr>
        <w:t xml:space="preserve">successfully </w:t>
      </w:r>
      <w:r w:rsidR="000C0D7B" w:rsidRPr="00C64B4C">
        <w:rPr>
          <w:rFonts w:eastAsiaTheme="minorHAnsi"/>
          <w:noProof/>
          <w:sz w:val="24"/>
          <w:szCs w:val="24"/>
        </w:rPr>
        <w:t xml:space="preserve">taken </w:t>
      </w:r>
      <w:r w:rsidR="00473C61" w:rsidRPr="00C64B4C">
        <w:rPr>
          <w:rFonts w:eastAsiaTheme="minorHAnsi"/>
          <w:noProof/>
          <w:sz w:val="24"/>
          <w:szCs w:val="24"/>
        </w:rPr>
        <w:t xml:space="preserve">on </w:t>
      </w:r>
      <w:r w:rsidR="000C0D7B" w:rsidRPr="00C64B4C">
        <w:rPr>
          <w:rFonts w:eastAsiaTheme="minorHAnsi"/>
          <w:noProof/>
          <w:sz w:val="24"/>
          <w:szCs w:val="24"/>
        </w:rPr>
        <w:t>new tasks in</w:t>
      </w:r>
      <w:r w:rsidR="00C87009" w:rsidRPr="00C64B4C">
        <w:rPr>
          <w:rFonts w:eastAsiaTheme="minorHAnsi"/>
          <w:noProof/>
          <w:sz w:val="24"/>
          <w:szCs w:val="24"/>
        </w:rPr>
        <w:t xml:space="preserve"> the recovery and</w:t>
      </w:r>
      <w:r w:rsidR="008D6B23" w:rsidRPr="00C64B4C">
        <w:rPr>
          <w:rFonts w:eastAsiaTheme="minorHAnsi"/>
          <w:noProof/>
          <w:sz w:val="24"/>
          <w:szCs w:val="24"/>
        </w:rPr>
        <w:t xml:space="preserve"> resolution</w:t>
      </w:r>
      <w:r w:rsidR="00C87009" w:rsidRPr="00C64B4C">
        <w:rPr>
          <w:rFonts w:eastAsiaTheme="minorHAnsi"/>
          <w:noProof/>
          <w:sz w:val="24"/>
          <w:szCs w:val="24"/>
        </w:rPr>
        <w:t xml:space="preserve"> frameworks</w:t>
      </w:r>
      <w:r w:rsidR="00266176">
        <w:rPr>
          <w:rStyle w:val="FootnoteReference"/>
          <w:rFonts w:eastAsiaTheme="minorHAnsi"/>
          <w:noProof/>
          <w:sz w:val="24"/>
          <w:szCs w:val="24"/>
        </w:rPr>
        <w:footnoteReference w:id="2"/>
      </w:r>
      <w:r w:rsidR="008D6B23" w:rsidRPr="00C64B4C">
        <w:rPr>
          <w:rFonts w:eastAsiaTheme="minorHAnsi"/>
          <w:noProof/>
          <w:sz w:val="24"/>
          <w:szCs w:val="24"/>
        </w:rPr>
        <w:t xml:space="preserve">. </w:t>
      </w:r>
      <w:r w:rsidR="00BF636B" w:rsidRPr="00C64B4C">
        <w:rPr>
          <w:rFonts w:eastAsiaTheme="minorHAnsi"/>
          <w:noProof/>
          <w:sz w:val="24"/>
          <w:szCs w:val="24"/>
        </w:rPr>
        <w:t xml:space="preserve">The recent </w:t>
      </w:r>
      <w:r w:rsidR="00001A21" w:rsidRPr="00C64B4C">
        <w:rPr>
          <w:rFonts w:eastAsiaTheme="minorHAnsi"/>
          <w:noProof/>
          <w:sz w:val="24"/>
          <w:szCs w:val="24"/>
        </w:rPr>
        <w:t>C</w:t>
      </w:r>
      <w:r w:rsidR="00473C61" w:rsidRPr="00C64B4C">
        <w:rPr>
          <w:rFonts w:eastAsiaTheme="minorHAnsi"/>
          <w:noProof/>
          <w:sz w:val="24"/>
          <w:szCs w:val="24"/>
        </w:rPr>
        <w:t>OVID</w:t>
      </w:r>
      <w:r w:rsidR="009363B1" w:rsidRPr="00C64B4C">
        <w:rPr>
          <w:rFonts w:eastAsiaTheme="minorHAnsi"/>
          <w:noProof/>
          <w:sz w:val="24"/>
          <w:szCs w:val="24"/>
        </w:rPr>
        <w:t>-19</w:t>
      </w:r>
      <w:r w:rsidR="00D75477" w:rsidRPr="00C64B4C">
        <w:rPr>
          <w:rFonts w:eastAsiaTheme="minorHAnsi"/>
          <w:noProof/>
          <w:sz w:val="24"/>
          <w:szCs w:val="24"/>
        </w:rPr>
        <w:t xml:space="preserve"> crisis</w:t>
      </w:r>
      <w:r w:rsidR="00BF636B" w:rsidRPr="00C64B4C">
        <w:rPr>
          <w:rFonts w:eastAsiaTheme="minorHAnsi"/>
          <w:noProof/>
          <w:sz w:val="24"/>
          <w:szCs w:val="24"/>
        </w:rPr>
        <w:t xml:space="preserve"> has proven that the European </w:t>
      </w:r>
      <w:r w:rsidR="000144CE">
        <w:rPr>
          <w:rFonts w:eastAsiaTheme="minorHAnsi"/>
          <w:noProof/>
          <w:sz w:val="24"/>
          <w:szCs w:val="24"/>
        </w:rPr>
        <w:t>S</w:t>
      </w:r>
      <w:r w:rsidR="00BF636B" w:rsidRPr="00C64B4C">
        <w:rPr>
          <w:rFonts w:eastAsiaTheme="minorHAnsi"/>
          <w:noProof/>
          <w:sz w:val="24"/>
          <w:szCs w:val="24"/>
        </w:rPr>
        <w:t xml:space="preserve">ystem of </w:t>
      </w:r>
      <w:r w:rsidR="000144CE">
        <w:rPr>
          <w:rFonts w:eastAsiaTheme="minorHAnsi"/>
          <w:noProof/>
          <w:sz w:val="24"/>
          <w:szCs w:val="24"/>
        </w:rPr>
        <w:t>F</w:t>
      </w:r>
      <w:r w:rsidR="00BF636B" w:rsidRPr="00C64B4C">
        <w:rPr>
          <w:rFonts w:eastAsiaTheme="minorHAnsi"/>
          <w:noProof/>
          <w:sz w:val="24"/>
          <w:szCs w:val="24"/>
        </w:rPr>
        <w:t xml:space="preserve">inancial </w:t>
      </w:r>
      <w:r w:rsidR="000144CE">
        <w:rPr>
          <w:rFonts w:eastAsiaTheme="minorHAnsi"/>
          <w:noProof/>
          <w:sz w:val="24"/>
          <w:szCs w:val="24"/>
        </w:rPr>
        <w:t>S</w:t>
      </w:r>
      <w:r w:rsidR="00BF636B" w:rsidRPr="00C64B4C">
        <w:rPr>
          <w:rFonts w:eastAsiaTheme="minorHAnsi"/>
          <w:noProof/>
          <w:sz w:val="24"/>
          <w:szCs w:val="24"/>
        </w:rPr>
        <w:t xml:space="preserve">upervision </w:t>
      </w:r>
      <w:r w:rsidR="00473C61" w:rsidRPr="00C64B4C">
        <w:rPr>
          <w:rFonts w:eastAsiaTheme="minorHAnsi"/>
          <w:noProof/>
          <w:sz w:val="24"/>
          <w:szCs w:val="24"/>
        </w:rPr>
        <w:t>is functioning well,</w:t>
      </w:r>
      <w:r w:rsidR="009363B1" w:rsidRPr="00C64B4C">
        <w:rPr>
          <w:rFonts w:eastAsiaTheme="minorHAnsi"/>
          <w:noProof/>
          <w:sz w:val="24"/>
          <w:szCs w:val="24"/>
        </w:rPr>
        <w:t xml:space="preserve"> and the work of the ESAs has been an important part of this achievement</w:t>
      </w:r>
      <w:r w:rsidR="00967E7D" w:rsidRPr="00C64B4C">
        <w:rPr>
          <w:rFonts w:eastAsiaTheme="minorHAnsi"/>
          <w:noProof/>
          <w:sz w:val="24"/>
          <w:szCs w:val="24"/>
        </w:rPr>
        <w:t>.</w:t>
      </w:r>
      <w:r w:rsidR="00F01F96">
        <w:rPr>
          <w:rFonts w:eastAsiaTheme="minorHAnsi"/>
          <w:noProof/>
          <w:sz w:val="24"/>
          <w:szCs w:val="24"/>
        </w:rPr>
        <w:t xml:space="preserve"> </w:t>
      </w:r>
    </w:p>
    <w:p w14:paraId="3AE2C881" w14:textId="77777777" w:rsidR="00F01F96" w:rsidRDefault="00F01F96" w:rsidP="00901A5C">
      <w:pPr>
        <w:jc w:val="both"/>
        <w:rPr>
          <w:rFonts w:eastAsiaTheme="minorHAnsi"/>
          <w:noProof/>
          <w:sz w:val="24"/>
          <w:szCs w:val="24"/>
        </w:rPr>
      </w:pPr>
    </w:p>
    <w:p w14:paraId="2932C4A5" w14:textId="3772AAAA" w:rsidR="00001A21" w:rsidRPr="00C64B4C" w:rsidRDefault="00F01F96" w:rsidP="00901A5C">
      <w:pPr>
        <w:jc w:val="both"/>
        <w:rPr>
          <w:rFonts w:eastAsiaTheme="minorHAnsi"/>
          <w:noProof/>
          <w:sz w:val="24"/>
          <w:szCs w:val="24"/>
        </w:rPr>
      </w:pPr>
      <w:r>
        <w:rPr>
          <w:rFonts w:eastAsiaTheme="minorHAnsi"/>
          <w:noProof/>
          <w:sz w:val="24"/>
          <w:szCs w:val="24"/>
        </w:rPr>
        <w:t xml:space="preserve">Also in the current geopolitical context, with </w:t>
      </w:r>
      <w:r w:rsidR="005B38C9">
        <w:rPr>
          <w:rFonts w:eastAsiaTheme="minorHAnsi"/>
          <w:noProof/>
          <w:sz w:val="24"/>
          <w:szCs w:val="24"/>
        </w:rPr>
        <w:t>Russia’s war</w:t>
      </w:r>
      <w:r w:rsidR="00A827CA">
        <w:rPr>
          <w:rFonts w:eastAsiaTheme="minorHAnsi"/>
          <w:noProof/>
          <w:sz w:val="24"/>
          <w:szCs w:val="24"/>
        </w:rPr>
        <w:t xml:space="preserve"> </w:t>
      </w:r>
      <w:r>
        <w:rPr>
          <w:rFonts w:eastAsiaTheme="minorHAnsi"/>
          <w:noProof/>
          <w:sz w:val="24"/>
          <w:szCs w:val="24"/>
        </w:rPr>
        <w:t>against Ukraine, the ESAs play an important role</w:t>
      </w:r>
      <w:r w:rsidR="00221D89">
        <w:rPr>
          <w:rFonts w:eastAsiaTheme="minorHAnsi"/>
          <w:noProof/>
          <w:sz w:val="24"/>
          <w:szCs w:val="24"/>
        </w:rPr>
        <w:t>, including</w:t>
      </w:r>
      <w:r>
        <w:rPr>
          <w:rFonts w:eastAsiaTheme="minorHAnsi"/>
          <w:noProof/>
          <w:sz w:val="24"/>
          <w:szCs w:val="24"/>
        </w:rPr>
        <w:t xml:space="preserve"> in the implementation of sanctions by EU financial market operators</w:t>
      </w:r>
      <w:r w:rsidR="00221D89">
        <w:rPr>
          <w:rFonts w:eastAsiaTheme="minorHAnsi"/>
          <w:noProof/>
          <w:sz w:val="24"/>
          <w:szCs w:val="24"/>
        </w:rPr>
        <w:t xml:space="preserve">. Moreover, the ESAs </w:t>
      </w:r>
      <w:r>
        <w:rPr>
          <w:rFonts w:eastAsiaTheme="minorHAnsi"/>
          <w:noProof/>
          <w:sz w:val="24"/>
          <w:szCs w:val="24"/>
        </w:rPr>
        <w:t xml:space="preserve">monitor the impact on EU financial institutions and </w:t>
      </w:r>
      <w:r w:rsidR="00221D89">
        <w:rPr>
          <w:rFonts w:eastAsiaTheme="minorHAnsi"/>
          <w:noProof/>
          <w:sz w:val="24"/>
          <w:szCs w:val="24"/>
        </w:rPr>
        <w:t xml:space="preserve">follow </w:t>
      </w:r>
      <w:r>
        <w:rPr>
          <w:rFonts w:eastAsiaTheme="minorHAnsi"/>
          <w:noProof/>
          <w:sz w:val="24"/>
          <w:szCs w:val="24"/>
        </w:rPr>
        <w:t>financial market developments</w:t>
      </w:r>
      <w:r w:rsidR="00221D89">
        <w:rPr>
          <w:rFonts w:eastAsiaTheme="minorHAnsi"/>
          <w:noProof/>
          <w:sz w:val="24"/>
          <w:szCs w:val="24"/>
        </w:rPr>
        <w:t xml:space="preserve"> closely</w:t>
      </w:r>
      <w:r>
        <w:rPr>
          <w:rFonts w:eastAsiaTheme="minorHAnsi"/>
          <w:noProof/>
          <w:sz w:val="24"/>
          <w:szCs w:val="24"/>
        </w:rPr>
        <w:t>, notably with regard to energy</w:t>
      </w:r>
      <w:r w:rsidR="00F969EB">
        <w:rPr>
          <w:rFonts w:eastAsiaTheme="minorHAnsi"/>
          <w:noProof/>
          <w:sz w:val="24"/>
          <w:szCs w:val="24"/>
        </w:rPr>
        <w:t>,</w:t>
      </w:r>
      <w:r>
        <w:rPr>
          <w:rFonts w:eastAsiaTheme="minorHAnsi"/>
          <w:noProof/>
          <w:sz w:val="24"/>
          <w:szCs w:val="24"/>
        </w:rPr>
        <w:t xml:space="preserve"> food commodity </w:t>
      </w:r>
      <w:r w:rsidR="00F969EB">
        <w:rPr>
          <w:rFonts w:eastAsiaTheme="minorHAnsi"/>
          <w:noProof/>
          <w:sz w:val="24"/>
          <w:szCs w:val="24"/>
        </w:rPr>
        <w:t xml:space="preserve">and commodity derivative </w:t>
      </w:r>
      <w:r>
        <w:rPr>
          <w:rFonts w:eastAsiaTheme="minorHAnsi"/>
          <w:noProof/>
          <w:sz w:val="24"/>
          <w:szCs w:val="24"/>
        </w:rPr>
        <w:t xml:space="preserve">markets. </w:t>
      </w:r>
    </w:p>
    <w:p w14:paraId="1BAEC83C" w14:textId="77777777" w:rsidR="00D75477" w:rsidRPr="00C64B4C" w:rsidRDefault="00D75477" w:rsidP="00901A5C">
      <w:pPr>
        <w:jc w:val="both"/>
        <w:rPr>
          <w:rFonts w:eastAsiaTheme="minorHAnsi"/>
          <w:noProof/>
          <w:sz w:val="24"/>
          <w:szCs w:val="24"/>
        </w:rPr>
      </w:pPr>
    </w:p>
    <w:p w14:paraId="1B44548E" w14:textId="3A8F428B" w:rsidR="00BB76C2" w:rsidRPr="00C64B4C" w:rsidRDefault="00260A12" w:rsidP="00901A5C">
      <w:pPr>
        <w:jc w:val="both"/>
        <w:rPr>
          <w:rFonts w:eastAsiaTheme="minorHAnsi"/>
          <w:noProof/>
          <w:sz w:val="24"/>
          <w:szCs w:val="24"/>
        </w:rPr>
      </w:pPr>
      <w:r w:rsidRPr="00C64B4C">
        <w:rPr>
          <w:rFonts w:eastAsiaTheme="minorHAnsi"/>
          <w:noProof/>
          <w:sz w:val="24"/>
          <w:szCs w:val="24"/>
        </w:rPr>
        <w:t xml:space="preserve">During the past decade, </w:t>
      </w:r>
      <w:r w:rsidR="00473C61" w:rsidRPr="00C64B4C">
        <w:rPr>
          <w:rFonts w:eastAsiaTheme="minorHAnsi"/>
          <w:noProof/>
          <w:sz w:val="24"/>
          <w:szCs w:val="24"/>
        </w:rPr>
        <w:t xml:space="preserve">the ESAs’ activities have focused on </w:t>
      </w:r>
      <w:r w:rsidR="00BF636B" w:rsidRPr="00C64B4C">
        <w:rPr>
          <w:rFonts w:eastAsiaTheme="minorHAnsi"/>
          <w:noProof/>
          <w:sz w:val="24"/>
          <w:szCs w:val="24"/>
        </w:rPr>
        <w:t xml:space="preserve">building the single rulebook for financial services and fostering supervisory convergence. </w:t>
      </w:r>
      <w:r w:rsidR="00473C61" w:rsidRPr="00C64B4C">
        <w:rPr>
          <w:rFonts w:eastAsiaTheme="minorHAnsi"/>
          <w:noProof/>
          <w:sz w:val="24"/>
          <w:szCs w:val="24"/>
        </w:rPr>
        <w:t xml:space="preserve">Excellent </w:t>
      </w:r>
      <w:r w:rsidR="008E4B11" w:rsidRPr="00C64B4C">
        <w:rPr>
          <w:rFonts w:eastAsiaTheme="minorHAnsi"/>
          <w:noProof/>
          <w:sz w:val="24"/>
          <w:szCs w:val="24"/>
        </w:rPr>
        <w:t xml:space="preserve">progress </w:t>
      </w:r>
      <w:r w:rsidR="00BF636B" w:rsidRPr="00C64B4C">
        <w:rPr>
          <w:rFonts w:eastAsiaTheme="minorHAnsi"/>
          <w:noProof/>
          <w:sz w:val="24"/>
          <w:szCs w:val="24"/>
        </w:rPr>
        <w:t>has been achieved in these area</w:t>
      </w:r>
      <w:r w:rsidR="00276754" w:rsidRPr="00C64B4C">
        <w:rPr>
          <w:rFonts w:eastAsiaTheme="minorHAnsi"/>
          <w:noProof/>
          <w:sz w:val="24"/>
          <w:szCs w:val="24"/>
        </w:rPr>
        <w:t>s</w:t>
      </w:r>
      <w:r w:rsidR="00BF636B" w:rsidRPr="00C64B4C">
        <w:rPr>
          <w:rFonts w:eastAsiaTheme="minorHAnsi"/>
          <w:noProof/>
          <w:sz w:val="24"/>
          <w:szCs w:val="24"/>
        </w:rPr>
        <w:t xml:space="preserve">, </w:t>
      </w:r>
      <w:r w:rsidR="008E4B11" w:rsidRPr="00C64B4C">
        <w:rPr>
          <w:rFonts w:eastAsiaTheme="minorHAnsi"/>
          <w:noProof/>
          <w:sz w:val="24"/>
          <w:szCs w:val="24"/>
        </w:rPr>
        <w:t xml:space="preserve">but </w:t>
      </w:r>
      <w:r w:rsidR="002B7EF5" w:rsidRPr="00C64B4C">
        <w:rPr>
          <w:rFonts w:eastAsiaTheme="minorHAnsi"/>
          <w:noProof/>
          <w:sz w:val="24"/>
          <w:szCs w:val="24"/>
        </w:rPr>
        <w:t xml:space="preserve">there is still a need for </w:t>
      </w:r>
      <w:r w:rsidR="008E4B11" w:rsidRPr="00C64B4C">
        <w:rPr>
          <w:rFonts w:eastAsiaTheme="minorHAnsi"/>
          <w:noProof/>
          <w:sz w:val="24"/>
          <w:szCs w:val="24"/>
        </w:rPr>
        <w:t xml:space="preserve">continued and appropriately targeted efforts to </w:t>
      </w:r>
      <w:r w:rsidR="006F6507" w:rsidRPr="00C64B4C">
        <w:rPr>
          <w:rFonts w:eastAsiaTheme="minorHAnsi"/>
          <w:noProof/>
          <w:sz w:val="24"/>
          <w:szCs w:val="24"/>
        </w:rPr>
        <w:t xml:space="preserve">promote a genuine </w:t>
      </w:r>
      <w:r w:rsidR="000144CE">
        <w:rPr>
          <w:rFonts w:eastAsiaTheme="minorHAnsi"/>
          <w:noProof/>
          <w:sz w:val="24"/>
          <w:szCs w:val="24"/>
        </w:rPr>
        <w:t>C</w:t>
      </w:r>
      <w:r w:rsidR="006F6507" w:rsidRPr="00C64B4C">
        <w:rPr>
          <w:rFonts w:eastAsiaTheme="minorHAnsi"/>
          <w:noProof/>
          <w:sz w:val="24"/>
          <w:szCs w:val="24"/>
        </w:rPr>
        <w:t xml:space="preserve">apital </w:t>
      </w:r>
      <w:r w:rsidR="000144CE">
        <w:rPr>
          <w:rFonts w:eastAsiaTheme="minorHAnsi"/>
          <w:noProof/>
          <w:sz w:val="24"/>
          <w:szCs w:val="24"/>
        </w:rPr>
        <w:t>M</w:t>
      </w:r>
      <w:r w:rsidR="006F6507" w:rsidRPr="00C64B4C">
        <w:rPr>
          <w:rFonts w:eastAsiaTheme="minorHAnsi"/>
          <w:noProof/>
          <w:sz w:val="24"/>
          <w:szCs w:val="24"/>
        </w:rPr>
        <w:t xml:space="preserve">arkets </w:t>
      </w:r>
      <w:r w:rsidR="000144CE">
        <w:rPr>
          <w:rFonts w:eastAsiaTheme="minorHAnsi"/>
          <w:noProof/>
          <w:sz w:val="24"/>
          <w:szCs w:val="24"/>
        </w:rPr>
        <w:t>U</w:t>
      </w:r>
      <w:r w:rsidR="006F6507" w:rsidRPr="00C64B4C">
        <w:rPr>
          <w:rFonts w:eastAsiaTheme="minorHAnsi"/>
          <w:noProof/>
          <w:sz w:val="24"/>
          <w:szCs w:val="24"/>
        </w:rPr>
        <w:t>nion</w:t>
      </w:r>
      <w:r w:rsidR="008E4B11" w:rsidRPr="00C64B4C">
        <w:rPr>
          <w:rFonts w:eastAsiaTheme="minorHAnsi"/>
          <w:noProof/>
          <w:sz w:val="24"/>
          <w:szCs w:val="24"/>
        </w:rPr>
        <w:t xml:space="preserve">. </w:t>
      </w:r>
      <w:r w:rsidR="00671C37" w:rsidRPr="00C64B4C">
        <w:rPr>
          <w:rFonts w:eastAsiaTheme="minorHAnsi"/>
          <w:noProof/>
          <w:sz w:val="24"/>
          <w:szCs w:val="24"/>
        </w:rPr>
        <w:t>A</w:t>
      </w:r>
      <w:r w:rsidR="00BF03BE" w:rsidRPr="00C64B4C">
        <w:rPr>
          <w:rFonts w:eastAsiaTheme="minorHAnsi"/>
          <w:noProof/>
          <w:sz w:val="24"/>
          <w:szCs w:val="24"/>
        </w:rPr>
        <w:t xml:space="preserve"> financial system </w:t>
      </w:r>
      <w:r w:rsidR="00D147F0" w:rsidRPr="00C64B4C">
        <w:rPr>
          <w:rFonts w:eastAsiaTheme="minorHAnsi"/>
          <w:noProof/>
          <w:sz w:val="24"/>
          <w:szCs w:val="24"/>
        </w:rPr>
        <w:t xml:space="preserve">with multiple centres across the EU </w:t>
      </w:r>
      <w:r w:rsidR="005E5978" w:rsidRPr="00C64B4C">
        <w:rPr>
          <w:rFonts w:eastAsiaTheme="minorHAnsi"/>
          <w:noProof/>
          <w:sz w:val="24"/>
          <w:szCs w:val="24"/>
        </w:rPr>
        <w:t xml:space="preserve">increases </w:t>
      </w:r>
      <w:r w:rsidR="00D147F0" w:rsidRPr="00C64B4C">
        <w:rPr>
          <w:rFonts w:eastAsiaTheme="minorHAnsi"/>
          <w:noProof/>
          <w:sz w:val="24"/>
          <w:szCs w:val="24"/>
        </w:rPr>
        <w:t xml:space="preserve">the need for an </w:t>
      </w:r>
      <w:r w:rsidR="005E5978" w:rsidRPr="00C64B4C">
        <w:rPr>
          <w:rFonts w:eastAsiaTheme="minorHAnsi"/>
          <w:noProof/>
          <w:sz w:val="24"/>
          <w:szCs w:val="24"/>
        </w:rPr>
        <w:t xml:space="preserve">improved </w:t>
      </w:r>
      <w:r w:rsidR="00D147F0" w:rsidRPr="00C64B4C">
        <w:rPr>
          <w:rFonts w:eastAsiaTheme="minorHAnsi"/>
          <w:noProof/>
          <w:sz w:val="24"/>
          <w:szCs w:val="24"/>
        </w:rPr>
        <w:t>single rulebook</w:t>
      </w:r>
      <w:r w:rsidR="00664CAA" w:rsidRPr="00C64B4C">
        <w:rPr>
          <w:rFonts w:eastAsiaTheme="minorHAnsi"/>
          <w:noProof/>
          <w:sz w:val="24"/>
          <w:szCs w:val="24"/>
        </w:rPr>
        <w:t xml:space="preserve"> and</w:t>
      </w:r>
      <w:r w:rsidR="00D147F0" w:rsidRPr="00C64B4C">
        <w:rPr>
          <w:rFonts w:eastAsiaTheme="minorHAnsi"/>
          <w:noProof/>
          <w:sz w:val="24"/>
          <w:szCs w:val="24"/>
        </w:rPr>
        <w:t xml:space="preserve"> </w:t>
      </w:r>
      <w:r w:rsidR="005E5978" w:rsidRPr="00C64B4C">
        <w:rPr>
          <w:rFonts w:eastAsiaTheme="minorHAnsi"/>
          <w:noProof/>
          <w:sz w:val="24"/>
          <w:szCs w:val="24"/>
        </w:rPr>
        <w:t xml:space="preserve">greater </w:t>
      </w:r>
      <w:r w:rsidR="00D147F0" w:rsidRPr="00C64B4C">
        <w:rPr>
          <w:rFonts w:eastAsiaTheme="minorHAnsi"/>
          <w:noProof/>
          <w:sz w:val="24"/>
          <w:szCs w:val="24"/>
        </w:rPr>
        <w:t>supervisory convergence</w:t>
      </w:r>
      <w:r w:rsidR="00664CAA" w:rsidRPr="00C64B4C">
        <w:rPr>
          <w:rFonts w:eastAsiaTheme="minorHAnsi"/>
          <w:noProof/>
          <w:sz w:val="24"/>
          <w:szCs w:val="24"/>
        </w:rPr>
        <w:t>.</w:t>
      </w:r>
    </w:p>
    <w:p w14:paraId="276C8C40" w14:textId="77777777" w:rsidR="00D54ACA" w:rsidRPr="00C64B4C" w:rsidRDefault="00D54ACA" w:rsidP="00901A5C">
      <w:pPr>
        <w:jc w:val="both"/>
        <w:rPr>
          <w:rFonts w:eastAsiaTheme="minorHAnsi"/>
          <w:noProof/>
          <w:sz w:val="24"/>
          <w:szCs w:val="24"/>
        </w:rPr>
      </w:pPr>
    </w:p>
    <w:p w14:paraId="0A4D43BA" w14:textId="021739DC" w:rsidR="00BB76C2" w:rsidRPr="00C64B4C" w:rsidRDefault="00BB76C2" w:rsidP="00901A5C">
      <w:pPr>
        <w:jc w:val="both"/>
        <w:rPr>
          <w:rFonts w:eastAsiaTheme="minorHAnsi"/>
          <w:noProof/>
          <w:sz w:val="24"/>
          <w:szCs w:val="24"/>
        </w:rPr>
      </w:pPr>
      <w:r w:rsidRPr="00C64B4C">
        <w:rPr>
          <w:rFonts w:eastAsiaTheme="minorHAnsi"/>
          <w:noProof/>
          <w:sz w:val="24"/>
          <w:szCs w:val="24"/>
        </w:rPr>
        <w:t xml:space="preserve">In this context, the Commission </w:t>
      </w:r>
      <w:r w:rsidR="002B7EF5" w:rsidRPr="00C64B4C">
        <w:rPr>
          <w:rFonts w:eastAsiaTheme="minorHAnsi"/>
          <w:noProof/>
          <w:sz w:val="24"/>
          <w:szCs w:val="24"/>
        </w:rPr>
        <w:t xml:space="preserve">published </w:t>
      </w:r>
      <w:r w:rsidRPr="00C64B4C">
        <w:rPr>
          <w:rFonts w:eastAsiaTheme="minorHAnsi"/>
          <w:noProof/>
          <w:sz w:val="24"/>
          <w:szCs w:val="24"/>
        </w:rPr>
        <w:t xml:space="preserve">its </w:t>
      </w:r>
      <w:r w:rsidR="005E5978" w:rsidRPr="00C64B4C">
        <w:rPr>
          <w:rFonts w:eastAsiaTheme="minorHAnsi"/>
          <w:noProof/>
          <w:sz w:val="24"/>
          <w:szCs w:val="24"/>
        </w:rPr>
        <w:t xml:space="preserve">action plan for </w:t>
      </w:r>
      <w:r w:rsidR="000144CE">
        <w:rPr>
          <w:rFonts w:eastAsiaTheme="minorHAnsi"/>
          <w:noProof/>
          <w:sz w:val="24"/>
          <w:szCs w:val="24"/>
        </w:rPr>
        <w:t>C</w:t>
      </w:r>
      <w:r w:rsidR="00C84F55" w:rsidRPr="00C64B4C">
        <w:rPr>
          <w:rFonts w:eastAsiaTheme="minorHAnsi"/>
          <w:noProof/>
          <w:sz w:val="24"/>
          <w:szCs w:val="24"/>
        </w:rPr>
        <w:t xml:space="preserve">apital </w:t>
      </w:r>
      <w:r w:rsidR="000144CE">
        <w:rPr>
          <w:rFonts w:eastAsiaTheme="minorHAnsi"/>
          <w:noProof/>
          <w:sz w:val="24"/>
          <w:szCs w:val="24"/>
        </w:rPr>
        <w:t>M</w:t>
      </w:r>
      <w:r w:rsidR="00C84F55" w:rsidRPr="00C64B4C">
        <w:rPr>
          <w:rFonts w:eastAsiaTheme="minorHAnsi"/>
          <w:noProof/>
          <w:sz w:val="24"/>
          <w:szCs w:val="24"/>
        </w:rPr>
        <w:t xml:space="preserve">arkets </w:t>
      </w:r>
      <w:r w:rsidR="000144CE">
        <w:rPr>
          <w:rFonts w:eastAsiaTheme="minorHAnsi"/>
          <w:noProof/>
          <w:sz w:val="24"/>
          <w:szCs w:val="24"/>
        </w:rPr>
        <w:t>U</w:t>
      </w:r>
      <w:r w:rsidR="00C84F55" w:rsidRPr="00C64B4C">
        <w:rPr>
          <w:rFonts w:eastAsiaTheme="minorHAnsi"/>
          <w:noProof/>
          <w:sz w:val="24"/>
          <w:szCs w:val="24"/>
        </w:rPr>
        <w:t>nion</w:t>
      </w:r>
      <w:r w:rsidR="0070115C" w:rsidRPr="00C64B4C">
        <w:rPr>
          <w:rStyle w:val="FootnoteReference"/>
          <w:rFonts w:eastAsiaTheme="minorHAnsi"/>
          <w:noProof/>
          <w:sz w:val="24"/>
          <w:szCs w:val="24"/>
        </w:rPr>
        <w:footnoteReference w:id="3"/>
      </w:r>
      <w:r w:rsidRPr="00C64B4C">
        <w:rPr>
          <w:rFonts w:eastAsiaTheme="minorHAnsi"/>
          <w:noProof/>
          <w:sz w:val="24"/>
          <w:szCs w:val="24"/>
        </w:rPr>
        <w:t xml:space="preserve"> on 24</w:t>
      </w:r>
      <w:r w:rsidR="00DE4345" w:rsidRPr="00C64B4C">
        <w:rPr>
          <w:rFonts w:eastAsiaTheme="minorHAnsi"/>
          <w:noProof/>
          <w:sz w:val="24"/>
          <w:szCs w:val="24"/>
        </w:rPr>
        <w:t> </w:t>
      </w:r>
      <w:r w:rsidRPr="00C64B4C">
        <w:rPr>
          <w:rFonts w:eastAsiaTheme="minorHAnsi"/>
          <w:noProof/>
          <w:sz w:val="24"/>
          <w:szCs w:val="24"/>
        </w:rPr>
        <w:t>September</w:t>
      </w:r>
      <w:r w:rsidR="00DE4345" w:rsidRPr="00C64B4C">
        <w:rPr>
          <w:rFonts w:eastAsiaTheme="minorHAnsi"/>
          <w:noProof/>
          <w:sz w:val="24"/>
          <w:szCs w:val="24"/>
        </w:rPr>
        <w:t> </w:t>
      </w:r>
      <w:r w:rsidRPr="00C64B4C">
        <w:rPr>
          <w:rFonts w:eastAsiaTheme="minorHAnsi"/>
          <w:noProof/>
          <w:sz w:val="24"/>
          <w:szCs w:val="24"/>
        </w:rPr>
        <w:t>2020</w:t>
      </w:r>
      <w:r w:rsidR="002B7EF5" w:rsidRPr="00C64B4C">
        <w:rPr>
          <w:rFonts w:eastAsiaTheme="minorHAnsi"/>
          <w:noProof/>
          <w:sz w:val="24"/>
          <w:szCs w:val="24"/>
        </w:rPr>
        <w:t>. In this action plan, the Commission</w:t>
      </w:r>
      <w:r w:rsidRPr="00C64B4C">
        <w:rPr>
          <w:rFonts w:eastAsiaTheme="minorHAnsi"/>
          <w:noProof/>
          <w:sz w:val="24"/>
          <w:szCs w:val="24"/>
        </w:rPr>
        <w:t xml:space="preserve"> committed to</w:t>
      </w:r>
      <w:r w:rsidR="002B7EF5" w:rsidRPr="00C64B4C">
        <w:rPr>
          <w:rFonts w:eastAsiaTheme="minorHAnsi"/>
          <w:noProof/>
          <w:sz w:val="24"/>
          <w:szCs w:val="24"/>
        </w:rPr>
        <w:t>: (i)</w:t>
      </w:r>
      <w:r w:rsidRPr="00C64B4C">
        <w:rPr>
          <w:rFonts w:eastAsiaTheme="minorHAnsi"/>
          <w:noProof/>
          <w:sz w:val="24"/>
          <w:szCs w:val="24"/>
        </w:rPr>
        <w:t xml:space="preserve"> work towards an </w:t>
      </w:r>
      <w:r w:rsidR="002B7EF5" w:rsidRPr="00C64B4C">
        <w:rPr>
          <w:rFonts w:eastAsiaTheme="minorHAnsi"/>
          <w:noProof/>
          <w:sz w:val="24"/>
          <w:szCs w:val="24"/>
        </w:rPr>
        <w:t xml:space="preserve">improved </w:t>
      </w:r>
      <w:r w:rsidRPr="00C64B4C">
        <w:rPr>
          <w:rFonts w:eastAsiaTheme="minorHAnsi"/>
          <w:noProof/>
          <w:sz w:val="24"/>
          <w:szCs w:val="24"/>
        </w:rPr>
        <w:t>single rulebook by assessing the need for further harmonisation of EU rules</w:t>
      </w:r>
      <w:r w:rsidR="002B7EF5" w:rsidRPr="00C64B4C">
        <w:rPr>
          <w:rFonts w:eastAsiaTheme="minorHAnsi"/>
          <w:noProof/>
          <w:sz w:val="24"/>
          <w:szCs w:val="24"/>
        </w:rPr>
        <w:t>;</w:t>
      </w:r>
      <w:r w:rsidRPr="00C64B4C">
        <w:rPr>
          <w:rFonts w:eastAsiaTheme="minorHAnsi"/>
          <w:noProof/>
          <w:sz w:val="24"/>
          <w:szCs w:val="24"/>
        </w:rPr>
        <w:t xml:space="preserve"> and </w:t>
      </w:r>
      <w:r w:rsidR="002B7EF5" w:rsidRPr="00C64B4C">
        <w:rPr>
          <w:rFonts w:eastAsiaTheme="minorHAnsi"/>
          <w:noProof/>
          <w:sz w:val="24"/>
          <w:szCs w:val="24"/>
        </w:rPr>
        <w:t xml:space="preserve">(ii) </w:t>
      </w:r>
      <w:r w:rsidRPr="00C64B4C">
        <w:rPr>
          <w:rFonts w:eastAsiaTheme="minorHAnsi"/>
          <w:noProof/>
          <w:sz w:val="24"/>
          <w:szCs w:val="24"/>
        </w:rPr>
        <w:t xml:space="preserve">take stock of what has </w:t>
      </w:r>
      <w:r w:rsidR="005E5978" w:rsidRPr="00C64B4C">
        <w:rPr>
          <w:rFonts w:eastAsiaTheme="minorHAnsi"/>
          <w:noProof/>
          <w:sz w:val="24"/>
          <w:szCs w:val="24"/>
        </w:rPr>
        <w:t xml:space="preserve">already </w:t>
      </w:r>
      <w:r w:rsidRPr="00C64B4C">
        <w:rPr>
          <w:rFonts w:eastAsiaTheme="minorHAnsi"/>
          <w:noProof/>
          <w:sz w:val="24"/>
          <w:szCs w:val="24"/>
        </w:rPr>
        <w:t>been achieved in supervisory convergence.</w:t>
      </w:r>
    </w:p>
    <w:p w14:paraId="512BED31" w14:textId="77777777" w:rsidR="00BB76C2" w:rsidRPr="00C64B4C" w:rsidRDefault="00BB76C2" w:rsidP="00901A5C">
      <w:pPr>
        <w:jc w:val="both"/>
        <w:rPr>
          <w:rFonts w:eastAsiaTheme="minorHAnsi"/>
          <w:noProof/>
          <w:sz w:val="24"/>
          <w:szCs w:val="24"/>
        </w:rPr>
      </w:pPr>
    </w:p>
    <w:p w14:paraId="1D375A9A" w14:textId="77777777" w:rsidR="00BB76C2" w:rsidRPr="00C64B4C" w:rsidRDefault="005E5978" w:rsidP="00901A5C">
      <w:pPr>
        <w:jc w:val="both"/>
        <w:rPr>
          <w:rFonts w:eastAsiaTheme="minorHAnsi"/>
          <w:noProof/>
          <w:sz w:val="24"/>
          <w:szCs w:val="24"/>
        </w:rPr>
      </w:pPr>
      <w:r w:rsidRPr="00C64B4C">
        <w:rPr>
          <w:rFonts w:eastAsiaTheme="minorHAnsi"/>
          <w:noProof/>
          <w:sz w:val="24"/>
          <w:szCs w:val="24"/>
        </w:rPr>
        <w:t>In addition</w:t>
      </w:r>
      <w:r w:rsidR="00BB76C2" w:rsidRPr="00C64B4C">
        <w:rPr>
          <w:rFonts w:eastAsiaTheme="minorHAnsi"/>
          <w:noProof/>
          <w:sz w:val="24"/>
          <w:szCs w:val="24"/>
        </w:rPr>
        <w:t>, Article 81 of the three ESA Regulations</w:t>
      </w:r>
      <w:r w:rsidR="0070115C" w:rsidRPr="00C64B4C">
        <w:rPr>
          <w:rStyle w:val="FootnoteReference"/>
          <w:rFonts w:eastAsiaTheme="minorHAnsi"/>
          <w:noProof/>
          <w:sz w:val="24"/>
          <w:szCs w:val="24"/>
        </w:rPr>
        <w:footnoteReference w:id="4"/>
      </w:r>
      <w:r w:rsidR="00BB76C2" w:rsidRPr="00C64B4C">
        <w:rPr>
          <w:rFonts w:eastAsiaTheme="minorHAnsi"/>
          <w:noProof/>
          <w:sz w:val="24"/>
          <w:szCs w:val="24"/>
        </w:rPr>
        <w:t xml:space="preserve"> requires the Commission to </w:t>
      </w:r>
      <w:r w:rsidR="00B32DC2" w:rsidRPr="00C64B4C">
        <w:rPr>
          <w:rFonts w:eastAsiaTheme="minorHAnsi"/>
          <w:noProof/>
          <w:sz w:val="24"/>
          <w:szCs w:val="24"/>
        </w:rPr>
        <w:t xml:space="preserve">carry out a review </w:t>
      </w:r>
      <w:r w:rsidR="002B7EF5" w:rsidRPr="00C64B4C">
        <w:rPr>
          <w:rFonts w:eastAsiaTheme="minorHAnsi"/>
          <w:noProof/>
          <w:sz w:val="24"/>
          <w:szCs w:val="24"/>
        </w:rPr>
        <w:t>of the Regulations. This review must be in the form of</w:t>
      </w:r>
      <w:r w:rsidR="00BB76C2" w:rsidRPr="00C64B4C">
        <w:rPr>
          <w:rFonts w:eastAsiaTheme="minorHAnsi"/>
          <w:noProof/>
          <w:sz w:val="24"/>
          <w:szCs w:val="24"/>
        </w:rPr>
        <w:t xml:space="preserve"> a </w:t>
      </w:r>
      <w:r w:rsidR="002B7EF5" w:rsidRPr="00C64B4C">
        <w:rPr>
          <w:rFonts w:eastAsiaTheme="minorHAnsi"/>
          <w:noProof/>
          <w:sz w:val="24"/>
          <w:szCs w:val="24"/>
        </w:rPr>
        <w:t xml:space="preserve">published </w:t>
      </w:r>
      <w:r w:rsidR="00BB76C2" w:rsidRPr="00C64B4C">
        <w:rPr>
          <w:rFonts w:eastAsiaTheme="minorHAnsi"/>
          <w:noProof/>
          <w:sz w:val="24"/>
          <w:szCs w:val="24"/>
        </w:rPr>
        <w:t xml:space="preserve">general report on the experience acquired </w:t>
      </w:r>
      <w:r w:rsidR="002B7EF5" w:rsidRPr="00C64B4C">
        <w:rPr>
          <w:rFonts w:eastAsiaTheme="minorHAnsi"/>
          <w:noProof/>
          <w:sz w:val="24"/>
          <w:szCs w:val="24"/>
        </w:rPr>
        <w:t>from</w:t>
      </w:r>
      <w:r w:rsidR="00BB76C2" w:rsidRPr="00C64B4C">
        <w:rPr>
          <w:rFonts w:eastAsiaTheme="minorHAnsi"/>
          <w:noProof/>
          <w:sz w:val="24"/>
          <w:szCs w:val="24"/>
        </w:rPr>
        <w:t xml:space="preserve"> the operations of the ESAs and the procedures laid down in the ESA </w:t>
      </w:r>
      <w:r w:rsidRPr="00C64B4C">
        <w:rPr>
          <w:rFonts w:eastAsiaTheme="minorHAnsi"/>
          <w:noProof/>
          <w:sz w:val="24"/>
          <w:szCs w:val="24"/>
        </w:rPr>
        <w:t>R</w:t>
      </w:r>
      <w:r w:rsidR="00BB76C2" w:rsidRPr="00C64B4C">
        <w:rPr>
          <w:rFonts w:eastAsiaTheme="minorHAnsi"/>
          <w:noProof/>
          <w:sz w:val="24"/>
          <w:szCs w:val="24"/>
        </w:rPr>
        <w:t>egulations.</w:t>
      </w:r>
      <w:r w:rsidR="008E6240" w:rsidRPr="00C64B4C">
        <w:rPr>
          <w:rFonts w:eastAsiaTheme="minorHAnsi"/>
          <w:noProof/>
          <w:sz w:val="24"/>
          <w:szCs w:val="24"/>
        </w:rPr>
        <w:t xml:space="preserve"> In addition to the general requirement for a review of the performance of the three ESAs, </w:t>
      </w:r>
      <w:r w:rsidR="002B7EF5" w:rsidRPr="00C64B4C">
        <w:rPr>
          <w:rFonts w:eastAsiaTheme="minorHAnsi"/>
          <w:noProof/>
          <w:sz w:val="24"/>
          <w:szCs w:val="24"/>
        </w:rPr>
        <w:t>the</w:t>
      </w:r>
      <w:r w:rsidRPr="00C64B4C">
        <w:rPr>
          <w:rFonts w:eastAsiaTheme="minorHAnsi"/>
          <w:noProof/>
          <w:sz w:val="24"/>
          <w:szCs w:val="24"/>
        </w:rPr>
        <w:t>re are specific review clauses in the</w:t>
      </w:r>
      <w:r w:rsidR="002B7EF5" w:rsidRPr="00C64B4C">
        <w:rPr>
          <w:rFonts w:eastAsiaTheme="minorHAnsi"/>
          <w:noProof/>
          <w:sz w:val="24"/>
          <w:szCs w:val="24"/>
        </w:rPr>
        <w:t xml:space="preserve"> </w:t>
      </w:r>
      <w:r w:rsidR="008E6240" w:rsidRPr="00C64B4C">
        <w:rPr>
          <w:rFonts w:eastAsiaTheme="minorHAnsi"/>
          <w:noProof/>
          <w:sz w:val="24"/>
          <w:szCs w:val="24"/>
        </w:rPr>
        <w:t>ESMA</w:t>
      </w:r>
      <w:r w:rsidR="0070115C" w:rsidRPr="00C64B4C">
        <w:rPr>
          <w:rStyle w:val="FootnoteReference"/>
          <w:rFonts w:eastAsiaTheme="minorHAnsi"/>
          <w:noProof/>
          <w:sz w:val="24"/>
          <w:szCs w:val="24"/>
        </w:rPr>
        <w:footnoteReference w:id="5"/>
      </w:r>
      <w:r w:rsidR="008E6240" w:rsidRPr="00C64B4C">
        <w:rPr>
          <w:rFonts w:eastAsiaTheme="minorHAnsi"/>
          <w:noProof/>
          <w:sz w:val="24"/>
          <w:szCs w:val="24"/>
        </w:rPr>
        <w:t xml:space="preserve"> and EBA</w:t>
      </w:r>
      <w:r w:rsidR="0070115C" w:rsidRPr="00C64B4C">
        <w:rPr>
          <w:rStyle w:val="FootnoteReference"/>
          <w:rFonts w:eastAsiaTheme="minorHAnsi"/>
          <w:noProof/>
          <w:sz w:val="24"/>
          <w:szCs w:val="24"/>
        </w:rPr>
        <w:footnoteReference w:id="6"/>
      </w:r>
      <w:r w:rsidR="008E6240" w:rsidRPr="00C64B4C">
        <w:rPr>
          <w:rFonts w:eastAsiaTheme="minorHAnsi"/>
          <w:noProof/>
          <w:sz w:val="24"/>
          <w:szCs w:val="24"/>
        </w:rPr>
        <w:t xml:space="preserve"> Regulations.</w:t>
      </w:r>
    </w:p>
    <w:p w14:paraId="6F9B8BB3" w14:textId="77777777" w:rsidR="00BB76C2" w:rsidRPr="00C64B4C" w:rsidRDefault="00BB76C2" w:rsidP="00901A5C">
      <w:pPr>
        <w:jc w:val="both"/>
        <w:rPr>
          <w:rFonts w:eastAsiaTheme="minorHAnsi"/>
          <w:noProof/>
          <w:sz w:val="24"/>
          <w:szCs w:val="24"/>
        </w:rPr>
      </w:pPr>
    </w:p>
    <w:p w14:paraId="3D4B565A" w14:textId="77777777" w:rsidR="00BB76C2" w:rsidRPr="00C64B4C" w:rsidRDefault="00D147F0" w:rsidP="00901A5C">
      <w:pPr>
        <w:jc w:val="both"/>
        <w:rPr>
          <w:rFonts w:eastAsiaTheme="minorHAnsi"/>
          <w:noProof/>
          <w:sz w:val="24"/>
          <w:szCs w:val="24"/>
        </w:rPr>
      </w:pPr>
      <w:r w:rsidRPr="00C64B4C">
        <w:rPr>
          <w:rFonts w:eastAsiaTheme="minorHAnsi"/>
          <w:noProof/>
          <w:sz w:val="24"/>
          <w:szCs w:val="24"/>
        </w:rPr>
        <w:t>A</w:t>
      </w:r>
      <w:r w:rsidR="00BB76C2" w:rsidRPr="00C64B4C">
        <w:rPr>
          <w:rFonts w:eastAsiaTheme="minorHAnsi"/>
          <w:noProof/>
          <w:sz w:val="24"/>
          <w:szCs w:val="24"/>
        </w:rPr>
        <w:t xml:space="preserve">mendments to the ESA Regulations entered into application </w:t>
      </w:r>
      <w:r w:rsidR="008721F2" w:rsidRPr="00C64B4C">
        <w:rPr>
          <w:rFonts w:eastAsiaTheme="minorHAnsi"/>
          <w:noProof/>
          <w:sz w:val="24"/>
          <w:szCs w:val="24"/>
        </w:rPr>
        <w:t>on 1</w:t>
      </w:r>
      <w:r w:rsidR="00DE4345" w:rsidRPr="00C64B4C">
        <w:rPr>
          <w:rFonts w:eastAsiaTheme="minorHAnsi"/>
          <w:noProof/>
          <w:sz w:val="24"/>
          <w:szCs w:val="24"/>
        </w:rPr>
        <w:t> </w:t>
      </w:r>
      <w:r w:rsidR="008721F2" w:rsidRPr="00C64B4C">
        <w:rPr>
          <w:rFonts w:eastAsiaTheme="minorHAnsi"/>
          <w:noProof/>
          <w:sz w:val="24"/>
          <w:szCs w:val="24"/>
        </w:rPr>
        <w:t>January</w:t>
      </w:r>
      <w:r w:rsidR="00DE4345" w:rsidRPr="00C64B4C">
        <w:rPr>
          <w:rFonts w:eastAsiaTheme="minorHAnsi"/>
          <w:noProof/>
          <w:sz w:val="24"/>
          <w:szCs w:val="24"/>
        </w:rPr>
        <w:t> </w:t>
      </w:r>
      <w:r w:rsidR="00BB76C2" w:rsidRPr="00C64B4C">
        <w:rPr>
          <w:rFonts w:eastAsiaTheme="minorHAnsi"/>
          <w:noProof/>
          <w:sz w:val="24"/>
          <w:szCs w:val="24"/>
        </w:rPr>
        <w:t>202</w:t>
      </w:r>
      <w:r w:rsidR="00D06119" w:rsidRPr="00C64B4C">
        <w:rPr>
          <w:rFonts w:eastAsiaTheme="minorHAnsi"/>
          <w:noProof/>
          <w:sz w:val="24"/>
          <w:szCs w:val="24"/>
        </w:rPr>
        <w:t>0</w:t>
      </w:r>
      <w:r w:rsidR="0070115C" w:rsidRPr="00C64B4C">
        <w:rPr>
          <w:rStyle w:val="FootnoteReference"/>
          <w:rFonts w:eastAsiaTheme="minorHAnsi"/>
          <w:noProof/>
          <w:sz w:val="24"/>
          <w:szCs w:val="24"/>
        </w:rPr>
        <w:footnoteReference w:id="7"/>
      </w:r>
      <w:r w:rsidR="007C7DBA" w:rsidRPr="00C64B4C">
        <w:rPr>
          <w:rFonts w:eastAsiaTheme="minorHAnsi"/>
          <w:noProof/>
          <w:sz w:val="24"/>
          <w:szCs w:val="24"/>
        </w:rPr>
        <w:t xml:space="preserve"> </w:t>
      </w:r>
      <w:r w:rsidR="00563C89" w:rsidRPr="00C64B4C">
        <w:rPr>
          <w:rFonts w:eastAsiaTheme="minorHAnsi"/>
          <w:noProof/>
          <w:sz w:val="24"/>
          <w:szCs w:val="24"/>
        </w:rPr>
        <w:t>(</w:t>
      </w:r>
      <w:r w:rsidR="00CA65C6" w:rsidRPr="00C64B4C">
        <w:rPr>
          <w:rFonts w:eastAsiaTheme="minorHAnsi"/>
          <w:noProof/>
          <w:sz w:val="24"/>
          <w:szCs w:val="24"/>
        </w:rPr>
        <w:t xml:space="preserve">hereinafter referred to as </w:t>
      </w:r>
      <w:r w:rsidR="00563C89" w:rsidRPr="00C64B4C">
        <w:rPr>
          <w:rFonts w:eastAsiaTheme="minorHAnsi"/>
          <w:noProof/>
          <w:sz w:val="24"/>
          <w:szCs w:val="24"/>
        </w:rPr>
        <w:t>‘2019 ESA r</w:t>
      </w:r>
      <w:r w:rsidR="007C7DBA" w:rsidRPr="00C64B4C">
        <w:rPr>
          <w:rFonts w:eastAsiaTheme="minorHAnsi"/>
          <w:noProof/>
          <w:sz w:val="24"/>
          <w:szCs w:val="24"/>
        </w:rPr>
        <w:t>eview’)</w:t>
      </w:r>
      <w:r w:rsidR="00DE02A7" w:rsidRPr="00C64B4C">
        <w:rPr>
          <w:rFonts w:eastAsiaTheme="minorHAnsi"/>
          <w:noProof/>
          <w:sz w:val="24"/>
          <w:szCs w:val="24"/>
        </w:rPr>
        <w:t>. The</w:t>
      </w:r>
      <w:r w:rsidR="00BF03BE" w:rsidRPr="00C64B4C">
        <w:rPr>
          <w:rFonts w:eastAsiaTheme="minorHAnsi"/>
          <w:noProof/>
          <w:sz w:val="24"/>
          <w:szCs w:val="24"/>
        </w:rPr>
        <w:t>se amendments</w:t>
      </w:r>
      <w:r w:rsidR="00DE02A7" w:rsidRPr="00C64B4C">
        <w:rPr>
          <w:rFonts w:eastAsiaTheme="minorHAnsi"/>
          <w:noProof/>
          <w:sz w:val="24"/>
          <w:szCs w:val="24"/>
        </w:rPr>
        <w:t xml:space="preserve"> brought changes </w:t>
      </w:r>
      <w:r w:rsidR="002B7EF5" w:rsidRPr="00C64B4C">
        <w:rPr>
          <w:rFonts w:eastAsiaTheme="minorHAnsi"/>
          <w:noProof/>
          <w:sz w:val="24"/>
          <w:szCs w:val="24"/>
        </w:rPr>
        <w:t xml:space="preserve">to </w:t>
      </w:r>
      <w:r w:rsidR="00DE02A7" w:rsidRPr="00C64B4C">
        <w:rPr>
          <w:rFonts w:eastAsiaTheme="minorHAnsi"/>
          <w:noProof/>
          <w:sz w:val="24"/>
          <w:szCs w:val="24"/>
        </w:rPr>
        <w:t>existing convergence tools</w:t>
      </w:r>
      <w:r w:rsidR="002B7EF5" w:rsidRPr="00C64B4C">
        <w:rPr>
          <w:rFonts w:eastAsiaTheme="minorHAnsi"/>
          <w:noProof/>
          <w:sz w:val="24"/>
          <w:szCs w:val="24"/>
        </w:rPr>
        <w:t xml:space="preserve"> and</w:t>
      </w:r>
      <w:r w:rsidR="00DE02A7" w:rsidRPr="00C64B4C">
        <w:rPr>
          <w:rFonts w:eastAsiaTheme="minorHAnsi"/>
          <w:noProof/>
          <w:sz w:val="24"/>
          <w:szCs w:val="24"/>
        </w:rPr>
        <w:t xml:space="preserve"> governance </w:t>
      </w:r>
      <w:r w:rsidR="00C21B57" w:rsidRPr="00C64B4C">
        <w:rPr>
          <w:rFonts w:eastAsiaTheme="minorHAnsi"/>
          <w:noProof/>
          <w:sz w:val="24"/>
          <w:szCs w:val="24"/>
        </w:rPr>
        <w:t>provisions</w:t>
      </w:r>
      <w:r w:rsidR="002B7EF5" w:rsidRPr="00C64B4C">
        <w:rPr>
          <w:rFonts w:eastAsiaTheme="minorHAnsi"/>
          <w:noProof/>
          <w:sz w:val="24"/>
          <w:szCs w:val="24"/>
        </w:rPr>
        <w:t>. The amendments also</w:t>
      </w:r>
      <w:r w:rsidR="005843B3" w:rsidRPr="00C64B4C">
        <w:rPr>
          <w:rFonts w:eastAsiaTheme="minorHAnsi"/>
          <w:noProof/>
          <w:sz w:val="24"/>
          <w:szCs w:val="24"/>
        </w:rPr>
        <w:t xml:space="preserve"> </w:t>
      </w:r>
      <w:r w:rsidR="00946708" w:rsidRPr="00C64B4C">
        <w:rPr>
          <w:rFonts w:eastAsiaTheme="minorHAnsi"/>
          <w:noProof/>
          <w:sz w:val="24"/>
          <w:szCs w:val="24"/>
        </w:rPr>
        <w:t xml:space="preserve">added </w:t>
      </w:r>
      <w:r w:rsidR="00BB76C2" w:rsidRPr="00C64B4C">
        <w:rPr>
          <w:rFonts w:eastAsiaTheme="minorHAnsi"/>
          <w:noProof/>
          <w:sz w:val="24"/>
          <w:szCs w:val="24"/>
        </w:rPr>
        <w:t>new direct</w:t>
      </w:r>
      <w:r w:rsidR="00EE2B13" w:rsidRPr="00C64B4C">
        <w:rPr>
          <w:rFonts w:eastAsiaTheme="minorHAnsi"/>
          <w:noProof/>
          <w:sz w:val="24"/>
          <w:szCs w:val="24"/>
        </w:rPr>
        <w:t>-</w:t>
      </w:r>
      <w:r w:rsidR="00FE37C8" w:rsidRPr="00C64B4C">
        <w:rPr>
          <w:rFonts w:eastAsiaTheme="minorHAnsi"/>
          <w:noProof/>
          <w:sz w:val="24"/>
          <w:szCs w:val="24"/>
        </w:rPr>
        <w:t>supervision mandates for ESMA</w:t>
      </w:r>
      <w:r w:rsidR="0070115C" w:rsidRPr="00C64B4C">
        <w:rPr>
          <w:rStyle w:val="FootnoteReference"/>
          <w:rFonts w:eastAsiaTheme="minorHAnsi"/>
          <w:noProof/>
          <w:sz w:val="24"/>
          <w:szCs w:val="24"/>
        </w:rPr>
        <w:footnoteReference w:id="8"/>
      </w:r>
      <w:r w:rsidR="00FE37C8" w:rsidRPr="00C64B4C">
        <w:rPr>
          <w:rFonts w:eastAsiaTheme="minorHAnsi"/>
          <w:noProof/>
          <w:sz w:val="24"/>
          <w:szCs w:val="24"/>
        </w:rPr>
        <w:t>.</w:t>
      </w:r>
      <w:r w:rsidR="00D06119" w:rsidRPr="00C64B4C">
        <w:rPr>
          <w:rFonts w:eastAsiaTheme="minorHAnsi"/>
          <w:noProof/>
          <w:sz w:val="24"/>
          <w:szCs w:val="24"/>
        </w:rPr>
        <w:t xml:space="preserve"> The first review following these amendments focuses particularly on whether </w:t>
      </w:r>
      <w:r w:rsidR="002B7EF5" w:rsidRPr="00C64B4C">
        <w:rPr>
          <w:rFonts w:eastAsiaTheme="minorHAnsi"/>
          <w:noProof/>
          <w:sz w:val="24"/>
          <w:szCs w:val="24"/>
        </w:rPr>
        <w:t xml:space="preserve">– </w:t>
      </w:r>
      <w:r w:rsidR="00D06119" w:rsidRPr="00C64B4C">
        <w:rPr>
          <w:rFonts w:eastAsiaTheme="minorHAnsi"/>
          <w:noProof/>
          <w:sz w:val="24"/>
          <w:szCs w:val="24"/>
        </w:rPr>
        <w:t xml:space="preserve">and to what extent </w:t>
      </w:r>
      <w:r w:rsidR="002B7EF5" w:rsidRPr="00C64B4C">
        <w:rPr>
          <w:rFonts w:eastAsiaTheme="minorHAnsi"/>
          <w:noProof/>
          <w:sz w:val="24"/>
          <w:szCs w:val="24"/>
        </w:rPr>
        <w:t xml:space="preserve">– </w:t>
      </w:r>
      <w:r w:rsidR="00946708" w:rsidRPr="00C64B4C">
        <w:rPr>
          <w:rFonts w:eastAsiaTheme="minorHAnsi"/>
          <w:noProof/>
          <w:sz w:val="24"/>
          <w:szCs w:val="24"/>
        </w:rPr>
        <w:t xml:space="preserve">these amendments </w:t>
      </w:r>
      <w:r w:rsidR="00D06119" w:rsidRPr="00C64B4C">
        <w:rPr>
          <w:rFonts w:eastAsiaTheme="minorHAnsi"/>
          <w:noProof/>
          <w:sz w:val="24"/>
          <w:szCs w:val="24"/>
        </w:rPr>
        <w:t xml:space="preserve">have </w:t>
      </w:r>
      <w:r w:rsidR="00DE4345" w:rsidRPr="00C64B4C">
        <w:rPr>
          <w:rFonts w:eastAsiaTheme="minorHAnsi"/>
          <w:noProof/>
          <w:sz w:val="24"/>
          <w:szCs w:val="24"/>
        </w:rPr>
        <w:t>benefited</w:t>
      </w:r>
      <w:r w:rsidR="00946708" w:rsidRPr="00C64B4C">
        <w:rPr>
          <w:rFonts w:eastAsiaTheme="minorHAnsi"/>
          <w:noProof/>
          <w:sz w:val="24"/>
          <w:szCs w:val="24"/>
        </w:rPr>
        <w:t xml:space="preserve"> EU financial supervision</w:t>
      </w:r>
      <w:r w:rsidR="00D06119" w:rsidRPr="00C64B4C">
        <w:rPr>
          <w:rFonts w:eastAsiaTheme="minorHAnsi"/>
          <w:noProof/>
          <w:sz w:val="24"/>
          <w:szCs w:val="24"/>
        </w:rPr>
        <w:t>.</w:t>
      </w:r>
    </w:p>
    <w:p w14:paraId="0E3C8C25" w14:textId="77777777" w:rsidR="001D4421" w:rsidRPr="00C64B4C" w:rsidRDefault="001D4421" w:rsidP="00901A5C">
      <w:pPr>
        <w:jc w:val="both"/>
        <w:rPr>
          <w:rFonts w:eastAsiaTheme="minorHAnsi"/>
          <w:noProof/>
          <w:sz w:val="24"/>
          <w:szCs w:val="24"/>
        </w:rPr>
      </w:pPr>
    </w:p>
    <w:p w14:paraId="43D92BED" w14:textId="77777777" w:rsidR="001D4421" w:rsidRPr="00C64B4C" w:rsidRDefault="002B7EF5" w:rsidP="00901A5C">
      <w:pPr>
        <w:jc w:val="both"/>
        <w:rPr>
          <w:rFonts w:eastAsiaTheme="minorHAnsi"/>
          <w:noProof/>
          <w:sz w:val="24"/>
          <w:szCs w:val="24"/>
        </w:rPr>
      </w:pPr>
      <w:r w:rsidRPr="00C64B4C">
        <w:rPr>
          <w:rFonts w:eastAsiaTheme="minorHAnsi"/>
          <w:noProof/>
          <w:sz w:val="24"/>
          <w:szCs w:val="24"/>
        </w:rPr>
        <w:t>T</w:t>
      </w:r>
      <w:r w:rsidR="00D06119" w:rsidRPr="00C64B4C">
        <w:rPr>
          <w:rFonts w:eastAsiaTheme="minorHAnsi"/>
          <w:noProof/>
          <w:sz w:val="24"/>
          <w:szCs w:val="24"/>
        </w:rPr>
        <w:t>o prepare th</w:t>
      </w:r>
      <w:r w:rsidRPr="00C64B4C">
        <w:rPr>
          <w:rFonts w:eastAsiaTheme="minorHAnsi"/>
          <w:noProof/>
          <w:sz w:val="24"/>
          <w:szCs w:val="24"/>
        </w:rPr>
        <w:t>is</w:t>
      </w:r>
      <w:r w:rsidR="00D06119" w:rsidRPr="00C64B4C">
        <w:rPr>
          <w:rFonts w:eastAsiaTheme="minorHAnsi"/>
          <w:noProof/>
          <w:sz w:val="24"/>
          <w:szCs w:val="24"/>
        </w:rPr>
        <w:t xml:space="preserve"> </w:t>
      </w:r>
      <w:r w:rsidR="008769C3" w:rsidRPr="00C64B4C">
        <w:rPr>
          <w:rFonts w:eastAsiaTheme="minorHAnsi"/>
          <w:noProof/>
          <w:sz w:val="24"/>
          <w:szCs w:val="24"/>
        </w:rPr>
        <w:t>report, t</w:t>
      </w:r>
      <w:r w:rsidR="001D4421" w:rsidRPr="00C64B4C">
        <w:rPr>
          <w:rFonts w:eastAsiaTheme="minorHAnsi"/>
          <w:noProof/>
          <w:sz w:val="24"/>
          <w:szCs w:val="24"/>
        </w:rPr>
        <w:t xml:space="preserve">he Commission engaged </w:t>
      </w:r>
      <w:r w:rsidR="0084439E" w:rsidRPr="00C64B4C">
        <w:rPr>
          <w:rFonts w:eastAsiaTheme="minorHAnsi"/>
          <w:noProof/>
          <w:sz w:val="24"/>
          <w:szCs w:val="24"/>
        </w:rPr>
        <w:t>in a broad consultation process</w:t>
      </w:r>
      <w:r w:rsidRPr="00C64B4C">
        <w:rPr>
          <w:rFonts w:eastAsiaTheme="minorHAnsi"/>
          <w:noProof/>
          <w:sz w:val="24"/>
          <w:szCs w:val="24"/>
        </w:rPr>
        <w:t>. It</w:t>
      </w:r>
      <w:r w:rsidR="00685FE5" w:rsidRPr="00C64B4C">
        <w:rPr>
          <w:rFonts w:eastAsiaTheme="minorHAnsi"/>
          <w:noProof/>
          <w:sz w:val="24"/>
          <w:szCs w:val="24"/>
        </w:rPr>
        <w:t xml:space="preserve"> carried </w:t>
      </w:r>
      <w:r w:rsidR="00AE2366" w:rsidRPr="00C64B4C">
        <w:rPr>
          <w:rFonts w:eastAsiaTheme="minorHAnsi"/>
          <w:noProof/>
          <w:sz w:val="24"/>
          <w:szCs w:val="24"/>
        </w:rPr>
        <w:t>out</w:t>
      </w:r>
      <w:r w:rsidR="00685FE5" w:rsidRPr="00C64B4C">
        <w:rPr>
          <w:rFonts w:eastAsiaTheme="minorHAnsi"/>
          <w:noProof/>
          <w:sz w:val="24"/>
          <w:szCs w:val="24"/>
        </w:rPr>
        <w:t xml:space="preserve"> a targeted consultation that received </w:t>
      </w:r>
      <w:r w:rsidR="0084439E" w:rsidRPr="00C64B4C">
        <w:rPr>
          <w:rFonts w:eastAsiaTheme="minorHAnsi"/>
          <w:noProof/>
          <w:sz w:val="24"/>
          <w:szCs w:val="24"/>
        </w:rPr>
        <w:t>107 replie</w:t>
      </w:r>
      <w:r w:rsidR="00685FE5" w:rsidRPr="00C64B4C">
        <w:rPr>
          <w:rFonts w:eastAsiaTheme="minorHAnsi"/>
          <w:noProof/>
          <w:sz w:val="24"/>
          <w:szCs w:val="24"/>
        </w:rPr>
        <w:t>s</w:t>
      </w:r>
      <w:r w:rsidR="0084439E" w:rsidRPr="00C64B4C">
        <w:rPr>
          <w:rFonts w:eastAsiaTheme="minorHAnsi"/>
          <w:noProof/>
          <w:sz w:val="24"/>
          <w:szCs w:val="24"/>
        </w:rPr>
        <w:t xml:space="preserve">, </w:t>
      </w:r>
      <w:r w:rsidRPr="00C64B4C">
        <w:rPr>
          <w:rFonts w:eastAsiaTheme="minorHAnsi"/>
          <w:noProof/>
          <w:sz w:val="24"/>
          <w:szCs w:val="24"/>
        </w:rPr>
        <w:t xml:space="preserve">and </w:t>
      </w:r>
      <w:r w:rsidR="005E5978" w:rsidRPr="00C64B4C">
        <w:rPr>
          <w:rFonts w:eastAsiaTheme="minorHAnsi"/>
          <w:noProof/>
          <w:sz w:val="24"/>
          <w:szCs w:val="24"/>
        </w:rPr>
        <w:t xml:space="preserve">it also </w:t>
      </w:r>
      <w:r w:rsidR="008769C3" w:rsidRPr="00C64B4C">
        <w:rPr>
          <w:rFonts w:eastAsiaTheme="minorHAnsi"/>
          <w:noProof/>
          <w:sz w:val="24"/>
          <w:szCs w:val="24"/>
        </w:rPr>
        <w:t xml:space="preserve">asked </w:t>
      </w:r>
      <w:r w:rsidRPr="00C64B4C">
        <w:rPr>
          <w:rFonts w:eastAsiaTheme="minorHAnsi"/>
          <w:noProof/>
          <w:sz w:val="24"/>
          <w:szCs w:val="24"/>
        </w:rPr>
        <w:t xml:space="preserve">for </w:t>
      </w:r>
      <w:r w:rsidR="008769C3" w:rsidRPr="00C64B4C">
        <w:rPr>
          <w:rFonts w:eastAsiaTheme="minorHAnsi"/>
          <w:noProof/>
          <w:sz w:val="24"/>
          <w:szCs w:val="24"/>
        </w:rPr>
        <w:t>feedback from the ESAs</w:t>
      </w:r>
      <w:r w:rsidRPr="00C64B4C">
        <w:rPr>
          <w:rFonts w:eastAsiaTheme="minorHAnsi"/>
          <w:noProof/>
          <w:sz w:val="24"/>
          <w:szCs w:val="24"/>
        </w:rPr>
        <w:t>. It also</w:t>
      </w:r>
      <w:r w:rsidR="008769C3" w:rsidRPr="00C64B4C">
        <w:rPr>
          <w:rFonts w:eastAsiaTheme="minorHAnsi"/>
          <w:noProof/>
          <w:sz w:val="24"/>
          <w:szCs w:val="24"/>
        </w:rPr>
        <w:t xml:space="preserve"> organised a public event and held various stakeholder meeting</w:t>
      </w:r>
      <w:r w:rsidR="0084439E" w:rsidRPr="00C64B4C">
        <w:rPr>
          <w:rFonts w:eastAsiaTheme="minorHAnsi"/>
          <w:noProof/>
          <w:sz w:val="24"/>
          <w:szCs w:val="24"/>
        </w:rPr>
        <w:t>s</w:t>
      </w:r>
      <w:r w:rsidR="008769C3" w:rsidRPr="00C64B4C">
        <w:rPr>
          <w:rFonts w:eastAsiaTheme="minorHAnsi"/>
          <w:noProof/>
          <w:sz w:val="24"/>
          <w:szCs w:val="24"/>
        </w:rPr>
        <w:t>.</w:t>
      </w:r>
      <w:r w:rsidR="0084439E" w:rsidRPr="00C64B4C">
        <w:rPr>
          <w:rFonts w:eastAsiaTheme="minorHAnsi"/>
          <w:noProof/>
          <w:sz w:val="24"/>
          <w:szCs w:val="24"/>
        </w:rPr>
        <w:t xml:space="preserve"> </w:t>
      </w:r>
      <w:r w:rsidRPr="00C64B4C">
        <w:rPr>
          <w:rFonts w:eastAsiaTheme="minorHAnsi"/>
          <w:noProof/>
          <w:sz w:val="24"/>
          <w:szCs w:val="24"/>
        </w:rPr>
        <w:t>The Commission has published a</w:t>
      </w:r>
      <w:r w:rsidR="0084439E" w:rsidRPr="00C64B4C">
        <w:rPr>
          <w:rFonts w:eastAsiaTheme="minorHAnsi"/>
          <w:noProof/>
          <w:sz w:val="24"/>
          <w:szCs w:val="24"/>
        </w:rPr>
        <w:t xml:space="preserve"> </w:t>
      </w:r>
      <w:r w:rsidR="00890A3B" w:rsidRPr="00C64B4C">
        <w:rPr>
          <w:rFonts w:eastAsiaTheme="minorHAnsi"/>
          <w:noProof/>
          <w:sz w:val="24"/>
          <w:szCs w:val="24"/>
        </w:rPr>
        <w:t>feedback statement</w:t>
      </w:r>
      <w:r w:rsidR="0070115C" w:rsidRPr="00C64B4C">
        <w:rPr>
          <w:rStyle w:val="FootnoteReference"/>
          <w:rFonts w:eastAsiaTheme="minorHAnsi"/>
          <w:noProof/>
          <w:sz w:val="24"/>
          <w:szCs w:val="24"/>
        </w:rPr>
        <w:footnoteReference w:id="9"/>
      </w:r>
      <w:r w:rsidR="00890A3B" w:rsidRPr="00C64B4C">
        <w:rPr>
          <w:rFonts w:eastAsiaTheme="minorHAnsi"/>
          <w:noProof/>
          <w:sz w:val="24"/>
          <w:szCs w:val="24"/>
        </w:rPr>
        <w:t xml:space="preserve"> providing a </w:t>
      </w:r>
      <w:r w:rsidR="0084439E" w:rsidRPr="00C64B4C">
        <w:rPr>
          <w:rFonts w:eastAsiaTheme="minorHAnsi"/>
          <w:noProof/>
          <w:sz w:val="24"/>
          <w:szCs w:val="24"/>
        </w:rPr>
        <w:t>detailed summary of the responses received</w:t>
      </w:r>
      <w:r w:rsidRPr="00C64B4C">
        <w:rPr>
          <w:rFonts w:eastAsiaTheme="minorHAnsi"/>
          <w:noProof/>
          <w:sz w:val="24"/>
          <w:szCs w:val="24"/>
        </w:rPr>
        <w:t xml:space="preserve"> during this consultation</w:t>
      </w:r>
      <w:r w:rsidR="0084439E" w:rsidRPr="00C64B4C">
        <w:rPr>
          <w:rFonts w:eastAsiaTheme="minorHAnsi"/>
          <w:noProof/>
          <w:sz w:val="24"/>
          <w:szCs w:val="24"/>
        </w:rPr>
        <w:t xml:space="preserve">. </w:t>
      </w:r>
      <w:r w:rsidR="001D4421" w:rsidRPr="00C64B4C">
        <w:rPr>
          <w:rFonts w:eastAsiaTheme="minorHAnsi"/>
          <w:noProof/>
          <w:sz w:val="24"/>
          <w:szCs w:val="24"/>
        </w:rPr>
        <w:t xml:space="preserve">In broad terms, </w:t>
      </w:r>
      <w:r w:rsidR="00D147F0" w:rsidRPr="00C64B4C">
        <w:rPr>
          <w:rFonts w:eastAsiaTheme="minorHAnsi"/>
          <w:noProof/>
          <w:sz w:val="24"/>
          <w:szCs w:val="24"/>
        </w:rPr>
        <w:t xml:space="preserve">respondents </w:t>
      </w:r>
      <w:r w:rsidRPr="00C64B4C">
        <w:rPr>
          <w:rFonts w:eastAsiaTheme="minorHAnsi"/>
          <w:noProof/>
          <w:sz w:val="24"/>
          <w:szCs w:val="24"/>
        </w:rPr>
        <w:t xml:space="preserve">to the consultation </w:t>
      </w:r>
      <w:r w:rsidR="00AE2366" w:rsidRPr="00C64B4C">
        <w:rPr>
          <w:rFonts w:eastAsiaTheme="minorHAnsi"/>
          <w:noProof/>
          <w:sz w:val="24"/>
          <w:szCs w:val="24"/>
        </w:rPr>
        <w:t xml:space="preserve">gave a </w:t>
      </w:r>
      <w:r w:rsidR="00671C37" w:rsidRPr="00C64B4C">
        <w:rPr>
          <w:rFonts w:eastAsiaTheme="minorHAnsi"/>
          <w:noProof/>
          <w:sz w:val="24"/>
          <w:szCs w:val="24"/>
        </w:rPr>
        <w:t>p</w:t>
      </w:r>
      <w:r w:rsidR="00AE2366" w:rsidRPr="00C64B4C">
        <w:rPr>
          <w:rFonts w:eastAsiaTheme="minorHAnsi"/>
          <w:noProof/>
          <w:sz w:val="24"/>
          <w:szCs w:val="24"/>
        </w:rPr>
        <w:t>ositive assessment of</w:t>
      </w:r>
      <w:r w:rsidR="00D147F0" w:rsidRPr="00C64B4C">
        <w:rPr>
          <w:rFonts w:eastAsiaTheme="minorHAnsi"/>
          <w:noProof/>
          <w:sz w:val="24"/>
          <w:szCs w:val="24"/>
        </w:rPr>
        <w:t xml:space="preserve"> the impact of the ESAs on</w:t>
      </w:r>
      <w:r w:rsidRPr="00C64B4C">
        <w:rPr>
          <w:rFonts w:eastAsiaTheme="minorHAnsi"/>
          <w:noProof/>
          <w:sz w:val="24"/>
          <w:szCs w:val="24"/>
        </w:rPr>
        <w:t>: (i)</w:t>
      </w:r>
      <w:r w:rsidR="00D147F0" w:rsidRPr="00C64B4C">
        <w:rPr>
          <w:rFonts w:eastAsiaTheme="minorHAnsi"/>
          <w:noProof/>
          <w:sz w:val="24"/>
          <w:szCs w:val="24"/>
        </w:rPr>
        <w:t xml:space="preserve"> financial stability</w:t>
      </w:r>
      <w:r w:rsidRPr="00C64B4C">
        <w:rPr>
          <w:rFonts w:eastAsiaTheme="minorHAnsi"/>
          <w:noProof/>
          <w:sz w:val="24"/>
          <w:szCs w:val="24"/>
        </w:rPr>
        <w:t>; (ii)</w:t>
      </w:r>
      <w:r w:rsidR="00D147F0" w:rsidRPr="00C64B4C">
        <w:rPr>
          <w:rFonts w:eastAsiaTheme="minorHAnsi"/>
          <w:noProof/>
          <w:sz w:val="24"/>
          <w:szCs w:val="24"/>
        </w:rPr>
        <w:t xml:space="preserve"> the functioning of the internal market</w:t>
      </w:r>
      <w:r w:rsidRPr="00C64B4C">
        <w:rPr>
          <w:rFonts w:eastAsiaTheme="minorHAnsi"/>
          <w:noProof/>
          <w:sz w:val="24"/>
          <w:szCs w:val="24"/>
        </w:rPr>
        <w:t>; (iii)</w:t>
      </w:r>
      <w:r w:rsidR="00D147F0" w:rsidRPr="00C64B4C">
        <w:rPr>
          <w:rFonts w:eastAsiaTheme="minorHAnsi"/>
          <w:noProof/>
          <w:sz w:val="24"/>
          <w:szCs w:val="24"/>
        </w:rPr>
        <w:t xml:space="preserve"> the quality and consistency of supervision</w:t>
      </w:r>
      <w:r w:rsidRPr="00C64B4C">
        <w:rPr>
          <w:rFonts w:eastAsiaTheme="minorHAnsi"/>
          <w:noProof/>
          <w:sz w:val="24"/>
          <w:szCs w:val="24"/>
        </w:rPr>
        <w:t>; (iv)</w:t>
      </w:r>
      <w:r w:rsidR="00D147F0" w:rsidRPr="00C64B4C">
        <w:rPr>
          <w:rFonts w:eastAsiaTheme="minorHAnsi"/>
          <w:noProof/>
          <w:sz w:val="24"/>
          <w:szCs w:val="24"/>
        </w:rPr>
        <w:t xml:space="preserve"> </w:t>
      </w:r>
      <w:r w:rsidRPr="00C64B4C">
        <w:rPr>
          <w:rFonts w:eastAsiaTheme="minorHAnsi"/>
          <w:noProof/>
          <w:sz w:val="24"/>
          <w:szCs w:val="24"/>
        </w:rPr>
        <w:t xml:space="preserve">the </w:t>
      </w:r>
      <w:r w:rsidR="00D147F0" w:rsidRPr="00C64B4C">
        <w:rPr>
          <w:rFonts w:eastAsiaTheme="minorHAnsi"/>
          <w:noProof/>
          <w:sz w:val="24"/>
          <w:szCs w:val="24"/>
        </w:rPr>
        <w:t xml:space="preserve">strengthening </w:t>
      </w:r>
      <w:r w:rsidRPr="00C64B4C">
        <w:rPr>
          <w:rFonts w:eastAsiaTheme="minorHAnsi"/>
          <w:noProof/>
          <w:sz w:val="24"/>
          <w:szCs w:val="24"/>
        </w:rPr>
        <w:t xml:space="preserve">of </w:t>
      </w:r>
      <w:r w:rsidR="00D147F0" w:rsidRPr="00C64B4C">
        <w:rPr>
          <w:rFonts w:eastAsiaTheme="minorHAnsi"/>
          <w:noProof/>
          <w:sz w:val="24"/>
          <w:szCs w:val="24"/>
        </w:rPr>
        <w:t>international supervisory coordination</w:t>
      </w:r>
      <w:r w:rsidRPr="00C64B4C">
        <w:rPr>
          <w:rFonts w:eastAsiaTheme="minorHAnsi"/>
          <w:noProof/>
          <w:sz w:val="24"/>
          <w:szCs w:val="24"/>
        </w:rPr>
        <w:t>; (v)</w:t>
      </w:r>
      <w:r w:rsidR="00D147F0" w:rsidRPr="00C64B4C">
        <w:rPr>
          <w:rFonts w:eastAsiaTheme="minorHAnsi"/>
          <w:noProof/>
          <w:sz w:val="24"/>
          <w:szCs w:val="24"/>
        </w:rPr>
        <w:t xml:space="preserve"> consumer and investor protection</w:t>
      </w:r>
      <w:r w:rsidRPr="00C64B4C">
        <w:rPr>
          <w:rFonts w:eastAsiaTheme="minorHAnsi"/>
          <w:noProof/>
          <w:sz w:val="24"/>
          <w:szCs w:val="24"/>
        </w:rPr>
        <w:t>; (vi)</w:t>
      </w:r>
      <w:r w:rsidR="00FA293D" w:rsidRPr="00C64B4C">
        <w:rPr>
          <w:rFonts w:eastAsiaTheme="minorHAnsi"/>
          <w:noProof/>
          <w:sz w:val="24"/>
          <w:szCs w:val="24"/>
        </w:rPr>
        <w:t xml:space="preserve"> </w:t>
      </w:r>
      <w:r w:rsidR="00D147F0" w:rsidRPr="00C64B4C">
        <w:rPr>
          <w:rFonts w:eastAsiaTheme="minorHAnsi"/>
          <w:noProof/>
          <w:sz w:val="24"/>
          <w:szCs w:val="24"/>
        </w:rPr>
        <w:t>sustainable finance</w:t>
      </w:r>
      <w:r w:rsidRPr="00C64B4C">
        <w:rPr>
          <w:rFonts w:eastAsiaTheme="minorHAnsi"/>
          <w:noProof/>
          <w:sz w:val="24"/>
          <w:szCs w:val="24"/>
        </w:rPr>
        <w:t>;</w:t>
      </w:r>
      <w:r w:rsidR="00FA293D" w:rsidRPr="00C64B4C">
        <w:rPr>
          <w:rFonts w:eastAsiaTheme="minorHAnsi"/>
          <w:noProof/>
          <w:sz w:val="24"/>
          <w:szCs w:val="24"/>
        </w:rPr>
        <w:t xml:space="preserve"> and </w:t>
      </w:r>
      <w:r w:rsidRPr="00C64B4C">
        <w:rPr>
          <w:rFonts w:eastAsiaTheme="minorHAnsi"/>
          <w:noProof/>
          <w:sz w:val="24"/>
          <w:szCs w:val="24"/>
        </w:rPr>
        <w:t xml:space="preserve">(vii) </w:t>
      </w:r>
      <w:r w:rsidR="00FA293D" w:rsidRPr="00C64B4C">
        <w:rPr>
          <w:rFonts w:eastAsiaTheme="minorHAnsi"/>
          <w:noProof/>
          <w:sz w:val="24"/>
          <w:szCs w:val="24"/>
        </w:rPr>
        <w:t>digital finance</w:t>
      </w:r>
      <w:r w:rsidR="00D147F0" w:rsidRPr="00C64B4C">
        <w:rPr>
          <w:rFonts w:eastAsiaTheme="minorHAnsi"/>
          <w:noProof/>
          <w:sz w:val="24"/>
          <w:szCs w:val="24"/>
        </w:rPr>
        <w:t xml:space="preserve">. </w:t>
      </w:r>
    </w:p>
    <w:p w14:paraId="7D76FDAF" w14:textId="77777777" w:rsidR="001D4421" w:rsidRPr="00C64B4C" w:rsidRDefault="001D4421" w:rsidP="00901A5C">
      <w:pPr>
        <w:jc w:val="both"/>
        <w:rPr>
          <w:rFonts w:eastAsiaTheme="minorHAnsi"/>
          <w:noProof/>
          <w:sz w:val="24"/>
          <w:szCs w:val="24"/>
        </w:rPr>
      </w:pPr>
    </w:p>
    <w:p w14:paraId="58EF1391" w14:textId="77777777" w:rsidR="00D147F0" w:rsidRPr="00C64B4C" w:rsidRDefault="00D147F0" w:rsidP="00901A5C">
      <w:pPr>
        <w:jc w:val="both"/>
        <w:rPr>
          <w:rFonts w:eastAsiaTheme="minorHAnsi"/>
          <w:noProof/>
          <w:sz w:val="24"/>
          <w:szCs w:val="24"/>
        </w:rPr>
      </w:pPr>
      <w:r w:rsidRPr="00C64B4C">
        <w:rPr>
          <w:rFonts w:eastAsiaTheme="minorHAnsi"/>
          <w:noProof/>
          <w:sz w:val="24"/>
          <w:szCs w:val="24"/>
        </w:rPr>
        <w:t xml:space="preserve">Many respondents observed that it </w:t>
      </w:r>
      <w:r w:rsidR="002B7EF5" w:rsidRPr="00C64B4C">
        <w:rPr>
          <w:rFonts w:eastAsiaTheme="minorHAnsi"/>
          <w:noProof/>
          <w:sz w:val="24"/>
          <w:szCs w:val="24"/>
        </w:rPr>
        <w:t>was</w:t>
      </w:r>
      <w:r w:rsidRPr="00C64B4C">
        <w:rPr>
          <w:rFonts w:eastAsiaTheme="minorHAnsi"/>
          <w:noProof/>
          <w:sz w:val="24"/>
          <w:szCs w:val="24"/>
        </w:rPr>
        <w:t xml:space="preserve"> </w:t>
      </w:r>
      <w:r w:rsidR="002B7EF5" w:rsidRPr="00C64B4C">
        <w:rPr>
          <w:rFonts w:eastAsiaTheme="minorHAnsi"/>
          <w:noProof/>
          <w:sz w:val="24"/>
          <w:szCs w:val="24"/>
        </w:rPr>
        <w:t xml:space="preserve">still </w:t>
      </w:r>
      <w:r w:rsidRPr="00C64B4C">
        <w:rPr>
          <w:rFonts w:eastAsiaTheme="minorHAnsi"/>
          <w:noProof/>
          <w:sz w:val="24"/>
          <w:szCs w:val="24"/>
        </w:rPr>
        <w:t>too soon to</w:t>
      </w:r>
      <w:r w:rsidR="00EE2B13" w:rsidRPr="00C64B4C">
        <w:rPr>
          <w:rFonts w:eastAsiaTheme="minorHAnsi"/>
          <w:noProof/>
          <w:sz w:val="24"/>
          <w:szCs w:val="24"/>
        </w:rPr>
        <w:t>: (i)</w:t>
      </w:r>
      <w:r w:rsidRPr="00C64B4C">
        <w:rPr>
          <w:rFonts w:eastAsiaTheme="minorHAnsi"/>
          <w:noProof/>
          <w:sz w:val="24"/>
          <w:szCs w:val="24"/>
        </w:rPr>
        <w:t xml:space="preserve"> evaluate </w:t>
      </w:r>
      <w:r w:rsidR="009363B1" w:rsidRPr="00C64B4C">
        <w:rPr>
          <w:rFonts w:eastAsiaTheme="minorHAnsi"/>
          <w:noProof/>
          <w:sz w:val="24"/>
          <w:szCs w:val="24"/>
        </w:rPr>
        <w:t xml:space="preserve">fully </w:t>
      </w:r>
      <w:r w:rsidRPr="00C64B4C">
        <w:rPr>
          <w:rFonts w:eastAsiaTheme="minorHAnsi"/>
          <w:noProof/>
          <w:sz w:val="24"/>
          <w:szCs w:val="24"/>
        </w:rPr>
        <w:t xml:space="preserve">the changes </w:t>
      </w:r>
      <w:r w:rsidR="009363B1" w:rsidRPr="00C64B4C">
        <w:rPr>
          <w:rFonts w:eastAsiaTheme="minorHAnsi"/>
          <w:noProof/>
          <w:sz w:val="24"/>
          <w:szCs w:val="24"/>
        </w:rPr>
        <w:t xml:space="preserve">that were agreed in 2019 and </w:t>
      </w:r>
      <w:r w:rsidR="00EE2B13" w:rsidRPr="00C64B4C">
        <w:rPr>
          <w:rFonts w:eastAsiaTheme="minorHAnsi"/>
          <w:noProof/>
          <w:sz w:val="24"/>
          <w:szCs w:val="24"/>
        </w:rPr>
        <w:t xml:space="preserve">that had only </w:t>
      </w:r>
      <w:r w:rsidR="009363B1" w:rsidRPr="00C64B4C">
        <w:rPr>
          <w:rFonts w:eastAsiaTheme="minorHAnsi"/>
          <w:noProof/>
          <w:sz w:val="24"/>
          <w:szCs w:val="24"/>
        </w:rPr>
        <w:t xml:space="preserve">entered into application </w:t>
      </w:r>
      <w:r w:rsidR="00EE2B13" w:rsidRPr="00C64B4C">
        <w:rPr>
          <w:rFonts w:eastAsiaTheme="minorHAnsi"/>
          <w:noProof/>
          <w:sz w:val="24"/>
          <w:szCs w:val="24"/>
        </w:rPr>
        <w:t xml:space="preserve">in </w:t>
      </w:r>
      <w:r w:rsidR="009363B1" w:rsidRPr="00C64B4C">
        <w:rPr>
          <w:rFonts w:eastAsiaTheme="minorHAnsi"/>
          <w:noProof/>
          <w:sz w:val="24"/>
          <w:szCs w:val="24"/>
        </w:rPr>
        <w:t>early 2020</w:t>
      </w:r>
      <w:r w:rsidR="00EE2B13" w:rsidRPr="00C64B4C">
        <w:rPr>
          <w:rFonts w:eastAsiaTheme="minorHAnsi"/>
          <w:noProof/>
          <w:sz w:val="24"/>
          <w:szCs w:val="24"/>
        </w:rPr>
        <w:t>;</w:t>
      </w:r>
      <w:r w:rsidR="009363B1" w:rsidRPr="00C64B4C">
        <w:rPr>
          <w:rFonts w:eastAsiaTheme="minorHAnsi"/>
          <w:noProof/>
          <w:sz w:val="24"/>
          <w:szCs w:val="24"/>
        </w:rPr>
        <w:t xml:space="preserve"> </w:t>
      </w:r>
      <w:r w:rsidRPr="00C64B4C">
        <w:rPr>
          <w:rFonts w:eastAsiaTheme="minorHAnsi"/>
          <w:noProof/>
          <w:sz w:val="24"/>
          <w:szCs w:val="24"/>
        </w:rPr>
        <w:t xml:space="preserve">and </w:t>
      </w:r>
      <w:r w:rsidR="00EE2B13" w:rsidRPr="00C64B4C">
        <w:rPr>
          <w:rFonts w:eastAsiaTheme="minorHAnsi"/>
          <w:noProof/>
          <w:sz w:val="24"/>
          <w:szCs w:val="24"/>
        </w:rPr>
        <w:t xml:space="preserve">(ii) </w:t>
      </w:r>
      <w:r w:rsidRPr="00C64B4C">
        <w:rPr>
          <w:rFonts w:eastAsiaTheme="minorHAnsi"/>
          <w:noProof/>
          <w:sz w:val="24"/>
          <w:szCs w:val="24"/>
        </w:rPr>
        <w:t>consider further changes given the short period of time since the implementation of the last amendments</w:t>
      </w:r>
      <w:r w:rsidR="009363B1" w:rsidRPr="00C64B4C">
        <w:rPr>
          <w:rFonts w:eastAsiaTheme="minorHAnsi"/>
          <w:noProof/>
          <w:sz w:val="24"/>
          <w:szCs w:val="24"/>
        </w:rPr>
        <w:t>. In addition</w:t>
      </w:r>
      <w:r w:rsidR="00211703" w:rsidRPr="00C64B4C">
        <w:rPr>
          <w:rFonts w:eastAsiaTheme="minorHAnsi"/>
          <w:noProof/>
          <w:sz w:val="24"/>
          <w:szCs w:val="24"/>
        </w:rPr>
        <w:t xml:space="preserve">, </w:t>
      </w:r>
      <w:r w:rsidR="009363B1" w:rsidRPr="00C64B4C">
        <w:rPr>
          <w:rFonts w:eastAsiaTheme="minorHAnsi"/>
          <w:noProof/>
          <w:sz w:val="24"/>
          <w:szCs w:val="24"/>
        </w:rPr>
        <w:t xml:space="preserve">respondents pointed to the </w:t>
      </w:r>
      <w:r w:rsidRPr="00C64B4C">
        <w:rPr>
          <w:rFonts w:eastAsiaTheme="minorHAnsi"/>
          <w:noProof/>
          <w:sz w:val="24"/>
          <w:szCs w:val="24"/>
        </w:rPr>
        <w:t xml:space="preserve">extraordinary </w:t>
      </w:r>
      <w:r w:rsidR="00946708" w:rsidRPr="00C64B4C">
        <w:rPr>
          <w:rFonts w:eastAsiaTheme="minorHAnsi"/>
          <w:noProof/>
          <w:sz w:val="24"/>
          <w:szCs w:val="24"/>
        </w:rPr>
        <w:t xml:space="preserve">circumstances </w:t>
      </w:r>
      <w:r w:rsidRPr="00C64B4C">
        <w:rPr>
          <w:rFonts w:eastAsiaTheme="minorHAnsi"/>
          <w:noProof/>
          <w:sz w:val="24"/>
          <w:szCs w:val="24"/>
        </w:rPr>
        <w:t xml:space="preserve">caused by COVID-19 that have occupied the </w:t>
      </w:r>
      <w:r w:rsidR="005E5978" w:rsidRPr="00C64B4C">
        <w:rPr>
          <w:rFonts w:eastAsiaTheme="minorHAnsi"/>
          <w:noProof/>
          <w:sz w:val="24"/>
          <w:szCs w:val="24"/>
        </w:rPr>
        <w:t xml:space="preserve">attention of the </w:t>
      </w:r>
      <w:r w:rsidRPr="00C64B4C">
        <w:rPr>
          <w:rFonts w:eastAsiaTheme="minorHAnsi"/>
          <w:noProof/>
          <w:sz w:val="24"/>
          <w:szCs w:val="24"/>
        </w:rPr>
        <w:t xml:space="preserve">ESAs </w:t>
      </w:r>
      <w:r w:rsidR="00EE2B13" w:rsidRPr="00C64B4C">
        <w:rPr>
          <w:rFonts w:eastAsiaTheme="minorHAnsi"/>
          <w:noProof/>
          <w:sz w:val="24"/>
          <w:szCs w:val="24"/>
        </w:rPr>
        <w:t xml:space="preserve">– </w:t>
      </w:r>
      <w:r w:rsidR="00DF02CF" w:rsidRPr="00C64B4C">
        <w:rPr>
          <w:rFonts w:eastAsiaTheme="minorHAnsi"/>
          <w:noProof/>
          <w:sz w:val="24"/>
          <w:szCs w:val="24"/>
        </w:rPr>
        <w:t xml:space="preserve">in particular </w:t>
      </w:r>
      <w:r w:rsidRPr="00C64B4C">
        <w:rPr>
          <w:rFonts w:eastAsiaTheme="minorHAnsi"/>
          <w:noProof/>
          <w:sz w:val="24"/>
          <w:szCs w:val="24"/>
        </w:rPr>
        <w:t xml:space="preserve">during </w:t>
      </w:r>
      <w:r w:rsidR="00DF02CF" w:rsidRPr="00C64B4C">
        <w:rPr>
          <w:rFonts w:eastAsiaTheme="minorHAnsi"/>
          <w:noProof/>
          <w:sz w:val="24"/>
          <w:szCs w:val="24"/>
        </w:rPr>
        <w:t>large parts of 2020</w:t>
      </w:r>
      <w:r w:rsidRPr="00C64B4C">
        <w:rPr>
          <w:rFonts w:eastAsiaTheme="minorHAnsi"/>
          <w:noProof/>
          <w:sz w:val="24"/>
          <w:szCs w:val="24"/>
        </w:rPr>
        <w:t>.</w:t>
      </w:r>
      <w:r w:rsidR="00457B0B" w:rsidRPr="00C64B4C">
        <w:rPr>
          <w:rFonts w:eastAsiaTheme="minorHAnsi"/>
          <w:noProof/>
          <w:sz w:val="24"/>
          <w:szCs w:val="24"/>
        </w:rPr>
        <w:t xml:space="preserve"> </w:t>
      </w:r>
      <w:r w:rsidR="009E124C" w:rsidRPr="00C64B4C">
        <w:rPr>
          <w:rFonts w:eastAsiaTheme="minorHAnsi"/>
          <w:noProof/>
          <w:sz w:val="24"/>
          <w:szCs w:val="24"/>
        </w:rPr>
        <w:t>Despite th</w:t>
      </w:r>
      <w:r w:rsidR="005E5978" w:rsidRPr="00C64B4C">
        <w:rPr>
          <w:rFonts w:eastAsiaTheme="minorHAnsi"/>
          <w:noProof/>
          <w:sz w:val="24"/>
          <w:szCs w:val="24"/>
        </w:rPr>
        <w:t>ese</w:t>
      </w:r>
      <w:r w:rsidR="009E124C" w:rsidRPr="00C64B4C">
        <w:rPr>
          <w:rFonts w:eastAsiaTheme="minorHAnsi"/>
          <w:noProof/>
          <w:sz w:val="24"/>
          <w:szCs w:val="24"/>
        </w:rPr>
        <w:t xml:space="preserve"> </w:t>
      </w:r>
      <w:r w:rsidR="000A7658" w:rsidRPr="00C64B4C">
        <w:rPr>
          <w:rFonts w:eastAsiaTheme="minorHAnsi"/>
          <w:noProof/>
          <w:sz w:val="24"/>
          <w:szCs w:val="24"/>
        </w:rPr>
        <w:t>reservation</w:t>
      </w:r>
      <w:r w:rsidR="005E5978" w:rsidRPr="00C64B4C">
        <w:rPr>
          <w:rFonts w:eastAsiaTheme="minorHAnsi"/>
          <w:noProof/>
          <w:sz w:val="24"/>
          <w:szCs w:val="24"/>
        </w:rPr>
        <w:t>s</w:t>
      </w:r>
      <w:r w:rsidR="009E124C" w:rsidRPr="00C64B4C">
        <w:rPr>
          <w:rFonts w:eastAsiaTheme="minorHAnsi"/>
          <w:noProof/>
          <w:sz w:val="24"/>
          <w:szCs w:val="24"/>
        </w:rPr>
        <w:t xml:space="preserve">, most respondents </w:t>
      </w:r>
      <w:r w:rsidR="00EE2B13" w:rsidRPr="00C64B4C">
        <w:rPr>
          <w:rFonts w:eastAsiaTheme="minorHAnsi"/>
          <w:noProof/>
          <w:sz w:val="24"/>
          <w:szCs w:val="24"/>
        </w:rPr>
        <w:t xml:space="preserve">were still able to </w:t>
      </w:r>
      <w:r w:rsidR="00C27E94" w:rsidRPr="00C64B4C">
        <w:rPr>
          <w:rFonts w:eastAsiaTheme="minorHAnsi"/>
          <w:noProof/>
          <w:sz w:val="24"/>
          <w:szCs w:val="24"/>
        </w:rPr>
        <w:t>provide</w:t>
      </w:r>
      <w:r w:rsidR="00EE2B13" w:rsidRPr="00C64B4C">
        <w:rPr>
          <w:rFonts w:eastAsiaTheme="minorHAnsi"/>
          <w:noProof/>
          <w:sz w:val="24"/>
          <w:szCs w:val="24"/>
        </w:rPr>
        <w:t xml:space="preserve"> an</w:t>
      </w:r>
      <w:r w:rsidR="009E124C" w:rsidRPr="00C64B4C">
        <w:rPr>
          <w:rFonts w:eastAsiaTheme="minorHAnsi"/>
          <w:noProof/>
          <w:sz w:val="24"/>
          <w:szCs w:val="24"/>
        </w:rPr>
        <w:t xml:space="preserve"> assessment. By and large</w:t>
      </w:r>
      <w:r w:rsidR="00457B0B" w:rsidRPr="00C64B4C">
        <w:rPr>
          <w:rFonts w:eastAsiaTheme="minorHAnsi"/>
          <w:noProof/>
          <w:sz w:val="24"/>
          <w:szCs w:val="24"/>
        </w:rPr>
        <w:t>,</w:t>
      </w:r>
      <w:r w:rsidR="009E124C" w:rsidRPr="00C64B4C">
        <w:rPr>
          <w:rFonts w:eastAsiaTheme="minorHAnsi"/>
          <w:noProof/>
          <w:sz w:val="24"/>
          <w:szCs w:val="24"/>
        </w:rPr>
        <w:t xml:space="preserve"> the feedback was clearly</w:t>
      </w:r>
      <w:r w:rsidR="00457B0B" w:rsidRPr="00C64B4C">
        <w:rPr>
          <w:rFonts w:eastAsiaTheme="minorHAnsi"/>
          <w:noProof/>
          <w:sz w:val="24"/>
          <w:szCs w:val="24"/>
        </w:rPr>
        <w:t xml:space="preserve"> positive about the changes introduced by the</w:t>
      </w:r>
      <w:r w:rsidR="000E38DE" w:rsidRPr="00C64B4C">
        <w:rPr>
          <w:rFonts w:eastAsiaTheme="minorHAnsi"/>
          <w:noProof/>
          <w:sz w:val="24"/>
          <w:szCs w:val="24"/>
        </w:rPr>
        <w:t xml:space="preserve"> ESA review, </w:t>
      </w:r>
      <w:r w:rsidR="00457B0B" w:rsidRPr="00C64B4C">
        <w:rPr>
          <w:rFonts w:eastAsiaTheme="minorHAnsi"/>
          <w:noProof/>
          <w:sz w:val="24"/>
          <w:szCs w:val="24"/>
        </w:rPr>
        <w:t>even though a number o</w:t>
      </w:r>
      <w:r w:rsidR="000E38DE" w:rsidRPr="00C64B4C">
        <w:rPr>
          <w:rFonts w:eastAsiaTheme="minorHAnsi"/>
          <w:noProof/>
          <w:sz w:val="24"/>
          <w:szCs w:val="24"/>
        </w:rPr>
        <w:t xml:space="preserve">f </w:t>
      </w:r>
      <w:r w:rsidR="00EE2B13" w:rsidRPr="00C64B4C">
        <w:rPr>
          <w:rFonts w:eastAsiaTheme="minorHAnsi"/>
          <w:noProof/>
          <w:sz w:val="24"/>
          <w:szCs w:val="24"/>
        </w:rPr>
        <w:t xml:space="preserve">respondents </w:t>
      </w:r>
      <w:r w:rsidR="000E38DE" w:rsidRPr="00C64B4C">
        <w:rPr>
          <w:rFonts w:eastAsiaTheme="minorHAnsi"/>
          <w:noProof/>
          <w:sz w:val="24"/>
          <w:szCs w:val="24"/>
        </w:rPr>
        <w:t>consider</w:t>
      </w:r>
      <w:r w:rsidR="00EE2B13" w:rsidRPr="00C64B4C">
        <w:rPr>
          <w:rFonts w:eastAsiaTheme="minorHAnsi"/>
          <w:noProof/>
          <w:sz w:val="24"/>
          <w:szCs w:val="24"/>
        </w:rPr>
        <w:t>ed that</w:t>
      </w:r>
      <w:r w:rsidR="000E38DE" w:rsidRPr="00C64B4C">
        <w:rPr>
          <w:rFonts w:eastAsiaTheme="minorHAnsi"/>
          <w:noProof/>
          <w:sz w:val="24"/>
          <w:szCs w:val="24"/>
        </w:rPr>
        <w:t xml:space="preserve"> more </w:t>
      </w:r>
      <w:r w:rsidR="00EE2B13" w:rsidRPr="00C64B4C">
        <w:rPr>
          <w:rFonts w:eastAsiaTheme="minorHAnsi"/>
          <w:noProof/>
          <w:sz w:val="24"/>
          <w:szCs w:val="24"/>
        </w:rPr>
        <w:t>changes were</w:t>
      </w:r>
      <w:r w:rsidR="000E38DE" w:rsidRPr="00C64B4C">
        <w:rPr>
          <w:rFonts w:eastAsiaTheme="minorHAnsi"/>
          <w:noProof/>
          <w:sz w:val="24"/>
          <w:szCs w:val="24"/>
        </w:rPr>
        <w:t xml:space="preserve"> needed</w:t>
      </w:r>
      <w:r w:rsidR="00457B0B" w:rsidRPr="00C64B4C">
        <w:rPr>
          <w:rFonts w:eastAsiaTheme="minorHAnsi"/>
          <w:noProof/>
          <w:sz w:val="24"/>
          <w:szCs w:val="24"/>
        </w:rPr>
        <w:t xml:space="preserve">. </w:t>
      </w:r>
      <w:r w:rsidR="009E124C" w:rsidRPr="00C64B4C">
        <w:rPr>
          <w:rFonts w:eastAsiaTheme="minorHAnsi"/>
          <w:noProof/>
          <w:sz w:val="24"/>
          <w:szCs w:val="24"/>
        </w:rPr>
        <w:t xml:space="preserve">The responses also revealed that </w:t>
      </w:r>
      <w:r w:rsidR="000A7658" w:rsidRPr="00C64B4C">
        <w:rPr>
          <w:rFonts w:eastAsiaTheme="minorHAnsi"/>
          <w:noProof/>
          <w:sz w:val="24"/>
          <w:szCs w:val="24"/>
        </w:rPr>
        <w:t xml:space="preserve">the </w:t>
      </w:r>
      <w:r w:rsidR="0066373E" w:rsidRPr="00C64B4C">
        <w:rPr>
          <w:rFonts w:eastAsiaTheme="minorHAnsi"/>
          <w:noProof/>
          <w:sz w:val="24"/>
          <w:szCs w:val="24"/>
        </w:rPr>
        <w:t xml:space="preserve">divergent opinions that surfaced in the </w:t>
      </w:r>
      <w:r w:rsidR="009363B1" w:rsidRPr="00C64B4C">
        <w:rPr>
          <w:rFonts w:eastAsiaTheme="minorHAnsi"/>
          <w:noProof/>
          <w:sz w:val="24"/>
          <w:szCs w:val="24"/>
        </w:rPr>
        <w:t xml:space="preserve">2019 </w:t>
      </w:r>
      <w:r w:rsidR="000A7658" w:rsidRPr="00C64B4C">
        <w:rPr>
          <w:rFonts w:eastAsiaTheme="minorHAnsi"/>
          <w:noProof/>
          <w:sz w:val="24"/>
          <w:szCs w:val="24"/>
        </w:rPr>
        <w:t>ESA review</w:t>
      </w:r>
      <w:r w:rsidR="0066373E" w:rsidRPr="00C64B4C">
        <w:rPr>
          <w:rFonts w:eastAsiaTheme="minorHAnsi"/>
          <w:noProof/>
          <w:sz w:val="24"/>
          <w:szCs w:val="24"/>
        </w:rPr>
        <w:t xml:space="preserve"> are still present</w:t>
      </w:r>
      <w:r w:rsidR="000A7658" w:rsidRPr="00C64B4C">
        <w:rPr>
          <w:rFonts w:eastAsiaTheme="minorHAnsi"/>
          <w:noProof/>
          <w:sz w:val="24"/>
          <w:szCs w:val="24"/>
        </w:rPr>
        <w:t xml:space="preserve">. </w:t>
      </w:r>
      <w:r w:rsidR="00457B0B" w:rsidRPr="00C64B4C">
        <w:rPr>
          <w:rFonts w:eastAsiaTheme="minorHAnsi"/>
          <w:noProof/>
          <w:sz w:val="24"/>
          <w:szCs w:val="24"/>
        </w:rPr>
        <w:t xml:space="preserve">The vast majority of respondents </w:t>
      </w:r>
      <w:r w:rsidR="000A7658" w:rsidRPr="00C64B4C">
        <w:rPr>
          <w:rFonts w:eastAsiaTheme="minorHAnsi"/>
          <w:noProof/>
          <w:sz w:val="24"/>
          <w:szCs w:val="24"/>
        </w:rPr>
        <w:t>agree that</w:t>
      </w:r>
      <w:r w:rsidR="00457B0B" w:rsidRPr="00C64B4C">
        <w:rPr>
          <w:rFonts w:eastAsiaTheme="minorHAnsi"/>
          <w:noProof/>
          <w:sz w:val="24"/>
          <w:szCs w:val="24"/>
        </w:rPr>
        <w:t xml:space="preserve"> the ESAs </w:t>
      </w:r>
      <w:r w:rsidR="000A7658" w:rsidRPr="00C64B4C">
        <w:rPr>
          <w:rFonts w:eastAsiaTheme="minorHAnsi"/>
          <w:noProof/>
          <w:sz w:val="24"/>
          <w:szCs w:val="24"/>
        </w:rPr>
        <w:t>reacted</w:t>
      </w:r>
      <w:r w:rsidR="00457B0B" w:rsidRPr="00C64B4C">
        <w:rPr>
          <w:rFonts w:eastAsiaTheme="minorHAnsi"/>
          <w:noProof/>
          <w:sz w:val="24"/>
          <w:szCs w:val="24"/>
        </w:rPr>
        <w:t xml:space="preserve"> appropriately in the COVID</w:t>
      </w:r>
      <w:r w:rsidR="00EE2B13" w:rsidRPr="00C64B4C">
        <w:rPr>
          <w:rFonts w:eastAsiaTheme="minorHAnsi"/>
          <w:noProof/>
          <w:sz w:val="24"/>
          <w:szCs w:val="24"/>
        </w:rPr>
        <w:t>-19</w:t>
      </w:r>
      <w:r w:rsidR="00457B0B" w:rsidRPr="00C64B4C">
        <w:rPr>
          <w:rFonts w:eastAsiaTheme="minorHAnsi"/>
          <w:noProof/>
          <w:sz w:val="24"/>
          <w:szCs w:val="24"/>
        </w:rPr>
        <w:t xml:space="preserve"> crisis and that the current </w:t>
      </w:r>
      <w:r w:rsidR="00EE2B13" w:rsidRPr="00C64B4C">
        <w:rPr>
          <w:rFonts w:eastAsiaTheme="minorHAnsi"/>
          <w:noProof/>
          <w:sz w:val="24"/>
          <w:szCs w:val="24"/>
        </w:rPr>
        <w:t xml:space="preserve">powers of the </w:t>
      </w:r>
      <w:r w:rsidR="00457B0B" w:rsidRPr="00C64B4C">
        <w:rPr>
          <w:rFonts w:eastAsiaTheme="minorHAnsi"/>
          <w:noProof/>
          <w:sz w:val="24"/>
          <w:szCs w:val="24"/>
        </w:rPr>
        <w:t xml:space="preserve">ESAs have proven to be largely </w:t>
      </w:r>
      <w:r w:rsidR="00EE2B13" w:rsidRPr="00C64B4C">
        <w:rPr>
          <w:rFonts w:eastAsiaTheme="minorHAnsi"/>
          <w:noProof/>
          <w:sz w:val="24"/>
          <w:szCs w:val="24"/>
        </w:rPr>
        <w:t>sufficient</w:t>
      </w:r>
      <w:r w:rsidR="00457B0B" w:rsidRPr="00C64B4C">
        <w:rPr>
          <w:rFonts w:eastAsiaTheme="minorHAnsi"/>
          <w:noProof/>
          <w:sz w:val="24"/>
          <w:szCs w:val="24"/>
        </w:rPr>
        <w:t>. According to the feedback, the ESAs</w:t>
      </w:r>
      <w:r w:rsidR="00EE2B13" w:rsidRPr="00C64B4C">
        <w:rPr>
          <w:rFonts w:eastAsiaTheme="minorHAnsi"/>
          <w:noProof/>
          <w:sz w:val="24"/>
          <w:szCs w:val="24"/>
        </w:rPr>
        <w:t>’</w:t>
      </w:r>
      <w:r w:rsidR="00457B0B" w:rsidRPr="00C64B4C">
        <w:rPr>
          <w:rFonts w:eastAsiaTheme="minorHAnsi"/>
          <w:noProof/>
          <w:sz w:val="24"/>
          <w:szCs w:val="24"/>
        </w:rPr>
        <w:t xml:space="preserve"> coordination seems to work satisfactor</w:t>
      </w:r>
      <w:r w:rsidR="00EE2B13" w:rsidRPr="00C64B4C">
        <w:rPr>
          <w:rFonts w:eastAsiaTheme="minorHAnsi"/>
          <w:noProof/>
          <w:sz w:val="24"/>
          <w:szCs w:val="24"/>
        </w:rPr>
        <w:t>ily. H</w:t>
      </w:r>
      <w:r w:rsidR="00457B0B" w:rsidRPr="00C64B4C">
        <w:rPr>
          <w:rFonts w:eastAsiaTheme="minorHAnsi"/>
          <w:noProof/>
          <w:sz w:val="24"/>
          <w:szCs w:val="24"/>
        </w:rPr>
        <w:t>owever</w:t>
      </w:r>
      <w:r w:rsidR="00EE2B13" w:rsidRPr="00C64B4C">
        <w:rPr>
          <w:rFonts w:eastAsiaTheme="minorHAnsi"/>
          <w:noProof/>
          <w:sz w:val="24"/>
          <w:szCs w:val="24"/>
        </w:rPr>
        <w:t>,</w:t>
      </w:r>
      <w:r w:rsidR="000A7658" w:rsidRPr="00C64B4C">
        <w:rPr>
          <w:rFonts w:eastAsiaTheme="minorHAnsi"/>
          <w:noProof/>
          <w:sz w:val="24"/>
          <w:szCs w:val="24"/>
        </w:rPr>
        <w:t xml:space="preserve"> some stakeholders consider</w:t>
      </w:r>
      <w:r w:rsidR="00457B0B" w:rsidRPr="00C64B4C">
        <w:rPr>
          <w:rFonts w:eastAsiaTheme="minorHAnsi"/>
          <w:noProof/>
          <w:sz w:val="24"/>
          <w:szCs w:val="24"/>
        </w:rPr>
        <w:t xml:space="preserve"> </w:t>
      </w:r>
      <w:r w:rsidR="000A7658" w:rsidRPr="00C64B4C">
        <w:rPr>
          <w:rFonts w:eastAsiaTheme="minorHAnsi"/>
          <w:noProof/>
          <w:sz w:val="24"/>
          <w:szCs w:val="24"/>
        </w:rPr>
        <w:t xml:space="preserve">that </w:t>
      </w:r>
      <w:r w:rsidR="00EE2B13" w:rsidRPr="00C64B4C">
        <w:rPr>
          <w:rFonts w:eastAsiaTheme="minorHAnsi"/>
          <w:noProof/>
          <w:sz w:val="24"/>
          <w:szCs w:val="24"/>
        </w:rPr>
        <w:t>the ESAs</w:t>
      </w:r>
      <w:r w:rsidR="00711EAA" w:rsidRPr="00C64B4C">
        <w:rPr>
          <w:rFonts w:eastAsiaTheme="minorHAnsi"/>
          <w:noProof/>
          <w:sz w:val="24"/>
          <w:szCs w:val="24"/>
        </w:rPr>
        <w:t>'</w:t>
      </w:r>
      <w:r w:rsidR="00EE2B13" w:rsidRPr="00C64B4C">
        <w:rPr>
          <w:rFonts w:eastAsiaTheme="minorHAnsi"/>
          <w:noProof/>
          <w:sz w:val="24"/>
          <w:szCs w:val="24"/>
        </w:rPr>
        <w:t xml:space="preserve"> </w:t>
      </w:r>
      <w:r w:rsidR="00711EAA" w:rsidRPr="00C64B4C">
        <w:rPr>
          <w:rFonts w:eastAsiaTheme="minorHAnsi"/>
          <w:noProof/>
          <w:sz w:val="24"/>
          <w:szCs w:val="24"/>
        </w:rPr>
        <w:t xml:space="preserve">coordinating role </w:t>
      </w:r>
      <w:r w:rsidR="00457B0B" w:rsidRPr="00C64B4C">
        <w:rPr>
          <w:rFonts w:eastAsiaTheme="minorHAnsi"/>
          <w:noProof/>
          <w:sz w:val="24"/>
          <w:szCs w:val="24"/>
        </w:rPr>
        <w:t>has not been used to its full potential.</w:t>
      </w:r>
    </w:p>
    <w:p w14:paraId="66CE7837" w14:textId="77777777" w:rsidR="000E38DE" w:rsidRPr="00C64B4C" w:rsidRDefault="000E38DE" w:rsidP="00901A5C">
      <w:pPr>
        <w:jc w:val="both"/>
        <w:rPr>
          <w:rFonts w:eastAsiaTheme="minorHAnsi"/>
          <w:noProof/>
          <w:sz w:val="24"/>
          <w:szCs w:val="24"/>
        </w:rPr>
      </w:pPr>
    </w:p>
    <w:p w14:paraId="19E6CE51" w14:textId="6D50A1F6" w:rsidR="00FC43AC" w:rsidRPr="00C64B4C" w:rsidRDefault="007C7517" w:rsidP="00901A5C">
      <w:pPr>
        <w:jc w:val="both"/>
        <w:rPr>
          <w:rFonts w:eastAsiaTheme="minorHAnsi"/>
          <w:noProof/>
          <w:sz w:val="24"/>
          <w:szCs w:val="24"/>
        </w:rPr>
      </w:pPr>
      <w:r w:rsidRPr="00C64B4C">
        <w:rPr>
          <w:rFonts w:eastAsiaTheme="minorHAnsi"/>
          <w:noProof/>
          <w:sz w:val="24"/>
          <w:szCs w:val="24"/>
        </w:rPr>
        <w:t xml:space="preserve">This report summarises the </w:t>
      </w:r>
      <w:r w:rsidR="000F25C9" w:rsidRPr="00C64B4C">
        <w:rPr>
          <w:rFonts w:eastAsiaTheme="minorHAnsi"/>
          <w:noProof/>
          <w:sz w:val="24"/>
          <w:szCs w:val="24"/>
        </w:rPr>
        <w:t xml:space="preserve">findings </w:t>
      </w:r>
      <w:r w:rsidR="000A7658" w:rsidRPr="00C64B4C">
        <w:rPr>
          <w:rFonts w:eastAsiaTheme="minorHAnsi"/>
          <w:noProof/>
          <w:sz w:val="24"/>
          <w:szCs w:val="24"/>
        </w:rPr>
        <w:t xml:space="preserve">from the consultation and </w:t>
      </w:r>
      <w:r w:rsidR="0066373E" w:rsidRPr="00C64B4C">
        <w:rPr>
          <w:rFonts w:eastAsiaTheme="minorHAnsi"/>
          <w:noProof/>
          <w:sz w:val="24"/>
          <w:szCs w:val="24"/>
        </w:rPr>
        <w:t>from other stakeholder contacts</w:t>
      </w:r>
      <w:r w:rsidR="00EE2B13" w:rsidRPr="00C64B4C">
        <w:rPr>
          <w:rFonts w:eastAsiaTheme="minorHAnsi"/>
          <w:noProof/>
          <w:sz w:val="24"/>
          <w:szCs w:val="24"/>
        </w:rPr>
        <w:t>. It</w:t>
      </w:r>
      <w:r w:rsidR="0066373E" w:rsidRPr="00C64B4C">
        <w:rPr>
          <w:rFonts w:eastAsiaTheme="minorHAnsi"/>
          <w:noProof/>
          <w:sz w:val="24"/>
          <w:szCs w:val="24"/>
        </w:rPr>
        <w:t xml:space="preserve"> </w:t>
      </w:r>
      <w:r w:rsidR="000A7658" w:rsidRPr="00C64B4C">
        <w:rPr>
          <w:rFonts w:eastAsiaTheme="minorHAnsi"/>
          <w:noProof/>
          <w:sz w:val="24"/>
          <w:szCs w:val="24"/>
        </w:rPr>
        <w:t>focus</w:t>
      </w:r>
      <w:r w:rsidR="00EE2B13" w:rsidRPr="00C64B4C">
        <w:rPr>
          <w:rFonts w:eastAsiaTheme="minorHAnsi"/>
          <w:noProof/>
          <w:sz w:val="24"/>
          <w:szCs w:val="24"/>
        </w:rPr>
        <w:t>es</w:t>
      </w:r>
      <w:r w:rsidR="000A7658" w:rsidRPr="00C64B4C">
        <w:rPr>
          <w:rFonts w:eastAsiaTheme="minorHAnsi"/>
          <w:noProof/>
          <w:sz w:val="24"/>
          <w:szCs w:val="24"/>
        </w:rPr>
        <w:t xml:space="preserve"> on </w:t>
      </w:r>
      <w:r w:rsidR="000F25C9" w:rsidRPr="00C64B4C">
        <w:rPr>
          <w:rFonts w:eastAsiaTheme="minorHAnsi"/>
          <w:noProof/>
          <w:sz w:val="24"/>
          <w:szCs w:val="24"/>
        </w:rPr>
        <w:t xml:space="preserve">the </w:t>
      </w:r>
      <w:r w:rsidRPr="00C64B4C">
        <w:rPr>
          <w:rFonts w:eastAsiaTheme="minorHAnsi"/>
          <w:noProof/>
          <w:sz w:val="24"/>
          <w:szCs w:val="24"/>
        </w:rPr>
        <w:t>main areas under review</w:t>
      </w:r>
      <w:r w:rsidR="005E5978" w:rsidRPr="00C64B4C">
        <w:rPr>
          <w:rFonts w:eastAsiaTheme="minorHAnsi"/>
          <w:noProof/>
          <w:sz w:val="24"/>
          <w:szCs w:val="24"/>
        </w:rPr>
        <w:t>: (i)</w:t>
      </w:r>
      <w:r w:rsidR="000A7658" w:rsidRPr="00C64B4C">
        <w:rPr>
          <w:rFonts w:eastAsiaTheme="minorHAnsi"/>
          <w:noProof/>
          <w:sz w:val="24"/>
          <w:szCs w:val="24"/>
        </w:rPr>
        <w:t xml:space="preserve"> </w:t>
      </w:r>
      <w:r w:rsidR="00630EA3" w:rsidRPr="00C64B4C">
        <w:rPr>
          <w:rFonts w:eastAsiaTheme="minorHAnsi"/>
          <w:noProof/>
          <w:sz w:val="24"/>
          <w:szCs w:val="24"/>
        </w:rPr>
        <w:t>supervisory convergence</w:t>
      </w:r>
      <w:r w:rsidR="005E5978" w:rsidRPr="00C64B4C">
        <w:rPr>
          <w:rFonts w:eastAsiaTheme="minorHAnsi"/>
          <w:noProof/>
          <w:sz w:val="24"/>
          <w:szCs w:val="24"/>
        </w:rPr>
        <w:t>; (ii)</w:t>
      </w:r>
      <w:r w:rsidR="000F25C9" w:rsidRPr="00C64B4C">
        <w:rPr>
          <w:rFonts w:eastAsiaTheme="minorHAnsi"/>
          <w:noProof/>
          <w:sz w:val="24"/>
          <w:szCs w:val="24"/>
        </w:rPr>
        <w:t xml:space="preserve"> governance</w:t>
      </w:r>
      <w:r w:rsidR="005E5978" w:rsidRPr="00C64B4C">
        <w:rPr>
          <w:rFonts w:eastAsiaTheme="minorHAnsi"/>
          <w:noProof/>
          <w:sz w:val="24"/>
          <w:szCs w:val="24"/>
        </w:rPr>
        <w:t>; (iii)</w:t>
      </w:r>
      <w:r w:rsidR="000F25C9" w:rsidRPr="00C64B4C">
        <w:rPr>
          <w:rFonts w:eastAsiaTheme="minorHAnsi"/>
          <w:noProof/>
          <w:sz w:val="24"/>
          <w:szCs w:val="24"/>
        </w:rPr>
        <w:t xml:space="preserve"> direct supervision</w:t>
      </w:r>
      <w:r w:rsidR="005E5978" w:rsidRPr="00C64B4C">
        <w:rPr>
          <w:rFonts w:eastAsiaTheme="minorHAnsi"/>
          <w:noProof/>
          <w:sz w:val="24"/>
          <w:szCs w:val="24"/>
        </w:rPr>
        <w:t>;</w:t>
      </w:r>
      <w:r w:rsidR="000F25C9" w:rsidRPr="00C64B4C">
        <w:rPr>
          <w:rFonts w:eastAsiaTheme="minorHAnsi"/>
          <w:noProof/>
          <w:sz w:val="24"/>
          <w:szCs w:val="24"/>
        </w:rPr>
        <w:t xml:space="preserve"> </w:t>
      </w:r>
      <w:r w:rsidR="00EE2B13" w:rsidRPr="00C64B4C">
        <w:rPr>
          <w:rFonts w:eastAsiaTheme="minorHAnsi"/>
          <w:noProof/>
          <w:sz w:val="24"/>
          <w:szCs w:val="24"/>
        </w:rPr>
        <w:t xml:space="preserve">and </w:t>
      </w:r>
      <w:r w:rsidR="005E5978" w:rsidRPr="00C64B4C">
        <w:rPr>
          <w:rFonts w:eastAsiaTheme="minorHAnsi"/>
          <w:noProof/>
          <w:sz w:val="24"/>
          <w:szCs w:val="24"/>
        </w:rPr>
        <w:t xml:space="preserve">(iv) </w:t>
      </w:r>
      <w:r w:rsidR="000F25C9" w:rsidRPr="00C64B4C">
        <w:rPr>
          <w:rFonts w:eastAsiaTheme="minorHAnsi"/>
          <w:noProof/>
          <w:sz w:val="24"/>
          <w:szCs w:val="24"/>
        </w:rPr>
        <w:t>funding</w:t>
      </w:r>
      <w:r w:rsidR="000A7658" w:rsidRPr="00C64B4C">
        <w:rPr>
          <w:rFonts w:eastAsiaTheme="minorHAnsi"/>
          <w:noProof/>
          <w:sz w:val="24"/>
          <w:szCs w:val="24"/>
        </w:rPr>
        <w:t>. It also</w:t>
      </w:r>
      <w:r w:rsidRPr="00C64B4C">
        <w:rPr>
          <w:rFonts w:eastAsiaTheme="minorHAnsi"/>
          <w:noProof/>
          <w:sz w:val="24"/>
          <w:szCs w:val="24"/>
        </w:rPr>
        <w:t xml:space="preserve"> </w:t>
      </w:r>
      <w:r w:rsidR="00630EA3" w:rsidRPr="00C64B4C">
        <w:rPr>
          <w:rFonts w:eastAsiaTheme="minorHAnsi"/>
          <w:noProof/>
          <w:sz w:val="24"/>
          <w:szCs w:val="24"/>
        </w:rPr>
        <w:t>includ</w:t>
      </w:r>
      <w:r w:rsidR="000F25C9" w:rsidRPr="00C64B4C">
        <w:rPr>
          <w:rFonts w:eastAsiaTheme="minorHAnsi"/>
          <w:noProof/>
          <w:sz w:val="24"/>
          <w:szCs w:val="24"/>
        </w:rPr>
        <w:t>es</w:t>
      </w:r>
      <w:r w:rsidRPr="00C64B4C">
        <w:rPr>
          <w:rFonts w:eastAsiaTheme="minorHAnsi"/>
          <w:noProof/>
          <w:sz w:val="24"/>
          <w:szCs w:val="24"/>
        </w:rPr>
        <w:t xml:space="preserve"> a section on the single rulebook</w:t>
      </w:r>
      <w:r w:rsidR="0066373E" w:rsidRPr="00C64B4C">
        <w:rPr>
          <w:rFonts w:eastAsiaTheme="minorHAnsi"/>
          <w:noProof/>
          <w:sz w:val="24"/>
          <w:szCs w:val="24"/>
        </w:rPr>
        <w:t>,</w:t>
      </w:r>
      <w:r w:rsidRPr="00C64B4C">
        <w:rPr>
          <w:rFonts w:eastAsiaTheme="minorHAnsi"/>
          <w:noProof/>
          <w:sz w:val="24"/>
          <w:szCs w:val="24"/>
        </w:rPr>
        <w:t xml:space="preserve"> as announced in the Commission’s 2020 </w:t>
      </w:r>
      <w:r w:rsidR="00EE2B13" w:rsidRPr="00C64B4C">
        <w:rPr>
          <w:rFonts w:eastAsiaTheme="minorHAnsi"/>
          <w:noProof/>
          <w:sz w:val="24"/>
          <w:szCs w:val="24"/>
        </w:rPr>
        <w:t>a</w:t>
      </w:r>
      <w:r w:rsidRPr="00C64B4C">
        <w:rPr>
          <w:rFonts w:eastAsiaTheme="minorHAnsi"/>
          <w:noProof/>
          <w:sz w:val="24"/>
          <w:szCs w:val="24"/>
        </w:rPr>
        <w:t xml:space="preserve">ction </w:t>
      </w:r>
      <w:r w:rsidR="00EE2B13" w:rsidRPr="00C64B4C">
        <w:rPr>
          <w:rFonts w:eastAsiaTheme="minorHAnsi"/>
          <w:noProof/>
          <w:sz w:val="24"/>
          <w:szCs w:val="24"/>
        </w:rPr>
        <w:t>p</w:t>
      </w:r>
      <w:r w:rsidRPr="00C64B4C">
        <w:rPr>
          <w:rFonts w:eastAsiaTheme="minorHAnsi"/>
          <w:noProof/>
          <w:sz w:val="24"/>
          <w:szCs w:val="24"/>
        </w:rPr>
        <w:t>lan</w:t>
      </w:r>
      <w:r w:rsidR="005E5978" w:rsidRPr="00C64B4C">
        <w:rPr>
          <w:rFonts w:eastAsiaTheme="minorHAnsi"/>
          <w:noProof/>
          <w:sz w:val="24"/>
          <w:szCs w:val="24"/>
        </w:rPr>
        <w:t xml:space="preserve"> on </w:t>
      </w:r>
      <w:r w:rsidR="000144CE">
        <w:rPr>
          <w:rFonts w:eastAsiaTheme="minorHAnsi"/>
          <w:noProof/>
          <w:sz w:val="24"/>
          <w:szCs w:val="24"/>
        </w:rPr>
        <w:t>C</w:t>
      </w:r>
      <w:r w:rsidR="005E5978" w:rsidRPr="00C64B4C">
        <w:rPr>
          <w:rFonts w:eastAsiaTheme="minorHAnsi"/>
          <w:noProof/>
          <w:sz w:val="24"/>
          <w:szCs w:val="24"/>
        </w:rPr>
        <w:t xml:space="preserve">apital </w:t>
      </w:r>
      <w:r w:rsidR="000144CE">
        <w:rPr>
          <w:rFonts w:eastAsiaTheme="minorHAnsi"/>
          <w:noProof/>
          <w:sz w:val="24"/>
          <w:szCs w:val="24"/>
        </w:rPr>
        <w:t>M</w:t>
      </w:r>
      <w:r w:rsidR="005E5978" w:rsidRPr="00C64B4C">
        <w:rPr>
          <w:rFonts w:eastAsiaTheme="minorHAnsi"/>
          <w:noProof/>
          <w:sz w:val="24"/>
          <w:szCs w:val="24"/>
        </w:rPr>
        <w:t xml:space="preserve">arkets </w:t>
      </w:r>
      <w:r w:rsidR="000144CE">
        <w:rPr>
          <w:rFonts w:eastAsiaTheme="minorHAnsi"/>
          <w:noProof/>
          <w:sz w:val="24"/>
          <w:szCs w:val="24"/>
        </w:rPr>
        <w:t>U</w:t>
      </w:r>
      <w:r w:rsidR="005E5978" w:rsidRPr="00C64B4C">
        <w:rPr>
          <w:rFonts w:eastAsiaTheme="minorHAnsi"/>
          <w:noProof/>
          <w:sz w:val="24"/>
          <w:szCs w:val="24"/>
        </w:rPr>
        <w:t>nion</w:t>
      </w:r>
      <w:r w:rsidRPr="00C64B4C">
        <w:rPr>
          <w:rFonts w:eastAsiaTheme="minorHAnsi"/>
          <w:noProof/>
          <w:sz w:val="24"/>
          <w:szCs w:val="24"/>
        </w:rPr>
        <w:t xml:space="preserve">. </w:t>
      </w:r>
    </w:p>
    <w:p w14:paraId="4685C853" w14:textId="77777777" w:rsidR="009A01F1" w:rsidRPr="00C64B4C" w:rsidRDefault="009A01F1" w:rsidP="00901A5C">
      <w:pPr>
        <w:jc w:val="both"/>
        <w:rPr>
          <w:rFonts w:eastAsiaTheme="minorHAnsi"/>
          <w:noProof/>
          <w:sz w:val="24"/>
          <w:szCs w:val="24"/>
        </w:rPr>
      </w:pPr>
    </w:p>
    <w:p w14:paraId="1562FC42" w14:textId="77777777" w:rsidR="00437E32" w:rsidRPr="00C64B4C" w:rsidRDefault="00437E32" w:rsidP="00901A5C">
      <w:pPr>
        <w:jc w:val="both"/>
        <w:rPr>
          <w:rFonts w:eastAsiaTheme="minorHAnsi"/>
          <w:noProof/>
          <w:sz w:val="24"/>
          <w:szCs w:val="24"/>
        </w:rPr>
      </w:pPr>
    </w:p>
    <w:p w14:paraId="11743D3B" w14:textId="77777777" w:rsidR="007C7517" w:rsidRPr="00C64B4C" w:rsidRDefault="007C7517" w:rsidP="00901A5C">
      <w:pPr>
        <w:pStyle w:val="Heading1"/>
        <w:numPr>
          <w:ilvl w:val="0"/>
          <w:numId w:val="1"/>
        </w:numPr>
        <w:jc w:val="left"/>
        <w:rPr>
          <w:rFonts w:eastAsiaTheme="minorHAnsi"/>
          <w:noProof/>
          <w:sz w:val="24"/>
          <w:szCs w:val="24"/>
          <w:lang w:eastAsia="en-US" w:bidi="ar-SA"/>
        </w:rPr>
      </w:pPr>
      <w:r w:rsidRPr="00C64B4C">
        <w:rPr>
          <w:rFonts w:eastAsiaTheme="minorHAnsi"/>
          <w:noProof/>
          <w:sz w:val="24"/>
          <w:szCs w:val="24"/>
          <w:lang w:eastAsia="en-US" w:bidi="ar-SA"/>
        </w:rPr>
        <w:t>SUPERVISORY CONVERGENCE</w:t>
      </w:r>
    </w:p>
    <w:p w14:paraId="335DBE53" w14:textId="77777777" w:rsidR="007C7517" w:rsidRPr="00C64B4C" w:rsidRDefault="007C7517" w:rsidP="0070115C">
      <w:pPr>
        <w:jc w:val="both"/>
        <w:rPr>
          <w:rFonts w:eastAsiaTheme="minorHAnsi"/>
          <w:noProof/>
          <w:sz w:val="24"/>
          <w:szCs w:val="24"/>
        </w:rPr>
      </w:pPr>
    </w:p>
    <w:p w14:paraId="2E5B5157" w14:textId="77777777" w:rsidR="007F7F8E" w:rsidRPr="00C64B4C" w:rsidRDefault="007F7F8E" w:rsidP="0070115C">
      <w:pPr>
        <w:jc w:val="both"/>
        <w:rPr>
          <w:rFonts w:eastAsiaTheme="minorHAnsi"/>
          <w:noProof/>
          <w:sz w:val="24"/>
          <w:szCs w:val="24"/>
          <w:u w:val="single"/>
        </w:rPr>
      </w:pPr>
      <w:r w:rsidRPr="00C64B4C">
        <w:rPr>
          <w:rFonts w:eastAsiaTheme="minorHAnsi"/>
          <w:noProof/>
          <w:sz w:val="24"/>
          <w:szCs w:val="24"/>
          <w:u w:val="single"/>
        </w:rPr>
        <w:t>Background and findings</w:t>
      </w:r>
    </w:p>
    <w:p w14:paraId="004C529F" w14:textId="77777777" w:rsidR="006D2E8A" w:rsidRPr="00C64B4C" w:rsidRDefault="006D2E8A" w:rsidP="0070115C">
      <w:pPr>
        <w:jc w:val="both"/>
        <w:rPr>
          <w:rFonts w:eastAsiaTheme="minorHAnsi"/>
          <w:noProof/>
          <w:sz w:val="24"/>
          <w:szCs w:val="24"/>
        </w:rPr>
      </w:pPr>
    </w:p>
    <w:p w14:paraId="0B0A5357" w14:textId="77777777" w:rsidR="006D2E8A" w:rsidRPr="00C64B4C" w:rsidRDefault="006D2E8A" w:rsidP="00901A5C">
      <w:pPr>
        <w:jc w:val="both"/>
        <w:rPr>
          <w:rFonts w:eastAsiaTheme="minorHAnsi"/>
          <w:noProof/>
          <w:sz w:val="24"/>
          <w:szCs w:val="24"/>
        </w:rPr>
      </w:pPr>
      <w:r w:rsidRPr="00C64B4C">
        <w:rPr>
          <w:rFonts w:eastAsiaTheme="minorHAnsi"/>
          <w:noProof/>
          <w:sz w:val="24"/>
          <w:szCs w:val="24"/>
        </w:rPr>
        <w:t xml:space="preserve">The 2019 ESA review introduced </w:t>
      </w:r>
      <w:r w:rsidR="00795E82" w:rsidRPr="00C64B4C">
        <w:rPr>
          <w:rFonts w:eastAsiaTheme="minorHAnsi"/>
          <w:noProof/>
          <w:sz w:val="24"/>
          <w:szCs w:val="24"/>
        </w:rPr>
        <w:t xml:space="preserve">a number of </w:t>
      </w:r>
      <w:r w:rsidRPr="00C64B4C">
        <w:rPr>
          <w:rFonts w:eastAsiaTheme="minorHAnsi"/>
          <w:noProof/>
          <w:sz w:val="24"/>
          <w:szCs w:val="24"/>
        </w:rPr>
        <w:t>changes to strengthen supervisory convergence. In particular, the ESA review introduced</w:t>
      </w:r>
      <w:r w:rsidR="00EE2B13" w:rsidRPr="00C64B4C">
        <w:rPr>
          <w:rFonts w:eastAsiaTheme="minorHAnsi"/>
          <w:noProof/>
          <w:sz w:val="24"/>
          <w:szCs w:val="24"/>
        </w:rPr>
        <w:t>: (i)</w:t>
      </w:r>
      <w:r w:rsidRPr="00C64B4C">
        <w:rPr>
          <w:rFonts w:eastAsiaTheme="minorHAnsi"/>
          <w:noProof/>
          <w:sz w:val="24"/>
          <w:szCs w:val="24"/>
        </w:rPr>
        <w:t xml:space="preserve"> a</w:t>
      </w:r>
      <w:r w:rsidR="0066373E" w:rsidRPr="00C64B4C">
        <w:rPr>
          <w:rFonts w:eastAsiaTheme="minorHAnsi"/>
          <w:noProof/>
          <w:sz w:val="24"/>
          <w:szCs w:val="24"/>
        </w:rPr>
        <w:t xml:space="preserve"> </w:t>
      </w:r>
      <w:r w:rsidR="00EE2B13" w:rsidRPr="00C64B4C">
        <w:rPr>
          <w:rFonts w:eastAsiaTheme="minorHAnsi"/>
          <w:noProof/>
          <w:sz w:val="24"/>
          <w:szCs w:val="24"/>
        </w:rPr>
        <w:t>strengthened peer-</w:t>
      </w:r>
      <w:r w:rsidRPr="00C64B4C">
        <w:rPr>
          <w:rFonts w:eastAsiaTheme="minorHAnsi"/>
          <w:noProof/>
          <w:sz w:val="24"/>
          <w:szCs w:val="24"/>
        </w:rPr>
        <w:t>review process</w:t>
      </w:r>
      <w:r w:rsidR="00EE2B13" w:rsidRPr="00C64B4C">
        <w:rPr>
          <w:rFonts w:eastAsiaTheme="minorHAnsi"/>
          <w:noProof/>
          <w:sz w:val="24"/>
          <w:szCs w:val="24"/>
        </w:rPr>
        <w:t>; (ii)</w:t>
      </w:r>
      <w:r w:rsidRPr="00C64B4C">
        <w:rPr>
          <w:rFonts w:eastAsiaTheme="minorHAnsi"/>
          <w:noProof/>
          <w:sz w:val="24"/>
          <w:szCs w:val="24"/>
        </w:rPr>
        <w:t xml:space="preserve"> Union </w:t>
      </w:r>
      <w:r w:rsidR="001214AE" w:rsidRPr="00C64B4C">
        <w:rPr>
          <w:rFonts w:eastAsiaTheme="minorHAnsi"/>
          <w:noProof/>
          <w:sz w:val="24"/>
          <w:szCs w:val="24"/>
        </w:rPr>
        <w:t>s</w:t>
      </w:r>
      <w:r w:rsidRPr="00C64B4C">
        <w:rPr>
          <w:rFonts w:eastAsiaTheme="minorHAnsi"/>
          <w:noProof/>
          <w:sz w:val="24"/>
          <w:szCs w:val="24"/>
        </w:rPr>
        <w:t xml:space="preserve">trategic </w:t>
      </w:r>
      <w:r w:rsidR="001214AE" w:rsidRPr="00C64B4C">
        <w:rPr>
          <w:rFonts w:eastAsiaTheme="minorHAnsi"/>
          <w:noProof/>
          <w:sz w:val="24"/>
          <w:szCs w:val="24"/>
        </w:rPr>
        <w:t>s</w:t>
      </w:r>
      <w:r w:rsidRPr="00C64B4C">
        <w:rPr>
          <w:rFonts w:eastAsiaTheme="minorHAnsi"/>
          <w:noProof/>
          <w:sz w:val="24"/>
          <w:szCs w:val="24"/>
        </w:rPr>
        <w:t xml:space="preserve">upervisory </w:t>
      </w:r>
      <w:r w:rsidR="001214AE" w:rsidRPr="00C64B4C">
        <w:rPr>
          <w:rFonts w:eastAsiaTheme="minorHAnsi"/>
          <w:noProof/>
          <w:sz w:val="24"/>
          <w:szCs w:val="24"/>
        </w:rPr>
        <w:t>p</w:t>
      </w:r>
      <w:r w:rsidRPr="00C64B4C">
        <w:rPr>
          <w:rFonts w:eastAsiaTheme="minorHAnsi"/>
          <w:noProof/>
          <w:sz w:val="24"/>
          <w:szCs w:val="24"/>
        </w:rPr>
        <w:t>riorities</w:t>
      </w:r>
      <w:r w:rsidR="00EE2B13" w:rsidRPr="00C64B4C">
        <w:rPr>
          <w:rFonts w:eastAsiaTheme="minorHAnsi"/>
          <w:noProof/>
          <w:sz w:val="24"/>
          <w:szCs w:val="24"/>
        </w:rPr>
        <w:t>;</w:t>
      </w:r>
      <w:r w:rsidR="004A59F2" w:rsidRPr="00C64B4C">
        <w:rPr>
          <w:rFonts w:eastAsiaTheme="minorHAnsi"/>
          <w:noProof/>
          <w:sz w:val="24"/>
          <w:szCs w:val="24"/>
        </w:rPr>
        <w:t xml:space="preserve"> </w:t>
      </w:r>
      <w:r w:rsidR="00EE2B13" w:rsidRPr="00C64B4C">
        <w:rPr>
          <w:rFonts w:eastAsiaTheme="minorHAnsi"/>
          <w:noProof/>
          <w:sz w:val="24"/>
          <w:szCs w:val="24"/>
        </w:rPr>
        <w:t>and</w:t>
      </w:r>
      <w:r w:rsidR="0066373E" w:rsidRPr="00C64B4C">
        <w:rPr>
          <w:rFonts w:eastAsiaTheme="minorHAnsi"/>
          <w:noProof/>
          <w:sz w:val="24"/>
          <w:szCs w:val="24"/>
        </w:rPr>
        <w:t xml:space="preserve"> </w:t>
      </w:r>
      <w:r w:rsidR="00EE2B13" w:rsidRPr="00C64B4C">
        <w:rPr>
          <w:rFonts w:eastAsiaTheme="minorHAnsi"/>
          <w:noProof/>
          <w:sz w:val="24"/>
          <w:szCs w:val="24"/>
        </w:rPr>
        <w:t xml:space="preserve">(iii) </w:t>
      </w:r>
      <w:r w:rsidR="004A59F2" w:rsidRPr="00C64B4C">
        <w:rPr>
          <w:rFonts w:eastAsiaTheme="minorHAnsi"/>
          <w:noProof/>
          <w:sz w:val="24"/>
          <w:szCs w:val="24"/>
        </w:rPr>
        <w:t>an EU supervisory handbook</w:t>
      </w:r>
      <w:r w:rsidR="0066373E" w:rsidRPr="00C64B4C">
        <w:rPr>
          <w:rFonts w:eastAsiaTheme="minorHAnsi"/>
          <w:noProof/>
          <w:sz w:val="24"/>
          <w:szCs w:val="24"/>
        </w:rPr>
        <w:t>. It also</w:t>
      </w:r>
      <w:r w:rsidR="004A59F2" w:rsidRPr="00C64B4C">
        <w:rPr>
          <w:rFonts w:eastAsiaTheme="minorHAnsi"/>
          <w:noProof/>
          <w:sz w:val="24"/>
          <w:szCs w:val="24"/>
        </w:rPr>
        <w:t xml:space="preserve"> introduced explicit rules to frame instruments already used by the ESAs</w:t>
      </w:r>
      <w:r w:rsidR="0066373E" w:rsidRPr="00C64B4C">
        <w:rPr>
          <w:rFonts w:eastAsiaTheme="minorHAnsi"/>
          <w:noProof/>
          <w:sz w:val="24"/>
          <w:szCs w:val="24"/>
        </w:rPr>
        <w:t>,</w:t>
      </w:r>
      <w:r w:rsidR="004A59F2" w:rsidRPr="00C64B4C">
        <w:rPr>
          <w:rFonts w:eastAsiaTheme="minorHAnsi"/>
          <w:noProof/>
          <w:sz w:val="24"/>
          <w:szCs w:val="24"/>
        </w:rPr>
        <w:t xml:space="preserve"> </w:t>
      </w:r>
      <w:r w:rsidR="00EE2B13" w:rsidRPr="00C64B4C">
        <w:rPr>
          <w:rFonts w:eastAsiaTheme="minorHAnsi"/>
          <w:noProof/>
          <w:sz w:val="24"/>
          <w:szCs w:val="24"/>
        </w:rPr>
        <w:t>such as ‘</w:t>
      </w:r>
      <w:r w:rsidRPr="00C64B4C">
        <w:rPr>
          <w:rFonts w:eastAsiaTheme="minorHAnsi"/>
          <w:noProof/>
          <w:sz w:val="24"/>
          <w:szCs w:val="24"/>
        </w:rPr>
        <w:t>no</w:t>
      </w:r>
      <w:r w:rsidR="004419BB" w:rsidRPr="00C64B4C">
        <w:rPr>
          <w:rFonts w:eastAsiaTheme="minorHAnsi"/>
          <w:noProof/>
          <w:sz w:val="24"/>
          <w:szCs w:val="24"/>
        </w:rPr>
        <w:t>-</w:t>
      </w:r>
      <w:r w:rsidRPr="00C64B4C">
        <w:rPr>
          <w:rFonts w:eastAsiaTheme="minorHAnsi"/>
          <w:noProof/>
          <w:sz w:val="24"/>
          <w:szCs w:val="24"/>
        </w:rPr>
        <w:t>action</w:t>
      </w:r>
      <w:r w:rsidR="00EE2B13" w:rsidRPr="00C64B4C">
        <w:rPr>
          <w:rFonts w:eastAsiaTheme="minorHAnsi"/>
          <w:noProof/>
          <w:sz w:val="24"/>
          <w:szCs w:val="24"/>
        </w:rPr>
        <w:t>’</w:t>
      </w:r>
      <w:r w:rsidRPr="00C64B4C">
        <w:rPr>
          <w:rFonts w:eastAsiaTheme="minorHAnsi"/>
          <w:noProof/>
          <w:sz w:val="24"/>
          <w:szCs w:val="24"/>
        </w:rPr>
        <w:t xml:space="preserve"> letters</w:t>
      </w:r>
      <w:r w:rsidR="00EE2B13" w:rsidRPr="00C64B4C">
        <w:rPr>
          <w:rFonts w:eastAsiaTheme="minorHAnsi"/>
          <w:noProof/>
          <w:sz w:val="24"/>
          <w:szCs w:val="24"/>
        </w:rPr>
        <w:t>;</w:t>
      </w:r>
      <w:r w:rsidRPr="00C64B4C">
        <w:rPr>
          <w:rFonts w:eastAsiaTheme="minorHAnsi"/>
          <w:noProof/>
          <w:sz w:val="24"/>
          <w:szCs w:val="24"/>
        </w:rPr>
        <w:t xml:space="preserve"> coordination gro</w:t>
      </w:r>
      <w:r w:rsidR="005843B3" w:rsidRPr="00C64B4C">
        <w:rPr>
          <w:rFonts w:eastAsiaTheme="minorHAnsi"/>
          <w:noProof/>
          <w:sz w:val="24"/>
          <w:szCs w:val="24"/>
        </w:rPr>
        <w:t>ups</w:t>
      </w:r>
      <w:r w:rsidR="00EE2B13" w:rsidRPr="00C64B4C">
        <w:rPr>
          <w:rFonts w:eastAsiaTheme="minorHAnsi"/>
          <w:noProof/>
          <w:sz w:val="24"/>
          <w:szCs w:val="24"/>
        </w:rPr>
        <w:t>;</w:t>
      </w:r>
      <w:r w:rsidR="005843B3" w:rsidRPr="00C64B4C">
        <w:rPr>
          <w:rFonts w:eastAsiaTheme="minorHAnsi"/>
          <w:noProof/>
          <w:sz w:val="24"/>
          <w:szCs w:val="24"/>
        </w:rPr>
        <w:t xml:space="preserve"> </w:t>
      </w:r>
      <w:r w:rsidRPr="00C64B4C">
        <w:rPr>
          <w:rFonts w:eastAsiaTheme="minorHAnsi"/>
          <w:noProof/>
          <w:sz w:val="24"/>
          <w:szCs w:val="24"/>
        </w:rPr>
        <w:t xml:space="preserve">and </w:t>
      </w:r>
      <w:r w:rsidR="00EE2B13" w:rsidRPr="00C64B4C">
        <w:rPr>
          <w:rFonts w:eastAsiaTheme="minorHAnsi"/>
          <w:noProof/>
          <w:sz w:val="24"/>
          <w:szCs w:val="24"/>
        </w:rPr>
        <w:t>q</w:t>
      </w:r>
      <w:r w:rsidR="003C78BD" w:rsidRPr="00C64B4C">
        <w:rPr>
          <w:rFonts w:eastAsiaTheme="minorHAnsi"/>
          <w:noProof/>
          <w:sz w:val="24"/>
          <w:szCs w:val="24"/>
        </w:rPr>
        <w:t xml:space="preserve">uestions and </w:t>
      </w:r>
      <w:r w:rsidR="00EE2B13" w:rsidRPr="00C64B4C">
        <w:rPr>
          <w:rFonts w:eastAsiaTheme="minorHAnsi"/>
          <w:noProof/>
          <w:sz w:val="24"/>
          <w:szCs w:val="24"/>
        </w:rPr>
        <w:t>a</w:t>
      </w:r>
      <w:r w:rsidR="003C78BD" w:rsidRPr="00C64B4C">
        <w:rPr>
          <w:rFonts w:eastAsiaTheme="minorHAnsi"/>
          <w:noProof/>
          <w:sz w:val="24"/>
          <w:szCs w:val="24"/>
        </w:rPr>
        <w:t>nswers (Q&amp;A).</w:t>
      </w:r>
      <w:r w:rsidRPr="00C64B4C">
        <w:rPr>
          <w:rFonts w:eastAsiaTheme="minorHAnsi"/>
          <w:noProof/>
          <w:sz w:val="24"/>
          <w:szCs w:val="24"/>
        </w:rPr>
        <w:t xml:space="preserve"> </w:t>
      </w:r>
    </w:p>
    <w:p w14:paraId="262BDF37" w14:textId="77777777" w:rsidR="006D2E8A" w:rsidRPr="00C64B4C" w:rsidRDefault="006D2E8A" w:rsidP="00901A5C">
      <w:pPr>
        <w:jc w:val="both"/>
        <w:rPr>
          <w:rFonts w:eastAsiaTheme="minorHAnsi"/>
          <w:noProof/>
          <w:sz w:val="24"/>
          <w:szCs w:val="24"/>
        </w:rPr>
      </w:pPr>
    </w:p>
    <w:p w14:paraId="7C1F0215" w14:textId="4B4BA1FF" w:rsidR="006D2E8A" w:rsidRPr="00C64B4C" w:rsidRDefault="008A016E" w:rsidP="00901A5C">
      <w:pPr>
        <w:jc w:val="both"/>
        <w:rPr>
          <w:rFonts w:eastAsiaTheme="minorHAnsi"/>
          <w:noProof/>
          <w:sz w:val="24"/>
          <w:szCs w:val="24"/>
        </w:rPr>
      </w:pPr>
      <w:r w:rsidRPr="00C64B4C">
        <w:rPr>
          <w:rFonts w:eastAsiaTheme="minorHAnsi"/>
          <w:noProof/>
          <w:sz w:val="24"/>
          <w:szCs w:val="24"/>
        </w:rPr>
        <w:t>In</w:t>
      </w:r>
      <w:r w:rsidR="006D2E8A" w:rsidRPr="00C64B4C">
        <w:rPr>
          <w:rFonts w:eastAsiaTheme="minorHAnsi"/>
          <w:noProof/>
          <w:sz w:val="24"/>
          <w:szCs w:val="24"/>
        </w:rPr>
        <w:t xml:space="preserve"> the targeted consultation, </w:t>
      </w:r>
      <w:r w:rsidR="00EE2B13" w:rsidRPr="00C64B4C">
        <w:rPr>
          <w:rFonts w:eastAsiaTheme="minorHAnsi"/>
          <w:noProof/>
          <w:sz w:val="24"/>
          <w:szCs w:val="24"/>
        </w:rPr>
        <w:t xml:space="preserve">respondents from both </w:t>
      </w:r>
      <w:r w:rsidR="0084439E" w:rsidRPr="00C64B4C">
        <w:rPr>
          <w:rFonts w:eastAsiaTheme="minorHAnsi"/>
          <w:noProof/>
          <w:sz w:val="24"/>
          <w:szCs w:val="24"/>
        </w:rPr>
        <w:t xml:space="preserve">public authorities and </w:t>
      </w:r>
      <w:r w:rsidR="00EE2B13" w:rsidRPr="00C64B4C">
        <w:rPr>
          <w:rFonts w:eastAsiaTheme="minorHAnsi"/>
          <w:noProof/>
          <w:sz w:val="24"/>
          <w:szCs w:val="24"/>
        </w:rPr>
        <w:t xml:space="preserve">the finance </w:t>
      </w:r>
      <w:r w:rsidR="0084439E" w:rsidRPr="00C64B4C">
        <w:rPr>
          <w:rFonts w:eastAsiaTheme="minorHAnsi"/>
          <w:noProof/>
          <w:sz w:val="24"/>
          <w:szCs w:val="24"/>
        </w:rPr>
        <w:t xml:space="preserve">industry </w:t>
      </w:r>
      <w:r w:rsidR="006D2E8A" w:rsidRPr="00C64B4C">
        <w:rPr>
          <w:rFonts w:eastAsiaTheme="minorHAnsi"/>
          <w:noProof/>
          <w:sz w:val="24"/>
          <w:szCs w:val="24"/>
        </w:rPr>
        <w:t xml:space="preserve">rated very positively the </w:t>
      </w:r>
      <w:r w:rsidR="000F25C9" w:rsidRPr="00C64B4C">
        <w:rPr>
          <w:rFonts w:eastAsiaTheme="minorHAnsi"/>
          <w:noProof/>
          <w:sz w:val="24"/>
          <w:szCs w:val="24"/>
        </w:rPr>
        <w:t xml:space="preserve">contribution of the </w:t>
      </w:r>
      <w:r w:rsidR="006D2E8A" w:rsidRPr="00C64B4C">
        <w:rPr>
          <w:rFonts w:eastAsiaTheme="minorHAnsi"/>
          <w:noProof/>
          <w:sz w:val="24"/>
          <w:szCs w:val="24"/>
        </w:rPr>
        <w:t xml:space="preserve">ESAs </w:t>
      </w:r>
      <w:r w:rsidR="00B42E0C" w:rsidRPr="00C64B4C">
        <w:rPr>
          <w:rFonts w:eastAsiaTheme="minorHAnsi"/>
          <w:noProof/>
          <w:sz w:val="24"/>
          <w:szCs w:val="24"/>
        </w:rPr>
        <w:t xml:space="preserve">to </w:t>
      </w:r>
      <w:r w:rsidR="006D2E8A" w:rsidRPr="00C64B4C">
        <w:rPr>
          <w:rFonts w:eastAsiaTheme="minorHAnsi"/>
          <w:noProof/>
          <w:sz w:val="24"/>
          <w:szCs w:val="24"/>
        </w:rPr>
        <w:t xml:space="preserve">promoting a common supervisory culture and consistent supervisory practices. Most respondents expressed </w:t>
      </w:r>
      <w:r w:rsidR="00EE2B13" w:rsidRPr="00C64B4C">
        <w:rPr>
          <w:rFonts w:eastAsiaTheme="minorHAnsi"/>
          <w:noProof/>
          <w:sz w:val="24"/>
          <w:szCs w:val="24"/>
        </w:rPr>
        <w:t xml:space="preserve">reasonably </w:t>
      </w:r>
      <w:r w:rsidR="006D2E8A" w:rsidRPr="00C64B4C">
        <w:rPr>
          <w:rFonts w:eastAsiaTheme="minorHAnsi"/>
          <w:noProof/>
          <w:sz w:val="24"/>
          <w:szCs w:val="24"/>
        </w:rPr>
        <w:t>positive views about the recent changes</w:t>
      </w:r>
      <w:r w:rsidR="0070115C" w:rsidRPr="00C64B4C">
        <w:rPr>
          <w:rStyle w:val="FootnoteReference"/>
          <w:rFonts w:eastAsiaTheme="minorHAnsi"/>
          <w:noProof/>
          <w:sz w:val="24"/>
          <w:szCs w:val="24"/>
        </w:rPr>
        <w:footnoteReference w:id="10"/>
      </w:r>
      <w:r w:rsidR="00EE2B13" w:rsidRPr="00C64B4C">
        <w:rPr>
          <w:rFonts w:eastAsiaTheme="minorHAnsi"/>
          <w:noProof/>
          <w:sz w:val="24"/>
          <w:szCs w:val="24"/>
        </w:rPr>
        <w:t>,</w:t>
      </w:r>
      <w:r w:rsidR="004048CE" w:rsidRPr="00C64B4C">
        <w:rPr>
          <w:rFonts w:eastAsiaTheme="minorHAnsi"/>
          <w:noProof/>
          <w:sz w:val="24"/>
          <w:szCs w:val="24"/>
        </w:rPr>
        <w:t xml:space="preserve"> but </w:t>
      </w:r>
      <w:r w:rsidR="006D2E8A" w:rsidRPr="00C64B4C">
        <w:rPr>
          <w:rFonts w:eastAsiaTheme="minorHAnsi"/>
          <w:noProof/>
          <w:sz w:val="24"/>
          <w:szCs w:val="24"/>
        </w:rPr>
        <w:t>argue</w:t>
      </w:r>
      <w:r w:rsidR="0066373E" w:rsidRPr="00C64B4C">
        <w:rPr>
          <w:rFonts w:eastAsiaTheme="minorHAnsi"/>
          <w:noProof/>
          <w:sz w:val="24"/>
          <w:szCs w:val="24"/>
        </w:rPr>
        <w:t>d</w:t>
      </w:r>
      <w:r w:rsidR="006D2E8A" w:rsidRPr="00C64B4C">
        <w:rPr>
          <w:rFonts w:eastAsiaTheme="minorHAnsi"/>
          <w:noProof/>
          <w:sz w:val="24"/>
          <w:szCs w:val="24"/>
        </w:rPr>
        <w:t xml:space="preserve"> that </w:t>
      </w:r>
      <w:r w:rsidR="00EE2B13" w:rsidRPr="00C64B4C">
        <w:rPr>
          <w:rFonts w:eastAsiaTheme="minorHAnsi"/>
          <w:noProof/>
          <w:sz w:val="24"/>
          <w:szCs w:val="24"/>
        </w:rPr>
        <w:t xml:space="preserve">it was still </w:t>
      </w:r>
      <w:r w:rsidR="006D2E8A" w:rsidRPr="00C64B4C">
        <w:rPr>
          <w:rFonts w:eastAsiaTheme="minorHAnsi"/>
          <w:noProof/>
          <w:sz w:val="24"/>
          <w:szCs w:val="24"/>
        </w:rPr>
        <w:t xml:space="preserve">too </w:t>
      </w:r>
      <w:r w:rsidR="00EE2B13" w:rsidRPr="00C64B4C">
        <w:rPr>
          <w:rFonts w:eastAsiaTheme="minorHAnsi"/>
          <w:noProof/>
          <w:sz w:val="24"/>
          <w:szCs w:val="24"/>
        </w:rPr>
        <w:t>early</w:t>
      </w:r>
      <w:r w:rsidR="006D2E8A" w:rsidRPr="00C64B4C">
        <w:rPr>
          <w:rFonts w:eastAsiaTheme="minorHAnsi"/>
          <w:noProof/>
          <w:sz w:val="24"/>
          <w:szCs w:val="24"/>
        </w:rPr>
        <w:t xml:space="preserve"> to assess </w:t>
      </w:r>
      <w:r w:rsidR="004A59F2" w:rsidRPr="00C64B4C">
        <w:rPr>
          <w:rFonts w:eastAsiaTheme="minorHAnsi"/>
          <w:noProof/>
          <w:sz w:val="24"/>
          <w:szCs w:val="24"/>
        </w:rPr>
        <w:t>the full effect o</w:t>
      </w:r>
      <w:r w:rsidR="00B42E0C" w:rsidRPr="00C64B4C">
        <w:rPr>
          <w:rFonts w:eastAsiaTheme="minorHAnsi"/>
          <w:noProof/>
          <w:sz w:val="24"/>
          <w:szCs w:val="24"/>
        </w:rPr>
        <w:t>f these changes o</w:t>
      </w:r>
      <w:r w:rsidR="004A59F2" w:rsidRPr="00C64B4C">
        <w:rPr>
          <w:rFonts w:eastAsiaTheme="minorHAnsi"/>
          <w:noProof/>
          <w:sz w:val="24"/>
          <w:szCs w:val="24"/>
        </w:rPr>
        <w:t>n the convergence outcomes</w:t>
      </w:r>
      <w:r w:rsidR="00EE2B13" w:rsidRPr="00C64B4C">
        <w:rPr>
          <w:rFonts w:eastAsiaTheme="minorHAnsi"/>
          <w:noProof/>
          <w:sz w:val="24"/>
          <w:szCs w:val="24"/>
        </w:rPr>
        <w:t xml:space="preserve">. They said </w:t>
      </w:r>
      <w:r w:rsidR="006D2E8A" w:rsidRPr="00C64B4C">
        <w:rPr>
          <w:rFonts w:eastAsiaTheme="minorHAnsi"/>
          <w:noProof/>
          <w:sz w:val="24"/>
          <w:szCs w:val="24"/>
        </w:rPr>
        <w:t xml:space="preserve">that </w:t>
      </w:r>
      <w:r w:rsidR="004A59F2" w:rsidRPr="00C64B4C">
        <w:rPr>
          <w:rFonts w:eastAsiaTheme="minorHAnsi"/>
          <w:noProof/>
          <w:sz w:val="24"/>
          <w:szCs w:val="24"/>
        </w:rPr>
        <w:t xml:space="preserve">more time </w:t>
      </w:r>
      <w:r w:rsidR="0066373E" w:rsidRPr="00C64B4C">
        <w:rPr>
          <w:rFonts w:eastAsiaTheme="minorHAnsi"/>
          <w:noProof/>
          <w:sz w:val="24"/>
          <w:szCs w:val="24"/>
        </w:rPr>
        <w:t xml:space="preserve">was </w:t>
      </w:r>
      <w:r w:rsidR="004A59F2" w:rsidRPr="00C64B4C">
        <w:rPr>
          <w:rFonts w:eastAsiaTheme="minorHAnsi"/>
          <w:noProof/>
          <w:sz w:val="24"/>
          <w:szCs w:val="24"/>
        </w:rPr>
        <w:t xml:space="preserve">needed to form a view </w:t>
      </w:r>
      <w:r w:rsidR="00B42E0C" w:rsidRPr="00C64B4C">
        <w:rPr>
          <w:rFonts w:eastAsiaTheme="minorHAnsi"/>
          <w:noProof/>
          <w:sz w:val="24"/>
          <w:szCs w:val="24"/>
        </w:rPr>
        <w:t>on</w:t>
      </w:r>
      <w:r w:rsidR="00EE2B13" w:rsidRPr="00C64B4C">
        <w:rPr>
          <w:rFonts w:eastAsiaTheme="minorHAnsi"/>
          <w:noProof/>
          <w:sz w:val="24"/>
          <w:szCs w:val="24"/>
        </w:rPr>
        <w:t xml:space="preserve"> </w:t>
      </w:r>
      <w:r w:rsidR="004A59F2" w:rsidRPr="00C64B4C">
        <w:rPr>
          <w:rFonts w:eastAsiaTheme="minorHAnsi"/>
          <w:noProof/>
          <w:sz w:val="24"/>
          <w:szCs w:val="24"/>
        </w:rPr>
        <w:t xml:space="preserve">whether the amendments </w:t>
      </w:r>
      <w:r w:rsidR="0066373E" w:rsidRPr="00C64B4C">
        <w:rPr>
          <w:rFonts w:eastAsiaTheme="minorHAnsi"/>
          <w:noProof/>
          <w:sz w:val="24"/>
          <w:szCs w:val="24"/>
        </w:rPr>
        <w:t xml:space="preserve">would be </w:t>
      </w:r>
      <w:r w:rsidR="004A59F2" w:rsidRPr="00C64B4C">
        <w:rPr>
          <w:rFonts w:eastAsiaTheme="minorHAnsi"/>
          <w:noProof/>
          <w:sz w:val="24"/>
          <w:szCs w:val="24"/>
        </w:rPr>
        <w:t>sufficient for achieving supervisory convergence</w:t>
      </w:r>
      <w:r w:rsidR="006D2E8A" w:rsidRPr="00C64B4C">
        <w:rPr>
          <w:rFonts w:eastAsiaTheme="minorHAnsi"/>
          <w:noProof/>
          <w:sz w:val="24"/>
          <w:szCs w:val="24"/>
        </w:rPr>
        <w:t>.</w:t>
      </w:r>
    </w:p>
    <w:p w14:paraId="4C9FCAAA" w14:textId="77777777" w:rsidR="003C78BD" w:rsidRPr="00C64B4C" w:rsidRDefault="003C78BD" w:rsidP="00901A5C">
      <w:pPr>
        <w:jc w:val="both"/>
        <w:rPr>
          <w:rFonts w:eastAsiaTheme="minorHAnsi"/>
          <w:noProof/>
          <w:sz w:val="24"/>
          <w:szCs w:val="24"/>
        </w:rPr>
      </w:pPr>
    </w:p>
    <w:p w14:paraId="292EB4B3" w14:textId="77777777" w:rsidR="004A59F2" w:rsidRPr="00C64B4C" w:rsidRDefault="00F932F9" w:rsidP="00901A5C">
      <w:pPr>
        <w:jc w:val="both"/>
        <w:rPr>
          <w:rFonts w:eastAsiaTheme="minorHAnsi"/>
          <w:noProof/>
          <w:sz w:val="24"/>
          <w:szCs w:val="24"/>
        </w:rPr>
      </w:pPr>
      <w:r>
        <w:rPr>
          <w:rFonts w:eastAsiaTheme="minorHAnsi"/>
          <w:noProof/>
          <w:sz w:val="24"/>
          <w:szCs w:val="24"/>
        </w:rPr>
        <w:t>The majority of</w:t>
      </w:r>
      <w:r w:rsidR="004A59F2" w:rsidRPr="00C64B4C">
        <w:rPr>
          <w:rFonts w:eastAsiaTheme="minorHAnsi"/>
          <w:noProof/>
          <w:sz w:val="24"/>
          <w:szCs w:val="24"/>
        </w:rPr>
        <w:t xml:space="preserve"> respondents d</w:t>
      </w:r>
      <w:r w:rsidR="00664CAA" w:rsidRPr="00C64B4C">
        <w:rPr>
          <w:rFonts w:eastAsiaTheme="minorHAnsi"/>
          <w:noProof/>
          <w:sz w:val="24"/>
          <w:szCs w:val="24"/>
        </w:rPr>
        <w:t>id</w:t>
      </w:r>
      <w:r w:rsidR="004A59F2" w:rsidRPr="00C64B4C">
        <w:rPr>
          <w:rFonts w:eastAsiaTheme="minorHAnsi"/>
          <w:noProof/>
          <w:sz w:val="24"/>
          <w:szCs w:val="24"/>
        </w:rPr>
        <w:t xml:space="preserve"> not see the need to amend or add a tool to the </w:t>
      </w:r>
      <w:r w:rsidR="00D04EE4" w:rsidRPr="00C64B4C">
        <w:rPr>
          <w:rFonts w:eastAsiaTheme="minorHAnsi"/>
          <w:noProof/>
          <w:sz w:val="24"/>
          <w:szCs w:val="24"/>
        </w:rPr>
        <w:t xml:space="preserve">ESAs’ </w:t>
      </w:r>
      <w:r w:rsidR="004A59F2" w:rsidRPr="00C64B4C">
        <w:rPr>
          <w:rFonts w:eastAsiaTheme="minorHAnsi"/>
          <w:noProof/>
          <w:sz w:val="24"/>
          <w:szCs w:val="24"/>
        </w:rPr>
        <w:t>toolkit for achieving supervisory convergence. These respondents observed that the ESAs have not used their existing tools to their full potential. In addition, some respondents highlighted the effectiveness of informal supervisory convergence tools developed by the ESAs</w:t>
      </w:r>
      <w:r w:rsidR="0066373E" w:rsidRPr="00C64B4C">
        <w:rPr>
          <w:rFonts w:eastAsiaTheme="minorHAnsi"/>
          <w:noProof/>
          <w:sz w:val="24"/>
          <w:szCs w:val="24"/>
        </w:rPr>
        <w:t>,</w:t>
      </w:r>
      <w:r w:rsidR="003D4AA9" w:rsidRPr="00C64B4C">
        <w:rPr>
          <w:rFonts w:eastAsiaTheme="minorHAnsi"/>
          <w:noProof/>
          <w:sz w:val="24"/>
          <w:szCs w:val="24"/>
        </w:rPr>
        <w:t xml:space="preserve"> such as ESMA’s c</w:t>
      </w:r>
      <w:r w:rsidR="004A59F2" w:rsidRPr="00C64B4C">
        <w:rPr>
          <w:rFonts w:eastAsiaTheme="minorHAnsi"/>
          <w:noProof/>
          <w:sz w:val="24"/>
          <w:szCs w:val="24"/>
        </w:rPr>
        <w:t xml:space="preserve">ommon </w:t>
      </w:r>
      <w:r w:rsidR="003D4AA9" w:rsidRPr="00C64B4C">
        <w:rPr>
          <w:rFonts w:eastAsiaTheme="minorHAnsi"/>
          <w:noProof/>
          <w:sz w:val="24"/>
          <w:szCs w:val="24"/>
        </w:rPr>
        <w:t>s</w:t>
      </w:r>
      <w:r w:rsidR="004A59F2" w:rsidRPr="00C64B4C">
        <w:rPr>
          <w:rFonts w:eastAsiaTheme="minorHAnsi"/>
          <w:noProof/>
          <w:sz w:val="24"/>
          <w:szCs w:val="24"/>
        </w:rPr>
        <w:t xml:space="preserve">upervisory </w:t>
      </w:r>
      <w:r w:rsidR="003D4AA9" w:rsidRPr="00C64B4C">
        <w:rPr>
          <w:rFonts w:eastAsiaTheme="minorHAnsi"/>
          <w:noProof/>
          <w:sz w:val="24"/>
          <w:szCs w:val="24"/>
        </w:rPr>
        <w:t>a</w:t>
      </w:r>
      <w:r w:rsidR="004A59F2" w:rsidRPr="00C64B4C">
        <w:rPr>
          <w:rFonts w:eastAsiaTheme="minorHAnsi"/>
          <w:noProof/>
          <w:sz w:val="24"/>
          <w:szCs w:val="24"/>
        </w:rPr>
        <w:t>ctions</w:t>
      </w:r>
      <w:r w:rsidR="00312003" w:rsidRPr="00C64B4C">
        <w:rPr>
          <w:rStyle w:val="FootnoteReference"/>
          <w:rFonts w:eastAsiaTheme="minorHAnsi"/>
          <w:noProof/>
          <w:sz w:val="24"/>
          <w:szCs w:val="24"/>
        </w:rPr>
        <w:footnoteReference w:id="11"/>
      </w:r>
      <w:r w:rsidR="004A59F2" w:rsidRPr="00C64B4C">
        <w:rPr>
          <w:rFonts w:eastAsiaTheme="minorHAnsi"/>
          <w:noProof/>
          <w:sz w:val="24"/>
          <w:szCs w:val="24"/>
        </w:rPr>
        <w:t xml:space="preserve">. </w:t>
      </w:r>
    </w:p>
    <w:p w14:paraId="7FD701CD" w14:textId="77777777" w:rsidR="004A59F2" w:rsidRPr="00C64B4C" w:rsidRDefault="004A59F2" w:rsidP="00901A5C">
      <w:pPr>
        <w:jc w:val="both"/>
        <w:rPr>
          <w:rFonts w:eastAsiaTheme="minorHAnsi"/>
          <w:noProof/>
          <w:sz w:val="24"/>
          <w:szCs w:val="24"/>
        </w:rPr>
      </w:pPr>
    </w:p>
    <w:p w14:paraId="766D2050" w14:textId="19F2298F" w:rsidR="006D2E8A" w:rsidRPr="00C64B4C" w:rsidRDefault="00EE2B13" w:rsidP="00901A5C">
      <w:pPr>
        <w:jc w:val="both"/>
        <w:rPr>
          <w:rFonts w:eastAsiaTheme="minorHAnsi"/>
          <w:noProof/>
          <w:sz w:val="24"/>
          <w:szCs w:val="24"/>
        </w:rPr>
      </w:pPr>
      <w:r w:rsidRPr="00C64B4C">
        <w:rPr>
          <w:rFonts w:eastAsiaTheme="minorHAnsi"/>
          <w:noProof/>
          <w:sz w:val="24"/>
          <w:szCs w:val="24"/>
        </w:rPr>
        <w:t>However, r</w:t>
      </w:r>
      <w:r w:rsidR="006D2E8A" w:rsidRPr="00C64B4C">
        <w:rPr>
          <w:rFonts w:eastAsiaTheme="minorHAnsi"/>
          <w:noProof/>
          <w:sz w:val="24"/>
          <w:szCs w:val="24"/>
        </w:rPr>
        <w:t>espondents</w:t>
      </w:r>
      <w:r w:rsidR="004A59F2" w:rsidRPr="00C64B4C">
        <w:rPr>
          <w:rFonts w:eastAsiaTheme="minorHAnsi"/>
          <w:noProof/>
          <w:sz w:val="24"/>
          <w:szCs w:val="24"/>
        </w:rPr>
        <w:t xml:space="preserve"> also </w:t>
      </w:r>
      <w:r w:rsidR="0066373E" w:rsidRPr="00C64B4C">
        <w:rPr>
          <w:rFonts w:eastAsiaTheme="minorHAnsi"/>
          <w:noProof/>
          <w:sz w:val="24"/>
          <w:szCs w:val="24"/>
        </w:rPr>
        <w:t xml:space="preserve">acknowledged </w:t>
      </w:r>
      <w:r w:rsidR="004A59F2" w:rsidRPr="00C64B4C">
        <w:rPr>
          <w:rFonts w:eastAsiaTheme="minorHAnsi"/>
          <w:noProof/>
          <w:sz w:val="24"/>
          <w:szCs w:val="24"/>
        </w:rPr>
        <w:t xml:space="preserve">that more efforts </w:t>
      </w:r>
      <w:r w:rsidR="0066373E" w:rsidRPr="00C64B4C">
        <w:rPr>
          <w:rFonts w:eastAsiaTheme="minorHAnsi"/>
          <w:noProof/>
          <w:sz w:val="24"/>
          <w:szCs w:val="24"/>
        </w:rPr>
        <w:t>were</w:t>
      </w:r>
      <w:r w:rsidR="004A59F2" w:rsidRPr="00C64B4C">
        <w:rPr>
          <w:rFonts w:eastAsiaTheme="minorHAnsi"/>
          <w:noProof/>
          <w:sz w:val="24"/>
          <w:szCs w:val="24"/>
        </w:rPr>
        <w:t xml:space="preserve"> needed to reach the goal of supervisory convergence. They </w:t>
      </w:r>
      <w:r w:rsidR="006D2E8A" w:rsidRPr="00C64B4C">
        <w:rPr>
          <w:rFonts w:eastAsiaTheme="minorHAnsi"/>
          <w:noProof/>
          <w:sz w:val="24"/>
          <w:szCs w:val="24"/>
        </w:rPr>
        <w:t>consider</w:t>
      </w:r>
      <w:r w:rsidR="0066373E" w:rsidRPr="00C64B4C">
        <w:rPr>
          <w:rFonts w:eastAsiaTheme="minorHAnsi"/>
          <w:noProof/>
          <w:sz w:val="24"/>
          <w:szCs w:val="24"/>
        </w:rPr>
        <w:t>ed</w:t>
      </w:r>
      <w:r w:rsidR="006D2E8A" w:rsidRPr="00C64B4C">
        <w:rPr>
          <w:rFonts w:eastAsiaTheme="minorHAnsi"/>
          <w:noProof/>
          <w:sz w:val="24"/>
          <w:szCs w:val="24"/>
        </w:rPr>
        <w:t xml:space="preserve"> the specificities of local markets and different legal environments (e.g. </w:t>
      </w:r>
      <w:r w:rsidRPr="00C64B4C">
        <w:rPr>
          <w:rFonts w:eastAsiaTheme="minorHAnsi"/>
          <w:noProof/>
          <w:sz w:val="24"/>
          <w:szCs w:val="24"/>
        </w:rPr>
        <w:t xml:space="preserve">in </w:t>
      </w:r>
      <w:r w:rsidR="006D2E8A" w:rsidRPr="00C64B4C">
        <w:rPr>
          <w:rFonts w:eastAsiaTheme="minorHAnsi"/>
          <w:noProof/>
          <w:sz w:val="24"/>
          <w:szCs w:val="24"/>
        </w:rPr>
        <w:t>civil, commercial and company law</w:t>
      </w:r>
      <w:r w:rsidR="004A59F2" w:rsidRPr="00C64B4C">
        <w:rPr>
          <w:rFonts w:eastAsiaTheme="minorHAnsi"/>
          <w:noProof/>
          <w:sz w:val="24"/>
          <w:szCs w:val="24"/>
        </w:rPr>
        <w:t xml:space="preserve">) to be the main obstacles to </w:t>
      </w:r>
      <w:r w:rsidRPr="00C64B4C">
        <w:rPr>
          <w:rFonts w:eastAsiaTheme="minorHAnsi"/>
          <w:noProof/>
          <w:sz w:val="24"/>
          <w:szCs w:val="24"/>
        </w:rPr>
        <w:t xml:space="preserve">greater </w:t>
      </w:r>
      <w:r w:rsidR="004A59F2" w:rsidRPr="00C64B4C">
        <w:rPr>
          <w:rFonts w:eastAsiaTheme="minorHAnsi"/>
          <w:noProof/>
          <w:sz w:val="24"/>
          <w:szCs w:val="24"/>
        </w:rPr>
        <w:t>supervisory convergence</w:t>
      </w:r>
      <w:r w:rsidR="006D2E8A" w:rsidRPr="00C64B4C">
        <w:rPr>
          <w:rFonts w:eastAsiaTheme="minorHAnsi"/>
          <w:noProof/>
          <w:sz w:val="24"/>
          <w:szCs w:val="24"/>
        </w:rPr>
        <w:t xml:space="preserve">. </w:t>
      </w:r>
      <w:r w:rsidR="00F812C5" w:rsidRPr="00C64B4C">
        <w:rPr>
          <w:rFonts w:eastAsiaTheme="minorHAnsi"/>
          <w:noProof/>
          <w:sz w:val="24"/>
          <w:szCs w:val="24"/>
        </w:rPr>
        <w:t xml:space="preserve">Sanctions </w:t>
      </w:r>
      <w:r w:rsidR="006D2E8A" w:rsidRPr="00C64B4C">
        <w:rPr>
          <w:rFonts w:eastAsiaTheme="minorHAnsi"/>
          <w:noProof/>
          <w:sz w:val="24"/>
          <w:szCs w:val="24"/>
        </w:rPr>
        <w:t>w</w:t>
      </w:r>
      <w:r w:rsidR="001214AE" w:rsidRPr="00C64B4C">
        <w:rPr>
          <w:rFonts w:eastAsiaTheme="minorHAnsi"/>
          <w:noProof/>
          <w:sz w:val="24"/>
          <w:szCs w:val="24"/>
        </w:rPr>
        <w:t>ere</w:t>
      </w:r>
      <w:r w:rsidR="006D2E8A" w:rsidRPr="00C64B4C">
        <w:rPr>
          <w:rFonts w:eastAsiaTheme="minorHAnsi"/>
          <w:noProof/>
          <w:sz w:val="24"/>
          <w:szCs w:val="24"/>
        </w:rPr>
        <w:t xml:space="preserve"> mentioned as the area </w:t>
      </w:r>
      <w:r w:rsidR="0016066D" w:rsidRPr="00C64B4C">
        <w:rPr>
          <w:rFonts w:eastAsiaTheme="minorHAnsi"/>
          <w:noProof/>
          <w:sz w:val="24"/>
          <w:szCs w:val="24"/>
        </w:rPr>
        <w:t>where there</w:t>
      </w:r>
      <w:r w:rsidR="006D2E8A" w:rsidRPr="00C64B4C">
        <w:rPr>
          <w:rFonts w:eastAsiaTheme="minorHAnsi"/>
          <w:noProof/>
          <w:sz w:val="24"/>
          <w:szCs w:val="24"/>
        </w:rPr>
        <w:t xml:space="preserve"> is </w:t>
      </w:r>
      <w:r w:rsidR="00D212B3" w:rsidRPr="00C64B4C">
        <w:rPr>
          <w:rFonts w:eastAsiaTheme="minorHAnsi"/>
          <w:noProof/>
          <w:sz w:val="24"/>
          <w:szCs w:val="24"/>
        </w:rPr>
        <w:t xml:space="preserve">most </w:t>
      </w:r>
      <w:r w:rsidR="006D2E8A" w:rsidRPr="00C64B4C">
        <w:rPr>
          <w:rFonts w:eastAsiaTheme="minorHAnsi"/>
          <w:noProof/>
          <w:sz w:val="24"/>
          <w:szCs w:val="24"/>
        </w:rPr>
        <w:t>room for improvement</w:t>
      </w:r>
      <w:r w:rsidR="0016066D" w:rsidRPr="00C64B4C">
        <w:rPr>
          <w:rFonts w:eastAsiaTheme="minorHAnsi"/>
          <w:noProof/>
          <w:sz w:val="24"/>
          <w:szCs w:val="24"/>
        </w:rPr>
        <w:t xml:space="preserve"> in convergence</w:t>
      </w:r>
      <w:r w:rsidR="006D2E8A" w:rsidRPr="00C64B4C">
        <w:rPr>
          <w:rFonts w:eastAsiaTheme="minorHAnsi"/>
          <w:noProof/>
          <w:sz w:val="24"/>
          <w:szCs w:val="24"/>
        </w:rPr>
        <w:t xml:space="preserve"> (</w:t>
      </w:r>
      <w:r w:rsidR="00D212B3" w:rsidRPr="00C64B4C">
        <w:rPr>
          <w:rFonts w:eastAsiaTheme="minorHAnsi"/>
          <w:noProof/>
          <w:sz w:val="24"/>
          <w:szCs w:val="24"/>
        </w:rPr>
        <w:t>e.g</w:t>
      </w:r>
      <w:r w:rsidR="006D2E8A" w:rsidRPr="00C64B4C">
        <w:rPr>
          <w:rFonts w:eastAsiaTheme="minorHAnsi"/>
          <w:noProof/>
          <w:sz w:val="24"/>
          <w:szCs w:val="24"/>
        </w:rPr>
        <w:t xml:space="preserve">. </w:t>
      </w:r>
      <w:r w:rsidR="00B10498">
        <w:rPr>
          <w:rFonts w:eastAsiaTheme="minorHAnsi"/>
          <w:noProof/>
          <w:sz w:val="24"/>
          <w:szCs w:val="24"/>
        </w:rPr>
        <w:t>N</w:t>
      </w:r>
      <w:r w:rsidR="006D2E8A" w:rsidRPr="00C64B4C">
        <w:rPr>
          <w:rFonts w:eastAsiaTheme="minorHAnsi"/>
          <w:noProof/>
          <w:sz w:val="24"/>
          <w:szCs w:val="24"/>
        </w:rPr>
        <w:t xml:space="preserve">ational </w:t>
      </w:r>
      <w:r w:rsidR="00B10498">
        <w:rPr>
          <w:rFonts w:eastAsiaTheme="minorHAnsi"/>
          <w:noProof/>
          <w:sz w:val="24"/>
          <w:szCs w:val="24"/>
        </w:rPr>
        <w:t>C</w:t>
      </w:r>
      <w:r w:rsidR="006D2E8A" w:rsidRPr="00C64B4C">
        <w:rPr>
          <w:rFonts w:eastAsiaTheme="minorHAnsi"/>
          <w:noProof/>
          <w:sz w:val="24"/>
          <w:szCs w:val="24"/>
        </w:rPr>
        <w:t xml:space="preserve">ompetent </w:t>
      </w:r>
      <w:r w:rsidR="00B10498">
        <w:rPr>
          <w:rFonts w:eastAsiaTheme="minorHAnsi"/>
          <w:noProof/>
          <w:sz w:val="24"/>
          <w:szCs w:val="24"/>
        </w:rPr>
        <w:t>A</w:t>
      </w:r>
      <w:r w:rsidR="006D2E8A" w:rsidRPr="00C64B4C">
        <w:rPr>
          <w:rFonts w:eastAsiaTheme="minorHAnsi"/>
          <w:noProof/>
          <w:sz w:val="24"/>
          <w:szCs w:val="24"/>
        </w:rPr>
        <w:t>uthorities</w:t>
      </w:r>
      <w:r w:rsidR="004048CE" w:rsidRPr="00C64B4C">
        <w:rPr>
          <w:rFonts w:eastAsiaTheme="minorHAnsi"/>
          <w:noProof/>
          <w:sz w:val="24"/>
          <w:szCs w:val="24"/>
        </w:rPr>
        <w:t xml:space="preserve"> </w:t>
      </w:r>
      <w:r w:rsidR="006D2E8A" w:rsidRPr="00C64B4C">
        <w:rPr>
          <w:rFonts w:eastAsiaTheme="minorHAnsi"/>
          <w:noProof/>
          <w:sz w:val="24"/>
          <w:szCs w:val="24"/>
        </w:rPr>
        <w:t>should impose similar sanctions i</w:t>
      </w:r>
      <w:r w:rsidR="00DE4345" w:rsidRPr="00C64B4C">
        <w:rPr>
          <w:rFonts w:eastAsiaTheme="minorHAnsi"/>
          <w:noProof/>
          <w:sz w:val="24"/>
          <w:szCs w:val="24"/>
        </w:rPr>
        <w:t>f there are</w:t>
      </w:r>
      <w:r w:rsidR="006D2E8A" w:rsidRPr="00C64B4C">
        <w:rPr>
          <w:rFonts w:eastAsiaTheme="minorHAnsi"/>
          <w:noProof/>
          <w:sz w:val="24"/>
          <w:szCs w:val="24"/>
        </w:rPr>
        <w:t xml:space="preserve"> similar breaches of EU legislation). </w:t>
      </w:r>
    </w:p>
    <w:p w14:paraId="537D8D3B" w14:textId="77777777" w:rsidR="006D2E8A" w:rsidRPr="00C64B4C" w:rsidRDefault="006D2E8A" w:rsidP="00901A5C">
      <w:pPr>
        <w:jc w:val="both"/>
        <w:rPr>
          <w:rFonts w:eastAsiaTheme="minorHAnsi"/>
          <w:noProof/>
          <w:sz w:val="24"/>
          <w:szCs w:val="24"/>
        </w:rPr>
      </w:pPr>
    </w:p>
    <w:p w14:paraId="129FE721" w14:textId="42FAD6F8" w:rsidR="009A01F1" w:rsidRPr="00C64B4C" w:rsidRDefault="004A59F2" w:rsidP="00901A5C">
      <w:pPr>
        <w:jc w:val="both"/>
        <w:rPr>
          <w:rFonts w:eastAsiaTheme="minorHAnsi"/>
          <w:noProof/>
          <w:sz w:val="24"/>
          <w:szCs w:val="24"/>
        </w:rPr>
      </w:pPr>
      <w:r w:rsidRPr="00C64B4C">
        <w:rPr>
          <w:rFonts w:eastAsiaTheme="minorHAnsi"/>
          <w:noProof/>
          <w:sz w:val="24"/>
          <w:szCs w:val="24"/>
        </w:rPr>
        <w:t xml:space="preserve">Many </w:t>
      </w:r>
      <w:r w:rsidR="00D334C7" w:rsidRPr="00C64B4C">
        <w:rPr>
          <w:rFonts w:eastAsiaTheme="minorHAnsi"/>
          <w:noProof/>
          <w:sz w:val="24"/>
          <w:szCs w:val="24"/>
        </w:rPr>
        <w:t>r</w:t>
      </w:r>
      <w:r w:rsidR="0016066D" w:rsidRPr="00C64B4C">
        <w:rPr>
          <w:rFonts w:eastAsiaTheme="minorHAnsi"/>
          <w:noProof/>
          <w:sz w:val="24"/>
          <w:szCs w:val="24"/>
        </w:rPr>
        <w:t xml:space="preserve">espondents </w:t>
      </w:r>
      <w:r w:rsidR="00B52567" w:rsidRPr="00C64B4C">
        <w:rPr>
          <w:rFonts w:eastAsiaTheme="minorHAnsi"/>
          <w:noProof/>
          <w:sz w:val="24"/>
          <w:szCs w:val="24"/>
        </w:rPr>
        <w:t>observed</w:t>
      </w:r>
      <w:r w:rsidR="00425190" w:rsidRPr="00C64B4C">
        <w:rPr>
          <w:rFonts w:eastAsiaTheme="minorHAnsi"/>
          <w:noProof/>
          <w:sz w:val="24"/>
          <w:szCs w:val="24"/>
        </w:rPr>
        <w:t xml:space="preserve"> </w:t>
      </w:r>
      <w:r w:rsidR="0084439E" w:rsidRPr="00C64B4C">
        <w:rPr>
          <w:rFonts w:eastAsiaTheme="minorHAnsi"/>
          <w:noProof/>
          <w:sz w:val="24"/>
          <w:szCs w:val="24"/>
        </w:rPr>
        <w:t xml:space="preserve">that the </w:t>
      </w:r>
      <w:r w:rsidR="006D2E8A" w:rsidRPr="00C64B4C">
        <w:rPr>
          <w:rFonts w:eastAsiaTheme="minorHAnsi"/>
          <w:noProof/>
          <w:sz w:val="24"/>
          <w:szCs w:val="24"/>
        </w:rPr>
        <w:t xml:space="preserve">new </w:t>
      </w:r>
      <w:r w:rsidR="000C334D" w:rsidRPr="00C64B4C">
        <w:rPr>
          <w:rFonts w:eastAsiaTheme="minorHAnsi"/>
          <w:noProof/>
          <w:sz w:val="24"/>
          <w:szCs w:val="24"/>
        </w:rPr>
        <w:t>Q</w:t>
      </w:r>
      <w:r w:rsidR="006D2E8A" w:rsidRPr="00C64B4C">
        <w:rPr>
          <w:rFonts w:eastAsiaTheme="minorHAnsi"/>
          <w:noProof/>
          <w:sz w:val="24"/>
          <w:szCs w:val="24"/>
        </w:rPr>
        <w:t xml:space="preserve">&amp;A process has become </w:t>
      </w:r>
      <w:r w:rsidR="00EE2B13" w:rsidRPr="00C64B4C">
        <w:rPr>
          <w:rFonts w:eastAsiaTheme="minorHAnsi"/>
          <w:noProof/>
          <w:sz w:val="24"/>
          <w:szCs w:val="24"/>
        </w:rPr>
        <w:t xml:space="preserve">slower and </w:t>
      </w:r>
      <w:r w:rsidR="006D2E8A" w:rsidRPr="00C64B4C">
        <w:rPr>
          <w:rFonts w:eastAsiaTheme="minorHAnsi"/>
          <w:noProof/>
          <w:sz w:val="24"/>
          <w:szCs w:val="24"/>
        </w:rPr>
        <w:t>less efficient</w:t>
      </w:r>
      <w:r w:rsidR="004419BB" w:rsidRPr="00C64B4C">
        <w:rPr>
          <w:rFonts w:eastAsiaTheme="minorHAnsi"/>
          <w:noProof/>
          <w:sz w:val="24"/>
          <w:szCs w:val="24"/>
        </w:rPr>
        <w:t>. Respondents cited two reasons for this problem. Firstly, they said it was</w:t>
      </w:r>
      <w:r w:rsidR="00AF6A69" w:rsidRPr="00C64B4C">
        <w:rPr>
          <w:rFonts w:eastAsiaTheme="minorHAnsi"/>
          <w:noProof/>
          <w:sz w:val="24"/>
          <w:szCs w:val="24"/>
        </w:rPr>
        <w:t xml:space="preserve"> </w:t>
      </w:r>
      <w:r w:rsidR="006D2E8A" w:rsidRPr="00C64B4C">
        <w:rPr>
          <w:rFonts w:eastAsiaTheme="minorHAnsi"/>
          <w:noProof/>
          <w:sz w:val="24"/>
          <w:szCs w:val="24"/>
        </w:rPr>
        <w:t xml:space="preserve">difficult to distinguish which questions </w:t>
      </w:r>
      <w:r w:rsidR="0016066D" w:rsidRPr="00C64B4C">
        <w:rPr>
          <w:rFonts w:eastAsiaTheme="minorHAnsi"/>
          <w:noProof/>
          <w:sz w:val="24"/>
          <w:szCs w:val="24"/>
        </w:rPr>
        <w:t>require</w:t>
      </w:r>
      <w:r w:rsidR="00D04EE4" w:rsidRPr="00C64B4C">
        <w:rPr>
          <w:rFonts w:eastAsiaTheme="minorHAnsi"/>
          <w:noProof/>
          <w:sz w:val="24"/>
          <w:szCs w:val="24"/>
        </w:rPr>
        <w:t xml:space="preserve"> an</w:t>
      </w:r>
      <w:r w:rsidR="0016066D" w:rsidRPr="00C64B4C">
        <w:rPr>
          <w:rFonts w:eastAsiaTheme="minorHAnsi"/>
          <w:noProof/>
          <w:sz w:val="24"/>
          <w:szCs w:val="24"/>
        </w:rPr>
        <w:t xml:space="preserve"> interpretation of </w:t>
      </w:r>
      <w:r w:rsidR="00D76BB4" w:rsidRPr="00C64B4C">
        <w:rPr>
          <w:rFonts w:eastAsiaTheme="minorHAnsi"/>
          <w:noProof/>
          <w:sz w:val="24"/>
          <w:szCs w:val="24"/>
        </w:rPr>
        <w:t>Union</w:t>
      </w:r>
      <w:r w:rsidR="004419BB" w:rsidRPr="00C64B4C">
        <w:rPr>
          <w:rFonts w:eastAsiaTheme="minorHAnsi"/>
          <w:noProof/>
          <w:sz w:val="24"/>
          <w:szCs w:val="24"/>
        </w:rPr>
        <w:t xml:space="preserve"> </w:t>
      </w:r>
      <w:r w:rsidR="0016066D" w:rsidRPr="00C64B4C">
        <w:rPr>
          <w:rFonts w:eastAsiaTheme="minorHAnsi"/>
          <w:noProof/>
          <w:sz w:val="24"/>
          <w:szCs w:val="24"/>
        </w:rPr>
        <w:t>law, and thus need to be answered by the Commission</w:t>
      </w:r>
      <w:r w:rsidR="004419BB" w:rsidRPr="00C64B4C">
        <w:rPr>
          <w:rFonts w:eastAsiaTheme="minorHAnsi"/>
          <w:noProof/>
          <w:sz w:val="24"/>
          <w:szCs w:val="24"/>
        </w:rPr>
        <w:t>. Secondly</w:t>
      </w:r>
      <w:r w:rsidR="0066373E" w:rsidRPr="00C64B4C">
        <w:rPr>
          <w:rFonts w:eastAsiaTheme="minorHAnsi"/>
          <w:noProof/>
          <w:sz w:val="24"/>
          <w:szCs w:val="24"/>
        </w:rPr>
        <w:t>,</w:t>
      </w:r>
      <w:r w:rsidR="00D334C7" w:rsidRPr="00C64B4C">
        <w:rPr>
          <w:rFonts w:eastAsiaTheme="minorHAnsi"/>
          <w:noProof/>
          <w:sz w:val="24"/>
          <w:szCs w:val="24"/>
        </w:rPr>
        <w:t xml:space="preserve"> </w:t>
      </w:r>
      <w:r w:rsidR="004419BB" w:rsidRPr="00C64B4C">
        <w:rPr>
          <w:rFonts w:eastAsiaTheme="minorHAnsi"/>
          <w:noProof/>
          <w:sz w:val="24"/>
          <w:szCs w:val="24"/>
        </w:rPr>
        <w:t>they said that the process was slowed down because the Commission needed to formally adopt a decision on</w:t>
      </w:r>
      <w:r w:rsidR="00D334C7" w:rsidRPr="00C64B4C">
        <w:rPr>
          <w:rFonts w:eastAsiaTheme="minorHAnsi"/>
          <w:noProof/>
          <w:sz w:val="24"/>
          <w:szCs w:val="24"/>
        </w:rPr>
        <w:t xml:space="preserve"> this category of questions</w:t>
      </w:r>
      <w:r w:rsidR="006D2E8A" w:rsidRPr="00C64B4C">
        <w:rPr>
          <w:rFonts w:eastAsiaTheme="minorHAnsi"/>
          <w:noProof/>
          <w:sz w:val="24"/>
          <w:szCs w:val="24"/>
        </w:rPr>
        <w:t>.</w:t>
      </w:r>
      <w:r w:rsidR="000F0FB8" w:rsidRPr="00C64B4C">
        <w:rPr>
          <w:rFonts w:eastAsiaTheme="minorHAnsi"/>
          <w:noProof/>
          <w:sz w:val="24"/>
          <w:szCs w:val="24"/>
        </w:rPr>
        <w:t xml:space="preserve"> Similarly, many </w:t>
      </w:r>
      <w:r w:rsidR="00BB70AB" w:rsidRPr="00C64B4C">
        <w:rPr>
          <w:rFonts w:eastAsiaTheme="minorHAnsi"/>
          <w:noProof/>
          <w:sz w:val="24"/>
          <w:szCs w:val="24"/>
        </w:rPr>
        <w:t xml:space="preserve">respondents observed that </w:t>
      </w:r>
      <w:r w:rsidR="006D2E8A" w:rsidRPr="00C64B4C">
        <w:rPr>
          <w:rFonts w:eastAsiaTheme="minorHAnsi"/>
          <w:noProof/>
          <w:sz w:val="24"/>
          <w:szCs w:val="24"/>
        </w:rPr>
        <w:t>the condition</w:t>
      </w:r>
      <w:r w:rsidR="00BB70AB" w:rsidRPr="00C64B4C">
        <w:rPr>
          <w:rFonts w:eastAsiaTheme="minorHAnsi"/>
          <w:noProof/>
          <w:sz w:val="24"/>
          <w:szCs w:val="24"/>
        </w:rPr>
        <w:t xml:space="preserve">s </w:t>
      </w:r>
      <w:r w:rsidR="004419BB" w:rsidRPr="00C64B4C">
        <w:rPr>
          <w:rFonts w:eastAsiaTheme="minorHAnsi"/>
          <w:noProof/>
          <w:sz w:val="24"/>
          <w:szCs w:val="24"/>
        </w:rPr>
        <w:t xml:space="preserve">for </w:t>
      </w:r>
      <w:r w:rsidR="0066373E" w:rsidRPr="00C64B4C">
        <w:rPr>
          <w:rFonts w:eastAsiaTheme="minorHAnsi"/>
          <w:noProof/>
          <w:sz w:val="24"/>
          <w:szCs w:val="24"/>
        </w:rPr>
        <w:t xml:space="preserve">the </w:t>
      </w:r>
      <w:r w:rsidR="000F0FB8" w:rsidRPr="00C64B4C">
        <w:rPr>
          <w:rFonts w:eastAsiaTheme="minorHAnsi"/>
          <w:noProof/>
          <w:sz w:val="24"/>
          <w:szCs w:val="24"/>
        </w:rPr>
        <w:t>new mechanism of no</w:t>
      </w:r>
      <w:r w:rsidR="004419BB" w:rsidRPr="00C64B4C">
        <w:rPr>
          <w:rFonts w:eastAsiaTheme="minorHAnsi"/>
          <w:noProof/>
          <w:sz w:val="24"/>
          <w:szCs w:val="24"/>
        </w:rPr>
        <w:t>-</w:t>
      </w:r>
      <w:r w:rsidR="000F0FB8" w:rsidRPr="00C64B4C">
        <w:rPr>
          <w:rFonts w:eastAsiaTheme="minorHAnsi"/>
          <w:noProof/>
          <w:sz w:val="24"/>
          <w:szCs w:val="24"/>
        </w:rPr>
        <w:t>action letters</w:t>
      </w:r>
      <w:r w:rsidR="0066373E" w:rsidRPr="00C64B4C">
        <w:rPr>
          <w:rFonts w:eastAsiaTheme="minorHAnsi"/>
          <w:noProof/>
          <w:sz w:val="24"/>
          <w:szCs w:val="24"/>
        </w:rPr>
        <w:t>,</w:t>
      </w:r>
      <w:r w:rsidR="000F0FB8" w:rsidRPr="00C64B4C">
        <w:rPr>
          <w:rFonts w:eastAsiaTheme="minorHAnsi"/>
          <w:noProof/>
          <w:sz w:val="24"/>
          <w:szCs w:val="24"/>
        </w:rPr>
        <w:t xml:space="preserve"> introduced by the 2019 ESA review</w:t>
      </w:r>
      <w:r w:rsidR="0066373E" w:rsidRPr="00C64B4C">
        <w:rPr>
          <w:rFonts w:eastAsiaTheme="minorHAnsi"/>
          <w:noProof/>
          <w:sz w:val="24"/>
          <w:szCs w:val="24"/>
        </w:rPr>
        <w:t>,</w:t>
      </w:r>
      <w:r w:rsidR="0089184F" w:rsidRPr="00C64B4C">
        <w:rPr>
          <w:rFonts w:eastAsiaTheme="minorHAnsi"/>
          <w:noProof/>
          <w:sz w:val="24"/>
          <w:szCs w:val="24"/>
        </w:rPr>
        <w:t xml:space="preserve"> </w:t>
      </w:r>
      <w:r w:rsidR="00BB70AB" w:rsidRPr="00C64B4C">
        <w:rPr>
          <w:rFonts w:eastAsiaTheme="minorHAnsi"/>
          <w:noProof/>
          <w:sz w:val="24"/>
          <w:szCs w:val="24"/>
        </w:rPr>
        <w:t>m</w:t>
      </w:r>
      <w:r w:rsidR="0016066D" w:rsidRPr="00C64B4C">
        <w:rPr>
          <w:rFonts w:eastAsiaTheme="minorHAnsi"/>
          <w:noProof/>
          <w:sz w:val="24"/>
          <w:szCs w:val="24"/>
        </w:rPr>
        <w:t>a</w:t>
      </w:r>
      <w:r w:rsidR="004419BB" w:rsidRPr="00C64B4C">
        <w:rPr>
          <w:rFonts w:eastAsiaTheme="minorHAnsi"/>
          <w:noProof/>
          <w:sz w:val="24"/>
          <w:szCs w:val="24"/>
        </w:rPr>
        <w:t>de</w:t>
      </w:r>
      <w:r w:rsidR="0016066D" w:rsidRPr="00C64B4C">
        <w:rPr>
          <w:rFonts w:eastAsiaTheme="minorHAnsi"/>
          <w:noProof/>
          <w:sz w:val="24"/>
          <w:szCs w:val="24"/>
        </w:rPr>
        <w:t xml:space="preserve"> </w:t>
      </w:r>
      <w:r w:rsidR="00D212B3" w:rsidRPr="00C64B4C">
        <w:rPr>
          <w:rFonts w:eastAsiaTheme="minorHAnsi"/>
          <w:noProof/>
          <w:sz w:val="24"/>
          <w:szCs w:val="24"/>
        </w:rPr>
        <w:t xml:space="preserve">use </w:t>
      </w:r>
      <w:r w:rsidR="00D04EE4" w:rsidRPr="00C64B4C">
        <w:rPr>
          <w:rFonts w:eastAsiaTheme="minorHAnsi"/>
          <w:noProof/>
          <w:sz w:val="24"/>
          <w:szCs w:val="24"/>
        </w:rPr>
        <w:t xml:space="preserve">of this mechanism </w:t>
      </w:r>
      <w:r w:rsidR="0016066D" w:rsidRPr="00C64B4C">
        <w:rPr>
          <w:rFonts w:eastAsiaTheme="minorHAnsi"/>
          <w:noProof/>
          <w:sz w:val="24"/>
          <w:szCs w:val="24"/>
        </w:rPr>
        <w:t>very difficult</w:t>
      </w:r>
      <w:r w:rsidR="00312003" w:rsidRPr="00C64B4C">
        <w:rPr>
          <w:rStyle w:val="FootnoteReference"/>
          <w:rFonts w:eastAsiaTheme="minorHAnsi"/>
          <w:noProof/>
          <w:sz w:val="24"/>
          <w:szCs w:val="24"/>
        </w:rPr>
        <w:footnoteReference w:id="12"/>
      </w:r>
      <w:r w:rsidR="00563C89" w:rsidRPr="00C64B4C">
        <w:rPr>
          <w:rFonts w:eastAsiaTheme="minorHAnsi"/>
          <w:noProof/>
          <w:sz w:val="24"/>
          <w:szCs w:val="24"/>
        </w:rPr>
        <w:t>.</w:t>
      </w:r>
      <w:r w:rsidR="0016066D" w:rsidRPr="00C64B4C">
        <w:rPr>
          <w:rFonts w:eastAsiaTheme="minorHAnsi"/>
          <w:noProof/>
          <w:sz w:val="24"/>
          <w:szCs w:val="24"/>
        </w:rPr>
        <w:t xml:space="preserve"> </w:t>
      </w:r>
      <w:r w:rsidR="000F0FB8" w:rsidRPr="00C64B4C">
        <w:rPr>
          <w:rFonts w:eastAsiaTheme="minorHAnsi"/>
          <w:noProof/>
          <w:sz w:val="24"/>
          <w:szCs w:val="24"/>
        </w:rPr>
        <w:t xml:space="preserve">They </w:t>
      </w:r>
      <w:r w:rsidR="0066373E" w:rsidRPr="00C64B4C">
        <w:rPr>
          <w:rFonts w:eastAsiaTheme="minorHAnsi"/>
          <w:noProof/>
          <w:sz w:val="24"/>
          <w:szCs w:val="24"/>
        </w:rPr>
        <w:t xml:space="preserve">noted </w:t>
      </w:r>
      <w:r w:rsidR="000F0FB8" w:rsidRPr="00C64B4C">
        <w:rPr>
          <w:rFonts w:eastAsiaTheme="minorHAnsi"/>
          <w:noProof/>
          <w:sz w:val="24"/>
          <w:szCs w:val="24"/>
        </w:rPr>
        <w:t>that</w:t>
      </w:r>
      <w:r w:rsidR="0016066D" w:rsidRPr="00C64B4C">
        <w:rPr>
          <w:rFonts w:eastAsiaTheme="minorHAnsi"/>
          <w:noProof/>
          <w:sz w:val="24"/>
          <w:szCs w:val="24"/>
        </w:rPr>
        <w:t xml:space="preserve"> due to the</w:t>
      </w:r>
      <w:r w:rsidR="006D2E8A" w:rsidRPr="00C64B4C">
        <w:rPr>
          <w:rFonts w:eastAsiaTheme="minorHAnsi"/>
          <w:noProof/>
          <w:sz w:val="24"/>
          <w:szCs w:val="24"/>
        </w:rPr>
        <w:t xml:space="preserve"> non-binding nature</w:t>
      </w:r>
      <w:r w:rsidR="0016066D" w:rsidRPr="00C64B4C">
        <w:rPr>
          <w:rFonts w:eastAsiaTheme="minorHAnsi"/>
          <w:noProof/>
          <w:sz w:val="24"/>
          <w:szCs w:val="24"/>
        </w:rPr>
        <w:t xml:space="preserve"> of no</w:t>
      </w:r>
      <w:r w:rsidR="004419BB" w:rsidRPr="00C64B4C">
        <w:rPr>
          <w:rFonts w:eastAsiaTheme="minorHAnsi"/>
          <w:noProof/>
          <w:sz w:val="24"/>
          <w:szCs w:val="24"/>
        </w:rPr>
        <w:t>-</w:t>
      </w:r>
      <w:r w:rsidR="0016066D" w:rsidRPr="00C64B4C">
        <w:rPr>
          <w:rFonts w:eastAsiaTheme="minorHAnsi"/>
          <w:noProof/>
          <w:sz w:val="24"/>
          <w:szCs w:val="24"/>
        </w:rPr>
        <w:t>action letters</w:t>
      </w:r>
      <w:r w:rsidR="0066373E" w:rsidRPr="00C64B4C">
        <w:rPr>
          <w:rFonts w:eastAsiaTheme="minorHAnsi"/>
          <w:noProof/>
          <w:sz w:val="24"/>
          <w:szCs w:val="24"/>
        </w:rPr>
        <w:t>,</w:t>
      </w:r>
      <w:r w:rsidR="006D2E8A" w:rsidRPr="00C64B4C">
        <w:rPr>
          <w:rFonts w:eastAsiaTheme="minorHAnsi"/>
          <w:noProof/>
          <w:sz w:val="24"/>
          <w:szCs w:val="24"/>
        </w:rPr>
        <w:t xml:space="preserve"> market participants cannot rely on </w:t>
      </w:r>
      <w:r w:rsidR="0016066D" w:rsidRPr="00C64B4C">
        <w:rPr>
          <w:rFonts w:eastAsiaTheme="minorHAnsi"/>
          <w:noProof/>
          <w:sz w:val="24"/>
          <w:szCs w:val="24"/>
        </w:rPr>
        <w:t>them,</w:t>
      </w:r>
      <w:r w:rsidR="006D2E8A" w:rsidRPr="00C64B4C">
        <w:rPr>
          <w:rFonts w:eastAsiaTheme="minorHAnsi"/>
          <w:noProof/>
          <w:sz w:val="24"/>
          <w:szCs w:val="24"/>
        </w:rPr>
        <w:t xml:space="preserve"> as there is no guarantee that </w:t>
      </w:r>
      <w:r w:rsidR="00B10498">
        <w:rPr>
          <w:rFonts w:eastAsiaTheme="minorHAnsi"/>
          <w:noProof/>
          <w:sz w:val="24"/>
          <w:szCs w:val="24"/>
        </w:rPr>
        <w:t>N</w:t>
      </w:r>
      <w:r w:rsidR="00C114FF" w:rsidRPr="00C64B4C">
        <w:rPr>
          <w:rFonts w:eastAsiaTheme="minorHAnsi"/>
          <w:noProof/>
          <w:sz w:val="24"/>
          <w:szCs w:val="24"/>
        </w:rPr>
        <w:t xml:space="preserve">ational </w:t>
      </w:r>
      <w:r w:rsidR="00B10498">
        <w:rPr>
          <w:rFonts w:eastAsiaTheme="minorHAnsi"/>
          <w:noProof/>
          <w:sz w:val="24"/>
          <w:szCs w:val="24"/>
        </w:rPr>
        <w:t>C</w:t>
      </w:r>
      <w:r w:rsidR="00C114FF" w:rsidRPr="00C64B4C">
        <w:rPr>
          <w:rFonts w:eastAsiaTheme="minorHAnsi"/>
          <w:noProof/>
          <w:sz w:val="24"/>
          <w:szCs w:val="24"/>
        </w:rPr>
        <w:t xml:space="preserve">ompetent </w:t>
      </w:r>
      <w:r w:rsidR="00B10498">
        <w:rPr>
          <w:rFonts w:eastAsiaTheme="minorHAnsi"/>
          <w:noProof/>
          <w:sz w:val="24"/>
          <w:szCs w:val="24"/>
        </w:rPr>
        <w:t>A</w:t>
      </w:r>
      <w:r w:rsidR="00C114FF" w:rsidRPr="00C64B4C">
        <w:rPr>
          <w:rFonts w:eastAsiaTheme="minorHAnsi"/>
          <w:noProof/>
          <w:sz w:val="24"/>
          <w:szCs w:val="24"/>
        </w:rPr>
        <w:t xml:space="preserve">uthorities </w:t>
      </w:r>
      <w:r w:rsidR="006D2E8A" w:rsidRPr="00C64B4C">
        <w:rPr>
          <w:rFonts w:eastAsiaTheme="minorHAnsi"/>
          <w:noProof/>
          <w:sz w:val="24"/>
          <w:szCs w:val="24"/>
        </w:rPr>
        <w:t xml:space="preserve">will act </w:t>
      </w:r>
      <w:r w:rsidR="004419BB" w:rsidRPr="00C64B4C">
        <w:rPr>
          <w:rFonts w:eastAsiaTheme="minorHAnsi"/>
          <w:noProof/>
          <w:sz w:val="24"/>
          <w:szCs w:val="24"/>
        </w:rPr>
        <w:t xml:space="preserve">on them </w:t>
      </w:r>
      <w:r w:rsidR="006D2E8A" w:rsidRPr="00C64B4C">
        <w:rPr>
          <w:rFonts w:eastAsiaTheme="minorHAnsi"/>
          <w:noProof/>
          <w:sz w:val="24"/>
          <w:szCs w:val="24"/>
        </w:rPr>
        <w:t>in a harmonised way</w:t>
      </w:r>
      <w:r w:rsidR="004323B1" w:rsidRPr="00C64B4C">
        <w:rPr>
          <w:rFonts w:eastAsiaTheme="minorHAnsi"/>
          <w:noProof/>
          <w:sz w:val="24"/>
          <w:szCs w:val="24"/>
        </w:rPr>
        <w:t xml:space="preserve">. </w:t>
      </w:r>
      <w:r w:rsidR="000F0FB8" w:rsidRPr="00C64B4C">
        <w:rPr>
          <w:rFonts w:eastAsiaTheme="minorHAnsi"/>
          <w:noProof/>
          <w:sz w:val="24"/>
          <w:szCs w:val="24"/>
        </w:rPr>
        <w:t>Instead, s</w:t>
      </w:r>
      <w:r w:rsidR="004323B1" w:rsidRPr="00C64B4C">
        <w:rPr>
          <w:rFonts w:eastAsiaTheme="minorHAnsi"/>
          <w:noProof/>
          <w:sz w:val="24"/>
          <w:szCs w:val="24"/>
        </w:rPr>
        <w:t xml:space="preserve">ome respondents </w:t>
      </w:r>
      <w:r w:rsidR="004419BB" w:rsidRPr="00C64B4C">
        <w:rPr>
          <w:rFonts w:eastAsiaTheme="minorHAnsi"/>
          <w:noProof/>
          <w:sz w:val="24"/>
          <w:szCs w:val="24"/>
        </w:rPr>
        <w:t xml:space="preserve">said </w:t>
      </w:r>
      <w:r w:rsidR="004323B1" w:rsidRPr="00C64B4C">
        <w:rPr>
          <w:rFonts w:eastAsiaTheme="minorHAnsi"/>
          <w:noProof/>
          <w:sz w:val="24"/>
          <w:szCs w:val="24"/>
        </w:rPr>
        <w:t xml:space="preserve">that the ESAs should be able </w:t>
      </w:r>
      <w:r w:rsidR="0016066D" w:rsidRPr="00C64B4C">
        <w:rPr>
          <w:rFonts w:eastAsiaTheme="minorHAnsi"/>
          <w:noProof/>
          <w:sz w:val="24"/>
          <w:szCs w:val="24"/>
        </w:rPr>
        <w:t xml:space="preserve">to take a decision </w:t>
      </w:r>
      <w:r w:rsidR="000D0847" w:rsidRPr="00C64B4C">
        <w:rPr>
          <w:rFonts w:eastAsiaTheme="minorHAnsi"/>
          <w:noProof/>
          <w:sz w:val="24"/>
          <w:szCs w:val="24"/>
        </w:rPr>
        <w:t xml:space="preserve">compelling competent authorities </w:t>
      </w:r>
      <w:r w:rsidR="004419BB" w:rsidRPr="00C64B4C">
        <w:rPr>
          <w:rFonts w:eastAsiaTheme="minorHAnsi"/>
          <w:noProof/>
          <w:sz w:val="24"/>
          <w:szCs w:val="24"/>
        </w:rPr>
        <w:t xml:space="preserve">to disapply – or </w:t>
      </w:r>
      <w:r w:rsidR="004323B1" w:rsidRPr="00C64B4C">
        <w:rPr>
          <w:rFonts w:eastAsiaTheme="minorHAnsi"/>
          <w:noProof/>
          <w:sz w:val="24"/>
          <w:szCs w:val="24"/>
        </w:rPr>
        <w:t xml:space="preserve">not enforce </w:t>
      </w:r>
      <w:r w:rsidR="004419BB" w:rsidRPr="00C64B4C">
        <w:rPr>
          <w:rFonts w:eastAsiaTheme="minorHAnsi"/>
          <w:noProof/>
          <w:sz w:val="24"/>
          <w:szCs w:val="24"/>
        </w:rPr>
        <w:t>–</w:t>
      </w:r>
      <w:r w:rsidR="00DE4345" w:rsidRPr="00C64B4C">
        <w:rPr>
          <w:rFonts w:eastAsiaTheme="minorHAnsi"/>
          <w:noProof/>
          <w:sz w:val="24"/>
          <w:szCs w:val="24"/>
        </w:rPr>
        <w:t xml:space="preserve"> </w:t>
      </w:r>
      <w:r w:rsidR="004323B1" w:rsidRPr="00C64B4C">
        <w:rPr>
          <w:rFonts w:eastAsiaTheme="minorHAnsi"/>
          <w:noProof/>
          <w:sz w:val="24"/>
          <w:szCs w:val="24"/>
        </w:rPr>
        <w:t xml:space="preserve">a provision of </w:t>
      </w:r>
      <w:r w:rsidR="004419BB" w:rsidRPr="00C64B4C">
        <w:rPr>
          <w:rFonts w:eastAsiaTheme="minorHAnsi"/>
          <w:noProof/>
          <w:sz w:val="24"/>
          <w:szCs w:val="24"/>
        </w:rPr>
        <w:t>U</w:t>
      </w:r>
      <w:r w:rsidR="00D76BB4" w:rsidRPr="00C64B4C">
        <w:rPr>
          <w:rFonts w:eastAsiaTheme="minorHAnsi"/>
          <w:noProof/>
          <w:sz w:val="24"/>
          <w:szCs w:val="24"/>
        </w:rPr>
        <w:t>nion</w:t>
      </w:r>
      <w:r w:rsidR="004419BB" w:rsidRPr="00C64B4C">
        <w:rPr>
          <w:rFonts w:eastAsiaTheme="minorHAnsi"/>
          <w:noProof/>
          <w:sz w:val="24"/>
          <w:szCs w:val="24"/>
        </w:rPr>
        <w:t xml:space="preserve"> </w:t>
      </w:r>
      <w:r w:rsidR="004323B1" w:rsidRPr="00C64B4C">
        <w:rPr>
          <w:rFonts w:eastAsiaTheme="minorHAnsi"/>
          <w:noProof/>
          <w:sz w:val="24"/>
          <w:szCs w:val="24"/>
        </w:rPr>
        <w:t>law in some circumstances.</w:t>
      </w:r>
      <w:r w:rsidR="004048CE" w:rsidRPr="00C64B4C">
        <w:rPr>
          <w:rFonts w:eastAsiaTheme="minorHAnsi"/>
          <w:noProof/>
          <w:sz w:val="24"/>
          <w:szCs w:val="24"/>
        </w:rPr>
        <w:t xml:space="preserve"> </w:t>
      </w:r>
      <w:r w:rsidR="004419BB" w:rsidRPr="00C64B4C">
        <w:rPr>
          <w:rFonts w:eastAsiaTheme="minorHAnsi"/>
          <w:noProof/>
          <w:sz w:val="24"/>
          <w:szCs w:val="24"/>
        </w:rPr>
        <w:t>Nevertheless, r</w:t>
      </w:r>
      <w:r w:rsidR="00BB70AB" w:rsidRPr="00C64B4C">
        <w:rPr>
          <w:rFonts w:eastAsiaTheme="minorHAnsi"/>
          <w:noProof/>
          <w:sz w:val="24"/>
          <w:szCs w:val="24"/>
        </w:rPr>
        <w:t xml:space="preserve">espondents </w:t>
      </w:r>
      <w:r w:rsidR="00CF113F" w:rsidRPr="00C64B4C">
        <w:rPr>
          <w:rFonts w:eastAsiaTheme="minorHAnsi"/>
          <w:noProof/>
          <w:sz w:val="24"/>
          <w:szCs w:val="24"/>
        </w:rPr>
        <w:t>recognised that</w:t>
      </w:r>
      <w:r w:rsidR="004419BB" w:rsidRPr="00C64B4C">
        <w:rPr>
          <w:rFonts w:eastAsiaTheme="minorHAnsi"/>
          <w:noProof/>
          <w:sz w:val="24"/>
          <w:szCs w:val="24"/>
        </w:rPr>
        <w:t>,</w:t>
      </w:r>
      <w:r w:rsidR="00BB70AB" w:rsidRPr="00C64B4C">
        <w:rPr>
          <w:rFonts w:eastAsiaTheme="minorHAnsi"/>
          <w:noProof/>
          <w:sz w:val="24"/>
          <w:szCs w:val="24"/>
        </w:rPr>
        <w:t xml:space="preserve"> </w:t>
      </w:r>
      <w:r w:rsidR="00BC7B8C" w:rsidRPr="00C64B4C">
        <w:rPr>
          <w:rFonts w:eastAsiaTheme="minorHAnsi"/>
          <w:noProof/>
          <w:sz w:val="24"/>
          <w:szCs w:val="24"/>
        </w:rPr>
        <w:t>in instances where the conditions of no</w:t>
      </w:r>
      <w:r w:rsidR="00DE4345" w:rsidRPr="00C64B4C">
        <w:rPr>
          <w:rFonts w:eastAsiaTheme="minorHAnsi"/>
          <w:noProof/>
          <w:sz w:val="24"/>
          <w:szCs w:val="24"/>
        </w:rPr>
        <w:t>-</w:t>
      </w:r>
      <w:r w:rsidR="00BC7B8C" w:rsidRPr="00C64B4C">
        <w:rPr>
          <w:rFonts w:eastAsiaTheme="minorHAnsi"/>
          <w:noProof/>
          <w:sz w:val="24"/>
          <w:szCs w:val="24"/>
        </w:rPr>
        <w:t xml:space="preserve">action letters were not met, similar </w:t>
      </w:r>
      <w:r w:rsidR="00BB70AB" w:rsidRPr="00C64B4C">
        <w:rPr>
          <w:rFonts w:eastAsiaTheme="minorHAnsi"/>
          <w:noProof/>
          <w:sz w:val="24"/>
          <w:szCs w:val="24"/>
        </w:rPr>
        <w:t>outcomes have been achieved with other tools such as deprioritisation statements</w:t>
      </w:r>
      <w:r w:rsidR="00312003" w:rsidRPr="00C64B4C">
        <w:rPr>
          <w:rStyle w:val="FootnoteReference"/>
          <w:rFonts w:eastAsiaTheme="minorHAnsi"/>
          <w:noProof/>
          <w:sz w:val="24"/>
          <w:szCs w:val="24"/>
        </w:rPr>
        <w:footnoteReference w:id="13"/>
      </w:r>
      <w:r w:rsidR="0066373E" w:rsidRPr="00C64B4C">
        <w:rPr>
          <w:rFonts w:eastAsiaTheme="minorHAnsi"/>
          <w:noProof/>
          <w:sz w:val="24"/>
          <w:szCs w:val="24"/>
        </w:rPr>
        <w:t>,</w:t>
      </w:r>
      <w:r w:rsidR="004048CE" w:rsidRPr="00C64B4C">
        <w:rPr>
          <w:rFonts w:eastAsiaTheme="minorHAnsi"/>
          <w:noProof/>
          <w:sz w:val="24"/>
          <w:szCs w:val="24"/>
        </w:rPr>
        <w:t xml:space="preserve"> </w:t>
      </w:r>
      <w:r w:rsidR="00D04EE4" w:rsidRPr="00C64B4C">
        <w:rPr>
          <w:rFonts w:eastAsiaTheme="minorHAnsi"/>
          <w:noProof/>
          <w:sz w:val="24"/>
          <w:szCs w:val="24"/>
        </w:rPr>
        <w:t xml:space="preserve">which </w:t>
      </w:r>
      <w:r w:rsidR="00BB70AB" w:rsidRPr="00C64B4C">
        <w:rPr>
          <w:rFonts w:eastAsiaTheme="minorHAnsi"/>
          <w:noProof/>
          <w:sz w:val="24"/>
          <w:szCs w:val="24"/>
        </w:rPr>
        <w:t>invit</w:t>
      </w:r>
      <w:r w:rsidR="00D04EE4" w:rsidRPr="00C64B4C">
        <w:rPr>
          <w:rFonts w:eastAsiaTheme="minorHAnsi"/>
          <w:noProof/>
          <w:sz w:val="24"/>
          <w:szCs w:val="24"/>
        </w:rPr>
        <w:t>e</w:t>
      </w:r>
      <w:r w:rsidR="00BB70AB" w:rsidRPr="00C64B4C">
        <w:rPr>
          <w:rFonts w:eastAsiaTheme="minorHAnsi"/>
          <w:noProof/>
          <w:sz w:val="24"/>
          <w:szCs w:val="24"/>
        </w:rPr>
        <w:t xml:space="preserve"> </w:t>
      </w:r>
      <w:r w:rsidR="00B10498">
        <w:rPr>
          <w:rFonts w:eastAsiaTheme="minorHAnsi"/>
          <w:noProof/>
          <w:sz w:val="24"/>
          <w:szCs w:val="24"/>
        </w:rPr>
        <w:t>N</w:t>
      </w:r>
      <w:r w:rsidR="00FF6D45" w:rsidRPr="00C64B4C">
        <w:rPr>
          <w:rFonts w:eastAsiaTheme="minorHAnsi"/>
          <w:noProof/>
          <w:sz w:val="24"/>
          <w:szCs w:val="24"/>
        </w:rPr>
        <w:t xml:space="preserve">ational </w:t>
      </w:r>
      <w:r w:rsidR="00B10498">
        <w:rPr>
          <w:rFonts w:eastAsiaTheme="minorHAnsi"/>
          <w:noProof/>
          <w:sz w:val="24"/>
          <w:szCs w:val="24"/>
        </w:rPr>
        <w:t>C</w:t>
      </w:r>
      <w:r w:rsidR="00FF6D45" w:rsidRPr="00C64B4C">
        <w:rPr>
          <w:rFonts w:eastAsiaTheme="minorHAnsi"/>
          <w:noProof/>
          <w:sz w:val="24"/>
          <w:szCs w:val="24"/>
        </w:rPr>
        <w:t xml:space="preserve">ompetent </w:t>
      </w:r>
      <w:r w:rsidR="00B10498">
        <w:rPr>
          <w:rFonts w:eastAsiaTheme="minorHAnsi"/>
          <w:noProof/>
          <w:sz w:val="24"/>
          <w:szCs w:val="24"/>
        </w:rPr>
        <w:t>A</w:t>
      </w:r>
      <w:r w:rsidR="004048CE" w:rsidRPr="00C64B4C">
        <w:rPr>
          <w:rFonts w:eastAsiaTheme="minorHAnsi"/>
          <w:noProof/>
          <w:sz w:val="24"/>
          <w:szCs w:val="24"/>
        </w:rPr>
        <w:t>uthorities</w:t>
      </w:r>
      <w:r w:rsidR="00FF6D45" w:rsidRPr="00C64B4C">
        <w:rPr>
          <w:rFonts w:eastAsiaTheme="minorHAnsi"/>
          <w:noProof/>
          <w:sz w:val="24"/>
          <w:szCs w:val="24"/>
        </w:rPr>
        <w:t xml:space="preserve"> not </w:t>
      </w:r>
      <w:r w:rsidR="00BB70AB" w:rsidRPr="00C64B4C">
        <w:rPr>
          <w:rFonts w:eastAsiaTheme="minorHAnsi"/>
          <w:noProof/>
          <w:sz w:val="24"/>
          <w:szCs w:val="24"/>
        </w:rPr>
        <w:t xml:space="preserve">to </w:t>
      </w:r>
      <w:r w:rsidR="00FF6D45" w:rsidRPr="00C64B4C">
        <w:rPr>
          <w:rFonts w:eastAsiaTheme="minorHAnsi"/>
          <w:noProof/>
          <w:sz w:val="24"/>
          <w:szCs w:val="24"/>
        </w:rPr>
        <w:t xml:space="preserve">prioritise actions </w:t>
      </w:r>
      <w:r w:rsidR="00BB70AB" w:rsidRPr="00C64B4C">
        <w:rPr>
          <w:rFonts w:eastAsiaTheme="minorHAnsi"/>
          <w:noProof/>
          <w:sz w:val="24"/>
          <w:szCs w:val="24"/>
        </w:rPr>
        <w:t>in relation to a given requirement.</w:t>
      </w:r>
      <w:r w:rsidR="000E387D" w:rsidRPr="00C64B4C">
        <w:rPr>
          <w:rFonts w:eastAsiaTheme="minorHAnsi"/>
          <w:noProof/>
          <w:sz w:val="24"/>
          <w:szCs w:val="24"/>
        </w:rPr>
        <w:t xml:space="preserve"> </w:t>
      </w:r>
    </w:p>
    <w:p w14:paraId="1B729689" w14:textId="77777777" w:rsidR="009A01F1" w:rsidRPr="00C64B4C" w:rsidRDefault="009A01F1" w:rsidP="00901A5C">
      <w:pPr>
        <w:jc w:val="both"/>
        <w:rPr>
          <w:rFonts w:eastAsiaTheme="minorHAnsi"/>
          <w:noProof/>
          <w:sz w:val="24"/>
          <w:szCs w:val="24"/>
        </w:rPr>
      </w:pPr>
    </w:p>
    <w:p w14:paraId="1605CC6E" w14:textId="77777777" w:rsidR="001D3248" w:rsidRPr="00C64B4C" w:rsidRDefault="00123BC8" w:rsidP="00901A5C">
      <w:pPr>
        <w:jc w:val="both"/>
        <w:rPr>
          <w:rFonts w:eastAsiaTheme="minorHAnsi"/>
          <w:noProof/>
          <w:sz w:val="24"/>
          <w:szCs w:val="24"/>
          <w:u w:val="single"/>
        </w:rPr>
      </w:pPr>
      <w:r w:rsidRPr="00C64B4C">
        <w:rPr>
          <w:rFonts w:eastAsiaTheme="minorHAnsi"/>
          <w:noProof/>
          <w:sz w:val="24"/>
          <w:szCs w:val="24"/>
          <w:u w:val="single"/>
        </w:rPr>
        <w:t>Assessment</w:t>
      </w:r>
      <w:r w:rsidR="00543E06" w:rsidRPr="00C64B4C">
        <w:rPr>
          <w:rFonts w:eastAsiaTheme="minorHAnsi"/>
          <w:noProof/>
          <w:sz w:val="24"/>
          <w:szCs w:val="24"/>
          <w:u w:val="single"/>
        </w:rPr>
        <w:t xml:space="preserve"> of the Commission</w:t>
      </w:r>
    </w:p>
    <w:p w14:paraId="77805673" w14:textId="77777777" w:rsidR="00817B9B" w:rsidRPr="00C64B4C" w:rsidRDefault="00817B9B" w:rsidP="00901A5C">
      <w:pPr>
        <w:jc w:val="both"/>
        <w:rPr>
          <w:rFonts w:eastAsiaTheme="minorHAnsi"/>
          <w:noProof/>
          <w:sz w:val="24"/>
          <w:szCs w:val="24"/>
        </w:rPr>
      </w:pPr>
    </w:p>
    <w:p w14:paraId="1181665A" w14:textId="77777777" w:rsidR="00860659" w:rsidRPr="00C64B4C" w:rsidRDefault="00860659" w:rsidP="00901A5C">
      <w:pPr>
        <w:jc w:val="both"/>
        <w:rPr>
          <w:rFonts w:eastAsiaTheme="minorHAnsi"/>
          <w:noProof/>
          <w:sz w:val="24"/>
          <w:szCs w:val="24"/>
        </w:rPr>
      </w:pPr>
      <w:r w:rsidRPr="00C64B4C">
        <w:rPr>
          <w:rFonts w:eastAsiaTheme="minorHAnsi"/>
          <w:noProof/>
          <w:sz w:val="24"/>
          <w:szCs w:val="24"/>
        </w:rPr>
        <w:t xml:space="preserve">The ESAs have made an important contribution to improving supervisory convergence through the use of their toolkit. Guidelines, recommendations, </w:t>
      </w:r>
      <w:r w:rsidR="00857EE5" w:rsidRPr="00C64B4C">
        <w:rPr>
          <w:rFonts w:eastAsiaTheme="minorHAnsi"/>
          <w:noProof/>
          <w:sz w:val="24"/>
          <w:szCs w:val="24"/>
        </w:rPr>
        <w:t xml:space="preserve">and </w:t>
      </w:r>
      <w:r w:rsidRPr="00C64B4C">
        <w:rPr>
          <w:rFonts w:eastAsiaTheme="minorHAnsi"/>
          <w:noProof/>
          <w:sz w:val="24"/>
          <w:szCs w:val="24"/>
        </w:rPr>
        <w:t>Q&amp;As have proven particularly effective in spelling out the</w:t>
      </w:r>
      <w:r w:rsidR="003840CA" w:rsidRPr="00C64B4C">
        <w:rPr>
          <w:rFonts w:eastAsiaTheme="minorHAnsi"/>
          <w:noProof/>
          <w:sz w:val="24"/>
          <w:szCs w:val="24"/>
        </w:rPr>
        <w:t xml:space="preserve"> </w:t>
      </w:r>
      <w:r w:rsidRPr="00C64B4C">
        <w:rPr>
          <w:rFonts w:eastAsiaTheme="minorHAnsi"/>
          <w:noProof/>
          <w:sz w:val="24"/>
          <w:szCs w:val="24"/>
        </w:rPr>
        <w:t xml:space="preserve">single </w:t>
      </w:r>
      <w:r w:rsidR="003840CA" w:rsidRPr="00C64B4C">
        <w:rPr>
          <w:rFonts w:eastAsiaTheme="minorHAnsi"/>
          <w:noProof/>
          <w:sz w:val="24"/>
          <w:szCs w:val="24"/>
        </w:rPr>
        <w:t>set of rules</w:t>
      </w:r>
      <w:r w:rsidRPr="00C64B4C">
        <w:rPr>
          <w:rFonts w:eastAsiaTheme="minorHAnsi"/>
          <w:noProof/>
          <w:sz w:val="24"/>
          <w:szCs w:val="24"/>
        </w:rPr>
        <w:t xml:space="preserve"> </w:t>
      </w:r>
      <w:r w:rsidR="003840CA" w:rsidRPr="00C64B4C">
        <w:rPr>
          <w:rFonts w:eastAsiaTheme="minorHAnsi"/>
          <w:noProof/>
          <w:sz w:val="24"/>
          <w:szCs w:val="24"/>
        </w:rPr>
        <w:t xml:space="preserve">for financial services and markets </w:t>
      </w:r>
      <w:r w:rsidR="00775C19" w:rsidRPr="00C64B4C">
        <w:rPr>
          <w:rFonts w:eastAsiaTheme="minorHAnsi"/>
          <w:noProof/>
          <w:sz w:val="24"/>
          <w:szCs w:val="24"/>
        </w:rPr>
        <w:t>(</w:t>
      </w:r>
      <w:r w:rsidR="00857EE5" w:rsidRPr="00C64B4C">
        <w:rPr>
          <w:rFonts w:eastAsiaTheme="minorHAnsi"/>
          <w:noProof/>
          <w:sz w:val="24"/>
          <w:szCs w:val="24"/>
        </w:rPr>
        <w:t>‘</w:t>
      </w:r>
      <w:r w:rsidR="00775C19" w:rsidRPr="00C64B4C">
        <w:rPr>
          <w:rFonts w:eastAsiaTheme="minorHAnsi"/>
          <w:noProof/>
          <w:sz w:val="24"/>
          <w:szCs w:val="24"/>
        </w:rPr>
        <w:t>single rulebook</w:t>
      </w:r>
      <w:r w:rsidR="00857EE5" w:rsidRPr="00C64B4C">
        <w:rPr>
          <w:rFonts w:eastAsiaTheme="minorHAnsi"/>
          <w:noProof/>
          <w:sz w:val="24"/>
          <w:szCs w:val="24"/>
        </w:rPr>
        <w:t>’</w:t>
      </w:r>
      <w:r w:rsidR="00775C19" w:rsidRPr="00C64B4C">
        <w:rPr>
          <w:rFonts w:eastAsiaTheme="minorHAnsi"/>
          <w:noProof/>
          <w:sz w:val="24"/>
          <w:szCs w:val="24"/>
        </w:rPr>
        <w:t xml:space="preserve">) </w:t>
      </w:r>
      <w:r w:rsidRPr="00C64B4C">
        <w:rPr>
          <w:rFonts w:eastAsiaTheme="minorHAnsi"/>
          <w:noProof/>
          <w:sz w:val="24"/>
          <w:szCs w:val="24"/>
        </w:rPr>
        <w:t>and thus achieving convergent supervisory outcomes. In recent times, the ESAs have rightly started to shift the focus of their work from developing the single rulebook to achieving convergen</w:t>
      </w:r>
      <w:r w:rsidR="00857EE5" w:rsidRPr="00C64B4C">
        <w:rPr>
          <w:rFonts w:eastAsiaTheme="minorHAnsi"/>
          <w:noProof/>
          <w:sz w:val="24"/>
          <w:szCs w:val="24"/>
        </w:rPr>
        <w:t>ce in its</w:t>
      </w:r>
      <w:r w:rsidRPr="00C64B4C">
        <w:rPr>
          <w:rFonts w:eastAsiaTheme="minorHAnsi"/>
          <w:noProof/>
          <w:sz w:val="24"/>
          <w:szCs w:val="24"/>
        </w:rPr>
        <w:t xml:space="preserve"> application and supervision. The Commission welcomes a greater focus </w:t>
      </w:r>
      <w:r w:rsidR="00857EE5" w:rsidRPr="00C64B4C">
        <w:rPr>
          <w:rFonts w:eastAsiaTheme="minorHAnsi"/>
          <w:noProof/>
          <w:sz w:val="24"/>
          <w:szCs w:val="24"/>
        </w:rPr>
        <w:t xml:space="preserve">by </w:t>
      </w:r>
      <w:r w:rsidRPr="00C64B4C">
        <w:rPr>
          <w:rFonts w:eastAsiaTheme="minorHAnsi"/>
          <w:noProof/>
          <w:sz w:val="24"/>
          <w:szCs w:val="24"/>
        </w:rPr>
        <w:t xml:space="preserve">the ESAs on compliance with the rules. </w:t>
      </w:r>
      <w:r w:rsidR="000E11C7" w:rsidRPr="00C64B4C">
        <w:rPr>
          <w:rFonts w:eastAsiaTheme="minorHAnsi"/>
          <w:noProof/>
          <w:sz w:val="24"/>
          <w:szCs w:val="24"/>
        </w:rPr>
        <w:t xml:space="preserve">The risk-based approach towards supervisory convergence </w:t>
      </w:r>
      <w:r w:rsidR="00857EE5" w:rsidRPr="00C64B4C">
        <w:rPr>
          <w:rFonts w:eastAsiaTheme="minorHAnsi"/>
          <w:noProof/>
          <w:sz w:val="24"/>
          <w:szCs w:val="24"/>
        </w:rPr>
        <w:t>– whereby the ESAs</w:t>
      </w:r>
      <w:r w:rsidR="000E11C7" w:rsidRPr="00C64B4C">
        <w:rPr>
          <w:rFonts w:eastAsiaTheme="minorHAnsi"/>
          <w:noProof/>
          <w:sz w:val="24"/>
          <w:szCs w:val="24"/>
        </w:rPr>
        <w:t xml:space="preserve"> choose the topics on which the convergence work should focus on in the next 1-2 years </w:t>
      </w:r>
      <w:r w:rsidR="00857EE5" w:rsidRPr="00C64B4C">
        <w:rPr>
          <w:rFonts w:eastAsiaTheme="minorHAnsi"/>
          <w:noProof/>
          <w:sz w:val="24"/>
          <w:szCs w:val="24"/>
        </w:rPr>
        <w:t xml:space="preserve">– </w:t>
      </w:r>
      <w:r w:rsidR="000E11C7" w:rsidRPr="00C64B4C">
        <w:rPr>
          <w:rFonts w:eastAsiaTheme="minorHAnsi"/>
          <w:noProof/>
          <w:sz w:val="24"/>
          <w:szCs w:val="24"/>
        </w:rPr>
        <w:t>is also welcome</w:t>
      </w:r>
      <w:r w:rsidR="00312003" w:rsidRPr="00C64B4C">
        <w:rPr>
          <w:rStyle w:val="FootnoteReference"/>
          <w:rFonts w:eastAsiaTheme="minorHAnsi"/>
          <w:noProof/>
          <w:sz w:val="24"/>
          <w:szCs w:val="24"/>
        </w:rPr>
        <w:footnoteReference w:id="14"/>
      </w:r>
      <w:r w:rsidR="000E11C7" w:rsidRPr="00C64B4C">
        <w:rPr>
          <w:rFonts w:eastAsiaTheme="minorHAnsi"/>
          <w:noProof/>
          <w:sz w:val="24"/>
          <w:szCs w:val="24"/>
        </w:rPr>
        <w:t xml:space="preserve">. </w:t>
      </w:r>
    </w:p>
    <w:p w14:paraId="2C4045D1" w14:textId="77777777" w:rsidR="001B6EDE" w:rsidRPr="00C64B4C" w:rsidRDefault="001B6EDE" w:rsidP="00901A5C">
      <w:pPr>
        <w:jc w:val="both"/>
        <w:rPr>
          <w:rFonts w:eastAsiaTheme="minorHAnsi"/>
          <w:noProof/>
          <w:sz w:val="24"/>
          <w:szCs w:val="24"/>
        </w:rPr>
      </w:pPr>
    </w:p>
    <w:p w14:paraId="38C32277" w14:textId="2C15B08D" w:rsidR="00860659" w:rsidRPr="00C64B4C" w:rsidRDefault="00860659" w:rsidP="00901A5C">
      <w:pPr>
        <w:jc w:val="both"/>
        <w:rPr>
          <w:rFonts w:eastAsiaTheme="minorHAnsi"/>
          <w:noProof/>
          <w:sz w:val="24"/>
          <w:szCs w:val="24"/>
        </w:rPr>
      </w:pPr>
      <w:r w:rsidRPr="00C64B4C">
        <w:rPr>
          <w:rFonts w:eastAsiaTheme="minorHAnsi"/>
          <w:noProof/>
          <w:sz w:val="24"/>
          <w:szCs w:val="24"/>
        </w:rPr>
        <w:t xml:space="preserve">Overall, the tools </w:t>
      </w:r>
      <w:r w:rsidR="00857EE5" w:rsidRPr="00C64B4C">
        <w:rPr>
          <w:rFonts w:eastAsiaTheme="minorHAnsi"/>
          <w:noProof/>
          <w:sz w:val="24"/>
          <w:szCs w:val="24"/>
        </w:rPr>
        <w:t>available to the ESAs</w:t>
      </w:r>
      <w:r w:rsidR="009F6957" w:rsidRPr="00C64B4C">
        <w:rPr>
          <w:rFonts w:eastAsiaTheme="minorHAnsi"/>
          <w:noProof/>
          <w:sz w:val="24"/>
          <w:szCs w:val="24"/>
        </w:rPr>
        <w:t>,</w:t>
      </w:r>
      <w:r w:rsidRPr="00C64B4C">
        <w:rPr>
          <w:rFonts w:eastAsiaTheme="minorHAnsi"/>
          <w:noProof/>
          <w:sz w:val="24"/>
          <w:szCs w:val="24"/>
        </w:rPr>
        <w:t xml:space="preserve"> as </w:t>
      </w:r>
      <w:r w:rsidR="00857EE5" w:rsidRPr="00C64B4C">
        <w:rPr>
          <w:rFonts w:eastAsiaTheme="minorHAnsi"/>
          <w:noProof/>
          <w:sz w:val="24"/>
          <w:szCs w:val="24"/>
        </w:rPr>
        <w:t xml:space="preserve">improved </w:t>
      </w:r>
      <w:r w:rsidRPr="00C64B4C">
        <w:rPr>
          <w:rFonts w:eastAsiaTheme="minorHAnsi"/>
          <w:noProof/>
          <w:sz w:val="24"/>
          <w:szCs w:val="24"/>
        </w:rPr>
        <w:t>by the 2019 ESA review</w:t>
      </w:r>
      <w:r w:rsidR="009F6957" w:rsidRPr="00C64B4C">
        <w:rPr>
          <w:rFonts w:eastAsiaTheme="minorHAnsi"/>
          <w:noProof/>
          <w:sz w:val="24"/>
          <w:szCs w:val="24"/>
        </w:rPr>
        <w:t>,</w:t>
      </w:r>
      <w:r w:rsidRPr="00C64B4C">
        <w:rPr>
          <w:rFonts w:eastAsiaTheme="minorHAnsi"/>
          <w:noProof/>
          <w:sz w:val="24"/>
          <w:szCs w:val="24"/>
        </w:rPr>
        <w:t xml:space="preserve"> seem to be fit for purpose. Despite the recent nature of the changes </w:t>
      </w:r>
      <w:r w:rsidR="003840CA" w:rsidRPr="00C64B4C">
        <w:rPr>
          <w:rFonts w:eastAsiaTheme="minorHAnsi"/>
          <w:noProof/>
          <w:sz w:val="24"/>
          <w:szCs w:val="24"/>
        </w:rPr>
        <w:t xml:space="preserve">that started to apply </w:t>
      </w:r>
      <w:r w:rsidRPr="00C64B4C">
        <w:rPr>
          <w:rFonts w:eastAsiaTheme="minorHAnsi"/>
          <w:noProof/>
          <w:sz w:val="24"/>
          <w:szCs w:val="24"/>
        </w:rPr>
        <w:t xml:space="preserve">in 2020, it is </w:t>
      </w:r>
      <w:r w:rsidR="00857EE5" w:rsidRPr="00C64B4C">
        <w:rPr>
          <w:rFonts w:eastAsiaTheme="minorHAnsi"/>
          <w:noProof/>
          <w:sz w:val="24"/>
          <w:szCs w:val="24"/>
        </w:rPr>
        <w:t xml:space="preserve">already </w:t>
      </w:r>
      <w:r w:rsidRPr="00C64B4C">
        <w:rPr>
          <w:rFonts w:eastAsiaTheme="minorHAnsi"/>
          <w:noProof/>
          <w:sz w:val="24"/>
          <w:szCs w:val="24"/>
        </w:rPr>
        <w:t xml:space="preserve">possible to see </w:t>
      </w:r>
      <w:r w:rsidR="009F6957" w:rsidRPr="00C64B4C">
        <w:rPr>
          <w:rFonts w:eastAsiaTheme="minorHAnsi"/>
          <w:noProof/>
          <w:sz w:val="24"/>
          <w:szCs w:val="24"/>
        </w:rPr>
        <w:t xml:space="preserve">a </w:t>
      </w:r>
      <w:r w:rsidRPr="00C64B4C">
        <w:rPr>
          <w:rFonts w:eastAsiaTheme="minorHAnsi"/>
          <w:noProof/>
          <w:sz w:val="24"/>
          <w:szCs w:val="24"/>
        </w:rPr>
        <w:t>certain positive impact in this area. For example, the new peer</w:t>
      </w:r>
      <w:r w:rsidR="00857EE5" w:rsidRPr="00C64B4C">
        <w:rPr>
          <w:rFonts w:eastAsiaTheme="minorHAnsi"/>
          <w:noProof/>
          <w:sz w:val="24"/>
          <w:szCs w:val="24"/>
        </w:rPr>
        <w:t>-</w:t>
      </w:r>
      <w:r w:rsidRPr="00C64B4C">
        <w:rPr>
          <w:rFonts w:eastAsiaTheme="minorHAnsi"/>
          <w:noProof/>
          <w:sz w:val="24"/>
          <w:szCs w:val="24"/>
        </w:rPr>
        <w:t>review process proved to be an effective ad-hoc investigation tool during its first use in the Wirecard case</w:t>
      </w:r>
      <w:r w:rsidR="00312003" w:rsidRPr="00C64B4C">
        <w:rPr>
          <w:rStyle w:val="FootnoteReference"/>
          <w:rFonts w:eastAsiaTheme="minorHAnsi"/>
          <w:noProof/>
          <w:sz w:val="24"/>
          <w:szCs w:val="24"/>
        </w:rPr>
        <w:footnoteReference w:id="15"/>
      </w:r>
      <w:r w:rsidRPr="00C64B4C">
        <w:rPr>
          <w:rFonts w:eastAsiaTheme="minorHAnsi"/>
          <w:noProof/>
          <w:sz w:val="24"/>
          <w:szCs w:val="24"/>
        </w:rPr>
        <w:t xml:space="preserve">. However, the Commission considers that there may have been other instances apart from the above case where an ad-hoc peer review would have been warranted. </w:t>
      </w:r>
      <w:r w:rsidR="009517C7">
        <w:rPr>
          <w:rFonts w:eastAsiaTheme="minorHAnsi"/>
          <w:noProof/>
          <w:sz w:val="24"/>
          <w:szCs w:val="24"/>
        </w:rPr>
        <w:t>Moreover, s</w:t>
      </w:r>
      <w:r w:rsidRPr="00C64B4C">
        <w:rPr>
          <w:rFonts w:eastAsiaTheme="minorHAnsi"/>
          <w:noProof/>
          <w:sz w:val="24"/>
          <w:szCs w:val="24"/>
        </w:rPr>
        <w:t xml:space="preserve">ince peer reviews are resource intensive, the ESAs should carefully assess which topics </w:t>
      </w:r>
      <w:r w:rsidR="00857EE5" w:rsidRPr="00C64B4C">
        <w:rPr>
          <w:rFonts w:eastAsiaTheme="minorHAnsi"/>
          <w:noProof/>
          <w:sz w:val="24"/>
          <w:szCs w:val="24"/>
        </w:rPr>
        <w:t xml:space="preserve">most </w:t>
      </w:r>
      <w:r w:rsidRPr="00C64B4C">
        <w:rPr>
          <w:rFonts w:eastAsiaTheme="minorHAnsi"/>
          <w:noProof/>
          <w:sz w:val="24"/>
          <w:szCs w:val="24"/>
        </w:rPr>
        <w:t>merit a peer review</w:t>
      </w:r>
      <w:r w:rsidR="00857EE5" w:rsidRPr="00C64B4C">
        <w:rPr>
          <w:rFonts w:eastAsiaTheme="minorHAnsi"/>
          <w:noProof/>
          <w:sz w:val="24"/>
          <w:szCs w:val="24"/>
        </w:rPr>
        <w:t>. For example, they could</w:t>
      </w:r>
      <w:r w:rsidRPr="00C64B4C">
        <w:rPr>
          <w:rFonts w:eastAsiaTheme="minorHAnsi"/>
          <w:noProof/>
          <w:sz w:val="24"/>
          <w:szCs w:val="24"/>
        </w:rPr>
        <w:t xml:space="preserve"> </w:t>
      </w:r>
      <w:r w:rsidR="00857EE5" w:rsidRPr="00C64B4C">
        <w:rPr>
          <w:rFonts w:eastAsiaTheme="minorHAnsi"/>
          <w:noProof/>
          <w:sz w:val="24"/>
          <w:szCs w:val="24"/>
        </w:rPr>
        <w:t xml:space="preserve">base their decision </w:t>
      </w:r>
      <w:r w:rsidRPr="00C64B4C">
        <w:rPr>
          <w:rFonts w:eastAsiaTheme="minorHAnsi"/>
          <w:noProof/>
          <w:sz w:val="24"/>
          <w:szCs w:val="24"/>
        </w:rPr>
        <w:t xml:space="preserve">on </w:t>
      </w:r>
      <w:r w:rsidR="009F6957" w:rsidRPr="00C64B4C">
        <w:rPr>
          <w:rFonts w:eastAsiaTheme="minorHAnsi"/>
          <w:noProof/>
          <w:sz w:val="24"/>
          <w:szCs w:val="24"/>
        </w:rPr>
        <w:t xml:space="preserve">an </w:t>
      </w:r>
      <w:r w:rsidRPr="00C64B4C">
        <w:rPr>
          <w:rFonts w:eastAsiaTheme="minorHAnsi"/>
          <w:noProof/>
          <w:sz w:val="24"/>
          <w:szCs w:val="24"/>
        </w:rPr>
        <w:t xml:space="preserve">initial assessment </w:t>
      </w:r>
      <w:r w:rsidR="009F6957" w:rsidRPr="00C64B4C">
        <w:rPr>
          <w:rFonts w:eastAsiaTheme="minorHAnsi"/>
          <w:noProof/>
          <w:sz w:val="24"/>
          <w:szCs w:val="24"/>
        </w:rPr>
        <w:t xml:space="preserve">of </w:t>
      </w:r>
      <w:r w:rsidRPr="00C64B4C">
        <w:rPr>
          <w:rFonts w:eastAsiaTheme="minorHAnsi"/>
          <w:noProof/>
          <w:sz w:val="24"/>
          <w:szCs w:val="24"/>
        </w:rPr>
        <w:t xml:space="preserve">where the negative impact of supervisory divergence is the </w:t>
      </w:r>
      <w:r w:rsidR="00D04EE4" w:rsidRPr="00C64B4C">
        <w:rPr>
          <w:rFonts w:eastAsiaTheme="minorHAnsi"/>
          <w:noProof/>
          <w:sz w:val="24"/>
          <w:szCs w:val="24"/>
        </w:rPr>
        <w:t>greatest</w:t>
      </w:r>
      <w:r w:rsidRPr="00C64B4C">
        <w:rPr>
          <w:rFonts w:eastAsiaTheme="minorHAnsi"/>
          <w:noProof/>
          <w:sz w:val="24"/>
          <w:szCs w:val="24"/>
        </w:rPr>
        <w:t xml:space="preserve">. </w:t>
      </w:r>
    </w:p>
    <w:p w14:paraId="310E0A45" w14:textId="77777777" w:rsidR="005C5B08" w:rsidRPr="00C64B4C" w:rsidRDefault="005C5B08" w:rsidP="00901A5C">
      <w:pPr>
        <w:jc w:val="both"/>
        <w:rPr>
          <w:rFonts w:eastAsiaTheme="minorHAnsi"/>
          <w:noProof/>
          <w:sz w:val="24"/>
          <w:szCs w:val="24"/>
        </w:rPr>
      </w:pPr>
    </w:p>
    <w:p w14:paraId="02ACC725" w14:textId="77777777" w:rsidR="00860659" w:rsidRPr="00C64B4C" w:rsidRDefault="00860659" w:rsidP="00901A5C">
      <w:pPr>
        <w:jc w:val="both"/>
        <w:rPr>
          <w:rFonts w:eastAsiaTheme="minorHAnsi"/>
          <w:noProof/>
          <w:sz w:val="24"/>
          <w:szCs w:val="24"/>
        </w:rPr>
      </w:pPr>
      <w:r w:rsidRPr="00C64B4C">
        <w:rPr>
          <w:rFonts w:eastAsiaTheme="minorHAnsi"/>
          <w:noProof/>
          <w:sz w:val="24"/>
          <w:szCs w:val="24"/>
        </w:rPr>
        <w:t>The Commission agrees that informal tools</w:t>
      </w:r>
      <w:r w:rsidR="00312003" w:rsidRPr="00C64B4C">
        <w:rPr>
          <w:rStyle w:val="FootnoteReference"/>
          <w:rFonts w:eastAsiaTheme="minorHAnsi"/>
          <w:noProof/>
          <w:sz w:val="24"/>
          <w:szCs w:val="24"/>
        </w:rPr>
        <w:footnoteReference w:id="16"/>
      </w:r>
      <w:r w:rsidR="009F6957" w:rsidRPr="00C64B4C">
        <w:rPr>
          <w:rFonts w:eastAsiaTheme="minorHAnsi"/>
          <w:noProof/>
          <w:sz w:val="24"/>
          <w:szCs w:val="24"/>
        </w:rPr>
        <w:t>,</w:t>
      </w:r>
      <w:r w:rsidRPr="00C64B4C">
        <w:rPr>
          <w:rFonts w:eastAsiaTheme="minorHAnsi"/>
          <w:noProof/>
          <w:sz w:val="24"/>
          <w:szCs w:val="24"/>
        </w:rPr>
        <w:t xml:space="preserve"> which the ESAs have developed</w:t>
      </w:r>
      <w:r w:rsidR="009F6957" w:rsidRPr="00C64B4C">
        <w:rPr>
          <w:rFonts w:eastAsiaTheme="minorHAnsi"/>
          <w:noProof/>
          <w:sz w:val="24"/>
          <w:szCs w:val="24"/>
        </w:rPr>
        <w:t>,</w:t>
      </w:r>
      <w:r w:rsidRPr="00C64B4C">
        <w:rPr>
          <w:rFonts w:eastAsiaTheme="minorHAnsi"/>
          <w:noProof/>
          <w:sz w:val="24"/>
          <w:szCs w:val="24"/>
        </w:rPr>
        <w:t xml:space="preserve"> can useful</w:t>
      </w:r>
      <w:r w:rsidR="00425190" w:rsidRPr="00C64B4C">
        <w:rPr>
          <w:rFonts w:eastAsiaTheme="minorHAnsi"/>
          <w:noProof/>
          <w:sz w:val="24"/>
          <w:szCs w:val="24"/>
        </w:rPr>
        <w:t xml:space="preserve">ly </w:t>
      </w:r>
      <w:r w:rsidR="008E05B2" w:rsidRPr="00C64B4C">
        <w:rPr>
          <w:rFonts w:eastAsiaTheme="minorHAnsi"/>
          <w:noProof/>
          <w:sz w:val="24"/>
          <w:szCs w:val="24"/>
        </w:rPr>
        <w:t>foster convergence</w:t>
      </w:r>
      <w:r w:rsidR="00775C19" w:rsidRPr="00C64B4C">
        <w:rPr>
          <w:rFonts w:eastAsiaTheme="minorHAnsi"/>
          <w:noProof/>
          <w:sz w:val="24"/>
          <w:szCs w:val="24"/>
        </w:rPr>
        <w:t>.</w:t>
      </w:r>
      <w:r w:rsidRPr="00C64B4C">
        <w:rPr>
          <w:rFonts w:eastAsiaTheme="minorHAnsi"/>
          <w:noProof/>
          <w:sz w:val="24"/>
          <w:szCs w:val="24"/>
        </w:rPr>
        <w:t xml:space="preserve"> An example </w:t>
      </w:r>
      <w:r w:rsidR="00857EE5" w:rsidRPr="00C64B4C">
        <w:rPr>
          <w:rFonts w:eastAsiaTheme="minorHAnsi"/>
          <w:noProof/>
          <w:sz w:val="24"/>
          <w:szCs w:val="24"/>
        </w:rPr>
        <w:t>of this can be seen in</w:t>
      </w:r>
      <w:r w:rsidR="00425190" w:rsidRPr="00C64B4C">
        <w:rPr>
          <w:rFonts w:eastAsiaTheme="minorHAnsi"/>
          <w:noProof/>
          <w:sz w:val="24"/>
          <w:szCs w:val="24"/>
        </w:rPr>
        <w:t xml:space="preserve"> the </w:t>
      </w:r>
      <w:r w:rsidRPr="00C64B4C">
        <w:rPr>
          <w:rFonts w:eastAsiaTheme="minorHAnsi"/>
          <w:noProof/>
          <w:sz w:val="24"/>
          <w:szCs w:val="24"/>
        </w:rPr>
        <w:t>common supervisory actions</w:t>
      </w:r>
      <w:r w:rsidR="000E11C7" w:rsidRPr="00C64B4C">
        <w:rPr>
          <w:rFonts w:eastAsiaTheme="minorHAnsi"/>
          <w:noProof/>
          <w:sz w:val="24"/>
          <w:szCs w:val="24"/>
        </w:rPr>
        <w:t xml:space="preserve"> </w:t>
      </w:r>
      <w:r w:rsidRPr="00C64B4C">
        <w:rPr>
          <w:rFonts w:eastAsiaTheme="minorHAnsi"/>
          <w:noProof/>
          <w:sz w:val="24"/>
          <w:szCs w:val="24"/>
        </w:rPr>
        <w:t>used by ESMA</w:t>
      </w:r>
      <w:r w:rsidR="00312003" w:rsidRPr="00C64B4C">
        <w:rPr>
          <w:rStyle w:val="FootnoteReference"/>
          <w:rFonts w:eastAsiaTheme="minorHAnsi"/>
          <w:noProof/>
          <w:sz w:val="24"/>
          <w:szCs w:val="24"/>
        </w:rPr>
        <w:footnoteReference w:id="17"/>
      </w:r>
      <w:r w:rsidRPr="00C64B4C">
        <w:rPr>
          <w:rFonts w:eastAsiaTheme="minorHAnsi"/>
          <w:noProof/>
          <w:sz w:val="24"/>
          <w:szCs w:val="24"/>
        </w:rPr>
        <w:t>.</w:t>
      </w:r>
      <w:r w:rsidR="008856B7" w:rsidRPr="00C64B4C">
        <w:rPr>
          <w:rFonts w:eastAsiaTheme="minorHAnsi"/>
          <w:noProof/>
          <w:sz w:val="24"/>
          <w:szCs w:val="24"/>
        </w:rPr>
        <w:t xml:space="preserve"> </w:t>
      </w:r>
      <w:r w:rsidRPr="00C64B4C">
        <w:rPr>
          <w:rFonts w:eastAsiaTheme="minorHAnsi"/>
          <w:noProof/>
          <w:sz w:val="24"/>
          <w:szCs w:val="24"/>
        </w:rPr>
        <w:t>The</w:t>
      </w:r>
      <w:r w:rsidR="009F6957" w:rsidRPr="00C64B4C">
        <w:rPr>
          <w:rFonts w:eastAsiaTheme="minorHAnsi"/>
          <w:noProof/>
          <w:sz w:val="24"/>
          <w:szCs w:val="24"/>
        </w:rPr>
        <w:t>se</w:t>
      </w:r>
      <w:r w:rsidRPr="00C64B4C">
        <w:rPr>
          <w:rFonts w:eastAsiaTheme="minorHAnsi"/>
          <w:noProof/>
          <w:sz w:val="24"/>
          <w:szCs w:val="24"/>
        </w:rPr>
        <w:t xml:space="preserve"> are useful for creating transparency and </w:t>
      </w:r>
      <w:r w:rsidR="00701066" w:rsidRPr="00C64B4C">
        <w:rPr>
          <w:rFonts w:eastAsiaTheme="minorHAnsi"/>
          <w:noProof/>
          <w:sz w:val="24"/>
          <w:szCs w:val="24"/>
        </w:rPr>
        <w:t xml:space="preserve">a </w:t>
      </w:r>
      <w:r w:rsidRPr="00C64B4C">
        <w:rPr>
          <w:rFonts w:eastAsiaTheme="minorHAnsi"/>
          <w:noProof/>
          <w:sz w:val="24"/>
          <w:szCs w:val="24"/>
        </w:rPr>
        <w:t>common supervisory culture</w:t>
      </w:r>
      <w:r w:rsidR="00857EE5" w:rsidRPr="00C64B4C">
        <w:rPr>
          <w:rFonts w:eastAsiaTheme="minorHAnsi"/>
          <w:noProof/>
          <w:sz w:val="24"/>
          <w:szCs w:val="24"/>
        </w:rPr>
        <w:t>. They</w:t>
      </w:r>
      <w:r w:rsidRPr="00C64B4C">
        <w:rPr>
          <w:rFonts w:eastAsiaTheme="minorHAnsi"/>
          <w:noProof/>
          <w:sz w:val="24"/>
          <w:szCs w:val="24"/>
        </w:rPr>
        <w:t xml:space="preserve"> can </w:t>
      </w:r>
      <w:r w:rsidR="00857EE5" w:rsidRPr="00C64B4C">
        <w:rPr>
          <w:rFonts w:eastAsiaTheme="minorHAnsi"/>
          <w:noProof/>
          <w:sz w:val="24"/>
          <w:szCs w:val="24"/>
        </w:rPr>
        <w:t xml:space="preserve">also </w:t>
      </w:r>
      <w:r w:rsidRPr="00C64B4C">
        <w:rPr>
          <w:rFonts w:eastAsiaTheme="minorHAnsi"/>
          <w:noProof/>
          <w:sz w:val="24"/>
          <w:szCs w:val="24"/>
        </w:rPr>
        <w:t>be effective for getting a holistic view of industry practice</w:t>
      </w:r>
      <w:r w:rsidR="00857EE5" w:rsidRPr="00C64B4C">
        <w:rPr>
          <w:rFonts w:eastAsiaTheme="minorHAnsi"/>
          <w:noProof/>
          <w:sz w:val="24"/>
          <w:szCs w:val="24"/>
        </w:rPr>
        <w:t>s</w:t>
      </w:r>
      <w:r w:rsidRPr="00C64B4C">
        <w:rPr>
          <w:rFonts w:eastAsiaTheme="minorHAnsi"/>
          <w:noProof/>
          <w:sz w:val="24"/>
          <w:szCs w:val="24"/>
        </w:rPr>
        <w:t xml:space="preserve"> and the supervision of </w:t>
      </w:r>
      <w:r w:rsidR="00857EE5" w:rsidRPr="00C64B4C">
        <w:rPr>
          <w:rFonts w:eastAsiaTheme="minorHAnsi"/>
          <w:noProof/>
          <w:sz w:val="24"/>
          <w:szCs w:val="24"/>
        </w:rPr>
        <w:t xml:space="preserve">these practices </w:t>
      </w:r>
      <w:r w:rsidRPr="00C64B4C">
        <w:rPr>
          <w:rFonts w:eastAsiaTheme="minorHAnsi"/>
          <w:noProof/>
          <w:sz w:val="24"/>
          <w:szCs w:val="24"/>
        </w:rPr>
        <w:t>across the EU. To the extent that shortcomings become apparent</w:t>
      </w:r>
      <w:r w:rsidR="00E90676" w:rsidRPr="00C64B4C">
        <w:rPr>
          <w:rFonts w:eastAsiaTheme="minorHAnsi"/>
          <w:noProof/>
          <w:sz w:val="24"/>
          <w:szCs w:val="24"/>
        </w:rPr>
        <w:t xml:space="preserve"> when those informal tools are used</w:t>
      </w:r>
      <w:r w:rsidR="00211703" w:rsidRPr="00C64B4C">
        <w:rPr>
          <w:rFonts w:eastAsiaTheme="minorHAnsi"/>
          <w:noProof/>
          <w:sz w:val="24"/>
          <w:szCs w:val="24"/>
        </w:rPr>
        <w:t xml:space="preserve">, </w:t>
      </w:r>
      <w:r w:rsidR="00E90676" w:rsidRPr="00C64B4C">
        <w:rPr>
          <w:rFonts w:eastAsiaTheme="minorHAnsi"/>
          <w:noProof/>
          <w:sz w:val="24"/>
          <w:szCs w:val="24"/>
        </w:rPr>
        <w:t xml:space="preserve">such findings </w:t>
      </w:r>
      <w:r w:rsidRPr="00C64B4C">
        <w:rPr>
          <w:rFonts w:eastAsiaTheme="minorHAnsi"/>
          <w:noProof/>
          <w:sz w:val="24"/>
          <w:szCs w:val="24"/>
        </w:rPr>
        <w:t>should ideally trigger national supervisors to intervene</w:t>
      </w:r>
      <w:r w:rsidR="000E11C7" w:rsidRPr="00C64B4C">
        <w:rPr>
          <w:rFonts w:eastAsiaTheme="minorHAnsi"/>
          <w:noProof/>
          <w:sz w:val="24"/>
          <w:szCs w:val="24"/>
        </w:rPr>
        <w:t xml:space="preserve"> and </w:t>
      </w:r>
      <w:r w:rsidR="009F6957" w:rsidRPr="00C64B4C">
        <w:rPr>
          <w:rFonts w:eastAsiaTheme="minorHAnsi"/>
          <w:noProof/>
          <w:sz w:val="24"/>
          <w:szCs w:val="24"/>
        </w:rPr>
        <w:t>take action</w:t>
      </w:r>
      <w:r w:rsidRPr="00C64B4C">
        <w:rPr>
          <w:rFonts w:eastAsiaTheme="minorHAnsi"/>
          <w:noProof/>
          <w:sz w:val="24"/>
          <w:szCs w:val="24"/>
        </w:rPr>
        <w:t>.</w:t>
      </w:r>
    </w:p>
    <w:p w14:paraId="39609442" w14:textId="77777777" w:rsidR="00860659" w:rsidRPr="00C64B4C" w:rsidRDefault="00860659" w:rsidP="00901A5C">
      <w:pPr>
        <w:jc w:val="both"/>
        <w:rPr>
          <w:rFonts w:eastAsiaTheme="minorHAnsi"/>
          <w:noProof/>
          <w:sz w:val="24"/>
          <w:szCs w:val="24"/>
        </w:rPr>
      </w:pPr>
    </w:p>
    <w:p w14:paraId="49247C33" w14:textId="77777777" w:rsidR="009C1F9A" w:rsidRPr="00C64B4C" w:rsidRDefault="00860659" w:rsidP="00901A5C">
      <w:pPr>
        <w:jc w:val="both"/>
        <w:rPr>
          <w:rFonts w:eastAsiaTheme="minorHAnsi"/>
          <w:noProof/>
          <w:sz w:val="24"/>
          <w:szCs w:val="24"/>
        </w:rPr>
      </w:pPr>
      <w:r w:rsidRPr="00C64B4C">
        <w:rPr>
          <w:rFonts w:eastAsiaTheme="minorHAnsi"/>
          <w:noProof/>
          <w:sz w:val="24"/>
          <w:szCs w:val="24"/>
        </w:rPr>
        <w:t>However, there is also room for improvement. First</w:t>
      </w:r>
      <w:r w:rsidR="00D04EE4" w:rsidRPr="00C64B4C">
        <w:rPr>
          <w:rFonts w:eastAsiaTheme="minorHAnsi"/>
          <w:noProof/>
          <w:sz w:val="24"/>
          <w:szCs w:val="24"/>
        </w:rPr>
        <w:t>ly</w:t>
      </w:r>
      <w:r w:rsidRPr="00C64B4C">
        <w:rPr>
          <w:rFonts w:eastAsiaTheme="minorHAnsi"/>
          <w:noProof/>
          <w:sz w:val="24"/>
          <w:szCs w:val="24"/>
        </w:rPr>
        <w:t xml:space="preserve">, some of the tools at hand might not be </w:t>
      </w:r>
      <w:r w:rsidR="00857EE5" w:rsidRPr="00C64B4C">
        <w:rPr>
          <w:rFonts w:eastAsiaTheme="minorHAnsi"/>
          <w:noProof/>
          <w:sz w:val="24"/>
          <w:szCs w:val="24"/>
        </w:rPr>
        <w:t xml:space="preserve">being </w:t>
      </w:r>
      <w:r w:rsidRPr="00C64B4C">
        <w:rPr>
          <w:rFonts w:eastAsiaTheme="minorHAnsi"/>
          <w:noProof/>
          <w:sz w:val="24"/>
          <w:szCs w:val="24"/>
        </w:rPr>
        <w:t xml:space="preserve">used to their fullest to tackle supervisory discrepancies. For example, the </w:t>
      </w:r>
      <w:r w:rsidR="00857EE5" w:rsidRPr="00C64B4C">
        <w:rPr>
          <w:rFonts w:eastAsiaTheme="minorHAnsi"/>
          <w:noProof/>
          <w:sz w:val="24"/>
          <w:szCs w:val="24"/>
        </w:rPr>
        <w:t xml:space="preserve">procedure for </w:t>
      </w:r>
      <w:r w:rsidRPr="00C64B4C">
        <w:rPr>
          <w:rFonts w:eastAsiaTheme="minorHAnsi"/>
          <w:noProof/>
          <w:sz w:val="24"/>
          <w:szCs w:val="24"/>
        </w:rPr>
        <w:t xml:space="preserve">breach of Union </w:t>
      </w:r>
      <w:r w:rsidR="009F6957" w:rsidRPr="00C64B4C">
        <w:rPr>
          <w:rFonts w:eastAsiaTheme="minorHAnsi"/>
          <w:noProof/>
          <w:sz w:val="24"/>
          <w:szCs w:val="24"/>
        </w:rPr>
        <w:t xml:space="preserve">law </w:t>
      </w:r>
      <w:r w:rsidRPr="00C64B4C">
        <w:rPr>
          <w:rFonts w:eastAsiaTheme="minorHAnsi"/>
          <w:noProof/>
          <w:sz w:val="24"/>
          <w:szCs w:val="24"/>
        </w:rPr>
        <w:t xml:space="preserve">has been very rarely used </w:t>
      </w:r>
      <w:r w:rsidR="00857EE5" w:rsidRPr="00C64B4C">
        <w:rPr>
          <w:rFonts w:eastAsiaTheme="minorHAnsi"/>
          <w:noProof/>
          <w:sz w:val="24"/>
          <w:szCs w:val="24"/>
        </w:rPr>
        <w:t xml:space="preserve">– </w:t>
      </w:r>
      <w:r w:rsidRPr="00C64B4C">
        <w:rPr>
          <w:rFonts w:eastAsiaTheme="minorHAnsi"/>
          <w:noProof/>
          <w:sz w:val="24"/>
          <w:szCs w:val="24"/>
        </w:rPr>
        <w:t>as pointed out in two recent ECA audits</w:t>
      </w:r>
      <w:r w:rsidR="00312003" w:rsidRPr="00C64B4C">
        <w:rPr>
          <w:rStyle w:val="FootnoteReference"/>
          <w:rFonts w:eastAsiaTheme="minorHAnsi"/>
          <w:noProof/>
          <w:sz w:val="24"/>
          <w:szCs w:val="24"/>
        </w:rPr>
        <w:footnoteReference w:id="18"/>
      </w:r>
      <w:r w:rsidRPr="00C64B4C">
        <w:rPr>
          <w:rFonts w:eastAsiaTheme="minorHAnsi"/>
          <w:noProof/>
          <w:sz w:val="24"/>
          <w:szCs w:val="24"/>
        </w:rPr>
        <w:t>. Moreover, the tools should be used across the board. For example,</w:t>
      </w:r>
      <w:r w:rsidR="00857EE5" w:rsidRPr="00C64B4C">
        <w:rPr>
          <w:rFonts w:eastAsiaTheme="minorHAnsi"/>
          <w:noProof/>
          <w:sz w:val="24"/>
          <w:szCs w:val="24"/>
        </w:rPr>
        <w:t xml:space="preserve"> and</w:t>
      </w:r>
      <w:r w:rsidRPr="00C64B4C">
        <w:rPr>
          <w:rFonts w:eastAsiaTheme="minorHAnsi"/>
          <w:noProof/>
          <w:sz w:val="24"/>
          <w:szCs w:val="24"/>
        </w:rPr>
        <w:t xml:space="preserve"> as flagged by stakeholders, </w:t>
      </w:r>
      <w:r w:rsidR="00857EE5" w:rsidRPr="00C64B4C">
        <w:rPr>
          <w:rFonts w:eastAsiaTheme="minorHAnsi"/>
          <w:noProof/>
          <w:sz w:val="24"/>
          <w:szCs w:val="24"/>
        </w:rPr>
        <w:t xml:space="preserve">more convergence would be desirable in </w:t>
      </w:r>
      <w:r w:rsidRPr="00C64B4C">
        <w:rPr>
          <w:rFonts w:eastAsiaTheme="minorHAnsi"/>
          <w:noProof/>
          <w:sz w:val="24"/>
          <w:szCs w:val="24"/>
        </w:rPr>
        <w:t>enforcement</w:t>
      </w:r>
      <w:r w:rsidR="00857EE5" w:rsidRPr="00C64B4C">
        <w:rPr>
          <w:rFonts w:eastAsiaTheme="minorHAnsi"/>
          <w:noProof/>
          <w:sz w:val="24"/>
          <w:szCs w:val="24"/>
        </w:rPr>
        <w:t xml:space="preserve"> in general</w:t>
      </w:r>
      <w:r w:rsidRPr="00C64B4C">
        <w:rPr>
          <w:rFonts w:eastAsiaTheme="minorHAnsi"/>
          <w:noProof/>
          <w:sz w:val="24"/>
          <w:szCs w:val="24"/>
        </w:rPr>
        <w:t xml:space="preserve"> and </w:t>
      </w:r>
      <w:r w:rsidR="00857EE5" w:rsidRPr="00C64B4C">
        <w:rPr>
          <w:rFonts w:eastAsiaTheme="minorHAnsi"/>
          <w:noProof/>
          <w:sz w:val="24"/>
          <w:szCs w:val="24"/>
        </w:rPr>
        <w:t xml:space="preserve">in </w:t>
      </w:r>
      <w:r w:rsidRPr="00C64B4C">
        <w:rPr>
          <w:rFonts w:eastAsiaTheme="minorHAnsi"/>
          <w:noProof/>
          <w:sz w:val="24"/>
          <w:szCs w:val="24"/>
        </w:rPr>
        <w:t>sanctions</w:t>
      </w:r>
      <w:r w:rsidR="00857EE5" w:rsidRPr="00C64B4C">
        <w:rPr>
          <w:rFonts w:eastAsiaTheme="minorHAnsi"/>
          <w:noProof/>
          <w:sz w:val="24"/>
          <w:szCs w:val="24"/>
        </w:rPr>
        <w:t xml:space="preserve"> more specifically</w:t>
      </w:r>
      <w:r w:rsidR="00312003" w:rsidRPr="00C64B4C">
        <w:rPr>
          <w:rStyle w:val="FootnoteReference"/>
          <w:rFonts w:eastAsiaTheme="minorHAnsi"/>
          <w:noProof/>
          <w:sz w:val="24"/>
          <w:szCs w:val="24"/>
        </w:rPr>
        <w:footnoteReference w:id="19"/>
      </w:r>
      <w:r w:rsidR="00857EE5" w:rsidRPr="00C64B4C">
        <w:rPr>
          <w:rFonts w:eastAsiaTheme="minorHAnsi"/>
          <w:noProof/>
          <w:sz w:val="24"/>
          <w:szCs w:val="24"/>
        </w:rPr>
        <w:t>. Nevertheless, respondents to the consultation</w:t>
      </w:r>
      <w:r w:rsidRPr="00C64B4C">
        <w:rPr>
          <w:rFonts w:eastAsiaTheme="minorHAnsi"/>
          <w:noProof/>
          <w:sz w:val="24"/>
          <w:szCs w:val="24"/>
        </w:rPr>
        <w:t xml:space="preserve"> acknowledge that </w:t>
      </w:r>
      <w:r w:rsidR="00857EE5" w:rsidRPr="00C64B4C">
        <w:rPr>
          <w:rFonts w:eastAsiaTheme="minorHAnsi"/>
          <w:noProof/>
          <w:sz w:val="24"/>
          <w:szCs w:val="24"/>
        </w:rPr>
        <w:t xml:space="preserve">there are certain limits to what is achievable in this field due to: (i) </w:t>
      </w:r>
      <w:r w:rsidR="00FA293D" w:rsidRPr="00C64B4C">
        <w:rPr>
          <w:rFonts w:eastAsiaTheme="minorHAnsi"/>
          <w:noProof/>
          <w:sz w:val="24"/>
          <w:szCs w:val="24"/>
        </w:rPr>
        <w:t>limited harmoni</w:t>
      </w:r>
      <w:r w:rsidR="00857EE5" w:rsidRPr="00C64B4C">
        <w:rPr>
          <w:rFonts w:eastAsiaTheme="minorHAnsi"/>
          <w:noProof/>
          <w:sz w:val="24"/>
          <w:szCs w:val="24"/>
        </w:rPr>
        <w:t>s</w:t>
      </w:r>
      <w:r w:rsidR="00FA293D" w:rsidRPr="00C64B4C">
        <w:rPr>
          <w:rFonts w:eastAsiaTheme="minorHAnsi"/>
          <w:noProof/>
          <w:sz w:val="24"/>
          <w:szCs w:val="24"/>
        </w:rPr>
        <w:t>ation in the area of sanctions</w:t>
      </w:r>
      <w:r w:rsidR="00857EE5" w:rsidRPr="00C64B4C">
        <w:rPr>
          <w:rFonts w:eastAsiaTheme="minorHAnsi"/>
          <w:noProof/>
          <w:sz w:val="24"/>
          <w:szCs w:val="24"/>
        </w:rPr>
        <w:t>;</w:t>
      </w:r>
      <w:r w:rsidR="00FA293D" w:rsidRPr="00C64B4C">
        <w:rPr>
          <w:rFonts w:eastAsiaTheme="minorHAnsi"/>
          <w:noProof/>
          <w:sz w:val="24"/>
          <w:szCs w:val="24"/>
        </w:rPr>
        <w:t xml:space="preserve"> and</w:t>
      </w:r>
      <w:r w:rsidR="00857EE5" w:rsidRPr="00C64B4C">
        <w:rPr>
          <w:rFonts w:eastAsiaTheme="minorHAnsi"/>
          <w:noProof/>
          <w:sz w:val="24"/>
          <w:szCs w:val="24"/>
        </w:rPr>
        <w:t xml:space="preserve"> (ii)</w:t>
      </w:r>
      <w:r w:rsidR="00FA293D" w:rsidRPr="00C64B4C">
        <w:rPr>
          <w:rFonts w:eastAsiaTheme="minorHAnsi"/>
          <w:noProof/>
          <w:sz w:val="24"/>
          <w:szCs w:val="24"/>
        </w:rPr>
        <w:t xml:space="preserve"> the </w:t>
      </w:r>
      <w:r w:rsidRPr="00C64B4C">
        <w:rPr>
          <w:rFonts w:eastAsiaTheme="minorHAnsi"/>
          <w:noProof/>
          <w:sz w:val="24"/>
          <w:szCs w:val="24"/>
        </w:rPr>
        <w:t>different legal systems of Member States</w:t>
      </w:r>
      <w:r w:rsidR="00251FC5" w:rsidRPr="00C64B4C">
        <w:rPr>
          <w:rFonts w:eastAsiaTheme="minorHAnsi"/>
          <w:noProof/>
          <w:sz w:val="24"/>
          <w:szCs w:val="24"/>
        </w:rPr>
        <w:t xml:space="preserve">. </w:t>
      </w:r>
    </w:p>
    <w:p w14:paraId="17BD814E" w14:textId="77777777" w:rsidR="009C1F9A" w:rsidRPr="00C64B4C" w:rsidRDefault="009C1F9A" w:rsidP="00901A5C">
      <w:pPr>
        <w:jc w:val="both"/>
        <w:rPr>
          <w:rFonts w:eastAsiaTheme="minorHAnsi"/>
          <w:noProof/>
          <w:sz w:val="24"/>
          <w:szCs w:val="24"/>
        </w:rPr>
      </w:pPr>
    </w:p>
    <w:p w14:paraId="5C163978" w14:textId="77777777" w:rsidR="00D40F69" w:rsidRPr="00C64B4C" w:rsidRDefault="00850B94" w:rsidP="00901A5C">
      <w:pPr>
        <w:jc w:val="both"/>
        <w:rPr>
          <w:rFonts w:eastAsiaTheme="minorHAnsi"/>
          <w:noProof/>
          <w:sz w:val="24"/>
          <w:szCs w:val="24"/>
        </w:rPr>
      </w:pPr>
      <w:r w:rsidRPr="00C64B4C">
        <w:rPr>
          <w:rFonts w:eastAsiaTheme="minorHAnsi"/>
          <w:noProof/>
          <w:sz w:val="24"/>
          <w:szCs w:val="24"/>
        </w:rPr>
        <w:t>Taking into account the feedback from the consultation that more time is necessary to fully assess the impact of the recent changes</w:t>
      </w:r>
      <w:r w:rsidR="007B2CE0" w:rsidRPr="00C64B4C">
        <w:rPr>
          <w:rFonts w:eastAsiaTheme="minorHAnsi"/>
          <w:noProof/>
          <w:sz w:val="24"/>
          <w:szCs w:val="24"/>
        </w:rPr>
        <w:t>,</w:t>
      </w:r>
      <w:r w:rsidR="00C012AD" w:rsidRPr="00C64B4C">
        <w:rPr>
          <w:rFonts w:eastAsiaTheme="minorHAnsi"/>
          <w:noProof/>
          <w:sz w:val="24"/>
          <w:szCs w:val="24"/>
        </w:rPr>
        <w:t xml:space="preserve"> </w:t>
      </w:r>
      <w:r w:rsidR="004C7F98" w:rsidRPr="00C64B4C">
        <w:rPr>
          <w:rFonts w:eastAsiaTheme="minorHAnsi"/>
          <w:noProof/>
          <w:sz w:val="24"/>
          <w:szCs w:val="24"/>
        </w:rPr>
        <w:t>the Commission</w:t>
      </w:r>
      <w:r w:rsidR="00C82CF1" w:rsidRPr="00C64B4C">
        <w:rPr>
          <w:rFonts w:eastAsiaTheme="minorHAnsi"/>
          <w:noProof/>
          <w:sz w:val="24"/>
          <w:szCs w:val="24"/>
        </w:rPr>
        <w:t xml:space="preserve"> will</w:t>
      </w:r>
      <w:r w:rsidR="007B2CE0" w:rsidRPr="00C64B4C">
        <w:rPr>
          <w:rFonts w:eastAsiaTheme="minorHAnsi"/>
          <w:noProof/>
          <w:sz w:val="24"/>
          <w:szCs w:val="24"/>
        </w:rPr>
        <w:t xml:space="preserve"> </w:t>
      </w:r>
      <w:r w:rsidR="004C7F98" w:rsidRPr="00C64B4C">
        <w:rPr>
          <w:rFonts w:eastAsiaTheme="minorHAnsi"/>
          <w:noProof/>
          <w:sz w:val="24"/>
          <w:szCs w:val="24"/>
        </w:rPr>
        <w:t xml:space="preserve">not </w:t>
      </w:r>
      <w:r w:rsidR="007B2CE0" w:rsidRPr="00C64B4C">
        <w:rPr>
          <w:rFonts w:eastAsiaTheme="minorHAnsi"/>
          <w:noProof/>
          <w:sz w:val="24"/>
          <w:szCs w:val="24"/>
        </w:rPr>
        <w:t xml:space="preserve">now </w:t>
      </w:r>
      <w:r w:rsidR="004C7F98" w:rsidRPr="00C64B4C">
        <w:rPr>
          <w:rFonts w:eastAsiaTheme="minorHAnsi"/>
          <w:noProof/>
          <w:sz w:val="24"/>
          <w:szCs w:val="24"/>
        </w:rPr>
        <w:t xml:space="preserve">propose changes to the ESA </w:t>
      </w:r>
      <w:r w:rsidR="007B2CE0" w:rsidRPr="00C64B4C">
        <w:rPr>
          <w:rFonts w:eastAsiaTheme="minorHAnsi"/>
          <w:noProof/>
          <w:sz w:val="24"/>
          <w:szCs w:val="24"/>
        </w:rPr>
        <w:t xml:space="preserve">Regulations </w:t>
      </w:r>
      <w:r w:rsidR="004C7F98" w:rsidRPr="00C64B4C">
        <w:rPr>
          <w:rFonts w:eastAsiaTheme="minorHAnsi"/>
          <w:noProof/>
          <w:sz w:val="24"/>
          <w:szCs w:val="24"/>
        </w:rPr>
        <w:t xml:space="preserve">to strengthen </w:t>
      </w:r>
      <w:r w:rsidR="000F0FB8" w:rsidRPr="00C64B4C">
        <w:rPr>
          <w:rFonts w:eastAsiaTheme="minorHAnsi"/>
          <w:noProof/>
          <w:sz w:val="24"/>
          <w:szCs w:val="24"/>
        </w:rPr>
        <w:t xml:space="preserve">supervisory </w:t>
      </w:r>
      <w:r w:rsidR="004C7F98" w:rsidRPr="00C64B4C">
        <w:rPr>
          <w:rFonts w:eastAsiaTheme="minorHAnsi"/>
          <w:noProof/>
          <w:sz w:val="24"/>
          <w:szCs w:val="24"/>
        </w:rPr>
        <w:t>convergence.</w:t>
      </w:r>
      <w:r w:rsidR="00045D53" w:rsidRPr="00C64B4C">
        <w:rPr>
          <w:rFonts w:eastAsiaTheme="minorHAnsi"/>
          <w:noProof/>
          <w:sz w:val="24"/>
          <w:szCs w:val="24"/>
        </w:rPr>
        <w:t xml:space="preserve"> </w:t>
      </w:r>
      <w:r w:rsidR="00EA745A" w:rsidRPr="00C64B4C">
        <w:rPr>
          <w:rFonts w:eastAsiaTheme="minorHAnsi"/>
          <w:noProof/>
          <w:sz w:val="24"/>
          <w:szCs w:val="24"/>
        </w:rPr>
        <w:t>Instead</w:t>
      </w:r>
      <w:r w:rsidR="007B2CE0" w:rsidRPr="00C64B4C">
        <w:rPr>
          <w:rFonts w:eastAsiaTheme="minorHAnsi"/>
          <w:noProof/>
          <w:sz w:val="24"/>
          <w:szCs w:val="24"/>
        </w:rPr>
        <w:t>,</w:t>
      </w:r>
      <w:r w:rsidR="00EA745A" w:rsidRPr="00C64B4C">
        <w:rPr>
          <w:rFonts w:eastAsiaTheme="minorHAnsi"/>
          <w:noProof/>
          <w:sz w:val="24"/>
          <w:szCs w:val="24"/>
        </w:rPr>
        <w:t xml:space="preserve"> t</w:t>
      </w:r>
      <w:r w:rsidR="00BF03BE" w:rsidRPr="00C64B4C">
        <w:rPr>
          <w:rFonts w:eastAsiaTheme="minorHAnsi"/>
          <w:noProof/>
          <w:sz w:val="24"/>
          <w:szCs w:val="24"/>
        </w:rPr>
        <w:t>he Commission continue</w:t>
      </w:r>
      <w:r w:rsidR="008578D9" w:rsidRPr="00C64B4C">
        <w:rPr>
          <w:rFonts w:eastAsiaTheme="minorHAnsi"/>
          <w:noProof/>
          <w:sz w:val="24"/>
          <w:szCs w:val="24"/>
        </w:rPr>
        <w:t>s</w:t>
      </w:r>
      <w:r w:rsidR="00BF03BE" w:rsidRPr="00C64B4C">
        <w:rPr>
          <w:rFonts w:eastAsiaTheme="minorHAnsi"/>
          <w:noProof/>
          <w:sz w:val="24"/>
          <w:szCs w:val="24"/>
        </w:rPr>
        <w:t xml:space="preserve"> to encourage the ESAs to make good use of the</w:t>
      </w:r>
      <w:r w:rsidR="00D40F69" w:rsidRPr="00C64B4C">
        <w:rPr>
          <w:rFonts w:eastAsiaTheme="minorHAnsi"/>
          <w:noProof/>
          <w:sz w:val="24"/>
          <w:szCs w:val="24"/>
        </w:rPr>
        <w:t xml:space="preserve"> existing instruments.</w:t>
      </w:r>
    </w:p>
    <w:p w14:paraId="5BA789E8" w14:textId="77777777" w:rsidR="00D40F69" w:rsidRPr="00C64B4C" w:rsidRDefault="00D40F69" w:rsidP="00901A5C">
      <w:pPr>
        <w:jc w:val="both"/>
        <w:rPr>
          <w:rFonts w:eastAsiaTheme="minorHAnsi"/>
          <w:noProof/>
          <w:sz w:val="24"/>
          <w:szCs w:val="24"/>
        </w:rPr>
      </w:pPr>
    </w:p>
    <w:p w14:paraId="456276E7" w14:textId="77777777" w:rsidR="006D2E8A" w:rsidRPr="00C64B4C" w:rsidRDefault="008578D9" w:rsidP="00901A5C">
      <w:pPr>
        <w:jc w:val="both"/>
        <w:rPr>
          <w:rFonts w:eastAsiaTheme="minorHAnsi"/>
          <w:noProof/>
          <w:sz w:val="24"/>
          <w:szCs w:val="24"/>
        </w:rPr>
      </w:pPr>
      <w:r w:rsidRPr="00C64B4C">
        <w:rPr>
          <w:rFonts w:eastAsiaTheme="minorHAnsi"/>
          <w:noProof/>
          <w:sz w:val="24"/>
          <w:szCs w:val="24"/>
        </w:rPr>
        <w:t>In addition, t</w:t>
      </w:r>
      <w:r w:rsidR="00BF03BE" w:rsidRPr="00C64B4C">
        <w:rPr>
          <w:rFonts w:eastAsiaTheme="minorHAnsi"/>
          <w:noProof/>
          <w:sz w:val="24"/>
          <w:szCs w:val="24"/>
        </w:rPr>
        <w:t>he</w:t>
      </w:r>
      <w:r w:rsidR="0092783E" w:rsidRPr="00C64B4C">
        <w:rPr>
          <w:rFonts w:eastAsiaTheme="minorHAnsi"/>
          <w:noProof/>
          <w:sz w:val="24"/>
          <w:szCs w:val="24"/>
        </w:rPr>
        <w:t xml:space="preserve"> Commission </w:t>
      </w:r>
      <w:r w:rsidR="0066373E" w:rsidRPr="00C64B4C">
        <w:rPr>
          <w:rFonts w:eastAsiaTheme="minorHAnsi"/>
          <w:noProof/>
          <w:sz w:val="24"/>
          <w:szCs w:val="24"/>
        </w:rPr>
        <w:t xml:space="preserve">will consider </w:t>
      </w:r>
      <w:r w:rsidR="004C7F98" w:rsidRPr="00C64B4C">
        <w:rPr>
          <w:rFonts w:eastAsiaTheme="minorHAnsi"/>
          <w:noProof/>
          <w:sz w:val="24"/>
          <w:szCs w:val="24"/>
        </w:rPr>
        <w:t>t</w:t>
      </w:r>
      <w:r w:rsidR="006D2E8A" w:rsidRPr="00C64B4C">
        <w:rPr>
          <w:rFonts w:eastAsiaTheme="minorHAnsi"/>
          <w:noProof/>
          <w:sz w:val="24"/>
          <w:szCs w:val="24"/>
        </w:rPr>
        <w:t>argeted improvements to foster s</w:t>
      </w:r>
      <w:r w:rsidR="00585E4C" w:rsidRPr="00C64B4C">
        <w:rPr>
          <w:rFonts w:eastAsiaTheme="minorHAnsi"/>
          <w:noProof/>
          <w:sz w:val="24"/>
          <w:szCs w:val="24"/>
        </w:rPr>
        <w:t xml:space="preserve">upervisory convergence in </w:t>
      </w:r>
      <w:r w:rsidR="006D2E8A" w:rsidRPr="00C64B4C">
        <w:rPr>
          <w:rFonts w:eastAsiaTheme="minorHAnsi"/>
          <w:noProof/>
          <w:sz w:val="24"/>
          <w:szCs w:val="24"/>
        </w:rPr>
        <w:t>sector legisla</w:t>
      </w:r>
      <w:r w:rsidR="00585E4C" w:rsidRPr="00C64B4C">
        <w:rPr>
          <w:rFonts w:eastAsiaTheme="minorHAnsi"/>
          <w:noProof/>
          <w:sz w:val="24"/>
          <w:szCs w:val="24"/>
        </w:rPr>
        <w:t>tion</w:t>
      </w:r>
      <w:r w:rsidR="007B2CE0" w:rsidRPr="00C64B4C">
        <w:rPr>
          <w:rFonts w:eastAsiaTheme="minorHAnsi"/>
          <w:noProof/>
          <w:sz w:val="24"/>
          <w:szCs w:val="24"/>
        </w:rPr>
        <w:t>. This is</w:t>
      </w:r>
      <w:r w:rsidR="0092783E" w:rsidRPr="00C64B4C">
        <w:rPr>
          <w:rFonts w:eastAsiaTheme="minorHAnsi"/>
          <w:noProof/>
          <w:sz w:val="24"/>
          <w:szCs w:val="24"/>
        </w:rPr>
        <w:t xml:space="preserve"> to address specific shortcomings that the Commission </w:t>
      </w:r>
      <w:r w:rsidR="00C012AD" w:rsidRPr="00C64B4C">
        <w:rPr>
          <w:rFonts w:eastAsiaTheme="minorHAnsi"/>
          <w:noProof/>
          <w:sz w:val="24"/>
          <w:szCs w:val="24"/>
        </w:rPr>
        <w:t xml:space="preserve">has identified or may </w:t>
      </w:r>
      <w:r w:rsidR="0092783E" w:rsidRPr="00C64B4C">
        <w:rPr>
          <w:rFonts w:eastAsiaTheme="minorHAnsi"/>
          <w:noProof/>
          <w:sz w:val="24"/>
          <w:szCs w:val="24"/>
        </w:rPr>
        <w:t>identif</w:t>
      </w:r>
      <w:r w:rsidR="00C012AD" w:rsidRPr="00C64B4C">
        <w:rPr>
          <w:rFonts w:eastAsiaTheme="minorHAnsi"/>
          <w:noProof/>
          <w:sz w:val="24"/>
          <w:szCs w:val="24"/>
        </w:rPr>
        <w:t>y</w:t>
      </w:r>
      <w:r w:rsidR="0092783E" w:rsidRPr="00C64B4C">
        <w:rPr>
          <w:rFonts w:eastAsiaTheme="minorHAnsi"/>
          <w:noProof/>
          <w:sz w:val="24"/>
          <w:szCs w:val="24"/>
        </w:rPr>
        <w:t xml:space="preserve"> in certain areas of financial markets.</w:t>
      </w:r>
      <w:r w:rsidR="00377839" w:rsidRPr="00C64B4C">
        <w:rPr>
          <w:rFonts w:eastAsiaTheme="minorHAnsi"/>
          <w:noProof/>
          <w:sz w:val="24"/>
          <w:szCs w:val="24"/>
        </w:rPr>
        <w:t xml:space="preserve"> </w:t>
      </w:r>
      <w:r w:rsidR="0092783E" w:rsidRPr="00C64B4C">
        <w:rPr>
          <w:rFonts w:eastAsiaTheme="minorHAnsi"/>
          <w:noProof/>
          <w:sz w:val="24"/>
          <w:szCs w:val="24"/>
        </w:rPr>
        <w:t>To this end, t</w:t>
      </w:r>
      <w:r w:rsidR="00B01624" w:rsidRPr="00C64B4C">
        <w:rPr>
          <w:rFonts w:eastAsiaTheme="minorHAnsi"/>
          <w:noProof/>
          <w:sz w:val="24"/>
          <w:szCs w:val="24"/>
        </w:rPr>
        <w:t xml:space="preserve">he Commission has </w:t>
      </w:r>
      <w:r w:rsidR="00D40F69" w:rsidRPr="00C64B4C">
        <w:rPr>
          <w:rFonts w:eastAsiaTheme="minorHAnsi"/>
          <w:noProof/>
          <w:sz w:val="24"/>
          <w:szCs w:val="24"/>
        </w:rPr>
        <w:t xml:space="preserve">recently </w:t>
      </w:r>
      <w:r w:rsidR="00B01624" w:rsidRPr="00C64B4C">
        <w:rPr>
          <w:rFonts w:eastAsiaTheme="minorHAnsi"/>
          <w:noProof/>
          <w:sz w:val="24"/>
          <w:szCs w:val="24"/>
        </w:rPr>
        <w:t>proposed</w:t>
      </w:r>
      <w:r w:rsidR="0092783E" w:rsidRPr="00C64B4C">
        <w:rPr>
          <w:rFonts w:eastAsiaTheme="minorHAnsi"/>
          <w:noProof/>
          <w:sz w:val="24"/>
          <w:szCs w:val="24"/>
        </w:rPr>
        <w:t xml:space="preserve"> </w:t>
      </w:r>
      <w:r w:rsidR="00B77DE2" w:rsidRPr="00C64B4C">
        <w:rPr>
          <w:rFonts w:eastAsiaTheme="minorHAnsi"/>
          <w:noProof/>
          <w:sz w:val="24"/>
          <w:szCs w:val="24"/>
        </w:rPr>
        <w:t>targeted</w:t>
      </w:r>
      <w:r w:rsidR="0092783E" w:rsidRPr="00C64B4C">
        <w:rPr>
          <w:rFonts w:eastAsiaTheme="minorHAnsi"/>
          <w:noProof/>
          <w:sz w:val="24"/>
          <w:szCs w:val="24"/>
        </w:rPr>
        <w:t xml:space="preserve"> amendments</w:t>
      </w:r>
      <w:r w:rsidR="001C43C8" w:rsidRPr="00C64B4C">
        <w:rPr>
          <w:rFonts w:eastAsiaTheme="minorHAnsi"/>
          <w:noProof/>
          <w:sz w:val="24"/>
          <w:szCs w:val="24"/>
        </w:rPr>
        <w:t xml:space="preserve">, </w:t>
      </w:r>
      <w:r w:rsidR="007B2CE0" w:rsidRPr="00C64B4C">
        <w:rPr>
          <w:rFonts w:eastAsiaTheme="minorHAnsi"/>
          <w:noProof/>
          <w:sz w:val="24"/>
          <w:szCs w:val="24"/>
        </w:rPr>
        <w:t>including</w:t>
      </w:r>
      <w:r w:rsidR="009249F0" w:rsidRPr="00C64B4C">
        <w:rPr>
          <w:rFonts w:eastAsiaTheme="minorHAnsi"/>
          <w:noProof/>
          <w:sz w:val="24"/>
          <w:szCs w:val="24"/>
        </w:rPr>
        <w:t xml:space="preserve">: </w:t>
      </w:r>
    </w:p>
    <w:p w14:paraId="6D784BCA" w14:textId="77777777" w:rsidR="00312003" w:rsidRPr="00C64B4C" w:rsidRDefault="00312003" w:rsidP="00901A5C">
      <w:pPr>
        <w:jc w:val="both"/>
        <w:rPr>
          <w:rFonts w:eastAsiaTheme="minorHAnsi"/>
          <w:noProof/>
          <w:sz w:val="24"/>
          <w:szCs w:val="24"/>
        </w:rPr>
      </w:pPr>
    </w:p>
    <w:p w14:paraId="3B007659" w14:textId="77777777" w:rsidR="00312003" w:rsidRPr="00C64B4C" w:rsidRDefault="007B2CE0" w:rsidP="00312003">
      <w:pPr>
        <w:pStyle w:val="ListParagraph"/>
        <w:numPr>
          <w:ilvl w:val="0"/>
          <w:numId w:val="13"/>
        </w:numPr>
        <w:jc w:val="both"/>
        <w:rPr>
          <w:rFonts w:ascii="Times New Roman" w:hAnsi="Times New Roman" w:cs="Times New Roman"/>
          <w:noProof/>
          <w:sz w:val="24"/>
          <w:szCs w:val="24"/>
        </w:rPr>
      </w:pPr>
      <w:r w:rsidRPr="00C64B4C">
        <w:rPr>
          <w:rFonts w:ascii="Times New Roman" w:hAnsi="Times New Roman" w:cs="Times New Roman"/>
          <w:noProof/>
          <w:sz w:val="24"/>
          <w:szCs w:val="24"/>
        </w:rPr>
        <w:t>t</w:t>
      </w:r>
      <w:r w:rsidR="00312003" w:rsidRPr="00C64B4C">
        <w:rPr>
          <w:rFonts w:ascii="Times New Roman" w:hAnsi="Times New Roman" w:cs="Times New Roman"/>
          <w:noProof/>
          <w:sz w:val="24"/>
          <w:szCs w:val="24"/>
        </w:rPr>
        <w:t>he Solvency II review proposal</w:t>
      </w:r>
      <w:r w:rsidR="00312003" w:rsidRPr="00C64B4C">
        <w:rPr>
          <w:rStyle w:val="FootnoteReference"/>
          <w:rFonts w:ascii="Times New Roman" w:hAnsi="Times New Roman" w:cs="Times New Roman"/>
          <w:noProof/>
          <w:sz w:val="24"/>
          <w:szCs w:val="24"/>
        </w:rPr>
        <w:footnoteReference w:id="20"/>
      </w:r>
      <w:r w:rsidRPr="00C64B4C">
        <w:rPr>
          <w:rFonts w:ascii="Times New Roman" w:hAnsi="Times New Roman" w:cs="Times New Roman"/>
          <w:noProof/>
          <w:sz w:val="24"/>
          <w:szCs w:val="24"/>
        </w:rPr>
        <w:t>, which</w:t>
      </w:r>
      <w:r w:rsidR="00312003" w:rsidRPr="00C64B4C">
        <w:rPr>
          <w:rFonts w:ascii="Times New Roman" w:hAnsi="Times New Roman" w:cs="Times New Roman"/>
          <w:noProof/>
          <w:sz w:val="24"/>
          <w:szCs w:val="24"/>
        </w:rPr>
        <w:t xml:space="preserve"> proposes to </w:t>
      </w:r>
      <w:r w:rsidRPr="00C64B4C">
        <w:rPr>
          <w:rFonts w:ascii="Times New Roman" w:hAnsi="Times New Roman" w:cs="Times New Roman"/>
          <w:noProof/>
          <w:sz w:val="24"/>
          <w:szCs w:val="24"/>
        </w:rPr>
        <w:t xml:space="preserve">increase </w:t>
      </w:r>
      <w:r w:rsidR="00312003" w:rsidRPr="00C64B4C">
        <w:rPr>
          <w:rFonts w:ascii="Times New Roman" w:hAnsi="Times New Roman" w:cs="Times New Roman"/>
          <w:noProof/>
          <w:sz w:val="24"/>
          <w:szCs w:val="24"/>
        </w:rPr>
        <w:t>the role of EIOPA in complex cross-border cases where the supervisory authorities involved fail to reach a common view in a collaboration platform</w:t>
      </w:r>
      <w:r w:rsidR="00312003" w:rsidRPr="00C64B4C">
        <w:rPr>
          <w:rStyle w:val="FootnoteReference"/>
          <w:rFonts w:ascii="Times New Roman" w:hAnsi="Times New Roman" w:cs="Times New Roman"/>
          <w:noProof/>
          <w:sz w:val="24"/>
          <w:szCs w:val="24"/>
        </w:rPr>
        <w:footnoteReference w:id="21"/>
      </w:r>
      <w:r w:rsidRPr="00C64B4C">
        <w:rPr>
          <w:rFonts w:ascii="Times New Roman" w:hAnsi="Times New Roman" w:cs="Times New Roman"/>
          <w:noProof/>
          <w:sz w:val="24"/>
          <w:szCs w:val="24"/>
        </w:rPr>
        <w:t>;</w:t>
      </w:r>
    </w:p>
    <w:p w14:paraId="1BC918D0" w14:textId="77777777" w:rsidR="00312003" w:rsidRPr="00C64B4C" w:rsidRDefault="00312003" w:rsidP="00312003">
      <w:pPr>
        <w:pStyle w:val="ListParagraph"/>
        <w:jc w:val="both"/>
        <w:rPr>
          <w:rFonts w:ascii="Times New Roman" w:hAnsi="Times New Roman" w:cs="Times New Roman"/>
          <w:noProof/>
          <w:sz w:val="24"/>
          <w:szCs w:val="24"/>
        </w:rPr>
      </w:pPr>
    </w:p>
    <w:p w14:paraId="0CC9AD4C" w14:textId="77777777" w:rsidR="006D2E8A" w:rsidRPr="00C64B4C" w:rsidRDefault="007B2CE0" w:rsidP="00312003">
      <w:pPr>
        <w:pStyle w:val="ListParagraph"/>
        <w:numPr>
          <w:ilvl w:val="0"/>
          <w:numId w:val="13"/>
        </w:numPr>
        <w:jc w:val="both"/>
        <w:rPr>
          <w:rFonts w:ascii="Times New Roman" w:hAnsi="Times New Roman" w:cs="Times New Roman"/>
          <w:noProof/>
          <w:sz w:val="24"/>
          <w:szCs w:val="24"/>
        </w:rPr>
      </w:pPr>
      <w:r w:rsidRPr="00C64B4C">
        <w:rPr>
          <w:rFonts w:ascii="Times New Roman" w:hAnsi="Times New Roman" w:cs="Times New Roman"/>
          <w:noProof/>
          <w:sz w:val="24"/>
          <w:szCs w:val="24"/>
        </w:rPr>
        <w:t>t</w:t>
      </w:r>
      <w:r w:rsidR="00585E4C" w:rsidRPr="00C64B4C">
        <w:rPr>
          <w:rFonts w:ascii="Times New Roman" w:hAnsi="Times New Roman" w:cs="Times New Roman"/>
          <w:noProof/>
          <w:sz w:val="24"/>
          <w:szCs w:val="24"/>
        </w:rPr>
        <w:t>he AIFMD review</w:t>
      </w:r>
      <w:r w:rsidR="00DC425E" w:rsidRPr="00C64B4C">
        <w:rPr>
          <w:rFonts w:ascii="Times New Roman" w:hAnsi="Times New Roman" w:cs="Times New Roman"/>
          <w:noProof/>
          <w:sz w:val="24"/>
          <w:szCs w:val="24"/>
        </w:rPr>
        <w:t xml:space="preserve"> proposal</w:t>
      </w:r>
      <w:r w:rsidR="00312003" w:rsidRPr="00C64B4C">
        <w:rPr>
          <w:rStyle w:val="FootnoteReference"/>
          <w:rFonts w:ascii="Times New Roman" w:hAnsi="Times New Roman" w:cs="Times New Roman"/>
          <w:noProof/>
          <w:sz w:val="24"/>
          <w:szCs w:val="24"/>
        </w:rPr>
        <w:footnoteReference w:id="22"/>
      </w:r>
      <w:r w:rsidRPr="00C64B4C">
        <w:rPr>
          <w:rFonts w:ascii="Times New Roman" w:hAnsi="Times New Roman" w:cs="Times New Roman"/>
          <w:noProof/>
          <w:sz w:val="24"/>
          <w:szCs w:val="24"/>
        </w:rPr>
        <w:t>, which</w:t>
      </w:r>
      <w:r w:rsidR="00F252CF" w:rsidRPr="00C64B4C">
        <w:rPr>
          <w:rFonts w:ascii="Times New Roman" w:hAnsi="Times New Roman" w:cs="Times New Roman"/>
          <w:noProof/>
          <w:sz w:val="24"/>
          <w:szCs w:val="24"/>
        </w:rPr>
        <w:t xml:space="preserve"> </w:t>
      </w:r>
      <w:r w:rsidR="00D22F36" w:rsidRPr="00C64B4C">
        <w:rPr>
          <w:rFonts w:ascii="Times New Roman" w:hAnsi="Times New Roman" w:cs="Times New Roman"/>
          <w:noProof/>
          <w:sz w:val="24"/>
          <w:szCs w:val="24"/>
        </w:rPr>
        <w:t xml:space="preserve">proposes </w:t>
      </w:r>
      <w:r w:rsidR="00F252CF" w:rsidRPr="00C64B4C">
        <w:rPr>
          <w:rFonts w:ascii="Times New Roman" w:hAnsi="Times New Roman" w:cs="Times New Roman"/>
          <w:noProof/>
          <w:sz w:val="24"/>
          <w:szCs w:val="24"/>
        </w:rPr>
        <w:t>that ESMA would</w:t>
      </w:r>
      <w:r w:rsidR="00180169" w:rsidRPr="00C64B4C">
        <w:rPr>
          <w:rFonts w:ascii="Times New Roman" w:hAnsi="Times New Roman" w:cs="Times New Roman"/>
          <w:noProof/>
          <w:sz w:val="24"/>
          <w:szCs w:val="24"/>
        </w:rPr>
        <w:t xml:space="preserve"> be</w:t>
      </w:r>
      <w:r w:rsidR="00F252CF" w:rsidRPr="00C64B4C">
        <w:rPr>
          <w:rFonts w:ascii="Times New Roman" w:hAnsi="Times New Roman" w:cs="Times New Roman"/>
          <w:noProof/>
          <w:sz w:val="24"/>
          <w:szCs w:val="24"/>
        </w:rPr>
        <w:t xml:space="preserve"> </w:t>
      </w:r>
      <w:r w:rsidR="00620038" w:rsidRPr="00C64B4C">
        <w:rPr>
          <w:rFonts w:ascii="Times New Roman" w:hAnsi="Times New Roman" w:cs="Times New Roman"/>
          <w:noProof/>
          <w:sz w:val="24"/>
          <w:szCs w:val="24"/>
        </w:rPr>
        <w:t>task</w:t>
      </w:r>
      <w:r w:rsidR="00180169" w:rsidRPr="00C64B4C">
        <w:rPr>
          <w:rFonts w:ascii="Times New Roman" w:hAnsi="Times New Roman" w:cs="Times New Roman"/>
          <w:noProof/>
          <w:sz w:val="24"/>
          <w:szCs w:val="24"/>
        </w:rPr>
        <w:t xml:space="preserve">ed </w:t>
      </w:r>
      <w:r w:rsidR="006D2E8A" w:rsidRPr="00C64B4C">
        <w:rPr>
          <w:rFonts w:ascii="Times New Roman" w:hAnsi="Times New Roman" w:cs="Times New Roman"/>
          <w:noProof/>
          <w:sz w:val="24"/>
          <w:szCs w:val="24"/>
        </w:rPr>
        <w:t xml:space="preserve">with conducting peer reviews and analysing notifications of substantial delegation arrangements so that </w:t>
      </w:r>
      <w:r w:rsidR="00FA41AD" w:rsidRPr="00C64B4C">
        <w:rPr>
          <w:rFonts w:ascii="Times New Roman" w:hAnsi="Times New Roman" w:cs="Times New Roman"/>
          <w:noProof/>
          <w:sz w:val="24"/>
          <w:szCs w:val="24"/>
        </w:rPr>
        <w:t>supervisors</w:t>
      </w:r>
      <w:r w:rsidR="006D2E8A" w:rsidRPr="00C64B4C">
        <w:rPr>
          <w:rFonts w:ascii="Times New Roman" w:hAnsi="Times New Roman" w:cs="Times New Roman"/>
          <w:noProof/>
          <w:sz w:val="24"/>
          <w:szCs w:val="24"/>
        </w:rPr>
        <w:t xml:space="preserve"> have a better overview of market practices</w:t>
      </w:r>
      <w:r w:rsidRPr="00C64B4C">
        <w:rPr>
          <w:rFonts w:ascii="Times New Roman" w:hAnsi="Times New Roman" w:cs="Times New Roman"/>
          <w:noProof/>
          <w:sz w:val="24"/>
          <w:szCs w:val="24"/>
        </w:rPr>
        <w:t>;</w:t>
      </w:r>
    </w:p>
    <w:p w14:paraId="3009E5E5" w14:textId="77777777" w:rsidR="000C334D" w:rsidRPr="00C64B4C" w:rsidRDefault="000C334D" w:rsidP="00312003">
      <w:pPr>
        <w:pStyle w:val="ListParagraph"/>
        <w:jc w:val="both"/>
        <w:rPr>
          <w:rFonts w:ascii="Times New Roman" w:hAnsi="Times New Roman" w:cs="Times New Roman"/>
          <w:noProof/>
          <w:sz w:val="24"/>
          <w:szCs w:val="24"/>
        </w:rPr>
      </w:pPr>
    </w:p>
    <w:p w14:paraId="06C55F42" w14:textId="77777777" w:rsidR="006D2E8A" w:rsidRPr="00C64B4C" w:rsidRDefault="007B2CE0" w:rsidP="00312003">
      <w:pPr>
        <w:pStyle w:val="ListParagraph"/>
        <w:numPr>
          <w:ilvl w:val="0"/>
          <w:numId w:val="13"/>
        </w:numPr>
        <w:jc w:val="both"/>
        <w:rPr>
          <w:rFonts w:ascii="Times New Roman" w:hAnsi="Times New Roman" w:cs="Times New Roman"/>
          <w:noProof/>
          <w:sz w:val="24"/>
          <w:szCs w:val="24"/>
        </w:rPr>
      </w:pPr>
      <w:r w:rsidRPr="00C64B4C">
        <w:rPr>
          <w:rFonts w:ascii="Times New Roman" w:hAnsi="Times New Roman" w:cs="Times New Roman"/>
          <w:noProof/>
          <w:sz w:val="24"/>
          <w:szCs w:val="24"/>
        </w:rPr>
        <w:t>t</w:t>
      </w:r>
      <w:r w:rsidR="006D2E8A" w:rsidRPr="00C64B4C">
        <w:rPr>
          <w:rFonts w:ascii="Times New Roman" w:hAnsi="Times New Roman" w:cs="Times New Roman"/>
          <w:noProof/>
          <w:sz w:val="24"/>
          <w:szCs w:val="24"/>
        </w:rPr>
        <w:t xml:space="preserve">he </w:t>
      </w:r>
      <w:r w:rsidRPr="00C64B4C">
        <w:rPr>
          <w:rFonts w:ascii="Times New Roman" w:hAnsi="Times New Roman" w:cs="Times New Roman"/>
          <w:noProof/>
          <w:sz w:val="24"/>
          <w:szCs w:val="24"/>
        </w:rPr>
        <w:t>s</w:t>
      </w:r>
      <w:r w:rsidR="006D2E8A" w:rsidRPr="00C64B4C">
        <w:rPr>
          <w:rFonts w:ascii="Times New Roman" w:hAnsi="Times New Roman" w:cs="Times New Roman"/>
          <w:noProof/>
          <w:sz w:val="24"/>
          <w:szCs w:val="24"/>
        </w:rPr>
        <w:t xml:space="preserve">upervisory </w:t>
      </w:r>
      <w:r w:rsidRPr="00C64B4C">
        <w:rPr>
          <w:rFonts w:ascii="Times New Roman" w:hAnsi="Times New Roman" w:cs="Times New Roman"/>
          <w:noProof/>
          <w:sz w:val="24"/>
          <w:szCs w:val="24"/>
        </w:rPr>
        <w:t>d</w:t>
      </w:r>
      <w:r w:rsidR="006D2E8A" w:rsidRPr="00C64B4C">
        <w:rPr>
          <w:rFonts w:ascii="Times New Roman" w:hAnsi="Times New Roman" w:cs="Times New Roman"/>
          <w:noProof/>
          <w:sz w:val="24"/>
          <w:szCs w:val="24"/>
        </w:rPr>
        <w:t xml:space="preserve">ata </w:t>
      </w:r>
      <w:r w:rsidRPr="00C64B4C">
        <w:rPr>
          <w:rFonts w:ascii="Times New Roman" w:hAnsi="Times New Roman" w:cs="Times New Roman"/>
          <w:noProof/>
          <w:sz w:val="24"/>
          <w:szCs w:val="24"/>
        </w:rPr>
        <w:t>s</w:t>
      </w:r>
      <w:r w:rsidR="00D872EE" w:rsidRPr="00C64B4C">
        <w:rPr>
          <w:rFonts w:ascii="Times New Roman" w:hAnsi="Times New Roman" w:cs="Times New Roman"/>
          <w:noProof/>
          <w:sz w:val="24"/>
          <w:szCs w:val="24"/>
        </w:rPr>
        <w:t>trategy</w:t>
      </w:r>
      <w:r w:rsidR="00312003" w:rsidRPr="00C64B4C">
        <w:rPr>
          <w:rStyle w:val="FootnoteReference"/>
          <w:rFonts w:ascii="Times New Roman" w:hAnsi="Times New Roman" w:cs="Times New Roman"/>
          <w:noProof/>
          <w:sz w:val="24"/>
          <w:szCs w:val="24"/>
        </w:rPr>
        <w:footnoteReference w:id="23"/>
      </w:r>
      <w:r w:rsidRPr="00C64B4C">
        <w:rPr>
          <w:rFonts w:ascii="Times New Roman" w:hAnsi="Times New Roman" w:cs="Times New Roman"/>
          <w:noProof/>
          <w:sz w:val="24"/>
          <w:szCs w:val="24"/>
        </w:rPr>
        <w:t>, which</w:t>
      </w:r>
      <w:r w:rsidR="00D872EE" w:rsidRPr="00C64B4C">
        <w:rPr>
          <w:rFonts w:ascii="Times New Roman" w:hAnsi="Times New Roman" w:cs="Times New Roman"/>
          <w:noProof/>
          <w:sz w:val="24"/>
          <w:szCs w:val="24"/>
        </w:rPr>
        <w:t xml:space="preserve"> </w:t>
      </w:r>
      <w:r w:rsidR="0019099B" w:rsidRPr="00C64B4C">
        <w:rPr>
          <w:rFonts w:ascii="Times New Roman" w:hAnsi="Times New Roman" w:cs="Times New Roman"/>
          <w:noProof/>
          <w:sz w:val="24"/>
          <w:szCs w:val="24"/>
        </w:rPr>
        <w:t xml:space="preserve">aims </w:t>
      </w:r>
      <w:r w:rsidR="007F02DC" w:rsidRPr="00C64B4C">
        <w:rPr>
          <w:rFonts w:ascii="Times New Roman" w:hAnsi="Times New Roman" w:cs="Times New Roman"/>
          <w:noProof/>
          <w:sz w:val="24"/>
          <w:szCs w:val="24"/>
        </w:rPr>
        <w:t xml:space="preserve">to </w:t>
      </w:r>
      <w:r w:rsidR="0019099B" w:rsidRPr="00C64B4C">
        <w:rPr>
          <w:rFonts w:ascii="Times New Roman" w:hAnsi="Times New Roman" w:cs="Times New Roman"/>
          <w:noProof/>
          <w:sz w:val="24"/>
          <w:szCs w:val="24"/>
        </w:rPr>
        <w:t>improv</w:t>
      </w:r>
      <w:r w:rsidR="007F02DC" w:rsidRPr="00C64B4C">
        <w:rPr>
          <w:rFonts w:ascii="Times New Roman" w:hAnsi="Times New Roman" w:cs="Times New Roman"/>
          <w:noProof/>
          <w:sz w:val="24"/>
          <w:szCs w:val="24"/>
        </w:rPr>
        <w:t>e</w:t>
      </w:r>
      <w:r w:rsidR="0019099B" w:rsidRPr="00C64B4C">
        <w:rPr>
          <w:rFonts w:ascii="Times New Roman" w:hAnsi="Times New Roman" w:cs="Times New Roman"/>
          <w:noProof/>
          <w:sz w:val="24"/>
          <w:szCs w:val="24"/>
        </w:rPr>
        <w:t xml:space="preserve"> the consistency and interoperability of </w:t>
      </w:r>
      <w:r w:rsidR="00D872EE" w:rsidRPr="00C64B4C">
        <w:rPr>
          <w:rFonts w:ascii="Times New Roman" w:hAnsi="Times New Roman" w:cs="Times New Roman"/>
          <w:noProof/>
          <w:sz w:val="24"/>
          <w:szCs w:val="24"/>
        </w:rPr>
        <w:t>the supervisory reporting system in the EU</w:t>
      </w:r>
      <w:r w:rsidRPr="00C64B4C">
        <w:rPr>
          <w:rFonts w:ascii="Times New Roman" w:hAnsi="Times New Roman" w:cs="Times New Roman"/>
          <w:noProof/>
          <w:sz w:val="24"/>
          <w:szCs w:val="24"/>
        </w:rPr>
        <w:t xml:space="preserve"> (this</w:t>
      </w:r>
      <w:r w:rsidR="0019099B" w:rsidRPr="00C64B4C">
        <w:rPr>
          <w:rFonts w:ascii="Times New Roman" w:hAnsi="Times New Roman" w:cs="Times New Roman"/>
          <w:noProof/>
          <w:sz w:val="24"/>
          <w:szCs w:val="24"/>
        </w:rPr>
        <w:t xml:space="preserve"> will also facilitate coordination between supervisors and contribute to supervisory convergence</w:t>
      </w:r>
      <w:r w:rsidRPr="00C64B4C">
        <w:rPr>
          <w:rFonts w:ascii="Times New Roman" w:hAnsi="Times New Roman" w:cs="Times New Roman"/>
          <w:noProof/>
          <w:sz w:val="24"/>
          <w:szCs w:val="24"/>
        </w:rPr>
        <w:t xml:space="preserve">); </w:t>
      </w:r>
    </w:p>
    <w:p w14:paraId="5CE40B04" w14:textId="77777777" w:rsidR="00BF03BE" w:rsidRPr="00C64B4C" w:rsidRDefault="00BF03BE" w:rsidP="00312003">
      <w:pPr>
        <w:pStyle w:val="ListParagraph"/>
        <w:jc w:val="both"/>
        <w:rPr>
          <w:rFonts w:ascii="Times New Roman" w:hAnsi="Times New Roman" w:cs="Times New Roman"/>
          <w:noProof/>
          <w:sz w:val="24"/>
          <w:szCs w:val="24"/>
        </w:rPr>
      </w:pPr>
    </w:p>
    <w:p w14:paraId="33878074" w14:textId="77777777" w:rsidR="00BF03BE" w:rsidRPr="00C64B4C" w:rsidRDefault="007B2CE0" w:rsidP="00312003">
      <w:pPr>
        <w:pStyle w:val="ListParagraph"/>
        <w:numPr>
          <w:ilvl w:val="0"/>
          <w:numId w:val="13"/>
        </w:numPr>
        <w:spacing w:after="0"/>
        <w:jc w:val="both"/>
        <w:rPr>
          <w:rFonts w:ascii="Times New Roman" w:hAnsi="Times New Roman" w:cs="Times New Roman"/>
          <w:noProof/>
          <w:sz w:val="24"/>
          <w:szCs w:val="24"/>
          <w:lang w:eastAsia="en-GB" w:bidi="en-GB"/>
        </w:rPr>
      </w:pPr>
      <w:r w:rsidRPr="00C64B4C">
        <w:rPr>
          <w:rFonts w:ascii="Times New Roman" w:hAnsi="Times New Roman" w:cs="Times New Roman"/>
          <w:noProof/>
          <w:sz w:val="24"/>
          <w:szCs w:val="24"/>
        </w:rPr>
        <w:t>t</w:t>
      </w:r>
      <w:r w:rsidR="00BF03BE" w:rsidRPr="00C64B4C">
        <w:rPr>
          <w:rFonts w:ascii="Times New Roman" w:hAnsi="Times New Roman" w:cs="Times New Roman"/>
          <w:noProof/>
          <w:sz w:val="24"/>
          <w:szCs w:val="24"/>
        </w:rPr>
        <w:t>he CRD VI proposal</w:t>
      </w:r>
      <w:r w:rsidR="00312003" w:rsidRPr="00C64B4C">
        <w:rPr>
          <w:rStyle w:val="FootnoteReference"/>
          <w:rFonts w:ascii="Times New Roman" w:hAnsi="Times New Roman" w:cs="Times New Roman"/>
          <w:noProof/>
          <w:sz w:val="24"/>
          <w:szCs w:val="24"/>
        </w:rPr>
        <w:footnoteReference w:id="24"/>
      </w:r>
      <w:r w:rsidRPr="00C64B4C">
        <w:rPr>
          <w:rFonts w:ascii="Times New Roman" w:hAnsi="Times New Roman" w:cs="Times New Roman"/>
          <w:noProof/>
          <w:sz w:val="24"/>
          <w:szCs w:val="24"/>
        </w:rPr>
        <w:t>, which</w:t>
      </w:r>
      <w:r w:rsidR="00BF03BE" w:rsidRPr="00C64B4C">
        <w:rPr>
          <w:rFonts w:ascii="Times New Roman" w:hAnsi="Times New Roman" w:cs="Times New Roman"/>
          <w:noProof/>
          <w:sz w:val="24"/>
          <w:szCs w:val="24"/>
        </w:rPr>
        <w:t xml:space="preserve"> would harmonise sanctioning powers and introduce enforcement tool</w:t>
      </w:r>
      <w:r w:rsidR="00851C88" w:rsidRPr="00C64B4C">
        <w:rPr>
          <w:rFonts w:ascii="Times New Roman" w:hAnsi="Times New Roman" w:cs="Times New Roman"/>
          <w:noProof/>
          <w:sz w:val="24"/>
          <w:szCs w:val="24"/>
        </w:rPr>
        <w:t>s</w:t>
      </w:r>
      <w:r w:rsidR="00BF03BE" w:rsidRPr="00C64B4C">
        <w:rPr>
          <w:rFonts w:ascii="Times New Roman" w:hAnsi="Times New Roman" w:cs="Times New Roman"/>
          <w:noProof/>
          <w:sz w:val="24"/>
          <w:szCs w:val="24"/>
        </w:rPr>
        <w:t xml:space="preserve"> (e.g. periodic penalty payments) at the disposal of European </w:t>
      </w:r>
      <w:r w:rsidR="00BF03BE" w:rsidRPr="00C64B4C">
        <w:rPr>
          <w:rFonts w:ascii="Times New Roman" w:hAnsi="Times New Roman" w:cs="Times New Roman"/>
          <w:noProof/>
          <w:sz w:val="24"/>
          <w:szCs w:val="24"/>
          <w:lang w:eastAsia="en-GB" w:bidi="en-GB"/>
        </w:rPr>
        <w:t xml:space="preserve">supervisors. </w:t>
      </w:r>
    </w:p>
    <w:p w14:paraId="7057C079" w14:textId="77777777" w:rsidR="0005122A" w:rsidRPr="00C64B4C" w:rsidRDefault="0005122A" w:rsidP="00312003">
      <w:pPr>
        <w:jc w:val="both"/>
        <w:rPr>
          <w:rFonts w:eastAsiaTheme="minorHAnsi"/>
          <w:noProof/>
          <w:sz w:val="24"/>
          <w:szCs w:val="24"/>
        </w:rPr>
      </w:pPr>
    </w:p>
    <w:p w14:paraId="717FD618" w14:textId="77777777" w:rsidR="00B01624" w:rsidRPr="00C64B4C" w:rsidRDefault="007B2CE0" w:rsidP="00901A5C">
      <w:pPr>
        <w:jc w:val="both"/>
        <w:rPr>
          <w:rFonts w:eastAsiaTheme="minorHAnsi"/>
          <w:noProof/>
          <w:sz w:val="24"/>
          <w:szCs w:val="24"/>
        </w:rPr>
      </w:pPr>
      <w:r w:rsidRPr="00C64B4C">
        <w:rPr>
          <w:rFonts w:eastAsiaTheme="minorHAnsi"/>
          <w:noProof/>
          <w:sz w:val="24"/>
          <w:szCs w:val="24"/>
        </w:rPr>
        <w:t>To address specific problems, t</w:t>
      </w:r>
      <w:r w:rsidR="00C03077" w:rsidRPr="00C64B4C">
        <w:rPr>
          <w:rFonts w:eastAsiaTheme="minorHAnsi"/>
          <w:noProof/>
          <w:sz w:val="24"/>
          <w:szCs w:val="24"/>
        </w:rPr>
        <w:t xml:space="preserve">he Commission will </w:t>
      </w:r>
      <w:r w:rsidRPr="00C64B4C">
        <w:rPr>
          <w:rFonts w:eastAsiaTheme="minorHAnsi"/>
          <w:noProof/>
          <w:sz w:val="24"/>
          <w:szCs w:val="24"/>
        </w:rPr>
        <w:t xml:space="preserve">also </w:t>
      </w:r>
      <w:r w:rsidR="00C03077" w:rsidRPr="00C64B4C">
        <w:rPr>
          <w:rFonts w:eastAsiaTheme="minorHAnsi"/>
          <w:noProof/>
          <w:sz w:val="24"/>
          <w:szCs w:val="24"/>
        </w:rPr>
        <w:t xml:space="preserve">continue </w:t>
      </w:r>
      <w:r w:rsidR="007F02DC" w:rsidRPr="00C64B4C">
        <w:rPr>
          <w:rFonts w:eastAsiaTheme="minorHAnsi"/>
          <w:noProof/>
          <w:sz w:val="24"/>
          <w:szCs w:val="24"/>
        </w:rPr>
        <w:t xml:space="preserve">to </w:t>
      </w:r>
      <w:r w:rsidR="003A406B" w:rsidRPr="00C64B4C">
        <w:rPr>
          <w:rFonts w:eastAsiaTheme="minorHAnsi"/>
          <w:noProof/>
          <w:sz w:val="24"/>
          <w:szCs w:val="24"/>
        </w:rPr>
        <w:t>propos</w:t>
      </w:r>
      <w:r w:rsidR="007F02DC" w:rsidRPr="00C64B4C">
        <w:rPr>
          <w:rFonts w:eastAsiaTheme="minorHAnsi"/>
          <w:noProof/>
          <w:sz w:val="24"/>
          <w:szCs w:val="24"/>
        </w:rPr>
        <w:t>e</w:t>
      </w:r>
      <w:r w:rsidR="003A406B" w:rsidRPr="00C64B4C">
        <w:rPr>
          <w:rFonts w:eastAsiaTheme="minorHAnsi"/>
          <w:noProof/>
          <w:sz w:val="24"/>
          <w:szCs w:val="24"/>
        </w:rPr>
        <w:t xml:space="preserve"> </w:t>
      </w:r>
      <w:r w:rsidR="00C03077" w:rsidRPr="00C64B4C">
        <w:rPr>
          <w:rFonts w:eastAsiaTheme="minorHAnsi"/>
          <w:noProof/>
          <w:sz w:val="24"/>
          <w:szCs w:val="24"/>
        </w:rPr>
        <w:t>targeted changes in upcoming reviews of sector legislation</w:t>
      </w:r>
      <w:r w:rsidR="003A406B" w:rsidRPr="00C64B4C">
        <w:rPr>
          <w:rFonts w:eastAsiaTheme="minorHAnsi"/>
          <w:noProof/>
          <w:sz w:val="24"/>
          <w:szCs w:val="24"/>
        </w:rPr>
        <w:t xml:space="preserve"> as necessary</w:t>
      </w:r>
      <w:r w:rsidR="00C03077" w:rsidRPr="00C64B4C">
        <w:rPr>
          <w:rFonts w:eastAsiaTheme="minorHAnsi"/>
          <w:noProof/>
          <w:sz w:val="24"/>
          <w:szCs w:val="24"/>
        </w:rPr>
        <w:t>.</w:t>
      </w:r>
      <w:r w:rsidR="00B01624" w:rsidRPr="00C64B4C">
        <w:rPr>
          <w:rFonts w:eastAsiaTheme="minorHAnsi"/>
          <w:noProof/>
          <w:sz w:val="24"/>
          <w:szCs w:val="24"/>
        </w:rPr>
        <w:t xml:space="preserve"> </w:t>
      </w:r>
    </w:p>
    <w:p w14:paraId="50454589" w14:textId="77777777" w:rsidR="0089184F" w:rsidRPr="00C64B4C" w:rsidRDefault="0089184F" w:rsidP="00901A5C">
      <w:pPr>
        <w:jc w:val="both"/>
        <w:rPr>
          <w:rFonts w:eastAsiaTheme="minorHAnsi"/>
          <w:noProof/>
          <w:sz w:val="24"/>
          <w:szCs w:val="24"/>
        </w:rPr>
      </w:pPr>
    </w:p>
    <w:p w14:paraId="0C898B7D" w14:textId="6359203B" w:rsidR="00DE21BC" w:rsidRPr="00C64B4C" w:rsidRDefault="007B2CE0" w:rsidP="00901A5C">
      <w:pPr>
        <w:jc w:val="both"/>
        <w:rPr>
          <w:rFonts w:eastAsiaTheme="minorHAnsi"/>
          <w:noProof/>
          <w:sz w:val="24"/>
          <w:szCs w:val="24"/>
        </w:rPr>
      </w:pPr>
      <w:r w:rsidRPr="00C64B4C">
        <w:rPr>
          <w:rFonts w:eastAsiaTheme="minorHAnsi"/>
          <w:noProof/>
          <w:sz w:val="24"/>
          <w:szCs w:val="24"/>
        </w:rPr>
        <w:t xml:space="preserve">On </w:t>
      </w:r>
      <w:r w:rsidR="00CF2E8C" w:rsidRPr="00C64B4C">
        <w:rPr>
          <w:rFonts w:eastAsiaTheme="minorHAnsi"/>
          <w:noProof/>
          <w:sz w:val="24"/>
          <w:szCs w:val="24"/>
        </w:rPr>
        <w:t>the Q&amp;A process</w:t>
      </w:r>
      <w:r w:rsidR="00A9009D" w:rsidRPr="00C64B4C">
        <w:rPr>
          <w:rFonts w:eastAsiaTheme="minorHAnsi"/>
          <w:noProof/>
          <w:sz w:val="24"/>
          <w:szCs w:val="24"/>
        </w:rPr>
        <w:t>,</w:t>
      </w:r>
      <w:r w:rsidR="00CF2E8C" w:rsidRPr="00C64B4C">
        <w:rPr>
          <w:rFonts w:eastAsiaTheme="minorHAnsi"/>
          <w:noProof/>
          <w:sz w:val="24"/>
          <w:szCs w:val="24"/>
        </w:rPr>
        <w:t xml:space="preserve"> the </w:t>
      </w:r>
      <w:r w:rsidR="008258BE">
        <w:rPr>
          <w:rFonts w:eastAsiaTheme="minorHAnsi"/>
          <w:noProof/>
          <w:sz w:val="24"/>
          <w:szCs w:val="24"/>
        </w:rPr>
        <w:t xml:space="preserve">power to issue (non-binding) interpretations of Union law lies with the Commission as the guardian of the Treaties rather than with the ESAs. However, the </w:t>
      </w:r>
      <w:r w:rsidR="00CF2E8C" w:rsidRPr="00C64B4C">
        <w:rPr>
          <w:rFonts w:eastAsiaTheme="minorHAnsi"/>
          <w:noProof/>
          <w:sz w:val="24"/>
          <w:szCs w:val="24"/>
        </w:rPr>
        <w:t xml:space="preserve">Commission </w:t>
      </w:r>
      <w:r w:rsidR="007F02DC" w:rsidRPr="00C64B4C">
        <w:rPr>
          <w:rFonts w:eastAsiaTheme="minorHAnsi"/>
          <w:noProof/>
          <w:sz w:val="24"/>
          <w:szCs w:val="24"/>
        </w:rPr>
        <w:t>notes the feedback from stakeholders</w:t>
      </w:r>
      <w:r w:rsidRPr="00C64B4C">
        <w:rPr>
          <w:rFonts w:eastAsiaTheme="minorHAnsi"/>
          <w:noProof/>
          <w:sz w:val="24"/>
          <w:szCs w:val="24"/>
        </w:rPr>
        <w:t>,</w:t>
      </w:r>
      <w:r w:rsidR="007F02DC" w:rsidRPr="00C64B4C">
        <w:rPr>
          <w:rFonts w:eastAsiaTheme="minorHAnsi"/>
          <w:noProof/>
          <w:sz w:val="24"/>
          <w:szCs w:val="24"/>
        </w:rPr>
        <w:t xml:space="preserve"> and will continue to try to streamline the Q&amp;A process in practice, together with the ESAs</w:t>
      </w:r>
      <w:r w:rsidR="00D40F69" w:rsidRPr="00C64B4C">
        <w:rPr>
          <w:rFonts w:eastAsiaTheme="minorHAnsi"/>
          <w:noProof/>
          <w:sz w:val="24"/>
          <w:szCs w:val="24"/>
        </w:rPr>
        <w:t xml:space="preserve">. </w:t>
      </w:r>
      <w:r w:rsidR="00F72535" w:rsidRPr="00C64B4C">
        <w:rPr>
          <w:rFonts w:eastAsiaTheme="minorHAnsi"/>
          <w:noProof/>
          <w:sz w:val="24"/>
          <w:szCs w:val="24"/>
        </w:rPr>
        <w:t xml:space="preserve">The Commission also notes that, </w:t>
      </w:r>
      <w:r w:rsidRPr="00C64B4C">
        <w:rPr>
          <w:rFonts w:eastAsiaTheme="minorHAnsi"/>
          <w:noProof/>
          <w:sz w:val="24"/>
          <w:szCs w:val="24"/>
        </w:rPr>
        <w:t>although</w:t>
      </w:r>
      <w:r w:rsidR="00F72535" w:rsidRPr="00C64B4C">
        <w:rPr>
          <w:rFonts w:eastAsiaTheme="minorHAnsi"/>
          <w:noProof/>
          <w:sz w:val="24"/>
          <w:szCs w:val="24"/>
        </w:rPr>
        <w:t xml:space="preserve"> Q&amp;As are </w:t>
      </w:r>
      <w:r w:rsidRPr="00C64B4C">
        <w:rPr>
          <w:rFonts w:eastAsiaTheme="minorHAnsi"/>
          <w:noProof/>
          <w:sz w:val="24"/>
          <w:szCs w:val="24"/>
        </w:rPr>
        <w:t xml:space="preserve">often </w:t>
      </w:r>
      <w:r w:rsidR="00F72535" w:rsidRPr="00C64B4C">
        <w:rPr>
          <w:rFonts w:eastAsiaTheme="minorHAnsi"/>
          <w:noProof/>
          <w:sz w:val="24"/>
          <w:szCs w:val="24"/>
        </w:rPr>
        <w:t xml:space="preserve">a useful tool to clarify aspects of legislation, </w:t>
      </w:r>
      <w:r w:rsidRPr="00C64B4C">
        <w:rPr>
          <w:rFonts w:eastAsiaTheme="minorHAnsi"/>
          <w:noProof/>
          <w:sz w:val="24"/>
          <w:szCs w:val="24"/>
        </w:rPr>
        <w:t>they</w:t>
      </w:r>
      <w:r w:rsidR="00F72535" w:rsidRPr="00C64B4C">
        <w:rPr>
          <w:rFonts w:eastAsiaTheme="minorHAnsi"/>
          <w:noProof/>
          <w:sz w:val="24"/>
          <w:szCs w:val="24"/>
        </w:rPr>
        <w:t xml:space="preserve"> are </w:t>
      </w:r>
      <w:r w:rsidRPr="00C64B4C">
        <w:rPr>
          <w:rFonts w:eastAsiaTheme="minorHAnsi"/>
          <w:noProof/>
          <w:sz w:val="24"/>
          <w:szCs w:val="24"/>
        </w:rPr>
        <w:t xml:space="preserve">sometimes </w:t>
      </w:r>
      <w:r w:rsidR="00F72535" w:rsidRPr="00C64B4C">
        <w:rPr>
          <w:rFonts w:eastAsiaTheme="minorHAnsi"/>
          <w:noProof/>
          <w:sz w:val="24"/>
          <w:szCs w:val="24"/>
        </w:rPr>
        <w:t xml:space="preserve">used by stakeholders to </w:t>
      </w:r>
      <w:r w:rsidR="006B22E0" w:rsidRPr="00C64B4C">
        <w:rPr>
          <w:rFonts w:eastAsiaTheme="minorHAnsi"/>
          <w:noProof/>
          <w:sz w:val="24"/>
          <w:szCs w:val="24"/>
        </w:rPr>
        <w:t>obtain guidance</w:t>
      </w:r>
      <w:r w:rsidR="00F72535" w:rsidRPr="00C64B4C">
        <w:rPr>
          <w:rFonts w:eastAsiaTheme="minorHAnsi"/>
          <w:noProof/>
          <w:sz w:val="24"/>
          <w:szCs w:val="24"/>
        </w:rPr>
        <w:t xml:space="preserve"> for their own very specific situations</w:t>
      </w:r>
      <w:r w:rsidRPr="00C64B4C">
        <w:rPr>
          <w:rFonts w:eastAsiaTheme="minorHAnsi"/>
          <w:noProof/>
          <w:sz w:val="24"/>
          <w:szCs w:val="24"/>
        </w:rPr>
        <w:t>,</w:t>
      </w:r>
      <w:r w:rsidR="00F72535" w:rsidRPr="00C64B4C">
        <w:rPr>
          <w:rFonts w:eastAsiaTheme="minorHAnsi"/>
          <w:noProof/>
          <w:sz w:val="24"/>
          <w:szCs w:val="24"/>
        </w:rPr>
        <w:t xml:space="preserve"> and are not necessarily in the general interest.</w:t>
      </w:r>
    </w:p>
    <w:p w14:paraId="13B8F169" w14:textId="77777777" w:rsidR="00F324C1" w:rsidRPr="00C64B4C" w:rsidRDefault="00F324C1" w:rsidP="00901A5C">
      <w:pPr>
        <w:jc w:val="both"/>
        <w:rPr>
          <w:rFonts w:eastAsiaTheme="minorHAnsi"/>
          <w:noProof/>
          <w:sz w:val="24"/>
          <w:szCs w:val="24"/>
        </w:rPr>
      </w:pPr>
    </w:p>
    <w:p w14:paraId="3912090F" w14:textId="77777777" w:rsidR="00C03077" w:rsidRPr="00C64B4C" w:rsidRDefault="007B2CE0" w:rsidP="00901A5C">
      <w:pPr>
        <w:jc w:val="both"/>
        <w:rPr>
          <w:rFonts w:eastAsiaTheme="minorHAnsi"/>
          <w:noProof/>
          <w:sz w:val="24"/>
          <w:szCs w:val="24"/>
        </w:rPr>
      </w:pPr>
      <w:r w:rsidRPr="00C64B4C">
        <w:rPr>
          <w:rFonts w:eastAsiaTheme="minorHAnsi"/>
          <w:noProof/>
          <w:sz w:val="24"/>
          <w:szCs w:val="24"/>
        </w:rPr>
        <w:t>Although it is</w:t>
      </w:r>
      <w:r w:rsidR="00E24506" w:rsidRPr="00C64B4C">
        <w:rPr>
          <w:rFonts w:eastAsiaTheme="minorHAnsi"/>
          <w:noProof/>
          <w:sz w:val="24"/>
          <w:szCs w:val="24"/>
        </w:rPr>
        <w:t xml:space="preserve"> mindful of the concerns raised by stakeholders, </w:t>
      </w:r>
      <w:r w:rsidR="00A9009D" w:rsidRPr="00C64B4C">
        <w:rPr>
          <w:rFonts w:eastAsiaTheme="minorHAnsi"/>
          <w:noProof/>
          <w:sz w:val="24"/>
          <w:szCs w:val="24"/>
        </w:rPr>
        <w:t xml:space="preserve">the Commission considers that more time is needed to assess the effectiveness </w:t>
      </w:r>
      <w:r w:rsidR="00E84216" w:rsidRPr="00C64B4C">
        <w:rPr>
          <w:rFonts w:eastAsiaTheme="minorHAnsi"/>
          <w:noProof/>
          <w:sz w:val="24"/>
          <w:szCs w:val="24"/>
        </w:rPr>
        <w:t xml:space="preserve">of </w:t>
      </w:r>
      <w:r w:rsidR="00E24506" w:rsidRPr="00C64B4C">
        <w:rPr>
          <w:rFonts w:eastAsiaTheme="minorHAnsi"/>
          <w:noProof/>
          <w:sz w:val="24"/>
          <w:szCs w:val="24"/>
        </w:rPr>
        <w:t>the</w:t>
      </w:r>
      <w:r w:rsidR="00A9009D" w:rsidRPr="00C64B4C">
        <w:rPr>
          <w:rFonts w:eastAsiaTheme="minorHAnsi"/>
          <w:noProof/>
          <w:sz w:val="24"/>
          <w:szCs w:val="24"/>
        </w:rPr>
        <w:t xml:space="preserve"> new </w:t>
      </w:r>
      <w:r w:rsidR="006672D5" w:rsidRPr="00C64B4C">
        <w:rPr>
          <w:rFonts w:eastAsiaTheme="minorHAnsi"/>
          <w:noProof/>
          <w:sz w:val="24"/>
          <w:szCs w:val="24"/>
        </w:rPr>
        <w:t xml:space="preserve">provision on </w:t>
      </w:r>
      <w:r w:rsidR="00E24506" w:rsidRPr="00C64B4C">
        <w:rPr>
          <w:rFonts w:eastAsiaTheme="minorHAnsi"/>
          <w:noProof/>
          <w:sz w:val="24"/>
          <w:szCs w:val="24"/>
        </w:rPr>
        <w:t>no</w:t>
      </w:r>
      <w:r w:rsidR="006672D5" w:rsidRPr="00C64B4C">
        <w:rPr>
          <w:rFonts w:eastAsiaTheme="minorHAnsi"/>
          <w:noProof/>
          <w:sz w:val="24"/>
          <w:szCs w:val="24"/>
        </w:rPr>
        <w:t>-</w:t>
      </w:r>
      <w:r w:rsidR="00E24506" w:rsidRPr="00C64B4C">
        <w:rPr>
          <w:rFonts w:eastAsiaTheme="minorHAnsi"/>
          <w:noProof/>
          <w:sz w:val="24"/>
          <w:szCs w:val="24"/>
        </w:rPr>
        <w:t>action letter</w:t>
      </w:r>
      <w:r w:rsidR="006672D5" w:rsidRPr="00C64B4C">
        <w:rPr>
          <w:rFonts w:eastAsiaTheme="minorHAnsi"/>
          <w:noProof/>
          <w:sz w:val="24"/>
          <w:szCs w:val="24"/>
        </w:rPr>
        <w:t>s (</w:t>
      </w:r>
      <w:r w:rsidR="00A9009D" w:rsidRPr="00C64B4C">
        <w:rPr>
          <w:rFonts w:eastAsiaTheme="minorHAnsi"/>
          <w:noProof/>
          <w:sz w:val="24"/>
          <w:szCs w:val="24"/>
        </w:rPr>
        <w:t xml:space="preserve">and </w:t>
      </w:r>
      <w:r w:rsidR="006672D5" w:rsidRPr="00C64B4C">
        <w:rPr>
          <w:rFonts w:eastAsiaTheme="minorHAnsi"/>
          <w:noProof/>
          <w:sz w:val="24"/>
          <w:szCs w:val="24"/>
        </w:rPr>
        <w:t xml:space="preserve">the </w:t>
      </w:r>
      <w:r w:rsidR="00A9009D" w:rsidRPr="00C64B4C">
        <w:rPr>
          <w:rFonts w:eastAsiaTheme="minorHAnsi"/>
          <w:noProof/>
          <w:sz w:val="24"/>
          <w:szCs w:val="24"/>
        </w:rPr>
        <w:t>potential use cases</w:t>
      </w:r>
      <w:r w:rsidR="00DE21BC" w:rsidRPr="00C64B4C">
        <w:rPr>
          <w:rFonts w:eastAsiaTheme="minorHAnsi"/>
          <w:noProof/>
          <w:sz w:val="24"/>
          <w:szCs w:val="24"/>
        </w:rPr>
        <w:t xml:space="preserve"> </w:t>
      </w:r>
      <w:r w:rsidR="006672D5" w:rsidRPr="00C64B4C">
        <w:rPr>
          <w:rFonts w:eastAsiaTheme="minorHAnsi"/>
          <w:noProof/>
          <w:sz w:val="24"/>
          <w:szCs w:val="24"/>
        </w:rPr>
        <w:t xml:space="preserve">of this provision) </w:t>
      </w:r>
      <w:r w:rsidR="00DE21BC" w:rsidRPr="00C64B4C">
        <w:rPr>
          <w:rFonts w:eastAsiaTheme="minorHAnsi"/>
          <w:noProof/>
          <w:sz w:val="24"/>
          <w:szCs w:val="24"/>
        </w:rPr>
        <w:t>before considering whet</w:t>
      </w:r>
      <w:r w:rsidR="00E24506" w:rsidRPr="00C64B4C">
        <w:rPr>
          <w:rFonts w:eastAsiaTheme="minorHAnsi"/>
          <w:noProof/>
          <w:sz w:val="24"/>
          <w:szCs w:val="24"/>
        </w:rPr>
        <w:t>her any fine tuning</w:t>
      </w:r>
      <w:r w:rsidR="00DE21BC" w:rsidRPr="00C64B4C">
        <w:rPr>
          <w:rFonts w:eastAsiaTheme="minorHAnsi"/>
          <w:noProof/>
          <w:sz w:val="24"/>
          <w:szCs w:val="24"/>
        </w:rPr>
        <w:t xml:space="preserve"> </w:t>
      </w:r>
      <w:r w:rsidR="006672D5" w:rsidRPr="00C64B4C">
        <w:rPr>
          <w:rFonts w:eastAsiaTheme="minorHAnsi"/>
          <w:noProof/>
          <w:sz w:val="24"/>
          <w:szCs w:val="24"/>
        </w:rPr>
        <w:t>is</w:t>
      </w:r>
      <w:r w:rsidR="00B60AED" w:rsidRPr="00C64B4C">
        <w:rPr>
          <w:rFonts w:eastAsiaTheme="minorHAnsi"/>
          <w:noProof/>
          <w:sz w:val="24"/>
          <w:szCs w:val="24"/>
        </w:rPr>
        <w:t xml:space="preserve"> needed.</w:t>
      </w:r>
      <w:r w:rsidR="00DE21BC" w:rsidRPr="00C64B4C">
        <w:rPr>
          <w:rFonts w:eastAsiaTheme="minorHAnsi"/>
          <w:noProof/>
          <w:sz w:val="24"/>
          <w:szCs w:val="24"/>
        </w:rPr>
        <w:t xml:space="preserve"> </w:t>
      </w:r>
      <w:r w:rsidR="008610E2" w:rsidRPr="00C64B4C">
        <w:rPr>
          <w:rFonts w:eastAsiaTheme="minorHAnsi"/>
          <w:noProof/>
          <w:sz w:val="24"/>
          <w:szCs w:val="24"/>
        </w:rPr>
        <w:t xml:space="preserve">That said, some </w:t>
      </w:r>
      <w:r w:rsidR="006672D5" w:rsidRPr="00C64B4C">
        <w:rPr>
          <w:rFonts w:eastAsiaTheme="minorHAnsi"/>
          <w:noProof/>
          <w:sz w:val="24"/>
          <w:szCs w:val="24"/>
        </w:rPr>
        <w:t xml:space="preserve">stakeholders seem to wish for </w:t>
      </w:r>
      <w:r w:rsidR="008610E2" w:rsidRPr="00C64B4C">
        <w:rPr>
          <w:rFonts w:eastAsiaTheme="minorHAnsi"/>
          <w:noProof/>
          <w:sz w:val="24"/>
          <w:szCs w:val="24"/>
        </w:rPr>
        <w:t xml:space="preserve">extensions </w:t>
      </w:r>
      <w:r w:rsidR="006672D5" w:rsidRPr="00C64B4C">
        <w:rPr>
          <w:rFonts w:eastAsiaTheme="minorHAnsi"/>
          <w:noProof/>
          <w:sz w:val="24"/>
          <w:szCs w:val="24"/>
        </w:rPr>
        <w:t xml:space="preserve">to </w:t>
      </w:r>
      <w:r w:rsidR="008610E2" w:rsidRPr="00C64B4C">
        <w:rPr>
          <w:rFonts w:eastAsiaTheme="minorHAnsi"/>
          <w:noProof/>
          <w:sz w:val="24"/>
          <w:szCs w:val="24"/>
        </w:rPr>
        <w:t xml:space="preserve">the scope and effect of this provision that </w:t>
      </w:r>
      <w:r w:rsidR="006672D5" w:rsidRPr="00C64B4C">
        <w:rPr>
          <w:rFonts w:eastAsiaTheme="minorHAnsi"/>
          <w:noProof/>
          <w:sz w:val="24"/>
          <w:szCs w:val="24"/>
        </w:rPr>
        <w:t>would</w:t>
      </w:r>
      <w:r w:rsidR="008610E2" w:rsidRPr="00C64B4C">
        <w:rPr>
          <w:rFonts w:eastAsiaTheme="minorHAnsi"/>
          <w:noProof/>
          <w:sz w:val="24"/>
          <w:szCs w:val="24"/>
        </w:rPr>
        <w:t xml:space="preserve"> risk conflicting with general principles of U</w:t>
      </w:r>
      <w:r w:rsidR="00D76BB4" w:rsidRPr="00C64B4C">
        <w:rPr>
          <w:rFonts w:eastAsiaTheme="minorHAnsi"/>
          <w:noProof/>
          <w:sz w:val="24"/>
          <w:szCs w:val="24"/>
        </w:rPr>
        <w:t>nion</w:t>
      </w:r>
      <w:r w:rsidR="008610E2" w:rsidRPr="00C64B4C">
        <w:rPr>
          <w:rFonts w:eastAsiaTheme="minorHAnsi"/>
          <w:noProof/>
          <w:sz w:val="24"/>
          <w:szCs w:val="24"/>
        </w:rPr>
        <w:t xml:space="preserve"> law. In this context, the Commission has recently proposed </w:t>
      </w:r>
      <w:r w:rsidR="006672D5" w:rsidRPr="00C64B4C">
        <w:rPr>
          <w:rFonts w:eastAsiaTheme="minorHAnsi"/>
          <w:noProof/>
          <w:sz w:val="24"/>
          <w:szCs w:val="24"/>
        </w:rPr>
        <w:t xml:space="preserve">ways </w:t>
      </w:r>
      <w:r w:rsidR="008610E2" w:rsidRPr="00C64B4C">
        <w:rPr>
          <w:rFonts w:eastAsiaTheme="minorHAnsi"/>
          <w:noProof/>
          <w:sz w:val="24"/>
          <w:szCs w:val="24"/>
        </w:rPr>
        <w:t xml:space="preserve">to ensure that specific provisions of </w:t>
      </w:r>
      <w:r w:rsidR="006672D5" w:rsidRPr="00C64B4C">
        <w:rPr>
          <w:rFonts w:eastAsiaTheme="minorHAnsi"/>
          <w:noProof/>
          <w:sz w:val="24"/>
          <w:szCs w:val="24"/>
        </w:rPr>
        <w:t>U</w:t>
      </w:r>
      <w:r w:rsidR="00D76BB4" w:rsidRPr="00C64B4C">
        <w:rPr>
          <w:rFonts w:eastAsiaTheme="minorHAnsi"/>
          <w:noProof/>
          <w:sz w:val="24"/>
          <w:szCs w:val="24"/>
        </w:rPr>
        <w:t>nion</w:t>
      </w:r>
      <w:r w:rsidR="006672D5" w:rsidRPr="00C64B4C">
        <w:rPr>
          <w:rFonts w:eastAsiaTheme="minorHAnsi"/>
          <w:noProof/>
          <w:sz w:val="24"/>
          <w:szCs w:val="24"/>
        </w:rPr>
        <w:t xml:space="preserve"> </w:t>
      </w:r>
      <w:r w:rsidR="008610E2" w:rsidRPr="00C64B4C">
        <w:rPr>
          <w:rFonts w:eastAsiaTheme="minorHAnsi"/>
          <w:noProof/>
          <w:sz w:val="24"/>
          <w:szCs w:val="24"/>
        </w:rPr>
        <w:t>law do not apply under certain circumstances such as in the MIFIR proposal</w:t>
      </w:r>
      <w:r w:rsidR="00312003" w:rsidRPr="00C64B4C">
        <w:rPr>
          <w:rStyle w:val="FootnoteReference"/>
          <w:rFonts w:eastAsiaTheme="minorHAnsi"/>
          <w:noProof/>
          <w:sz w:val="24"/>
          <w:szCs w:val="24"/>
        </w:rPr>
        <w:footnoteReference w:id="25"/>
      </w:r>
      <w:r w:rsidR="008610E2" w:rsidRPr="00C64B4C">
        <w:rPr>
          <w:rFonts w:eastAsiaTheme="minorHAnsi"/>
          <w:noProof/>
          <w:sz w:val="24"/>
          <w:szCs w:val="24"/>
        </w:rPr>
        <w:t xml:space="preserve">, </w:t>
      </w:r>
      <w:r w:rsidR="00DE4345" w:rsidRPr="00C64B4C">
        <w:rPr>
          <w:rFonts w:eastAsiaTheme="minorHAnsi"/>
          <w:noProof/>
          <w:sz w:val="24"/>
          <w:szCs w:val="24"/>
        </w:rPr>
        <w:t xml:space="preserve">thus </w:t>
      </w:r>
      <w:r w:rsidR="008610E2" w:rsidRPr="00C64B4C">
        <w:rPr>
          <w:rFonts w:eastAsiaTheme="minorHAnsi"/>
          <w:noProof/>
          <w:sz w:val="24"/>
          <w:szCs w:val="24"/>
        </w:rPr>
        <w:t>seeking to achieve on a case</w:t>
      </w:r>
      <w:r w:rsidR="006672D5" w:rsidRPr="00C64B4C">
        <w:rPr>
          <w:rFonts w:eastAsiaTheme="minorHAnsi"/>
          <w:noProof/>
          <w:sz w:val="24"/>
          <w:szCs w:val="24"/>
        </w:rPr>
        <w:t>-</w:t>
      </w:r>
      <w:r w:rsidR="008610E2" w:rsidRPr="00C64B4C">
        <w:rPr>
          <w:rFonts w:eastAsiaTheme="minorHAnsi"/>
          <w:noProof/>
          <w:sz w:val="24"/>
          <w:szCs w:val="24"/>
        </w:rPr>
        <w:t>by</w:t>
      </w:r>
      <w:r w:rsidR="006672D5" w:rsidRPr="00C64B4C">
        <w:rPr>
          <w:rFonts w:eastAsiaTheme="minorHAnsi"/>
          <w:noProof/>
          <w:sz w:val="24"/>
          <w:szCs w:val="24"/>
        </w:rPr>
        <w:t>-</w:t>
      </w:r>
      <w:r w:rsidR="008610E2" w:rsidRPr="00C64B4C">
        <w:rPr>
          <w:rFonts w:eastAsiaTheme="minorHAnsi"/>
          <w:noProof/>
          <w:sz w:val="24"/>
          <w:szCs w:val="24"/>
        </w:rPr>
        <w:t xml:space="preserve">case basis </w:t>
      </w:r>
      <w:r w:rsidR="00E903B8" w:rsidRPr="00C64B4C">
        <w:rPr>
          <w:rFonts w:eastAsiaTheme="minorHAnsi"/>
          <w:noProof/>
          <w:sz w:val="24"/>
          <w:szCs w:val="24"/>
        </w:rPr>
        <w:t xml:space="preserve">some of </w:t>
      </w:r>
      <w:r w:rsidR="008610E2" w:rsidRPr="00C64B4C">
        <w:rPr>
          <w:rFonts w:eastAsiaTheme="minorHAnsi"/>
          <w:noProof/>
          <w:sz w:val="24"/>
          <w:szCs w:val="24"/>
        </w:rPr>
        <w:t xml:space="preserve">the flexibility of the framework </w:t>
      </w:r>
      <w:r w:rsidR="001C19B2" w:rsidRPr="00C64B4C">
        <w:rPr>
          <w:rFonts w:eastAsiaTheme="minorHAnsi"/>
          <w:noProof/>
          <w:sz w:val="24"/>
          <w:szCs w:val="24"/>
        </w:rPr>
        <w:t>sought by</w:t>
      </w:r>
      <w:r w:rsidR="008610E2" w:rsidRPr="00C64B4C">
        <w:rPr>
          <w:rFonts w:eastAsiaTheme="minorHAnsi"/>
          <w:noProof/>
          <w:sz w:val="24"/>
          <w:szCs w:val="24"/>
        </w:rPr>
        <w:t xml:space="preserve"> those stakeholders.</w:t>
      </w:r>
    </w:p>
    <w:p w14:paraId="03F25BF8" w14:textId="77777777" w:rsidR="000F0FB8" w:rsidRPr="00C64B4C" w:rsidRDefault="000F0FB8" w:rsidP="00901A5C">
      <w:pPr>
        <w:jc w:val="both"/>
        <w:rPr>
          <w:rFonts w:eastAsiaTheme="minorHAnsi"/>
          <w:noProof/>
          <w:sz w:val="24"/>
          <w:szCs w:val="24"/>
        </w:rPr>
      </w:pPr>
    </w:p>
    <w:p w14:paraId="03BEF291" w14:textId="77777777" w:rsidR="00C03077" w:rsidRPr="00C64B4C" w:rsidRDefault="007F02DC" w:rsidP="00901A5C">
      <w:pPr>
        <w:jc w:val="both"/>
        <w:rPr>
          <w:rFonts w:eastAsiaTheme="minorHAnsi"/>
          <w:noProof/>
          <w:sz w:val="24"/>
          <w:szCs w:val="24"/>
        </w:rPr>
      </w:pPr>
      <w:r w:rsidRPr="00C64B4C">
        <w:rPr>
          <w:rFonts w:eastAsiaTheme="minorHAnsi"/>
          <w:noProof/>
          <w:sz w:val="24"/>
          <w:szCs w:val="24"/>
        </w:rPr>
        <w:t xml:space="preserve">More generally, </w:t>
      </w:r>
      <w:r w:rsidR="00B01624" w:rsidRPr="00C64B4C">
        <w:rPr>
          <w:rFonts w:eastAsiaTheme="minorHAnsi"/>
          <w:noProof/>
          <w:sz w:val="24"/>
          <w:szCs w:val="24"/>
        </w:rPr>
        <w:t>the</w:t>
      </w:r>
      <w:r w:rsidR="006672D5" w:rsidRPr="00C64B4C">
        <w:rPr>
          <w:rFonts w:eastAsiaTheme="minorHAnsi"/>
          <w:noProof/>
          <w:sz w:val="24"/>
          <w:szCs w:val="24"/>
        </w:rPr>
        <w:t xml:space="preserve"> Commission invites the</w:t>
      </w:r>
      <w:r w:rsidR="00B01624" w:rsidRPr="00C64B4C">
        <w:rPr>
          <w:rFonts w:eastAsiaTheme="minorHAnsi"/>
          <w:noProof/>
          <w:sz w:val="24"/>
          <w:szCs w:val="24"/>
        </w:rPr>
        <w:t xml:space="preserve"> ESAs </w:t>
      </w:r>
      <w:r w:rsidR="00C012AD" w:rsidRPr="00C64B4C">
        <w:rPr>
          <w:rFonts w:eastAsiaTheme="minorHAnsi"/>
          <w:noProof/>
          <w:sz w:val="24"/>
          <w:szCs w:val="24"/>
        </w:rPr>
        <w:t>to</w:t>
      </w:r>
      <w:r w:rsidR="00B01624" w:rsidRPr="00C64B4C">
        <w:rPr>
          <w:rFonts w:eastAsiaTheme="minorHAnsi"/>
          <w:noProof/>
          <w:sz w:val="24"/>
          <w:szCs w:val="24"/>
        </w:rPr>
        <w:t xml:space="preserve"> assess further </w:t>
      </w:r>
      <w:r w:rsidR="00C03077" w:rsidRPr="00C64B4C">
        <w:rPr>
          <w:rFonts w:eastAsiaTheme="minorHAnsi"/>
          <w:noProof/>
          <w:sz w:val="24"/>
          <w:szCs w:val="24"/>
        </w:rPr>
        <w:t xml:space="preserve">improvements </w:t>
      </w:r>
      <w:r w:rsidR="00E84D48" w:rsidRPr="00C64B4C">
        <w:rPr>
          <w:rFonts w:eastAsiaTheme="minorHAnsi"/>
          <w:noProof/>
          <w:sz w:val="24"/>
          <w:szCs w:val="24"/>
        </w:rPr>
        <w:t xml:space="preserve">that </w:t>
      </w:r>
      <w:r w:rsidR="00C03077" w:rsidRPr="00C64B4C">
        <w:rPr>
          <w:rFonts w:eastAsiaTheme="minorHAnsi"/>
          <w:noProof/>
          <w:sz w:val="24"/>
          <w:szCs w:val="24"/>
        </w:rPr>
        <w:t xml:space="preserve">can be implemented in the short term and </w:t>
      </w:r>
      <w:r w:rsidR="006672D5" w:rsidRPr="00C64B4C">
        <w:rPr>
          <w:rFonts w:eastAsiaTheme="minorHAnsi"/>
          <w:noProof/>
          <w:sz w:val="24"/>
          <w:szCs w:val="24"/>
        </w:rPr>
        <w:t xml:space="preserve">that </w:t>
      </w:r>
      <w:r w:rsidR="00C03077" w:rsidRPr="00C64B4C">
        <w:rPr>
          <w:rFonts w:eastAsiaTheme="minorHAnsi"/>
          <w:noProof/>
          <w:sz w:val="24"/>
          <w:szCs w:val="24"/>
        </w:rPr>
        <w:t xml:space="preserve">would not require any change to the legislative framework. </w:t>
      </w:r>
      <w:r w:rsidR="00461071" w:rsidRPr="00C64B4C">
        <w:rPr>
          <w:rFonts w:eastAsiaTheme="minorHAnsi"/>
          <w:noProof/>
          <w:sz w:val="24"/>
          <w:szCs w:val="24"/>
        </w:rPr>
        <w:t xml:space="preserve">To that end, stakeholders raised a number of ideas in the consultation. </w:t>
      </w:r>
      <w:r w:rsidR="00697570" w:rsidRPr="00C64B4C">
        <w:rPr>
          <w:rFonts w:eastAsiaTheme="minorHAnsi"/>
          <w:noProof/>
          <w:sz w:val="24"/>
          <w:szCs w:val="24"/>
        </w:rPr>
        <w:t>The C</w:t>
      </w:r>
      <w:r w:rsidR="00B01624" w:rsidRPr="00C64B4C">
        <w:rPr>
          <w:rFonts w:eastAsiaTheme="minorHAnsi"/>
          <w:noProof/>
          <w:sz w:val="24"/>
          <w:szCs w:val="24"/>
        </w:rPr>
        <w:t xml:space="preserve">ommission </w:t>
      </w:r>
      <w:r w:rsidR="00697570" w:rsidRPr="00C64B4C">
        <w:rPr>
          <w:rFonts w:eastAsiaTheme="minorHAnsi"/>
          <w:noProof/>
          <w:sz w:val="24"/>
          <w:szCs w:val="24"/>
        </w:rPr>
        <w:t xml:space="preserve">considers </w:t>
      </w:r>
      <w:r w:rsidR="00461071" w:rsidRPr="00C64B4C">
        <w:rPr>
          <w:rFonts w:eastAsiaTheme="minorHAnsi"/>
          <w:noProof/>
          <w:sz w:val="24"/>
          <w:szCs w:val="24"/>
        </w:rPr>
        <w:t xml:space="preserve">that </w:t>
      </w:r>
      <w:r w:rsidR="00B01624" w:rsidRPr="00C64B4C">
        <w:rPr>
          <w:rFonts w:eastAsiaTheme="minorHAnsi"/>
          <w:noProof/>
          <w:sz w:val="24"/>
          <w:szCs w:val="24"/>
        </w:rPr>
        <w:t xml:space="preserve">the following suggestions </w:t>
      </w:r>
      <w:r w:rsidR="006672D5" w:rsidRPr="00C64B4C">
        <w:rPr>
          <w:rFonts w:eastAsiaTheme="minorHAnsi"/>
          <w:noProof/>
          <w:sz w:val="24"/>
          <w:szCs w:val="24"/>
        </w:rPr>
        <w:t xml:space="preserve">in particular </w:t>
      </w:r>
      <w:r w:rsidR="00B01624" w:rsidRPr="00C64B4C">
        <w:rPr>
          <w:rFonts w:eastAsiaTheme="minorHAnsi"/>
          <w:noProof/>
          <w:sz w:val="24"/>
          <w:szCs w:val="24"/>
        </w:rPr>
        <w:t>merit further reflection</w:t>
      </w:r>
      <w:r w:rsidR="006672D5" w:rsidRPr="00C64B4C">
        <w:rPr>
          <w:rFonts w:eastAsiaTheme="minorHAnsi"/>
          <w:noProof/>
          <w:sz w:val="24"/>
          <w:szCs w:val="24"/>
        </w:rPr>
        <w:t>.</w:t>
      </w:r>
    </w:p>
    <w:p w14:paraId="4F6C645D" w14:textId="77777777" w:rsidR="00216F74" w:rsidRPr="00C64B4C" w:rsidRDefault="00216F74" w:rsidP="00901A5C">
      <w:pPr>
        <w:jc w:val="both"/>
        <w:rPr>
          <w:rFonts w:eastAsiaTheme="minorHAnsi"/>
          <w:noProof/>
          <w:sz w:val="24"/>
          <w:szCs w:val="24"/>
        </w:rPr>
      </w:pPr>
    </w:p>
    <w:p w14:paraId="0C532CC3" w14:textId="0AB160FA" w:rsidR="008D2358" w:rsidRPr="00F932F9" w:rsidRDefault="00C55CBB" w:rsidP="00F932F9">
      <w:pPr>
        <w:pStyle w:val="ListParagraph"/>
        <w:numPr>
          <w:ilvl w:val="0"/>
          <w:numId w:val="20"/>
        </w:numPr>
        <w:jc w:val="both"/>
        <w:rPr>
          <w:rFonts w:ascii="Times New Roman" w:hAnsi="Times New Roman" w:cs="Times New Roman"/>
          <w:noProof/>
          <w:sz w:val="24"/>
          <w:szCs w:val="24"/>
        </w:rPr>
      </w:pPr>
      <w:r w:rsidRPr="00F932F9">
        <w:rPr>
          <w:rFonts w:ascii="Times New Roman" w:hAnsi="Times New Roman" w:cs="Times New Roman"/>
          <w:noProof/>
          <w:sz w:val="24"/>
          <w:szCs w:val="24"/>
        </w:rPr>
        <w:t>T</w:t>
      </w:r>
      <w:r w:rsidR="00216F74" w:rsidRPr="00F932F9">
        <w:rPr>
          <w:rFonts w:ascii="Times New Roman" w:hAnsi="Times New Roman" w:cs="Times New Roman"/>
          <w:noProof/>
          <w:sz w:val="24"/>
          <w:szCs w:val="24"/>
        </w:rPr>
        <w:t xml:space="preserve">ransparency </w:t>
      </w:r>
      <w:r w:rsidR="001C19B2" w:rsidRPr="00F932F9">
        <w:rPr>
          <w:rFonts w:ascii="Times New Roman" w:hAnsi="Times New Roman" w:cs="Times New Roman"/>
          <w:noProof/>
          <w:sz w:val="24"/>
          <w:szCs w:val="24"/>
        </w:rPr>
        <w:t xml:space="preserve">on </w:t>
      </w:r>
      <w:r w:rsidR="00216F74" w:rsidRPr="00F932F9">
        <w:rPr>
          <w:rFonts w:ascii="Times New Roman" w:hAnsi="Times New Roman" w:cs="Times New Roman"/>
          <w:noProof/>
          <w:sz w:val="24"/>
          <w:szCs w:val="24"/>
        </w:rPr>
        <w:t xml:space="preserve">how rules are applied </w:t>
      </w:r>
      <w:r w:rsidR="00AF2914" w:rsidRPr="00F932F9">
        <w:rPr>
          <w:rFonts w:ascii="Times New Roman" w:hAnsi="Times New Roman" w:cs="Times New Roman"/>
          <w:noProof/>
          <w:sz w:val="24"/>
          <w:szCs w:val="24"/>
        </w:rPr>
        <w:t>across the EU</w:t>
      </w:r>
      <w:r w:rsidRPr="00F932F9">
        <w:rPr>
          <w:rFonts w:ascii="Times New Roman" w:hAnsi="Times New Roman" w:cs="Times New Roman"/>
          <w:noProof/>
          <w:sz w:val="24"/>
          <w:szCs w:val="24"/>
        </w:rPr>
        <w:t xml:space="preserve"> could be increased</w:t>
      </w:r>
      <w:r w:rsidR="00AF2914" w:rsidRPr="00F932F9">
        <w:rPr>
          <w:rFonts w:ascii="Times New Roman" w:hAnsi="Times New Roman" w:cs="Times New Roman"/>
          <w:noProof/>
          <w:sz w:val="24"/>
          <w:szCs w:val="24"/>
        </w:rPr>
        <w:t xml:space="preserve">. </w:t>
      </w:r>
      <w:r w:rsidR="006672D5" w:rsidRPr="00F932F9">
        <w:rPr>
          <w:rFonts w:ascii="Times New Roman" w:hAnsi="Times New Roman" w:cs="Times New Roman"/>
          <w:noProof/>
          <w:sz w:val="24"/>
          <w:szCs w:val="24"/>
        </w:rPr>
        <w:t>For example, t</w:t>
      </w:r>
      <w:r w:rsidR="00AF2914" w:rsidRPr="00F932F9">
        <w:rPr>
          <w:rFonts w:ascii="Times New Roman" w:hAnsi="Times New Roman" w:cs="Times New Roman"/>
          <w:noProof/>
          <w:sz w:val="24"/>
          <w:szCs w:val="24"/>
        </w:rPr>
        <w:t xml:space="preserve">he ESAs could </w:t>
      </w:r>
      <w:r w:rsidR="006672D5" w:rsidRPr="00F932F9">
        <w:rPr>
          <w:rFonts w:ascii="Times New Roman" w:hAnsi="Times New Roman" w:cs="Times New Roman"/>
          <w:noProof/>
          <w:sz w:val="24"/>
          <w:szCs w:val="24"/>
        </w:rPr>
        <w:t>create</w:t>
      </w:r>
      <w:r w:rsidR="00D64B7D" w:rsidRPr="00F932F9">
        <w:rPr>
          <w:rFonts w:ascii="Times New Roman" w:hAnsi="Times New Roman" w:cs="Times New Roman"/>
          <w:noProof/>
          <w:sz w:val="24"/>
          <w:szCs w:val="24"/>
        </w:rPr>
        <w:t xml:space="preserve"> </w:t>
      </w:r>
      <w:r w:rsidR="00AF2914" w:rsidRPr="00F932F9" w:rsidDel="00885E69">
        <w:rPr>
          <w:rFonts w:ascii="Times New Roman" w:hAnsi="Times New Roman" w:cs="Times New Roman"/>
          <w:noProof/>
          <w:sz w:val="24"/>
          <w:szCs w:val="24"/>
        </w:rPr>
        <w:t>a</w:t>
      </w:r>
      <w:r w:rsidR="00885E69" w:rsidRPr="00F932F9">
        <w:rPr>
          <w:rFonts w:ascii="Times New Roman" w:hAnsi="Times New Roman" w:cs="Times New Roman"/>
          <w:noProof/>
          <w:sz w:val="24"/>
          <w:szCs w:val="24"/>
        </w:rPr>
        <w:t xml:space="preserve"> </w:t>
      </w:r>
      <w:r w:rsidR="00E84D48" w:rsidRPr="00F932F9">
        <w:rPr>
          <w:rFonts w:ascii="Times New Roman" w:hAnsi="Times New Roman" w:cs="Times New Roman"/>
          <w:noProof/>
          <w:sz w:val="24"/>
          <w:szCs w:val="24"/>
        </w:rPr>
        <w:t>web</w:t>
      </w:r>
      <w:r w:rsidR="00DB1DC6" w:rsidRPr="00F932F9">
        <w:rPr>
          <w:rFonts w:ascii="Times New Roman" w:hAnsi="Times New Roman" w:cs="Times New Roman"/>
          <w:noProof/>
          <w:sz w:val="24"/>
          <w:szCs w:val="24"/>
        </w:rPr>
        <w:t>-based</w:t>
      </w:r>
      <w:r w:rsidR="00E84D48" w:rsidRPr="00F932F9">
        <w:rPr>
          <w:rFonts w:ascii="Times New Roman" w:hAnsi="Times New Roman" w:cs="Times New Roman"/>
          <w:noProof/>
          <w:sz w:val="24"/>
          <w:szCs w:val="24"/>
        </w:rPr>
        <w:t xml:space="preserve"> tool</w:t>
      </w:r>
      <w:r w:rsidR="00885E69" w:rsidRPr="00F932F9">
        <w:rPr>
          <w:rFonts w:ascii="Times New Roman" w:hAnsi="Times New Roman" w:cs="Times New Roman"/>
          <w:noProof/>
          <w:sz w:val="24"/>
          <w:szCs w:val="24"/>
        </w:rPr>
        <w:t xml:space="preserve"> </w:t>
      </w:r>
      <w:r w:rsidR="006672D5" w:rsidRPr="00F932F9">
        <w:rPr>
          <w:rFonts w:ascii="Times New Roman" w:hAnsi="Times New Roman" w:cs="Times New Roman"/>
          <w:noProof/>
          <w:sz w:val="24"/>
          <w:szCs w:val="24"/>
        </w:rPr>
        <w:t xml:space="preserve">that </w:t>
      </w:r>
      <w:r w:rsidR="00B32991">
        <w:rPr>
          <w:rFonts w:ascii="Times New Roman" w:hAnsi="Times New Roman" w:cs="Times New Roman"/>
          <w:noProof/>
          <w:sz w:val="24"/>
          <w:szCs w:val="24"/>
        </w:rPr>
        <w:t xml:space="preserve">would </w:t>
      </w:r>
      <w:r w:rsidR="006672D5" w:rsidRPr="00F932F9">
        <w:rPr>
          <w:rFonts w:ascii="Times New Roman" w:hAnsi="Times New Roman" w:cs="Times New Roman"/>
          <w:noProof/>
          <w:sz w:val="24"/>
          <w:szCs w:val="24"/>
        </w:rPr>
        <w:t>ma</w:t>
      </w:r>
      <w:r w:rsidR="00B32991">
        <w:rPr>
          <w:rFonts w:ascii="Times New Roman" w:hAnsi="Times New Roman" w:cs="Times New Roman"/>
          <w:noProof/>
          <w:sz w:val="24"/>
          <w:szCs w:val="24"/>
        </w:rPr>
        <w:t>k</w:t>
      </w:r>
      <w:r w:rsidR="006672D5" w:rsidRPr="00F932F9">
        <w:rPr>
          <w:rFonts w:ascii="Times New Roman" w:hAnsi="Times New Roman" w:cs="Times New Roman"/>
          <w:noProof/>
          <w:sz w:val="24"/>
          <w:szCs w:val="24"/>
        </w:rPr>
        <w:t>e it possible for</w:t>
      </w:r>
      <w:r w:rsidR="00AF2914" w:rsidRPr="00F932F9">
        <w:rPr>
          <w:rFonts w:ascii="Times New Roman" w:hAnsi="Times New Roman" w:cs="Times New Roman"/>
          <w:noProof/>
          <w:sz w:val="24"/>
          <w:szCs w:val="24"/>
        </w:rPr>
        <w:t xml:space="preserve"> </w:t>
      </w:r>
      <w:r w:rsidR="00D7754E" w:rsidRPr="00F932F9">
        <w:rPr>
          <w:rFonts w:ascii="Times New Roman" w:hAnsi="Times New Roman" w:cs="Times New Roman"/>
          <w:noProof/>
          <w:sz w:val="24"/>
          <w:szCs w:val="24"/>
        </w:rPr>
        <w:t>all stakeholders</w:t>
      </w:r>
      <w:r w:rsidR="00AF2914" w:rsidRPr="00F932F9">
        <w:rPr>
          <w:rFonts w:ascii="Times New Roman" w:hAnsi="Times New Roman" w:cs="Times New Roman"/>
          <w:noProof/>
          <w:sz w:val="24"/>
          <w:szCs w:val="24"/>
        </w:rPr>
        <w:t xml:space="preserve"> to report cases</w:t>
      </w:r>
      <w:r w:rsidRPr="00F932F9">
        <w:rPr>
          <w:rFonts w:ascii="Times New Roman" w:hAnsi="Times New Roman" w:cs="Times New Roman"/>
          <w:noProof/>
          <w:sz w:val="24"/>
          <w:szCs w:val="24"/>
        </w:rPr>
        <w:t xml:space="preserve"> of super</w:t>
      </w:r>
      <w:r w:rsidR="009449C9" w:rsidRPr="00F932F9">
        <w:rPr>
          <w:rFonts w:ascii="Times New Roman" w:hAnsi="Times New Roman" w:cs="Times New Roman"/>
          <w:noProof/>
          <w:sz w:val="24"/>
          <w:szCs w:val="24"/>
        </w:rPr>
        <w:t>visory inconsistencies</w:t>
      </w:r>
      <w:r w:rsidR="00E84D48" w:rsidRPr="00F932F9">
        <w:rPr>
          <w:rFonts w:ascii="Times New Roman" w:hAnsi="Times New Roman" w:cs="Times New Roman"/>
          <w:noProof/>
          <w:sz w:val="24"/>
          <w:szCs w:val="24"/>
        </w:rPr>
        <w:t>.</w:t>
      </w:r>
    </w:p>
    <w:p w14:paraId="6DE8FAAC" w14:textId="77777777" w:rsidR="008D2358" w:rsidRPr="00F932F9" w:rsidRDefault="008D2358" w:rsidP="00F932F9">
      <w:pPr>
        <w:pStyle w:val="ListParagraph"/>
        <w:jc w:val="both"/>
        <w:rPr>
          <w:rFonts w:ascii="Times New Roman" w:hAnsi="Times New Roman" w:cs="Times New Roman"/>
          <w:noProof/>
          <w:sz w:val="24"/>
          <w:szCs w:val="24"/>
        </w:rPr>
      </w:pPr>
    </w:p>
    <w:p w14:paraId="1DE57D6A" w14:textId="77777777" w:rsidR="00461071" w:rsidRPr="00F932F9" w:rsidRDefault="00A704D0" w:rsidP="00F932F9">
      <w:pPr>
        <w:pStyle w:val="ListParagraph"/>
        <w:numPr>
          <w:ilvl w:val="0"/>
          <w:numId w:val="20"/>
        </w:numPr>
        <w:jc w:val="both"/>
        <w:rPr>
          <w:rFonts w:ascii="Times New Roman" w:hAnsi="Times New Roman" w:cs="Times New Roman"/>
          <w:noProof/>
          <w:sz w:val="24"/>
          <w:szCs w:val="24"/>
        </w:rPr>
      </w:pPr>
      <w:r w:rsidRPr="00F932F9">
        <w:rPr>
          <w:rFonts w:ascii="Times New Roman" w:hAnsi="Times New Roman" w:cs="Times New Roman"/>
          <w:noProof/>
          <w:sz w:val="24"/>
          <w:szCs w:val="24"/>
        </w:rPr>
        <w:t>T</w:t>
      </w:r>
      <w:r w:rsidR="00461071" w:rsidRPr="00F932F9">
        <w:rPr>
          <w:rFonts w:ascii="Times New Roman" w:hAnsi="Times New Roman" w:cs="Times New Roman"/>
          <w:noProof/>
          <w:sz w:val="24"/>
          <w:szCs w:val="24"/>
        </w:rPr>
        <w:t>he focus on enforcement could be increased in supervisory convergence tools to foster the consistent application of enforcement measures, including sanctions.</w:t>
      </w:r>
      <w:r w:rsidR="00863FEB" w:rsidRPr="00F932F9">
        <w:rPr>
          <w:rFonts w:ascii="Times New Roman" w:hAnsi="Times New Roman" w:cs="Times New Roman"/>
          <w:noProof/>
          <w:sz w:val="24"/>
          <w:szCs w:val="24"/>
        </w:rPr>
        <w:t xml:space="preserve"> A similar goal could be achieved by ensuring that the ESAs collect </w:t>
      </w:r>
      <w:r w:rsidR="00E14EE8" w:rsidRPr="00F932F9">
        <w:rPr>
          <w:rFonts w:ascii="Times New Roman" w:hAnsi="Times New Roman" w:cs="Times New Roman"/>
          <w:noProof/>
          <w:sz w:val="24"/>
          <w:szCs w:val="24"/>
        </w:rPr>
        <w:t xml:space="preserve">comprehensive </w:t>
      </w:r>
      <w:r w:rsidR="00863FEB" w:rsidRPr="00F932F9">
        <w:rPr>
          <w:rFonts w:ascii="Times New Roman" w:hAnsi="Times New Roman" w:cs="Times New Roman"/>
          <w:noProof/>
          <w:sz w:val="24"/>
          <w:szCs w:val="24"/>
        </w:rPr>
        <w:t xml:space="preserve">data </w:t>
      </w:r>
      <w:r w:rsidR="00185BBF" w:rsidRPr="00F932F9">
        <w:rPr>
          <w:rFonts w:ascii="Times New Roman" w:hAnsi="Times New Roman" w:cs="Times New Roman"/>
          <w:noProof/>
          <w:sz w:val="24"/>
          <w:szCs w:val="24"/>
        </w:rPr>
        <w:t>on</w:t>
      </w:r>
      <w:r w:rsidR="00863FEB" w:rsidRPr="00F932F9">
        <w:rPr>
          <w:rFonts w:ascii="Times New Roman" w:hAnsi="Times New Roman" w:cs="Times New Roman"/>
          <w:noProof/>
          <w:sz w:val="24"/>
          <w:szCs w:val="24"/>
        </w:rPr>
        <w:t xml:space="preserve"> enforcement</w:t>
      </w:r>
      <w:r w:rsidR="00E14EE8" w:rsidRPr="00F932F9">
        <w:rPr>
          <w:rFonts w:ascii="Times New Roman" w:hAnsi="Times New Roman" w:cs="Times New Roman"/>
          <w:noProof/>
          <w:sz w:val="24"/>
          <w:szCs w:val="24"/>
        </w:rPr>
        <w:t xml:space="preserve"> cases across the EU</w:t>
      </w:r>
      <w:r w:rsidR="00863FEB" w:rsidRPr="00F932F9">
        <w:rPr>
          <w:rFonts w:ascii="Times New Roman" w:hAnsi="Times New Roman" w:cs="Times New Roman"/>
          <w:noProof/>
          <w:sz w:val="24"/>
          <w:szCs w:val="24"/>
        </w:rPr>
        <w:t>.</w:t>
      </w:r>
    </w:p>
    <w:p w14:paraId="080918C3" w14:textId="77777777" w:rsidR="00461071" w:rsidRPr="00F932F9" w:rsidRDefault="00461071" w:rsidP="00F932F9">
      <w:pPr>
        <w:pStyle w:val="ListParagraph"/>
        <w:jc w:val="both"/>
        <w:rPr>
          <w:rFonts w:ascii="Times New Roman" w:hAnsi="Times New Roman" w:cs="Times New Roman"/>
          <w:noProof/>
          <w:sz w:val="24"/>
          <w:szCs w:val="24"/>
        </w:rPr>
      </w:pPr>
    </w:p>
    <w:p w14:paraId="6007AEBB" w14:textId="77777777" w:rsidR="00461071" w:rsidRPr="00F932F9" w:rsidRDefault="00461071" w:rsidP="00F932F9">
      <w:pPr>
        <w:pStyle w:val="ListParagraph"/>
        <w:numPr>
          <w:ilvl w:val="0"/>
          <w:numId w:val="20"/>
        </w:numPr>
        <w:jc w:val="both"/>
        <w:rPr>
          <w:rFonts w:ascii="Times New Roman" w:hAnsi="Times New Roman" w:cs="Times New Roman"/>
          <w:noProof/>
          <w:sz w:val="24"/>
          <w:szCs w:val="24"/>
        </w:rPr>
      </w:pPr>
      <w:r w:rsidRPr="00F932F9">
        <w:rPr>
          <w:rFonts w:ascii="Times New Roman" w:hAnsi="Times New Roman" w:cs="Times New Roman"/>
          <w:noProof/>
          <w:sz w:val="24"/>
          <w:szCs w:val="24"/>
        </w:rPr>
        <w:t xml:space="preserve">The possibility </w:t>
      </w:r>
      <w:r w:rsidR="00185BBF" w:rsidRPr="00F932F9">
        <w:rPr>
          <w:rFonts w:ascii="Times New Roman" w:hAnsi="Times New Roman" w:cs="Times New Roman"/>
          <w:noProof/>
          <w:sz w:val="24"/>
          <w:szCs w:val="24"/>
        </w:rPr>
        <w:t xml:space="preserve">of </w:t>
      </w:r>
      <w:r w:rsidRPr="00F932F9">
        <w:rPr>
          <w:rFonts w:ascii="Times New Roman" w:hAnsi="Times New Roman" w:cs="Times New Roman"/>
          <w:noProof/>
          <w:sz w:val="24"/>
          <w:szCs w:val="24"/>
        </w:rPr>
        <w:t>carry</w:t>
      </w:r>
      <w:r w:rsidR="00185BBF" w:rsidRPr="00F932F9">
        <w:rPr>
          <w:rFonts w:ascii="Times New Roman" w:hAnsi="Times New Roman" w:cs="Times New Roman"/>
          <w:noProof/>
          <w:sz w:val="24"/>
          <w:szCs w:val="24"/>
        </w:rPr>
        <w:t>ing</w:t>
      </w:r>
      <w:r w:rsidRPr="00F932F9">
        <w:rPr>
          <w:rFonts w:ascii="Times New Roman" w:hAnsi="Times New Roman" w:cs="Times New Roman"/>
          <w:noProof/>
          <w:sz w:val="24"/>
          <w:szCs w:val="24"/>
        </w:rPr>
        <w:t xml:space="preserve"> out ad-hoc peer reviews </w:t>
      </w:r>
      <w:r w:rsidR="00207262" w:rsidRPr="00F932F9">
        <w:rPr>
          <w:rFonts w:ascii="Times New Roman" w:hAnsi="Times New Roman" w:cs="Times New Roman"/>
          <w:noProof/>
          <w:sz w:val="24"/>
          <w:szCs w:val="24"/>
        </w:rPr>
        <w:t xml:space="preserve">of competent authorities </w:t>
      </w:r>
      <w:r w:rsidRPr="00F932F9">
        <w:rPr>
          <w:rFonts w:ascii="Times New Roman" w:hAnsi="Times New Roman" w:cs="Times New Roman"/>
          <w:noProof/>
          <w:sz w:val="24"/>
          <w:szCs w:val="24"/>
        </w:rPr>
        <w:t>in case of events with major supervisory implications could be used to a greater extent as an ex-post tool</w:t>
      </w:r>
      <w:r w:rsidR="00D53280" w:rsidRPr="00F932F9">
        <w:rPr>
          <w:rFonts w:ascii="Times New Roman" w:hAnsi="Times New Roman" w:cs="Times New Roman"/>
          <w:noProof/>
          <w:sz w:val="24"/>
          <w:szCs w:val="24"/>
        </w:rPr>
        <w:t xml:space="preserve">. </w:t>
      </w:r>
      <w:r w:rsidR="00BB663F" w:rsidRPr="00F932F9">
        <w:rPr>
          <w:rFonts w:ascii="Times New Roman" w:hAnsi="Times New Roman" w:cs="Times New Roman"/>
          <w:noProof/>
          <w:sz w:val="24"/>
          <w:szCs w:val="24"/>
        </w:rPr>
        <w:t xml:space="preserve">In addition, </w:t>
      </w:r>
      <w:r w:rsidR="00185BBF" w:rsidRPr="00F932F9">
        <w:rPr>
          <w:rFonts w:ascii="Times New Roman" w:hAnsi="Times New Roman" w:cs="Times New Roman"/>
          <w:noProof/>
          <w:sz w:val="24"/>
          <w:szCs w:val="24"/>
        </w:rPr>
        <w:t>greater</w:t>
      </w:r>
      <w:r w:rsidR="00BB663F" w:rsidRPr="00F932F9">
        <w:rPr>
          <w:rFonts w:ascii="Times New Roman" w:hAnsi="Times New Roman" w:cs="Times New Roman"/>
          <w:noProof/>
          <w:sz w:val="24"/>
          <w:szCs w:val="24"/>
        </w:rPr>
        <w:t xml:space="preserve"> focus on </w:t>
      </w:r>
      <w:r w:rsidR="00D64B7D" w:rsidRPr="00F932F9">
        <w:rPr>
          <w:rFonts w:ascii="Times New Roman" w:hAnsi="Times New Roman" w:cs="Times New Roman"/>
          <w:noProof/>
          <w:sz w:val="24"/>
          <w:szCs w:val="24"/>
        </w:rPr>
        <w:t xml:space="preserve">urgent or unforeseen </w:t>
      </w:r>
      <w:r w:rsidR="00BB663F" w:rsidRPr="00F932F9">
        <w:rPr>
          <w:rFonts w:ascii="Times New Roman" w:hAnsi="Times New Roman" w:cs="Times New Roman"/>
          <w:noProof/>
          <w:sz w:val="24"/>
          <w:szCs w:val="24"/>
        </w:rPr>
        <w:t xml:space="preserve">supervisory issues </w:t>
      </w:r>
      <w:r w:rsidR="00185BBF" w:rsidRPr="00F932F9">
        <w:rPr>
          <w:rFonts w:ascii="Times New Roman" w:hAnsi="Times New Roman" w:cs="Times New Roman"/>
          <w:noProof/>
          <w:sz w:val="24"/>
          <w:szCs w:val="24"/>
        </w:rPr>
        <w:t xml:space="preserve">could </w:t>
      </w:r>
      <w:r w:rsidR="00BB663F" w:rsidRPr="00F932F9">
        <w:rPr>
          <w:rFonts w:ascii="Times New Roman" w:hAnsi="Times New Roman" w:cs="Times New Roman"/>
          <w:noProof/>
          <w:sz w:val="24"/>
          <w:szCs w:val="24"/>
        </w:rPr>
        <w:t>contribute to a more efficient use of peer reviews given th</w:t>
      </w:r>
      <w:r w:rsidR="00DE4345" w:rsidRPr="00F932F9">
        <w:rPr>
          <w:rFonts w:ascii="Times New Roman" w:hAnsi="Times New Roman" w:cs="Times New Roman"/>
          <w:noProof/>
          <w:sz w:val="24"/>
          <w:szCs w:val="24"/>
        </w:rPr>
        <w:t xml:space="preserve">at peer </w:t>
      </w:r>
      <w:r w:rsidR="00185BBF" w:rsidRPr="00F932F9">
        <w:rPr>
          <w:rFonts w:ascii="Times New Roman" w:hAnsi="Times New Roman" w:cs="Times New Roman"/>
          <w:noProof/>
          <w:sz w:val="24"/>
          <w:szCs w:val="24"/>
        </w:rPr>
        <w:t>reviews require a lot of</w:t>
      </w:r>
      <w:r w:rsidR="00BB663F" w:rsidRPr="00F932F9">
        <w:rPr>
          <w:rFonts w:ascii="Times New Roman" w:hAnsi="Times New Roman" w:cs="Times New Roman"/>
          <w:noProof/>
          <w:sz w:val="24"/>
          <w:szCs w:val="24"/>
        </w:rPr>
        <w:t xml:space="preserve"> resources.</w:t>
      </w:r>
      <w:r w:rsidRPr="00F932F9">
        <w:rPr>
          <w:rFonts w:ascii="Times New Roman" w:hAnsi="Times New Roman" w:cs="Times New Roman"/>
          <w:noProof/>
          <w:sz w:val="24"/>
          <w:szCs w:val="24"/>
        </w:rPr>
        <w:t xml:space="preserve"> </w:t>
      </w:r>
    </w:p>
    <w:p w14:paraId="21C71720" w14:textId="77777777" w:rsidR="00461071" w:rsidRPr="00C64B4C" w:rsidRDefault="00461071" w:rsidP="00312003">
      <w:pPr>
        <w:pStyle w:val="ListParagraph"/>
        <w:jc w:val="both"/>
        <w:rPr>
          <w:rFonts w:ascii="Times New Roman" w:hAnsi="Times New Roman" w:cs="Times New Roman"/>
          <w:noProof/>
          <w:sz w:val="24"/>
          <w:szCs w:val="24"/>
        </w:rPr>
      </w:pPr>
    </w:p>
    <w:p w14:paraId="6DCEDC45" w14:textId="77777777" w:rsidR="008D2358" w:rsidRPr="00C64B4C" w:rsidRDefault="00C012AD" w:rsidP="00312003">
      <w:pPr>
        <w:pStyle w:val="ListParagraph"/>
        <w:numPr>
          <w:ilvl w:val="0"/>
          <w:numId w:val="13"/>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Each of the </w:t>
      </w:r>
      <w:r w:rsidR="008D2358" w:rsidRPr="00C64B4C">
        <w:rPr>
          <w:rFonts w:ascii="Times New Roman" w:hAnsi="Times New Roman" w:cs="Times New Roman"/>
          <w:noProof/>
          <w:sz w:val="24"/>
          <w:szCs w:val="24"/>
        </w:rPr>
        <w:t>ESAs ha</w:t>
      </w:r>
      <w:r w:rsidRPr="00C64B4C">
        <w:rPr>
          <w:rFonts w:ascii="Times New Roman" w:hAnsi="Times New Roman" w:cs="Times New Roman"/>
          <w:noProof/>
          <w:sz w:val="24"/>
          <w:szCs w:val="24"/>
        </w:rPr>
        <w:t>s</w:t>
      </w:r>
      <w:r w:rsidR="008D2358" w:rsidRPr="00C64B4C">
        <w:rPr>
          <w:rFonts w:ascii="Times New Roman" w:hAnsi="Times New Roman" w:cs="Times New Roman"/>
          <w:noProof/>
          <w:sz w:val="24"/>
          <w:szCs w:val="24"/>
        </w:rPr>
        <w:t xml:space="preserve"> developed </w:t>
      </w:r>
      <w:r w:rsidRPr="00C64B4C">
        <w:rPr>
          <w:rFonts w:ascii="Times New Roman" w:hAnsi="Times New Roman" w:cs="Times New Roman"/>
          <w:noProof/>
          <w:sz w:val="24"/>
          <w:szCs w:val="24"/>
        </w:rPr>
        <w:t xml:space="preserve">its </w:t>
      </w:r>
      <w:r w:rsidR="008D2358" w:rsidRPr="00C64B4C">
        <w:rPr>
          <w:rFonts w:ascii="Times New Roman" w:hAnsi="Times New Roman" w:cs="Times New Roman"/>
          <w:noProof/>
          <w:sz w:val="24"/>
          <w:szCs w:val="24"/>
        </w:rPr>
        <w:t xml:space="preserve">own </w:t>
      </w:r>
      <w:r w:rsidR="00A973F7" w:rsidRPr="00C64B4C">
        <w:rPr>
          <w:rFonts w:ascii="Times New Roman" w:hAnsi="Times New Roman" w:cs="Times New Roman"/>
          <w:noProof/>
          <w:sz w:val="24"/>
          <w:szCs w:val="24"/>
        </w:rPr>
        <w:t xml:space="preserve">informal </w:t>
      </w:r>
      <w:r w:rsidR="008D2358" w:rsidRPr="00C64B4C">
        <w:rPr>
          <w:rFonts w:ascii="Times New Roman" w:hAnsi="Times New Roman" w:cs="Times New Roman"/>
          <w:noProof/>
          <w:sz w:val="24"/>
          <w:szCs w:val="24"/>
        </w:rPr>
        <w:t xml:space="preserve">supervisory convergence tools </w:t>
      </w:r>
      <w:r w:rsidR="001C19B2" w:rsidRPr="00C64B4C">
        <w:rPr>
          <w:rFonts w:ascii="Times New Roman" w:hAnsi="Times New Roman" w:cs="Times New Roman"/>
          <w:noProof/>
          <w:sz w:val="24"/>
          <w:szCs w:val="24"/>
        </w:rPr>
        <w:t xml:space="preserve">in a </w:t>
      </w:r>
      <w:r w:rsidR="008D2358" w:rsidRPr="00C64B4C">
        <w:rPr>
          <w:rFonts w:ascii="Times New Roman" w:hAnsi="Times New Roman" w:cs="Times New Roman"/>
          <w:noProof/>
          <w:sz w:val="24"/>
          <w:szCs w:val="24"/>
        </w:rPr>
        <w:t>different</w:t>
      </w:r>
      <w:r w:rsidR="001C19B2" w:rsidRPr="00C64B4C">
        <w:rPr>
          <w:rFonts w:ascii="Times New Roman" w:hAnsi="Times New Roman" w:cs="Times New Roman"/>
          <w:noProof/>
          <w:sz w:val="24"/>
          <w:szCs w:val="24"/>
        </w:rPr>
        <w:t xml:space="preserve"> way to the other ESAs. This is</w:t>
      </w:r>
      <w:r w:rsidR="008D2358" w:rsidRPr="00C64B4C">
        <w:rPr>
          <w:rFonts w:ascii="Times New Roman" w:hAnsi="Times New Roman" w:cs="Times New Roman"/>
          <w:noProof/>
          <w:sz w:val="24"/>
          <w:szCs w:val="24"/>
        </w:rPr>
        <w:t xml:space="preserve"> due to the different regulatory frameworks in which the ESAs operate. </w:t>
      </w:r>
      <w:r w:rsidR="00461071" w:rsidRPr="00C64B4C">
        <w:rPr>
          <w:rFonts w:ascii="Times New Roman" w:hAnsi="Times New Roman" w:cs="Times New Roman"/>
          <w:noProof/>
          <w:sz w:val="24"/>
          <w:szCs w:val="24"/>
        </w:rPr>
        <w:t>The Commission agrees with stakeholders that the</w:t>
      </w:r>
      <w:r w:rsidR="00185BBF" w:rsidRPr="00C64B4C">
        <w:rPr>
          <w:rFonts w:ascii="Times New Roman" w:hAnsi="Times New Roman" w:cs="Times New Roman"/>
          <w:noProof/>
          <w:sz w:val="24"/>
          <w:szCs w:val="24"/>
        </w:rPr>
        <w:t xml:space="preserve">se tools </w:t>
      </w:r>
      <w:r w:rsidR="00461071" w:rsidRPr="00C64B4C">
        <w:rPr>
          <w:rFonts w:ascii="Times New Roman" w:hAnsi="Times New Roman" w:cs="Times New Roman"/>
          <w:noProof/>
          <w:sz w:val="24"/>
          <w:szCs w:val="24"/>
        </w:rPr>
        <w:t>have proven very effective</w:t>
      </w:r>
      <w:r w:rsidR="001C19B2" w:rsidRPr="00C64B4C">
        <w:rPr>
          <w:rFonts w:ascii="Times New Roman" w:hAnsi="Times New Roman" w:cs="Times New Roman"/>
          <w:noProof/>
          <w:sz w:val="24"/>
          <w:szCs w:val="24"/>
        </w:rPr>
        <w:t>,</w:t>
      </w:r>
      <w:r w:rsidR="00461071" w:rsidRPr="00C64B4C">
        <w:rPr>
          <w:rFonts w:ascii="Times New Roman" w:hAnsi="Times New Roman" w:cs="Times New Roman"/>
          <w:noProof/>
          <w:sz w:val="24"/>
          <w:szCs w:val="24"/>
        </w:rPr>
        <w:t xml:space="preserve"> and invites the ESAs to continue using these informal instruments. </w:t>
      </w:r>
      <w:r w:rsidR="00185BBF" w:rsidRPr="00C64B4C">
        <w:rPr>
          <w:rFonts w:ascii="Times New Roman" w:hAnsi="Times New Roman" w:cs="Times New Roman"/>
          <w:noProof/>
          <w:sz w:val="24"/>
          <w:szCs w:val="24"/>
        </w:rPr>
        <w:t>However, t</w:t>
      </w:r>
      <w:r w:rsidR="00697570" w:rsidRPr="00C64B4C">
        <w:rPr>
          <w:rFonts w:ascii="Times New Roman" w:hAnsi="Times New Roman" w:cs="Times New Roman"/>
          <w:noProof/>
          <w:sz w:val="24"/>
          <w:szCs w:val="24"/>
        </w:rPr>
        <w:t xml:space="preserve">he ESAs could </w:t>
      </w:r>
      <w:r w:rsidR="001C19B2" w:rsidRPr="00C64B4C">
        <w:rPr>
          <w:rFonts w:ascii="Times New Roman" w:hAnsi="Times New Roman" w:cs="Times New Roman"/>
          <w:noProof/>
          <w:sz w:val="24"/>
          <w:szCs w:val="24"/>
        </w:rPr>
        <w:t xml:space="preserve">also </w:t>
      </w:r>
      <w:r w:rsidR="00697570" w:rsidRPr="00C64B4C">
        <w:rPr>
          <w:rFonts w:ascii="Times New Roman" w:hAnsi="Times New Roman" w:cs="Times New Roman"/>
          <w:noProof/>
          <w:sz w:val="24"/>
          <w:szCs w:val="24"/>
        </w:rPr>
        <w:t>explore</w:t>
      </w:r>
      <w:r w:rsidRPr="00C64B4C">
        <w:rPr>
          <w:rFonts w:ascii="Times New Roman" w:hAnsi="Times New Roman" w:cs="Times New Roman"/>
          <w:noProof/>
          <w:sz w:val="24"/>
          <w:szCs w:val="24"/>
        </w:rPr>
        <w:t xml:space="preserve"> </w:t>
      </w:r>
      <w:r w:rsidR="001D68A7" w:rsidRPr="00C64B4C">
        <w:rPr>
          <w:rFonts w:ascii="Times New Roman" w:hAnsi="Times New Roman" w:cs="Times New Roman"/>
          <w:noProof/>
          <w:sz w:val="24"/>
          <w:szCs w:val="24"/>
        </w:rPr>
        <w:t>to what extent informal tools developed by other ESAs might be useful</w:t>
      </w:r>
      <w:r w:rsidR="009F6957" w:rsidRPr="00C64B4C">
        <w:rPr>
          <w:rFonts w:ascii="Times New Roman" w:hAnsi="Times New Roman" w:cs="Times New Roman"/>
          <w:noProof/>
          <w:sz w:val="24"/>
          <w:szCs w:val="24"/>
        </w:rPr>
        <w:t>ly</w:t>
      </w:r>
      <w:r w:rsidR="001D68A7" w:rsidRPr="00C64B4C">
        <w:rPr>
          <w:rFonts w:ascii="Times New Roman" w:hAnsi="Times New Roman" w:cs="Times New Roman"/>
          <w:noProof/>
          <w:sz w:val="24"/>
          <w:szCs w:val="24"/>
        </w:rPr>
        <w:t xml:space="preserve"> incorporated into their own supervisory convergence toolbox.</w:t>
      </w:r>
    </w:p>
    <w:p w14:paraId="33E5455E" w14:textId="77777777" w:rsidR="0089184F" w:rsidRPr="00C64B4C" w:rsidRDefault="0089184F" w:rsidP="00312003">
      <w:pPr>
        <w:pStyle w:val="ListParagraph"/>
        <w:jc w:val="both"/>
        <w:rPr>
          <w:rFonts w:ascii="Times New Roman" w:hAnsi="Times New Roman" w:cs="Times New Roman"/>
          <w:noProof/>
          <w:sz w:val="24"/>
          <w:szCs w:val="24"/>
        </w:rPr>
      </w:pPr>
    </w:p>
    <w:p w14:paraId="7DA2FC30" w14:textId="1A147C1A" w:rsidR="00A42CB0" w:rsidRPr="00C64B4C" w:rsidRDefault="001D68A7" w:rsidP="008512A4">
      <w:pPr>
        <w:pStyle w:val="ListParagraph"/>
        <w:numPr>
          <w:ilvl w:val="0"/>
          <w:numId w:val="13"/>
        </w:numPr>
        <w:jc w:val="both"/>
        <w:rPr>
          <w:rFonts w:ascii="Times New Roman" w:hAnsi="Times New Roman" w:cs="Times New Roman"/>
          <w:noProof/>
          <w:sz w:val="24"/>
          <w:szCs w:val="24"/>
        </w:rPr>
      </w:pPr>
      <w:r w:rsidRPr="00C64B4C">
        <w:rPr>
          <w:rFonts w:ascii="Times New Roman" w:hAnsi="Times New Roman" w:cs="Times New Roman"/>
          <w:noProof/>
          <w:sz w:val="24"/>
          <w:szCs w:val="24"/>
        </w:rPr>
        <w:t>Discussion of supervisory cases</w:t>
      </w:r>
      <w:r w:rsidR="00646D3B" w:rsidRPr="00C64B4C">
        <w:rPr>
          <w:rFonts w:ascii="Times New Roman" w:hAnsi="Times New Roman" w:cs="Times New Roman"/>
          <w:noProof/>
          <w:sz w:val="24"/>
          <w:szCs w:val="24"/>
        </w:rPr>
        <w:t xml:space="preserve"> among </w:t>
      </w:r>
      <w:r w:rsidR="00B10498">
        <w:rPr>
          <w:rFonts w:ascii="Times New Roman" w:hAnsi="Times New Roman" w:cs="Times New Roman"/>
          <w:noProof/>
          <w:sz w:val="24"/>
          <w:szCs w:val="24"/>
        </w:rPr>
        <w:t>N</w:t>
      </w:r>
      <w:r w:rsidR="00646D3B" w:rsidRPr="00C64B4C">
        <w:rPr>
          <w:rFonts w:ascii="Times New Roman" w:hAnsi="Times New Roman" w:cs="Times New Roman"/>
          <w:noProof/>
          <w:sz w:val="24"/>
          <w:szCs w:val="24"/>
        </w:rPr>
        <w:t xml:space="preserve">ational </w:t>
      </w:r>
      <w:r w:rsidR="00B10498">
        <w:rPr>
          <w:rFonts w:ascii="Times New Roman" w:hAnsi="Times New Roman" w:cs="Times New Roman"/>
          <w:noProof/>
          <w:sz w:val="24"/>
          <w:szCs w:val="24"/>
        </w:rPr>
        <w:t>C</w:t>
      </w:r>
      <w:r w:rsidR="00646D3B" w:rsidRPr="00C64B4C">
        <w:rPr>
          <w:rFonts w:ascii="Times New Roman" w:hAnsi="Times New Roman" w:cs="Times New Roman"/>
          <w:noProof/>
          <w:sz w:val="24"/>
          <w:szCs w:val="24"/>
        </w:rPr>
        <w:t xml:space="preserve">ompetent </w:t>
      </w:r>
      <w:r w:rsidR="00B10498">
        <w:rPr>
          <w:rFonts w:ascii="Times New Roman" w:hAnsi="Times New Roman" w:cs="Times New Roman"/>
          <w:noProof/>
          <w:sz w:val="24"/>
          <w:szCs w:val="24"/>
        </w:rPr>
        <w:t>A</w:t>
      </w:r>
      <w:r w:rsidR="00646D3B" w:rsidRPr="00C64B4C">
        <w:rPr>
          <w:rFonts w:ascii="Times New Roman" w:hAnsi="Times New Roman" w:cs="Times New Roman"/>
          <w:noProof/>
          <w:sz w:val="24"/>
          <w:szCs w:val="24"/>
        </w:rPr>
        <w:t xml:space="preserve">uthorities </w:t>
      </w:r>
      <w:r w:rsidR="009F6957" w:rsidRPr="00C64B4C">
        <w:rPr>
          <w:rFonts w:ascii="Times New Roman" w:hAnsi="Times New Roman" w:cs="Times New Roman"/>
          <w:noProof/>
          <w:sz w:val="24"/>
          <w:szCs w:val="24"/>
        </w:rPr>
        <w:t xml:space="preserve">in </w:t>
      </w:r>
      <w:r w:rsidR="009F307E" w:rsidRPr="00C64B4C">
        <w:rPr>
          <w:rFonts w:ascii="Times New Roman" w:hAnsi="Times New Roman" w:cs="Times New Roman"/>
          <w:noProof/>
          <w:sz w:val="24"/>
          <w:szCs w:val="24"/>
        </w:rPr>
        <w:t xml:space="preserve">a more systematic </w:t>
      </w:r>
      <w:r w:rsidR="009F6957" w:rsidRPr="00C64B4C">
        <w:rPr>
          <w:rFonts w:ascii="Times New Roman" w:hAnsi="Times New Roman" w:cs="Times New Roman"/>
          <w:noProof/>
          <w:sz w:val="24"/>
          <w:szCs w:val="24"/>
        </w:rPr>
        <w:t>way</w:t>
      </w:r>
      <w:r w:rsidR="009F307E" w:rsidRPr="00C64B4C">
        <w:rPr>
          <w:rFonts w:ascii="Times New Roman" w:hAnsi="Times New Roman" w:cs="Times New Roman"/>
          <w:noProof/>
          <w:sz w:val="24"/>
          <w:szCs w:val="24"/>
        </w:rPr>
        <w:t xml:space="preserve"> </w:t>
      </w:r>
      <w:r w:rsidR="00EE4415" w:rsidRPr="00C64B4C">
        <w:rPr>
          <w:rFonts w:ascii="Times New Roman" w:hAnsi="Times New Roman" w:cs="Times New Roman"/>
          <w:noProof/>
          <w:sz w:val="24"/>
          <w:szCs w:val="24"/>
        </w:rPr>
        <w:t>could be useful to promote convergent supervisory outcomes in comparable situations. The</w:t>
      </w:r>
      <w:r w:rsidR="00185BBF" w:rsidRPr="00C64B4C">
        <w:rPr>
          <w:rFonts w:ascii="Times New Roman" w:hAnsi="Times New Roman" w:cs="Times New Roman"/>
          <w:noProof/>
          <w:sz w:val="24"/>
          <w:szCs w:val="24"/>
        </w:rPr>
        <w:t xml:space="preserve"> Commission invites the</w:t>
      </w:r>
      <w:r w:rsidR="00EE4415" w:rsidRPr="00C64B4C">
        <w:rPr>
          <w:rFonts w:ascii="Times New Roman" w:hAnsi="Times New Roman" w:cs="Times New Roman"/>
          <w:noProof/>
          <w:sz w:val="24"/>
          <w:szCs w:val="24"/>
        </w:rPr>
        <w:t xml:space="preserve"> ESAs </w:t>
      </w:r>
      <w:r w:rsidR="007F02DC" w:rsidRPr="00C64B4C">
        <w:rPr>
          <w:rFonts w:ascii="Times New Roman" w:hAnsi="Times New Roman" w:cs="Times New Roman"/>
          <w:noProof/>
          <w:sz w:val="24"/>
          <w:szCs w:val="24"/>
        </w:rPr>
        <w:t xml:space="preserve">to </w:t>
      </w:r>
      <w:r w:rsidR="00185BBF" w:rsidRPr="00C64B4C">
        <w:rPr>
          <w:rFonts w:ascii="Times New Roman" w:hAnsi="Times New Roman" w:cs="Times New Roman"/>
          <w:noProof/>
          <w:sz w:val="24"/>
          <w:szCs w:val="24"/>
        </w:rPr>
        <w:t xml:space="preserve">draw up </w:t>
      </w:r>
      <w:r w:rsidR="00EE4415" w:rsidRPr="00C64B4C">
        <w:rPr>
          <w:rFonts w:ascii="Times New Roman" w:hAnsi="Times New Roman" w:cs="Times New Roman"/>
          <w:noProof/>
          <w:sz w:val="24"/>
          <w:szCs w:val="24"/>
        </w:rPr>
        <w:t>criteria on how to select supervisory cases relevant for such exchanges</w:t>
      </w:r>
      <w:r w:rsidR="00185BBF" w:rsidRPr="00C64B4C">
        <w:rPr>
          <w:rFonts w:ascii="Times New Roman" w:hAnsi="Times New Roman" w:cs="Times New Roman"/>
          <w:noProof/>
          <w:sz w:val="24"/>
          <w:szCs w:val="24"/>
        </w:rPr>
        <w:t>. The ESAs</w:t>
      </w:r>
      <w:r w:rsidR="00EE4415" w:rsidRPr="00C64B4C">
        <w:rPr>
          <w:rFonts w:ascii="Times New Roman" w:hAnsi="Times New Roman" w:cs="Times New Roman"/>
          <w:noProof/>
          <w:sz w:val="24"/>
          <w:szCs w:val="24"/>
        </w:rPr>
        <w:t xml:space="preserve"> could enhance</w:t>
      </w:r>
      <w:r w:rsidR="00C85FE3" w:rsidRPr="00C64B4C">
        <w:rPr>
          <w:rFonts w:ascii="Times New Roman" w:hAnsi="Times New Roman" w:cs="Times New Roman"/>
          <w:noProof/>
          <w:sz w:val="24"/>
          <w:szCs w:val="24"/>
        </w:rPr>
        <w:t xml:space="preserve"> the value of these discussions by creating a collection of such cases available for consul</w:t>
      </w:r>
      <w:r w:rsidR="00461071" w:rsidRPr="00C64B4C">
        <w:rPr>
          <w:rFonts w:ascii="Times New Roman" w:hAnsi="Times New Roman" w:cs="Times New Roman"/>
          <w:noProof/>
          <w:sz w:val="24"/>
          <w:szCs w:val="24"/>
        </w:rPr>
        <w:t>t</w:t>
      </w:r>
      <w:r w:rsidR="00C85FE3" w:rsidRPr="00C64B4C">
        <w:rPr>
          <w:rFonts w:ascii="Times New Roman" w:hAnsi="Times New Roman" w:cs="Times New Roman"/>
          <w:noProof/>
          <w:sz w:val="24"/>
          <w:szCs w:val="24"/>
        </w:rPr>
        <w:t>ation</w:t>
      </w:r>
      <w:r w:rsidR="00461071" w:rsidRPr="00C64B4C">
        <w:rPr>
          <w:rFonts w:ascii="Times New Roman" w:hAnsi="Times New Roman" w:cs="Times New Roman"/>
          <w:noProof/>
          <w:sz w:val="24"/>
          <w:szCs w:val="24"/>
        </w:rPr>
        <w:t xml:space="preserve"> by </w:t>
      </w:r>
      <w:r w:rsidR="00B10498">
        <w:rPr>
          <w:rFonts w:ascii="Times New Roman" w:hAnsi="Times New Roman" w:cs="Times New Roman"/>
          <w:noProof/>
          <w:sz w:val="24"/>
          <w:szCs w:val="24"/>
        </w:rPr>
        <w:t>N</w:t>
      </w:r>
      <w:r w:rsidR="00461071" w:rsidRPr="00C64B4C">
        <w:rPr>
          <w:rFonts w:ascii="Times New Roman" w:hAnsi="Times New Roman" w:cs="Times New Roman"/>
          <w:noProof/>
          <w:sz w:val="24"/>
          <w:szCs w:val="24"/>
        </w:rPr>
        <w:t xml:space="preserve">ational </w:t>
      </w:r>
      <w:r w:rsidR="00B10498">
        <w:rPr>
          <w:rFonts w:ascii="Times New Roman" w:hAnsi="Times New Roman" w:cs="Times New Roman"/>
          <w:noProof/>
          <w:sz w:val="24"/>
          <w:szCs w:val="24"/>
        </w:rPr>
        <w:t>C</w:t>
      </w:r>
      <w:r w:rsidR="00461071" w:rsidRPr="00C64B4C">
        <w:rPr>
          <w:rFonts w:ascii="Times New Roman" w:hAnsi="Times New Roman" w:cs="Times New Roman"/>
          <w:noProof/>
          <w:sz w:val="24"/>
          <w:szCs w:val="24"/>
        </w:rPr>
        <w:t xml:space="preserve">ompetent </w:t>
      </w:r>
      <w:r w:rsidR="00B10498">
        <w:rPr>
          <w:rFonts w:ascii="Times New Roman" w:hAnsi="Times New Roman" w:cs="Times New Roman"/>
          <w:noProof/>
          <w:sz w:val="24"/>
          <w:szCs w:val="24"/>
        </w:rPr>
        <w:t>A</w:t>
      </w:r>
      <w:r w:rsidR="00461071" w:rsidRPr="00C64B4C">
        <w:rPr>
          <w:rFonts w:ascii="Times New Roman" w:hAnsi="Times New Roman" w:cs="Times New Roman"/>
          <w:noProof/>
          <w:sz w:val="24"/>
          <w:szCs w:val="24"/>
        </w:rPr>
        <w:t>uthorities</w:t>
      </w:r>
      <w:r w:rsidR="00C85FE3" w:rsidRPr="00C64B4C">
        <w:rPr>
          <w:rFonts w:ascii="Times New Roman" w:hAnsi="Times New Roman" w:cs="Times New Roman"/>
          <w:noProof/>
          <w:sz w:val="24"/>
          <w:szCs w:val="24"/>
        </w:rPr>
        <w:t>.</w:t>
      </w:r>
    </w:p>
    <w:p w14:paraId="70B1C3DB" w14:textId="77777777" w:rsidR="009A01F1" w:rsidRPr="00C64B4C" w:rsidRDefault="009A01F1" w:rsidP="009A01F1">
      <w:pPr>
        <w:rPr>
          <w:b/>
          <w:bCs/>
          <w:noProof/>
        </w:rPr>
      </w:pPr>
    </w:p>
    <w:p w14:paraId="6EB3A3AA" w14:textId="77777777" w:rsidR="00A42CB0" w:rsidRPr="00C64B4C" w:rsidRDefault="006A50BC" w:rsidP="00901A5C">
      <w:pPr>
        <w:pStyle w:val="Heading1"/>
        <w:numPr>
          <w:ilvl w:val="0"/>
          <w:numId w:val="1"/>
        </w:numPr>
        <w:rPr>
          <w:rFonts w:eastAsiaTheme="minorHAnsi"/>
          <w:noProof/>
          <w:sz w:val="24"/>
          <w:szCs w:val="24"/>
          <w:lang w:eastAsia="en-US" w:bidi="ar-SA"/>
        </w:rPr>
      </w:pPr>
      <w:r w:rsidRPr="00C64B4C">
        <w:rPr>
          <w:rFonts w:eastAsiaTheme="minorHAnsi"/>
          <w:noProof/>
          <w:sz w:val="24"/>
          <w:szCs w:val="24"/>
          <w:lang w:eastAsia="en-US" w:bidi="ar-SA"/>
        </w:rPr>
        <w:t>GOVERNANCE, JOINT BODIES, STAKEHOLDERS’ INVOLVEMENT AND SUPERVISORY INDEPENDENCE</w:t>
      </w:r>
    </w:p>
    <w:p w14:paraId="7C9A9B61" w14:textId="77777777" w:rsidR="00A42CB0" w:rsidRPr="00C64B4C" w:rsidRDefault="00A42CB0" w:rsidP="009A01F1">
      <w:pPr>
        <w:jc w:val="both"/>
        <w:rPr>
          <w:rFonts w:eastAsiaTheme="minorHAnsi"/>
          <w:noProof/>
          <w:sz w:val="24"/>
          <w:szCs w:val="24"/>
        </w:rPr>
      </w:pPr>
    </w:p>
    <w:p w14:paraId="5247C45C" w14:textId="77777777" w:rsidR="00A42CB0" w:rsidRPr="00C64B4C" w:rsidRDefault="007F7F8E" w:rsidP="009A01F1">
      <w:pPr>
        <w:jc w:val="both"/>
        <w:rPr>
          <w:rFonts w:eastAsiaTheme="minorHAnsi"/>
          <w:noProof/>
          <w:sz w:val="24"/>
          <w:szCs w:val="24"/>
          <w:u w:val="single"/>
        </w:rPr>
      </w:pPr>
      <w:r w:rsidRPr="00C64B4C">
        <w:rPr>
          <w:rFonts w:eastAsiaTheme="minorHAnsi"/>
          <w:noProof/>
          <w:sz w:val="24"/>
          <w:szCs w:val="24"/>
          <w:u w:val="single"/>
        </w:rPr>
        <w:t>Background and findings</w:t>
      </w:r>
    </w:p>
    <w:p w14:paraId="2644DB75" w14:textId="77777777" w:rsidR="000E38DE" w:rsidRPr="00C64B4C" w:rsidRDefault="000E38DE" w:rsidP="009A01F1">
      <w:pPr>
        <w:jc w:val="both"/>
        <w:rPr>
          <w:rFonts w:eastAsiaTheme="minorHAnsi"/>
          <w:noProof/>
          <w:sz w:val="24"/>
          <w:szCs w:val="24"/>
        </w:rPr>
      </w:pPr>
    </w:p>
    <w:p w14:paraId="3AA3EFC5" w14:textId="77777777" w:rsidR="000E38DE" w:rsidRPr="00C64B4C" w:rsidRDefault="000E38DE" w:rsidP="008512A4">
      <w:pPr>
        <w:pStyle w:val="ListParagraph"/>
        <w:numPr>
          <w:ilvl w:val="0"/>
          <w:numId w:val="15"/>
        </w:numPr>
        <w:jc w:val="both"/>
        <w:rPr>
          <w:rFonts w:ascii="Times New Roman" w:hAnsi="Times New Roman" w:cs="Times New Roman"/>
          <w:noProof/>
          <w:sz w:val="24"/>
          <w:szCs w:val="24"/>
        </w:rPr>
      </w:pPr>
      <w:r w:rsidRPr="00C64B4C">
        <w:rPr>
          <w:rFonts w:ascii="Times New Roman" w:hAnsi="Times New Roman" w:cs="Times New Roman"/>
          <w:noProof/>
          <w:sz w:val="24"/>
          <w:szCs w:val="24"/>
        </w:rPr>
        <w:t>Governance of the ESAs</w:t>
      </w:r>
    </w:p>
    <w:p w14:paraId="3E32315B" w14:textId="142EBCC8" w:rsidR="00025193" w:rsidRPr="00C64B4C" w:rsidRDefault="00A42CB0" w:rsidP="009A01F1">
      <w:pPr>
        <w:jc w:val="both"/>
        <w:rPr>
          <w:rFonts w:eastAsiaTheme="minorHAnsi"/>
          <w:noProof/>
          <w:sz w:val="24"/>
          <w:szCs w:val="24"/>
        </w:rPr>
      </w:pPr>
      <w:r w:rsidRPr="00C64B4C">
        <w:rPr>
          <w:rFonts w:eastAsiaTheme="minorHAnsi"/>
          <w:noProof/>
          <w:sz w:val="24"/>
          <w:szCs w:val="24"/>
        </w:rPr>
        <w:t xml:space="preserve">In the </w:t>
      </w:r>
      <w:r w:rsidR="007F02DC" w:rsidRPr="00C64B4C">
        <w:rPr>
          <w:rFonts w:eastAsiaTheme="minorHAnsi"/>
          <w:noProof/>
          <w:sz w:val="24"/>
          <w:szCs w:val="24"/>
        </w:rPr>
        <w:t xml:space="preserve">last </w:t>
      </w:r>
      <w:r w:rsidRPr="00C64B4C">
        <w:rPr>
          <w:rFonts w:eastAsiaTheme="minorHAnsi"/>
          <w:noProof/>
          <w:sz w:val="24"/>
          <w:szCs w:val="24"/>
        </w:rPr>
        <w:t>ESA review</w:t>
      </w:r>
      <w:r w:rsidR="001C19B2" w:rsidRPr="00C64B4C">
        <w:rPr>
          <w:rFonts w:eastAsiaTheme="minorHAnsi"/>
          <w:noProof/>
          <w:sz w:val="24"/>
          <w:szCs w:val="24"/>
        </w:rPr>
        <w:t xml:space="preserve">, </w:t>
      </w:r>
      <w:r w:rsidR="001D68A7" w:rsidRPr="00C64B4C">
        <w:rPr>
          <w:rFonts w:eastAsiaTheme="minorHAnsi"/>
          <w:noProof/>
          <w:sz w:val="24"/>
          <w:szCs w:val="24"/>
        </w:rPr>
        <w:t>the Commission p</w:t>
      </w:r>
      <w:r w:rsidRPr="00C64B4C">
        <w:rPr>
          <w:rFonts w:eastAsiaTheme="minorHAnsi"/>
          <w:noProof/>
          <w:sz w:val="24"/>
          <w:szCs w:val="24"/>
        </w:rPr>
        <w:t>r</w:t>
      </w:r>
      <w:r w:rsidR="001D68A7" w:rsidRPr="00C64B4C">
        <w:rPr>
          <w:rFonts w:eastAsiaTheme="minorHAnsi"/>
          <w:noProof/>
          <w:sz w:val="24"/>
          <w:szCs w:val="24"/>
        </w:rPr>
        <w:t>o</w:t>
      </w:r>
      <w:r w:rsidRPr="00C64B4C">
        <w:rPr>
          <w:rFonts w:eastAsiaTheme="minorHAnsi"/>
          <w:noProof/>
          <w:sz w:val="24"/>
          <w:szCs w:val="24"/>
        </w:rPr>
        <w:t xml:space="preserve">posed </w:t>
      </w:r>
      <w:r w:rsidR="007F7F8E" w:rsidRPr="00C64B4C">
        <w:rPr>
          <w:rFonts w:eastAsiaTheme="minorHAnsi"/>
          <w:noProof/>
          <w:sz w:val="24"/>
          <w:szCs w:val="24"/>
        </w:rPr>
        <w:t>far-reaching</w:t>
      </w:r>
      <w:r w:rsidRPr="00C64B4C">
        <w:rPr>
          <w:rFonts w:eastAsiaTheme="minorHAnsi"/>
          <w:noProof/>
          <w:sz w:val="24"/>
          <w:szCs w:val="24"/>
        </w:rPr>
        <w:t xml:space="preserve"> changes to the governance</w:t>
      </w:r>
      <w:r w:rsidR="00185BBF" w:rsidRPr="00C64B4C">
        <w:rPr>
          <w:rFonts w:eastAsiaTheme="minorHAnsi"/>
          <w:noProof/>
          <w:sz w:val="24"/>
          <w:szCs w:val="24"/>
        </w:rPr>
        <w:t xml:space="preserve"> of the ESAs</w:t>
      </w:r>
      <w:r w:rsidRPr="00C64B4C">
        <w:rPr>
          <w:rFonts w:eastAsiaTheme="minorHAnsi"/>
          <w:noProof/>
          <w:sz w:val="24"/>
          <w:szCs w:val="24"/>
        </w:rPr>
        <w:t>,</w:t>
      </w:r>
      <w:r w:rsidR="00C85FE3" w:rsidRPr="00C64B4C">
        <w:rPr>
          <w:rFonts w:eastAsiaTheme="minorHAnsi"/>
          <w:noProof/>
          <w:sz w:val="24"/>
          <w:szCs w:val="24"/>
        </w:rPr>
        <w:t xml:space="preserve"> aiming for </w:t>
      </w:r>
      <w:r w:rsidR="00185BBF" w:rsidRPr="00C64B4C">
        <w:rPr>
          <w:rFonts w:eastAsiaTheme="minorHAnsi"/>
          <w:noProof/>
          <w:sz w:val="24"/>
          <w:szCs w:val="24"/>
        </w:rPr>
        <w:t>the</w:t>
      </w:r>
      <w:r w:rsidR="001C19B2" w:rsidRPr="00C64B4C">
        <w:rPr>
          <w:rFonts w:eastAsiaTheme="minorHAnsi"/>
          <w:noProof/>
          <w:sz w:val="24"/>
          <w:szCs w:val="24"/>
        </w:rPr>
        <w:t>m</w:t>
      </w:r>
      <w:r w:rsidR="00185BBF" w:rsidRPr="00C64B4C">
        <w:rPr>
          <w:rFonts w:eastAsiaTheme="minorHAnsi"/>
          <w:noProof/>
          <w:sz w:val="24"/>
          <w:szCs w:val="24"/>
        </w:rPr>
        <w:t xml:space="preserve"> to be </w:t>
      </w:r>
      <w:r w:rsidR="00C85FE3" w:rsidRPr="00C64B4C">
        <w:rPr>
          <w:rFonts w:eastAsiaTheme="minorHAnsi"/>
          <w:noProof/>
          <w:sz w:val="24"/>
          <w:szCs w:val="24"/>
        </w:rPr>
        <w:t>more independen</w:t>
      </w:r>
      <w:r w:rsidR="00185BBF" w:rsidRPr="00C64B4C">
        <w:rPr>
          <w:rFonts w:eastAsiaTheme="minorHAnsi"/>
          <w:noProof/>
          <w:sz w:val="24"/>
          <w:szCs w:val="24"/>
        </w:rPr>
        <w:t>t</w:t>
      </w:r>
      <w:r w:rsidR="00C85FE3" w:rsidRPr="00C64B4C">
        <w:rPr>
          <w:rFonts w:eastAsiaTheme="minorHAnsi"/>
          <w:noProof/>
          <w:sz w:val="24"/>
          <w:szCs w:val="24"/>
        </w:rPr>
        <w:t xml:space="preserve"> f</w:t>
      </w:r>
      <w:r w:rsidRPr="00C64B4C">
        <w:rPr>
          <w:rFonts w:eastAsiaTheme="minorHAnsi"/>
          <w:noProof/>
          <w:sz w:val="24"/>
          <w:szCs w:val="24"/>
        </w:rPr>
        <w:t>r</w:t>
      </w:r>
      <w:r w:rsidR="00C85FE3" w:rsidRPr="00C64B4C">
        <w:rPr>
          <w:rFonts w:eastAsiaTheme="minorHAnsi"/>
          <w:noProof/>
          <w:sz w:val="24"/>
          <w:szCs w:val="24"/>
        </w:rPr>
        <w:t>om</w:t>
      </w:r>
      <w:r w:rsidRPr="00C64B4C">
        <w:rPr>
          <w:rFonts w:eastAsiaTheme="minorHAnsi"/>
          <w:noProof/>
          <w:sz w:val="24"/>
          <w:szCs w:val="24"/>
        </w:rPr>
        <w:t xml:space="preserve"> </w:t>
      </w:r>
      <w:r w:rsidR="00B10498">
        <w:rPr>
          <w:rFonts w:eastAsiaTheme="minorHAnsi"/>
          <w:noProof/>
          <w:sz w:val="24"/>
          <w:szCs w:val="24"/>
        </w:rPr>
        <w:t>N</w:t>
      </w:r>
      <w:r w:rsidRPr="00C64B4C">
        <w:rPr>
          <w:rFonts w:eastAsiaTheme="minorHAnsi"/>
          <w:noProof/>
          <w:sz w:val="24"/>
          <w:szCs w:val="24"/>
        </w:rPr>
        <w:t xml:space="preserve">ational </w:t>
      </w:r>
      <w:r w:rsidR="00B10498">
        <w:rPr>
          <w:rFonts w:eastAsiaTheme="minorHAnsi"/>
          <w:noProof/>
          <w:sz w:val="24"/>
          <w:szCs w:val="24"/>
        </w:rPr>
        <w:t>C</w:t>
      </w:r>
      <w:r w:rsidRPr="00C64B4C">
        <w:rPr>
          <w:rFonts w:eastAsiaTheme="minorHAnsi"/>
          <w:noProof/>
          <w:sz w:val="24"/>
          <w:szCs w:val="24"/>
        </w:rPr>
        <w:t xml:space="preserve">ompetent </w:t>
      </w:r>
      <w:r w:rsidR="00B10498">
        <w:rPr>
          <w:rFonts w:eastAsiaTheme="minorHAnsi"/>
          <w:noProof/>
          <w:sz w:val="24"/>
          <w:szCs w:val="24"/>
        </w:rPr>
        <w:t>A</w:t>
      </w:r>
      <w:r w:rsidRPr="00C64B4C">
        <w:rPr>
          <w:rFonts w:eastAsiaTheme="minorHAnsi"/>
          <w:noProof/>
          <w:sz w:val="24"/>
          <w:szCs w:val="24"/>
        </w:rPr>
        <w:t xml:space="preserve">uthorities for certain tasks. </w:t>
      </w:r>
      <w:r w:rsidR="00FF310D" w:rsidRPr="00C64B4C">
        <w:rPr>
          <w:rFonts w:eastAsiaTheme="minorHAnsi"/>
          <w:noProof/>
          <w:sz w:val="24"/>
          <w:szCs w:val="24"/>
        </w:rPr>
        <w:t xml:space="preserve">The </w:t>
      </w:r>
      <w:r w:rsidR="00944F71" w:rsidRPr="00C64B4C">
        <w:rPr>
          <w:rFonts w:eastAsiaTheme="minorHAnsi"/>
          <w:noProof/>
          <w:sz w:val="24"/>
          <w:szCs w:val="24"/>
        </w:rPr>
        <w:t xml:space="preserve">main </w:t>
      </w:r>
      <w:r w:rsidR="009F6EDC" w:rsidRPr="00C64B4C">
        <w:rPr>
          <w:rFonts w:eastAsiaTheme="minorHAnsi"/>
          <w:noProof/>
          <w:sz w:val="24"/>
          <w:szCs w:val="24"/>
        </w:rPr>
        <w:t>argument for</w:t>
      </w:r>
      <w:r w:rsidR="00FF310D" w:rsidRPr="00C64B4C">
        <w:rPr>
          <w:rFonts w:eastAsiaTheme="minorHAnsi"/>
          <w:noProof/>
          <w:sz w:val="24"/>
          <w:szCs w:val="24"/>
        </w:rPr>
        <w:t xml:space="preserve"> those proposals was that the use of some of the ESAs’ tools could be </w:t>
      </w:r>
      <w:r w:rsidR="001C19B2" w:rsidRPr="00C64B4C">
        <w:rPr>
          <w:rFonts w:eastAsiaTheme="minorHAnsi"/>
          <w:noProof/>
          <w:sz w:val="24"/>
          <w:szCs w:val="24"/>
        </w:rPr>
        <w:t xml:space="preserve">increased </w:t>
      </w:r>
      <w:r w:rsidR="00FF310D" w:rsidRPr="00C64B4C">
        <w:rPr>
          <w:rFonts w:eastAsiaTheme="minorHAnsi"/>
          <w:noProof/>
          <w:sz w:val="24"/>
          <w:szCs w:val="24"/>
        </w:rPr>
        <w:t>by putting</w:t>
      </w:r>
      <w:r w:rsidR="00F14396" w:rsidRPr="00C64B4C">
        <w:rPr>
          <w:rFonts w:eastAsiaTheme="minorHAnsi"/>
          <w:noProof/>
          <w:sz w:val="24"/>
          <w:szCs w:val="24"/>
        </w:rPr>
        <w:t xml:space="preserve"> certain</w:t>
      </w:r>
      <w:r w:rsidR="00FF310D" w:rsidRPr="00C64B4C">
        <w:rPr>
          <w:rFonts w:eastAsiaTheme="minorHAnsi"/>
          <w:noProof/>
          <w:sz w:val="24"/>
          <w:szCs w:val="24"/>
        </w:rPr>
        <w:t xml:space="preserve"> decisions into the hands of a body that ha</w:t>
      </w:r>
      <w:r w:rsidR="007F02DC" w:rsidRPr="00C64B4C">
        <w:rPr>
          <w:rFonts w:eastAsiaTheme="minorHAnsi"/>
          <w:noProof/>
          <w:sz w:val="24"/>
          <w:szCs w:val="24"/>
        </w:rPr>
        <w:t>d</w:t>
      </w:r>
      <w:r w:rsidR="00FF310D" w:rsidRPr="00C64B4C">
        <w:rPr>
          <w:rFonts w:eastAsiaTheme="minorHAnsi"/>
          <w:noProof/>
          <w:sz w:val="24"/>
          <w:szCs w:val="24"/>
        </w:rPr>
        <w:t xml:space="preserve"> a degree of independence from the authorities </w:t>
      </w:r>
      <w:r w:rsidR="00944F71" w:rsidRPr="00C64B4C">
        <w:rPr>
          <w:rFonts w:eastAsiaTheme="minorHAnsi"/>
          <w:noProof/>
          <w:sz w:val="24"/>
          <w:szCs w:val="24"/>
        </w:rPr>
        <w:t>to which</w:t>
      </w:r>
      <w:r w:rsidR="00FF310D" w:rsidRPr="00C64B4C">
        <w:rPr>
          <w:rFonts w:eastAsiaTheme="minorHAnsi"/>
          <w:noProof/>
          <w:sz w:val="24"/>
          <w:szCs w:val="24"/>
        </w:rPr>
        <w:t xml:space="preserve"> those tools applied. This approach </w:t>
      </w:r>
      <w:r w:rsidR="007F02DC" w:rsidRPr="00C64B4C">
        <w:rPr>
          <w:rFonts w:eastAsiaTheme="minorHAnsi"/>
          <w:noProof/>
          <w:sz w:val="24"/>
          <w:szCs w:val="24"/>
        </w:rPr>
        <w:t xml:space="preserve">was subject to </w:t>
      </w:r>
      <w:r w:rsidR="00FF310D" w:rsidRPr="00C64B4C">
        <w:rPr>
          <w:rFonts w:eastAsiaTheme="minorHAnsi"/>
          <w:noProof/>
          <w:sz w:val="24"/>
          <w:szCs w:val="24"/>
        </w:rPr>
        <w:t>intense discussion</w:t>
      </w:r>
      <w:r w:rsidR="007F02DC" w:rsidRPr="00C64B4C">
        <w:rPr>
          <w:rFonts w:eastAsiaTheme="minorHAnsi"/>
          <w:noProof/>
          <w:sz w:val="24"/>
          <w:szCs w:val="24"/>
        </w:rPr>
        <w:t>s</w:t>
      </w:r>
      <w:r w:rsidR="00FF310D" w:rsidRPr="00C64B4C">
        <w:rPr>
          <w:rFonts w:eastAsiaTheme="minorHAnsi"/>
          <w:noProof/>
          <w:sz w:val="24"/>
          <w:szCs w:val="24"/>
        </w:rPr>
        <w:t xml:space="preserve"> in the legislative process.</w:t>
      </w:r>
      <w:r w:rsidR="003F0C54" w:rsidRPr="00C64B4C">
        <w:rPr>
          <w:rFonts w:eastAsiaTheme="minorHAnsi"/>
          <w:noProof/>
          <w:sz w:val="24"/>
          <w:szCs w:val="24"/>
        </w:rPr>
        <w:t xml:space="preserve"> </w:t>
      </w:r>
      <w:r w:rsidR="0061336D" w:rsidRPr="00C64B4C">
        <w:rPr>
          <w:rFonts w:eastAsiaTheme="minorHAnsi"/>
          <w:noProof/>
          <w:sz w:val="24"/>
          <w:szCs w:val="24"/>
        </w:rPr>
        <w:t xml:space="preserve">The text finally adopted by </w:t>
      </w:r>
      <w:r w:rsidR="007F02DC" w:rsidRPr="00C64B4C">
        <w:rPr>
          <w:rFonts w:eastAsiaTheme="minorHAnsi"/>
          <w:noProof/>
          <w:sz w:val="24"/>
          <w:szCs w:val="24"/>
        </w:rPr>
        <w:t xml:space="preserve">the </w:t>
      </w:r>
      <w:r w:rsidR="0061336D" w:rsidRPr="00C64B4C">
        <w:rPr>
          <w:rFonts w:eastAsiaTheme="minorHAnsi"/>
          <w:noProof/>
          <w:sz w:val="24"/>
          <w:szCs w:val="24"/>
        </w:rPr>
        <w:t>co</w:t>
      </w:r>
      <w:r w:rsidR="008A016E" w:rsidRPr="00C64B4C">
        <w:rPr>
          <w:rFonts w:eastAsiaTheme="minorHAnsi"/>
          <w:noProof/>
          <w:sz w:val="24"/>
          <w:szCs w:val="24"/>
        </w:rPr>
        <w:t>-</w:t>
      </w:r>
      <w:r w:rsidR="0061336D" w:rsidRPr="00C64B4C">
        <w:rPr>
          <w:rFonts w:eastAsiaTheme="minorHAnsi"/>
          <w:noProof/>
          <w:sz w:val="24"/>
          <w:szCs w:val="24"/>
        </w:rPr>
        <w:t>legislators fell short of the Commission</w:t>
      </w:r>
      <w:r w:rsidR="007F02DC" w:rsidRPr="00C64B4C">
        <w:rPr>
          <w:rFonts w:eastAsiaTheme="minorHAnsi"/>
          <w:noProof/>
          <w:sz w:val="24"/>
          <w:szCs w:val="24"/>
        </w:rPr>
        <w:t>’s</w:t>
      </w:r>
      <w:r w:rsidR="0061336D" w:rsidRPr="00C64B4C">
        <w:rPr>
          <w:rFonts w:eastAsiaTheme="minorHAnsi"/>
          <w:noProof/>
          <w:sz w:val="24"/>
          <w:szCs w:val="24"/>
        </w:rPr>
        <w:t xml:space="preserve"> initial ambition. Notwithstanding this, improvements </w:t>
      </w:r>
      <w:r w:rsidR="007F02DC" w:rsidRPr="00C64B4C">
        <w:rPr>
          <w:rFonts w:eastAsiaTheme="minorHAnsi"/>
          <w:noProof/>
          <w:sz w:val="24"/>
          <w:szCs w:val="24"/>
        </w:rPr>
        <w:t xml:space="preserve">were </w:t>
      </w:r>
      <w:r w:rsidR="0061336D" w:rsidRPr="00C64B4C">
        <w:rPr>
          <w:rFonts w:eastAsiaTheme="minorHAnsi"/>
          <w:noProof/>
          <w:sz w:val="24"/>
          <w:szCs w:val="24"/>
        </w:rPr>
        <w:t xml:space="preserve">introduced in targeted areas (i.e. </w:t>
      </w:r>
      <w:r w:rsidR="00944F71" w:rsidRPr="00C64B4C">
        <w:rPr>
          <w:rFonts w:eastAsiaTheme="minorHAnsi"/>
          <w:noProof/>
          <w:sz w:val="24"/>
          <w:szCs w:val="24"/>
        </w:rPr>
        <w:t>on b</w:t>
      </w:r>
      <w:r w:rsidR="0061336D" w:rsidRPr="00C64B4C">
        <w:rPr>
          <w:rFonts w:eastAsiaTheme="minorHAnsi"/>
          <w:noProof/>
          <w:sz w:val="24"/>
          <w:szCs w:val="24"/>
        </w:rPr>
        <w:t xml:space="preserve">reach of Union </w:t>
      </w:r>
      <w:r w:rsidR="007C439E" w:rsidRPr="00C64B4C">
        <w:rPr>
          <w:rFonts w:eastAsiaTheme="minorHAnsi"/>
          <w:noProof/>
          <w:sz w:val="24"/>
          <w:szCs w:val="24"/>
        </w:rPr>
        <w:t>l</w:t>
      </w:r>
      <w:r w:rsidR="0061336D" w:rsidRPr="00C64B4C">
        <w:rPr>
          <w:rFonts w:eastAsiaTheme="minorHAnsi"/>
          <w:noProof/>
          <w:sz w:val="24"/>
          <w:szCs w:val="24"/>
        </w:rPr>
        <w:t>aw</w:t>
      </w:r>
      <w:r w:rsidR="009A01F1" w:rsidRPr="00C64B4C">
        <w:rPr>
          <w:rStyle w:val="FootnoteReference"/>
          <w:rFonts w:eastAsiaTheme="minorHAnsi"/>
          <w:noProof/>
          <w:sz w:val="24"/>
          <w:szCs w:val="24"/>
        </w:rPr>
        <w:footnoteReference w:id="26"/>
      </w:r>
      <w:r w:rsidR="0061336D" w:rsidRPr="00C64B4C">
        <w:rPr>
          <w:rFonts w:eastAsiaTheme="minorHAnsi"/>
          <w:noProof/>
          <w:sz w:val="24"/>
          <w:szCs w:val="24"/>
        </w:rPr>
        <w:t>, conflict</w:t>
      </w:r>
      <w:r w:rsidR="00944F71" w:rsidRPr="00C64B4C">
        <w:rPr>
          <w:rFonts w:eastAsiaTheme="minorHAnsi"/>
          <w:noProof/>
          <w:sz w:val="24"/>
          <w:szCs w:val="24"/>
        </w:rPr>
        <w:t>s</w:t>
      </w:r>
      <w:r w:rsidR="0061336D" w:rsidRPr="00C64B4C">
        <w:rPr>
          <w:rFonts w:eastAsiaTheme="minorHAnsi"/>
          <w:noProof/>
          <w:sz w:val="24"/>
          <w:szCs w:val="24"/>
        </w:rPr>
        <w:t xml:space="preserve"> of interest, </w:t>
      </w:r>
      <w:r w:rsidR="00944F71" w:rsidRPr="00C64B4C">
        <w:rPr>
          <w:rFonts w:eastAsiaTheme="minorHAnsi"/>
          <w:noProof/>
          <w:sz w:val="24"/>
          <w:szCs w:val="24"/>
        </w:rPr>
        <w:t xml:space="preserve">and the </w:t>
      </w:r>
      <w:r w:rsidR="0061336D" w:rsidRPr="00C64B4C">
        <w:rPr>
          <w:rFonts w:eastAsiaTheme="minorHAnsi"/>
          <w:noProof/>
          <w:sz w:val="24"/>
          <w:szCs w:val="24"/>
        </w:rPr>
        <w:t xml:space="preserve">role of </w:t>
      </w:r>
      <w:r w:rsidR="00944F71" w:rsidRPr="00C64B4C">
        <w:rPr>
          <w:rFonts w:eastAsiaTheme="minorHAnsi"/>
          <w:noProof/>
          <w:sz w:val="24"/>
          <w:szCs w:val="24"/>
        </w:rPr>
        <w:t>c</w:t>
      </w:r>
      <w:r w:rsidR="0061336D" w:rsidRPr="00C64B4C">
        <w:rPr>
          <w:rFonts w:eastAsiaTheme="minorHAnsi"/>
          <w:noProof/>
          <w:sz w:val="24"/>
          <w:szCs w:val="24"/>
        </w:rPr>
        <w:t>hairperson</w:t>
      </w:r>
      <w:r w:rsidR="00944F71" w:rsidRPr="00C64B4C">
        <w:rPr>
          <w:rFonts w:eastAsiaTheme="minorHAnsi"/>
          <w:noProof/>
          <w:sz w:val="24"/>
          <w:szCs w:val="24"/>
        </w:rPr>
        <w:t>s</w:t>
      </w:r>
      <w:r w:rsidR="0061336D" w:rsidRPr="00C64B4C">
        <w:rPr>
          <w:rFonts w:eastAsiaTheme="minorHAnsi"/>
          <w:noProof/>
          <w:sz w:val="24"/>
          <w:szCs w:val="24"/>
        </w:rPr>
        <w:t>).</w:t>
      </w:r>
      <w:r w:rsidR="00025193" w:rsidRPr="00C64B4C">
        <w:rPr>
          <w:rFonts w:eastAsiaTheme="minorHAnsi"/>
          <w:noProof/>
          <w:sz w:val="24"/>
          <w:szCs w:val="24"/>
        </w:rPr>
        <w:t xml:space="preserve"> </w:t>
      </w:r>
    </w:p>
    <w:p w14:paraId="269C5344" w14:textId="77777777" w:rsidR="0061336D" w:rsidRPr="00C64B4C" w:rsidRDefault="0061336D" w:rsidP="009A01F1">
      <w:pPr>
        <w:jc w:val="both"/>
        <w:rPr>
          <w:rFonts w:eastAsiaTheme="minorHAnsi"/>
          <w:noProof/>
          <w:sz w:val="24"/>
          <w:szCs w:val="24"/>
        </w:rPr>
      </w:pPr>
    </w:p>
    <w:p w14:paraId="56331E0F" w14:textId="05F08C78" w:rsidR="004540FA" w:rsidRPr="00C64B4C" w:rsidRDefault="007F233F" w:rsidP="009A01F1">
      <w:pPr>
        <w:jc w:val="both"/>
        <w:rPr>
          <w:rFonts w:eastAsiaTheme="minorHAnsi"/>
          <w:noProof/>
          <w:sz w:val="24"/>
          <w:szCs w:val="24"/>
        </w:rPr>
      </w:pPr>
      <w:r w:rsidRPr="00C64B4C">
        <w:rPr>
          <w:rFonts w:eastAsiaTheme="minorHAnsi"/>
          <w:noProof/>
          <w:sz w:val="24"/>
          <w:szCs w:val="24"/>
        </w:rPr>
        <w:t>In the consultation,</w:t>
      </w:r>
      <w:r w:rsidR="00F14396" w:rsidRPr="00C64B4C">
        <w:rPr>
          <w:rFonts w:eastAsiaTheme="minorHAnsi"/>
          <w:noProof/>
          <w:sz w:val="24"/>
          <w:szCs w:val="24"/>
        </w:rPr>
        <w:t xml:space="preserve"> the vast majority of public authorities </w:t>
      </w:r>
      <w:r w:rsidR="00630E62" w:rsidRPr="00C64B4C">
        <w:rPr>
          <w:rFonts w:eastAsiaTheme="minorHAnsi"/>
          <w:noProof/>
          <w:sz w:val="24"/>
          <w:szCs w:val="24"/>
        </w:rPr>
        <w:t>stress</w:t>
      </w:r>
      <w:r w:rsidR="007F02DC" w:rsidRPr="00C64B4C">
        <w:rPr>
          <w:rFonts w:eastAsiaTheme="minorHAnsi"/>
          <w:noProof/>
          <w:sz w:val="24"/>
          <w:szCs w:val="24"/>
        </w:rPr>
        <w:t>ed that</w:t>
      </w:r>
      <w:r w:rsidR="00630E62" w:rsidRPr="00C64B4C">
        <w:rPr>
          <w:rFonts w:eastAsiaTheme="minorHAnsi"/>
          <w:noProof/>
          <w:sz w:val="24"/>
          <w:szCs w:val="24"/>
        </w:rPr>
        <w:t xml:space="preserve"> </w:t>
      </w:r>
      <w:r w:rsidR="00F14396" w:rsidRPr="00C64B4C">
        <w:rPr>
          <w:rFonts w:eastAsiaTheme="minorHAnsi"/>
          <w:noProof/>
          <w:sz w:val="24"/>
          <w:szCs w:val="24"/>
        </w:rPr>
        <w:t>the</w:t>
      </w:r>
      <w:r w:rsidR="009F6957" w:rsidRPr="00C64B4C">
        <w:rPr>
          <w:rFonts w:eastAsiaTheme="minorHAnsi"/>
          <w:noProof/>
          <w:sz w:val="24"/>
          <w:szCs w:val="24"/>
        </w:rPr>
        <w:t xml:space="preserve"> ESAs</w:t>
      </w:r>
      <w:r w:rsidR="00F14396" w:rsidRPr="00C64B4C">
        <w:rPr>
          <w:rFonts w:eastAsiaTheme="minorHAnsi"/>
          <w:noProof/>
          <w:sz w:val="24"/>
          <w:szCs w:val="24"/>
        </w:rPr>
        <w:t xml:space="preserve"> </w:t>
      </w:r>
      <w:r w:rsidR="00085388" w:rsidRPr="00C64B4C">
        <w:rPr>
          <w:rFonts w:eastAsiaTheme="minorHAnsi"/>
          <w:noProof/>
          <w:sz w:val="24"/>
          <w:szCs w:val="24"/>
        </w:rPr>
        <w:t>are</w:t>
      </w:r>
      <w:r w:rsidR="00CF113F" w:rsidRPr="00C64B4C">
        <w:rPr>
          <w:rFonts w:eastAsiaTheme="minorHAnsi"/>
          <w:noProof/>
          <w:sz w:val="24"/>
          <w:szCs w:val="24"/>
        </w:rPr>
        <w:t xml:space="preserve"> </w:t>
      </w:r>
      <w:r w:rsidR="00F14396" w:rsidRPr="00C64B4C">
        <w:rPr>
          <w:rFonts w:eastAsiaTheme="minorHAnsi"/>
          <w:noProof/>
          <w:sz w:val="24"/>
          <w:szCs w:val="24"/>
        </w:rPr>
        <w:t>member-driven organisation</w:t>
      </w:r>
      <w:r w:rsidR="007F02DC" w:rsidRPr="00C64B4C">
        <w:rPr>
          <w:rFonts w:eastAsiaTheme="minorHAnsi"/>
          <w:noProof/>
          <w:sz w:val="24"/>
          <w:szCs w:val="24"/>
        </w:rPr>
        <w:t>s</w:t>
      </w:r>
      <w:r w:rsidR="00DB1DC6" w:rsidRPr="00C64B4C">
        <w:rPr>
          <w:rFonts w:eastAsiaTheme="minorHAnsi"/>
          <w:noProof/>
          <w:sz w:val="24"/>
          <w:szCs w:val="24"/>
        </w:rPr>
        <w:t xml:space="preserve">, in which decisions are taken by national representatives in the </w:t>
      </w:r>
      <w:r w:rsidR="000144CE">
        <w:rPr>
          <w:rFonts w:eastAsiaTheme="minorHAnsi"/>
          <w:noProof/>
          <w:sz w:val="24"/>
          <w:szCs w:val="24"/>
        </w:rPr>
        <w:t>B</w:t>
      </w:r>
      <w:r w:rsidR="00DB1DC6" w:rsidRPr="00C64B4C">
        <w:rPr>
          <w:rFonts w:eastAsiaTheme="minorHAnsi"/>
          <w:noProof/>
          <w:sz w:val="24"/>
          <w:szCs w:val="24"/>
        </w:rPr>
        <w:t xml:space="preserve">oard of </w:t>
      </w:r>
      <w:r w:rsidR="000144CE">
        <w:rPr>
          <w:rFonts w:eastAsiaTheme="minorHAnsi"/>
          <w:noProof/>
          <w:sz w:val="24"/>
          <w:szCs w:val="24"/>
        </w:rPr>
        <w:t>S</w:t>
      </w:r>
      <w:r w:rsidR="00DB1DC6" w:rsidRPr="00C64B4C">
        <w:rPr>
          <w:rFonts w:eastAsiaTheme="minorHAnsi"/>
          <w:noProof/>
          <w:sz w:val="24"/>
          <w:szCs w:val="24"/>
        </w:rPr>
        <w:t>upervisors as the ultimate decision</w:t>
      </w:r>
      <w:r w:rsidR="00944F71" w:rsidRPr="00C64B4C">
        <w:rPr>
          <w:rFonts w:eastAsiaTheme="minorHAnsi"/>
          <w:noProof/>
          <w:sz w:val="24"/>
          <w:szCs w:val="24"/>
        </w:rPr>
        <w:t>-</w:t>
      </w:r>
      <w:r w:rsidR="00DB1DC6" w:rsidRPr="00C64B4C">
        <w:rPr>
          <w:rFonts w:eastAsiaTheme="minorHAnsi"/>
          <w:noProof/>
          <w:sz w:val="24"/>
          <w:szCs w:val="24"/>
        </w:rPr>
        <w:t>making body.</w:t>
      </w:r>
      <w:r w:rsidR="00F14396" w:rsidRPr="00C64B4C">
        <w:rPr>
          <w:rFonts w:eastAsiaTheme="minorHAnsi"/>
          <w:noProof/>
          <w:sz w:val="24"/>
          <w:szCs w:val="24"/>
        </w:rPr>
        <w:t xml:space="preserve"> </w:t>
      </w:r>
      <w:r w:rsidR="00944F71" w:rsidRPr="00C64B4C">
        <w:rPr>
          <w:rFonts w:eastAsiaTheme="minorHAnsi"/>
          <w:noProof/>
          <w:sz w:val="24"/>
          <w:szCs w:val="24"/>
        </w:rPr>
        <w:t>Most</w:t>
      </w:r>
      <w:r w:rsidR="00F14396" w:rsidRPr="00C64B4C">
        <w:rPr>
          <w:rFonts w:eastAsiaTheme="minorHAnsi"/>
          <w:noProof/>
          <w:sz w:val="24"/>
          <w:szCs w:val="24"/>
        </w:rPr>
        <w:t xml:space="preserve"> industry respondents believe</w:t>
      </w:r>
      <w:r w:rsidR="00DB73D8" w:rsidRPr="00C64B4C">
        <w:rPr>
          <w:rFonts w:eastAsiaTheme="minorHAnsi"/>
          <w:noProof/>
          <w:sz w:val="24"/>
          <w:szCs w:val="24"/>
        </w:rPr>
        <w:t>d</w:t>
      </w:r>
      <w:r w:rsidR="00F14396" w:rsidRPr="00C64B4C">
        <w:rPr>
          <w:rFonts w:eastAsiaTheme="minorHAnsi"/>
          <w:noProof/>
          <w:sz w:val="24"/>
          <w:szCs w:val="24"/>
        </w:rPr>
        <w:t xml:space="preserve"> that the ESAs’ </w:t>
      </w:r>
      <w:r w:rsidR="00944F71" w:rsidRPr="00C64B4C">
        <w:rPr>
          <w:rFonts w:eastAsiaTheme="minorHAnsi"/>
          <w:noProof/>
          <w:sz w:val="24"/>
          <w:szCs w:val="24"/>
        </w:rPr>
        <w:t xml:space="preserve">current </w:t>
      </w:r>
      <w:r w:rsidR="00F14396" w:rsidRPr="00C64B4C">
        <w:rPr>
          <w:rFonts w:eastAsiaTheme="minorHAnsi"/>
          <w:noProof/>
          <w:sz w:val="24"/>
          <w:szCs w:val="24"/>
        </w:rPr>
        <w:t xml:space="preserve">governance </w:t>
      </w:r>
      <w:r w:rsidR="00944F71" w:rsidRPr="00C64B4C">
        <w:rPr>
          <w:rFonts w:eastAsiaTheme="minorHAnsi"/>
          <w:noProof/>
          <w:sz w:val="24"/>
          <w:szCs w:val="24"/>
        </w:rPr>
        <w:t>arrangements</w:t>
      </w:r>
      <w:r w:rsidR="00F14396" w:rsidRPr="00C64B4C">
        <w:rPr>
          <w:rFonts w:eastAsiaTheme="minorHAnsi"/>
          <w:noProof/>
          <w:sz w:val="24"/>
          <w:szCs w:val="24"/>
        </w:rPr>
        <w:t xml:space="preserve"> </w:t>
      </w:r>
      <w:r w:rsidR="001C19B2" w:rsidRPr="00C64B4C">
        <w:rPr>
          <w:rFonts w:eastAsiaTheme="minorHAnsi"/>
          <w:noProof/>
          <w:sz w:val="24"/>
          <w:szCs w:val="24"/>
        </w:rPr>
        <w:t>enabled</w:t>
      </w:r>
      <w:r w:rsidR="00F14396" w:rsidRPr="00C64B4C">
        <w:rPr>
          <w:rFonts w:eastAsiaTheme="minorHAnsi"/>
          <w:noProof/>
          <w:sz w:val="24"/>
          <w:szCs w:val="24"/>
        </w:rPr>
        <w:t xml:space="preserve"> the</w:t>
      </w:r>
      <w:r w:rsidR="00944F71" w:rsidRPr="00C64B4C">
        <w:rPr>
          <w:rFonts w:eastAsiaTheme="minorHAnsi"/>
          <w:noProof/>
          <w:sz w:val="24"/>
          <w:szCs w:val="24"/>
        </w:rPr>
        <w:t xml:space="preserve"> ESAs</w:t>
      </w:r>
      <w:r w:rsidR="00F14396" w:rsidRPr="00C64B4C">
        <w:rPr>
          <w:rFonts w:eastAsiaTheme="minorHAnsi"/>
          <w:noProof/>
          <w:sz w:val="24"/>
          <w:szCs w:val="24"/>
        </w:rPr>
        <w:t xml:space="preserve"> to ensure objectivity, independence and efficiency in their work/decision</w:t>
      </w:r>
      <w:r w:rsidR="00DE4345" w:rsidRPr="00C64B4C">
        <w:rPr>
          <w:rFonts w:eastAsiaTheme="minorHAnsi"/>
          <w:noProof/>
          <w:sz w:val="24"/>
          <w:szCs w:val="24"/>
        </w:rPr>
        <w:t>-</w:t>
      </w:r>
      <w:r w:rsidR="00F14396" w:rsidRPr="00C64B4C">
        <w:rPr>
          <w:rFonts w:eastAsiaTheme="minorHAnsi"/>
          <w:noProof/>
          <w:sz w:val="24"/>
          <w:szCs w:val="24"/>
        </w:rPr>
        <w:t xml:space="preserve">making. However, </w:t>
      </w:r>
      <w:r w:rsidR="005065EB" w:rsidRPr="00C64B4C">
        <w:rPr>
          <w:rFonts w:eastAsiaTheme="minorHAnsi"/>
          <w:noProof/>
          <w:sz w:val="24"/>
          <w:szCs w:val="24"/>
        </w:rPr>
        <w:t>a number of stakeholders</w:t>
      </w:r>
      <w:r w:rsidR="00785DEE" w:rsidRPr="00C64B4C">
        <w:rPr>
          <w:rFonts w:eastAsiaTheme="minorHAnsi"/>
          <w:noProof/>
          <w:sz w:val="24"/>
          <w:szCs w:val="24"/>
        </w:rPr>
        <w:t xml:space="preserve"> </w:t>
      </w:r>
      <w:r w:rsidR="00085388" w:rsidRPr="00C64B4C">
        <w:rPr>
          <w:rFonts w:eastAsiaTheme="minorHAnsi"/>
          <w:noProof/>
          <w:sz w:val="24"/>
          <w:szCs w:val="24"/>
        </w:rPr>
        <w:t xml:space="preserve">(a few public authorities, </w:t>
      </w:r>
      <w:r w:rsidR="00944F71" w:rsidRPr="00C64B4C">
        <w:rPr>
          <w:rFonts w:eastAsiaTheme="minorHAnsi"/>
          <w:noProof/>
          <w:sz w:val="24"/>
          <w:szCs w:val="24"/>
        </w:rPr>
        <w:t>some</w:t>
      </w:r>
      <w:r w:rsidR="00085388" w:rsidRPr="00C64B4C">
        <w:rPr>
          <w:rFonts w:eastAsiaTheme="minorHAnsi"/>
          <w:noProof/>
          <w:sz w:val="24"/>
          <w:szCs w:val="24"/>
        </w:rPr>
        <w:t xml:space="preserve"> industry representatives, academi</w:t>
      </w:r>
      <w:r w:rsidR="00944F71" w:rsidRPr="00C64B4C">
        <w:rPr>
          <w:rFonts w:eastAsiaTheme="minorHAnsi"/>
          <w:noProof/>
          <w:sz w:val="24"/>
          <w:szCs w:val="24"/>
        </w:rPr>
        <w:t>cs</w:t>
      </w:r>
      <w:r w:rsidR="00085388" w:rsidRPr="00C64B4C">
        <w:rPr>
          <w:rFonts w:eastAsiaTheme="minorHAnsi"/>
          <w:noProof/>
          <w:sz w:val="24"/>
          <w:szCs w:val="24"/>
        </w:rPr>
        <w:t xml:space="preserve"> and NGOs) </w:t>
      </w:r>
      <w:r w:rsidR="00785DEE" w:rsidRPr="00C64B4C">
        <w:rPr>
          <w:rFonts w:eastAsiaTheme="minorHAnsi"/>
          <w:noProof/>
          <w:sz w:val="24"/>
          <w:szCs w:val="24"/>
        </w:rPr>
        <w:t>support</w:t>
      </w:r>
      <w:r w:rsidR="00944F71" w:rsidRPr="00C64B4C">
        <w:rPr>
          <w:rFonts w:eastAsiaTheme="minorHAnsi"/>
          <w:noProof/>
          <w:sz w:val="24"/>
          <w:szCs w:val="24"/>
        </w:rPr>
        <w:t>ed</w:t>
      </w:r>
      <w:r w:rsidR="00FB0563" w:rsidRPr="00C64B4C">
        <w:rPr>
          <w:rFonts w:eastAsiaTheme="minorHAnsi"/>
          <w:noProof/>
          <w:sz w:val="24"/>
          <w:szCs w:val="24"/>
        </w:rPr>
        <w:t xml:space="preserve"> </w:t>
      </w:r>
      <w:r w:rsidRPr="00C64B4C">
        <w:rPr>
          <w:rFonts w:eastAsiaTheme="minorHAnsi"/>
          <w:noProof/>
          <w:sz w:val="24"/>
          <w:szCs w:val="24"/>
        </w:rPr>
        <w:t>governance arrangements that are more independent from national supervisors</w:t>
      </w:r>
      <w:r w:rsidR="00944F71" w:rsidRPr="00C64B4C">
        <w:rPr>
          <w:rFonts w:eastAsiaTheme="minorHAnsi"/>
          <w:noProof/>
          <w:sz w:val="24"/>
          <w:szCs w:val="24"/>
        </w:rPr>
        <w:t>. These stakeholders</w:t>
      </w:r>
      <w:r w:rsidRPr="00C64B4C">
        <w:rPr>
          <w:rFonts w:eastAsiaTheme="minorHAnsi"/>
          <w:noProof/>
          <w:sz w:val="24"/>
          <w:szCs w:val="24"/>
        </w:rPr>
        <w:t xml:space="preserve"> consider</w:t>
      </w:r>
      <w:r w:rsidR="00DB73D8" w:rsidRPr="00C64B4C">
        <w:rPr>
          <w:rFonts w:eastAsiaTheme="minorHAnsi"/>
          <w:noProof/>
          <w:sz w:val="24"/>
          <w:szCs w:val="24"/>
        </w:rPr>
        <w:t>ed</w:t>
      </w:r>
      <w:r w:rsidRPr="00C64B4C">
        <w:rPr>
          <w:rFonts w:eastAsiaTheme="minorHAnsi"/>
          <w:noProof/>
          <w:sz w:val="24"/>
          <w:szCs w:val="24"/>
        </w:rPr>
        <w:t xml:space="preserve"> the limited amendments by the </w:t>
      </w:r>
      <w:r w:rsidR="00DF1394" w:rsidRPr="00C64B4C">
        <w:rPr>
          <w:rFonts w:eastAsiaTheme="minorHAnsi"/>
          <w:noProof/>
          <w:sz w:val="24"/>
          <w:szCs w:val="24"/>
        </w:rPr>
        <w:t xml:space="preserve">2019 </w:t>
      </w:r>
      <w:r w:rsidRPr="00C64B4C">
        <w:rPr>
          <w:rFonts w:eastAsiaTheme="minorHAnsi"/>
          <w:noProof/>
          <w:sz w:val="24"/>
          <w:szCs w:val="24"/>
        </w:rPr>
        <w:t xml:space="preserve">ESA review as </w:t>
      </w:r>
      <w:r w:rsidR="00944F71" w:rsidRPr="00C64B4C">
        <w:rPr>
          <w:rFonts w:eastAsiaTheme="minorHAnsi"/>
          <w:noProof/>
          <w:sz w:val="24"/>
          <w:szCs w:val="24"/>
        </w:rPr>
        <w:t>in</w:t>
      </w:r>
      <w:r w:rsidR="00085388" w:rsidRPr="00C64B4C">
        <w:rPr>
          <w:rFonts w:eastAsiaTheme="minorHAnsi"/>
          <w:noProof/>
          <w:sz w:val="24"/>
          <w:szCs w:val="24"/>
        </w:rPr>
        <w:t>s</w:t>
      </w:r>
      <w:r w:rsidR="00DF1394" w:rsidRPr="00C64B4C">
        <w:rPr>
          <w:rFonts w:eastAsiaTheme="minorHAnsi"/>
          <w:noProof/>
          <w:sz w:val="24"/>
          <w:szCs w:val="24"/>
        </w:rPr>
        <w:t>ufficient</w:t>
      </w:r>
      <w:r w:rsidRPr="00C64B4C">
        <w:rPr>
          <w:rFonts w:eastAsiaTheme="minorHAnsi"/>
          <w:noProof/>
          <w:sz w:val="24"/>
          <w:szCs w:val="24"/>
        </w:rPr>
        <w:t xml:space="preserve"> to overcome </w:t>
      </w:r>
      <w:r w:rsidR="00085388" w:rsidRPr="00C64B4C">
        <w:rPr>
          <w:rFonts w:eastAsiaTheme="minorHAnsi"/>
          <w:noProof/>
          <w:sz w:val="24"/>
          <w:szCs w:val="24"/>
        </w:rPr>
        <w:t>situation</w:t>
      </w:r>
      <w:r w:rsidR="00944F71" w:rsidRPr="00C64B4C">
        <w:rPr>
          <w:rFonts w:eastAsiaTheme="minorHAnsi"/>
          <w:noProof/>
          <w:sz w:val="24"/>
          <w:szCs w:val="24"/>
        </w:rPr>
        <w:t>s</w:t>
      </w:r>
      <w:r w:rsidR="00085388" w:rsidRPr="00C64B4C">
        <w:rPr>
          <w:rFonts w:eastAsiaTheme="minorHAnsi"/>
          <w:noProof/>
          <w:sz w:val="24"/>
          <w:szCs w:val="24"/>
        </w:rPr>
        <w:t xml:space="preserve"> </w:t>
      </w:r>
      <w:r w:rsidR="00944F71" w:rsidRPr="00C64B4C">
        <w:rPr>
          <w:rFonts w:eastAsiaTheme="minorHAnsi"/>
          <w:noProof/>
          <w:sz w:val="24"/>
          <w:szCs w:val="24"/>
        </w:rPr>
        <w:t xml:space="preserve">where </w:t>
      </w:r>
      <w:r w:rsidRPr="00C64B4C">
        <w:rPr>
          <w:rFonts w:eastAsiaTheme="minorHAnsi"/>
          <w:noProof/>
          <w:sz w:val="24"/>
          <w:szCs w:val="24"/>
        </w:rPr>
        <w:t xml:space="preserve">decisions are taken by representatives of the </w:t>
      </w:r>
      <w:r w:rsidR="00B10498">
        <w:rPr>
          <w:rFonts w:eastAsiaTheme="minorHAnsi"/>
          <w:noProof/>
          <w:sz w:val="24"/>
          <w:szCs w:val="24"/>
        </w:rPr>
        <w:t>N</w:t>
      </w:r>
      <w:r w:rsidRPr="00C64B4C">
        <w:rPr>
          <w:rFonts w:eastAsiaTheme="minorHAnsi"/>
          <w:noProof/>
          <w:sz w:val="24"/>
          <w:szCs w:val="24"/>
        </w:rPr>
        <w:t xml:space="preserve">ational </w:t>
      </w:r>
      <w:r w:rsidR="00B10498">
        <w:rPr>
          <w:rFonts w:eastAsiaTheme="minorHAnsi"/>
          <w:noProof/>
          <w:sz w:val="24"/>
          <w:szCs w:val="24"/>
        </w:rPr>
        <w:t>C</w:t>
      </w:r>
      <w:r w:rsidRPr="00C64B4C">
        <w:rPr>
          <w:rFonts w:eastAsiaTheme="minorHAnsi"/>
          <w:noProof/>
          <w:sz w:val="24"/>
          <w:szCs w:val="24"/>
        </w:rPr>
        <w:t xml:space="preserve">ompetent </w:t>
      </w:r>
      <w:r w:rsidR="00B10498">
        <w:rPr>
          <w:rFonts w:eastAsiaTheme="minorHAnsi"/>
          <w:noProof/>
          <w:sz w:val="24"/>
          <w:szCs w:val="24"/>
        </w:rPr>
        <w:t>A</w:t>
      </w:r>
      <w:r w:rsidRPr="00C64B4C">
        <w:rPr>
          <w:rFonts w:eastAsiaTheme="minorHAnsi"/>
          <w:noProof/>
          <w:sz w:val="24"/>
          <w:szCs w:val="24"/>
        </w:rPr>
        <w:t>uthorities, who might be driven more by national than by European interests</w:t>
      </w:r>
      <w:r w:rsidR="00F14396" w:rsidRPr="00C64B4C">
        <w:rPr>
          <w:rFonts w:eastAsiaTheme="minorHAnsi"/>
          <w:noProof/>
          <w:sz w:val="24"/>
          <w:szCs w:val="24"/>
        </w:rPr>
        <w:t>.</w:t>
      </w:r>
    </w:p>
    <w:p w14:paraId="021514CC" w14:textId="77777777" w:rsidR="0005122A" w:rsidRPr="00C64B4C" w:rsidRDefault="0005122A" w:rsidP="009A01F1">
      <w:pPr>
        <w:jc w:val="both"/>
        <w:rPr>
          <w:rFonts w:eastAsiaTheme="minorHAnsi"/>
          <w:noProof/>
          <w:sz w:val="24"/>
          <w:szCs w:val="24"/>
        </w:rPr>
      </w:pPr>
    </w:p>
    <w:p w14:paraId="7DCB866F" w14:textId="77777777" w:rsidR="007F233F" w:rsidRPr="00C64B4C" w:rsidRDefault="00132BCD" w:rsidP="009A01F1">
      <w:pPr>
        <w:jc w:val="both"/>
        <w:rPr>
          <w:rFonts w:eastAsiaTheme="minorHAnsi"/>
          <w:noProof/>
          <w:sz w:val="24"/>
          <w:szCs w:val="24"/>
        </w:rPr>
      </w:pPr>
      <w:r w:rsidRPr="00C64B4C">
        <w:rPr>
          <w:rFonts w:eastAsiaTheme="minorHAnsi"/>
          <w:noProof/>
          <w:sz w:val="24"/>
          <w:szCs w:val="24"/>
        </w:rPr>
        <w:t>Stakeholde</w:t>
      </w:r>
      <w:r w:rsidR="00DA6B3C" w:rsidRPr="00C64B4C">
        <w:rPr>
          <w:rFonts w:eastAsiaTheme="minorHAnsi"/>
          <w:noProof/>
          <w:sz w:val="24"/>
          <w:szCs w:val="24"/>
        </w:rPr>
        <w:t xml:space="preserve">rs </w:t>
      </w:r>
      <w:r w:rsidR="00DB73D8" w:rsidRPr="00C64B4C">
        <w:rPr>
          <w:rFonts w:eastAsiaTheme="minorHAnsi"/>
          <w:noProof/>
          <w:sz w:val="24"/>
          <w:szCs w:val="24"/>
        </w:rPr>
        <w:t>were</w:t>
      </w:r>
      <w:r w:rsidR="00DA6B3C" w:rsidRPr="00C64B4C">
        <w:rPr>
          <w:rFonts w:eastAsiaTheme="minorHAnsi"/>
          <w:noProof/>
          <w:sz w:val="24"/>
          <w:szCs w:val="24"/>
        </w:rPr>
        <w:t xml:space="preserve"> of the opinion that the latest</w:t>
      </w:r>
      <w:r w:rsidRPr="00C64B4C">
        <w:rPr>
          <w:rFonts w:eastAsiaTheme="minorHAnsi"/>
          <w:noProof/>
          <w:sz w:val="24"/>
          <w:szCs w:val="24"/>
        </w:rPr>
        <w:t xml:space="preserve"> changes</w:t>
      </w:r>
      <w:r w:rsidR="003F0C54" w:rsidRPr="00C64B4C">
        <w:rPr>
          <w:rFonts w:eastAsiaTheme="minorHAnsi"/>
          <w:noProof/>
          <w:sz w:val="24"/>
          <w:szCs w:val="24"/>
        </w:rPr>
        <w:t xml:space="preserve"> in governance</w:t>
      </w:r>
      <w:r w:rsidRPr="00C64B4C">
        <w:rPr>
          <w:rFonts w:eastAsiaTheme="minorHAnsi"/>
          <w:noProof/>
          <w:sz w:val="24"/>
          <w:szCs w:val="24"/>
        </w:rPr>
        <w:t xml:space="preserve"> ha</w:t>
      </w:r>
      <w:r w:rsidR="009F6957" w:rsidRPr="00C64B4C">
        <w:rPr>
          <w:rFonts w:eastAsiaTheme="minorHAnsi"/>
          <w:noProof/>
          <w:sz w:val="24"/>
          <w:szCs w:val="24"/>
        </w:rPr>
        <w:t>d</w:t>
      </w:r>
      <w:r w:rsidRPr="00C64B4C">
        <w:rPr>
          <w:rFonts w:eastAsiaTheme="minorHAnsi"/>
          <w:noProof/>
          <w:sz w:val="24"/>
          <w:szCs w:val="24"/>
        </w:rPr>
        <w:t xml:space="preserve"> improved the ESAs</w:t>
      </w:r>
      <w:r w:rsidR="0065732B" w:rsidRPr="00C64B4C">
        <w:rPr>
          <w:rFonts w:eastAsiaTheme="minorHAnsi"/>
          <w:noProof/>
          <w:sz w:val="24"/>
          <w:szCs w:val="24"/>
        </w:rPr>
        <w:t>’</w:t>
      </w:r>
      <w:r w:rsidRPr="00C64B4C">
        <w:rPr>
          <w:rFonts w:eastAsiaTheme="minorHAnsi"/>
          <w:noProof/>
          <w:sz w:val="24"/>
          <w:szCs w:val="24"/>
        </w:rPr>
        <w:t xml:space="preserve"> </w:t>
      </w:r>
      <w:r w:rsidR="004540FA" w:rsidRPr="00C64B4C">
        <w:rPr>
          <w:rFonts w:eastAsiaTheme="minorHAnsi"/>
          <w:noProof/>
          <w:sz w:val="24"/>
          <w:szCs w:val="24"/>
        </w:rPr>
        <w:t>decision</w:t>
      </w:r>
      <w:r w:rsidR="00C556C9" w:rsidRPr="00C64B4C">
        <w:rPr>
          <w:rFonts w:eastAsiaTheme="minorHAnsi"/>
          <w:noProof/>
          <w:sz w:val="24"/>
          <w:szCs w:val="24"/>
        </w:rPr>
        <w:t>-</w:t>
      </w:r>
      <w:r w:rsidR="004540FA" w:rsidRPr="00C64B4C">
        <w:rPr>
          <w:rFonts w:eastAsiaTheme="minorHAnsi"/>
          <w:noProof/>
          <w:sz w:val="24"/>
          <w:szCs w:val="24"/>
        </w:rPr>
        <w:t>making processes</w:t>
      </w:r>
      <w:r w:rsidR="009A01F1" w:rsidRPr="00C64B4C">
        <w:rPr>
          <w:rStyle w:val="FootnoteReference"/>
          <w:rFonts w:eastAsiaTheme="minorHAnsi"/>
          <w:noProof/>
          <w:sz w:val="24"/>
          <w:szCs w:val="24"/>
        </w:rPr>
        <w:footnoteReference w:id="27"/>
      </w:r>
      <w:r w:rsidR="004540FA" w:rsidRPr="00C64B4C">
        <w:rPr>
          <w:rFonts w:eastAsiaTheme="minorHAnsi"/>
          <w:noProof/>
          <w:sz w:val="24"/>
          <w:szCs w:val="24"/>
        </w:rPr>
        <w:t>.</w:t>
      </w:r>
      <w:r w:rsidR="006A4076" w:rsidRPr="00C64B4C">
        <w:rPr>
          <w:rFonts w:eastAsiaTheme="minorHAnsi"/>
          <w:noProof/>
          <w:sz w:val="24"/>
          <w:szCs w:val="24"/>
        </w:rPr>
        <w:t xml:space="preserve"> </w:t>
      </w:r>
      <w:r w:rsidR="004540FA" w:rsidRPr="00C64B4C">
        <w:rPr>
          <w:rFonts w:eastAsiaTheme="minorHAnsi"/>
          <w:noProof/>
          <w:sz w:val="24"/>
          <w:szCs w:val="24"/>
        </w:rPr>
        <w:t xml:space="preserve">Some respondents observed that the </w:t>
      </w:r>
      <w:r w:rsidR="0065732B" w:rsidRPr="00C64B4C">
        <w:rPr>
          <w:rFonts w:eastAsiaTheme="minorHAnsi"/>
          <w:noProof/>
          <w:sz w:val="24"/>
          <w:szCs w:val="24"/>
        </w:rPr>
        <w:t xml:space="preserve">changes brought about by the </w:t>
      </w:r>
      <w:r w:rsidR="004540FA" w:rsidRPr="00C64B4C">
        <w:rPr>
          <w:rFonts w:eastAsiaTheme="minorHAnsi"/>
          <w:noProof/>
          <w:sz w:val="24"/>
          <w:szCs w:val="24"/>
        </w:rPr>
        <w:t>2019 ESA review</w:t>
      </w:r>
      <w:r w:rsidR="0065732B" w:rsidRPr="00C64B4C">
        <w:rPr>
          <w:rFonts w:eastAsiaTheme="minorHAnsi"/>
          <w:noProof/>
          <w:sz w:val="24"/>
          <w:szCs w:val="24"/>
        </w:rPr>
        <w:t>: (i)</w:t>
      </w:r>
      <w:r w:rsidR="004540FA" w:rsidRPr="00C64B4C">
        <w:rPr>
          <w:rFonts w:eastAsiaTheme="minorHAnsi"/>
          <w:noProof/>
          <w:sz w:val="24"/>
          <w:szCs w:val="24"/>
        </w:rPr>
        <w:t xml:space="preserve"> ma</w:t>
      </w:r>
      <w:r w:rsidR="0065732B" w:rsidRPr="00C64B4C">
        <w:rPr>
          <w:rFonts w:eastAsiaTheme="minorHAnsi"/>
          <w:noProof/>
          <w:sz w:val="24"/>
          <w:szCs w:val="24"/>
        </w:rPr>
        <w:t>d</w:t>
      </w:r>
      <w:r w:rsidR="001C19B2" w:rsidRPr="00C64B4C">
        <w:rPr>
          <w:rFonts w:eastAsiaTheme="minorHAnsi"/>
          <w:noProof/>
          <w:sz w:val="24"/>
          <w:szCs w:val="24"/>
        </w:rPr>
        <w:t>e</w:t>
      </w:r>
      <w:r w:rsidR="004540FA" w:rsidRPr="00C64B4C">
        <w:rPr>
          <w:rFonts w:eastAsiaTheme="minorHAnsi"/>
          <w:noProof/>
          <w:sz w:val="24"/>
          <w:szCs w:val="24"/>
        </w:rPr>
        <w:t xml:space="preserve"> decision</w:t>
      </w:r>
      <w:r w:rsidR="00DE4345" w:rsidRPr="00C64B4C">
        <w:rPr>
          <w:rFonts w:eastAsiaTheme="minorHAnsi"/>
          <w:noProof/>
          <w:sz w:val="24"/>
          <w:szCs w:val="24"/>
        </w:rPr>
        <w:t>-</w:t>
      </w:r>
      <w:r w:rsidR="004540FA" w:rsidRPr="00C64B4C">
        <w:rPr>
          <w:rFonts w:eastAsiaTheme="minorHAnsi"/>
          <w:noProof/>
          <w:sz w:val="24"/>
          <w:szCs w:val="24"/>
        </w:rPr>
        <w:t>making quicker</w:t>
      </w:r>
      <w:r w:rsidR="0065732B" w:rsidRPr="00C64B4C">
        <w:rPr>
          <w:rFonts w:eastAsiaTheme="minorHAnsi"/>
          <w:noProof/>
          <w:sz w:val="24"/>
          <w:szCs w:val="24"/>
        </w:rPr>
        <w:t>; (ii)</w:t>
      </w:r>
      <w:r w:rsidR="004540FA" w:rsidRPr="00C64B4C">
        <w:rPr>
          <w:rFonts w:eastAsiaTheme="minorHAnsi"/>
          <w:noProof/>
          <w:sz w:val="24"/>
          <w:szCs w:val="24"/>
        </w:rPr>
        <w:t xml:space="preserve"> mitigate</w:t>
      </w:r>
      <w:r w:rsidR="0065732B" w:rsidRPr="00C64B4C">
        <w:rPr>
          <w:rFonts w:eastAsiaTheme="minorHAnsi"/>
          <w:noProof/>
          <w:sz w:val="24"/>
          <w:szCs w:val="24"/>
        </w:rPr>
        <w:t>d</w:t>
      </w:r>
      <w:r w:rsidR="004540FA" w:rsidRPr="00C64B4C">
        <w:rPr>
          <w:rFonts w:eastAsiaTheme="minorHAnsi"/>
          <w:noProof/>
          <w:sz w:val="24"/>
          <w:szCs w:val="24"/>
        </w:rPr>
        <w:t xml:space="preserve"> the risk of conflict</w:t>
      </w:r>
      <w:r w:rsidR="001C19B2" w:rsidRPr="00C64B4C">
        <w:rPr>
          <w:rFonts w:eastAsiaTheme="minorHAnsi"/>
          <w:noProof/>
          <w:sz w:val="24"/>
          <w:szCs w:val="24"/>
        </w:rPr>
        <w:t>s</w:t>
      </w:r>
      <w:r w:rsidR="004540FA" w:rsidRPr="00C64B4C">
        <w:rPr>
          <w:rFonts w:eastAsiaTheme="minorHAnsi"/>
          <w:noProof/>
          <w:sz w:val="24"/>
          <w:szCs w:val="24"/>
        </w:rPr>
        <w:t xml:space="preserve"> of interest</w:t>
      </w:r>
      <w:r w:rsidR="0065732B" w:rsidRPr="00C64B4C">
        <w:rPr>
          <w:rFonts w:eastAsiaTheme="minorHAnsi"/>
          <w:noProof/>
          <w:sz w:val="24"/>
          <w:szCs w:val="24"/>
        </w:rPr>
        <w:t>;</w:t>
      </w:r>
      <w:r w:rsidR="004540FA" w:rsidRPr="00C64B4C">
        <w:rPr>
          <w:rFonts w:eastAsiaTheme="minorHAnsi"/>
          <w:noProof/>
          <w:sz w:val="24"/>
          <w:szCs w:val="24"/>
        </w:rPr>
        <w:t xml:space="preserve"> and </w:t>
      </w:r>
      <w:r w:rsidR="0065732B" w:rsidRPr="00C64B4C">
        <w:rPr>
          <w:rFonts w:eastAsiaTheme="minorHAnsi"/>
          <w:noProof/>
          <w:sz w:val="24"/>
          <w:szCs w:val="24"/>
        </w:rPr>
        <w:t xml:space="preserve">(iii) brought </w:t>
      </w:r>
      <w:r w:rsidR="00F72535" w:rsidRPr="00C64B4C">
        <w:rPr>
          <w:rFonts w:eastAsiaTheme="minorHAnsi"/>
          <w:noProof/>
          <w:sz w:val="24"/>
          <w:szCs w:val="24"/>
        </w:rPr>
        <w:t xml:space="preserve">additional </w:t>
      </w:r>
      <w:r w:rsidR="004540FA" w:rsidRPr="00C64B4C">
        <w:rPr>
          <w:rFonts w:eastAsiaTheme="minorHAnsi"/>
          <w:noProof/>
          <w:sz w:val="24"/>
          <w:szCs w:val="24"/>
        </w:rPr>
        <w:t xml:space="preserve">impartiality and transparency. </w:t>
      </w:r>
    </w:p>
    <w:p w14:paraId="03F1569A" w14:textId="77777777" w:rsidR="00132BCD" w:rsidRPr="00C64B4C" w:rsidRDefault="00132BCD" w:rsidP="009A01F1">
      <w:pPr>
        <w:jc w:val="both"/>
        <w:rPr>
          <w:rFonts w:eastAsiaTheme="minorHAnsi"/>
          <w:noProof/>
          <w:sz w:val="24"/>
          <w:szCs w:val="24"/>
        </w:rPr>
      </w:pPr>
    </w:p>
    <w:p w14:paraId="5C940951" w14:textId="77777777" w:rsidR="0099786D" w:rsidRPr="00C64B4C" w:rsidRDefault="0065732B" w:rsidP="009A01F1">
      <w:pPr>
        <w:jc w:val="both"/>
        <w:rPr>
          <w:rFonts w:eastAsiaTheme="minorHAnsi"/>
          <w:noProof/>
          <w:sz w:val="24"/>
          <w:szCs w:val="24"/>
        </w:rPr>
      </w:pPr>
      <w:r w:rsidRPr="00C64B4C">
        <w:rPr>
          <w:rFonts w:eastAsiaTheme="minorHAnsi"/>
          <w:noProof/>
          <w:sz w:val="24"/>
          <w:szCs w:val="24"/>
        </w:rPr>
        <w:t xml:space="preserve">On </w:t>
      </w:r>
      <w:r w:rsidR="0099786D" w:rsidRPr="00C64B4C">
        <w:rPr>
          <w:rFonts w:eastAsiaTheme="minorHAnsi"/>
          <w:noProof/>
          <w:sz w:val="24"/>
          <w:szCs w:val="24"/>
        </w:rPr>
        <w:t xml:space="preserve">voting </w:t>
      </w:r>
      <w:r w:rsidRPr="00C64B4C">
        <w:rPr>
          <w:rFonts w:eastAsiaTheme="minorHAnsi"/>
          <w:noProof/>
          <w:sz w:val="24"/>
          <w:szCs w:val="24"/>
        </w:rPr>
        <w:t>arrangements</w:t>
      </w:r>
      <w:r w:rsidR="0099786D" w:rsidRPr="00C64B4C">
        <w:rPr>
          <w:rFonts w:eastAsiaTheme="minorHAnsi"/>
          <w:noProof/>
          <w:sz w:val="24"/>
          <w:szCs w:val="24"/>
        </w:rPr>
        <w:t xml:space="preserve">, </w:t>
      </w:r>
      <w:r w:rsidRPr="00C64B4C">
        <w:rPr>
          <w:rFonts w:eastAsiaTheme="minorHAnsi"/>
          <w:noProof/>
          <w:sz w:val="24"/>
          <w:szCs w:val="24"/>
        </w:rPr>
        <w:t xml:space="preserve">there continue to be </w:t>
      </w:r>
      <w:r w:rsidR="0099786D" w:rsidRPr="00C64B4C">
        <w:rPr>
          <w:rFonts w:eastAsiaTheme="minorHAnsi"/>
          <w:noProof/>
          <w:sz w:val="24"/>
          <w:szCs w:val="24"/>
        </w:rPr>
        <w:t>d</w:t>
      </w:r>
      <w:r w:rsidR="003826C0" w:rsidRPr="00C64B4C">
        <w:rPr>
          <w:rFonts w:eastAsiaTheme="minorHAnsi"/>
          <w:noProof/>
          <w:sz w:val="24"/>
          <w:szCs w:val="24"/>
        </w:rPr>
        <w:t>iffering opinions</w:t>
      </w:r>
      <w:r w:rsidR="0099786D" w:rsidRPr="00C64B4C">
        <w:rPr>
          <w:rFonts w:eastAsiaTheme="minorHAnsi"/>
          <w:noProof/>
          <w:sz w:val="24"/>
          <w:szCs w:val="24"/>
        </w:rPr>
        <w:t>. This</w:t>
      </w:r>
      <w:r w:rsidR="003826C0" w:rsidRPr="00C64B4C">
        <w:rPr>
          <w:rFonts w:eastAsiaTheme="minorHAnsi"/>
          <w:noProof/>
          <w:sz w:val="24"/>
          <w:szCs w:val="24"/>
        </w:rPr>
        <w:t xml:space="preserve"> is clearly illustrated by a public</w:t>
      </w:r>
      <w:r w:rsidRPr="00C64B4C">
        <w:rPr>
          <w:rFonts w:eastAsiaTheme="minorHAnsi"/>
          <w:noProof/>
          <w:sz w:val="24"/>
          <w:szCs w:val="24"/>
        </w:rPr>
        <w:t>-</w:t>
      </w:r>
      <w:r w:rsidR="003826C0" w:rsidRPr="00C64B4C">
        <w:rPr>
          <w:rFonts w:eastAsiaTheme="minorHAnsi"/>
          <w:noProof/>
          <w:sz w:val="24"/>
          <w:szCs w:val="24"/>
        </w:rPr>
        <w:t>sector voice from a smaller M</w:t>
      </w:r>
      <w:r w:rsidR="007F02DC" w:rsidRPr="00C64B4C">
        <w:rPr>
          <w:rFonts w:eastAsiaTheme="minorHAnsi"/>
          <w:noProof/>
          <w:sz w:val="24"/>
          <w:szCs w:val="24"/>
        </w:rPr>
        <w:t xml:space="preserve">ember </w:t>
      </w:r>
      <w:r w:rsidR="003826C0" w:rsidRPr="00C64B4C">
        <w:rPr>
          <w:rFonts w:eastAsiaTheme="minorHAnsi"/>
          <w:noProof/>
          <w:sz w:val="24"/>
          <w:szCs w:val="24"/>
        </w:rPr>
        <w:t>S</w:t>
      </w:r>
      <w:r w:rsidR="007F02DC" w:rsidRPr="00C64B4C">
        <w:rPr>
          <w:rFonts w:eastAsiaTheme="minorHAnsi"/>
          <w:noProof/>
          <w:sz w:val="24"/>
          <w:szCs w:val="24"/>
        </w:rPr>
        <w:t>tate</w:t>
      </w:r>
      <w:r w:rsidR="003826C0" w:rsidRPr="00C64B4C">
        <w:rPr>
          <w:rFonts w:eastAsiaTheme="minorHAnsi"/>
          <w:noProof/>
          <w:sz w:val="24"/>
          <w:szCs w:val="24"/>
        </w:rPr>
        <w:t xml:space="preserve"> </w:t>
      </w:r>
      <w:r w:rsidR="00DE4345" w:rsidRPr="00C64B4C">
        <w:rPr>
          <w:rFonts w:eastAsiaTheme="minorHAnsi"/>
          <w:noProof/>
          <w:sz w:val="24"/>
          <w:szCs w:val="24"/>
        </w:rPr>
        <w:t xml:space="preserve">asking for </w:t>
      </w:r>
      <w:r w:rsidR="003826C0" w:rsidRPr="00C64B4C">
        <w:rPr>
          <w:rFonts w:eastAsiaTheme="minorHAnsi"/>
          <w:noProof/>
          <w:sz w:val="24"/>
          <w:szCs w:val="24"/>
        </w:rPr>
        <w:t xml:space="preserve">more decisions </w:t>
      </w:r>
      <w:r w:rsidR="007F02DC" w:rsidRPr="00C64B4C">
        <w:rPr>
          <w:rFonts w:eastAsiaTheme="minorHAnsi"/>
          <w:noProof/>
          <w:sz w:val="24"/>
          <w:szCs w:val="24"/>
        </w:rPr>
        <w:t xml:space="preserve">to be taken </w:t>
      </w:r>
      <w:r w:rsidR="003826C0" w:rsidRPr="00C64B4C">
        <w:rPr>
          <w:rFonts w:eastAsiaTheme="minorHAnsi"/>
          <w:noProof/>
          <w:sz w:val="24"/>
          <w:szCs w:val="24"/>
        </w:rPr>
        <w:t xml:space="preserve">on the basis </w:t>
      </w:r>
      <w:r w:rsidRPr="00C64B4C">
        <w:rPr>
          <w:rFonts w:eastAsiaTheme="minorHAnsi"/>
          <w:noProof/>
          <w:sz w:val="24"/>
          <w:szCs w:val="24"/>
        </w:rPr>
        <w:t xml:space="preserve">of </w:t>
      </w:r>
      <w:r w:rsidR="003826C0" w:rsidRPr="00C64B4C">
        <w:rPr>
          <w:rFonts w:eastAsiaTheme="minorHAnsi"/>
          <w:noProof/>
          <w:sz w:val="24"/>
          <w:szCs w:val="24"/>
        </w:rPr>
        <w:t>‘</w:t>
      </w:r>
      <w:r w:rsidRPr="00C64B4C">
        <w:rPr>
          <w:rFonts w:eastAsiaTheme="minorHAnsi"/>
          <w:noProof/>
          <w:sz w:val="24"/>
          <w:szCs w:val="24"/>
        </w:rPr>
        <w:t xml:space="preserve">one </w:t>
      </w:r>
      <w:r w:rsidR="003F0C54" w:rsidRPr="00C64B4C">
        <w:rPr>
          <w:rFonts w:eastAsiaTheme="minorHAnsi"/>
          <w:noProof/>
          <w:sz w:val="24"/>
          <w:szCs w:val="24"/>
        </w:rPr>
        <w:t>voting member</w:t>
      </w:r>
      <w:r w:rsidR="003826C0" w:rsidRPr="00C64B4C">
        <w:rPr>
          <w:rFonts w:eastAsiaTheme="minorHAnsi"/>
          <w:noProof/>
          <w:sz w:val="24"/>
          <w:szCs w:val="24"/>
        </w:rPr>
        <w:t>, one vote’, while another public</w:t>
      </w:r>
      <w:r w:rsidRPr="00C64B4C">
        <w:rPr>
          <w:rFonts w:eastAsiaTheme="minorHAnsi"/>
          <w:noProof/>
          <w:sz w:val="24"/>
          <w:szCs w:val="24"/>
        </w:rPr>
        <w:t>-</w:t>
      </w:r>
      <w:r w:rsidR="003826C0" w:rsidRPr="00C64B4C">
        <w:rPr>
          <w:rFonts w:eastAsiaTheme="minorHAnsi"/>
          <w:noProof/>
          <w:sz w:val="24"/>
          <w:szCs w:val="24"/>
        </w:rPr>
        <w:t>sector respondent from a M</w:t>
      </w:r>
      <w:r w:rsidR="007F02DC" w:rsidRPr="00C64B4C">
        <w:rPr>
          <w:rFonts w:eastAsiaTheme="minorHAnsi"/>
          <w:noProof/>
          <w:sz w:val="24"/>
          <w:szCs w:val="24"/>
        </w:rPr>
        <w:t xml:space="preserve">ember </w:t>
      </w:r>
      <w:r w:rsidR="003826C0" w:rsidRPr="00C64B4C">
        <w:rPr>
          <w:rFonts w:eastAsiaTheme="minorHAnsi"/>
          <w:noProof/>
          <w:sz w:val="24"/>
          <w:szCs w:val="24"/>
        </w:rPr>
        <w:t>S</w:t>
      </w:r>
      <w:r w:rsidR="007F02DC" w:rsidRPr="00C64B4C">
        <w:rPr>
          <w:rFonts w:eastAsiaTheme="minorHAnsi"/>
          <w:noProof/>
          <w:sz w:val="24"/>
          <w:szCs w:val="24"/>
        </w:rPr>
        <w:t>tate</w:t>
      </w:r>
      <w:r w:rsidR="003826C0" w:rsidRPr="00C64B4C">
        <w:rPr>
          <w:rFonts w:eastAsiaTheme="minorHAnsi"/>
          <w:noProof/>
          <w:sz w:val="24"/>
          <w:szCs w:val="24"/>
        </w:rPr>
        <w:t xml:space="preserve"> with a </w:t>
      </w:r>
      <w:r w:rsidR="00F72535" w:rsidRPr="00C64B4C">
        <w:rPr>
          <w:rFonts w:eastAsiaTheme="minorHAnsi"/>
          <w:noProof/>
          <w:sz w:val="24"/>
          <w:szCs w:val="24"/>
        </w:rPr>
        <w:t>large</w:t>
      </w:r>
      <w:r w:rsidR="003826C0" w:rsidRPr="00C64B4C">
        <w:rPr>
          <w:rFonts w:eastAsiaTheme="minorHAnsi"/>
          <w:noProof/>
          <w:sz w:val="24"/>
          <w:szCs w:val="24"/>
        </w:rPr>
        <w:t xml:space="preserve"> financial market suggested strengthen</w:t>
      </w:r>
      <w:r w:rsidRPr="00C64B4C">
        <w:rPr>
          <w:rFonts w:eastAsiaTheme="minorHAnsi"/>
          <w:noProof/>
          <w:sz w:val="24"/>
          <w:szCs w:val="24"/>
        </w:rPr>
        <w:t>ing</w:t>
      </w:r>
      <w:r w:rsidR="003826C0" w:rsidRPr="00C64B4C">
        <w:rPr>
          <w:rFonts w:eastAsiaTheme="minorHAnsi"/>
          <w:noProof/>
          <w:sz w:val="24"/>
          <w:szCs w:val="24"/>
        </w:rPr>
        <w:t xml:space="preserve"> the influence of Member States most affected by individual decisions</w:t>
      </w:r>
      <w:r w:rsidRPr="00C64B4C">
        <w:rPr>
          <w:rFonts w:eastAsiaTheme="minorHAnsi"/>
          <w:noProof/>
          <w:sz w:val="24"/>
          <w:szCs w:val="24"/>
        </w:rPr>
        <w:t xml:space="preserve"> of the ESA</w:t>
      </w:r>
      <w:r w:rsidR="003826C0" w:rsidRPr="00C64B4C">
        <w:rPr>
          <w:rFonts w:eastAsiaTheme="minorHAnsi"/>
          <w:noProof/>
          <w:sz w:val="24"/>
          <w:szCs w:val="24"/>
        </w:rPr>
        <w:t xml:space="preserve">. A few respondents suggested further extending the right </w:t>
      </w:r>
      <w:r w:rsidRPr="00C64B4C">
        <w:rPr>
          <w:rFonts w:eastAsiaTheme="minorHAnsi"/>
          <w:noProof/>
          <w:sz w:val="24"/>
          <w:szCs w:val="24"/>
        </w:rPr>
        <w:t xml:space="preserve">of an ESA chairperson </w:t>
      </w:r>
      <w:r w:rsidR="003826C0" w:rsidRPr="00C64B4C">
        <w:rPr>
          <w:rFonts w:eastAsiaTheme="minorHAnsi"/>
          <w:noProof/>
          <w:sz w:val="24"/>
          <w:szCs w:val="24"/>
        </w:rPr>
        <w:t xml:space="preserve">to vote </w:t>
      </w:r>
      <w:r w:rsidR="009F6957" w:rsidRPr="00C64B4C">
        <w:rPr>
          <w:rFonts w:eastAsiaTheme="minorHAnsi"/>
          <w:noProof/>
          <w:sz w:val="24"/>
          <w:szCs w:val="24"/>
        </w:rPr>
        <w:t xml:space="preserve">in </w:t>
      </w:r>
      <w:r w:rsidR="003826C0" w:rsidRPr="00C64B4C">
        <w:rPr>
          <w:rFonts w:eastAsiaTheme="minorHAnsi"/>
          <w:noProof/>
          <w:sz w:val="24"/>
          <w:szCs w:val="24"/>
        </w:rPr>
        <w:t>all kind</w:t>
      </w:r>
      <w:r w:rsidR="007F02DC" w:rsidRPr="00C64B4C">
        <w:rPr>
          <w:rFonts w:eastAsiaTheme="minorHAnsi"/>
          <w:noProof/>
          <w:sz w:val="24"/>
          <w:szCs w:val="24"/>
        </w:rPr>
        <w:t>s</w:t>
      </w:r>
      <w:r w:rsidR="003826C0" w:rsidRPr="00C64B4C">
        <w:rPr>
          <w:rFonts w:eastAsiaTheme="minorHAnsi"/>
          <w:noProof/>
          <w:sz w:val="24"/>
          <w:szCs w:val="24"/>
        </w:rPr>
        <w:t xml:space="preserve"> of decisions (</w:t>
      </w:r>
      <w:r w:rsidR="007F02DC" w:rsidRPr="00C64B4C">
        <w:rPr>
          <w:rFonts w:eastAsiaTheme="minorHAnsi"/>
          <w:noProof/>
          <w:sz w:val="24"/>
          <w:szCs w:val="24"/>
        </w:rPr>
        <w:t xml:space="preserve">currently, </w:t>
      </w:r>
      <w:r w:rsidR="003826C0" w:rsidRPr="00C64B4C">
        <w:rPr>
          <w:rFonts w:eastAsiaTheme="minorHAnsi"/>
          <w:noProof/>
          <w:sz w:val="24"/>
          <w:szCs w:val="24"/>
        </w:rPr>
        <w:t xml:space="preserve">the </w:t>
      </w:r>
      <w:r w:rsidRPr="00C64B4C">
        <w:rPr>
          <w:rFonts w:eastAsiaTheme="minorHAnsi"/>
          <w:noProof/>
          <w:sz w:val="24"/>
          <w:szCs w:val="24"/>
        </w:rPr>
        <w:t>c</w:t>
      </w:r>
      <w:r w:rsidR="003826C0" w:rsidRPr="00C64B4C">
        <w:rPr>
          <w:rFonts w:eastAsiaTheme="minorHAnsi"/>
          <w:noProof/>
          <w:sz w:val="24"/>
          <w:szCs w:val="24"/>
        </w:rPr>
        <w:t xml:space="preserve">hairperson cannot vote in decisions taken by qualified majority). </w:t>
      </w:r>
    </w:p>
    <w:p w14:paraId="36364B2F" w14:textId="77777777" w:rsidR="0099786D" w:rsidRPr="00C64B4C" w:rsidRDefault="0099786D" w:rsidP="009A01F1">
      <w:pPr>
        <w:jc w:val="both"/>
        <w:rPr>
          <w:rFonts w:eastAsiaTheme="minorHAnsi"/>
          <w:noProof/>
          <w:sz w:val="24"/>
          <w:szCs w:val="24"/>
        </w:rPr>
      </w:pPr>
    </w:p>
    <w:p w14:paraId="5BEF0CFC" w14:textId="1C7CF1FA" w:rsidR="006145E0" w:rsidRDefault="0065732B" w:rsidP="009A01F1">
      <w:pPr>
        <w:jc w:val="both"/>
        <w:rPr>
          <w:rFonts w:eastAsiaTheme="minorHAnsi"/>
          <w:noProof/>
          <w:sz w:val="24"/>
          <w:szCs w:val="24"/>
        </w:rPr>
      </w:pPr>
      <w:r w:rsidRPr="00C64B4C">
        <w:rPr>
          <w:rFonts w:eastAsiaTheme="minorHAnsi"/>
          <w:noProof/>
          <w:sz w:val="24"/>
          <w:szCs w:val="24"/>
        </w:rPr>
        <w:t>O</w:t>
      </w:r>
      <w:r w:rsidR="003826C0" w:rsidRPr="00C64B4C">
        <w:rPr>
          <w:rFonts w:eastAsiaTheme="minorHAnsi"/>
          <w:noProof/>
          <w:sz w:val="24"/>
          <w:szCs w:val="24"/>
        </w:rPr>
        <w:t xml:space="preserve">pinions were </w:t>
      </w:r>
      <w:r w:rsidRPr="00C64B4C">
        <w:rPr>
          <w:rFonts w:eastAsiaTheme="minorHAnsi"/>
          <w:noProof/>
          <w:sz w:val="24"/>
          <w:szCs w:val="24"/>
        </w:rPr>
        <w:t xml:space="preserve">also </w:t>
      </w:r>
      <w:r w:rsidR="003826C0" w:rsidRPr="00C64B4C">
        <w:rPr>
          <w:rFonts w:eastAsiaTheme="minorHAnsi"/>
          <w:noProof/>
          <w:sz w:val="24"/>
          <w:szCs w:val="24"/>
        </w:rPr>
        <w:t xml:space="preserve">split </w:t>
      </w:r>
      <w:r w:rsidR="0099786D" w:rsidRPr="00C64B4C">
        <w:rPr>
          <w:rFonts w:eastAsiaTheme="minorHAnsi"/>
          <w:noProof/>
          <w:sz w:val="24"/>
          <w:szCs w:val="24"/>
        </w:rPr>
        <w:t xml:space="preserve">on </w:t>
      </w:r>
      <w:r w:rsidR="003826C0" w:rsidRPr="00C64B4C">
        <w:rPr>
          <w:rFonts w:eastAsiaTheme="minorHAnsi"/>
          <w:noProof/>
          <w:sz w:val="24"/>
          <w:szCs w:val="24"/>
        </w:rPr>
        <w:t>whether the double</w:t>
      </w:r>
      <w:r w:rsidRPr="00C64B4C">
        <w:rPr>
          <w:rFonts w:eastAsiaTheme="minorHAnsi"/>
          <w:noProof/>
          <w:sz w:val="24"/>
          <w:szCs w:val="24"/>
        </w:rPr>
        <w:t>-</w:t>
      </w:r>
      <w:r w:rsidR="003826C0" w:rsidRPr="00C64B4C">
        <w:rPr>
          <w:rFonts w:eastAsiaTheme="minorHAnsi"/>
          <w:noProof/>
          <w:sz w:val="24"/>
          <w:szCs w:val="24"/>
        </w:rPr>
        <w:t xml:space="preserve">majority requirement for votes in </w:t>
      </w:r>
      <w:r w:rsidRPr="00C64B4C">
        <w:rPr>
          <w:rFonts w:eastAsiaTheme="minorHAnsi"/>
          <w:noProof/>
          <w:sz w:val="24"/>
          <w:szCs w:val="24"/>
        </w:rPr>
        <w:t xml:space="preserve">the </w:t>
      </w:r>
      <w:r w:rsidR="003826C0" w:rsidRPr="00C64B4C">
        <w:rPr>
          <w:rFonts w:eastAsiaTheme="minorHAnsi"/>
          <w:noProof/>
          <w:sz w:val="24"/>
          <w:szCs w:val="24"/>
        </w:rPr>
        <w:t xml:space="preserve">EBA (requiring simple majorities from </w:t>
      </w:r>
      <w:r w:rsidR="00B10498">
        <w:rPr>
          <w:rFonts w:eastAsiaTheme="minorHAnsi"/>
          <w:noProof/>
          <w:sz w:val="24"/>
          <w:szCs w:val="24"/>
        </w:rPr>
        <w:t>N</w:t>
      </w:r>
      <w:r w:rsidR="00B30126" w:rsidRPr="00C64B4C">
        <w:rPr>
          <w:rFonts w:eastAsiaTheme="minorHAnsi"/>
          <w:noProof/>
          <w:sz w:val="24"/>
          <w:szCs w:val="24"/>
        </w:rPr>
        <w:t xml:space="preserve">ational </w:t>
      </w:r>
      <w:r w:rsidR="00B10498">
        <w:rPr>
          <w:rFonts w:eastAsiaTheme="minorHAnsi"/>
          <w:noProof/>
          <w:sz w:val="24"/>
          <w:szCs w:val="24"/>
        </w:rPr>
        <w:t>C</w:t>
      </w:r>
      <w:r w:rsidR="00B30126" w:rsidRPr="00C64B4C">
        <w:rPr>
          <w:rFonts w:eastAsiaTheme="minorHAnsi"/>
          <w:noProof/>
          <w:sz w:val="24"/>
          <w:szCs w:val="24"/>
        </w:rPr>
        <w:t xml:space="preserve">ompetent </w:t>
      </w:r>
      <w:r w:rsidR="00B10498">
        <w:rPr>
          <w:rFonts w:eastAsiaTheme="minorHAnsi"/>
          <w:noProof/>
          <w:sz w:val="24"/>
          <w:szCs w:val="24"/>
        </w:rPr>
        <w:t>A</w:t>
      </w:r>
      <w:r w:rsidR="00B30126" w:rsidRPr="00C64B4C">
        <w:rPr>
          <w:rFonts w:eastAsiaTheme="minorHAnsi"/>
          <w:noProof/>
          <w:sz w:val="24"/>
          <w:szCs w:val="24"/>
        </w:rPr>
        <w:t>uthoritie</w:t>
      </w:r>
      <w:r w:rsidR="003826C0" w:rsidRPr="00C64B4C">
        <w:rPr>
          <w:rFonts w:eastAsiaTheme="minorHAnsi"/>
          <w:noProof/>
          <w:sz w:val="24"/>
          <w:szCs w:val="24"/>
        </w:rPr>
        <w:t xml:space="preserve">s participating and not participating in the </w:t>
      </w:r>
      <w:r w:rsidR="003129CD">
        <w:rPr>
          <w:rFonts w:eastAsiaTheme="minorHAnsi"/>
          <w:noProof/>
          <w:sz w:val="24"/>
          <w:szCs w:val="24"/>
        </w:rPr>
        <w:t>B</w:t>
      </w:r>
      <w:r w:rsidR="003826C0" w:rsidRPr="00C64B4C">
        <w:rPr>
          <w:rFonts w:eastAsiaTheme="minorHAnsi"/>
          <w:noProof/>
          <w:sz w:val="24"/>
          <w:szCs w:val="24"/>
        </w:rPr>
        <w:t xml:space="preserve">anking </w:t>
      </w:r>
      <w:r w:rsidR="003129CD">
        <w:rPr>
          <w:rFonts w:eastAsiaTheme="minorHAnsi"/>
          <w:noProof/>
          <w:sz w:val="24"/>
          <w:szCs w:val="24"/>
        </w:rPr>
        <w:t>U</w:t>
      </w:r>
      <w:r w:rsidR="003826C0" w:rsidRPr="00C64B4C">
        <w:rPr>
          <w:rFonts w:eastAsiaTheme="minorHAnsi"/>
          <w:noProof/>
          <w:sz w:val="24"/>
          <w:szCs w:val="24"/>
        </w:rPr>
        <w:t>nion) should be kept unchanged</w:t>
      </w:r>
      <w:r w:rsidR="0099786D" w:rsidRPr="00C64B4C">
        <w:rPr>
          <w:rFonts w:eastAsiaTheme="minorHAnsi"/>
          <w:noProof/>
          <w:sz w:val="24"/>
          <w:szCs w:val="24"/>
        </w:rPr>
        <w:t>. On</w:t>
      </w:r>
      <w:r w:rsidR="003826C0" w:rsidRPr="00C64B4C">
        <w:rPr>
          <w:rFonts w:eastAsiaTheme="minorHAnsi"/>
          <w:noProof/>
          <w:sz w:val="24"/>
          <w:szCs w:val="24"/>
        </w:rPr>
        <w:t xml:space="preserve"> the on</w:t>
      </w:r>
      <w:r w:rsidR="0099786D" w:rsidRPr="00C64B4C">
        <w:rPr>
          <w:rFonts w:eastAsiaTheme="minorHAnsi"/>
          <w:noProof/>
          <w:sz w:val="24"/>
          <w:szCs w:val="24"/>
        </w:rPr>
        <w:t xml:space="preserve">e hand, </w:t>
      </w:r>
      <w:r w:rsidRPr="00C64B4C">
        <w:rPr>
          <w:rFonts w:eastAsiaTheme="minorHAnsi"/>
          <w:noProof/>
          <w:sz w:val="24"/>
          <w:szCs w:val="24"/>
        </w:rPr>
        <w:t xml:space="preserve">respondents considered that </w:t>
      </w:r>
      <w:r w:rsidR="0099786D" w:rsidRPr="00C64B4C">
        <w:rPr>
          <w:rFonts w:eastAsiaTheme="minorHAnsi"/>
          <w:noProof/>
          <w:sz w:val="24"/>
          <w:szCs w:val="24"/>
        </w:rPr>
        <w:t>the double</w:t>
      </w:r>
      <w:r w:rsidRPr="00C64B4C">
        <w:rPr>
          <w:rFonts w:eastAsiaTheme="minorHAnsi"/>
          <w:noProof/>
          <w:sz w:val="24"/>
          <w:szCs w:val="24"/>
        </w:rPr>
        <w:t>-</w:t>
      </w:r>
      <w:r w:rsidR="0099786D" w:rsidRPr="00C64B4C">
        <w:rPr>
          <w:rFonts w:eastAsiaTheme="minorHAnsi"/>
          <w:noProof/>
          <w:sz w:val="24"/>
          <w:szCs w:val="24"/>
        </w:rPr>
        <w:t xml:space="preserve">majority </w:t>
      </w:r>
      <w:r w:rsidRPr="00C64B4C">
        <w:rPr>
          <w:rFonts w:eastAsiaTheme="minorHAnsi"/>
          <w:noProof/>
          <w:sz w:val="24"/>
          <w:szCs w:val="24"/>
        </w:rPr>
        <w:t xml:space="preserve">requirement </w:t>
      </w:r>
      <w:r w:rsidR="003826C0" w:rsidRPr="00C64B4C">
        <w:rPr>
          <w:rFonts w:eastAsiaTheme="minorHAnsi"/>
          <w:noProof/>
          <w:sz w:val="24"/>
          <w:szCs w:val="24"/>
        </w:rPr>
        <w:t>result</w:t>
      </w:r>
      <w:r w:rsidRPr="00C64B4C">
        <w:rPr>
          <w:rFonts w:eastAsiaTheme="minorHAnsi"/>
          <w:noProof/>
          <w:sz w:val="24"/>
          <w:szCs w:val="24"/>
        </w:rPr>
        <w:t>ed</w:t>
      </w:r>
      <w:r w:rsidR="003826C0" w:rsidRPr="00C64B4C">
        <w:rPr>
          <w:rFonts w:eastAsiaTheme="minorHAnsi"/>
          <w:noProof/>
          <w:sz w:val="24"/>
          <w:szCs w:val="24"/>
        </w:rPr>
        <w:t xml:space="preserve"> in an unjustified overweighting of M</w:t>
      </w:r>
      <w:r w:rsidR="00DB73D8" w:rsidRPr="00C64B4C">
        <w:rPr>
          <w:rFonts w:eastAsiaTheme="minorHAnsi"/>
          <w:noProof/>
          <w:sz w:val="24"/>
          <w:szCs w:val="24"/>
        </w:rPr>
        <w:t>ember States</w:t>
      </w:r>
      <w:r w:rsidR="003826C0" w:rsidRPr="00C64B4C">
        <w:rPr>
          <w:rFonts w:eastAsiaTheme="minorHAnsi"/>
          <w:noProof/>
          <w:sz w:val="24"/>
          <w:szCs w:val="24"/>
        </w:rPr>
        <w:t xml:space="preserve"> not participating in the </w:t>
      </w:r>
      <w:r w:rsidR="00523590">
        <w:rPr>
          <w:rFonts w:eastAsiaTheme="minorHAnsi"/>
          <w:noProof/>
          <w:sz w:val="24"/>
          <w:szCs w:val="24"/>
        </w:rPr>
        <w:t>S</w:t>
      </w:r>
      <w:r w:rsidR="00F70FF2" w:rsidRPr="00C64B4C">
        <w:rPr>
          <w:rFonts w:eastAsiaTheme="minorHAnsi"/>
          <w:noProof/>
          <w:sz w:val="24"/>
          <w:szCs w:val="24"/>
        </w:rPr>
        <w:t xml:space="preserve">ingle </w:t>
      </w:r>
      <w:r w:rsidR="00523590">
        <w:rPr>
          <w:rFonts w:eastAsiaTheme="minorHAnsi"/>
          <w:noProof/>
          <w:sz w:val="24"/>
          <w:szCs w:val="24"/>
        </w:rPr>
        <w:t>S</w:t>
      </w:r>
      <w:r w:rsidR="00F70FF2" w:rsidRPr="00C64B4C">
        <w:rPr>
          <w:rFonts w:eastAsiaTheme="minorHAnsi"/>
          <w:noProof/>
          <w:sz w:val="24"/>
          <w:szCs w:val="24"/>
        </w:rPr>
        <w:t xml:space="preserve">upervisory </w:t>
      </w:r>
      <w:r w:rsidR="00523590">
        <w:rPr>
          <w:rFonts w:eastAsiaTheme="minorHAnsi"/>
          <w:noProof/>
          <w:sz w:val="24"/>
          <w:szCs w:val="24"/>
        </w:rPr>
        <w:t>M</w:t>
      </w:r>
      <w:r w:rsidR="00F70FF2" w:rsidRPr="00C64B4C">
        <w:rPr>
          <w:rFonts w:eastAsiaTheme="minorHAnsi"/>
          <w:noProof/>
          <w:sz w:val="24"/>
          <w:szCs w:val="24"/>
        </w:rPr>
        <w:t>echanism</w:t>
      </w:r>
      <w:r w:rsidR="00F72535" w:rsidRPr="00C64B4C">
        <w:rPr>
          <w:rFonts w:eastAsiaTheme="minorHAnsi"/>
          <w:noProof/>
          <w:sz w:val="24"/>
          <w:szCs w:val="24"/>
        </w:rPr>
        <w:t xml:space="preserve"> which</w:t>
      </w:r>
      <w:r w:rsidR="003826C0" w:rsidRPr="00C64B4C">
        <w:rPr>
          <w:rFonts w:eastAsiaTheme="minorHAnsi"/>
          <w:noProof/>
          <w:sz w:val="24"/>
          <w:szCs w:val="24"/>
        </w:rPr>
        <w:t xml:space="preserve"> would increase further with </w:t>
      </w:r>
      <w:r w:rsidR="007F02DC" w:rsidRPr="00C64B4C">
        <w:rPr>
          <w:rFonts w:eastAsiaTheme="minorHAnsi"/>
          <w:noProof/>
          <w:sz w:val="24"/>
          <w:szCs w:val="24"/>
        </w:rPr>
        <w:t xml:space="preserve">additional </w:t>
      </w:r>
      <w:r w:rsidR="003826C0" w:rsidRPr="00C64B4C">
        <w:rPr>
          <w:rFonts w:eastAsiaTheme="minorHAnsi"/>
          <w:noProof/>
          <w:sz w:val="24"/>
          <w:szCs w:val="24"/>
        </w:rPr>
        <w:t>M</w:t>
      </w:r>
      <w:r w:rsidR="00DB73D8" w:rsidRPr="00C64B4C">
        <w:rPr>
          <w:rFonts w:eastAsiaTheme="minorHAnsi"/>
          <w:noProof/>
          <w:sz w:val="24"/>
          <w:szCs w:val="24"/>
        </w:rPr>
        <w:t xml:space="preserve">ember </w:t>
      </w:r>
      <w:r w:rsidR="003826C0" w:rsidRPr="00C64B4C">
        <w:rPr>
          <w:rFonts w:eastAsiaTheme="minorHAnsi"/>
          <w:noProof/>
          <w:sz w:val="24"/>
          <w:szCs w:val="24"/>
        </w:rPr>
        <w:t>S</w:t>
      </w:r>
      <w:r w:rsidR="00DB73D8" w:rsidRPr="00C64B4C">
        <w:rPr>
          <w:rFonts w:eastAsiaTheme="minorHAnsi"/>
          <w:noProof/>
          <w:sz w:val="24"/>
          <w:szCs w:val="24"/>
        </w:rPr>
        <w:t>tates</w:t>
      </w:r>
      <w:r w:rsidR="003826C0" w:rsidRPr="00C64B4C">
        <w:rPr>
          <w:rFonts w:eastAsiaTheme="minorHAnsi"/>
          <w:noProof/>
          <w:sz w:val="24"/>
          <w:szCs w:val="24"/>
        </w:rPr>
        <w:t xml:space="preserve"> joining the </w:t>
      </w:r>
      <w:r w:rsidR="003129CD">
        <w:rPr>
          <w:rFonts w:eastAsiaTheme="minorHAnsi"/>
          <w:noProof/>
          <w:sz w:val="24"/>
          <w:szCs w:val="24"/>
        </w:rPr>
        <w:t>B</w:t>
      </w:r>
      <w:r w:rsidR="003826C0" w:rsidRPr="00C64B4C">
        <w:rPr>
          <w:rFonts w:eastAsiaTheme="minorHAnsi"/>
          <w:noProof/>
          <w:sz w:val="24"/>
          <w:szCs w:val="24"/>
        </w:rPr>
        <w:t xml:space="preserve">anking </w:t>
      </w:r>
      <w:r w:rsidR="003129CD">
        <w:rPr>
          <w:rFonts w:eastAsiaTheme="minorHAnsi"/>
          <w:noProof/>
          <w:sz w:val="24"/>
          <w:szCs w:val="24"/>
        </w:rPr>
        <w:t>U</w:t>
      </w:r>
      <w:r w:rsidR="003826C0" w:rsidRPr="00C64B4C">
        <w:rPr>
          <w:rFonts w:eastAsiaTheme="minorHAnsi"/>
          <w:noProof/>
          <w:sz w:val="24"/>
          <w:szCs w:val="24"/>
        </w:rPr>
        <w:t xml:space="preserve">nion. On the other hand, public authorities </w:t>
      </w:r>
      <w:r w:rsidRPr="00C64B4C">
        <w:rPr>
          <w:rFonts w:eastAsiaTheme="minorHAnsi"/>
          <w:noProof/>
          <w:sz w:val="24"/>
          <w:szCs w:val="24"/>
        </w:rPr>
        <w:t xml:space="preserve">(and not </w:t>
      </w:r>
      <w:r w:rsidR="003129CD">
        <w:rPr>
          <w:rFonts w:eastAsiaTheme="minorHAnsi"/>
          <w:noProof/>
          <w:sz w:val="24"/>
          <w:szCs w:val="24"/>
        </w:rPr>
        <w:t>only</w:t>
      </w:r>
      <w:r w:rsidRPr="00C64B4C">
        <w:rPr>
          <w:rFonts w:eastAsiaTheme="minorHAnsi"/>
          <w:noProof/>
          <w:sz w:val="24"/>
          <w:szCs w:val="24"/>
        </w:rPr>
        <w:t xml:space="preserve"> those from </w:t>
      </w:r>
      <w:r w:rsidR="003826C0" w:rsidRPr="00C64B4C">
        <w:rPr>
          <w:rFonts w:eastAsiaTheme="minorHAnsi"/>
          <w:noProof/>
          <w:sz w:val="24"/>
          <w:szCs w:val="24"/>
        </w:rPr>
        <w:t>M</w:t>
      </w:r>
      <w:r w:rsidR="00DB73D8" w:rsidRPr="00C64B4C">
        <w:rPr>
          <w:rFonts w:eastAsiaTheme="minorHAnsi"/>
          <w:noProof/>
          <w:sz w:val="24"/>
          <w:szCs w:val="24"/>
        </w:rPr>
        <w:t>ember States</w:t>
      </w:r>
      <w:r w:rsidR="003826C0" w:rsidRPr="00C64B4C">
        <w:rPr>
          <w:rFonts w:eastAsiaTheme="minorHAnsi"/>
          <w:noProof/>
          <w:sz w:val="24"/>
          <w:szCs w:val="24"/>
        </w:rPr>
        <w:t xml:space="preserve"> not participating in the </w:t>
      </w:r>
      <w:r w:rsidR="003129CD">
        <w:rPr>
          <w:rFonts w:eastAsiaTheme="minorHAnsi"/>
          <w:noProof/>
          <w:sz w:val="24"/>
          <w:szCs w:val="24"/>
        </w:rPr>
        <w:t>B</w:t>
      </w:r>
      <w:r w:rsidR="003826C0" w:rsidRPr="00C64B4C">
        <w:rPr>
          <w:rFonts w:eastAsiaTheme="minorHAnsi"/>
          <w:noProof/>
          <w:sz w:val="24"/>
          <w:szCs w:val="24"/>
        </w:rPr>
        <w:t xml:space="preserve">anking </w:t>
      </w:r>
      <w:r w:rsidR="003129CD">
        <w:rPr>
          <w:rFonts w:eastAsiaTheme="minorHAnsi"/>
          <w:noProof/>
          <w:sz w:val="24"/>
          <w:szCs w:val="24"/>
        </w:rPr>
        <w:t>U</w:t>
      </w:r>
      <w:r w:rsidRPr="00C64B4C">
        <w:rPr>
          <w:rFonts w:eastAsiaTheme="minorHAnsi"/>
          <w:noProof/>
          <w:sz w:val="24"/>
          <w:szCs w:val="24"/>
        </w:rPr>
        <w:t>nion): (i)</w:t>
      </w:r>
      <w:r w:rsidR="003826C0" w:rsidRPr="00C64B4C">
        <w:rPr>
          <w:rFonts w:eastAsiaTheme="minorHAnsi"/>
          <w:noProof/>
          <w:sz w:val="24"/>
          <w:szCs w:val="24"/>
        </w:rPr>
        <w:t xml:space="preserve"> stress</w:t>
      </w:r>
      <w:r w:rsidR="009F6957" w:rsidRPr="00C64B4C">
        <w:rPr>
          <w:rFonts w:eastAsiaTheme="minorHAnsi"/>
          <w:noProof/>
          <w:sz w:val="24"/>
          <w:szCs w:val="24"/>
        </w:rPr>
        <w:t>ed</w:t>
      </w:r>
      <w:r w:rsidR="003826C0" w:rsidRPr="00C64B4C">
        <w:rPr>
          <w:rFonts w:eastAsiaTheme="minorHAnsi"/>
          <w:noProof/>
          <w:sz w:val="24"/>
          <w:szCs w:val="24"/>
        </w:rPr>
        <w:t xml:space="preserve"> the importance of the double</w:t>
      </w:r>
      <w:r w:rsidRPr="00C64B4C">
        <w:rPr>
          <w:rFonts w:eastAsiaTheme="minorHAnsi"/>
          <w:noProof/>
          <w:sz w:val="24"/>
          <w:szCs w:val="24"/>
        </w:rPr>
        <w:t>-</w:t>
      </w:r>
      <w:r w:rsidR="003826C0" w:rsidRPr="00C64B4C">
        <w:rPr>
          <w:rFonts w:eastAsiaTheme="minorHAnsi"/>
          <w:noProof/>
          <w:sz w:val="24"/>
          <w:szCs w:val="24"/>
        </w:rPr>
        <w:t>majority requirement for European cohesion</w:t>
      </w:r>
      <w:r w:rsidRPr="00C64B4C">
        <w:rPr>
          <w:rFonts w:eastAsiaTheme="minorHAnsi"/>
          <w:noProof/>
          <w:sz w:val="24"/>
          <w:szCs w:val="24"/>
        </w:rPr>
        <w:t>;</w:t>
      </w:r>
      <w:r w:rsidR="003826C0" w:rsidRPr="00C64B4C">
        <w:rPr>
          <w:rFonts w:eastAsiaTheme="minorHAnsi"/>
          <w:noProof/>
          <w:sz w:val="24"/>
          <w:szCs w:val="24"/>
        </w:rPr>
        <w:t xml:space="preserve"> and </w:t>
      </w:r>
      <w:r w:rsidRPr="00C64B4C">
        <w:rPr>
          <w:rFonts w:eastAsiaTheme="minorHAnsi"/>
          <w:noProof/>
          <w:sz w:val="24"/>
          <w:szCs w:val="24"/>
        </w:rPr>
        <w:t xml:space="preserve">(ii) </w:t>
      </w:r>
      <w:r w:rsidR="003826C0" w:rsidRPr="00C64B4C">
        <w:rPr>
          <w:rFonts w:eastAsiaTheme="minorHAnsi"/>
          <w:noProof/>
          <w:sz w:val="24"/>
          <w:szCs w:val="24"/>
        </w:rPr>
        <w:t>consider</w:t>
      </w:r>
      <w:r w:rsidR="009F6957" w:rsidRPr="00C64B4C">
        <w:rPr>
          <w:rFonts w:eastAsiaTheme="minorHAnsi"/>
          <w:noProof/>
          <w:sz w:val="24"/>
          <w:szCs w:val="24"/>
        </w:rPr>
        <w:t>ed</w:t>
      </w:r>
      <w:r w:rsidR="003826C0" w:rsidRPr="00C64B4C">
        <w:rPr>
          <w:rFonts w:eastAsiaTheme="minorHAnsi"/>
          <w:noProof/>
          <w:sz w:val="24"/>
          <w:szCs w:val="24"/>
        </w:rPr>
        <w:t xml:space="preserve"> </w:t>
      </w:r>
      <w:r w:rsidRPr="00C64B4C">
        <w:rPr>
          <w:rFonts w:eastAsiaTheme="minorHAnsi"/>
          <w:noProof/>
          <w:sz w:val="24"/>
          <w:szCs w:val="24"/>
        </w:rPr>
        <w:t xml:space="preserve">this requirement to be </w:t>
      </w:r>
      <w:r w:rsidR="003826C0" w:rsidRPr="00C64B4C">
        <w:rPr>
          <w:rFonts w:eastAsiaTheme="minorHAnsi"/>
          <w:noProof/>
          <w:sz w:val="24"/>
          <w:szCs w:val="24"/>
        </w:rPr>
        <w:t xml:space="preserve">a guarantee </w:t>
      </w:r>
      <w:r w:rsidRPr="00C64B4C">
        <w:rPr>
          <w:rFonts w:eastAsiaTheme="minorHAnsi"/>
          <w:noProof/>
          <w:sz w:val="24"/>
          <w:szCs w:val="24"/>
        </w:rPr>
        <w:t>of</w:t>
      </w:r>
      <w:r w:rsidR="003826C0" w:rsidRPr="00C64B4C">
        <w:rPr>
          <w:rFonts w:eastAsiaTheme="minorHAnsi"/>
          <w:noProof/>
          <w:sz w:val="24"/>
          <w:szCs w:val="24"/>
        </w:rPr>
        <w:t xml:space="preserve"> balanced and proportionate representation of M</w:t>
      </w:r>
      <w:r w:rsidR="00DB73D8" w:rsidRPr="00C64B4C">
        <w:rPr>
          <w:rFonts w:eastAsiaTheme="minorHAnsi"/>
          <w:noProof/>
          <w:sz w:val="24"/>
          <w:szCs w:val="24"/>
        </w:rPr>
        <w:t>ember States</w:t>
      </w:r>
      <w:r w:rsidR="003826C0" w:rsidRPr="00C64B4C">
        <w:rPr>
          <w:rFonts w:eastAsiaTheme="minorHAnsi"/>
          <w:noProof/>
          <w:sz w:val="24"/>
          <w:szCs w:val="24"/>
        </w:rPr>
        <w:t xml:space="preserve"> both within and outside the </w:t>
      </w:r>
      <w:r w:rsidR="003129CD">
        <w:rPr>
          <w:rFonts w:eastAsiaTheme="minorHAnsi"/>
          <w:noProof/>
          <w:sz w:val="24"/>
          <w:szCs w:val="24"/>
        </w:rPr>
        <w:t>B</w:t>
      </w:r>
      <w:r w:rsidR="003826C0" w:rsidRPr="00C64B4C">
        <w:rPr>
          <w:rFonts w:eastAsiaTheme="minorHAnsi"/>
          <w:noProof/>
          <w:sz w:val="24"/>
          <w:szCs w:val="24"/>
        </w:rPr>
        <w:t xml:space="preserve">anking </w:t>
      </w:r>
      <w:r w:rsidR="003129CD">
        <w:rPr>
          <w:rFonts w:eastAsiaTheme="minorHAnsi"/>
          <w:noProof/>
          <w:sz w:val="24"/>
          <w:szCs w:val="24"/>
        </w:rPr>
        <w:t>U</w:t>
      </w:r>
      <w:r w:rsidRPr="00C64B4C">
        <w:rPr>
          <w:rFonts w:eastAsiaTheme="minorHAnsi"/>
          <w:noProof/>
          <w:sz w:val="24"/>
          <w:szCs w:val="24"/>
        </w:rPr>
        <w:t>nion</w:t>
      </w:r>
      <w:r w:rsidR="003826C0" w:rsidRPr="00C64B4C">
        <w:rPr>
          <w:rFonts w:eastAsiaTheme="minorHAnsi"/>
          <w:noProof/>
          <w:sz w:val="24"/>
          <w:szCs w:val="24"/>
        </w:rPr>
        <w:t xml:space="preserve">. </w:t>
      </w:r>
    </w:p>
    <w:p w14:paraId="7CD20140" w14:textId="77777777" w:rsidR="000D0B60" w:rsidRDefault="000D0B60" w:rsidP="009A01F1">
      <w:pPr>
        <w:jc w:val="both"/>
        <w:rPr>
          <w:rFonts w:eastAsiaTheme="minorHAnsi"/>
          <w:noProof/>
          <w:sz w:val="24"/>
          <w:szCs w:val="24"/>
        </w:rPr>
      </w:pPr>
    </w:p>
    <w:p w14:paraId="1F86EF0F" w14:textId="77777777" w:rsidR="000D0B60" w:rsidRPr="00C64B4C" w:rsidRDefault="000D0B60" w:rsidP="009A01F1">
      <w:pPr>
        <w:jc w:val="both"/>
        <w:rPr>
          <w:rFonts w:eastAsiaTheme="minorHAnsi"/>
          <w:noProof/>
          <w:sz w:val="24"/>
          <w:szCs w:val="24"/>
        </w:rPr>
      </w:pPr>
      <w:r>
        <w:rPr>
          <w:rFonts w:eastAsiaTheme="minorHAnsi"/>
          <w:noProof/>
          <w:sz w:val="24"/>
          <w:szCs w:val="24"/>
        </w:rPr>
        <w:t xml:space="preserve">Some respondents </w:t>
      </w:r>
      <w:r w:rsidRPr="000D0B60">
        <w:rPr>
          <w:rFonts w:eastAsiaTheme="minorHAnsi"/>
          <w:noProof/>
          <w:sz w:val="24"/>
          <w:szCs w:val="24"/>
        </w:rPr>
        <w:t xml:space="preserve">also </w:t>
      </w:r>
      <w:r w:rsidR="006354B2">
        <w:rPr>
          <w:rFonts w:eastAsiaTheme="minorHAnsi"/>
          <w:noProof/>
          <w:sz w:val="24"/>
          <w:szCs w:val="24"/>
        </w:rPr>
        <w:t>reminded about</w:t>
      </w:r>
      <w:r w:rsidRPr="000D0B60">
        <w:rPr>
          <w:rFonts w:eastAsiaTheme="minorHAnsi"/>
          <w:noProof/>
          <w:sz w:val="24"/>
          <w:szCs w:val="24"/>
        </w:rPr>
        <w:t xml:space="preserve"> the need for a targeted change to </w:t>
      </w:r>
      <w:r w:rsidR="006354B2">
        <w:rPr>
          <w:rFonts w:eastAsiaTheme="minorHAnsi"/>
          <w:noProof/>
          <w:sz w:val="24"/>
          <w:szCs w:val="24"/>
        </w:rPr>
        <w:t xml:space="preserve">the </w:t>
      </w:r>
      <w:r w:rsidRPr="000D0B60">
        <w:rPr>
          <w:rFonts w:eastAsiaTheme="minorHAnsi"/>
          <w:noProof/>
          <w:sz w:val="24"/>
          <w:szCs w:val="24"/>
        </w:rPr>
        <w:t>governance of the EBA in order to ensure a more consistent separation of its resolution and prudential functions</w:t>
      </w:r>
      <w:r w:rsidR="006354B2">
        <w:rPr>
          <w:rFonts w:eastAsiaTheme="minorHAnsi"/>
          <w:noProof/>
          <w:sz w:val="24"/>
          <w:szCs w:val="24"/>
        </w:rPr>
        <w:t>.</w:t>
      </w:r>
    </w:p>
    <w:p w14:paraId="168DE134" w14:textId="77777777" w:rsidR="006145E0" w:rsidRPr="00C64B4C" w:rsidRDefault="006145E0" w:rsidP="009A01F1">
      <w:pPr>
        <w:jc w:val="both"/>
        <w:rPr>
          <w:rFonts w:eastAsiaTheme="minorHAnsi"/>
          <w:noProof/>
          <w:sz w:val="24"/>
          <w:szCs w:val="24"/>
        </w:rPr>
      </w:pPr>
    </w:p>
    <w:p w14:paraId="5C0537B2" w14:textId="5549528C" w:rsidR="003826C0" w:rsidRPr="00C64B4C" w:rsidRDefault="006145E0" w:rsidP="009A01F1">
      <w:pPr>
        <w:jc w:val="both"/>
        <w:rPr>
          <w:rFonts w:eastAsiaTheme="minorHAnsi"/>
          <w:noProof/>
          <w:sz w:val="24"/>
          <w:szCs w:val="24"/>
        </w:rPr>
      </w:pPr>
      <w:r w:rsidRPr="00C64B4C">
        <w:rPr>
          <w:rFonts w:eastAsiaTheme="minorHAnsi"/>
          <w:noProof/>
          <w:sz w:val="24"/>
          <w:szCs w:val="24"/>
        </w:rPr>
        <w:t xml:space="preserve">Several respondents also </w:t>
      </w:r>
      <w:r w:rsidR="0065732B" w:rsidRPr="00C64B4C">
        <w:rPr>
          <w:rFonts w:eastAsiaTheme="minorHAnsi"/>
          <w:noProof/>
          <w:sz w:val="24"/>
          <w:szCs w:val="24"/>
        </w:rPr>
        <w:t>requested changes to</w:t>
      </w:r>
      <w:r w:rsidRPr="00C64B4C">
        <w:rPr>
          <w:rFonts w:eastAsiaTheme="minorHAnsi"/>
          <w:noProof/>
          <w:sz w:val="24"/>
          <w:szCs w:val="24"/>
        </w:rPr>
        <w:t xml:space="preserve"> governance </w:t>
      </w:r>
      <w:r w:rsidR="0065732B" w:rsidRPr="00C64B4C">
        <w:rPr>
          <w:rFonts w:eastAsiaTheme="minorHAnsi"/>
          <w:noProof/>
          <w:sz w:val="24"/>
          <w:szCs w:val="24"/>
        </w:rPr>
        <w:t xml:space="preserve">at </w:t>
      </w:r>
      <w:r w:rsidRPr="00C64B4C">
        <w:rPr>
          <w:rFonts w:eastAsiaTheme="minorHAnsi"/>
          <w:noProof/>
          <w:sz w:val="24"/>
          <w:szCs w:val="24"/>
        </w:rPr>
        <w:t>ESMA in case</w:t>
      </w:r>
      <w:r w:rsidR="0065732B" w:rsidRPr="00C64B4C">
        <w:rPr>
          <w:rFonts w:eastAsiaTheme="minorHAnsi"/>
          <w:noProof/>
          <w:sz w:val="24"/>
          <w:szCs w:val="24"/>
        </w:rPr>
        <w:t>s</w:t>
      </w:r>
      <w:r w:rsidRPr="00C64B4C">
        <w:rPr>
          <w:rFonts w:eastAsiaTheme="minorHAnsi"/>
          <w:noProof/>
          <w:sz w:val="24"/>
          <w:szCs w:val="24"/>
        </w:rPr>
        <w:t xml:space="preserve"> of direct supervision</w:t>
      </w:r>
      <w:r w:rsidR="0065732B" w:rsidRPr="00C64B4C">
        <w:rPr>
          <w:rFonts w:eastAsiaTheme="minorHAnsi"/>
          <w:noProof/>
          <w:sz w:val="24"/>
          <w:szCs w:val="24"/>
        </w:rPr>
        <w:t>. These respondents suggested that i</w:t>
      </w:r>
      <w:r w:rsidRPr="00C64B4C">
        <w:rPr>
          <w:rFonts w:eastAsiaTheme="minorHAnsi"/>
          <w:noProof/>
          <w:sz w:val="24"/>
          <w:szCs w:val="24"/>
        </w:rPr>
        <w:t>nstead of submitting all issues to</w:t>
      </w:r>
      <w:r w:rsidR="00B30126" w:rsidRPr="00C64B4C">
        <w:rPr>
          <w:rFonts w:eastAsiaTheme="minorHAnsi"/>
          <w:noProof/>
          <w:sz w:val="24"/>
          <w:szCs w:val="24"/>
        </w:rPr>
        <w:t xml:space="preserve"> the</w:t>
      </w:r>
      <w:r w:rsidRPr="00C64B4C">
        <w:rPr>
          <w:rFonts w:eastAsiaTheme="minorHAnsi"/>
          <w:noProof/>
          <w:sz w:val="24"/>
          <w:szCs w:val="24"/>
        </w:rPr>
        <w:t xml:space="preserve"> </w:t>
      </w:r>
      <w:r w:rsidR="000144CE">
        <w:rPr>
          <w:rFonts w:eastAsiaTheme="minorHAnsi"/>
          <w:noProof/>
          <w:sz w:val="24"/>
          <w:szCs w:val="24"/>
        </w:rPr>
        <w:t>B</w:t>
      </w:r>
      <w:r w:rsidRPr="00C64B4C">
        <w:rPr>
          <w:rFonts w:eastAsiaTheme="minorHAnsi"/>
          <w:noProof/>
          <w:sz w:val="24"/>
          <w:szCs w:val="24"/>
        </w:rPr>
        <w:t>o</w:t>
      </w:r>
      <w:r w:rsidR="00B30126" w:rsidRPr="00C64B4C">
        <w:rPr>
          <w:rFonts w:eastAsiaTheme="minorHAnsi"/>
          <w:noProof/>
          <w:sz w:val="24"/>
          <w:szCs w:val="24"/>
        </w:rPr>
        <w:t xml:space="preserve">ard of </w:t>
      </w:r>
      <w:r w:rsidR="000144CE">
        <w:rPr>
          <w:rFonts w:eastAsiaTheme="minorHAnsi"/>
          <w:noProof/>
          <w:sz w:val="24"/>
          <w:szCs w:val="24"/>
        </w:rPr>
        <w:t>S</w:t>
      </w:r>
      <w:r w:rsidR="00B30126" w:rsidRPr="00C64B4C">
        <w:rPr>
          <w:rFonts w:eastAsiaTheme="minorHAnsi"/>
          <w:noProof/>
          <w:sz w:val="24"/>
          <w:szCs w:val="24"/>
        </w:rPr>
        <w:t xml:space="preserve">upervisors </w:t>
      </w:r>
      <w:r w:rsidRPr="00C64B4C">
        <w:rPr>
          <w:rFonts w:eastAsiaTheme="minorHAnsi"/>
          <w:noProof/>
          <w:sz w:val="24"/>
          <w:szCs w:val="24"/>
        </w:rPr>
        <w:t>for decisions</w:t>
      </w:r>
      <w:r w:rsidR="009F6957" w:rsidRPr="00C64B4C">
        <w:rPr>
          <w:rFonts w:eastAsiaTheme="minorHAnsi"/>
          <w:noProof/>
          <w:sz w:val="24"/>
          <w:szCs w:val="24"/>
        </w:rPr>
        <w:t>,</w:t>
      </w:r>
      <w:r w:rsidRPr="00C64B4C">
        <w:rPr>
          <w:rFonts w:eastAsiaTheme="minorHAnsi"/>
          <w:noProof/>
          <w:sz w:val="24"/>
          <w:szCs w:val="24"/>
        </w:rPr>
        <w:t xml:space="preserve"> </w:t>
      </w:r>
      <w:r w:rsidR="0065732B" w:rsidRPr="00C64B4C">
        <w:rPr>
          <w:rFonts w:eastAsiaTheme="minorHAnsi"/>
          <w:noProof/>
          <w:sz w:val="24"/>
          <w:szCs w:val="24"/>
        </w:rPr>
        <w:t xml:space="preserve">ESMA should: (i) entrust </w:t>
      </w:r>
      <w:r w:rsidRPr="00C64B4C">
        <w:rPr>
          <w:rFonts w:eastAsiaTheme="minorHAnsi"/>
          <w:noProof/>
          <w:sz w:val="24"/>
          <w:szCs w:val="24"/>
        </w:rPr>
        <w:t xml:space="preserve">an independent </w:t>
      </w:r>
      <w:r w:rsidR="000144CE">
        <w:rPr>
          <w:rFonts w:eastAsiaTheme="minorHAnsi"/>
          <w:noProof/>
          <w:sz w:val="24"/>
          <w:szCs w:val="24"/>
        </w:rPr>
        <w:t>M</w:t>
      </w:r>
      <w:r w:rsidR="00B30126" w:rsidRPr="00C64B4C">
        <w:rPr>
          <w:rFonts w:eastAsiaTheme="minorHAnsi"/>
          <w:noProof/>
          <w:sz w:val="24"/>
          <w:szCs w:val="24"/>
        </w:rPr>
        <w:t xml:space="preserve">anagement </w:t>
      </w:r>
      <w:r w:rsidR="000144CE">
        <w:rPr>
          <w:rFonts w:eastAsiaTheme="minorHAnsi"/>
          <w:noProof/>
          <w:sz w:val="24"/>
          <w:szCs w:val="24"/>
        </w:rPr>
        <w:t>B</w:t>
      </w:r>
      <w:r w:rsidR="00B30126" w:rsidRPr="00C64B4C">
        <w:rPr>
          <w:rFonts w:eastAsiaTheme="minorHAnsi"/>
          <w:noProof/>
          <w:sz w:val="24"/>
          <w:szCs w:val="24"/>
        </w:rPr>
        <w:t>oard</w:t>
      </w:r>
      <w:r w:rsidRPr="00C64B4C">
        <w:rPr>
          <w:rFonts w:eastAsiaTheme="minorHAnsi"/>
          <w:noProof/>
          <w:sz w:val="24"/>
          <w:szCs w:val="24"/>
        </w:rPr>
        <w:t xml:space="preserve"> or a committee similar to the </w:t>
      </w:r>
      <w:r w:rsidR="00563C89" w:rsidRPr="00C64B4C">
        <w:rPr>
          <w:rFonts w:eastAsiaTheme="minorHAnsi"/>
          <w:noProof/>
          <w:sz w:val="24"/>
          <w:szCs w:val="24"/>
        </w:rPr>
        <w:t>Central Counterparty (</w:t>
      </w:r>
      <w:r w:rsidRPr="00C64B4C">
        <w:rPr>
          <w:rFonts w:eastAsiaTheme="minorHAnsi"/>
          <w:noProof/>
          <w:sz w:val="24"/>
          <w:szCs w:val="24"/>
        </w:rPr>
        <w:t>CCP</w:t>
      </w:r>
      <w:r w:rsidR="00563C89" w:rsidRPr="00C64B4C">
        <w:rPr>
          <w:rFonts w:eastAsiaTheme="minorHAnsi"/>
          <w:noProof/>
          <w:sz w:val="24"/>
          <w:szCs w:val="24"/>
        </w:rPr>
        <w:t>)</w:t>
      </w:r>
      <w:r w:rsidRPr="00C64B4C">
        <w:rPr>
          <w:rFonts w:eastAsiaTheme="minorHAnsi"/>
          <w:noProof/>
          <w:sz w:val="24"/>
          <w:szCs w:val="24"/>
        </w:rPr>
        <w:t xml:space="preserve"> Supervisory Committee with these decisions</w:t>
      </w:r>
      <w:r w:rsidR="0065732B" w:rsidRPr="00C64B4C">
        <w:rPr>
          <w:rFonts w:eastAsiaTheme="minorHAnsi"/>
          <w:noProof/>
          <w:sz w:val="24"/>
          <w:szCs w:val="24"/>
        </w:rPr>
        <w:t>;</w:t>
      </w:r>
      <w:r w:rsidRPr="00C64B4C">
        <w:rPr>
          <w:rFonts w:eastAsiaTheme="minorHAnsi"/>
          <w:noProof/>
          <w:sz w:val="24"/>
          <w:szCs w:val="24"/>
        </w:rPr>
        <w:t xml:space="preserve"> or </w:t>
      </w:r>
      <w:r w:rsidR="0065732B" w:rsidRPr="00C64B4C">
        <w:rPr>
          <w:rFonts w:eastAsiaTheme="minorHAnsi"/>
          <w:noProof/>
          <w:sz w:val="24"/>
          <w:szCs w:val="24"/>
        </w:rPr>
        <w:t>(ii)</w:t>
      </w:r>
      <w:r w:rsidRPr="00C64B4C">
        <w:rPr>
          <w:rFonts w:eastAsiaTheme="minorHAnsi"/>
          <w:noProof/>
          <w:sz w:val="24"/>
          <w:szCs w:val="24"/>
        </w:rPr>
        <w:t xml:space="preserve"> make more use of the delegation powers to relieve the </w:t>
      </w:r>
      <w:r w:rsidR="000144CE">
        <w:rPr>
          <w:rFonts w:eastAsiaTheme="minorHAnsi"/>
          <w:noProof/>
          <w:sz w:val="24"/>
          <w:szCs w:val="24"/>
        </w:rPr>
        <w:t>B</w:t>
      </w:r>
      <w:r w:rsidR="00C84F55" w:rsidRPr="00C64B4C">
        <w:rPr>
          <w:rFonts w:eastAsiaTheme="minorHAnsi"/>
          <w:noProof/>
          <w:sz w:val="24"/>
          <w:szCs w:val="24"/>
        </w:rPr>
        <w:t xml:space="preserve">oard of </w:t>
      </w:r>
      <w:r w:rsidR="000144CE">
        <w:rPr>
          <w:rFonts w:eastAsiaTheme="minorHAnsi"/>
          <w:noProof/>
          <w:sz w:val="24"/>
          <w:szCs w:val="24"/>
        </w:rPr>
        <w:t>S</w:t>
      </w:r>
      <w:r w:rsidR="00C84F55" w:rsidRPr="00C64B4C">
        <w:rPr>
          <w:rFonts w:eastAsiaTheme="minorHAnsi"/>
          <w:noProof/>
          <w:sz w:val="24"/>
          <w:szCs w:val="24"/>
        </w:rPr>
        <w:t>upervisors</w:t>
      </w:r>
      <w:r w:rsidRPr="00C64B4C">
        <w:rPr>
          <w:rFonts w:eastAsiaTheme="minorHAnsi"/>
          <w:noProof/>
          <w:sz w:val="24"/>
          <w:szCs w:val="24"/>
        </w:rPr>
        <w:t xml:space="preserve"> </w:t>
      </w:r>
      <w:r w:rsidR="00F43BD9" w:rsidRPr="00C64B4C">
        <w:rPr>
          <w:rFonts w:eastAsiaTheme="minorHAnsi"/>
          <w:noProof/>
          <w:sz w:val="24"/>
          <w:szCs w:val="24"/>
        </w:rPr>
        <w:t xml:space="preserve">of </w:t>
      </w:r>
      <w:r w:rsidRPr="00C64B4C">
        <w:rPr>
          <w:rFonts w:eastAsiaTheme="minorHAnsi"/>
          <w:noProof/>
          <w:sz w:val="24"/>
          <w:szCs w:val="24"/>
        </w:rPr>
        <w:t>day-to-day supervisory decisions.</w:t>
      </w:r>
    </w:p>
    <w:p w14:paraId="4F367D28" w14:textId="77777777" w:rsidR="0089184F" w:rsidRPr="00C64B4C" w:rsidRDefault="0089184F" w:rsidP="009A01F1">
      <w:pPr>
        <w:jc w:val="both"/>
        <w:rPr>
          <w:rFonts w:eastAsiaTheme="minorHAnsi"/>
          <w:noProof/>
          <w:sz w:val="24"/>
          <w:szCs w:val="24"/>
        </w:rPr>
      </w:pPr>
    </w:p>
    <w:p w14:paraId="786C4B08" w14:textId="42999A1B" w:rsidR="001976FB" w:rsidRPr="00C64B4C" w:rsidRDefault="002865A9" w:rsidP="009A01F1">
      <w:pPr>
        <w:jc w:val="both"/>
        <w:rPr>
          <w:rFonts w:eastAsiaTheme="minorHAnsi"/>
          <w:noProof/>
          <w:sz w:val="24"/>
          <w:szCs w:val="24"/>
        </w:rPr>
      </w:pPr>
      <w:r w:rsidRPr="00C64B4C">
        <w:rPr>
          <w:rFonts w:eastAsiaTheme="minorHAnsi"/>
          <w:noProof/>
          <w:sz w:val="24"/>
          <w:szCs w:val="24"/>
        </w:rPr>
        <w:t>In addition to</w:t>
      </w:r>
      <w:r w:rsidR="00482EB7" w:rsidRPr="00C64B4C">
        <w:rPr>
          <w:rFonts w:eastAsiaTheme="minorHAnsi"/>
          <w:noProof/>
          <w:sz w:val="24"/>
          <w:szCs w:val="24"/>
        </w:rPr>
        <w:t xml:space="preserve"> the consultation feedback, </w:t>
      </w:r>
      <w:r w:rsidRPr="00C64B4C">
        <w:rPr>
          <w:rFonts w:eastAsiaTheme="minorHAnsi"/>
          <w:noProof/>
          <w:sz w:val="24"/>
          <w:szCs w:val="24"/>
        </w:rPr>
        <w:t xml:space="preserve">it can be useful to draw on other sources to assess the </w:t>
      </w:r>
      <w:r w:rsidR="00EE1B36" w:rsidRPr="00C64B4C">
        <w:rPr>
          <w:rFonts w:eastAsiaTheme="minorHAnsi"/>
          <w:noProof/>
          <w:sz w:val="24"/>
          <w:szCs w:val="24"/>
        </w:rPr>
        <w:t>governance</w:t>
      </w:r>
      <w:r w:rsidRPr="00C64B4C">
        <w:rPr>
          <w:rFonts w:eastAsiaTheme="minorHAnsi"/>
          <w:noProof/>
          <w:sz w:val="24"/>
          <w:szCs w:val="24"/>
        </w:rPr>
        <w:t xml:space="preserve"> of the ESAs. One such source is the s</w:t>
      </w:r>
      <w:r w:rsidR="0054289C" w:rsidRPr="00C64B4C">
        <w:rPr>
          <w:rFonts w:eastAsiaTheme="minorHAnsi"/>
          <w:noProof/>
          <w:sz w:val="24"/>
          <w:szCs w:val="24"/>
        </w:rPr>
        <w:t xml:space="preserve">pecial </w:t>
      </w:r>
      <w:r w:rsidRPr="00C64B4C">
        <w:rPr>
          <w:rFonts w:eastAsiaTheme="minorHAnsi"/>
          <w:noProof/>
          <w:sz w:val="24"/>
          <w:szCs w:val="24"/>
        </w:rPr>
        <w:t>r</w:t>
      </w:r>
      <w:r w:rsidR="0054289C" w:rsidRPr="00C64B4C">
        <w:rPr>
          <w:rFonts w:eastAsiaTheme="minorHAnsi"/>
          <w:noProof/>
          <w:sz w:val="24"/>
          <w:szCs w:val="24"/>
        </w:rPr>
        <w:t>eport</w:t>
      </w:r>
      <w:r w:rsidR="00557637" w:rsidRPr="00C64B4C">
        <w:rPr>
          <w:rStyle w:val="FootnoteReference"/>
          <w:rFonts w:eastAsiaTheme="minorHAnsi"/>
          <w:noProof/>
          <w:sz w:val="24"/>
          <w:szCs w:val="24"/>
        </w:rPr>
        <w:footnoteReference w:id="28"/>
      </w:r>
      <w:r w:rsidR="00DE4345" w:rsidRPr="00C64B4C">
        <w:rPr>
          <w:rFonts w:eastAsiaTheme="minorHAnsi"/>
          <w:noProof/>
          <w:sz w:val="24"/>
          <w:szCs w:val="24"/>
        </w:rPr>
        <w:t xml:space="preserve"> by the European Court of Auditors</w:t>
      </w:r>
      <w:r w:rsidR="0054289C" w:rsidRPr="00C64B4C">
        <w:rPr>
          <w:rFonts w:eastAsiaTheme="minorHAnsi"/>
          <w:noProof/>
          <w:sz w:val="24"/>
          <w:szCs w:val="24"/>
        </w:rPr>
        <w:t xml:space="preserve"> </w:t>
      </w:r>
      <w:r w:rsidR="00DE4345" w:rsidRPr="00C64B4C">
        <w:rPr>
          <w:rFonts w:eastAsiaTheme="minorHAnsi"/>
          <w:noProof/>
          <w:sz w:val="24"/>
          <w:szCs w:val="24"/>
        </w:rPr>
        <w:t xml:space="preserve">(ECA) </w:t>
      </w:r>
      <w:r w:rsidR="0054289C" w:rsidRPr="00C64B4C">
        <w:rPr>
          <w:rFonts w:eastAsiaTheme="minorHAnsi"/>
          <w:noProof/>
          <w:sz w:val="24"/>
          <w:szCs w:val="24"/>
        </w:rPr>
        <w:t>on the EU’s efforts to fight money laundering</w:t>
      </w:r>
      <w:r w:rsidRPr="00C64B4C">
        <w:rPr>
          <w:rFonts w:eastAsiaTheme="minorHAnsi"/>
          <w:noProof/>
          <w:sz w:val="24"/>
          <w:szCs w:val="24"/>
        </w:rPr>
        <w:t>. In this report</w:t>
      </w:r>
      <w:r w:rsidR="007F02DC" w:rsidRPr="00C64B4C">
        <w:rPr>
          <w:rFonts w:eastAsiaTheme="minorHAnsi"/>
          <w:noProof/>
          <w:sz w:val="24"/>
          <w:szCs w:val="24"/>
        </w:rPr>
        <w:t>,</w:t>
      </w:r>
      <w:r w:rsidR="0054289C" w:rsidRPr="00C64B4C">
        <w:rPr>
          <w:rFonts w:eastAsiaTheme="minorHAnsi"/>
          <w:noProof/>
          <w:sz w:val="24"/>
          <w:szCs w:val="24"/>
        </w:rPr>
        <w:t xml:space="preserve"> </w:t>
      </w:r>
      <w:r w:rsidR="006145E0" w:rsidRPr="00C64B4C">
        <w:rPr>
          <w:rFonts w:eastAsiaTheme="minorHAnsi"/>
          <w:noProof/>
          <w:sz w:val="24"/>
          <w:szCs w:val="24"/>
        </w:rPr>
        <w:t xml:space="preserve">the </w:t>
      </w:r>
      <w:r w:rsidR="00DE4345" w:rsidRPr="00C64B4C">
        <w:rPr>
          <w:rFonts w:eastAsiaTheme="minorHAnsi"/>
          <w:noProof/>
          <w:sz w:val="24"/>
          <w:szCs w:val="24"/>
        </w:rPr>
        <w:t>ECA</w:t>
      </w:r>
      <w:r w:rsidR="006145E0" w:rsidRPr="00C64B4C">
        <w:rPr>
          <w:rFonts w:eastAsiaTheme="minorHAnsi"/>
          <w:noProof/>
          <w:sz w:val="24"/>
          <w:szCs w:val="24"/>
        </w:rPr>
        <w:t xml:space="preserve"> </w:t>
      </w:r>
      <w:r w:rsidR="0054289C" w:rsidRPr="00C64B4C">
        <w:rPr>
          <w:rFonts w:eastAsiaTheme="minorHAnsi"/>
          <w:noProof/>
          <w:sz w:val="24"/>
          <w:szCs w:val="24"/>
        </w:rPr>
        <w:t>consider</w:t>
      </w:r>
      <w:r w:rsidR="007F02DC" w:rsidRPr="00C64B4C">
        <w:rPr>
          <w:rFonts w:eastAsiaTheme="minorHAnsi"/>
          <w:noProof/>
          <w:sz w:val="24"/>
          <w:szCs w:val="24"/>
        </w:rPr>
        <w:t>ed</w:t>
      </w:r>
      <w:r w:rsidR="0054289C" w:rsidRPr="00C64B4C">
        <w:rPr>
          <w:rFonts w:eastAsiaTheme="minorHAnsi"/>
          <w:noProof/>
          <w:sz w:val="24"/>
          <w:szCs w:val="24"/>
        </w:rPr>
        <w:t xml:space="preserve"> that</w:t>
      </w:r>
      <w:r w:rsidR="00F43BD9" w:rsidRPr="00C64B4C">
        <w:rPr>
          <w:rFonts w:eastAsiaTheme="minorHAnsi"/>
          <w:noProof/>
          <w:sz w:val="24"/>
          <w:szCs w:val="24"/>
        </w:rPr>
        <w:t>,</w:t>
      </w:r>
      <w:r w:rsidR="0054289C" w:rsidRPr="00C64B4C">
        <w:rPr>
          <w:rFonts w:eastAsiaTheme="minorHAnsi"/>
          <w:noProof/>
          <w:sz w:val="24"/>
          <w:szCs w:val="24"/>
        </w:rPr>
        <w:t xml:space="preserve"> despite the revised EBA Regulation providing for some changes to the </w:t>
      </w:r>
      <w:r w:rsidRPr="00C64B4C">
        <w:rPr>
          <w:rFonts w:eastAsiaTheme="minorHAnsi"/>
          <w:noProof/>
          <w:sz w:val="24"/>
          <w:szCs w:val="24"/>
        </w:rPr>
        <w:t>b</w:t>
      </w:r>
      <w:r w:rsidR="0054289C" w:rsidRPr="00C64B4C">
        <w:rPr>
          <w:rFonts w:eastAsiaTheme="minorHAnsi"/>
          <w:noProof/>
          <w:sz w:val="24"/>
          <w:szCs w:val="24"/>
        </w:rPr>
        <w:t>reach</w:t>
      </w:r>
      <w:r w:rsidRPr="00C64B4C">
        <w:rPr>
          <w:rFonts w:eastAsiaTheme="minorHAnsi"/>
          <w:noProof/>
          <w:sz w:val="24"/>
          <w:szCs w:val="24"/>
        </w:rPr>
        <w:t>-of-</w:t>
      </w:r>
      <w:r w:rsidR="0054289C" w:rsidRPr="00C64B4C">
        <w:rPr>
          <w:rFonts w:eastAsiaTheme="minorHAnsi"/>
          <w:noProof/>
          <w:sz w:val="24"/>
          <w:szCs w:val="24"/>
        </w:rPr>
        <w:t xml:space="preserve">Union </w:t>
      </w:r>
      <w:r w:rsidR="007C439E" w:rsidRPr="00C64B4C">
        <w:rPr>
          <w:rFonts w:eastAsiaTheme="minorHAnsi"/>
          <w:noProof/>
          <w:sz w:val="24"/>
          <w:szCs w:val="24"/>
        </w:rPr>
        <w:t>l</w:t>
      </w:r>
      <w:r w:rsidR="0054289C" w:rsidRPr="00C64B4C">
        <w:rPr>
          <w:rFonts w:eastAsiaTheme="minorHAnsi"/>
          <w:noProof/>
          <w:sz w:val="24"/>
          <w:szCs w:val="24"/>
        </w:rPr>
        <w:t>aw procedure, the</w:t>
      </w:r>
      <w:r w:rsidR="00F43BD9" w:rsidRPr="00C64B4C">
        <w:rPr>
          <w:rFonts w:eastAsiaTheme="minorHAnsi"/>
          <w:noProof/>
          <w:sz w:val="24"/>
          <w:szCs w:val="24"/>
        </w:rPr>
        <w:t>re remained</w:t>
      </w:r>
      <w:r w:rsidR="0054289C" w:rsidRPr="00C64B4C">
        <w:rPr>
          <w:rFonts w:eastAsiaTheme="minorHAnsi"/>
          <w:noProof/>
          <w:sz w:val="24"/>
          <w:szCs w:val="24"/>
        </w:rPr>
        <w:t xml:space="preserve"> key governance shortcomings </w:t>
      </w:r>
      <w:r w:rsidRPr="00C64B4C">
        <w:rPr>
          <w:rFonts w:eastAsiaTheme="minorHAnsi"/>
          <w:noProof/>
          <w:sz w:val="24"/>
          <w:szCs w:val="24"/>
        </w:rPr>
        <w:t>in the EBA</w:t>
      </w:r>
      <w:r w:rsidR="0054289C" w:rsidRPr="00C64B4C">
        <w:rPr>
          <w:rFonts w:eastAsiaTheme="minorHAnsi"/>
          <w:noProof/>
          <w:sz w:val="24"/>
          <w:szCs w:val="24"/>
        </w:rPr>
        <w:t>.</w:t>
      </w:r>
      <w:r w:rsidR="00F42051" w:rsidRPr="00C64B4C">
        <w:rPr>
          <w:rFonts w:eastAsiaTheme="minorHAnsi"/>
          <w:noProof/>
          <w:sz w:val="24"/>
          <w:szCs w:val="24"/>
        </w:rPr>
        <w:t xml:space="preserve"> Likewise, </w:t>
      </w:r>
      <w:r w:rsidR="001976FB" w:rsidRPr="00C64B4C">
        <w:rPr>
          <w:rFonts w:eastAsiaTheme="minorHAnsi"/>
          <w:noProof/>
          <w:sz w:val="24"/>
          <w:szCs w:val="24"/>
        </w:rPr>
        <w:t xml:space="preserve">in its recent </w:t>
      </w:r>
      <w:r w:rsidRPr="00C64B4C">
        <w:rPr>
          <w:rFonts w:eastAsiaTheme="minorHAnsi"/>
          <w:noProof/>
          <w:sz w:val="24"/>
          <w:szCs w:val="24"/>
        </w:rPr>
        <w:t>s</w:t>
      </w:r>
      <w:r w:rsidR="001976FB" w:rsidRPr="00C64B4C">
        <w:rPr>
          <w:rFonts w:eastAsiaTheme="minorHAnsi"/>
          <w:noProof/>
          <w:sz w:val="24"/>
          <w:szCs w:val="24"/>
        </w:rPr>
        <w:t xml:space="preserve">pecial </w:t>
      </w:r>
      <w:r w:rsidRPr="00C64B4C">
        <w:rPr>
          <w:rFonts w:eastAsiaTheme="minorHAnsi"/>
          <w:noProof/>
          <w:sz w:val="24"/>
          <w:szCs w:val="24"/>
        </w:rPr>
        <w:t>r</w:t>
      </w:r>
      <w:r w:rsidR="001976FB" w:rsidRPr="00C64B4C">
        <w:rPr>
          <w:rFonts w:eastAsiaTheme="minorHAnsi"/>
          <w:noProof/>
          <w:sz w:val="24"/>
          <w:szCs w:val="24"/>
        </w:rPr>
        <w:t xml:space="preserve">eport on </w:t>
      </w:r>
      <w:r w:rsidR="00C84F55" w:rsidRPr="00C64B4C">
        <w:rPr>
          <w:rFonts w:eastAsiaTheme="minorHAnsi"/>
          <w:noProof/>
          <w:sz w:val="24"/>
          <w:szCs w:val="24"/>
        </w:rPr>
        <w:t>i</w:t>
      </w:r>
      <w:r w:rsidR="001976FB" w:rsidRPr="00C64B4C">
        <w:rPr>
          <w:rFonts w:eastAsiaTheme="minorHAnsi"/>
          <w:noProof/>
          <w:sz w:val="24"/>
          <w:szCs w:val="24"/>
        </w:rPr>
        <w:t>nvestment funds, the ECA considers that ESMA faces challenges in using its tools effectively</w:t>
      </w:r>
      <w:r w:rsidRPr="00C64B4C">
        <w:rPr>
          <w:rFonts w:eastAsiaTheme="minorHAnsi"/>
          <w:noProof/>
          <w:sz w:val="24"/>
          <w:szCs w:val="24"/>
        </w:rPr>
        <w:t>. These challenges include ESMA’s</w:t>
      </w:r>
      <w:r w:rsidR="001976FB" w:rsidRPr="00C64B4C">
        <w:rPr>
          <w:rFonts w:eastAsiaTheme="minorHAnsi"/>
          <w:noProof/>
          <w:sz w:val="24"/>
          <w:szCs w:val="24"/>
        </w:rPr>
        <w:t xml:space="preserve"> own governance structure and its dependenc</w:t>
      </w:r>
      <w:r w:rsidR="00F43BD9" w:rsidRPr="00C64B4C">
        <w:rPr>
          <w:rFonts w:eastAsiaTheme="minorHAnsi"/>
          <w:noProof/>
          <w:sz w:val="24"/>
          <w:szCs w:val="24"/>
        </w:rPr>
        <w:t>e</w:t>
      </w:r>
      <w:r w:rsidR="001976FB" w:rsidRPr="00C64B4C">
        <w:rPr>
          <w:rFonts w:eastAsiaTheme="minorHAnsi"/>
          <w:noProof/>
          <w:sz w:val="24"/>
          <w:szCs w:val="24"/>
        </w:rPr>
        <w:t xml:space="preserve"> on</w:t>
      </w:r>
      <w:r w:rsidRPr="00C64B4C">
        <w:rPr>
          <w:rFonts w:eastAsiaTheme="minorHAnsi"/>
          <w:noProof/>
          <w:sz w:val="24"/>
          <w:szCs w:val="24"/>
        </w:rPr>
        <w:t xml:space="preserve"> the cooperation of </w:t>
      </w:r>
      <w:r w:rsidR="00B10498">
        <w:rPr>
          <w:rFonts w:eastAsiaTheme="minorHAnsi"/>
          <w:noProof/>
          <w:sz w:val="24"/>
          <w:szCs w:val="24"/>
        </w:rPr>
        <w:t>N</w:t>
      </w:r>
      <w:r w:rsidR="001976FB" w:rsidRPr="00C64B4C">
        <w:rPr>
          <w:rFonts w:eastAsiaTheme="minorHAnsi"/>
          <w:noProof/>
          <w:sz w:val="24"/>
          <w:szCs w:val="24"/>
        </w:rPr>
        <w:t xml:space="preserve">ational </w:t>
      </w:r>
      <w:r w:rsidR="00B10498">
        <w:rPr>
          <w:rFonts w:eastAsiaTheme="minorHAnsi"/>
          <w:noProof/>
          <w:sz w:val="24"/>
          <w:szCs w:val="24"/>
        </w:rPr>
        <w:t>C</w:t>
      </w:r>
      <w:r w:rsidR="001976FB" w:rsidRPr="00C64B4C">
        <w:rPr>
          <w:rFonts w:eastAsiaTheme="minorHAnsi"/>
          <w:noProof/>
          <w:sz w:val="24"/>
          <w:szCs w:val="24"/>
        </w:rPr>
        <w:t xml:space="preserve">ompetent </w:t>
      </w:r>
      <w:r w:rsidR="00B10498">
        <w:rPr>
          <w:rFonts w:eastAsiaTheme="minorHAnsi"/>
          <w:noProof/>
          <w:sz w:val="24"/>
          <w:szCs w:val="24"/>
        </w:rPr>
        <w:t>A</w:t>
      </w:r>
      <w:r w:rsidR="001976FB" w:rsidRPr="00C64B4C">
        <w:rPr>
          <w:rFonts w:eastAsiaTheme="minorHAnsi"/>
          <w:noProof/>
          <w:sz w:val="24"/>
          <w:szCs w:val="24"/>
        </w:rPr>
        <w:t xml:space="preserve">uthorities. </w:t>
      </w:r>
    </w:p>
    <w:p w14:paraId="6D877A80" w14:textId="77777777" w:rsidR="007130F8" w:rsidRPr="00C64B4C" w:rsidRDefault="007130F8" w:rsidP="009A01F1">
      <w:pPr>
        <w:jc w:val="both"/>
        <w:rPr>
          <w:rFonts w:eastAsiaTheme="minorHAnsi"/>
          <w:noProof/>
          <w:sz w:val="24"/>
          <w:szCs w:val="24"/>
        </w:rPr>
      </w:pPr>
    </w:p>
    <w:p w14:paraId="01735F70" w14:textId="77777777" w:rsidR="00BA3763" w:rsidRPr="00C64B4C" w:rsidRDefault="00BA3763" w:rsidP="008512A4">
      <w:pPr>
        <w:pStyle w:val="ListParagraph"/>
        <w:numPr>
          <w:ilvl w:val="0"/>
          <w:numId w:val="15"/>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Joint </w:t>
      </w:r>
      <w:r w:rsidR="00E03853" w:rsidRPr="00C64B4C">
        <w:rPr>
          <w:rFonts w:ascii="Times New Roman" w:hAnsi="Times New Roman" w:cs="Times New Roman"/>
          <w:noProof/>
          <w:sz w:val="24"/>
          <w:szCs w:val="24"/>
        </w:rPr>
        <w:t>b</w:t>
      </w:r>
      <w:r w:rsidRPr="00C64B4C">
        <w:rPr>
          <w:rFonts w:ascii="Times New Roman" w:hAnsi="Times New Roman" w:cs="Times New Roman"/>
          <w:noProof/>
          <w:sz w:val="24"/>
          <w:szCs w:val="24"/>
        </w:rPr>
        <w:t>odies</w:t>
      </w:r>
    </w:p>
    <w:p w14:paraId="4221048F" w14:textId="77777777" w:rsidR="00A4009E" w:rsidRPr="00C64B4C" w:rsidRDefault="004B3669" w:rsidP="00557637">
      <w:pPr>
        <w:jc w:val="both"/>
        <w:rPr>
          <w:rFonts w:eastAsiaTheme="minorHAnsi"/>
          <w:noProof/>
          <w:sz w:val="24"/>
          <w:szCs w:val="24"/>
        </w:rPr>
      </w:pPr>
      <w:r w:rsidRPr="00C64B4C">
        <w:rPr>
          <w:rFonts w:eastAsiaTheme="minorHAnsi"/>
          <w:noProof/>
          <w:sz w:val="24"/>
          <w:szCs w:val="24"/>
        </w:rPr>
        <w:t>All respondents s</w:t>
      </w:r>
      <w:r w:rsidR="00DB73D8" w:rsidRPr="00C64B4C">
        <w:rPr>
          <w:rFonts w:eastAsiaTheme="minorHAnsi"/>
          <w:noProof/>
          <w:sz w:val="24"/>
          <w:szCs w:val="24"/>
        </w:rPr>
        <w:t>aw</w:t>
      </w:r>
      <w:r w:rsidRPr="00C64B4C">
        <w:rPr>
          <w:rFonts w:eastAsiaTheme="minorHAnsi"/>
          <w:noProof/>
          <w:sz w:val="24"/>
          <w:szCs w:val="24"/>
        </w:rPr>
        <w:t xml:space="preserve"> t</w:t>
      </w:r>
      <w:r w:rsidR="004C5D82" w:rsidRPr="00C64B4C">
        <w:rPr>
          <w:rFonts w:eastAsiaTheme="minorHAnsi"/>
          <w:noProof/>
          <w:sz w:val="24"/>
          <w:szCs w:val="24"/>
        </w:rPr>
        <w:t>he two joint bodies of the ESAs</w:t>
      </w:r>
      <w:r w:rsidR="003625D1" w:rsidRPr="00C64B4C">
        <w:rPr>
          <w:rFonts w:eastAsiaTheme="minorHAnsi"/>
          <w:noProof/>
          <w:sz w:val="24"/>
          <w:szCs w:val="24"/>
        </w:rPr>
        <w:t xml:space="preserve"> (</w:t>
      </w:r>
      <w:r w:rsidR="004C5D82" w:rsidRPr="00C64B4C">
        <w:rPr>
          <w:rFonts w:eastAsiaTheme="minorHAnsi"/>
          <w:noProof/>
          <w:sz w:val="24"/>
          <w:szCs w:val="24"/>
        </w:rPr>
        <w:t>namely the Board of Appeal and the J</w:t>
      </w:r>
      <w:r w:rsidR="003A50B5" w:rsidRPr="00C64B4C">
        <w:rPr>
          <w:rFonts w:eastAsiaTheme="minorHAnsi"/>
          <w:noProof/>
          <w:sz w:val="24"/>
          <w:szCs w:val="24"/>
        </w:rPr>
        <w:t>oint Committee</w:t>
      </w:r>
      <w:r w:rsidR="003625D1" w:rsidRPr="00C64B4C">
        <w:rPr>
          <w:rFonts w:eastAsiaTheme="minorHAnsi"/>
          <w:noProof/>
          <w:sz w:val="24"/>
          <w:szCs w:val="24"/>
        </w:rPr>
        <w:t>)</w:t>
      </w:r>
      <w:r w:rsidR="003A50B5" w:rsidRPr="00C64B4C">
        <w:rPr>
          <w:rFonts w:eastAsiaTheme="minorHAnsi"/>
          <w:noProof/>
          <w:sz w:val="24"/>
          <w:szCs w:val="24"/>
        </w:rPr>
        <w:t xml:space="preserve"> as effective</w:t>
      </w:r>
      <w:r w:rsidR="004C5D82" w:rsidRPr="00C64B4C">
        <w:rPr>
          <w:rFonts w:eastAsiaTheme="minorHAnsi"/>
          <w:noProof/>
          <w:sz w:val="24"/>
          <w:szCs w:val="24"/>
        </w:rPr>
        <w:t xml:space="preserve"> mechanisms </w:t>
      </w:r>
      <w:r w:rsidR="003625D1" w:rsidRPr="00C64B4C">
        <w:rPr>
          <w:rFonts w:eastAsiaTheme="minorHAnsi"/>
          <w:noProof/>
          <w:sz w:val="24"/>
          <w:szCs w:val="24"/>
        </w:rPr>
        <w:t xml:space="preserve">in general </w:t>
      </w:r>
      <w:r w:rsidR="004C5D82" w:rsidRPr="00C64B4C">
        <w:rPr>
          <w:rFonts w:eastAsiaTheme="minorHAnsi"/>
          <w:noProof/>
          <w:sz w:val="24"/>
          <w:szCs w:val="24"/>
        </w:rPr>
        <w:t>to ensure consistent views and cross-sector</w:t>
      </w:r>
      <w:r w:rsidR="00DE4345" w:rsidRPr="00C64B4C">
        <w:rPr>
          <w:rFonts w:eastAsiaTheme="minorHAnsi"/>
          <w:noProof/>
          <w:sz w:val="24"/>
          <w:szCs w:val="24"/>
        </w:rPr>
        <w:t>al</w:t>
      </w:r>
      <w:r w:rsidR="004C5D82" w:rsidRPr="00C64B4C">
        <w:rPr>
          <w:rFonts w:eastAsiaTheme="minorHAnsi"/>
          <w:noProof/>
          <w:sz w:val="24"/>
          <w:szCs w:val="24"/>
        </w:rPr>
        <w:t xml:space="preserve"> cooperation.</w:t>
      </w:r>
      <w:r w:rsidR="003A50B5" w:rsidRPr="00C64B4C">
        <w:rPr>
          <w:rFonts w:eastAsiaTheme="minorHAnsi"/>
          <w:noProof/>
          <w:sz w:val="24"/>
          <w:szCs w:val="24"/>
        </w:rPr>
        <w:t xml:space="preserve"> However, some stakeholders observed that the </w:t>
      </w:r>
      <w:r w:rsidR="00916759" w:rsidRPr="00C64B4C">
        <w:rPr>
          <w:rFonts w:eastAsiaTheme="minorHAnsi"/>
          <w:noProof/>
          <w:sz w:val="24"/>
          <w:szCs w:val="24"/>
        </w:rPr>
        <w:t xml:space="preserve">Joint Committee </w:t>
      </w:r>
      <w:r w:rsidR="003A50B5" w:rsidRPr="00C64B4C">
        <w:rPr>
          <w:rFonts w:eastAsiaTheme="minorHAnsi"/>
          <w:noProof/>
          <w:sz w:val="24"/>
          <w:szCs w:val="24"/>
        </w:rPr>
        <w:t>is not used to</w:t>
      </w:r>
      <w:r w:rsidRPr="00C64B4C">
        <w:rPr>
          <w:rFonts w:eastAsiaTheme="minorHAnsi"/>
          <w:noProof/>
          <w:sz w:val="24"/>
          <w:szCs w:val="24"/>
        </w:rPr>
        <w:t xml:space="preserve"> the</w:t>
      </w:r>
      <w:r w:rsidR="003A50B5" w:rsidRPr="00C64B4C">
        <w:rPr>
          <w:rFonts w:eastAsiaTheme="minorHAnsi"/>
          <w:noProof/>
          <w:sz w:val="24"/>
          <w:szCs w:val="24"/>
        </w:rPr>
        <w:t xml:space="preserve"> full extent</w:t>
      </w:r>
      <w:r w:rsidRPr="00C64B4C">
        <w:rPr>
          <w:rFonts w:eastAsiaTheme="minorHAnsi"/>
          <w:noProof/>
          <w:sz w:val="24"/>
          <w:szCs w:val="24"/>
        </w:rPr>
        <w:t xml:space="preserve"> possible</w:t>
      </w:r>
      <w:r w:rsidR="003A50B5" w:rsidRPr="00C64B4C">
        <w:rPr>
          <w:rFonts w:eastAsiaTheme="minorHAnsi"/>
          <w:noProof/>
          <w:sz w:val="24"/>
          <w:szCs w:val="24"/>
        </w:rPr>
        <w:t xml:space="preserve"> in cases where the ESAs have a common man</w:t>
      </w:r>
      <w:r w:rsidR="00A57AB1" w:rsidRPr="00C64B4C">
        <w:rPr>
          <w:rFonts w:eastAsiaTheme="minorHAnsi"/>
          <w:noProof/>
          <w:sz w:val="24"/>
          <w:szCs w:val="24"/>
        </w:rPr>
        <w:t>date</w:t>
      </w:r>
      <w:r w:rsidR="003A50B5" w:rsidRPr="00C64B4C">
        <w:rPr>
          <w:rFonts w:eastAsiaTheme="minorHAnsi"/>
          <w:noProof/>
          <w:sz w:val="24"/>
          <w:szCs w:val="24"/>
        </w:rPr>
        <w:t xml:space="preserve"> (e.g. </w:t>
      </w:r>
      <w:r w:rsidR="003625D1" w:rsidRPr="00C64B4C">
        <w:rPr>
          <w:rFonts w:eastAsiaTheme="minorHAnsi"/>
          <w:noProof/>
          <w:sz w:val="24"/>
          <w:szCs w:val="24"/>
        </w:rPr>
        <w:t xml:space="preserve">the </w:t>
      </w:r>
      <w:r w:rsidR="003A50B5" w:rsidRPr="00C64B4C">
        <w:rPr>
          <w:rFonts w:eastAsiaTheme="minorHAnsi"/>
          <w:noProof/>
          <w:sz w:val="24"/>
          <w:szCs w:val="24"/>
        </w:rPr>
        <w:t>new ESA mandate to foster supervisory independence).</w:t>
      </w:r>
      <w:r w:rsidR="00A76D55" w:rsidRPr="00C64B4C">
        <w:rPr>
          <w:rFonts w:eastAsiaTheme="minorHAnsi"/>
          <w:noProof/>
          <w:sz w:val="24"/>
          <w:szCs w:val="24"/>
        </w:rPr>
        <w:t xml:space="preserve"> A few </w:t>
      </w:r>
      <w:r w:rsidR="008E05B2" w:rsidRPr="00C64B4C">
        <w:rPr>
          <w:rFonts w:eastAsiaTheme="minorHAnsi"/>
          <w:noProof/>
          <w:sz w:val="24"/>
          <w:szCs w:val="24"/>
        </w:rPr>
        <w:t xml:space="preserve">respondents </w:t>
      </w:r>
      <w:r w:rsidR="003625D1" w:rsidRPr="00C64B4C">
        <w:rPr>
          <w:rFonts w:eastAsiaTheme="minorHAnsi"/>
          <w:noProof/>
          <w:sz w:val="24"/>
          <w:szCs w:val="24"/>
        </w:rPr>
        <w:t xml:space="preserve">said that </w:t>
      </w:r>
      <w:r w:rsidR="00A76D55" w:rsidRPr="00C64B4C">
        <w:rPr>
          <w:rFonts w:eastAsiaTheme="minorHAnsi"/>
          <w:noProof/>
          <w:sz w:val="24"/>
          <w:szCs w:val="24"/>
        </w:rPr>
        <w:t>the decision</w:t>
      </w:r>
      <w:r w:rsidR="00DE4345" w:rsidRPr="00C64B4C">
        <w:rPr>
          <w:rFonts w:eastAsiaTheme="minorHAnsi"/>
          <w:noProof/>
          <w:sz w:val="24"/>
          <w:szCs w:val="24"/>
        </w:rPr>
        <w:t>-</w:t>
      </w:r>
      <w:r w:rsidR="00A76D55" w:rsidRPr="00C64B4C">
        <w:rPr>
          <w:rFonts w:eastAsiaTheme="minorHAnsi"/>
          <w:noProof/>
          <w:sz w:val="24"/>
          <w:szCs w:val="24"/>
        </w:rPr>
        <w:t>makin</w:t>
      </w:r>
      <w:r w:rsidR="00482EB7" w:rsidRPr="00C64B4C">
        <w:rPr>
          <w:rFonts w:eastAsiaTheme="minorHAnsi"/>
          <w:noProof/>
          <w:sz w:val="24"/>
          <w:szCs w:val="24"/>
        </w:rPr>
        <w:t>g</w:t>
      </w:r>
      <w:r w:rsidR="00A76D55" w:rsidRPr="00C64B4C">
        <w:rPr>
          <w:rFonts w:eastAsiaTheme="minorHAnsi"/>
          <w:noProof/>
          <w:sz w:val="24"/>
          <w:szCs w:val="24"/>
        </w:rPr>
        <w:t xml:space="preserve"> of the Joint Committee </w:t>
      </w:r>
      <w:r w:rsidR="003625D1" w:rsidRPr="00C64B4C">
        <w:rPr>
          <w:rFonts w:eastAsiaTheme="minorHAnsi"/>
          <w:noProof/>
          <w:sz w:val="24"/>
          <w:szCs w:val="24"/>
        </w:rPr>
        <w:t>w</w:t>
      </w:r>
      <w:r w:rsidR="00A76D55" w:rsidRPr="00C64B4C">
        <w:rPr>
          <w:rFonts w:eastAsiaTheme="minorHAnsi"/>
          <w:noProof/>
          <w:sz w:val="24"/>
          <w:szCs w:val="24"/>
        </w:rPr>
        <w:t>as too cumbersome</w:t>
      </w:r>
      <w:r w:rsidR="00C26BFC" w:rsidRPr="00C64B4C">
        <w:rPr>
          <w:rFonts w:eastAsiaTheme="minorHAnsi"/>
          <w:noProof/>
          <w:sz w:val="24"/>
          <w:szCs w:val="24"/>
        </w:rPr>
        <w:t xml:space="preserve"> since decisions taken by the J</w:t>
      </w:r>
      <w:r w:rsidR="00C4612C" w:rsidRPr="00C64B4C">
        <w:rPr>
          <w:rFonts w:eastAsiaTheme="minorHAnsi"/>
          <w:noProof/>
          <w:sz w:val="24"/>
          <w:szCs w:val="24"/>
        </w:rPr>
        <w:t>oint Committee n</w:t>
      </w:r>
      <w:r w:rsidR="00C26BFC" w:rsidRPr="00C64B4C">
        <w:rPr>
          <w:rFonts w:eastAsiaTheme="minorHAnsi"/>
          <w:noProof/>
          <w:sz w:val="24"/>
          <w:szCs w:val="24"/>
        </w:rPr>
        <w:t>eed to be endorsed by the</w:t>
      </w:r>
      <w:r w:rsidR="003625D1" w:rsidRPr="00C64B4C">
        <w:rPr>
          <w:rFonts w:eastAsiaTheme="minorHAnsi"/>
          <w:noProof/>
          <w:sz w:val="24"/>
          <w:szCs w:val="24"/>
        </w:rPr>
        <w:t xml:space="preserve"> boards of the</w:t>
      </w:r>
      <w:r w:rsidR="00C26BFC" w:rsidRPr="00C64B4C">
        <w:rPr>
          <w:rFonts w:eastAsiaTheme="minorHAnsi"/>
          <w:noProof/>
          <w:sz w:val="24"/>
          <w:szCs w:val="24"/>
        </w:rPr>
        <w:t xml:space="preserve"> three ESAs</w:t>
      </w:r>
      <w:r w:rsidR="00A76D55" w:rsidRPr="00C64B4C">
        <w:rPr>
          <w:rFonts w:eastAsiaTheme="minorHAnsi"/>
          <w:noProof/>
          <w:sz w:val="24"/>
          <w:szCs w:val="24"/>
        </w:rPr>
        <w:t>.</w:t>
      </w:r>
    </w:p>
    <w:p w14:paraId="07B8B6A0" w14:textId="77777777" w:rsidR="004C5D82" w:rsidRPr="00C64B4C" w:rsidRDefault="004C5D82" w:rsidP="00557637">
      <w:pPr>
        <w:jc w:val="both"/>
        <w:rPr>
          <w:rFonts w:eastAsiaTheme="minorHAnsi"/>
          <w:noProof/>
          <w:sz w:val="24"/>
          <w:szCs w:val="24"/>
        </w:rPr>
      </w:pPr>
    </w:p>
    <w:p w14:paraId="5442BA71" w14:textId="77777777" w:rsidR="00A76D55" w:rsidRPr="00C64B4C" w:rsidRDefault="00A76D55" w:rsidP="008512A4">
      <w:pPr>
        <w:pStyle w:val="ListParagraph"/>
        <w:numPr>
          <w:ilvl w:val="0"/>
          <w:numId w:val="15"/>
        </w:numPr>
        <w:jc w:val="both"/>
        <w:rPr>
          <w:rFonts w:ascii="Times New Roman" w:hAnsi="Times New Roman" w:cs="Times New Roman"/>
          <w:noProof/>
          <w:sz w:val="24"/>
          <w:szCs w:val="24"/>
        </w:rPr>
      </w:pPr>
      <w:r w:rsidRPr="00C64B4C">
        <w:rPr>
          <w:rFonts w:ascii="Times New Roman" w:hAnsi="Times New Roman" w:cs="Times New Roman"/>
          <w:noProof/>
          <w:sz w:val="24"/>
          <w:szCs w:val="24"/>
        </w:rPr>
        <w:t>Stakeholder involvement</w:t>
      </w:r>
    </w:p>
    <w:p w14:paraId="1EF7623C" w14:textId="77777777" w:rsidR="004C5D82" w:rsidRPr="00C64B4C" w:rsidRDefault="007130F8" w:rsidP="00557637">
      <w:pPr>
        <w:jc w:val="both"/>
        <w:rPr>
          <w:rFonts w:eastAsiaTheme="minorHAnsi"/>
          <w:noProof/>
          <w:sz w:val="24"/>
          <w:szCs w:val="24"/>
        </w:rPr>
      </w:pPr>
      <w:r w:rsidRPr="00C64B4C">
        <w:rPr>
          <w:rFonts w:eastAsiaTheme="minorHAnsi"/>
          <w:noProof/>
          <w:sz w:val="24"/>
          <w:szCs w:val="24"/>
        </w:rPr>
        <w:t xml:space="preserve">Stakeholders were also consulted </w:t>
      </w:r>
      <w:r w:rsidR="007F02DC" w:rsidRPr="00C64B4C">
        <w:rPr>
          <w:rFonts w:eastAsiaTheme="minorHAnsi"/>
          <w:noProof/>
          <w:sz w:val="24"/>
          <w:szCs w:val="24"/>
        </w:rPr>
        <w:t xml:space="preserve">on </w:t>
      </w:r>
      <w:r w:rsidRPr="00C64B4C">
        <w:rPr>
          <w:rFonts w:eastAsiaTheme="minorHAnsi"/>
          <w:noProof/>
          <w:sz w:val="24"/>
          <w:szCs w:val="24"/>
        </w:rPr>
        <w:t xml:space="preserve">their involvement with the ESAs and </w:t>
      </w:r>
      <w:r w:rsidR="003625D1" w:rsidRPr="00C64B4C">
        <w:rPr>
          <w:rFonts w:eastAsiaTheme="minorHAnsi"/>
          <w:noProof/>
          <w:sz w:val="24"/>
          <w:szCs w:val="24"/>
        </w:rPr>
        <w:t xml:space="preserve">on </w:t>
      </w:r>
      <w:r w:rsidRPr="00C64B4C">
        <w:rPr>
          <w:rFonts w:eastAsiaTheme="minorHAnsi"/>
          <w:noProof/>
          <w:sz w:val="24"/>
          <w:szCs w:val="24"/>
        </w:rPr>
        <w:t xml:space="preserve">how the </w:t>
      </w:r>
      <w:r w:rsidR="003625D1" w:rsidRPr="00C64B4C">
        <w:rPr>
          <w:rFonts w:eastAsiaTheme="minorHAnsi"/>
          <w:noProof/>
          <w:sz w:val="24"/>
          <w:szCs w:val="24"/>
        </w:rPr>
        <w:t xml:space="preserve">ESAs </w:t>
      </w:r>
      <w:r w:rsidRPr="00C64B4C">
        <w:rPr>
          <w:rFonts w:eastAsiaTheme="minorHAnsi"/>
          <w:noProof/>
          <w:sz w:val="24"/>
          <w:szCs w:val="24"/>
        </w:rPr>
        <w:t>ha</w:t>
      </w:r>
      <w:r w:rsidR="003625D1" w:rsidRPr="00C64B4C">
        <w:rPr>
          <w:rFonts w:eastAsiaTheme="minorHAnsi"/>
          <w:noProof/>
          <w:sz w:val="24"/>
          <w:szCs w:val="24"/>
        </w:rPr>
        <w:t>d</w:t>
      </w:r>
      <w:r w:rsidRPr="00C64B4C">
        <w:rPr>
          <w:rFonts w:eastAsiaTheme="minorHAnsi"/>
          <w:noProof/>
          <w:sz w:val="24"/>
          <w:szCs w:val="24"/>
        </w:rPr>
        <w:t xml:space="preserve"> been performing in </w:t>
      </w:r>
      <w:r w:rsidR="002548B7" w:rsidRPr="00C64B4C">
        <w:rPr>
          <w:rFonts w:eastAsiaTheme="minorHAnsi"/>
          <w:noProof/>
          <w:sz w:val="24"/>
          <w:szCs w:val="24"/>
        </w:rPr>
        <w:t>ensuring stakeholder involvement</w:t>
      </w:r>
      <w:r w:rsidR="00F14396" w:rsidRPr="00C64B4C">
        <w:rPr>
          <w:rFonts w:eastAsiaTheme="minorHAnsi"/>
          <w:noProof/>
          <w:sz w:val="24"/>
          <w:szCs w:val="24"/>
        </w:rPr>
        <w:t xml:space="preserve">. </w:t>
      </w:r>
      <w:r w:rsidR="003625D1" w:rsidRPr="00C64B4C">
        <w:rPr>
          <w:rFonts w:eastAsiaTheme="minorHAnsi"/>
          <w:noProof/>
          <w:sz w:val="24"/>
          <w:szCs w:val="24"/>
        </w:rPr>
        <w:t>Most</w:t>
      </w:r>
      <w:r w:rsidRPr="00C64B4C">
        <w:rPr>
          <w:rFonts w:eastAsiaTheme="minorHAnsi"/>
          <w:noProof/>
          <w:sz w:val="24"/>
          <w:szCs w:val="24"/>
        </w:rPr>
        <w:t xml:space="preserve"> public authorities and </w:t>
      </w:r>
      <w:r w:rsidR="002548B7" w:rsidRPr="00C64B4C">
        <w:rPr>
          <w:rFonts w:eastAsiaTheme="minorHAnsi"/>
          <w:noProof/>
          <w:sz w:val="24"/>
          <w:szCs w:val="24"/>
        </w:rPr>
        <w:t xml:space="preserve">a </w:t>
      </w:r>
      <w:r w:rsidRPr="00C64B4C">
        <w:rPr>
          <w:rFonts w:eastAsiaTheme="minorHAnsi"/>
          <w:noProof/>
          <w:sz w:val="24"/>
          <w:szCs w:val="24"/>
        </w:rPr>
        <w:t xml:space="preserve">few industry respondents considered that the current framework works well and </w:t>
      </w:r>
      <w:r w:rsidR="003625D1" w:rsidRPr="00C64B4C">
        <w:rPr>
          <w:rFonts w:eastAsiaTheme="minorHAnsi"/>
          <w:noProof/>
          <w:sz w:val="24"/>
          <w:szCs w:val="24"/>
        </w:rPr>
        <w:t xml:space="preserve">that </w:t>
      </w:r>
      <w:r w:rsidRPr="00C64B4C">
        <w:rPr>
          <w:rFonts w:eastAsiaTheme="minorHAnsi"/>
          <w:noProof/>
          <w:sz w:val="24"/>
          <w:szCs w:val="24"/>
        </w:rPr>
        <w:t xml:space="preserve">stakeholders are sufficiently consulted. </w:t>
      </w:r>
      <w:r w:rsidR="003625D1" w:rsidRPr="00C64B4C">
        <w:rPr>
          <w:rFonts w:eastAsiaTheme="minorHAnsi"/>
          <w:noProof/>
          <w:sz w:val="24"/>
          <w:szCs w:val="24"/>
        </w:rPr>
        <w:t>Most</w:t>
      </w:r>
      <w:r w:rsidR="002548B7" w:rsidRPr="00C64B4C">
        <w:rPr>
          <w:rFonts w:eastAsiaTheme="minorHAnsi"/>
          <w:noProof/>
          <w:sz w:val="24"/>
          <w:szCs w:val="24"/>
        </w:rPr>
        <w:t xml:space="preserve"> i</w:t>
      </w:r>
      <w:r w:rsidRPr="00C64B4C">
        <w:rPr>
          <w:rFonts w:eastAsiaTheme="minorHAnsi"/>
          <w:noProof/>
          <w:sz w:val="24"/>
          <w:szCs w:val="24"/>
        </w:rPr>
        <w:t xml:space="preserve">ndustry respondents </w:t>
      </w:r>
      <w:r w:rsidR="00F43BD9" w:rsidRPr="00C64B4C">
        <w:rPr>
          <w:rFonts w:eastAsiaTheme="minorHAnsi"/>
          <w:noProof/>
          <w:sz w:val="24"/>
          <w:szCs w:val="24"/>
        </w:rPr>
        <w:t xml:space="preserve">stressed </w:t>
      </w:r>
      <w:r w:rsidRPr="00C64B4C">
        <w:rPr>
          <w:rFonts w:eastAsiaTheme="minorHAnsi"/>
          <w:noProof/>
          <w:sz w:val="24"/>
          <w:szCs w:val="24"/>
        </w:rPr>
        <w:t xml:space="preserve">that </w:t>
      </w:r>
      <w:r w:rsidR="00A57AB1" w:rsidRPr="00C64B4C">
        <w:rPr>
          <w:rFonts w:eastAsiaTheme="minorHAnsi"/>
          <w:noProof/>
          <w:sz w:val="24"/>
          <w:szCs w:val="24"/>
        </w:rPr>
        <w:t xml:space="preserve">the </w:t>
      </w:r>
      <w:r w:rsidRPr="00C64B4C">
        <w:rPr>
          <w:rFonts w:eastAsiaTheme="minorHAnsi"/>
          <w:noProof/>
          <w:sz w:val="24"/>
          <w:szCs w:val="24"/>
        </w:rPr>
        <w:t xml:space="preserve">ESAs should intensify their interaction </w:t>
      </w:r>
      <w:r w:rsidR="007F02DC" w:rsidRPr="00C64B4C">
        <w:rPr>
          <w:rFonts w:eastAsiaTheme="minorHAnsi"/>
          <w:noProof/>
          <w:sz w:val="24"/>
          <w:szCs w:val="24"/>
        </w:rPr>
        <w:t xml:space="preserve">and dialogue </w:t>
      </w:r>
      <w:r w:rsidRPr="00C64B4C">
        <w:rPr>
          <w:rFonts w:eastAsiaTheme="minorHAnsi"/>
          <w:noProof/>
          <w:sz w:val="24"/>
          <w:szCs w:val="24"/>
        </w:rPr>
        <w:t xml:space="preserve">with the industry and adopt a more open </w:t>
      </w:r>
      <w:r w:rsidR="004C5D82" w:rsidRPr="00C64B4C">
        <w:rPr>
          <w:rFonts w:eastAsiaTheme="minorHAnsi"/>
          <w:noProof/>
          <w:sz w:val="24"/>
          <w:szCs w:val="24"/>
        </w:rPr>
        <w:t xml:space="preserve">and </w:t>
      </w:r>
      <w:r w:rsidR="007F02DC" w:rsidRPr="00C64B4C">
        <w:rPr>
          <w:rFonts w:eastAsiaTheme="minorHAnsi"/>
          <w:noProof/>
          <w:sz w:val="24"/>
          <w:szCs w:val="24"/>
        </w:rPr>
        <w:t xml:space="preserve">pragmatic </w:t>
      </w:r>
      <w:r w:rsidR="004C5D82" w:rsidRPr="00C64B4C">
        <w:rPr>
          <w:rFonts w:eastAsiaTheme="minorHAnsi"/>
          <w:noProof/>
          <w:sz w:val="24"/>
          <w:szCs w:val="24"/>
        </w:rPr>
        <w:t>approach</w:t>
      </w:r>
      <w:r w:rsidR="00557637" w:rsidRPr="00C64B4C">
        <w:rPr>
          <w:rStyle w:val="FootnoteReference"/>
          <w:rFonts w:eastAsiaTheme="minorHAnsi"/>
          <w:noProof/>
          <w:sz w:val="24"/>
          <w:szCs w:val="24"/>
        </w:rPr>
        <w:footnoteReference w:id="29"/>
      </w:r>
      <w:r w:rsidR="004C5D82" w:rsidRPr="00C64B4C">
        <w:rPr>
          <w:rFonts w:eastAsiaTheme="minorHAnsi"/>
          <w:noProof/>
          <w:sz w:val="24"/>
          <w:szCs w:val="24"/>
        </w:rPr>
        <w:t>.</w:t>
      </w:r>
      <w:r w:rsidR="00CE0066" w:rsidRPr="00C64B4C">
        <w:rPr>
          <w:rFonts w:eastAsiaTheme="minorHAnsi"/>
          <w:noProof/>
          <w:sz w:val="24"/>
          <w:szCs w:val="24"/>
        </w:rPr>
        <w:t xml:space="preserve"> Finally, </w:t>
      </w:r>
      <w:r w:rsidR="003625D1" w:rsidRPr="00C64B4C">
        <w:rPr>
          <w:rFonts w:eastAsiaTheme="minorHAnsi"/>
          <w:noProof/>
          <w:sz w:val="24"/>
          <w:szCs w:val="24"/>
        </w:rPr>
        <w:t xml:space="preserve">various industry representatives raised </w:t>
      </w:r>
      <w:r w:rsidR="00CE0066" w:rsidRPr="00C64B4C">
        <w:rPr>
          <w:rFonts w:eastAsiaTheme="minorHAnsi"/>
          <w:noProof/>
          <w:sz w:val="24"/>
          <w:szCs w:val="24"/>
        </w:rPr>
        <w:t>t</w:t>
      </w:r>
      <w:r w:rsidR="00BA3763" w:rsidRPr="00C64B4C">
        <w:rPr>
          <w:rFonts w:eastAsiaTheme="minorHAnsi"/>
          <w:noProof/>
          <w:sz w:val="24"/>
          <w:szCs w:val="24"/>
        </w:rPr>
        <w:t xml:space="preserve">he issue of deadlines </w:t>
      </w:r>
      <w:r w:rsidR="003625D1" w:rsidRPr="00C64B4C">
        <w:rPr>
          <w:rFonts w:eastAsiaTheme="minorHAnsi"/>
          <w:noProof/>
          <w:sz w:val="24"/>
          <w:szCs w:val="24"/>
        </w:rPr>
        <w:t xml:space="preserve">being too short </w:t>
      </w:r>
      <w:r w:rsidR="00BA3763" w:rsidRPr="00C64B4C">
        <w:rPr>
          <w:rFonts w:eastAsiaTheme="minorHAnsi"/>
          <w:noProof/>
          <w:sz w:val="24"/>
          <w:szCs w:val="24"/>
        </w:rPr>
        <w:t>to provide feedback when ESAs carry out consultation</w:t>
      </w:r>
      <w:r w:rsidR="007F02DC" w:rsidRPr="00C64B4C">
        <w:rPr>
          <w:rFonts w:eastAsiaTheme="minorHAnsi"/>
          <w:noProof/>
          <w:sz w:val="24"/>
          <w:szCs w:val="24"/>
        </w:rPr>
        <w:t>s</w:t>
      </w:r>
      <w:r w:rsidR="00BA3763" w:rsidRPr="00C64B4C">
        <w:rPr>
          <w:rFonts w:eastAsiaTheme="minorHAnsi"/>
          <w:noProof/>
          <w:sz w:val="24"/>
          <w:szCs w:val="24"/>
        </w:rPr>
        <w:t xml:space="preserve">. </w:t>
      </w:r>
    </w:p>
    <w:p w14:paraId="138061D4" w14:textId="77777777" w:rsidR="004F2C54" w:rsidRPr="00C64B4C" w:rsidRDefault="004F2C54" w:rsidP="00557637">
      <w:pPr>
        <w:jc w:val="both"/>
        <w:rPr>
          <w:rFonts w:eastAsiaTheme="minorHAnsi"/>
          <w:noProof/>
          <w:sz w:val="24"/>
          <w:szCs w:val="24"/>
        </w:rPr>
      </w:pPr>
    </w:p>
    <w:p w14:paraId="3F35C72D" w14:textId="77777777" w:rsidR="0089184F" w:rsidRPr="00C64B4C" w:rsidRDefault="00A76D55" w:rsidP="008512A4">
      <w:pPr>
        <w:pStyle w:val="ListParagraph"/>
        <w:numPr>
          <w:ilvl w:val="0"/>
          <w:numId w:val="15"/>
        </w:numPr>
        <w:jc w:val="both"/>
        <w:rPr>
          <w:rFonts w:ascii="Times New Roman" w:hAnsi="Times New Roman" w:cs="Times New Roman"/>
          <w:noProof/>
          <w:sz w:val="24"/>
          <w:szCs w:val="24"/>
        </w:rPr>
      </w:pPr>
      <w:r w:rsidRPr="00C64B4C">
        <w:rPr>
          <w:rFonts w:ascii="Times New Roman" w:hAnsi="Times New Roman" w:cs="Times New Roman"/>
          <w:noProof/>
          <w:sz w:val="24"/>
          <w:szCs w:val="24"/>
        </w:rPr>
        <w:t>S</w:t>
      </w:r>
      <w:r w:rsidR="00025193" w:rsidRPr="00C64B4C">
        <w:rPr>
          <w:rFonts w:ascii="Times New Roman" w:hAnsi="Times New Roman" w:cs="Times New Roman"/>
          <w:noProof/>
          <w:sz w:val="24"/>
          <w:szCs w:val="24"/>
        </w:rPr>
        <w:t>upervisory independence</w:t>
      </w:r>
    </w:p>
    <w:p w14:paraId="0D26D5EE" w14:textId="77777777" w:rsidR="00025193" w:rsidRPr="00C64B4C" w:rsidRDefault="00630E62" w:rsidP="00557637">
      <w:pPr>
        <w:jc w:val="both"/>
        <w:rPr>
          <w:rFonts w:eastAsiaTheme="minorHAnsi"/>
          <w:noProof/>
          <w:sz w:val="24"/>
          <w:szCs w:val="24"/>
        </w:rPr>
      </w:pPr>
      <w:r w:rsidRPr="00C64B4C">
        <w:rPr>
          <w:rFonts w:eastAsiaTheme="minorHAnsi"/>
          <w:noProof/>
          <w:sz w:val="24"/>
          <w:szCs w:val="24"/>
        </w:rPr>
        <w:t xml:space="preserve">The 2019 ESA review introduced a new </w:t>
      </w:r>
      <w:r w:rsidR="00F43BD9" w:rsidRPr="00C64B4C">
        <w:rPr>
          <w:rFonts w:eastAsiaTheme="minorHAnsi"/>
          <w:noProof/>
          <w:sz w:val="24"/>
          <w:szCs w:val="24"/>
        </w:rPr>
        <w:t>responsibility for</w:t>
      </w:r>
      <w:r w:rsidR="00D241AB" w:rsidRPr="00C64B4C">
        <w:rPr>
          <w:rFonts w:eastAsiaTheme="minorHAnsi"/>
          <w:noProof/>
          <w:sz w:val="24"/>
          <w:szCs w:val="24"/>
        </w:rPr>
        <w:t xml:space="preserve"> the ESAs</w:t>
      </w:r>
      <w:r w:rsidR="00F43BD9" w:rsidRPr="00C64B4C">
        <w:rPr>
          <w:rFonts w:eastAsiaTheme="minorHAnsi"/>
          <w:noProof/>
          <w:sz w:val="24"/>
          <w:szCs w:val="24"/>
        </w:rPr>
        <w:t>:</w:t>
      </w:r>
      <w:r w:rsidR="00D241AB" w:rsidRPr="00C64B4C">
        <w:rPr>
          <w:rFonts w:eastAsiaTheme="minorHAnsi"/>
          <w:noProof/>
          <w:sz w:val="24"/>
          <w:szCs w:val="24"/>
        </w:rPr>
        <w:t xml:space="preserve"> </w:t>
      </w:r>
      <w:r w:rsidRPr="00C64B4C">
        <w:rPr>
          <w:rFonts w:eastAsiaTheme="minorHAnsi"/>
          <w:noProof/>
          <w:sz w:val="24"/>
          <w:szCs w:val="24"/>
        </w:rPr>
        <w:t xml:space="preserve">to foster and monitor the independence of national supervisors. </w:t>
      </w:r>
      <w:r w:rsidR="00025193" w:rsidRPr="00C64B4C">
        <w:rPr>
          <w:rFonts w:eastAsiaTheme="minorHAnsi"/>
          <w:noProof/>
          <w:sz w:val="24"/>
          <w:szCs w:val="24"/>
        </w:rPr>
        <w:t xml:space="preserve">The ESAs have recently published their </w:t>
      </w:r>
      <w:r w:rsidRPr="00C64B4C">
        <w:rPr>
          <w:rFonts w:eastAsiaTheme="minorHAnsi"/>
          <w:noProof/>
          <w:sz w:val="24"/>
          <w:szCs w:val="24"/>
        </w:rPr>
        <w:t xml:space="preserve">first </w:t>
      </w:r>
      <w:r w:rsidR="00025193" w:rsidRPr="00C64B4C">
        <w:rPr>
          <w:rFonts w:eastAsiaTheme="minorHAnsi"/>
          <w:noProof/>
          <w:sz w:val="24"/>
          <w:szCs w:val="24"/>
        </w:rPr>
        <w:t>individual reports on the supervisory independence of competent authorities in their sectors</w:t>
      </w:r>
      <w:r w:rsidR="00557637" w:rsidRPr="00C64B4C">
        <w:rPr>
          <w:rStyle w:val="FootnoteReference"/>
          <w:rFonts w:eastAsiaTheme="minorHAnsi"/>
          <w:noProof/>
          <w:sz w:val="24"/>
          <w:szCs w:val="24"/>
        </w:rPr>
        <w:footnoteReference w:id="30"/>
      </w:r>
      <w:r w:rsidR="00025193" w:rsidRPr="00C64B4C">
        <w:rPr>
          <w:rFonts w:eastAsiaTheme="minorHAnsi"/>
          <w:noProof/>
          <w:sz w:val="24"/>
          <w:szCs w:val="24"/>
        </w:rPr>
        <w:t xml:space="preserve">. </w:t>
      </w:r>
    </w:p>
    <w:p w14:paraId="25E9B100" w14:textId="77777777" w:rsidR="00025193" w:rsidRPr="00C64B4C" w:rsidRDefault="00025193" w:rsidP="00557637">
      <w:pPr>
        <w:jc w:val="both"/>
        <w:rPr>
          <w:rFonts w:eastAsiaTheme="minorHAnsi"/>
          <w:noProof/>
          <w:sz w:val="24"/>
          <w:szCs w:val="24"/>
        </w:rPr>
      </w:pPr>
    </w:p>
    <w:p w14:paraId="113826EB" w14:textId="2E5DDDB1" w:rsidR="00025193" w:rsidRPr="00C64B4C" w:rsidRDefault="00025193" w:rsidP="00557637">
      <w:pPr>
        <w:jc w:val="both"/>
        <w:rPr>
          <w:rFonts w:eastAsiaTheme="minorHAnsi"/>
          <w:noProof/>
          <w:sz w:val="24"/>
          <w:szCs w:val="24"/>
        </w:rPr>
      </w:pPr>
      <w:r w:rsidRPr="00C64B4C">
        <w:rPr>
          <w:rFonts w:eastAsiaTheme="minorHAnsi"/>
          <w:noProof/>
          <w:sz w:val="24"/>
          <w:szCs w:val="24"/>
        </w:rPr>
        <w:t xml:space="preserve">In the consultation, </w:t>
      </w:r>
      <w:r w:rsidR="00D241AB" w:rsidRPr="00C64B4C">
        <w:rPr>
          <w:rFonts w:eastAsiaTheme="minorHAnsi"/>
          <w:noProof/>
          <w:sz w:val="24"/>
          <w:szCs w:val="24"/>
        </w:rPr>
        <w:t>most</w:t>
      </w:r>
      <w:r w:rsidRPr="00C64B4C">
        <w:rPr>
          <w:rFonts w:eastAsiaTheme="minorHAnsi"/>
          <w:noProof/>
          <w:sz w:val="24"/>
          <w:szCs w:val="24"/>
        </w:rPr>
        <w:t xml:space="preserve"> respondents </w:t>
      </w:r>
      <w:r w:rsidR="00D241AB" w:rsidRPr="00790A7A">
        <w:rPr>
          <w:rFonts w:eastAsiaTheme="minorHAnsi"/>
          <w:noProof/>
          <w:sz w:val="24"/>
          <w:szCs w:val="24"/>
        </w:rPr>
        <w:t>were p</w:t>
      </w:r>
      <w:r w:rsidR="00D241AB" w:rsidRPr="00C64B4C">
        <w:rPr>
          <w:rFonts w:eastAsiaTheme="minorHAnsi"/>
          <w:noProof/>
          <w:sz w:val="24"/>
          <w:szCs w:val="24"/>
        </w:rPr>
        <w:t xml:space="preserve">ositive about </w:t>
      </w:r>
      <w:r w:rsidRPr="00C64B4C">
        <w:rPr>
          <w:rFonts w:eastAsiaTheme="minorHAnsi"/>
          <w:noProof/>
          <w:sz w:val="24"/>
          <w:szCs w:val="24"/>
        </w:rPr>
        <w:t>th</w:t>
      </w:r>
      <w:r w:rsidR="00F43BD9" w:rsidRPr="00C64B4C">
        <w:rPr>
          <w:rFonts w:eastAsiaTheme="minorHAnsi"/>
          <w:noProof/>
          <w:sz w:val="24"/>
          <w:szCs w:val="24"/>
        </w:rPr>
        <w:t>is</w:t>
      </w:r>
      <w:r w:rsidRPr="00C64B4C">
        <w:rPr>
          <w:rFonts w:eastAsiaTheme="minorHAnsi"/>
          <w:noProof/>
          <w:sz w:val="24"/>
          <w:szCs w:val="24"/>
        </w:rPr>
        <w:t xml:space="preserve"> new </w:t>
      </w:r>
      <w:r w:rsidR="00F43BD9" w:rsidRPr="00C64B4C">
        <w:rPr>
          <w:rFonts w:eastAsiaTheme="minorHAnsi"/>
          <w:noProof/>
          <w:sz w:val="24"/>
          <w:szCs w:val="24"/>
        </w:rPr>
        <w:t>responsibility</w:t>
      </w:r>
      <w:r w:rsidRPr="00C64B4C">
        <w:rPr>
          <w:rFonts w:eastAsiaTheme="minorHAnsi"/>
          <w:noProof/>
          <w:sz w:val="24"/>
          <w:szCs w:val="24"/>
        </w:rPr>
        <w:t xml:space="preserve"> </w:t>
      </w:r>
      <w:r w:rsidR="00D241AB" w:rsidRPr="00C64B4C">
        <w:rPr>
          <w:rFonts w:eastAsiaTheme="minorHAnsi"/>
          <w:noProof/>
          <w:sz w:val="24"/>
          <w:szCs w:val="24"/>
        </w:rPr>
        <w:t>for</w:t>
      </w:r>
      <w:r w:rsidR="00EE1B36" w:rsidRPr="00C64B4C">
        <w:rPr>
          <w:rFonts w:eastAsiaTheme="minorHAnsi"/>
          <w:noProof/>
          <w:sz w:val="24"/>
          <w:szCs w:val="24"/>
        </w:rPr>
        <w:t xml:space="preserve"> the</w:t>
      </w:r>
      <w:r w:rsidR="00D241AB" w:rsidRPr="00C64B4C">
        <w:rPr>
          <w:rFonts w:eastAsiaTheme="minorHAnsi"/>
          <w:noProof/>
          <w:sz w:val="24"/>
          <w:szCs w:val="24"/>
        </w:rPr>
        <w:t xml:space="preserve"> ESAs to </w:t>
      </w:r>
      <w:r w:rsidRPr="00C64B4C">
        <w:rPr>
          <w:rFonts w:eastAsiaTheme="minorHAnsi"/>
          <w:noProof/>
          <w:sz w:val="24"/>
          <w:szCs w:val="24"/>
        </w:rPr>
        <w:t xml:space="preserve">foster supervisory independence. Public authorities observed that </w:t>
      </w:r>
      <w:r w:rsidR="00D241AB" w:rsidRPr="00C64B4C">
        <w:rPr>
          <w:rFonts w:eastAsiaTheme="minorHAnsi"/>
          <w:noProof/>
          <w:sz w:val="24"/>
          <w:szCs w:val="24"/>
        </w:rPr>
        <w:t xml:space="preserve">this new </w:t>
      </w:r>
      <w:r w:rsidR="00F43BD9" w:rsidRPr="00C64B4C">
        <w:rPr>
          <w:rFonts w:eastAsiaTheme="minorHAnsi"/>
          <w:noProof/>
          <w:sz w:val="24"/>
          <w:szCs w:val="24"/>
        </w:rPr>
        <w:t>responsibility</w:t>
      </w:r>
      <w:r w:rsidR="00D241AB" w:rsidRPr="00C64B4C">
        <w:rPr>
          <w:rFonts w:eastAsiaTheme="minorHAnsi"/>
          <w:noProof/>
          <w:sz w:val="24"/>
          <w:szCs w:val="24"/>
        </w:rPr>
        <w:t xml:space="preserve"> make</w:t>
      </w:r>
      <w:r w:rsidR="00662F0D">
        <w:rPr>
          <w:rFonts w:eastAsiaTheme="minorHAnsi"/>
          <w:noProof/>
          <w:sz w:val="24"/>
          <w:szCs w:val="24"/>
        </w:rPr>
        <w:t>s</w:t>
      </w:r>
      <w:r w:rsidR="00D241AB" w:rsidRPr="00C64B4C">
        <w:rPr>
          <w:rFonts w:eastAsiaTheme="minorHAnsi"/>
          <w:noProof/>
          <w:sz w:val="24"/>
          <w:szCs w:val="24"/>
        </w:rPr>
        <w:t xml:space="preserve"> p</w:t>
      </w:r>
      <w:r w:rsidR="0062061A" w:rsidRPr="00C64B4C">
        <w:rPr>
          <w:rFonts w:eastAsiaTheme="minorHAnsi"/>
          <w:noProof/>
          <w:sz w:val="24"/>
          <w:szCs w:val="24"/>
        </w:rPr>
        <w:t>ossible</w:t>
      </w:r>
      <w:r w:rsidRPr="00C64B4C">
        <w:rPr>
          <w:rFonts w:eastAsiaTheme="minorHAnsi"/>
          <w:noProof/>
          <w:sz w:val="24"/>
          <w:szCs w:val="24"/>
        </w:rPr>
        <w:t xml:space="preserve"> an expert assessment by an entity that is knowledgeable </w:t>
      </w:r>
      <w:r w:rsidR="00F43BD9" w:rsidRPr="00C64B4C">
        <w:rPr>
          <w:rFonts w:eastAsiaTheme="minorHAnsi"/>
          <w:noProof/>
          <w:sz w:val="24"/>
          <w:szCs w:val="24"/>
        </w:rPr>
        <w:t xml:space="preserve">about </w:t>
      </w:r>
      <w:r w:rsidRPr="00C64B4C">
        <w:rPr>
          <w:rFonts w:eastAsiaTheme="minorHAnsi"/>
          <w:noProof/>
          <w:sz w:val="24"/>
          <w:szCs w:val="24"/>
        </w:rPr>
        <w:t xml:space="preserve">the functions carried out by </w:t>
      </w:r>
      <w:r w:rsidR="00B10498">
        <w:rPr>
          <w:rFonts w:eastAsiaTheme="minorHAnsi"/>
          <w:noProof/>
          <w:sz w:val="24"/>
          <w:szCs w:val="24"/>
        </w:rPr>
        <w:t>N</w:t>
      </w:r>
      <w:r w:rsidR="00B30126" w:rsidRPr="00C64B4C">
        <w:rPr>
          <w:rFonts w:eastAsiaTheme="minorHAnsi"/>
          <w:noProof/>
          <w:sz w:val="24"/>
          <w:szCs w:val="24"/>
        </w:rPr>
        <w:t xml:space="preserve">ational </w:t>
      </w:r>
      <w:r w:rsidR="00B10498">
        <w:rPr>
          <w:rFonts w:eastAsiaTheme="minorHAnsi"/>
          <w:noProof/>
          <w:sz w:val="24"/>
          <w:szCs w:val="24"/>
        </w:rPr>
        <w:t>C</w:t>
      </w:r>
      <w:r w:rsidR="00B30126" w:rsidRPr="00C64B4C">
        <w:rPr>
          <w:rFonts w:eastAsiaTheme="minorHAnsi"/>
          <w:noProof/>
          <w:sz w:val="24"/>
          <w:szCs w:val="24"/>
        </w:rPr>
        <w:t xml:space="preserve">ompetent </w:t>
      </w:r>
      <w:r w:rsidR="00B10498">
        <w:rPr>
          <w:rFonts w:eastAsiaTheme="minorHAnsi"/>
          <w:noProof/>
          <w:sz w:val="24"/>
          <w:szCs w:val="24"/>
        </w:rPr>
        <w:t>A</w:t>
      </w:r>
      <w:r w:rsidR="00B30126" w:rsidRPr="00C64B4C">
        <w:rPr>
          <w:rFonts w:eastAsiaTheme="minorHAnsi"/>
          <w:noProof/>
          <w:sz w:val="24"/>
          <w:szCs w:val="24"/>
        </w:rPr>
        <w:t>uthoritie</w:t>
      </w:r>
      <w:r w:rsidRPr="00C64B4C">
        <w:rPr>
          <w:rFonts w:eastAsiaTheme="minorHAnsi"/>
          <w:noProof/>
          <w:sz w:val="24"/>
          <w:szCs w:val="24"/>
        </w:rPr>
        <w:t>s</w:t>
      </w:r>
      <w:r w:rsidR="00D241AB" w:rsidRPr="00C64B4C">
        <w:rPr>
          <w:rFonts w:eastAsiaTheme="minorHAnsi"/>
          <w:noProof/>
          <w:sz w:val="24"/>
          <w:szCs w:val="24"/>
        </w:rPr>
        <w:t>. These public authorities also said</w:t>
      </w:r>
      <w:r w:rsidRPr="00C64B4C">
        <w:rPr>
          <w:rFonts w:eastAsiaTheme="minorHAnsi"/>
          <w:noProof/>
          <w:sz w:val="24"/>
          <w:szCs w:val="24"/>
        </w:rPr>
        <w:t xml:space="preserve"> that</w:t>
      </w:r>
      <w:r w:rsidR="00D241AB" w:rsidRPr="00C64B4C">
        <w:rPr>
          <w:rFonts w:eastAsiaTheme="minorHAnsi"/>
          <w:noProof/>
          <w:sz w:val="24"/>
          <w:szCs w:val="24"/>
        </w:rPr>
        <w:t>: (i)</w:t>
      </w:r>
      <w:r w:rsidRPr="00C64B4C">
        <w:rPr>
          <w:rFonts w:eastAsiaTheme="minorHAnsi"/>
          <w:noProof/>
          <w:sz w:val="24"/>
          <w:szCs w:val="24"/>
        </w:rPr>
        <w:t xml:space="preserve"> independence </w:t>
      </w:r>
      <w:r w:rsidR="00D241AB" w:rsidRPr="00C64B4C">
        <w:rPr>
          <w:rFonts w:eastAsiaTheme="minorHAnsi"/>
          <w:noProof/>
          <w:sz w:val="24"/>
          <w:szCs w:val="24"/>
        </w:rPr>
        <w:t>wa</w:t>
      </w:r>
      <w:r w:rsidRPr="00C64B4C">
        <w:rPr>
          <w:rFonts w:eastAsiaTheme="minorHAnsi"/>
          <w:noProof/>
          <w:sz w:val="24"/>
          <w:szCs w:val="24"/>
        </w:rPr>
        <w:t xml:space="preserve">s a pre-condition </w:t>
      </w:r>
      <w:r w:rsidR="00D241AB" w:rsidRPr="00C64B4C">
        <w:rPr>
          <w:rFonts w:eastAsiaTheme="minorHAnsi"/>
          <w:noProof/>
          <w:sz w:val="24"/>
          <w:szCs w:val="24"/>
        </w:rPr>
        <w:t xml:space="preserve">for </w:t>
      </w:r>
      <w:r w:rsidRPr="00C64B4C">
        <w:rPr>
          <w:rFonts w:eastAsiaTheme="minorHAnsi"/>
          <w:noProof/>
          <w:sz w:val="24"/>
          <w:szCs w:val="24"/>
        </w:rPr>
        <w:t>develop</w:t>
      </w:r>
      <w:r w:rsidR="00D241AB" w:rsidRPr="00C64B4C">
        <w:rPr>
          <w:rFonts w:eastAsiaTheme="minorHAnsi"/>
          <w:noProof/>
          <w:sz w:val="24"/>
          <w:szCs w:val="24"/>
        </w:rPr>
        <w:t>ing</w:t>
      </w:r>
      <w:r w:rsidRPr="00C64B4C">
        <w:rPr>
          <w:rFonts w:eastAsiaTheme="minorHAnsi"/>
          <w:noProof/>
          <w:sz w:val="24"/>
          <w:szCs w:val="24"/>
        </w:rPr>
        <w:t xml:space="preserve"> effective supervision</w:t>
      </w:r>
      <w:r w:rsidR="00D241AB" w:rsidRPr="00C64B4C">
        <w:rPr>
          <w:rFonts w:eastAsiaTheme="minorHAnsi"/>
          <w:noProof/>
          <w:sz w:val="24"/>
          <w:szCs w:val="24"/>
        </w:rPr>
        <w:t>;</w:t>
      </w:r>
      <w:r w:rsidRPr="00C64B4C">
        <w:rPr>
          <w:rFonts w:eastAsiaTheme="minorHAnsi"/>
          <w:noProof/>
          <w:sz w:val="24"/>
          <w:szCs w:val="24"/>
        </w:rPr>
        <w:t xml:space="preserve"> </w:t>
      </w:r>
      <w:r w:rsidR="00D241AB" w:rsidRPr="00C64B4C">
        <w:rPr>
          <w:rFonts w:eastAsiaTheme="minorHAnsi"/>
          <w:noProof/>
          <w:sz w:val="24"/>
          <w:szCs w:val="24"/>
        </w:rPr>
        <w:t>(ii)</w:t>
      </w:r>
      <w:r w:rsidRPr="00C64B4C">
        <w:rPr>
          <w:rFonts w:eastAsiaTheme="minorHAnsi"/>
          <w:noProof/>
          <w:sz w:val="24"/>
          <w:szCs w:val="24"/>
        </w:rPr>
        <w:t xml:space="preserve"> </w:t>
      </w:r>
      <w:r w:rsidR="00D241AB" w:rsidRPr="00C64B4C">
        <w:rPr>
          <w:rFonts w:eastAsiaTheme="minorHAnsi"/>
          <w:noProof/>
          <w:sz w:val="24"/>
          <w:szCs w:val="24"/>
        </w:rPr>
        <w:t>th</w:t>
      </w:r>
      <w:r w:rsidR="00802F06" w:rsidRPr="00C64B4C">
        <w:rPr>
          <w:rFonts w:eastAsiaTheme="minorHAnsi"/>
          <w:noProof/>
          <w:sz w:val="24"/>
          <w:szCs w:val="24"/>
        </w:rPr>
        <w:t xml:space="preserve">e new responsibility </w:t>
      </w:r>
      <w:r w:rsidR="00D241AB" w:rsidRPr="00C64B4C">
        <w:rPr>
          <w:rFonts w:eastAsiaTheme="minorHAnsi"/>
          <w:noProof/>
          <w:sz w:val="24"/>
          <w:szCs w:val="24"/>
        </w:rPr>
        <w:t>could improve</w:t>
      </w:r>
      <w:r w:rsidRPr="00C64B4C">
        <w:rPr>
          <w:rFonts w:eastAsiaTheme="minorHAnsi"/>
          <w:noProof/>
          <w:sz w:val="24"/>
          <w:szCs w:val="24"/>
        </w:rPr>
        <w:t xml:space="preserve"> harmoni</w:t>
      </w:r>
      <w:r w:rsidR="007F02DC" w:rsidRPr="00C64B4C">
        <w:rPr>
          <w:rFonts w:eastAsiaTheme="minorHAnsi"/>
          <w:noProof/>
          <w:sz w:val="24"/>
          <w:szCs w:val="24"/>
        </w:rPr>
        <w:t>s</w:t>
      </w:r>
      <w:r w:rsidRPr="00C64B4C">
        <w:rPr>
          <w:rFonts w:eastAsiaTheme="minorHAnsi"/>
          <w:noProof/>
          <w:sz w:val="24"/>
          <w:szCs w:val="24"/>
        </w:rPr>
        <w:t>ation in the area of supervisory independence</w:t>
      </w:r>
      <w:r w:rsidR="00D241AB" w:rsidRPr="00C64B4C">
        <w:rPr>
          <w:rFonts w:eastAsiaTheme="minorHAnsi"/>
          <w:noProof/>
          <w:sz w:val="24"/>
          <w:szCs w:val="24"/>
        </w:rPr>
        <w:t>;</w:t>
      </w:r>
      <w:r w:rsidRPr="00C64B4C">
        <w:rPr>
          <w:rFonts w:eastAsiaTheme="minorHAnsi"/>
          <w:noProof/>
          <w:sz w:val="24"/>
          <w:szCs w:val="24"/>
        </w:rPr>
        <w:t xml:space="preserve"> and </w:t>
      </w:r>
      <w:r w:rsidR="00D241AB" w:rsidRPr="00C64B4C">
        <w:rPr>
          <w:rFonts w:eastAsiaTheme="minorHAnsi"/>
          <w:noProof/>
          <w:sz w:val="24"/>
          <w:szCs w:val="24"/>
        </w:rPr>
        <w:t>(iii) th</w:t>
      </w:r>
      <w:r w:rsidR="00802F06" w:rsidRPr="00C64B4C">
        <w:rPr>
          <w:rFonts w:eastAsiaTheme="minorHAnsi"/>
          <w:noProof/>
          <w:sz w:val="24"/>
          <w:szCs w:val="24"/>
        </w:rPr>
        <w:t xml:space="preserve">e ESAs </w:t>
      </w:r>
      <w:r w:rsidR="00D241AB" w:rsidRPr="00C64B4C">
        <w:rPr>
          <w:rFonts w:eastAsiaTheme="minorHAnsi"/>
          <w:noProof/>
          <w:sz w:val="24"/>
          <w:szCs w:val="24"/>
        </w:rPr>
        <w:t xml:space="preserve">could </w:t>
      </w:r>
      <w:r w:rsidRPr="00C64B4C">
        <w:rPr>
          <w:rFonts w:eastAsiaTheme="minorHAnsi"/>
          <w:noProof/>
          <w:sz w:val="24"/>
          <w:szCs w:val="24"/>
        </w:rPr>
        <w:t xml:space="preserve">provide useful insights when comparing the state of supervisory independence across Europe. </w:t>
      </w:r>
    </w:p>
    <w:p w14:paraId="3239B7A6" w14:textId="77777777" w:rsidR="00025193" w:rsidRPr="00C64B4C" w:rsidRDefault="00025193" w:rsidP="00557637">
      <w:pPr>
        <w:jc w:val="both"/>
        <w:rPr>
          <w:rFonts w:eastAsiaTheme="minorHAnsi"/>
          <w:noProof/>
          <w:sz w:val="24"/>
          <w:szCs w:val="24"/>
        </w:rPr>
      </w:pPr>
    </w:p>
    <w:p w14:paraId="6B473092" w14:textId="77777777" w:rsidR="00025193" w:rsidRPr="00C64B4C" w:rsidRDefault="00025193" w:rsidP="00557637">
      <w:pPr>
        <w:jc w:val="both"/>
        <w:rPr>
          <w:rFonts w:eastAsiaTheme="minorHAnsi"/>
          <w:noProof/>
          <w:sz w:val="24"/>
          <w:szCs w:val="24"/>
        </w:rPr>
      </w:pPr>
      <w:r w:rsidRPr="00C64B4C">
        <w:rPr>
          <w:rFonts w:eastAsiaTheme="minorHAnsi"/>
          <w:noProof/>
          <w:sz w:val="24"/>
          <w:szCs w:val="24"/>
        </w:rPr>
        <w:t xml:space="preserve">Some respondents from the </w:t>
      </w:r>
      <w:r w:rsidR="00D241AB" w:rsidRPr="00C64B4C">
        <w:rPr>
          <w:rFonts w:eastAsiaTheme="minorHAnsi"/>
          <w:noProof/>
          <w:sz w:val="24"/>
          <w:szCs w:val="24"/>
        </w:rPr>
        <w:t xml:space="preserve">finance </w:t>
      </w:r>
      <w:r w:rsidRPr="00C64B4C">
        <w:rPr>
          <w:rFonts w:eastAsiaTheme="minorHAnsi"/>
          <w:noProof/>
          <w:sz w:val="24"/>
          <w:szCs w:val="24"/>
        </w:rPr>
        <w:t xml:space="preserve">industry argued that the independence of national supervisors is </w:t>
      </w:r>
      <w:r w:rsidR="00D241AB" w:rsidRPr="00C64B4C">
        <w:rPr>
          <w:rFonts w:eastAsiaTheme="minorHAnsi"/>
          <w:noProof/>
          <w:sz w:val="24"/>
          <w:szCs w:val="24"/>
        </w:rPr>
        <w:t xml:space="preserve">critical for </w:t>
      </w:r>
      <w:r w:rsidRPr="00C64B4C">
        <w:rPr>
          <w:rFonts w:eastAsiaTheme="minorHAnsi"/>
          <w:noProof/>
          <w:sz w:val="24"/>
          <w:szCs w:val="24"/>
        </w:rPr>
        <w:t xml:space="preserve">ensuring the legitimacy and credibility of the supervisory process. A research institute observed that the independence of national supervisory authorities should be regulated uniformly across Europe by introducing amendments to relevant financial legislation. </w:t>
      </w:r>
    </w:p>
    <w:p w14:paraId="251F4601" w14:textId="77777777" w:rsidR="0099786D" w:rsidRPr="00C64B4C" w:rsidRDefault="0099786D" w:rsidP="00557637">
      <w:pPr>
        <w:jc w:val="both"/>
        <w:rPr>
          <w:rFonts w:eastAsiaTheme="minorHAnsi"/>
          <w:noProof/>
          <w:sz w:val="24"/>
          <w:szCs w:val="24"/>
        </w:rPr>
      </w:pPr>
    </w:p>
    <w:p w14:paraId="3BCD5CAB" w14:textId="77777777" w:rsidR="0099786D" w:rsidRPr="00C64B4C" w:rsidRDefault="00B90552" w:rsidP="00557637">
      <w:pPr>
        <w:jc w:val="both"/>
        <w:rPr>
          <w:rFonts w:eastAsiaTheme="minorHAnsi"/>
          <w:noProof/>
          <w:sz w:val="24"/>
          <w:szCs w:val="24"/>
          <w:u w:val="single"/>
        </w:rPr>
      </w:pPr>
      <w:r w:rsidRPr="00C64B4C">
        <w:rPr>
          <w:rFonts w:eastAsiaTheme="minorHAnsi"/>
          <w:noProof/>
          <w:sz w:val="24"/>
          <w:szCs w:val="24"/>
          <w:u w:val="single"/>
        </w:rPr>
        <w:t xml:space="preserve">Assessment of the Commission </w:t>
      </w:r>
    </w:p>
    <w:p w14:paraId="5068F0D3" w14:textId="77777777" w:rsidR="0099786D" w:rsidRPr="00C64B4C" w:rsidRDefault="0099786D" w:rsidP="00557637">
      <w:pPr>
        <w:jc w:val="both"/>
        <w:rPr>
          <w:rFonts w:eastAsiaTheme="minorHAnsi"/>
          <w:noProof/>
          <w:sz w:val="24"/>
          <w:szCs w:val="24"/>
        </w:rPr>
      </w:pPr>
    </w:p>
    <w:p w14:paraId="64EBAD49" w14:textId="77777777" w:rsidR="007130F8" w:rsidRPr="00C64B4C" w:rsidRDefault="0099786D" w:rsidP="00557637">
      <w:pPr>
        <w:jc w:val="both"/>
        <w:rPr>
          <w:rFonts w:eastAsiaTheme="minorHAnsi"/>
          <w:noProof/>
          <w:sz w:val="24"/>
          <w:szCs w:val="24"/>
        </w:rPr>
      </w:pPr>
      <w:r w:rsidRPr="00C64B4C">
        <w:rPr>
          <w:rFonts w:eastAsiaTheme="minorHAnsi"/>
          <w:noProof/>
          <w:sz w:val="24"/>
          <w:szCs w:val="24"/>
        </w:rPr>
        <w:t xml:space="preserve">The Commission </w:t>
      </w:r>
      <w:r w:rsidR="00780975" w:rsidRPr="00C64B4C">
        <w:rPr>
          <w:rFonts w:eastAsiaTheme="minorHAnsi"/>
          <w:noProof/>
          <w:sz w:val="24"/>
          <w:szCs w:val="24"/>
        </w:rPr>
        <w:t xml:space="preserve">agrees that the </w:t>
      </w:r>
      <w:r w:rsidR="00D241AB" w:rsidRPr="00C64B4C">
        <w:rPr>
          <w:rFonts w:eastAsiaTheme="minorHAnsi"/>
          <w:noProof/>
          <w:sz w:val="24"/>
          <w:szCs w:val="24"/>
        </w:rPr>
        <w:t xml:space="preserve">amendments set out in the </w:t>
      </w:r>
      <w:r w:rsidR="00780975" w:rsidRPr="00C64B4C">
        <w:rPr>
          <w:rFonts w:eastAsiaTheme="minorHAnsi"/>
          <w:noProof/>
          <w:sz w:val="24"/>
          <w:szCs w:val="24"/>
        </w:rPr>
        <w:t>20</w:t>
      </w:r>
      <w:r w:rsidR="00C26BFC" w:rsidRPr="00C64B4C">
        <w:rPr>
          <w:rFonts w:eastAsiaTheme="minorHAnsi"/>
          <w:noProof/>
          <w:sz w:val="24"/>
          <w:szCs w:val="24"/>
        </w:rPr>
        <w:t>19</w:t>
      </w:r>
      <w:r w:rsidR="00780975" w:rsidRPr="00C64B4C">
        <w:rPr>
          <w:rFonts w:eastAsiaTheme="minorHAnsi"/>
          <w:noProof/>
          <w:sz w:val="24"/>
          <w:szCs w:val="24"/>
        </w:rPr>
        <w:t xml:space="preserve"> </w:t>
      </w:r>
      <w:r w:rsidR="007F02DC" w:rsidRPr="00C64B4C">
        <w:rPr>
          <w:rFonts w:eastAsiaTheme="minorHAnsi"/>
          <w:noProof/>
          <w:sz w:val="24"/>
          <w:szCs w:val="24"/>
        </w:rPr>
        <w:t xml:space="preserve">ESA review </w:t>
      </w:r>
      <w:r w:rsidR="00780975" w:rsidRPr="00C64B4C">
        <w:rPr>
          <w:rFonts w:eastAsiaTheme="minorHAnsi"/>
          <w:noProof/>
          <w:sz w:val="24"/>
          <w:szCs w:val="24"/>
        </w:rPr>
        <w:t xml:space="preserve">are a step in the right direction and should have a positive </w:t>
      </w:r>
      <w:r w:rsidR="007718CF" w:rsidRPr="00C64B4C">
        <w:rPr>
          <w:rFonts w:eastAsiaTheme="minorHAnsi"/>
          <w:noProof/>
          <w:sz w:val="24"/>
          <w:szCs w:val="24"/>
        </w:rPr>
        <w:t xml:space="preserve">overall </w:t>
      </w:r>
      <w:r w:rsidR="00780975" w:rsidRPr="00C64B4C">
        <w:rPr>
          <w:rFonts w:eastAsiaTheme="minorHAnsi"/>
          <w:noProof/>
          <w:sz w:val="24"/>
          <w:szCs w:val="24"/>
        </w:rPr>
        <w:t xml:space="preserve">impact on the governance of the ESAs. </w:t>
      </w:r>
      <w:r w:rsidR="007718CF" w:rsidRPr="00C64B4C">
        <w:rPr>
          <w:rFonts w:eastAsiaTheme="minorHAnsi"/>
          <w:noProof/>
          <w:sz w:val="24"/>
          <w:szCs w:val="24"/>
        </w:rPr>
        <w:t>But d</w:t>
      </w:r>
      <w:r w:rsidR="00780975" w:rsidRPr="00C64B4C">
        <w:rPr>
          <w:rFonts w:eastAsiaTheme="minorHAnsi"/>
          <w:noProof/>
          <w:sz w:val="24"/>
          <w:szCs w:val="24"/>
        </w:rPr>
        <w:t>espite these changes, the Commission</w:t>
      </w:r>
      <w:r w:rsidR="0054289C" w:rsidRPr="00C64B4C">
        <w:rPr>
          <w:rFonts w:eastAsiaTheme="minorHAnsi"/>
          <w:noProof/>
          <w:sz w:val="24"/>
          <w:szCs w:val="24"/>
        </w:rPr>
        <w:t xml:space="preserve"> </w:t>
      </w:r>
      <w:r w:rsidR="003850F0" w:rsidRPr="00C64B4C">
        <w:rPr>
          <w:rFonts w:eastAsiaTheme="minorHAnsi"/>
          <w:noProof/>
          <w:sz w:val="24"/>
          <w:szCs w:val="24"/>
        </w:rPr>
        <w:t xml:space="preserve">continues to </w:t>
      </w:r>
      <w:r w:rsidR="009F6957" w:rsidRPr="00C64B4C">
        <w:rPr>
          <w:rFonts w:eastAsiaTheme="minorHAnsi"/>
          <w:noProof/>
          <w:sz w:val="24"/>
          <w:szCs w:val="24"/>
        </w:rPr>
        <w:t xml:space="preserve">believe </w:t>
      </w:r>
      <w:r w:rsidRPr="00C64B4C">
        <w:rPr>
          <w:rFonts w:eastAsiaTheme="minorHAnsi"/>
          <w:noProof/>
          <w:sz w:val="24"/>
          <w:szCs w:val="24"/>
        </w:rPr>
        <w:t xml:space="preserve">that the governance system of the ESAs, with decisions being taken by the 27 national supervisors, </w:t>
      </w:r>
      <w:r w:rsidR="007F02DC" w:rsidRPr="00C64B4C">
        <w:rPr>
          <w:rFonts w:eastAsiaTheme="minorHAnsi"/>
          <w:noProof/>
          <w:sz w:val="24"/>
          <w:szCs w:val="24"/>
        </w:rPr>
        <w:t xml:space="preserve">may still give too much prominence to national interests and </w:t>
      </w:r>
      <w:r w:rsidR="009F6957" w:rsidRPr="00C64B4C">
        <w:rPr>
          <w:rFonts w:eastAsiaTheme="minorHAnsi"/>
          <w:noProof/>
          <w:sz w:val="24"/>
          <w:szCs w:val="24"/>
        </w:rPr>
        <w:t xml:space="preserve">occasionally </w:t>
      </w:r>
      <w:r w:rsidR="00543E06" w:rsidRPr="00C64B4C">
        <w:rPr>
          <w:rFonts w:eastAsiaTheme="minorHAnsi"/>
          <w:noProof/>
          <w:sz w:val="24"/>
          <w:szCs w:val="24"/>
        </w:rPr>
        <w:t xml:space="preserve">produce </w:t>
      </w:r>
      <w:r w:rsidR="007F02DC" w:rsidRPr="00C64B4C">
        <w:rPr>
          <w:rFonts w:eastAsiaTheme="minorHAnsi"/>
          <w:noProof/>
          <w:sz w:val="24"/>
          <w:szCs w:val="24"/>
        </w:rPr>
        <w:t xml:space="preserve">sub-optimal </w:t>
      </w:r>
      <w:r w:rsidR="00543E06" w:rsidRPr="00C64B4C">
        <w:rPr>
          <w:rFonts w:eastAsiaTheme="minorHAnsi"/>
          <w:noProof/>
          <w:sz w:val="24"/>
          <w:szCs w:val="24"/>
        </w:rPr>
        <w:t>results</w:t>
      </w:r>
      <w:r w:rsidR="007718CF" w:rsidRPr="00C64B4C">
        <w:rPr>
          <w:rFonts w:eastAsiaTheme="minorHAnsi"/>
          <w:noProof/>
          <w:sz w:val="24"/>
          <w:szCs w:val="24"/>
        </w:rPr>
        <w:t>.</w:t>
      </w:r>
      <w:r w:rsidR="004A2377" w:rsidRPr="00C64B4C">
        <w:rPr>
          <w:rFonts w:eastAsiaTheme="minorHAnsi"/>
          <w:noProof/>
          <w:sz w:val="24"/>
          <w:szCs w:val="24"/>
        </w:rPr>
        <w:t xml:space="preserve"> </w:t>
      </w:r>
      <w:r w:rsidR="007718CF" w:rsidRPr="00C64B4C">
        <w:rPr>
          <w:rFonts w:eastAsiaTheme="minorHAnsi"/>
          <w:noProof/>
          <w:sz w:val="24"/>
          <w:szCs w:val="24"/>
        </w:rPr>
        <w:t>In addition, this governance system sometimes</w:t>
      </w:r>
      <w:r w:rsidRPr="00C64B4C">
        <w:rPr>
          <w:rFonts w:eastAsiaTheme="minorHAnsi"/>
          <w:noProof/>
          <w:sz w:val="24"/>
          <w:szCs w:val="24"/>
        </w:rPr>
        <w:t xml:space="preserve"> </w:t>
      </w:r>
      <w:r w:rsidR="007718CF" w:rsidRPr="00C64B4C">
        <w:rPr>
          <w:rFonts w:eastAsiaTheme="minorHAnsi"/>
          <w:noProof/>
          <w:sz w:val="24"/>
          <w:szCs w:val="24"/>
        </w:rPr>
        <w:t>makes it difficult for the ESAs to use</w:t>
      </w:r>
      <w:r w:rsidRPr="00C64B4C">
        <w:rPr>
          <w:rFonts w:eastAsiaTheme="minorHAnsi"/>
          <w:noProof/>
          <w:sz w:val="24"/>
          <w:szCs w:val="24"/>
        </w:rPr>
        <w:t xml:space="preserve"> the convergence tools at the</w:t>
      </w:r>
      <w:r w:rsidR="007718CF" w:rsidRPr="00C64B4C">
        <w:rPr>
          <w:rFonts w:eastAsiaTheme="minorHAnsi"/>
          <w:noProof/>
          <w:sz w:val="24"/>
          <w:szCs w:val="24"/>
        </w:rPr>
        <w:t>ir</w:t>
      </w:r>
      <w:r w:rsidRPr="00C64B4C">
        <w:rPr>
          <w:rFonts w:eastAsiaTheme="minorHAnsi"/>
          <w:noProof/>
          <w:sz w:val="24"/>
          <w:szCs w:val="24"/>
        </w:rPr>
        <w:t xml:space="preserve"> disposal in the most appropriate way.</w:t>
      </w:r>
      <w:r w:rsidR="00543E06" w:rsidRPr="00C64B4C">
        <w:rPr>
          <w:rFonts w:eastAsiaTheme="minorHAnsi"/>
          <w:noProof/>
          <w:sz w:val="24"/>
          <w:szCs w:val="24"/>
        </w:rPr>
        <w:t xml:space="preserve"> This view is corroborated by the conclusions of the </w:t>
      </w:r>
      <w:r w:rsidR="00DE4345" w:rsidRPr="00C64B4C">
        <w:rPr>
          <w:rFonts w:eastAsiaTheme="minorHAnsi"/>
          <w:noProof/>
          <w:sz w:val="24"/>
          <w:szCs w:val="24"/>
        </w:rPr>
        <w:t>ECA</w:t>
      </w:r>
      <w:r w:rsidR="00543E06" w:rsidRPr="00C64B4C">
        <w:rPr>
          <w:rFonts w:eastAsiaTheme="minorHAnsi"/>
          <w:noProof/>
          <w:sz w:val="24"/>
          <w:szCs w:val="24"/>
        </w:rPr>
        <w:t xml:space="preserve"> </w:t>
      </w:r>
      <w:r w:rsidR="00780975" w:rsidRPr="00C64B4C">
        <w:rPr>
          <w:rFonts w:eastAsiaTheme="minorHAnsi"/>
          <w:noProof/>
          <w:sz w:val="24"/>
          <w:szCs w:val="24"/>
        </w:rPr>
        <w:t xml:space="preserve">and </w:t>
      </w:r>
      <w:r w:rsidR="00B650AB" w:rsidRPr="00C64B4C">
        <w:rPr>
          <w:rFonts w:eastAsiaTheme="minorHAnsi"/>
          <w:noProof/>
          <w:sz w:val="24"/>
          <w:szCs w:val="24"/>
        </w:rPr>
        <w:t xml:space="preserve">supported by </w:t>
      </w:r>
      <w:r w:rsidR="00780975" w:rsidRPr="00C64B4C">
        <w:rPr>
          <w:rFonts w:eastAsiaTheme="minorHAnsi"/>
          <w:noProof/>
          <w:sz w:val="24"/>
          <w:szCs w:val="24"/>
        </w:rPr>
        <w:t>responses in the consultation, particularly from academia</w:t>
      </w:r>
      <w:r w:rsidR="00A76D55" w:rsidRPr="00C64B4C">
        <w:rPr>
          <w:rFonts w:eastAsiaTheme="minorHAnsi"/>
          <w:noProof/>
          <w:sz w:val="24"/>
          <w:szCs w:val="24"/>
        </w:rPr>
        <w:t>, consumer groups</w:t>
      </w:r>
      <w:r w:rsidR="007718CF" w:rsidRPr="00C64B4C">
        <w:rPr>
          <w:rFonts w:eastAsiaTheme="minorHAnsi"/>
          <w:noProof/>
          <w:sz w:val="24"/>
          <w:szCs w:val="24"/>
        </w:rPr>
        <w:t>,</w:t>
      </w:r>
      <w:r w:rsidR="00A76D55" w:rsidRPr="00C64B4C">
        <w:rPr>
          <w:rFonts w:eastAsiaTheme="minorHAnsi"/>
          <w:noProof/>
          <w:sz w:val="24"/>
          <w:szCs w:val="24"/>
        </w:rPr>
        <w:t xml:space="preserve"> and a </w:t>
      </w:r>
      <w:r w:rsidR="000E38DE" w:rsidRPr="00C64B4C">
        <w:rPr>
          <w:rFonts w:eastAsiaTheme="minorHAnsi"/>
          <w:noProof/>
          <w:sz w:val="24"/>
          <w:szCs w:val="24"/>
        </w:rPr>
        <w:t xml:space="preserve">limited </w:t>
      </w:r>
      <w:r w:rsidR="00A76D55" w:rsidRPr="00C64B4C">
        <w:rPr>
          <w:rFonts w:eastAsiaTheme="minorHAnsi"/>
          <w:noProof/>
          <w:sz w:val="24"/>
          <w:szCs w:val="24"/>
        </w:rPr>
        <w:t>number of industry stakeholders and public authorities</w:t>
      </w:r>
      <w:r w:rsidR="00780975" w:rsidRPr="00C64B4C">
        <w:rPr>
          <w:rFonts w:eastAsiaTheme="minorHAnsi"/>
          <w:noProof/>
          <w:sz w:val="24"/>
          <w:szCs w:val="24"/>
        </w:rPr>
        <w:t>.</w:t>
      </w:r>
      <w:r w:rsidR="00543E06" w:rsidRPr="00C64B4C">
        <w:rPr>
          <w:rFonts w:eastAsiaTheme="minorHAnsi"/>
          <w:noProof/>
          <w:sz w:val="24"/>
          <w:szCs w:val="24"/>
        </w:rPr>
        <w:t xml:space="preserve"> </w:t>
      </w:r>
      <w:r w:rsidR="007F02DC" w:rsidRPr="00C64B4C">
        <w:rPr>
          <w:rFonts w:eastAsiaTheme="minorHAnsi"/>
          <w:noProof/>
          <w:sz w:val="24"/>
          <w:szCs w:val="24"/>
        </w:rPr>
        <w:t xml:space="preserve">That said, </w:t>
      </w:r>
      <w:r w:rsidR="00780975" w:rsidRPr="00C64B4C">
        <w:rPr>
          <w:rFonts w:eastAsiaTheme="minorHAnsi"/>
          <w:noProof/>
          <w:sz w:val="24"/>
          <w:szCs w:val="24"/>
        </w:rPr>
        <w:t xml:space="preserve">the Commission </w:t>
      </w:r>
      <w:r w:rsidR="00085388" w:rsidRPr="00C64B4C">
        <w:rPr>
          <w:rFonts w:eastAsiaTheme="minorHAnsi"/>
          <w:noProof/>
          <w:sz w:val="24"/>
          <w:szCs w:val="24"/>
        </w:rPr>
        <w:t xml:space="preserve">considers </w:t>
      </w:r>
      <w:r w:rsidR="00780975" w:rsidRPr="00C64B4C">
        <w:rPr>
          <w:rFonts w:eastAsiaTheme="minorHAnsi"/>
          <w:noProof/>
          <w:sz w:val="24"/>
          <w:szCs w:val="24"/>
        </w:rPr>
        <w:t xml:space="preserve">that not enough time has passed since the </w:t>
      </w:r>
      <w:r w:rsidR="00B650AB" w:rsidRPr="00C64B4C">
        <w:rPr>
          <w:rFonts w:eastAsiaTheme="minorHAnsi"/>
          <w:noProof/>
          <w:sz w:val="24"/>
          <w:szCs w:val="24"/>
        </w:rPr>
        <w:t>latest</w:t>
      </w:r>
      <w:r w:rsidR="00780975" w:rsidRPr="00C64B4C">
        <w:rPr>
          <w:rFonts w:eastAsiaTheme="minorHAnsi"/>
          <w:noProof/>
          <w:sz w:val="24"/>
          <w:szCs w:val="24"/>
        </w:rPr>
        <w:t xml:space="preserve"> changes </w:t>
      </w:r>
      <w:r w:rsidR="007718CF" w:rsidRPr="00C64B4C">
        <w:rPr>
          <w:rFonts w:eastAsiaTheme="minorHAnsi"/>
          <w:noProof/>
          <w:sz w:val="24"/>
          <w:szCs w:val="24"/>
        </w:rPr>
        <w:t xml:space="preserve">began </w:t>
      </w:r>
      <w:r w:rsidR="007F02DC" w:rsidRPr="00C64B4C">
        <w:rPr>
          <w:rFonts w:eastAsiaTheme="minorHAnsi"/>
          <w:noProof/>
          <w:sz w:val="24"/>
          <w:szCs w:val="24"/>
        </w:rPr>
        <w:t>to apply in practice</w:t>
      </w:r>
      <w:r w:rsidR="00085388" w:rsidRPr="00C64B4C">
        <w:rPr>
          <w:rFonts w:eastAsiaTheme="minorHAnsi"/>
          <w:noProof/>
          <w:sz w:val="24"/>
          <w:szCs w:val="24"/>
        </w:rPr>
        <w:t xml:space="preserve"> to determine </w:t>
      </w:r>
      <w:r w:rsidR="00843B8A" w:rsidRPr="00C64B4C">
        <w:rPr>
          <w:rFonts w:eastAsiaTheme="minorHAnsi"/>
          <w:noProof/>
          <w:sz w:val="24"/>
          <w:szCs w:val="24"/>
        </w:rPr>
        <w:t>whether</w:t>
      </w:r>
      <w:r w:rsidR="00DA18A6" w:rsidRPr="00C64B4C">
        <w:rPr>
          <w:rFonts w:eastAsiaTheme="minorHAnsi"/>
          <w:noProof/>
          <w:sz w:val="24"/>
          <w:szCs w:val="24"/>
        </w:rPr>
        <w:t xml:space="preserve"> further amendments are </w:t>
      </w:r>
      <w:r w:rsidR="00B650AB" w:rsidRPr="00C64B4C">
        <w:rPr>
          <w:rFonts w:eastAsiaTheme="minorHAnsi"/>
          <w:noProof/>
          <w:sz w:val="24"/>
          <w:szCs w:val="24"/>
        </w:rPr>
        <w:t>warranted</w:t>
      </w:r>
      <w:r w:rsidR="00DA18A6" w:rsidRPr="00C64B4C">
        <w:rPr>
          <w:rFonts w:eastAsiaTheme="minorHAnsi"/>
          <w:noProof/>
          <w:sz w:val="24"/>
          <w:szCs w:val="24"/>
        </w:rPr>
        <w:t xml:space="preserve">. </w:t>
      </w:r>
      <w:r w:rsidR="00B650AB" w:rsidRPr="00C64B4C">
        <w:rPr>
          <w:rFonts w:eastAsiaTheme="minorHAnsi"/>
          <w:noProof/>
          <w:sz w:val="24"/>
          <w:szCs w:val="24"/>
        </w:rPr>
        <w:t xml:space="preserve">The </w:t>
      </w:r>
      <w:r w:rsidR="009D3539" w:rsidRPr="00C64B4C">
        <w:rPr>
          <w:rFonts w:eastAsiaTheme="minorHAnsi"/>
          <w:noProof/>
          <w:sz w:val="24"/>
          <w:szCs w:val="24"/>
        </w:rPr>
        <w:t xml:space="preserve">consultation feedback </w:t>
      </w:r>
      <w:r w:rsidR="00B650AB" w:rsidRPr="00C64B4C">
        <w:rPr>
          <w:rFonts w:eastAsiaTheme="minorHAnsi"/>
          <w:noProof/>
          <w:sz w:val="24"/>
          <w:szCs w:val="24"/>
        </w:rPr>
        <w:t xml:space="preserve">has clearly shown </w:t>
      </w:r>
      <w:r w:rsidR="009D3539" w:rsidRPr="00C64B4C">
        <w:rPr>
          <w:rFonts w:eastAsiaTheme="minorHAnsi"/>
          <w:noProof/>
          <w:sz w:val="24"/>
          <w:szCs w:val="24"/>
        </w:rPr>
        <w:t xml:space="preserve">that stakeholders </w:t>
      </w:r>
      <w:r w:rsidR="007718CF" w:rsidRPr="00C64B4C">
        <w:rPr>
          <w:rFonts w:eastAsiaTheme="minorHAnsi"/>
          <w:noProof/>
          <w:sz w:val="24"/>
          <w:szCs w:val="24"/>
        </w:rPr>
        <w:t xml:space="preserve">do not overall </w:t>
      </w:r>
      <w:r w:rsidR="009D3539" w:rsidRPr="00C64B4C">
        <w:rPr>
          <w:rFonts w:eastAsiaTheme="minorHAnsi"/>
          <w:noProof/>
          <w:sz w:val="24"/>
          <w:szCs w:val="24"/>
        </w:rPr>
        <w:t xml:space="preserve">currently support further </w:t>
      </w:r>
      <w:r w:rsidR="007F02DC" w:rsidRPr="00C64B4C">
        <w:rPr>
          <w:rFonts w:eastAsiaTheme="minorHAnsi"/>
          <w:noProof/>
          <w:sz w:val="24"/>
          <w:szCs w:val="24"/>
        </w:rPr>
        <w:t xml:space="preserve">legislative </w:t>
      </w:r>
      <w:r w:rsidR="009D3539" w:rsidRPr="00C64B4C">
        <w:rPr>
          <w:rFonts w:eastAsiaTheme="minorHAnsi"/>
          <w:noProof/>
          <w:sz w:val="24"/>
          <w:szCs w:val="24"/>
        </w:rPr>
        <w:t>changes.</w:t>
      </w:r>
      <w:r w:rsidR="008643F0" w:rsidRPr="00C64B4C">
        <w:rPr>
          <w:rFonts w:eastAsiaTheme="minorHAnsi"/>
          <w:noProof/>
          <w:sz w:val="24"/>
          <w:szCs w:val="24"/>
        </w:rPr>
        <w:t xml:space="preserve"> </w:t>
      </w:r>
      <w:r w:rsidR="00B650AB" w:rsidRPr="00C64B4C">
        <w:rPr>
          <w:rFonts w:eastAsiaTheme="minorHAnsi"/>
          <w:noProof/>
          <w:sz w:val="24"/>
          <w:szCs w:val="24"/>
        </w:rPr>
        <w:t xml:space="preserve">Therefore, the Commission </w:t>
      </w:r>
      <w:r w:rsidR="007718CF" w:rsidRPr="00C64B4C">
        <w:rPr>
          <w:rFonts w:eastAsiaTheme="minorHAnsi"/>
          <w:noProof/>
          <w:sz w:val="24"/>
          <w:szCs w:val="24"/>
        </w:rPr>
        <w:t xml:space="preserve">will </w:t>
      </w:r>
      <w:r w:rsidR="00B650AB" w:rsidRPr="00C64B4C">
        <w:rPr>
          <w:rFonts w:eastAsiaTheme="minorHAnsi"/>
          <w:noProof/>
          <w:sz w:val="24"/>
          <w:szCs w:val="24"/>
        </w:rPr>
        <w:t xml:space="preserve">refrain from proposing further changes at this juncture. </w:t>
      </w:r>
      <w:r w:rsidR="007718CF" w:rsidRPr="00C64B4C">
        <w:rPr>
          <w:rFonts w:eastAsiaTheme="minorHAnsi"/>
          <w:noProof/>
          <w:sz w:val="24"/>
          <w:szCs w:val="24"/>
        </w:rPr>
        <w:t>Nevertheless, t</w:t>
      </w:r>
      <w:r w:rsidR="00DA18A6" w:rsidRPr="00C64B4C">
        <w:rPr>
          <w:rFonts w:eastAsiaTheme="minorHAnsi"/>
          <w:noProof/>
          <w:sz w:val="24"/>
          <w:szCs w:val="24"/>
        </w:rPr>
        <w:t>he Commission will monitor closely this key area and consider further measures</w:t>
      </w:r>
      <w:r w:rsidR="007130F8" w:rsidRPr="00C64B4C">
        <w:rPr>
          <w:rFonts w:eastAsiaTheme="minorHAnsi"/>
          <w:noProof/>
          <w:sz w:val="24"/>
          <w:szCs w:val="24"/>
        </w:rPr>
        <w:t xml:space="preserve">. </w:t>
      </w:r>
    </w:p>
    <w:p w14:paraId="4063B32B" w14:textId="77777777" w:rsidR="00CE0066" w:rsidRPr="00C64B4C" w:rsidRDefault="00CE0066" w:rsidP="00557637">
      <w:pPr>
        <w:jc w:val="both"/>
        <w:rPr>
          <w:rFonts w:eastAsiaTheme="minorHAnsi"/>
          <w:noProof/>
          <w:sz w:val="24"/>
          <w:szCs w:val="24"/>
        </w:rPr>
      </w:pPr>
    </w:p>
    <w:p w14:paraId="4BDD56CE" w14:textId="77777777" w:rsidR="00482EB7" w:rsidRPr="00C64B4C" w:rsidRDefault="007F02DC" w:rsidP="00557637">
      <w:pPr>
        <w:jc w:val="both"/>
        <w:rPr>
          <w:rFonts w:eastAsiaTheme="minorHAnsi"/>
          <w:noProof/>
          <w:sz w:val="24"/>
          <w:szCs w:val="24"/>
        </w:rPr>
      </w:pPr>
      <w:r w:rsidRPr="00C64B4C">
        <w:rPr>
          <w:rFonts w:eastAsiaTheme="minorHAnsi"/>
          <w:noProof/>
          <w:sz w:val="24"/>
          <w:szCs w:val="24"/>
        </w:rPr>
        <w:t xml:space="preserve">Based </w:t>
      </w:r>
      <w:r w:rsidR="00B650AB" w:rsidRPr="00C64B4C">
        <w:rPr>
          <w:rFonts w:eastAsiaTheme="minorHAnsi"/>
          <w:noProof/>
          <w:sz w:val="24"/>
          <w:szCs w:val="24"/>
        </w:rPr>
        <w:t>on suggestions f</w:t>
      </w:r>
      <w:r w:rsidR="00BB7B67" w:rsidRPr="00C64B4C">
        <w:rPr>
          <w:rFonts w:eastAsiaTheme="minorHAnsi"/>
          <w:noProof/>
          <w:sz w:val="24"/>
          <w:szCs w:val="24"/>
        </w:rPr>
        <w:t>r</w:t>
      </w:r>
      <w:r w:rsidR="00B650AB" w:rsidRPr="00C64B4C">
        <w:rPr>
          <w:rFonts w:eastAsiaTheme="minorHAnsi"/>
          <w:noProof/>
          <w:sz w:val="24"/>
          <w:szCs w:val="24"/>
        </w:rPr>
        <w:t xml:space="preserve">om the consultation, the Commission will also consider </w:t>
      </w:r>
      <w:r w:rsidR="00A85D45" w:rsidRPr="00C64B4C">
        <w:rPr>
          <w:rFonts w:eastAsiaTheme="minorHAnsi"/>
          <w:noProof/>
          <w:sz w:val="24"/>
          <w:szCs w:val="24"/>
        </w:rPr>
        <w:t xml:space="preserve">the need for </w:t>
      </w:r>
      <w:r w:rsidR="00B650AB" w:rsidRPr="00C64B4C">
        <w:rPr>
          <w:rFonts w:eastAsiaTheme="minorHAnsi"/>
          <w:noProof/>
          <w:sz w:val="24"/>
          <w:szCs w:val="24"/>
        </w:rPr>
        <w:t xml:space="preserve">a targeted change </w:t>
      </w:r>
      <w:r w:rsidR="000F37E7" w:rsidRPr="00C64B4C">
        <w:rPr>
          <w:rFonts w:eastAsiaTheme="minorHAnsi"/>
          <w:noProof/>
          <w:sz w:val="24"/>
          <w:szCs w:val="24"/>
        </w:rPr>
        <w:t xml:space="preserve">to governance of </w:t>
      </w:r>
      <w:r w:rsidR="00B650AB" w:rsidRPr="00C64B4C">
        <w:rPr>
          <w:rFonts w:eastAsiaTheme="minorHAnsi"/>
          <w:noProof/>
          <w:sz w:val="24"/>
          <w:szCs w:val="24"/>
        </w:rPr>
        <w:t>the EBA in order to ensure a more consistent separation of its resolution and pru</w:t>
      </w:r>
      <w:r w:rsidR="000E38DE" w:rsidRPr="00C64B4C">
        <w:rPr>
          <w:rFonts w:eastAsiaTheme="minorHAnsi"/>
          <w:noProof/>
          <w:sz w:val="24"/>
          <w:szCs w:val="24"/>
        </w:rPr>
        <w:t>dential functions. Furthermore, the Commission will consider introducing standards for independence in future reviews of sector legislation.</w:t>
      </w:r>
      <w:r w:rsidR="00482EB7" w:rsidRPr="00C64B4C">
        <w:rPr>
          <w:rFonts w:eastAsiaTheme="minorHAnsi"/>
          <w:noProof/>
          <w:sz w:val="24"/>
          <w:szCs w:val="24"/>
        </w:rPr>
        <w:t xml:space="preserve"> In this spirit, the Commission has already proposed operational provisions on the principle of independence of competent authorities in the banking package</w:t>
      </w:r>
      <w:r w:rsidRPr="00C64B4C">
        <w:rPr>
          <w:rFonts w:eastAsiaTheme="minorHAnsi"/>
          <w:noProof/>
          <w:sz w:val="24"/>
          <w:szCs w:val="24"/>
        </w:rPr>
        <w:t xml:space="preserve"> adopted in October 2021</w:t>
      </w:r>
      <w:r w:rsidR="00557637" w:rsidRPr="00C64B4C">
        <w:rPr>
          <w:rStyle w:val="FootnoteReference"/>
          <w:rFonts w:eastAsiaTheme="minorHAnsi"/>
          <w:noProof/>
          <w:sz w:val="24"/>
          <w:szCs w:val="24"/>
        </w:rPr>
        <w:footnoteReference w:id="31"/>
      </w:r>
      <w:r w:rsidR="00482EB7" w:rsidRPr="00C64B4C">
        <w:rPr>
          <w:rFonts w:eastAsiaTheme="minorHAnsi"/>
          <w:noProof/>
          <w:sz w:val="24"/>
          <w:szCs w:val="24"/>
        </w:rPr>
        <w:t>.</w:t>
      </w:r>
    </w:p>
    <w:p w14:paraId="0558030B" w14:textId="77777777" w:rsidR="00DE15BD" w:rsidRPr="00C64B4C" w:rsidRDefault="00DE15BD" w:rsidP="00557637">
      <w:pPr>
        <w:jc w:val="both"/>
        <w:rPr>
          <w:rFonts w:eastAsiaTheme="minorHAnsi"/>
          <w:noProof/>
          <w:sz w:val="24"/>
          <w:szCs w:val="24"/>
        </w:rPr>
      </w:pPr>
    </w:p>
    <w:p w14:paraId="1C79672F" w14:textId="77777777" w:rsidR="00A57AB1" w:rsidRPr="00C64B4C" w:rsidRDefault="00DE715E" w:rsidP="00557637">
      <w:pPr>
        <w:jc w:val="both"/>
        <w:rPr>
          <w:rFonts w:eastAsiaTheme="minorHAnsi"/>
          <w:noProof/>
          <w:sz w:val="24"/>
          <w:szCs w:val="24"/>
        </w:rPr>
      </w:pPr>
      <w:r w:rsidRPr="00C64B4C">
        <w:rPr>
          <w:rFonts w:eastAsiaTheme="minorHAnsi"/>
          <w:noProof/>
          <w:sz w:val="24"/>
          <w:szCs w:val="24"/>
        </w:rPr>
        <w:t>Additi</w:t>
      </w:r>
      <w:r w:rsidR="00B650AB" w:rsidRPr="00C64B4C">
        <w:rPr>
          <w:rFonts w:eastAsiaTheme="minorHAnsi"/>
          <w:noProof/>
          <w:sz w:val="24"/>
          <w:szCs w:val="24"/>
        </w:rPr>
        <w:t>onally, s</w:t>
      </w:r>
      <w:r w:rsidR="00823867" w:rsidRPr="00C64B4C">
        <w:rPr>
          <w:rFonts w:eastAsiaTheme="minorHAnsi"/>
          <w:noProof/>
          <w:sz w:val="24"/>
          <w:szCs w:val="24"/>
        </w:rPr>
        <w:t>ome</w:t>
      </w:r>
      <w:r w:rsidR="00A57AB1" w:rsidRPr="00C64B4C">
        <w:rPr>
          <w:rFonts w:eastAsiaTheme="minorHAnsi"/>
          <w:noProof/>
          <w:sz w:val="24"/>
          <w:szCs w:val="24"/>
        </w:rPr>
        <w:t xml:space="preserve"> improvements</w:t>
      </w:r>
      <w:r w:rsidR="001D68A7" w:rsidRPr="00C64B4C">
        <w:rPr>
          <w:rFonts w:eastAsiaTheme="minorHAnsi"/>
          <w:noProof/>
          <w:sz w:val="24"/>
          <w:szCs w:val="24"/>
        </w:rPr>
        <w:t xml:space="preserve"> suggested by stakeholders in the consul</w:t>
      </w:r>
      <w:r w:rsidRPr="00C64B4C">
        <w:rPr>
          <w:rFonts w:eastAsiaTheme="minorHAnsi"/>
          <w:noProof/>
          <w:sz w:val="24"/>
          <w:szCs w:val="24"/>
        </w:rPr>
        <w:t>t</w:t>
      </w:r>
      <w:r w:rsidR="001D68A7" w:rsidRPr="00C64B4C">
        <w:rPr>
          <w:rFonts w:eastAsiaTheme="minorHAnsi"/>
          <w:noProof/>
          <w:sz w:val="24"/>
          <w:szCs w:val="24"/>
        </w:rPr>
        <w:t>ation</w:t>
      </w:r>
      <w:r w:rsidR="00823867" w:rsidRPr="00C64B4C">
        <w:rPr>
          <w:rFonts w:eastAsiaTheme="minorHAnsi"/>
          <w:noProof/>
          <w:sz w:val="24"/>
          <w:szCs w:val="24"/>
        </w:rPr>
        <w:t xml:space="preserve"> </w:t>
      </w:r>
      <w:r w:rsidR="00A57AB1" w:rsidRPr="00C64B4C">
        <w:rPr>
          <w:rFonts w:eastAsiaTheme="minorHAnsi"/>
          <w:noProof/>
          <w:sz w:val="24"/>
          <w:szCs w:val="24"/>
        </w:rPr>
        <w:t xml:space="preserve">can be implemented </w:t>
      </w:r>
      <w:r w:rsidR="0011097D" w:rsidRPr="00C64B4C">
        <w:rPr>
          <w:rFonts w:eastAsiaTheme="minorHAnsi"/>
          <w:noProof/>
          <w:sz w:val="24"/>
          <w:szCs w:val="24"/>
        </w:rPr>
        <w:t xml:space="preserve">rather quickly </w:t>
      </w:r>
      <w:r w:rsidR="00A57AB1" w:rsidRPr="00C64B4C">
        <w:rPr>
          <w:rFonts w:eastAsiaTheme="minorHAnsi"/>
          <w:noProof/>
          <w:sz w:val="24"/>
          <w:szCs w:val="24"/>
        </w:rPr>
        <w:t>by the ESAs</w:t>
      </w:r>
      <w:r w:rsidR="001D68A7" w:rsidRPr="00C64B4C">
        <w:rPr>
          <w:rFonts w:eastAsiaTheme="minorHAnsi"/>
          <w:noProof/>
          <w:sz w:val="24"/>
          <w:szCs w:val="24"/>
        </w:rPr>
        <w:t xml:space="preserve">. The Commission invites the ESAs to reflect </w:t>
      </w:r>
      <w:r w:rsidR="0011097D" w:rsidRPr="00C64B4C">
        <w:rPr>
          <w:rFonts w:eastAsiaTheme="minorHAnsi"/>
          <w:noProof/>
          <w:sz w:val="24"/>
          <w:szCs w:val="24"/>
        </w:rPr>
        <w:t xml:space="preserve">on </w:t>
      </w:r>
      <w:r w:rsidR="00B650AB" w:rsidRPr="00C64B4C">
        <w:rPr>
          <w:rFonts w:eastAsiaTheme="minorHAnsi"/>
          <w:noProof/>
          <w:sz w:val="24"/>
          <w:szCs w:val="24"/>
        </w:rPr>
        <w:t xml:space="preserve">the following </w:t>
      </w:r>
      <w:r w:rsidR="007C2DB8" w:rsidRPr="00C64B4C">
        <w:rPr>
          <w:rFonts w:eastAsiaTheme="minorHAnsi"/>
          <w:noProof/>
          <w:sz w:val="24"/>
          <w:szCs w:val="24"/>
        </w:rPr>
        <w:t>suggestions</w:t>
      </w:r>
      <w:r w:rsidR="000F37E7" w:rsidRPr="00C64B4C">
        <w:rPr>
          <w:rFonts w:eastAsiaTheme="minorHAnsi"/>
          <w:noProof/>
          <w:sz w:val="24"/>
          <w:szCs w:val="24"/>
        </w:rPr>
        <w:t>.</w:t>
      </w:r>
    </w:p>
    <w:p w14:paraId="787833AA" w14:textId="77777777" w:rsidR="00A57AB1" w:rsidRPr="00C64B4C" w:rsidRDefault="00A57AB1" w:rsidP="00557637">
      <w:pPr>
        <w:jc w:val="both"/>
        <w:rPr>
          <w:rFonts w:eastAsiaTheme="minorHAnsi"/>
          <w:noProof/>
          <w:sz w:val="24"/>
          <w:szCs w:val="24"/>
        </w:rPr>
      </w:pPr>
    </w:p>
    <w:p w14:paraId="3662E670" w14:textId="6667A82A" w:rsidR="00AC07A1" w:rsidRPr="00C64B4C" w:rsidRDefault="000F37E7" w:rsidP="00557637">
      <w:pPr>
        <w:pStyle w:val="ListParagraph"/>
        <w:numPr>
          <w:ilvl w:val="0"/>
          <w:numId w:val="16"/>
        </w:numPr>
        <w:jc w:val="both"/>
        <w:rPr>
          <w:rFonts w:ascii="Times New Roman" w:hAnsi="Times New Roman" w:cs="Times New Roman"/>
          <w:noProof/>
          <w:sz w:val="24"/>
          <w:szCs w:val="24"/>
        </w:rPr>
      </w:pPr>
      <w:r w:rsidRPr="00C64B4C">
        <w:rPr>
          <w:rFonts w:ascii="Times New Roman" w:hAnsi="Times New Roman" w:cs="Times New Roman"/>
          <w:noProof/>
          <w:sz w:val="24"/>
          <w:szCs w:val="24"/>
        </w:rPr>
        <w:t>The ESAs should i</w:t>
      </w:r>
      <w:r w:rsidR="00A57AB1" w:rsidRPr="00C64B4C">
        <w:rPr>
          <w:rFonts w:ascii="Times New Roman" w:hAnsi="Times New Roman" w:cs="Times New Roman"/>
          <w:noProof/>
          <w:sz w:val="24"/>
          <w:szCs w:val="24"/>
        </w:rPr>
        <w:t xml:space="preserve">mprove transparency </w:t>
      </w:r>
      <w:r w:rsidR="0011097D" w:rsidRPr="00C64B4C">
        <w:rPr>
          <w:rFonts w:ascii="Times New Roman" w:hAnsi="Times New Roman" w:cs="Times New Roman"/>
          <w:noProof/>
          <w:sz w:val="24"/>
          <w:szCs w:val="24"/>
        </w:rPr>
        <w:t xml:space="preserve">on </w:t>
      </w:r>
      <w:r w:rsidR="00A57AB1" w:rsidRPr="00C64B4C">
        <w:rPr>
          <w:rFonts w:ascii="Times New Roman" w:hAnsi="Times New Roman" w:cs="Times New Roman"/>
          <w:noProof/>
          <w:sz w:val="24"/>
          <w:szCs w:val="24"/>
        </w:rPr>
        <w:t xml:space="preserve">the timing and content of </w:t>
      </w:r>
      <w:r w:rsidRPr="00C64B4C">
        <w:rPr>
          <w:rFonts w:ascii="Times New Roman" w:hAnsi="Times New Roman" w:cs="Times New Roman"/>
          <w:noProof/>
          <w:sz w:val="24"/>
          <w:szCs w:val="24"/>
        </w:rPr>
        <w:t xml:space="preserve">decisions by </w:t>
      </w:r>
      <w:r w:rsidR="0011097D" w:rsidRPr="00C64B4C">
        <w:rPr>
          <w:rFonts w:ascii="Times New Roman" w:hAnsi="Times New Roman" w:cs="Times New Roman"/>
          <w:noProof/>
          <w:sz w:val="24"/>
          <w:szCs w:val="24"/>
        </w:rPr>
        <w:t xml:space="preserve">the </w:t>
      </w:r>
      <w:r w:rsidR="000144CE">
        <w:rPr>
          <w:rFonts w:ascii="Times New Roman" w:hAnsi="Times New Roman" w:cs="Times New Roman"/>
          <w:noProof/>
          <w:sz w:val="24"/>
          <w:szCs w:val="24"/>
        </w:rPr>
        <w:t>B</w:t>
      </w:r>
      <w:r w:rsidR="00A57AB1" w:rsidRPr="00C64B4C">
        <w:rPr>
          <w:rFonts w:ascii="Times New Roman" w:hAnsi="Times New Roman" w:cs="Times New Roman"/>
          <w:noProof/>
          <w:sz w:val="24"/>
          <w:szCs w:val="24"/>
        </w:rPr>
        <w:t xml:space="preserve">oard of </w:t>
      </w:r>
      <w:r w:rsidR="000144CE">
        <w:rPr>
          <w:rFonts w:ascii="Times New Roman" w:hAnsi="Times New Roman" w:cs="Times New Roman"/>
          <w:noProof/>
          <w:sz w:val="24"/>
          <w:szCs w:val="24"/>
        </w:rPr>
        <w:t>S</w:t>
      </w:r>
      <w:r w:rsidR="00A57AB1" w:rsidRPr="00C64B4C">
        <w:rPr>
          <w:rFonts w:ascii="Times New Roman" w:hAnsi="Times New Roman" w:cs="Times New Roman"/>
          <w:noProof/>
          <w:sz w:val="24"/>
          <w:szCs w:val="24"/>
        </w:rPr>
        <w:t xml:space="preserve">upervisors </w:t>
      </w:r>
      <w:r w:rsidR="007062F7" w:rsidRPr="00C64B4C">
        <w:rPr>
          <w:rFonts w:ascii="Times New Roman" w:hAnsi="Times New Roman" w:cs="Times New Roman"/>
          <w:noProof/>
          <w:sz w:val="24"/>
          <w:szCs w:val="24"/>
        </w:rPr>
        <w:t xml:space="preserve">by publishing the </w:t>
      </w:r>
      <w:r w:rsidR="00971846" w:rsidRPr="00C64B4C">
        <w:rPr>
          <w:rFonts w:ascii="Times New Roman" w:hAnsi="Times New Roman" w:cs="Times New Roman"/>
          <w:noProof/>
          <w:sz w:val="24"/>
          <w:szCs w:val="24"/>
        </w:rPr>
        <w:t>part of the</w:t>
      </w:r>
      <w:r w:rsidR="007C2DB8" w:rsidRPr="00C64B4C">
        <w:rPr>
          <w:rFonts w:ascii="Times New Roman" w:hAnsi="Times New Roman" w:cs="Times New Roman"/>
          <w:noProof/>
          <w:sz w:val="24"/>
          <w:szCs w:val="24"/>
        </w:rPr>
        <w:t>ir</w:t>
      </w:r>
      <w:r w:rsidR="00971846" w:rsidRPr="00C64B4C">
        <w:rPr>
          <w:rFonts w:ascii="Times New Roman" w:hAnsi="Times New Roman" w:cs="Times New Roman"/>
          <w:noProof/>
          <w:sz w:val="24"/>
          <w:szCs w:val="24"/>
        </w:rPr>
        <w:t xml:space="preserve"> </w:t>
      </w:r>
      <w:r w:rsidR="007062F7" w:rsidRPr="00C64B4C">
        <w:rPr>
          <w:rFonts w:ascii="Times New Roman" w:hAnsi="Times New Roman" w:cs="Times New Roman"/>
          <w:noProof/>
          <w:sz w:val="24"/>
          <w:szCs w:val="24"/>
        </w:rPr>
        <w:t>agendas</w:t>
      </w:r>
      <w:r w:rsidR="00971846" w:rsidRPr="00C64B4C">
        <w:rPr>
          <w:rFonts w:ascii="Times New Roman" w:hAnsi="Times New Roman" w:cs="Times New Roman"/>
          <w:noProof/>
          <w:sz w:val="24"/>
          <w:szCs w:val="24"/>
        </w:rPr>
        <w:t xml:space="preserve"> which concern regulatory </w:t>
      </w:r>
      <w:r w:rsidR="009733A8" w:rsidRPr="00C64B4C">
        <w:rPr>
          <w:rFonts w:ascii="Times New Roman" w:hAnsi="Times New Roman" w:cs="Times New Roman"/>
          <w:noProof/>
          <w:sz w:val="24"/>
          <w:szCs w:val="24"/>
        </w:rPr>
        <w:t>items</w:t>
      </w:r>
      <w:r w:rsidR="007062F7" w:rsidRPr="00C64B4C">
        <w:rPr>
          <w:rFonts w:ascii="Times New Roman" w:hAnsi="Times New Roman" w:cs="Times New Roman"/>
          <w:noProof/>
          <w:sz w:val="24"/>
          <w:szCs w:val="24"/>
        </w:rPr>
        <w:t xml:space="preserve">. For </w:t>
      </w:r>
      <w:r w:rsidR="00A57AB1" w:rsidRPr="00C64B4C">
        <w:rPr>
          <w:rFonts w:ascii="Times New Roman" w:hAnsi="Times New Roman" w:cs="Times New Roman"/>
          <w:noProof/>
          <w:sz w:val="24"/>
          <w:szCs w:val="24"/>
        </w:rPr>
        <w:t xml:space="preserve">regulatory </w:t>
      </w:r>
      <w:r w:rsidR="0011097D" w:rsidRPr="00C64B4C">
        <w:rPr>
          <w:rFonts w:ascii="Times New Roman" w:hAnsi="Times New Roman" w:cs="Times New Roman"/>
          <w:noProof/>
          <w:sz w:val="24"/>
          <w:szCs w:val="24"/>
        </w:rPr>
        <w:t>matters</w:t>
      </w:r>
      <w:r w:rsidR="00A57AB1" w:rsidRPr="00C64B4C">
        <w:rPr>
          <w:rFonts w:ascii="Times New Roman" w:hAnsi="Times New Roman" w:cs="Times New Roman"/>
          <w:noProof/>
          <w:sz w:val="24"/>
          <w:szCs w:val="24"/>
        </w:rPr>
        <w:t xml:space="preserve">, </w:t>
      </w:r>
      <w:r w:rsidR="00BF0585" w:rsidRPr="00C64B4C">
        <w:rPr>
          <w:rFonts w:ascii="Times New Roman" w:hAnsi="Times New Roman" w:cs="Times New Roman"/>
          <w:noProof/>
          <w:sz w:val="24"/>
          <w:szCs w:val="24"/>
        </w:rPr>
        <w:t xml:space="preserve">a tentative planning </w:t>
      </w:r>
      <w:r w:rsidR="0005347A" w:rsidRPr="00C64B4C">
        <w:rPr>
          <w:rFonts w:ascii="Times New Roman" w:hAnsi="Times New Roman" w:cs="Times New Roman"/>
          <w:noProof/>
          <w:sz w:val="24"/>
          <w:szCs w:val="24"/>
        </w:rPr>
        <w:t xml:space="preserve">calendar </w:t>
      </w:r>
      <w:r w:rsidR="007062F7" w:rsidRPr="00C64B4C">
        <w:rPr>
          <w:rFonts w:ascii="Times New Roman" w:hAnsi="Times New Roman" w:cs="Times New Roman"/>
          <w:noProof/>
          <w:sz w:val="24"/>
          <w:szCs w:val="24"/>
        </w:rPr>
        <w:t>could be published</w:t>
      </w:r>
      <w:r w:rsidR="00BF0585" w:rsidRPr="00C64B4C">
        <w:rPr>
          <w:rFonts w:ascii="Times New Roman" w:hAnsi="Times New Roman" w:cs="Times New Roman"/>
          <w:noProof/>
          <w:sz w:val="24"/>
          <w:szCs w:val="24"/>
        </w:rPr>
        <w:t xml:space="preserve"> </w:t>
      </w:r>
      <w:r w:rsidR="0005347A" w:rsidRPr="00C64B4C">
        <w:rPr>
          <w:rFonts w:ascii="Times New Roman" w:hAnsi="Times New Roman" w:cs="Times New Roman"/>
          <w:noProof/>
          <w:sz w:val="24"/>
          <w:szCs w:val="24"/>
        </w:rPr>
        <w:t>every 6 months</w:t>
      </w:r>
      <w:r w:rsidR="007062F7" w:rsidRPr="00C64B4C">
        <w:rPr>
          <w:rFonts w:ascii="Times New Roman" w:hAnsi="Times New Roman" w:cs="Times New Roman"/>
          <w:noProof/>
          <w:sz w:val="24"/>
          <w:szCs w:val="24"/>
        </w:rPr>
        <w:t>, so that stakeholders can anticipate consultations</w:t>
      </w:r>
      <w:r w:rsidR="00A57AB1" w:rsidRPr="00C64B4C">
        <w:rPr>
          <w:rFonts w:ascii="Times New Roman" w:hAnsi="Times New Roman" w:cs="Times New Roman"/>
          <w:noProof/>
          <w:sz w:val="24"/>
          <w:szCs w:val="24"/>
        </w:rPr>
        <w:t>.</w:t>
      </w:r>
    </w:p>
    <w:p w14:paraId="0B2F1CE6" w14:textId="77777777" w:rsidR="00A57AB1" w:rsidRPr="00C64B4C" w:rsidRDefault="00A57AB1" w:rsidP="00557637">
      <w:pPr>
        <w:jc w:val="both"/>
        <w:rPr>
          <w:rFonts w:eastAsiaTheme="minorHAnsi"/>
          <w:noProof/>
          <w:sz w:val="24"/>
          <w:szCs w:val="24"/>
        </w:rPr>
      </w:pPr>
    </w:p>
    <w:p w14:paraId="29745E9A" w14:textId="77777777" w:rsidR="00A105C9" w:rsidRPr="00C64B4C" w:rsidRDefault="00B65FE5" w:rsidP="00557637">
      <w:pPr>
        <w:pStyle w:val="ListParagraph"/>
        <w:numPr>
          <w:ilvl w:val="0"/>
          <w:numId w:val="16"/>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Where this is not </w:t>
      </w:r>
      <w:r w:rsidR="0005347A" w:rsidRPr="00C64B4C">
        <w:rPr>
          <w:rFonts w:ascii="Times New Roman" w:hAnsi="Times New Roman" w:cs="Times New Roman"/>
          <w:noProof/>
          <w:sz w:val="24"/>
          <w:szCs w:val="24"/>
        </w:rPr>
        <w:t xml:space="preserve">already </w:t>
      </w:r>
      <w:r w:rsidRPr="00C64B4C">
        <w:rPr>
          <w:rFonts w:ascii="Times New Roman" w:hAnsi="Times New Roman" w:cs="Times New Roman"/>
          <w:noProof/>
          <w:sz w:val="24"/>
          <w:szCs w:val="24"/>
        </w:rPr>
        <w:t>the case, t</w:t>
      </w:r>
      <w:r w:rsidR="00A105C9" w:rsidRPr="00C64B4C">
        <w:rPr>
          <w:rFonts w:ascii="Times New Roman" w:hAnsi="Times New Roman" w:cs="Times New Roman"/>
          <w:noProof/>
          <w:sz w:val="24"/>
          <w:szCs w:val="24"/>
        </w:rPr>
        <w:t xml:space="preserve">he ESAs could </w:t>
      </w:r>
      <w:r w:rsidR="0000133D" w:rsidRPr="00C64B4C">
        <w:rPr>
          <w:rFonts w:ascii="Times New Roman" w:hAnsi="Times New Roman" w:cs="Times New Roman"/>
          <w:noProof/>
          <w:sz w:val="24"/>
          <w:szCs w:val="24"/>
        </w:rPr>
        <w:t xml:space="preserve">further </w:t>
      </w:r>
      <w:r w:rsidR="00A105C9" w:rsidRPr="00C64B4C">
        <w:rPr>
          <w:rFonts w:ascii="Times New Roman" w:hAnsi="Times New Roman" w:cs="Times New Roman"/>
          <w:noProof/>
          <w:sz w:val="24"/>
          <w:szCs w:val="24"/>
        </w:rPr>
        <w:t xml:space="preserve">increase their interaction with stakeholders </w:t>
      </w:r>
      <w:r w:rsidR="00B90552" w:rsidRPr="00C64B4C">
        <w:rPr>
          <w:rFonts w:ascii="Times New Roman" w:hAnsi="Times New Roman" w:cs="Times New Roman"/>
          <w:noProof/>
          <w:sz w:val="24"/>
          <w:szCs w:val="24"/>
        </w:rPr>
        <w:t>by</w:t>
      </w:r>
      <w:r w:rsidRPr="00C64B4C">
        <w:rPr>
          <w:rFonts w:ascii="Times New Roman" w:hAnsi="Times New Roman" w:cs="Times New Roman"/>
          <w:noProof/>
          <w:sz w:val="24"/>
          <w:szCs w:val="24"/>
        </w:rPr>
        <w:t xml:space="preserve"> </w:t>
      </w:r>
      <w:r w:rsidR="00781674" w:rsidRPr="00C64B4C">
        <w:rPr>
          <w:rFonts w:ascii="Times New Roman" w:hAnsi="Times New Roman" w:cs="Times New Roman"/>
          <w:noProof/>
          <w:sz w:val="24"/>
          <w:szCs w:val="24"/>
        </w:rPr>
        <w:t xml:space="preserve">engaging </w:t>
      </w:r>
      <w:r w:rsidR="0089184F" w:rsidRPr="00C64B4C">
        <w:rPr>
          <w:rFonts w:ascii="Times New Roman" w:hAnsi="Times New Roman" w:cs="Times New Roman"/>
          <w:noProof/>
          <w:sz w:val="24"/>
          <w:szCs w:val="24"/>
        </w:rPr>
        <w:t xml:space="preserve">more </w:t>
      </w:r>
      <w:r w:rsidR="00781674" w:rsidRPr="00C64B4C">
        <w:rPr>
          <w:rFonts w:ascii="Times New Roman" w:hAnsi="Times New Roman" w:cs="Times New Roman"/>
          <w:noProof/>
          <w:sz w:val="24"/>
          <w:szCs w:val="24"/>
        </w:rPr>
        <w:t>in an ongoing dialogue with</w:t>
      </w:r>
      <w:r w:rsidRPr="00C64B4C">
        <w:rPr>
          <w:rFonts w:ascii="Times New Roman" w:hAnsi="Times New Roman" w:cs="Times New Roman"/>
          <w:noProof/>
          <w:sz w:val="24"/>
          <w:szCs w:val="24"/>
        </w:rPr>
        <w:t xml:space="preserve"> stakeholders</w:t>
      </w:r>
      <w:r w:rsidR="00E61FA7" w:rsidRPr="00C64B4C">
        <w:rPr>
          <w:rFonts w:ascii="Times New Roman" w:hAnsi="Times New Roman" w:cs="Times New Roman"/>
          <w:noProof/>
          <w:sz w:val="24"/>
          <w:szCs w:val="24"/>
        </w:rPr>
        <w:t xml:space="preserve">, beyond what </w:t>
      </w:r>
      <w:r w:rsidR="0005347A" w:rsidRPr="00C64B4C">
        <w:rPr>
          <w:rFonts w:ascii="Times New Roman" w:hAnsi="Times New Roman" w:cs="Times New Roman"/>
          <w:noProof/>
          <w:sz w:val="24"/>
          <w:szCs w:val="24"/>
        </w:rPr>
        <w:t xml:space="preserve">already </w:t>
      </w:r>
      <w:r w:rsidR="00E61FA7" w:rsidRPr="00C64B4C">
        <w:rPr>
          <w:rFonts w:ascii="Times New Roman" w:hAnsi="Times New Roman" w:cs="Times New Roman"/>
          <w:noProof/>
          <w:sz w:val="24"/>
          <w:szCs w:val="24"/>
        </w:rPr>
        <w:t>happen</w:t>
      </w:r>
      <w:r w:rsidR="0005347A" w:rsidRPr="00C64B4C">
        <w:rPr>
          <w:rFonts w:ascii="Times New Roman" w:hAnsi="Times New Roman" w:cs="Times New Roman"/>
          <w:noProof/>
          <w:sz w:val="24"/>
          <w:szCs w:val="24"/>
        </w:rPr>
        <w:t>s</w:t>
      </w:r>
      <w:r w:rsidR="00E61FA7" w:rsidRPr="00C64B4C">
        <w:rPr>
          <w:rFonts w:ascii="Times New Roman" w:hAnsi="Times New Roman" w:cs="Times New Roman"/>
          <w:noProof/>
          <w:sz w:val="24"/>
          <w:szCs w:val="24"/>
        </w:rPr>
        <w:t xml:space="preserve"> with the </w:t>
      </w:r>
      <w:r w:rsidR="0005347A" w:rsidRPr="00C64B4C">
        <w:rPr>
          <w:rFonts w:ascii="Times New Roman" w:hAnsi="Times New Roman" w:cs="Times New Roman"/>
          <w:noProof/>
          <w:sz w:val="24"/>
          <w:szCs w:val="24"/>
        </w:rPr>
        <w:t>s</w:t>
      </w:r>
      <w:r w:rsidR="00E61FA7" w:rsidRPr="00C64B4C">
        <w:rPr>
          <w:rFonts w:ascii="Times New Roman" w:hAnsi="Times New Roman" w:cs="Times New Roman"/>
          <w:noProof/>
          <w:sz w:val="24"/>
          <w:szCs w:val="24"/>
        </w:rPr>
        <w:t xml:space="preserve">takeholder </w:t>
      </w:r>
      <w:r w:rsidR="0005347A" w:rsidRPr="00C64B4C">
        <w:rPr>
          <w:rFonts w:ascii="Times New Roman" w:hAnsi="Times New Roman" w:cs="Times New Roman"/>
          <w:noProof/>
          <w:sz w:val="24"/>
          <w:szCs w:val="24"/>
        </w:rPr>
        <w:t>g</w:t>
      </w:r>
      <w:r w:rsidR="00E61FA7" w:rsidRPr="00C64B4C">
        <w:rPr>
          <w:rFonts w:ascii="Times New Roman" w:hAnsi="Times New Roman" w:cs="Times New Roman"/>
          <w:noProof/>
          <w:sz w:val="24"/>
          <w:szCs w:val="24"/>
        </w:rPr>
        <w:t>roups</w:t>
      </w:r>
      <w:r w:rsidR="00A105C9" w:rsidRPr="00C64B4C">
        <w:rPr>
          <w:rFonts w:ascii="Times New Roman" w:hAnsi="Times New Roman" w:cs="Times New Roman"/>
          <w:noProof/>
          <w:sz w:val="24"/>
          <w:szCs w:val="24"/>
        </w:rPr>
        <w:t xml:space="preserve">. </w:t>
      </w:r>
    </w:p>
    <w:p w14:paraId="705DF283" w14:textId="77777777" w:rsidR="00781674" w:rsidRPr="00C64B4C" w:rsidRDefault="00781674" w:rsidP="00557637">
      <w:pPr>
        <w:jc w:val="both"/>
        <w:rPr>
          <w:rFonts w:eastAsiaTheme="minorHAnsi"/>
          <w:noProof/>
          <w:sz w:val="24"/>
          <w:szCs w:val="24"/>
        </w:rPr>
      </w:pPr>
    </w:p>
    <w:p w14:paraId="5F2D911C" w14:textId="77777777" w:rsidR="00781674" w:rsidRPr="00C64B4C" w:rsidRDefault="0005347A" w:rsidP="00557637">
      <w:pPr>
        <w:pStyle w:val="ListParagraph"/>
        <w:numPr>
          <w:ilvl w:val="0"/>
          <w:numId w:val="16"/>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In the interest of greater efficiency, </w:t>
      </w:r>
      <w:r w:rsidR="00781674" w:rsidRPr="00C64B4C">
        <w:rPr>
          <w:rFonts w:ascii="Times New Roman" w:hAnsi="Times New Roman" w:cs="Times New Roman"/>
          <w:noProof/>
          <w:sz w:val="24"/>
          <w:szCs w:val="24"/>
        </w:rPr>
        <w:t xml:space="preserve">ESMA </w:t>
      </w:r>
      <w:r w:rsidR="009F6957" w:rsidRPr="00C64B4C">
        <w:rPr>
          <w:rFonts w:ascii="Times New Roman" w:hAnsi="Times New Roman" w:cs="Times New Roman"/>
          <w:noProof/>
          <w:sz w:val="24"/>
          <w:szCs w:val="24"/>
        </w:rPr>
        <w:t xml:space="preserve">is invited to </w:t>
      </w:r>
      <w:r w:rsidR="00781674" w:rsidRPr="00C64B4C">
        <w:rPr>
          <w:rFonts w:ascii="Times New Roman" w:hAnsi="Times New Roman" w:cs="Times New Roman"/>
          <w:noProof/>
          <w:sz w:val="24"/>
          <w:szCs w:val="24"/>
        </w:rPr>
        <w:t>consider whether the</w:t>
      </w:r>
      <w:r w:rsidR="00A76D55" w:rsidRPr="00C64B4C">
        <w:rPr>
          <w:rFonts w:ascii="Times New Roman" w:hAnsi="Times New Roman" w:cs="Times New Roman"/>
          <w:noProof/>
          <w:sz w:val="24"/>
          <w:szCs w:val="24"/>
        </w:rPr>
        <w:t>r</w:t>
      </w:r>
      <w:r w:rsidR="00781674" w:rsidRPr="00C64B4C">
        <w:rPr>
          <w:rFonts w:ascii="Times New Roman" w:hAnsi="Times New Roman" w:cs="Times New Roman"/>
          <w:noProof/>
          <w:sz w:val="24"/>
          <w:szCs w:val="24"/>
        </w:rPr>
        <w:t>e are further possib</w:t>
      </w:r>
      <w:r w:rsidR="00A76D55" w:rsidRPr="00C64B4C">
        <w:rPr>
          <w:rFonts w:ascii="Times New Roman" w:hAnsi="Times New Roman" w:cs="Times New Roman"/>
          <w:noProof/>
          <w:sz w:val="24"/>
          <w:szCs w:val="24"/>
        </w:rPr>
        <w:t>i</w:t>
      </w:r>
      <w:r w:rsidR="00781674" w:rsidRPr="00C64B4C">
        <w:rPr>
          <w:rFonts w:ascii="Times New Roman" w:hAnsi="Times New Roman" w:cs="Times New Roman"/>
          <w:noProof/>
          <w:sz w:val="24"/>
          <w:szCs w:val="24"/>
        </w:rPr>
        <w:t xml:space="preserve">lities to delegate day-to day supervisory decisions for entities that are under </w:t>
      </w:r>
      <w:r w:rsidR="00A76D55" w:rsidRPr="00C64B4C">
        <w:rPr>
          <w:rFonts w:ascii="Times New Roman" w:hAnsi="Times New Roman" w:cs="Times New Roman"/>
          <w:noProof/>
          <w:sz w:val="24"/>
          <w:szCs w:val="24"/>
        </w:rPr>
        <w:t xml:space="preserve">its </w:t>
      </w:r>
      <w:r w:rsidR="00781674" w:rsidRPr="00C64B4C">
        <w:rPr>
          <w:rFonts w:ascii="Times New Roman" w:hAnsi="Times New Roman" w:cs="Times New Roman"/>
          <w:noProof/>
          <w:sz w:val="24"/>
          <w:szCs w:val="24"/>
        </w:rPr>
        <w:t>direct supervision to committees</w:t>
      </w:r>
      <w:r w:rsidR="0011097D" w:rsidRPr="00C64B4C">
        <w:rPr>
          <w:rFonts w:ascii="Times New Roman" w:hAnsi="Times New Roman" w:cs="Times New Roman"/>
          <w:noProof/>
          <w:sz w:val="24"/>
          <w:szCs w:val="24"/>
        </w:rPr>
        <w:t>,</w:t>
      </w:r>
      <w:r w:rsidR="00781674" w:rsidRPr="00C64B4C">
        <w:rPr>
          <w:rFonts w:ascii="Times New Roman" w:hAnsi="Times New Roman" w:cs="Times New Roman"/>
          <w:noProof/>
          <w:sz w:val="24"/>
          <w:szCs w:val="24"/>
        </w:rPr>
        <w:t xml:space="preserve"> or </w:t>
      </w:r>
      <w:r w:rsidR="0011097D" w:rsidRPr="00C64B4C">
        <w:rPr>
          <w:rFonts w:ascii="Times New Roman" w:hAnsi="Times New Roman" w:cs="Times New Roman"/>
          <w:noProof/>
          <w:sz w:val="24"/>
          <w:szCs w:val="24"/>
        </w:rPr>
        <w:t xml:space="preserve">to </w:t>
      </w:r>
      <w:r w:rsidR="00781674" w:rsidRPr="00C64B4C">
        <w:rPr>
          <w:rFonts w:ascii="Times New Roman" w:hAnsi="Times New Roman" w:cs="Times New Roman"/>
          <w:noProof/>
          <w:sz w:val="24"/>
          <w:szCs w:val="24"/>
        </w:rPr>
        <w:t xml:space="preserve">the </w:t>
      </w:r>
      <w:r w:rsidRPr="00C64B4C">
        <w:rPr>
          <w:rFonts w:ascii="Times New Roman" w:hAnsi="Times New Roman" w:cs="Times New Roman"/>
          <w:noProof/>
          <w:sz w:val="24"/>
          <w:szCs w:val="24"/>
        </w:rPr>
        <w:t>c</w:t>
      </w:r>
      <w:r w:rsidR="00781674" w:rsidRPr="00C64B4C">
        <w:rPr>
          <w:rFonts w:ascii="Times New Roman" w:hAnsi="Times New Roman" w:cs="Times New Roman"/>
          <w:noProof/>
          <w:sz w:val="24"/>
          <w:szCs w:val="24"/>
        </w:rPr>
        <w:t>hairperson</w:t>
      </w:r>
      <w:r w:rsidR="00A76D55" w:rsidRPr="00C64B4C">
        <w:rPr>
          <w:rFonts w:ascii="Times New Roman" w:hAnsi="Times New Roman" w:cs="Times New Roman"/>
          <w:noProof/>
          <w:sz w:val="24"/>
          <w:szCs w:val="24"/>
        </w:rPr>
        <w:t>.</w:t>
      </w:r>
      <w:r w:rsidR="00781674" w:rsidRPr="00C64B4C">
        <w:rPr>
          <w:rFonts w:ascii="Times New Roman" w:hAnsi="Times New Roman" w:cs="Times New Roman"/>
          <w:noProof/>
          <w:sz w:val="24"/>
          <w:szCs w:val="24"/>
        </w:rPr>
        <w:t xml:space="preserve"> </w:t>
      </w:r>
    </w:p>
    <w:p w14:paraId="7224D362" w14:textId="77777777" w:rsidR="000E31FD" w:rsidRPr="00C64B4C" w:rsidRDefault="000E31FD" w:rsidP="00557637">
      <w:pPr>
        <w:jc w:val="both"/>
        <w:rPr>
          <w:rFonts w:eastAsiaTheme="minorHAnsi"/>
          <w:noProof/>
          <w:sz w:val="24"/>
          <w:szCs w:val="24"/>
        </w:rPr>
      </w:pPr>
    </w:p>
    <w:p w14:paraId="09CE4C3E" w14:textId="77777777" w:rsidR="00B650AB" w:rsidRPr="00C64B4C" w:rsidRDefault="0005347A" w:rsidP="00557637">
      <w:pPr>
        <w:pStyle w:val="ListParagraph"/>
        <w:numPr>
          <w:ilvl w:val="0"/>
          <w:numId w:val="16"/>
        </w:numPr>
        <w:jc w:val="both"/>
        <w:rPr>
          <w:rFonts w:ascii="Times New Roman" w:hAnsi="Times New Roman" w:cs="Times New Roman"/>
          <w:noProof/>
          <w:sz w:val="24"/>
          <w:szCs w:val="24"/>
        </w:rPr>
      </w:pPr>
      <w:r w:rsidRPr="00C64B4C">
        <w:rPr>
          <w:rFonts w:ascii="Times New Roman" w:hAnsi="Times New Roman" w:cs="Times New Roman"/>
          <w:noProof/>
          <w:sz w:val="24"/>
          <w:szCs w:val="24"/>
        </w:rPr>
        <w:t>T</w:t>
      </w:r>
      <w:r w:rsidR="00836AFB" w:rsidRPr="00C64B4C">
        <w:rPr>
          <w:rFonts w:ascii="Times New Roman" w:hAnsi="Times New Roman" w:cs="Times New Roman"/>
          <w:noProof/>
          <w:sz w:val="24"/>
          <w:szCs w:val="24"/>
        </w:rPr>
        <w:t>he</w:t>
      </w:r>
      <w:r w:rsidRPr="00C64B4C">
        <w:rPr>
          <w:rFonts w:ascii="Times New Roman" w:hAnsi="Times New Roman" w:cs="Times New Roman"/>
          <w:noProof/>
          <w:sz w:val="24"/>
          <w:szCs w:val="24"/>
        </w:rPr>
        <w:t>re is an</w:t>
      </w:r>
      <w:r w:rsidR="00836AFB" w:rsidRPr="00C64B4C">
        <w:rPr>
          <w:rFonts w:ascii="Times New Roman" w:hAnsi="Times New Roman" w:cs="Times New Roman"/>
          <w:noProof/>
          <w:sz w:val="24"/>
          <w:szCs w:val="24"/>
        </w:rPr>
        <w:t xml:space="preserve"> increasing number of cross-sectoral tasks and topics </w:t>
      </w:r>
      <w:r w:rsidRPr="00C64B4C">
        <w:rPr>
          <w:rFonts w:ascii="Times New Roman" w:hAnsi="Times New Roman" w:cs="Times New Roman"/>
          <w:noProof/>
          <w:sz w:val="24"/>
          <w:szCs w:val="24"/>
        </w:rPr>
        <w:t xml:space="preserve">that must be dealt with by </w:t>
      </w:r>
      <w:r w:rsidR="00836AFB" w:rsidRPr="00C64B4C">
        <w:rPr>
          <w:rFonts w:ascii="Times New Roman" w:hAnsi="Times New Roman" w:cs="Times New Roman"/>
          <w:noProof/>
          <w:sz w:val="24"/>
          <w:szCs w:val="24"/>
        </w:rPr>
        <w:t>the ESAs</w:t>
      </w:r>
      <w:r w:rsidRPr="00C64B4C">
        <w:rPr>
          <w:rFonts w:ascii="Times New Roman" w:hAnsi="Times New Roman" w:cs="Times New Roman"/>
          <w:noProof/>
          <w:sz w:val="24"/>
          <w:szCs w:val="24"/>
        </w:rPr>
        <w:t>. This has made</w:t>
      </w:r>
      <w:r w:rsidR="00836AFB" w:rsidRPr="00C64B4C">
        <w:rPr>
          <w:rFonts w:ascii="Times New Roman" w:hAnsi="Times New Roman" w:cs="Times New Roman"/>
          <w:noProof/>
          <w:sz w:val="24"/>
          <w:szCs w:val="24"/>
        </w:rPr>
        <w:t xml:space="preserve"> the Joint Committee</w:t>
      </w:r>
      <w:r w:rsidRPr="00C64B4C">
        <w:rPr>
          <w:rFonts w:ascii="Times New Roman" w:hAnsi="Times New Roman" w:cs="Times New Roman"/>
          <w:noProof/>
          <w:sz w:val="24"/>
          <w:szCs w:val="24"/>
        </w:rPr>
        <w:t xml:space="preserve"> increasingly relevant. Given these developments</w:t>
      </w:r>
      <w:r w:rsidR="00836AFB" w:rsidRPr="00C64B4C">
        <w:rPr>
          <w:rFonts w:ascii="Times New Roman" w:hAnsi="Times New Roman" w:cs="Times New Roman"/>
          <w:noProof/>
          <w:sz w:val="24"/>
          <w:szCs w:val="24"/>
        </w:rPr>
        <w:t>, t</w:t>
      </w:r>
      <w:r w:rsidR="000E31FD" w:rsidRPr="00C64B4C">
        <w:rPr>
          <w:rFonts w:ascii="Times New Roman" w:hAnsi="Times New Roman" w:cs="Times New Roman"/>
          <w:noProof/>
          <w:sz w:val="24"/>
          <w:szCs w:val="24"/>
        </w:rPr>
        <w:t xml:space="preserve">he ESAs </w:t>
      </w:r>
      <w:r w:rsidR="0096122F" w:rsidRPr="00C64B4C">
        <w:rPr>
          <w:rFonts w:ascii="Times New Roman" w:hAnsi="Times New Roman" w:cs="Times New Roman"/>
          <w:noProof/>
          <w:sz w:val="24"/>
          <w:szCs w:val="24"/>
        </w:rPr>
        <w:t xml:space="preserve">are invited to </w:t>
      </w:r>
      <w:r w:rsidR="00836AFB" w:rsidRPr="00C64B4C">
        <w:rPr>
          <w:rFonts w:ascii="Times New Roman" w:hAnsi="Times New Roman" w:cs="Times New Roman"/>
          <w:noProof/>
          <w:sz w:val="24"/>
          <w:szCs w:val="24"/>
        </w:rPr>
        <w:t xml:space="preserve">reflect on desirable changes </w:t>
      </w:r>
      <w:r w:rsidRPr="00C64B4C">
        <w:rPr>
          <w:rFonts w:ascii="Times New Roman" w:hAnsi="Times New Roman" w:cs="Times New Roman"/>
          <w:noProof/>
          <w:sz w:val="24"/>
          <w:szCs w:val="24"/>
        </w:rPr>
        <w:t xml:space="preserve">that could be made </w:t>
      </w:r>
      <w:r w:rsidR="00836AFB" w:rsidRPr="00C64B4C">
        <w:rPr>
          <w:rFonts w:ascii="Times New Roman" w:hAnsi="Times New Roman" w:cs="Times New Roman"/>
          <w:noProof/>
          <w:sz w:val="24"/>
          <w:szCs w:val="24"/>
        </w:rPr>
        <w:t xml:space="preserve">to the framework in the future to ensure sufficient resources and </w:t>
      </w:r>
      <w:r w:rsidR="00AF1AEB" w:rsidRPr="00C64B4C">
        <w:rPr>
          <w:rFonts w:ascii="Times New Roman" w:hAnsi="Times New Roman" w:cs="Times New Roman"/>
          <w:noProof/>
          <w:sz w:val="24"/>
          <w:szCs w:val="24"/>
        </w:rPr>
        <w:t xml:space="preserve">improve </w:t>
      </w:r>
      <w:r w:rsidR="00124E9E" w:rsidRPr="00C64B4C">
        <w:rPr>
          <w:rFonts w:ascii="Times New Roman" w:hAnsi="Times New Roman" w:cs="Times New Roman"/>
          <w:noProof/>
          <w:sz w:val="24"/>
          <w:szCs w:val="24"/>
        </w:rPr>
        <w:t xml:space="preserve">the </w:t>
      </w:r>
      <w:r w:rsidR="00836AFB" w:rsidRPr="00C64B4C">
        <w:rPr>
          <w:rFonts w:ascii="Times New Roman" w:hAnsi="Times New Roman" w:cs="Times New Roman"/>
          <w:noProof/>
          <w:sz w:val="24"/>
          <w:szCs w:val="24"/>
        </w:rPr>
        <w:t>decision</w:t>
      </w:r>
      <w:r w:rsidR="00DE4345" w:rsidRPr="00C64B4C">
        <w:rPr>
          <w:rFonts w:ascii="Times New Roman" w:hAnsi="Times New Roman" w:cs="Times New Roman"/>
          <w:noProof/>
          <w:sz w:val="24"/>
          <w:szCs w:val="24"/>
        </w:rPr>
        <w:t>-</w:t>
      </w:r>
      <w:r w:rsidR="00836AFB" w:rsidRPr="00C64B4C">
        <w:rPr>
          <w:rFonts w:ascii="Times New Roman" w:hAnsi="Times New Roman" w:cs="Times New Roman"/>
          <w:noProof/>
          <w:sz w:val="24"/>
          <w:szCs w:val="24"/>
        </w:rPr>
        <w:t>making</w:t>
      </w:r>
      <w:r w:rsidR="00124E9E" w:rsidRPr="00C64B4C">
        <w:rPr>
          <w:rFonts w:ascii="Times New Roman" w:hAnsi="Times New Roman" w:cs="Times New Roman"/>
          <w:noProof/>
          <w:sz w:val="24"/>
          <w:szCs w:val="24"/>
        </w:rPr>
        <w:t xml:space="preserve"> process</w:t>
      </w:r>
      <w:r w:rsidRPr="00C64B4C">
        <w:rPr>
          <w:rFonts w:ascii="Times New Roman" w:hAnsi="Times New Roman" w:cs="Times New Roman"/>
          <w:noProof/>
          <w:sz w:val="24"/>
          <w:szCs w:val="24"/>
        </w:rPr>
        <w:t>. The Commission invites the ESAs</w:t>
      </w:r>
      <w:r w:rsidR="00836AFB" w:rsidRPr="00C64B4C">
        <w:rPr>
          <w:rFonts w:ascii="Times New Roman" w:hAnsi="Times New Roman" w:cs="Times New Roman"/>
          <w:noProof/>
          <w:sz w:val="24"/>
          <w:szCs w:val="24"/>
        </w:rPr>
        <w:t xml:space="preserve"> </w:t>
      </w:r>
      <w:r w:rsidRPr="00C64B4C">
        <w:rPr>
          <w:rFonts w:ascii="Times New Roman" w:hAnsi="Times New Roman" w:cs="Times New Roman"/>
          <w:noProof/>
          <w:sz w:val="24"/>
          <w:szCs w:val="24"/>
        </w:rPr>
        <w:t xml:space="preserve">to </w:t>
      </w:r>
      <w:r w:rsidR="000A64C1" w:rsidRPr="00C64B4C">
        <w:rPr>
          <w:rFonts w:ascii="Times New Roman" w:hAnsi="Times New Roman" w:cs="Times New Roman"/>
          <w:noProof/>
          <w:sz w:val="24"/>
          <w:szCs w:val="24"/>
        </w:rPr>
        <w:t>provide th</w:t>
      </w:r>
      <w:r w:rsidRPr="00C64B4C">
        <w:rPr>
          <w:rFonts w:ascii="Times New Roman" w:hAnsi="Times New Roman" w:cs="Times New Roman"/>
          <w:noProof/>
          <w:sz w:val="24"/>
          <w:szCs w:val="24"/>
        </w:rPr>
        <w:t>is</w:t>
      </w:r>
      <w:r w:rsidR="00477812" w:rsidRPr="00C64B4C">
        <w:rPr>
          <w:rFonts w:ascii="Times New Roman" w:hAnsi="Times New Roman" w:cs="Times New Roman"/>
          <w:noProof/>
          <w:sz w:val="24"/>
          <w:szCs w:val="24"/>
        </w:rPr>
        <w:t xml:space="preserve"> advice to the Commission</w:t>
      </w:r>
      <w:r w:rsidR="00F42C09" w:rsidRPr="00C64B4C">
        <w:rPr>
          <w:rFonts w:ascii="Times New Roman" w:hAnsi="Times New Roman" w:cs="Times New Roman"/>
          <w:noProof/>
          <w:sz w:val="24"/>
          <w:szCs w:val="24"/>
        </w:rPr>
        <w:t xml:space="preserve"> by </w:t>
      </w:r>
      <w:r w:rsidR="007C2DB8" w:rsidRPr="00C64B4C">
        <w:rPr>
          <w:rFonts w:ascii="Times New Roman" w:hAnsi="Times New Roman" w:cs="Times New Roman"/>
          <w:noProof/>
          <w:sz w:val="24"/>
          <w:szCs w:val="24"/>
        </w:rPr>
        <w:t xml:space="preserve">the </w:t>
      </w:r>
      <w:r w:rsidR="00F42C09" w:rsidRPr="00C64B4C">
        <w:rPr>
          <w:rFonts w:ascii="Times New Roman" w:hAnsi="Times New Roman" w:cs="Times New Roman"/>
          <w:noProof/>
          <w:sz w:val="24"/>
          <w:szCs w:val="24"/>
        </w:rPr>
        <w:t>end</w:t>
      </w:r>
      <w:r w:rsidR="007C2DB8" w:rsidRPr="00C64B4C">
        <w:rPr>
          <w:rFonts w:ascii="Times New Roman" w:hAnsi="Times New Roman" w:cs="Times New Roman"/>
          <w:noProof/>
          <w:sz w:val="24"/>
          <w:szCs w:val="24"/>
        </w:rPr>
        <w:t xml:space="preserve"> of</w:t>
      </w:r>
      <w:r w:rsidR="00F42C09" w:rsidRPr="00C64B4C">
        <w:rPr>
          <w:rFonts w:ascii="Times New Roman" w:hAnsi="Times New Roman" w:cs="Times New Roman"/>
          <w:noProof/>
          <w:sz w:val="24"/>
          <w:szCs w:val="24"/>
        </w:rPr>
        <w:t xml:space="preserve"> 2023.</w:t>
      </w:r>
    </w:p>
    <w:p w14:paraId="4A4FA0E4" w14:textId="77777777" w:rsidR="00A9009D" w:rsidRPr="00C64B4C" w:rsidRDefault="00A9009D" w:rsidP="00557637">
      <w:pPr>
        <w:jc w:val="both"/>
        <w:rPr>
          <w:rFonts w:eastAsiaTheme="minorHAnsi"/>
          <w:noProof/>
          <w:sz w:val="24"/>
          <w:szCs w:val="24"/>
        </w:rPr>
      </w:pPr>
    </w:p>
    <w:p w14:paraId="6BDC37C6" w14:textId="374265CF" w:rsidR="003047C4" w:rsidRDefault="000E38DE" w:rsidP="00557637">
      <w:pPr>
        <w:pStyle w:val="ListParagraph"/>
        <w:numPr>
          <w:ilvl w:val="0"/>
          <w:numId w:val="16"/>
        </w:numPr>
        <w:jc w:val="both"/>
        <w:rPr>
          <w:rFonts w:ascii="Times New Roman" w:hAnsi="Times New Roman" w:cs="Times New Roman"/>
          <w:noProof/>
          <w:sz w:val="24"/>
          <w:szCs w:val="24"/>
        </w:rPr>
      </w:pPr>
      <w:r w:rsidRPr="00C64B4C">
        <w:rPr>
          <w:rFonts w:ascii="Times New Roman" w:hAnsi="Times New Roman" w:cs="Times New Roman"/>
          <w:noProof/>
          <w:sz w:val="24"/>
          <w:szCs w:val="24"/>
        </w:rPr>
        <w:t>The</w:t>
      </w:r>
      <w:r w:rsidR="00025193" w:rsidRPr="00C64B4C">
        <w:rPr>
          <w:rFonts w:ascii="Times New Roman" w:hAnsi="Times New Roman" w:cs="Times New Roman"/>
          <w:noProof/>
          <w:sz w:val="24"/>
          <w:szCs w:val="24"/>
        </w:rPr>
        <w:t xml:space="preserve"> ESAs </w:t>
      </w:r>
      <w:r w:rsidR="009F6957" w:rsidRPr="00C64B4C">
        <w:rPr>
          <w:rFonts w:ascii="Times New Roman" w:hAnsi="Times New Roman" w:cs="Times New Roman"/>
          <w:noProof/>
          <w:sz w:val="24"/>
          <w:szCs w:val="24"/>
        </w:rPr>
        <w:t xml:space="preserve">are encouraged to </w:t>
      </w:r>
      <w:r w:rsidR="00025193" w:rsidRPr="00C64B4C">
        <w:rPr>
          <w:rFonts w:ascii="Times New Roman" w:hAnsi="Times New Roman" w:cs="Times New Roman"/>
          <w:noProof/>
          <w:sz w:val="24"/>
          <w:szCs w:val="24"/>
        </w:rPr>
        <w:t xml:space="preserve">make further progress in their new task of monitoring and fostering supervisory independence by further developing the principles of independence </w:t>
      </w:r>
      <w:r w:rsidR="004D2B5E" w:rsidRPr="00C64B4C">
        <w:rPr>
          <w:rFonts w:ascii="Times New Roman" w:hAnsi="Times New Roman" w:cs="Times New Roman"/>
          <w:noProof/>
          <w:sz w:val="24"/>
          <w:szCs w:val="24"/>
        </w:rPr>
        <w:t>(i.e. operational, financial</w:t>
      </w:r>
      <w:r w:rsidR="000F401C" w:rsidRPr="00C64B4C">
        <w:rPr>
          <w:rFonts w:ascii="Times New Roman" w:hAnsi="Times New Roman" w:cs="Times New Roman"/>
          <w:noProof/>
          <w:sz w:val="24"/>
          <w:szCs w:val="24"/>
        </w:rPr>
        <w:t xml:space="preserve"> and</w:t>
      </w:r>
      <w:r w:rsidR="004D2B5E" w:rsidRPr="00C64B4C">
        <w:rPr>
          <w:rFonts w:ascii="Times New Roman" w:hAnsi="Times New Roman" w:cs="Times New Roman"/>
          <w:noProof/>
          <w:sz w:val="24"/>
          <w:szCs w:val="24"/>
        </w:rPr>
        <w:t xml:space="preserve"> personal</w:t>
      </w:r>
      <w:r w:rsidR="000F401C" w:rsidRPr="00C64B4C">
        <w:rPr>
          <w:rFonts w:ascii="Times New Roman" w:hAnsi="Times New Roman" w:cs="Times New Roman"/>
          <w:noProof/>
          <w:sz w:val="24"/>
          <w:szCs w:val="24"/>
        </w:rPr>
        <w:t xml:space="preserve"> independence</w:t>
      </w:r>
      <w:r w:rsidR="004D2B5E" w:rsidRPr="00C64B4C">
        <w:rPr>
          <w:rFonts w:ascii="Times New Roman" w:hAnsi="Times New Roman" w:cs="Times New Roman"/>
          <w:noProof/>
          <w:sz w:val="24"/>
          <w:szCs w:val="24"/>
        </w:rPr>
        <w:t xml:space="preserve"> as well as accountability and transparency) </w:t>
      </w:r>
      <w:r w:rsidR="00025193" w:rsidRPr="00C64B4C">
        <w:rPr>
          <w:rFonts w:ascii="Times New Roman" w:hAnsi="Times New Roman" w:cs="Times New Roman"/>
          <w:noProof/>
          <w:sz w:val="24"/>
          <w:szCs w:val="24"/>
        </w:rPr>
        <w:t xml:space="preserve">and </w:t>
      </w:r>
      <w:r w:rsidR="00464BFD" w:rsidRPr="00C64B4C">
        <w:rPr>
          <w:rFonts w:ascii="Times New Roman" w:hAnsi="Times New Roman" w:cs="Times New Roman"/>
          <w:noProof/>
          <w:sz w:val="24"/>
          <w:szCs w:val="24"/>
        </w:rPr>
        <w:t xml:space="preserve">drawing </w:t>
      </w:r>
      <w:r w:rsidR="00DD2C67" w:rsidRPr="00C64B4C">
        <w:rPr>
          <w:rFonts w:ascii="Times New Roman" w:hAnsi="Times New Roman" w:cs="Times New Roman"/>
          <w:noProof/>
          <w:sz w:val="24"/>
          <w:szCs w:val="24"/>
        </w:rPr>
        <w:t>u</w:t>
      </w:r>
      <w:r w:rsidR="00464BFD" w:rsidRPr="00C64B4C">
        <w:rPr>
          <w:rFonts w:ascii="Times New Roman" w:hAnsi="Times New Roman" w:cs="Times New Roman"/>
          <w:noProof/>
          <w:sz w:val="24"/>
          <w:szCs w:val="24"/>
        </w:rPr>
        <w:t xml:space="preserve">p </w:t>
      </w:r>
      <w:r w:rsidR="00025193" w:rsidRPr="00C64B4C">
        <w:rPr>
          <w:rFonts w:ascii="Times New Roman" w:hAnsi="Times New Roman" w:cs="Times New Roman"/>
          <w:noProof/>
          <w:sz w:val="24"/>
          <w:szCs w:val="24"/>
        </w:rPr>
        <w:t xml:space="preserve">cross-sectoral criteria for supervisory independence in the EU. The ESAs could then assess the extent to which the criteria are met, </w:t>
      </w:r>
      <w:r w:rsidR="00DE4345" w:rsidRPr="00C64B4C">
        <w:rPr>
          <w:rFonts w:ascii="Times New Roman" w:hAnsi="Times New Roman" w:cs="Times New Roman"/>
          <w:noProof/>
          <w:sz w:val="24"/>
          <w:szCs w:val="24"/>
        </w:rPr>
        <w:t xml:space="preserve">thus </w:t>
      </w:r>
      <w:r w:rsidR="0089184F" w:rsidRPr="00C64B4C">
        <w:rPr>
          <w:rFonts w:ascii="Times New Roman" w:hAnsi="Times New Roman" w:cs="Times New Roman"/>
          <w:noProof/>
          <w:sz w:val="24"/>
          <w:szCs w:val="24"/>
        </w:rPr>
        <w:t xml:space="preserve">going beyond the self-assessments </w:t>
      </w:r>
      <w:r w:rsidR="00025193" w:rsidRPr="00C64B4C">
        <w:rPr>
          <w:rFonts w:ascii="Times New Roman" w:hAnsi="Times New Roman" w:cs="Times New Roman"/>
          <w:noProof/>
          <w:sz w:val="24"/>
          <w:szCs w:val="24"/>
        </w:rPr>
        <w:t xml:space="preserve">of competent authorities that have been </w:t>
      </w:r>
      <w:r w:rsidR="00DE4345" w:rsidRPr="00C64B4C">
        <w:rPr>
          <w:rFonts w:ascii="Times New Roman" w:hAnsi="Times New Roman" w:cs="Times New Roman"/>
          <w:noProof/>
          <w:sz w:val="24"/>
          <w:szCs w:val="24"/>
        </w:rPr>
        <w:t xml:space="preserve">carried out </w:t>
      </w:r>
      <w:r w:rsidR="00025193" w:rsidRPr="00C64B4C">
        <w:rPr>
          <w:rFonts w:ascii="Times New Roman" w:hAnsi="Times New Roman" w:cs="Times New Roman"/>
          <w:noProof/>
          <w:sz w:val="24"/>
          <w:szCs w:val="24"/>
        </w:rPr>
        <w:t>so far.</w:t>
      </w:r>
    </w:p>
    <w:p w14:paraId="0948931D" w14:textId="559E7DFD" w:rsidR="005B38C9" w:rsidRPr="005B38C9" w:rsidRDefault="005B38C9" w:rsidP="005B38C9">
      <w:pPr>
        <w:jc w:val="both"/>
        <w:rPr>
          <w:noProof/>
          <w:sz w:val="24"/>
          <w:szCs w:val="24"/>
        </w:rPr>
      </w:pPr>
    </w:p>
    <w:p w14:paraId="7A5484D0" w14:textId="77777777" w:rsidR="00850ACA" w:rsidRPr="00C64B4C" w:rsidRDefault="00850ACA" w:rsidP="00901A5C">
      <w:pPr>
        <w:pStyle w:val="Heading1"/>
        <w:numPr>
          <w:ilvl w:val="0"/>
          <w:numId w:val="1"/>
        </w:numPr>
        <w:jc w:val="left"/>
        <w:rPr>
          <w:rFonts w:eastAsiaTheme="minorHAnsi"/>
          <w:noProof/>
          <w:sz w:val="24"/>
          <w:szCs w:val="24"/>
          <w:lang w:eastAsia="en-US" w:bidi="ar-SA"/>
        </w:rPr>
      </w:pPr>
      <w:r w:rsidRPr="00C64B4C">
        <w:rPr>
          <w:rFonts w:eastAsiaTheme="minorHAnsi"/>
          <w:noProof/>
          <w:sz w:val="24"/>
          <w:szCs w:val="24"/>
          <w:lang w:eastAsia="en-US" w:bidi="ar-SA"/>
        </w:rPr>
        <w:t xml:space="preserve">DIRECT SUPERVISION </w:t>
      </w:r>
    </w:p>
    <w:p w14:paraId="17781055" w14:textId="77777777" w:rsidR="00850ACA" w:rsidRPr="00C64B4C" w:rsidRDefault="00850ACA" w:rsidP="00557637">
      <w:pPr>
        <w:jc w:val="both"/>
        <w:rPr>
          <w:rFonts w:eastAsiaTheme="minorHAnsi"/>
          <w:noProof/>
          <w:sz w:val="24"/>
          <w:szCs w:val="24"/>
        </w:rPr>
      </w:pPr>
    </w:p>
    <w:p w14:paraId="74174E97" w14:textId="77777777" w:rsidR="00891549" w:rsidRPr="00C64B4C" w:rsidRDefault="000E38DE" w:rsidP="00557637">
      <w:pPr>
        <w:jc w:val="both"/>
        <w:rPr>
          <w:rFonts w:eastAsiaTheme="minorHAnsi"/>
          <w:noProof/>
          <w:sz w:val="24"/>
          <w:szCs w:val="24"/>
          <w:u w:val="single"/>
        </w:rPr>
      </w:pPr>
      <w:r w:rsidRPr="00C64B4C">
        <w:rPr>
          <w:rFonts w:eastAsiaTheme="minorHAnsi"/>
          <w:noProof/>
          <w:sz w:val="24"/>
          <w:szCs w:val="24"/>
          <w:u w:val="single"/>
        </w:rPr>
        <w:t>Background and findings</w:t>
      </w:r>
    </w:p>
    <w:p w14:paraId="3D2EDC29" w14:textId="77777777" w:rsidR="000E38DE" w:rsidRPr="00C64B4C" w:rsidRDefault="000E38DE" w:rsidP="00557637">
      <w:pPr>
        <w:jc w:val="both"/>
        <w:rPr>
          <w:rFonts w:eastAsiaTheme="minorHAnsi"/>
          <w:noProof/>
          <w:sz w:val="24"/>
          <w:szCs w:val="24"/>
        </w:rPr>
      </w:pPr>
    </w:p>
    <w:p w14:paraId="49C0DA8C" w14:textId="77777777" w:rsidR="00891549" w:rsidRPr="00C64B4C" w:rsidRDefault="00891549" w:rsidP="00557637">
      <w:pPr>
        <w:jc w:val="both"/>
        <w:rPr>
          <w:rFonts w:eastAsiaTheme="minorHAnsi"/>
          <w:noProof/>
          <w:sz w:val="24"/>
          <w:szCs w:val="24"/>
        </w:rPr>
      </w:pPr>
      <w:r w:rsidRPr="00C64B4C">
        <w:rPr>
          <w:rFonts w:eastAsiaTheme="minorHAnsi"/>
          <w:noProof/>
          <w:sz w:val="24"/>
          <w:szCs w:val="24"/>
        </w:rPr>
        <w:t>The 2019 ESA review entrusted ESMA with direct supervisory responsibilities in the area</w:t>
      </w:r>
      <w:r w:rsidR="00266F0B" w:rsidRPr="00C64B4C">
        <w:rPr>
          <w:rFonts w:eastAsiaTheme="minorHAnsi"/>
          <w:noProof/>
          <w:sz w:val="24"/>
          <w:szCs w:val="24"/>
        </w:rPr>
        <w:t>s</w:t>
      </w:r>
      <w:r w:rsidRPr="00C64B4C">
        <w:rPr>
          <w:rFonts w:eastAsiaTheme="minorHAnsi"/>
          <w:noProof/>
          <w:sz w:val="24"/>
          <w:szCs w:val="24"/>
        </w:rPr>
        <w:t xml:space="preserve"> of</w:t>
      </w:r>
      <w:r w:rsidR="00266F0B" w:rsidRPr="00C64B4C">
        <w:rPr>
          <w:rFonts w:eastAsiaTheme="minorHAnsi"/>
          <w:noProof/>
          <w:sz w:val="24"/>
          <w:szCs w:val="24"/>
        </w:rPr>
        <w:t>: (i)</w:t>
      </w:r>
      <w:r w:rsidRPr="00C64B4C">
        <w:rPr>
          <w:rFonts w:eastAsiaTheme="minorHAnsi"/>
          <w:noProof/>
          <w:sz w:val="24"/>
          <w:szCs w:val="24"/>
        </w:rPr>
        <w:t xml:space="preserve"> critical </w:t>
      </w:r>
      <w:r w:rsidR="00266F0B" w:rsidRPr="00C64B4C">
        <w:rPr>
          <w:rFonts w:eastAsiaTheme="minorHAnsi"/>
          <w:noProof/>
          <w:sz w:val="24"/>
          <w:szCs w:val="24"/>
        </w:rPr>
        <w:t xml:space="preserve">EU benchmarks </w:t>
      </w:r>
      <w:r w:rsidRPr="00C64B4C">
        <w:rPr>
          <w:rFonts w:eastAsiaTheme="minorHAnsi"/>
          <w:noProof/>
          <w:sz w:val="24"/>
          <w:szCs w:val="24"/>
        </w:rPr>
        <w:t xml:space="preserve">and </w:t>
      </w:r>
      <w:r w:rsidR="00266F0B" w:rsidRPr="00C64B4C">
        <w:rPr>
          <w:rFonts w:eastAsiaTheme="minorHAnsi"/>
          <w:noProof/>
          <w:sz w:val="24"/>
          <w:szCs w:val="24"/>
        </w:rPr>
        <w:t>non-EU</w:t>
      </w:r>
      <w:r w:rsidRPr="00C64B4C">
        <w:rPr>
          <w:rFonts w:eastAsiaTheme="minorHAnsi"/>
          <w:noProof/>
          <w:sz w:val="24"/>
          <w:szCs w:val="24"/>
        </w:rPr>
        <w:t xml:space="preserve"> benchmark</w:t>
      </w:r>
      <w:r w:rsidR="0004777B" w:rsidRPr="00C64B4C">
        <w:rPr>
          <w:rFonts w:eastAsiaTheme="minorHAnsi"/>
          <w:noProof/>
          <w:sz w:val="24"/>
          <w:szCs w:val="24"/>
        </w:rPr>
        <w:t xml:space="preserve"> administrators</w:t>
      </w:r>
      <w:r w:rsidR="00266F0B" w:rsidRPr="00C64B4C">
        <w:rPr>
          <w:rFonts w:eastAsiaTheme="minorHAnsi"/>
          <w:noProof/>
          <w:sz w:val="24"/>
          <w:szCs w:val="24"/>
        </w:rPr>
        <w:t>;</w:t>
      </w:r>
      <w:r w:rsidRPr="00C64B4C">
        <w:rPr>
          <w:rFonts w:eastAsiaTheme="minorHAnsi"/>
          <w:noProof/>
          <w:sz w:val="24"/>
          <w:szCs w:val="24"/>
        </w:rPr>
        <w:t xml:space="preserve"> and </w:t>
      </w:r>
      <w:r w:rsidR="00266F0B" w:rsidRPr="00C64B4C">
        <w:rPr>
          <w:rFonts w:eastAsiaTheme="minorHAnsi"/>
          <w:noProof/>
          <w:sz w:val="24"/>
          <w:szCs w:val="24"/>
        </w:rPr>
        <w:t>(ii) providers of data-</w:t>
      </w:r>
      <w:r w:rsidRPr="00C64B4C">
        <w:rPr>
          <w:rFonts w:eastAsiaTheme="minorHAnsi"/>
          <w:noProof/>
          <w:sz w:val="24"/>
          <w:szCs w:val="24"/>
        </w:rPr>
        <w:t>reporting services. The</w:t>
      </w:r>
      <w:r w:rsidR="000A767E" w:rsidRPr="00C64B4C">
        <w:rPr>
          <w:rFonts w:eastAsiaTheme="minorHAnsi"/>
          <w:noProof/>
          <w:sz w:val="24"/>
          <w:szCs w:val="24"/>
        </w:rPr>
        <w:t>se</w:t>
      </w:r>
      <w:r w:rsidRPr="00C64B4C">
        <w:rPr>
          <w:rFonts w:eastAsiaTheme="minorHAnsi"/>
          <w:noProof/>
          <w:sz w:val="24"/>
          <w:szCs w:val="24"/>
        </w:rPr>
        <w:t xml:space="preserve"> </w:t>
      </w:r>
      <w:r w:rsidR="00E14EE8" w:rsidRPr="00C64B4C">
        <w:rPr>
          <w:rFonts w:eastAsiaTheme="minorHAnsi"/>
          <w:noProof/>
          <w:sz w:val="24"/>
          <w:szCs w:val="24"/>
        </w:rPr>
        <w:t>extended</w:t>
      </w:r>
      <w:r w:rsidR="00DE15BD" w:rsidRPr="00C64B4C">
        <w:rPr>
          <w:rFonts w:eastAsiaTheme="minorHAnsi"/>
          <w:noProof/>
          <w:sz w:val="24"/>
          <w:szCs w:val="24"/>
        </w:rPr>
        <w:t xml:space="preserve"> </w:t>
      </w:r>
      <w:r w:rsidR="00E14EE8" w:rsidRPr="00C64B4C">
        <w:rPr>
          <w:rFonts w:eastAsiaTheme="minorHAnsi"/>
          <w:noProof/>
          <w:sz w:val="24"/>
          <w:szCs w:val="24"/>
        </w:rPr>
        <w:t xml:space="preserve">direct supervisory </w:t>
      </w:r>
      <w:r w:rsidRPr="00C64B4C">
        <w:rPr>
          <w:rFonts w:eastAsiaTheme="minorHAnsi"/>
          <w:noProof/>
          <w:sz w:val="24"/>
          <w:szCs w:val="24"/>
        </w:rPr>
        <w:t xml:space="preserve">powers apply as </w:t>
      </w:r>
      <w:r w:rsidR="00266F0B" w:rsidRPr="00C64B4C">
        <w:rPr>
          <w:rFonts w:eastAsiaTheme="minorHAnsi"/>
          <w:noProof/>
          <w:sz w:val="24"/>
          <w:szCs w:val="24"/>
        </w:rPr>
        <w:t xml:space="preserve">of </w:t>
      </w:r>
      <w:r w:rsidRPr="00C64B4C">
        <w:rPr>
          <w:rFonts w:eastAsiaTheme="minorHAnsi"/>
          <w:noProof/>
          <w:sz w:val="24"/>
          <w:szCs w:val="24"/>
        </w:rPr>
        <w:t>1</w:t>
      </w:r>
      <w:r w:rsidR="00DE4345" w:rsidRPr="00C64B4C">
        <w:rPr>
          <w:rFonts w:eastAsiaTheme="minorHAnsi"/>
          <w:noProof/>
          <w:sz w:val="24"/>
          <w:szCs w:val="24"/>
        </w:rPr>
        <w:t> </w:t>
      </w:r>
      <w:r w:rsidRPr="00C64B4C">
        <w:rPr>
          <w:rFonts w:eastAsiaTheme="minorHAnsi"/>
          <w:noProof/>
          <w:sz w:val="24"/>
          <w:szCs w:val="24"/>
        </w:rPr>
        <w:t>January</w:t>
      </w:r>
      <w:r w:rsidR="00DE4345" w:rsidRPr="00C64B4C">
        <w:rPr>
          <w:rFonts w:eastAsiaTheme="minorHAnsi"/>
          <w:noProof/>
          <w:sz w:val="24"/>
          <w:szCs w:val="24"/>
        </w:rPr>
        <w:t> </w:t>
      </w:r>
      <w:r w:rsidRPr="00C64B4C">
        <w:rPr>
          <w:rFonts w:eastAsiaTheme="minorHAnsi"/>
          <w:noProof/>
          <w:sz w:val="24"/>
          <w:szCs w:val="24"/>
        </w:rPr>
        <w:t>2022.</w:t>
      </w:r>
      <w:r w:rsidR="003A500F" w:rsidRPr="00C64B4C">
        <w:rPr>
          <w:rFonts w:eastAsiaTheme="minorHAnsi"/>
          <w:noProof/>
          <w:sz w:val="24"/>
          <w:szCs w:val="24"/>
        </w:rPr>
        <w:t xml:space="preserve"> </w:t>
      </w:r>
      <w:r w:rsidR="00D04D98" w:rsidRPr="00C64B4C">
        <w:rPr>
          <w:rFonts w:eastAsiaTheme="minorHAnsi"/>
          <w:noProof/>
          <w:sz w:val="24"/>
          <w:szCs w:val="24"/>
        </w:rPr>
        <w:t xml:space="preserve">Since January 2020, </w:t>
      </w:r>
      <w:r w:rsidR="003A500F" w:rsidRPr="00C64B4C">
        <w:rPr>
          <w:rFonts w:eastAsiaTheme="minorHAnsi"/>
          <w:noProof/>
          <w:sz w:val="24"/>
          <w:szCs w:val="24"/>
        </w:rPr>
        <w:t xml:space="preserve">ESMA has </w:t>
      </w:r>
      <w:r w:rsidR="00266F0B" w:rsidRPr="00C64B4C">
        <w:rPr>
          <w:rFonts w:eastAsiaTheme="minorHAnsi"/>
          <w:noProof/>
          <w:sz w:val="24"/>
          <w:szCs w:val="24"/>
        </w:rPr>
        <w:t xml:space="preserve">also </w:t>
      </w:r>
      <w:r w:rsidR="003A500F" w:rsidRPr="00C64B4C">
        <w:rPr>
          <w:rFonts w:eastAsiaTheme="minorHAnsi"/>
          <w:noProof/>
          <w:sz w:val="24"/>
          <w:szCs w:val="24"/>
        </w:rPr>
        <w:t xml:space="preserve">been given a </w:t>
      </w:r>
      <w:r w:rsidR="00CF34C9" w:rsidRPr="00C64B4C">
        <w:rPr>
          <w:rFonts w:eastAsiaTheme="minorHAnsi"/>
          <w:noProof/>
          <w:sz w:val="24"/>
          <w:szCs w:val="24"/>
        </w:rPr>
        <w:t xml:space="preserve">new range of supervisory responsibilities under the EMIR </w:t>
      </w:r>
      <w:r w:rsidR="00B35B32" w:rsidRPr="00C64B4C">
        <w:rPr>
          <w:rFonts w:eastAsiaTheme="minorHAnsi"/>
          <w:noProof/>
          <w:sz w:val="24"/>
          <w:szCs w:val="24"/>
        </w:rPr>
        <w:t>2.2</w:t>
      </w:r>
      <w:r w:rsidR="00557637" w:rsidRPr="00C64B4C">
        <w:rPr>
          <w:rStyle w:val="FootnoteReference"/>
          <w:rFonts w:eastAsiaTheme="minorHAnsi"/>
          <w:noProof/>
          <w:sz w:val="24"/>
          <w:szCs w:val="24"/>
        </w:rPr>
        <w:footnoteReference w:id="32"/>
      </w:r>
      <w:r w:rsidR="00B35B32" w:rsidRPr="00C64B4C">
        <w:rPr>
          <w:rFonts w:eastAsiaTheme="minorHAnsi"/>
          <w:noProof/>
          <w:sz w:val="24"/>
          <w:szCs w:val="24"/>
        </w:rPr>
        <w:t xml:space="preserve"> framework with respect to </w:t>
      </w:r>
      <w:r w:rsidR="00266F0B" w:rsidRPr="00C64B4C">
        <w:rPr>
          <w:rFonts w:eastAsiaTheme="minorHAnsi"/>
          <w:noProof/>
          <w:sz w:val="24"/>
          <w:szCs w:val="24"/>
        </w:rPr>
        <w:t>non-EU</w:t>
      </w:r>
      <w:r w:rsidR="00B35B32" w:rsidRPr="00C64B4C">
        <w:rPr>
          <w:rFonts w:eastAsiaTheme="minorHAnsi"/>
          <w:noProof/>
          <w:sz w:val="24"/>
          <w:szCs w:val="24"/>
        </w:rPr>
        <w:t xml:space="preserve"> </w:t>
      </w:r>
      <w:r w:rsidR="00CF34C9" w:rsidRPr="00C64B4C">
        <w:rPr>
          <w:rFonts w:eastAsiaTheme="minorHAnsi"/>
          <w:noProof/>
          <w:sz w:val="24"/>
          <w:szCs w:val="24"/>
        </w:rPr>
        <w:t>CCPs</w:t>
      </w:r>
      <w:r w:rsidR="003A500F" w:rsidRPr="00C64B4C">
        <w:rPr>
          <w:rFonts w:eastAsiaTheme="minorHAnsi"/>
          <w:noProof/>
          <w:sz w:val="24"/>
          <w:szCs w:val="24"/>
        </w:rPr>
        <w:t xml:space="preserve">. </w:t>
      </w:r>
    </w:p>
    <w:p w14:paraId="068D1BE8" w14:textId="77777777" w:rsidR="00971846" w:rsidRPr="00C64B4C" w:rsidRDefault="00971846" w:rsidP="00557637">
      <w:pPr>
        <w:jc w:val="both"/>
        <w:rPr>
          <w:rFonts w:eastAsiaTheme="minorHAnsi"/>
          <w:noProof/>
          <w:sz w:val="24"/>
          <w:szCs w:val="24"/>
        </w:rPr>
      </w:pPr>
    </w:p>
    <w:p w14:paraId="6E744E19" w14:textId="2E891DAB" w:rsidR="00891549" w:rsidRPr="00C64B4C" w:rsidRDefault="008C65AC" w:rsidP="00557637">
      <w:pPr>
        <w:jc w:val="both"/>
        <w:rPr>
          <w:rFonts w:eastAsiaTheme="minorHAnsi"/>
          <w:noProof/>
          <w:sz w:val="24"/>
          <w:szCs w:val="24"/>
        </w:rPr>
      </w:pPr>
      <w:r w:rsidRPr="00C64B4C">
        <w:rPr>
          <w:rFonts w:eastAsiaTheme="minorHAnsi"/>
          <w:noProof/>
          <w:sz w:val="24"/>
          <w:szCs w:val="24"/>
        </w:rPr>
        <w:t>In October 2020, t</w:t>
      </w:r>
      <w:r w:rsidR="00971846" w:rsidRPr="00C64B4C">
        <w:rPr>
          <w:rFonts w:eastAsiaTheme="minorHAnsi"/>
          <w:noProof/>
          <w:sz w:val="24"/>
          <w:szCs w:val="24"/>
        </w:rPr>
        <w:t>he European Parliament called on the Commission to consider gradually granting ESMA more direct supervisory powers, including direct oversight over certain market segments, such as</w:t>
      </w:r>
      <w:r w:rsidR="00266F0B" w:rsidRPr="00C64B4C">
        <w:rPr>
          <w:rFonts w:eastAsiaTheme="minorHAnsi"/>
          <w:noProof/>
          <w:sz w:val="24"/>
          <w:szCs w:val="24"/>
        </w:rPr>
        <w:t>: (i)</w:t>
      </w:r>
      <w:r w:rsidR="00971846" w:rsidRPr="00C64B4C">
        <w:rPr>
          <w:rFonts w:eastAsiaTheme="minorHAnsi"/>
          <w:noProof/>
          <w:sz w:val="24"/>
          <w:szCs w:val="24"/>
        </w:rPr>
        <w:t xml:space="preserve"> EU CCPs</w:t>
      </w:r>
      <w:r w:rsidR="00266F0B" w:rsidRPr="00C64B4C">
        <w:rPr>
          <w:rFonts w:eastAsiaTheme="minorHAnsi"/>
          <w:noProof/>
          <w:sz w:val="24"/>
          <w:szCs w:val="24"/>
        </w:rPr>
        <w:t>; (ii) c</w:t>
      </w:r>
      <w:r w:rsidR="00971846" w:rsidRPr="00C64B4C">
        <w:rPr>
          <w:rFonts w:eastAsiaTheme="minorHAnsi"/>
          <w:noProof/>
          <w:sz w:val="24"/>
          <w:szCs w:val="24"/>
        </w:rPr>
        <w:t xml:space="preserve">entral </w:t>
      </w:r>
      <w:r w:rsidR="00266F0B" w:rsidRPr="00C64B4C">
        <w:rPr>
          <w:rFonts w:eastAsiaTheme="minorHAnsi"/>
          <w:noProof/>
          <w:sz w:val="24"/>
          <w:szCs w:val="24"/>
        </w:rPr>
        <w:t>s</w:t>
      </w:r>
      <w:r w:rsidR="00971846" w:rsidRPr="00C64B4C">
        <w:rPr>
          <w:rFonts w:eastAsiaTheme="minorHAnsi"/>
          <w:noProof/>
          <w:sz w:val="24"/>
          <w:szCs w:val="24"/>
        </w:rPr>
        <w:t xml:space="preserve">ecurities </w:t>
      </w:r>
      <w:r w:rsidR="00266F0B" w:rsidRPr="00C64B4C">
        <w:rPr>
          <w:rFonts w:eastAsiaTheme="minorHAnsi"/>
          <w:noProof/>
          <w:sz w:val="24"/>
          <w:szCs w:val="24"/>
        </w:rPr>
        <w:t>d</w:t>
      </w:r>
      <w:r w:rsidR="00971846" w:rsidRPr="00C64B4C">
        <w:rPr>
          <w:rFonts w:eastAsiaTheme="minorHAnsi"/>
          <w:noProof/>
          <w:sz w:val="24"/>
          <w:szCs w:val="24"/>
        </w:rPr>
        <w:t>epositories</w:t>
      </w:r>
      <w:r w:rsidRPr="00C64B4C">
        <w:rPr>
          <w:rFonts w:eastAsiaTheme="minorHAnsi"/>
          <w:noProof/>
          <w:sz w:val="24"/>
          <w:szCs w:val="24"/>
        </w:rPr>
        <w:t>;</w:t>
      </w:r>
      <w:r w:rsidR="00971846" w:rsidRPr="00C64B4C">
        <w:rPr>
          <w:rFonts w:eastAsiaTheme="minorHAnsi"/>
          <w:noProof/>
          <w:sz w:val="24"/>
          <w:szCs w:val="24"/>
        </w:rPr>
        <w:t xml:space="preserve"> and </w:t>
      </w:r>
      <w:r w:rsidRPr="00C64B4C">
        <w:rPr>
          <w:rFonts w:eastAsiaTheme="minorHAnsi"/>
          <w:noProof/>
          <w:sz w:val="24"/>
          <w:szCs w:val="24"/>
        </w:rPr>
        <w:t xml:space="preserve">(iii) </w:t>
      </w:r>
      <w:r w:rsidR="00971846" w:rsidRPr="00C64B4C">
        <w:rPr>
          <w:rFonts w:eastAsiaTheme="minorHAnsi"/>
          <w:noProof/>
          <w:sz w:val="24"/>
          <w:szCs w:val="24"/>
        </w:rPr>
        <w:t xml:space="preserve">the European </w:t>
      </w:r>
      <w:r w:rsidR="00523590">
        <w:rPr>
          <w:rFonts w:eastAsiaTheme="minorHAnsi"/>
          <w:noProof/>
          <w:sz w:val="24"/>
          <w:szCs w:val="24"/>
        </w:rPr>
        <w:t>S</w:t>
      </w:r>
      <w:r w:rsidR="00971846" w:rsidRPr="00C64B4C">
        <w:rPr>
          <w:rFonts w:eastAsiaTheme="minorHAnsi"/>
          <w:noProof/>
          <w:sz w:val="24"/>
          <w:szCs w:val="24"/>
        </w:rPr>
        <w:t xml:space="preserve">ingle </w:t>
      </w:r>
      <w:r w:rsidR="00523590">
        <w:rPr>
          <w:rFonts w:eastAsiaTheme="minorHAnsi"/>
          <w:noProof/>
          <w:sz w:val="24"/>
          <w:szCs w:val="24"/>
        </w:rPr>
        <w:t>A</w:t>
      </w:r>
      <w:r w:rsidR="00971846" w:rsidRPr="00C64B4C">
        <w:rPr>
          <w:rFonts w:eastAsiaTheme="minorHAnsi"/>
          <w:noProof/>
          <w:sz w:val="24"/>
          <w:szCs w:val="24"/>
        </w:rPr>
        <w:t xml:space="preserve">ccess </w:t>
      </w:r>
      <w:r w:rsidR="00523590">
        <w:rPr>
          <w:rFonts w:eastAsiaTheme="minorHAnsi"/>
          <w:noProof/>
          <w:sz w:val="24"/>
          <w:szCs w:val="24"/>
        </w:rPr>
        <w:t>P</w:t>
      </w:r>
      <w:r w:rsidR="00971846" w:rsidRPr="00C64B4C">
        <w:rPr>
          <w:rFonts w:eastAsiaTheme="minorHAnsi"/>
          <w:noProof/>
          <w:sz w:val="24"/>
          <w:szCs w:val="24"/>
        </w:rPr>
        <w:t>oint</w:t>
      </w:r>
      <w:r w:rsidR="00557637" w:rsidRPr="00C64B4C">
        <w:rPr>
          <w:rStyle w:val="FootnoteReference"/>
          <w:rFonts w:eastAsiaTheme="minorHAnsi"/>
          <w:noProof/>
          <w:sz w:val="24"/>
          <w:szCs w:val="24"/>
        </w:rPr>
        <w:footnoteReference w:id="33"/>
      </w:r>
      <w:r w:rsidR="00971846" w:rsidRPr="00C64B4C">
        <w:rPr>
          <w:rFonts w:eastAsiaTheme="minorHAnsi"/>
          <w:noProof/>
          <w:sz w:val="24"/>
          <w:szCs w:val="24"/>
        </w:rPr>
        <w:t>.</w:t>
      </w:r>
    </w:p>
    <w:p w14:paraId="7EE50579" w14:textId="77777777" w:rsidR="00F4414F" w:rsidRPr="00C64B4C" w:rsidRDefault="00F4414F" w:rsidP="00557637">
      <w:pPr>
        <w:jc w:val="both"/>
        <w:rPr>
          <w:rFonts w:eastAsiaTheme="minorHAnsi"/>
          <w:noProof/>
          <w:sz w:val="24"/>
          <w:szCs w:val="24"/>
        </w:rPr>
      </w:pPr>
    </w:p>
    <w:p w14:paraId="330FDE7B" w14:textId="74D39D9D" w:rsidR="00850ACA" w:rsidRPr="00C64B4C" w:rsidRDefault="00891549" w:rsidP="00557637">
      <w:pPr>
        <w:jc w:val="both"/>
        <w:rPr>
          <w:rFonts w:eastAsiaTheme="minorHAnsi"/>
          <w:noProof/>
          <w:sz w:val="24"/>
          <w:szCs w:val="24"/>
        </w:rPr>
      </w:pPr>
      <w:r w:rsidRPr="00C64B4C">
        <w:rPr>
          <w:rFonts w:eastAsiaTheme="minorHAnsi"/>
          <w:noProof/>
          <w:sz w:val="24"/>
          <w:szCs w:val="24"/>
        </w:rPr>
        <w:t xml:space="preserve">In the consultation, </w:t>
      </w:r>
      <w:r w:rsidR="00266F0B" w:rsidRPr="00C64B4C">
        <w:rPr>
          <w:rFonts w:eastAsiaTheme="minorHAnsi"/>
          <w:noProof/>
          <w:sz w:val="24"/>
          <w:szCs w:val="24"/>
        </w:rPr>
        <w:t>most</w:t>
      </w:r>
      <w:r w:rsidRPr="00C64B4C">
        <w:rPr>
          <w:rFonts w:eastAsiaTheme="minorHAnsi"/>
          <w:noProof/>
          <w:sz w:val="24"/>
          <w:szCs w:val="24"/>
        </w:rPr>
        <w:t xml:space="preserve"> respondents </w:t>
      </w:r>
      <w:r w:rsidR="00266F0B" w:rsidRPr="00C64B4C">
        <w:rPr>
          <w:rFonts w:eastAsiaTheme="minorHAnsi"/>
          <w:noProof/>
          <w:sz w:val="24"/>
          <w:szCs w:val="24"/>
        </w:rPr>
        <w:t xml:space="preserve">gave </w:t>
      </w:r>
      <w:r w:rsidR="00172077">
        <w:rPr>
          <w:rFonts w:eastAsiaTheme="minorHAnsi"/>
          <w:noProof/>
          <w:sz w:val="24"/>
          <w:szCs w:val="24"/>
        </w:rPr>
        <w:t>fairly</w:t>
      </w:r>
      <w:r w:rsidR="00172077" w:rsidRPr="00C64B4C">
        <w:rPr>
          <w:rFonts w:eastAsiaTheme="minorHAnsi"/>
          <w:noProof/>
          <w:sz w:val="24"/>
          <w:szCs w:val="24"/>
        </w:rPr>
        <w:t xml:space="preserve"> </w:t>
      </w:r>
      <w:r w:rsidR="00266F0B" w:rsidRPr="00C64B4C">
        <w:rPr>
          <w:rFonts w:eastAsiaTheme="minorHAnsi"/>
          <w:noProof/>
          <w:sz w:val="24"/>
          <w:szCs w:val="24"/>
        </w:rPr>
        <w:t xml:space="preserve">positive assessments of </w:t>
      </w:r>
      <w:r w:rsidRPr="00C64B4C">
        <w:rPr>
          <w:rFonts w:eastAsiaTheme="minorHAnsi"/>
          <w:noProof/>
          <w:sz w:val="24"/>
          <w:szCs w:val="24"/>
        </w:rPr>
        <w:t>ESMA’s supervisory powers and ESMA’s performance</w:t>
      </w:r>
      <w:r w:rsidR="00CF34C9" w:rsidRPr="00C64B4C">
        <w:rPr>
          <w:rFonts w:eastAsiaTheme="minorHAnsi"/>
          <w:noProof/>
          <w:sz w:val="24"/>
          <w:szCs w:val="24"/>
        </w:rPr>
        <w:t xml:space="preserve"> </w:t>
      </w:r>
      <w:r w:rsidR="00266F0B" w:rsidRPr="00C64B4C">
        <w:rPr>
          <w:rFonts w:eastAsiaTheme="minorHAnsi"/>
          <w:noProof/>
          <w:sz w:val="24"/>
          <w:szCs w:val="24"/>
        </w:rPr>
        <w:t>in</w:t>
      </w:r>
      <w:r w:rsidR="005D0F4F" w:rsidRPr="00C64B4C">
        <w:rPr>
          <w:rFonts w:eastAsiaTheme="minorHAnsi"/>
          <w:noProof/>
          <w:sz w:val="24"/>
          <w:szCs w:val="24"/>
        </w:rPr>
        <w:t xml:space="preserve"> supervisi</w:t>
      </w:r>
      <w:r w:rsidR="00266F0B" w:rsidRPr="00C64B4C">
        <w:rPr>
          <w:rFonts w:eastAsiaTheme="minorHAnsi"/>
          <w:noProof/>
          <w:sz w:val="24"/>
          <w:szCs w:val="24"/>
        </w:rPr>
        <w:t>ng</w:t>
      </w:r>
      <w:r w:rsidR="005D0F4F" w:rsidRPr="00C64B4C">
        <w:rPr>
          <w:rFonts w:eastAsiaTheme="minorHAnsi"/>
          <w:noProof/>
          <w:sz w:val="24"/>
          <w:szCs w:val="24"/>
        </w:rPr>
        <w:t xml:space="preserve"> </w:t>
      </w:r>
      <w:r w:rsidR="00266F0B" w:rsidRPr="00C64B4C">
        <w:rPr>
          <w:rFonts w:eastAsiaTheme="minorHAnsi"/>
          <w:noProof/>
          <w:sz w:val="24"/>
          <w:szCs w:val="24"/>
        </w:rPr>
        <w:t>c</w:t>
      </w:r>
      <w:r w:rsidR="00850ACA" w:rsidRPr="00C64B4C">
        <w:rPr>
          <w:rFonts w:eastAsiaTheme="minorHAnsi"/>
          <w:noProof/>
          <w:sz w:val="24"/>
          <w:szCs w:val="24"/>
        </w:rPr>
        <w:t>redit</w:t>
      </w:r>
      <w:r w:rsidR="008C65AC" w:rsidRPr="00C64B4C">
        <w:rPr>
          <w:rFonts w:eastAsiaTheme="minorHAnsi"/>
          <w:noProof/>
          <w:sz w:val="24"/>
          <w:szCs w:val="24"/>
        </w:rPr>
        <w:t>-</w:t>
      </w:r>
      <w:r w:rsidR="00266F0B" w:rsidRPr="00C64B4C">
        <w:rPr>
          <w:rFonts w:eastAsiaTheme="minorHAnsi"/>
          <w:noProof/>
          <w:sz w:val="24"/>
          <w:szCs w:val="24"/>
        </w:rPr>
        <w:t>r</w:t>
      </w:r>
      <w:r w:rsidR="00850ACA" w:rsidRPr="00C64B4C">
        <w:rPr>
          <w:rFonts w:eastAsiaTheme="minorHAnsi"/>
          <w:noProof/>
          <w:sz w:val="24"/>
          <w:szCs w:val="24"/>
        </w:rPr>
        <w:t xml:space="preserve">ating </w:t>
      </w:r>
      <w:r w:rsidR="00266F0B" w:rsidRPr="00C64B4C">
        <w:rPr>
          <w:rFonts w:eastAsiaTheme="minorHAnsi"/>
          <w:noProof/>
          <w:sz w:val="24"/>
          <w:szCs w:val="24"/>
        </w:rPr>
        <w:t>a</w:t>
      </w:r>
      <w:r w:rsidR="00CF34C9" w:rsidRPr="00C64B4C">
        <w:rPr>
          <w:rFonts w:eastAsiaTheme="minorHAnsi"/>
          <w:noProof/>
          <w:sz w:val="24"/>
          <w:szCs w:val="24"/>
        </w:rPr>
        <w:t xml:space="preserve">gencies and </w:t>
      </w:r>
      <w:r w:rsidR="00266F0B" w:rsidRPr="00C64B4C">
        <w:rPr>
          <w:rFonts w:eastAsiaTheme="minorHAnsi"/>
          <w:noProof/>
          <w:sz w:val="24"/>
          <w:szCs w:val="24"/>
        </w:rPr>
        <w:t>t</w:t>
      </w:r>
      <w:r w:rsidR="00CF34C9" w:rsidRPr="00C64B4C">
        <w:rPr>
          <w:rFonts w:eastAsiaTheme="minorHAnsi"/>
          <w:noProof/>
          <w:sz w:val="24"/>
          <w:szCs w:val="24"/>
        </w:rPr>
        <w:t xml:space="preserve">rade </w:t>
      </w:r>
      <w:r w:rsidR="00266F0B" w:rsidRPr="00C64B4C">
        <w:rPr>
          <w:rFonts w:eastAsiaTheme="minorHAnsi"/>
          <w:noProof/>
          <w:sz w:val="24"/>
          <w:szCs w:val="24"/>
        </w:rPr>
        <w:t>r</w:t>
      </w:r>
      <w:r w:rsidR="00CF34C9" w:rsidRPr="00C64B4C">
        <w:rPr>
          <w:rFonts w:eastAsiaTheme="minorHAnsi"/>
          <w:noProof/>
          <w:sz w:val="24"/>
          <w:szCs w:val="24"/>
        </w:rPr>
        <w:t xml:space="preserve">epositories. </w:t>
      </w:r>
      <w:r w:rsidR="00266F0B" w:rsidRPr="00C64B4C">
        <w:rPr>
          <w:rFonts w:eastAsiaTheme="minorHAnsi"/>
          <w:noProof/>
          <w:sz w:val="24"/>
          <w:szCs w:val="24"/>
        </w:rPr>
        <w:t>However, r</w:t>
      </w:r>
      <w:r w:rsidR="00850ACA" w:rsidRPr="00C64B4C">
        <w:rPr>
          <w:rFonts w:eastAsiaTheme="minorHAnsi"/>
          <w:noProof/>
          <w:sz w:val="24"/>
          <w:szCs w:val="24"/>
        </w:rPr>
        <w:t xml:space="preserve">espondents </w:t>
      </w:r>
      <w:r w:rsidR="00266F0B" w:rsidRPr="00C64B4C">
        <w:rPr>
          <w:rFonts w:eastAsiaTheme="minorHAnsi"/>
          <w:noProof/>
          <w:sz w:val="24"/>
          <w:szCs w:val="24"/>
        </w:rPr>
        <w:t xml:space="preserve">also </w:t>
      </w:r>
      <w:r w:rsidR="00850ACA" w:rsidRPr="00C64B4C">
        <w:rPr>
          <w:rFonts w:eastAsiaTheme="minorHAnsi"/>
          <w:noProof/>
          <w:sz w:val="24"/>
          <w:szCs w:val="24"/>
        </w:rPr>
        <w:t xml:space="preserve">pointed out that there </w:t>
      </w:r>
      <w:r w:rsidR="00266F0B" w:rsidRPr="00C64B4C">
        <w:rPr>
          <w:rFonts w:eastAsiaTheme="minorHAnsi"/>
          <w:noProof/>
          <w:sz w:val="24"/>
          <w:szCs w:val="24"/>
        </w:rPr>
        <w:t>wa</w:t>
      </w:r>
      <w:r w:rsidR="00850ACA" w:rsidRPr="00C64B4C">
        <w:rPr>
          <w:rFonts w:eastAsiaTheme="minorHAnsi"/>
          <w:noProof/>
          <w:sz w:val="24"/>
          <w:szCs w:val="24"/>
        </w:rPr>
        <w:t>s some room for improvement</w:t>
      </w:r>
      <w:r w:rsidR="00266F0B" w:rsidRPr="00C64B4C">
        <w:rPr>
          <w:rFonts w:eastAsiaTheme="minorHAnsi"/>
          <w:noProof/>
          <w:sz w:val="24"/>
          <w:szCs w:val="24"/>
        </w:rPr>
        <w:t>,</w:t>
      </w:r>
      <w:r w:rsidR="00850ACA" w:rsidRPr="00C64B4C">
        <w:rPr>
          <w:rFonts w:eastAsiaTheme="minorHAnsi"/>
          <w:noProof/>
          <w:sz w:val="24"/>
          <w:szCs w:val="24"/>
        </w:rPr>
        <w:t xml:space="preserve"> mainly </w:t>
      </w:r>
      <w:r w:rsidR="00266F0B" w:rsidRPr="00C64B4C">
        <w:rPr>
          <w:rFonts w:eastAsiaTheme="minorHAnsi"/>
          <w:noProof/>
          <w:sz w:val="24"/>
          <w:szCs w:val="24"/>
        </w:rPr>
        <w:t>in</w:t>
      </w:r>
      <w:r w:rsidR="00850ACA" w:rsidRPr="00C64B4C">
        <w:rPr>
          <w:rFonts w:eastAsiaTheme="minorHAnsi"/>
          <w:noProof/>
          <w:sz w:val="24"/>
          <w:szCs w:val="24"/>
        </w:rPr>
        <w:t xml:space="preserve"> communication and transparency</w:t>
      </w:r>
      <w:r w:rsidR="00266F0B" w:rsidRPr="00C64B4C">
        <w:rPr>
          <w:rFonts w:eastAsiaTheme="minorHAnsi"/>
          <w:noProof/>
          <w:sz w:val="24"/>
          <w:szCs w:val="24"/>
        </w:rPr>
        <w:t>. For example, the respondents suggested</w:t>
      </w:r>
      <w:r w:rsidR="00850ACA" w:rsidRPr="00C64B4C">
        <w:rPr>
          <w:rFonts w:eastAsiaTheme="minorHAnsi"/>
          <w:noProof/>
          <w:sz w:val="24"/>
          <w:szCs w:val="24"/>
        </w:rPr>
        <w:t xml:space="preserve"> </w:t>
      </w:r>
      <w:r w:rsidR="00266F0B" w:rsidRPr="00C64B4C">
        <w:rPr>
          <w:rFonts w:eastAsiaTheme="minorHAnsi"/>
          <w:noProof/>
          <w:sz w:val="24"/>
          <w:szCs w:val="24"/>
        </w:rPr>
        <w:t>there was a need for</w:t>
      </w:r>
      <w:r w:rsidR="008C65AC" w:rsidRPr="00C64B4C">
        <w:rPr>
          <w:rFonts w:eastAsiaTheme="minorHAnsi"/>
          <w:noProof/>
          <w:sz w:val="24"/>
          <w:szCs w:val="24"/>
        </w:rPr>
        <w:t>: (i)</w:t>
      </w:r>
      <w:r w:rsidR="00850ACA" w:rsidRPr="00C64B4C">
        <w:rPr>
          <w:rFonts w:eastAsiaTheme="minorHAnsi"/>
          <w:noProof/>
          <w:sz w:val="24"/>
          <w:szCs w:val="24"/>
        </w:rPr>
        <w:t xml:space="preserve"> closer interaction between ESMA, </w:t>
      </w:r>
      <w:r w:rsidR="00B10498">
        <w:rPr>
          <w:rFonts w:eastAsiaTheme="minorHAnsi"/>
          <w:noProof/>
          <w:sz w:val="24"/>
          <w:szCs w:val="24"/>
        </w:rPr>
        <w:t>N</w:t>
      </w:r>
      <w:r w:rsidR="00DE715E" w:rsidRPr="00C64B4C">
        <w:rPr>
          <w:rFonts w:eastAsiaTheme="minorHAnsi"/>
          <w:noProof/>
          <w:sz w:val="24"/>
          <w:szCs w:val="24"/>
        </w:rPr>
        <w:t xml:space="preserve">ational </w:t>
      </w:r>
      <w:r w:rsidR="00B10498">
        <w:rPr>
          <w:rFonts w:eastAsiaTheme="minorHAnsi"/>
          <w:noProof/>
          <w:sz w:val="24"/>
          <w:szCs w:val="24"/>
        </w:rPr>
        <w:t>C</w:t>
      </w:r>
      <w:r w:rsidR="00DE715E" w:rsidRPr="00C64B4C">
        <w:rPr>
          <w:rFonts w:eastAsiaTheme="minorHAnsi"/>
          <w:noProof/>
          <w:sz w:val="24"/>
          <w:szCs w:val="24"/>
        </w:rPr>
        <w:t xml:space="preserve">ompetent </w:t>
      </w:r>
      <w:r w:rsidR="00B10498">
        <w:rPr>
          <w:rFonts w:eastAsiaTheme="minorHAnsi"/>
          <w:noProof/>
          <w:sz w:val="24"/>
          <w:szCs w:val="24"/>
        </w:rPr>
        <w:t>A</w:t>
      </w:r>
      <w:r w:rsidR="000F141F" w:rsidRPr="00C64B4C">
        <w:rPr>
          <w:rFonts w:eastAsiaTheme="minorHAnsi"/>
          <w:noProof/>
          <w:sz w:val="24"/>
          <w:szCs w:val="24"/>
        </w:rPr>
        <w:t>uthorities</w:t>
      </w:r>
      <w:r w:rsidR="00DE715E" w:rsidRPr="00C64B4C">
        <w:rPr>
          <w:rFonts w:eastAsiaTheme="minorHAnsi"/>
          <w:noProof/>
          <w:sz w:val="24"/>
          <w:szCs w:val="24"/>
        </w:rPr>
        <w:t xml:space="preserve"> </w:t>
      </w:r>
      <w:r w:rsidR="00850ACA" w:rsidRPr="00C64B4C">
        <w:rPr>
          <w:rFonts w:eastAsiaTheme="minorHAnsi"/>
          <w:noProof/>
          <w:sz w:val="24"/>
          <w:szCs w:val="24"/>
        </w:rPr>
        <w:t xml:space="preserve">and </w:t>
      </w:r>
      <w:r w:rsidR="00266F0B" w:rsidRPr="00C64B4C">
        <w:rPr>
          <w:rFonts w:eastAsiaTheme="minorHAnsi"/>
          <w:noProof/>
          <w:sz w:val="24"/>
          <w:szCs w:val="24"/>
        </w:rPr>
        <w:t>t</w:t>
      </w:r>
      <w:r w:rsidR="00850ACA" w:rsidRPr="00C64B4C">
        <w:rPr>
          <w:rFonts w:eastAsiaTheme="minorHAnsi"/>
          <w:noProof/>
          <w:sz w:val="24"/>
          <w:szCs w:val="24"/>
        </w:rPr>
        <w:t xml:space="preserve">rade </w:t>
      </w:r>
      <w:r w:rsidR="00266F0B" w:rsidRPr="00C64B4C">
        <w:rPr>
          <w:rFonts w:eastAsiaTheme="minorHAnsi"/>
          <w:noProof/>
          <w:sz w:val="24"/>
          <w:szCs w:val="24"/>
        </w:rPr>
        <w:t>r</w:t>
      </w:r>
      <w:r w:rsidR="00850ACA" w:rsidRPr="00C64B4C">
        <w:rPr>
          <w:rFonts w:eastAsiaTheme="minorHAnsi"/>
          <w:noProof/>
          <w:sz w:val="24"/>
          <w:szCs w:val="24"/>
        </w:rPr>
        <w:t>epositories</w:t>
      </w:r>
      <w:r w:rsidR="008C65AC" w:rsidRPr="00C64B4C">
        <w:rPr>
          <w:rFonts w:eastAsiaTheme="minorHAnsi"/>
          <w:noProof/>
          <w:sz w:val="24"/>
          <w:szCs w:val="24"/>
        </w:rPr>
        <w:t>;</w:t>
      </w:r>
      <w:r w:rsidR="00850ACA" w:rsidRPr="00C64B4C">
        <w:rPr>
          <w:rFonts w:eastAsiaTheme="minorHAnsi"/>
          <w:noProof/>
          <w:sz w:val="24"/>
          <w:szCs w:val="24"/>
        </w:rPr>
        <w:t xml:space="preserve"> </w:t>
      </w:r>
      <w:r w:rsidR="00266F0B" w:rsidRPr="00C64B4C">
        <w:rPr>
          <w:rFonts w:eastAsiaTheme="minorHAnsi"/>
          <w:noProof/>
          <w:sz w:val="24"/>
          <w:szCs w:val="24"/>
        </w:rPr>
        <w:t xml:space="preserve">and </w:t>
      </w:r>
      <w:r w:rsidR="008C65AC" w:rsidRPr="00C64B4C">
        <w:rPr>
          <w:rFonts w:eastAsiaTheme="minorHAnsi"/>
          <w:noProof/>
          <w:sz w:val="24"/>
          <w:szCs w:val="24"/>
        </w:rPr>
        <w:t>(ii)</w:t>
      </w:r>
      <w:r w:rsidR="00266F0B" w:rsidRPr="00C64B4C">
        <w:rPr>
          <w:rFonts w:eastAsiaTheme="minorHAnsi"/>
          <w:noProof/>
          <w:sz w:val="24"/>
          <w:szCs w:val="24"/>
        </w:rPr>
        <w:t xml:space="preserve"> </w:t>
      </w:r>
      <w:r w:rsidR="00D334C7" w:rsidRPr="00C64B4C">
        <w:rPr>
          <w:rFonts w:eastAsiaTheme="minorHAnsi"/>
          <w:noProof/>
          <w:sz w:val="24"/>
          <w:szCs w:val="24"/>
        </w:rPr>
        <w:t xml:space="preserve">more </w:t>
      </w:r>
      <w:r w:rsidR="00850ACA" w:rsidRPr="00C64B4C">
        <w:rPr>
          <w:rFonts w:eastAsiaTheme="minorHAnsi"/>
          <w:noProof/>
          <w:sz w:val="24"/>
          <w:szCs w:val="24"/>
        </w:rPr>
        <w:t xml:space="preserve">regular bilateral meetings between the supervisor and the supervised entity. </w:t>
      </w:r>
    </w:p>
    <w:p w14:paraId="02D6E157" w14:textId="77777777" w:rsidR="00850ACA" w:rsidRPr="00C64B4C" w:rsidRDefault="00850ACA" w:rsidP="00557637">
      <w:pPr>
        <w:jc w:val="both"/>
        <w:rPr>
          <w:rFonts w:eastAsiaTheme="minorHAnsi"/>
          <w:noProof/>
          <w:sz w:val="24"/>
          <w:szCs w:val="24"/>
        </w:rPr>
      </w:pPr>
    </w:p>
    <w:p w14:paraId="088F731E" w14:textId="305EE780" w:rsidR="00E75764" w:rsidRPr="00C64B4C" w:rsidRDefault="00266F0B" w:rsidP="00557637">
      <w:pPr>
        <w:jc w:val="both"/>
        <w:rPr>
          <w:rFonts w:eastAsiaTheme="minorHAnsi"/>
          <w:noProof/>
          <w:sz w:val="24"/>
          <w:szCs w:val="24"/>
        </w:rPr>
      </w:pPr>
      <w:r w:rsidRPr="00C64B4C">
        <w:rPr>
          <w:rFonts w:eastAsiaTheme="minorHAnsi"/>
          <w:noProof/>
          <w:sz w:val="24"/>
          <w:szCs w:val="24"/>
        </w:rPr>
        <w:t xml:space="preserve">On </w:t>
      </w:r>
      <w:r w:rsidR="00850ACA" w:rsidRPr="00C64B4C">
        <w:rPr>
          <w:rFonts w:eastAsiaTheme="minorHAnsi"/>
          <w:noProof/>
          <w:sz w:val="24"/>
          <w:szCs w:val="24"/>
        </w:rPr>
        <w:t>the future scope of direct supervisory powers, most respondents d</w:t>
      </w:r>
      <w:r w:rsidR="000F141F" w:rsidRPr="00C64B4C">
        <w:rPr>
          <w:rFonts w:eastAsiaTheme="minorHAnsi"/>
          <w:noProof/>
          <w:sz w:val="24"/>
          <w:szCs w:val="24"/>
        </w:rPr>
        <w:t>id</w:t>
      </w:r>
      <w:r w:rsidR="00850ACA" w:rsidRPr="00C64B4C">
        <w:rPr>
          <w:rFonts w:eastAsiaTheme="minorHAnsi"/>
          <w:noProof/>
          <w:sz w:val="24"/>
          <w:szCs w:val="24"/>
        </w:rPr>
        <w:t xml:space="preserve"> not see the need for further centralisation of supervision powers in the ESAs</w:t>
      </w:r>
      <w:r w:rsidR="00B65FE5" w:rsidRPr="00C64B4C">
        <w:rPr>
          <w:rFonts w:eastAsiaTheme="minorHAnsi"/>
          <w:noProof/>
          <w:sz w:val="24"/>
          <w:szCs w:val="24"/>
        </w:rPr>
        <w:t xml:space="preserve">, at least </w:t>
      </w:r>
      <w:r w:rsidR="0011097D" w:rsidRPr="00C64B4C">
        <w:rPr>
          <w:rFonts w:eastAsiaTheme="minorHAnsi"/>
          <w:noProof/>
          <w:sz w:val="24"/>
          <w:szCs w:val="24"/>
        </w:rPr>
        <w:t xml:space="preserve">not </w:t>
      </w:r>
      <w:r w:rsidR="00B65FE5" w:rsidRPr="00C64B4C">
        <w:rPr>
          <w:rFonts w:eastAsiaTheme="minorHAnsi"/>
          <w:noProof/>
          <w:sz w:val="24"/>
          <w:szCs w:val="24"/>
        </w:rPr>
        <w:t>at</w:t>
      </w:r>
      <w:r w:rsidR="00970B86" w:rsidRPr="00C64B4C">
        <w:rPr>
          <w:rFonts w:eastAsiaTheme="minorHAnsi"/>
          <w:noProof/>
          <w:sz w:val="24"/>
          <w:szCs w:val="24"/>
        </w:rPr>
        <w:t xml:space="preserve"> present</w:t>
      </w:r>
      <w:r w:rsidR="00B65FE5" w:rsidRPr="00C64B4C">
        <w:rPr>
          <w:rFonts w:eastAsiaTheme="minorHAnsi"/>
          <w:noProof/>
          <w:sz w:val="24"/>
          <w:szCs w:val="24"/>
        </w:rPr>
        <w:t>.</w:t>
      </w:r>
      <w:r w:rsidR="00850ACA" w:rsidRPr="00C64B4C">
        <w:rPr>
          <w:rFonts w:eastAsiaTheme="minorHAnsi"/>
          <w:noProof/>
          <w:sz w:val="24"/>
          <w:szCs w:val="24"/>
        </w:rPr>
        <w:t xml:space="preserve"> </w:t>
      </w:r>
      <w:r w:rsidR="000F141F" w:rsidRPr="00C64B4C">
        <w:rPr>
          <w:rFonts w:eastAsiaTheme="minorHAnsi"/>
          <w:noProof/>
          <w:sz w:val="24"/>
          <w:szCs w:val="24"/>
        </w:rPr>
        <w:t>The</w:t>
      </w:r>
      <w:r w:rsidR="00970B86" w:rsidRPr="00C64B4C">
        <w:rPr>
          <w:rFonts w:eastAsiaTheme="minorHAnsi"/>
          <w:noProof/>
          <w:sz w:val="24"/>
          <w:szCs w:val="24"/>
        </w:rPr>
        <w:t>se respondents</w:t>
      </w:r>
      <w:r w:rsidR="000617A5" w:rsidRPr="00C64B4C">
        <w:rPr>
          <w:rFonts w:eastAsiaTheme="minorHAnsi"/>
          <w:noProof/>
          <w:sz w:val="24"/>
          <w:szCs w:val="24"/>
        </w:rPr>
        <w:t xml:space="preserve"> </w:t>
      </w:r>
      <w:r w:rsidR="00850ACA" w:rsidRPr="00C64B4C">
        <w:rPr>
          <w:rFonts w:eastAsiaTheme="minorHAnsi"/>
          <w:noProof/>
          <w:sz w:val="24"/>
          <w:szCs w:val="24"/>
        </w:rPr>
        <w:t>argue</w:t>
      </w:r>
      <w:r w:rsidR="000F141F" w:rsidRPr="00C64B4C">
        <w:rPr>
          <w:rFonts w:eastAsiaTheme="minorHAnsi"/>
          <w:noProof/>
          <w:sz w:val="24"/>
          <w:szCs w:val="24"/>
        </w:rPr>
        <w:t>d</w:t>
      </w:r>
      <w:r w:rsidR="00850ACA" w:rsidRPr="00C64B4C">
        <w:rPr>
          <w:rFonts w:eastAsiaTheme="minorHAnsi"/>
          <w:noProof/>
          <w:sz w:val="24"/>
          <w:szCs w:val="24"/>
        </w:rPr>
        <w:t xml:space="preserve"> that</w:t>
      </w:r>
      <w:r w:rsidR="00970B86" w:rsidRPr="00C64B4C">
        <w:rPr>
          <w:rFonts w:eastAsiaTheme="minorHAnsi"/>
          <w:noProof/>
          <w:sz w:val="24"/>
          <w:szCs w:val="24"/>
        </w:rPr>
        <w:t>:</w:t>
      </w:r>
      <w:r w:rsidR="00850ACA" w:rsidRPr="00C64B4C">
        <w:rPr>
          <w:rFonts w:eastAsiaTheme="minorHAnsi"/>
          <w:noProof/>
          <w:sz w:val="24"/>
          <w:szCs w:val="24"/>
        </w:rPr>
        <w:t xml:space="preserve"> </w:t>
      </w:r>
      <w:r w:rsidR="00603987" w:rsidRPr="00C64B4C">
        <w:rPr>
          <w:rFonts w:eastAsiaTheme="minorHAnsi"/>
          <w:noProof/>
          <w:sz w:val="24"/>
          <w:szCs w:val="24"/>
        </w:rPr>
        <w:t>(</w:t>
      </w:r>
      <w:r w:rsidR="00970B86" w:rsidRPr="00C64B4C">
        <w:rPr>
          <w:rFonts w:eastAsiaTheme="minorHAnsi"/>
          <w:noProof/>
          <w:sz w:val="24"/>
          <w:szCs w:val="24"/>
        </w:rPr>
        <w:t>i</w:t>
      </w:r>
      <w:r w:rsidR="00603987" w:rsidRPr="00C64B4C">
        <w:rPr>
          <w:rFonts w:eastAsiaTheme="minorHAnsi"/>
          <w:noProof/>
          <w:sz w:val="24"/>
          <w:szCs w:val="24"/>
        </w:rPr>
        <w:t xml:space="preserve">) </w:t>
      </w:r>
      <w:r w:rsidR="00850ACA" w:rsidRPr="00C64B4C">
        <w:rPr>
          <w:rFonts w:eastAsiaTheme="minorHAnsi"/>
          <w:noProof/>
          <w:sz w:val="24"/>
          <w:szCs w:val="24"/>
        </w:rPr>
        <w:t xml:space="preserve">most </w:t>
      </w:r>
      <w:r w:rsidR="00970B86" w:rsidRPr="00C64B4C">
        <w:rPr>
          <w:rFonts w:eastAsiaTheme="minorHAnsi"/>
          <w:noProof/>
          <w:sz w:val="24"/>
          <w:szCs w:val="24"/>
        </w:rPr>
        <w:t>capital-</w:t>
      </w:r>
      <w:r w:rsidR="00850ACA" w:rsidRPr="00C64B4C">
        <w:rPr>
          <w:rFonts w:eastAsiaTheme="minorHAnsi"/>
          <w:noProof/>
          <w:sz w:val="24"/>
          <w:szCs w:val="24"/>
        </w:rPr>
        <w:t>market</w:t>
      </w:r>
      <w:r w:rsidR="0011097D" w:rsidRPr="00C64B4C">
        <w:rPr>
          <w:rFonts w:eastAsiaTheme="minorHAnsi"/>
          <w:noProof/>
          <w:sz w:val="24"/>
          <w:szCs w:val="24"/>
        </w:rPr>
        <w:t xml:space="preserve"> operator</w:t>
      </w:r>
      <w:r w:rsidR="00850ACA" w:rsidRPr="00C64B4C">
        <w:rPr>
          <w:rFonts w:eastAsiaTheme="minorHAnsi"/>
          <w:noProof/>
          <w:sz w:val="24"/>
          <w:szCs w:val="24"/>
        </w:rPr>
        <w:t xml:space="preserve">s should continue to be </w:t>
      </w:r>
      <w:r w:rsidR="00B65FE5" w:rsidRPr="00C64B4C">
        <w:rPr>
          <w:rFonts w:eastAsiaTheme="minorHAnsi"/>
          <w:noProof/>
          <w:sz w:val="24"/>
          <w:szCs w:val="24"/>
        </w:rPr>
        <w:t xml:space="preserve">supervised by </w:t>
      </w:r>
      <w:r w:rsidR="00B10498">
        <w:rPr>
          <w:rFonts w:eastAsiaTheme="minorHAnsi"/>
          <w:noProof/>
          <w:sz w:val="24"/>
          <w:szCs w:val="24"/>
        </w:rPr>
        <w:t>N</w:t>
      </w:r>
      <w:r w:rsidR="00970B86" w:rsidRPr="00C64B4C">
        <w:rPr>
          <w:rFonts w:eastAsiaTheme="minorHAnsi"/>
          <w:noProof/>
          <w:sz w:val="24"/>
          <w:szCs w:val="24"/>
        </w:rPr>
        <w:t xml:space="preserve">ational </w:t>
      </w:r>
      <w:r w:rsidR="00B10498">
        <w:rPr>
          <w:rFonts w:eastAsiaTheme="minorHAnsi"/>
          <w:noProof/>
          <w:sz w:val="24"/>
          <w:szCs w:val="24"/>
        </w:rPr>
        <w:t>C</w:t>
      </w:r>
      <w:r w:rsidR="00B65FE5" w:rsidRPr="00C64B4C">
        <w:rPr>
          <w:rFonts w:eastAsiaTheme="minorHAnsi"/>
          <w:noProof/>
          <w:sz w:val="24"/>
          <w:szCs w:val="24"/>
        </w:rPr>
        <w:t xml:space="preserve">ompetent </w:t>
      </w:r>
      <w:r w:rsidR="00B10498">
        <w:rPr>
          <w:rFonts w:eastAsiaTheme="minorHAnsi"/>
          <w:noProof/>
          <w:sz w:val="24"/>
          <w:szCs w:val="24"/>
        </w:rPr>
        <w:t>A</w:t>
      </w:r>
      <w:r w:rsidR="00B65FE5" w:rsidRPr="00C64B4C">
        <w:rPr>
          <w:rFonts w:eastAsiaTheme="minorHAnsi"/>
          <w:noProof/>
          <w:sz w:val="24"/>
          <w:szCs w:val="24"/>
        </w:rPr>
        <w:t>uthorities</w:t>
      </w:r>
      <w:r w:rsidR="00850ACA" w:rsidRPr="00C64B4C">
        <w:rPr>
          <w:rFonts w:eastAsiaTheme="minorHAnsi"/>
          <w:noProof/>
          <w:sz w:val="24"/>
          <w:szCs w:val="24"/>
        </w:rPr>
        <w:t xml:space="preserve"> given their greater pro</w:t>
      </w:r>
      <w:r w:rsidR="008E05B2" w:rsidRPr="00C64B4C">
        <w:rPr>
          <w:rFonts w:eastAsiaTheme="minorHAnsi"/>
          <w:noProof/>
          <w:sz w:val="24"/>
          <w:szCs w:val="24"/>
        </w:rPr>
        <w:t>ximity and local knowledge</w:t>
      </w:r>
      <w:r w:rsidR="00970B86" w:rsidRPr="00C64B4C">
        <w:rPr>
          <w:rFonts w:eastAsiaTheme="minorHAnsi"/>
          <w:noProof/>
          <w:sz w:val="24"/>
          <w:szCs w:val="24"/>
        </w:rPr>
        <w:t>;</w:t>
      </w:r>
      <w:r w:rsidR="00850ACA" w:rsidRPr="00C64B4C">
        <w:rPr>
          <w:rFonts w:eastAsiaTheme="minorHAnsi"/>
          <w:noProof/>
          <w:sz w:val="24"/>
          <w:szCs w:val="24"/>
        </w:rPr>
        <w:t xml:space="preserve"> </w:t>
      </w:r>
      <w:r w:rsidR="00603987" w:rsidRPr="00C64B4C">
        <w:rPr>
          <w:rFonts w:eastAsiaTheme="minorHAnsi"/>
          <w:noProof/>
          <w:sz w:val="24"/>
          <w:szCs w:val="24"/>
        </w:rPr>
        <w:t>(</w:t>
      </w:r>
      <w:r w:rsidR="00970B86" w:rsidRPr="00C64B4C">
        <w:rPr>
          <w:rFonts w:eastAsiaTheme="minorHAnsi"/>
          <w:noProof/>
          <w:sz w:val="24"/>
          <w:szCs w:val="24"/>
        </w:rPr>
        <w:t>ii</w:t>
      </w:r>
      <w:r w:rsidR="00603987" w:rsidRPr="00C64B4C">
        <w:rPr>
          <w:rFonts w:eastAsiaTheme="minorHAnsi"/>
          <w:noProof/>
          <w:sz w:val="24"/>
          <w:szCs w:val="24"/>
        </w:rPr>
        <w:t xml:space="preserve">) </w:t>
      </w:r>
      <w:r w:rsidR="00850ACA" w:rsidRPr="00C64B4C">
        <w:rPr>
          <w:rFonts w:eastAsiaTheme="minorHAnsi"/>
          <w:noProof/>
          <w:sz w:val="24"/>
          <w:szCs w:val="24"/>
        </w:rPr>
        <w:t xml:space="preserve">the ESAs have been set up as member-driven organisations with the objective of improving supervisory convergence among </w:t>
      </w:r>
      <w:r w:rsidR="00B10498">
        <w:rPr>
          <w:rFonts w:eastAsiaTheme="minorHAnsi"/>
          <w:noProof/>
          <w:sz w:val="24"/>
          <w:szCs w:val="24"/>
        </w:rPr>
        <w:t>N</w:t>
      </w:r>
      <w:r w:rsidR="00DE715E" w:rsidRPr="00C64B4C">
        <w:rPr>
          <w:rFonts w:eastAsiaTheme="minorHAnsi"/>
          <w:noProof/>
          <w:sz w:val="24"/>
          <w:szCs w:val="24"/>
        </w:rPr>
        <w:t xml:space="preserve">ational </w:t>
      </w:r>
      <w:r w:rsidR="00B10498">
        <w:rPr>
          <w:rFonts w:eastAsiaTheme="minorHAnsi"/>
          <w:noProof/>
          <w:sz w:val="24"/>
          <w:szCs w:val="24"/>
        </w:rPr>
        <w:t>C</w:t>
      </w:r>
      <w:r w:rsidR="00DE715E" w:rsidRPr="00C64B4C">
        <w:rPr>
          <w:rFonts w:eastAsiaTheme="minorHAnsi"/>
          <w:noProof/>
          <w:sz w:val="24"/>
          <w:szCs w:val="24"/>
        </w:rPr>
        <w:t xml:space="preserve">ompetent </w:t>
      </w:r>
      <w:r w:rsidR="00B10498">
        <w:rPr>
          <w:rFonts w:eastAsiaTheme="minorHAnsi"/>
          <w:noProof/>
          <w:sz w:val="24"/>
          <w:szCs w:val="24"/>
        </w:rPr>
        <w:t>A</w:t>
      </w:r>
      <w:r w:rsidR="00DE715E" w:rsidRPr="00C64B4C">
        <w:rPr>
          <w:rFonts w:eastAsiaTheme="minorHAnsi"/>
          <w:noProof/>
          <w:sz w:val="24"/>
          <w:szCs w:val="24"/>
        </w:rPr>
        <w:t>uthorities</w:t>
      </w:r>
      <w:r w:rsidR="00970B86" w:rsidRPr="00C64B4C">
        <w:rPr>
          <w:rFonts w:eastAsiaTheme="minorHAnsi"/>
          <w:noProof/>
          <w:sz w:val="24"/>
          <w:szCs w:val="24"/>
        </w:rPr>
        <w:t>;</w:t>
      </w:r>
      <w:r w:rsidR="00850ACA" w:rsidRPr="00C64B4C">
        <w:rPr>
          <w:rFonts w:eastAsiaTheme="minorHAnsi"/>
          <w:noProof/>
          <w:sz w:val="24"/>
          <w:szCs w:val="24"/>
        </w:rPr>
        <w:t xml:space="preserve"> and </w:t>
      </w:r>
      <w:r w:rsidR="00603987" w:rsidRPr="00C64B4C">
        <w:rPr>
          <w:rFonts w:eastAsiaTheme="minorHAnsi"/>
          <w:noProof/>
          <w:sz w:val="24"/>
          <w:szCs w:val="24"/>
        </w:rPr>
        <w:t>(</w:t>
      </w:r>
      <w:r w:rsidR="00970B86" w:rsidRPr="00C64B4C">
        <w:rPr>
          <w:rFonts w:eastAsiaTheme="minorHAnsi"/>
          <w:noProof/>
          <w:sz w:val="24"/>
          <w:szCs w:val="24"/>
        </w:rPr>
        <w:t>iii</w:t>
      </w:r>
      <w:r w:rsidR="00603987" w:rsidRPr="00C64B4C">
        <w:rPr>
          <w:rFonts w:eastAsiaTheme="minorHAnsi"/>
          <w:noProof/>
          <w:sz w:val="24"/>
          <w:szCs w:val="24"/>
        </w:rPr>
        <w:t>)</w:t>
      </w:r>
      <w:r w:rsidR="00850ACA" w:rsidRPr="00C64B4C">
        <w:rPr>
          <w:rFonts w:eastAsiaTheme="minorHAnsi"/>
          <w:noProof/>
          <w:sz w:val="24"/>
          <w:szCs w:val="24"/>
        </w:rPr>
        <w:t xml:space="preserve"> the principles of subsidiarity and proportionality</w:t>
      </w:r>
      <w:r w:rsidR="00970B86" w:rsidRPr="00C64B4C">
        <w:rPr>
          <w:rFonts w:eastAsiaTheme="minorHAnsi"/>
          <w:noProof/>
          <w:sz w:val="24"/>
          <w:szCs w:val="24"/>
        </w:rPr>
        <w:t xml:space="preserve"> mean it is not necessary to centralise powers further</w:t>
      </w:r>
      <w:r w:rsidR="00850ACA" w:rsidRPr="00C64B4C">
        <w:rPr>
          <w:rFonts w:eastAsiaTheme="minorHAnsi"/>
          <w:noProof/>
          <w:sz w:val="24"/>
          <w:szCs w:val="24"/>
        </w:rPr>
        <w:t>.</w:t>
      </w:r>
      <w:r w:rsidR="00E75764" w:rsidRPr="00C64B4C">
        <w:rPr>
          <w:rFonts w:eastAsiaTheme="minorHAnsi"/>
          <w:noProof/>
          <w:sz w:val="24"/>
          <w:szCs w:val="24"/>
        </w:rPr>
        <w:t xml:space="preserve"> </w:t>
      </w:r>
      <w:r w:rsidR="00970B86" w:rsidRPr="00C64B4C">
        <w:rPr>
          <w:rFonts w:eastAsiaTheme="minorHAnsi"/>
          <w:noProof/>
          <w:sz w:val="24"/>
          <w:szCs w:val="24"/>
        </w:rPr>
        <w:t>Nevertheless, o</w:t>
      </w:r>
      <w:r w:rsidR="000F141F" w:rsidRPr="00C64B4C">
        <w:rPr>
          <w:rFonts w:eastAsiaTheme="minorHAnsi"/>
          <w:noProof/>
          <w:sz w:val="24"/>
          <w:szCs w:val="24"/>
        </w:rPr>
        <w:t>ther</w:t>
      </w:r>
      <w:r w:rsidR="008A331C" w:rsidRPr="00C64B4C">
        <w:rPr>
          <w:rFonts w:eastAsiaTheme="minorHAnsi"/>
          <w:noProof/>
          <w:sz w:val="24"/>
          <w:szCs w:val="24"/>
        </w:rPr>
        <w:t xml:space="preserve"> r</w:t>
      </w:r>
      <w:r w:rsidR="00E75764" w:rsidRPr="00C64B4C">
        <w:rPr>
          <w:rFonts w:eastAsiaTheme="minorHAnsi"/>
          <w:noProof/>
          <w:sz w:val="24"/>
          <w:szCs w:val="24"/>
        </w:rPr>
        <w:t xml:space="preserve">espondents from </w:t>
      </w:r>
      <w:r w:rsidR="00970B86" w:rsidRPr="00C64B4C">
        <w:rPr>
          <w:rFonts w:eastAsiaTheme="minorHAnsi"/>
          <w:noProof/>
          <w:sz w:val="24"/>
          <w:szCs w:val="24"/>
        </w:rPr>
        <w:t xml:space="preserve">both </w:t>
      </w:r>
      <w:r w:rsidR="00E75764" w:rsidRPr="00C64B4C">
        <w:rPr>
          <w:rFonts w:eastAsiaTheme="minorHAnsi"/>
          <w:noProof/>
          <w:sz w:val="24"/>
          <w:szCs w:val="24"/>
        </w:rPr>
        <w:t>public authorities and industry th</w:t>
      </w:r>
      <w:r w:rsidR="000F141F" w:rsidRPr="00C64B4C">
        <w:rPr>
          <w:rFonts w:eastAsiaTheme="minorHAnsi"/>
          <w:noProof/>
          <w:sz w:val="24"/>
          <w:szCs w:val="24"/>
        </w:rPr>
        <w:t>ought</w:t>
      </w:r>
      <w:r w:rsidR="00E75764" w:rsidRPr="00C64B4C">
        <w:rPr>
          <w:rFonts w:eastAsiaTheme="minorHAnsi"/>
          <w:noProof/>
          <w:sz w:val="24"/>
          <w:szCs w:val="24"/>
        </w:rPr>
        <w:t xml:space="preserve"> that direct supervision should be considered</w:t>
      </w:r>
      <w:r w:rsidR="004B5820" w:rsidRPr="00C64B4C">
        <w:rPr>
          <w:rFonts w:eastAsiaTheme="minorHAnsi"/>
          <w:noProof/>
          <w:sz w:val="24"/>
          <w:szCs w:val="24"/>
        </w:rPr>
        <w:t xml:space="preserve"> </w:t>
      </w:r>
      <w:r w:rsidR="00970B86" w:rsidRPr="00C64B4C">
        <w:rPr>
          <w:rFonts w:eastAsiaTheme="minorHAnsi"/>
          <w:noProof/>
          <w:sz w:val="24"/>
          <w:szCs w:val="24"/>
        </w:rPr>
        <w:t>in specific areas of capital markets where it would</w:t>
      </w:r>
      <w:r w:rsidR="004B5820" w:rsidRPr="00C64B4C">
        <w:rPr>
          <w:rFonts w:eastAsiaTheme="minorHAnsi"/>
          <w:noProof/>
          <w:sz w:val="24"/>
          <w:szCs w:val="24"/>
        </w:rPr>
        <w:t xml:space="preserve"> add value</w:t>
      </w:r>
      <w:r w:rsidR="00970B86" w:rsidRPr="00C64B4C">
        <w:rPr>
          <w:rFonts w:eastAsiaTheme="minorHAnsi"/>
          <w:noProof/>
          <w:sz w:val="24"/>
          <w:szCs w:val="24"/>
        </w:rPr>
        <w:t>. These areas where direct supervision should be considered are</w:t>
      </w:r>
      <w:r w:rsidR="00E75764" w:rsidRPr="00C64B4C">
        <w:rPr>
          <w:rFonts w:eastAsiaTheme="minorHAnsi"/>
          <w:noProof/>
          <w:sz w:val="24"/>
          <w:szCs w:val="24"/>
        </w:rPr>
        <w:t xml:space="preserve">, </w:t>
      </w:r>
      <w:r w:rsidR="003B6C17" w:rsidRPr="00C64B4C">
        <w:rPr>
          <w:rFonts w:eastAsiaTheme="minorHAnsi"/>
          <w:noProof/>
          <w:sz w:val="24"/>
          <w:szCs w:val="24"/>
        </w:rPr>
        <w:t>namely:</w:t>
      </w:r>
    </w:p>
    <w:p w14:paraId="023FF556" w14:textId="77777777" w:rsidR="00E75764" w:rsidRPr="00C64B4C" w:rsidRDefault="00E75764" w:rsidP="00557637">
      <w:pPr>
        <w:jc w:val="both"/>
        <w:rPr>
          <w:rFonts w:eastAsiaTheme="minorHAnsi"/>
          <w:noProof/>
          <w:sz w:val="24"/>
          <w:szCs w:val="24"/>
        </w:rPr>
      </w:pPr>
    </w:p>
    <w:p w14:paraId="6AB38786" w14:textId="77777777" w:rsidR="00E75764" w:rsidRPr="00C64B4C" w:rsidRDefault="00970B86" w:rsidP="00557637">
      <w:pPr>
        <w:pStyle w:val="ListParagraph"/>
        <w:numPr>
          <w:ilvl w:val="0"/>
          <w:numId w:val="17"/>
        </w:numPr>
        <w:jc w:val="both"/>
        <w:rPr>
          <w:rFonts w:ascii="Times New Roman" w:hAnsi="Times New Roman" w:cs="Times New Roman"/>
          <w:noProof/>
          <w:sz w:val="24"/>
          <w:szCs w:val="24"/>
        </w:rPr>
      </w:pPr>
      <w:r w:rsidRPr="00C64B4C">
        <w:rPr>
          <w:rFonts w:ascii="Times New Roman" w:hAnsi="Times New Roman" w:cs="Times New Roman"/>
          <w:noProof/>
          <w:sz w:val="24"/>
          <w:szCs w:val="24"/>
        </w:rPr>
        <w:t>e</w:t>
      </w:r>
      <w:r w:rsidR="00563C89" w:rsidRPr="00C64B4C">
        <w:rPr>
          <w:rFonts w:ascii="Times New Roman" w:hAnsi="Times New Roman" w:cs="Times New Roman"/>
          <w:noProof/>
          <w:sz w:val="24"/>
          <w:szCs w:val="24"/>
        </w:rPr>
        <w:t xml:space="preserve">nvironmental, </w:t>
      </w:r>
      <w:r w:rsidRPr="00C64B4C">
        <w:rPr>
          <w:rFonts w:ascii="Times New Roman" w:hAnsi="Times New Roman" w:cs="Times New Roman"/>
          <w:noProof/>
          <w:sz w:val="24"/>
          <w:szCs w:val="24"/>
        </w:rPr>
        <w:t>s</w:t>
      </w:r>
      <w:r w:rsidR="00563C89" w:rsidRPr="00C64B4C">
        <w:rPr>
          <w:rFonts w:ascii="Times New Roman" w:hAnsi="Times New Roman" w:cs="Times New Roman"/>
          <w:noProof/>
          <w:sz w:val="24"/>
          <w:szCs w:val="24"/>
        </w:rPr>
        <w:t xml:space="preserve">ocial and </w:t>
      </w:r>
      <w:r w:rsidRPr="00C64B4C">
        <w:rPr>
          <w:rFonts w:ascii="Times New Roman" w:hAnsi="Times New Roman" w:cs="Times New Roman"/>
          <w:noProof/>
          <w:sz w:val="24"/>
          <w:szCs w:val="24"/>
        </w:rPr>
        <w:t>g</w:t>
      </w:r>
      <w:r w:rsidR="00563C89" w:rsidRPr="00C64B4C">
        <w:rPr>
          <w:rFonts w:ascii="Times New Roman" w:hAnsi="Times New Roman" w:cs="Times New Roman"/>
          <w:noProof/>
          <w:sz w:val="24"/>
          <w:szCs w:val="24"/>
        </w:rPr>
        <w:t>overnance (</w:t>
      </w:r>
      <w:r w:rsidR="00E75764" w:rsidRPr="00C64B4C">
        <w:rPr>
          <w:rFonts w:ascii="Times New Roman" w:hAnsi="Times New Roman" w:cs="Times New Roman"/>
          <w:noProof/>
          <w:sz w:val="24"/>
          <w:szCs w:val="24"/>
        </w:rPr>
        <w:t>ESG</w:t>
      </w:r>
      <w:r w:rsidR="00563C89" w:rsidRPr="00C64B4C">
        <w:rPr>
          <w:rFonts w:ascii="Times New Roman" w:hAnsi="Times New Roman" w:cs="Times New Roman"/>
          <w:noProof/>
          <w:sz w:val="24"/>
          <w:szCs w:val="24"/>
        </w:rPr>
        <w:t>)</w:t>
      </w:r>
      <w:r w:rsidR="00E75764" w:rsidRPr="00C64B4C">
        <w:rPr>
          <w:rFonts w:ascii="Times New Roman" w:hAnsi="Times New Roman" w:cs="Times New Roman"/>
          <w:noProof/>
          <w:sz w:val="24"/>
          <w:szCs w:val="24"/>
        </w:rPr>
        <w:t xml:space="preserve"> rating agencies, ESG data providers</w:t>
      </w:r>
      <w:r w:rsidR="002652F1" w:rsidRPr="00C64B4C">
        <w:rPr>
          <w:rFonts w:ascii="Times New Roman" w:hAnsi="Times New Roman" w:cs="Times New Roman"/>
          <w:noProof/>
          <w:sz w:val="24"/>
          <w:szCs w:val="24"/>
        </w:rPr>
        <w:t>,</w:t>
      </w:r>
      <w:r w:rsidR="00E75764" w:rsidRPr="00C64B4C">
        <w:rPr>
          <w:rFonts w:ascii="Times New Roman" w:hAnsi="Times New Roman" w:cs="Times New Roman"/>
          <w:noProof/>
          <w:sz w:val="24"/>
          <w:szCs w:val="24"/>
        </w:rPr>
        <w:t xml:space="preserve"> and sustainability-related service providers</w:t>
      </w:r>
      <w:r w:rsidRPr="00C64B4C">
        <w:rPr>
          <w:rFonts w:ascii="Times New Roman" w:hAnsi="Times New Roman" w:cs="Times New Roman"/>
          <w:noProof/>
          <w:sz w:val="24"/>
          <w:szCs w:val="24"/>
        </w:rPr>
        <w:t>;</w:t>
      </w:r>
    </w:p>
    <w:p w14:paraId="0462FF79" w14:textId="77777777" w:rsidR="00850ACA" w:rsidRPr="00C64B4C" w:rsidRDefault="009B7C12" w:rsidP="00557637">
      <w:pPr>
        <w:pStyle w:val="ListParagraph"/>
        <w:numPr>
          <w:ilvl w:val="0"/>
          <w:numId w:val="17"/>
        </w:numPr>
        <w:jc w:val="both"/>
        <w:rPr>
          <w:rFonts w:ascii="Times New Roman" w:hAnsi="Times New Roman" w:cs="Times New Roman"/>
          <w:noProof/>
          <w:sz w:val="24"/>
          <w:szCs w:val="24"/>
        </w:rPr>
      </w:pPr>
      <w:r w:rsidRPr="00C64B4C">
        <w:rPr>
          <w:rFonts w:ascii="Times New Roman" w:hAnsi="Times New Roman" w:cs="Times New Roman"/>
          <w:noProof/>
          <w:sz w:val="24"/>
          <w:szCs w:val="24"/>
        </w:rPr>
        <w:t>p</w:t>
      </w:r>
      <w:r w:rsidR="00E75764" w:rsidRPr="00C64B4C">
        <w:rPr>
          <w:rFonts w:ascii="Times New Roman" w:hAnsi="Times New Roman" w:cs="Times New Roman"/>
          <w:noProof/>
          <w:sz w:val="24"/>
          <w:szCs w:val="24"/>
        </w:rPr>
        <w:t xml:space="preserve">an-European market infrastructures such as EU CCPs. </w:t>
      </w:r>
    </w:p>
    <w:p w14:paraId="64EF75BC" w14:textId="77777777" w:rsidR="00C64B4C" w:rsidRPr="00C64B4C" w:rsidRDefault="00C64B4C" w:rsidP="00C64B4C">
      <w:pPr>
        <w:pStyle w:val="ListParagraph"/>
        <w:jc w:val="both"/>
        <w:rPr>
          <w:rFonts w:ascii="Times New Roman" w:hAnsi="Times New Roman" w:cs="Times New Roman"/>
          <w:noProof/>
          <w:sz w:val="24"/>
          <w:szCs w:val="24"/>
        </w:rPr>
      </w:pPr>
    </w:p>
    <w:p w14:paraId="518490A7" w14:textId="77777777" w:rsidR="00693C4C" w:rsidRDefault="0089184F" w:rsidP="00557637">
      <w:pPr>
        <w:jc w:val="both"/>
        <w:rPr>
          <w:rFonts w:eastAsiaTheme="minorHAnsi"/>
          <w:noProof/>
          <w:sz w:val="24"/>
          <w:szCs w:val="24"/>
        </w:rPr>
      </w:pPr>
      <w:r w:rsidRPr="00C64B4C">
        <w:rPr>
          <w:rFonts w:eastAsiaTheme="minorHAnsi"/>
          <w:noProof/>
          <w:sz w:val="24"/>
          <w:szCs w:val="24"/>
        </w:rPr>
        <w:t>A</w:t>
      </w:r>
      <w:r w:rsidR="00850ACA" w:rsidRPr="00C64B4C">
        <w:rPr>
          <w:rFonts w:eastAsiaTheme="minorHAnsi"/>
          <w:noProof/>
          <w:sz w:val="24"/>
          <w:szCs w:val="24"/>
        </w:rPr>
        <w:t xml:space="preserve"> number of public authorities </w:t>
      </w:r>
      <w:r w:rsidR="009F6957" w:rsidRPr="00C64B4C">
        <w:rPr>
          <w:rFonts w:eastAsiaTheme="minorHAnsi"/>
          <w:noProof/>
          <w:sz w:val="24"/>
          <w:szCs w:val="24"/>
        </w:rPr>
        <w:t>we</w:t>
      </w:r>
      <w:r w:rsidR="00850ACA" w:rsidRPr="00C64B4C">
        <w:rPr>
          <w:rFonts w:eastAsiaTheme="minorHAnsi"/>
          <w:noProof/>
          <w:sz w:val="24"/>
          <w:szCs w:val="24"/>
        </w:rPr>
        <w:t>re of the view that the decision to confer direct</w:t>
      </w:r>
      <w:r w:rsidR="00DE4345" w:rsidRPr="00C64B4C">
        <w:rPr>
          <w:rFonts w:eastAsiaTheme="minorHAnsi"/>
          <w:noProof/>
          <w:sz w:val="24"/>
          <w:szCs w:val="24"/>
        </w:rPr>
        <w:t>-</w:t>
      </w:r>
      <w:r w:rsidR="00850ACA" w:rsidRPr="00C64B4C">
        <w:rPr>
          <w:rFonts w:eastAsiaTheme="minorHAnsi"/>
          <w:noProof/>
          <w:sz w:val="24"/>
          <w:szCs w:val="24"/>
        </w:rPr>
        <w:t xml:space="preserve">supervision powers to the ESAs should be based on evidence and a set of clear criteria. </w:t>
      </w:r>
    </w:p>
    <w:p w14:paraId="65AE2AF6" w14:textId="77777777" w:rsidR="003350CE" w:rsidRPr="00C64B4C" w:rsidRDefault="003350CE" w:rsidP="00557637">
      <w:pPr>
        <w:jc w:val="both"/>
        <w:rPr>
          <w:rFonts w:eastAsiaTheme="minorHAnsi"/>
          <w:noProof/>
          <w:sz w:val="24"/>
          <w:szCs w:val="24"/>
        </w:rPr>
      </w:pPr>
    </w:p>
    <w:p w14:paraId="65B30677" w14:textId="77777777" w:rsidR="00942EFA" w:rsidRPr="00C64B4C" w:rsidRDefault="00942EFA" w:rsidP="00557637">
      <w:pPr>
        <w:jc w:val="both"/>
        <w:rPr>
          <w:rFonts w:eastAsiaTheme="minorHAnsi"/>
          <w:noProof/>
          <w:sz w:val="24"/>
          <w:szCs w:val="24"/>
        </w:rPr>
      </w:pPr>
    </w:p>
    <w:p w14:paraId="200C010A" w14:textId="77777777" w:rsidR="001A79D3" w:rsidRPr="00C64B4C" w:rsidRDefault="000A767E" w:rsidP="00557637">
      <w:pPr>
        <w:jc w:val="both"/>
        <w:rPr>
          <w:rFonts w:eastAsiaTheme="minorHAnsi"/>
          <w:noProof/>
          <w:sz w:val="24"/>
          <w:szCs w:val="24"/>
          <w:u w:val="single"/>
        </w:rPr>
      </w:pPr>
      <w:r w:rsidRPr="00C64B4C">
        <w:rPr>
          <w:rFonts w:eastAsiaTheme="minorHAnsi"/>
          <w:noProof/>
          <w:sz w:val="24"/>
          <w:szCs w:val="24"/>
          <w:u w:val="single"/>
        </w:rPr>
        <w:t>A</w:t>
      </w:r>
      <w:r w:rsidR="00000E6F" w:rsidRPr="00C64B4C">
        <w:rPr>
          <w:rFonts w:eastAsiaTheme="minorHAnsi"/>
          <w:noProof/>
          <w:sz w:val="24"/>
          <w:szCs w:val="24"/>
          <w:u w:val="single"/>
        </w:rPr>
        <w:t>ssessment</w:t>
      </w:r>
      <w:r w:rsidRPr="00C64B4C">
        <w:rPr>
          <w:rFonts w:eastAsiaTheme="minorHAnsi"/>
          <w:noProof/>
          <w:sz w:val="24"/>
          <w:szCs w:val="24"/>
          <w:u w:val="single"/>
        </w:rPr>
        <w:t xml:space="preserve"> of the Commission</w:t>
      </w:r>
    </w:p>
    <w:p w14:paraId="07908F23" w14:textId="77777777" w:rsidR="001A79D3" w:rsidRPr="00C64B4C" w:rsidRDefault="001A79D3" w:rsidP="00557637">
      <w:pPr>
        <w:jc w:val="both"/>
        <w:rPr>
          <w:rFonts w:eastAsiaTheme="minorHAnsi"/>
          <w:noProof/>
          <w:sz w:val="24"/>
          <w:szCs w:val="24"/>
        </w:rPr>
      </w:pPr>
    </w:p>
    <w:p w14:paraId="4FCFF586" w14:textId="4768AB05" w:rsidR="000617A5" w:rsidRPr="00C64B4C" w:rsidRDefault="004F2EC6" w:rsidP="00557637">
      <w:pPr>
        <w:jc w:val="both"/>
        <w:rPr>
          <w:rFonts w:eastAsiaTheme="minorHAnsi"/>
          <w:noProof/>
          <w:sz w:val="24"/>
          <w:szCs w:val="24"/>
        </w:rPr>
      </w:pPr>
      <w:r w:rsidRPr="00C64B4C">
        <w:rPr>
          <w:rFonts w:eastAsiaTheme="minorHAnsi"/>
          <w:noProof/>
          <w:sz w:val="24"/>
          <w:szCs w:val="24"/>
        </w:rPr>
        <w:t xml:space="preserve">In line with the </w:t>
      </w:r>
      <w:r w:rsidR="00970B86" w:rsidRPr="00C64B4C">
        <w:rPr>
          <w:rFonts w:eastAsiaTheme="minorHAnsi"/>
          <w:noProof/>
          <w:sz w:val="24"/>
          <w:szCs w:val="24"/>
        </w:rPr>
        <w:t>a</w:t>
      </w:r>
      <w:r w:rsidR="000617A5" w:rsidRPr="00C64B4C">
        <w:rPr>
          <w:rFonts w:eastAsiaTheme="minorHAnsi"/>
          <w:noProof/>
          <w:sz w:val="24"/>
          <w:szCs w:val="24"/>
        </w:rPr>
        <w:t xml:space="preserve">ction </w:t>
      </w:r>
      <w:r w:rsidR="00970B86" w:rsidRPr="00C64B4C">
        <w:rPr>
          <w:rFonts w:eastAsiaTheme="minorHAnsi"/>
          <w:noProof/>
          <w:sz w:val="24"/>
          <w:szCs w:val="24"/>
        </w:rPr>
        <w:t>p</w:t>
      </w:r>
      <w:r w:rsidR="000617A5" w:rsidRPr="00C64B4C">
        <w:rPr>
          <w:rFonts w:eastAsiaTheme="minorHAnsi"/>
          <w:noProof/>
          <w:sz w:val="24"/>
          <w:szCs w:val="24"/>
        </w:rPr>
        <w:t>lan</w:t>
      </w:r>
      <w:r w:rsidR="005E5978" w:rsidRPr="00C64B4C">
        <w:rPr>
          <w:rFonts w:eastAsiaTheme="minorHAnsi"/>
          <w:noProof/>
          <w:sz w:val="24"/>
          <w:szCs w:val="24"/>
        </w:rPr>
        <w:t xml:space="preserve"> on </w:t>
      </w:r>
      <w:r w:rsidR="000144CE">
        <w:rPr>
          <w:rFonts w:eastAsiaTheme="minorHAnsi"/>
          <w:noProof/>
          <w:sz w:val="24"/>
          <w:szCs w:val="24"/>
        </w:rPr>
        <w:t>C</w:t>
      </w:r>
      <w:r w:rsidR="005E5978" w:rsidRPr="00C64B4C">
        <w:rPr>
          <w:rFonts w:eastAsiaTheme="minorHAnsi"/>
          <w:noProof/>
          <w:sz w:val="24"/>
          <w:szCs w:val="24"/>
        </w:rPr>
        <w:t xml:space="preserve">apital </w:t>
      </w:r>
      <w:r w:rsidR="000144CE">
        <w:rPr>
          <w:rFonts w:eastAsiaTheme="minorHAnsi"/>
          <w:noProof/>
          <w:sz w:val="24"/>
          <w:szCs w:val="24"/>
        </w:rPr>
        <w:t>M</w:t>
      </w:r>
      <w:r w:rsidR="005E5978" w:rsidRPr="00C64B4C">
        <w:rPr>
          <w:rFonts w:eastAsiaTheme="minorHAnsi"/>
          <w:noProof/>
          <w:sz w:val="24"/>
          <w:szCs w:val="24"/>
        </w:rPr>
        <w:t xml:space="preserve">arkets </w:t>
      </w:r>
      <w:r w:rsidR="000144CE">
        <w:rPr>
          <w:rFonts w:eastAsiaTheme="minorHAnsi"/>
          <w:noProof/>
          <w:sz w:val="24"/>
          <w:szCs w:val="24"/>
        </w:rPr>
        <w:t>U</w:t>
      </w:r>
      <w:r w:rsidR="005E5978" w:rsidRPr="00C64B4C">
        <w:rPr>
          <w:rFonts w:eastAsiaTheme="minorHAnsi"/>
          <w:noProof/>
          <w:sz w:val="24"/>
          <w:szCs w:val="24"/>
        </w:rPr>
        <w:t>nion</w:t>
      </w:r>
      <w:r w:rsidRPr="00C64B4C">
        <w:rPr>
          <w:rFonts w:eastAsiaTheme="minorHAnsi"/>
          <w:noProof/>
          <w:sz w:val="24"/>
          <w:szCs w:val="24"/>
        </w:rPr>
        <w:t>,</w:t>
      </w:r>
      <w:r w:rsidR="000617A5" w:rsidRPr="00C64B4C">
        <w:rPr>
          <w:rFonts w:eastAsiaTheme="minorHAnsi"/>
          <w:noProof/>
          <w:sz w:val="24"/>
          <w:szCs w:val="24"/>
        </w:rPr>
        <w:t xml:space="preserve"> the Commission will consider proposing direct supervision by the ESAs should there be indications that the</w:t>
      </w:r>
      <w:r w:rsidR="002652F1" w:rsidRPr="00C64B4C">
        <w:rPr>
          <w:rFonts w:eastAsiaTheme="minorHAnsi"/>
          <w:noProof/>
          <w:sz w:val="24"/>
          <w:szCs w:val="24"/>
        </w:rPr>
        <w:t xml:space="preserve"> current</w:t>
      </w:r>
      <w:r w:rsidR="000617A5" w:rsidRPr="00C64B4C">
        <w:rPr>
          <w:rFonts w:eastAsiaTheme="minorHAnsi"/>
          <w:noProof/>
          <w:sz w:val="24"/>
          <w:szCs w:val="24"/>
        </w:rPr>
        <w:t xml:space="preserve"> supervisory set-up is</w:t>
      </w:r>
      <w:r w:rsidR="0000133D" w:rsidRPr="00C64B4C">
        <w:rPr>
          <w:rFonts w:eastAsiaTheme="minorHAnsi"/>
          <w:noProof/>
          <w:sz w:val="24"/>
          <w:szCs w:val="24"/>
        </w:rPr>
        <w:t xml:space="preserve"> not </w:t>
      </w:r>
      <w:r w:rsidR="00970B86" w:rsidRPr="00C64B4C">
        <w:rPr>
          <w:rFonts w:eastAsiaTheme="minorHAnsi"/>
          <w:noProof/>
          <w:sz w:val="24"/>
          <w:szCs w:val="24"/>
        </w:rPr>
        <w:t xml:space="preserve">appropriate </w:t>
      </w:r>
      <w:r w:rsidR="000617A5" w:rsidRPr="00C64B4C">
        <w:rPr>
          <w:rFonts w:eastAsiaTheme="minorHAnsi"/>
          <w:noProof/>
          <w:sz w:val="24"/>
          <w:szCs w:val="24"/>
        </w:rPr>
        <w:t>for the desired level of market integration.</w:t>
      </w:r>
      <w:r w:rsidRPr="00C64B4C">
        <w:rPr>
          <w:rFonts w:eastAsiaTheme="minorHAnsi"/>
          <w:noProof/>
          <w:sz w:val="24"/>
          <w:szCs w:val="24"/>
        </w:rPr>
        <w:t xml:space="preserve"> The Commission will </w:t>
      </w:r>
      <w:r w:rsidR="009F6957" w:rsidRPr="00C64B4C">
        <w:rPr>
          <w:rFonts w:eastAsiaTheme="minorHAnsi"/>
          <w:noProof/>
          <w:sz w:val="24"/>
          <w:szCs w:val="24"/>
        </w:rPr>
        <w:t>assess th</w:t>
      </w:r>
      <w:r w:rsidR="002652F1" w:rsidRPr="00C64B4C">
        <w:rPr>
          <w:rFonts w:eastAsiaTheme="minorHAnsi"/>
          <w:noProof/>
          <w:sz w:val="24"/>
          <w:szCs w:val="24"/>
        </w:rPr>
        <w:t>is</w:t>
      </w:r>
      <w:r w:rsidR="009F6957" w:rsidRPr="00C64B4C">
        <w:rPr>
          <w:rFonts w:eastAsiaTheme="minorHAnsi"/>
          <w:noProof/>
          <w:sz w:val="24"/>
          <w:szCs w:val="24"/>
        </w:rPr>
        <w:t xml:space="preserve"> </w:t>
      </w:r>
      <w:r w:rsidRPr="00C64B4C">
        <w:rPr>
          <w:rFonts w:eastAsiaTheme="minorHAnsi"/>
          <w:noProof/>
          <w:sz w:val="24"/>
          <w:szCs w:val="24"/>
        </w:rPr>
        <w:t xml:space="preserve">matter </w:t>
      </w:r>
      <w:r w:rsidR="009F6957" w:rsidRPr="00C64B4C">
        <w:rPr>
          <w:rFonts w:eastAsiaTheme="minorHAnsi"/>
          <w:noProof/>
          <w:sz w:val="24"/>
          <w:szCs w:val="24"/>
        </w:rPr>
        <w:t xml:space="preserve">carefully </w:t>
      </w:r>
      <w:r w:rsidRPr="00C64B4C">
        <w:rPr>
          <w:rFonts w:eastAsiaTheme="minorHAnsi"/>
          <w:noProof/>
          <w:sz w:val="24"/>
          <w:szCs w:val="24"/>
        </w:rPr>
        <w:t xml:space="preserve">when reviewing the </w:t>
      </w:r>
      <w:r w:rsidR="004B5820" w:rsidRPr="00C64B4C">
        <w:rPr>
          <w:rFonts w:eastAsiaTheme="minorHAnsi"/>
          <w:noProof/>
          <w:sz w:val="24"/>
          <w:szCs w:val="24"/>
        </w:rPr>
        <w:t xml:space="preserve">relevant </w:t>
      </w:r>
      <w:r w:rsidRPr="00C64B4C">
        <w:rPr>
          <w:rFonts w:eastAsiaTheme="minorHAnsi"/>
          <w:noProof/>
          <w:sz w:val="24"/>
          <w:szCs w:val="24"/>
        </w:rPr>
        <w:t xml:space="preserve">sectoral legislation. </w:t>
      </w:r>
    </w:p>
    <w:p w14:paraId="780AFE47" w14:textId="77777777" w:rsidR="0005122A" w:rsidRPr="00C64B4C" w:rsidRDefault="0005122A" w:rsidP="00557637">
      <w:pPr>
        <w:jc w:val="both"/>
        <w:rPr>
          <w:rFonts w:eastAsiaTheme="minorHAnsi"/>
          <w:noProof/>
          <w:sz w:val="24"/>
          <w:szCs w:val="24"/>
        </w:rPr>
      </w:pPr>
    </w:p>
    <w:p w14:paraId="58C9D983" w14:textId="77777777" w:rsidR="00FC21F4" w:rsidRPr="00C64B4C" w:rsidRDefault="000E38DE" w:rsidP="00557637">
      <w:pPr>
        <w:jc w:val="both"/>
        <w:rPr>
          <w:rFonts w:eastAsiaTheme="minorHAnsi"/>
          <w:noProof/>
          <w:sz w:val="24"/>
          <w:szCs w:val="24"/>
        </w:rPr>
      </w:pPr>
      <w:r w:rsidRPr="00C64B4C">
        <w:rPr>
          <w:rFonts w:eastAsiaTheme="minorHAnsi"/>
          <w:noProof/>
          <w:sz w:val="24"/>
          <w:szCs w:val="24"/>
        </w:rPr>
        <w:t>In this spirit, the Commission has already included in three recent legislative proposals that are under negotiation (MICA</w:t>
      </w:r>
      <w:r w:rsidR="005D5156" w:rsidRPr="00C64B4C">
        <w:rPr>
          <w:rStyle w:val="FootnoteReference"/>
          <w:rFonts w:eastAsiaTheme="minorHAnsi"/>
          <w:noProof/>
          <w:sz w:val="24"/>
          <w:szCs w:val="24"/>
        </w:rPr>
        <w:footnoteReference w:id="34"/>
      </w:r>
      <w:r w:rsidRPr="00C64B4C">
        <w:rPr>
          <w:rFonts w:eastAsiaTheme="minorHAnsi"/>
          <w:noProof/>
          <w:sz w:val="24"/>
          <w:szCs w:val="24"/>
        </w:rPr>
        <w:t>, DORA</w:t>
      </w:r>
      <w:r w:rsidR="005D5156" w:rsidRPr="00C64B4C">
        <w:rPr>
          <w:rStyle w:val="FootnoteReference"/>
          <w:rFonts w:eastAsiaTheme="minorHAnsi"/>
          <w:noProof/>
          <w:sz w:val="24"/>
          <w:szCs w:val="24"/>
        </w:rPr>
        <w:footnoteReference w:id="35"/>
      </w:r>
      <w:r w:rsidRPr="00C64B4C">
        <w:rPr>
          <w:rFonts w:eastAsiaTheme="minorHAnsi"/>
          <w:noProof/>
          <w:sz w:val="24"/>
          <w:szCs w:val="24"/>
        </w:rPr>
        <w:t xml:space="preserve"> and the </w:t>
      </w:r>
      <w:r w:rsidR="007C62BD" w:rsidRPr="00C64B4C">
        <w:rPr>
          <w:rFonts w:eastAsiaTheme="minorHAnsi"/>
          <w:noProof/>
          <w:sz w:val="24"/>
          <w:szCs w:val="24"/>
        </w:rPr>
        <w:t xml:space="preserve">proposal on </w:t>
      </w:r>
      <w:r w:rsidRPr="00C64B4C">
        <w:rPr>
          <w:rFonts w:eastAsiaTheme="minorHAnsi"/>
          <w:noProof/>
          <w:sz w:val="24"/>
          <w:szCs w:val="24"/>
        </w:rPr>
        <w:t xml:space="preserve">EU </w:t>
      </w:r>
      <w:r w:rsidR="007C62BD" w:rsidRPr="00C64B4C">
        <w:rPr>
          <w:rFonts w:eastAsiaTheme="minorHAnsi"/>
          <w:noProof/>
          <w:sz w:val="24"/>
          <w:szCs w:val="24"/>
        </w:rPr>
        <w:t>g</w:t>
      </w:r>
      <w:r w:rsidRPr="00C64B4C">
        <w:rPr>
          <w:rFonts w:eastAsiaTheme="minorHAnsi"/>
          <w:noProof/>
          <w:sz w:val="24"/>
          <w:szCs w:val="24"/>
        </w:rPr>
        <w:t xml:space="preserve">reen </w:t>
      </w:r>
      <w:r w:rsidR="007C62BD" w:rsidRPr="00C64B4C">
        <w:rPr>
          <w:rFonts w:eastAsiaTheme="minorHAnsi"/>
          <w:noProof/>
          <w:sz w:val="24"/>
          <w:szCs w:val="24"/>
        </w:rPr>
        <w:t>b</w:t>
      </w:r>
      <w:r w:rsidRPr="00C64B4C">
        <w:rPr>
          <w:rFonts w:eastAsiaTheme="minorHAnsi"/>
          <w:noProof/>
          <w:sz w:val="24"/>
          <w:szCs w:val="24"/>
        </w:rPr>
        <w:t>onds</w:t>
      </w:r>
      <w:r w:rsidR="005D5156" w:rsidRPr="00C64B4C">
        <w:rPr>
          <w:rStyle w:val="FootnoteReference"/>
          <w:rFonts w:eastAsiaTheme="minorHAnsi"/>
          <w:noProof/>
          <w:sz w:val="24"/>
          <w:szCs w:val="24"/>
        </w:rPr>
        <w:footnoteReference w:id="36"/>
      </w:r>
      <w:r w:rsidRPr="00C64B4C">
        <w:rPr>
          <w:rFonts w:eastAsiaTheme="minorHAnsi"/>
          <w:noProof/>
          <w:sz w:val="24"/>
          <w:szCs w:val="24"/>
        </w:rPr>
        <w:t>) mandate</w:t>
      </w:r>
      <w:r w:rsidR="004B5820" w:rsidRPr="00C64B4C">
        <w:rPr>
          <w:rFonts w:eastAsiaTheme="minorHAnsi"/>
          <w:noProof/>
          <w:sz w:val="24"/>
          <w:szCs w:val="24"/>
        </w:rPr>
        <w:t>s</w:t>
      </w:r>
      <w:r w:rsidRPr="00C64B4C">
        <w:rPr>
          <w:rFonts w:eastAsiaTheme="minorHAnsi"/>
          <w:noProof/>
          <w:sz w:val="24"/>
          <w:szCs w:val="24"/>
        </w:rPr>
        <w:t xml:space="preserve"> for direct supervision for the EBA and ESMA</w:t>
      </w:r>
      <w:r w:rsidR="004B5820" w:rsidRPr="00C64B4C">
        <w:rPr>
          <w:rFonts w:eastAsiaTheme="minorHAnsi"/>
          <w:noProof/>
          <w:sz w:val="24"/>
          <w:szCs w:val="24"/>
        </w:rPr>
        <w:t xml:space="preserve"> and oversight responsibilities for the three ESAs</w:t>
      </w:r>
      <w:r w:rsidRPr="00C64B4C">
        <w:rPr>
          <w:rFonts w:eastAsiaTheme="minorHAnsi"/>
          <w:noProof/>
          <w:sz w:val="24"/>
          <w:szCs w:val="24"/>
        </w:rPr>
        <w:t>.</w:t>
      </w:r>
    </w:p>
    <w:p w14:paraId="52AA49D6" w14:textId="77777777" w:rsidR="00FC21F4" w:rsidRPr="00C64B4C" w:rsidRDefault="00FC21F4" w:rsidP="00557637">
      <w:pPr>
        <w:jc w:val="both"/>
        <w:rPr>
          <w:rFonts w:eastAsiaTheme="minorHAnsi"/>
          <w:noProof/>
          <w:sz w:val="24"/>
          <w:szCs w:val="24"/>
        </w:rPr>
      </w:pPr>
    </w:p>
    <w:p w14:paraId="69DF6903" w14:textId="1575A819" w:rsidR="003735A8" w:rsidRPr="00C64B4C" w:rsidRDefault="00FC21F4" w:rsidP="00557637">
      <w:pPr>
        <w:jc w:val="both"/>
        <w:rPr>
          <w:rFonts w:eastAsiaTheme="minorHAnsi"/>
          <w:noProof/>
          <w:sz w:val="24"/>
          <w:szCs w:val="24"/>
        </w:rPr>
      </w:pPr>
      <w:r w:rsidRPr="00C64B4C">
        <w:rPr>
          <w:rFonts w:eastAsiaTheme="minorHAnsi"/>
          <w:noProof/>
          <w:sz w:val="24"/>
          <w:szCs w:val="24"/>
        </w:rPr>
        <w:t>The Commission</w:t>
      </w:r>
      <w:r w:rsidR="005D5156" w:rsidRPr="00C64B4C">
        <w:rPr>
          <w:rStyle w:val="FootnoteReference"/>
          <w:rFonts w:eastAsiaTheme="minorHAnsi"/>
          <w:noProof/>
          <w:sz w:val="24"/>
          <w:szCs w:val="24"/>
        </w:rPr>
        <w:footnoteReference w:id="37"/>
      </w:r>
      <w:r w:rsidRPr="00C64B4C">
        <w:rPr>
          <w:rFonts w:eastAsiaTheme="minorHAnsi"/>
          <w:noProof/>
          <w:sz w:val="24"/>
          <w:szCs w:val="24"/>
        </w:rPr>
        <w:t xml:space="preserve"> is also looking at </w:t>
      </w:r>
      <w:r w:rsidR="003735A8" w:rsidRPr="00C64B4C">
        <w:rPr>
          <w:rFonts w:eastAsiaTheme="minorHAnsi"/>
          <w:noProof/>
          <w:sz w:val="24"/>
          <w:szCs w:val="24"/>
        </w:rPr>
        <w:t xml:space="preserve">ways </w:t>
      </w:r>
      <w:r w:rsidRPr="00C64B4C">
        <w:rPr>
          <w:rFonts w:eastAsiaTheme="minorHAnsi"/>
          <w:noProof/>
          <w:sz w:val="24"/>
          <w:szCs w:val="24"/>
        </w:rPr>
        <w:t>to address the financial</w:t>
      </w:r>
      <w:r w:rsidR="002652F1" w:rsidRPr="00C64B4C">
        <w:rPr>
          <w:rFonts w:eastAsiaTheme="minorHAnsi"/>
          <w:noProof/>
          <w:sz w:val="24"/>
          <w:szCs w:val="24"/>
        </w:rPr>
        <w:t>-</w:t>
      </w:r>
      <w:r w:rsidRPr="00C64B4C">
        <w:rPr>
          <w:rFonts w:eastAsiaTheme="minorHAnsi"/>
          <w:noProof/>
          <w:sz w:val="24"/>
          <w:szCs w:val="24"/>
        </w:rPr>
        <w:t xml:space="preserve">stability risk posed by overreliance on UK-based </w:t>
      </w:r>
      <w:r w:rsidR="00635C8C" w:rsidRPr="00C64B4C">
        <w:rPr>
          <w:rFonts w:eastAsiaTheme="minorHAnsi"/>
          <w:noProof/>
          <w:sz w:val="24"/>
          <w:szCs w:val="24"/>
        </w:rPr>
        <w:t>CCPs</w:t>
      </w:r>
      <w:r w:rsidR="007C62BD" w:rsidRPr="00C64B4C">
        <w:rPr>
          <w:rFonts w:eastAsiaTheme="minorHAnsi"/>
          <w:noProof/>
          <w:sz w:val="24"/>
          <w:szCs w:val="24"/>
        </w:rPr>
        <w:t>. I</w:t>
      </w:r>
      <w:r w:rsidR="00634D82" w:rsidRPr="00C64B4C">
        <w:rPr>
          <w:rFonts w:eastAsiaTheme="minorHAnsi"/>
          <w:noProof/>
          <w:sz w:val="24"/>
          <w:szCs w:val="24"/>
        </w:rPr>
        <w:t>t intends to come forward this year with measures to make EU-based CCPs more attractive</w:t>
      </w:r>
      <w:r w:rsidR="007C62BD" w:rsidRPr="00C64B4C">
        <w:rPr>
          <w:rFonts w:eastAsiaTheme="minorHAnsi"/>
          <w:noProof/>
          <w:sz w:val="24"/>
          <w:szCs w:val="24"/>
        </w:rPr>
        <w:t>,</w:t>
      </w:r>
      <w:r w:rsidR="00634D82" w:rsidRPr="00C64B4C">
        <w:rPr>
          <w:rFonts w:eastAsiaTheme="minorHAnsi"/>
          <w:noProof/>
          <w:sz w:val="24"/>
          <w:szCs w:val="24"/>
        </w:rPr>
        <w:t xml:space="preserve"> including </w:t>
      </w:r>
      <w:r w:rsidR="007C62BD" w:rsidRPr="00C64B4C">
        <w:rPr>
          <w:rFonts w:eastAsiaTheme="minorHAnsi"/>
          <w:noProof/>
          <w:sz w:val="24"/>
          <w:szCs w:val="24"/>
        </w:rPr>
        <w:t xml:space="preserve">by </w:t>
      </w:r>
      <w:r w:rsidR="00634D82" w:rsidRPr="00C64B4C">
        <w:rPr>
          <w:rFonts w:eastAsiaTheme="minorHAnsi"/>
          <w:noProof/>
          <w:sz w:val="24"/>
          <w:szCs w:val="24"/>
        </w:rPr>
        <w:t>review</w:t>
      </w:r>
      <w:r w:rsidR="00DE4345" w:rsidRPr="00C64B4C">
        <w:rPr>
          <w:rFonts w:eastAsiaTheme="minorHAnsi"/>
          <w:noProof/>
          <w:sz w:val="24"/>
          <w:szCs w:val="24"/>
        </w:rPr>
        <w:t>ing</w:t>
      </w:r>
      <w:r w:rsidR="00751010" w:rsidRPr="00C64B4C">
        <w:rPr>
          <w:rFonts w:eastAsiaTheme="minorHAnsi"/>
          <w:noProof/>
          <w:sz w:val="24"/>
          <w:szCs w:val="24"/>
        </w:rPr>
        <w:t xml:space="preserve"> </w:t>
      </w:r>
      <w:r w:rsidR="00634D82" w:rsidRPr="00C64B4C">
        <w:rPr>
          <w:rFonts w:eastAsiaTheme="minorHAnsi"/>
          <w:noProof/>
          <w:sz w:val="24"/>
          <w:szCs w:val="24"/>
        </w:rPr>
        <w:t xml:space="preserve">the EU supervisory system for CCPs. In this context, the Commission recently </w:t>
      </w:r>
      <w:r w:rsidR="00D04C6D">
        <w:rPr>
          <w:rFonts w:eastAsiaTheme="minorHAnsi"/>
          <w:noProof/>
          <w:sz w:val="24"/>
          <w:szCs w:val="24"/>
        </w:rPr>
        <w:t>ran</w:t>
      </w:r>
      <w:r w:rsidR="00D04C6D" w:rsidRPr="00C64B4C">
        <w:rPr>
          <w:rFonts w:eastAsiaTheme="minorHAnsi"/>
          <w:noProof/>
          <w:sz w:val="24"/>
          <w:szCs w:val="24"/>
        </w:rPr>
        <w:t xml:space="preserve"> </w:t>
      </w:r>
      <w:r w:rsidR="00634D82" w:rsidRPr="00C64B4C">
        <w:rPr>
          <w:rFonts w:eastAsiaTheme="minorHAnsi"/>
          <w:noProof/>
          <w:sz w:val="24"/>
          <w:szCs w:val="24"/>
        </w:rPr>
        <w:t>a t</w:t>
      </w:r>
      <w:r w:rsidR="003735A8" w:rsidRPr="00C64B4C">
        <w:rPr>
          <w:rFonts w:eastAsiaTheme="minorHAnsi"/>
          <w:noProof/>
          <w:sz w:val="24"/>
          <w:szCs w:val="24"/>
        </w:rPr>
        <w:t>argeted consultation on the review of the central clearing framework in the EU</w:t>
      </w:r>
      <w:r w:rsidR="005D5156" w:rsidRPr="00C64B4C">
        <w:rPr>
          <w:rStyle w:val="FootnoteReference"/>
          <w:rFonts w:eastAsiaTheme="minorHAnsi"/>
          <w:noProof/>
          <w:sz w:val="24"/>
          <w:szCs w:val="24"/>
        </w:rPr>
        <w:footnoteReference w:id="38"/>
      </w:r>
      <w:r w:rsidR="00634D82" w:rsidRPr="00C64B4C">
        <w:rPr>
          <w:rFonts w:eastAsiaTheme="minorHAnsi"/>
          <w:noProof/>
          <w:sz w:val="24"/>
          <w:szCs w:val="24"/>
        </w:rPr>
        <w:t>.</w:t>
      </w:r>
    </w:p>
    <w:p w14:paraId="3ACC82DD" w14:textId="77777777" w:rsidR="000E38DE" w:rsidRPr="00C64B4C" w:rsidRDefault="000E38DE" w:rsidP="00557637">
      <w:pPr>
        <w:jc w:val="both"/>
        <w:rPr>
          <w:rFonts w:eastAsiaTheme="minorHAnsi"/>
          <w:noProof/>
          <w:sz w:val="24"/>
          <w:szCs w:val="24"/>
        </w:rPr>
      </w:pPr>
    </w:p>
    <w:p w14:paraId="52C52BE8" w14:textId="6701F85A" w:rsidR="00F4414F" w:rsidRPr="00C64B4C" w:rsidRDefault="004F2EC6" w:rsidP="00557637">
      <w:pPr>
        <w:jc w:val="both"/>
        <w:rPr>
          <w:rFonts w:eastAsiaTheme="minorHAnsi"/>
          <w:noProof/>
          <w:sz w:val="24"/>
          <w:szCs w:val="24"/>
        </w:rPr>
      </w:pPr>
      <w:r w:rsidRPr="00C64B4C">
        <w:rPr>
          <w:rFonts w:eastAsiaTheme="minorHAnsi"/>
          <w:noProof/>
          <w:sz w:val="24"/>
          <w:szCs w:val="24"/>
        </w:rPr>
        <w:t xml:space="preserve">Additionally, the Commission will </w:t>
      </w:r>
      <w:r w:rsidR="004B5820" w:rsidRPr="00C64B4C">
        <w:rPr>
          <w:rFonts w:eastAsiaTheme="minorHAnsi"/>
          <w:noProof/>
          <w:sz w:val="24"/>
          <w:szCs w:val="24"/>
        </w:rPr>
        <w:t>consider</w:t>
      </w:r>
      <w:r w:rsidRPr="00C64B4C">
        <w:rPr>
          <w:rFonts w:eastAsiaTheme="minorHAnsi"/>
          <w:noProof/>
          <w:sz w:val="24"/>
          <w:szCs w:val="24"/>
        </w:rPr>
        <w:t xml:space="preserve"> the possibility </w:t>
      </w:r>
      <w:r w:rsidR="007C62BD" w:rsidRPr="00C64B4C">
        <w:rPr>
          <w:rFonts w:eastAsiaTheme="minorHAnsi"/>
          <w:noProof/>
          <w:sz w:val="24"/>
          <w:szCs w:val="24"/>
        </w:rPr>
        <w:t xml:space="preserve">of setting out </w:t>
      </w:r>
      <w:r w:rsidRPr="00C64B4C">
        <w:rPr>
          <w:rFonts w:eastAsiaTheme="minorHAnsi"/>
          <w:noProof/>
          <w:sz w:val="24"/>
          <w:szCs w:val="24"/>
        </w:rPr>
        <w:t>different ‘modes’ of direct supervision as a potential way forward in the area of direct supervision</w:t>
      </w:r>
      <w:r w:rsidR="007C62BD" w:rsidRPr="00C64B4C">
        <w:rPr>
          <w:rFonts w:eastAsiaTheme="minorHAnsi"/>
          <w:noProof/>
          <w:sz w:val="24"/>
          <w:szCs w:val="24"/>
        </w:rPr>
        <w:t>. One such mode could be</w:t>
      </w:r>
      <w:r w:rsidRPr="00C64B4C">
        <w:rPr>
          <w:rFonts w:eastAsiaTheme="minorHAnsi"/>
          <w:noProof/>
          <w:sz w:val="24"/>
          <w:szCs w:val="24"/>
        </w:rPr>
        <w:t xml:space="preserve"> the </w:t>
      </w:r>
      <w:r w:rsidR="002652F1" w:rsidRPr="00C64B4C">
        <w:rPr>
          <w:rFonts w:eastAsiaTheme="minorHAnsi"/>
          <w:noProof/>
          <w:sz w:val="24"/>
          <w:szCs w:val="24"/>
        </w:rPr>
        <w:t>‘</w:t>
      </w:r>
      <w:r w:rsidRPr="00C64B4C">
        <w:rPr>
          <w:rFonts w:eastAsiaTheme="minorHAnsi"/>
          <w:noProof/>
          <w:sz w:val="24"/>
          <w:szCs w:val="24"/>
        </w:rPr>
        <w:t>hub-and-spoke</w:t>
      </w:r>
      <w:r w:rsidR="002652F1" w:rsidRPr="00C64B4C">
        <w:rPr>
          <w:rFonts w:eastAsiaTheme="minorHAnsi"/>
          <w:noProof/>
          <w:sz w:val="24"/>
          <w:szCs w:val="24"/>
        </w:rPr>
        <w:t>’</w:t>
      </w:r>
      <w:r w:rsidRPr="00C64B4C">
        <w:rPr>
          <w:rFonts w:eastAsiaTheme="minorHAnsi"/>
          <w:noProof/>
          <w:sz w:val="24"/>
          <w:szCs w:val="24"/>
        </w:rPr>
        <w:t xml:space="preserve"> model</w:t>
      </w:r>
      <w:r w:rsidR="007C62BD" w:rsidRPr="00C64B4C">
        <w:rPr>
          <w:rFonts w:eastAsiaTheme="minorHAnsi"/>
          <w:noProof/>
          <w:sz w:val="24"/>
          <w:szCs w:val="24"/>
        </w:rPr>
        <w:t>,</w:t>
      </w:r>
      <w:r w:rsidRPr="00C64B4C">
        <w:rPr>
          <w:rFonts w:eastAsiaTheme="minorHAnsi"/>
          <w:noProof/>
          <w:sz w:val="24"/>
          <w:szCs w:val="24"/>
        </w:rPr>
        <w:t xml:space="preserve"> </w:t>
      </w:r>
      <w:r w:rsidR="002652F1" w:rsidRPr="00C64B4C">
        <w:rPr>
          <w:rFonts w:eastAsiaTheme="minorHAnsi"/>
          <w:noProof/>
          <w:sz w:val="24"/>
          <w:szCs w:val="24"/>
        </w:rPr>
        <w:t xml:space="preserve">in which </w:t>
      </w:r>
      <w:r w:rsidR="00B10498">
        <w:rPr>
          <w:rFonts w:eastAsiaTheme="minorHAnsi"/>
          <w:noProof/>
          <w:sz w:val="24"/>
          <w:szCs w:val="24"/>
        </w:rPr>
        <w:t>N</w:t>
      </w:r>
      <w:r w:rsidRPr="00C64B4C">
        <w:rPr>
          <w:rFonts w:eastAsiaTheme="minorHAnsi"/>
          <w:noProof/>
          <w:sz w:val="24"/>
          <w:szCs w:val="24"/>
        </w:rPr>
        <w:t xml:space="preserve">ational </w:t>
      </w:r>
      <w:r w:rsidR="00B10498">
        <w:rPr>
          <w:rFonts w:eastAsiaTheme="minorHAnsi"/>
          <w:noProof/>
          <w:sz w:val="24"/>
          <w:szCs w:val="24"/>
        </w:rPr>
        <w:t>C</w:t>
      </w:r>
      <w:r w:rsidRPr="00C64B4C">
        <w:rPr>
          <w:rFonts w:eastAsiaTheme="minorHAnsi"/>
          <w:noProof/>
          <w:sz w:val="24"/>
          <w:szCs w:val="24"/>
        </w:rPr>
        <w:t xml:space="preserve">ompetent </w:t>
      </w:r>
      <w:r w:rsidR="00B10498">
        <w:rPr>
          <w:rFonts w:eastAsiaTheme="minorHAnsi"/>
          <w:noProof/>
          <w:sz w:val="24"/>
          <w:szCs w:val="24"/>
        </w:rPr>
        <w:t>A</w:t>
      </w:r>
      <w:r w:rsidRPr="00C64B4C">
        <w:rPr>
          <w:rFonts w:eastAsiaTheme="minorHAnsi"/>
          <w:noProof/>
          <w:sz w:val="24"/>
          <w:szCs w:val="24"/>
        </w:rPr>
        <w:t xml:space="preserve">uthorities continue to play a significant role and </w:t>
      </w:r>
      <w:r w:rsidR="002652F1" w:rsidRPr="00C64B4C">
        <w:rPr>
          <w:rFonts w:eastAsiaTheme="minorHAnsi"/>
          <w:noProof/>
          <w:sz w:val="24"/>
          <w:szCs w:val="24"/>
        </w:rPr>
        <w:t xml:space="preserve">use </w:t>
      </w:r>
      <w:r w:rsidRPr="00C64B4C">
        <w:rPr>
          <w:rFonts w:eastAsiaTheme="minorHAnsi"/>
          <w:noProof/>
          <w:sz w:val="24"/>
          <w:szCs w:val="24"/>
        </w:rPr>
        <w:t>their knowledge of national specificities of markets and legal systems to benefit a central super</w:t>
      </w:r>
      <w:r w:rsidR="00A76D55" w:rsidRPr="00C64B4C">
        <w:rPr>
          <w:rFonts w:eastAsiaTheme="minorHAnsi"/>
          <w:noProof/>
          <w:sz w:val="24"/>
          <w:szCs w:val="24"/>
        </w:rPr>
        <w:t>visory authority</w:t>
      </w:r>
      <w:r w:rsidR="007C62BD" w:rsidRPr="00C64B4C">
        <w:rPr>
          <w:rFonts w:eastAsiaTheme="minorHAnsi"/>
          <w:noProof/>
          <w:sz w:val="24"/>
          <w:szCs w:val="24"/>
        </w:rPr>
        <w:t>. This is already</w:t>
      </w:r>
      <w:r w:rsidR="00A76D55" w:rsidRPr="00C64B4C">
        <w:rPr>
          <w:rFonts w:eastAsiaTheme="minorHAnsi"/>
          <w:noProof/>
          <w:sz w:val="24"/>
          <w:szCs w:val="24"/>
        </w:rPr>
        <w:t xml:space="preserve"> the case in the </w:t>
      </w:r>
      <w:r w:rsidR="007C62BD" w:rsidRPr="00C64B4C">
        <w:rPr>
          <w:rFonts w:eastAsiaTheme="minorHAnsi"/>
          <w:noProof/>
          <w:sz w:val="24"/>
          <w:szCs w:val="24"/>
        </w:rPr>
        <w:t xml:space="preserve">model used by the </w:t>
      </w:r>
      <w:r w:rsidR="00523590">
        <w:rPr>
          <w:rFonts w:eastAsiaTheme="minorHAnsi"/>
          <w:noProof/>
          <w:sz w:val="24"/>
          <w:szCs w:val="24"/>
        </w:rPr>
        <w:t>S</w:t>
      </w:r>
      <w:r w:rsidR="00A76D55" w:rsidRPr="00C64B4C">
        <w:rPr>
          <w:rFonts w:eastAsiaTheme="minorHAnsi"/>
          <w:noProof/>
          <w:sz w:val="24"/>
          <w:szCs w:val="24"/>
        </w:rPr>
        <w:t xml:space="preserve">ingle </w:t>
      </w:r>
      <w:r w:rsidR="00523590">
        <w:rPr>
          <w:rFonts w:eastAsiaTheme="minorHAnsi"/>
          <w:noProof/>
          <w:sz w:val="24"/>
          <w:szCs w:val="24"/>
        </w:rPr>
        <w:t>S</w:t>
      </w:r>
      <w:r w:rsidR="00A76D55" w:rsidRPr="00C64B4C">
        <w:rPr>
          <w:rFonts w:eastAsiaTheme="minorHAnsi"/>
          <w:noProof/>
          <w:sz w:val="24"/>
          <w:szCs w:val="24"/>
        </w:rPr>
        <w:t xml:space="preserve">upervisory </w:t>
      </w:r>
      <w:r w:rsidR="00523590">
        <w:rPr>
          <w:rFonts w:eastAsiaTheme="minorHAnsi"/>
          <w:noProof/>
          <w:sz w:val="24"/>
          <w:szCs w:val="24"/>
        </w:rPr>
        <w:t>M</w:t>
      </w:r>
      <w:r w:rsidR="00A76D55" w:rsidRPr="00C64B4C">
        <w:rPr>
          <w:rFonts w:eastAsiaTheme="minorHAnsi"/>
          <w:noProof/>
          <w:sz w:val="24"/>
          <w:szCs w:val="24"/>
        </w:rPr>
        <w:t>echanism or in the propos</w:t>
      </w:r>
      <w:r w:rsidR="00850B94" w:rsidRPr="00C64B4C">
        <w:rPr>
          <w:rFonts w:eastAsiaTheme="minorHAnsi"/>
          <w:noProof/>
          <w:sz w:val="24"/>
          <w:szCs w:val="24"/>
        </w:rPr>
        <w:t>al for a Regulation establishing the</w:t>
      </w:r>
      <w:r w:rsidR="00A76D55" w:rsidRPr="00C64B4C">
        <w:rPr>
          <w:rFonts w:eastAsiaTheme="minorHAnsi"/>
          <w:noProof/>
          <w:sz w:val="24"/>
          <w:szCs w:val="24"/>
        </w:rPr>
        <w:t xml:space="preserve"> Authority</w:t>
      </w:r>
      <w:r w:rsidR="00850B94" w:rsidRPr="00C64B4C">
        <w:rPr>
          <w:noProof/>
        </w:rPr>
        <w:t xml:space="preserve"> for </w:t>
      </w:r>
      <w:r w:rsidR="00850B94" w:rsidRPr="00C64B4C">
        <w:rPr>
          <w:rFonts w:eastAsiaTheme="minorHAnsi"/>
          <w:noProof/>
          <w:sz w:val="24"/>
          <w:szCs w:val="24"/>
        </w:rPr>
        <w:t>Anti-Money Laundering</w:t>
      </w:r>
      <w:r w:rsidR="00850B94" w:rsidRPr="00C64B4C">
        <w:rPr>
          <w:noProof/>
        </w:rPr>
        <w:t xml:space="preserve"> </w:t>
      </w:r>
      <w:r w:rsidR="00850B94" w:rsidRPr="00C64B4C">
        <w:rPr>
          <w:rFonts w:eastAsiaTheme="minorHAnsi"/>
          <w:noProof/>
          <w:sz w:val="24"/>
          <w:szCs w:val="24"/>
        </w:rPr>
        <w:t>and Countering the Financing of Terrorism</w:t>
      </w:r>
      <w:r w:rsidR="00850B94" w:rsidRPr="00C64B4C">
        <w:rPr>
          <w:rStyle w:val="FootnoteReference"/>
          <w:rFonts w:eastAsiaTheme="minorHAnsi"/>
          <w:noProof/>
          <w:sz w:val="24"/>
          <w:szCs w:val="24"/>
        </w:rPr>
        <w:footnoteReference w:id="39"/>
      </w:r>
      <w:r w:rsidR="00A76D55" w:rsidRPr="00C64B4C">
        <w:rPr>
          <w:rFonts w:eastAsiaTheme="minorHAnsi"/>
          <w:noProof/>
          <w:sz w:val="24"/>
          <w:szCs w:val="24"/>
        </w:rPr>
        <w:t>.</w:t>
      </w:r>
    </w:p>
    <w:p w14:paraId="71323207" w14:textId="77777777" w:rsidR="002568E4" w:rsidRPr="00C64B4C" w:rsidRDefault="002568E4" w:rsidP="00557637">
      <w:pPr>
        <w:jc w:val="both"/>
        <w:rPr>
          <w:rFonts w:eastAsiaTheme="minorHAnsi"/>
          <w:noProof/>
          <w:sz w:val="24"/>
          <w:szCs w:val="24"/>
        </w:rPr>
      </w:pPr>
    </w:p>
    <w:p w14:paraId="2DB63313" w14:textId="77777777" w:rsidR="00A00024" w:rsidRPr="00C64B4C" w:rsidRDefault="00A00024" w:rsidP="00901A5C">
      <w:pPr>
        <w:numPr>
          <w:ilvl w:val="0"/>
          <w:numId w:val="1"/>
        </w:numPr>
        <w:spacing w:before="60"/>
        <w:outlineLvl w:val="0"/>
        <w:rPr>
          <w:rFonts w:eastAsiaTheme="minorHAnsi"/>
          <w:b/>
          <w:bCs/>
          <w:noProof/>
          <w:sz w:val="24"/>
          <w:szCs w:val="24"/>
          <w:lang w:eastAsia="en-US" w:bidi="ar-SA"/>
        </w:rPr>
      </w:pPr>
      <w:r w:rsidRPr="00C64B4C">
        <w:rPr>
          <w:rFonts w:eastAsiaTheme="minorHAnsi"/>
          <w:b/>
          <w:bCs/>
          <w:noProof/>
          <w:sz w:val="24"/>
          <w:szCs w:val="24"/>
          <w:lang w:eastAsia="en-US" w:bidi="ar-SA"/>
        </w:rPr>
        <w:t>THE SINGLE RULEBOOK AND THE OPERATION OF THE ESAs</w:t>
      </w:r>
    </w:p>
    <w:p w14:paraId="41D2358C" w14:textId="77777777" w:rsidR="00A00024" w:rsidRPr="00C64B4C" w:rsidRDefault="00A00024" w:rsidP="005D5156">
      <w:pPr>
        <w:jc w:val="both"/>
        <w:rPr>
          <w:rFonts w:eastAsiaTheme="minorHAnsi"/>
          <w:noProof/>
          <w:sz w:val="24"/>
          <w:szCs w:val="24"/>
        </w:rPr>
      </w:pPr>
    </w:p>
    <w:p w14:paraId="385D06F0" w14:textId="77777777" w:rsidR="00A00024" w:rsidRPr="00C64B4C" w:rsidRDefault="00A00024" w:rsidP="005D5156">
      <w:pPr>
        <w:jc w:val="both"/>
        <w:rPr>
          <w:rFonts w:eastAsiaTheme="minorHAnsi"/>
          <w:noProof/>
          <w:sz w:val="24"/>
          <w:szCs w:val="24"/>
          <w:u w:val="single"/>
        </w:rPr>
      </w:pPr>
      <w:r w:rsidRPr="00C64B4C">
        <w:rPr>
          <w:rFonts w:eastAsiaTheme="minorHAnsi"/>
          <w:noProof/>
          <w:sz w:val="24"/>
          <w:szCs w:val="24"/>
          <w:u w:val="single"/>
        </w:rPr>
        <w:t>Background and findings</w:t>
      </w:r>
    </w:p>
    <w:p w14:paraId="63DFFF2D" w14:textId="77777777" w:rsidR="00A00024" w:rsidRPr="00C64B4C" w:rsidRDefault="00A00024" w:rsidP="005D5156">
      <w:pPr>
        <w:jc w:val="both"/>
        <w:rPr>
          <w:rFonts w:eastAsiaTheme="minorHAnsi"/>
          <w:noProof/>
          <w:sz w:val="24"/>
          <w:szCs w:val="24"/>
        </w:rPr>
      </w:pPr>
    </w:p>
    <w:p w14:paraId="234D40F5" w14:textId="3B4AD639" w:rsidR="00A00024" w:rsidRDefault="00A00024" w:rsidP="005D5156">
      <w:pPr>
        <w:jc w:val="both"/>
        <w:rPr>
          <w:rFonts w:eastAsiaTheme="minorHAnsi"/>
          <w:noProof/>
          <w:sz w:val="24"/>
          <w:szCs w:val="24"/>
        </w:rPr>
      </w:pPr>
      <w:r w:rsidRPr="00C64B4C">
        <w:rPr>
          <w:rFonts w:eastAsiaTheme="minorHAnsi"/>
          <w:noProof/>
          <w:sz w:val="24"/>
          <w:szCs w:val="24"/>
        </w:rPr>
        <w:t xml:space="preserve">An </w:t>
      </w:r>
      <w:r w:rsidR="007C62BD" w:rsidRPr="00C64B4C">
        <w:rPr>
          <w:rFonts w:eastAsiaTheme="minorHAnsi"/>
          <w:noProof/>
          <w:sz w:val="24"/>
          <w:szCs w:val="24"/>
        </w:rPr>
        <w:t>‘</w:t>
      </w:r>
      <w:r w:rsidRPr="00C64B4C">
        <w:rPr>
          <w:rFonts w:eastAsiaTheme="minorHAnsi"/>
          <w:noProof/>
          <w:sz w:val="24"/>
          <w:szCs w:val="24"/>
        </w:rPr>
        <w:t>enhanced single rulebook</w:t>
      </w:r>
      <w:r w:rsidR="007C62BD" w:rsidRPr="00C64B4C">
        <w:rPr>
          <w:rFonts w:eastAsiaTheme="minorHAnsi"/>
          <w:noProof/>
          <w:sz w:val="24"/>
          <w:szCs w:val="24"/>
        </w:rPr>
        <w:t>’</w:t>
      </w:r>
      <w:r w:rsidRPr="00C64B4C">
        <w:rPr>
          <w:rFonts w:eastAsiaTheme="minorHAnsi"/>
          <w:noProof/>
          <w:sz w:val="24"/>
          <w:szCs w:val="24"/>
        </w:rPr>
        <w:t xml:space="preserve"> refers to more comprehensive and, where appropriate, </w:t>
      </w:r>
      <w:r w:rsidR="007C62BD" w:rsidRPr="00C64B4C">
        <w:rPr>
          <w:rFonts w:eastAsiaTheme="minorHAnsi"/>
          <w:noProof/>
          <w:sz w:val="24"/>
          <w:szCs w:val="24"/>
        </w:rPr>
        <w:t xml:space="preserve">more </w:t>
      </w:r>
      <w:r w:rsidRPr="00C64B4C">
        <w:rPr>
          <w:rFonts w:eastAsiaTheme="minorHAnsi"/>
          <w:noProof/>
          <w:sz w:val="24"/>
          <w:szCs w:val="24"/>
        </w:rPr>
        <w:t xml:space="preserve">granular rules </w:t>
      </w:r>
      <w:r w:rsidR="00347524" w:rsidRPr="00C64B4C">
        <w:rPr>
          <w:rFonts w:eastAsiaTheme="minorHAnsi"/>
          <w:noProof/>
          <w:sz w:val="24"/>
          <w:szCs w:val="24"/>
        </w:rPr>
        <w:t xml:space="preserve">at different levels of </w:t>
      </w:r>
      <w:r w:rsidRPr="00C64B4C">
        <w:rPr>
          <w:rFonts w:eastAsiaTheme="minorHAnsi"/>
          <w:noProof/>
          <w:sz w:val="24"/>
          <w:szCs w:val="24"/>
        </w:rPr>
        <w:t>EU legislati</w:t>
      </w:r>
      <w:r w:rsidR="00347524" w:rsidRPr="00C64B4C">
        <w:rPr>
          <w:rFonts w:eastAsiaTheme="minorHAnsi"/>
          <w:noProof/>
          <w:sz w:val="24"/>
          <w:szCs w:val="24"/>
        </w:rPr>
        <w:t xml:space="preserve">on and guidance. </w:t>
      </w:r>
      <w:r w:rsidR="007C62BD" w:rsidRPr="00C64B4C">
        <w:rPr>
          <w:rFonts w:eastAsiaTheme="minorHAnsi"/>
          <w:noProof/>
          <w:sz w:val="24"/>
          <w:szCs w:val="24"/>
        </w:rPr>
        <w:t>On</w:t>
      </w:r>
      <w:r w:rsidRPr="00C64B4C">
        <w:rPr>
          <w:rFonts w:eastAsiaTheme="minorHAnsi"/>
          <w:noProof/>
          <w:sz w:val="24"/>
          <w:szCs w:val="24"/>
        </w:rPr>
        <w:t xml:space="preserve"> essential elements</w:t>
      </w:r>
      <w:r w:rsidR="00347524" w:rsidRPr="00C64B4C">
        <w:rPr>
          <w:rFonts w:eastAsiaTheme="minorHAnsi"/>
          <w:noProof/>
          <w:sz w:val="24"/>
          <w:szCs w:val="24"/>
        </w:rPr>
        <w:t>,</w:t>
      </w:r>
      <w:r w:rsidRPr="00C64B4C">
        <w:rPr>
          <w:rFonts w:eastAsiaTheme="minorHAnsi"/>
          <w:noProof/>
          <w:sz w:val="24"/>
          <w:szCs w:val="24"/>
        </w:rPr>
        <w:t xml:space="preserve"> this implies more EU rules set out in Level 1</w:t>
      </w:r>
      <w:r w:rsidR="00347524" w:rsidRPr="00C64B4C">
        <w:rPr>
          <w:rFonts w:eastAsiaTheme="minorHAnsi"/>
          <w:noProof/>
          <w:sz w:val="24"/>
          <w:szCs w:val="24"/>
        </w:rPr>
        <w:t>, namely Regulations and Directives. On</w:t>
      </w:r>
      <w:r w:rsidRPr="00C64B4C">
        <w:rPr>
          <w:rFonts w:eastAsiaTheme="minorHAnsi"/>
          <w:noProof/>
          <w:sz w:val="24"/>
          <w:szCs w:val="24"/>
        </w:rPr>
        <w:t xml:space="preserve"> non-essential elements</w:t>
      </w:r>
      <w:r w:rsidR="00347524" w:rsidRPr="00C64B4C">
        <w:rPr>
          <w:rFonts w:eastAsiaTheme="minorHAnsi"/>
          <w:noProof/>
          <w:sz w:val="24"/>
          <w:szCs w:val="24"/>
        </w:rPr>
        <w:t>, this implies more EU rules set out</w:t>
      </w:r>
      <w:r w:rsidRPr="00C64B4C">
        <w:rPr>
          <w:rFonts w:eastAsiaTheme="minorHAnsi"/>
          <w:noProof/>
          <w:sz w:val="24"/>
          <w:szCs w:val="24"/>
        </w:rPr>
        <w:t xml:space="preserve"> in delegated or implementing acts </w:t>
      </w:r>
      <w:r w:rsidR="00347524" w:rsidRPr="00C64B4C">
        <w:rPr>
          <w:rFonts w:eastAsiaTheme="minorHAnsi"/>
          <w:noProof/>
          <w:sz w:val="24"/>
          <w:szCs w:val="24"/>
        </w:rPr>
        <w:t xml:space="preserve">at </w:t>
      </w:r>
      <w:r w:rsidRPr="00C64B4C">
        <w:rPr>
          <w:rFonts w:eastAsiaTheme="minorHAnsi"/>
          <w:noProof/>
          <w:sz w:val="24"/>
          <w:szCs w:val="24"/>
        </w:rPr>
        <w:t>Level 2. Further guidance and clarifications can then also be provided in guid</w:t>
      </w:r>
      <w:r w:rsidR="003129CD">
        <w:rPr>
          <w:rFonts w:eastAsiaTheme="minorHAnsi"/>
          <w:noProof/>
          <w:sz w:val="24"/>
          <w:szCs w:val="24"/>
        </w:rPr>
        <w:t>elines</w:t>
      </w:r>
      <w:r w:rsidRPr="00C64B4C">
        <w:rPr>
          <w:rFonts w:eastAsiaTheme="minorHAnsi"/>
          <w:noProof/>
          <w:sz w:val="24"/>
          <w:szCs w:val="24"/>
        </w:rPr>
        <w:t xml:space="preserve"> or Q&amp;As issued by the ESAs </w:t>
      </w:r>
      <w:r w:rsidR="00347524" w:rsidRPr="00C64B4C">
        <w:rPr>
          <w:rFonts w:eastAsiaTheme="minorHAnsi"/>
          <w:noProof/>
          <w:sz w:val="24"/>
          <w:szCs w:val="24"/>
        </w:rPr>
        <w:t xml:space="preserve">at </w:t>
      </w:r>
      <w:r w:rsidRPr="00C64B4C">
        <w:rPr>
          <w:rFonts w:eastAsiaTheme="minorHAnsi"/>
          <w:noProof/>
          <w:sz w:val="24"/>
          <w:szCs w:val="24"/>
        </w:rPr>
        <w:t xml:space="preserve">Level 3. In addition, </w:t>
      </w:r>
      <w:r w:rsidR="002652F1" w:rsidRPr="00C64B4C">
        <w:rPr>
          <w:rFonts w:eastAsiaTheme="minorHAnsi"/>
          <w:noProof/>
          <w:sz w:val="24"/>
          <w:szCs w:val="24"/>
        </w:rPr>
        <w:t xml:space="preserve">instead of directives, </w:t>
      </w:r>
      <w:r w:rsidRPr="00C64B4C">
        <w:rPr>
          <w:rFonts w:eastAsiaTheme="minorHAnsi"/>
          <w:noProof/>
          <w:sz w:val="24"/>
          <w:szCs w:val="24"/>
        </w:rPr>
        <w:t>more harmonisation can be obtained through directly applicable Regulations at Level 1 for future sectoral legislation, or for existing legislation that comes up for review</w:t>
      </w:r>
      <w:r w:rsidR="00347524" w:rsidRPr="00C64B4C">
        <w:rPr>
          <w:rFonts w:eastAsiaTheme="minorHAnsi"/>
          <w:noProof/>
          <w:sz w:val="24"/>
          <w:szCs w:val="24"/>
        </w:rPr>
        <w:t>. Regulations</w:t>
      </w:r>
      <w:r w:rsidR="002652F1" w:rsidRPr="00C64B4C">
        <w:rPr>
          <w:rFonts w:eastAsiaTheme="minorHAnsi"/>
          <w:noProof/>
          <w:sz w:val="24"/>
          <w:szCs w:val="24"/>
        </w:rPr>
        <w:t xml:space="preserve"> might be a better choice than d</w:t>
      </w:r>
      <w:r w:rsidR="00347524" w:rsidRPr="00C64B4C">
        <w:rPr>
          <w:rFonts w:eastAsiaTheme="minorHAnsi"/>
          <w:noProof/>
          <w:sz w:val="24"/>
          <w:szCs w:val="24"/>
        </w:rPr>
        <w:t xml:space="preserve">irectives </w:t>
      </w:r>
      <w:r w:rsidR="002652F1" w:rsidRPr="00C64B4C">
        <w:rPr>
          <w:rFonts w:eastAsiaTheme="minorHAnsi"/>
          <w:noProof/>
          <w:sz w:val="24"/>
          <w:szCs w:val="24"/>
        </w:rPr>
        <w:t>in this case, because d</w:t>
      </w:r>
      <w:r w:rsidR="00347524" w:rsidRPr="00C64B4C">
        <w:rPr>
          <w:rFonts w:eastAsiaTheme="minorHAnsi"/>
          <w:noProof/>
          <w:sz w:val="24"/>
          <w:szCs w:val="24"/>
        </w:rPr>
        <w:t>irectives</w:t>
      </w:r>
      <w:r w:rsidRPr="00C64B4C">
        <w:rPr>
          <w:rFonts w:eastAsiaTheme="minorHAnsi"/>
          <w:noProof/>
          <w:sz w:val="24"/>
          <w:szCs w:val="24"/>
        </w:rPr>
        <w:t xml:space="preserve"> generally leave Member States the choice of how to transpose the</w:t>
      </w:r>
      <w:r w:rsidR="002652F1" w:rsidRPr="00C64B4C">
        <w:rPr>
          <w:rFonts w:eastAsiaTheme="minorHAnsi"/>
          <w:noProof/>
          <w:sz w:val="24"/>
          <w:szCs w:val="24"/>
        </w:rPr>
        <w:t xml:space="preserve"> directive</w:t>
      </w:r>
      <w:r w:rsidRPr="00C64B4C">
        <w:rPr>
          <w:rFonts w:eastAsiaTheme="minorHAnsi"/>
          <w:noProof/>
          <w:sz w:val="24"/>
          <w:szCs w:val="24"/>
        </w:rPr>
        <w:t xml:space="preserve"> into national law</w:t>
      </w:r>
      <w:r w:rsidR="00347524" w:rsidRPr="00C64B4C">
        <w:rPr>
          <w:rFonts w:eastAsiaTheme="minorHAnsi"/>
          <w:noProof/>
          <w:sz w:val="24"/>
          <w:szCs w:val="24"/>
        </w:rPr>
        <w:t>. More harmonisation could also be applied</w:t>
      </w:r>
      <w:r w:rsidRPr="00C64B4C">
        <w:rPr>
          <w:rFonts w:eastAsiaTheme="minorHAnsi"/>
          <w:noProof/>
          <w:sz w:val="24"/>
          <w:szCs w:val="24"/>
        </w:rPr>
        <w:t xml:space="preserve"> through different degrees of harmonisation of either </w:t>
      </w:r>
      <w:r w:rsidR="002652F1" w:rsidRPr="00C64B4C">
        <w:rPr>
          <w:rFonts w:eastAsiaTheme="minorHAnsi"/>
          <w:noProof/>
          <w:sz w:val="24"/>
          <w:szCs w:val="24"/>
        </w:rPr>
        <w:t>r</w:t>
      </w:r>
      <w:r w:rsidRPr="00C64B4C">
        <w:rPr>
          <w:rFonts w:eastAsiaTheme="minorHAnsi"/>
          <w:noProof/>
          <w:sz w:val="24"/>
          <w:szCs w:val="24"/>
        </w:rPr>
        <w:t xml:space="preserve">egulations or </w:t>
      </w:r>
      <w:r w:rsidR="002652F1" w:rsidRPr="00C64B4C">
        <w:rPr>
          <w:rFonts w:eastAsiaTheme="minorHAnsi"/>
          <w:noProof/>
          <w:sz w:val="24"/>
          <w:szCs w:val="24"/>
        </w:rPr>
        <w:t>d</w:t>
      </w:r>
      <w:r w:rsidRPr="00C64B4C">
        <w:rPr>
          <w:rFonts w:eastAsiaTheme="minorHAnsi"/>
          <w:noProof/>
          <w:sz w:val="24"/>
          <w:szCs w:val="24"/>
        </w:rPr>
        <w:t xml:space="preserve">irectives; or by allowing for fewer opt-outs from harmonised rules. </w:t>
      </w:r>
    </w:p>
    <w:p w14:paraId="46A1F866" w14:textId="609ADC30" w:rsidR="00F969EB" w:rsidRDefault="00F969EB" w:rsidP="005D5156">
      <w:pPr>
        <w:jc w:val="both"/>
        <w:rPr>
          <w:rFonts w:eastAsiaTheme="minorHAnsi"/>
          <w:noProof/>
          <w:sz w:val="24"/>
          <w:szCs w:val="24"/>
        </w:rPr>
      </w:pPr>
    </w:p>
    <w:p w14:paraId="2FFE0657" w14:textId="76505EE7" w:rsidR="00F969EB" w:rsidRPr="00C64B4C" w:rsidRDefault="00F969EB" w:rsidP="005D5156">
      <w:pPr>
        <w:jc w:val="both"/>
        <w:rPr>
          <w:rFonts w:eastAsiaTheme="minorHAnsi"/>
          <w:noProof/>
          <w:sz w:val="24"/>
          <w:szCs w:val="24"/>
        </w:rPr>
      </w:pPr>
      <w:r w:rsidRPr="00F969EB">
        <w:rPr>
          <w:rFonts w:eastAsiaTheme="minorHAnsi"/>
          <w:noProof/>
          <w:sz w:val="24"/>
          <w:szCs w:val="24"/>
        </w:rPr>
        <w:t>The trade-off between Level 1 and Level 2 is also linked to the broader question of how to achieve speed, adaptability and quality in legislation, which is particularly relevant for sectors undergoing fast transformation.</w:t>
      </w:r>
    </w:p>
    <w:p w14:paraId="65C1C826" w14:textId="77777777" w:rsidR="00A00024" w:rsidRPr="00C64B4C" w:rsidRDefault="00A00024" w:rsidP="005D5156">
      <w:pPr>
        <w:jc w:val="both"/>
        <w:rPr>
          <w:rFonts w:eastAsiaTheme="minorHAnsi"/>
          <w:noProof/>
          <w:sz w:val="24"/>
          <w:szCs w:val="24"/>
        </w:rPr>
      </w:pPr>
    </w:p>
    <w:p w14:paraId="56284F24" w14:textId="77777777" w:rsidR="00A00024" w:rsidRPr="00C64B4C" w:rsidRDefault="00A00024" w:rsidP="005D5156">
      <w:pPr>
        <w:pStyle w:val="ListParagraph"/>
        <w:numPr>
          <w:ilvl w:val="0"/>
          <w:numId w:val="18"/>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Enhancing harmonisation in legislative acts </w:t>
      </w:r>
    </w:p>
    <w:p w14:paraId="63710326" w14:textId="77777777" w:rsidR="00A00024" w:rsidRPr="00C64B4C" w:rsidRDefault="00A00024" w:rsidP="005D5156">
      <w:pPr>
        <w:jc w:val="both"/>
        <w:rPr>
          <w:rFonts w:eastAsiaTheme="minorHAnsi"/>
          <w:noProof/>
          <w:sz w:val="24"/>
          <w:szCs w:val="24"/>
        </w:rPr>
      </w:pPr>
      <w:r w:rsidRPr="00C64B4C">
        <w:rPr>
          <w:rFonts w:eastAsiaTheme="minorHAnsi"/>
          <w:noProof/>
          <w:sz w:val="24"/>
          <w:szCs w:val="24"/>
        </w:rPr>
        <w:t xml:space="preserve">The consultation did not reveal strong stakeholder support for future further-reaching harmonisation in Level 1 sectoral legislation, notwithstanding some support for </w:t>
      </w:r>
      <w:r w:rsidR="00347524" w:rsidRPr="00C64B4C">
        <w:rPr>
          <w:rFonts w:eastAsiaTheme="minorHAnsi"/>
          <w:noProof/>
          <w:sz w:val="24"/>
          <w:szCs w:val="24"/>
        </w:rPr>
        <w:t>greater</w:t>
      </w:r>
      <w:r w:rsidRPr="00C64B4C">
        <w:rPr>
          <w:rFonts w:eastAsiaTheme="minorHAnsi"/>
          <w:noProof/>
          <w:sz w:val="24"/>
          <w:szCs w:val="24"/>
        </w:rPr>
        <w:t xml:space="preserve"> harmonisation </w:t>
      </w:r>
      <w:r w:rsidR="00347524" w:rsidRPr="00C64B4C">
        <w:rPr>
          <w:rFonts w:eastAsiaTheme="minorHAnsi"/>
          <w:noProof/>
          <w:sz w:val="24"/>
          <w:szCs w:val="24"/>
        </w:rPr>
        <w:t xml:space="preserve">in </w:t>
      </w:r>
      <w:r w:rsidRPr="00C64B4C">
        <w:rPr>
          <w:rFonts w:eastAsiaTheme="minorHAnsi"/>
          <w:noProof/>
          <w:sz w:val="24"/>
          <w:szCs w:val="24"/>
        </w:rPr>
        <w:t xml:space="preserve">rules on </w:t>
      </w:r>
      <w:r w:rsidR="00347524" w:rsidRPr="00C64B4C">
        <w:rPr>
          <w:rFonts w:eastAsiaTheme="minorHAnsi"/>
          <w:noProof/>
          <w:sz w:val="24"/>
          <w:szCs w:val="24"/>
        </w:rPr>
        <w:t xml:space="preserve">the </w:t>
      </w:r>
      <w:r w:rsidRPr="00C64B4C">
        <w:rPr>
          <w:rFonts w:eastAsiaTheme="minorHAnsi"/>
          <w:noProof/>
          <w:sz w:val="24"/>
          <w:szCs w:val="24"/>
        </w:rPr>
        <w:t xml:space="preserve">cross-border provision of services. </w:t>
      </w:r>
    </w:p>
    <w:p w14:paraId="0192B84D" w14:textId="77777777" w:rsidR="00A00024" w:rsidRPr="00C64B4C" w:rsidRDefault="00A00024" w:rsidP="005D5156">
      <w:pPr>
        <w:jc w:val="both"/>
        <w:rPr>
          <w:rFonts w:eastAsiaTheme="minorHAnsi"/>
          <w:noProof/>
          <w:sz w:val="24"/>
          <w:szCs w:val="24"/>
        </w:rPr>
      </w:pPr>
    </w:p>
    <w:p w14:paraId="74B5203C" w14:textId="77777777" w:rsidR="00A00024" w:rsidRPr="00C64B4C" w:rsidRDefault="00A00024" w:rsidP="005D5156">
      <w:pPr>
        <w:pStyle w:val="ListParagraph"/>
        <w:numPr>
          <w:ilvl w:val="0"/>
          <w:numId w:val="18"/>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Facilitating </w:t>
      </w:r>
      <w:r w:rsidR="00347524" w:rsidRPr="00C64B4C">
        <w:rPr>
          <w:rFonts w:ascii="Times New Roman" w:hAnsi="Times New Roman" w:cs="Times New Roman"/>
          <w:noProof/>
          <w:sz w:val="24"/>
          <w:szCs w:val="24"/>
        </w:rPr>
        <w:t xml:space="preserve">the </w:t>
      </w:r>
      <w:r w:rsidRPr="00C64B4C">
        <w:rPr>
          <w:rFonts w:ascii="Times New Roman" w:hAnsi="Times New Roman" w:cs="Times New Roman"/>
          <w:noProof/>
          <w:sz w:val="24"/>
          <w:szCs w:val="24"/>
        </w:rPr>
        <w:t>application of harmonised law through delegated or implementing acts</w:t>
      </w:r>
    </w:p>
    <w:p w14:paraId="63A29BD3" w14:textId="77777777" w:rsidR="00A00024" w:rsidRPr="00C64B4C" w:rsidRDefault="00347524" w:rsidP="005D5156">
      <w:pPr>
        <w:jc w:val="both"/>
        <w:rPr>
          <w:rFonts w:eastAsiaTheme="minorHAnsi"/>
          <w:noProof/>
          <w:sz w:val="24"/>
          <w:szCs w:val="24"/>
        </w:rPr>
      </w:pPr>
      <w:r w:rsidRPr="00C64B4C">
        <w:rPr>
          <w:rFonts w:eastAsiaTheme="minorHAnsi"/>
          <w:noProof/>
          <w:sz w:val="24"/>
          <w:szCs w:val="24"/>
        </w:rPr>
        <w:t>In recent years, t</w:t>
      </w:r>
      <w:r w:rsidR="00A00024" w:rsidRPr="00C64B4C">
        <w:rPr>
          <w:rFonts w:eastAsiaTheme="minorHAnsi"/>
          <w:noProof/>
          <w:sz w:val="24"/>
          <w:szCs w:val="24"/>
        </w:rPr>
        <w:t>here have been instances in financial</w:t>
      </w:r>
      <w:r w:rsidR="00DE4345" w:rsidRPr="00C64B4C">
        <w:rPr>
          <w:rFonts w:eastAsiaTheme="minorHAnsi"/>
          <w:noProof/>
          <w:sz w:val="24"/>
          <w:szCs w:val="24"/>
        </w:rPr>
        <w:t>-</w:t>
      </w:r>
      <w:r w:rsidR="00A00024" w:rsidRPr="00C64B4C">
        <w:rPr>
          <w:rFonts w:eastAsiaTheme="minorHAnsi"/>
          <w:noProof/>
          <w:sz w:val="24"/>
          <w:szCs w:val="24"/>
        </w:rPr>
        <w:t>services legislation where market participants and supervisors were required to start applying legislative acts at a moment when some of the relevant delegated and implementing acts</w:t>
      </w:r>
      <w:r w:rsidR="00FD3856" w:rsidRPr="00C64B4C">
        <w:rPr>
          <w:rStyle w:val="FootnoteReference"/>
          <w:rFonts w:eastAsiaTheme="minorHAnsi"/>
          <w:noProof/>
          <w:sz w:val="24"/>
          <w:szCs w:val="24"/>
        </w:rPr>
        <w:footnoteReference w:id="40"/>
      </w:r>
      <w:r w:rsidR="00A00024" w:rsidRPr="00C64B4C">
        <w:rPr>
          <w:rFonts w:eastAsiaTheme="minorHAnsi"/>
          <w:noProof/>
          <w:sz w:val="24"/>
          <w:szCs w:val="24"/>
        </w:rPr>
        <w:t xml:space="preserve">, including regulatory technical standards or implementing technical standards, had still not been adopted. </w:t>
      </w:r>
      <w:r w:rsidRPr="00C64B4C">
        <w:rPr>
          <w:rFonts w:eastAsiaTheme="minorHAnsi"/>
          <w:noProof/>
          <w:sz w:val="24"/>
          <w:szCs w:val="24"/>
        </w:rPr>
        <w:t>Many</w:t>
      </w:r>
      <w:r w:rsidR="00A00024" w:rsidRPr="00C64B4C">
        <w:rPr>
          <w:rFonts w:eastAsiaTheme="minorHAnsi"/>
          <w:noProof/>
          <w:sz w:val="24"/>
          <w:szCs w:val="24"/>
        </w:rPr>
        <w:t xml:space="preserve"> stakeholders have pointed out that this might be a major concern in certain cases.</w:t>
      </w:r>
    </w:p>
    <w:p w14:paraId="7040E6F5" w14:textId="77777777" w:rsidR="00A00024" w:rsidRPr="00C64B4C" w:rsidRDefault="00A00024" w:rsidP="005D5156">
      <w:pPr>
        <w:jc w:val="both"/>
        <w:rPr>
          <w:rFonts w:eastAsiaTheme="minorHAnsi"/>
          <w:noProof/>
          <w:sz w:val="24"/>
          <w:szCs w:val="24"/>
        </w:rPr>
      </w:pPr>
    </w:p>
    <w:p w14:paraId="04E94822" w14:textId="77777777" w:rsidR="00A00024" w:rsidRPr="00C64B4C" w:rsidRDefault="00A00024" w:rsidP="005D5156">
      <w:pPr>
        <w:jc w:val="both"/>
        <w:rPr>
          <w:rFonts w:eastAsiaTheme="minorHAnsi"/>
          <w:noProof/>
          <w:sz w:val="24"/>
          <w:szCs w:val="24"/>
          <w:u w:val="single"/>
        </w:rPr>
      </w:pPr>
      <w:r w:rsidRPr="00C64B4C">
        <w:rPr>
          <w:rFonts w:eastAsiaTheme="minorHAnsi"/>
          <w:noProof/>
          <w:sz w:val="24"/>
          <w:szCs w:val="24"/>
          <w:u w:val="single"/>
        </w:rPr>
        <w:t>Assessment of the Commission</w:t>
      </w:r>
    </w:p>
    <w:p w14:paraId="0480EF09" w14:textId="77777777" w:rsidR="00A00024" w:rsidRPr="00C64B4C" w:rsidRDefault="00A00024" w:rsidP="005D5156">
      <w:pPr>
        <w:jc w:val="both"/>
        <w:rPr>
          <w:rFonts w:eastAsiaTheme="minorHAnsi"/>
          <w:noProof/>
          <w:sz w:val="24"/>
          <w:szCs w:val="24"/>
        </w:rPr>
      </w:pPr>
    </w:p>
    <w:p w14:paraId="615EE5F6" w14:textId="77777777" w:rsidR="00A00024" w:rsidRPr="00C64B4C" w:rsidRDefault="00A00024" w:rsidP="005D5156">
      <w:pPr>
        <w:pStyle w:val="ListParagraph"/>
        <w:numPr>
          <w:ilvl w:val="0"/>
          <w:numId w:val="19"/>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Enhancing harmonisation in legislative acts </w:t>
      </w:r>
    </w:p>
    <w:p w14:paraId="10A90954" w14:textId="5FD1C0AE" w:rsidR="00A00024" w:rsidRDefault="00A00024" w:rsidP="005D5156">
      <w:pPr>
        <w:jc w:val="both"/>
        <w:rPr>
          <w:rFonts w:eastAsiaTheme="minorHAnsi"/>
          <w:noProof/>
          <w:sz w:val="24"/>
          <w:szCs w:val="24"/>
        </w:rPr>
      </w:pPr>
      <w:r w:rsidRPr="00C64B4C">
        <w:rPr>
          <w:rFonts w:eastAsiaTheme="minorHAnsi"/>
          <w:noProof/>
          <w:sz w:val="24"/>
          <w:szCs w:val="24"/>
        </w:rPr>
        <w:t xml:space="preserve">Stakeholders did not express support for </w:t>
      </w:r>
      <w:r w:rsidR="002652F1" w:rsidRPr="00C64B4C">
        <w:rPr>
          <w:rFonts w:eastAsiaTheme="minorHAnsi"/>
          <w:noProof/>
          <w:sz w:val="24"/>
          <w:szCs w:val="24"/>
        </w:rPr>
        <w:t xml:space="preserve">greater </w:t>
      </w:r>
      <w:r w:rsidRPr="00C64B4C">
        <w:rPr>
          <w:rFonts w:eastAsiaTheme="minorHAnsi"/>
          <w:noProof/>
          <w:sz w:val="24"/>
          <w:szCs w:val="24"/>
        </w:rPr>
        <w:t xml:space="preserve">harmonisation in the form of more </w:t>
      </w:r>
      <w:r w:rsidR="00550AD1" w:rsidRPr="00C64B4C">
        <w:rPr>
          <w:rFonts w:eastAsiaTheme="minorHAnsi"/>
          <w:noProof/>
          <w:sz w:val="24"/>
          <w:szCs w:val="24"/>
        </w:rPr>
        <w:t xml:space="preserve">EU rules </w:t>
      </w:r>
      <w:r w:rsidRPr="00C64B4C">
        <w:rPr>
          <w:rFonts w:eastAsiaTheme="minorHAnsi"/>
          <w:noProof/>
          <w:sz w:val="24"/>
          <w:szCs w:val="24"/>
        </w:rPr>
        <w:t>or more granular EU rules at Level 1 or Level 2. The Commission therefore does not intend to review existing EU financial</w:t>
      </w:r>
      <w:r w:rsidR="00550AD1" w:rsidRPr="00C64B4C">
        <w:rPr>
          <w:rFonts w:eastAsiaTheme="minorHAnsi"/>
          <w:noProof/>
          <w:sz w:val="24"/>
          <w:szCs w:val="24"/>
        </w:rPr>
        <w:t>-</w:t>
      </w:r>
      <w:r w:rsidRPr="00C64B4C">
        <w:rPr>
          <w:rFonts w:eastAsiaTheme="minorHAnsi"/>
          <w:noProof/>
          <w:sz w:val="24"/>
          <w:szCs w:val="24"/>
        </w:rPr>
        <w:t>services legislation solely with a view to introducing more granular rules at Level 1, or to removing provisions allowing national discretion. However, when reviewing or proposing legislation</w:t>
      </w:r>
      <w:r w:rsidR="00550AD1" w:rsidRPr="00C64B4C">
        <w:rPr>
          <w:rFonts w:eastAsiaTheme="minorHAnsi"/>
          <w:noProof/>
          <w:sz w:val="24"/>
          <w:szCs w:val="24"/>
        </w:rPr>
        <w:t>,</w:t>
      </w:r>
      <w:r w:rsidRPr="00C64B4C">
        <w:rPr>
          <w:rFonts w:eastAsiaTheme="minorHAnsi"/>
          <w:noProof/>
          <w:sz w:val="24"/>
          <w:szCs w:val="24"/>
        </w:rPr>
        <w:t xml:space="preserve"> the Commission will assess the impact of potentially introducing more granular rules and of limiting the degree of national discretion in the Level 1 sectoral legislation. For </w:t>
      </w:r>
      <w:r w:rsidR="002652F1" w:rsidRPr="00C64B4C">
        <w:rPr>
          <w:rFonts w:eastAsiaTheme="minorHAnsi"/>
          <w:noProof/>
          <w:sz w:val="24"/>
          <w:szCs w:val="24"/>
        </w:rPr>
        <w:t>d</w:t>
      </w:r>
      <w:r w:rsidRPr="00C64B4C">
        <w:rPr>
          <w:rFonts w:eastAsiaTheme="minorHAnsi"/>
          <w:noProof/>
          <w:sz w:val="24"/>
          <w:szCs w:val="24"/>
        </w:rPr>
        <w:t>irectives, this will also include assess</w:t>
      </w:r>
      <w:r w:rsidR="00550AD1" w:rsidRPr="00C64B4C">
        <w:rPr>
          <w:rFonts w:eastAsiaTheme="minorHAnsi"/>
          <w:noProof/>
          <w:sz w:val="24"/>
          <w:szCs w:val="24"/>
        </w:rPr>
        <w:t>ing</w:t>
      </w:r>
      <w:r w:rsidRPr="00C64B4C">
        <w:rPr>
          <w:rFonts w:eastAsiaTheme="minorHAnsi"/>
          <w:noProof/>
          <w:sz w:val="24"/>
          <w:szCs w:val="24"/>
        </w:rPr>
        <w:t xml:space="preserve"> the impact of an option of converting a directive in</w:t>
      </w:r>
      <w:r w:rsidR="00550AD1" w:rsidRPr="00C64B4C">
        <w:rPr>
          <w:rFonts w:eastAsiaTheme="minorHAnsi"/>
          <w:noProof/>
          <w:sz w:val="24"/>
          <w:szCs w:val="24"/>
        </w:rPr>
        <w:t>to</w:t>
      </w:r>
      <w:r w:rsidRPr="00C64B4C">
        <w:rPr>
          <w:rFonts w:eastAsiaTheme="minorHAnsi"/>
          <w:noProof/>
          <w:sz w:val="24"/>
          <w:szCs w:val="24"/>
        </w:rPr>
        <w:t xml:space="preserve"> a regulation.</w:t>
      </w:r>
    </w:p>
    <w:p w14:paraId="0CD9B9A4" w14:textId="2BF2EBC4" w:rsidR="00F969EB" w:rsidRDefault="00F969EB" w:rsidP="005D5156">
      <w:pPr>
        <w:jc w:val="both"/>
        <w:rPr>
          <w:rFonts w:eastAsiaTheme="minorHAnsi"/>
          <w:noProof/>
          <w:sz w:val="24"/>
          <w:szCs w:val="24"/>
        </w:rPr>
      </w:pPr>
    </w:p>
    <w:p w14:paraId="214B9187" w14:textId="185AE523" w:rsidR="00F969EB" w:rsidRPr="00C64B4C" w:rsidRDefault="00F969EB" w:rsidP="005D5156">
      <w:pPr>
        <w:jc w:val="both"/>
        <w:rPr>
          <w:rFonts w:eastAsiaTheme="minorHAnsi"/>
          <w:noProof/>
          <w:sz w:val="24"/>
          <w:szCs w:val="24"/>
        </w:rPr>
      </w:pPr>
      <w:r w:rsidRPr="00F969EB">
        <w:rPr>
          <w:rFonts w:eastAsiaTheme="minorHAnsi"/>
          <w:noProof/>
          <w:sz w:val="24"/>
          <w:szCs w:val="24"/>
        </w:rPr>
        <w:t>Regarding the need to ensure that EU legislation remains future proof and can easily adapt to accelerating technological and market developments, it is important for the co-legislators, wherever possible and appropriate, to lay down general principles in level 1 and more detailed rules in level 2. This would allow to react more expeditiously to rapid market developments.</w:t>
      </w:r>
    </w:p>
    <w:p w14:paraId="3FD791C4" w14:textId="77777777" w:rsidR="00A00024" w:rsidRPr="00C64B4C" w:rsidRDefault="00A00024" w:rsidP="005D5156">
      <w:pPr>
        <w:jc w:val="both"/>
        <w:rPr>
          <w:rFonts w:eastAsiaTheme="minorHAnsi"/>
          <w:noProof/>
          <w:sz w:val="24"/>
          <w:szCs w:val="24"/>
        </w:rPr>
      </w:pPr>
    </w:p>
    <w:p w14:paraId="4BFFD329" w14:textId="77777777" w:rsidR="00A00024" w:rsidRPr="00C64B4C" w:rsidRDefault="00A00024" w:rsidP="005D5156">
      <w:pPr>
        <w:pStyle w:val="ListParagraph"/>
        <w:numPr>
          <w:ilvl w:val="0"/>
          <w:numId w:val="19"/>
        </w:numPr>
        <w:jc w:val="both"/>
        <w:rPr>
          <w:rFonts w:ascii="Times New Roman" w:hAnsi="Times New Roman" w:cs="Times New Roman"/>
          <w:noProof/>
          <w:sz w:val="24"/>
          <w:szCs w:val="24"/>
        </w:rPr>
      </w:pPr>
      <w:r w:rsidRPr="00C64B4C">
        <w:rPr>
          <w:rFonts w:ascii="Times New Roman" w:hAnsi="Times New Roman" w:cs="Times New Roman"/>
          <w:noProof/>
          <w:sz w:val="24"/>
          <w:szCs w:val="24"/>
        </w:rPr>
        <w:t xml:space="preserve">Easing </w:t>
      </w:r>
      <w:r w:rsidR="00550AD1" w:rsidRPr="00C64B4C">
        <w:rPr>
          <w:rFonts w:ascii="Times New Roman" w:hAnsi="Times New Roman" w:cs="Times New Roman"/>
          <w:noProof/>
          <w:sz w:val="24"/>
          <w:szCs w:val="24"/>
        </w:rPr>
        <w:t xml:space="preserve">the </w:t>
      </w:r>
      <w:r w:rsidRPr="00C64B4C">
        <w:rPr>
          <w:rFonts w:ascii="Times New Roman" w:hAnsi="Times New Roman" w:cs="Times New Roman"/>
          <w:noProof/>
          <w:sz w:val="24"/>
          <w:szCs w:val="24"/>
        </w:rPr>
        <w:t>application of harmonised law through delegated or implementing acts</w:t>
      </w:r>
    </w:p>
    <w:p w14:paraId="3054A642" w14:textId="77777777" w:rsidR="00A00024" w:rsidRPr="00C64B4C" w:rsidRDefault="00A00024" w:rsidP="005D5156">
      <w:pPr>
        <w:jc w:val="both"/>
        <w:rPr>
          <w:rFonts w:eastAsiaTheme="minorHAnsi"/>
          <w:noProof/>
          <w:sz w:val="24"/>
          <w:szCs w:val="24"/>
        </w:rPr>
      </w:pPr>
      <w:r w:rsidRPr="00C64B4C">
        <w:rPr>
          <w:rFonts w:eastAsiaTheme="minorHAnsi"/>
          <w:noProof/>
          <w:sz w:val="24"/>
          <w:szCs w:val="24"/>
        </w:rPr>
        <w:t xml:space="preserve">Level 1 legislative acts contain all essential elements of the legislation governing a certain area or sector, since only non-essential elements can be delegated to administrative rulemaking by the Commission. It is therefore, in principle, feasible to apply any legislative act even in the absence of the relevant Level 2 acts. However, mere compliance with the principles laid down in the legislative act does not necessarily </w:t>
      </w:r>
      <w:r w:rsidR="0062701B" w:rsidRPr="00C64B4C">
        <w:rPr>
          <w:rFonts w:eastAsiaTheme="minorHAnsi"/>
          <w:noProof/>
          <w:sz w:val="24"/>
          <w:szCs w:val="24"/>
        </w:rPr>
        <w:t xml:space="preserve">produce </w:t>
      </w:r>
      <w:r w:rsidRPr="00C64B4C">
        <w:rPr>
          <w:rFonts w:eastAsiaTheme="minorHAnsi"/>
          <w:noProof/>
          <w:sz w:val="24"/>
          <w:szCs w:val="24"/>
        </w:rPr>
        <w:t xml:space="preserve">all the results which the legislation was conceived to achieve. This is </w:t>
      </w:r>
      <w:r w:rsidR="0062701B" w:rsidRPr="00C64B4C">
        <w:rPr>
          <w:rFonts w:eastAsiaTheme="minorHAnsi"/>
          <w:noProof/>
          <w:sz w:val="24"/>
          <w:szCs w:val="24"/>
        </w:rPr>
        <w:t>especially</w:t>
      </w:r>
      <w:r w:rsidRPr="00C64B4C">
        <w:rPr>
          <w:rFonts w:eastAsiaTheme="minorHAnsi"/>
          <w:noProof/>
          <w:sz w:val="24"/>
          <w:szCs w:val="24"/>
        </w:rPr>
        <w:t xml:space="preserve"> the case with reporting requirements where</w:t>
      </w:r>
      <w:r w:rsidR="002652F1" w:rsidRPr="00C64B4C">
        <w:rPr>
          <w:rFonts w:eastAsiaTheme="minorHAnsi"/>
          <w:noProof/>
          <w:sz w:val="24"/>
          <w:szCs w:val="24"/>
        </w:rPr>
        <w:t>,</w:t>
      </w:r>
      <w:r w:rsidRPr="00C64B4C">
        <w:rPr>
          <w:rFonts w:eastAsiaTheme="minorHAnsi"/>
          <w:noProof/>
          <w:sz w:val="24"/>
          <w:szCs w:val="24"/>
        </w:rPr>
        <w:t xml:space="preserve"> in the absence of implementing acts providing templates, free</w:t>
      </w:r>
      <w:r w:rsidR="0062701B" w:rsidRPr="00C64B4C">
        <w:rPr>
          <w:rFonts w:eastAsiaTheme="minorHAnsi"/>
          <w:noProof/>
          <w:sz w:val="24"/>
          <w:szCs w:val="24"/>
        </w:rPr>
        <w:t>-</w:t>
      </w:r>
      <w:r w:rsidRPr="00C64B4C">
        <w:rPr>
          <w:rFonts w:eastAsiaTheme="minorHAnsi"/>
          <w:noProof/>
          <w:sz w:val="24"/>
          <w:szCs w:val="24"/>
        </w:rPr>
        <w:t>format reporting jeopardises coherence and comparability</w:t>
      </w:r>
      <w:r w:rsidR="00862638" w:rsidRPr="00C64B4C">
        <w:rPr>
          <w:rFonts w:eastAsiaTheme="minorHAnsi"/>
          <w:noProof/>
          <w:sz w:val="24"/>
          <w:szCs w:val="24"/>
        </w:rPr>
        <w:t>. In these situations, free-format reporting</w:t>
      </w:r>
      <w:r w:rsidRPr="00C64B4C">
        <w:rPr>
          <w:rFonts w:eastAsiaTheme="minorHAnsi"/>
          <w:noProof/>
          <w:sz w:val="24"/>
          <w:szCs w:val="24"/>
        </w:rPr>
        <w:t xml:space="preserve"> may </w:t>
      </w:r>
      <w:r w:rsidR="00862638" w:rsidRPr="00C64B4C">
        <w:rPr>
          <w:rFonts w:eastAsiaTheme="minorHAnsi"/>
          <w:noProof/>
          <w:sz w:val="24"/>
          <w:szCs w:val="24"/>
        </w:rPr>
        <w:t xml:space="preserve">also </w:t>
      </w:r>
      <w:r w:rsidRPr="00C64B4C">
        <w:rPr>
          <w:rFonts w:eastAsiaTheme="minorHAnsi"/>
          <w:noProof/>
          <w:sz w:val="24"/>
          <w:szCs w:val="24"/>
        </w:rPr>
        <w:t xml:space="preserve">complicate the interpretation of the data by the supervisors and investors before the pertaining implementing acts are available. </w:t>
      </w:r>
    </w:p>
    <w:p w14:paraId="3A7B0E10" w14:textId="77777777" w:rsidR="00A00024" w:rsidRPr="00C64B4C" w:rsidRDefault="00A00024" w:rsidP="005D5156">
      <w:pPr>
        <w:jc w:val="both"/>
        <w:rPr>
          <w:rFonts w:eastAsiaTheme="minorHAnsi"/>
          <w:noProof/>
          <w:sz w:val="24"/>
          <w:szCs w:val="24"/>
        </w:rPr>
      </w:pPr>
    </w:p>
    <w:p w14:paraId="1DD75EB8" w14:textId="77777777" w:rsidR="00A00024" w:rsidRPr="00C64B4C" w:rsidRDefault="00A00024" w:rsidP="005D5156">
      <w:pPr>
        <w:jc w:val="both"/>
        <w:rPr>
          <w:rFonts w:eastAsiaTheme="minorHAnsi"/>
          <w:noProof/>
          <w:sz w:val="24"/>
          <w:szCs w:val="24"/>
        </w:rPr>
      </w:pPr>
      <w:r w:rsidRPr="00C64B4C">
        <w:rPr>
          <w:rFonts w:eastAsiaTheme="minorHAnsi"/>
          <w:noProof/>
          <w:sz w:val="24"/>
          <w:szCs w:val="24"/>
        </w:rPr>
        <w:t>Th</w:t>
      </w:r>
      <w:r w:rsidR="00D37001" w:rsidRPr="00C64B4C">
        <w:rPr>
          <w:rFonts w:eastAsiaTheme="minorHAnsi"/>
          <w:noProof/>
          <w:sz w:val="24"/>
          <w:szCs w:val="24"/>
        </w:rPr>
        <w:t>is</w:t>
      </w:r>
      <w:r w:rsidRPr="00C64B4C">
        <w:rPr>
          <w:rFonts w:eastAsiaTheme="minorHAnsi"/>
          <w:noProof/>
          <w:sz w:val="24"/>
          <w:szCs w:val="24"/>
        </w:rPr>
        <w:t xml:space="preserve"> issue is a result of tension between the following two </w:t>
      </w:r>
      <w:r w:rsidR="00D37001" w:rsidRPr="00C64B4C">
        <w:rPr>
          <w:rFonts w:eastAsiaTheme="minorHAnsi"/>
          <w:noProof/>
          <w:sz w:val="24"/>
          <w:szCs w:val="24"/>
        </w:rPr>
        <w:t>phenomena</w:t>
      </w:r>
      <w:r w:rsidRPr="00C64B4C">
        <w:rPr>
          <w:rFonts w:eastAsiaTheme="minorHAnsi"/>
          <w:noProof/>
          <w:sz w:val="24"/>
          <w:szCs w:val="24"/>
        </w:rPr>
        <w:t xml:space="preserve">. </w:t>
      </w:r>
    </w:p>
    <w:p w14:paraId="6A5989B0" w14:textId="77777777" w:rsidR="00FD3856" w:rsidRPr="00C64B4C" w:rsidRDefault="00FD3856" w:rsidP="005D5156">
      <w:pPr>
        <w:jc w:val="both"/>
        <w:rPr>
          <w:rFonts w:eastAsiaTheme="minorHAnsi"/>
          <w:noProof/>
          <w:sz w:val="24"/>
          <w:szCs w:val="24"/>
        </w:rPr>
      </w:pPr>
    </w:p>
    <w:p w14:paraId="080424C5" w14:textId="77777777" w:rsidR="00A00024" w:rsidRPr="00C64B4C" w:rsidRDefault="00D37001" w:rsidP="005D5156">
      <w:pPr>
        <w:jc w:val="both"/>
        <w:rPr>
          <w:rFonts w:eastAsiaTheme="minorHAnsi"/>
          <w:noProof/>
          <w:sz w:val="24"/>
          <w:szCs w:val="24"/>
        </w:rPr>
      </w:pPr>
      <w:r w:rsidRPr="00C64B4C">
        <w:rPr>
          <w:rFonts w:eastAsiaTheme="minorHAnsi"/>
          <w:noProof/>
          <w:sz w:val="24"/>
          <w:szCs w:val="24"/>
        </w:rPr>
        <w:t>The first phenomenon is that</w:t>
      </w:r>
      <w:r w:rsidR="00A00024" w:rsidRPr="00C64B4C">
        <w:rPr>
          <w:rFonts w:eastAsiaTheme="minorHAnsi"/>
          <w:noProof/>
          <w:sz w:val="24"/>
          <w:szCs w:val="24"/>
        </w:rPr>
        <w:t xml:space="preserve"> Level 2 acts, by their very nature, take time to </w:t>
      </w:r>
      <w:r w:rsidRPr="00C64B4C">
        <w:rPr>
          <w:rFonts w:eastAsiaTheme="minorHAnsi"/>
          <w:noProof/>
          <w:sz w:val="24"/>
          <w:szCs w:val="24"/>
        </w:rPr>
        <w:t>draw up</w:t>
      </w:r>
      <w:r w:rsidR="00A00024" w:rsidRPr="00C64B4C">
        <w:rPr>
          <w:rFonts w:eastAsiaTheme="minorHAnsi"/>
          <w:noProof/>
          <w:sz w:val="24"/>
          <w:szCs w:val="24"/>
        </w:rPr>
        <w:t xml:space="preserve">. In some cases, it takes the ESAs considerable time to produce, for example, draft regulatory technical standards and implementing technical standards, given their complex and technical nature. The ESAs also consult stakeholders extensively and go through internal adoption processes. After that, the ESAs and the Commission have technical exchanges that may also take time before the adoption procedure is actually started. Finally, following the adoption by the Commission, certain Level 2 acts, such as Commission delegated acts and regulatory technical standards, are subject to scrutiny by the co-legislators that may last several months. </w:t>
      </w:r>
      <w:r w:rsidRPr="00C64B4C">
        <w:rPr>
          <w:rFonts w:eastAsiaTheme="minorHAnsi"/>
          <w:noProof/>
          <w:sz w:val="24"/>
          <w:szCs w:val="24"/>
        </w:rPr>
        <w:t>However</w:t>
      </w:r>
      <w:r w:rsidR="00A00024" w:rsidRPr="00C64B4C">
        <w:rPr>
          <w:rFonts w:eastAsiaTheme="minorHAnsi"/>
          <w:noProof/>
          <w:sz w:val="24"/>
          <w:szCs w:val="24"/>
        </w:rPr>
        <w:t xml:space="preserve">, the Commission cannot </w:t>
      </w:r>
      <w:r w:rsidRPr="00C64B4C">
        <w:rPr>
          <w:rFonts w:eastAsiaTheme="minorHAnsi"/>
          <w:noProof/>
          <w:sz w:val="24"/>
          <w:szCs w:val="24"/>
        </w:rPr>
        <w:t xml:space="preserve">speed up the process by </w:t>
      </w:r>
      <w:r w:rsidR="00A00024" w:rsidRPr="00C64B4C">
        <w:rPr>
          <w:rFonts w:eastAsiaTheme="minorHAnsi"/>
          <w:noProof/>
          <w:sz w:val="24"/>
          <w:szCs w:val="24"/>
        </w:rPr>
        <w:t>ask</w:t>
      </w:r>
      <w:r w:rsidRPr="00C64B4C">
        <w:rPr>
          <w:rFonts w:eastAsiaTheme="minorHAnsi"/>
          <w:noProof/>
          <w:sz w:val="24"/>
          <w:szCs w:val="24"/>
        </w:rPr>
        <w:t>ing</w:t>
      </w:r>
      <w:r w:rsidR="00A00024" w:rsidRPr="00C64B4C">
        <w:rPr>
          <w:rFonts w:eastAsiaTheme="minorHAnsi"/>
          <w:noProof/>
          <w:sz w:val="24"/>
          <w:szCs w:val="24"/>
        </w:rPr>
        <w:t xml:space="preserve"> the ESAs to start working on Level 2 acts before the Level 1 legislation has been adopted, since the relevant empowerments are not yet finished at that point. </w:t>
      </w:r>
    </w:p>
    <w:p w14:paraId="22034866" w14:textId="77777777" w:rsidR="00FD3856" w:rsidRPr="00C64B4C" w:rsidRDefault="00FD3856" w:rsidP="005D5156">
      <w:pPr>
        <w:jc w:val="both"/>
        <w:rPr>
          <w:rFonts w:eastAsiaTheme="minorHAnsi"/>
          <w:noProof/>
          <w:sz w:val="24"/>
          <w:szCs w:val="24"/>
        </w:rPr>
      </w:pPr>
    </w:p>
    <w:p w14:paraId="72FD38AF" w14:textId="77777777" w:rsidR="00A00024" w:rsidRPr="00C64B4C" w:rsidRDefault="00D37001" w:rsidP="005D5156">
      <w:pPr>
        <w:jc w:val="both"/>
        <w:rPr>
          <w:rFonts w:eastAsiaTheme="minorHAnsi"/>
          <w:noProof/>
          <w:sz w:val="24"/>
          <w:szCs w:val="24"/>
        </w:rPr>
      </w:pPr>
      <w:r w:rsidRPr="00C64B4C">
        <w:rPr>
          <w:rFonts w:eastAsiaTheme="minorHAnsi"/>
          <w:noProof/>
          <w:sz w:val="24"/>
          <w:szCs w:val="24"/>
        </w:rPr>
        <w:t>The second phenomenon is that</w:t>
      </w:r>
      <w:r w:rsidR="00A00024" w:rsidRPr="00C64B4C">
        <w:rPr>
          <w:rFonts w:eastAsiaTheme="minorHAnsi"/>
          <w:noProof/>
          <w:sz w:val="24"/>
          <w:szCs w:val="24"/>
        </w:rPr>
        <w:t>, once the co-legislators reach agreement on the framework principles, they may be inclined to provide for a short entry into application of the Level 1 act</w:t>
      </w:r>
      <w:r w:rsidRPr="00C64B4C">
        <w:rPr>
          <w:rFonts w:eastAsiaTheme="minorHAnsi"/>
          <w:noProof/>
          <w:sz w:val="24"/>
          <w:szCs w:val="24"/>
        </w:rPr>
        <w:t>. They do this in order to quickly deliver on the intended policy outcome, but this</w:t>
      </w:r>
      <w:r w:rsidR="00A00024" w:rsidRPr="00C64B4C">
        <w:rPr>
          <w:rFonts w:eastAsiaTheme="minorHAnsi"/>
          <w:noProof/>
          <w:sz w:val="24"/>
          <w:szCs w:val="24"/>
        </w:rPr>
        <w:t xml:space="preserve"> makes it very difficult to finalise the </w:t>
      </w:r>
      <w:r w:rsidRPr="00C64B4C">
        <w:rPr>
          <w:rFonts w:eastAsiaTheme="minorHAnsi"/>
          <w:noProof/>
          <w:sz w:val="24"/>
          <w:szCs w:val="24"/>
        </w:rPr>
        <w:t>L</w:t>
      </w:r>
      <w:r w:rsidR="00A00024" w:rsidRPr="00C64B4C">
        <w:rPr>
          <w:rFonts w:eastAsiaTheme="minorHAnsi"/>
          <w:noProof/>
          <w:sz w:val="24"/>
          <w:szCs w:val="24"/>
        </w:rPr>
        <w:t>evel 2 acts by the same date.</w:t>
      </w:r>
    </w:p>
    <w:p w14:paraId="77748449" w14:textId="77777777" w:rsidR="00A00024" w:rsidRPr="00C64B4C" w:rsidRDefault="00A00024" w:rsidP="005D5156">
      <w:pPr>
        <w:jc w:val="both"/>
        <w:rPr>
          <w:rFonts w:eastAsiaTheme="minorHAnsi"/>
          <w:noProof/>
          <w:sz w:val="24"/>
          <w:szCs w:val="24"/>
        </w:rPr>
      </w:pPr>
    </w:p>
    <w:p w14:paraId="4C03E851" w14:textId="4109241F" w:rsidR="00A00024" w:rsidRPr="00C64B4C" w:rsidRDefault="00A00024" w:rsidP="005D5156">
      <w:pPr>
        <w:jc w:val="both"/>
        <w:rPr>
          <w:rFonts w:eastAsiaTheme="minorHAnsi"/>
          <w:noProof/>
          <w:sz w:val="24"/>
          <w:szCs w:val="24"/>
        </w:rPr>
      </w:pPr>
      <w:r w:rsidRPr="00C64B4C">
        <w:rPr>
          <w:rFonts w:eastAsiaTheme="minorHAnsi"/>
          <w:noProof/>
          <w:sz w:val="24"/>
          <w:szCs w:val="24"/>
        </w:rPr>
        <w:t xml:space="preserve">The Commission and the ESAs are already mitigating the burden on market participants through a high degree of transparency </w:t>
      </w:r>
      <w:r w:rsidR="002652F1" w:rsidRPr="00C64B4C">
        <w:rPr>
          <w:rFonts w:eastAsiaTheme="minorHAnsi"/>
          <w:noProof/>
          <w:sz w:val="24"/>
          <w:szCs w:val="24"/>
        </w:rPr>
        <w:t xml:space="preserve">when they </w:t>
      </w:r>
      <w:r w:rsidR="003809D3" w:rsidRPr="00C64B4C">
        <w:rPr>
          <w:rFonts w:eastAsiaTheme="minorHAnsi"/>
          <w:noProof/>
          <w:sz w:val="24"/>
          <w:szCs w:val="24"/>
        </w:rPr>
        <w:t>draw up</w:t>
      </w:r>
      <w:r w:rsidRPr="00C64B4C">
        <w:rPr>
          <w:rFonts w:eastAsiaTheme="minorHAnsi"/>
          <w:noProof/>
          <w:sz w:val="24"/>
          <w:szCs w:val="24"/>
        </w:rPr>
        <w:t xml:space="preserve"> technical advice and technical standards</w:t>
      </w:r>
      <w:r w:rsidR="003809D3" w:rsidRPr="00C64B4C">
        <w:rPr>
          <w:rFonts w:eastAsiaTheme="minorHAnsi"/>
          <w:noProof/>
          <w:sz w:val="24"/>
          <w:szCs w:val="24"/>
        </w:rPr>
        <w:t>. This transparency</w:t>
      </w:r>
      <w:r w:rsidRPr="00C64B4C">
        <w:rPr>
          <w:rFonts w:eastAsiaTheme="minorHAnsi"/>
          <w:noProof/>
          <w:sz w:val="24"/>
          <w:szCs w:val="24"/>
        </w:rPr>
        <w:t xml:space="preserve"> </w:t>
      </w:r>
      <w:r w:rsidR="003809D3" w:rsidRPr="00C64B4C">
        <w:rPr>
          <w:rFonts w:eastAsiaTheme="minorHAnsi"/>
          <w:noProof/>
          <w:sz w:val="24"/>
          <w:szCs w:val="24"/>
        </w:rPr>
        <w:t>enables</w:t>
      </w:r>
      <w:r w:rsidRPr="00C64B4C">
        <w:rPr>
          <w:rFonts w:eastAsiaTheme="minorHAnsi"/>
          <w:noProof/>
          <w:sz w:val="24"/>
          <w:szCs w:val="24"/>
        </w:rPr>
        <w:t xml:space="preserve"> market participants to start their preparations on the basis of drafts. Nevertheless, drafts have no legal value and it is </w:t>
      </w:r>
      <w:r w:rsidR="00C22D17">
        <w:rPr>
          <w:rFonts w:eastAsiaTheme="minorHAnsi"/>
          <w:noProof/>
          <w:sz w:val="24"/>
          <w:szCs w:val="24"/>
        </w:rPr>
        <w:t>possible</w:t>
      </w:r>
      <w:r w:rsidRPr="00C64B4C">
        <w:rPr>
          <w:rFonts w:eastAsiaTheme="minorHAnsi"/>
          <w:noProof/>
          <w:sz w:val="24"/>
          <w:szCs w:val="24"/>
        </w:rPr>
        <w:t xml:space="preserve"> </w:t>
      </w:r>
      <w:r w:rsidR="00DE4345" w:rsidRPr="00C64B4C">
        <w:rPr>
          <w:rFonts w:eastAsiaTheme="minorHAnsi"/>
          <w:noProof/>
          <w:sz w:val="24"/>
          <w:szCs w:val="24"/>
        </w:rPr>
        <w:t xml:space="preserve">for </w:t>
      </w:r>
      <w:r w:rsidRPr="00C64B4C">
        <w:rPr>
          <w:rFonts w:eastAsiaTheme="minorHAnsi"/>
          <w:noProof/>
          <w:sz w:val="24"/>
          <w:szCs w:val="24"/>
        </w:rPr>
        <w:t xml:space="preserve">technical standards (or other </w:t>
      </w:r>
      <w:r w:rsidR="003809D3" w:rsidRPr="00C64B4C">
        <w:rPr>
          <w:rFonts w:eastAsiaTheme="minorHAnsi"/>
          <w:noProof/>
          <w:sz w:val="24"/>
          <w:szCs w:val="24"/>
        </w:rPr>
        <w:t>L</w:t>
      </w:r>
      <w:r w:rsidRPr="00C64B4C">
        <w:rPr>
          <w:rFonts w:eastAsiaTheme="minorHAnsi"/>
          <w:noProof/>
          <w:sz w:val="24"/>
          <w:szCs w:val="24"/>
        </w:rPr>
        <w:t xml:space="preserve">evel 2 acts) </w:t>
      </w:r>
      <w:r w:rsidR="00DE4345" w:rsidRPr="00C64B4C">
        <w:rPr>
          <w:rFonts w:eastAsiaTheme="minorHAnsi"/>
          <w:noProof/>
          <w:sz w:val="24"/>
          <w:szCs w:val="24"/>
        </w:rPr>
        <w:t xml:space="preserve">to </w:t>
      </w:r>
      <w:r w:rsidRPr="00C64B4C">
        <w:rPr>
          <w:rFonts w:eastAsiaTheme="minorHAnsi"/>
          <w:noProof/>
          <w:sz w:val="24"/>
          <w:szCs w:val="24"/>
        </w:rPr>
        <w:t xml:space="preserve">then </w:t>
      </w:r>
      <w:r w:rsidR="00DE4345" w:rsidRPr="00C64B4C">
        <w:rPr>
          <w:rFonts w:eastAsiaTheme="minorHAnsi"/>
          <w:noProof/>
          <w:sz w:val="24"/>
          <w:szCs w:val="24"/>
        </w:rPr>
        <w:t xml:space="preserve">be </w:t>
      </w:r>
      <w:r w:rsidRPr="00C64B4C">
        <w:rPr>
          <w:rFonts w:eastAsiaTheme="minorHAnsi"/>
          <w:noProof/>
          <w:sz w:val="24"/>
          <w:szCs w:val="24"/>
        </w:rPr>
        <w:t xml:space="preserve">modified by the Commission, following demands </w:t>
      </w:r>
      <w:r w:rsidR="002652F1" w:rsidRPr="00C64B4C">
        <w:rPr>
          <w:rFonts w:eastAsiaTheme="minorHAnsi"/>
          <w:noProof/>
          <w:sz w:val="24"/>
          <w:szCs w:val="24"/>
        </w:rPr>
        <w:t xml:space="preserve">by </w:t>
      </w:r>
      <w:r w:rsidRPr="00C64B4C">
        <w:rPr>
          <w:rFonts w:eastAsiaTheme="minorHAnsi"/>
          <w:noProof/>
          <w:sz w:val="24"/>
          <w:szCs w:val="24"/>
        </w:rPr>
        <w:t xml:space="preserve">the co-legislators in the scrutiny process. When these modifications are of a material nature, the Commission is required to send draft technical standards back to the ESAs for further </w:t>
      </w:r>
      <w:r w:rsidR="003809D3" w:rsidRPr="00C64B4C">
        <w:rPr>
          <w:rFonts w:eastAsiaTheme="minorHAnsi"/>
          <w:noProof/>
          <w:sz w:val="24"/>
          <w:szCs w:val="24"/>
        </w:rPr>
        <w:t>drafting</w:t>
      </w:r>
      <w:r w:rsidRPr="00C64B4C">
        <w:rPr>
          <w:rFonts w:eastAsiaTheme="minorHAnsi"/>
          <w:noProof/>
          <w:sz w:val="24"/>
          <w:szCs w:val="24"/>
        </w:rPr>
        <w:t>. Therefore, there are limits to how much insight the stakeholders can draw from earlier published drafts of technical standards, where even small changes may require stakeholders to adapt.</w:t>
      </w:r>
    </w:p>
    <w:p w14:paraId="4CF458BF" w14:textId="77777777" w:rsidR="00A00024" w:rsidRPr="00C64B4C" w:rsidRDefault="00A00024" w:rsidP="005D5156">
      <w:pPr>
        <w:jc w:val="both"/>
        <w:rPr>
          <w:rFonts w:eastAsiaTheme="minorHAnsi"/>
          <w:noProof/>
          <w:sz w:val="24"/>
          <w:szCs w:val="24"/>
        </w:rPr>
      </w:pPr>
    </w:p>
    <w:p w14:paraId="54FD71C0" w14:textId="77777777" w:rsidR="00A00024" w:rsidRPr="00C64B4C" w:rsidRDefault="00A00024" w:rsidP="005D5156">
      <w:pPr>
        <w:jc w:val="both"/>
        <w:rPr>
          <w:rFonts w:eastAsiaTheme="minorHAnsi"/>
          <w:noProof/>
          <w:sz w:val="24"/>
          <w:szCs w:val="24"/>
        </w:rPr>
      </w:pPr>
      <w:r w:rsidRPr="00C64B4C">
        <w:rPr>
          <w:rFonts w:eastAsiaTheme="minorHAnsi"/>
          <w:noProof/>
          <w:sz w:val="24"/>
          <w:szCs w:val="24"/>
        </w:rPr>
        <w:t>The Commission acknowledges that certain provisions in legislative acts can be challenging to apply before delegated or implementing acts have been promulgated. It will work towards raising awareness of th</w:t>
      </w:r>
      <w:r w:rsidR="002652F1" w:rsidRPr="00C64B4C">
        <w:rPr>
          <w:rFonts w:eastAsiaTheme="minorHAnsi"/>
          <w:noProof/>
          <w:sz w:val="24"/>
          <w:szCs w:val="24"/>
        </w:rPr>
        <w:t>is</w:t>
      </w:r>
      <w:r w:rsidRPr="00C64B4C">
        <w:rPr>
          <w:rFonts w:eastAsiaTheme="minorHAnsi"/>
          <w:noProof/>
          <w:sz w:val="24"/>
          <w:szCs w:val="24"/>
        </w:rPr>
        <w:t xml:space="preserve"> problem</w:t>
      </w:r>
      <w:r w:rsidR="003809D3" w:rsidRPr="00C64B4C">
        <w:rPr>
          <w:rFonts w:eastAsiaTheme="minorHAnsi"/>
          <w:noProof/>
          <w:sz w:val="24"/>
          <w:szCs w:val="24"/>
        </w:rPr>
        <w:t>,</w:t>
      </w:r>
      <w:r w:rsidRPr="00C64B4C">
        <w:rPr>
          <w:rFonts w:eastAsiaTheme="minorHAnsi"/>
          <w:noProof/>
          <w:sz w:val="24"/>
          <w:szCs w:val="24"/>
        </w:rPr>
        <w:t xml:space="preserve"> both with the co-legislators and with the ESAs</w:t>
      </w:r>
      <w:r w:rsidR="003809D3" w:rsidRPr="00C64B4C">
        <w:rPr>
          <w:rFonts w:eastAsiaTheme="minorHAnsi"/>
          <w:noProof/>
          <w:sz w:val="24"/>
          <w:szCs w:val="24"/>
        </w:rPr>
        <w:t>. The Commission</w:t>
      </w:r>
      <w:r w:rsidRPr="00C64B4C">
        <w:rPr>
          <w:rFonts w:eastAsiaTheme="minorHAnsi"/>
          <w:noProof/>
          <w:sz w:val="24"/>
          <w:szCs w:val="24"/>
        </w:rPr>
        <w:t xml:space="preserve"> recall</w:t>
      </w:r>
      <w:r w:rsidR="003809D3" w:rsidRPr="00C64B4C">
        <w:rPr>
          <w:rFonts w:eastAsiaTheme="minorHAnsi"/>
          <w:noProof/>
          <w:sz w:val="24"/>
          <w:szCs w:val="24"/>
        </w:rPr>
        <w:t>s</w:t>
      </w:r>
      <w:r w:rsidRPr="00C64B4C">
        <w:rPr>
          <w:rFonts w:eastAsiaTheme="minorHAnsi"/>
          <w:noProof/>
          <w:sz w:val="24"/>
          <w:szCs w:val="24"/>
        </w:rPr>
        <w:t xml:space="preserve"> that some of these difficulties had to be addressed </w:t>
      </w:r>
      <w:r w:rsidR="003809D3" w:rsidRPr="00C64B4C">
        <w:rPr>
          <w:rFonts w:eastAsiaTheme="minorHAnsi"/>
          <w:noProof/>
          <w:sz w:val="24"/>
          <w:szCs w:val="24"/>
        </w:rPr>
        <w:t xml:space="preserve">in the past </w:t>
      </w:r>
      <w:r w:rsidRPr="00C64B4C">
        <w:rPr>
          <w:rFonts w:eastAsiaTheme="minorHAnsi"/>
          <w:noProof/>
          <w:sz w:val="24"/>
          <w:szCs w:val="24"/>
        </w:rPr>
        <w:t xml:space="preserve">through changes to the main legislative acts in question to delay application. Furthermore, the Commission will continue to seek, where appropriate, informal prior guidance from the ESAs on the likely timing of </w:t>
      </w:r>
      <w:r w:rsidR="003809D3" w:rsidRPr="00C64B4C">
        <w:rPr>
          <w:rFonts w:eastAsiaTheme="minorHAnsi"/>
          <w:noProof/>
          <w:sz w:val="24"/>
          <w:szCs w:val="24"/>
        </w:rPr>
        <w:t xml:space="preserve">planned </w:t>
      </w:r>
      <w:r w:rsidRPr="00C64B4C">
        <w:rPr>
          <w:rFonts w:eastAsiaTheme="minorHAnsi"/>
          <w:noProof/>
          <w:sz w:val="24"/>
          <w:szCs w:val="24"/>
        </w:rPr>
        <w:t xml:space="preserve">Level 2 acts, with a view to feeding this information into the legislative process where beneficial. </w:t>
      </w:r>
    </w:p>
    <w:p w14:paraId="1A01AED7" w14:textId="77777777" w:rsidR="00EC37F3" w:rsidRPr="00C64B4C" w:rsidRDefault="00EC37F3" w:rsidP="005D5156">
      <w:pPr>
        <w:jc w:val="both"/>
        <w:rPr>
          <w:rFonts w:eastAsiaTheme="minorHAnsi"/>
          <w:noProof/>
          <w:sz w:val="24"/>
          <w:szCs w:val="24"/>
        </w:rPr>
      </w:pPr>
    </w:p>
    <w:p w14:paraId="4D9D2AA6" w14:textId="77777777" w:rsidR="00EC37F3" w:rsidRPr="00C64B4C" w:rsidRDefault="006A50BC" w:rsidP="00901A5C">
      <w:pPr>
        <w:pStyle w:val="Heading1"/>
        <w:numPr>
          <w:ilvl w:val="0"/>
          <w:numId w:val="1"/>
        </w:numPr>
        <w:jc w:val="left"/>
        <w:rPr>
          <w:rFonts w:eastAsiaTheme="minorHAnsi"/>
          <w:noProof/>
          <w:sz w:val="24"/>
          <w:szCs w:val="24"/>
          <w:lang w:eastAsia="en-US" w:bidi="ar-SA"/>
        </w:rPr>
      </w:pPr>
      <w:r w:rsidRPr="00C64B4C">
        <w:rPr>
          <w:rFonts w:eastAsiaTheme="minorHAnsi"/>
          <w:noProof/>
          <w:sz w:val="24"/>
          <w:szCs w:val="24"/>
          <w:lang w:eastAsia="en-US" w:bidi="ar-SA"/>
        </w:rPr>
        <w:t>FINANCING</w:t>
      </w:r>
    </w:p>
    <w:p w14:paraId="2179F328" w14:textId="77777777" w:rsidR="00EC37F3" w:rsidRPr="00C64B4C" w:rsidRDefault="00EC37F3" w:rsidP="00FD3856">
      <w:pPr>
        <w:jc w:val="both"/>
        <w:rPr>
          <w:rFonts w:eastAsiaTheme="minorHAnsi"/>
          <w:noProof/>
          <w:sz w:val="24"/>
          <w:szCs w:val="24"/>
        </w:rPr>
      </w:pPr>
    </w:p>
    <w:p w14:paraId="5E71F8A1" w14:textId="77777777" w:rsidR="00F275FD" w:rsidRPr="00C64B4C" w:rsidRDefault="00F275FD" w:rsidP="00FD3856">
      <w:pPr>
        <w:jc w:val="both"/>
        <w:rPr>
          <w:rFonts w:eastAsiaTheme="minorHAnsi"/>
          <w:noProof/>
          <w:sz w:val="24"/>
          <w:szCs w:val="24"/>
          <w:u w:val="single"/>
        </w:rPr>
      </w:pPr>
      <w:r w:rsidRPr="00C64B4C">
        <w:rPr>
          <w:rFonts w:eastAsiaTheme="minorHAnsi"/>
          <w:noProof/>
          <w:sz w:val="24"/>
          <w:szCs w:val="24"/>
          <w:u w:val="single"/>
        </w:rPr>
        <w:t>Background and findings</w:t>
      </w:r>
    </w:p>
    <w:p w14:paraId="555C340B" w14:textId="77777777" w:rsidR="00F275FD" w:rsidRPr="00C64B4C" w:rsidRDefault="00F275FD" w:rsidP="00FD3856">
      <w:pPr>
        <w:jc w:val="both"/>
        <w:rPr>
          <w:rFonts w:eastAsiaTheme="minorHAnsi"/>
          <w:noProof/>
          <w:sz w:val="24"/>
          <w:szCs w:val="24"/>
        </w:rPr>
      </w:pPr>
    </w:p>
    <w:p w14:paraId="4D4577FE" w14:textId="0CFEDC99" w:rsidR="003168B8" w:rsidRPr="00C64B4C" w:rsidRDefault="00EC37F3" w:rsidP="00FD3856">
      <w:pPr>
        <w:jc w:val="both"/>
        <w:rPr>
          <w:rFonts w:eastAsiaTheme="minorHAnsi"/>
          <w:noProof/>
          <w:sz w:val="24"/>
          <w:szCs w:val="24"/>
        </w:rPr>
      </w:pPr>
      <w:r w:rsidRPr="00C64B4C">
        <w:rPr>
          <w:rFonts w:eastAsiaTheme="minorHAnsi"/>
          <w:noProof/>
          <w:sz w:val="24"/>
          <w:szCs w:val="24"/>
        </w:rPr>
        <w:t>The ESAs</w:t>
      </w:r>
      <w:r w:rsidR="003809D3" w:rsidRPr="00C64B4C">
        <w:rPr>
          <w:rFonts w:eastAsiaTheme="minorHAnsi"/>
          <w:noProof/>
          <w:sz w:val="24"/>
          <w:szCs w:val="24"/>
        </w:rPr>
        <w:t>’</w:t>
      </w:r>
      <w:r w:rsidRPr="00C64B4C">
        <w:rPr>
          <w:rFonts w:eastAsiaTheme="minorHAnsi"/>
          <w:noProof/>
          <w:sz w:val="24"/>
          <w:szCs w:val="24"/>
        </w:rPr>
        <w:t xml:space="preserve"> budgets are based on a 60% contribution from the </w:t>
      </w:r>
      <w:r w:rsidR="00B10498">
        <w:rPr>
          <w:rFonts w:eastAsiaTheme="minorHAnsi"/>
          <w:noProof/>
          <w:sz w:val="24"/>
          <w:szCs w:val="24"/>
        </w:rPr>
        <w:t>N</w:t>
      </w:r>
      <w:r w:rsidR="00B30126" w:rsidRPr="00C64B4C">
        <w:rPr>
          <w:rFonts w:eastAsiaTheme="minorHAnsi"/>
          <w:noProof/>
          <w:sz w:val="24"/>
          <w:szCs w:val="24"/>
        </w:rPr>
        <w:t xml:space="preserve">ational </w:t>
      </w:r>
      <w:r w:rsidR="00B10498">
        <w:rPr>
          <w:rFonts w:eastAsiaTheme="minorHAnsi"/>
          <w:noProof/>
          <w:sz w:val="24"/>
          <w:szCs w:val="24"/>
        </w:rPr>
        <w:t>C</w:t>
      </w:r>
      <w:r w:rsidR="00B30126" w:rsidRPr="00C64B4C">
        <w:rPr>
          <w:rFonts w:eastAsiaTheme="minorHAnsi"/>
          <w:noProof/>
          <w:sz w:val="24"/>
          <w:szCs w:val="24"/>
        </w:rPr>
        <w:t xml:space="preserve">ompetent </w:t>
      </w:r>
      <w:r w:rsidR="00B10498">
        <w:rPr>
          <w:rFonts w:eastAsiaTheme="minorHAnsi"/>
          <w:noProof/>
          <w:sz w:val="24"/>
          <w:szCs w:val="24"/>
        </w:rPr>
        <w:t>A</w:t>
      </w:r>
      <w:r w:rsidR="00B30126" w:rsidRPr="00C64B4C">
        <w:rPr>
          <w:rFonts w:eastAsiaTheme="minorHAnsi"/>
          <w:noProof/>
          <w:sz w:val="24"/>
          <w:szCs w:val="24"/>
        </w:rPr>
        <w:t>uthoritie</w:t>
      </w:r>
      <w:r w:rsidRPr="00C64B4C">
        <w:rPr>
          <w:rFonts w:eastAsiaTheme="minorHAnsi"/>
          <w:noProof/>
          <w:sz w:val="24"/>
          <w:szCs w:val="24"/>
        </w:rPr>
        <w:t xml:space="preserve">s and a 40% contribution from the EU budget. </w:t>
      </w:r>
      <w:r w:rsidR="003A3C22" w:rsidRPr="00C64B4C">
        <w:rPr>
          <w:rFonts w:eastAsiaTheme="minorHAnsi"/>
          <w:noProof/>
          <w:sz w:val="24"/>
          <w:szCs w:val="24"/>
        </w:rPr>
        <w:t xml:space="preserve">For ESMA, this distribution is slightly different, as entities that are directly supervised by ESMA also pay supervisory fees to this </w:t>
      </w:r>
      <w:r w:rsidR="003809D3" w:rsidRPr="00C64B4C">
        <w:rPr>
          <w:rFonts w:eastAsiaTheme="minorHAnsi"/>
          <w:noProof/>
          <w:sz w:val="24"/>
          <w:szCs w:val="24"/>
        </w:rPr>
        <w:t>a</w:t>
      </w:r>
      <w:r w:rsidR="003A3C22" w:rsidRPr="00C64B4C">
        <w:rPr>
          <w:rFonts w:eastAsiaTheme="minorHAnsi"/>
          <w:noProof/>
          <w:sz w:val="24"/>
          <w:szCs w:val="24"/>
        </w:rPr>
        <w:t xml:space="preserve">gency. </w:t>
      </w:r>
      <w:r w:rsidR="003168B8" w:rsidRPr="00C64B4C">
        <w:rPr>
          <w:rFonts w:eastAsiaTheme="minorHAnsi"/>
          <w:noProof/>
          <w:sz w:val="24"/>
          <w:szCs w:val="24"/>
        </w:rPr>
        <w:t xml:space="preserve">The Commission proposals in the 2019 ESA review to change the funding system </w:t>
      </w:r>
      <w:r w:rsidR="003809D3" w:rsidRPr="00C64B4C">
        <w:rPr>
          <w:rFonts w:eastAsiaTheme="minorHAnsi"/>
          <w:noProof/>
          <w:sz w:val="24"/>
          <w:szCs w:val="24"/>
        </w:rPr>
        <w:t>w</w:t>
      </w:r>
      <w:r w:rsidR="002652F1" w:rsidRPr="00C64B4C">
        <w:rPr>
          <w:rFonts w:eastAsiaTheme="minorHAnsi"/>
          <w:noProof/>
          <w:sz w:val="24"/>
          <w:szCs w:val="24"/>
        </w:rPr>
        <w:t>ere</w:t>
      </w:r>
      <w:r w:rsidR="003809D3" w:rsidRPr="00C64B4C">
        <w:rPr>
          <w:rFonts w:eastAsiaTheme="minorHAnsi"/>
          <w:noProof/>
          <w:sz w:val="24"/>
          <w:szCs w:val="24"/>
        </w:rPr>
        <w:t xml:space="preserve"> not supported by</w:t>
      </w:r>
      <w:r w:rsidR="003B51ED" w:rsidRPr="00C64B4C">
        <w:rPr>
          <w:rFonts w:eastAsiaTheme="minorHAnsi"/>
          <w:noProof/>
          <w:sz w:val="24"/>
          <w:szCs w:val="24"/>
        </w:rPr>
        <w:t xml:space="preserve"> </w:t>
      </w:r>
      <w:r w:rsidR="00A513F6" w:rsidRPr="00C64B4C">
        <w:rPr>
          <w:rFonts w:eastAsiaTheme="minorHAnsi"/>
          <w:noProof/>
          <w:sz w:val="24"/>
          <w:szCs w:val="24"/>
        </w:rPr>
        <w:t xml:space="preserve">the </w:t>
      </w:r>
      <w:r w:rsidR="003168B8" w:rsidRPr="00C64B4C">
        <w:rPr>
          <w:rFonts w:eastAsiaTheme="minorHAnsi"/>
          <w:noProof/>
          <w:sz w:val="24"/>
          <w:szCs w:val="24"/>
        </w:rPr>
        <w:t>co-legislators</w:t>
      </w:r>
      <w:r w:rsidR="002652F1" w:rsidRPr="00C64B4C">
        <w:rPr>
          <w:rFonts w:eastAsiaTheme="minorHAnsi"/>
          <w:noProof/>
          <w:sz w:val="24"/>
          <w:szCs w:val="24"/>
        </w:rPr>
        <w:t>,</w:t>
      </w:r>
      <w:r w:rsidR="003168B8" w:rsidRPr="00C64B4C">
        <w:rPr>
          <w:rFonts w:eastAsiaTheme="minorHAnsi"/>
          <w:noProof/>
          <w:sz w:val="24"/>
          <w:szCs w:val="24"/>
        </w:rPr>
        <w:t xml:space="preserve"> and the funding rules remained unchanged. </w:t>
      </w:r>
    </w:p>
    <w:p w14:paraId="7D19179F" w14:textId="77777777" w:rsidR="003168B8" w:rsidRPr="00C64B4C" w:rsidRDefault="003168B8" w:rsidP="00FD3856">
      <w:pPr>
        <w:jc w:val="both"/>
        <w:rPr>
          <w:rFonts w:eastAsiaTheme="minorHAnsi"/>
          <w:noProof/>
          <w:sz w:val="24"/>
          <w:szCs w:val="24"/>
        </w:rPr>
      </w:pPr>
    </w:p>
    <w:p w14:paraId="46AC327C" w14:textId="77777777" w:rsidR="00EC37F3" w:rsidRPr="00C64B4C" w:rsidRDefault="00EC37F3" w:rsidP="00FD3856">
      <w:pPr>
        <w:jc w:val="both"/>
        <w:rPr>
          <w:rFonts w:eastAsiaTheme="minorHAnsi"/>
          <w:noProof/>
          <w:sz w:val="24"/>
          <w:szCs w:val="24"/>
        </w:rPr>
      </w:pPr>
      <w:r w:rsidRPr="00C64B4C">
        <w:rPr>
          <w:rFonts w:eastAsiaTheme="minorHAnsi"/>
          <w:noProof/>
          <w:sz w:val="24"/>
          <w:szCs w:val="24"/>
        </w:rPr>
        <w:t>In the consultation, the vast majority of respondents consider</w:t>
      </w:r>
      <w:r w:rsidR="0057466C" w:rsidRPr="00C64B4C">
        <w:rPr>
          <w:rFonts w:eastAsiaTheme="minorHAnsi"/>
          <w:noProof/>
          <w:sz w:val="24"/>
          <w:szCs w:val="24"/>
        </w:rPr>
        <w:t>ed</w:t>
      </w:r>
      <w:r w:rsidRPr="00C64B4C">
        <w:rPr>
          <w:rFonts w:eastAsiaTheme="minorHAnsi"/>
          <w:noProof/>
          <w:sz w:val="24"/>
          <w:szCs w:val="24"/>
        </w:rPr>
        <w:t xml:space="preserve"> that the provisions on financing are appropriate and</w:t>
      </w:r>
      <w:r w:rsidR="00B50703" w:rsidRPr="00C64B4C">
        <w:rPr>
          <w:rFonts w:eastAsiaTheme="minorHAnsi"/>
          <w:noProof/>
          <w:sz w:val="24"/>
          <w:szCs w:val="24"/>
        </w:rPr>
        <w:t xml:space="preserve"> </w:t>
      </w:r>
      <w:r w:rsidR="003809D3" w:rsidRPr="00C64B4C">
        <w:rPr>
          <w:rFonts w:eastAsiaTheme="minorHAnsi"/>
          <w:noProof/>
          <w:sz w:val="24"/>
          <w:szCs w:val="24"/>
        </w:rPr>
        <w:t>enable</w:t>
      </w:r>
      <w:r w:rsidR="00B50703" w:rsidRPr="00C64B4C">
        <w:rPr>
          <w:rFonts w:eastAsiaTheme="minorHAnsi"/>
          <w:noProof/>
          <w:sz w:val="24"/>
          <w:szCs w:val="24"/>
        </w:rPr>
        <w:t xml:space="preserve"> </w:t>
      </w:r>
      <w:r w:rsidR="00C35573" w:rsidRPr="00C64B4C">
        <w:rPr>
          <w:rFonts w:eastAsiaTheme="minorHAnsi"/>
          <w:noProof/>
          <w:sz w:val="24"/>
          <w:szCs w:val="24"/>
        </w:rPr>
        <w:t xml:space="preserve">the ESAs to obtain </w:t>
      </w:r>
      <w:r w:rsidR="00A62CED" w:rsidRPr="00C64B4C">
        <w:rPr>
          <w:rFonts w:eastAsiaTheme="minorHAnsi"/>
          <w:noProof/>
          <w:sz w:val="24"/>
          <w:szCs w:val="24"/>
        </w:rPr>
        <w:t>s</w:t>
      </w:r>
      <w:r w:rsidRPr="00C64B4C">
        <w:rPr>
          <w:rFonts w:eastAsiaTheme="minorHAnsi"/>
          <w:noProof/>
          <w:sz w:val="24"/>
          <w:szCs w:val="24"/>
        </w:rPr>
        <w:t xml:space="preserve">ufficient resources to perform their tasks. Public authorities argued that the current </w:t>
      </w:r>
      <w:r w:rsidR="003809D3" w:rsidRPr="00C64B4C">
        <w:rPr>
          <w:rFonts w:eastAsiaTheme="minorHAnsi"/>
          <w:noProof/>
          <w:sz w:val="24"/>
          <w:szCs w:val="24"/>
        </w:rPr>
        <w:t xml:space="preserve">40/60 </w:t>
      </w:r>
      <w:r w:rsidRPr="00C64B4C">
        <w:rPr>
          <w:rFonts w:eastAsiaTheme="minorHAnsi"/>
          <w:noProof/>
          <w:sz w:val="24"/>
          <w:szCs w:val="24"/>
        </w:rPr>
        <w:t xml:space="preserve">split </w:t>
      </w:r>
      <w:r w:rsidR="003809D3" w:rsidRPr="00C64B4C">
        <w:rPr>
          <w:rFonts w:eastAsiaTheme="minorHAnsi"/>
          <w:noProof/>
          <w:sz w:val="24"/>
          <w:szCs w:val="24"/>
        </w:rPr>
        <w:t>in funding contributions</w:t>
      </w:r>
      <w:r w:rsidRPr="00C64B4C">
        <w:rPr>
          <w:rFonts w:eastAsiaTheme="minorHAnsi"/>
          <w:noProof/>
          <w:sz w:val="24"/>
          <w:szCs w:val="24"/>
        </w:rPr>
        <w:t xml:space="preserve"> is </w:t>
      </w:r>
      <w:r w:rsidR="003809D3" w:rsidRPr="00C64B4C">
        <w:rPr>
          <w:rFonts w:eastAsiaTheme="minorHAnsi"/>
          <w:noProof/>
          <w:sz w:val="24"/>
          <w:szCs w:val="24"/>
        </w:rPr>
        <w:t>appropriate</w:t>
      </w:r>
      <w:r w:rsidR="00A776E6" w:rsidRPr="00C64B4C">
        <w:rPr>
          <w:rFonts w:eastAsiaTheme="minorHAnsi"/>
          <w:noProof/>
          <w:sz w:val="24"/>
          <w:szCs w:val="24"/>
        </w:rPr>
        <w:t>. They said</w:t>
      </w:r>
      <w:r w:rsidRPr="00C64B4C">
        <w:rPr>
          <w:rFonts w:eastAsiaTheme="minorHAnsi"/>
          <w:noProof/>
          <w:sz w:val="24"/>
          <w:szCs w:val="24"/>
        </w:rPr>
        <w:t xml:space="preserve"> that </w:t>
      </w:r>
      <w:r w:rsidR="00A776E6" w:rsidRPr="00C64B4C">
        <w:rPr>
          <w:rFonts w:eastAsiaTheme="minorHAnsi"/>
          <w:noProof/>
          <w:sz w:val="24"/>
          <w:szCs w:val="24"/>
        </w:rPr>
        <w:t>because</w:t>
      </w:r>
      <w:r w:rsidRPr="00C64B4C">
        <w:rPr>
          <w:rFonts w:eastAsiaTheme="minorHAnsi"/>
          <w:noProof/>
          <w:sz w:val="24"/>
          <w:szCs w:val="24"/>
        </w:rPr>
        <w:t xml:space="preserve"> the ESAs’ work relates to a greater extent to a public function</w:t>
      </w:r>
      <w:r w:rsidR="00DE4345" w:rsidRPr="00C64B4C">
        <w:rPr>
          <w:rFonts w:eastAsiaTheme="minorHAnsi"/>
          <w:noProof/>
          <w:sz w:val="24"/>
          <w:szCs w:val="24"/>
        </w:rPr>
        <w:t>, it was fair and proper for</w:t>
      </w:r>
      <w:r w:rsidRPr="00C64B4C">
        <w:rPr>
          <w:rFonts w:eastAsiaTheme="minorHAnsi"/>
          <w:noProof/>
          <w:sz w:val="24"/>
          <w:szCs w:val="24"/>
        </w:rPr>
        <w:t xml:space="preserve"> funding </w:t>
      </w:r>
      <w:r w:rsidR="00DE4345" w:rsidRPr="00C64B4C">
        <w:rPr>
          <w:rFonts w:eastAsiaTheme="minorHAnsi"/>
          <w:noProof/>
          <w:sz w:val="24"/>
          <w:szCs w:val="24"/>
        </w:rPr>
        <w:t xml:space="preserve">to </w:t>
      </w:r>
      <w:r w:rsidR="00A776E6" w:rsidRPr="00C64B4C">
        <w:rPr>
          <w:rFonts w:eastAsiaTheme="minorHAnsi"/>
          <w:noProof/>
          <w:sz w:val="24"/>
          <w:szCs w:val="24"/>
        </w:rPr>
        <w:t xml:space="preserve">be </w:t>
      </w:r>
      <w:r w:rsidRPr="00C64B4C">
        <w:rPr>
          <w:rFonts w:eastAsiaTheme="minorHAnsi"/>
          <w:noProof/>
          <w:sz w:val="24"/>
          <w:szCs w:val="24"/>
        </w:rPr>
        <w:t xml:space="preserve">mainly based on public contributions. Some public authorities, mainly from small countries, </w:t>
      </w:r>
      <w:r w:rsidR="0057466C" w:rsidRPr="00C64B4C">
        <w:rPr>
          <w:rFonts w:eastAsiaTheme="minorHAnsi"/>
          <w:noProof/>
          <w:sz w:val="24"/>
          <w:szCs w:val="24"/>
        </w:rPr>
        <w:t>were</w:t>
      </w:r>
      <w:r w:rsidRPr="00C64B4C">
        <w:rPr>
          <w:rFonts w:eastAsiaTheme="minorHAnsi"/>
          <w:noProof/>
          <w:sz w:val="24"/>
          <w:szCs w:val="24"/>
        </w:rPr>
        <w:t xml:space="preserve"> of the view that the portion of financing from the EU budget could be increased. </w:t>
      </w:r>
    </w:p>
    <w:p w14:paraId="5719A579" w14:textId="77777777" w:rsidR="00EC37F3" w:rsidRPr="00C64B4C" w:rsidRDefault="00EC37F3" w:rsidP="00FD3856">
      <w:pPr>
        <w:jc w:val="both"/>
        <w:rPr>
          <w:rFonts w:eastAsiaTheme="minorHAnsi"/>
          <w:noProof/>
          <w:sz w:val="24"/>
          <w:szCs w:val="24"/>
        </w:rPr>
      </w:pPr>
    </w:p>
    <w:p w14:paraId="0DEDF86A" w14:textId="0D38EB2A" w:rsidR="00EC37F3" w:rsidRPr="00C64B4C" w:rsidRDefault="00EC37F3" w:rsidP="00FD3856">
      <w:pPr>
        <w:jc w:val="both"/>
        <w:rPr>
          <w:rFonts w:eastAsiaTheme="minorHAnsi"/>
          <w:noProof/>
          <w:sz w:val="24"/>
          <w:szCs w:val="24"/>
        </w:rPr>
      </w:pPr>
      <w:r w:rsidRPr="00C64B4C">
        <w:rPr>
          <w:rFonts w:eastAsiaTheme="minorHAnsi"/>
          <w:noProof/>
          <w:sz w:val="24"/>
          <w:szCs w:val="24"/>
        </w:rPr>
        <w:t>Respondents from the</w:t>
      </w:r>
      <w:r w:rsidR="00A776E6" w:rsidRPr="00C64B4C">
        <w:rPr>
          <w:rFonts w:eastAsiaTheme="minorHAnsi"/>
          <w:noProof/>
          <w:sz w:val="24"/>
          <w:szCs w:val="24"/>
        </w:rPr>
        <w:t xml:space="preserve"> finance</w:t>
      </w:r>
      <w:r w:rsidRPr="00C64B4C">
        <w:rPr>
          <w:rFonts w:eastAsiaTheme="minorHAnsi"/>
          <w:noProof/>
          <w:sz w:val="24"/>
          <w:szCs w:val="24"/>
        </w:rPr>
        <w:t xml:space="preserve"> industry observed that the current funding model is adequate since</w:t>
      </w:r>
      <w:r w:rsidR="00A776E6" w:rsidRPr="00C64B4C">
        <w:rPr>
          <w:rFonts w:eastAsiaTheme="minorHAnsi"/>
          <w:noProof/>
          <w:sz w:val="24"/>
          <w:szCs w:val="24"/>
        </w:rPr>
        <w:t>: (i)</w:t>
      </w:r>
      <w:r w:rsidRPr="00C64B4C">
        <w:rPr>
          <w:rFonts w:eastAsiaTheme="minorHAnsi"/>
          <w:noProof/>
          <w:sz w:val="24"/>
          <w:szCs w:val="24"/>
        </w:rPr>
        <w:t xml:space="preserve"> tasks of a regulatory nature </w:t>
      </w:r>
      <w:r w:rsidR="009241E6" w:rsidRPr="00C64B4C">
        <w:rPr>
          <w:rFonts w:eastAsiaTheme="minorHAnsi"/>
          <w:noProof/>
          <w:sz w:val="24"/>
          <w:szCs w:val="24"/>
        </w:rPr>
        <w:t>should</w:t>
      </w:r>
      <w:r w:rsidR="00344F28" w:rsidRPr="00C64B4C">
        <w:rPr>
          <w:rFonts w:eastAsiaTheme="minorHAnsi"/>
          <w:noProof/>
          <w:sz w:val="24"/>
          <w:szCs w:val="24"/>
        </w:rPr>
        <w:t xml:space="preserve"> </w:t>
      </w:r>
      <w:r w:rsidRPr="00C64B4C">
        <w:rPr>
          <w:rFonts w:eastAsiaTheme="minorHAnsi"/>
          <w:noProof/>
          <w:sz w:val="24"/>
          <w:szCs w:val="24"/>
        </w:rPr>
        <w:t>be funded by the EU budget</w:t>
      </w:r>
      <w:r w:rsidR="00A776E6" w:rsidRPr="00C64B4C">
        <w:rPr>
          <w:rFonts w:eastAsiaTheme="minorHAnsi"/>
          <w:noProof/>
          <w:sz w:val="24"/>
          <w:szCs w:val="24"/>
        </w:rPr>
        <w:t>;</w:t>
      </w:r>
      <w:r w:rsidRPr="00C64B4C">
        <w:rPr>
          <w:rFonts w:eastAsiaTheme="minorHAnsi"/>
          <w:noProof/>
          <w:sz w:val="24"/>
          <w:szCs w:val="24"/>
        </w:rPr>
        <w:t xml:space="preserve"> and </w:t>
      </w:r>
      <w:r w:rsidR="00A776E6" w:rsidRPr="00C64B4C">
        <w:rPr>
          <w:rFonts w:eastAsiaTheme="minorHAnsi"/>
          <w:noProof/>
          <w:sz w:val="24"/>
          <w:szCs w:val="24"/>
        </w:rPr>
        <w:t xml:space="preserve">(ii) </w:t>
      </w:r>
      <w:r w:rsidRPr="00C64B4C">
        <w:rPr>
          <w:rFonts w:eastAsiaTheme="minorHAnsi"/>
          <w:noProof/>
          <w:sz w:val="24"/>
          <w:szCs w:val="24"/>
        </w:rPr>
        <w:t xml:space="preserve">supervisory convergence tasks </w:t>
      </w:r>
      <w:r w:rsidR="00344F28" w:rsidRPr="00C64B4C">
        <w:rPr>
          <w:rFonts w:eastAsiaTheme="minorHAnsi"/>
          <w:noProof/>
          <w:sz w:val="24"/>
          <w:szCs w:val="24"/>
        </w:rPr>
        <w:t>sh</w:t>
      </w:r>
      <w:r w:rsidR="009241E6" w:rsidRPr="00C64B4C">
        <w:rPr>
          <w:rFonts w:eastAsiaTheme="minorHAnsi"/>
          <w:noProof/>
          <w:sz w:val="24"/>
          <w:szCs w:val="24"/>
        </w:rPr>
        <w:t>ould</w:t>
      </w:r>
      <w:r w:rsidR="00344F28" w:rsidRPr="00C64B4C">
        <w:rPr>
          <w:rFonts w:eastAsiaTheme="minorHAnsi"/>
          <w:noProof/>
          <w:sz w:val="24"/>
          <w:szCs w:val="24"/>
        </w:rPr>
        <w:t xml:space="preserve"> </w:t>
      </w:r>
      <w:r w:rsidRPr="00C64B4C">
        <w:rPr>
          <w:rFonts w:eastAsiaTheme="minorHAnsi"/>
          <w:noProof/>
          <w:sz w:val="24"/>
          <w:szCs w:val="24"/>
        </w:rPr>
        <w:t xml:space="preserve">be funded by the </w:t>
      </w:r>
      <w:r w:rsidR="00B10498">
        <w:rPr>
          <w:rFonts w:eastAsiaTheme="minorHAnsi"/>
          <w:noProof/>
          <w:sz w:val="24"/>
          <w:szCs w:val="24"/>
        </w:rPr>
        <w:t>N</w:t>
      </w:r>
      <w:r w:rsidR="00B30126" w:rsidRPr="00C64B4C">
        <w:rPr>
          <w:rFonts w:eastAsiaTheme="minorHAnsi"/>
          <w:noProof/>
          <w:sz w:val="24"/>
          <w:szCs w:val="24"/>
        </w:rPr>
        <w:t xml:space="preserve">ational </w:t>
      </w:r>
      <w:r w:rsidR="00B10498">
        <w:rPr>
          <w:rFonts w:eastAsiaTheme="minorHAnsi"/>
          <w:noProof/>
          <w:sz w:val="24"/>
          <w:szCs w:val="24"/>
        </w:rPr>
        <w:t>C</w:t>
      </w:r>
      <w:r w:rsidR="00B30126" w:rsidRPr="00C64B4C">
        <w:rPr>
          <w:rFonts w:eastAsiaTheme="minorHAnsi"/>
          <w:noProof/>
          <w:sz w:val="24"/>
          <w:szCs w:val="24"/>
        </w:rPr>
        <w:t xml:space="preserve">ompetent </w:t>
      </w:r>
      <w:r w:rsidR="00B10498">
        <w:rPr>
          <w:rFonts w:eastAsiaTheme="minorHAnsi"/>
          <w:noProof/>
          <w:sz w:val="24"/>
          <w:szCs w:val="24"/>
        </w:rPr>
        <w:t>A</w:t>
      </w:r>
      <w:r w:rsidR="00B30126" w:rsidRPr="00C64B4C">
        <w:rPr>
          <w:rFonts w:eastAsiaTheme="minorHAnsi"/>
          <w:noProof/>
          <w:sz w:val="24"/>
          <w:szCs w:val="24"/>
        </w:rPr>
        <w:t>uthoritie</w:t>
      </w:r>
      <w:r w:rsidRPr="00C64B4C">
        <w:rPr>
          <w:rFonts w:eastAsiaTheme="minorHAnsi"/>
          <w:noProof/>
          <w:sz w:val="24"/>
          <w:szCs w:val="24"/>
        </w:rPr>
        <w:t xml:space="preserve">s since they directly benefit from the convergence work and supervision is the primary responsibility of the State. </w:t>
      </w:r>
      <w:r w:rsidR="00A776E6" w:rsidRPr="00C64B4C">
        <w:rPr>
          <w:rFonts w:eastAsiaTheme="minorHAnsi"/>
          <w:noProof/>
          <w:sz w:val="24"/>
          <w:szCs w:val="24"/>
        </w:rPr>
        <w:t xml:space="preserve">Finance-industry respondents </w:t>
      </w:r>
      <w:r w:rsidRPr="00C64B4C">
        <w:rPr>
          <w:rFonts w:eastAsiaTheme="minorHAnsi"/>
          <w:noProof/>
          <w:sz w:val="24"/>
          <w:szCs w:val="24"/>
        </w:rPr>
        <w:t>further argued that the current funding model empowers the E</w:t>
      </w:r>
      <w:r w:rsidR="001130BD" w:rsidRPr="00C64B4C">
        <w:rPr>
          <w:rFonts w:eastAsiaTheme="minorHAnsi"/>
          <w:noProof/>
          <w:sz w:val="24"/>
          <w:szCs w:val="24"/>
        </w:rPr>
        <w:t xml:space="preserve">uropean </w:t>
      </w:r>
      <w:r w:rsidRPr="00C64B4C">
        <w:rPr>
          <w:rFonts w:eastAsiaTheme="minorHAnsi"/>
          <w:noProof/>
          <w:sz w:val="24"/>
          <w:szCs w:val="24"/>
        </w:rPr>
        <w:t>P</w:t>
      </w:r>
      <w:r w:rsidR="001130BD" w:rsidRPr="00C64B4C">
        <w:rPr>
          <w:rFonts w:eastAsiaTheme="minorHAnsi"/>
          <w:noProof/>
          <w:sz w:val="24"/>
          <w:szCs w:val="24"/>
        </w:rPr>
        <w:t>arliament</w:t>
      </w:r>
      <w:r w:rsidRPr="00C64B4C">
        <w:rPr>
          <w:rFonts w:eastAsiaTheme="minorHAnsi"/>
          <w:noProof/>
          <w:sz w:val="24"/>
          <w:szCs w:val="24"/>
        </w:rPr>
        <w:t xml:space="preserve"> to </w:t>
      </w:r>
      <w:r w:rsidR="00A776E6" w:rsidRPr="00C64B4C">
        <w:rPr>
          <w:rFonts w:eastAsiaTheme="minorHAnsi"/>
          <w:noProof/>
          <w:sz w:val="24"/>
          <w:szCs w:val="24"/>
        </w:rPr>
        <w:t xml:space="preserve">exercise </w:t>
      </w:r>
      <w:r w:rsidRPr="00C64B4C">
        <w:rPr>
          <w:rFonts w:eastAsiaTheme="minorHAnsi"/>
          <w:noProof/>
          <w:sz w:val="24"/>
          <w:szCs w:val="24"/>
        </w:rPr>
        <w:t>budgetary control over the ESAs for the part of their budget financed from the general EU budget</w:t>
      </w:r>
      <w:r w:rsidR="00A776E6" w:rsidRPr="00C64B4C">
        <w:rPr>
          <w:rFonts w:eastAsiaTheme="minorHAnsi"/>
          <w:noProof/>
          <w:sz w:val="24"/>
          <w:szCs w:val="24"/>
        </w:rPr>
        <w:t>,</w:t>
      </w:r>
      <w:r w:rsidRPr="00C64B4C">
        <w:rPr>
          <w:rFonts w:eastAsiaTheme="minorHAnsi"/>
          <w:noProof/>
          <w:sz w:val="24"/>
          <w:szCs w:val="24"/>
        </w:rPr>
        <w:t xml:space="preserve"> and </w:t>
      </w:r>
      <w:r w:rsidR="00DE4345" w:rsidRPr="00C64B4C">
        <w:rPr>
          <w:rFonts w:eastAsiaTheme="minorHAnsi"/>
          <w:noProof/>
          <w:sz w:val="24"/>
          <w:szCs w:val="24"/>
        </w:rPr>
        <w:t xml:space="preserve">thus </w:t>
      </w:r>
      <w:r w:rsidRPr="00C64B4C">
        <w:rPr>
          <w:rFonts w:eastAsiaTheme="minorHAnsi"/>
          <w:noProof/>
          <w:sz w:val="24"/>
          <w:szCs w:val="24"/>
        </w:rPr>
        <w:t xml:space="preserve">ensures that the ESAs can be held accountable. </w:t>
      </w:r>
    </w:p>
    <w:p w14:paraId="7D5FABBB" w14:textId="77777777" w:rsidR="00EC37F3" w:rsidRPr="00C64B4C" w:rsidRDefault="00EC37F3" w:rsidP="00FD3856">
      <w:pPr>
        <w:jc w:val="both"/>
        <w:rPr>
          <w:rFonts w:eastAsiaTheme="minorHAnsi"/>
          <w:noProof/>
          <w:sz w:val="24"/>
          <w:szCs w:val="24"/>
        </w:rPr>
      </w:pPr>
    </w:p>
    <w:p w14:paraId="5A4C3219" w14:textId="77777777" w:rsidR="00EC37F3" w:rsidRPr="00C64B4C" w:rsidRDefault="00EC37F3" w:rsidP="00FD3856">
      <w:pPr>
        <w:jc w:val="both"/>
        <w:rPr>
          <w:rFonts w:eastAsiaTheme="minorHAnsi"/>
          <w:noProof/>
          <w:sz w:val="24"/>
          <w:szCs w:val="24"/>
        </w:rPr>
      </w:pPr>
      <w:r w:rsidRPr="00C64B4C">
        <w:rPr>
          <w:rFonts w:eastAsiaTheme="minorHAnsi"/>
          <w:noProof/>
          <w:sz w:val="24"/>
          <w:szCs w:val="24"/>
        </w:rPr>
        <w:t>Despite th</w:t>
      </w:r>
      <w:r w:rsidR="003D2825" w:rsidRPr="00C64B4C">
        <w:rPr>
          <w:rFonts w:eastAsiaTheme="minorHAnsi"/>
          <w:noProof/>
          <w:sz w:val="24"/>
          <w:szCs w:val="24"/>
        </w:rPr>
        <w:t>e</w:t>
      </w:r>
      <w:r w:rsidRPr="00C64B4C">
        <w:rPr>
          <w:rFonts w:eastAsiaTheme="minorHAnsi"/>
          <w:noProof/>
          <w:sz w:val="24"/>
          <w:szCs w:val="24"/>
        </w:rPr>
        <w:t xml:space="preserve"> </w:t>
      </w:r>
      <w:r w:rsidR="002C54B0" w:rsidRPr="00C64B4C">
        <w:rPr>
          <w:rFonts w:eastAsiaTheme="minorHAnsi"/>
          <w:noProof/>
          <w:sz w:val="24"/>
          <w:szCs w:val="24"/>
        </w:rPr>
        <w:t xml:space="preserve">overall </w:t>
      </w:r>
      <w:r w:rsidRPr="00C64B4C">
        <w:rPr>
          <w:rFonts w:eastAsiaTheme="minorHAnsi"/>
          <w:noProof/>
          <w:sz w:val="24"/>
          <w:szCs w:val="24"/>
        </w:rPr>
        <w:t>positive assessment</w:t>
      </w:r>
      <w:r w:rsidR="00DE56EF" w:rsidRPr="00C64B4C">
        <w:rPr>
          <w:rFonts w:eastAsiaTheme="minorHAnsi"/>
          <w:noProof/>
          <w:sz w:val="24"/>
          <w:szCs w:val="24"/>
        </w:rPr>
        <w:t xml:space="preserve">, some issues have been identified </w:t>
      </w:r>
      <w:r w:rsidR="00A776E6" w:rsidRPr="00C64B4C">
        <w:rPr>
          <w:rFonts w:eastAsiaTheme="minorHAnsi"/>
          <w:noProof/>
          <w:sz w:val="24"/>
          <w:szCs w:val="24"/>
        </w:rPr>
        <w:t xml:space="preserve">in </w:t>
      </w:r>
      <w:r w:rsidR="00DE56EF" w:rsidRPr="00C64B4C">
        <w:rPr>
          <w:rFonts w:eastAsiaTheme="minorHAnsi"/>
          <w:noProof/>
          <w:sz w:val="24"/>
          <w:szCs w:val="24"/>
        </w:rPr>
        <w:t>the fees charged to supervised entities to cover the costs of ESMA’s direct</w:t>
      </w:r>
      <w:r w:rsidR="00DE4345" w:rsidRPr="00C64B4C">
        <w:rPr>
          <w:rFonts w:eastAsiaTheme="minorHAnsi"/>
          <w:noProof/>
          <w:sz w:val="24"/>
          <w:szCs w:val="24"/>
        </w:rPr>
        <w:t>-</w:t>
      </w:r>
      <w:r w:rsidR="00DE56EF" w:rsidRPr="00C64B4C">
        <w:rPr>
          <w:rFonts w:eastAsiaTheme="minorHAnsi"/>
          <w:noProof/>
          <w:sz w:val="24"/>
          <w:szCs w:val="24"/>
        </w:rPr>
        <w:t>supervision mandates. One public authority argu</w:t>
      </w:r>
      <w:r w:rsidR="003168B8" w:rsidRPr="00C64B4C">
        <w:rPr>
          <w:rFonts w:eastAsiaTheme="minorHAnsi"/>
          <w:noProof/>
          <w:sz w:val="24"/>
          <w:szCs w:val="24"/>
        </w:rPr>
        <w:t>ed</w:t>
      </w:r>
      <w:r w:rsidR="00DE56EF" w:rsidRPr="00C64B4C">
        <w:rPr>
          <w:rFonts w:eastAsiaTheme="minorHAnsi"/>
          <w:noProof/>
          <w:sz w:val="24"/>
          <w:szCs w:val="24"/>
        </w:rPr>
        <w:t xml:space="preserve"> that an increase in the financing of direct supervisory mandates should come from the EU rather than from an increase in fees from supervised entities.</w:t>
      </w:r>
      <w:r w:rsidR="00A513F6" w:rsidRPr="00C64B4C">
        <w:rPr>
          <w:rFonts w:eastAsiaTheme="minorHAnsi"/>
          <w:noProof/>
          <w:sz w:val="24"/>
          <w:szCs w:val="24"/>
        </w:rPr>
        <w:t xml:space="preserve"> </w:t>
      </w:r>
      <w:r w:rsidR="00A776E6" w:rsidRPr="00C64B4C">
        <w:rPr>
          <w:rFonts w:eastAsiaTheme="minorHAnsi"/>
          <w:noProof/>
          <w:sz w:val="24"/>
          <w:szCs w:val="24"/>
        </w:rPr>
        <w:t>In</w:t>
      </w:r>
      <w:r w:rsidR="000B2844" w:rsidRPr="00C64B4C">
        <w:rPr>
          <w:rFonts w:eastAsiaTheme="minorHAnsi"/>
          <w:noProof/>
          <w:sz w:val="24"/>
          <w:szCs w:val="24"/>
        </w:rPr>
        <w:t xml:space="preserve"> the consultation</w:t>
      </w:r>
      <w:r w:rsidRPr="00C64B4C">
        <w:rPr>
          <w:rFonts w:eastAsiaTheme="minorHAnsi"/>
          <w:noProof/>
          <w:sz w:val="24"/>
          <w:szCs w:val="24"/>
        </w:rPr>
        <w:t>, ESMA raised</w:t>
      </w:r>
      <w:r w:rsidR="00FD3856" w:rsidRPr="00C64B4C">
        <w:rPr>
          <w:rStyle w:val="FootnoteReference"/>
          <w:rFonts w:eastAsiaTheme="minorHAnsi"/>
          <w:noProof/>
          <w:sz w:val="24"/>
          <w:szCs w:val="24"/>
        </w:rPr>
        <w:footnoteReference w:id="41"/>
      </w:r>
      <w:r w:rsidRPr="00C64B4C">
        <w:rPr>
          <w:rFonts w:eastAsiaTheme="minorHAnsi"/>
          <w:noProof/>
          <w:sz w:val="24"/>
          <w:szCs w:val="24"/>
        </w:rPr>
        <w:t xml:space="preserve"> </w:t>
      </w:r>
      <w:r w:rsidR="00A776E6" w:rsidRPr="00C64B4C">
        <w:rPr>
          <w:rFonts w:eastAsiaTheme="minorHAnsi"/>
          <w:noProof/>
          <w:sz w:val="24"/>
          <w:szCs w:val="24"/>
        </w:rPr>
        <w:t xml:space="preserve">the issue of </w:t>
      </w:r>
      <w:r w:rsidRPr="00C64B4C">
        <w:rPr>
          <w:rFonts w:eastAsiaTheme="minorHAnsi"/>
          <w:noProof/>
          <w:sz w:val="24"/>
          <w:szCs w:val="24"/>
        </w:rPr>
        <w:t xml:space="preserve">the lack of flexibility </w:t>
      </w:r>
      <w:r w:rsidR="00A776E6" w:rsidRPr="00C64B4C">
        <w:rPr>
          <w:rFonts w:eastAsiaTheme="minorHAnsi"/>
          <w:noProof/>
          <w:sz w:val="24"/>
          <w:szCs w:val="24"/>
        </w:rPr>
        <w:t xml:space="preserve">in </w:t>
      </w:r>
      <w:r w:rsidRPr="00C64B4C">
        <w:rPr>
          <w:rFonts w:eastAsiaTheme="minorHAnsi"/>
          <w:noProof/>
          <w:sz w:val="24"/>
          <w:szCs w:val="24"/>
        </w:rPr>
        <w:t>the f</w:t>
      </w:r>
      <w:r w:rsidR="000B2844" w:rsidRPr="00C64B4C">
        <w:rPr>
          <w:rFonts w:eastAsiaTheme="minorHAnsi"/>
          <w:noProof/>
          <w:sz w:val="24"/>
          <w:szCs w:val="24"/>
        </w:rPr>
        <w:t>ee</w:t>
      </w:r>
      <w:r w:rsidRPr="00C64B4C">
        <w:rPr>
          <w:rFonts w:eastAsiaTheme="minorHAnsi"/>
          <w:noProof/>
          <w:sz w:val="24"/>
          <w:szCs w:val="24"/>
        </w:rPr>
        <w:t xml:space="preserve"> system, which</w:t>
      </w:r>
      <w:r w:rsidR="009241E6" w:rsidRPr="00C64B4C">
        <w:rPr>
          <w:rFonts w:eastAsiaTheme="minorHAnsi"/>
          <w:noProof/>
          <w:sz w:val="24"/>
          <w:szCs w:val="24"/>
        </w:rPr>
        <w:t xml:space="preserve"> </w:t>
      </w:r>
      <w:r w:rsidRPr="00C64B4C">
        <w:rPr>
          <w:rFonts w:eastAsiaTheme="minorHAnsi"/>
          <w:noProof/>
          <w:sz w:val="24"/>
          <w:szCs w:val="24"/>
        </w:rPr>
        <w:t>prevents it from reallocating resources on the basis of identified risks.</w:t>
      </w:r>
      <w:r w:rsidR="00344F28" w:rsidRPr="00C64B4C">
        <w:rPr>
          <w:rFonts w:eastAsiaTheme="minorHAnsi"/>
          <w:noProof/>
          <w:sz w:val="24"/>
          <w:szCs w:val="24"/>
        </w:rPr>
        <w:t xml:space="preserve"> </w:t>
      </w:r>
      <w:r w:rsidRPr="00C64B4C">
        <w:rPr>
          <w:rFonts w:eastAsiaTheme="minorHAnsi"/>
          <w:noProof/>
          <w:sz w:val="24"/>
          <w:szCs w:val="24"/>
        </w:rPr>
        <w:t>In addition, for some direct supervisory tasks</w:t>
      </w:r>
      <w:r w:rsidR="009C134F" w:rsidRPr="00C64B4C">
        <w:rPr>
          <w:rFonts w:eastAsiaTheme="minorHAnsi"/>
          <w:noProof/>
          <w:sz w:val="24"/>
          <w:szCs w:val="24"/>
        </w:rPr>
        <w:t>,</w:t>
      </w:r>
      <w:r w:rsidRPr="00C64B4C">
        <w:rPr>
          <w:rFonts w:eastAsiaTheme="minorHAnsi"/>
          <w:noProof/>
          <w:sz w:val="24"/>
          <w:szCs w:val="24"/>
        </w:rPr>
        <w:t xml:space="preserve"> </w:t>
      </w:r>
      <w:r w:rsidR="00B8395F" w:rsidRPr="00C64B4C">
        <w:rPr>
          <w:rFonts w:eastAsiaTheme="minorHAnsi"/>
          <w:noProof/>
          <w:sz w:val="24"/>
          <w:szCs w:val="24"/>
        </w:rPr>
        <w:t>the</w:t>
      </w:r>
      <w:r w:rsidRPr="00C64B4C">
        <w:rPr>
          <w:rFonts w:eastAsiaTheme="minorHAnsi"/>
          <w:noProof/>
          <w:sz w:val="24"/>
          <w:szCs w:val="24"/>
        </w:rPr>
        <w:t xml:space="preserve"> number of supervised entities</w:t>
      </w:r>
      <w:r w:rsidR="00B8395F" w:rsidRPr="00C64B4C">
        <w:rPr>
          <w:rFonts w:eastAsiaTheme="minorHAnsi"/>
          <w:noProof/>
          <w:sz w:val="24"/>
          <w:szCs w:val="24"/>
        </w:rPr>
        <w:t xml:space="preserve"> is small or is likely to be small</w:t>
      </w:r>
      <w:r w:rsidR="00715C6B" w:rsidRPr="00C64B4C">
        <w:rPr>
          <w:rStyle w:val="FootnoteReference"/>
          <w:rFonts w:eastAsiaTheme="minorHAnsi"/>
          <w:noProof/>
          <w:sz w:val="24"/>
          <w:szCs w:val="24"/>
        </w:rPr>
        <w:footnoteReference w:id="42"/>
      </w:r>
      <w:r w:rsidRPr="00C64B4C">
        <w:rPr>
          <w:rFonts w:eastAsiaTheme="minorHAnsi"/>
          <w:noProof/>
          <w:sz w:val="24"/>
          <w:szCs w:val="24"/>
        </w:rPr>
        <w:t>. This may result in a high level of fees for small entities, since sector legislation requires that t</w:t>
      </w:r>
      <w:r w:rsidR="00715C6B" w:rsidRPr="00C64B4C">
        <w:rPr>
          <w:rFonts w:eastAsiaTheme="minorHAnsi"/>
          <w:noProof/>
          <w:sz w:val="24"/>
          <w:szCs w:val="24"/>
        </w:rPr>
        <w:t xml:space="preserve">he fees cover all </w:t>
      </w:r>
      <w:r w:rsidRPr="00C64B4C">
        <w:rPr>
          <w:rFonts w:eastAsiaTheme="minorHAnsi"/>
          <w:noProof/>
          <w:sz w:val="24"/>
          <w:szCs w:val="24"/>
        </w:rPr>
        <w:t>costs incurred for supervisory activi</w:t>
      </w:r>
      <w:r w:rsidR="004D0D2B" w:rsidRPr="00C64B4C">
        <w:rPr>
          <w:rFonts w:eastAsiaTheme="minorHAnsi"/>
          <w:noProof/>
          <w:sz w:val="24"/>
          <w:szCs w:val="24"/>
        </w:rPr>
        <w:t>t</w:t>
      </w:r>
      <w:r w:rsidR="00715C6B" w:rsidRPr="00C64B4C">
        <w:rPr>
          <w:rFonts w:eastAsiaTheme="minorHAnsi"/>
          <w:noProof/>
          <w:sz w:val="24"/>
          <w:szCs w:val="24"/>
        </w:rPr>
        <w:t>ies relating to those entities.</w:t>
      </w:r>
    </w:p>
    <w:p w14:paraId="382ACB04" w14:textId="77777777" w:rsidR="00EC37F3" w:rsidRPr="00C64B4C" w:rsidRDefault="00EC37F3" w:rsidP="00FD3856">
      <w:pPr>
        <w:jc w:val="both"/>
        <w:rPr>
          <w:rFonts w:eastAsiaTheme="minorHAnsi"/>
          <w:noProof/>
          <w:sz w:val="24"/>
          <w:szCs w:val="24"/>
        </w:rPr>
      </w:pPr>
    </w:p>
    <w:p w14:paraId="5CBB1B70" w14:textId="77777777" w:rsidR="00EC37F3" w:rsidRPr="00C64B4C" w:rsidRDefault="00F275FD" w:rsidP="00FD3856">
      <w:pPr>
        <w:jc w:val="both"/>
        <w:rPr>
          <w:rFonts w:eastAsiaTheme="minorHAnsi"/>
          <w:noProof/>
          <w:sz w:val="24"/>
          <w:szCs w:val="24"/>
          <w:u w:val="single"/>
        </w:rPr>
      </w:pPr>
      <w:r w:rsidRPr="00C64B4C">
        <w:rPr>
          <w:rFonts w:eastAsiaTheme="minorHAnsi"/>
          <w:noProof/>
          <w:sz w:val="24"/>
          <w:szCs w:val="24"/>
          <w:u w:val="single"/>
        </w:rPr>
        <w:t>Assessment</w:t>
      </w:r>
      <w:r w:rsidR="00563C89" w:rsidRPr="00C64B4C">
        <w:rPr>
          <w:rFonts w:eastAsiaTheme="minorHAnsi"/>
          <w:noProof/>
          <w:sz w:val="24"/>
          <w:szCs w:val="24"/>
          <w:u w:val="single"/>
        </w:rPr>
        <w:t xml:space="preserve"> </w:t>
      </w:r>
      <w:r w:rsidR="003168B8" w:rsidRPr="00C64B4C">
        <w:rPr>
          <w:rFonts w:eastAsiaTheme="minorHAnsi"/>
          <w:noProof/>
          <w:sz w:val="24"/>
          <w:szCs w:val="24"/>
          <w:u w:val="single"/>
        </w:rPr>
        <w:t>of the Commission</w:t>
      </w:r>
    </w:p>
    <w:p w14:paraId="1118805E" w14:textId="77777777" w:rsidR="00EC37F3" w:rsidRPr="00C64B4C" w:rsidRDefault="00EC37F3" w:rsidP="00FD3856">
      <w:pPr>
        <w:jc w:val="both"/>
        <w:rPr>
          <w:rFonts w:eastAsiaTheme="minorHAnsi"/>
          <w:noProof/>
          <w:sz w:val="24"/>
          <w:szCs w:val="24"/>
        </w:rPr>
      </w:pPr>
    </w:p>
    <w:p w14:paraId="7401401B" w14:textId="77777777" w:rsidR="00F61012" w:rsidRPr="00C64B4C" w:rsidRDefault="00F275FD" w:rsidP="00FD3856">
      <w:pPr>
        <w:jc w:val="both"/>
        <w:rPr>
          <w:rFonts w:eastAsiaTheme="minorHAnsi"/>
          <w:noProof/>
          <w:sz w:val="24"/>
          <w:szCs w:val="24"/>
        </w:rPr>
      </w:pPr>
      <w:r w:rsidRPr="00C64B4C">
        <w:rPr>
          <w:rFonts w:eastAsiaTheme="minorHAnsi"/>
          <w:noProof/>
          <w:sz w:val="24"/>
          <w:szCs w:val="24"/>
        </w:rPr>
        <w:t xml:space="preserve">In line with the feedback received, the Commission does not intend </w:t>
      </w:r>
      <w:r w:rsidR="00F61012" w:rsidRPr="00C64B4C">
        <w:rPr>
          <w:rFonts w:eastAsiaTheme="minorHAnsi"/>
          <w:noProof/>
          <w:sz w:val="24"/>
          <w:szCs w:val="24"/>
        </w:rPr>
        <w:t>to propose legislative amendments to change th</w:t>
      </w:r>
      <w:r w:rsidR="000F33CE" w:rsidRPr="00C64B4C">
        <w:rPr>
          <w:rFonts w:eastAsiaTheme="minorHAnsi"/>
          <w:noProof/>
          <w:sz w:val="24"/>
          <w:szCs w:val="24"/>
        </w:rPr>
        <w:t>e current legal framework for</w:t>
      </w:r>
      <w:r w:rsidR="00F61012" w:rsidRPr="00C64B4C">
        <w:rPr>
          <w:rFonts w:eastAsiaTheme="minorHAnsi"/>
          <w:noProof/>
          <w:sz w:val="24"/>
          <w:szCs w:val="24"/>
        </w:rPr>
        <w:t xml:space="preserve"> the funding of the ESAs.</w:t>
      </w:r>
    </w:p>
    <w:p w14:paraId="6F054138" w14:textId="77777777" w:rsidR="0057466C" w:rsidRPr="00C64B4C" w:rsidRDefault="0057466C" w:rsidP="00FD3856">
      <w:pPr>
        <w:jc w:val="both"/>
        <w:rPr>
          <w:rFonts w:eastAsiaTheme="minorHAnsi"/>
          <w:noProof/>
          <w:sz w:val="24"/>
          <w:szCs w:val="24"/>
        </w:rPr>
      </w:pPr>
    </w:p>
    <w:p w14:paraId="37A3F376" w14:textId="77777777" w:rsidR="00EC37F3" w:rsidRPr="00C64B4C" w:rsidRDefault="00A776E6" w:rsidP="00FD3856">
      <w:pPr>
        <w:jc w:val="both"/>
        <w:rPr>
          <w:rFonts w:eastAsiaTheme="minorHAnsi"/>
          <w:noProof/>
          <w:sz w:val="24"/>
          <w:szCs w:val="24"/>
        </w:rPr>
      </w:pPr>
      <w:r w:rsidRPr="00C64B4C">
        <w:rPr>
          <w:rFonts w:eastAsiaTheme="minorHAnsi"/>
          <w:noProof/>
          <w:sz w:val="24"/>
          <w:szCs w:val="24"/>
        </w:rPr>
        <w:t>T</w:t>
      </w:r>
      <w:r w:rsidR="003168B8" w:rsidRPr="00C64B4C">
        <w:rPr>
          <w:rFonts w:eastAsiaTheme="minorHAnsi"/>
          <w:noProof/>
          <w:sz w:val="24"/>
          <w:szCs w:val="24"/>
        </w:rPr>
        <w:t xml:space="preserve">o address the issue </w:t>
      </w:r>
      <w:r w:rsidR="00AF1AEB" w:rsidRPr="00C64B4C">
        <w:rPr>
          <w:rFonts w:eastAsiaTheme="minorHAnsi"/>
          <w:noProof/>
          <w:sz w:val="24"/>
          <w:szCs w:val="24"/>
        </w:rPr>
        <w:t>of</w:t>
      </w:r>
      <w:r w:rsidR="0006730F" w:rsidRPr="00C64B4C">
        <w:rPr>
          <w:rFonts w:eastAsiaTheme="minorHAnsi"/>
          <w:noProof/>
          <w:sz w:val="24"/>
          <w:szCs w:val="24"/>
        </w:rPr>
        <w:t xml:space="preserve"> supervisory </w:t>
      </w:r>
      <w:r w:rsidR="003168B8" w:rsidRPr="00C64B4C">
        <w:rPr>
          <w:rFonts w:eastAsiaTheme="minorHAnsi"/>
          <w:noProof/>
          <w:sz w:val="24"/>
          <w:szCs w:val="24"/>
        </w:rPr>
        <w:t>fees</w:t>
      </w:r>
      <w:r w:rsidR="003168B8" w:rsidRPr="00C64B4C" w:rsidDel="0006730F">
        <w:rPr>
          <w:rFonts w:eastAsiaTheme="minorHAnsi"/>
          <w:noProof/>
          <w:sz w:val="24"/>
          <w:szCs w:val="24"/>
        </w:rPr>
        <w:t xml:space="preserve"> </w:t>
      </w:r>
      <w:r w:rsidR="00BD7A12" w:rsidRPr="00C64B4C">
        <w:rPr>
          <w:rFonts w:eastAsiaTheme="minorHAnsi"/>
          <w:noProof/>
          <w:sz w:val="24"/>
          <w:szCs w:val="24"/>
        </w:rPr>
        <w:t xml:space="preserve">and to ensure that fees remain </w:t>
      </w:r>
      <w:r w:rsidR="002B03F5" w:rsidRPr="00C64B4C">
        <w:rPr>
          <w:rFonts w:eastAsiaTheme="minorHAnsi"/>
          <w:noProof/>
          <w:sz w:val="24"/>
          <w:szCs w:val="24"/>
        </w:rPr>
        <w:t xml:space="preserve">reasonable in relation </w:t>
      </w:r>
      <w:r w:rsidR="00BD7A12" w:rsidRPr="00C64B4C">
        <w:rPr>
          <w:rFonts w:eastAsiaTheme="minorHAnsi"/>
          <w:noProof/>
          <w:sz w:val="24"/>
          <w:szCs w:val="24"/>
        </w:rPr>
        <w:t>to the supervised entities’ revenues</w:t>
      </w:r>
      <w:r w:rsidR="003168B8" w:rsidRPr="00C64B4C">
        <w:rPr>
          <w:rFonts w:eastAsiaTheme="minorHAnsi"/>
          <w:noProof/>
          <w:sz w:val="24"/>
          <w:szCs w:val="24"/>
        </w:rPr>
        <w:t>, t</w:t>
      </w:r>
      <w:r w:rsidR="00EC37F3" w:rsidRPr="00C64B4C">
        <w:rPr>
          <w:rFonts w:eastAsiaTheme="minorHAnsi"/>
          <w:noProof/>
          <w:sz w:val="24"/>
          <w:szCs w:val="24"/>
        </w:rPr>
        <w:t xml:space="preserve">he Commission </w:t>
      </w:r>
      <w:r w:rsidR="003168B8" w:rsidRPr="00C64B4C">
        <w:rPr>
          <w:rFonts w:eastAsiaTheme="minorHAnsi"/>
          <w:noProof/>
          <w:sz w:val="24"/>
          <w:szCs w:val="24"/>
        </w:rPr>
        <w:t xml:space="preserve">invites ESMA to </w:t>
      </w:r>
      <w:r w:rsidR="00D77FB6" w:rsidRPr="00C64B4C">
        <w:rPr>
          <w:rFonts w:eastAsiaTheme="minorHAnsi"/>
          <w:noProof/>
          <w:sz w:val="24"/>
          <w:szCs w:val="24"/>
        </w:rPr>
        <w:t xml:space="preserve">explore </w:t>
      </w:r>
      <w:r w:rsidR="00674FEE" w:rsidRPr="00C64B4C">
        <w:rPr>
          <w:rFonts w:eastAsiaTheme="minorHAnsi"/>
          <w:noProof/>
          <w:sz w:val="24"/>
          <w:szCs w:val="24"/>
        </w:rPr>
        <w:t xml:space="preserve">the different options available </w:t>
      </w:r>
      <w:r w:rsidR="000447C4" w:rsidRPr="00C64B4C">
        <w:rPr>
          <w:rFonts w:eastAsiaTheme="minorHAnsi"/>
          <w:noProof/>
          <w:sz w:val="24"/>
          <w:szCs w:val="24"/>
        </w:rPr>
        <w:t xml:space="preserve">within the </w:t>
      </w:r>
      <w:r w:rsidR="00674FEE" w:rsidRPr="00C64B4C">
        <w:rPr>
          <w:rFonts w:eastAsiaTheme="minorHAnsi"/>
          <w:noProof/>
          <w:sz w:val="24"/>
          <w:szCs w:val="24"/>
        </w:rPr>
        <w:t xml:space="preserve">current legal framework. </w:t>
      </w:r>
      <w:r w:rsidR="00512CE7" w:rsidRPr="00C64B4C">
        <w:rPr>
          <w:rFonts w:eastAsiaTheme="minorHAnsi"/>
          <w:noProof/>
          <w:sz w:val="24"/>
          <w:szCs w:val="24"/>
        </w:rPr>
        <w:t>T</w:t>
      </w:r>
      <w:r w:rsidR="00EC37F3" w:rsidRPr="00C64B4C">
        <w:rPr>
          <w:rFonts w:eastAsiaTheme="minorHAnsi"/>
          <w:noProof/>
          <w:sz w:val="24"/>
          <w:szCs w:val="24"/>
        </w:rPr>
        <w:t>argeted amendments in sector legislation might be considered</w:t>
      </w:r>
      <w:r w:rsidR="00512CE7" w:rsidRPr="00C64B4C">
        <w:rPr>
          <w:rFonts w:eastAsiaTheme="minorHAnsi"/>
          <w:noProof/>
          <w:sz w:val="24"/>
          <w:szCs w:val="24"/>
        </w:rPr>
        <w:t>, if all possible non-legislative measures to tackle the issue prove insufficient</w:t>
      </w:r>
      <w:r w:rsidR="00EC37F3" w:rsidRPr="00C64B4C">
        <w:rPr>
          <w:rFonts w:eastAsiaTheme="minorHAnsi"/>
          <w:noProof/>
          <w:sz w:val="24"/>
          <w:szCs w:val="24"/>
        </w:rPr>
        <w:t>.</w:t>
      </w:r>
    </w:p>
    <w:p w14:paraId="27BFC1EC" w14:textId="77777777" w:rsidR="00344F28" w:rsidRPr="00C64B4C" w:rsidRDefault="00253FD6" w:rsidP="00FD3856">
      <w:pPr>
        <w:jc w:val="both"/>
        <w:rPr>
          <w:rFonts w:eastAsiaTheme="minorHAnsi"/>
          <w:noProof/>
          <w:sz w:val="24"/>
          <w:szCs w:val="24"/>
        </w:rPr>
      </w:pPr>
      <w:r w:rsidRPr="00C64B4C">
        <w:rPr>
          <w:rFonts w:eastAsiaTheme="minorHAnsi"/>
          <w:noProof/>
          <w:sz w:val="24"/>
          <w:szCs w:val="24"/>
        </w:rPr>
        <w:t xml:space="preserve"> </w:t>
      </w:r>
    </w:p>
    <w:p w14:paraId="027F3C3A" w14:textId="77777777" w:rsidR="007E403C" w:rsidRPr="00C64B4C" w:rsidRDefault="006A50BC" w:rsidP="00901A5C">
      <w:pPr>
        <w:pStyle w:val="Heading1"/>
        <w:numPr>
          <w:ilvl w:val="0"/>
          <w:numId w:val="1"/>
        </w:numPr>
        <w:jc w:val="left"/>
        <w:rPr>
          <w:rFonts w:eastAsiaTheme="minorHAnsi"/>
          <w:noProof/>
          <w:sz w:val="24"/>
          <w:szCs w:val="24"/>
          <w:lang w:eastAsia="en-US" w:bidi="ar-SA"/>
        </w:rPr>
      </w:pPr>
      <w:r w:rsidRPr="00C64B4C">
        <w:rPr>
          <w:rFonts w:eastAsiaTheme="minorHAnsi"/>
          <w:noProof/>
          <w:sz w:val="24"/>
          <w:szCs w:val="24"/>
          <w:lang w:eastAsia="en-US" w:bidi="ar-SA"/>
        </w:rPr>
        <w:t xml:space="preserve">CONSUMER PROTECTION </w:t>
      </w:r>
    </w:p>
    <w:p w14:paraId="6636271A" w14:textId="77777777" w:rsidR="007E403C" w:rsidRPr="00C64B4C" w:rsidRDefault="007E403C" w:rsidP="00FD3856">
      <w:pPr>
        <w:jc w:val="both"/>
        <w:rPr>
          <w:rFonts w:eastAsiaTheme="minorHAnsi"/>
          <w:noProof/>
          <w:sz w:val="24"/>
          <w:szCs w:val="24"/>
        </w:rPr>
      </w:pPr>
    </w:p>
    <w:p w14:paraId="46870CD4" w14:textId="77777777" w:rsidR="00F61012" w:rsidRPr="00C64B4C" w:rsidRDefault="00F61012" w:rsidP="00FD3856">
      <w:pPr>
        <w:jc w:val="both"/>
        <w:rPr>
          <w:rFonts w:eastAsiaTheme="minorHAnsi"/>
          <w:noProof/>
          <w:sz w:val="24"/>
          <w:szCs w:val="24"/>
          <w:u w:val="single"/>
        </w:rPr>
      </w:pPr>
      <w:r w:rsidRPr="00C64B4C">
        <w:rPr>
          <w:rFonts w:eastAsiaTheme="minorHAnsi"/>
          <w:noProof/>
          <w:sz w:val="24"/>
          <w:szCs w:val="24"/>
          <w:u w:val="single"/>
        </w:rPr>
        <w:t>Background and findings</w:t>
      </w:r>
    </w:p>
    <w:p w14:paraId="4603FF93" w14:textId="77777777" w:rsidR="00F61012" w:rsidRPr="00C64B4C" w:rsidRDefault="00F61012" w:rsidP="00FD3856">
      <w:pPr>
        <w:jc w:val="both"/>
        <w:rPr>
          <w:rFonts w:eastAsiaTheme="minorHAnsi"/>
          <w:noProof/>
          <w:sz w:val="24"/>
          <w:szCs w:val="24"/>
        </w:rPr>
      </w:pPr>
    </w:p>
    <w:p w14:paraId="22708D16" w14:textId="77777777" w:rsidR="007E403C" w:rsidRPr="00C64B4C" w:rsidRDefault="00F61012" w:rsidP="00FD3856">
      <w:pPr>
        <w:jc w:val="both"/>
        <w:rPr>
          <w:rFonts w:eastAsiaTheme="minorHAnsi"/>
          <w:noProof/>
          <w:sz w:val="24"/>
          <w:szCs w:val="24"/>
        </w:rPr>
      </w:pPr>
      <w:r w:rsidRPr="00C64B4C">
        <w:rPr>
          <w:rFonts w:eastAsiaTheme="minorHAnsi"/>
          <w:noProof/>
          <w:sz w:val="24"/>
          <w:szCs w:val="24"/>
        </w:rPr>
        <w:t>Enhancing c</w:t>
      </w:r>
      <w:r w:rsidR="00A776E6" w:rsidRPr="00C64B4C">
        <w:rPr>
          <w:rFonts w:eastAsiaTheme="minorHAnsi"/>
          <w:noProof/>
          <w:sz w:val="24"/>
          <w:szCs w:val="24"/>
        </w:rPr>
        <w:t>u</w:t>
      </w:r>
      <w:r w:rsidRPr="00C64B4C">
        <w:rPr>
          <w:rFonts w:eastAsiaTheme="minorHAnsi"/>
          <w:noProof/>
          <w:sz w:val="24"/>
          <w:szCs w:val="24"/>
        </w:rPr>
        <w:t>st</w:t>
      </w:r>
      <w:r w:rsidR="00A776E6" w:rsidRPr="00C64B4C">
        <w:rPr>
          <w:rFonts w:eastAsiaTheme="minorHAnsi"/>
          <w:noProof/>
          <w:sz w:val="24"/>
          <w:szCs w:val="24"/>
        </w:rPr>
        <w:t>o</w:t>
      </w:r>
      <w:r w:rsidRPr="00C64B4C">
        <w:rPr>
          <w:rFonts w:eastAsiaTheme="minorHAnsi"/>
          <w:noProof/>
          <w:sz w:val="24"/>
          <w:szCs w:val="24"/>
        </w:rPr>
        <w:t>mer and consumer protection is an important p</w:t>
      </w:r>
      <w:r w:rsidR="00000E6F" w:rsidRPr="00C64B4C">
        <w:rPr>
          <w:rFonts w:eastAsiaTheme="minorHAnsi"/>
          <w:noProof/>
          <w:sz w:val="24"/>
          <w:szCs w:val="24"/>
        </w:rPr>
        <w:t xml:space="preserve">art of </w:t>
      </w:r>
      <w:r w:rsidRPr="00C64B4C">
        <w:rPr>
          <w:rFonts w:eastAsiaTheme="minorHAnsi"/>
          <w:noProof/>
          <w:sz w:val="24"/>
          <w:szCs w:val="24"/>
        </w:rPr>
        <w:t>the ESAs</w:t>
      </w:r>
      <w:r w:rsidR="00A776E6" w:rsidRPr="00C64B4C">
        <w:rPr>
          <w:rFonts w:eastAsiaTheme="minorHAnsi"/>
          <w:noProof/>
          <w:sz w:val="24"/>
          <w:szCs w:val="24"/>
        </w:rPr>
        <w:t>’</w:t>
      </w:r>
      <w:r w:rsidR="00000E6F" w:rsidRPr="00C64B4C">
        <w:rPr>
          <w:rFonts w:eastAsiaTheme="minorHAnsi"/>
          <w:noProof/>
          <w:sz w:val="24"/>
          <w:szCs w:val="24"/>
        </w:rPr>
        <w:t xml:space="preserve"> mandate</w:t>
      </w:r>
      <w:r w:rsidRPr="00C64B4C">
        <w:rPr>
          <w:rFonts w:eastAsiaTheme="minorHAnsi"/>
          <w:noProof/>
          <w:sz w:val="24"/>
          <w:szCs w:val="24"/>
        </w:rPr>
        <w:t xml:space="preserve">. The </w:t>
      </w:r>
      <w:r w:rsidR="0062644A" w:rsidRPr="00C64B4C">
        <w:rPr>
          <w:rFonts w:eastAsiaTheme="minorHAnsi"/>
          <w:noProof/>
          <w:sz w:val="24"/>
          <w:szCs w:val="24"/>
        </w:rPr>
        <w:t xml:space="preserve">2019 </w:t>
      </w:r>
      <w:r w:rsidRPr="00C64B4C">
        <w:rPr>
          <w:rFonts w:eastAsiaTheme="minorHAnsi"/>
          <w:noProof/>
          <w:sz w:val="24"/>
          <w:szCs w:val="24"/>
        </w:rPr>
        <w:t xml:space="preserve">ESA review </w:t>
      </w:r>
      <w:r w:rsidR="00A776E6" w:rsidRPr="00C64B4C">
        <w:rPr>
          <w:rFonts w:eastAsiaTheme="minorHAnsi"/>
          <w:noProof/>
          <w:sz w:val="24"/>
          <w:szCs w:val="24"/>
        </w:rPr>
        <w:t xml:space="preserve">increased </w:t>
      </w:r>
      <w:r w:rsidR="00CF4654" w:rsidRPr="00C64B4C">
        <w:rPr>
          <w:rFonts w:eastAsiaTheme="minorHAnsi"/>
          <w:noProof/>
          <w:sz w:val="24"/>
          <w:szCs w:val="24"/>
        </w:rPr>
        <w:t>the ESAs</w:t>
      </w:r>
      <w:r w:rsidR="0062644A" w:rsidRPr="00C64B4C">
        <w:rPr>
          <w:rFonts w:eastAsiaTheme="minorHAnsi"/>
          <w:noProof/>
          <w:sz w:val="24"/>
          <w:szCs w:val="24"/>
        </w:rPr>
        <w:t>’</w:t>
      </w:r>
      <w:r w:rsidR="00CF4654" w:rsidRPr="00C64B4C">
        <w:rPr>
          <w:rFonts w:eastAsiaTheme="minorHAnsi"/>
          <w:noProof/>
          <w:sz w:val="24"/>
          <w:szCs w:val="24"/>
        </w:rPr>
        <w:t xml:space="preserve"> tasks and </w:t>
      </w:r>
      <w:r w:rsidR="00A776E6" w:rsidRPr="00C64B4C">
        <w:rPr>
          <w:rFonts w:eastAsiaTheme="minorHAnsi"/>
          <w:noProof/>
          <w:sz w:val="24"/>
          <w:szCs w:val="24"/>
        </w:rPr>
        <w:t xml:space="preserve">improved their </w:t>
      </w:r>
      <w:r w:rsidR="00CF4654" w:rsidRPr="00C64B4C">
        <w:rPr>
          <w:rFonts w:eastAsiaTheme="minorHAnsi"/>
          <w:noProof/>
          <w:sz w:val="24"/>
          <w:szCs w:val="24"/>
        </w:rPr>
        <w:t>tools in this area</w:t>
      </w:r>
      <w:r w:rsidR="00A776E6" w:rsidRPr="00C64B4C">
        <w:rPr>
          <w:rFonts w:eastAsiaTheme="minorHAnsi"/>
          <w:noProof/>
          <w:sz w:val="24"/>
          <w:szCs w:val="24"/>
        </w:rPr>
        <w:t>. For</w:t>
      </w:r>
      <w:r w:rsidR="00CF4654" w:rsidRPr="00C64B4C">
        <w:rPr>
          <w:rFonts w:eastAsiaTheme="minorHAnsi"/>
          <w:noProof/>
          <w:sz w:val="24"/>
          <w:szCs w:val="24"/>
        </w:rPr>
        <w:t xml:space="preserve"> example</w:t>
      </w:r>
      <w:r w:rsidR="00A776E6" w:rsidRPr="00C64B4C">
        <w:rPr>
          <w:rFonts w:eastAsiaTheme="minorHAnsi"/>
          <w:noProof/>
          <w:sz w:val="24"/>
          <w:szCs w:val="24"/>
        </w:rPr>
        <w:t xml:space="preserve">, the review </w:t>
      </w:r>
      <w:r w:rsidR="00CF4654" w:rsidRPr="00C64B4C">
        <w:rPr>
          <w:rFonts w:eastAsiaTheme="minorHAnsi"/>
          <w:noProof/>
          <w:sz w:val="24"/>
          <w:szCs w:val="24"/>
        </w:rPr>
        <w:t>entrust</w:t>
      </w:r>
      <w:r w:rsidR="00A776E6" w:rsidRPr="00C64B4C">
        <w:rPr>
          <w:rFonts w:eastAsiaTheme="minorHAnsi"/>
          <w:noProof/>
          <w:sz w:val="24"/>
          <w:szCs w:val="24"/>
        </w:rPr>
        <w:t>ed</w:t>
      </w:r>
      <w:r w:rsidR="00CF4654" w:rsidRPr="00C64B4C">
        <w:rPr>
          <w:rFonts w:eastAsiaTheme="minorHAnsi"/>
          <w:noProof/>
          <w:sz w:val="24"/>
          <w:szCs w:val="24"/>
        </w:rPr>
        <w:t xml:space="preserve"> ESMA with</w:t>
      </w:r>
      <w:r w:rsidR="00A776E6" w:rsidRPr="00C64B4C">
        <w:rPr>
          <w:rFonts w:eastAsiaTheme="minorHAnsi"/>
          <w:noProof/>
          <w:sz w:val="24"/>
          <w:szCs w:val="24"/>
        </w:rPr>
        <w:t>: (i)</w:t>
      </w:r>
      <w:r w:rsidR="00CF4654" w:rsidRPr="00C64B4C">
        <w:rPr>
          <w:rFonts w:eastAsiaTheme="minorHAnsi"/>
          <w:noProof/>
          <w:sz w:val="24"/>
          <w:szCs w:val="24"/>
        </w:rPr>
        <w:t xml:space="preserve"> the co</w:t>
      </w:r>
      <w:r w:rsidR="00DE4345" w:rsidRPr="00C64B4C">
        <w:rPr>
          <w:rFonts w:eastAsiaTheme="minorHAnsi"/>
          <w:noProof/>
          <w:sz w:val="24"/>
          <w:szCs w:val="24"/>
        </w:rPr>
        <w:t>ordination</w:t>
      </w:r>
      <w:r w:rsidR="00CF4654" w:rsidRPr="00C64B4C">
        <w:rPr>
          <w:rFonts w:eastAsiaTheme="minorHAnsi"/>
          <w:noProof/>
          <w:sz w:val="24"/>
          <w:szCs w:val="24"/>
        </w:rPr>
        <w:t xml:space="preserve"> of mystery shopping</w:t>
      </w:r>
      <w:r w:rsidR="00A776E6" w:rsidRPr="00C64B4C">
        <w:rPr>
          <w:rFonts w:eastAsiaTheme="minorHAnsi"/>
          <w:noProof/>
          <w:sz w:val="24"/>
          <w:szCs w:val="24"/>
        </w:rPr>
        <w:t>; (ii)</w:t>
      </w:r>
      <w:r w:rsidR="00CF4654" w:rsidRPr="00C64B4C">
        <w:rPr>
          <w:rFonts w:eastAsiaTheme="minorHAnsi"/>
          <w:noProof/>
          <w:sz w:val="24"/>
          <w:szCs w:val="24"/>
        </w:rPr>
        <w:t xml:space="preserve"> the development of retail risk indicators</w:t>
      </w:r>
      <w:r w:rsidR="00A776E6" w:rsidRPr="00C64B4C">
        <w:rPr>
          <w:rFonts w:eastAsiaTheme="minorHAnsi"/>
          <w:noProof/>
          <w:sz w:val="24"/>
          <w:szCs w:val="24"/>
        </w:rPr>
        <w:t>; (iii)</w:t>
      </w:r>
      <w:r w:rsidR="00CF4654" w:rsidRPr="00C64B4C">
        <w:rPr>
          <w:rFonts w:eastAsiaTheme="minorHAnsi"/>
          <w:noProof/>
          <w:sz w:val="24"/>
          <w:szCs w:val="24"/>
        </w:rPr>
        <w:t xml:space="preserve"> collection, analysis and reporting on consumer trends</w:t>
      </w:r>
      <w:r w:rsidR="00A776E6" w:rsidRPr="00C64B4C">
        <w:rPr>
          <w:rFonts w:eastAsiaTheme="minorHAnsi"/>
          <w:noProof/>
          <w:sz w:val="24"/>
          <w:szCs w:val="24"/>
        </w:rPr>
        <w:t>;</w:t>
      </w:r>
      <w:r w:rsidR="006B0641" w:rsidRPr="00C64B4C">
        <w:rPr>
          <w:rFonts w:eastAsiaTheme="minorHAnsi"/>
          <w:noProof/>
          <w:sz w:val="24"/>
          <w:szCs w:val="24"/>
        </w:rPr>
        <w:t xml:space="preserve"> and</w:t>
      </w:r>
      <w:r w:rsidR="00535B17" w:rsidRPr="00C64B4C">
        <w:rPr>
          <w:rFonts w:eastAsiaTheme="minorHAnsi"/>
          <w:noProof/>
          <w:sz w:val="24"/>
          <w:szCs w:val="24"/>
        </w:rPr>
        <w:t xml:space="preserve"> </w:t>
      </w:r>
      <w:r w:rsidR="00A776E6" w:rsidRPr="00C64B4C">
        <w:rPr>
          <w:rFonts w:eastAsiaTheme="minorHAnsi"/>
          <w:noProof/>
          <w:sz w:val="24"/>
          <w:szCs w:val="24"/>
        </w:rPr>
        <w:t xml:space="preserve">(iv) </w:t>
      </w:r>
      <w:r w:rsidR="00535B17" w:rsidRPr="00C64B4C">
        <w:rPr>
          <w:rFonts w:eastAsiaTheme="minorHAnsi"/>
          <w:noProof/>
          <w:sz w:val="24"/>
          <w:szCs w:val="24"/>
        </w:rPr>
        <w:t xml:space="preserve">the extension of inquiries under Article 22(4) of the ESA Regulations to potential threats </w:t>
      </w:r>
      <w:r w:rsidR="00B4730B" w:rsidRPr="00C64B4C">
        <w:rPr>
          <w:rFonts w:eastAsiaTheme="minorHAnsi"/>
          <w:noProof/>
          <w:sz w:val="24"/>
          <w:szCs w:val="24"/>
        </w:rPr>
        <w:t>to the protection of consumers or investors</w:t>
      </w:r>
      <w:r w:rsidR="008F70B0" w:rsidRPr="00C64B4C">
        <w:rPr>
          <w:rFonts w:eastAsiaTheme="minorHAnsi"/>
          <w:noProof/>
          <w:sz w:val="24"/>
          <w:szCs w:val="24"/>
        </w:rPr>
        <w:t>.</w:t>
      </w:r>
      <w:r w:rsidR="00535B17" w:rsidRPr="00C64B4C" w:rsidDel="00535B17">
        <w:rPr>
          <w:rFonts w:eastAsiaTheme="minorHAnsi"/>
          <w:noProof/>
          <w:sz w:val="24"/>
          <w:szCs w:val="24"/>
        </w:rPr>
        <w:t xml:space="preserve"> </w:t>
      </w:r>
    </w:p>
    <w:p w14:paraId="52E140EF" w14:textId="77777777" w:rsidR="00371C32" w:rsidRPr="00C64B4C" w:rsidRDefault="00371C32" w:rsidP="00FD3856">
      <w:pPr>
        <w:jc w:val="both"/>
        <w:rPr>
          <w:rFonts w:eastAsiaTheme="minorHAnsi"/>
          <w:noProof/>
          <w:sz w:val="24"/>
          <w:szCs w:val="24"/>
        </w:rPr>
      </w:pPr>
    </w:p>
    <w:p w14:paraId="2684F6A7" w14:textId="20FC7E8F" w:rsidR="007E403C" w:rsidRPr="00C64B4C" w:rsidRDefault="007E403C" w:rsidP="00FD3856">
      <w:pPr>
        <w:jc w:val="both"/>
        <w:rPr>
          <w:rFonts w:eastAsiaTheme="minorHAnsi"/>
          <w:noProof/>
          <w:sz w:val="24"/>
          <w:szCs w:val="24"/>
        </w:rPr>
      </w:pPr>
      <w:r w:rsidRPr="00C64B4C">
        <w:rPr>
          <w:rFonts w:eastAsiaTheme="minorHAnsi"/>
          <w:noProof/>
          <w:sz w:val="24"/>
          <w:szCs w:val="24"/>
        </w:rPr>
        <w:t xml:space="preserve">In the public consultation, </w:t>
      </w:r>
      <w:r w:rsidR="00A776E6" w:rsidRPr="00C64B4C">
        <w:rPr>
          <w:rFonts w:eastAsiaTheme="minorHAnsi"/>
          <w:noProof/>
          <w:sz w:val="24"/>
          <w:szCs w:val="24"/>
        </w:rPr>
        <w:t>most</w:t>
      </w:r>
      <w:r w:rsidRPr="00C64B4C">
        <w:rPr>
          <w:rFonts w:eastAsiaTheme="minorHAnsi"/>
          <w:noProof/>
          <w:sz w:val="24"/>
          <w:szCs w:val="24"/>
        </w:rPr>
        <w:t xml:space="preserve"> stakeholders consider</w:t>
      </w:r>
      <w:r w:rsidR="0057466C" w:rsidRPr="00C64B4C">
        <w:rPr>
          <w:rFonts w:eastAsiaTheme="minorHAnsi"/>
          <w:noProof/>
          <w:sz w:val="24"/>
          <w:szCs w:val="24"/>
        </w:rPr>
        <w:t>ed</w:t>
      </w:r>
      <w:r w:rsidRPr="00C64B4C">
        <w:rPr>
          <w:rFonts w:eastAsiaTheme="minorHAnsi"/>
          <w:noProof/>
          <w:sz w:val="24"/>
          <w:szCs w:val="24"/>
        </w:rPr>
        <w:t xml:space="preserve"> that the ESAs made a positive contribution to safeguarding consumer and investor protection. </w:t>
      </w:r>
      <w:r w:rsidR="00A776E6" w:rsidRPr="00C64B4C">
        <w:rPr>
          <w:rFonts w:eastAsiaTheme="minorHAnsi"/>
          <w:noProof/>
          <w:sz w:val="24"/>
          <w:szCs w:val="24"/>
        </w:rPr>
        <w:t>S</w:t>
      </w:r>
      <w:r w:rsidRPr="00C64B4C">
        <w:rPr>
          <w:rFonts w:eastAsiaTheme="minorHAnsi"/>
          <w:noProof/>
          <w:sz w:val="24"/>
          <w:szCs w:val="24"/>
        </w:rPr>
        <w:t>ome stakeholders have outlined that consumer issues are often local</w:t>
      </w:r>
      <w:r w:rsidR="00A776E6" w:rsidRPr="00C64B4C">
        <w:rPr>
          <w:rFonts w:eastAsiaTheme="minorHAnsi"/>
          <w:noProof/>
          <w:sz w:val="24"/>
          <w:szCs w:val="24"/>
        </w:rPr>
        <w:t>. This means that</w:t>
      </w:r>
      <w:r w:rsidRPr="00C64B4C">
        <w:rPr>
          <w:rFonts w:eastAsiaTheme="minorHAnsi"/>
          <w:noProof/>
          <w:sz w:val="24"/>
          <w:szCs w:val="24"/>
        </w:rPr>
        <w:t xml:space="preserve"> good collaboration between </w:t>
      </w:r>
      <w:r w:rsidR="00B10498">
        <w:rPr>
          <w:rFonts w:eastAsiaTheme="minorHAnsi"/>
          <w:noProof/>
          <w:sz w:val="24"/>
          <w:szCs w:val="24"/>
        </w:rPr>
        <w:t>N</w:t>
      </w:r>
      <w:r w:rsidRPr="00C64B4C">
        <w:rPr>
          <w:rFonts w:eastAsiaTheme="minorHAnsi"/>
          <w:noProof/>
          <w:sz w:val="24"/>
          <w:szCs w:val="24"/>
        </w:rPr>
        <w:t xml:space="preserve">ational </w:t>
      </w:r>
      <w:r w:rsidR="00B10498">
        <w:rPr>
          <w:rFonts w:eastAsiaTheme="minorHAnsi"/>
          <w:noProof/>
          <w:sz w:val="24"/>
          <w:szCs w:val="24"/>
        </w:rPr>
        <w:t>C</w:t>
      </w:r>
      <w:r w:rsidRPr="00C64B4C">
        <w:rPr>
          <w:rFonts w:eastAsiaTheme="minorHAnsi"/>
          <w:noProof/>
          <w:sz w:val="24"/>
          <w:szCs w:val="24"/>
        </w:rPr>
        <w:t xml:space="preserve">ompetent </w:t>
      </w:r>
      <w:r w:rsidR="00B10498">
        <w:rPr>
          <w:rFonts w:eastAsiaTheme="minorHAnsi"/>
          <w:noProof/>
          <w:sz w:val="24"/>
          <w:szCs w:val="24"/>
        </w:rPr>
        <w:t>A</w:t>
      </w:r>
      <w:r w:rsidRPr="00C64B4C">
        <w:rPr>
          <w:rFonts w:eastAsiaTheme="minorHAnsi"/>
          <w:noProof/>
          <w:sz w:val="24"/>
          <w:szCs w:val="24"/>
        </w:rPr>
        <w:t xml:space="preserve">uthorities and the ESAs is of key importance. </w:t>
      </w:r>
      <w:r w:rsidR="00DE2DE0" w:rsidRPr="00C64B4C">
        <w:rPr>
          <w:rFonts w:eastAsiaTheme="minorHAnsi"/>
          <w:noProof/>
          <w:sz w:val="24"/>
          <w:szCs w:val="24"/>
        </w:rPr>
        <w:t xml:space="preserve">In the view of </w:t>
      </w:r>
      <w:r w:rsidR="00A776E6" w:rsidRPr="00C64B4C">
        <w:rPr>
          <w:rFonts w:eastAsiaTheme="minorHAnsi"/>
          <w:noProof/>
          <w:sz w:val="24"/>
          <w:szCs w:val="24"/>
        </w:rPr>
        <w:t>most</w:t>
      </w:r>
      <w:r w:rsidR="00DE2DE0" w:rsidRPr="00C64B4C">
        <w:rPr>
          <w:rFonts w:eastAsiaTheme="minorHAnsi"/>
          <w:noProof/>
          <w:sz w:val="24"/>
          <w:szCs w:val="24"/>
        </w:rPr>
        <w:t xml:space="preserve"> respondents, t</w:t>
      </w:r>
      <w:r w:rsidRPr="00C64B4C">
        <w:rPr>
          <w:rFonts w:eastAsiaTheme="minorHAnsi"/>
          <w:noProof/>
          <w:sz w:val="24"/>
          <w:szCs w:val="24"/>
        </w:rPr>
        <w:t xml:space="preserve">he ESAs provide added value by identifying consumer issues across the EU and sharing good practices among </w:t>
      </w:r>
      <w:r w:rsidR="00B10498">
        <w:rPr>
          <w:rFonts w:eastAsiaTheme="minorHAnsi"/>
          <w:noProof/>
          <w:sz w:val="24"/>
          <w:szCs w:val="24"/>
        </w:rPr>
        <w:t>N</w:t>
      </w:r>
      <w:r w:rsidRPr="00C64B4C">
        <w:rPr>
          <w:rFonts w:eastAsiaTheme="minorHAnsi"/>
          <w:noProof/>
          <w:sz w:val="24"/>
          <w:szCs w:val="24"/>
        </w:rPr>
        <w:t xml:space="preserve">ational </w:t>
      </w:r>
      <w:r w:rsidR="00B10498">
        <w:rPr>
          <w:rFonts w:eastAsiaTheme="minorHAnsi"/>
          <w:noProof/>
          <w:sz w:val="24"/>
          <w:szCs w:val="24"/>
        </w:rPr>
        <w:t>C</w:t>
      </w:r>
      <w:r w:rsidRPr="00C64B4C">
        <w:rPr>
          <w:rFonts w:eastAsiaTheme="minorHAnsi"/>
          <w:noProof/>
          <w:sz w:val="24"/>
          <w:szCs w:val="24"/>
        </w:rPr>
        <w:t xml:space="preserve">ompetent </w:t>
      </w:r>
      <w:r w:rsidR="00B10498">
        <w:rPr>
          <w:rFonts w:eastAsiaTheme="minorHAnsi"/>
          <w:noProof/>
          <w:sz w:val="24"/>
          <w:szCs w:val="24"/>
        </w:rPr>
        <w:t>A</w:t>
      </w:r>
      <w:r w:rsidRPr="00C64B4C">
        <w:rPr>
          <w:rFonts w:eastAsiaTheme="minorHAnsi"/>
          <w:noProof/>
          <w:sz w:val="24"/>
          <w:szCs w:val="24"/>
        </w:rPr>
        <w:t xml:space="preserve">uthorities. In addition, </w:t>
      </w:r>
      <w:r w:rsidR="00A776E6" w:rsidRPr="00C64B4C">
        <w:rPr>
          <w:rFonts w:eastAsiaTheme="minorHAnsi"/>
          <w:noProof/>
          <w:sz w:val="24"/>
          <w:szCs w:val="24"/>
        </w:rPr>
        <w:t>most</w:t>
      </w:r>
      <w:r w:rsidRPr="00C64B4C">
        <w:rPr>
          <w:rFonts w:eastAsiaTheme="minorHAnsi"/>
          <w:noProof/>
          <w:sz w:val="24"/>
          <w:szCs w:val="24"/>
        </w:rPr>
        <w:t xml:space="preserve"> </w:t>
      </w:r>
      <w:r w:rsidR="00DE2DE0" w:rsidRPr="00C64B4C">
        <w:rPr>
          <w:rFonts w:eastAsiaTheme="minorHAnsi"/>
          <w:noProof/>
          <w:sz w:val="24"/>
          <w:szCs w:val="24"/>
        </w:rPr>
        <w:t>respondents pointed out that the ESAs</w:t>
      </w:r>
      <w:r w:rsidRPr="00C64B4C">
        <w:rPr>
          <w:rFonts w:eastAsiaTheme="minorHAnsi"/>
          <w:noProof/>
          <w:sz w:val="24"/>
          <w:szCs w:val="24"/>
        </w:rPr>
        <w:t xml:space="preserve"> play an important coordinating role within the internal market for the cross-border provision of services. In this regard, some public authorities request</w:t>
      </w:r>
      <w:r w:rsidR="009C134F" w:rsidRPr="00C64B4C">
        <w:rPr>
          <w:rFonts w:eastAsiaTheme="minorHAnsi"/>
          <w:noProof/>
          <w:sz w:val="24"/>
          <w:szCs w:val="24"/>
        </w:rPr>
        <w:t>ed</w:t>
      </w:r>
      <w:r w:rsidRPr="00C64B4C">
        <w:rPr>
          <w:rFonts w:eastAsiaTheme="minorHAnsi"/>
          <w:noProof/>
          <w:sz w:val="24"/>
          <w:szCs w:val="24"/>
        </w:rPr>
        <w:t xml:space="preserve"> more effective coordination powers for supervisi</w:t>
      </w:r>
      <w:r w:rsidR="00A776E6" w:rsidRPr="00C64B4C">
        <w:rPr>
          <w:rFonts w:eastAsiaTheme="minorHAnsi"/>
          <w:noProof/>
          <w:sz w:val="24"/>
          <w:szCs w:val="24"/>
        </w:rPr>
        <w:t>ng</w:t>
      </w:r>
      <w:r w:rsidRPr="00C64B4C">
        <w:rPr>
          <w:rFonts w:eastAsiaTheme="minorHAnsi"/>
          <w:noProof/>
          <w:sz w:val="24"/>
          <w:szCs w:val="24"/>
        </w:rPr>
        <w:t xml:space="preserve"> cross-border services to reduce the risk of </w:t>
      </w:r>
      <w:r w:rsidR="00A776E6" w:rsidRPr="00C64B4C">
        <w:rPr>
          <w:rFonts w:eastAsiaTheme="minorHAnsi"/>
          <w:noProof/>
          <w:sz w:val="24"/>
          <w:szCs w:val="24"/>
        </w:rPr>
        <w:t xml:space="preserve">harm to </w:t>
      </w:r>
      <w:r w:rsidRPr="00C64B4C">
        <w:rPr>
          <w:rFonts w:eastAsiaTheme="minorHAnsi"/>
          <w:noProof/>
          <w:sz w:val="24"/>
          <w:szCs w:val="24"/>
        </w:rPr>
        <w:t>consumer</w:t>
      </w:r>
      <w:r w:rsidR="00A776E6" w:rsidRPr="00C64B4C">
        <w:rPr>
          <w:rFonts w:eastAsiaTheme="minorHAnsi"/>
          <w:noProof/>
          <w:sz w:val="24"/>
          <w:szCs w:val="24"/>
        </w:rPr>
        <w:t>s</w:t>
      </w:r>
      <w:r w:rsidR="00D66DCD" w:rsidRPr="00C64B4C">
        <w:rPr>
          <w:rFonts w:eastAsiaTheme="minorHAnsi"/>
          <w:noProof/>
          <w:sz w:val="24"/>
          <w:szCs w:val="24"/>
        </w:rPr>
        <w:t>.</w:t>
      </w:r>
    </w:p>
    <w:p w14:paraId="55F738BD" w14:textId="77777777" w:rsidR="0089184F" w:rsidRPr="00C64B4C" w:rsidRDefault="0089184F" w:rsidP="00FD3856">
      <w:pPr>
        <w:jc w:val="both"/>
        <w:rPr>
          <w:rFonts w:eastAsiaTheme="minorHAnsi"/>
          <w:noProof/>
          <w:sz w:val="24"/>
          <w:szCs w:val="24"/>
        </w:rPr>
      </w:pPr>
    </w:p>
    <w:p w14:paraId="08487CDC" w14:textId="77777777" w:rsidR="00F61012" w:rsidRPr="00C64B4C" w:rsidRDefault="00F61012" w:rsidP="00FD3856">
      <w:pPr>
        <w:jc w:val="both"/>
        <w:rPr>
          <w:rFonts w:eastAsiaTheme="minorHAnsi"/>
          <w:noProof/>
          <w:sz w:val="24"/>
          <w:szCs w:val="24"/>
          <w:u w:val="single"/>
        </w:rPr>
      </w:pPr>
      <w:r w:rsidRPr="00C64B4C">
        <w:rPr>
          <w:rFonts w:eastAsiaTheme="minorHAnsi"/>
          <w:noProof/>
          <w:sz w:val="24"/>
          <w:szCs w:val="24"/>
          <w:u w:val="single"/>
        </w:rPr>
        <w:t>Assessment of the Commission</w:t>
      </w:r>
    </w:p>
    <w:p w14:paraId="5FEAC15D" w14:textId="77777777" w:rsidR="0015388D" w:rsidRPr="00C64B4C" w:rsidRDefault="0015388D" w:rsidP="00FD3856">
      <w:pPr>
        <w:jc w:val="both"/>
        <w:rPr>
          <w:rFonts w:eastAsiaTheme="minorHAnsi"/>
          <w:noProof/>
          <w:sz w:val="24"/>
          <w:szCs w:val="24"/>
        </w:rPr>
      </w:pPr>
    </w:p>
    <w:p w14:paraId="4C08E487" w14:textId="77777777" w:rsidR="00F72535" w:rsidRPr="00C64B4C" w:rsidRDefault="00F72535" w:rsidP="00FD3856">
      <w:pPr>
        <w:jc w:val="both"/>
        <w:rPr>
          <w:rFonts w:eastAsiaTheme="minorHAnsi"/>
          <w:noProof/>
          <w:sz w:val="24"/>
          <w:szCs w:val="24"/>
        </w:rPr>
      </w:pPr>
      <w:r w:rsidRPr="00C64B4C">
        <w:rPr>
          <w:rFonts w:eastAsiaTheme="minorHAnsi"/>
          <w:noProof/>
          <w:sz w:val="24"/>
          <w:szCs w:val="24"/>
        </w:rPr>
        <w:t xml:space="preserve">The Commission </w:t>
      </w:r>
      <w:r w:rsidR="0062644A" w:rsidRPr="00C64B4C">
        <w:rPr>
          <w:rFonts w:eastAsiaTheme="minorHAnsi"/>
          <w:noProof/>
          <w:sz w:val="24"/>
          <w:szCs w:val="24"/>
        </w:rPr>
        <w:t>considers that there is</w:t>
      </w:r>
      <w:r w:rsidR="009632D5" w:rsidRPr="00C64B4C">
        <w:rPr>
          <w:rFonts w:eastAsiaTheme="minorHAnsi"/>
          <w:noProof/>
          <w:sz w:val="24"/>
          <w:szCs w:val="24"/>
        </w:rPr>
        <w:t xml:space="preserve"> </w:t>
      </w:r>
      <w:r w:rsidRPr="00C64B4C">
        <w:rPr>
          <w:rFonts w:eastAsiaTheme="minorHAnsi"/>
          <w:noProof/>
          <w:sz w:val="24"/>
          <w:szCs w:val="24"/>
        </w:rPr>
        <w:t>currently no case for legislative changes to the ESAs</w:t>
      </w:r>
      <w:r w:rsidR="009632D5" w:rsidRPr="00C64B4C">
        <w:rPr>
          <w:rFonts w:eastAsiaTheme="minorHAnsi"/>
          <w:noProof/>
          <w:sz w:val="24"/>
          <w:szCs w:val="24"/>
        </w:rPr>
        <w:t>’</w:t>
      </w:r>
      <w:r w:rsidRPr="00C64B4C">
        <w:rPr>
          <w:rFonts w:eastAsiaTheme="minorHAnsi"/>
          <w:noProof/>
          <w:sz w:val="24"/>
          <w:szCs w:val="24"/>
        </w:rPr>
        <w:t xml:space="preserve"> founding regulations in the area of consumer protection. </w:t>
      </w:r>
      <w:r w:rsidR="009632D5" w:rsidRPr="00C64B4C">
        <w:rPr>
          <w:rFonts w:eastAsiaTheme="minorHAnsi"/>
          <w:noProof/>
          <w:sz w:val="24"/>
          <w:szCs w:val="24"/>
        </w:rPr>
        <w:t>However, t</w:t>
      </w:r>
      <w:r w:rsidRPr="00C64B4C">
        <w:rPr>
          <w:rFonts w:eastAsiaTheme="minorHAnsi"/>
          <w:noProof/>
          <w:sz w:val="24"/>
          <w:szCs w:val="24"/>
        </w:rPr>
        <w:t xml:space="preserve">he Commission will carefully consider the current legal framework in the course of the ongoing reviews of sectoral legislation and suggest appropriate amendments to overcome identified shortcomings in consumer protection. In this spirit, the amendment </w:t>
      </w:r>
      <w:r w:rsidR="009632D5" w:rsidRPr="00C64B4C">
        <w:rPr>
          <w:rFonts w:eastAsiaTheme="minorHAnsi"/>
          <w:noProof/>
          <w:sz w:val="24"/>
          <w:szCs w:val="24"/>
        </w:rPr>
        <w:t xml:space="preserve">on collaboration platforms </w:t>
      </w:r>
      <w:r w:rsidRPr="00C64B4C">
        <w:rPr>
          <w:rFonts w:eastAsiaTheme="minorHAnsi"/>
          <w:noProof/>
          <w:sz w:val="24"/>
          <w:szCs w:val="24"/>
        </w:rPr>
        <w:t>in the Solvency II review</w:t>
      </w:r>
      <w:r w:rsidR="00FD3856" w:rsidRPr="00C64B4C">
        <w:rPr>
          <w:rStyle w:val="FootnoteReference"/>
          <w:rFonts w:eastAsiaTheme="minorHAnsi"/>
          <w:noProof/>
          <w:sz w:val="24"/>
          <w:szCs w:val="24"/>
        </w:rPr>
        <w:footnoteReference w:id="43"/>
      </w:r>
      <w:r w:rsidR="009632D5" w:rsidRPr="00C64B4C">
        <w:rPr>
          <w:rFonts w:eastAsiaTheme="minorHAnsi"/>
          <w:noProof/>
          <w:sz w:val="24"/>
          <w:szCs w:val="24"/>
        </w:rPr>
        <w:t>,</w:t>
      </w:r>
      <w:r w:rsidRPr="00C64B4C">
        <w:rPr>
          <w:rFonts w:eastAsiaTheme="minorHAnsi"/>
          <w:noProof/>
          <w:sz w:val="24"/>
          <w:szCs w:val="24"/>
        </w:rPr>
        <w:t xml:space="preserve"> proposed on 22</w:t>
      </w:r>
      <w:r w:rsidR="00DE4345" w:rsidRPr="00C64B4C">
        <w:rPr>
          <w:rFonts w:eastAsiaTheme="minorHAnsi"/>
          <w:noProof/>
          <w:sz w:val="24"/>
          <w:szCs w:val="24"/>
        </w:rPr>
        <w:t> September 2021</w:t>
      </w:r>
      <w:r w:rsidR="009632D5" w:rsidRPr="00C64B4C">
        <w:rPr>
          <w:rFonts w:eastAsiaTheme="minorHAnsi"/>
          <w:noProof/>
          <w:sz w:val="24"/>
          <w:szCs w:val="24"/>
        </w:rPr>
        <w:t>,</w:t>
      </w:r>
      <w:r w:rsidRPr="00C64B4C">
        <w:rPr>
          <w:rFonts w:eastAsiaTheme="minorHAnsi"/>
          <w:noProof/>
          <w:sz w:val="24"/>
          <w:szCs w:val="24"/>
        </w:rPr>
        <w:t xml:space="preserve"> </w:t>
      </w:r>
      <w:r w:rsidR="009632D5" w:rsidRPr="00C64B4C">
        <w:rPr>
          <w:rFonts w:eastAsiaTheme="minorHAnsi"/>
          <w:noProof/>
          <w:sz w:val="24"/>
          <w:szCs w:val="24"/>
        </w:rPr>
        <w:t>would: (i) enable</w:t>
      </w:r>
      <w:r w:rsidRPr="00C64B4C">
        <w:rPr>
          <w:rFonts w:eastAsiaTheme="minorHAnsi"/>
          <w:noProof/>
          <w:sz w:val="24"/>
          <w:szCs w:val="24"/>
        </w:rPr>
        <w:t xml:space="preserve"> EIOPA to play an enhanced role in dealing with prudential aspects </w:t>
      </w:r>
      <w:r w:rsidR="009632D5" w:rsidRPr="00C64B4C">
        <w:rPr>
          <w:rFonts w:eastAsiaTheme="minorHAnsi"/>
          <w:noProof/>
          <w:sz w:val="24"/>
          <w:szCs w:val="24"/>
        </w:rPr>
        <w:t xml:space="preserve">in </w:t>
      </w:r>
      <w:r w:rsidRPr="00C64B4C">
        <w:rPr>
          <w:rFonts w:eastAsiaTheme="minorHAnsi"/>
          <w:noProof/>
          <w:sz w:val="24"/>
          <w:szCs w:val="24"/>
        </w:rPr>
        <w:t>complex cross-border cases</w:t>
      </w:r>
      <w:r w:rsidR="009632D5" w:rsidRPr="00C64B4C">
        <w:rPr>
          <w:rFonts w:eastAsiaTheme="minorHAnsi"/>
          <w:noProof/>
          <w:sz w:val="24"/>
          <w:szCs w:val="24"/>
        </w:rPr>
        <w:t>; and (ii)</w:t>
      </w:r>
      <w:r w:rsidRPr="00C64B4C">
        <w:rPr>
          <w:rFonts w:eastAsiaTheme="minorHAnsi"/>
          <w:noProof/>
          <w:sz w:val="24"/>
          <w:szCs w:val="24"/>
        </w:rPr>
        <w:t xml:space="preserve"> </w:t>
      </w:r>
      <w:r w:rsidR="009632D5" w:rsidRPr="00C64B4C">
        <w:rPr>
          <w:rFonts w:eastAsiaTheme="minorHAnsi"/>
          <w:noProof/>
          <w:sz w:val="24"/>
          <w:szCs w:val="24"/>
        </w:rPr>
        <w:t xml:space="preserve">increase </w:t>
      </w:r>
      <w:r w:rsidRPr="00C64B4C">
        <w:rPr>
          <w:rFonts w:eastAsiaTheme="minorHAnsi"/>
          <w:noProof/>
          <w:sz w:val="24"/>
          <w:szCs w:val="24"/>
        </w:rPr>
        <w:t>EIOPA</w:t>
      </w:r>
      <w:r w:rsidR="009632D5" w:rsidRPr="00C64B4C">
        <w:rPr>
          <w:rFonts w:eastAsiaTheme="minorHAnsi"/>
          <w:noProof/>
          <w:sz w:val="24"/>
          <w:szCs w:val="24"/>
        </w:rPr>
        <w:t>’s</w:t>
      </w:r>
      <w:r w:rsidRPr="00C64B4C">
        <w:rPr>
          <w:rFonts w:eastAsiaTheme="minorHAnsi"/>
          <w:noProof/>
          <w:sz w:val="24"/>
          <w:szCs w:val="24"/>
        </w:rPr>
        <w:t xml:space="preserve"> powers to reduce the risk</w:t>
      </w:r>
      <w:r w:rsidR="0014167E" w:rsidRPr="00C64B4C">
        <w:rPr>
          <w:rFonts w:eastAsiaTheme="minorHAnsi"/>
          <w:noProof/>
          <w:sz w:val="24"/>
          <w:szCs w:val="24"/>
        </w:rPr>
        <w:t>s to consumer protection</w:t>
      </w:r>
      <w:r w:rsidRPr="00C64B4C">
        <w:rPr>
          <w:rFonts w:eastAsiaTheme="minorHAnsi"/>
          <w:noProof/>
          <w:sz w:val="24"/>
          <w:szCs w:val="24"/>
        </w:rPr>
        <w:t xml:space="preserve"> when insurance products are offered </w:t>
      </w:r>
      <w:r w:rsidR="0062644A" w:rsidRPr="00C64B4C">
        <w:rPr>
          <w:rFonts w:eastAsiaTheme="minorHAnsi"/>
          <w:noProof/>
          <w:sz w:val="24"/>
          <w:szCs w:val="24"/>
        </w:rPr>
        <w:t>a</w:t>
      </w:r>
      <w:r w:rsidRPr="00C64B4C">
        <w:rPr>
          <w:rFonts w:eastAsiaTheme="minorHAnsi"/>
          <w:noProof/>
          <w:sz w:val="24"/>
          <w:szCs w:val="24"/>
        </w:rPr>
        <w:t>cross</w:t>
      </w:r>
      <w:r w:rsidR="0062644A" w:rsidRPr="00C64B4C">
        <w:rPr>
          <w:rFonts w:eastAsiaTheme="minorHAnsi"/>
          <w:noProof/>
          <w:sz w:val="24"/>
          <w:szCs w:val="24"/>
        </w:rPr>
        <w:t xml:space="preserve"> </w:t>
      </w:r>
      <w:r w:rsidRPr="00C64B4C">
        <w:rPr>
          <w:rFonts w:eastAsiaTheme="minorHAnsi"/>
          <w:noProof/>
          <w:sz w:val="24"/>
          <w:szCs w:val="24"/>
        </w:rPr>
        <w:t>border</w:t>
      </w:r>
      <w:r w:rsidR="0062644A" w:rsidRPr="00C64B4C">
        <w:rPr>
          <w:rFonts w:eastAsiaTheme="minorHAnsi"/>
          <w:noProof/>
          <w:sz w:val="24"/>
          <w:szCs w:val="24"/>
        </w:rPr>
        <w:t>s</w:t>
      </w:r>
      <w:r w:rsidRPr="00C64B4C">
        <w:rPr>
          <w:rFonts w:eastAsiaTheme="minorHAnsi"/>
          <w:noProof/>
          <w:sz w:val="24"/>
          <w:szCs w:val="24"/>
        </w:rPr>
        <w:t xml:space="preserve">. The upcoming retail investment </w:t>
      </w:r>
      <w:r w:rsidR="00C17576" w:rsidRPr="00C64B4C">
        <w:rPr>
          <w:rFonts w:eastAsiaTheme="minorHAnsi"/>
          <w:noProof/>
          <w:sz w:val="24"/>
          <w:szCs w:val="24"/>
        </w:rPr>
        <w:t>strategy</w:t>
      </w:r>
      <w:r w:rsidR="00FD3856" w:rsidRPr="00C64B4C">
        <w:rPr>
          <w:rStyle w:val="FootnoteReference"/>
          <w:rFonts w:eastAsiaTheme="minorHAnsi"/>
          <w:noProof/>
          <w:sz w:val="24"/>
          <w:szCs w:val="24"/>
        </w:rPr>
        <w:footnoteReference w:id="44"/>
      </w:r>
      <w:r w:rsidR="00B90B59" w:rsidRPr="00C64B4C">
        <w:rPr>
          <w:rFonts w:eastAsiaTheme="minorHAnsi"/>
          <w:noProof/>
          <w:sz w:val="24"/>
          <w:szCs w:val="24"/>
        </w:rPr>
        <w:t xml:space="preserve"> </w:t>
      </w:r>
      <w:r w:rsidRPr="00C64B4C">
        <w:rPr>
          <w:rFonts w:eastAsiaTheme="minorHAnsi"/>
          <w:noProof/>
          <w:sz w:val="24"/>
          <w:szCs w:val="24"/>
        </w:rPr>
        <w:t>will be another opportunity for further legislative improvements in the interest of consumer protection.</w:t>
      </w:r>
    </w:p>
    <w:p w14:paraId="0C33DD6C" w14:textId="77777777" w:rsidR="00F72535" w:rsidRPr="00C64B4C" w:rsidRDefault="00F72535" w:rsidP="00FD3856">
      <w:pPr>
        <w:jc w:val="both"/>
        <w:rPr>
          <w:rFonts w:eastAsiaTheme="minorHAnsi"/>
          <w:noProof/>
          <w:sz w:val="24"/>
          <w:szCs w:val="24"/>
        </w:rPr>
      </w:pPr>
    </w:p>
    <w:p w14:paraId="3CC22B90" w14:textId="77777777" w:rsidR="007E403C" w:rsidRPr="00C64B4C" w:rsidRDefault="009632D5" w:rsidP="00FD3856">
      <w:pPr>
        <w:jc w:val="both"/>
        <w:rPr>
          <w:rFonts w:eastAsiaTheme="minorHAnsi"/>
          <w:noProof/>
          <w:sz w:val="24"/>
          <w:szCs w:val="24"/>
        </w:rPr>
      </w:pPr>
      <w:r w:rsidRPr="00C64B4C">
        <w:rPr>
          <w:rFonts w:eastAsiaTheme="minorHAnsi"/>
          <w:noProof/>
          <w:sz w:val="24"/>
          <w:szCs w:val="24"/>
        </w:rPr>
        <w:t>T</w:t>
      </w:r>
      <w:r w:rsidR="007E403C" w:rsidRPr="00C64B4C">
        <w:rPr>
          <w:rFonts w:eastAsiaTheme="minorHAnsi"/>
          <w:noProof/>
          <w:sz w:val="24"/>
          <w:szCs w:val="24"/>
        </w:rPr>
        <w:t xml:space="preserve">he ESAs </w:t>
      </w:r>
      <w:r w:rsidR="002115B5" w:rsidRPr="00C64B4C">
        <w:rPr>
          <w:rFonts w:eastAsiaTheme="minorHAnsi"/>
          <w:noProof/>
          <w:sz w:val="24"/>
          <w:szCs w:val="24"/>
        </w:rPr>
        <w:t xml:space="preserve">are </w:t>
      </w:r>
      <w:r w:rsidRPr="00C64B4C">
        <w:rPr>
          <w:rFonts w:eastAsiaTheme="minorHAnsi"/>
          <w:noProof/>
          <w:sz w:val="24"/>
          <w:szCs w:val="24"/>
        </w:rPr>
        <w:t xml:space="preserve">also </w:t>
      </w:r>
      <w:r w:rsidR="002115B5" w:rsidRPr="00C64B4C">
        <w:rPr>
          <w:rFonts w:eastAsiaTheme="minorHAnsi"/>
          <w:noProof/>
          <w:sz w:val="24"/>
          <w:szCs w:val="24"/>
        </w:rPr>
        <w:t xml:space="preserve">invited to </w:t>
      </w:r>
      <w:r w:rsidR="007E403C" w:rsidRPr="00C64B4C">
        <w:rPr>
          <w:rFonts w:eastAsiaTheme="minorHAnsi"/>
          <w:noProof/>
          <w:sz w:val="24"/>
          <w:szCs w:val="24"/>
        </w:rPr>
        <w:t>continue to use all available tools to achieve their consumer</w:t>
      </w:r>
      <w:r w:rsidRPr="00C64B4C">
        <w:rPr>
          <w:rFonts w:eastAsiaTheme="minorHAnsi"/>
          <w:noProof/>
          <w:sz w:val="24"/>
          <w:szCs w:val="24"/>
        </w:rPr>
        <w:t>-</w:t>
      </w:r>
      <w:r w:rsidR="007E403C" w:rsidRPr="00C64B4C">
        <w:rPr>
          <w:rFonts w:eastAsiaTheme="minorHAnsi"/>
          <w:noProof/>
          <w:sz w:val="24"/>
          <w:szCs w:val="24"/>
        </w:rPr>
        <w:t xml:space="preserve"> and investor</w:t>
      </w:r>
      <w:r w:rsidRPr="00C64B4C">
        <w:rPr>
          <w:rFonts w:eastAsiaTheme="minorHAnsi"/>
          <w:noProof/>
          <w:sz w:val="24"/>
          <w:szCs w:val="24"/>
        </w:rPr>
        <w:t>-</w:t>
      </w:r>
      <w:r w:rsidR="007E403C" w:rsidRPr="00C64B4C">
        <w:rPr>
          <w:rFonts w:eastAsiaTheme="minorHAnsi"/>
          <w:noProof/>
          <w:sz w:val="24"/>
          <w:szCs w:val="24"/>
        </w:rPr>
        <w:t xml:space="preserve">protection objectives. These tools include </w:t>
      </w:r>
      <w:r w:rsidRPr="00C64B4C">
        <w:rPr>
          <w:rFonts w:eastAsiaTheme="minorHAnsi"/>
          <w:noProof/>
          <w:sz w:val="24"/>
          <w:szCs w:val="24"/>
        </w:rPr>
        <w:t xml:space="preserve">reports on </w:t>
      </w:r>
      <w:r w:rsidR="007E403C" w:rsidRPr="00C64B4C">
        <w:rPr>
          <w:rFonts w:eastAsiaTheme="minorHAnsi"/>
          <w:noProof/>
          <w:sz w:val="24"/>
          <w:szCs w:val="24"/>
        </w:rPr>
        <w:t>consumer trends, supervisory heat-maps</w:t>
      </w:r>
      <w:r w:rsidR="00B4730B" w:rsidRPr="00C64B4C">
        <w:rPr>
          <w:rFonts w:eastAsiaTheme="minorHAnsi"/>
          <w:noProof/>
          <w:sz w:val="24"/>
          <w:szCs w:val="24"/>
        </w:rPr>
        <w:t>,</w:t>
      </w:r>
      <w:r w:rsidR="007E403C" w:rsidRPr="00C64B4C">
        <w:rPr>
          <w:rFonts w:eastAsiaTheme="minorHAnsi"/>
          <w:noProof/>
          <w:sz w:val="24"/>
          <w:szCs w:val="24"/>
        </w:rPr>
        <w:t xml:space="preserve"> peer reviews</w:t>
      </w:r>
      <w:r w:rsidRPr="00C64B4C">
        <w:rPr>
          <w:rFonts w:eastAsiaTheme="minorHAnsi"/>
          <w:noProof/>
          <w:sz w:val="24"/>
          <w:szCs w:val="24"/>
        </w:rPr>
        <w:t>,</w:t>
      </w:r>
      <w:r w:rsidR="007E403C" w:rsidRPr="00C64B4C">
        <w:rPr>
          <w:rFonts w:eastAsiaTheme="minorHAnsi"/>
          <w:noProof/>
          <w:sz w:val="24"/>
          <w:szCs w:val="24"/>
        </w:rPr>
        <w:t xml:space="preserve"> and warnings</w:t>
      </w:r>
      <w:r w:rsidRPr="00C64B4C">
        <w:rPr>
          <w:rFonts w:eastAsiaTheme="minorHAnsi"/>
          <w:noProof/>
          <w:sz w:val="24"/>
          <w:szCs w:val="24"/>
        </w:rPr>
        <w:t>/</w:t>
      </w:r>
      <w:r w:rsidR="007E403C" w:rsidRPr="00C64B4C">
        <w:rPr>
          <w:rFonts w:eastAsiaTheme="minorHAnsi"/>
          <w:noProof/>
          <w:sz w:val="24"/>
          <w:szCs w:val="24"/>
        </w:rPr>
        <w:t>analys</w:t>
      </w:r>
      <w:r w:rsidRPr="00C64B4C">
        <w:rPr>
          <w:rFonts w:eastAsiaTheme="minorHAnsi"/>
          <w:noProof/>
          <w:sz w:val="24"/>
          <w:szCs w:val="24"/>
        </w:rPr>
        <w:t>e</w:t>
      </w:r>
      <w:r w:rsidR="007E403C" w:rsidRPr="00C64B4C">
        <w:rPr>
          <w:rFonts w:eastAsiaTheme="minorHAnsi"/>
          <w:noProof/>
          <w:sz w:val="24"/>
          <w:szCs w:val="24"/>
        </w:rPr>
        <w:t>s of own</w:t>
      </w:r>
      <w:r w:rsidRPr="00C64B4C">
        <w:rPr>
          <w:rFonts w:eastAsiaTheme="minorHAnsi"/>
          <w:noProof/>
          <w:sz w:val="24"/>
          <w:szCs w:val="24"/>
        </w:rPr>
        <w:t>-</w:t>
      </w:r>
      <w:r w:rsidR="007E403C" w:rsidRPr="00C64B4C">
        <w:rPr>
          <w:rFonts w:eastAsiaTheme="minorHAnsi"/>
          <w:noProof/>
          <w:sz w:val="24"/>
          <w:szCs w:val="24"/>
        </w:rPr>
        <w:t xml:space="preserve">risk </w:t>
      </w:r>
      <w:r w:rsidR="005E7D11" w:rsidRPr="00C64B4C">
        <w:rPr>
          <w:rFonts w:eastAsiaTheme="minorHAnsi"/>
          <w:noProof/>
          <w:sz w:val="24"/>
          <w:szCs w:val="24"/>
        </w:rPr>
        <w:t xml:space="preserve">and solvency assessment </w:t>
      </w:r>
      <w:r w:rsidR="007E403C" w:rsidRPr="00C64B4C">
        <w:rPr>
          <w:rFonts w:eastAsiaTheme="minorHAnsi"/>
          <w:noProof/>
          <w:sz w:val="24"/>
          <w:szCs w:val="24"/>
        </w:rPr>
        <w:t>reports in the insurance and pension sector.</w:t>
      </w:r>
    </w:p>
    <w:p w14:paraId="000DF70D" w14:textId="77777777" w:rsidR="00371C32" w:rsidRPr="00C64B4C" w:rsidRDefault="00371C32" w:rsidP="00FD3856">
      <w:pPr>
        <w:jc w:val="both"/>
        <w:rPr>
          <w:rFonts w:eastAsiaTheme="minorHAnsi"/>
          <w:noProof/>
          <w:sz w:val="24"/>
          <w:szCs w:val="24"/>
        </w:rPr>
      </w:pPr>
    </w:p>
    <w:p w14:paraId="32CB68FE" w14:textId="77777777" w:rsidR="008A50AC" w:rsidRPr="00C64B4C" w:rsidRDefault="006A50BC" w:rsidP="00901A5C">
      <w:pPr>
        <w:pStyle w:val="Heading1"/>
        <w:numPr>
          <w:ilvl w:val="0"/>
          <w:numId w:val="1"/>
        </w:numPr>
        <w:jc w:val="left"/>
        <w:rPr>
          <w:rFonts w:eastAsiaTheme="minorHAnsi"/>
          <w:noProof/>
          <w:sz w:val="24"/>
          <w:szCs w:val="24"/>
          <w:lang w:eastAsia="en-US" w:bidi="ar-SA"/>
        </w:rPr>
      </w:pPr>
      <w:r w:rsidRPr="00C64B4C">
        <w:rPr>
          <w:rFonts w:eastAsiaTheme="minorHAnsi"/>
          <w:noProof/>
          <w:sz w:val="24"/>
          <w:szCs w:val="24"/>
          <w:lang w:eastAsia="en-US" w:bidi="ar-SA"/>
        </w:rPr>
        <w:t xml:space="preserve">SYSTEMIC RISK </w:t>
      </w:r>
    </w:p>
    <w:p w14:paraId="4087A5C0" w14:textId="77777777" w:rsidR="00FD5C86" w:rsidRPr="00C64B4C" w:rsidRDefault="00FD5C86" w:rsidP="00901A5C">
      <w:pPr>
        <w:jc w:val="both"/>
        <w:rPr>
          <w:rFonts w:eastAsiaTheme="minorHAnsi"/>
          <w:noProof/>
          <w:sz w:val="24"/>
          <w:szCs w:val="24"/>
        </w:rPr>
      </w:pPr>
    </w:p>
    <w:p w14:paraId="2EEE972F" w14:textId="77777777" w:rsidR="00F61012" w:rsidRPr="00C64B4C" w:rsidRDefault="00F61012" w:rsidP="00FD3856">
      <w:pPr>
        <w:jc w:val="both"/>
        <w:rPr>
          <w:rFonts w:eastAsiaTheme="minorHAnsi"/>
          <w:noProof/>
          <w:sz w:val="24"/>
          <w:szCs w:val="24"/>
          <w:u w:val="single"/>
        </w:rPr>
      </w:pPr>
      <w:r w:rsidRPr="00C64B4C">
        <w:rPr>
          <w:rFonts w:eastAsiaTheme="minorHAnsi"/>
          <w:noProof/>
          <w:sz w:val="24"/>
          <w:szCs w:val="24"/>
          <w:u w:val="single"/>
        </w:rPr>
        <w:t>Background and findings</w:t>
      </w:r>
    </w:p>
    <w:p w14:paraId="122AB726" w14:textId="77777777" w:rsidR="00F61012" w:rsidRPr="00C64B4C" w:rsidRDefault="00F61012" w:rsidP="00FD3856">
      <w:pPr>
        <w:jc w:val="both"/>
        <w:rPr>
          <w:rFonts w:eastAsiaTheme="minorHAnsi"/>
          <w:noProof/>
          <w:sz w:val="24"/>
          <w:szCs w:val="24"/>
        </w:rPr>
      </w:pPr>
    </w:p>
    <w:p w14:paraId="0BC0F4D0" w14:textId="77777777" w:rsidR="0005460B" w:rsidRPr="00C64B4C" w:rsidRDefault="0005460B" w:rsidP="00FD3856">
      <w:pPr>
        <w:jc w:val="both"/>
        <w:rPr>
          <w:rFonts w:eastAsiaTheme="minorHAnsi"/>
          <w:noProof/>
          <w:sz w:val="24"/>
          <w:szCs w:val="24"/>
        </w:rPr>
      </w:pPr>
      <w:r w:rsidRPr="00C64B4C">
        <w:rPr>
          <w:rFonts w:eastAsiaTheme="minorHAnsi"/>
          <w:noProof/>
          <w:sz w:val="24"/>
          <w:szCs w:val="24"/>
        </w:rPr>
        <w:t>In response to the global financial crisis, the ESAs, together with the E</w:t>
      </w:r>
      <w:r w:rsidR="00495333" w:rsidRPr="00C64B4C">
        <w:rPr>
          <w:rFonts w:eastAsiaTheme="minorHAnsi"/>
          <w:noProof/>
          <w:sz w:val="24"/>
          <w:szCs w:val="24"/>
        </w:rPr>
        <w:t>uropean Systemic Risk Board (E</w:t>
      </w:r>
      <w:r w:rsidRPr="00C64B4C">
        <w:rPr>
          <w:rFonts w:eastAsiaTheme="minorHAnsi"/>
          <w:noProof/>
          <w:sz w:val="24"/>
          <w:szCs w:val="24"/>
        </w:rPr>
        <w:t>SRB</w:t>
      </w:r>
      <w:r w:rsidR="00495333" w:rsidRPr="00C64B4C">
        <w:rPr>
          <w:rFonts w:eastAsiaTheme="minorHAnsi"/>
          <w:noProof/>
          <w:sz w:val="24"/>
          <w:szCs w:val="24"/>
        </w:rPr>
        <w:t>)</w:t>
      </w:r>
      <w:r w:rsidRPr="00C64B4C">
        <w:rPr>
          <w:rFonts w:eastAsiaTheme="minorHAnsi"/>
          <w:noProof/>
          <w:sz w:val="24"/>
          <w:szCs w:val="24"/>
        </w:rPr>
        <w:t xml:space="preserve"> were </w:t>
      </w:r>
      <w:r w:rsidR="0064204F" w:rsidRPr="00C64B4C">
        <w:rPr>
          <w:rFonts w:eastAsiaTheme="minorHAnsi"/>
          <w:noProof/>
          <w:sz w:val="24"/>
          <w:szCs w:val="24"/>
        </w:rPr>
        <w:t>mandated to</w:t>
      </w:r>
      <w:r w:rsidR="0089184F" w:rsidRPr="00C64B4C">
        <w:rPr>
          <w:rFonts w:eastAsiaTheme="minorHAnsi"/>
          <w:noProof/>
          <w:sz w:val="24"/>
          <w:szCs w:val="24"/>
        </w:rPr>
        <w:t xml:space="preserve"> </w:t>
      </w:r>
      <w:r w:rsidR="0064204F" w:rsidRPr="00C64B4C">
        <w:rPr>
          <w:rFonts w:eastAsiaTheme="minorHAnsi"/>
          <w:noProof/>
          <w:sz w:val="24"/>
          <w:szCs w:val="24"/>
        </w:rPr>
        <w:t>contribute to</w:t>
      </w:r>
      <w:r w:rsidRPr="00C64B4C">
        <w:rPr>
          <w:rFonts w:eastAsiaTheme="minorHAnsi"/>
          <w:noProof/>
          <w:sz w:val="24"/>
          <w:szCs w:val="24"/>
        </w:rPr>
        <w:t xml:space="preserve"> </w:t>
      </w:r>
      <w:r w:rsidR="00563C89" w:rsidRPr="00C64B4C">
        <w:rPr>
          <w:rFonts w:eastAsiaTheme="minorHAnsi"/>
          <w:noProof/>
          <w:sz w:val="24"/>
          <w:szCs w:val="24"/>
        </w:rPr>
        <w:t>macro</w:t>
      </w:r>
      <w:r w:rsidR="009632D5" w:rsidRPr="00C64B4C">
        <w:rPr>
          <w:rFonts w:eastAsiaTheme="minorHAnsi"/>
          <w:noProof/>
          <w:sz w:val="24"/>
          <w:szCs w:val="24"/>
        </w:rPr>
        <w:t>-</w:t>
      </w:r>
      <w:r w:rsidR="00563C89" w:rsidRPr="00C64B4C">
        <w:rPr>
          <w:rFonts w:eastAsiaTheme="minorHAnsi"/>
          <w:noProof/>
          <w:sz w:val="24"/>
          <w:szCs w:val="24"/>
        </w:rPr>
        <w:t>prudential</w:t>
      </w:r>
      <w:r w:rsidRPr="00C64B4C">
        <w:rPr>
          <w:rFonts w:eastAsiaTheme="minorHAnsi"/>
          <w:noProof/>
          <w:sz w:val="24"/>
          <w:szCs w:val="24"/>
        </w:rPr>
        <w:t xml:space="preserve"> oversight of the EU financial system and to prevent and mitigate systemic risk</w:t>
      </w:r>
      <w:r w:rsidR="00C54C7F">
        <w:rPr>
          <w:rFonts w:eastAsiaTheme="minorHAnsi"/>
          <w:noProof/>
          <w:sz w:val="24"/>
          <w:szCs w:val="24"/>
        </w:rPr>
        <w:t>, as the co-legislator</w:t>
      </w:r>
      <w:r w:rsidRPr="00C64B4C">
        <w:rPr>
          <w:rFonts w:eastAsiaTheme="minorHAnsi"/>
          <w:noProof/>
          <w:sz w:val="24"/>
          <w:szCs w:val="24"/>
        </w:rPr>
        <w:t xml:space="preserve"> considered</w:t>
      </w:r>
      <w:r w:rsidR="00C54C7F">
        <w:rPr>
          <w:rFonts w:eastAsiaTheme="minorHAnsi"/>
          <w:noProof/>
          <w:sz w:val="24"/>
          <w:szCs w:val="24"/>
        </w:rPr>
        <w:t xml:space="preserve"> it</w:t>
      </w:r>
      <w:r w:rsidRPr="00C64B4C">
        <w:rPr>
          <w:rFonts w:eastAsiaTheme="minorHAnsi"/>
          <w:noProof/>
          <w:sz w:val="24"/>
          <w:szCs w:val="24"/>
        </w:rPr>
        <w:t xml:space="preserve"> important that supervisory arrangements in the EU </w:t>
      </w:r>
      <w:r w:rsidR="005E7D11" w:rsidRPr="00C64B4C">
        <w:rPr>
          <w:rFonts w:eastAsiaTheme="minorHAnsi"/>
          <w:noProof/>
          <w:sz w:val="24"/>
          <w:szCs w:val="24"/>
        </w:rPr>
        <w:t>d</w:t>
      </w:r>
      <w:r w:rsidR="009C134F" w:rsidRPr="00C64B4C">
        <w:rPr>
          <w:rFonts w:eastAsiaTheme="minorHAnsi"/>
          <w:noProof/>
          <w:sz w:val="24"/>
          <w:szCs w:val="24"/>
        </w:rPr>
        <w:t xml:space="preserve">id </w:t>
      </w:r>
      <w:r w:rsidRPr="00C64B4C">
        <w:rPr>
          <w:rFonts w:eastAsiaTheme="minorHAnsi"/>
          <w:noProof/>
          <w:sz w:val="24"/>
          <w:szCs w:val="24"/>
        </w:rPr>
        <w:t xml:space="preserve">not </w:t>
      </w:r>
      <w:r w:rsidR="005E7D11" w:rsidRPr="00C64B4C">
        <w:rPr>
          <w:rFonts w:eastAsiaTheme="minorHAnsi"/>
          <w:noProof/>
          <w:sz w:val="24"/>
          <w:szCs w:val="24"/>
        </w:rPr>
        <w:t xml:space="preserve">focus </w:t>
      </w:r>
      <w:r w:rsidRPr="00C64B4C">
        <w:rPr>
          <w:rFonts w:eastAsiaTheme="minorHAnsi"/>
          <w:noProof/>
          <w:sz w:val="24"/>
          <w:szCs w:val="24"/>
        </w:rPr>
        <w:t xml:space="preserve">only </w:t>
      </w:r>
      <w:r w:rsidR="006B0641" w:rsidRPr="00C64B4C">
        <w:rPr>
          <w:rFonts w:eastAsiaTheme="minorHAnsi"/>
          <w:noProof/>
          <w:sz w:val="24"/>
          <w:szCs w:val="24"/>
        </w:rPr>
        <w:t xml:space="preserve">on </w:t>
      </w:r>
      <w:r w:rsidRPr="00C64B4C">
        <w:rPr>
          <w:rFonts w:eastAsiaTheme="minorHAnsi"/>
          <w:noProof/>
          <w:sz w:val="24"/>
          <w:szCs w:val="24"/>
        </w:rPr>
        <w:t>individual firms but also ensure</w:t>
      </w:r>
      <w:r w:rsidR="009C134F" w:rsidRPr="00C64B4C">
        <w:rPr>
          <w:rFonts w:eastAsiaTheme="minorHAnsi"/>
          <w:noProof/>
          <w:sz w:val="24"/>
          <w:szCs w:val="24"/>
        </w:rPr>
        <w:t>d</w:t>
      </w:r>
      <w:r w:rsidRPr="00C64B4C">
        <w:rPr>
          <w:rFonts w:eastAsiaTheme="minorHAnsi"/>
          <w:noProof/>
          <w:sz w:val="24"/>
          <w:szCs w:val="24"/>
        </w:rPr>
        <w:t xml:space="preserve"> the stability of the financial system as </w:t>
      </w:r>
      <w:r w:rsidR="00366540" w:rsidRPr="00C64B4C">
        <w:rPr>
          <w:rFonts w:eastAsiaTheme="minorHAnsi"/>
          <w:noProof/>
          <w:sz w:val="24"/>
          <w:szCs w:val="24"/>
        </w:rPr>
        <w:t xml:space="preserve">a </w:t>
      </w:r>
      <w:r w:rsidRPr="00C64B4C">
        <w:rPr>
          <w:rFonts w:eastAsiaTheme="minorHAnsi"/>
          <w:noProof/>
          <w:sz w:val="24"/>
          <w:szCs w:val="24"/>
        </w:rPr>
        <w:t xml:space="preserve">whole. </w:t>
      </w:r>
    </w:p>
    <w:p w14:paraId="047C9866" w14:textId="77777777" w:rsidR="00371C32" w:rsidRPr="00C64B4C" w:rsidRDefault="00371C32" w:rsidP="00FD3856">
      <w:pPr>
        <w:jc w:val="both"/>
        <w:rPr>
          <w:rFonts w:eastAsiaTheme="minorHAnsi"/>
          <w:noProof/>
          <w:sz w:val="24"/>
          <w:szCs w:val="24"/>
        </w:rPr>
      </w:pPr>
    </w:p>
    <w:p w14:paraId="3AEF2373" w14:textId="3A9A3375" w:rsidR="003360EB" w:rsidRPr="00C64B4C" w:rsidRDefault="009632D5" w:rsidP="00FD3856">
      <w:pPr>
        <w:jc w:val="both"/>
        <w:rPr>
          <w:rFonts w:eastAsiaTheme="minorHAnsi"/>
          <w:noProof/>
          <w:sz w:val="24"/>
          <w:szCs w:val="24"/>
        </w:rPr>
      </w:pPr>
      <w:r w:rsidRPr="00C64B4C">
        <w:rPr>
          <w:rFonts w:eastAsiaTheme="minorHAnsi"/>
          <w:noProof/>
          <w:sz w:val="24"/>
          <w:szCs w:val="24"/>
        </w:rPr>
        <w:t>Most</w:t>
      </w:r>
      <w:r w:rsidR="0005460B" w:rsidRPr="00C64B4C">
        <w:rPr>
          <w:rFonts w:eastAsiaTheme="minorHAnsi"/>
          <w:noProof/>
          <w:sz w:val="24"/>
          <w:szCs w:val="24"/>
        </w:rPr>
        <w:t xml:space="preserve"> respondents in the public consultation </w:t>
      </w:r>
      <w:r w:rsidRPr="00C64B4C">
        <w:rPr>
          <w:rFonts w:eastAsiaTheme="minorHAnsi"/>
          <w:noProof/>
          <w:sz w:val="24"/>
          <w:szCs w:val="24"/>
        </w:rPr>
        <w:t xml:space="preserve">said </w:t>
      </w:r>
      <w:r w:rsidR="0005460B" w:rsidRPr="00C64B4C">
        <w:rPr>
          <w:rFonts w:eastAsiaTheme="minorHAnsi"/>
          <w:noProof/>
          <w:sz w:val="24"/>
          <w:szCs w:val="24"/>
        </w:rPr>
        <w:t xml:space="preserve">that the current architecture of financial supervision by </w:t>
      </w:r>
      <w:r w:rsidR="002115B5" w:rsidRPr="00C64B4C">
        <w:rPr>
          <w:rFonts w:eastAsiaTheme="minorHAnsi"/>
          <w:noProof/>
          <w:sz w:val="24"/>
          <w:szCs w:val="24"/>
        </w:rPr>
        <w:t xml:space="preserve">the </w:t>
      </w:r>
      <w:r w:rsidR="0005460B" w:rsidRPr="00C64B4C">
        <w:rPr>
          <w:rFonts w:eastAsiaTheme="minorHAnsi"/>
          <w:noProof/>
          <w:sz w:val="24"/>
          <w:szCs w:val="24"/>
        </w:rPr>
        <w:t>ESAs and the ESRB ha</w:t>
      </w:r>
      <w:r w:rsidRPr="00C64B4C">
        <w:rPr>
          <w:rFonts w:eastAsiaTheme="minorHAnsi"/>
          <w:noProof/>
          <w:sz w:val="24"/>
          <w:szCs w:val="24"/>
        </w:rPr>
        <w:t>d</w:t>
      </w:r>
      <w:r w:rsidR="0005460B" w:rsidRPr="00C64B4C">
        <w:rPr>
          <w:rFonts w:eastAsiaTheme="minorHAnsi"/>
          <w:noProof/>
          <w:sz w:val="24"/>
          <w:szCs w:val="24"/>
        </w:rPr>
        <w:t xml:space="preserve"> improved the cooperation and coordination of systemic</w:t>
      </w:r>
      <w:r w:rsidRPr="00C64B4C">
        <w:rPr>
          <w:rFonts w:eastAsiaTheme="minorHAnsi"/>
          <w:noProof/>
          <w:sz w:val="24"/>
          <w:szCs w:val="24"/>
        </w:rPr>
        <w:t>-</w:t>
      </w:r>
      <w:r w:rsidR="0005460B" w:rsidRPr="00C64B4C">
        <w:rPr>
          <w:rFonts w:eastAsiaTheme="minorHAnsi"/>
          <w:noProof/>
          <w:sz w:val="24"/>
          <w:szCs w:val="24"/>
        </w:rPr>
        <w:t xml:space="preserve">risk functions among competent authorities. In particular, </w:t>
      </w:r>
      <w:r w:rsidRPr="00C64B4C">
        <w:rPr>
          <w:rFonts w:eastAsiaTheme="minorHAnsi"/>
          <w:noProof/>
          <w:sz w:val="24"/>
          <w:szCs w:val="24"/>
        </w:rPr>
        <w:t xml:space="preserve">stakeholders identified </w:t>
      </w:r>
      <w:r w:rsidR="0005460B" w:rsidRPr="00C64B4C">
        <w:rPr>
          <w:rFonts w:eastAsiaTheme="minorHAnsi"/>
          <w:noProof/>
          <w:sz w:val="24"/>
          <w:szCs w:val="24"/>
        </w:rPr>
        <w:t xml:space="preserve">the collaboration between </w:t>
      </w:r>
      <w:r w:rsidR="002115B5" w:rsidRPr="00C64B4C">
        <w:rPr>
          <w:rFonts w:eastAsiaTheme="minorHAnsi"/>
          <w:noProof/>
          <w:sz w:val="24"/>
          <w:szCs w:val="24"/>
        </w:rPr>
        <w:t xml:space="preserve">the </w:t>
      </w:r>
      <w:r w:rsidR="0005460B" w:rsidRPr="00C64B4C">
        <w:rPr>
          <w:rFonts w:eastAsiaTheme="minorHAnsi"/>
          <w:noProof/>
          <w:sz w:val="24"/>
          <w:szCs w:val="24"/>
        </w:rPr>
        <w:t xml:space="preserve">ESAs and </w:t>
      </w:r>
      <w:r w:rsidR="002115B5" w:rsidRPr="00C64B4C">
        <w:rPr>
          <w:rFonts w:eastAsiaTheme="minorHAnsi"/>
          <w:noProof/>
          <w:sz w:val="24"/>
          <w:szCs w:val="24"/>
        </w:rPr>
        <w:t xml:space="preserve">the </w:t>
      </w:r>
      <w:r w:rsidR="0005460B" w:rsidRPr="00C64B4C">
        <w:rPr>
          <w:rFonts w:eastAsiaTheme="minorHAnsi"/>
          <w:noProof/>
          <w:sz w:val="24"/>
          <w:szCs w:val="24"/>
        </w:rPr>
        <w:t>ESRB on stress testing as a</w:t>
      </w:r>
      <w:r w:rsidRPr="00C64B4C">
        <w:rPr>
          <w:rFonts w:eastAsiaTheme="minorHAnsi"/>
          <w:noProof/>
          <w:sz w:val="24"/>
          <w:szCs w:val="24"/>
        </w:rPr>
        <w:t>n example of</w:t>
      </w:r>
      <w:r w:rsidR="0005460B" w:rsidRPr="00C64B4C">
        <w:rPr>
          <w:rFonts w:eastAsiaTheme="minorHAnsi"/>
          <w:noProof/>
          <w:sz w:val="24"/>
          <w:szCs w:val="24"/>
        </w:rPr>
        <w:t xml:space="preserve"> good practice</w:t>
      </w:r>
      <w:r w:rsidR="0089184F" w:rsidRPr="00C64B4C">
        <w:rPr>
          <w:rFonts w:eastAsiaTheme="minorHAnsi"/>
          <w:noProof/>
          <w:sz w:val="24"/>
          <w:szCs w:val="24"/>
        </w:rPr>
        <w:t>.</w:t>
      </w:r>
      <w:r w:rsidR="0064204F" w:rsidRPr="00C64B4C">
        <w:rPr>
          <w:rFonts w:eastAsiaTheme="minorHAnsi"/>
          <w:noProof/>
          <w:sz w:val="24"/>
          <w:szCs w:val="24"/>
        </w:rPr>
        <w:t xml:space="preserve"> </w:t>
      </w:r>
      <w:r w:rsidR="0005460B" w:rsidRPr="00C64B4C">
        <w:rPr>
          <w:rFonts w:eastAsiaTheme="minorHAnsi"/>
          <w:noProof/>
          <w:sz w:val="24"/>
          <w:szCs w:val="24"/>
        </w:rPr>
        <w:t xml:space="preserve">While the overall stress-test process is well coordinated by the ESAs, a number of respondents </w:t>
      </w:r>
      <w:r w:rsidR="00BB5B85" w:rsidRPr="00C64B4C">
        <w:rPr>
          <w:rFonts w:eastAsiaTheme="minorHAnsi"/>
          <w:noProof/>
          <w:sz w:val="24"/>
          <w:szCs w:val="24"/>
        </w:rPr>
        <w:t>asked for the process t</w:t>
      </w:r>
      <w:r w:rsidR="0005460B" w:rsidRPr="00C64B4C">
        <w:rPr>
          <w:rFonts w:eastAsiaTheme="minorHAnsi"/>
          <w:noProof/>
          <w:sz w:val="24"/>
          <w:szCs w:val="24"/>
        </w:rPr>
        <w:t xml:space="preserve">o </w:t>
      </w:r>
      <w:r w:rsidR="00BB5B85" w:rsidRPr="00C64B4C">
        <w:rPr>
          <w:rFonts w:eastAsiaTheme="minorHAnsi"/>
          <w:noProof/>
          <w:sz w:val="24"/>
          <w:szCs w:val="24"/>
        </w:rPr>
        <w:t xml:space="preserve">be </w:t>
      </w:r>
      <w:r w:rsidR="0005460B" w:rsidRPr="00C64B4C">
        <w:rPr>
          <w:rFonts w:eastAsiaTheme="minorHAnsi"/>
          <w:noProof/>
          <w:sz w:val="24"/>
          <w:szCs w:val="24"/>
        </w:rPr>
        <w:t>further streamline</w:t>
      </w:r>
      <w:r w:rsidR="00BB5B85" w:rsidRPr="00C64B4C">
        <w:rPr>
          <w:rFonts w:eastAsiaTheme="minorHAnsi"/>
          <w:noProof/>
          <w:sz w:val="24"/>
          <w:szCs w:val="24"/>
        </w:rPr>
        <w:t>d. They made this request</w:t>
      </w:r>
      <w:r w:rsidR="0005460B" w:rsidRPr="00C64B4C">
        <w:rPr>
          <w:rFonts w:eastAsiaTheme="minorHAnsi"/>
          <w:noProof/>
          <w:sz w:val="24"/>
          <w:szCs w:val="24"/>
        </w:rPr>
        <w:t xml:space="preserve"> </w:t>
      </w:r>
      <w:r w:rsidR="00BB5B85" w:rsidRPr="00C64B4C">
        <w:rPr>
          <w:rFonts w:eastAsiaTheme="minorHAnsi"/>
          <w:noProof/>
          <w:sz w:val="24"/>
          <w:szCs w:val="24"/>
        </w:rPr>
        <w:t xml:space="preserve">because </w:t>
      </w:r>
      <w:r w:rsidR="0005460B" w:rsidRPr="00C64B4C">
        <w:rPr>
          <w:rFonts w:eastAsiaTheme="minorHAnsi"/>
          <w:noProof/>
          <w:sz w:val="24"/>
          <w:szCs w:val="24"/>
        </w:rPr>
        <w:t>the level of detail in stress</w:t>
      </w:r>
      <w:r w:rsidR="00BB5B85" w:rsidRPr="00C64B4C">
        <w:rPr>
          <w:rFonts w:eastAsiaTheme="minorHAnsi"/>
          <w:noProof/>
          <w:sz w:val="24"/>
          <w:szCs w:val="24"/>
        </w:rPr>
        <w:t>-</w:t>
      </w:r>
      <w:r w:rsidR="0005460B" w:rsidRPr="00C64B4C">
        <w:rPr>
          <w:rFonts w:eastAsiaTheme="minorHAnsi"/>
          <w:noProof/>
          <w:sz w:val="24"/>
          <w:szCs w:val="24"/>
        </w:rPr>
        <w:t xml:space="preserve">test reporting is demanding for </w:t>
      </w:r>
      <w:r w:rsidR="00B10498">
        <w:rPr>
          <w:rFonts w:eastAsiaTheme="minorHAnsi"/>
          <w:noProof/>
          <w:sz w:val="24"/>
          <w:szCs w:val="24"/>
        </w:rPr>
        <w:t>N</w:t>
      </w:r>
      <w:r w:rsidR="0064204F" w:rsidRPr="00C64B4C">
        <w:rPr>
          <w:rFonts w:eastAsiaTheme="minorHAnsi"/>
          <w:noProof/>
          <w:sz w:val="24"/>
          <w:szCs w:val="24"/>
        </w:rPr>
        <w:t xml:space="preserve">ational </w:t>
      </w:r>
      <w:r w:rsidR="00B10498">
        <w:rPr>
          <w:rFonts w:eastAsiaTheme="minorHAnsi"/>
          <w:noProof/>
          <w:sz w:val="24"/>
          <w:szCs w:val="24"/>
        </w:rPr>
        <w:t>C</w:t>
      </w:r>
      <w:r w:rsidR="0005460B" w:rsidRPr="00C64B4C">
        <w:rPr>
          <w:rFonts w:eastAsiaTheme="minorHAnsi"/>
          <w:noProof/>
          <w:sz w:val="24"/>
          <w:szCs w:val="24"/>
        </w:rPr>
        <w:t xml:space="preserve">ompetent </w:t>
      </w:r>
      <w:r w:rsidR="00B10498">
        <w:rPr>
          <w:rFonts w:eastAsiaTheme="minorHAnsi"/>
          <w:noProof/>
          <w:sz w:val="24"/>
          <w:szCs w:val="24"/>
        </w:rPr>
        <w:t>A</w:t>
      </w:r>
      <w:r w:rsidR="0005460B" w:rsidRPr="00C64B4C">
        <w:rPr>
          <w:rFonts w:eastAsiaTheme="minorHAnsi"/>
          <w:noProof/>
          <w:sz w:val="24"/>
          <w:szCs w:val="24"/>
        </w:rPr>
        <w:t>uthorities and supervised entities due to the quality</w:t>
      </w:r>
      <w:r w:rsidR="00BB5B85" w:rsidRPr="00C64B4C">
        <w:rPr>
          <w:rFonts w:eastAsiaTheme="minorHAnsi"/>
          <w:noProof/>
          <w:sz w:val="24"/>
          <w:szCs w:val="24"/>
        </w:rPr>
        <w:t>-</w:t>
      </w:r>
      <w:r w:rsidR="0005460B" w:rsidRPr="00C64B4C">
        <w:rPr>
          <w:rFonts w:eastAsiaTheme="minorHAnsi"/>
          <w:noProof/>
          <w:sz w:val="24"/>
          <w:szCs w:val="24"/>
        </w:rPr>
        <w:t>assurance process. Therefore, some stakeholders suggest</w:t>
      </w:r>
      <w:r w:rsidR="00BB5B85" w:rsidRPr="00C64B4C">
        <w:rPr>
          <w:rFonts w:eastAsiaTheme="minorHAnsi"/>
          <w:noProof/>
          <w:sz w:val="24"/>
          <w:szCs w:val="24"/>
        </w:rPr>
        <w:t>ed</w:t>
      </w:r>
      <w:r w:rsidR="0005460B" w:rsidRPr="00C64B4C">
        <w:rPr>
          <w:rFonts w:eastAsiaTheme="minorHAnsi"/>
          <w:noProof/>
          <w:sz w:val="24"/>
          <w:szCs w:val="24"/>
        </w:rPr>
        <w:t xml:space="preserve"> a more </w:t>
      </w:r>
      <w:r w:rsidR="00BB5B85" w:rsidRPr="00C64B4C">
        <w:rPr>
          <w:rFonts w:eastAsiaTheme="minorHAnsi"/>
          <w:noProof/>
          <w:sz w:val="24"/>
          <w:szCs w:val="24"/>
        </w:rPr>
        <w:t>risk-</w:t>
      </w:r>
      <w:r w:rsidR="0005460B" w:rsidRPr="00C64B4C">
        <w:rPr>
          <w:rFonts w:eastAsiaTheme="minorHAnsi"/>
          <w:noProof/>
          <w:sz w:val="24"/>
          <w:szCs w:val="24"/>
        </w:rPr>
        <w:t xml:space="preserve">based approach to </w:t>
      </w:r>
      <w:r w:rsidR="00366540" w:rsidRPr="00C64B4C">
        <w:rPr>
          <w:rFonts w:eastAsiaTheme="minorHAnsi"/>
          <w:noProof/>
          <w:sz w:val="24"/>
          <w:szCs w:val="24"/>
        </w:rPr>
        <w:t xml:space="preserve">the </w:t>
      </w:r>
      <w:r w:rsidR="0005460B" w:rsidRPr="00C64B4C">
        <w:rPr>
          <w:rFonts w:eastAsiaTheme="minorHAnsi"/>
          <w:noProof/>
          <w:sz w:val="24"/>
          <w:szCs w:val="24"/>
        </w:rPr>
        <w:t xml:space="preserve">quality assurance of stress tests. In addition, </w:t>
      </w:r>
      <w:r w:rsidR="008F70B0" w:rsidRPr="00C64B4C">
        <w:rPr>
          <w:rFonts w:eastAsiaTheme="minorHAnsi"/>
          <w:noProof/>
          <w:sz w:val="24"/>
          <w:szCs w:val="24"/>
        </w:rPr>
        <w:t xml:space="preserve">a few </w:t>
      </w:r>
      <w:r w:rsidR="00CA55D4" w:rsidRPr="00C64B4C">
        <w:rPr>
          <w:rFonts w:eastAsiaTheme="minorHAnsi"/>
          <w:noProof/>
          <w:sz w:val="24"/>
          <w:szCs w:val="24"/>
        </w:rPr>
        <w:t>i</w:t>
      </w:r>
      <w:r w:rsidR="0005460B" w:rsidRPr="00C64B4C">
        <w:rPr>
          <w:rFonts w:eastAsiaTheme="minorHAnsi"/>
          <w:noProof/>
          <w:sz w:val="24"/>
          <w:szCs w:val="24"/>
        </w:rPr>
        <w:t xml:space="preserve">ndustry stakeholders also raised concerns </w:t>
      </w:r>
      <w:r w:rsidR="00BB5B85" w:rsidRPr="00C64B4C">
        <w:rPr>
          <w:rFonts w:eastAsiaTheme="minorHAnsi"/>
          <w:noProof/>
          <w:sz w:val="24"/>
          <w:szCs w:val="24"/>
        </w:rPr>
        <w:t>about</w:t>
      </w:r>
      <w:r w:rsidR="008F70B0" w:rsidRPr="00C64B4C">
        <w:rPr>
          <w:rFonts w:eastAsiaTheme="minorHAnsi"/>
          <w:noProof/>
          <w:sz w:val="24"/>
          <w:szCs w:val="24"/>
        </w:rPr>
        <w:t xml:space="preserve"> </w:t>
      </w:r>
      <w:r w:rsidR="0005460B" w:rsidRPr="00C64B4C">
        <w:rPr>
          <w:rFonts w:eastAsiaTheme="minorHAnsi"/>
          <w:noProof/>
          <w:sz w:val="24"/>
          <w:szCs w:val="24"/>
        </w:rPr>
        <w:t>the publication of stress</w:t>
      </w:r>
      <w:r w:rsidR="00BB5B85" w:rsidRPr="00C64B4C">
        <w:rPr>
          <w:rFonts w:eastAsiaTheme="minorHAnsi"/>
          <w:noProof/>
          <w:sz w:val="24"/>
          <w:szCs w:val="24"/>
        </w:rPr>
        <w:t>-</w:t>
      </w:r>
      <w:r w:rsidR="0005460B" w:rsidRPr="00C64B4C">
        <w:rPr>
          <w:rFonts w:eastAsiaTheme="minorHAnsi"/>
          <w:noProof/>
          <w:sz w:val="24"/>
          <w:szCs w:val="24"/>
        </w:rPr>
        <w:t>test</w:t>
      </w:r>
      <w:r w:rsidR="008F70B0" w:rsidRPr="00C64B4C">
        <w:rPr>
          <w:rFonts w:eastAsiaTheme="minorHAnsi"/>
          <w:noProof/>
          <w:sz w:val="24"/>
          <w:szCs w:val="24"/>
        </w:rPr>
        <w:t xml:space="preserve"> results, which entail some risks of market disruption if the wider public does not fully perceive all the nuances of the outcome of the exercise.</w:t>
      </w:r>
    </w:p>
    <w:p w14:paraId="032FB492" w14:textId="77777777" w:rsidR="00371C32" w:rsidRPr="00C64B4C" w:rsidRDefault="00371C32" w:rsidP="00FD3856">
      <w:pPr>
        <w:jc w:val="both"/>
        <w:rPr>
          <w:rFonts w:eastAsiaTheme="minorHAnsi"/>
          <w:noProof/>
          <w:sz w:val="24"/>
          <w:szCs w:val="24"/>
        </w:rPr>
      </w:pPr>
    </w:p>
    <w:p w14:paraId="582EE495" w14:textId="77777777" w:rsidR="0005460B" w:rsidRPr="00C64B4C" w:rsidRDefault="00F61012" w:rsidP="00FD3856">
      <w:pPr>
        <w:jc w:val="both"/>
        <w:rPr>
          <w:rFonts w:eastAsiaTheme="minorHAnsi"/>
          <w:noProof/>
          <w:sz w:val="24"/>
          <w:szCs w:val="24"/>
          <w:u w:val="single"/>
        </w:rPr>
      </w:pPr>
      <w:r w:rsidRPr="00C64B4C">
        <w:rPr>
          <w:rFonts w:eastAsiaTheme="minorHAnsi"/>
          <w:noProof/>
          <w:sz w:val="24"/>
          <w:szCs w:val="24"/>
          <w:u w:val="single"/>
        </w:rPr>
        <w:t>Assessment of the Commission</w:t>
      </w:r>
    </w:p>
    <w:p w14:paraId="1A041408" w14:textId="77777777" w:rsidR="0089184F" w:rsidRPr="00C64B4C" w:rsidRDefault="0089184F" w:rsidP="00FD3856">
      <w:pPr>
        <w:jc w:val="both"/>
        <w:rPr>
          <w:rFonts w:eastAsiaTheme="minorHAnsi"/>
          <w:noProof/>
          <w:sz w:val="24"/>
          <w:szCs w:val="24"/>
        </w:rPr>
      </w:pPr>
    </w:p>
    <w:p w14:paraId="2981309A" w14:textId="77777777" w:rsidR="00D0359D" w:rsidRPr="00C64B4C" w:rsidRDefault="00CA55D4" w:rsidP="00FD3856">
      <w:pPr>
        <w:jc w:val="both"/>
        <w:rPr>
          <w:rFonts w:eastAsiaTheme="minorHAnsi"/>
          <w:noProof/>
          <w:sz w:val="24"/>
          <w:szCs w:val="24"/>
        </w:rPr>
      </w:pPr>
      <w:r w:rsidRPr="00C64B4C">
        <w:rPr>
          <w:rFonts w:eastAsiaTheme="minorHAnsi"/>
          <w:noProof/>
          <w:sz w:val="24"/>
          <w:szCs w:val="24"/>
        </w:rPr>
        <w:t xml:space="preserve">The Commission sees no </w:t>
      </w:r>
      <w:r w:rsidR="00BB5B85" w:rsidRPr="00C64B4C">
        <w:rPr>
          <w:rFonts w:eastAsiaTheme="minorHAnsi"/>
          <w:noProof/>
          <w:sz w:val="24"/>
          <w:szCs w:val="24"/>
        </w:rPr>
        <w:t xml:space="preserve">current </w:t>
      </w:r>
      <w:r w:rsidRPr="00C64B4C">
        <w:rPr>
          <w:rFonts w:eastAsiaTheme="minorHAnsi"/>
          <w:noProof/>
          <w:sz w:val="24"/>
          <w:szCs w:val="24"/>
        </w:rPr>
        <w:t xml:space="preserve">need for </w:t>
      </w:r>
      <w:r w:rsidR="00B77DE2" w:rsidRPr="00C64B4C">
        <w:rPr>
          <w:rFonts w:eastAsiaTheme="minorHAnsi"/>
          <w:noProof/>
          <w:sz w:val="24"/>
          <w:szCs w:val="24"/>
        </w:rPr>
        <w:t>legislative</w:t>
      </w:r>
      <w:r w:rsidRPr="00C64B4C">
        <w:rPr>
          <w:rFonts w:eastAsiaTheme="minorHAnsi"/>
          <w:noProof/>
          <w:sz w:val="24"/>
          <w:szCs w:val="24"/>
        </w:rPr>
        <w:t xml:space="preserve"> amendments in this area, but invites the ESAs and the ESRB</w:t>
      </w:r>
      <w:r w:rsidR="0005460B" w:rsidRPr="00C64B4C">
        <w:rPr>
          <w:rFonts w:eastAsiaTheme="minorHAnsi"/>
          <w:noProof/>
          <w:sz w:val="24"/>
          <w:szCs w:val="24"/>
        </w:rPr>
        <w:t xml:space="preserve"> to further streamline the stress-testing process. </w:t>
      </w:r>
      <w:r w:rsidR="00D0359D" w:rsidRPr="00C64B4C">
        <w:rPr>
          <w:rFonts w:eastAsiaTheme="minorHAnsi"/>
          <w:noProof/>
          <w:sz w:val="24"/>
          <w:szCs w:val="24"/>
        </w:rPr>
        <w:t>The Commission also notes the added value of ensuring a high degree of transparency on the stress</w:t>
      </w:r>
      <w:r w:rsidR="00BB5B85" w:rsidRPr="00C64B4C">
        <w:rPr>
          <w:rFonts w:eastAsiaTheme="minorHAnsi"/>
          <w:noProof/>
          <w:sz w:val="24"/>
          <w:szCs w:val="24"/>
        </w:rPr>
        <w:t>-</w:t>
      </w:r>
      <w:r w:rsidR="00D0359D" w:rsidRPr="00C64B4C">
        <w:rPr>
          <w:rFonts w:eastAsiaTheme="minorHAnsi"/>
          <w:noProof/>
          <w:sz w:val="24"/>
          <w:szCs w:val="24"/>
        </w:rPr>
        <w:t>test result</w:t>
      </w:r>
      <w:r w:rsidR="00543B4F" w:rsidRPr="00C64B4C">
        <w:rPr>
          <w:rFonts w:eastAsiaTheme="minorHAnsi"/>
          <w:noProof/>
          <w:sz w:val="24"/>
          <w:szCs w:val="24"/>
        </w:rPr>
        <w:t>s</w:t>
      </w:r>
      <w:r w:rsidR="00366540" w:rsidRPr="00C64B4C">
        <w:rPr>
          <w:rFonts w:eastAsiaTheme="minorHAnsi"/>
          <w:noProof/>
          <w:sz w:val="24"/>
          <w:szCs w:val="24"/>
        </w:rPr>
        <w:t>,</w:t>
      </w:r>
      <w:r w:rsidR="008F70B0" w:rsidRPr="00C64B4C">
        <w:rPr>
          <w:rFonts w:eastAsiaTheme="minorHAnsi"/>
          <w:noProof/>
          <w:sz w:val="24"/>
          <w:szCs w:val="24"/>
        </w:rPr>
        <w:t xml:space="preserve"> </w:t>
      </w:r>
      <w:r w:rsidR="00D0359D" w:rsidRPr="00C64B4C">
        <w:rPr>
          <w:rFonts w:eastAsiaTheme="minorHAnsi"/>
          <w:noProof/>
          <w:sz w:val="24"/>
          <w:szCs w:val="24"/>
        </w:rPr>
        <w:t>including</w:t>
      </w:r>
      <w:r w:rsidR="00C61301" w:rsidRPr="00C64B4C">
        <w:rPr>
          <w:rFonts w:eastAsiaTheme="minorHAnsi"/>
          <w:noProof/>
          <w:sz w:val="24"/>
          <w:szCs w:val="24"/>
        </w:rPr>
        <w:t xml:space="preserve"> the publication of</w:t>
      </w:r>
      <w:r w:rsidR="00E040DE" w:rsidRPr="00C64B4C">
        <w:rPr>
          <w:rFonts w:eastAsiaTheme="minorHAnsi"/>
          <w:noProof/>
          <w:sz w:val="24"/>
          <w:szCs w:val="24"/>
        </w:rPr>
        <w:t xml:space="preserve"> individual results in </w:t>
      </w:r>
      <w:r w:rsidR="00D0359D" w:rsidRPr="00C64B4C">
        <w:rPr>
          <w:rFonts w:eastAsiaTheme="minorHAnsi"/>
          <w:noProof/>
          <w:sz w:val="24"/>
          <w:szCs w:val="24"/>
        </w:rPr>
        <w:t xml:space="preserve">the insurance sector. </w:t>
      </w:r>
    </w:p>
    <w:p w14:paraId="5C32588A" w14:textId="77777777" w:rsidR="00371C32" w:rsidRPr="00C64B4C" w:rsidRDefault="00371C32" w:rsidP="00FD3856">
      <w:pPr>
        <w:jc w:val="both"/>
        <w:rPr>
          <w:rFonts w:eastAsiaTheme="minorHAnsi"/>
          <w:noProof/>
          <w:sz w:val="24"/>
          <w:szCs w:val="24"/>
        </w:rPr>
      </w:pPr>
    </w:p>
    <w:p w14:paraId="127B82BF" w14:textId="77777777" w:rsidR="00371C32" w:rsidRPr="00C64B4C" w:rsidRDefault="00CA55D4" w:rsidP="00FD3856">
      <w:pPr>
        <w:jc w:val="both"/>
        <w:rPr>
          <w:rFonts w:eastAsiaTheme="minorHAnsi"/>
          <w:noProof/>
          <w:sz w:val="24"/>
          <w:szCs w:val="24"/>
        </w:rPr>
      </w:pPr>
      <w:r w:rsidRPr="00C64B4C">
        <w:rPr>
          <w:rFonts w:eastAsiaTheme="minorHAnsi"/>
          <w:noProof/>
          <w:sz w:val="24"/>
          <w:szCs w:val="24"/>
        </w:rPr>
        <w:t>Furthermore, t</w:t>
      </w:r>
      <w:r w:rsidR="0005460B" w:rsidRPr="00C64B4C">
        <w:rPr>
          <w:rFonts w:eastAsiaTheme="minorHAnsi"/>
          <w:noProof/>
          <w:sz w:val="24"/>
          <w:szCs w:val="24"/>
        </w:rPr>
        <w:t xml:space="preserve">he ESAs, </w:t>
      </w:r>
      <w:r w:rsidR="002115B5" w:rsidRPr="00C64B4C">
        <w:rPr>
          <w:rFonts w:eastAsiaTheme="minorHAnsi"/>
          <w:noProof/>
          <w:sz w:val="24"/>
          <w:szCs w:val="24"/>
        </w:rPr>
        <w:t xml:space="preserve">the </w:t>
      </w:r>
      <w:r w:rsidR="0005460B" w:rsidRPr="00C64B4C">
        <w:rPr>
          <w:rFonts w:eastAsiaTheme="minorHAnsi"/>
          <w:noProof/>
          <w:sz w:val="24"/>
          <w:szCs w:val="24"/>
        </w:rPr>
        <w:t>ESRB</w:t>
      </w:r>
      <w:r w:rsidR="00366540" w:rsidRPr="00C64B4C">
        <w:rPr>
          <w:rFonts w:eastAsiaTheme="minorHAnsi"/>
          <w:noProof/>
          <w:sz w:val="24"/>
          <w:szCs w:val="24"/>
        </w:rPr>
        <w:t>,</w:t>
      </w:r>
      <w:r w:rsidR="0005460B" w:rsidRPr="00C64B4C">
        <w:rPr>
          <w:rFonts w:eastAsiaTheme="minorHAnsi"/>
          <w:noProof/>
          <w:sz w:val="24"/>
          <w:szCs w:val="24"/>
        </w:rPr>
        <w:t xml:space="preserve"> and competent authorities are </w:t>
      </w:r>
      <w:r w:rsidR="00366540" w:rsidRPr="00C64B4C">
        <w:rPr>
          <w:rFonts w:eastAsiaTheme="minorHAnsi"/>
          <w:noProof/>
          <w:sz w:val="24"/>
          <w:szCs w:val="24"/>
        </w:rPr>
        <w:t xml:space="preserve">all </w:t>
      </w:r>
      <w:r w:rsidR="0005460B" w:rsidRPr="00C64B4C">
        <w:rPr>
          <w:rFonts w:eastAsiaTheme="minorHAnsi"/>
          <w:noProof/>
          <w:sz w:val="24"/>
          <w:szCs w:val="24"/>
        </w:rPr>
        <w:t>encouraged to</w:t>
      </w:r>
      <w:r w:rsidR="00BB5B85" w:rsidRPr="00C64B4C">
        <w:rPr>
          <w:rFonts w:eastAsiaTheme="minorHAnsi"/>
          <w:noProof/>
          <w:sz w:val="24"/>
          <w:szCs w:val="24"/>
        </w:rPr>
        <w:t>: (i)</w:t>
      </w:r>
      <w:r w:rsidR="0005460B" w:rsidRPr="00C64B4C">
        <w:rPr>
          <w:rFonts w:eastAsiaTheme="minorHAnsi"/>
          <w:noProof/>
          <w:sz w:val="24"/>
          <w:szCs w:val="24"/>
        </w:rPr>
        <w:t xml:space="preserve"> continue to </w:t>
      </w:r>
      <w:r w:rsidR="00BB5B85" w:rsidRPr="00C64B4C">
        <w:rPr>
          <w:rFonts w:eastAsiaTheme="minorHAnsi"/>
          <w:noProof/>
          <w:sz w:val="24"/>
          <w:szCs w:val="24"/>
        </w:rPr>
        <w:t xml:space="preserve">strengthen </w:t>
      </w:r>
      <w:r w:rsidR="002115B5" w:rsidRPr="00C64B4C">
        <w:rPr>
          <w:rFonts w:eastAsiaTheme="minorHAnsi"/>
          <w:noProof/>
          <w:sz w:val="24"/>
          <w:szCs w:val="24"/>
        </w:rPr>
        <w:t xml:space="preserve">their cooperation on issues relating to </w:t>
      </w:r>
      <w:r w:rsidR="00CF18B9" w:rsidRPr="00C64B4C">
        <w:rPr>
          <w:rFonts w:eastAsiaTheme="minorHAnsi"/>
          <w:noProof/>
          <w:sz w:val="24"/>
          <w:szCs w:val="24"/>
        </w:rPr>
        <w:t xml:space="preserve">systemic risk across </w:t>
      </w:r>
      <w:r w:rsidR="002115B5" w:rsidRPr="00C64B4C">
        <w:rPr>
          <w:rFonts w:eastAsiaTheme="minorHAnsi"/>
          <w:noProof/>
          <w:sz w:val="24"/>
          <w:szCs w:val="24"/>
        </w:rPr>
        <w:t>all parts of the financial sector</w:t>
      </w:r>
      <w:r w:rsidR="00BB5B85" w:rsidRPr="00C64B4C">
        <w:rPr>
          <w:rFonts w:eastAsiaTheme="minorHAnsi"/>
          <w:noProof/>
          <w:sz w:val="24"/>
          <w:szCs w:val="24"/>
        </w:rPr>
        <w:t>;</w:t>
      </w:r>
      <w:r w:rsidR="002115B5" w:rsidRPr="00C64B4C">
        <w:rPr>
          <w:rFonts w:eastAsiaTheme="minorHAnsi"/>
          <w:noProof/>
          <w:sz w:val="24"/>
          <w:szCs w:val="24"/>
        </w:rPr>
        <w:t xml:space="preserve"> </w:t>
      </w:r>
      <w:r w:rsidR="0005460B" w:rsidRPr="00C64B4C">
        <w:rPr>
          <w:rFonts w:eastAsiaTheme="minorHAnsi"/>
          <w:noProof/>
          <w:sz w:val="24"/>
          <w:szCs w:val="24"/>
        </w:rPr>
        <w:t xml:space="preserve">and </w:t>
      </w:r>
      <w:r w:rsidR="00BB5B85" w:rsidRPr="00C64B4C">
        <w:rPr>
          <w:rFonts w:eastAsiaTheme="minorHAnsi"/>
          <w:noProof/>
          <w:sz w:val="24"/>
          <w:szCs w:val="24"/>
        </w:rPr>
        <w:t xml:space="preserve">(ii) </w:t>
      </w:r>
      <w:r w:rsidR="00812A0B" w:rsidRPr="00C64B4C">
        <w:rPr>
          <w:rFonts w:eastAsiaTheme="minorHAnsi"/>
          <w:noProof/>
          <w:sz w:val="24"/>
          <w:szCs w:val="24"/>
        </w:rPr>
        <w:t xml:space="preserve">strengthen their efforts to </w:t>
      </w:r>
      <w:r w:rsidR="00CF18B9" w:rsidRPr="00C64B4C">
        <w:rPr>
          <w:rFonts w:eastAsiaTheme="minorHAnsi"/>
          <w:noProof/>
          <w:sz w:val="24"/>
          <w:szCs w:val="24"/>
        </w:rPr>
        <w:t xml:space="preserve">develop common </w:t>
      </w:r>
      <w:r w:rsidR="0005460B" w:rsidRPr="00C64B4C">
        <w:rPr>
          <w:rFonts w:eastAsiaTheme="minorHAnsi"/>
          <w:noProof/>
          <w:sz w:val="24"/>
          <w:szCs w:val="24"/>
        </w:rPr>
        <w:t>systemic</w:t>
      </w:r>
      <w:r w:rsidR="00DE4345" w:rsidRPr="00C64B4C">
        <w:rPr>
          <w:rFonts w:eastAsiaTheme="minorHAnsi"/>
          <w:noProof/>
          <w:sz w:val="24"/>
          <w:szCs w:val="24"/>
        </w:rPr>
        <w:t>-</w:t>
      </w:r>
      <w:r w:rsidR="0005460B" w:rsidRPr="00C64B4C">
        <w:rPr>
          <w:rFonts w:eastAsiaTheme="minorHAnsi"/>
          <w:noProof/>
          <w:sz w:val="24"/>
          <w:szCs w:val="24"/>
        </w:rPr>
        <w:t>risk</w:t>
      </w:r>
      <w:r w:rsidR="00CF18B9" w:rsidRPr="00C64B4C">
        <w:rPr>
          <w:rFonts w:eastAsiaTheme="minorHAnsi"/>
          <w:noProof/>
          <w:sz w:val="24"/>
          <w:szCs w:val="24"/>
        </w:rPr>
        <w:t xml:space="preserve"> indicators</w:t>
      </w:r>
      <w:r w:rsidR="005E7D11" w:rsidRPr="00C64B4C">
        <w:rPr>
          <w:rFonts w:eastAsiaTheme="minorHAnsi"/>
          <w:noProof/>
          <w:sz w:val="24"/>
          <w:szCs w:val="24"/>
        </w:rPr>
        <w:t>, taking into account the interactions between the sectors they supervise.</w:t>
      </w:r>
    </w:p>
    <w:p w14:paraId="2753A058" w14:textId="77777777" w:rsidR="0096318E" w:rsidRPr="00C64B4C" w:rsidRDefault="0096318E" w:rsidP="00FD3856">
      <w:pPr>
        <w:jc w:val="both"/>
        <w:rPr>
          <w:rFonts w:eastAsiaTheme="minorHAnsi"/>
          <w:noProof/>
          <w:sz w:val="24"/>
          <w:szCs w:val="24"/>
        </w:rPr>
      </w:pPr>
    </w:p>
    <w:p w14:paraId="4E3B2A55" w14:textId="77777777" w:rsidR="002019FC" w:rsidRPr="00C64B4C" w:rsidRDefault="002019FC" w:rsidP="00901A5C">
      <w:pPr>
        <w:pStyle w:val="Heading1"/>
        <w:numPr>
          <w:ilvl w:val="0"/>
          <w:numId w:val="1"/>
        </w:numPr>
        <w:jc w:val="left"/>
        <w:rPr>
          <w:rFonts w:eastAsiaTheme="minorHAnsi"/>
          <w:noProof/>
          <w:sz w:val="24"/>
          <w:szCs w:val="24"/>
          <w:lang w:eastAsia="en-US" w:bidi="ar-SA"/>
        </w:rPr>
      </w:pPr>
      <w:r w:rsidRPr="00C64B4C">
        <w:rPr>
          <w:rFonts w:eastAsiaTheme="minorHAnsi"/>
          <w:noProof/>
          <w:sz w:val="24"/>
          <w:szCs w:val="24"/>
          <w:lang w:eastAsia="en-US" w:bidi="ar-SA"/>
        </w:rPr>
        <w:t>CONCLUSION</w:t>
      </w:r>
    </w:p>
    <w:p w14:paraId="4ED3DAF7" w14:textId="77777777" w:rsidR="002019FC" w:rsidRPr="00C64B4C" w:rsidRDefault="002019FC" w:rsidP="00FD3856">
      <w:pPr>
        <w:jc w:val="both"/>
        <w:rPr>
          <w:rFonts w:eastAsiaTheme="minorHAnsi"/>
          <w:noProof/>
          <w:sz w:val="24"/>
          <w:szCs w:val="24"/>
        </w:rPr>
      </w:pPr>
    </w:p>
    <w:p w14:paraId="308418A3" w14:textId="602FFAED" w:rsidR="00046B24" w:rsidRPr="00C64B4C" w:rsidRDefault="002115B5" w:rsidP="00FD3856">
      <w:pPr>
        <w:jc w:val="both"/>
        <w:rPr>
          <w:rFonts w:eastAsiaTheme="minorHAnsi"/>
          <w:noProof/>
          <w:sz w:val="24"/>
          <w:szCs w:val="24"/>
        </w:rPr>
      </w:pPr>
      <w:r w:rsidRPr="00C64B4C">
        <w:rPr>
          <w:rFonts w:eastAsiaTheme="minorHAnsi"/>
          <w:noProof/>
          <w:sz w:val="24"/>
          <w:szCs w:val="24"/>
        </w:rPr>
        <w:t>Since the last ESA review</w:t>
      </w:r>
      <w:r w:rsidR="00366540" w:rsidRPr="00C64B4C">
        <w:rPr>
          <w:rFonts w:eastAsiaTheme="minorHAnsi"/>
          <w:noProof/>
          <w:sz w:val="24"/>
          <w:szCs w:val="24"/>
        </w:rPr>
        <w:t xml:space="preserve"> in 2019</w:t>
      </w:r>
      <w:r w:rsidRPr="00C64B4C">
        <w:rPr>
          <w:rFonts w:eastAsiaTheme="minorHAnsi"/>
          <w:noProof/>
          <w:sz w:val="24"/>
          <w:szCs w:val="24"/>
        </w:rPr>
        <w:t>, t</w:t>
      </w:r>
      <w:r w:rsidR="001D0CA8" w:rsidRPr="00C64B4C">
        <w:rPr>
          <w:rFonts w:eastAsiaTheme="minorHAnsi"/>
          <w:noProof/>
          <w:sz w:val="24"/>
          <w:szCs w:val="24"/>
        </w:rPr>
        <w:t xml:space="preserve">he ESAs have </w:t>
      </w:r>
      <w:r w:rsidRPr="00C64B4C">
        <w:rPr>
          <w:rFonts w:eastAsiaTheme="minorHAnsi"/>
          <w:noProof/>
          <w:sz w:val="24"/>
          <w:szCs w:val="24"/>
        </w:rPr>
        <w:t xml:space="preserve">continued to </w:t>
      </w:r>
      <w:r w:rsidR="001D0CA8" w:rsidRPr="00C64B4C">
        <w:rPr>
          <w:rFonts w:eastAsiaTheme="minorHAnsi"/>
          <w:noProof/>
          <w:sz w:val="24"/>
          <w:szCs w:val="24"/>
        </w:rPr>
        <w:t xml:space="preserve">perform </w:t>
      </w:r>
      <w:r w:rsidR="00460B6A" w:rsidRPr="00C64B4C">
        <w:rPr>
          <w:rFonts w:eastAsiaTheme="minorHAnsi"/>
          <w:noProof/>
          <w:sz w:val="24"/>
          <w:szCs w:val="24"/>
        </w:rPr>
        <w:t>their tasks efficiently and effectively</w:t>
      </w:r>
      <w:r w:rsidRPr="00C64B4C">
        <w:rPr>
          <w:rFonts w:eastAsiaTheme="minorHAnsi"/>
          <w:noProof/>
          <w:sz w:val="24"/>
          <w:szCs w:val="24"/>
        </w:rPr>
        <w:t>, including during t</w:t>
      </w:r>
      <w:r w:rsidR="00046B24" w:rsidRPr="00C64B4C">
        <w:rPr>
          <w:rFonts w:eastAsiaTheme="minorHAnsi"/>
          <w:noProof/>
          <w:sz w:val="24"/>
          <w:szCs w:val="24"/>
        </w:rPr>
        <w:t>he</w:t>
      </w:r>
      <w:r w:rsidR="00207A4C" w:rsidRPr="00C64B4C">
        <w:rPr>
          <w:rFonts w:eastAsiaTheme="minorHAnsi"/>
          <w:noProof/>
          <w:sz w:val="24"/>
          <w:szCs w:val="24"/>
        </w:rPr>
        <w:t xml:space="preserve"> </w:t>
      </w:r>
      <w:r w:rsidR="00E00619" w:rsidRPr="00C64B4C">
        <w:rPr>
          <w:rFonts w:eastAsiaTheme="minorHAnsi"/>
          <w:noProof/>
          <w:sz w:val="24"/>
          <w:szCs w:val="24"/>
        </w:rPr>
        <w:t xml:space="preserve">recent </w:t>
      </w:r>
      <w:r w:rsidR="00207A4C" w:rsidRPr="00C64B4C">
        <w:rPr>
          <w:rFonts w:eastAsiaTheme="minorHAnsi"/>
          <w:noProof/>
          <w:sz w:val="24"/>
          <w:szCs w:val="24"/>
        </w:rPr>
        <w:t>challenging</w:t>
      </w:r>
      <w:r w:rsidR="009756AC" w:rsidRPr="00C64B4C">
        <w:rPr>
          <w:rFonts w:eastAsiaTheme="minorHAnsi"/>
          <w:noProof/>
          <w:sz w:val="24"/>
          <w:szCs w:val="24"/>
        </w:rPr>
        <w:t xml:space="preserve"> circumstances</w:t>
      </w:r>
      <w:r w:rsidRPr="00C64B4C">
        <w:rPr>
          <w:rFonts w:eastAsiaTheme="minorHAnsi"/>
          <w:noProof/>
          <w:sz w:val="24"/>
          <w:szCs w:val="24"/>
        </w:rPr>
        <w:t xml:space="preserve"> </w:t>
      </w:r>
      <w:r w:rsidR="00BB5B85" w:rsidRPr="00C64B4C">
        <w:rPr>
          <w:rFonts w:eastAsiaTheme="minorHAnsi"/>
          <w:noProof/>
          <w:sz w:val="24"/>
          <w:szCs w:val="24"/>
        </w:rPr>
        <w:t>caused by</w:t>
      </w:r>
      <w:r w:rsidRPr="00C64B4C">
        <w:rPr>
          <w:rFonts w:eastAsiaTheme="minorHAnsi"/>
          <w:noProof/>
          <w:sz w:val="24"/>
          <w:szCs w:val="24"/>
        </w:rPr>
        <w:t xml:space="preserve"> the </w:t>
      </w:r>
      <w:r w:rsidR="00BB5B85" w:rsidRPr="00C64B4C">
        <w:rPr>
          <w:rFonts w:eastAsiaTheme="minorHAnsi"/>
          <w:noProof/>
          <w:sz w:val="24"/>
          <w:szCs w:val="24"/>
        </w:rPr>
        <w:t xml:space="preserve">COVID-19 </w:t>
      </w:r>
      <w:r w:rsidRPr="00C64B4C">
        <w:rPr>
          <w:rFonts w:eastAsiaTheme="minorHAnsi"/>
          <w:noProof/>
          <w:sz w:val="24"/>
          <w:szCs w:val="24"/>
        </w:rPr>
        <w:t>pandemic.</w:t>
      </w:r>
      <w:r w:rsidR="001D0CA8" w:rsidRPr="00C64B4C">
        <w:rPr>
          <w:rFonts w:eastAsiaTheme="minorHAnsi"/>
          <w:noProof/>
          <w:sz w:val="24"/>
          <w:szCs w:val="24"/>
        </w:rPr>
        <w:t xml:space="preserve"> The </w:t>
      </w:r>
      <w:r w:rsidR="00E06FF6" w:rsidRPr="00C64B4C">
        <w:rPr>
          <w:rFonts w:eastAsiaTheme="minorHAnsi"/>
          <w:noProof/>
          <w:sz w:val="24"/>
          <w:szCs w:val="24"/>
        </w:rPr>
        <w:t>ESAs</w:t>
      </w:r>
      <w:r w:rsidR="009F3495" w:rsidRPr="00C64B4C">
        <w:rPr>
          <w:rFonts w:eastAsiaTheme="minorHAnsi"/>
          <w:noProof/>
          <w:sz w:val="24"/>
          <w:szCs w:val="24"/>
        </w:rPr>
        <w:t>’</w:t>
      </w:r>
      <w:r w:rsidR="00E06FF6" w:rsidRPr="00C64B4C">
        <w:rPr>
          <w:rFonts w:eastAsiaTheme="minorHAnsi"/>
          <w:noProof/>
          <w:sz w:val="24"/>
          <w:szCs w:val="24"/>
        </w:rPr>
        <w:t xml:space="preserve"> actions during the COVID-19 </w:t>
      </w:r>
      <w:r w:rsidR="00366540" w:rsidRPr="00C64B4C">
        <w:rPr>
          <w:rFonts w:eastAsiaTheme="minorHAnsi"/>
          <w:noProof/>
          <w:sz w:val="24"/>
          <w:szCs w:val="24"/>
        </w:rPr>
        <w:t xml:space="preserve">pandemic </w:t>
      </w:r>
      <w:r w:rsidR="00E06FF6" w:rsidRPr="00C64B4C">
        <w:rPr>
          <w:rFonts w:eastAsiaTheme="minorHAnsi"/>
          <w:noProof/>
          <w:sz w:val="24"/>
          <w:szCs w:val="24"/>
        </w:rPr>
        <w:t xml:space="preserve">showed their ability to coordinate the action of </w:t>
      </w:r>
      <w:r w:rsidRPr="00C64B4C">
        <w:rPr>
          <w:rFonts w:eastAsiaTheme="minorHAnsi"/>
          <w:noProof/>
          <w:sz w:val="24"/>
          <w:szCs w:val="24"/>
        </w:rPr>
        <w:t xml:space="preserve">national </w:t>
      </w:r>
      <w:r w:rsidR="00E06FF6" w:rsidRPr="00C64B4C">
        <w:rPr>
          <w:rFonts w:eastAsiaTheme="minorHAnsi"/>
          <w:noProof/>
          <w:sz w:val="24"/>
          <w:szCs w:val="24"/>
        </w:rPr>
        <w:t>authorities</w:t>
      </w:r>
      <w:r w:rsidRPr="00C64B4C">
        <w:rPr>
          <w:rFonts w:eastAsiaTheme="minorHAnsi"/>
          <w:noProof/>
          <w:sz w:val="24"/>
          <w:szCs w:val="24"/>
        </w:rPr>
        <w:t xml:space="preserve"> in an efficient way</w:t>
      </w:r>
      <w:r w:rsidR="00E06FF6" w:rsidRPr="00C64B4C">
        <w:rPr>
          <w:rFonts w:eastAsiaTheme="minorHAnsi"/>
          <w:noProof/>
          <w:sz w:val="24"/>
          <w:szCs w:val="24"/>
        </w:rPr>
        <w:t>.</w:t>
      </w:r>
      <w:r w:rsidR="00DB508C" w:rsidRPr="00C64B4C">
        <w:rPr>
          <w:rFonts w:eastAsiaTheme="minorHAnsi"/>
          <w:noProof/>
          <w:sz w:val="24"/>
          <w:szCs w:val="24"/>
        </w:rPr>
        <w:t xml:space="preserve"> </w:t>
      </w:r>
      <w:r w:rsidR="00046B24" w:rsidRPr="00C64B4C">
        <w:rPr>
          <w:rFonts w:eastAsiaTheme="minorHAnsi"/>
          <w:noProof/>
          <w:sz w:val="24"/>
          <w:szCs w:val="24"/>
        </w:rPr>
        <w:t>The Commission takes this as a clear indication that t</w:t>
      </w:r>
      <w:r w:rsidR="00460B6A" w:rsidRPr="00C64B4C">
        <w:rPr>
          <w:rFonts w:eastAsiaTheme="minorHAnsi"/>
          <w:noProof/>
          <w:sz w:val="24"/>
          <w:szCs w:val="24"/>
        </w:rPr>
        <w:t xml:space="preserve">he overall architecture of </w:t>
      </w:r>
      <w:r w:rsidRPr="00C64B4C">
        <w:rPr>
          <w:rFonts w:eastAsiaTheme="minorHAnsi"/>
          <w:noProof/>
          <w:sz w:val="24"/>
          <w:szCs w:val="24"/>
        </w:rPr>
        <w:t xml:space="preserve">the </w:t>
      </w:r>
      <w:r w:rsidR="00460B6A" w:rsidRPr="00C64B4C">
        <w:rPr>
          <w:rFonts w:eastAsiaTheme="minorHAnsi"/>
          <w:noProof/>
          <w:sz w:val="24"/>
          <w:szCs w:val="24"/>
        </w:rPr>
        <w:t xml:space="preserve">European </w:t>
      </w:r>
      <w:r w:rsidR="000144CE">
        <w:rPr>
          <w:rFonts w:eastAsiaTheme="minorHAnsi"/>
          <w:noProof/>
          <w:sz w:val="24"/>
          <w:szCs w:val="24"/>
        </w:rPr>
        <w:t>S</w:t>
      </w:r>
      <w:r w:rsidR="00460B6A" w:rsidRPr="00C64B4C">
        <w:rPr>
          <w:rFonts w:eastAsiaTheme="minorHAnsi"/>
          <w:noProof/>
          <w:sz w:val="24"/>
          <w:szCs w:val="24"/>
        </w:rPr>
        <w:t xml:space="preserve">ystem of </w:t>
      </w:r>
      <w:r w:rsidR="000144CE">
        <w:rPr>
          <w:rFonts w:eastAsiaTheme="minorHAnsi"/>
          <w:noProof/>
          <w:sz w:val="24"/>
          <w:szCs w:val="24"/>
        </w:rPr>
        <w:t>F</w:t>
      </w:r>
      <w:r w:rsidR="00460B6A" w:rsidRPr="00C64B4C">
        <w:rPr>
          <w:rFonts w:eastAsiaTheme="minorHAnsi"/>
          <w:noProof/>
          <w:sz w:val="24"/>
          <w:szCs w:val="24"/>
        </w:rPr>
        <w:t xml:space="preserve">inancial </w:t>
      </w:r>
      <w:r w:rsidR="000144CE">
        <w:rPr>
          <w:rFonts w:eastAsiaTheme="minorHAnsi"/>
          <w:noProof/>
          <w:sz w:val="24"/>
          <w:szCs w:val="24"/>
        </w:rPr>
        <w:t>S</w:t>
      </w:r>
      <w:r w:rsidR="00460B6A" w:rsidRPr="00C64B4C">
        <w:rPr>
          <w:rFonts w:eastAsiaTheme="minorHAnsi"/>
          <w:noProof/>
          <w:sz w:val="24"/>
          <w:szCs w:val="24"/>
        </w:rPr>
        <w:t xml:space="preserve">upervision </w:t>
      </w:r>
      <w:r w:rsidR="00366540" w:rsidRPr="00C64B4C">
        <w:rPr>
          <w:rFonts w:eastAsiaTheme="minorHAnsi"/>
          <w:noProof/>
          <w:sz w:val="24"/>
          <w:szCs w:val="24"/>
        </w:rPr>
        <w:t xml:space="preserve">– </w:t>
      </w:r>
      <w:r w:rsidR="00460B6A" w:rsidRPr="00C64B4C">
        <w:rPr>
          <w:rFonts w:eastAsiaTheme="minorHAnsi"/>
          <w:noProof/>
          <w:sz w:val="24"/>
          <w:szCs w:val="24"/>
        </w:rPr>
        <w:t xml:space="preserve">with </w:t>
      </w:r>
      <w:r w:rsidR="00366540" w:rsidRPr="00C64B4C">
        <w:rPr>
          <w:rFonts w:eastAsiaTheme="minorHAnsi"/>
          <w:noProof/>
          <w:sz w:val="24"/>
          <w:szCs w:val="24"/>
        </w:rPr>
        <w:t>its</w:t>
      </w:r>
      <w:r w:rsidR="00BB5B85" w:rsidRPr="00C64B4C">
        <w:rPr>
          <w:rFonts w:eastAsiaTheme="minorHAnsi"/>
          <w:noProof/>
          <w:sz w:val="24"/>
          <w:szCs w:val="24"/>
        </w:rPr>
        <w:t xml:space="preserve"> </w:t>
      </w:r>
      <w:r w:rsidRPr="00C64B4C">
        <w:rPr>
          <w:rFonts w:eastAsiaTheme="minorHAnsi"/>
          <w:noProof/>
          <w:sz w:val="24"/>
          <w:szCs w:val="24"/>
        </w:rPr>
        <w:t xml:space="preserve">key role for the </w:t>
      </w:r>
      <w:r w:rsidR="00460B6A" w:rsidRPr="00C64B4C">
        <w:rPr>
          <w:rFonts w:eastAsiaTheme="minorHAnsi"/>
          <w:noProof/>
          <w:sz w:val="24"/>
          <w:szCs w:val="24"/>
        </w:rPr>
        <w:t>three ESAs</w:t>
      </w:r>
      <w:r w:rsidR="00366540" w:rsidRPr="00C64B4C">
        <w:rPr>
          <w:rFonts w:eastAsiaTheme="minorHAnsi"/>
          <w:noProof/>
          <w:sz w:val="24"/>
          <w:szCs w:val="24"/>
        </w:rPr>
        <w:t xml:space="preserve"> –</w:t>
      </w:r>
      <w:r w:rsidRPr="00C64B4C">
        <w:rPr>
          <w:rFonts w:eastAsiaTheme="minorHAnsi"/>
          <w:noProof/>
          <w:sz w:val="24"/>
          <w:szCs w:val="24"/>
        </w:rPr>
        <w:t xml:space="preserve"> is </w:t>
      </w:r>
      <w:r w:rsidR="00253FD6" w:rsidRPr="00C64B4C">
        <w:rPr>
          <w:rFonts w:eastAsiaTheme="minorHAnsi"/>
          <w:noProof/>
          <w:sz w:val="24"/>
          <w:szCs w:val="24"/>
        </w:rPr>
        <w:t xml:space="preserve">largely </w:t>
      </w:r>
      <w:r w:rsidRPr="00C64B4C">
        <w:rPr>
          <w:rFonts w:eastAsiaTheme="minorHAnsi"/>
          <w:noProof/>
          <w:sz w:val="24"/>
          <w:szCs w:val="24"/>
        </w:rPr>
        <w:t>adequate and works well.</w:t>
      </w:r>
    </w:p>
    <w:p w14:paraId="56B1F610" w14:textId="77777777" w:rsidR="00046B24" w:rsidRPr="00C64B4C" w:rsidRDefault="00046B24" w:rsidP="00FD3856">
      <w:pPr>
        <w:jc w:val="both"/>
        <w:rPr>
          <w:rFonts w:eastAsiaTheme="minorHAnsi"/>
          <w:noProof/>
          <w:sz w:val="24"/>
          <w:szCs w:val="24"/>
        </w:rPr>
      </w:pPr>
    </w:p>
    <w:p w14:paraId="04399D48" w14:textId="77777777" w:rsidR="002115B5" w:rsidRPr="00C64B4C" w:rsidRDefault="002115B5" w:rsidP="00FD3856">
      <w:pPr>
        <w:jc w:val="both"/>
        <w:rPr>
          <w:rFonts w:eastAsiaTheme="minorHAnsi"/>
          <w:noProof/>
          <w:sz w:val="24"/>
          <w:szCs w:val="24"/>
        </w:rPr>
      </w:pPr>
      <w:r w:rsidRPr="00C64B4C">
        <w:rPr>
          <w:rFonts w:eastAsiaTheme="minorHAnsi"/>
          <w:noProof/>
          <w:sz w:val="24"/>
          <w:szCs w:val="24"/>
        </w:rPr>
        <w:t>The</w:t>
      </w:r>
      <w:r w:rsidR="004F1695" w:rsidRPr="00C64B4C">
        <w:rPr>
          <w:rFonts w:eastAsiaTheme="minorHAnsi"/>
          <w:noProof/>
          <w:sz w:val="24"/>
          <w:szCs w:val="24"/>
        </w:rPr>
        <w:t xml:space="preserve"> </w:t>
      </w:r>
      <w:r w:rsidRPr="00C64B4C">
        <w:rPr>
          <w:rFonts w:eastAsiaTheme="minorHAnsi"/>
          <w:noProof/>
          <w:sz w:val="24"/>
          <w:szCs w:val="24"/>
        </w:rPr>
        <w:t>a</w:t>
      </w:r>
      <w:r w:rsidR="00046B24" w:rsidRPr="00C64B4C">
        <w:rPr>
          <w:rFonts w:eastAsiaTheme="minorHAnsi"/>
          <w:noProof/>
          <w:sz w:val="24"/>
          <w:szCs w:val="24"/>
        </w:rPr>
        <w:t xml:space="preserve">mendments </w:t>
      </w:r>
      <w:r w:rsidR="00DB508C" w:rsidRPr="00C64B4C">
        <w:rPr>
          <w:rFonts w:eastAsiaTheme="minorHAnsi"/>
          <w:noProof/>
          <w:sz w:val="24"/>
          <w:szCs w:val="24"/>
        </w:rPr>
        <w:t xml:space="preserve">introduced in the 2019 ESA review have started to </w:t>
      </w:r>
      <w:r w:rsidRPr="00C64B4C">
        <w:rPr>
          <w:rFonts w:eastAsiaTheme="minorHAnsi"/>
          <w:noProof/>
          <w:sz w:val="24"/>
          <w:szCs w:val="24"/>
        </w:rPr>
        <w:t>produce some noticeable effects</w:t>
      </w:r>
      <w:r w:rsidR="00DB508C" w:rsidRPr="00C64B4C">
        <w:rPr>
          <w:rFonts w:eastAsiaTheme="minorHAnsi"/>
          <w:noProof/>
          <w:sz w:val="24"/>
          <w:szCs w:val="24"/>
        </w:rPr>
        <w:t>. For example, the new peer</w:t>
      </w:r>
      <w:r w:rsidR="00BB5B85" w:rsidRPr="00C64B4C">
        <w:rPr>
          <w:rFonts w:eastAsiaTheme="minorHAnsi"/>
          <w:noProof/>
          <w:sz w:val="24"/>
          <w:szCs w:val="24"/>
        </w:rPr>
        <w:t>-</w:t>
      </w:r>
      <w:r w:rsidR="00DB508C" w:rsidRPr="00C64B4C">
        <w:rPr>
          <w:rFonts w:eastAsiaTheme="minorHAnsi"/>
          <w:noProof/>
          <w:sz w:val="24"/>
          <w:szCs w:val="24"/>
        </w:rPr>
        <w:t xml:space="preserve">review process </w:t>
      </w:r>
      <w:r w:rsidRPr="00C64B4C">
        <w:rPr>
          <w:rFonts w:eastAsiaTheme="minorHAnsi"/>
          <w:noProof/>
          <w:sz w:val="24"/>
          <w:szCs w:val="24"/>
        </w:rPr>
        <w:t xml:space="preserve">has </w:t>
      </w:r>
      <w:r w:rsidR="001D0CA8" w:rsidRPr="00C64B4C">
        <w:rPr>
          <w:rFonts w:eastAsiaTheme="minorHAnsi"/>
          <w:noProof/>
          <w:sz w:val="24"/>
          <w:szCs w:val="24"/>
        </w:rPr>
        <w:t>prove</w:t>
      </w:r>
      <w:r w:rsidRPr="00C64B4C">
        <w:rPr>
          <w:rFonts w:eastAsiaTheme="minorHAnsi"/>
          <w:noProof/>
          <w:sz w:val="24"/>
          <w:szCs w:val="24"/>
        </w:rPr>
        <w:t>n</w:t>
      </w:r>
      <w:r w:rsidR="001D0CA8" w:rsidRPr="00C64B4C">
        <w:rPr>
          <w:rFonts w:eastAsiaTheme="minorHAnsi"/>
          <w:noProof/>
          <w:sz w:val="24"/>
          <w:szCs w:val="24"/>
        </w:rPr>
        <w:t xml:space="preserve"> to be a quick and efficient convergence tool</w:t>
      </w:r>
      <w:r w:rsidRPr="00C64B4C">
        <w:rPr>
          <w:rFonts w:eastAsiaTheme="minorHAnsi"/>
          <w:noProof/>
          <w:sz w:val="24"/>
          <w:szCs w:val="24"/>
        </w:rPr>
        <w:t xml:space="preserve">, as witnessed by </w:t>
      </w:r>
      <w:r w:rsidR="001D0CA8" w:rsidRPr="00C64B4C">
        <w:rPr>
          <w:rFonts w:eastAsiaTheme="minorHAnsi"/>
          <w:noProof/>
          <w:sz w:val="24"/>
          <w:szCs w:val="24"/>
        </w:rPr>
        <w:t>its first use in the Wirecard case.</w:t>
      </w:r>
      <w:r w:rsidR="00153F7F" w:rsidRPr="00C64B4C">
        <w:rPr>
          <w:rFonts w:eastAsiaTheme="minorHAnsi"/>
          <w:noProof/>
          <w:sz w:val="24"/>
          <w:szCs w:val="24"/>
        </w:rPr>
        <w:t xml:space="preserve"> </w:t>
      </w:r>
    </w:p>
    <w:p w14:paraId="315381FD" w14:textId="77777777" w:rsidR="002115B5" w:rsidRPr="00C64B4C" w:rsidRDefault="002115B5" w:rsidP="00FD3856">
      <w:pPr>
        <w:jc w:val="both"/>
        <w:rPr>
          <w:rFonts w:eastAsiaTheme="minorHAnsi"/>
          <w:noProof/>
          <w:sz w:val="24"/>
          <w:szCs w:val="24"/>
        </w:rPr>
      </w:pPr>
    </w:p>
    <w:p w14:paraId="6BAE8E8A" w14:textId="77777777" w:rsidR="00527595" w:rsidRPr="00C64B4C" w:rsidRDefault="002115B5" w:rsidP="00FD3856">
      <w:pPr>
        <w:jc w:val="both"/>
        <w:rPr>
          <w:rFonts w:eastAsiaTheme="minorHAnsi"/>
          <w:noProof/>
          <w:sz w:val="24"/>
          <w:szCs w:val="24"/>
        </w:rPr>
      </w:pPr>
      <w:r w:rsidRPr="00C64B4C">
        <w:rPr>
          <w:rFonts w:eastAsiaTheme="minorHAnsi"/>
          <w:noProof/>
          <w:sz w:val="24"/>
          <w:szCs w:val="24"/>
        </w:rPr>
        <w:t xml:space="preserve">The feedback received from stakeholders </w:t>
      </w:r>
      <w:r w:rsidR="00BB5B85" w:rsidRPr="00C64B4C">
        <w:rPr>
          <w:rFonts w:eastAsiaTheme="minorHAnsi"/>
          <w:noProof/>
          <w:sz w:val="24"/>
          <w:szCs w:val="24"/>
        </w:rPr>
        <w:t xml:space="preserve">on </w:t>
      </w:r>
      <w:r w:rsidR="00527595" w:rsidRPr="00C64B4C">
        <w:rPr>
          <w:rFonts w:eastAsiaTheme="minorHAnsi"/>
          <w:noProof/>
          <w:sz w:val="24"/>
          <w:szCs w:val="24"/>
        </w:rPr>
        <w:t>the changes introduced by the last ESA review</w:t>
      </w:r>
      <w:r w:rsidR="00366540" w:rsidRPr="00C64B4C">
        <w:rPr>
          <w:rFonts w:eastAsiaTheme="minorHAnsi"/>
          <w:noProof/>
          <w:sz w:val="24"/>
          <w:szCs w:val="24"/>
        </w:rPr>
        <w:t xml:space="preserve"> in 2019</w:t>
      </w:r>
      <w:r w:rsidRPr="00C64B4C">
        <w:rPr>
          <w:rFonts w:eastAsiaTheme="minorHAnsi"/>
          <w:noProof/>
          <w:sz w:val="24"/>
          <w:szCs w:val="24"/>
        </w:rPr>
        <w:t xml:space="preserve"> is positive</w:t>
      </w:r>
      <w:r w:rsidR="00BB5B85" w:rsidRPr="00C64B4C">
        <w:rPr>
          <w:rFonts w:eastAsiaTheme="minorHAnsi"/>
          <w:noProof/>
          <w:sz w:val="24"/>
          <w:szCs w:val="24"/>
        </w:rPr>
        <w:t xml:space="preserve"> overall</w:t>
      </w:r>
      <w:r w:rsidRPr="00C64B4C">
        <w:rPr>
          <w:rFonts w:eastAsiaTheme="minorHAnsi"/>
          <w:noProof/>
          <w:sz w:val="24"/>
          <w:szCs w:val="24"/>
        </w:rPr>
        <w:t xml:space="preserve">. However, respondents to the consultation pointed to some remaining issues, in particular </w:t>
      </w:r>
      <w:r w:rsidR="00527595" w:rsidRPr="00C64B4C">
        <w:rPr>
          <w:rFonts w:eastAsiaTheme="minorHAnsi"/>
          <w:noProof/>
          <w:sz w:val="24"/>
          <w:szCs w:val="24"/>
        </w:rPr>
        <w:t xml:space="preserve">around the governance of the ESAs. </w:t>
      </w:r>
      <w:r w:rsidRPr="00C64B4C">
        <w:rPr>
          <w:rFonts w:eastAsiaTheme="minorHAnsi"/>
          <w:noProof/>
          <w:sz w:val="24"/>
          <w:szCs w:val="24"/>
        </w:rPr>
        <w:t>T</w:t>
      </w:r>
      <w:r w:rsidR="00527595" w:rsidRPr="00C64B4C">
        <w:rPr>
          <w:rFonts w:eastAsiaTheme="minorHAnsi"/>
          <w:noProof/>
          <w:sz w:val="24"/>
          <w:szCs w:val="24"/>
        </w:rPr>
        <w:t>he Commission</w:t>
      </w:r>
      <w:r w:rsidRPr="00C64B4C">
        <w:rPr>
          <w:rFonts w:eastAsiaTheme="minorHAnsi"/>
          <w:noProof/>
          <w:sz w:val="24"/>
          <w:szCs w:val="24"/>
        </w:rPr>
        <w:t xml:space="preserve"> remains</w:t>
      </w:r>
      <w:r w:rsidR="00527595" w:rsidRPr="00C64B4C">
        <w:rPr>
          <w:rFonts w:eastAsiaTheme="minorHAnsi"/>
          <w:noProof/>
          <w:sz w:val="24"/>
          <w:szCs w:val="24"/>
        </w:rPr>
        <w:t xml:space="preserve"> mindful of the fact that the governance arrangements of the ESAs</w:t>
      </w:r>
      <w:r w:rsidR="00BB5B85" w:rsidRPr="00C64B4C">
        <w:rPr>
          <w:rFonts w:eastAsiaTheme="minorHAnsi"/>
          <w:noProof/>
          <w:sz w:val="24"/>
          <w:szCs w:val="24"/>
        </w:rPr>
        <w:t xml:space="preserve"> –</w:t>
      </w:r>
      <w:r w:rsidR="00527595" w:rsidRPr="00C64B4C">
        <w:rPr>
          <w:rFonts w:eastAsiaTheme="minorHAnsi"/>
          <w:noProof/>
          <w:sz w:val="24"/>
          <w:szCs w:val="24"/>
        </w:rPr>
        <w:t xml:space="preserve"> with decisions being taken by 27 national supervisors</w:t>
      </w:r>
      <w:r w:rsidR="00BB5B85" w:rsidRPr="00C64B4C">
        <w:rPr>
          <w:rFonts w:eastAsiaTheme="minorHAnsi"/>
          <w:noProof/>
          <w:sz w:val="24"/>
          <w:szCs w:val="24"/>
        </w:rPr>
        <w:t xml:space="preserve"> –</w:t>
      </w:r>
      <w:r w:rsidR="00527595" w:rsidRPr="00C64B4C">
        <w:rPr>
          <w:rFonts w:eastAsiaTheme="minorHAnsi"/>
          <w:noProof/>
          <w:sz w:val="24"/>
          <w:szCs w:val="24"/>
        </w:rPr>
        <w:t xml:space="preserve"> are not always conducive to </w:t>
      </w:r>
      <w:r w:rsidRPr="00C64B4C">
        <w:rPr>
          <w:rFonts w:eastAsiaTheme="minorHAnsi"/>
          <w:noProof/>
          <w:sz w:val="24"/>
          <w:szCs w:val="24"/>
        </w:rPr>
        <w:t xml:space="preserve">ensuring that </w:t>
      </w:r>
      <w:r w:rsidR="00527595" w:rsidRPr="00C64B4C">
        <w:rPr>
          <w:rFonts w:eastAsiaTheme="minorHAnsi"/>
          <w:noProof/>
          <w:sz w:val="24"/>
          <w:szCs w:val="24"/>
        </w:rPr>
        <w:t>the convergence tools a</w:t>
      </w:r>
      <w:r w:rsidRPr="00C64B4C">
        <w:rPr>
          <w:rFonts w:eastAsiaTheme="minorHAnsi"/>
          <w:noProof/>
          <w:sz w:val="24"/>
          <w:szCs w:val="24"/>
        </w:rPr>
        <w:t>nd other instruments at</w:t>
      </w:r>
      <w:r w:rsidR="00527595" w:rsidRPr="00C64B4C">
        <w:rPr>
          <w:rFonts w:eastAsiaTheme="minorHAnsi"/>
          <w:noProof/>
          <w:sz w:val="24"/>
          <w:szCs w:val="24"/>
        </w:rPr>
        <w:t xml:space="preserve"> the disposal of the ESAs</w:t>
      </w:r>
      <w:r w:rsidR="004F1695" w:rsidRPr="00C64B4C">
        <w:rPr>
          <w:rFonts w:eastAsiaTheme="minorHAnsi"/>
          <w:noProof/>
          <w:sz w:val="24"/>
          <w:szCs w:val="24"/>
        </w:rPr>
        <w:t xml:space="preserve"> </w:t>
      </w:r>
      <w:r w:rsidRPr="00C64B4C">
        <w:rPr>
          <w:rFonts w:eastAsiaTheme="minorHAnsi"/>
          <w:noProof/>
          <w:sz w:val="24"/>
          <w:szCs w:val="24"/>
        </w:rPr>
        <w:t xml:space="preserve">are </w:t>
      </w:r>
      <w:r w:rsidR="00527595" w:rsidRPr="00C64B4C">
        <w:rPr>
          <w:rFonts w:eastAsiaTheme="minorHAnsi"/>
          <w:noProof/>
          <w:sz w:val="24"/>
          <w:szCs w:val="24"/>
        </w:rPr>
        <w:t xml:space="preserve">used in the most </w:t>
      </w:r>
      <w:r w:rsidRPr="00C64B4C">
        <w:rPr>
          <w:rFonts w:eastAsiaTheme="minorHAnsi"/>
          <w:noProof/>
          <w:sz w:val="24"/>
          <w:szCs w:val="24"/>
        </w:rPr>
        <w:t xml:space="preserve">effective </w:t>
      </w:r>
      <w:r w:rsidR="00527595" w:rsidRPr="00C64B4C">
        <w:rPr>
          <w:rFonts w:eastAsiaTheme="minorHAnsi"/>
          <w:noProof/>
          <w:sz w:val="24"/>
          <w:szCs w:val="24"/>
        </w:rPr>
        <w:t xml:space="preserve">way. </w:t>
      </w:r>
    </w:p>
    <w:p w14:paraId="229F36DA" w14:textId="77777777" w:rsidR="00527595" w:rsidRPr="00C64B4C" w:rsidRDefault="00527595" w:rsidP="00FD3856">
      <w:pPr>
        <w:jc w:val="both"/>
        <w:rPr>
          <w:rFonts w:eastAsiaTheme="minorHAnsi"/>
          <w:noProof/>
          <w:sz w:val="24"/>
          <w:szCs w:val="24"/>
        </w:rPr>
      </w:pPr>
    </w:p>
    <w:p w14:paraId="51080044" w14:textId="77777777" w:rsidR="00E06FF6" w:rsidRPr="00C64B4C" w:rsidRDefault="0014167E" w:rsidP="00FD3856">
      <w:pPr>
        <w:jc w:val="both"/>
        <w:rPr>
          <w:rFonts w:eastAsiaTheme="minorHAnsi"/>
          <w:noProof/>
          <w:sz w:val="24"/>
          <w:szCs w:val="24"/>
        </w:rPr>
      </w:pPr>
      <w:r w:rsidRPr="00C64B4C">
        <w:rPr>
          <w:rFonts w:eastAsiaTheme="minorHAnsi"/>
          <w:noProof/>
          <w:sz w:val="24"/>
          <w:szCs w:val="24"/>
        </w:rPr>
        <w:t>S</w:t>
      </w:r>
      <w:r w:rsidR="00153F7F" w:rsidRPr="00C64B4C">
        <w:rPr>
          <w:rFonts w:eastAsiaTheme="minorHAnsi"/>
          <w:noProof/>
          <w:sz w:val="24"/>
          <w:szCs w:val="24"/>
        </w:rPr>
        <w:t xml:space="preserve">ince </w:t>
      </w:r>
      <w:r w:rsidR="00046B24" w:rsidRPr="00C64B4C">
        <w:rPr>
          <w:rFonts w:eastAsiaTheme="minorHAnsi"/>
          <w:noProof/>
          <w:sz w:val="24"/>
          <w:szCs w:val="24"/>
        </w:rPr>
        <w:t xml:space="preserve">the </w:t>
      </w:r>
      <w:r w:rsidR="00153F7F" w:rsidRPr="00C64B4C">
        <w:rPr>
          <w:rFonts w:eastAsiaTheme="minorHAnsi"/>
          <w:noProof/>
          <w:sz w:val="24"/>
          <w:szCs w:val="24"/>
        </w:rPr>
        <w:t xml:space="preserve">changes to the ESA Regulations </w:t>
      </w:r>
      <w:r w:rsidR="00046B24" w:rsidRPr="00C64B4C">
        <w:rPr>
          <w:rFonts w:eastAsiaTheme="minorHAnsi"/>
          <w:noProof/>
          <w:sz w:val="24"/>
          <w:szCs w:val="24"/>
        </w:rPr>
        <w:t>became applicable</w:t>
      </w:r>
      <w:r w:rsidR="00153F7F" w:rsidRPr="00C64B4C">
        <w:rPr>
          <w:rFonts w:eastAsiaTheme="minorHAnsi"/>
          <w:noProof/>
          <w:sz w:val="24"/>
          <w:szCs w:val="24"/>
        </w:rPr>
        <w:t xml:space="preserve"> </w:t>
      </w:r>
      <w:r w:rsidR="002115B5" w:rsidRPr="00C64B4C">
        <w:rPr>
          <w:rFonts w:eastAsiaTheme="minorHAnsi"/>
          <w:noProof/>
          <w:sz w:val="24"/>
          <w:szCs w:val="24"/>
        </w:rPr>
        <w:t xml:space="preserve">only </w:t>
      </w:r>
      <w:r w:rsidR="00153F7F" w:rsidRPr="00C64B4C">
        <w:rPr>
          <w:rFonts w:eastAsiaTheme="minorHAnsi"/>
          <w:noProof/>
          <w:sz w:val="24"/>
          <w:szCs w:val="24"/>
        </w:rPr>
        <w:t>in 2020</w:t>
      </w:r>
      <w:r w:rsidR="00FD3856" w:rsidRPr="00C64B4C">
        <w:rPr>
          <w:rStyle w:val="FootnoteReference"/>
          <w:rFonts w:eastAsiaTheme="minorHAnsi"/>
          <w:noProof/>
          <w:sz w:val="24"/>
          <w:szCs w:val="24"/>
        </w:rPr>
        <w:footnoteReference w:id="45"/>
      </w:r>
      <w:r w:rsidR="0089184F" w:rsidRPr="00C64B4C">
        <w:rPr>
          <w:rFonts w:eastAsiaTheme="minorHAnsi"/>
          <w:noProof/>
          <w:sz w:val="24"/>
          <w:szCs w:val="24"/>
        </w:rPr>
        <w:t xml:space="preserve">, </w:t>
      </w:r>
      <w:r w:rsidR="00153F7F" w:rsidRPr="00C64B4C">
        <w:rPr>
          <w:rFonts w:eastAsiaTheme="minorHAnsi"/>
          <w:noProof/>
          <w:sz w:val="24"/>
          <w:szCs w:val="24"/>
        </w:rPr>
        <w:t xml:space="preserve">the Commission considers that more time is needed to assess the full impact of the latest review before considering </w:t>
      </w:r>
      <w:r w:rsidR="00527595" w:rsidRPr="00C64B4C">
        <w:rPr>
          <w:rFonts w:eastAsiaTheme="minorHAnsi"/>
          <w:noProof/>
          <w:sz w:val="24"/>
          <w:szCs w:val="24"/>
        </w:rPr>
        <w:t xml:space="preserve">any </w:t>
      </w:r>
      <w:r w:rsidR="00153F7F" w:rsidRPr="00C64B4C">
        <w:rPr>
          <w:rFonts w:eastAsiaTheme="minorHAnsi"/>
          <w:noProof/>
          <w:sz w:val="24"/>
          <w:szCs w:val="24"/>
        </w:rPr>
        <w:t xml:space="preserve">new amendments to the ESA </w:t>
      </w:r>
      <w:r w:rsidR="00BB5B85" w:rsidRPr="00C64B4C">
        <w:rPr>
          <w:rFonts w:eastAsiaTheme="minorHAnsi"/>
          <w:noProof/>
          <w:sz w:val="24"/>
          <w:szCs w:val="24"/>
        </w:rPr>
        <w:t>R</w:t>
      </w:r>
      <w:r w:rsidR="00153F7F" w:rsidRPr="00C64B4C">
        <w:rPr>
          <w:rFonts w:eastAsiaTheme="minorHAnsi"/>
          <w:noProof/>
          <w:sz w:val="24"/>
          <w:szCs w:val="24"/>
        </w:rPr>
        <w:t>egulations. Therefore</w:t>
      </w:r>
      <w:r w:rsidR="002115B5" w:rsidRPr="00C64B4C">
        <w:rPr>
          <w:rFonts w:eastAsiaTheme="minorHAnsi"/>
          <w:noProof/>
          <w:sz w:val="24"/>
          <w:szCs w:val="24"/>
        </w:rPr>
        <w:t>,</w:t>
      </w:r>
      <w:r w:rsidR="00153F7F" w:rsidRPr="00C64B4C">
        <w:rPr>
          <w:rFonts w:eastAsiaTheme="minorHAnsi"/>
          <w:noProof/>
          <w:sz w:val="24"/>
          <w:szCs w:val="24"/>
        </w:rPr>
        <w:t xml:space="preserve"> the Commission </w:t>
      </w:r>
      <w:r w:rsidR="00046B24" w:rsidRPr="00C64B4C">
        <w:rPr>
          <w:rFonts w:eastAsiaTheme="minorHAnsi"/>
          <w:noProof/>
          <w:sz w:val="24"/>
          <w:szCs w:val="24"/>
        </w:rPr>
        <w:t>deems it</w:t>
      </w:r>
      <w:r w:rsidR="00F61012" w:rsidRPr="00C64B4C">
        <w:rPr>
          <w:rFonts w:eastAsiaTheme="minorHAnsi"/>
          <w:noProof/>
          <w:sz w:val="24"/>
          <w:szCs w:val="24"/>
        </w:rPr>
        <w:t xml:space="preserve"> premature </w:t>
      </w:r>
      <w:r w:rsidR="002115B5" w:rsidRPr="00C64B4C">
        <w:rPr>
          <w:rFonts w:eastAsiaTheme="minorHAnsi"/>
          <w:noProof/>
          <w:sz w:val="24"/>
          <w:szCs w:val="24"/>
        </w:rPr>
        <w:t xml:space="preserve">to </w:t>
      </w:r>
      <w:r w:rsidR="00F61012" w:rsidRPr="00C64B4C">
        <w:rPr>
          <w:rFonts w:eastAsiaTheme="minorHAnsi"/>
          <w:noProof/>
          <w:sz w:val="24"/>
          <w:szCs w:val="24"/>
        </w:rPr>
        <w:t>propos</w:t>
      </w:r>
      <w:r w:rsidR="002115B5" w:rsidRPr="00C64B4C">
        <w:rPr>
          <w:rFonts w:eastAsiaTheme="minorHAnsi"/>
          <w:noProof/>
          <w:sz w:val="24"/>
          <w:szCs w:val="24"/>
        </w:rPr>
        <w:t>e</w:t>
      </w:r>
      <w:r w:rsidR="00F61012" w:rsidRPr="00C64B4C">
        <w:rPr>
          <w:rFonts w:eastAsiaTheme="minorHAnsi"/>
          <w:noProof/>
          <w:sz w:val="24"/>
          <w:szCs w:val="24"/>
        </w:rPr>
        <w:t xml:space="preserve"> legislative changes to the ESA Regulations at this juncture. Nevertheless, </w:t>
      </w:r>
      <w:r w:rsidR="009B7E91" w:rsidRPr="00C64B4C">
        <w:rPr>
          <w:rFonts w:eastAsiaTheme="minorHAnsi"/>
          <w:noProof/>
          <w:sz w:val="24"/>
          <w:szCs w:val="24"/>
        </w:rPr>
        <w:t xml:space="preserve">where the Commission identifies </w:t>
      </w:r>
      <w:r w:rsidR="00BB5B85" w:rsidRPr="00C64B4C">
        <w:rPr>
          <w:rFonts w:eastAsiaTheme="minorHAnsi"/>
          <w:noProof/>
          <w:sz w:val="24"/>
          <w:szCs w:val="24"/>
        </w:rPr>
        <w:t xml:space="preserve">a </w:t>
      </w:r>
      <w:r w:rsidR="009B7E91" w:rsidRPr="00C64B4C">
        <w:rPr>
          <w:rFonts w:eastAsiaTheme="minorHAnsi"/>
          <w:noProof/>
          <w:sz w:val="24"/>
          <w:szCs w:val="24"/>
        </w:rPr>
        <w:t xml:space="preserve">need for changes in supervision in response to new developments or shortcomings, </w:t>
      </w:r>
      <w:r w:rsidR="00F61012" w:rsidRPr="00C64B4C">
        <w:rPr>
          <w:rFonts w:eastAsiaTheme="minorHAnsi"/>
          <w:noProof/>
          <w:sz w:val="24"/>
          <w:szCs w:val="24"/>
        </w:rPr>
        <w:t xml:space="preserve">the Commission </w:t>
      </w:r>
      <w:r w:rsidR="002115B5" w:rsidRPr="00C64B4C">
        <w:rPr>
          <w:rFonts w:eastAsiaTheme="minorHAnsi"/>
          <w:noProof/>
          <w:sz w:val="24"/>
          <w:szCs w:val="24"/>
        </w:rPr>
        <w:t xml:space="preserve">may </w:t>
      </w:r>
      <w:r w:rsidR="009B7E91" w:rsidRPr="00C64B4C">
        <w:rPr>
          <w:rFonts w:eastAsiaTheme="minorHAnsi"/>
          <w:noProof/>
          <w:sz w:val="24"/>
          <w:szCs w:val="24"/>
        </w:rPr>
        <w:t>suggest</w:t>
      </w:r>
      <w:r w:rsidR="00F61012" w:rsidRPr="00C64B4C">
        <w:rPr>
          <w:rFonts w:eastAsiaTheme="minorHAnsi"/>
          <w:noProof/>
          <w:sz w:val="24"/>
          <w:szCs w:val="24"/>
        </w:rPr>
        <w:t xml:space="preserve"> targeted changes in sector legislation to improve supervisory convergence and supervision.</w:t>
      </w:r>
      <w:r w:rsidR="00153F7F" w:rsidRPr="00C64B4C">
        <w:rPr>
          <w:rFonts w:eastAsiaTheme="minorHAnsi"/>
          <w:noProof/>
          <w:sz w:val="24"/>
          <w:szCs w:val="24"/>
        </w:rPr>
        <w:t xml:space="preserve"> </w:t>
      </w:r>
    </w:p>
    <w:p w14:paraId="3AFF1DF3" w14:textId="77777777" w:rsidR="00E06FF6" w:rsidRPr="00C64B4C" w:rsidRDefault="00E06FF6" w:rsidP="00FD3856">
      <w:pPr>
        <w:jc w:val="both"/>
        <w:rPr>
          <w:rFonts w:eastAsiaTheme="minorHAnsi"/>
          <w:noProof/>
          <w:sz w:val="24"/>
          <w:szCs w:val="24"/>
        </w:rPr>
      </w:pPr>
    </w:p>
    <w:p w14:paraId="682CC6AC" w14:textId="23EDBB0A" w:rsidR="0066172A" w:rsidRPr="00C64B4C" w:rsidRDefault="00860DB9" w:rsidP="00FD3856">
      <w:pPr>
        <w:jc w:val="both"/>
        <w:rPr>
          <w:rFonts w:eastAsiaTheme="minorHAnsi"/>
          <w:noProof/>
          <w:sz w:val="24"/>
          <w:szCs w:val="24"/>
        </w:rPr>
      </w:pPr>
      <w:r w:rsidRPr="00C64B4C">
        <w:rPr>
          <w:rFonts w:eastAsiaTheme="minorHAnsi"/>
          <w:noProof/>
          <w:sz w:val="24"/>
          <w:szCs w:val="24"/>
        </w:rPr>
        <w:t>In addition, t</w:t>
      </w:r>
      <w:r w:rsidR="00207A4C" w:rsidRPr="00C64B4C">
        <w:rPr>
          <w:rFonts w:eastAsiaTheme="minorHAnsi"/>
          <w:noProof/>
          <w:sz w:val="24"/>
          <w:szCs w:val="24"/>
        </w:rPr>
        <w:t>he review revealed some areas where</w:t>
      </w:r>
      <w:r w:rsidR="009756AC" w:rsidRPr="00C64B4C">
        <w:rPr>
          <w:rFonts w:eastAsiaTheme="minorHAnsi"/>
          <w:noProof/>
          <w:sz w:val="24"/>
          <w:szCs w:val="24"/>
        </w:rPr>
        <w:t xml:space="preserve"> improvements </w:t>
      </w:r>
      <w:r w:rsidR="00932FF1" w:rsidRPr="00C64B4C">
        <w:rPr>
          <w:rFonts w:eastAsiaTheme="minorHAnsi"/>
          <w:noProof/>
          <w:sz w:val="24"/>
          <w:szCs w:val="24"/>
        </w:rPr>
        <w:t>could be implemented with</w:t>
      </w:r>
      <w:r w:rsidR="009C134F" w:rsidRPr="00C64B4C">
        <w:rPr>
          <w:rFonts w:eastAsiaTheme="minorHAnsi"/>
          <w:noProof/>
          <w:sz w:val="24"/>
          <w:szCs w:val="24"/>
        </w:rPr>
        <w:t xml:space="preserve"> no </w:t>
      </w:r>
      <w:r w:rsidR="00932FF1" w:rsidRPr="00C64B4C">
        <w:rPr>
          <w:rFonts w:eastAsiaTheme="minorHAnsi"/>
          <w:noProof/>
          <w:sz w:val="24"/>
          <w:szCs w:val="24"/>
        </w:rPr>
        <w:t xml:space="preserve">need </w:t>
      </w:r>
      <w:r w:rsidR="009C134F" w:rsidRPr="00C64B4C">
        <w:rPr>
          <w:rFonts w:eastAsiaTheme="minorHAnsi"/>
          <w:noProof/>
          <w:sz w:val="24"/>
          <w:szCs w:val="24"/>
        </w:rPr>
        <w:t>for</w:t>
      </w:r>
      <w:r w:rsidR="00932FF1" w:rsidRPr="00C64B4C">
        <w:rPr>
          <w:rFonts w:eastAsiaTheme="minorHAnsi"/>
          <w:noProof/>
          <w:sz w:val="24"/>
          <w:szCs w:val="24"/>
        </w:rPr>
        <w:t xml:space="preserve"> legislative changes</w:t>
      </w:r>
      <w:r w:rsidR="006767DE" w:rsidRPr="00C64B4C">
        <w:rPr>
          <w:rFonts w:eastAsiaTheme="minorHAnsi"/>
          <w:noProof/>
          <w:sz w:val="24"/>
          <w:szCs w:val="24"/>
        </w:rPr>
        <w:t xml:space="preserve">. </w:t>
      </w:r>
      <w:r w:rsidR="002115B5" w:rsidRPr="00C64B4C">
        <w:rPr>
          <w:rFonts w:eastAsiaTheme="minorHAnsi"/>
          <w:noProof/>
          <w:sz w:val="24"/>
          <w:szCs w:val="24"/>
        </w:rPr>
        <w:t xml:space="preserve">As outlined in this </w:t>
      </w:r>
      <w:r w:rsidR="00BB5B85" w:rsidRPr="00C64B4C">
        <w:rPr>
          <w:rFonts w:eastAsiaTheme="minorHAnsi"/>
          <w:noProof/>
          <w:sz w:val="24"/>
          <w:szCs w:val="24"/>
        </w:rPr>
        <w:t>r</w:t>
      </w:r>
      <w:r w:rsidR="002115B5" w:rsidRPr="00C64B4C">
        <w:rPr>
          <w:rFonts w:eastAsiaTheme="minorHAnsi"/>
          <w:noProof/>
          <w:sz w:val="24"/>
          <w:szCs w:val="24"/>
        </w:rPr>
        <w:t>eport, t</w:t>
      </w:r>
      <w:r w:rsidR="006767DE" w:rsidRPr="00C64B4C">
        <w:rPr>
          <w:rFonts w:eastAsiaTheme="minorHAnsi"/>
          <w:noProof/>
          <w:sz w:val="24"/>
          <w:szCs w:val="24"/>
        </w:rPr>
        <w:t xml:space="preserve">he </w:t>
      </w:r>
      <w:r w:rsidR="002115B5" w:rsidRPr="00C64B4C">
        <w:rPr>
          <w:rFonts w:eastAsiaTheme="minorHAnsi"/>
          <w:noProof/>
          <w:sz w:val="24"/>
          <w:szCs w:val="24"/>
        </w:rPr>
        <w:t xml:space="preserve">Commission will work together with the </w:t>
      </w:r>
      <w:r w:rsidR="006767DE" w:rsidRPr="00C64B4C">
        <w:rPr>
          <w:rFonts w:eastAsiaTheme="minorHAnsi"/>
          <w:noProof/>
          <w:sz w:val="24"/>
          <w:szCs w:val="24"/>
        </w:rPr>
        <w:t>ESA</w:t>
      </w:r>
      <w:r w:rsidR="00474C81" w:rsidRPr="00C64B4C">
        <w:rPr>
          <w:rFonts w:eastAsiaTheme="minorHAnsi"/>
          <w:noProof/>
          <w:sz w:val="24"/>
          <w:szCs w:val="24"/>
        </w:rPr>
        <w:t>s</w:t>
      </w:r>
      <w:r w:rsidR="006767DE" w:rsidRPr="00C64B4C">
        <w:rPr>
          <w:rFonts w:eastAsiaTheme="minorHAnsi"/>
          <w:noProof/>
          <w:sz w:val="24"/>
          <w:szCs w:val="24"/>
        </w:rPr>
        <w:t xml:space="preserve"> </w:t>
      </w:r>
      <w:r w:rsidR="002115B5" w:rsidRPr="00C64B4C">
        <w:rPr>
          <w:rFonts w:eastAsiaTheme="minorHAnsi"/>
          <w:noProof/>
          <w:sz w:val="24"/>
          <w:szCs w:val="24"/>
        </w:rPr>
        <w:t xml:space="preserve">to assess </w:t>
      </w:r>
      <w:r w:rsidR="006767DE" w:rsidRPr="00C64B4C">
        <w:rPr>
          <w:rFonts w:eastAsiaTheme="minorHAnsi"/>
          <w:noProof/>
          <w:sz w:val="24"/>
          <w:szCs w:val="24"/>
        </w:rPr>
        <w:t xml:space="preserve">whether and </w:t>
      </w:r>
      <w:r w:rsidR="002115B5" w:rsidRPr="00C64B4C">
        <w:rPr>
          <w:rFonts w:eastAsiaTheme="minorHAnsi"/>
          <w:noProof/>
          <w:sz w:val="24"/>
          <w:szCs w:val="24"/>
        </w:rPr>
        <w:t xml:space="preserve">in which areas </w:t>
      </w:r>
      <w:r w:rsidR="006767DE" w:rsidRPr="00C64B4C">
        <w:rPr>
          <w:rFonts w:eastAsiaTheme="minorHAnsi"/>
          <w:noProof/>
          <w:sz w:val="24"/>
          <w:szCs w:val="24"/>
        </w:rPr>
        <w:t>no</w:t>
      </w:r>
      <w:r w:rsidR="009C134F" w:rsidRPr="00C64B4C">
        <w:rPr>
          <w:rFonts w:eastAsiaTheme="minorHAnsi"/>
          <w:noProof/>
          <w:sz w:val="24"/>
          <w:szCs w:val="24"/>
        </w:rPr>
        <w:t>n</w:t>
      </w:r>
      <w:r w:rsidR="006767DE" w:rsidRPr="00C64B4C">
        <w:rPr>
          <w:rFonts w:eastAsiaTheme="minorHAnsi"/>
          <w:noProof/>
          <w:sz w:val="24"/>
          <w:szCs w:val="24"/>
        </w:rPr>
        <w:t>-legislative measures are warranted</w:t>
      </w:r>
      <w:r w:rsidR="00BB5B85" w:rsidRPr="00C64B4C">
        <w:rPr>
          <w:rFonts w:eastAsiaTheme="minorHAnsi"/>
          <w:noProof/>
          <w:sz w:val="24"/>
          <w:szCs w:val="24"/>
        </w:rPr>
        <w:t>. The aim of these non-legislative measures would be</w:t>
      </w:r>
      <w:r w:rsidR="002115B5" w:rsidRPr="00C64B4C">
        <w:rPr>
          <w:rFonts w:eastAsiaTheme="minorHAnsi"/>
          <w:noProof/>
          <w:sz w:val="24"/>
          <w:szCs w:val="24"/>
        </w:rPr>
        <w:t xml:space="preserve"> to promote supervisory convergence and </w:t>
      </w:r>
      <w:r w:rsidR="006767DE" w:rsidRPr="00C64B4C">
        <w:rPr>
          <w:rFonts w:eastAsiaTheme="minorHAnsi"/>
          <w:noProof/>
          <w:sz w:val="24"/>
          <w:szCs w:val="24"/>
        </w:rPr>
        <w:t>consistent supervision</w:t>
      </w:r>
      <w:r w:rsidR="002115B5" w:rsidRPr="00C64B4C">
        <w:rPr>
          <w:rFonts w:eastAsiaTheme="minorHAnsi"/>
          <w:noProof/>
          <w:sz w:val="24"/>
          <w:szCs w:val="24"/>
        </w:rPr>
        <w:t xml:space="preserve">, </w:t>
      </w:r>
      <w:r w:rsidR="00C22C56" w:rsidRPr="00C64B4C">
        <w:rPr>
          <w:rFonts w:eastAsiaTheme="minorHAnsi"/>
          <w:noProof/>
          <w:sz w:val="24"/>
          <w:szCs w:val="24"/>
        </w:rPr>
        <w:t xml:space="preserve">which </w:t>
      </w:r>
      <w:r w:rsidR="00BB5B85" w:rsidRPr="00C64B4C">
        <w:rPr>
          <w:rFonts w:eastAsiaTheme="minorHAnsi"/>
          <w:noProof/>
          <w:sz w:val="24"/>
          <w:szCs w:val="24"/>
        </w:rPr>
        <w:t xml:space="preserve">is </w:t>
      </w:r>
      <w:r w:rsidR="006767DE" w:rsidRPr="00C64B4C">
        <w:rPr>
          <w:rFonts w:eastAsiaTheme="minorHAnsi"/>
          <w:noProof/>
          <w:sz w:val="24"/>
          <w:szCs w:val="24"/>
        </w:rPr>
        <w:t xml:space="preserve">a key building block </w:t>
      </w:r>
      <w:r w:rsidR="00BB5B85" w:rsidRPr="00C64B4C">
        <w:rPr>
          <w:rFonts w:eastAsiaTheme="minorHAnsi"/>
          <w:noProof/>
          <w:sz w:val="24"/>
          <w:szCs w:val="24"/>
        </w:rPr>
        <w:t xml:space="preserve">in creating </w:t>
      </w:r>
      <w:r w:rsidR="006767DE" w:rsidRPr="00C64B4C">
        <w:rPr>
          <w:rFonts w:eastAsiaTheme="minorHAnsi"/>
          <w:noProof/>
          <w:sz w:val="24"/>
          <w:szCs w:val="24"/>
        </w:rPr>
        <w:t xml:space="preserve">a genuine </w:t>
      </w:r>
      <w:r w:rsidR="000144CE">
        <w:rPr>
          <w:rFonts w:eastAsiaTheme="minorHAnsi"/>
          <w:noProof/>
          <w:sz w:val="24"/>
          <w:szCs w:val="24"/>
        </w:rPr>
        <w:t>C</w:t>
      </w:r>
      <w:r w:rsidR="006767DE" w:rsidRPr="00C64B4C">
        <w:rPr>
          <w:rFonts w:eastAsiaTheme="minorHAnsi"/>
          <w:noProof/>
          <w:sz w:val="24"/>
          <w:szCs w:val="24"/>
        </w:rPr>
        <w:t xml:space="preserve">apital </w:t>
      </w:r>
      <w:r w:rsidR="000144CE">
        <w:rPr>
          <w:rFonts w:eastAsiaTheme="minorHAnsi"/>
          <w:noProof/>
          <w:sz w:val="24"/>
          <w:szCs w:val="24"/>
        </w:rPr>
        <w:t>M</w:t>
      </w:r>
      <w:r w:rsidR="006767DE" w:rsidRPr="00C64B4C">
        <w:rPr>
          <w:rFonts w:eastAsiaTheme="minorHAnsi"/>
          <w:noProof/>
          <w:sz w:val="24"/>
          <w:szCs w:val="24"/>
        </w:rPr>
        <w:t xml:space="preserve">arkets </w:t>
      </w:r>
      <w:r w:rsidR="000144CE">
        <w:rPr>
          <w:rFonts w:eastAsiaTheme="minorHAnsi"/>
          <w:noProof/>
          <w:sz w:val="24"/>
          <w:szCs w:val="24"/>
        </w:rPr>
        <w:t>U</w:t>
      </w:r>
      <w:r w:rsidR="006767DE" w:rsidRPr="00C64B4C">
        <w:rPr>
          <w:rFonts w:eastAsiaTheme="minorHAnsi"/>
          <w:noProof/>
          <w:sz w:val="24"/>
          <w:szCs w:val="24"/>
        </w:rPr>
        <w:t xml:space="preserve">nion. </w:t>
      </w:r>
      <w:r w:rsidR="00C22C56" w:rsidRPr="00C64B4C">
        <w:rPr>
          <w:rFonts w:eastAsiaTheme="minorHAnsi"/>
          <w:noProof/>
          <w:sz w:val="24"/>
          <w:szCs w:val="24"/>
        </w:rPr>
        <w:t xml:space="preserve">The Commission looks forward to continuing its engagement with the European Parliament, the Member States and all stakeholders </w:t>
      </w:r>
      <w:r w:rsidR="00BB5B85" w:rsidRPr="00C64B4C">
        <w:rPr>
          <w:rFonts w:eastAsiaTheme="minorHAnsi"/>
          <w:noProof/>
          <w:sz w:val="24"/>
          <w:szCs w:val="24"/>
        </w:rPr>
        <w:t xml:space="preserve">in </w:t>
      </w:r>
      <w:r w:rsidR="00C22C56" w:rsidRPr="00C64B4C">
        <w:rPr>
          <w:rFonts w:eastAsiaTheme="minorHAnsi"/>
          <w:noProof/>
          <w:sz w:val="24"/>
          <w:szCs w:val="24"/>
        </w:rPr>
        <w:t>this matter</w:t>
      </w:r>
      <w:r w:rsidR="00EF477D" w:rsidRPr="00C64B4C">
        <w:rPr>
          <w:rFonts w:eastAsiaTheme="minorHAnsi"/>
          <w:noProof/>
          <w:sz w:val="24"/>
          <w:szCs w:val="24"/>
        </w:rPr>
        <w:t xml:space="preserve"> and will work </w:t>
      </w:r>
      <w:r w:rsidR="00031F4E" w:rsidRPr="00C64B4C">
        <w:rPr>
          <w:rFonts w:eastAsiaTheme="minorHAnsi"/>
          <w:noProof/>
          <w:sz w:val="24"/>
          <w:szCs w:val="24"/>
        </w:rPr>
        <w:t xml:space="preserve">with the ESAs </w:t>
      </w:r>
      <w:r w:rsidR="00EF477D" w:rsidRPr="00C64B4C">
        <w:rPr>
          <w:rFonts w:eastAsiaTheme="minorHAnsi"/>
          <w:noProof/>
          <w:sz w:val="24"/>
          <w:szCs w:val="24"/>
        </w:rPr>
        <w:t>along the lines se</w:t>
      </w:r>
      <w:r w:rsidR="00031F4E" w:rsidRPr="00C64B4C">
        <w:rPr>
          <w:rFonts w:eastAsiaTheme="minorHAnsi"/>
          <w:noProof/>
          <w:sz w:val="24"/>
          <w:szCs w:val="24"/>
        </w:rPr>
        <w:t>t out in this report</w:t>
      </w:r>
      <w:r w:rsidR="004F1695" w:rsidRPr="00C64B4C">
        <w:rPr>
          <w:rFonts w:eastAsiaTheme="minorHAnsi"/>
          <w:noProof/>
          <w:sz w:val="24"/>
          <w:szCs w:val="24"/>
        </w:rPr>
        <w:t>.</w:t>
      </w:r>
    </w:p>
    <w:sectPr w:rsidR="0066172A" w:rsidRPr="00C64B4C" w:rsidSect="00437E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4A1F" w16cex:dateUtc="2022-04-19T12:47:00Z"/>
  <w16cex:commentExtensible w16cex:durableId="26094C87" w16cex:dateUtc="2022-04-19T12:58:00Z"/>
  <w16cex:commentExtensible w16cex:durableId="26094D01" w16cex:dateUtc="2022-04-19T13:00:00Z"/>
  <w16cex:commentExtensible w16cex:durableId="26094DB9" w16cex:dateUtc="2022-04-19T13:03:00Z"/>
  <w16cex:commentExtensible w16cex:durableId="26094E44" w16cex:dateUtc="2022-04-19T13:05:00Z"/>
  <w16cex:commentExtensible w16cex:durableId="26094F88" w16cex:dateUtc="2022-04-19T13:11:00Z"/>
  <w16cex:commentExtensible w16cex:durableId="26095150" w16cex:dateUtc="2022-04-19T13:18:00Z"/>
  <w16cex:commentExtensible w16cex:durableId="2609530B" w16cex:dateUtc="2022-04-19T13:26:00Z"/>
  <w16cex:commentExtensible w16cex:durableId="2609531E" w16cex:dateUtc="2022-04-19T13:26:00Z"/>
  <w16cex:commentExtensible w16cex:durableId="26095389" w16cex:dateUtc="2022-04-19T13:28:00Z"/>
  <w16cex:commentExtensible w16cex:durableId="26095421" w16cex:dateUtc="2022-04-19T13:30:00Z"/>
  <w16cex:commentExtensible w16cex:durableId="26095484" w16cex:dateUtc="2022-04-19T13:32:00Z"/>
  <w16cex:commentExtensible w16cex:durableId="26095E1D" w16cex:dateUtc="2022-04-19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8FF29" w16cid:durableId="26094A1F"/>
  <w16cid:commentId w16cid:paraId="179564BE" w16cid:durableId="26094C87"/>
  <w16cid:commentId w16cid:paraId="7B67E114" w16cid:durableId="26094D01"/>
  <w16cid:commentId w16cid:paraId="326468D8" w16cid:durableId="26094DB9"/>
  <w16cid:commentId w16cid:paraId="4DA6D09E" w16cid:durableId="26094E44"/>
  <w16cid:commentId w16cid:paraId="1C24C0E4" w16cid:durableId="26094F88"/>
  <w16cid:commentId w16cid:paraId="5654A065" w16cid:durableId="26095150"/>
  <w16cid:commentId w16cid:paraId="1680AC9A" w16cid:durableId="2609530B"/>
  <w16cid:commentId w16cid:paraId="6405F6DC" w16cid:durableId="2609531E"/>
  <w16cid:commentId w16cid:paraId="27838AB6" w16cid:durableId="26095389"/>
  <w16cid:commentId w16cid:paraId="560BCA2B" w16cid:durableId="26095421"/>
  <w16cid:commentId w16cid:paraId="1030D7CA" w16cid:durableId="26095484"/>
  <w16cid:commentId w16cid:paraId="266E52BB" w16cid:durableId="26095E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B467" w14:textId="77777777" w:rsidR="00523590" w:rsidRDefault="00523590" w:rsidP="00BB76C2">
      <w:r>
        <w:separator/>
      </w:r>
    </w:p>
  </w:endnote>
  <w:endnote w:type="continuationSeparator" w:id="0">
    <w:p w14:paraId="2054CBC0" w14:textId="77777777" w:rsidR="00523590" w:rsidRDefault="00523590" w:rsidP="00BB76C2">
      <w:r>
        <w:continuationSeparator/>
      </w:r>
    </w:p>
  </w:endnote>
  <w:endnote w:type="continuationNotice" w:id="1">
    <w:p w14:paraId="1377B045" w14:textId="77777777" w:rsidR="00523590" w:rsidRDefault="00523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F132" w14:textId="77777777" w:rsidR="005F7C9B" w:rsidRPr="005F7C9B" w:rsidRDefault="005F7C9B" w:rsidP="005F7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D487" w14:textId="5D8CB6E6" w:rsidR="00AE0D92" w:rsidRPr="005F7C9B" w:rsidRDefault="005F7C9B" w:rsidP="005F7C9B">
    <w:pPr>
      <w:pStyle w:val="FooterCoverPage"/>
      <w:rPr>
        <w:rFonts w:ascii="Arial" w:hAnsi="Arial" w:cs="Arial"/>
        <w:b/>
        <w:sz w:val="48"/>
      </w:rPr>
    </w:pPr>
    <w:r w:rsidRPr="005F7C9B">
      <w:rPr>
        <w:rFonts w:ascii="Arial" w:hAnsi="Arial" w:cs="Arial"/>
        <w:b/>
        <w:sz w:val="48"/>
      </w:rPr>
      <w:t>EN</w:t>
    </w:r>
    <w:r w:rsidRPr="005F7C9B">
      <w:rPr>
        <w:rFonts w:ascii="Arial" w:hAnsi="Arial" w:cs="Arial"/>
        <w:b/>
        <w:sz w:val="48"/>
      </w:rPr>
      <w:tab/>
    </w:r>
    <w:r w:rsidRPr="005F7C9B">
      <w:rPr>
        <w:rFonts w:ascii="Arial" w:hAnsi="Arial" w:cs="Arial"/>
        <w:b/>
        <w:sz w:val="48"/>
      </w:rPr>
      <w:tab/>
    </w:r>
    <w:r w:rsidRPr="005F7C9B">
      <w:tab/>
    </w:r>
    <w:r w:rsidRPr="005F7C9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F750" w14:textId="77777777" w:rsidR="005F7C9B" w:rsidRPr="005F7C9B" w:rsidRDefault="005F7C9B" w:rsidP="005F7C9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10C7" w14:textId="77777777" w:rsidR="00523590" w:rsidRDefault="00523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05897"/>
      <w:docPartObj>
        <w:docPartGallery w:val="Page Numbers (Bottom of Page)"/>
        <w:docPartUnique/>
      </w:docPartObj>
    </w:sdtPr>
    <w:sdtEndPr>
      <w:rPr>
        <w:noProof/>
      </w:rPr>
    </w:sdtEndPr>
    <w:sdtContent>
      <w:p w14:paraId="212A669B" w14:textId="7A7CDC9E" w:rsidR="005934AF" w:rsidRDefault="005934AF">
        <w:pPr>
          <w:pStyle w:val="Footer"/>
          <w:jc w:val="center"/>
        </w:pPr>
        <w:r>
          <w:fldChar w:fldCharType="begin"/>
        </w:r>
        <w:r>
          <w:instrText xml:space="preserve"> PAGE   \* MERGEFORMAT </w:instrText>
        </w:r>
        <w:r>
          <w:fldChar w:fldCharType="separate"/>
        </w:r>
        <w:r w:rsidR="005F7C9B">
          <w:rPr>
            <w:noProof/>
          </w:rPr>
          <w:t>1</w:t>
        </w:r>
        <w:r>
          <w:rPr>
            <w:noProof/>
          </w:rPr>
          <w:fldChar w:fldCharType="end"/>
        </w:r>
      </w:p>
    </w:sdtContent>
  </w:sdt>
  <w:p w14:paraId="5ECF089A" w14:textId="77777777" w:rsidR="00523590" w:rsidRPr="00C97803" w:rsidRDefault="00523590" w:rsidP="00C978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543B" w14:textId="77777777" w:rsidR="00523590" w:rsidRDefault="0052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24350" w14:textId="77777777" w:rsidR="00523590" w:rsidRDefault="00523590" w:rsidP="00BB76C2">
      <w:r>
        <w:separator/>
      </w:r>
    </w:p>
  </w:footnote>
  <w:footnote w:type="continuationSeparator" w:id="0">
    <w:p w14:paraId="2404291C" w14:textId="77777777" w:rsidR="00523590" w:rsidRDefault="00523590" w:rsidP="00BB76C2">
      <w:r>
        <w:continuationSeparator/>
      </w:r>
    </w:p>
  </w:footnote>
  <w:footnote w:type="continuationNotice" w:id="1">
    <w:p w14:paraId="6853747A" w14:textId="77777777" w:rsidR="00523590" w:rsidRDefault="00523590"/>
  </w:footnote>
  <w:footnote w:id="2">
    <w:p w14:paraId="3D6D8D98" w14:textId="17CFC862" w:rsidR="00266176" w:rsidRPr="00F27417" w:rsidRDefault="00266176" w:rsidP="00F27417">
      <w:pPr>
        <w:pStyle w:val="FootnoteText"/>
        <w:jc w:val="both"/>
        <w:rPr>
          <w:lang w:val="en-IE"/>
        </w:rPr>
      </w:pPr>
      <w:r>
        <w:rPr>
          <w:rStyle w:val="FootnoteReference"/>
        </w:rPr>
        <w:footnoteRef/>
      </w:r>
      <w:r>
        <w:t xml:space="preserve"> </w:t>
      </w:r>
      <w:hyperlink r:id="rId1" w:history="1">
        <w:r w:rsidRPr="00266176">
          <w:rPr>
            <w:rStyle w:val="Hyperlink"/>
          </w:rPr>
          <w:t>Directive 2014/59/EU of the European Parliament and of the Council of 15 May 2014 establishing a framework for the recovery and resolution of credit institutions</w:t>
        </w:r>
      </w:hyperlink>
      <w:r>
        <w:t xml:space="preserve">; </w:t>
      </w:r>
      <w:hyperlink r:id="rId2" w:history="1">
        <w:r w:rsidRPr="00266176">
          <w:rPr>
            <w:rStyle w:val="Hyperlink"/>
          </w:rPr>
          <w:t>Regulation (EU) 2021/23 of the European Parliament and of the Council of 16 December 2020 on a framework for the recovery and resolution of central counterparties</w:t>
        </w:r>
      </w:hyperlink>
      <w:r>
        <w:t xml:space="preserve">. </w:t>
      </w:r>
    </w:p>
  </w:footnote>
  <w:footnote w:id="3">
    <w:p w14:paraId="7D14A042" w14:textId="77777777" w:rsidR="00523590" w:rsidRDefault="00523590">
      <w:pPr>
        <w:pStyle w:val="FootnoteText"/>
      </w:pPr>
      <w:r>
        <w:rPr>
          <w:rStyle w:val="FootnoteReference"/>
        </w:rPr>
        <w:footnoteRef/>
      </w:r>
      <w:r>
        <w:t xml:space="preserve"> </w:t>
      </w:r>
      <w:hyperlink r:id="rId3" w:history="1">
        <w:r>
          <w:rPr>
            <w:rStyle w:val="Hyperlink"/>
          </w:rPr>
          <w:t>Capital Markets Union 2020 Action Plan_en</w:t>
        </w:r>
      </w:hyperlink>
    </w:p>
  </w:footnote>
  <w:footnote w:id="4">
    <w:p w14:paraId="1B54FD4A" w14:textId="77777777" w:rsidR="00523590" w:rsidRPr="00720331" w:rsidRDefault="00523590" w:rsidP="0070115C">
      <w:pPr>
        <w:pStyle w:val="FootnoteText"/>
        <w:jc w:val="both"/>
        <w:rPr>
          <w:rStyle w:val="Hyperlink"/>
        </w:rPr>
      </w:pPr>
      <w:r>
        <w:rPr>
          <w:rStyle w:val="FootnoteReference"/>
        </w:rPr>
        <w:footnoteRef/>
      </w:r>
      <w:r>
        <w:t xml:space="preserve"> </w:t>
      </w:r>
      <w:r>
        <w:fldChar w:fldCharType="begin"/>
      </w:r>
      <w:r>
        <w:instrText xml:space="preserve"> HYPERLINK "https://eur-lex.europa.eu/legal-content/EN/TXT/?uri=CELEX%3A02010R1093-20210626" </w:instrText>
      </w:r>
      <w:r>
        <w:fldChar w:fldCharType="separate"/>
      </w:r>
      <w:r w:rsidRPr="00720331">
        <w:rPr>
          <w:rStyle w:val="Hyperlink"/>
        </w:rPr>
        <w:t>Regulation (EU) No 1093/2010 of the European Parliament and of the Council of 24 November 2010 establishing the European Banking Authority.</w:t>
      </w:r>
    </w:p>
    <w:p w14:paraId="2685B65C" w14:textId="77777777" w:rsidR="00523590" w:rsidRDefault="00523590" w:rsidP="0070115C">
      <w:pPr>
        <w:pStyle w:val="FootnoteText"/>
        <w:jc w:val="both"/>
      </w:pPr>
      <w:r>
        <w:fldChar w:fldCharType="end"/>
      </w:r>
      <w:hyperlink r:id="rId4" w:history="1">
        <w:r w:rsidRPr="00720331">
          <w:rPr>
            <w:rStyle w:val="Hyperlink"/>
          </w:rPr>
          <w:t>Regulation (EU) No 1094/2010 of the European Parliament and of the Council of 24 November 2010 establishing the European Insurance and Occupational Pensions Authority.</w:t>
        </w:r>
      </w:hyperlink>
      <w:r>
        <w:t xml:space="preserve"> </w:t>
      </w:r>
    </w:p>
    <w:p w14:paraId="72B19CEB" w14:textId="77777777" w:rsidR="00523590" w:rsidRDefault="005F7C9B" w:rsidP="0070115C">
      <w:pPr>
        <w:pStyle w:val="FootnoteText"/>
      </w:pPr>
      <w:hyperlink r:id="rId5" w:history="1">
        <w:r w:rsidR="00523590" w:rsidRPr="00720331">
          <w:rPr>
            <w:rStyle w:val="Hyperlink"/>
          </w:rPr>
          <w:t>Regulation (EU) No 1095/2010 of the European Parliament and of the Council of 24 November 2010 establishing the European Securities and Markets Authority.</w:t>
        </w:r>
      </w:hyperlink>
    </w:p>
  </w:footnote>
  <w:footnote w:id="5">
    <w:p w14:paraId="22DDD7BD" w14:textId="5AAA00C2" w:rsidR="00523590" w:rsidRDefault="00523590" w:rsidP="008512A4">
      <w:pPr>
        <w:pStyle w:val="FootnoteText"/>
        <w:jc w:val="both"/>
      </w:pPr>
      <w:r>
        <w:rPr>
          <w:rStyle w:val="FootnoteReference"/>
        </w:rPr>
        <w:footnoteRef/>
      </w:r>
      <w:r>
        <w:t xml:space="preserve"> </w:t>
      </w:r>
      <w:r w:rsidRPr="008E6240">
        <w:t>Article</w:t>
      </w:r>
      <w:r>
        <w:t>s</w:t>
      </w:r>
      <w:r w:rsidRPr="008E6240">
        <w:t xml:space="preserve"> 81(2b) and </w:t>
      </w:r>
      <w:r>
        <w:t>81</w:t>
      </w:r>
      <w:r w:rsidRPr="008E6240">
        <w:t>(2c) of the ESMA Regulation ask</w:t>
      </w:r>
      <w:r>
        <w:t xml:space="preserve"> the Commission</w:t>
      </w:r>
      <w:r w:rsidRPr="008E6240">
        <w:t xml:space="preserve"> to assess the potential supervision of </w:t>
      </w:r>
      <w:r>
        <w:t>non-EU</w:t>
      </w:r>
      <w:r w:rsidRPr="008E6240">
        <w:t xml:space="preserve"> trading venues and central securities depositories. Th</w:t>
      </w:r>
      <w:r>
        <w:t xml:space="preserve">e potential supervision of central securities depositories has been </w:t>
      </w:r>
      <w:r w:rsidRPr="008E6240">
        <w:t>addressed as part of</w:t>
      </w:r>
      <w:r>
        <w:t xml:space="preserve"> the</w:t>
      </w:r>
      <w:r w:rsidRPr="008E6240">
        <w:t xml:space="preserve"> ongoing review of </w:t>
      </w:r>
      <w:r>
        <w:t xml:space="preserve">the </w:t>
      </w:r>
      <w:r w:rsidRPr="005E5978">
        <w:t>Central Securities Depository Regulation</w:t>
      </w:r>
      <w:r>
        <w:t xml:space="preserve"> (</w:t>
      </w:r>
      <w:r w:rsidRPr="00664B88">
        <w:t>https://ec.europa.eu/info/publications/220316-central-securities-depositories-regulation-review_en</w:t>
      </w:r>
      <w:r>
        <w:t xml:space="preserve">), while the </w:t>
      </w:r>
      <w:r w:rsidRPr="008E6240">
        <w:t xml:space="preserve">potential supervision of </w:t>
      </w:r>
      <w:r>
        <w:t>non-EU</w:t>
      </w:r>
      <w:r w:rsidRPr="008E6240">
        <w:t xml:space="preserve"> trading venues</w:t>
      </w:r>
      <w:r>
        <w:t xml:space="preserve"> will be assessed at a later stage.</w:t>
      </w:r>
    </w:p>
  </w:footnote>
  <w:footnote w:id="6">
    <w:p w14:paraId="33AA2495" w14:textId="46EC00C5" w:rsidR="00523590" w:rsidRDefault="00523590" w:rsidP="008512A4">
      <w:pPr>
        <w:pStyle w:val="FootnoteText"/>
        <w:jc w:val="both"/>
      </w:pPr>
      <w:r>
        <w:rPr>
          <w:rStyle w:val="FootnoteReference"/>
        </w:rPr>
        <w:footnoteRef/>
      </w:r>
      <w:r>
        <w:t xml:space="preserve"> </w:t>
      </w:r>
      <w:r w:rsidRPr="008E6240">
        <w:t xml:space="preserve">Article 81(2b) of the EBA Regulation asks </w:t>
      </w:r>
      <w:r>
        <w:t xml:space="preserve">the Commission </w:t>
      </w:r>
      <w:r w:rsidRPr="008E6240">
        <w:t>to assess</w:t>
      </w:r>
      <w:r>
        <w:t>: (i)</w:t>
      </w:r>
      <w:r w:rsidRPr="008E6240">
        <w:t xml:space="preserve"> the new </w:t>
      </w:r>
      <w:r>
        <w:t xml:space="preserve">tasks in both </w:t>
      </w:r>
      <w:r w:rsidRPr="008E6240">
        <w:t xml:space="preserve">anti-money laundering and countering the financing of terrorism (AML/CTF) </w:t>
      </w:r>
      <w:r>
        <w:t>that</w:t>
      </w:r>
      <w:r w:rsidRPr="008E6240">
        <w:t xml:space="preserve"> </w:t>
      </w:r>
      <w:r>
        <w:t xml:space="preserve">were </w:t>
      </w:r>
      <w:r w:rsidRPr="008E6240">
        <w:t xml:space="preserve">conferred </w:t>
      </w:r>
      <w:r>
        <w:t>on</w:t>
      </w:r>
      <w:r w:rsidRPr="008E6240">
        <w:t xml:space="preserve"> the EBA</w:t>
      </w:r>
      <w:r>
        <w:t>;</w:t>
      </w:r>
      <w:r w:rsidRPr="008E6240">
        <w:t xml:space="preserve"> and </w:t>
      </w:r>
      <w:r>
        <w:t xml:space="preserve">(ii) </w:t>
      </w:r>
      <w:r w:rsidRPr="008E6240">
        <w:t>the possibility of conferring specific tasks to an existing or a new dedicated EU-wide agency. This has been addressed in the AML/CTF legislative package</w:t>
      </w:r>
      <w:r>
        <w:t xml:space="preserve"> (</w:t>
      </w:r>
      <w:hyperlink r:id="rId6" w:history="1">
        <w:r w:rsidRPr="00E76C46">
          <w:rPr>
            <w:rStyle w:val="Hyperlink"/>
          </w:rPr>
          <w:t>https://ec.europa.eu/info/publications/210720-anti-money-laundering-countering-financing-terrorism_en</w:t>
        </w:r>
      </w:hyperlink>
      <w:r>
        <w:t>).</w:t>
      </w:r>
    </w:p>
  </w:footnote>
  <w:footnote w:id="7">
    <w:p w14:paraId="214A4771" w14:textId="77777777" w:rsidR="00523590" w:rsidRDefault="00523590" w:rsidP="008512A4">
      <w:pPr>
        <w:pStyle w:val="FootnoteText"/>
        <w:jc w:val="both"/>
      </w:pPr>
      <w:r>
        <w:rPr>
          <w:rStyle w:val="FootnoteReference"/>
        </w:rPr>
        <w:footnoteRef/>
      </w:r>
      <w:r>
        <w:t xml:space="preserve"> 2019 ESA review: </w:t>
      </w:r>
      <w:hyperlink r:id="rId7" w:history="1">
        <w:r>
          <w:rPr>
            <w:rStyle w:val="Hyperlink"/>
          </w:rPr>
          <w:t>Regulation (EU) 2019/2175, which reviews the powers, governance and funding of the ESAs.</w:t>
        </w:r>
      </w:hyperlink>
    </w:p>
  </w:footnote>
  <w:footnote w:id="8">
    <w:p w14:paraId="39A36F53" w14:textId="77777777" w:rsidR="00523590" w:rsidRDefault="00523590" w:rsidP="008512A4">
      <w:pPr>
        <w:pStyle w:val="FootnoteText"/>
        <w:jc w:val="both"/>
      </w:pPr>
      <w:r>
        <w:rPr>
          <w:rStyle w:val="FootnoteReference"/>
        </w:rPr>
        <w:footnoteRef/>
      </w:r>
      <w:r>
        <w:t xml:space="preserve"> The</w:t>
      </w:r>
      <w:r w:rsidRPr="00FE37C8">
        <w:t xml:space="preserve"> new direct</w:t>
      </w:r>
      <w:r>
        <w:t>-</w:t>
      </w:r>
      <w:r w:rsidRPr="00FE37C8">
        <w:t>supervision mandates enter</w:t>
      </w:r>
      <w:r>
        <w:t>ed</w:t>
      </w:r>
      <w:r w:rsidRPr="00FE37C8">
        <w:t xml:space="preserve"> into application </w:t>
      </w:r>
      <w:r>
        <w:t>in January</w:t>
      </w:r>
      <w:r w:rsidRPr="00FE37C8">
        <w:t xml:space="preserve"> 2022</w:t>
      </w:r>
      <w:r>
        <w:t>.</w:t>
      </w:r>
    </w:p>
  </w:footnote>
  <w:footnote w:id="9">
    <w:p w14:paraId="4DF2A29C" w14:textId="77777777" w:rsidR="00523590" w:rsidRDefault="00523590" w:rsidP="008512A4">
      <w:pPr>
        <w:pStyle w:val="FootnoteText"/>
        <w:jc w:val="both"/>
      </w:pPr>
      <w:r>
        <w:rPr>
          <w:rStyle w:val="FootnoteReference"/>
        </w:rPr>
        <w:footnoteRef/>
      </w:r>
      <w:r>
        <w:t xml:space="preserve">  </w:t>
      </w:r>
      <w:hyperlink r:id="rId8" w:history="1">
        <w:r w:rsidRPr="00E578F3">
          <w:rPr>
            <w:rStyle w:val="Hyperlink"/>
          </w:rPr>
          <w:t>https://ec.europa.eu/info/files/2021-esas-review-summary-of-responses_en</w:t>
        </w:r>
      </w:hyperlink>
    </w:p>
  </w:footnote>
  <w:footnote w:id="10">
    <w:p w14:paraId="7055243E" w14:textId="77777777" w:rsidR="00523590" w:rsidRDefault="00523590" w:rsidP="008512A4">
      <w:pPr>
        <w:pStyle w:val="FootnoteText"/>
        <w:jc w:val="both"/>
      </w:pPr>
      <w:r>
        <w:rPr>
          <w:rStyle w:val="FootnoteReference"/>
        </w:rPr>
        <w:footnoteRef/>
      </w:r>
      <w:r>
        <w:t xml:space="preserve"> </w:t>
      </w:r>
      <w:r w:rsidRPr="00154EA6">
        <w:t xml:space="preserve">I.e. peer reviews, </w:t>
      </w:r>
      <w:r w:rsidRPr="008512A4">
        <w:t>Union strategic supervisory priorities</w:t>
      </w:r>
      <w:r w:rsidRPr="00154EA6">
        <w:t xml:space="preserve">, new ESA tasks </w:t>
      </w:r>
      <w:r>
        <w:t>in</w:t>
      </w:r>
      <w:r w:rsidRPr="00154EA6">
        <w:t xml:space="preserve"> fostering supervisory independence,</w:t>
      </w:r>
      <w:r>
        <w:t xml:space="preserve"> breach of Union law, and mediation. </w:t>
      </w:r>
    </w:p>
  </w:footnote>
  <w:footnote w:id="11">
    <w:p w14:paraId="0D5C5C1B" w14:textId="77777777" w:rsidR="00523590" w:rsidRDefault="00523590" w:rsidP="008512A4">
      <w:pPr>
        <w:pStyle w:val="FootnoteText"/>
        <w:jc w:val="both"/>
      </w:pPr>
      <w:r>
        <w:rPr>
          <w:rStyle w:val="FootnoteReference"/>
        </w:rPr>
        <w:footnoteRef/>
      </w:r>
      <w:r>
        <w:t xml:space="preserve"> </w:t>
      </w:r>
      <w:r w:rsidRPr="00753D02">
        <w:t xml:space="preserve">For example, </w:t>
      </w:r>
      <w:r>
        <w:t xml:space="preserve">mentioned in this context were: </w:t>
      </w:r>
      <w:r w:rsidRPr="00753D02">
        <w:t xml:space="preserve">ESMA’s </w:t>
      </w:r>
      <w:r>
        <w:t>c</w:t>
      </w:r>
      <w:r w:rsidRPr="00753D02">
        <w:t xml:space="preserve">ommon </w:t>
      </w:r>
      <w:r>
        <w:t>s</w:t>
      </w:r>
      <w:r w:rsidRPr="00753D02">
        <w:t xml:space="preserve">upervisory </w:t>
      </w:r>
      <w:r>
        <w:t>a</w:t>
      </w:r>
      <w:r w:rsidRPr="00753D02">
        <w:t>ction (e.g. on UCITS liquidity management)</w:t>
      </w:r>
      <w:r>
        <w:t>;</w:t>
      </w:r>
      <w:r w:rsidRPr="00753D02">
        <w:t xml:space="preserve"> the Supervisory C</w:t>
      </w:r>
      <w:r>
        <w:t>oordination Network; the Senior</w:t>
      </w:r>
      <w:r w:rsidRPr="00753D02">
        <w:t xml:space="preserve"> Supervisors Forum</w:t>
      </w:r>
      <w:r>
        <w:t>;</w:t>
      </w:r>
      <w:r w:rsidRPr="00753D02">
        <w:t xml:space="preserve"> ESMA’s risk</w:t>
      </w:r>
      <w:r>
        <w:t>-</w:t>
      </w:r>
      <w:r w:rsidRPr="00753D02">
        <w:t>based approach towards supervisory convergence (</w:t>
      </w:r>
      <w:r>
        <w:t>‘</w:t>
      </w:r>
      <w:r w:rsidRPr="00753D02">
        <w:t>Heatmap</w:t>
      </w:r>
      <w:r>
        <w:t>’</w:t>
      </w:r>
      <w:r w:rsidRPr="00753D02">
        <w:t>)</w:t>
      </w:r>
      <w:r>
        <w:t>;</w:t>
      </w:r>
      <w:r w:rsidRPr="00753D02">
        <w:t xml:space="preserve"> discussion of real supervisory cases</w:t>
      </w:r>
      <w:r>
        <w:t>;</w:t>
      </w:r>
      <w:r w:rsidRPr="00753D02">
        <w:t xml:space="preserve"> EIOPA’s promotion of bilateral and multilateral exchanges of information (e.g. </w:t>
      </w:r>
      <w:r>
        <w:t>the c</w:t>
      </w:r>
      <w:r w:rsidRPr="00753D02">
        <w:t>ross-</w:t>
      </w:r>
      <w:r>
        <w:t>b</w:t>
      </w:r>
      <w:r w:rsidRPr="00753D02">
        <w:t xml:space="preserve">order </w:t>
      </w:r>
      <w:r>
        <w:t>n</w:t>
      </w:r>
      <w:r w:rsidRPr="00753D02">
        <w:t>otification project)</w:t>
      </w:r>
      <w:r>
        <w:t>;</w:t>
      </w:r>
      <w:r w:rsidRPr="00753D02">
        <w:t xml:space="preserve"> </w:t>
      </w:r>
      <w:r>
        <w:t xml:space="preserve">the </w:t>
      </w:r>
      <w:r w:rsidRPr="00753D02">
        <w:t>EBA’s annual plan and report on supervisory convergence</w:t>
      </w:r>
      <w:r>
        <w:t>;</w:t>
      </w:r>
      <w:r w:rsidRPr="00753D02">
        <w:t xml:space="preserve"> and</w:t>
      </w:r>
      <w:r>
        <w:t xml:space="preserve"> the EBA’s</w:t>
      </w:r>
      <w:r w:rsidRPr="00753D02">
        <w:t xml:space="preserve"> SREP </w:t>
      </w:r>
      <w:r>
        <w:t>g</w:t>
      </w:r>
      <w:r w:rsidRPr="00753D02">
        <w:t>uidelines</w:t>
      </w:r>
      <w:r>
        <w:t>.</w:t>
      </w:r>
    </w:p>
  </w:footnote>
  <w:footnote w:id="12">
    <w:p w14:paraId="2B463BC5" w14:textId="77777777" w:rsidR="00523590" w:rsidRDefault="00523590" w:rsidP="008512A4">
      <w:pPr>
        <w:pStyle w:val="FootnoteText"/>
        <w:jc w:val="both"/>
      </w:pPr>
      <w:r>
        <w:rPr>
          <w:rStyle w:val="FootnoteReference"/>
        </w:rPr>
        <w:footnoteRef/>
      </w:r>
      <w:r>
        <w:t xml:space="preserve"> A</w:t>
      </w:r>
      <w:r w:rsidRPr="00847D74">
        <w:t xml:space="preserve"> practical example of a no-action letter is that adopted by ESMA on 29 April 2020 in connection with the entry into application of the new sustainability-rel</w:t>
      </w:r>
      <w:r>
        <w:t xml:space="preserve">ated disclosures for benchmarks: </w:t>
      </w:r>
      <w:hyperlink r:id="rId9" w:history="1">
        <w:r w:rsidRPr="004E6A6E">
          <w:rPr>
            <w:rStyle w:val="Hyperlink"/>
          </w:rPr>
          <w:t>https://www.esma.europa.eu/press-news/esma-news/esma-issues-no-action-letter-new-esg-disclosure-requirements-under-benchmarks</w:t>
        </w:r>
      </w:hyperlink>
      <w:r>
        <w:rPr>
          <w:rStyle w:val="Hyperlink"/>
        </w:rPr>
        <w:t>.</w:t>
      </w:r>
    </w:p>
  </w:footnote>
  <w:footnote w:id="13">
    <w:p w14:paraId="406FC4BD" w14:textId="77777777" w:rsidR="00523590" w:rsidRDefault="00523590" w:rsidP="008512A4">
      <w:pPr>
        <w:pStyle w:val="FootnoteText"/>
        <w:jc w:val="both"/>
      </w:pPr>
      <w:r>
        <w:rPr>
          <w:rStyle w:val="FootnoteReference"/>
        </w:rPr>
        <w:footnoteRef/>
      </w:r>
      <w:r>
        <w:t xml:space="preserve"> See some examples: </w:t>
      </w:r>
      <w:hyperlink r:id="rId10" w:history="1">
        <w:r w:rsidRPr="004E6A6E">
          <w:rPr>
            <w:rStyle w:val="Hyperlink"/>
          </w:rPr>
          <w:t>https://www.esma.europa.eu/sites/default/files/library/esma70-156-4714_statement_access_etds_2021.pdf</w:t>
        </w:r>
      </w:hyperlink>
      <w:r>
        <w:t xml:space="preserve">; </w:t>
      </w:r>
      <w:hyperlink r:id="rId11" w:history="1">
        <w:r w:rsidRPr="004E6A6E">
          <w:rPr>
            <w:rStyle w:val="Hyperlink"/>
          </w:rPr>
          <w:t>https://www.esma.europa.eu/sites/default/files/library/esma35-43-2632_statement_suspension_rts_27.pdf</w:t>
        </w:r>
      </w:hyperlink>
      <w:r>
        <w:t>.</w:t>
      </w:r>
    </w:p>
  </w:footnote>
  <w:footnote w:id="14">
    <w:p w14:paraId="1ADB6E24" w14:textId="77777777" w:rsidR="00523590" w:rsidRDefault="00523590" w:rsidP="008512A4">
      <w:pPr>
        <w:pStyle w:val="FootnoteText"/>
        <w:jc w:val="both"/>
      </w:pPr>
      <w:r>
        <w:rPr>
          <w:rStyle w:val="FootnoteReference"/>
        </w:rPr>
        <w:footnoteRef/>
      </w:r>
      <w:r>
        <w:t xml:space="preserve"> See, for example, ESMA’s </w:t>
      </w:r>
      <w:r w:rsidRPr="00753D02">
        <w:t>risk</w:t>
      </w:r>
      <w:r>
        <w:t>-</w:t>
      </w:r>
      <w:r w:rsidRPr="00753D02">
        <w:t xml:space="preserve">based approach </w:t>
      </w:r>
      <w:r>
        <w:t>towards supervisory convergence (‘Heatmap’).</w:t>
      </w:r>
    </w:p>
  </w:footnote>
  <w:footnote w:id="15">
    <w:p w14:paraId="6F1D08A2" w14:textId="77777777" w:rsidR="00523590" w:rsidRDefault="00523590" w:rsidP="008512A4">
      <w:pPr>
        <w:pStyle w:val="FootnoteText"/>
        <w:jc w:val="both"/>
      </w:pPr>
      <w:r>
        <w:rPr>
          <w:rStyle w:val="FootnoteReference"/>
        </w:rPr>
        <w:footnoteRef/>
      </w:r>
      <w:r>
        <w:t xml:space="preserve"> ESMA conducted an ad-hoc peer review to </w:t>
      </w:r>
      <w:r w:rsidRPr="00F74514">
        <w:t>assess the supervisory response in the financial</w:t>
      </w:r>
      <w:r>
        <w:t>-</w:t>
      </w:r>
      <w:r w:rsidRPr="00F74514">
        <w:t xml:space="preserve">reporting area by BaFin and the Financial Reporting Enforcement Panel (FREP) to the events leading to the collapse of Wirecard AG. </w:t>
      </w:r>
      <w:r w:rsidRPr="00E22CFE">
        <w:t xml:space="preserve">The </w:t>
      </w:r>
      <w:r>
        <w:t>peer r</w:t>
      </w:r>
      <w:r w:rsidRPr="00E22CFE">
        <w:t xml:space="preserve">eview identified a number of </w:t>
      </w:r>
      <w:r>
        <w:t>shortcomings</w:t>
      </w:r>
      <w:r w:rsidRPr="00E22CFE">
        <w:t>. These relate to</w:t>
      </w:r>
      <w:r>
        <w:t>:</w:t>
      </w:r>
      <w:r w:rsidRPr="00E22CFE">
        <w:t xml:space="preserve"> the independen</w:t>
      </w:r>
      <w:r>
        <w:t>ce of BaFin</w:t>
      </w:r>
      <w:r w:rsidRPr="00E22CFE">
        <w:t xml:space="preserve"> from issuers and government; the market monitoring by b</w:t>
      </w:r>
      <w:r>
        <w:t>oth BaFin and the FREP</w:t>
      </w:r>
      <w:r w:rsidRPr="00E22CFE">
        <w:t xml:space="preserve">; examination procedures of the FREP; and the effectiveness of the supervisory system in the area of financial reporting. The </w:t>
      </w:r>
      <w:r>
        <w:t>p</w:t>
      </w:r>
      <w:r w:rsidRPr="00E22CFE">
        <w:t xml:space="preserve">eer </w:t>
      </w:r>
      <w:r>
        <w:t>r</w:t>
      </w:r>
      <w:r w:rsidRPr="00E22CFE">
        <w:t>eview provided recommendations to address these shortcomings</w:t>
      </w:r>
      <w:r>
        <w:t xml:space="preserve">: </w:t>
      </w:r>
      <w:hyperlink r:id="rId12" w:history="1">
        <w:r w:rsidRPr="00312003">
          <w:rPr>
            <w:color w:val="0000FF"/>
            <w:szCs w:val="22"/>
            <w:u w:val="single"/>
          </w:rPr>
          <w:t>esma42-111-5349_fast_track_peer_review_report_-_wirecard.pdf (europa.eu)</w:t>
        </w:r>
      </w:hyperlink>
      <w:r>
        <w:rPr>
          <w:color w:val="0000FF"/>
          <w:szCs w:val="22"/>
          <w:u w:val="single"/>
        </w:rPr>
        <w:t>.</w:t>
      </w:r>
    </w:p>
  </w:footnote>
  <w:footnote w:id="16">
    <w:p w14:paraId="47E11979" w14:textId="77777777" w:rsidR="00523590" w:rsidRDefault="00523590" w:rsidP="008512A4">
      <w:pPr>
        <w:pStyle w:val="FootnoteText"/>
        <w:jc w:val="both"/>
      </w:pPr>
      <w:r>
        <w:rPr>
          <w:rStyle w:val="FootnoteReference"/>
        </w:rPr>
        <w:footnoteRef/>
      </w:r>
      <w:r>
        <w:t xml:space="preserve"> These tools are cooperation practices to foster convergence that the ESAs have developed but that are not further specified in the founding regulations.</w:t>
      </w:r>
    </w:p>
  </w:footnote>
  <w:footnote w:id="17">
    <w:p w14:paraId="219B2315" w14:textId="77777777" w:rsidR="00523590" w:rsidRDefault="00523590" w:rsidP="008512A4">
      <w:pPr>
        <w:pStyle w:val="FootnoteText"/>
        <w:jc w:val="both"/>
      </w:pPr>
      <w:r>
        <w:rPr>
          <w:rStyle w:val="FootnoteReference"/>
        </w:rPr>
        <w:footnoteRef/>
      </w:r>
      <w:r>
        <w:t xml:space="preserve"> </w:t>
      </w:r>
      <w:r w:rsidRPr="00251FC5">
        <w:t>With this tool</w:t>
      </w:r>
      <w:r>
        <w:t>,</w:t>
      </w:r>
      <w:r w:rsidRPr="00251FC5">
        <w:t xml:space="preserve"> NCAs agree to assess simultaneously whether market participants in their jurisdictions adhere to the rules in their day-to-day business, based on a common methodology developed together with ESMA</w:t>
      </w:r>
      <w:r>
        <w:t>.</w:t>
      </w:r>
    </w:p>
  </w:footnote>
  <w:footnote w:id="18">
    <w:p w14:paraId="579D9439" w14:textId="77777777" w:rsidR="00523590" w:rsidRDefault="00523590" w:rsidP="008512A4">
      <w:pPr>
        <w:pStyle w:val="FootnoteText"/>
        <w:jc w:val="both"/>
      </w:pPr>
      <w:r>
        <w:rPr>
          <w:rStyle w:val="FootnoteReference"/>
        </w:rPr>
        <w:footnoteRef/>
      </w:r>
      <w:r>
        <w:t xml:space="preserve"> </w:t>
      </w:r>
      <w:hyperlink r:id="rId13" w:history="1">
        <w:r w:rsidRPr="0015040B">
          <w:rPr>
            <w:rStyle w:val="Hyperlink"/>
          </w:rPr>
          <w:t>Special Report 13/2021: EU efforts to fight money laundering in the banking sector are fragmented and implementation is insufficient</w:t>
        </w:r>
      </w:hyperlink>
      <w:r>
        <w:t xml:space="preserve">; </w:t>
      </w:r>
      <w:hyperlink r:id="rId14" w:history="1">
        <w:r w:rsidRPr="00211703">
          <w:rPr>
            <w:rStyle w:val="Hyperlink"/>
          </w:rPr>
          <w:t>Special report 04/2022: Investment funds EU actions have not yet created a true single market benefiting investors</w:t>
        </w:r>
      </w:hyperlink>
      <w:r>
        <w:rPr>
          <w:rStyle w:val="Hyperlink"/>
        </w:rPr>
        <w:t>.</w:t>
      </w:r>
    </w:p>
  </w:footnote>
  <w:footnote w:id="19">
    <w:p w14:paraId="534C465E" w14:textId="77777777" w:rsidR="00523590" w:rsidRDefault="00523590" w:rsidP="008512A4">
      <w:pPr>
        <w:pStyle w:val="FootnoteText"/>
        <w:jc w:val="both"/>
      </w:pPr>
      <w:r>
        <w:rPr>
          <w:rStyle w:val="FootnoteReference"/>
        </w:rPr>
        <w:footnoteRef/>
      </w:r>
      <w:r>
        <w:t xml:space="preserve"> See responses to the consultation and also </w:t>
      </w:r>
      <w:r w:rsidRPr="00251FC5">
        <w:t xml:space="preserve">ESMA’s 2020 reports on </w:t>
      </w:r>
      <w:r>
        <w:t xml:space="preserve">the </w:t>
      </w:r>
      <w:r w:rsidRPr="00251FC5">
        <w:t xml:space="preserve">use of </w:t>
      </w:r>
      <w:hyperlink r:id="rId15" w:history="1">
        <w:r w:rsidRPr="00377839">
          <w:rPr>
            <w:rStyle w:val="Hyperlink"/>
          </w:rPr>
          <w:t>sanctions for UCITS</w:t>
        </w:r>
      </w:hyperlink>
      <w:r>
        <w:t xml:space="preserve"> and on </w:t>
      </w:r>
      <w:hyperlink r:id="rId16" w:history="1">
        <w:r w:rsidRPr="00377839">
          <w:rPr>
            <w:rStyle w:val="Hyperlink"/>
          </w:rPr>
          <w:t>sanctions under AIFMD</w:t>
        </w:r>
      </w:hyperlink>
      <w:r>
        <w:t xml:space="preserve">. </w:t>
      </w:r>
      <w:r w:rsidRPr="00251FC5">
        <w:t xml:space="preserve">A Commission report under Article 99(3) of </w:t>
      </w:r>
      <w:r>
        <w:t xml:space="preserve">the </w:t>
      </w:r>
      <w:r w:rsidRPr="00251FC5">
        <w:t>UC</w:t>
      </w:r>
      <w:r>
        <w:t>ITS Directive is forthcoming.</w:t>
      </w:r>
    </w:p>
  </w:footnote>
  <w:footnote w:id="20">
    <w:p w14:paraId="30346110" w14:textId="77777777" w:rsidR="00523590" w:rsidRDefault="00523590" w:rsidP="008512A4">
      <w:pPr>
        <w:pStyle w:val="FootnoteText"/>
        <w:jc w:val="both"/>
      </w:pPr>
      <w:r>
        <w:rPr>
          <w:rStyle w:val="FootnoteReference"/>
        </w:rPr>
        <w:footnoteRef/>
      </w:r>
      <w:r>
        <w:t xml:space="preserve"> </w:t>
      </w:r>
      <w:hyperlink r:id="rId17" w:history="1">
        <w:r w:rsidRPr="00072D2C">
          <w:rPr>
            <w:rStyle w:val="Hyperlink"/>
          </w:rPr>
          <w:t>https://ec.europa.eu/info/publications/210922-solvency-2-communication_en</w:t>
        </w:r>
      </w:hyperlink>
    </w:p>
  </w:footnote>
  <w:footnote w:id="21">
    <w:p w14:paraId="647C5F47" w14:textId="310ED1A0" w:rsidR="00523590" w:rsidRDefault="00523590" w:rsidP="008512A4">
      <w:pPr>
        <w:pStyle w:val="FootnoteText"/>
        <w:jc w:val="both"/>
      </w:pPr>
      <w:r>
        <w:rPr>
          <w:rStyle w:val="FootnoteReference"/>
        </w:rPr>
        <w:footnoteRef/>
      </w:r>
      <w:r>
        <w:t xml:space="preserve"> According to Article 152b of </w:t>
      </w:r>
      <w:r w:rsidRPr="007535A2">
        <w:t>Directive 2009/138/EC</w:t>
      </w:r>
      <w:r>
        <w:t>, w</w:t>
      </w:r>
      <w:r w:rsidRPr="007535A2">
        <w:t>here cross-border insurance activities are significant with respect to the market of the host Member State and require close collaboration between the supervisory authorities of the home Member State and the host Member State, especially where an insurer might risk being in financial difficulties to the detriment of policyholders and third parties, EIOPA should set up and coordinate collaboration platforms.</w:t>
      </w:r>
    </w:p>
  </w:footnote>
  <w:footnote w:id="22">
    <w:p w14:paraId="1260170A" w14:textId="77777777" w:rsidR="00523590" w:rsidRDefault="00523590" w:rsidP="008512A4">
      <w:pPr>
        <w:pStyle w:val="FootnoteText"/>
        <w:jc w:val="both"/>
      </w:pPr>
      <w:r>
        <w:rPr>
          <w:rStyle w:val="FootnoteReference"/>
        </w:rPr>
        <w:footnoteRef/>
      </w:r>
      <w:r>
        <w:t xml:space="preserve"> </w:t>
      </w:r>
      <w:hyperlink r:id="rId18" w:history="1">
        <w:r w:rsidRPr="004E6A6E">
          <w:rPr>
            <w:rStyle w:val="Hyperlink"/>
          </w:rPr>
          <w:t>https://ec.europa.eu/info/publications/211125-capital-markets-union-package_en</w:t>
        </w:r>
      </w:hyperlink>
      <w:r>
        <w:rPr>
          <w:rStyle w:val="Hyperlink"/>
        </w:rPr>
        <w:t xml:space="preserve"> </w:t>
      </w:r>
    </w:p>
  </w:footnote>
  <w:footnote w:id="23">
    <w:p w14:paraId="0B6091DC" w14:textId="77777777" w:rsidR="00523590" w:rsidRDefault="00523590" w:rsidP="008512A4">
      <w:pPr>
        <w:pStyle w:val="FootnoteText"/>
        <w:jc w:val="both"/>
      </w:pPr>
      <w:r>
        <w:rPr>
          <w:rStyle w:val="FootnoteReference"/>
        </w:rPr>
        <w:footnoteRef/>
      </w:r>
      <w:r>
        <w:t xml:space="preserve"> </w:t>
      </w:r>
      <w:hyperlink r:id="rId19" w:anchor=":~:text=The%20objective%20of%20the%20strategy%20is%20to%20modernise,the%20aggregate%20reporting%20burden%20for%20all%20relevant%20parties." w:history="1">
        <w:r w:rsidRPr="000D1442">
          <w:rPr>
            <w:rStyle w:val="Hyperlink"/>
          </w:rPr>
          <w:t>Strategy on supervisory data in EU financial services | European Commission (europa.eu)</w:t>
        </w:r>
      </w:hyperlink>
      <w:r>
        <w:rPr>
          <w:rStyle w:val="Hyperlink"/>
        </w:rPr>
        <w:t>.</w:t>
      </w:r>
    </w:p>
  </w:footnote>
  <w:footnote w:id="24">
    <w:p w14:paraId="12C85361" w14:textId="77777777" w:rsidR="00523590" w:rsidRDefault="00523590" w:rsidP="008512A4">
      <w:pPr>
        <w:pStyle w:val="FootnoteText"/>
        <w:jc w:val="both"/>
      </w:pPr>
      <w:r>
        <w:rPr>
          <w:rStyle w:val="FootnoteReference"/>
        </w:rPr>
        <w:footnoteRef/>
      </w:r>
      <w:r>
        <w:t xml:space="preserve"> </w:t>
      </w:r>
      <w:hyperlink r:id="rId20" w:history="1">
        <w:r w:rsidRPr="009C64FB">
          <w:rPr>
            <w:rStyle w:val="Hyperlink"/>
          </w:rPr>
          <w:t>https://ec.europa.eu/info/publications/211027-banking-package_en</w:t>
        </w:r>
      </w:hyperlink>
    </w:p>
  </w:footnote>
  <w:footnote w:id="25">
    <w:p w14:paraId="2A337B65" w14:textId="4F2A7F90" w:rsidR="00523590" w:rsidRDefault="00523590">
      <w:pPr>
        <w:pStyle w:val="FootnoteText"/>
      </w:pPr>
      <w:r>
        <w:rPr>
          <w:rStyle w:val="FootnoteReference"/>
        </w:rPr>
        <w:footnoteRef/>
      </w:r>
      <w:r>
        <w:t xml:space="preserve"> New Article 32a in </w:t>
      </w:r>
      <w:hyperlink r:id="rId21" w:history="1">
        <w:r w:rsidRPr="008610E2">
          <w:rPr>
            <w:rStyle w:val="Hyperlink"/>
          </w:rPr>
          <w:t>MIFIR proposal of 25-11-2021 (COM/2021/727 final)</w:t>
        </w:r>
      </w:hyperlink>
      <w:r>
        <w:rPr>
          <w:rStyle w:val="Hyperlink"/>
        </w:rPr>
        <w:t xml:space="preserve"> on s</w:t>
      </w:r>
      <w:r w:rsidRPr="00D70B49">
        <w:rPr>
          <w:rStyle w:val="Hyperlink"/>
        </w:rPr>
        <w:t>tand-alone suspension of the trading obligation</w:t>
      </w:r>
    </w:p>
  </w:footnote>
  <w:footnote w:id="26">
    <w:p w14:paraId="14118C4A" w14:textId="77777777" w:rsidR="00523590" w:rsidRDefault="00523590" w:rsidP="008512A4">
      <w:pPr>
        <w:pStyle w:val="FootnoteText"/>
        <w:jc w:val="both"/>
      </w:pPr>
      <w:r>
        <w:rPr>
          <w:rStyle w:val="FootnoteReference"/>
        </w:rPr>
        <w:footnoteRef/>
      </w:r>
      <w:r>
        <w:t xml:space="preserve"> G</w:t>
      </w:r>
      <w:r w:rsidRPr="00AB6212">
        <w:t>overnance</w:t>
      </w:r>
      <w:r>
        <w:t>,</w:t>
      </w:r>
      <w:r w:rsidRPr="00AB6212">
        <w:t xml:space="preserve"> in the context of the </w:t>
      </w:r>
      <w:r>
        <w:t>b</w:t>
      </w:r>
      <w:r w:rsidRPr="00AB6212">
        <w:t>reach</w:t>
      </w:r>
      <w:r>
        <w:t>-</w:t>
      </w:r>
      <w:r w:rsidRPr="00AB6212">
        <w:t>of</w:t>
      </w:r>
      <w:r>
        <w:t>-</w:t>
      </w:r>
      <w:r w:rsidRPr="00AB6212">
        <w:t>Union law process</w:t>
      </w:r>
      <w:r>
        <w:t>,</w:t>
      </w:r>
      <w:r w:rsidRPr="00AB6212">
        <w:t xml:space="preserve"> was strengthened by</w:t>
      </w:r>
      <w:r>
        <w:t>: (i)</w:t>
      </w:r>
      <w:r w:rsidRPr="00AB6212">
        <w:t xml:space="preserve"> introducing independent panels</w:t>
      </w:r>
      <w:r>
        <w:t xml:space="preserve">; (ii) </w:t>
      </w:r>
      <w:r w:rsidRPr="00AB6212">
        <w:t>taking decisions through written non-objection procedure</w:t>
      </w:r>
      <w:r>
        <w:t>s;</w:t>
      </w:r>
      <w:r w:rsidRPr="00AB6212">
        <w:t xml:space="preserve"> and </w:t>
      </w:r>
      <w:r>
        <w:t>(iii)</w:t>
      </w:r>
      <w:r w:rsidRPr="00AB6212">
        <w:t xml:space="preserve"> removing the voting right of the member who allegedly breached Union law</w:t>
      </w:r>
      <w:r>
        <w:t>.</w:t>
      </w:r>
    </w:p>
  </w:footnote>
  <w:footnote w:id="27">
    <w:p w14:paraId="003FA803" w14:textId="77777777" w:rsidR="00523590" w:rsidRDefault="00523590" w:rsidP="008512A4">
      <w:pPr>
        <w:pStyle w:val="FootnoteText"/>
        <w:jc w:val="both"/>
      </w:pPr>
      <w:r>
        <w:rPr>
          <w:rStyle w:val="FootnoteReference"/>
        </w:rPr>
        <w:footnoteRef/>
      </w:r>
      <w:r>
        <w:t xml:space="preserve"> The a</w:t>
      </w:r>
      <w:r w:rsidRPr="004540FA">
        <w:t>llegations of a potential breach of Union law by the Danish Financial Services Authority in the context of the Danske Bank money-laundering case</w:t>
      </w:r>
      <w:r>
        <w:t xml:space="preserve"> (t</w:t>
      </w:r>
      <w:r w:rsidRPr="00C556C9">
        <w:t>he last case</w:t>
      </w:r>
      <w:r>
        <w:t xml:space="preserve"> </w:t>
      </w:r>
      <w:r w:rsidRPr="00C556C9">
        <w:t>of an alleged breach of Union law</w:t>
      </w:r>
      <w:r>
        <w:t>)</w:t>
      </w:r>
      <w:r w:rsidRPr="00C556C9">
        <w:t xml:space="preserve"> took place before the </w:t>
      </w:r>
      <w:r>
        <w:t>latest changes started to apply.</w:t>
      </w:r>
      <w:r w:rsidRPr="00C556C9">
        <w:t xml:space="preserve"> </w:t>
      </w:r>
      <w:r>
        <w:t>I</w:t>
      </w:r>
      <w:r w:rsidRPr="00C556C9">
        <w:t>t is not possible to conclude whether the outcome would have been different under the revised rules.</w:t>
      </w:r>
    </w:p>
  </w:footnote>
  <w:footnote w:id="28">
    <w:p w14:paraId="251D2640" w14:textId="77777777" w:rsidR="00523590" w:rsidRDefault="00523590">
      <w:pPr>
        <w:pStyle w:val="FootnoteText"/>
      </w:pPr>
      <w:r>
        <w:rPr>
          <w:rStyle w:val="FootnoteReference"/>
        </w:rPr>
        <w:footnoteRef/>
      </w:r>
      <w:r>
        <w:t xml:space="preserve"> See footnote 16 for references to both ECA reports.</w:t>
      </w:r>
    </w:p>
  </w:footnote>
  <w:footnote w:id="29">
    <w:p w14:paraId="6A5130B4" w14:textId="77777777" w:rsidR="00523590" w:rsidRDefault="00523590" w:rsidP="008512A4">
      <w:pPr>
        <w:pStyle w:val="FootnoteText"/>
        <w:jc w:val="both"/>
      </w:pPr>
      <w:r>
        <w:rPr>
          <w:rStyle w:val="FootnoteReference"/>
        </w:rPr>
        <w:footnoteRef/>
      </w:r>
      <w:r>
        <w:t xml:space="preserve"> For example, stakeholders observed that: (i) </w:t>
      </w:r>
      <w:r w:rsidRPr="003474D5">
        <w:t>more meetings and direct dialogues with firms and not only with associations</w:t>
      </w:r>
      <w:r>
        <w:t xml:space="preserve"> could be organised; (ii) </w:t>
      </w:r>
      <w:r w:rsidRPr="003474D5">
        <w:t xml:space="preserve">consultations </w:t>
      </w:r>
      <w:r>
        <w:t xml:space="preserve">are </w:t>
      </w:r>
      <w:r w:rsidRPr="003474D5">
        <w:t>sometimes too narrow and technical</w:t>
      </w:r>
      <w:r>
        <w:t>;</w:t>
      </w:r>
      <w:r w:rsidRPr="003474D5">
        <w:t xml:space="preserve"> </w:t>
      </w:r>
      <w:r>
        <w:t>and (iii)</w:t>
      </w:r>
      <w:r w:rsidRPr="003474D5">
        <w:t xml:space="preserve"> feedback </w:t>
      </w:r>
      <w:r>
        <w:t xml:space="preserve">could be provided </w:t>
      </w:r>
      <w:r w:rsidRPr="003474D5">
        <w:t>on how stakeholders views were taken into account</w:t>
      </w:r>
      <w:r>
        <w:t>.</w:t>
      </w:r>
    </w:p>
  </w:footnote>
  <w:footnote w:id="30">
    <w:p w14:paraId="47C64E3E" w14:textId="77777777" w:rsidR="00523590" w:rsidRPr="004D0D2B" w:rsidRDefault="00523590" w:rsidP="008512A4">
      <w:pPr>
        <w:pStyle w:val="FootnoteText"/>
        <w:jc w:val="both"/>
        <w:rPr>
          <w:lang w:val="pt-PT"/>
        </w:rPr>
      </w:pPr>
      <w:r>
        <w:rPr>
          <w:rStyle w:val="FootnoteReference"/>
        </w:rPr>
        <w:footnoteRef/>
      </w:r>
      <w:r w:rsidRPr="004D0D2B">
        <w:rPr>
          <w:lang w:val="pt-PT"/>
        </w:rPr>
        <w:t xml:space="preserve"> </w:t>
      </w:r>
      <w:hyperlink r:id="rId22" w:history="1">
        <w:r w:rsidRPr="005A2AB9">
          <w:rPr>
            <w:rStyle w:val="Hyperlink"/>
            <w:lang w:val="pt-PT"/>
          </w:rPr>
          <w:t>ESMA report</w:t>
        </w:r>
      </w:hyperlink>
      <w:r w:rsidRPr="005A2AB9">
        <w:rPr>
          <w:lang w:val="pt-PT"/>
        </w:rPr>
        <w:t xml:space="preserve">; </w:t>
      </w:r>
      <w:hyperlink r:id="rId23" w:history="1">
        <w:r>
          <w:rPr>
            <w:rStyle w:val="Hyperlink"/>
            <w:lang w:val="pt-PT"/>
          </w:rPr>
          <w:t>EBA report</w:t>
        </w:r>
      </w:hyperlink>
      <w:r>
        <w:rPr>
          <w:lang w:val="pt-PT"/>
        </w:rPr>
        <w:t xml:space="preserve">; </w:t>
      </w:r>
      <w:hyperlink r:id="rId24" w:history="1">
        <w:r>
          <w:rPr>
            <w:rStyle w:val="Hyperlink"/>
            <w:lang w:val="pt-PT"/>
          </w:rPr>
          <w:t>EIOPA report</w:t>
        </w:r>
      </w:hyperlink>
      <w:r>
        <w:rPr>
          <w:rStyle w:val="Hyperlink"/>
          <w:lang w:val="pt-PT"/>
        </w:rPr>
        <w:t>.</w:t>
      </w:r>
    </w:p>
  </w:footnote>
  <w:footnote w:id="31">
    <w:p w14:paraId="1DB48D19" w14:textId="77777777" w:rsidR="00523590" w:rsidRDefault="00523590" w:rsidP="008512A4">
      <w:pPr>
        <w:pStyle w:val="FootnoteText"/>
        <w:jc w:val="both"/>
      </w:pPr>
      <w:r>
        <w:rPr>
          <w:rStyle w:val="FootnoteReference"/>
        </w:rPr>
        <w:footnoteRef/>
      </w:r>
      <w:r>
        <w:t xml:space="preserve"> </w:t>
      </w:r>
      <w:hyperlink r:id="rId25" w:history="1">
        <w:r w:rsidRPr="00B60394">
          <w:rPr>
            <w:rStyle w:val="Hyperlink"/>
          </w:rPr>
          <w:t>https://ec.europa.eu/info/publications/211027-banking-package_en</w:t>
        </w:r>
      </w:hyperlink>
      <w:r w:rsidRPr="00B60394">
        <w:rPr>
          <w:rStyle w:val="Hyperlink"/>
        </w:rPr>
        <w:t xml:space="preserve">; </w:t>
      </w:r>
      <w:r w:rsidRPr="00557637">
        <w:rPr>
          <w:bCs/>
        </w:rPr>
        <w:t xml:space="preserve">Article 4 of the Capital Requirements Directive would be amended to clarify how Member States must ensure that the independence of competent authorities, including their staff and governance bodies, is preserved. Minimum requirements </w:t>
      </w:r>
      <w:r>
        <w:rPr>
          <w:bCs/>
        </w:rPr>
        <w:t>would be</w:t>
      </w:r>
      <w:r w:rsidRPr="00557637">
        <w:rPr>
          <w:bCs/>
        </w:rPr>
        <w:t xml:space="preserve"> introduced to prevent conflicts of interest in the supervisory tasks of competent authorities, their staff and governance bodies</w:t>
      </w:r>
      <w:r>
        <w:rPr>
          <w:bCs/>
        </w:rPr>
        <w:t xml:space="preserve">. The </w:t>
      </w:r>
      <w:r w:rsidRPr="00557637">
        <w:rPr>
          <w:bCs/>
        </w:rPr>
        <w:t xml:space="preserve">EBA </w:t>
      </w:r>
      <w:r>
        <w:rPr>
          <w:bCs/>
        </w:rPr>
        <w:t>would also be</w:t>
      </w:r>
      <w:r w:rsidRPr="00557637">
        <w:rPr>
          <w:bCs/>
        </w:rPr>
        <w:t xml:space="preserve"> mandated to develop guidelines in that regard, taking into account international best practices. These measures respond to problems that emerged in the Wirecard case in particular.</w:t>
      </w:r>
    </w:p>
  </w:footnote>
  <w:footnote w:id="32">
    <w:p w14:paraId="3295B320" w14:textId="77777777" w:rsidR="00523590" w:rsidRDefault="00523590" w:rsidP="008512A4">
      <w:pPr>
        <w:pStyle w:val="FootnoteText"/>
        <w:jc w:val="both"/>
      </w:pPr>
      <w:r>
        <w:rPr>
          <w:rStyle w:val="FootnoteReference"/>
        </w:rPr>
        <w:footnoteRef/>
      </w:r>
      <w:r>
        <w:t xml:space="preserve"> </w:t>
      </w:r>
      <w:r w:rsidRPr="00D04D98">
        <w:t>Regulation (EU) 2019/2099 of the European Parliament and of the Council of 23 October 2019 amending Regulation (EU) No 648/2012 as regards the procedures and authorities involved for the authorisation of CCPs and requirements for the recognition of third-country CCPs</w:t>
      </w:r>
      <w:r>
        <w:t>.</w:t>
      </w:r>
    </w:p>
  </w:footnote>
  <w:footnote w:id="33">
    <w:p w14:paraId="3405B18F" w14:textId="77777777" w:rsidR="00523590" w:rsidRDefault="00523590" w:rsidP="008512A4">
      <w:pPr>
        <w:pStyle w:val="FootnoteText"/>
        <w:jc w:val="both"/>
      </w:pPr>
      <w:r>
        <w:rPr>
          <w:rStyle w:val="FootnoteReference"/>
        </w:rPr>
        <w:footnoteRef/>
      </w:r>
      <w:r>
        <w:t xml:space="preserve"> </w:t>
      </w:r>
      <w:r w:rsidRPr="00557637">
        <w:t>European Parliament resolution of 8 October 2020 on further development of the CMU: improving access to capital market finance, in particular by SMEs, and further enabling retail investor participation</w:t>
      </w:r>
      <w:r>
        <w:rPr>
          <w:rStyle w:val="Hyperlink"/>
          <w:color w:val="auto"/>
        </w:rPr>
        <w:t xml:space="preserve"> (</w:t>
      </w:r>
      <w:hyperlink r:id="rId26" w:history="1">
        <w:r w:rsidRPr="003114B4">
          <w:rPr>
            <w:rStyle w:val="Hyperlink"/>
          </w:rPr>
          <w:t>https://www.europarl.europa.eu/doceo/document/TA-9-2020-0266_EN.html</w:t>
        </w:r>
      </w:hyperlink>
      <w:r>
        <w:rPr>
          <w:rStyle w:val="Hyperlink"/>
          <w:color w:val="auto"/>
        </w:rPr>
        <w:t>).</w:t>
      </w:r>
    </w:p>
  </w:footnote>
  <w:footnote w:id="34">
    <w:p w14:paraId="59799A1B" w14:textId="77777777" w:rsidR="00523590" w:rsidRDefault="00523590" w:rsidP="008512A4">
      <w:pPr>
        <w:pStyle w:val="FootnoteText"/>
        <w:jc w:val="both"/>
      </w:pPr>
      <w:r>
        <w:rPr>
          <w:rStyle w:val="FootnoteReference"/>
        </w:rPr>
        <w:footnoteRef/>
      </w:r>
      <w:r>
        <w:t xml:space="preserve"> </w:t>
      </w:r>
      <w:r w:rsidRPr="005D5156">
        <w:t xml:space="preserve">Supervision of significant asset-referenced tokens and significant e-money tokens by </w:t>
      </w:r>
      <w:r>
        <w:t xml:space="preserve">the </w:t>
      </w:r>
      <w:r w:rsidRPr="005D5156">
        <w:t>EBA is included in the Commission’s MiCA proposal (COM (2020) 593 final of 24.9.2020) (</w:t>
      </w:r>
      <w:hyperlink r:id="rId27" w:history="1">
        <w:r w:rsidRPr="005D5156">
          <w:rPr>
            <w:rStyle w:val="Hyperlink"/>
          </w:rPr>
          <w:t>https://eur-lex.europa.eu/resource.html?uri=cellar:f69f89bb-fe54-11ea-b44f-01aa75ed71a1.0001.02/DOC_1&amp;format=PDF</w:t>
        </w:r>
      </w:hyperlink>
      <w:r w:rsidRPr="005D5156">
        <w:t>)</w:t>
      </w:r>
      <w:r>
        <w:t>.</w:t>
      </w:r>
    </w:p>
  </w:footnote>
  <w:footnote w:id="35">
    <w:p w14:paraId="2919F1E0" w14:textId="77777777" w:rsidR="00523590" w:rsidRPr="005D5156" w:rsidRDefault="00523590" w:rsidP="00CA65C6">
      <w:pPr>
        <w:pStyle w:val="FootnoteText"/>
        <w:jc w:val="both"/>
        <w:rPr>
          <w:lang w:val="en-IE"/>
        </w:rPr>
      </w:pPr>
      <w:r>
        <w:rPr>
          <w:rStyle w:val="FootnoteReference"/>
        </w:rPr>
        <w:footnoteRef/>
      </w:r>
      <w:r>
        <w:t xml:space="preserve"> </w:t>
      </w:r>
      <w:r w:rsidRPr="005D5156">
        <w:t>Oversight of critical ICT third-party service</w:t>
      </w:r>
      <w:r>
        <w:t>s</w:t>
      </w:r>
      <w:r w:rsidRPr="005D5156">
        <w:t xml:space="preserve"> provide</w:t>
      </w:r>
      <w:r>
        <w:t>d</w:t>
      </w:r>
      <w:r w:rsidRPr="005D5156">
        <w:t xml:space="preserve"> by the ESAs is included in the Commission’s DORA proposal (COM(2020) 595 final of 24.9.2020)</w:t>
      </w:r>
      <w:r>
        <w:t xml:space="preserve"> </w:t>
      </w:r>
      <w:r w:rsidRPr="005D5156">
        <w:t>(</w:t>
      </w:r>
      <w:hyperlink r:id="rId28" w:history="1">
        <w:r w:rsidRPr="005D5156">
          <w:rPr>
            <w:rStyle w:val="Hyperlink"/>
          </w:rPr>
          <w:t>https://eur-lex.europa.eu/legal-content/EN/ALL/?uri=COM:2020:595:FIN</w:t>
        </w:r>
      </w:hyperlink>
      <w:r w:rsidRPr="005D5156">
        <w:t>)</w:t>
      </w:r>
      <w:r>
        <w:t>.</w:t>
      </w:r>
      <w:r w:rsidRPr="005D5156">
        <w:t xml:space="preserve"> </w:t>
      </w:r>
    </w:p>
  </w:footnote>
  <w:footnote w:id="36">
    <w:p w14:paraId="6360DFB6" w14:textId="77777777" w:rsidR="00523590" w:rsidRDefault="00523590" w:rsidP="008512A4">
      <w:pPr>
        <w:pStyle w:val="FootnoteText"/>
        <w:jc w:val="both"/>
      </w:pPr>
      <w:r>
        <w:rPr>
          <w:rStyle w:val="FootnoteReference"/>
        </w:rPr>
        <w:footnoteRef/>
      </w:r>
      <w:r>
        <w:t xml:space="preserve"> </w:t>
      </w:r>
      <w:r w:rsidRPr="005D5156">
        <w:t>Supervision of external verifiers of EU green bonds by ESMA is included in the Commission’s proposal on European Green Bonds (COM(2021) 391 final of 6.7.2021)</w:t>
      </w:r>
      <w:r>
        <w:t xml:space="preserve"> (</w:t>
      </w:r>
      <w:hyperlink r:id="rId29" w:history="1">
        <w:r w:rsidRPr="00E91AB7">
          <w:rPr>
            <w:rStyle w:val="Hyperlink"/>
          </w:rPr>
          <w:t>https://eur-lex.europa.eu/legal-content/EN/TXT/?uri=CELEX:52021PC0391</w:t>
        </w:r>
      </w:hyperlink>
      <w:r>
        <w:t>).</w:t>
      </w:r>
    </w:p>
  </w:footnote>
  <w:footnote w:id="37">
    <w:p w14:paraId="167331F2" w14:textId="77777777" w:rsidR="00523590" w:rsidRDefault="00523590" w:rsidP="008512A4">
      <w:pPr>
        <w:pStyle w:val="FootnoteText"/>
        <w:jc w:val="both"/>
      </w:pPr>
      <w:r>
        <w:rPr>
          <w:rStyle w:val="FootnoteReference"/>
        </w:rPr>
        <w:footnoteRef/>
      </w:r>
      <w:r>
        <w:t xml:space="preserve"> </w:t>
      </w:r>
      <w:r w:rsidRPr="005D5156">
        <w:t>Commissioner McGuinness announces proposed way forward for central clearing</w:t>
      </w:r>
      <w:r>
        <w:t xml:space="preserve"> (</w:t>
      </w:r>
      <w:r w:rsidRPr="005D5156">
        <w:rPr>
          <w:rStyle w:val="Hyperlink"/>
        </w:rPr>
        <w:t>https://ec.europa.eu/commission/presscorner/detail/en/STATEMENT_21_5905</w:t>
      </w:r>
      <w:r w:rsidRPr="005D5156">
        <w:rPr>
          <w:rStyle w:val="Hyperlink"/>
          <w:color w:val="auto"/>
        </w:rPr>
        <w:t>)</w:t>
      </w:r>
      <w:r>
        <w:rPr>
          <w:rStyle w:val="Hyperlink"/>
          <w:color w:val="auto"/>
        </w:rPr>
        <w:t>.</w:t>
      </w:r>
    </w:p>
  </w:footnote>
  <w:footnote w:id="38">
    <w:p w14:paraId="5C4FC8CF" w14:textId="77777777" w:rsidR="00523590" w:rsidRDefault="00523590" w:rsidP="008512A4">
      <w:pPr>
        <w:pStyle w:val="FootnoteText"/>
        <w:jc w:val="both"/>
      </w:pPr>
      <w:r>
        <w:rPr>
          <w:rStyle w:val="FootnoteReference"/>
        </w:rPr>
        <w:footnoteRef/>
      </w:r>
      <w:r>
        <w:t xml:space="preserve"> </w:t>
      </w:r>
      <w:bookmarkStart w:id="2" w:name="_Hlk97396680"/>
      <w:r w:rsidRPr="005D5156">
        <w:fldChar w:fldCharType="begin"/>
      </w:r>
      <w:r w:rsidRPr="005D5156">
        <w:instrText xml:space="preserve"> HYPERLINK "https://ec.europa.eu/info/business-economy-euro/banking-and-finance/regulatory-process-financial-services/consultations-banking-and-finance/targeted-consultation-review-central-clearing-framework-eu_en" </w:instrText>
      </w:r>
      <w:r w:rsidRPr="005D5156">
        <w:fldChar w:fldCharType="separate"/>
      </w:r>
      <w:r w:rsidRPr="005D5156">
        <w:t xml:space="preserve">Targeted consultation on the review of the central clearing framework in the </w:t>
      </w:r>
      <w:bookmarkEnd w:id="2"/>
      <w:r w:rsidRPr="005D5156">
        <w:t>EU</w:t>
      </w:r>
      <w:r w:rsidRPr="005D5156">
        <w:fldChar w:fldCharType="end"/>
      </w:r>
      <w:r>
        <w:t xml:space="preserve"> (</w:t>
      </w:r>
      <w:hyperlink r:id="rId30" w:history="1">
        <w:r w:rsidRPr="00E91AB7">
          <w:rPr>
            <w:rStyle w:val="Hyperlink"/>
          </w:rPr>
          <w:t>https://ec.europa.eu/info/business-economy-euro/banking-and-finance/regulatory-process-financial-services/consultations-banking-and-finance/targeted-consultation-review-central-clearing-framework-eu_en</w:t>
        </w:r>
      </w:hyperlink>
      <w:r>
        <w:t>).</w:t>
      </w:r>
    </w:p>
  </w:footnote>
  <w:footnote w:id="39">
    <w:p w14:paraId="7BD79A5E" w14:textId="77777777" w:rsidR="00523590" w:rsidRPr="00850B94" w:rsidRDefault="00523590" w:rsidP="008512A4">
      <w:pPr>
        <w:pStyle w:val="FootnoteText"/>
        <w:jc w:val="both"/>
      </w:pPr>
      <w:r>
        <w:rPr>
          <w:rStyle w:val="FootnoteReference"/>
        </w:rPr>
        <w:footnoteRef/>
      </w:r>
      <w:r>
        <w:t xml:space="preserve"> See footnote 4. </w:t>
      </w:r>
    </w:p>
  </w:footnote>
  <w:footnote w:id="40">
    <w:p w14:paraId="1949FAF1" w14:textId="0818F628" w:rsidR="00523590" w:rsidRDefault="00523590" w:rsidP="008512A4">
      <w:pPr>
        <w:pStyle w:val="FootnoteText"/>
        <w:jc w:val="both"/>
      </w:pPr>
      <w:r>
        <w:rPr>
          <w:rStyle w:val="FootnoteReference"/>
        </w:rPr>
        <w:footnoteRef/>
      </w:r>
      <w:r>
        <w:t xml:space="preserve"> For example, in the case of Taxonomy Regulation, the Commission issued a public statement explaining that compliance with certain disclosure obligations would be impossible as long as the relevant delegated act (in the example, relating to the technical screening criteria) was missing.</w:t>
      </w:r>
    </w:p>
  </w:footnote>
  <w:footnote w:id="41">
    <w:p w14:paraId="462CAD84" w14:textId="77777777" w:rsidR="00523590" w:rsidRDefault="00523590" w:rsidP="008512A4">
      <w:pPr>
        <w:pStyle w:val="FootnoteText"/>
        <w:jc w:val="both"/>
      </w:pPr>
      <w:r>
        <w:rPr>
          <w:rStyle w:val="FootnoteReference"/>
        </w:rPr>
        <w:footnoteRef/>
      </w:r>
      <w:r>
        <w:t xml:space="preserve"> </w:t>
      </w:r>
      <w:hyperlink r:id="rId31" w:history="1">
        <w:r w:rsidRPr="00575DBC">
          <w:rPr>
            <w:rStyle w:val="Hyperlink"/>
          </w:rPr>
          <w:t>https://www.esma.europa.eu/press-news/esma-news/esma-responds-european-commission-consultation-esas</w:t>
        </w:r>
      </w:hyperlink>
    </w:p>
  </w:footnote>
  <w:footnote w:id="42">
    <w:p w14:paraId="3B09831C" w14:textId="77777777" w:rsidR="00523590" w:rsidRPr="00715C6B" w:rsidRDefault="00523590" w:rsidP="008512A4">
      <w:pPr>
        <w:pStyle w:val="FootnoteText"/>
        <w:jc w:val="both"/>
        <w:rPr>
          <w:rStyle w:val="FootnoteReference"/>
          <w:sz w:val="22"/>
          <w:szCs w:val="22"/>
        </w:rPr>
      </w:pPr>
      <w:r>
        <w:rPr>
          <w:rStyle w:val="FootnoteReference"/>
        </w:rPr>
        <w:footnoteRef/>
      </w:r>
      <w:r>
        <w:t xml:space="preserve"> Such as the supervision of providers of data-reporting services</w:t>
      </w:r>
      <w:r w:rsidRPr="00715C6B">
        <w:t>, securitisation repositories</w:t>
      </w:r>
      <w:r>
        <w:t>,</w:t>
      </w:r>
      <w:r w:rsidRPr="00715C6B">
        <w:t xml:space="preserve"> and certain </w:t>
      </w:r>
      <w:r>
        <w:t>benchmark providers.</w:t>
      </w:r>
    </w:p>
  </w:footnote>
  <w:footnote w:id="43">
    <w:p w14:paraId="76F7A10F" w14:textId="77777777" w:rsidR="00523590" w:rsidRDefault="00523590" w:rsidP="008512A4">
      <w:pPr>
        <w:pStyle w:val="FootnoteText"/>
        <w:jc w:val="both"/>
      </w:pPr>
      <w:r>
        <w:rPr>
          <w:rStyle w:val="FootnoteReference"/>
        </w:rPr>
        <w:footnoteRef/>
      </w:r>
      <w:r>
        <w:t xml:space="preserve"> See footnote 18.</w:t>
      </w:r>
    </w:p>
  </w:footnote>
  <w:footnote w:id="44">
    <w:p w14:paraId="14EABF21" w14:textId="77777777" w:rsidR="00523590" w:rsidRDefault="00523590" w:rsidP="008512A4">
      <w:pPr>
        <w:pStyle w:val="FootnoteText"/>
        <w:jc w:val="both"/>
      </w:pPr>
      <w:r>
        <w:rPr>
          <w:rStyle w:val="FootnoteReference"/>
        </w:rPr>
        <w:footnoteRef/>
      </w:r>
      <w:r>
        <w:t xml:space="preserve"> In its new </w:t>
      </w:r>
      <w:hyperlink r:id="rId32" w:history="1">
        <w:r w:rsidRPr="00C17576">
          <w:rPr>
            <w:rStyle w:val="Hyperlink"/>
          </w:rPr>
          <w:t>capital markets union action plan</w:t>
        </w:r>
      </w:hyperlink>
      <w:r>
        <w:t xml:space="preserve"> of September 2020, the European Commission announced its intention to publish a strategy for retail investments in Europe in the first half of 2022.</w:t>
      </w:r>
    </w:p>
  </w:footnote>
  <w:footnote w:id="45">
    <w:p w14:paraId="0CB30013" w14:textId="77777777" w:rsidR="00523590" w:rsidRDefault="00523590">
      <w:pPr>
        <w:pStyle w:val="FootnoteText"/>
      </w:pPr>
      <w:r>
        <w:rPr>
          <w:rStyle w:val="FootnoteReference"/>
        </w:rPr>
        <w:footnoteRef/>
      </w:r>
      <w:r>
        <w:t xml:space="preserve"> </w:t>
      </w:r>
      <w:r>
        <w:rPr>
          <w:lang w:val="en-IE"/>
        </w:rPr>
        <w:t>Direct-supervision mandates for ESMA started to apply on 1 January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FE4A" w14:textId="77777777" w:rsidR="005F7C9B" w:rsidRPr="005F7C9B" w:rsidRDefault="005F7C9B" w:rsidP="005F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90C5" w14:textId="77777777" w:rsidR="005F7C9B" w:rsidRPr="005F7C9B" w:rsidRDefault="005F7C9B" w:rsidP="005F7C9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D951" w14:textId="77777777" w:rsidR="005F7C9B" w:rsidRPr="005F7C9B" w:rsidRDefault="005F7C9B" w:rsidP="005F7C9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99BE" w14:textId="77777777" w:rsidR="00523590" w:rsidRDefault="005235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42A5" w14:textId="77777777" w:rsidR="00523590" w:rsidRDefault="005235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50B7" w14:textId="77777777" w:rsidR="00523590" w:rsidRDefault="005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7"/>
    <w:multiLevelType w:val="hybridMultilevel"/>
    <w:tmpl w:val="2658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340B9"/>
    <w:multiLevelType w:val="hybridMultilevel"/>
    <w:tmpl w:val="654C8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15BDF"/>
    <w:multiLevelType w:val="hybridMultilevel"/>
    <w:tmpl w:val="67A0EAD2"/>
    <w:lvl w:ilvl="0" w:tplc="AF2CB44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761AE"/>
    <w:multiLevelType w:val="hybridMultilevel"/>
    <w:tmpl w:val="2F9A7F12"/>
    <w:lvl w:ilvl="0" w:tplc="AF2C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B5940"/>
    <w:multiLevelType w:val="hybridMultilevel"/>
    <w:tmpl w:val="6608BD8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02F80"/>
    <w:multiLevelType w:val="hybridMultilevel"/>
    <w:tmpl w:val="FCDAF5B8"/>
    <w:lvl w:ilvl="0" w:tplc="AF2C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577FB"/>
    <w:multiLevelType w:val="hybridMultilevel"/>
    <w:tmpl w:val="759E9B46"/>
    <w:lvl w:ilvl="0" w:tplc="AF2C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41D3B"/>
    <w:multiLevelType w:val="hybridMultilevel"/>
    <w:tmpl w:val="1756A0D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74CB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8A0CEA"/>
    <w:multiLevelType w:val="hybridMultilevel"/>
    <w:tmpl w:val="23EC8724"/>
    <w:lvl w:ilvl="0" w:tplc="0809000B">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36686EBF"/>
    <w:multiLevelType w:val="hybridMultilevel"/>
    <w:tmpl w:val="DFA2CD04"/>
    <w:lvl w:ilvl="0" w:tplc="AF2CB44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1C157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9C6308"/>
    <w:multiLevelType w:val="hybridMultilevel"/>
    <w:tmpl w:val="AF6E7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4C5F5B"/>
    <w:multiLevelType w:val="hybridMultilevel"/>
    <w:tmpl w:val="88AE1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54669"/>
    <w:multiLevelType w:val="hybridMultilevel"/>
    <w:tmpl w:val="A906E684"/>
    <w:lvl w:ilvl="0" w:tplc="AF2C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376AD"/>
    <w:multiLevelType w:val="hybridMultilevel"/>
    <w:tmpl w:val="52A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76B08"/>
    <w:multiLevelType w:val="hybridMultilevel"/>
    <w:tmpl w:val="ADF8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77C4B"/>
    <w:multiLevelType w:val="hybridMultilevel"/>
    <w:tmpl w:val="2F9277F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C4F32"/>
    <w:multiLevelType w:val="hybridMultilevel"/>
    <w:tmpl w:val="C44AD4B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7205C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3"/>
  </w:num>
  <w:num w:numId="3">
    <w:abstractNumId w:val="0"/>
  </w:num>
  <w:num w:numId="4">
    <w:abstractNumId w:val="15"/>
  </w:num>
  <w:num w:numId="5">
    <w:abstractNumId w:val="5"/>
  </w:num>
  <w:num w:numId="6">
    <w:abstractNumId w:val="1"/>
  </w:num>
  <w:num w:numId="7">
    <w:abstractNumId w:val="9"/>
  </w:num>
  <w:num w:numId="8">
    <w:abstractNumId w:val="18"/>
  </w:num>
  <w:num w:numId="9">
    <w:abstractNumId w:val="16"/>
  </w:num>
  <w:num w:numId="10">
    <w:abstractNumId w:val="19"/>
  </w:num>
  <w:num w:numId="11">
    <w:abstractNumId w:val="8"/>
  </w:num>
  <w:num w:numId="12">
    <w:abstractNumId w:val="11"/>
  </w:num>
  <w:num w:numId="13">
    <w:abstractNumId w:val="14"/>
  </w:num>
  <w:num w:numId="14">
    <w:abstractNumId w:val="2"/>
  </w:num>
  <w:num w:numId="15">
    <w:abstractNumId w:val="7"/>
  </w:num>
  <w:num w:numId="16">
    <w:abstractNumId w:val="6"/>
  </w:num>
  <w:num w:numId="17">
    <w:abstractNumId w:val="3"/>
  </w:num>
  <w:num w:numId="18">
    <w:abstractNumId w:val="4"/>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077EA3-7CDA-4808-BA6D-3FBB1FA17F3B"/>
    <w:docVar w:name="LW_COVERPAGE_TYPE" w:val="1"/>
    <w:docVar w:name="LW_CROSSREFERENCE" w:val="&lt;UNUSED&gt;"/>
    <w:docVar w:name="LW_DocType" w:val="NORMAL"/>
    <w:docVar w:name="LW_EMISSION" w:val="23.5.2022"/>
    <w:docVar w:name="LW_EMISSION_ISODATE" w:val="2022-05-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operation of the European Supervisory Authorities (ESAs)_x000d__x000b_"/>
    <w:docVar w:name="LW_TYPE.DOC.CP" w:val="REPORT FROM THE COMMISSION TO THE EUROPEAN PARLIAMENT AND THE COUNCIL"/>
    <w:docVar w:name="LwApiVersions" w:val="LW4CoDe 1.23.2.0; LW 8.0, Build 20211117"/>
  </w:docVars>
  <w:rsids>
    <w:rsidRoot w:val="00BB76C2"/>
    <w:rsid w:val="00000E6F"/>
    <w:rsid w:val="0000133D"/>
    <w:rsid w:val="00001A21"/>
    <w:rsid w:val="000073B0"/>
    <w:rsid w:val="00007ED2"/>
    <w:rsid w:val="000114D0"/>
    <w:rsid w:val="00012E6F"/>
    <w:rsid w:val="000144CE"/>
    <w:rsid w:val="000169AC"/>
    <w:rsid w:val="00017053"/>
    <w:rsid w:val="000174C7"/>
    <w:rsid w:val="00022650"/>
    <w:rsid w:val="000249F2"/>
    <w:rsid w:val="00024C2E"/>
    <w:rsid w:val="00025193"/>
    <w:rsid w:val="0002721C"/>
    <w:rsid w:val="00031F4E"/>
    <w:rsid w:val="000338EE"/>
    <w:rsid w:val="00036455"/>
    <w:rsid w:val="000406E3"/>
    <w:rsid w:val="00042D30"/>
    <w:rsid w:val="000447C4"/>
    <w:rsid w:val="00045184"/>
    <w:rsid w:val="00045D53"/>
    <w:rsid w:val="00046B24"/>
    <w:rsid w:val="00047077"/>
    <w:rsid w:val="0004777B"/>
    <w:rsid w:val="000503EC"/>
    <w:rsid w:val="0005122A"/>
    <w:rsid w:val="00052383"/>
    <w:rsid w:val="00052468"/>
    <w:rsid w:val="0005347A"/>
    <w:rsid w:val="000535A9"/>
    <w:rsid w:val="00053C88"/>
    <w:rsid w:val="0005460B"/>
    <w:rsid w:val="00054A0B"/>
    <w:rsid w:val="00056169"/>
    <w:rsid w:val="0005785B"/>
    <w:rsid w:val="00061390"/>
    <w:rsid w:val="000617A5"/>
    <w:rsid w:val="00064832"/>
    <w:rsid w:val="00064FBF"/>
    <w:rsid w:val="0006587B"/>
    <w:rsid w:val="00065C38"/>
    <w:rsid w:val="00066321"/>
    <w:rsid w:val="0006730F"/>
    <w:rsid w:val="00074128"/>
    <w:rsid w:val="00074E2E"/>
    <w:rsid w:val="0007552F"/>
    <w:rsid w:val="000764A2"/>
    <w:rsid w:val="00077958"/>
    <w:rsid w:val="0008268B"/>
    <w:rsid w:val="0008468C"/>
    <w:rsid w:val="00085319"/>
    <w:rsid w:val="00085388"/>
    <w:rsid w:val="00085A6D"/>
    <w:rsid w:val="00085E86"/>
    <w:rsid w:val="00087463"/>
    <w:rsid w:val="00090A19"/>
    <w:rsid w:val="000949F7"/>
    <w:rsid w:val="000A01E6"/>
    <w:rsid w:val="000A1C68"/>
    <w:rsid w:val="000A47D0"/>
    <w:rsid w:val="000A5359"/>
    <w:rsid w:val="000A56ED"/>
    <w:rsid w:val="000A57FE"/>
    <w:rsid w:val="000A64C1"/>
    <w:rsid w:val="000A65E4"/>
    <w:rsid w:val="000A7658"/>
    <w:rsid w:val="000A767E"/>
    <w:rsid w:val="000B019E"/>
    <w:rsid w:val="000B100F"/>
    <w:rsid w:val="000B2844"/>
    <w:rsid w:val="000B591C"/>
    <w:rsid w:val="000B63F2"/>
    <w:rsid w:val="000C0286"/>
    <w:rsid w:val="000C0D7B"/>
    <w:rsid w:val="000C2B48"/>
    <w:rsid w:val="000C334D"/>
    <w:rsid w:val="000C3BDA"/>
    <w:rsid w:val="000C3DAD"/>
    <w:rsid w:val="000C52D0"/>
    <w:rsid w:val="000C53B1"/>
    <w:rsid w:val="000C5681"/>
    <w:rsid w:val="000D0271"/>
    <w:rsid w:val="000D0847"/>
    <w:rsid w:val="000D0B60"/>
    <w:rsid w:val="000D1442"/>
    <w:rsid w:val="000D2040"/>
    <w:rsid w:val="000D27F7"/>
    <w:rsid w:val="000D4719"/>
    <w:rsid w:val="000D502E"/>
    <w:rsid w:val="000E0B45"/>
    <w:rsid w:val="000E11C7"/>
    <w:rsid w:val="000E31FD"/>
    <w:rsid w:val="000E387D"/>
    <w:rsid w:val="000E38DE"/>
    <w:rsid w:val="000E3D01"/>
    <w:rsid w:val="000E55F4"/>
    <w:rsid w:val="000F0FB8"/>
    <w:rsid w:val="000F1403"/>
    <w:rsid w:val="000F141F"/>
    <w:rsid w:val="000F25C9"/>
    <w:rsid w:val="000F2634"/>
    <w:rsid w:val="000F33CE"/>
    <w:rsid w:val="000F37E7"/>
    <w:rsid w:val="000F401C"/>
    <w:rsid w:val="000F5DDC"/>
    <w:rsid w:val="000F6291"/>
    <w:rsid w:val="00100193"/>
    <w:rsid w:val="0010096B"/>
    <w:rsid w:val="001010AF"/>
    <w:rsid w:val="00103241"/>
    <w:rsid w:val="00107A6D"/>
    <w:rsid w:val="0011097D"/>
    <w:rsid w:val="001130BD"/>
    <w:rsid w:val="00113282"/>
    <w:rsid w:val="00115CE0"/>
    <w:rsid w:val="001168D1"/>
    <w:rsid w:val="00120C3B"/>
    <w:rsid w:val="001214AE"/>
    <w:rsid w:val="00123BC8"/>
    <w:rsid w:val="0012467D"/>
    <w:rsid w:val="00124E9E"/>
    <w:rsid w:val="00126D69"/>
    <w:rsid w:val="00131EA7"/>
    <w:rsid w:val="00131EAE"/>
    <w:rsid w:val="001323F2"/>
    <w:rsid w:val="00132BCD"/>
    <w:rsid w:val="001335EA"/>
    <w:rsid w:val="0013464C"/>
    <w:rsid w:val="001356DF"/>
    <w:rsid w:val="00135C09"/>
    <w:rsid w:val="00136071"/>
    <w:rsid w:val="00137F18"/>
    <w:rsid w:val="0014167E"/>
    <w:rsid w:val="00142DEF"/>
    <w:rsid w:val="0014411E"/>
    <w:rsid w:val="00144A54"/>
    <w:rsid w:val="00150069"/>
    <w:rsid w:val="0015040B"/>
    <w:rsid w:val="0015194E"/>
    <w:rsid w:val="00152AB0"/>
    <w:rsid w:val="0015388D"/>
    <w:rsid w:val="00153F7F"/>
    <w:rsid w:val="00154684"/>
    <w:rsid w:val="00154EA6"/>
    <w:rsid w:val="0015627C"/>
    <w:rsid w:val="0016066D"/>
    <w:rsid w:val="001607E2"/>
    <w:rsid w:val="001609F9"/>
    <w:rsid w:val="00161C3F"/>
    <w:rsid w:val="001643EC"/>
    <w:rsid w:val="00164B02"/>
    <w:rsid w:val="00167E50"/>
    <w:rsid w:val="001702DE"/>
    <w:rsid w:val="00170E00"/>
    <w:rsid w:val="0017105E"/>
    <w:rsid w:val="00172077"/>
    <w:rsid w:val="00172683"/>
    <w:rsid w:val="001738AA"/>
    <w:rsid w:val="001746FC"/>
    <w:rsid w:val="001748CD"/>
    <w:rsid w:val="00174E02"/>
    <w:rsid w:val="00180169"/>
    <w:rsid w:val="001801F6"/>
    <w:rsid w:val="0018136A"/>
    <w:rsid w:val="00184C69"/>
    <w:rsid w:val="00185BBF"/>
    <w:rsid w:val="00185E24"/>
    <w:rsid w:val="00187D31"/>
    <w:rsid w:val="00187F5F"/>
    <w:rsid w:val="0019099B"/>
    <w:rsid w:val="00192A39"/>
    <w:rsid w:val="001976FB"/>
    <w:rsid w:val="001A3C7E"/>
    <w:rsid w:val="001A3E55"/>
    <w:rsid w:val="001A79D3"/>
    <w:rsid w:val="001B3058"/>
    <w:rsid w:val="001B681A"/>
    <w:rsid w:val="001B6EDE"/>
    <w:rsid w:val="001B7502"/>
    <w:rsid w:val="001B7865"/>
    <w:rsid w:val="001C0AB6"/>
    <w:rsid w:val="001C19B2"/>
    <w:rsid w:val="001C2FA5"/>
    <w:rsid w:val="001C309A"/>
    <w:rsid w:val="001C3764"/>
    <w:rsid w:val="001C43C8"/>
    <w:rsid w:val="001D0AC5"/>
    <w:rsid w:val="001D0CA8"/>
    <w:rsid w:val="001D1805"/>
    <w:rsid w:val="001D3248"/>
    <w:rsid w:val="001D3B6F"/>
    <w:rsid w:val="001D4421"/>
    <w:rsid w:val="001D68A7"/>
    <w:rsid w:val="001E39D7"/>
    <w:rsid w:val="001E42AC"/>
    <w:rsid w:val="001E5972"/>
    <w:rsid w:val="001E6A89"/>
    <w:rsid w:val="001F0C7A"/>
    <w:rsid w:val="001F65CE"/>
    <w:rsid w:val="002019FC"/>
    <w:rsid w:val="002037B6"/>
    <w:rsid w:val="00204820"/>
    <w:rsid w:val="00205F21"/>
    <w:rsid w:val="00207262"/>
    <w:rsid w:val="00207A4C"/>
    <w:rsid w:val="002115B5"/>
    <w:rsid w:val="00211703"/>
    <w:rsid w:val="00215EFF"/>
    <w:rsid w:val="00216D3A"/>
    <w:rsid w:val="00216F74"/>
    <w:rsid w:val="002215B2"/>
    <w:rsid w:val="00221D89"/>
    <w:rsid w:val="00223C63"/>
    <w:rsid w:val="0022598D"/>
    <w:rsid w:val="0022723A"/>
    <w:rsid w:val="00232AE9"/>
    <w:rsid w:val="002335C3"/>
    <w:rsid w:val="00233678"/>
    <w:rsid w:val="002339F9"/>
    <w:rsid w:val="0024607F"/>
    <w:rsid w:val="0024789B"/>
    <w:rsid w:val="00247932"/>
    <w:rsid w:val="0025185E"/>
    <w:rsid w:val="00251FC5"/>
    <w:rsid w:val="00253E37"/>
    <w:rsid w:val="00253FD6"/>
    <w:rsid w:val="002548B7"/>
    <w:rsid w:val="002568E4"/>
    <w:rsid w:val="00260A12"/>
    <w:rsid w:val="00260BA4"/>
    <w:rsid w:val="00261032"/>
    <w:rsid w:val="00264DD6"/>
    <w:rsid w:val="002652F1"/>
    <w:rsid w:val="00265A88"/>
    <w:rsid w:val="00266176"/>
    <w:rsid w:val="0026635D"/>
    <w:rsid w:val="00266F0B"/>
    <w:rsid w:val="0027001B"/>
    <w:rsid w:val="002706D0"/>
    <w:rsid w:val="002712BB"/>
    <w:rsid w:val="002719DC"/>
    <w:rsid w:val="00272ABB"/>
    <w:rsid w:val="00275F0C"/>
    <w:rsid w:val="00276754"/>
    <w:rsid w:val="002838F1"/>
    <w:rsid w:val="002847BC"/>
    <w:rsid w:val="002865A9"/>
    <w:rsid w:val="002872DA"/>
    <w:rsid w:val="002879BB"/>
    <w:rsid w:val="0029092A"/>
    <w:rsid w:val="002916AD"/>
    <w:rsid w:val="002919BD"/>
    <w:rsid w:val="00291C54"/>
    <w:rsid w:val="00292702"/>
    <w:rsid w:val="002952FF"/>
    <w:rsid w:val="00296F15"/>
    <w:rsid w:val="00297788"/>
    <w:rsid w:val="002A0AEC"/>
    <w:rsid w:val="002A1010"/>
    <w:rsid w:val="002A1A15"/>
    <w:rsid w:val="002A2062"/>
    <w:rsid w:val="002A2359"/>
    <w:rsid w:val="002A4E69"/>
    <w:rsid w:val="002A5C18"/>
    <w:rsid w:val="002A5C59"/>
    <w:rsid w:val="002B03F5"/>
    <w:rsid w:val="002B133C"/>
    <w:rsid w:val="002B2632"/>
    <w:rsid w:val="002B267F"/>
    <w:rsid w:val="002B664B"/>
    <w:rsid w:val="002B6E98"/>
    <w:rsid w:val="002B7EF5"/>
    <w:rsid w:val="002C01CB"/>
    <w:rsid w:val="002C045F"/>
    <w:rsid w:val="002C54B0"/>
    <w:rsid w:val="002D232D"/>
    <w:rsid w:val="002D3EAD"/>
    <w:rsid w:val="002D57F2"/>
    <w:rsid w:val="002D78DF"/>
    <w:rsid w:val="002D796C"/>
    <w:rsid w:val="002D7CA4"/>
    <w:rsid w:val="002E04BE"/>
    <w:rsid w:val="002E3A5A"/>
    <w:rsid w:val="002E48A7"/>
    <w:rsid w:val="002F154C"/>
    <w:rsid w:val="002F2AEF"/>
    <w:rsid w:val="002F5575"/>
    <w:rsid w:val="002F6F08"/>
    <w:rsid w:val="002F74F5"/>
    <w:rsid w:val="002F7C06"/>
    <w:rsid w:val="003012A3"/>
    <w:rsid w:val="003029A8"/>
    <w:rsid w:val="00302B53"/>
    <w:rsid w:val="003047C4"/>
    <w:rsid w:val="00306CE8"/>
    <w:rsid w:val="00307E50"/>
    <w:rsid w:val="003100D6"/>
    <w:rsid w:val="00311197"/>
    <w:rsid w:val="003114B4"/>
    <w:rsid w:val="00311F7E"/>
    <w:rsid w:val="00311F97"/>
    <w:rsid w:val="00312003"/>
    <w:rsid w:val="003129CD"/>
    <w:rsid w:val="00313391"/>
    <w:rsid w:val="00315AB5"/>
    <w:rsid w:val="003168B8"/>
    <w:rsid w:val="00321749"/>
    <w:rsid w:val="00321DF5"/>
    <w:rsid w:val="0032276C"/>
    <w:rsid w:val="00324654"/>
    <w:rsid w:val="00326213"/>
    <w:rsid w:val="0032625C"/>
    <w:rsid w:val="00326A80"/>
    <w:rsid w:val="003279C5"/>
    <w:rsid w:val="003301C5"/>
    <w:rsid w:val="00332B60"/>
    <w:rsid w:val="00334E60"/>
    <w:rsid w:val="003350CE"/>
    <w:rsid w:val="003360EB"/>
    <w:rsid w:val="00336123"/>
    <w:rsid w:val="0034025C"/>
    <w:rsid w:val="003409A6"/>
    <w:rsid w:val="00342C54"/>
    <w:rsid w:val="00344F28"/>
    <w:rsid w:val="0034598B"/>
    <w:rsid w:val="003474D5"/>
    <w:rsid w:val="00347524"/>
    <w:rsid w:val="0035437F"/>
    <w:rsid w:val="0036089F"/>
    <w:rsid w:val="003625D1"/>
    <w:rsid w:val="00363627"/>
    <w:rsid w:val="003643FD"/>
    <w:rsid w:val="00366540"/>
    <w:rsid w:val="00367337"/>
    <w:rsid w:val="003673CB"/>
    <w:rsid w:val="00371C32"/>
    <w:rsid w:val="003735A8"/>
    <w:rsid w:val="003739A4"/>
    <w:rsid w:val="00373A80"/>
    <w:rsid w:val="003747C8"/>
    <w:rsid w:val="00377839"/>
    <w:rsid w:val="003778A4"/>
    <w:rsid w:val="00377BDA"/>
    <w:rsid w:val="003809D3"/>
    <w:rsid w:val="00380E1F"/>
    <w:rsid w:val="003826C0"/>
    <w:rsid w:val="00383EBA"/>
    <w:rsid w:val="003840CA"/>
    <w:rsid w:val="0038423C"/>
    <w:rsid w:val="003850F0"/>
    <w:rsid w:val="00387064"/>
    <w:rsid w:val="00391469"/>
    <w:rsid w:val="00392D09"/>
    <w:rsid w:val="00393480"/>
    <w:rsid w:val="00395E17"/>
    <w:rsid w:val="003A2C7F"/>
    <w:rsid w:val="003A3C22"/>
    <w:rsid w:val="003A406B"/>
    <w:rsid w:val="003A500F"/>
    <w:rsid w:val="003A50B5"/>
    <w:rsid w:val="003A593F"/>
    <w:rsid w:val="003A7B9D"/>
    <w:rsid w:val="003B360E"/>
    <w:rsid w:val="003B51ED"/>
    <w:rsid w:val="003B6C17"/>
    <w:rsid w:val="003C59BD"/>
    <w:rsid w:val="003C7573"/>
    <w:rsid w:val="003C78BD"/>
    <w:rsid w:val="003D17E6"/>
    <w:rsid w:val="003D2825"/>
    <w:rsid w:val="003D401C"/>
    <w:rsid w:val="003D4AA9"/>
    <w:rsid w:val="003E035A"/>
    <w:rsid w:val="003E13F4"/>
    <w:rsid w:val="003E1871"/>
    <w:rsid w:val="003E259F"/>
    <w:rsid w:val="003E2B25"/>
    <w:rsid w:val="003F0C54"/>
    <w:rsid w:val="003F1180"/>
    <w:rsid w:val="003F1EEB"/>
    <w:rsid w:val="003F5D7C"/>
    <w:rsid w:val="0040024A"/>
    <w:rsid w:val="004048CE"/>
    <w:rsid w:val="00404980"/>
    <w:rsid w:val="00406D80"/>
    <w:rsid w:val="00406FDC"/>
    <w:rsid w:val="00413A60"/>
    <w:rsid w:val="0041452F"/>
    <w:rsid w:val="0042177C"/>
    <w:rsid w:val="0042409F"/>
    <w:rsid w:val="00424EB0"/>
    <w:rsid w:val="00425190"/>
    <w:rsid w:val="00425762"/>
    <w:rsid w:val="004305C0"/>
    <w:rsid w:val="004323B1"/>
    <w:rsid w:val="00433E9F"/>
    <w:rsid w:val="00434740"/>
    <w:rsid w:val="00437E32"/>
    <w:rsid w:val="00440B62"/>
    <w:rsid w:val="004419BB"/>
    <w:rsid w:val="00441EDE"/>
    <w:rsid w:val="0044212A"/>
    <w:rsid w:val="004429B8"/>
    <w:rsid w:val="00444E94"/>
    <w:rsid w:val="00446ED0"/>
    <w:rsid w:val="004476B5"/>
    <w:rsid w:val="00450E32"/>
    <w:rsid w:val="00453DA6"/>
    <w:rsid w:val="004540FA"/>
    <w:rsid w:val="00454E37"/>
    <w:rsid w:val="00457B0B"/>
    <w:rsid w:val="00460B6A"/>
    <w:rsid w:val="00461071"/>
    <w:rsid w:val="00461184"/>
    <w:rsid w:val="00462585"/>
    <w:rsid w:val="00462995"/>
    <w:rsid w:val="00464BFD"/>
    <w:rsid w:val="00466FBB"/>
    <w:rsid w:val="00467032"/>
    <w:rsid w:val="004707BD"/>
    <w:rsid w:val="00470D5E"/>
    <w:rsid w:val="00473951"/>
    <w:rsid w:val="00473C61"/>
    <w:rsid w:val="00474C81"/>
    <w:rsid w:val="00477812"/>
    <w:rsid w:val="004808AE"/>
    <w:rsid w:val="0048159B"/>
    <w:rsid w:val="00481826"/>
    <w:rsid w:val="00482EB7"/>
    <w:rsid w:val="00483873"/>
    <w:rsid w:val="004845BF"/>
    <w:rsid w:val="004871C2"/>
    <w:rsid w:val="00490045"/>
    <w:rsid w:val="004919B8"/>
    <w:rsid w:val="00495333"/>
    <w:rsid w:val="004A0987"/>
    <w:rsid w:val="004A2377"/>
    <w:rsid w:val="004A59F2"/>
    <w:rsid w:val="004B1F25"/>
    <w:rsid w:val="004B2E14"/>
    <w:rsid w:val="004B3019"/>
    <w:rsid w:val="004B3669"/>
    <w:rsid w:val="004B39DC"/>
    <w:rsid w:val="004B5820"/>
    <w:rsid w:val="004B7135"/>
    <w:rsid w:val="004C1086"/>
    <w:rsid w:val="004C1D9A"/>
    <w:rsid w:val="004C385D"/>
    <w:rsid w:val="004C527B"/>
    <w:rsid w:val="004C5D82"/>
    <w:rsid w:val="004C6725"/>
    <w:rsid w:val="004C7F98"/>
    <w:rsid w:val="004D0D2B"/>
    <w:rsid w:val="004D2B5E"/>
    <w:rsid w:val="004D387D"/>
    <w:rsid w:val="004D649A"/>
    <w:rsid w:val="004D6F6F"/>
    <w:rsid w:val="004E7389"/>
    <w:rsid w:val="004F1695"/>
    <w:rsid w:val="004F1AB4"/>
    <w:rsid w:val="004F2C54"/>
    <w:rsid w:val="004F2EC6"/>
    <w:rsid w:val="004F6DF0"/>
    <w:rsid w:val="005002AB"/>
    <w:rsid w:val="00501130"/>
    <w:rsid w:val="00502E5D"/>
    <w:rsid w:val="00505096"/>
    <w:rsid w:val="005065EB"/>
    <w:rsid w:val="00507D32"/>
    <w:rsid w:val="00512566"/>
    <w:rsid w:val="00512CE7"/>
    <w:rsid w:val="00515AB0"/>
    <w:rsid w:val="005162D0"/>
    <w:rsid w:val="00520CA9"/>
    <w:rsid w:val="0052326C"/>
    <w:rsid w:val="00523590"/>
    <w:rsid w:val="00527595"/>
    <w:rsid w:val="00530E99"/>
    <w:rsid w:val="0053158C"/>
    <w:rsid w:val="00534975"/>
    <w:rsid w:val="00535B17"/>
    <w:rsid w:val="00535F13"/>
    <w:rsid w:val="00536486"/>
    <w:rsid w:val="00536F39"/>
    <w:rsid w:val="0054289C"/>
    <w:rsid w:val="00543B4F"/>
    <w:rsid w:val="00543E06"/>
    <w:rsid w:val="00544BE5"/>
    <w:rsid w:val="00546199"/>
    <w:rsid w:val="00546FE8"/>
    <w:rsid w:val="005478FE"/>
    <w:rsid w:val="005503D4"/>
    <w:rsid w:val="00550AD1"/>
    <w:rsid w:val="005513C9"/>
    <w:rsid w:val="00553378"/>
    <w:rsid w:val="00554127"/>
    <w:rsid w:val="00556BEB"/>
    <w:rsid w:val="00557637"/>
    <w:rsid w:val="005614E8"/>
    <w:rsid w:val="00563C89"/>
    <w:rsid w:val="005653AD"/>
    <w:rsid w:val="0057466C"/>
    <w:rsid w:val="00576292"/>
    <w:rsid w:val="005777FB"/>
    <w:rsid w:val="005843B3"/>
    <w:rsid w:val="0058462D"/>
    <w:rsid w:val="0058479E"/>
    <w:rsid w:val="00585165"/>
    <w:rsid w:val="00585936"/>
    <w:rsid w:val="00585C6C"/>
    <w:rsid w:val="00585E4C"/>
    <w:rsid w:val="00586A54"/>
    <w:rsid w:val="00586E34"/>
    <w:rsid w:val="005871C6"/>
    <w:rsid w:val="005934AF"/>
    <w:rsid w:val="005A0434"/>
    <w:rsid w:val="005A0D20"/>
    <w:rsid w:val="005A258F"/>
    <w:rsid w:val="005A2AB9"/>
    <w:rsid w:val="005A48EE"/>
    <w:rsid w:val="005A63F5"/>
    <w:rsid w:val="005B06EC"/>
    <w:rsid w:val="005B19AF"/>
    <w:rsid w:val="005B38C9"/>
    <w:rsid w:val="005B5EF9"/>
    <w:rsid w:val="005B6C6C"/>
    <w:rsid w:val="005B7B01"/>
    <w:rsid w:val="005C3232"/>
    <w:rsid w:val="005C508C"/>
    <w:rsid w:val="005C5B08"/>
    <w:rsid w:val="005C78D6"/>
    <w:rsid w:val="005D0F4F"/>
    <w:rsid w:val="005D17F5"/>
    <w:rsid w:val="005D188D"/>
    <w:rsid w:val="005D39B7"/>
    <w:rsid w:val="005D5156"/>
    <w:rsid w:val="005E362D"/>
    <w:rsid w:val="005E5978"/>
    <w:rsid w:val="005E6F3E"/>
    <w:rsid w:val="005E7ADA"/>
    <w:rsid w:val="005E7D11"/>
    <w:rsid w:val="005F1159"/>
    <w:rsid w:val="005F1C03"/>
    <w:rsid w:val="005F2BFC"/>
    <w:rsid w:val="005F5D52"/>
    <w:rsid w:val="005F63F6"/>
    <w:rsid w:val="005F798B"/>
    <w:rsid w:val="005F7C9B"/>
    <w:rsid w:val="0060047B"/>
    <w:rsid w:val="00603987"/>
    <w:rsid w:val="00610039"/>
    <w:rsid w:val="006108C4"/>
    <w:rsid w:val="0061336D"/>
    <w:rsid w:val="0061437B"/>
    <w:rsid w:val="006145E0"/>
    <w:rsid w:val="00614892"/>
    <w:rsid w:val="00616A91"/>
    <w:rsid w:val="00620038"/>
    <w:rsid w:val="0062061A"/>
    <w:rsid w:val="00622CE9"/>
    <w:rsid w:val="0062644A"/>
    <w:rsid w:val="0062701B"/>
    <w:rsid w:val="00630E62"/>
    <w:rsid w:val="00630EA3"/>
    <w:rsid w:val="006314F0"/>
    <w:rsid w:val="00634D82"/>
    <w:rsid w:val="00635243"/>
    <w:rsid w:val="006354B2"/>
    <w:rsid w:val="00635C8C"/>
    <w:rsid w:val="00637848"/>
    <w:rsid w:val="0064204F"/>
    <w:rsid w:val="00646D3B"/>
    <w:rsid w:val="00653D2C"/>
    <w:rsid w:val="00655BFF"/>
    <w:rsid w:val="00656C1A"/>
    <w:rsid w:val="0065732B"/>
    <w:rsid w:val="006573C9"/>
    <w:rsid w:val="006607B0"/>
    <w:rsid w:val="0066172A"/>
    <w:rsid w:val="00662F0D"/>
    <w:rsid w:val="006632BA"/>
    <w:rsid w:val="0066373E"/>
    <w:rsid w:val="006643D0"/>
    <w:rsid w:val="00664B88"/>
    <w:rsid w:val="00664CAA"/>
    <w:rsid w:val="006672D5"/>
    <w:rsid w:val="00671C37"/>
    <w:rsid w:val="00673C4B"/>
    <w:rsid w:val="00674634"/>
    <w:rsid w:val="00674FEE"/>
    <w:rsid w:val="00675EF8"/>
    <w:rsid w:val="006767DE"/>
    <w:rsid w:val="00682209"/>
    <w:rsid w:val="00685100"/>
    <w:rsid w:val="00685FE5"/>
    <w:rsid w:val="006861C2"/>
    <w:rsid w:val="00687BD0"/>
    <w:rsid w:val="006907E1"/>
    <w:rsid w:val="00691346"/>
    <w:rsid w:val="0069191A"/>
    <w:rsid w:val="00692BFC"/>
    <w:rsid w:val="00693C4C"/>
    <w:rsid w:val="00693DB5"/>
    <w:rsid w:val="00696110"/>
    <w:rsid w:val="00697570"/>
    <w:rsid w:val="006A04C3"/>
    <w:rsid w:val="006A0742"/>
    <w:rsid w:val="006A1F11"/>
    <w:rsid w:val="006A3AC7"/>
    <w:rsid w:val="006A4076"/>
    <w:rsid w:val="006A4C57"/>
    <w:rsid w:val="006A50BC"/>
    <w:rsid w:val="006A75D9"/>
    <w:rsid w:val="006B0641"/>
    <w:rsid w:val="006B133D"/>
    <w:rsid w:val="006B22E0"/>
    <w:rsid w:val="006B44E7"/>
    <w:rsid w:val="006B4C32"/>
    <w:rsid w:val="006C0BAA"/>
    <w:rsid w:val="006C2BAF"/>
    <w:rsid w:val="006C35EC"/>
    <w:rsid w:val="006C4694"/>
    <w:rsid w:val="006C5CBF"/>
    <w:rsid w:val="006D17A5"/>
    <w:rsid w:val="006D24AC"/>
    <w:rsid w:val="006D2E8A"/>
    <w:rsid w:val="006D5425"/>
    <w:rsid w:val="006D5B3C"/>
    <w:rsid w:val="006D613A"/>
    <w:rsid w:val="006D6292"/>
    <w:rsid w:val="006E1A1B"/>
    <w:rsid w:val="006E26D3"/>
    <w:rsid w:val="006E331C"/>
    <w:rsid w:val="006E3D06"/>
    <w:rsid w:val="006E4099"/>
    <w:rsid w:val="006E449A"/>
    <w:rsid w:val="006E46F9"/>
    <w:rsid w:val="006E4993"/>
    <w:rsid w:val="006E7760"/>
    <w:rsid w:val="006F11A4"/>
    <w:rsid w:val="006F1E49"/>
    <w:rsid w:val="006F23D0"/>
    <w:rsid w:val="006F3B1A"/>
    <w:rsid w:val="006F4B5F"/>
    <w:rsid w:val="006F4E29"/>
    <w:rsid w:val="006F6507"/>
    <w:rsid w:val="00700195"/>
    <w:rsid w:val="00701066"/>
    <w:rsid w:val="0070115C"/>
    <w:rsid w:val="00701538"/>
    <w:rsid w:val="00703D31"/>
    <w:rsid w:val="007062F7"/>
    <w:rsid w:val="007064E0"/>
    <w:rsid w:val="00710864"/>
    <w:rsid w:val="00711EAA"/>
    <w:rsid w:val="007130F8"/>
    <w:rsid w:val="00714F34"/>
    <w:rsid w:val="00715C6B"/>
    <w:rsid w:val="00716C06"/>
    <w:rsid w:val="00717F7C"/>
    <w:rsid w:val="00720331"/>
    <w:rsid w:val="007216D0"/>
    <w:rsid w:val="00722E53"/>
    <w:rsid w:val="00730448"/>
    <w:rsid w:val="007335FA"/>
    <w:rsid w:val="007409D4"/>
    <w:rsid w:val="007422CF"/>
    <w:rsid w:val="00742440"/>
    <w:rsid w:val="00745CDE"/>
    <w:rsid w:val="00746E59"/>
    <w:rsid w:val="00751010"/>
    <w:rsid w:val="00751EDC"/>
    <w:rsid w:val="007535A2"/>
    <w:rsid w:val="00753D02"/>
    <w:rsid w:val="00754DD1"/>
    <w:rsid w:val="00763A03"/>
    <w:rsid w:val="00765E8A"/>
    <w:rsid w:val="00766D27"/>
    <w:rsid w:val="00771322"/>
    <w:rsid w:val="007718CF"/>
    <w:rsid w:val="00772F15"/>
    <w:rsid w:val="007751E3"/>
    <w:rsid w:val="00775C19"/>
    <w:rsid w:val="00780285"/>
    <w:rsid w:val="00780975"/>
    <w:rsid w:val="007813CD"/>
    <w:rsid w:val="00781674"/>
    <w:rsid w:val="00785DEE"/>
    <w:rsid w:val="00786231"/>
    <w:rsid w:val="00787774"/>
    <w:rsid w:val="00787A0C"/>
    <w:rsid w:val="00790858"/>
    <w:rsid w:val="00790A7A"/>
    <w:rsid w:val="00792FCB"/>
    <w:rsid w:val="00793B39"/>
    <w:rsid w:val="0079477B"/>
    <w:rsid w:val="00795E82"/>
    <w:rsid w:val="007965BE"/>
    <w:rsid w:val="00796DE8"/>
    <w:rsid w:val="007A0CC2"/>
    <w:rsid w:val="007A125F"/>
    <w:rsid w:val="007A1ADF"/>
    <w:rsid w:val="007B2CE0"/>
    <w:rsid w:val="007B3DB0"/>
    <w:rsid w:val="007B3FAE"/>
    <w:rsid w:val="007B4BBE"/>
    <w:rsid w:val="007B4E6A"/>
    <w:rsid w:val="007B676C"/>
    <w:rsid w:val="007B68DD"/>
    <w:rsid w:val="007B7A8C"/>
    <w:rsid w:val="007C20F4"/>
    <w:rsid w:val="007C2DB8"/>
    <w:rsid w:val="007C38A3"/>
    <w:rsid w:val="007C41CE"/>
    <w:rsid w:val="007C439E"/>
    <w:rsid w:val="007C46F4"/>
    <w:rsid w:val="007C4F39"/>
    <w:rsid w:val="007C61B8"/>
    <w:rsid w:val="007C62BD"/>
    <w:rsid w:val="007C7517"/>
    <w:rsid w:val="007C7DBA"/>
    <w:rsid w:val="007D0E65"/>
    <w:rsid w:val="007D1981"/>
    <w:rsid w:val="007D4D82"/>
    <w:rsid w:val="007D61A6"/>
    <w:rsid w:val="007D6C91"/>
    <w:rsid w:val="007D7A72"/>
    <w:rsid w:val="007E136C"/>
    <w:rsid w:val="007E403C"/>
    <w:rsid w:val="007E4116"/>
    <w:rsid w:val="007E4C5A"/>
    <w:rsid w:val="007E5260"/>
    <w:rsid w:val="007E6579"/>
    <w:rsid w:val="007F02DC"/>
    <w:rsid w:val="007F0D02"/>
    <w:rsid w:val="007F11EE"/>
    <w:rsid w:val="007F1C2E"/>
    <w:rsid w:val="007F233F"/>
    <w:rsid w:val="007F4984"/>
    <w:rsid w:val="007F7F8E"/>
    <w:rsid w:val="00802F06"/>
    <w:rsid w:val="008030C8"/>
    <w:rsid w:val="008044FC"/>
    <w:rsid w:val="00804B12"/>
    <w:rsid w:val="00812A0B"/>
    <w:rsid w:val="00815E41"/>
    <w:rsid w:val="00815ED4"/>
    <w:rsid w:val="00817B9B"/>
    <w:rsid w:val="00820D73"/>
    <w:rsid w:val="0082163B"/>
    <w:rsid w:val="0082286A"/>
    <w:rsid w:val="00823867"/>
    <w:rsid w:val="008250F5"/>
    <w:rsid w:val="008258BE"/>
    <w:rsid w:val="008268D1"/>
    <w:rsid w:val="008268DA"/>
    <w:rsid w:val="00826B4D"/>
    <w:rsid w:val="00830D2F"/>
    <w:rsid w:val="00831BDF"/>
    <w:rsid w:val="0083353C"/>
    <w:rsid w:val="008342BB"/>
    <w:rsid w:val="00836AFB"/>
    <w:rsid w:val="00840ADC"/>
    <w:rsid w:val="00843108"/>
    <w:rsid w:val="00843AA0"/>
    <w:rsid w:val="00843B8A"/>
    <w:rsid w:val="0084439E"/>
    <w:rsid w:val="00847591"/>
    <w:rsid w:val="00847D74"/>
    <w:rsid w:val="00850ACA"/>
    <w:rsid w:val="00850B94"/>
    <w:rsid w:val="008512A4"/>
    <w:rsid w:val="0085184C"/>
    <w:rsid w:val="00851C88"/>
    <w:rsid w:val="00851DB0"/>
    <w:rsid w:val="00852B6E"/>
    <w:rsid w:val="008578D9"/>
    <w:rsid w:val="00857EE5"/>
    <w:rsid w:val="00860659"/>
    <w:rsid w:val="00860DB9"/>
    <w:rsid w:val="008610E2"/>
    <w:rsid w:val="00861AD4"/>
    <w:rsid w:val="008624C8"/>
    <w:rsid w:val="00862638"/>
    <w:rsid w:val="008630C8"/>
    <w:rsid w:val="00863510"/>
    <w:rsid w:val="00863FEB"/>
    <w:rsid w:val="008643F0"/>
    <w:rsid w:val="008650AF"/>
    <w:rsid w:val="00866851"/>
    <w:rsid w:val="00866EF0"/>
    <w:rsid w:val="008714DB"/>
    <w:rsid w:val="008721F2"/>
    <w:rsid w:val="00872CE6"/>
    <w:rsid w:val="0087449D"/>
    <w:rsid w:val="00874CBA"/>
    <w:rsid w:val="008769C3"/>
    <w:rsid w:val="0087779E"/>
    <w:rsid w:val="008810C4"/>
    <w:rsid w:val="00881FE9"/>
    <w:rsid w:val="00882869"/>
    <w:rsid w:val="00882AB8"/>
    <w:rsid w:val="008844D2"/>
    <w:rsid w:val="00884D7D"/>
    <w:rsid w:val="008856B7"/>
    <w:rsid w:val="00885E69"/>
    <w:rsid w:val="00887EB8"/>
    <w:rsid w:val="00890504"/>
    <w:rsid w:val="00890A3B"/>
    <w:rsid w:val="00890FF3"/>
    <w:rsid w:val="00891549"/>
    <w:rsid w:val="0089184F"/>
    <w:rsid w:val="00892326"/>
    <w:rsid w:val="00893828"/>
    <w:rsid w:val="00897D28"/>
    <w:rsid w:val="00897F6F"/>
    <w:rsid w:val="008A016E"/>
    <w:rsid w:val="008A090F"/>
    <w:rsid w:val="008A31BF"/>
    <w:rsid w:val="008A331C"/>
    <w:rsid w:val="008A332C"/>
    <w:rsid w:val="008A50AC"/>
    <w:rsid w:val="008B0D5A"/>
    <w:rsid w:val="008B3C6D"/>
    <w:rsid w:val="008B427D"/>
    <w:rsid w:val="008B4E0C"/>
    <w:rsid w:val="008B5AEE"/>
    <w:rsid w:val="008B5C58"/>
    <w:rsid w:val="008C573C"/>
    <w:rsid w:val="008C646B"/>
    <w:rsid w:val="008C65AC"/>
    <w:rsid w:val="008D1272"/>
    <w:rsid w:val="008D1AE5"/>
    <w:rsid w:val="008D1D7F"/>
    <w:rsid w:val="008D1E82"/>
    <w:rsid w:val="008D2358"/>
    <w:rsid w:val="008D3BC4"/>
    <w:rsid w:val="008D6B23"/>
    <w:rsid w:val="008D776C"/>
    <w:rsid w:val="008E05B2"/>
    <w:rsid w:val="008E08FE"/>
    <w:rsid w:val="008E2602"/>
    <w:rsid w:val="008E3CA2"/>
    <w:rsid w:val="008E4B11"/>
    <w:rsid w:val="008E6240"/>
    <w:rsid w:val="008E7936"/>
    <w:rsid w:val="008F2947"/>
    <w:rsid w:val="008F5FF2"/>
    <w:rsid w:val="008F70B0"/>
    <w:rsid w:val="00901A5C"/>
    <w:rsid w:val="00902EC4"/>
    <w:rsid w:val="00903036"/>
    <w:rsid w:val="00903D44"/>
    <w:rsid w:val="009075B6"/>
    <w:rsid w:val="00907F2E"/>
    <w:rsid w:val="00910D4E"/>
    <w:rsid w:val="00911754"/>
    <w:rsid w:val="009136DA"/>
    <w:rsid w:val="00916759"/>
    <w:rsid w:val="00921015"/>
    <w:rsid w:val="009223F5"/>
    <w:rsid w:val="009241E6"/>
    <w:rsid w:val="009249F0"/>
    <w:rsid w:val="009257FE"/>
    <w:rsid w:val="0092783E"/>
    <w:rsid w:val="009311C9"/>
    <w:rsid w:val="00931C1A"/>
    <w:rsid w:val="00932FF1"/>
    <w:rsid w:val="009330BC"/>
    <w:rsid w:val="00935827"/>
    <w:rsid w:val="009363B1"/>
    <w:rsid w:val="00942581"/>
    <w:rsid w:val="00942EFA"/>
    <w:rsid w:val="009449C9"/>
    <w:rsid w:val="00944F71"/>
    <w:rsid w:val="009454DB"/>
    <w:rsid w:val="00946708"/>
    <w:rsid w:val="00946FF5"/>
    <w:rsid w:val="009511A7"/>
    <w:rsid w:val="009517C7"/>
    <w:rsid w:val="0095335E"/>
    <w:rsid w:val="00953EC9"/>
    <w:rsid w:val="00954428"/>
    <w:rsid w:val="0096122F"/>
    <w:rsid w:val="0096318E"/>
    <w:rsid w:val="009632D5"/>
    <w:rsid w:val="009643B3"/>
    <w:rsid w:val="00966D02"/>
    <w:rsid w:val="00967E7D"/>
    <w:rsid w:val="00970B86"/>
    <w:rsid w:val="00971846"/>
    <w:rsid w:val="009733A8"/>
    <w:rsid w:val="00973482"/>
    <w:rsid w:val="009756AC"/>
    <w:rsid w:val="00975E37"/>
    <w:rsid w:val="009760C6"/>
    <w:rsid w:val="00981978"/>
    <w:rsid w:val="00981DF8"/>
    <w:rsid w:val="009845D1"/>
    <w:rsid w:val="00984BF7"/>
    <w:rsid w:val="00984D76"/>
    <w:rsid w:val="00986B8D"/>
    <w:rsid w:val="00987C93"/>
    <w:rsid w:val="009903A2"/>
    <w:rsid w:val="0099527E"/>
    <w:rsid w:val="00996283"/>
    <w:rsid w:val="009976E3"/>
    <w:rsid w:val="0099781B"/>
    <w:rsid w:val="0099786D"/>
    <w:rsid w:val="009A01F1"/>
    <w:rsid w:val="009A0658"/>
    <w:rsid w:val="009A2741"/>
    <w:rsid w:val="009A2F51"/>
    <w:rsid w:val="009A37F4"/>
    <w:rsid w:val="009A47B0"/>
    <w:rsid w:val="009B129A"/>
    <w:rsid w:val="009B1CDF"/>
    <w:rsid w:val="009B2C79"/>
    <w:rsid w:val="009B326B"/>
    <w:rsid w:val="009B330C"/>
    <w:rsid w:val="009B5DA6"/>
    <w:rsid w:val="009B7C12"/>
    <w:rsid w:val="009B7C7B"/>
    <w:rsid w:val="009B7E91"/>
    <w:rsid w:val="009C134F"/>
    <w:rsid w:val="009C154C"/>
    <w:rsid w:val="009C1F9A"/>
    <w:rsid w:val="009C4844"/>
    <w:rsid w:val="009C4D85"/>
    <w:rsid w:val="009D236B"/>
    <w:rsid w:val="009D23B3"/>
    <w:rsid w:val="009D268D"/>
    <w:rsid w:val="009D3539"/>
    <w:rsid w:val="009D42CA"/>
    <w:rsid w:val="009D75D2"/>
    <w:rsid w:val="009E124C"/>
    <w:rsid w:val="009E4CCA"/>
    <w:rsid w:val="009E5802"/>
    <w:rsid w:val="009E5CC9"/>
    <w:rsid w:val="009E603D"/>
    <w:rsid w:val="009F0706"/>
    <w:rsid w:val="009F307E"/>
    <w:rsid w:val="009F3495"/>
    <w:rsid w:val="009F6957"/>
    <w:rsid w:val="009F6EDC"/>
    <w:rsid w:val="009F76F0"/>
    <w:rsid w:val="009F7A3A"/>
    <w:rsid w:val="00A00024"/>
    <w:rsid w:val="00A03D76"/>
    <w:rsid w:val="00A048AA"/>
    <w:rsid w:val="00A061F3"/>
    <w:rsid w:val="00A07ABC"/>
    <w:rsid w:val="00A07DF5"/>
    <w:rsid w:val="00A105C9"/>
    <w:rsid w:val="00A11F5A"/>
    <w:rsid w:val="00A1250C"/>
    <w:rsid w:val="00A13CA7"/>
    <w:rsid w:val="00A16FCA"/>
    <w:rsid w:val="00A22768"/>
    <w:rsid w:val="00A22B4E"/>
    <w:rsid w:val="00A23653"/>
    <w:rsid w:val="00A23E73"/>
    <w:rsid w:val="00A25082"/>
    <w:rsid w:val="00A25AFE"/>
    <w:rsid w:val="00A26EDF"/>
    <w:rsid w:val="00A3097F"/>
    <w:rsid w:val="00A3278F"/>
    <w:rsid w:val="00A32AF0"/>
    <w:rsid w:val="00A32B3E"/>
    <w:rsid w:val="00A32DB9"/>
    <w:rsid w:val="00A35CB0"/>
    <w:rsid w:val="00A37311"/>
    <w:rsid w:val="00A4009E"/>
    <w:rsid w:val="00A42CB0"/>
    <w:rsid w:val="00A45B11"/>
    <w:rsid w:val="00A45FC0"/>
    <w:rsid w:val="00A50982"/>
    <w:rsid w:val="00A509B5"/>
    <w:rsid w:val="00A513F6"/>
    <w:rsid w:val="00A52CFD"/>
    <w:rsid w:val="00A5326F"/>
    <w:rsid w:val="00A56726"/>
    <w:rsid w:val="00A57AB1"/>
    <w:rsid w:val="00A57FD3"/>
    <w:rsid w:val="00A619C6"/>
    <w:rsid w:val="00A62CED"/>
    <w:rsid w:val="00A65FCD"/>
    <w:rsid w:val="00A66D1C"/>
    <w:rsid w:val="00A704D0"/>
    <w:rsid w:val="00A70784"/>
    <w:rsid w:val="00A716D5"/>
    <w:rsid w:val="00A7242F"/>
    <w:rsid w:val="00A75D91"/>
    <w:rsid w:val="00A760D4"/>
    <w:rsid w:val="00A761BF"/>
    <w:rsid w:val="00A76D55"/>
    <w:rsid w:val="00A776E6"/>
    <w:rsid w:val="00A821A9"/>
    <w:rsid w:val="00A827CA"/>
    <w:rsid w:val="00A85D45"/>
    <w:rsid w:val="00A9009D"/>
    <w:rsid w:val="00A90F92"/>
    <w:rsid w:val="00A91386"/>
    <w:rsid w:val="00A92C48"/>
    <w:rsid w:val="00A94721"/>
    <w:rsid w:val="00A973F7"/>
    <w:rsid w:val="00AA02B7"/>
    <w:rsid w:val="00AA14A3"/>
    <w:rsid w:val="00AA409A"/>
    <w:rsid w:val="00AA7350"/>
    <w:rsid w:val="00AB111F"/>
    <w:rsid w:val="00AB5D36"/>
    <w:rsid w:val="00AB5F9D"/>
    <w:rsid w:val="00AB60CF"/>
    <w:rsid w:val="00AB6212"/>
    <w:rsid w:val="00AC07A1"/>
    <w:rsid w:val="00AC1458"/>
    <w:rsid w:val="00AC3A2D"/>
    <w:rsid w:val="00AC4486"/>
    <w:rsid w:val="00AC6957"/>
    <w:rsid w:val="00AC6B93"/>
    <w:rsid w:val="00AC733E"/>
    <w:rsid w:val="00AD0F22"/>
    <w:rsid w:val="00AD35E5"/>
    <w:rsid w:val="00AD4028"/>
    <w:rsid w:val="00AD5304"/>
    <w:rsid w:val="00AD6345"/>
    <w:rsid w:val="00AD6572"/>
    <w:rsid w:val="00AD79C3"/>
    <w:rsid w:val="00AE0D92"/>
    <w:rsid w:val="00AE2366"/>
    <w:rsid w:val="00AE2C42"/>
    <w:rsid w:val="00AE5171"/>
    <w:rsid w:val="00AE6F15"/>
    <w:rsid w:val="00AF1673"/>
    <w:rsid w:val="00AF17C2"/>
    <w:rsid w:val="00AF1AEB"/>
    <w:rsid w:val="00AF2914"/>
    <w:rsid w:val="00AF2B0E"/>
    <w:rsid w:val="00AF3842"/>
    <w:rsid w:val="00AF3FB6"/>
    <w:rsid w:val="00AF5546"/>
    <w:rsid w:val="00AF6A69"/>
    <w:rsid w:val="00AF6EF6"/>
    <w:rsid w:val="00B00008"/>
    <w:rsid w:val="00B008A6"/>
    <w:rsid w:val="00B01624"/>
    <w:rsid w:val="00B01DC2"/>
    <w:rsid w:val="00B0470F"/>
    <w:rsid w:val="00B048F8"/>
    <w:rsid w:val="00B0727D"/>
    <w:rsid w:val="00B10498"/>
    <w:rsid w:val="00B10D89"/>
    <w:rsid w:val="00B13451"/>
    <w:rsid w:val="00B137F0"/>
    <w:rsid w:val="00B1514A"/>
    <w:rsid w:val="00B15800"/>
    <w:rsid w:val="00B26903"/>
    <w:rsid w:val="00B27FDC"/>
    <w:rsid w:val="00B30126"/>
    <w:rsid w:val="00B30723"/>
    <w:rsid w:val="00B32991"/>
    <w:rsid w:val="00B32DC2"/>
    <w:rsid w:val="00B33DCE"/>
    <w:rsid w:val="00B35792"/>
    <w:rsid w:val="00B35B32"/>
    <w:rsid w:val="00B36962"/>
    <w:rsid w:val="00B3764B"/>
    <w:rsid w:val="00B4050E"/>
    <w:rsid w:val="00B427FC"/>
    <w:rsid w:val="00B42E0C"/>
    <w:rsid w:val="00B435E9"/>
    <w:rsid w:val="00B43B81"/>
    <w:rsid w:val="00B4730B"/>
    <w:rsid w:val="00B50703"/>
    <w:rsid w:val="00B50E97"/>
    <w:rsid w:val="00B51D70"/>
    <w:rsid w:val="00B52567"/>
    <w:rsid w:val="00B52939"/>
    <w:rsid w:val="00B579D1"/>
    <w:rsid w:val="00B60394"/>
    <w:rsid w:val="00B60AED"/>
    <w:rsid w:val="00B61200"/>
    <w:rsid w:val="00B62D91"/>
    <w:rsid w:val="00B6428C"/>
    <w:rsid w:val="00B650AB"/>
    <w:rsid w:val="00B65FE5"/>
    <w:rsid w:val="00B71440"/>
    <w:rsid w:val="00B753E9"/>
    <w:rsid w:val="00B761A5"/>
    <w:rsid w:val="00B76C5F"/>
    <w:rsid w:val="00B77B4C"/>
    <w:rsid w:val="00B77DE2"/>
    <w:rsid w:val="00B80D69"/>
    <w:rsid w:val="00B81012"/>
    <w:rsid w:val="00B8395F"/>
    <w:rsid w:val="00B85D82"/>
    <w:rsid w:val="00B86931"/>
    <w:rsid w:val="00B90552"/>
    <w:rsid w:val="00B90B59"/>
    <w:rsid w:val="00B924F4"/>
    <w:rsid w:val="00B93488"/>
    <w:rsid w:val="00B95010"/>
    <w:rsid w:val="00BA0A58"/>
    <w:rsid w:val="00BA3763"/>
    <w:rsid w:val="00BA7647"/>
    <w:rsid w:val="00BA7D6C"/>
    <w:rsid w:val="00BB1AAA"/>
    <w:rsid w:val="00BB5B85"/>
    <w:rsid w:val="00BB6490"/>
    <w:rsid w:val="00BB663F"/>
    <w:rsid w:val="00BB70AB"/>
    <w:rsid w:val="00BB76AB"/>
    <w:rsid w:val="00BB76C2"/>
    <w:rsid w:val="00BB79F5"/>
    <w:rsid w:val="00BB7B67"/>
    <w:rsid w:val="00BC7A16"/>
    <w:rsid w:val="00BC7B8C"/>
    <w:rsid w:val="00BD101F"/>
    <w:rsid w:val="00BD3CDF"/>
    <w:rsid w:val="00BD7A12"/>
    <w:rsid w:val="00BD7BBE"/>
    <w:rsid w:val="00BD7DB2"/>
    <w:rsid w:val="00BE06B8"/>
    <w:rsid w:val="00BE2BA2"/>
    <w:rsid w:val="00BE359C"/>
    <w:rsid w:val="00BE5D2E"/>
    <w:rsid w:val="00BE6D7D"/>
    <w:rsid w:val="00BF03BE"/>
    <w:rsid w:val="00BF0585"/>
    <w:rsid w:val="00BF0723"/>
    <w:rsid w:val="00BF1EF5"/>
    <w:rsid w:val="00BF5F3D"/>
    <w:rsid w:val="00BF636B"/>
    <w:rsid w:val="00BF7605"/>
    <w:rsid w:val="00BF7CD5"/>
    <w:rsid w:val="00C012AD"/>
    <w:rsid w:val="00C03077"/>
    <w:rsid w:val="00C03C15"/>
    <w:rsid w:val="00C07A1B"/>
    <w:rsid w:val="00C102BA"/>
    <w:rsid w:val="00C10A27"/>
    <w:rsid w:val="00C10EA4"/>
    <w:rsid w:val="00C114FF"/>
    <w:rsid w:val="00C119C0"/>
    <w:rsid w:val="00C158F4"/>
    <w:rsid w:val="00C17576"/>
    <w:rsid w:val="00C20945"/>
    <w:rsid w:val="00C21871"/>
    <w:rsid w:val="00C21B57"/>
    <w:rsid w:val="00C22C56"/>
    <w:rsid w:val="00C22D17"/>
    <w:rsid w:val="00C23552"/>
    <w:rsid w:val="00C26BFC"/>
    <w:rsid w:val="00C26EFD"/>
    <w:rsid w:val="00C27E94"/>
    <w:rsid w:val="00C305D3"/>
    <w:rsid w:val="00C307D2"/>
    <w:rsid w:val="00C32567"/>
    <w:rsid w:val="00C326EF"/>
    <w:rsid w:val="00C32CD1"/>
    <w:rsid w:val="00C3463B"/>
    <w:rsid w:val="00C35573"/>
    <w:rsid w:val="00C42E99"/>
    <w:rsid w:val="00C4442A"/>
    <w:rsid w:val="00C44D12"/>
    <w:rsid w:val="00C44F11"/>
    <w:rsid w:val="00C4612C"/>
    <w:rsid w:val="00C46D9A"/>
    <w:rsid w:val="00C507FF"/>
    <w:rsid w:val="00C510FD"/>
    <w:rsid w:val="00C54C7F"/>
    <w:rsid w:val="00C556C9"/>
    <w:rsid w:val="00C55CBB"/>
    <w:rsid w:val="00C56105"/>
    <w:rsid w:val="00C56682"/>
    <w:rsid w:val="00C61301"/>
    <w:rsid w:val="00C62353"/>
    <w:rsid w:val="00C624E9"/>
    <w:rsid w:val="00C63607"/>
    <w:rsid w:val="00C6464D"/>
    <w:rsid w:val="00C64B4C"/>
    <w:rsid w:val="00C7140A"/>
    <w:rsid w:val="00C7184F"/>
    <w:rsid w:val="00C71D44"/>
    <w:rsid w:val="00C73C4C"/>
    <w:rsid w:val="00C814C5"/>
    <w:rsid w:val="00C82501"/>
    <w:rsid w:val="00C82CF1"/>
    <w:rsid w:val="00C84F55"/>
    <w:rsid w:val="00C85FE3"/>
    <w:rsid w:val="00C87009"/>
    <w:rsid w:val="00C950D1"/>
    <w:rsid w:val="00C96C84"/>
    <w:rsid w:val="00C97803"/>
    <w:rsid w:val="00CA149A"/>
    <w:rsid w:val="00CA1916"/>
    <w:rsid w:val="00CA289F"/>
    <w:rsid w:val="00CA4B44"/>
    <w:rsid w:val="00CA55D4"/>
    <w:rsid w:val="00CA5F09"/>
    <w:rsid w:val="00CA65C6"/>
    <w:rsid w:val="00CA709D"/>
    <w:rsid w:val="00CB0260"/>
    <w:rsid w:val="00CB0DBF"/>
    <w:rsid w:val="00CB57A1"/>
    <w:rsid w:val="00CB57F6"/>
    <w:rsid w:val="00CB5C9C"/>
    <w:rsid w:val="00CB6E08"/>
    <w:rsid w:val="00CC4E73"/>
    <w:rsid w:val="00CC4EB1"/>
    <w:rsid w:val="00CC5479"/>
    <w:rsid w:val="00CC58CE"/>
    <w:rsid w:val="00CC70BB"/>
    <w:rsid w:val="00CD0763"/>
    <w:rsid w:val="00CD6CE2"/>
    <w:rsid w:val="00CD6DAB"/>
    <w:rsid w:val="00CE0066"/>
    <w:rsid w:val="00CE15B1"/>
    <w:rsid w:val="00CE4257"/>
    <w:rsid w:val="00CF056F"/>
    <w:rsid w:val="00CF06EC"/>
    <w:rsid w:val="00CF1091"/>
    <w:rsid w:val="00CF113F"/>
    <w:rsid w:val="00CF18B9"/>
    <w:rsid w:val="00CF2E8C"/>
    <w:rsid w:val="00CF34C9"/>
    <w:rsid w:val="00CF4654"/>
    <w:rsid w:val="00D0359D"/>
    <w:rsid w:val="00D04C6D"/>
    <w:rsid w:val="00D04D98"/>
    <w:rsid w:val="00D04EE4"/>
    <w:rsid w:val="00D06119"/>
    <w:rsid w:val="00D07091"/>
    <w:rsid w:val="00D071E4"/>
    <w:rsid w:val="00D07CBA"/>
    <w:rsid w:val="00D10F9B"/>
    <w:rsid w:val="00D118B7"/>
    <w:rsid w:val="00D147F0"/>
    <w:rsid w:val="00D16024"/>
    <w:rsid w:val="00D17E64"/>
    <w:rsid w:val="00D17F9A"/>
    <w:rsid w:val="00D212B3"/>
    <w:rsid w:val="00D22F36"/>
    <w:rsid w:val="00D241AB"/>
    <w:rsid w:val="00D24405"/>
    <w:rsid w:val="00D25483"/>
    <w:rsid w:val="00D273FE"/>
    <w:rsid w:val="00D30A64"/>
    <w:rsid w:val="00D30DD8"/>
    <w:rsid w:val="00D334C7"/>
    <w:rsid w:val="00D34C9D"/>
    <w:rsid w:val="00D37001"/>
    <w:rsid w:val="00D4039F"/>
    <w:rsid w:val="00D40F69"/>
    <w:rsid w:val="00D434E8"/>
    <w:rsid w:val="00D43E74"/>
    <w:rsid w:val="00D443BB"/>
    <w:rsid w:val="00D5166D"/>
    <w:rsid w:val="00D53280"/>
    <w:rsid w:val="00D54ACA"/>
    <w:rsid w:val="00D5526F"/>
    <w:rsid w:val="00D565F5"/>
    <w:rsid w:val="00D62504"/>
    <w:rsid w:val="00D62757"/>
    <w:rsid w:val="00D63B42"/>
    <w:rsid w:val="00D64753"/>
    <w:rsid w:val="00D64B7D"/>
    <w:rsid w:val="00D65703"/>
    <w:rsid w:val="00D6620A"/>
    <w:rsid w:val="00D66DCD"/>
    <w:rsid w:val="00D70B49"/>
    <w:rsid w:val="00D745CD"/>
    <w:rsid w:val="00D75477"/>
    <w:rsid w:val="00D75B02"/>
    <w:rsid w:val="00D76BB4"/>
    <w:rsid w:val="00D7754E"/>
    <w:rsid w:val="00D77FB6"/>
    <w:rsid w:val="00D8431E"/>
    <w:rsid w:val="00D84B2E"/>
    <w:rsid w:val="00D85496"/>
    <w:rsid w:val="00D85FDE"/>
    <w:rsid w:val="00D872EE"/>
    <w:rsid w:val="00D90107"/>
    <w:rsid w:val="00D90CBB"/>
    <w:rsid w:val="00D9360D"/>
    <w:rsid w:val="00D94A21"/>
    <w:rsid w:val="00D9521A"/>
    <w:rsid w:val="00D95D1C"/>
    <w:rsid w:val="00DA18A6"/>
    <w:rsid w:val="00DA52AA"/>
    <w:rsid w:val="00DA5323"/>
    <w:rsid w:val="00DA6B3C"/>
    <w:rsid w:val="00DB0E72"/>
    <w:rsid w:val="00DB0EAE"/>
    <w:rsid w:val="00DB1DC6"/>
    <w:rsid w:val="00DB206D"/>
    <w:rsid w:val="00DB3FF2"/>
    <w:rsid w:val="00DB508C"/>
    <w:rsid w:val="00DB5229"/>
    <w:rsid w:val="00DB73D8"/>
    <w:rsid w:val="00DC425E"/>
    <w:rsid w:val="00DC59DB"/>
    <w:rsid w:val="00DC63CC"/>
    <w:rsid w:val="00DD0635"/>
    <w:rsid w:val="00DD0DB4"/>
    <w:rsid w:val="00DD2C67"/>
    <w:rsid w:val="00DD44FD"/>
    <w:rsid w:val="00DD47DB"/>
    <w:rsid w:val="00DD58B8"/>
    <w:rsid w:val="00DD766D"/>
    <w:rsid w:val="00DE02A7"/>
    <w:rsid w:val="00DE1211"/>
    <w:rsid w:val="00DE15BD"/>
    <w:rsid w:val="00DE21BC"/>
    <w:rsid w:val="00DE2DE0"/>
    <w:rsid w:val="00DE4345"/>
    <w:rsid w:val="00DE56EF"/>
    <w:rsid w:val="00DE6A35"/>
    <w:rsid w:val="00DE715E"/>
    <w:rsid w:val="00DF02CF"/>
    <w:rsid w:val="00DF0966"/>
    <w:rsid w:val="00DF1394"/>
    <w:rsid w:val="00DF221B"/>
    <w:rsid w:val="00DF3591"/>
    <w:rsid w:val="00E00619"/>
    <w:rsid w:val="00E015EF"/>
    <w:rsid w:val="00E03853"/>
    <w:rsid w:val="00E03B6E"/>
    <w:rsid w:val="00E03DF8"/>
    <w:rsid w:val="00E040DE"/>
    <w:rsid w:val="00E044F4"/>
    <w:rsid w:val="00E06FF6"/>
    <w:rsid w:val="00E14A73"/>
    <w:rsid w:val="00E14EE8"/>
    <w:rsid w:val="00E15A4C"/>
    <w:rsid w:val="00E15D71"/>
    <w:rsid w:val="00E167C8"/>
    <w:rsid w:val="00E16B92"/>
    <w:rsid w:val="00E2064D"/>
    <w:rsid w:val="00E22CFE"/>
    <w:rsid w:val="00E22FD5"/>
    <w:rsid w:val="00E24506"/>
    <w:rsid w:val="00E26508"/>
    <w:rsid w:val="00E270FE"/>
    <w:rsid w:val="00E2778C"/>
    <w:rsid w:val="00E305C0"/>
    <w:rsid w:val="00E307EE"/>
    <w:rsid w:val="00E34BA9"/>
    <w:rsid w:val="00E360EA"/>
    <w:rsid w:val="00E36816"/>
    <w:rsid w:val="00E42C2E"/>
    <w:rsid w:val="00E466EB"/>
    <w:rsid w:val="00E47413"/>
    <w:rsid w:val="00E53662"/>
    <w:rsid w:val="00E53BD0"/>
    <w:rsid w:val="00E60C3D"/>
    <w:rsid w:val="00E61FA7"/>
    <w:rsid w:val="00E632E9"/>
    <w:rsid w:val="00E64B96"/>
    <w:rsid w:val="00E6554B"/>
    <w:rsid w:val="00E657E1"/>
    <w:rsid w:val="00E65D98"/>
    <w:rsid w:val="00E67EE9"/>
    <w:rsid w:val="00E75764"/>
    <w:rsid w:val="00E80A0C"/>
    <w:rsid w:val="00E80DF7"/>
    <w:rsid w:val="00E81B46"/>
    <w:rsid w:val="00E8358D"/>
    <w:rsid w:val="00E83B1B"/>
    <w:rsid w:val="00E84216"/>
    <w:rsid w:val="00E8454C"/>
    <w:rsid w:val="00E84D48"/>
    <w:rsid w:val="00E85CB6"/>
    <w:rsid w:val="00E86678"/>
    <w:rsid w:val="00E903B8"/>
    <w:rsid w:val="00E9062D"/>
    <w:rsid w:val="00E90676"/>
    <w:rsid w:val="00E908A0"/>
    <w:rsid w:val="00E91145"/>
    <w:rsid w:val="00E9311D"/>
    <w:rsid w:val="00E93386"/>
    <w:rsid w:val="00E956FF"/>
    <w:rsid w:val="00EA1C78"/>
    <w:rsid w:val="00EA234C"/>
    <w:rsid w:val="00EA37E1"/>
    <w:rsid w:val="00EA4CD3"/>
    <w:rsid w:val="00EA4F2E"/>
    <w:rsid w:val="00EA5EBE"/>
    <w:rsid w:val="00EA745A"/>
    <w:rsid w:val="00EA759F"/>
    <w:rsid w:val="00EB1067"/>
    <w:rsid w:val="00EB1935"/>
    <w:rsid w:val="00EB3A2B"/>
    <w:rsid w:val="00EB40EB"/>
    <w:rsid w:val="00EB6C30"/>
    <w:rsid w:val="00EC0D23"/>
    <w:rsid w:val="00EC2B50"/>
    <w:rsid w:val="00EC37F3"/>
    <w:rsid w:val="00EC3D0D"/>
    <w:rsid w:val="00EC585E"/>
    <w:rsid w:val="00EC61DC"/>
    <w:rsid w:val="00EC7F5C"/>
    <w:rsid w:val="00ED2A6F"/>
    <w:rsid w:val="00ED4FD5"/>
    <w:rsid w:val="00EE1B36"/>
    <w:rsid w:val="00EE1EE5"/>
    <w:rsid w:val="00EE2B13"/>
    <w:rsid w:val="00EE3F8A"/>
    <w:rsid w:val="00EE4415"/>
    <w:rsid w:val="00EE6499"/>
    <w:rsid w:val="00EF04EF"/>
    <w:rsid w:val="00EF0F1D"/>
    <w:rsid w:val="00EF0F3D"/>
    <w:rsid w:val="00EF1359"/>
    <w:rsid w:val="00EF253A"/>
    <w:rsid w:val="00EF376C"/>
    <w:rsid w:val="00EF3F7D"/>
    <w:rsid w:val="00EF477D"/>
    <w:rsid w:val="00EF5E17"/>
    <w:rsid w:val="00EF6C82"/>
    <w:rsid w:val="00F0026D"/>
    <w:rsid w:val="00F01650"/>
    <w:rsid w:val="00F01F96"/>
    <w:rsid w:val="00F0214F"/>
    <w:rsid w:val="00F07759"/>
    <w:rsid w:val="00F10260"/>
    <w:rsid w:val="00F14396"/>
    <w:rsid w:val="00F14A88"/>
    <w:rsid w:val="00F154BF"/>
    <w:rsid w:val="00F15829"/>
    <w:rsid w:val="00F207A4"/>
    <w:rsid w:val="00F21D57"/>
    <w:rsid w:val="00F222A0"/>
    <w:rsid w:val="00F2500E"/>
    <w:rsid w:val="00F252CF"/>
    <w:rsid w:val="00F267BA"/>
    <w:rsid w:val="00F26B53"/>
    <w:rsid w:val="00F27417"/>
    <w:rsid w:val="00F275FD"/>
    <w:rsid w:val="00F27A19"/>
    <w:rsid w:val="00F324C1"/>
    <w:rsid w:val="00F3288C"/>
    <w:rsid w:val="00F347A3"/>
    <w:rsid w:val="00F360A7"/>
    <w:rsid w:val="00F37BCD"/>
    <w:rsid w:val="00F41059"/>
    <w:rsid w:val="00F4154F"/>
    <w:rsid w:val="00F42051"/>
    <w:rsid w:val="00F42C09"/>
    <w:rsid w:val="00F42DAE"/>
    <w:rsid w:val="00F431E3"/>
    <w:rsid w:val="00F43BD9"/>
    <w:rsid w:val="00F4414F"/>
    <w:rsid w:val="00F45479"/>
    <w:rsid w:val="00F53F08"/>
    <w:rsid w:val="00F61012"/>
    <w:rsid w:val="00F62C1A"/>
    <w:rsid w:val="00F63A77"/>
    <w:rsid w:val="00F64CBC"/>
    <w:rsid w:val="00F65972"/>
    <w:rsid w:val="00F66FF4"/>
    <w:rsid w:val="00F70FF2"/>
    <w:rsid w:val="00F723DC"/>
    <w:rsid w:val="00F72535"/>
    <w:rsid w:val="00F74514"/>
    <w:rsid w:val="00F75A2F"/>
    <w:rsid w:val="00F76643"/>
    <w:rsid w:val="00F76790"/>
    <w:rsid w:val="00F812C5"/>
    <w:rsid w:val="00F832E0"/>
    <w:rsid w:val="00F83BAD"/>
    <w:rsid w:val="00F866EF"/>
    <w:rsid w:val="00F86949"/>
    <w:rsid w:val="00F87BC0"/>
    <w:rsid w:val="00F912C4"/>
    <w:rsid w:val="00F924A2"/>
    <w:rsid w:val="00F92AA5"/>
    <w:rsid w:val="00F93217"/>
    <w:rsid w:val="00F932F9"/>
    <w:rsid w:val="00F945C1"/>
    <w:rsid w:val="00F969EB"/>
    <w:rsid w:val="00F979E6"/>
    <w:rsid w:val="00FA293D"/>
    <w:rsid w:val="00FA38C2"/>
    <w:rsid w:val="00FA41AD"/>
    <w:rsid w:val="00FA54A7"/>
    <w:rsid w:val="00FB0563"/>
    <w:rsid w:val="00FB0C2C"/>
    <w:rsid w:val="00FB47C0"/>
    <w:rsid w:val="00FB6350"/>
    <w:rsid w:val="00FB7770"/>
    <w:rsid w:val="00FC21F4"/>
    <w:rsid w:val="00FC28C1"/>
    <w:rsid w:val="00FC36C3"/>
    <w:rsid w:val="00FC43AC"/>
    <w:rsid w:val="00FC691F"/>
    <w:rsid w:val="00FD0179"/>
    <w:rsid w:val="00FD2AD1"/>
    <w:rsid w:val="00FD3582"/>
    <w:rsid w:val="00FD3856"/>
    <w:rsid w:val="00FD403D"/>
    <w:rsid w:val="00FD41D5"/>
    <w:rsid w:val="00FD44E3"/>
    <w:rsid w:val="00FD5B3A"/>
    <w:rsid w:val="00FD5C86"/>
    <w:rsid w:val="00FE37C8"/>
    <w:rsid w:val="00FE3E1B"/>
    <w:rsid w:val="00FE6AF5"/>
    <w:rsid w:val="00FE6E98"/>
    <w:rsid w:val="00FE7E2E"/>
    <w:rsid w:val="00FF0B84"/>
    <w:rsid w:val="00FF13A8"/>
    <w:rsid w:val="00FF310D"/>
    <w:rsid w:val="00FF5F26"/>
    <w:rsid w:val="00FF6D45"/>
    <w:rsid w:val="00FF7F60"/>
    <w:rsid w:val="02412F56"/>
    <w:rsid w:val="050C9D23"/>
    <w:rsid w:val="07B8605F"/>
    <w:rsid w:val="4B6BA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19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76C2"/>
    <w:pPr>
      <w:widowControl w:val="0"/>
      <w:autoSpaceDE w:val="0"/>
      <w:autoSpaceDN w:val="0"/>
      <w:spacing w:after="0" w:line="240" w:lineRule="auto"/>
    </w:pPr>
    <w:rPr>
      <w:rFonts w:ascii="Times New Roman" w:eastAsia="Times New Roman" w:hAnsi="Times New Roman" w:cs="Times New Roman"/>
      <w:lang w:eastAsia="en-GB" w:bidi="en-GB"/>
    </w:rPr>
  </w:style>
  <w:style w:type="paragraph" w:styleId="Heading1">
    <w:name w:val="heading 1"/>
    <w:basedOn w:val="Normal"/>
    <w:link w:val="Heading1Char"/>
    <w:uiPriority w:val="1"/>
    <w:qFormat/>
    <w:rsid w:val="00BB76C2"/>
    <w:pPr>
      <w:spacing w:before="60"/>
      <w:ind w:left="226"/>
      <w:jc w:val="both"/>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76C2"/>
    <w:rPr>
      <w:rFonts w:ascii="Times New Roman" w:eastAsia="Times New Roman" w:hAnsi="Times New Roman" w:cs="Times New Roman"/>
      <w:b/>
      <w:bCs/>
      <w:sz w:val="26"/>
      <w:szCs w:val="26"/>
      <w:lang w:eastAsia="en-GB" w:bidi="en-GB"/>
    </w:rPr>
  </w:style>
  <w:style w:type="paragraph" w:styleId="FootnoteText">
    <w:name w:val="footnote text"/>
    <w:aliases w:val="fn,footnote text,Footnotes,Footnote ak,ft,fn cafc,Footnote Text Char1,fn Char Char,footnote text Char Char,Footnotes Char Char,Footnote ak Char Char,Footnote Text Char2,Footnote Text Char1 Char1,Footnote Text Char Char C,Footnote,Fußnote,o"/>
    <w:basedOn w:val="Normal"/>
    <w:link w:val="FootnoteTextChar"/>
    <w:uiPriority w:val="99"/>
    <w:unhideWhenUsed/>
    <w:qFormat/>
    <w:rsid w:val="006D5B3C"/>
    <w:pPr>
      <w:keepLines/>
    </w:pPr>
    <w:rPr>
      <w:sz w:val="20"/>
      <w:szCs w:val="20"/>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Footnote Text Char2 Char"/>
    <w:basedOn w:val="DefaultParagraphFont"/>
    <w:link w:val="FootnoteText"/>
    <w:uiPriority w:val="99"/>
    <w:qFormat/>
    <w:rsid w:val="006D5B3C"/>
    <w:rPr>
      <w:rFonts w:ascii="Times New Roman" w:eastAsia="Times New Roman" w:hAnsi="Times New Roman" w:cs="Times New Roman"/>
      <w:sz w:val="20"/>
      <w:szCs w:val="20"/>
      <w:lang w:eastAsia="en-GB" w:bidi="en-GB"/>
    </w:rPr>
  </w:style>
  <w:style w:type="character" w:styleId="FootnoteReference">
    <w:name w:val="footnote reference"/>
    <w:aliases w:val="Ref,de nota al pie,ftref,Footnote Refernece,Footnote Reference Superscript,Footnote Reference text,Footnote symbol,Voetnootverwijzing,footnote ref,FR,Fußnotenzeichen diss neu,Times 10 Point,Exposant 3 Point, Exposant 3 Point,Re,SUPERS"/>
    <w:basedOn w:val="DefaultParagraphFont"/>
    <w:link w:val="16Point"/>
    <w:uiPriority w:val="99"/>
    <w:unhideWhenUsed/>
    <w:qFormat/>
    <w:rsid w:val="00BB76C2"/>
    <w:rPr>
      <w:vertAlign w:val="superscript"/>
    </w:rPr>
  </w:style>
  <w:style w:type="table" w:styleId="TableGrid">
    <w:name w:val="Table Grid"/>
    <w:basedOn w:val="TableNormal"/>
    <w:uiPriority w:val="59"/>
    <w:rsid w:val="00BB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Point">
    <w:name w:val="16 Point"/>
    <w:aliases w:val="Superscript 6 Point,Footnote reference number,Odwołanie przypisu,number,2001+ Fußnotenzeichen"/>
    <w:basedOn w:val="Normal"/>
    <w:link w:val="FootnoteReference"/>
    <w:uiPriority w:val="99"/>
    <w:rsid w:val="00BB76C2"/>
    <w:pPr>
      <w:widowControl/>
      <w:autoSpaceDE/>
      <w:autoSpaceDN/>
      <w:spacing w:after="160" w:line="240" w:lineRule="exact"/>
    </w:pPr>
    <w:rPr>
      <w:rFonts w:asciiTheme="minorHAnsi" w:eastAsiaTheme="minorHAnsi" w:hAnsiTheme="minorHAnsi" w:cstheme="minorBidi"/>
      <w:vertAlign w:val="superscript"/>
      <w:lang w:eastAsia="en-US" w:bidi="ar-SA"/>
    </w:rPr>
  </w:style>
  <w:style w:type="character" w:styleId="Hyperlink">
    <w:name w:val="Hyperlink"/>
    <w:basedOn w:val="DefaultParagraphFont"/>
    <w:uiPriority w:val="99"/>
    <w:unhideWhenUsed/>
    <w:rsid w:val="00FE37C8"/>
    <w:rPr>
      <w:color w:val="0000FF" w:themeColor="hyperlink"/>
      <w:u w:val="single"/>
    </w:rPr>
  </w:style>
  <w:style w:type="character" w:styleId="FollowedHyperlink">
    <w:name w:val="FollowedHyperlink"/>
    <w:basedOn w:val="DefaultParagraphFont"/>
    <w:uiPriority w:val="99"/>
    <w:semiHidden/>
    <w:unhideWhenUsed/>
    <w:rsid w:val="00FE37C8"/>
    <w:rPr>
      <w:color w:val="800080" w:themeColor="followedHyperlink"/>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rsid w:val="006D2E8A"/>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CommentReference">
    <w:name w:val="annotation reference"/>
    <w:basedOn w:val="DefaultParagraphFont"/>
    <w:uiPriority w:val="99"/>
    <w:semiHidden/>
    <w:rsid w:val="006D2E8A"/>
    <w:rPr>
      <w:sz w:val="16"/>
      <w:szCs w:val="16"/>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6D2E8A"/>
  </w:style>
  <w:style w:type="paragraph" w:styleId="CommentText">
    <w:name w:val="annotation text"/>
    <w:basedOn w:val="Normal"/>
    <w:link w:val="CommentTextChar"/>
    <w:uiPriority w:val="99"/>
    <w:unhideWhenUsed/>
    <w:rsid w:val="00A509B5"/>
    <w:rPr>
      <w:sz w:val="20"/>
      <w:szCs w:val="20"/>
    </w:rPr>
  </w:style>
  <w:style w:type="character" w:customStyle="1" w:styleId="CommentTextChar">
    <w:name w:val="Comment Text Char"/>
    <w:basedOn w:val="DefaultParagraphFont"/>
    <w:link w:val="CommentText"/>
    <w:uiPriority w:val="99"/>
    <w:rsid w:val="00A509B5"/>
    <w:rPr>
      <w:rFonts w:ascii="Times New Roman" w:eastAsia="Times New Roman" w:hAnsi="Times New Roman" w:cs="Times New Roman"/>
      <w:sz w:val="20"/>
      <w:szCs w:val="20"/>
      <w:lang w:eastAsia="en-GB" w:bidi="en-GB"/>
    </w:rPr>
  </w:style>
  <w:style w:type="paragraph" w:styleId="CommentSubject">
    <w:name w:val="annotation subject"/>
    <w:basedOn w:val="CommentText"/>
    <w:next w:val="CommentText"/>
    <w:link w:val="CommentSubjectChar"/>
    <w:uiPriority w:val="99"/>
    <w:semiHidden/>
    <w:unhideWhenUsed/>
    <w:rsid w:val="00A509B5"/>
    <w:rPr>
      <w:b/>
      <w:bCs/>
    </w:rPr>
  </w:style>
  <w:style w:type="character" w:customStyle="1" w:styleId="CommentSubjectChar">
    <w:name w:val="Comment Subject Char"/>
    <w:basedOn w:val="CommentTextChar"/>
    <w:link w:val="CommentSubject"/>
    <w:uiPriority w:val="99"/>
    <w:semiHidden/>
    <w:rsid w:val="00A509B5"/>
    <w:rPr>
      <w:rFonts w:ascii="Times New Roman" w:eastAsia="Times New Roman" w:hAnsi="Times New Roman" w:cs="Times New Roman"/>
      <w:b/>
      <w:bCs/>
      <w:sz w:val="20"/>
      <w:szCs w:val="20"/>
      <w:lang w:eastAsia="en-GB" w:bidi="en-GB"/>
    </w:rPr>
  </w:style>
  <w:style w:type="paragraph" w:styleId="BalloonText">
    <w:name w:val="Balloon Text"/>
    <w:basedOn w:val="Normal"/>
    <w:link w:val="BalloonTextChar"/>
    <w:uiPriority w:val="99"/>
    <w:semiHidden/>
    <w:unhideWhenUsed/>
    <w:rsid w:val="00A50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9B5"/>
    <w:rPr>
      <w:rFonts w:ascii="Segoe UI" w:eastAsia="Times New Roman" w:hAnsi="Segoe UI" w:cs="Segoe UI"/>
      <w:sz w:val="18"/>
      <w:szCs w:val="18"/>
      <w:lang w:eastAsia="en-GB" w:bidi="en-GB"/>
    </w:rPr>
  </w:style>
  <w:style w:type="paragraph" w:styleId="Header">
    <w:name w:val="header"/>
    <w:basedOn w:val="Normal"/>
    <w:link w:val="HeaderChar"/>
    <w:uiPriority w:val="99"/>
    <w:unhideWhenUsed/>
    <w:rsid w:val="006E1A1B"/>
    <w:pPr>
      <w:tabs>
        <w:tab w:val="center" w:pos="4513"/>
        <w:tab w:val="right" w:pos="9026"/>
      </w:tabs>
    </w:pPr>
  </w:style>
  <w:style w:type="character" w:customStyle="1" w:styleId="HeaderChar">
    <w:name w:val="Header Char"/>
    <w:basedOn w:val="DefaultParagraphFont"/>
    <w:link w:val="Header"/>
    <w:uiPriority w:val="99"/>
    <w:rsid w:val="006E1A1B"/>
    <w:rPr>
      <w:rFonts w:ascii="Times New Roman" w:eastAsia="Times New Roman" w:hAnsi="Times New Roman" w:cs="Times New Roman"/>
      <w:lang w:eastAsia="en-GB" w:bidi="en-GB"/>
    </w:rPr>
  </w:style>
  <w:style w:type="paragraph" w:styleId="Footer">
    <w:name w:val="footer"/>
    <w:basedOn w:val="Normal"/>
    <w:link w:val="FooterChar"/>
    <w:uiPriority w:val="99"/>
    <w:unhideWhenUsed/>
    <w:rsid w:val="006E1A1B"/>
    <w:pPr>
      <w:tabs>
        <w:tab w:val="center" w:pos="4513"/>
        <w:tab w:val="right" w:pos="9026"/>
      </w:tabs>
    </w:pPr>
  </w:style>
  <w:style w:type="character" w:customStyle="1" w:styleId="FooterChar">
    <w:name w:val="Footer Char"/>
    <w:basedOn w:val="DefaultParagraphFont"/>
    <w:link w:val="Footer"/>
    <w:uiPriority w:val="99"/>
    <w:rsid w:val="006E1A1B"/>
    <w:rPr>
      <w:rFonts w:ascii="Times New Roman" w:eastAsia="Times New Roman" w:hAnsi="Times New Roman" w:cs="Times New Roman"/>
      <w:lang w:eastAsia="en-GB" w:bidi="en-GB"/>
    </w:rPr>
  </w:style>
  <w:style w:type="paragraph" w:styleId="Revision">
    <w:name w:val="Revision"/>
    <w:hidden/>
    <w:uiPriority w:val="99"/>
    <w:semiHidden/>
    <w:rsid w:val="00180169"/>
    <w:pPr>
      <w:spacing w:after="0" w:line="240" w:lineRule="auto"/>
    </w:pPr>
    <w:rPr>
      <w:rFonts w:ascii="Times New Roman" w:eastAsia="Times New Roman" w:hAnsi="Times New Roman" w:cs="Times New Roman"/>
      <w:lang w:eastAsia="en-GB" w:bidi="en-GB"/>
    </w:rPr>
  </w:style>
  <w:style w:type="paragraph" w:customStyle="1" w:styleId="Text1">
    <w:name w:val="Text 1"/>
    <w:basedOn w:val="Normal"/>
    <w:uiPriority w:val="1"/>
    <w:qFormat/>
    <w:rsid w:val="00A00024"/>
    <w:pPr>
      <w:widowControl/>
      <w:autoSpaceDE/>
      <w:autoSpaceDN/>
      <w:spacing w:after="240"/>
      <w:ind w:left="482"/>
      <w:jc w:val="both"/>
    </w:pPr>
    <w:rPr>
      <w:sz w:val="24"/>
      <w:szCs w:val="20"/>
      <w:lang w:bidi="ar-SA"/>
    </w:rPr>
  </w:style>
  <w:style w:type="character" w:customStyle="1" w:styleId="Marker">
    <w:name w:val="Marker"/>
    <w:basedOn w:val="DefaultParagraphFont"/>
    <w:rsid w:val="00F0214F"/>
    <w:rPr>
      <w:color w:val="0000FF"/>
      <w:shd w:val="clear" w:color="auto" w:fill="auto"/>
    </w:rPr>
  </w:style>
  <w:style w:type="paragraph" w:customStyle="1" w:styleId="Pagedecouverture">
    <w:name w:val="Page de couverture"/>
    <w:basedOn w:val="Normal"/>
    <w:next w:val="Normal"/>
    <w:rsid w:val="00F0214F"/>
    <w:pPr>
      <w:widowControl/>
      <w:autoSpaceDE/>
      <w:autoSpaceDN/>
      <w:jc w:val="both"/>
    </w:pPr>
    <w:rPr>
      <w:rFonts w:eastAsiaTheme="minorHAnsi"/>
      <w:sz w:val="24"/>
      <w:lang w:eastAsia="en-US" w:bidi="ar-SA"/>
    </w:rPr>
  </w:style>
  <w:style w:type="paragraph" w:customStyle="1" w:styleId="FooterCoverPage">
    <w:name w:val="Footer Cover Page"/>
    <w:basedOn w:val="Normal"/>
    <w:link w:val="FooterCoverPageChar"/>
    <w:rsid w:val="00F0214F"/>
    <w:pPr>
      <w:tabs>
        <w:tab w:val="center" w:pos="4535"/>
        <w:tab w:val="right" w:pos="9071"/>
        <w:tab w:val="right" w:pos="9921"/>
      </w:tabs>
      <w:spacing w:before="360"/>
      <w:ind w:left="-850" w:right="-850"/>
    </w:pPr>
    <w:rPr>
      <w:sz w:val="24"/>
    </w:rPr>
  </w:style>
  <w:style w:type="character" w:customStyle="1" w:styleId="FooterCoverPageChar">
    <w:name w:val="Footer Cover Page Char"/>
    <w:basedOn w:val="Heading1Char"/>
    <w:link w:val="FooterCoverPage"/>
    <w:rsid w:val="00F0214F"/>
    <w:rPr>
      <w:rFonts w:ascii="Times New Roman" w:eastAsia="Times New Roman" w:hAnsi="Times New Roman" w:cs="Times New Roman"/>
      <w:b w:val="0"/>
      <w:bCs w:val="0"/>
      <w:sz w:val="24"/>
      <w:szCs w:val="26"/>
      <w:lang w:eastAsia="en-GB" w:bidi="en-GB"/>
    </w:rPr>
  </w:style>
  <w:style w:type="paragraph" w:customStyle="1" w:styleId="FooterSensitivity">
    <w:name w:val="Footer Sensitivity"/>
    <w:basedOn w:val="Normal"/>
    <w:link w:val="FooterSensitivityChar"/>
    <w:rsid w:val="00F0214F"/>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sid w:val="00F0214F"/>
    <w:rPr>
      <w:rFonts w:ascii="Times New Roman" w:eastAsia="Times New Roman" w:hAnsi="Times New Roman" w:cs="Times New Roman"/>
      <w:b/>
      <w:bCs w:val="0"/>
      <w:sz w:val="32"/>
      <w:szCs w:val="26"/>
      <w:lang w:eastAsia="en-GB" w:bidi="en-GB"/>
    </w:rPr>
  </w:style>
  <w:style w:type="paragraph" w:customStyle="1" w:styleId="HeaderCoverPage">
    <w:name w:val="Header Cover Page"/>
    <w:basedOn w:val="Normal"/>
    <w:link w:val="HeaderCoverPageChar"/>
    <w:rsid w:val="00F0214F"/>
    <w:pPr>
      <w:tabs>
        <w:tab w:val="center" w:pos="4535"/>
        <w:tab w:val="right" w:pos="9071"/>
      </w:tabs>
      <w:spacing w:after="120"/>
      <w:jc w:val="both"/>
    </w:pPr>
    <w:rPr>
      <w:sz w:val="24"/>
    </w:rPr>
  </w:style>
  <w:style w:type="character" w:customStyle="1" w:styleId="HeaderCoverPageChar">
    <w:name w:val="Header Cover Page Char"/>
    <w:basedOn w:val="Heading1Char"/>
    <w:link w:val="HeaderCoverPage"/>
    <w:rsid w:val="00F0214F"/>
    <w:rPr>
      <w:rFonts w:ascii="Times New Roman" w:eastAsia="Times New Roman" w:hAnsi="Times New Roman" w:cs="Times New Roman"/>
      <w:b w:val="0"/>
      <w:bCs w:val="0"/>
      <w:sz w:val="24"/>
      <w:szCs w:val="26"/>
      <w:lang w:eastAsia="en-GB" w:bidi="en-GB"/>
    </w:rPr>
  </w:style>
  <w:style w:type="paragraph" w:customStyle="1" w:styleId="HeaderSensitivity">
    <w:name w:val="Header Sensitivity"/>
    <w:basedOn w:val="Normal"/>
    <w:link w:val="HeaderSensitivityChar"/>
    <w:rsid w:val="00F0214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sid w:val="00F0214F"/>
    <w:rPr>
      <w:rFonts w:ascii="Times New Roman" w:eastAsia="Times New Roman" w:hAnsi="Times New Roman" w:cs="Times New Roman"/>
      <w:b/>
      <w:bCs w:val="0"/>
      <w:sz w:val="32"/>
      <w:szCs w:val="26"/>
      <w:lang w:eastAsia="en-GB" w:bidi="en-GB"/>
    </w:rPr>
  </w:style>
  <w:style w:type="paragraph" w:customStyle="1" w:styleId="HeaderSensitivityRight">
    <w:name w:val="Header Sensitivity Right"/>
    <w:basedOn w:val="Normal"/>
    <w:link w:val="HeaderSensitivityRightChar"/>
    <w:rsid w:val="00F0214F"/>
    <w:pPr>
      <w:spacing w:after="120"/>
      <w:jc w:val="right"/>
    </w:pPr>
    <w:rPr>
      <w:sz w:val="28"/>
    </w:rPr>
  </w:style>
  <w:style w:type="character" w:customStyle="1" w:styleId="HeaderSensitivityRightChar">
    <w:name w:val="Header Sensitivity Right Char"/>
    <w:basedOn w:val="Heading1Char"/>
    <w:link w:val="HeaderSensitivityRight"/>
    <w:rsid w:val="00F0214F"/>
    <w:rPr>
      <w:rFonts w:ascii="Times New Roman" w:eastAsia="Times New Roman" w:hAnsi="Times New Roman" w:cs="Times New Roman"/>
      <w:b w:val="0"/>
      <w:bCs w:val="0"/>
      <w:sz w:val="28"/>
      <w:szCs w:val="2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649">
      <w:bodyDiv w:val="1"/>
      <w:marLeft w:val="0"/>
      <w:marRight w:val="0"/>
      <w:marTop w:val="0"/>
      <w:marBottom w:val="0"/>
      <w:divBdr>
        <w:top w:val="none" w:sz="0" w:space="0" w:color="auto"/>
        <w:left w:val="none" w:sz="0" w:space="0" w:color="auto"/>
        <w:bottom w:val="none" w:sz="0" w:space="0" w:color="auto"/>
        <w:right w:val="none" w:sz="0" w:space="0" w:color="auto"/>
      </w:divBdr>
    </w:div>
    <w:div w:id="501551285">
      <w:bodyDiv w:val="1"/>
      <w:marLeft w:val="0"/>
      <w:marRight w:val="0"/>
      <w:marTop w:val="0"/>
      <w:marBottom w:val="0"/>
      <w:divBdr>
        <w:top w:val="none" w:sz="0" w:space="0" w:color="auto"/>
        <w:left w:val="none" w:sz="0" w:space="0" w:color="auto"/>
        <w:bottom w:val="none" w:sz="0" w:space="0" w:color="auto"/>
        <w:right w:val="none" w:sz="0" w:space="0" w:color="auto"/>
      </w:divBdr>
    </w:div>
    <w:div w:id="11406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2021-esas-review-summary-of-responses_en" TargetMode="External"/><Relationship Id="rId13" Type="http://schemas.openxmlformats.org/officeDocument/2006/relationships/hyperlink" Target="https://www.eca.europa.eu/Lists/ECADocuments/SR21_13/SR_AML_EN.pdf" TargetMode="External"/><Relationship Id="rId18" Type="http://schemas.openxmlformats.org/officeDocument/2006/relationships/hyperlink" Target="https://ec.europa.eu/info/publications/211125-capital-markets-union-package_en" TargetMode="External"/><Relationship Id="rId26" Type="http://schemas.openxmlformats.org/officeDocument/2006/relationships/hyperlink" Target="https://www.europarl.europa.eu/doceo/document/TA-9-2020-0266_EN.html" TargetMode="External"/><Relationship Id="rId3" Type="http://schemas.openxmlformats.org/officeDocument/2006/relationships/hyperlink" Target="https://ec.europa.eu/info/business-economy-euro/growth-and-investment/capital-markets-union/capital-markets-union-2020-action-plan_en" TargetMode="External"/><Relationship Id="rId21" Type="http://schemas.openxmlformats.org/officeDocument/2006/relationships/hyperlink" Target="https://eur-lex.europa.eu/legal-content/EN/TXT/?uri=CELEX:52021PC0727" TargetMode="External"/><Relationship Id="rId7" Type="http://schemas.openxmlformats.org/officeDocument/2006/relationships/hyperlink" Target="https://eur-lex.europa.eu/legal-content/EN/TXT/?uri=CELEX:32019R2175" TargetMode="External"/><Relationship Id="rId12" Type="http://schemas.openxmlformats.org/officeDocument/2006/relationships/hyperlink" Target="https://www.esma.europa.eu/sites/default/files/library/esma42-111-5349_fast_track_peer_review_report_-_wirecard.pdf" TargetMode="External"/><Relationship Id="rId17" Type="http://schemas.openxmlformats.org/officeDocument/2006/relationships/hyperlink" Target="https://ec.europa.eu/info/publications/210922-solvency-2-communication_en" TargetMode="External"/><Relationship Id="rId25" Type="http://schemas.openxmlformats.org/officeDocument/2006/relationships/hyperlink" Target="https://ec.europa.eu/info/publications/211027-banking-package_en" TargetMode="External"/><Relationship Id="rId2" Type="http://schemas.openxmlformats.org/officeDocument/2006/relationships/hyperlink" Target="https://eur-lex.europa.eu/legal-content/EN/TXT/?uri=CELEX%3A32021R0023" TargetMode="External"/><Relationship Id="rId16" Type="http://schemas.openxmlformats.org/officeDocument/2006/relationships/hyperlink" Target="https://www.esma.europa.eu/sites/default/files/library/esma34-32-865_2020_aifmd_sanctions_report.pdf" TargetMode="External"/><Relationship Id="rId20" Type="http://schemas.openxmlformats.org/officeDocument/2006/relationships/hyperlink" Target="https://ec.europa.eu/info/publications/211027-banking-package_en" TargetMode="External"/><Relationship Id="rId29" Type="http://schemas.openxmlformats.org/officeDocument/2006/relationships/hyperlink" Target="https://eur-lex.europa.eu/legal-content/EN/TXT/?uri=CELEX:52021PC0391" TargetMode="External"/><Relationship Id="rId1" Type="http://schemas.openxmlformats.org/officeDocument/2006/relationships/hyperlink" Target="https://eur-lex.europa.eu/legal-content/EN/TXT/?uri=CELEX%3A02014L0059-20210626" TargetMode="External"/><Relationship Id="rId6" Type="http://schemas.openxmlformats.org/officeDocument/2006/relationships/hyperlink" Target="https://ec.europa.eu/info/publications/210720-anti-money-laundering-countering-financing-terrorism_en" TargetMode="External"/><Relationship Id="rId11" Type="http://schemas.openxmlformats.org/officeDocument/2006/relationships/hyperlink" Target="https://www.esma.europa.eu/sites/default/files/library/esma35-43-2632_statement_suspension_rts_27.pdf" TargetMode="External"/><Relationship Id="rId24" Type="http://schemas.openxmlformats.org/officeDocument/2006/relationships/hyperlink" Target="https://www.eiopa.europa.eu/sites/default/files/publications/reports/eiopa-bos-21-278-report-independence.pdf" TargetMode="External"/><Relationship Id="rId32" Type="http://schemas.openxmlformats.org/officeDocument/2006/relationships/hyperlink" Target="https://ec.europa.eu/info/business-economy-euro/growth-and-investment/capital-markets-union/capital-markets-union-2020-action-plan_en" TargetMode="External"/><Relationship Id="rId5" Type="http://schemas.openxmlformats.org/officeDocument/2006/relationships/hyperlink" Target="https://eur-lex.europa.eu/legal-content/EN/TXT/?uri=CELEX%3A02010R1095-20200101" TargetMode="External"/><Relationship Id="rId15" Type="http://schemas.openxmlformats.org/officeDocument/2006/relationships/hyperlink" Target="https://www.esma.europa.eu/sites/default/files/library/esma34-45-1269_2020_ucits_sanctions_report.pdf" TargetMode="External"/><Relationship Id="rId23" Type="http://schemas.openxmlformats.org/officeDocument/2006/relationships/hyperlink" Target="https://www.eba.europa.eu/sites/default/documents/files/document_library/Publications/Reports/2021/1022092/EBA%20report%20on%20supervisory%20independence%20of%20competent%20authorities.pdf" TargetMode="External"/><Relationship Id="rId28" Type="http://schemas.openxmlformats.org/officeDocument/2006/relationships/hyperlink" Target="https://eur-lex.europa.eu/legal-content/EN/ALL/?uri=COM:2020:595:FIN" TargetMode="External"/><Relationship Id="rId10" Type="http://schemas.openxmlformats.org/officeDocument/2006/relationships/hyperlink" Target="https://www.esma.europa.eu/sites/default/files/library/esma70-156-4714_statement_access_etds_2021.pdf" TargetMode="External"/><Relationship Id="rId19" Type="http://schemas.openxmlformats.org/officeDocument/2006/relationships/hyperlink" Target="https://ec.europa.eu/info/publications/211215-supervisory-data-strategy_en" TargetMode="External"/><Relationship Id="rId31" Type="http://schemas.openxmlformats.org/officeDocument/2006/relationships/hyperlink" Target="https://www.esma.europa.eu/press-news/esma-news/esma-responds-european-commission-consultation-esas" TargetMode="External"/><Relationship Id="rId4" Type="http://schemas.openxmlformats.org/officeDocument/2006/relationships/hyperlink" Target="https://eur-lex.europa.eu/legal-content/EN/TXT/?uri=CELEX%3A02010R1094-20200101" TargetMode="External"/><Relationship Id="rId9" Type="http://schemas.openxmlformats.org/officeDocument/2006/relationships/hyperlink" Target="https://www.esma.europa.eu/press-news/esma-news/esma-issues-no-action-letter-new-esg-disclosure-requirements-under-benchmarks" TargetMode="External"/><Relationship Id="rId14" Type="http://schemas.openxmlformats.org/officeDocument/2006/relationships/hyperlink" Target="https://www.eca.europa.eu/Lists/ECADocuments/SR22_04/SR_SM-for-Invest-Funds_EN.pdf" TargetMode="External"/><Relationship Id="rId22" Type="http://schemas.openxmlformats.org/officeDocument/2006/relationships/hyperlink" Target="https://www.esma.europa.eu/sites/default/files/library/esma42-110-3265_report_on_ncas_independence.pdf" TargetMode="External"/><Relationship Id="rId27" Type="http://schemas.openxmlformats.org/officeDocument/2006/relationships/hyperlink" Target="https://eur-lex.europa.eu/resource.html?uri=cellar:f69f89bb-fe54-11ea-b44f-01aa75ed71a1.0001.02/DOC_1&amp;format=PDF" TargetMode="External"/><Relationship Id="rId30" Type="http://schemas.openxmlformats.org/officeDocument/2006/relationships/hyperlink" Target="https://ec.europa.eu/info/business-economy-euro/banking-and-finance/regulatory-process-financial-services/consultations-banking-and-finance/targeted-consultation-review-central-clearing-framework-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1710-4394-48D6-AF7B-FD8F05E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7620</Words>
  <Characters>42677</Characters>
  <Application>Microsoft Office Word</Application>
  <DocSecurity>0</DocSecurity>
  <Lines>748</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2022-05-13T08:34:00Z</dcterms:created>
  <dcterms:modified xsi:type="dcterms:W3CDTF">2022-05-16T06:14:00Z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CPTemplateID">
    <vt:lpwstr>CP-006</vt:lpwstr>
  </property>
  <property fmtid="{D5CDD505-2E9C-101B-9397-08002B2CF9AE}" pid="7" name="Last edited using">
    <vt:lpwstr>LW 8.0, Build 20220128</vt:lpwstr>
  </property>
</Properties>
</file>